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07C" w:rsidRDefault="0099607C" w:rsidP="0099607C">
      <w:pPr>
        <w:rPr>
          <w:lang w:val="en-US" w:bidi="ar-EG"/>
        </w:rPr>
      </w:pPr>
      <w:bookmarkStart w:id="0" w:name="_Toc253573513"/>
    </w:p>
    <w:tbl>
      <w:tblPr>
        <w:bidiVisual/>
        <w:tblW w:w="2943" w:type="dxa"/>
        <w:jc w:val="right"/>
        <w:tblInd w:w="-303" w:type="dxa"/>
        <w:tblBorders>
          <w:left w:val="single" w:sz="18" w:space="0" w:color="808080"/>
        </w:tblBorders>
        <w:tblLook w:val="0000"/>
      </w:tblPr>
      <w:tblGrid>
        <w:gridCol w:w="2943"/>
      </w:tblGrid>
      <w:tr w:rsidR="0099607C" w:rsidRPr="00EA7689" w:rsidTr="00914C36">
        <w:trPr>
          <w:cantSplit/>
          <w:jc w:val="right"/>
        </w:trPr>
        <w:tc>
          <w:tcPr>
            <w:tcW w:w="2943" w:type="dxa"/>
            <w:tcBorders>
              <w:left w:val="nil"/>
              <w:bottom w:val="single" w:sz="4" w:space="0" w:color="auto"/>
            </w:tcBorders>
          </w:tcPr>
          <w:p w:rsidR="0099607C" w:rsidRPr="00C56EAC" w:rsidRDefault="00C56EAC" w:rsidP="00C56EAC">
            <w:pPr>
              <w:jc w:val="left"/>
              <w:rPr>
                <w:rFonts w:asciiTheme="minorHAnsi" w:hAnsiTheme="minorHAnsi"/>
                <w:b/>
                <w:bCs/>
                <w:i/>
                <w:iCs/>
                <w:sz w:val="28"/>
                <w:szCs w:val="36"/>
                <w:rtl/>
                <w:lang w:val="en-US" w:bidi="ar-EG"/>
              </w:rPr>
            </w:pPr>
            <w:r>
              <w:rPr>
                <w:rFonts w:ascii="Times New Roman Bold" w:hAnsi="Times New Roman Bold" w:hint="cs"/>
                <w:b/>
                <w:bCs/>
                <w:i/>
                <w:iCs/>
                <w:sz w:val="28"/>
                <w:szCs w:val="36"/>
                <w:rtl/>
              </w:rPr>
              <w:t xml:space="preserve">القرار </w:t>
            </w:r>
            <w:r>
              <w:rPr>
                <w:rFonts w:asciiTheme="minorHAnsi" w:hAnsiTheme="minorHAnsi"/>
                <w:b/>
                <w:bCs/>
                <w:i/>
                <w:iCs/>
                <w:sz w:val="28"/>
                <w:szCs w:val="36"/>
                <w:lang w:val="fr-CH"/>
              </w:rPr>
              <w:t>9</w:t>
            </w:r>
            <w:r>
              <w:rPr>
                <w:rFonts w:asciiTheme="minorHAnsi" w:hAnsiTheme="minorHAnsi" w:hint="cs"/>
                <w:b/>
                <w:bCs/>
                <w:i/>
                <w:iCs/>
                <w:sz w:val="28"/>
                <w:szCs w:val="36"/>
                <w:rtl/>
                <w:lang w:val="en-US" w:bidi="ar-EG"/>
              </w:rPr>
              <w:t xml:space="preserve"> </w:t>
            </w:r>
            <w:r>
              <w:rPr>
                <w:rFonts w:asciiTheme="minorHAnsi" w:hAnsiTheme="minorHAnsi"/>
                <w:b/>
                <w:bCs/>
                <w:i/>
                <w:iCs/>
                <w:sz w:val="28"/>
                <w:szCs w:val="36"/>
                <w:rtl/>
                <w:lang w:val="en-US" w:bidi="ar-EG"/>
              </w:rPr>
              <w:br/>
            </w:r>
            <w:r>
              <w:rPr>
                <w:rFonts w:asciiTheme="minorHAnsi" w:hAnsiTheme="minorHAnsi" w:hint="cs"/>
                <w:b/>
                <w:bCs/>
                <w:i/>
                <w:iCs/>
                <w:sz w:val="28"/>
                <w:szCs w:val="36"/>
                <w:rtl/>
                <w:lang w:val="en-US" w:bidi="ar-EG"/>
              </w:rPr>
              <w:t xml:space="preserve">(المراجع في الدوحة، </w:t>
            </w:r>
            <w:r>
              <w:rPr>
                <w:rFonts w:asciiTheme="minorHAnsi" w:hAnsiTheme="minorHAnsi"/>
                <w:b/>
                <w:bCs/>
                <w:i/>
                <w:iCs/>
                <w:sz w:val="28"/>
                <w:szCs w:val="36"/>
                <w:lang w:val="en-US" w:bidi="ar-EG"/>
              </w:rPr>
              <w:t>2006</w:t>
            </w:r>
            <w:r>
              <w:rPr>
                <w:rFonts w:asciiTheme="minorHAnsi" w:hAnsiTheme="minorHAnsi" w:hint="cs"/>
                <w:b/>
                <w:bCs/>
                <w:i/>
                <w:iCs/>
                <w:sz w:val="28"/>
                <w:szCs w:val="36"/>
                <w:rtl/>
                <w:lang w:val="en-US" w:bidi="ar-EG"/>
              </w:rPr>
              <w:t>)</w:t>
            </w:r>
          </w:p>
        </w:tc>
      </w:tr>
      <w:tr w:rsidR="0099607C" w:rsidRPr="00BD60AC" w:rsidTr="00914C36">
        <w:trPr>
          <w:cantSplit/>
          <w:trHeight w:val="865"/>
          <w:jc w:val="right"/>
        </w:trPr>
        <w:tc>
          <w:tcPr>
            <w:tcW w:w="2943" w:type="dxa"/>
            <w:tcBorders>
              <w:top w:val="single" w:sz="4" w:space="0" w:color="auto"/>
              <w:left w:val="nil"/>
            </w:tcBorders>
          </w:tcPr>
          <w:p w:rsidR="0099607C" w:rsidRPr="00905AEC" w:rsidRDefault="00914C36" w:rsidP="007A2423">
            <w:pPr>
              <w:rPr>
                <w:i/>
                <w:iCs/>
                <w:lang w:val="en-US" w:bidi="ar-EG"/>
              </w:rPr>
            </w:pPr>
            <w:r>
              <w:rPr>
                <w:rFonts w:hint="cs"/>
                <w:i/>
                <w:iCs/>
                <w:rtl/>
                <w:lang w:val="en-US" w:bidi="ar-EG"/>
              </w:rPr>
              <w:t>الخطوط التوجيهية</w:t>
            </w:r>
          </w:p>
        </w:tc>
      </w:tr>
    </w:tbl>
    <w:p w:rsidR="0099607C" w:rsidRPr="007A2423" w:rsidRDefault="0099607C" w:rsidP="0099607C"/>
    <w:p w:rsidR="0099607C" w:rsidRPr="007A2423" w:rsidRDefault="0099607C" w:rsidP="0099607C"/>
    <w:p w:rsidR="00905AEC" w:rsidRDefault="00905AEC" w:rsidP="00905AEC"/>
    <w:p w:rsidR="001305EE" w:rsidRDefault="001305EE" w:rsidP="00905AEC">
      <w:pPr>
        <w:rPr>
          <w:rtl/>
        </w:rPr>
      </w:pPr>
    </w:p>
    <w:p w:rsidR="00905AEC" w:rsidRPr="00905AEC" w:rsidRDefault="00905AEC" w:rsidP="00905AEC"/>
    <w:p w:rsidR="00905AEC" w:rsidRPr="00905AEC" w:rsidRDefault="00905AEC" w:rsidP="00905AEC">
      <w:pPr>
        <w:shd w:val="clear" w:color="auto" w:fill="B3B3B3"/>
        <w:tabs>
          <w:tab w:val="center" w:pos="4025"/>
          <w:tab w:val="left" w:pos="5569"/>
        </w:tabs>
        <w:rPr>
          <w:rFonts w:ascii="Times New Roman Bold" w:hAnsi="Times New Roman Bold"/>
          <w:b/>
          <w:bCs/>
          <w:color w:val="FFFFFF"/>
          <w:sz w:val="32"/>
          <w:szCs w:val="44"/>
          <w:rtl/>
          <w:lang w:bidi="ar-EG"/>
        </w:rPr>
      </w:pPr>
      <w:r w:rsidRPr="00905AEC">
        <w:rPr>
          <w:rFonts w:ascii="Times New Roman Bold" w:hAnsi="Times New Roman Bold" w:hint="cs"/>
          <w:b/>
          <w:bCs/>
          <w:color w:val="FFFFFF"/>
          <w:sz w:val="32"/>
          <w:szCs w:val="44"/>
          <w:rtl/>
          <w:lang w:bidi="ar-EG"/>
        </w:rPr>
        <w:t>قطاع تنمية الاتصالات</w:t>
      </w:r>
      <w:r w:rsidRPr="00905AEC">
        <w:rPr>
          <w:rFonts w:ascii="Times New Roman Bold" w:hAnsi="Times New Roman Bold" w:hint="cs"/>
          <w:b/>
          <w:bCs/>
          <w:color w:val="FFFFFF"/>
          <w:sz w:val="32"/>
          <w:szCs w:val="44"/>
          <w:rtl/>
          <w:lang w:bidi="ar-EG"/>
        </w:rPr>
        <w:tab/>
        <w:t xml:space="preserve">لجنة الدراسات </w:t>
      </w:r>
      <w:r w:rsidRPr="00905AEC">
        <w:rPr>
          <w:rFonts w:ascii="Times New Roman Bold" w:hAnsi="Times New Roman Bold"/>
          <w:b/>
          <w:bCs/>
          <w:color w:val="FFFFFF"/>
          <w:sz w:val="32"/>
          <w:szCs w:val="44"/>
          <w:lang w:bidi="ar-EG"/>
        </w:rPr>
        <w:t>2</w:t>
      </w:r>
      <w:r w:rsidRPr="00905AEC">
        <w:rPr>
          <w:rFonts w:ascii="Times New Roman Bold" w:hAnsi="Times New Roman Bold" w:hint="cs"/>
          <w:b/>
          <w:bCs/>
          <w:color w:val="FFFFFF"/>
          <w:sz w:val="32"/>
          <w:szCs w:val="44"/>
          <w:rtl/>
          <w:lang w:bidi="ar-EG"/>
        </w:rPr>
        <w:tab/>
        <w:t xml:space="preserve">فترة الدراسة الرابعة </w:t>
      </w:r>
      <w:r w:rsidRPr="00905AEC">
        <w:rPr>
          <w:rFonts w:ascii="Times New Roman Bold" w:hAnsi="Times New Roman Bold"/>
          <w:b/>
          <w:bCs/>
          <w:color w:val="FFFFFF"/>
          <w:sz w:val="32"/>
          <w:szCs w:val="44"/>
          <w:lang w:bidi="ar-EG"/>
        </w:rPr>
        <w:t>(2010-2006)</w:t>
      </w:r>
    </w:p>
    <w:p w:rsidR="00905AEC" w:rsidRPr="00905AEC" w:rsidRDefault="00905AEC" w:rsidP="00905AEC"/>
    <w:p w:rsidR="0099607C" w:rsidRPr="00BD60AC" w:rsidRDefault="0099607C" w:rsidP="0099607C"/>
    <w:p w:rsidR="0099607C" w:rsidRPr="00BD60AC" w:rsidRDefault="0099607C" w:rsidP="0099607C"/>
    <w:p w:rsidR="0099607C" w:rsidRPr="00905AEC" w:rsidRDefault="00C56EAC" w:rsidP="00C56EAC">
      <w:pPr>
        <w:spacing w:after="240"/>
        <w:ind w:right="2640"/>
        <w:jc w:val="right"/>
        <w:rPr>
          <w:b/>
          <w:bCs/>
          <w:i/>
          <w:iCs/>
          <w:noProof/>
          <w:sz w:val="56"/>
          <w:szCs w:val="64"/>
          <w:rtl/>
          <w:lang w:bidi="ar-EG"/>
        </w:rPr>
      </w:pPr>
      <w:r w:rsidRPr="00C56EAC">
        <w:rPr>
          <w:b/>
          <w:bCs/>
          <w:i/>
          <w:iCs/>
          <w:noProof/>
          <w:sz w:val="56"/>
          <w:szCs w:val="64"/>
          <w:rtl/>
          <w:lang w:bidi="ar-EG"/>
        </w:rPr>
        <w:t xml:space="preserve">الخطوط التوجيهية </w:t>
      </w:r>
      <w:r>
        <w:rPr>
          <w:b/>
          <w:bCs/>
          <w:i/>
          <w:iCs/>
          <w:noProof/>
          <w:sz w:val="56"/>
          <w:szCs w:val="64"/>
          <w:lang w:bidi="ar-EG"/>
        </w:rPr>
        <w:br/>
      </w:r>
      <w:r w:rsidRPr="00C56EAC">
        <w:rPr>
          <w:b/>
          <w:bCs/>
          <w:i/>
          <w:iCs/>
          <w:noProof/>
          <w:sz w:val="56"/>
          <w:szCs w:val="64"/>
          <w:rtl/>
          <w:lang w:bidi="ar-EG"/>
        </w:rPr>
        <w:t xml:space="preserve">لإقامة نظام متناسق للرسوم </w:t>
      </w:r>
      <w:r>
        <w:rPr>
          <w:b/>
          <w:bCs/>
          <w:i/>
          <w:iCs/>
          <w:noProof/>
          <w:sz w:val="56"/>
          <w:szCs w:val="64"/>
          <w:lang w:bidi="ar-EG"/>
        </w:rPr>
        <w:br/>
      </w:r>
      <w:r w:rsidRPr="00C56EAC">
        <w:rPr>
          <w:b/>
          <w:bCs/>
          <w:i/>
          <w:iCs/>
          <w:noProof/>
          <w:sz w:val="56"/>
          <w:szCs w:val="64"/>
          <w:rtl/>
          <w:lang w:bidi="ar-EG"/>
        </w:rPr>
        <w:t>استناداً إلى استعمال الترددات</w:t>
      </w:r>
    </w:p>
    <w:p w:rsidR="0099607C" w:rsidRDefault="0099607C" w:rsidP="0099607C">
      <w:pPr>
        <w:rPr>
          <w:lang w:val="en-US" w:bidi="ar-EG"/>
        </w:rPr>
      </w:pPr>
    </w:p>
    <w:p w:rsidR="0099607C" w:rsidRDefault="0099607C" w:rsidP="0099607C">
      <w:pPr>
        <w:rPr>
          <w:lang w:val="en-US" w:bidi="ar-EG"/>
        </w:rPr>
      </w:pPr>
    </w:p>
    <w:p w:rsidR="00B72257" w:rsidRDefault="00B72257" w:rsidP="007A2423">
      <w:pPr>
        <w:rPr>
          <w:rtl/>
          <w:lang w:val="en-US" w:bidi="ar-EG"/>
        </w:rPr>
      </w:pPr>
      <w:r>
        <w:rPr>
          <w:rtl/>
          <w:lang w:val="en-US" w:bidi="ar-EG"/>
        </w:rPr>
        <w:br w:type="page"/>
      </w:r>
    </w:p>
    <w:p w:rsidR="0099607C" w:rsidRDefault="0099607C" w:rsidP="0099607C">
      <w:pPr>
        <w:rPr>
          <w:rtl/>
          <w:lang w:val="en-US" w:bidi="ar-EG"/>
        </w:rPr>
      </w:pPr>
    </w:p>
    <w:tbl>
      <w:tblPr>
        <w:tblStyle w:val="TableGrid"/>
        <w:bidiVisual/>
        <w:tblW w:w="0" w:type="auto"/>
        <w:tblLook w:val="04A0"/>
      </w:tblPr>
      <w:tblGrid>
        <w:gridCol w:w="9855"/>
      </w:tblGrid>
      <w:tr w:rsidR="00914C36" w:rsidTr="00026C26">
        <w:tc>
          <w:tcPr>
            <w:tcW w:w="9855" w:type="dxa"/>
          </w:tcPr>
          <w:p w:rsidR="00914C36" w:rsidRPr="00FD3D41" w:rsidRDefault="00FD3D41" w:rsidP="00FD3D41">
            <w:pPr>
              <w:jc w:val="center"/>
              <w:rPr>
                <w:rFonts w:ascii="Times New Roman Bold" w:hAnsi="Times New Roman Bold"/>
                <w:b/>
                <w:bCs/>
                <w:szCs w:val="36"/>
                <w:rtl/>
              </w:rPr>
            </w:pPr>
            <w:r w:rsidRPr="00FD3D41">
              <w:rPr>
                <w:rFonts w:ascii="Times New Roman Bold" w:hAnsi="Times New Roman Bold" w:hint="cs"/>
                <w:b/>
                <w:bCs/>
                <w:szCs w:val="36"/>
                <w:rtl/>
              </w:rPr>
              <w:t>شكر وتقدير</w:t>
            </w:r>
          </w:p>
          <w:p w:rsidR="00914C36" w:rsidRDefault="00FD3D41" w:rsidP="00026C26">
            <w:pPr>
              <w:rPr>
                <w:sz w:val="30"/>
                <w:rtl/>
              </w:rPr>
            </w:pPr>
            <w:r w:rsidRPr="00377605">
              <w:rPr>
                <w:rFonts w:hint="cs"/>
                <w:sz w:val="30"/>
                <w:rtl/>
              </w:rPr>
              <w:t>نوجه الشكر إلى مؤلفي المساهمات على المساعدة التي قدموها باستمرار من أجل إعداد هذا التقرير:</w:t>
            </w:r>
          </w:p>
          <w:p w:rsidR="00FD3D41" w:rsidRDefault="00FD3D41" w:rsidP="00FD3D41">
            <w:pPr>
              <w:rPr>
                <w:rtl/>
              </w:rPr>
            </w:pPr>
            <w:r>
              <w:rPr>
                <w:rFonts w:hint="cs"/>
                <w:rtl/>
              </w:rPr>
              <w:t>فيما يتعلق بجميع الأعمال:</w:t>
            </w:r>
          </w:p>
          <w:p w:rsidR="00FD3D41" w:rsidRDefault="00FD3D41" w:rsidP="00890DD5">
            <w:pPr>
              <w:rPr>
                <w:rtl/>
              </w:rPr>
            </w:pPr>
            <w:r>
              <w:rPr>
                <w:rFonts w:hint="cs"/>
                <w:rtl/>
              </w:rPr>
              <w:t>السيد جان-بيير هون (فرنسا)</w:t>
            </w:r>
          </w:p>
          <w:p w:rsidR="00FD3D41" w:rsidRDefault="00FD3D41" w:rsidP="00FD3D41">
            <w:pPr>
              <w:spacing w:before="0"/>
              <w:rPr>
                <w:rtl/>
              </w:rPr>
            </w:pPr>
            <w:r>
              <w:rPr>
                <w:rFonts w:hint="cs"/>
                <w:rtl/>
              </w:rPr>
              <w:t>السيد أندريه شاميناد (فرنسا)</w:t>
            </w:r>
          </w:p>
          <w:p w:rsidR="00FD3D41" w:rsidRDefault="00FD3D41" w:rsidP="00FD3D41">
            <w:pPr>
              <w:spacing w:before="0"/>
              <w:rPr>
                <w:rtl/>
              </w:rPr>
            </w:pPr>
            <w:r>
              <w:rPr>
                <w:rFonts w:hint="cs"/>
                <w:rtl/>
              </w:rPr>
              <w:t>السيد ديرك-أوليفييه فون دير إمدن (سويسرا)</w:t>
            </w:r>
          </w:p>
          <w:p w:rsidR="00FD3D41" w:rsidRDefault="00FD3D41" w:rsidP="00FD3D41">
            <w:pPr>
              <w:spacing w:before="0"/>
              <w:rPr>
                <w:rtl/>
              </w:rPr>
            </w:pPr>
            <w:r>
              <w:rPr>
                <w:rFonts w:hint="cs"/>
                <w:rtl/>
              </w:rPr>
              <w:t>السيد ناصر الراشيدي والسيد حسن شريف (الإمارات العربية المتحدة)</w:t>
            </w:r>
          </w:p>
          <w:p w:rsidR="00FD3D41" w:rsidRDefault="00FD3D41" w:rsidP="00FD3D41">
            <w:pPr>
              <w:spacing w:before="0"/>
              <w:rPr>
                <w:rtl/>
              </w:rPr>
            </w:pPr>
            <w:r>
              <w:rPr>
                <w:rFonts w:hint="cs"/>
                <w:rtl/>
              </w:rPr>
              <w:t xml:space="preserve">السيد إستفان بوزسوكي والسيدة أليساندرا بيليري (مكتب تنمية الاتصالات </w:t>
            </w:r>
            <w:r>
              <w:rPr>
                <w:rtl/>
              </w:rPr>
              <w:t>–</w:t>
            </w:r>
            <w:r>
              <w:rPr>
                <w:rFonts w:hint="cs"/>
                <w:rtl/>
              </w:rPr>
              <w:t xml:space="preserve"> الاتحاد الدولي للاتصالات)</w:t>
            </w:r>
          </w:p>
          <w:p w:rsidR="00FD3D41" w:rsidRDefault="00FD3D41" w:rsidP="00FD3D41">
            <w:pPr>
              <w:spacing w:before="0"/>
              <w:rPr>
                <w:rtl/>
              </w:rPr>
            </w:pPr>
            <w:r>
              <w:rPr>
                <w:rFonts w:hint="cs"/>
                <w:rtl/>
              </w:rPr>
              <w:t xml:space="preserve">السيد فيليب أوبينو (مكتب الاتصالات الراديوية </w:t>
            </w:r>
            <w:r>
              <w:rPr>
                <w:rtl/>
              </w:rPr>
              <w:t>–</w:t>
            </w:r>
            <w:r>
              <w:rPr>
                <w:rFonts w:hint="cs"/>
                <w:rtl/>
              </w:rPr>
              <w:t xml:space="preserve"> الاتحاد الدولي للاتصالات)</w:t>
            </w:r>
          </w:p>
          <w:p w:rsidR="00FD3D41" w:rsidRDefault="00FD3D41" w:rsidP="00FD3D41">
            <w:pPr>
              <w:spacing w:before="0"/>
              <w:rPr>
                <w:sz w:val="30"/>
                <w:rtl/>
              </w:rPr>
            </w:pPr>
            <w:r>
              <w:rPr>
                <w:rFonts w:hint="cs"/>
                <w:rtl/>
              </w:rPr>
              <w:t>اللجنة المعنية بتحديد أسعار الطيف (الوكالة الوطنية للترددات، فرنسا)</w:t>
            </w:r>
          </w:p>
          <w:p w:rsidR="00FD3D41" w:rsidRDefault="00FD3D41" w:rsidP="00FD3D41">
            <w:pPr>
              <w:rPr>
                <w:rtl/>
              </w:rPr>
            </w:pPr>
            <w:r>
              <w:rPr>
                <w:rFonts w:hint="cs"/>
                <w:rtl/>
              </w:rPr>
              <w:t>فيما يتعلق بالاحتياجات الخاصة للبلدان النامية في مجال تحديد أسعار الطيف:</w:t>
            </w:r>
          </w:p>
          <w:p w:rsidR="00FD3D41" w:rsidRDefault="00FD3D41" w:rsidP="00FD3D41">
            <w:pPr>
              <w:rPr>
                <w:rtl/>
              </w:rPr>
            </w:pPr>
            <w:r>
              <w:rPr>
                <w:rFonts w:hint="cs"/>
                <w:rtl/>
              </w:rPr>
              <w:t>السيد روكيتو باغورو والسيد سليمان زابر (بوركينا فاصو)</w:t>
            </w:r>
          </w:p>
          <w:p w:rsidR="00FD3D41" w:rsidRDefault="0098598A" w:rsidP="00FD3D41">
            <w:pPr>
              <w:spacing w:before="0"/>
              <w:rPr>
                <w:rtl/>
              </w:rPr>
            </w:pPr>
            <w:r>
              <w:rPr>
                <w:rFonts w:hint="cs"/>
                <w:rtl/>
              </w:rPr>
              <w:t>السيد روجيه مانغا أيسي (الكام</w:t>
            </w:r>
            <w:r>
              <w:rPr>
                <w:rFonts w:hint="cs"/>
                <w:rtl/>
                <w:lang w:bidi="ar-EG"/>
              </w:rPr>
              <w:t>ي</w:t>
            </w:r>
            <w:r>
              <w:rPr>
                <w:rFonts w:hint="cs"/>
                <w:rtl/>
              </w:rPr>
              <w:t>ر</w:t>
            </w:r>
            <w:r w:rsidR="00FD3D41">
              <w:rPr>
                <w:rFonts w:hint="cs"/>
                <w:rtl/>
              </w:rPr>
              <w:t>ون)</w:t>
            </w:r>
          </w:p>
          <w:p w:rsidR="00FD3D41" w:rsidRDefault="00FD3D41" w:rsidP="00FD3D41">
            <w:pPr>
              <w:spacing w:before="0"/>
              <w:rPr>
                <w:rtl/>
              </w:rPr>
            </w:pPr>
            <w:r>
              <w:rPr>
                <w:rFonts w:hint="cs"/>
                <w:rtl/>
              </w:rPr>
              <w:t>السيد جان كاك ماسيما (غابون)</w:t>
            </w:r>
          </w:p>
          <w:p w:rsidR="00FD3D41" w:rsidRDefault="00FD3D41" w:rsidP="00FD3D41">
            <w:pPr>
              <w:spacing w:before="0"/>
              <w:rPr>
                <w:rtl/>
              </w:rPr>
            </w:pPr>
            <w:r>
              <w:rPr>
                <w:rFonts w:hint="cs"/>
                <w:rtl/>
              </w:rPr>
              <w:t>السيد عبد الله كيبيه (غينيا)</w:t>
            </w:r>
          </w:p>
          <w:p w:rsidR="00FD3D41" w:rsidRDefault="00FD3D41" w:rsidP="00FD3D41">
            <w:pPr>
              <w:spacing w:before="0"/>
              <w:rPr>
                <w:rtl/>
              </w:rPr>
            </w:pPr>
            <w:r>
              <w:rPr>
                <w:rFonts w:hint="cs"/>
                <w:rtl/>
              </w:rPr>
              <w:t>السيد عبد الله ديمبيليه</w:t>
            </w:r>
            <w:r w:rsidR="0098598A">
              <w:rPr>
                <w:rFonts w:hint="cs"/>
                <w:rtl/>
              </w:rPr>
              <w:t xml:space="preserve"> (مالي)</w:t>
            </w:r>
          </w:p>
          <w:p w:rsidR="00FD3D41" w:rsidRDefault="00FD3D41" w:rsidP="00FD3D41">
            <w:pPr>
              <w:rPr>
                <w:rtl/>
              </w:rPr>
            </w:pPr>
            <w:r>
              <w:rPr>
                <w:rFonts w:hint="cs"/>
                <w:rtl/>
              </w:rPr>
              <w:t>فيما يتعلق بالتقرير بالكامل:</w:t>
            </w:r>
          </w:p>
          <w:p w:rsidR="00FD3D41" w:rsidRDefault="00FD3D41" w:rsidP="00FD3D41">
            <w:pPr>
              <w:rPr>
                <w:rtl/>
                <w:lang w:val="en-US" w:bidi="ar-EG"/>
              </w:rPr>
            </w:pPr>
            <w:r>
              <w:rPr>
                <w:rFonts w:hint="cs"/>
                <w:rtl/>
              </w:rPr>
              <w:t xml:space="preserve">السيد نبيل كسراوي (الجمهورية العربية السورية، رئيس لجنة الدراسات </w:t>
            </w:r>
            <w:r>
              <w:rPr>
                <w:lang w:val="en-US"/>
              </w:rPr>
              <w:t>2</w:t>
            </w:r>
            <w:r>
              <w:rPr>
                <w:rFonts w:hint="cs"/>
                <w:rtl/>
                <w:lang w:val="en-US" w:bidi="ar-EG"/>
              </w:rPr>
              <w:t xml:space="preserve"> التابعة لقطاع تنمية الاتصالات)</w:t>
            </w:r>
          </w:p>
          <w:p w:rsidR="00FD3D41" w:rsidRDefault="00FD3D41" w:rsidP="00FD3D41">
            <w:pPr>
              <w:rPr>
                <w:sz w:val="30"/>
                <w:rtl/>
              </w:rPr>
            </w:pPr>
            <w:r>
              <w:rPr>
                <w:rFonts w:hint="cs"/>
                <w:rtl/>
                <w:lang w:val="en-US" w:bidi="ar-EG"/>
              </w:rPr>
              <w:t xml:space="preserve">السيد جان-بيير هون (فرنسا، الرئيس المشارك لفريق العمل المشترك المعني بالقرار </w:t>
            </w:r>
            <w:r>
              <w:rPr>
                <w:lang w:val="en-US" w:bidi="ar-EG"/>
              </w:rPr>
              <w:t>9</w:t>
            </w:r>
            <w:r>
              <w:rPr>
                <w:rFonts w:hint="cs"/>
                <w:rtl/>
                <w:lang w:val="en-US" w:bidi="ar-EG"/>
              </w:rPr>
              <w:t>، ممثل قطاع تنمية الاتصالات)</w:t>
            </w:r>
          </w:p>
          <w:p w:rsidR="00FD3D41" w:rsidRDefault="00FD3D41" w:rsidP="00026C26">
            <w:pPr>
              <w:rPr>
                <w:rtl/>
                <w:lang w:val="en-US" w:bidi="ar-EG"/>
              </w:rPr>
            </w:pPr>
          </w:p>
        </w:tc>
      </w:tr>
    </w:tbl>
    <w:p w:rsidR="00914C36" w:rsidRDefault="00914C36" w:rsidP="00914C36">
      <w:pPr>
        <w:rPr>
          <w:lang w:val="en-US" w:bidi="ar-EG"/>
        </w:rPr>
      </w:pPr>
    </w:p>
    <w:p w:rsidR="00B72257" w:rsidRDefault="00B72257" w:rsidP="0099607C">
      <w:pPr>
        <w:rPr>
          <w:rtl/>
          <w:lang w:val="en-US" w:bidi="ar-EG"/>
        </w:rPr>
      </w:pPr>
    </w:p>
    <w:p w:rsidR="00C1440E" w:rsidRDefault="00C1440E" w:rsidP="0099607C">
      <w:pPr>
        <w:rPr>
          <w:rtl/>
          <w:lang w:val="en-US" w:bidi="ar-EG"/>
        </w:rPr>
      </w:pPr>
    </w:p>
    <w:p w:rsidR="00C1440E" w:rsidRDefault="00C1440E" w:rsidP="0099607C">
      <w:pPr>
        <w:rPr>
          <w:rtl/>
          <w:lang w:val="en-US" w:bidi="ar-EG"/>
        </w:rPr>
      </w:pPr>
    </w:p>
    <w:p w:rsidR="00C1440E" w:rsidRDefault="00C1440E" w:rsidP="0099607C">
      <w:pPr>
        <w:rPr>
          <w:lang w:val="en-US" w:bidi="ar-EG"/>
        </w:rPr>
      </w:pPr>
    </w:p>
    <w:p w:rsidR="00C23EEC" w:rsidRDefault="00C23EEC" w:rsidP="0099607C">
      <w:pPr>
        <w:rPr>
          <w:lang w:val="en-US" w:bidi="ar-EG"/>
        </w:rPr>
      </w:pPr>
    </w:p>
    <w:p w:rsidR="00C1440E" w:rsidRDefault="00C1440E" w:rsidP="0099607C">
      <w:pPr>
        <w:rPr>
          <w:rtl/>
          <w:lang w:val="en-US" w:bidi="ar-EG"/>
        </w:rPr>
      </w:pPr>
    </w:p>
    <w:tbl>
      <w:tblPr>
        <w:tblStyle w:val="TableGrid"/>
        <w:bidiVisual/>
        <w:tblW w:w="0" w:type="auto"/>
        <w:tblLook w:val="04A0"/>
      </w:tblPr>
      <w:tblGrid>
        <w:gridCol w:w="9855"/>
      </w:tblGrid>
      <w:tr w:rsidR="00C1440E" w:rsidTr="00C1440E">
        <w:tc>
          <w:tcPr>
            <w:tcW w:w="9855" w:type="dxa"/>
          </w:tcPr>
          <w:p w:rsidR="00C1440E" w:rsidRPr="00943111" w:rsidRDefault="00C1440E" w:rsidP="0099607C">
            <w:pPr>
              <w:rPr>
                <w:b/>
                <w:bCs/>
                <w:rtl/>
              </w:rPr>
            </w:pPr>
            <w:r w:rsidRPr="00943111">
              <w:rPr>
                <w:rFonts w:hint="cs"/>
                <w:b/>
                <w:bCs/>
                <w:rtl/>
              </w:rPr>
              <w:t>إخلاء مسؤولية</w:t>
            </w:r>
          </w:p>
          <w:p w:rsidR="00C1440E" w:rsidRDefault="00C1440E" w:rsidP="007A2423">
            <w:pPr>
              <w:rPr>
                <w:rtl/>
                <w:lang w:val="en-US" w:bidi="ar-EG"/>
              </w:rPr>
            </w:pPr>
            <w:r w:rsidRPr="00943111">
              <w:rPr>
                <w:rFonts w:hint="cs"/>
                <w:b/>
                <w:bCs/>
                <w:rtl/>
                <w:lang w:val="en-US" w:bidi="ar-EG"/>
              </w:rPr>
              <w:t>شارك في إعداد هذا التقرير عدة خبراء من إدارات وشركات مختلفة. ولا ينطوي ذكر شركات أو منتجات معينة على أي تأييد أو توصية من جانب الاتحاد الدولي الاتصالات.</w:t>
            </w:r>
          </w:p>
        </w:tc>
      </w:tr>
    </w:tbl>
    <w:p w:rsidR="0099607C" w:rsidRDefault="0099607C" w:rsidP="0099607C">
      <w:pPr>
        <w:rPr>
          <w:lang w:val="en-US" w:bidi="ar-EG"/>
        </w:rPr>
      </w:pPr>
    </w:p>
    <w:p w:rsidR="0099607C" w:rsidRDefault="0099607C" w:rsidP="0099607C">
      <w:pPr>
        <w:rPr>
          <w:rtl/>
          <w:lang w:val="en-US" w:bidi="ar-EG"/>
        </w:rPr>
        <w:sectPr w:rsidR="0099607C" w:rsidSect="00C55454">
          <w:headerReference w:type="even" r:id="rId8"/>
          <w:headerReference w:type="default" r:id="rId9"/>
          <w:footerReference w:type="default" r:id="rId10"/>
          <w:headerReference w:type="first" r:id="rId11"/>
          <w:footerReference w:type="first" r:id="rId12"/>
          <w:type w:val="oddPage"/>
          <w:pgSz w:w="11907" w:h="16834" w:code="9"/>
          <w:pgMar w:top="1418" w:right="1134" w:bottom="1418" w:left="1134" w:header="720" w:footer="720" w:gutter="0"/>
          <w:paperSrc w:first="7" w:other="7"/>
          <w:pgNumType w:fmt="lowerRoman" w:start="3"/>
          <w:cols w:space="720"/>
          <w:bidi/>
          <w:rtlGutter/>
        </w:sectPr>
      </w:pPr>
    </w:p>
    <w:bookmarkEnd w:id="0"/>
    <w:p w:rsidR="00DD3657" w:rsidRPr="00E2705C" w:rsidRDefault="009B1376" w:rsidP="00DD3657">
      <w:pPr>
        <w:spacing w:before="360"/>
        <w:jc w:val="center"/>
        <w:rPr>
          <w:b/>
          <w:bCs/>
          <w:sz w:val="36"/>
          <w:szCs w:val="36"/>
          <w:rtl/>
        </w:rPr>
      </w:pPr>
      <w:r>
        <w:rPr>
          <w:rFonts w:hint="cs"/>
          <w:b/>
          <w:bCs/>
          <w:sz w:val="36"/>
          <w:szCs w:val="36"/>
          <w:rtl/>
        </w:rPr>
        <w:lastRenderedPageBreak/>
        <w:t xml:space="preserve">جدول </w:t>
      </w:r>
      <w:r w:rsidR="00DD3657" w:rsidRPr="00E2705C">
        <w:rPr>
          <w:rFonts w:hint="cs"/>
          <w:b/>
          <w:bCs/>
          <w:sz w:val="36"/>
          <w:szCs w:val="36"/>
          <w:rtl/>
        </w:rPr>
        <w:t>المحتويات</w:t>
      </w:r>
    </w:p>
    <w:p w:rsidR="00DD3657" w:rsidRPr="003F18AE" w:rsidRDefault="003F18AE" w:rsidP="003F18AE">
      <w:pPr>
        <w:jc w:val="right"/>
        <w:rPr>
          <w:b/>
          <w:bCs/>
          <w:i/>
          <w:iCs/>
          <w:lang w:bidi="ar-EG"/>
        </w:rPr>
      </w:pPr>
      <w:r w:rsidRPr="003F18AE">
        <w:rPr>
          <w:rFonts w:hint="cs"/>
          <w:b/>
          <w:bCs/>
          <w:i/>
          <w:iCs/>
          <w:rtl/>
          <w:lang w:bidi="ar-EG"/>
        </w:rPr>
        <w:t>الصفحة</w:t>
      </w:r>
    </w:p>
    <w:p w:rsidR="002779FA" w:rsidRPr="00C25FFA" w:rsidRDefault="002779FA" w:rsidP="00B0014D">
      <w:pPr>
        <w:pStyle w:val="TOC1"/>
        <w:bidi/>
        <w:spacing w:line="192" w:lineRule="auto"/>
        <w:rPr>
          <w:rStyle w:val="Hyperlink"/>
          <w:color w:val="auto"/>
          <w:u w:val="none"/>
        </w:rPr>
      </w:pPr>
      <w:r w:rsidRPr="00C25FFA">
        <w:rPr>
          <w:rStyle w:val="Hyperlink"/>
          <w:color w:val="auto"/>
          <w:u w:val="none"/>
        </w:rPr>
        <w:t>1</w:t>
      </w:r>
      <w:r w:rsidRPr="00C25FFA">
        <w:rPr>
          <w:rStyle w:val="Hyperlink"/>
          <w:color w:val="auto"/>
          <w:u w:val="none"/>
          <w:rtl/>
        </w:rPr>
        <w:t xml:space="preserve"> </w:t>
      </w:r>
      <w:r w:rsidRPr="00C25FFA">
        <w:rPr>
          <w:rStyle w:val="Hyperlink"/>
          <w:color w:val="auto"/>
          <w:u w:val="none"/>
        </w:rPr>
        <w:tab/>
      </w:r>
      <w:r w:rsidRPr="00C25FFA">
        <w:rPr>
          <w:rStyle w:val="Hyperlink"/>
          <w:rFonts w:hint="cs"/>
          <w:color w:val="auto"/>
          <w:u w:val="none"/>
          <w:rtl/>
        </w:rPr>
        <w:t>مقدمة</w:t>
      </w:r>
      <w:r w:rsidRPr="00C25FFA">
        <w:rPr>
          <w:rStyle w:val="Hyperlink"/>
          <w:webHidden/>
          <w:color w:val="auto"/>
          <w:u w:val="none"/>
        </w:rPr>
        <w:tab/>
      </w:r>
      <w:r w:rsidR="003F18AE" w:rsidRPr="00C25FFA">
        <w:rPr>
          <w:rStyle w:val="Hyperlink"/>
          <w:rFonts w:hint="cs"/>
          <w:webHidden/>
          <w:color w:val="auto"/>
          <w:u w:val="none"/>
          <w:rtl/>
        </w:rPr>
        <w:tab/>
      </w:r>
      <w:r w:rsidR="009D5FA1" w:rsidRPr="00C25FFA">
        <w:rPr>
          <w:rStyle w:val="Hyperlink"/>
          <w:rFonts w:hint="cs"/>
          <w:webHidden/>
          <w:color w:val="auto"/>
          <w:u w:val="none"/>
          <w:rtl/>
        </w:rPr>
        <w:tab/>
      </w:r>
      <w:r w:rsidR="009D5FA1" w:rsidRPr="00C25FFA">
        <w:rPr>
          <w:rStyle w:val="Hyperlink"/>
          <w:webHidden/>
          <w:color w:val="auto"/>
          <w:u w:val="none"/>
        </w:rPr>
        <w:t>1</w:t>
      </w:r>
    </w:p>
    <w:p w:rsidR="002779FA" w:rsidRPr="00C25FFA" w:rsidRDefault="002779FA" w:rsidP="00B0014D">
      <w:pPr>
        <w:pStyle w:val="TOC1"/>
        <w:bidi/>
        <w:spacing w:line="192" w:lineRule="auto"/>
        <w:rPr>
          <w:rStyle w:val="Hyperlink"/>
          <w:color w:val="auto"/>
          <w:u w:val="none"/>
        </w:rPr>
      </w:pPr>
      <w:r w:rsidRPr="00C25FFA">
        <w:rPr>
          <w:rStyle w:val="Hyperlink"/>
          <w:color w:val="auto"/>
          <w:u w:val="none"/>
        </w:rPr>
        <w:t>2</w:t>
      </w:r>
      <w:r w:rsidRPr="00C25FFA">
        <w:rPr>
          <w:rStyle w:val="Hyperlink"/>
          <w:color w:val="auto"/>
          <w:u w:val="none"/>
        </w:rPr>
        <w:tab/>
      </w:r>
      <w:r w:rsidRPr="00C25FFA">
        <w:rPr>
          <w:rStyle w:val="Hyperlink"/>
          <w:rFonts w:hint="cs"/>
          <w:color w:val="auto"/>
          <w:u w:val="none"/>
          <w:rtl/>
        </w:rPr>
        <w:t>تعاريف</w:t>
      </w:r>
      <w:r w:rsidRPr="00C25FFA">
        <w:rPr>
          <w:rStyle w:val="Hyperlink"/>
          <w:color w:val="auto"/>
          <w:u w:val="none"/>
          <w:rtl/>
        </w:rPr>
        <w:t xml:space="preserve"> </w:t>
      </w:r>
      <w:r w:rsidRPr="00C25FFA">
        <w:rPr>
          <w:rStyle w:val="Hyperlink"/>
          <w:rFonts w:hint="cs"/>
          <w:color w:val="auto"/>
          <w:u w:val="none"/>
          <w:rtl/>
        </w:rPr>
        <w:t>تخص</w:t>
      </w:r>
      <w:r w:rsidRPr="00C25FFA">
        <w:rPr>
          <w:rStyle w:val="Hyperlink"/>
          <w:color w:val="auto"/>
          <w:u w:val="none"/>
          <w:rtl/>
        </w:rPr>
        <w:t xml:space="preserve"> </w:t>
      </w:r>
      <w:r w:rsidRPr="00C25FFA">
        <w:rPr>
          <w:rStyle w:val="Hyperlink"/>
          <w:rFonts w:hint="cs"/>
          <w:color w:val="auto"/>
          <w:u w:val="none"/>
          <w:rtl/>
        </w:rPr>
        <w:t>هذه</w:t>
      </w:r>
      <w:r w:rsidRPr="00C25FFA">
        <w:rPr>
          <w:rStyle w:val="Hyperlink"/>
          <w:color w:val="auto"/>
          <w:u w:val="none"/>
          <w:rtl/>
        </w:rPr>
        <w:t xml:space="preserve"> </w:t>
      </w:r>
      <w:r w:rsidRPr="00C25FFA">
        <w:rPr>
          <w:rStyle w:val="Hyperlink"/>
          <w:rFonts w:hint="cs"/>
          <w:color w:val="auto"/>
          <w:u w:val="none"/>
          <w:rtl/>
        </w:rPr>
        <w:t>الوثيقة</w:t>
      </w:r>
      <w:r w:rsidRPr="00C25FFA">
        <w:rPr>
          <w:rStyle w:val="Hyperlink"/>
          <w:webHidden/>
          <w:color w:val="auto"/>
          <w:u w:val="none"/>
        </w:rPr>
        <w:tab/>
      </w:r>
      <w:r w:rsidR="003F18AE" w:rsidRPr="00C25FFA">
        <w:rPr>
          <w:rStyle w:val="Hyperlink"/>
          <w:rFonts w:hint="cs"/>
          <w:webHidden/>
          <w:color w:val="auto"/>
          <w:u w:val="none"/>
          <w:rtl/>
        </w:rPr>
        <w:tab/>
      </w:r>
      <w:r w:rsidR="009D5FA1" w:rsidRPr="00C25FFA">
        <w:rPr>
          <w:rStyle w:val="Hyperlink"/>
          <w:webHidden/>
          <w:color w:val="auto"/>
          <w:u w:val="none"/>
        </w:rPr>
        <w:t>1</w:t>
      </w:r>
    </w:p>
    <w:p w:rsidR="002779FA" w:rsidRPr="00C25FFA" w:rsidRDefault="002779FA" w:rsidP="00B0014D">
      <w:pPr>
        <w:pStyle w:val="TOC1"/>
        <w:bidi/>
        <w:spacing w:line="192" w:lineRule="auto"/>
        <w:rPr>
          <w:rStyle w:val="Hyperlink"/>
          <w:color w:val="auto"/>
          <w:u w:val="none"/>
        </w:rPr>
      </w:pPr>
      <w:r w:rsidRPr="00C25FFA">
        <w:rPr>
          <w:rStyle w:val="Hyperlink"/>
          <w:color w:val="auto"/>
          <w:u w:val="none"/>
        </w:rPr>
        <w:t>3</w:t>
      </w:r>
      <w:r w:rsidRPr="00C25FFA">
        <w:rPr>
          <w:rStyle w:val="Hyperlink"/>
          <w:color w:val="auto"/>
          <w:u w:val="none"/>
        </w:rPr>
        <w:tab/>
      </w:r>
      <w:r w:rsidRPr="00C25FFA">
        <w:rPr>
          <w:rStyle w:val="Hyperlink"/>
          <w:rFonts w:hint="cs"/>
          <w:color w:val="auto"/>
          <w:u w:val="none"/>
          <w:rtl/>
        </w:rPr>
        <w:t>المبادئ</w:t>
      </w:r>
      <w:r w:rsidRPr="00C25FFA">
        <w:rPr>
          <w:rStyle w:val="Hyperlink"/>
          <w:color w:val="auto"/>
          <w:u w:val="none"/>
          <w:rtl/>
        </w:rPr>
        <w:t xml:space="preserve"> </w:t>
      </w:r>
      <w:r w:rsidRPr="00C25FFA">
        <w:rPr>
          <w:rStyle w:val="Hyperlink"/>
          <w:rFonts w:hint="cs"/>
          <w:color w:val="auto"/>
          <w:u w:val="none"/>
          <w:rtl/>
        </w:rPr>
        <w:t>الأساسية</w:t>
      </w:r>
      <w:r w:rsidRPr="00C25FFA">
        <w:rPr>
          <w:rStyle w:val="Hyperlink"/>
          <w:webHidden/>
          <w:color w:val="auto"/>
          <w:u w:val="none"/>
        </w:rPr>
        <w:tab/>
      </w:r>
      <w:r w:rsidR="003F18AE" w:rsidRPr="00C25FFA">
        <w:rPr>
          <w:rStyle w:val="Hyperlink"/>
          <w:rFonts w:hint="cs"/>
          <w:webHidden/>
          <w:color w:val="auto"/>
          <w:u w:val="none"/>
          <w:rtl/>
        </w:rPr>
        <w:tab/>
      </w:r>
      <w:r w:rsidR="009D5FA1" w:rsidRPr="00C25FFA">
        <w:rPr>
          <w:rStyle w:val="Hyperlink"/>
          <w:webHidden/>
          <w:color w:val="auto"/>
          <w:u w:val="none"/>
        </w:rPr>
        <w:t>2</w:t>
      </w:r>
    </w:p>
    <w:p w:rsidR="002779FA" w:rsidRPr="00C25FFA" w:rsidRDefault="002779FA" w:rsidP="00B0014D">
      <w:pPr>
        <w:pStyle w:val="TOC1"/>
        <w:tabs>
          <w:tab w:val="clear" w:pos="1275"/>
        </w:tabs>
        <w:bidi/>
        <w:spacing w:line="192" w:lineRule="auto"/>
        <w:ind w:left="1134"/>
        <w:rPr>
          <w:rStyle w:val="Hyperlink"/>
          <w:color w:val="auto"/>
          <w:u w:val="none"/>
        </w:rPr>
      </w:pPr>
      <w:r w:rsidRPr="00C25FFA">
        <w:rPr>
          <w:rStyle w:val="Hyperlink"/>
          <w:color w:val="auto"/>
          <w:u w:val="none"/>
        </w:rPr>
        <w:t>1.3</w:t>
      </w:r>
      <w:r w:rsidRPr="00C25FFA">
        <w:rPr>
          <w:rStyle w:val="Hyperlink"/>
          <w:color w:val="auto"/>
          <w:u w:val="none"/>
        </w:rPr>
        <w:tab/>
      </w:r>
      <w:r w:rsidRPr="00C25FFA">
        <w:rPr>
          <w:rStyle w:val="Hyperlink"/>
          <w:rFonts w:hint="cs"/>
          <w:color w:val="auto"/>
          <w:u w:val="none"/>
          <w:rtl/>
        </w:rPr>
        <w:t>المبادئ</w:t>
      </w:r>
      <w:r w:rsidRPr="00C25FFA">
        <w:rPr>
          <w:rStyle w:val="Hyperlink"/>
          <w:color w:val="auto"/>
          <w:u w:val="none"/>
          <w:rtl/>
        </w:rPr>
        <w:t xml:space="preserve"> </w:t>
      </w:r>
      <w:r w:rsidRPr="00C25FFA">
        <w:rPr>
          <w:rStyle w:val="Hyperlink"/>
          <w:rFonts w:hint="cs"/>
          <w:color w:val="auto"/>
          <w:u w:val="none"/>
          <w:rtl/>
        </w:rPr>
        <w:t>القانونية</w:t>
      </w:r>
      <w:r w:rsidRPr="00C25FFA">
        <w:rPr>
          <w:rStyle w:val="Hyperlink"/>
          <w:webHidden/>
          <w:color w:val="auto"/>
          <w:u w:val="none"/>
        </w:rPr>
        <w:tab/>
      </w:r>
      <w:r w:rsidR="003F18AE" w:rsidRPr="00C25FFA">
        <w:rPr>
          <w:rStyle w:val="Hyperlink"/>
          <w:rFonts w:hint="cs"/>
          <w:webHidden/>
          <w:color w:val="auto"/>
          <w:u w:val="none"/>
          <w:rtl/>
        </w:rPr>
        <w:tab/>
      </w:r>
      <w:r w:rsidR="009D5FA1" w:rsidRPr="00C25FFA">
        <w:rPr>
          <w:rStyle w:val="Hyperlink"/>
          <w:webHidden/>
          <w:color w:val="auto"/>
          <w:u w:val="none"/>
        </w:rPr>
        <w:t>2</w:t>
      </w:r>
    </w:p>
    <w:p w:rsidR="002779FA" w:rsidRPr="00C25FFA" w:rsidRDefault="002779FA" w:rsidP="00B0014D">
      <w:pPr>
        <w:pStyle w:val="TOC1"/>
        <w:tabs>
          <w:tab w:val="clear" w:pos="1275"/>
        </w:tabs>
        <w:bidi/>
        <w:spacing w:line="192" w:lineRule="auto"/>
        <w:ind w:left="1134"/>
        <w:rPr>
          <w:rStyle w:val="Hyperlink"/>
          <w:color w:val="auto"/>
          <w:u w:val="none"/>
        </w:rPr>
      </w:pPr>
      <w:r w:rsidRPr="00C25FFA">
        <w:rPr>
          <w:rStyle w:val="Hyperlink"/>
          <w:color w:val="auto"/>
          <w:u w:val="none"/>
        </w:rPr>
        <w:t>2.3</w:t>
      </w:r>
      <w:r w:rsidRPr="00C25FFA">
        <w:rPr>
          <w:rStyle w:val="Hyperlink"/>
          <w:color w:val="auto"/>
          <w:u w:val="none"/>
        </w:rPr>
        <w:tab/>
      </w:r>
      <w:r w:rsidRPr="00C25FFA">
        <w:rPr>
          <w:rStyle w:val="Hyperlink"/>
          <w:rFonts w:hint="cs"/>
          <w:color w:val="auto"/>
          <w:u w:val="none"/>
          <w:rtl/>
        </w:rPr>
        <w:t>المبادئ</w:t>
      </w:r>
      <w:r w:rsidRPr="00C25FFA">
        <w:rPr>
          <w:rStyle w:val="Hyperlink"/>
          <w:color w:val="auto"/>
          <w:u w:val="none"/>
          <w:rtl/>
        </w:rPr>
        <w:t xml:space="preserve"> </w:t>
      </w:r>
      <w:r w:rsidRPr="00C25FFA">
        <w:rPr>
          <w:rStyle w:val="Hyperlink"/>
          <w:rFonts w:hint="cs"/>
          <w:color w:val="auto"/>
          <w:u w:val="none"/>
          <w:rtl/>
        </w:rPr>
        <w:t>الاقتصادية</w:t>
      </w:r>
      <w:r w:rsidRPr="00C25FFA">
        <w:rPr>
          <w:rStyle w:val="Hyperlink"/>
          <w:webHidden/>
          <w:color w:val="auto"/>
          <w:u w:val="none"/>
        </w:rPr>
        <w:tab/>
      </w:r>
      <w:r w:rsidR="003F18AE" w:rsidRPr="00C25FFA">
        <w:rPr>
          <w:rStyle w:val="Hyperlink"/>
          <w:rFonts w:hint="cs"/>
          <w:webHidden/>
          <w:color w:val="auto"/>
          <w:u w:val="none"/>
          <w:rtl/>
        </w:rPr>
        <w:tab/>
      </w:r>
      <w:r w:rsidR="009D5FA1" w:rsidRPr="00C25FFA">
        <w:rPr>
          <w:rStyle w:val="Hyperlink"/>
          <w:webHidden/>
          <w:color w:val="auto"/>
          <w:u w:val="none"/>
        </w:rPr>
        <w:t>2</w:t>
      </w:r>
    </w:p>
    <w:p w:rsidR="002779FA" w:rsidRPr="00C25FFA" w:rsidRDefault="002779FA" w:rsidP="00B0014D">
      <w:pPr>
        <w:pStyle w:val="TOC1"/>
        <w:tabs>
          <w:tab w:val="clear" w:pos="1275"/>
        </w:tabs>
        <w:bidi/>
        <w:spacing w:line="192" w:lineRule="auto"/>
        <w:ind w:left="1134"/>
        <w:rPr>
          <w:rFonts w:asciiTheme="minorHAnsi" w:eastAsiaTheme="minorEastAsia" w:hAnsiTheme="minorHAnsi" w:cstheme="minorBidi"/>
          <w:szCs w:val="22"/>
          <w:lang w:val="en-US" w:eastAsia="zh-CN"/>
        </w:rPr>
      </w:pPr>
      <w:r w:rsidRPr="00C25FFA">
        <w:rPr>
          <w:rStyle w:val="Hyperlink"/>
          <w:color w:val="auto"/>
          <w:u w:val="none"/>
        </w:rPr>
        <w:t>3.3</w:t>
      </w:r>
      <w:r w:rsidRPr="00C25FFA">
        <w:rPr>
          <w:rStyle w:val="Hyperlink"/>
          <w:color w:val="auto"/>
          <w:u w:val="none"/>
        </w:rPr>
        <w:tab/>
      </w:r>
      <w:r w:rsidRPr="00C25FFA">
        <w:rPr>
          <w:rStyle w:val="Hyperlink"/>
          <w:rFonts w:hint="cs"/>
          <w:color w:val="auto"/>
          <w:u w:val="none"/>
          <w:rtl/>
        </w:rPr>
        <w:t>مبادئ</w:t>
      </w:r>
      <w:r w:rsidRPr="00C25FFA">
        <w:rPr>
          <w:rStyle w:val="Hyperlink"/>
          <w:color w:val="auto"/>
          <w:u w:val="none"/>
          <w:rtl/>
        </w:rPr>
        <w:t xml:space="preserve"> </w:t>
      </w:r>
      <w:r w:rsidRPr="00C25FFA">
        <w:rPr>
          <w:rStyle w:val="Hyperlink"/>
          <w:rFonts w:hint="cs"/>
          <w:color w:val="auto"/>
          <w:u w:val="none"/>
          <w:rtl/>
        </w:rPr>
        <w:t>ذات</w:t>
      </w:r>
      <w:r w:rsidRPr="00C25FFA">
        <w:rPr>
          <w:rStyle w:val="Hyperlink"/>
          <w:color w:val="auto"/>
          <w:u w:val="none"/>
          <w:rtl/>
        </w:rPr>
        <w:t xml:space="preserve"> </w:t>
      </w:r>
      <w:r w:rsidRPr="00C25FFA">
        <w:rPr>
          <w:rStyle w:val="Hyperlink"/>
          <w:rFonts w:hint="cs"/>
          <w:color w:val="auto"/>
          <w:u w:val="none"/>
          <w:rtl/>
        </w:rPr>
        <w:t>صلة</w:t>
      </w:r>
      <w:r w:rsidRPr="00C25FFA">
        <w:rPr>
          <w:rStyle w:val="Hyperlink"/>
          <w:color w:val="auto"/>
          <w:u w:val="none"/>
          <w:rtl/>
        </w:rPr>
        <w:t xml:space="preserve"> </w:t>
      </w:r>
      <w:r w:rsidRPr="00C25FFA">
        <w:rPr>
          <w:rStyle w:val="Hyperlink"/>
          <w:rFonts w:hint="cs"/>
          <w:color w:val="auto"/>
          <w:u w:val="none"/>
          <w:rtl/>
        </w:rPr>
        <w:t>بالواقع</w:t>
      </w:r>
      <w:r w:rsidRPr="00C25FFA">
        <w:rPr>
          <w:rStyle w:val="Hyperlink"/>
          <w:webHidden/>
          <w:color w:val="auto"/>
          <w:u w:val="none"/>
        </w:rPr>
        <w:tab/>
      </w:r>
      <w:r w:rsidR="003F18AE" w:rsidRPr="00C25FFA">
        <w:rPr>
          <w:rStyle w:val="Hyperlink"/>
          <w:rFonts w:hint="cs"/>
          <w:webHidden/>
          <w:color w:val="auto"/>
          <w:u w:val="none"/>
          <w:rtl/>
        </w:rPr>
        <w:tab/>
      </w:r>
      <w:r w:rsidR="009D5FA1" w:rsidRPr="00C25FFA">
        <w:rPr>
          <w:rStyle w:val="Hyperlink"/>
          <w:webHidden/>
          <w:color w:val="auto"/>
          <w:u w:val="none"/>
        </w:rPr>
        <w:t>3</w:t>
      </w:r>
    </w:p>
    <w:p w:rsidR="002779FA" w:rsidRPr="00C25FFA" w:rsidRDefault="002779FA" w:rsidP="00B0014D">
      <w:pPr>
        <w:pStyle w:val="TOC1"/>
        <w:bidi/>
        <w:spacing w:line="192" w:lineRule="auto"/>
        <w:rPr>
          <w:rFonts w:asciiTheme="minorHAnsi" w:eastAsiaTheme="minorEastAsia" w:hAnsiTheme="minorHAnsi" w:cstheme="minorBidi"/>
          <w:szCs w:val="22"/>
          <w:lang w:val="en-US" w:eastAsia="zh-CN"/>
        </w:rPr>
      </w:pPr>
      <w:r w:rsidRPr="00C25FFA">
        <w:rPr>
          <w:rStyle w:val="Hyperlink"/>
          <w:color w:val="auto"/>
          <w:u w:val="none"/>
          <w:lang w:bidi="ar-EG"/>
        </w:rPr>
        <w:t>4</w:t>
      </w:r>
      <w:r w:rsidRPr="00C25FFA">
        <w:rPr>
          <w:rFonts w:asciiTheme="minorHAnsi" w:eastAsiaTheme="minorEastAsia" w:hAnsiTheme="minorHAnsi" w:cstheme="minorBidi"/>
          <w:szCs w:val="22"/>
          <w:lang w:val="en-US" w:eastAsia="zh-CN"/>
        </w:rPr>
        <w:tab/>
      </w:r>
      <w:r w:rsidRPr="00C25FFA">
        <w:rPr>
          <w:rStyle w:val="Hyperlink"/>
          <w:rFonts w:hint="cs"/>
          <w:color w:val="auto"/>
          <w:u w:val="none"/>
          <w:rtl/>
          <w:lang w:bidi="ar-EG"/>
        </w:rPr>
        <w:t>الخطوط</w:t>
      </w:r>
      <w:r w:rsidRPr="00C25FFA">
        <w:rPr>
          <w:rStyle w:val="Hyperlink"/>
          <w:color w:val="auto"/>
          <w:u w:val="none"/>
          <w:rtl/>
          <w:lang w:bidi="ar-EG"/>
        </w:rPr>
        <w:t xml:space="preserve"> </w:t>
      </w:r>
      <w:r w:rsidRPr="00C25FFA">
        <w:rPr>
          <w:rStyle w:val="Hyperlink"/>
          <w:rFonts w:hint="cs"/>
          <w:color w:val="auto"/>
          <w:u w:val="none"/>
          <w:rtl/>
          <w:lang w:bidi="ar-EG"/>
        </w:rPr>
        <w:t>التوجيهية</w:t>
      </w:r>
      <w:r w:rsidRPr="00C25FFA">
        <w:rPr>
          <w:rStyle w:val="Hyperlink"/>
          <w:color w:val="auto"/>
          <w:u w:val="none"/>
          <w:rtl/>
          <w:lang w:bidi="ar-EG"/>
        </w:rPr>
        <w:t xml:space="preserve"> </w:t>
      </w:r>
      <w:r w:rsidRPr="00C25FFA">
        <w:rPr>
          <w:rStyle w:val="Hyperlink"/>
          <w:rFonts w:hint="cs"/>
          <w:color w:val="auto"/>
          <w:u w:val="none"/>
          <w:rtl/>
          <w:lang w:bidi="ar-EG"/>
        </w:rPr>
        <w:t>لتحديد</w:t>
      </w:r>
      <w:r w:rsidRPr="00C25FFA">
        <w:rPr>
          <w:rStyle w:val="Hyperlink"/>
          <w:color w:val="auto"/>
          <w:u w:val="none"/>
          <w:rtl/>
          <w:lang w:bidi="ar-EG"/>
        </w:rPr>
        <w:t xml:space="preserve"> </w:t>
      </w:r>
      <w:r w:rsidRPr="00C25FFA">
        <w:rPr>
          <w:rStyle w:val="Hyperlink"/>
          <w:rFonts w:hint="cs"/>
          <w:color w:val="auto"/>
          <w:u w:val="none"/>
          <w:rtl/>
          <w:lang w:bidi="ar-EG"/>
        </w:rPr>
        <w:t>الرسوم</w:t>
      </w:r>
      <w:r w:rsidRPr="00C25FFA">
        <w:rPr>
          <w:rStyle w:val="Hyperlink"/>
          <w:color w:val="auto"/>
          <w:u w:val="none"/>
          <w:rtl/>
          <w:lang w:bidi="ar-EG"/>
        </w:rPr>
        <w:t xml:space="preserve"> </w:t>
      </w:r>
      <w:r w:rsidRPr="00C25FFA">
        <w:rPr>
          <w:rStyle w:val="Hyperlink"/>
          <w:rFonts w:hint="cs"/>
          <w:color w:val="auto"/>
          <w:u w:val="none"/>
          <w:rtl/>
          <w:lang w:bidi="ar-EG"/>
        </w:rPr>
        <w:t>الإدارية</w:t>
      </w:r>
      <w:r w:rsidRPr="00C25FFA">
        <w:rPr>
          <w:rStyle w:val="Hyperlink"/>
          <w:color w:val="auto"/>
          <w:u w:val="none"/>
          <w:rtl/>
          <w:lang w:bidi="ar-EG"/>
        </w:rPr>
        <w:t xml:space="preserve"> (</w:t>
      </w:r>
      <w:r w:rsidRPr="00C25FFA">
        <w:rPr>
          <w:rStyle w:val="Hyperlink"/>
          <w:rFonts w:hint="cs"/>
          <w:color w:val="auto"/>
          <w:u w:val="none"/>
          <w:rtl/>
          <w:lang w:bidi="ar-EG"/>
        </w:rPr>
        <w:t>أو</w:t>
      </w:r>
      <w:r w:rsidRPr="00C25FFA">
        <w:rPr>
          <w:rStyle w:val="Hyperlink"/>
          <w:color w:val="auto"/>
          <w:u w:val="none"/>
          <w:rtl/>
          <w:lang w:bidi="ar-EG"/>
        </w:rPr>
        <w:t xml:space="preserve"> </w:t>
      </w:r>
      <w:r w:rsidRPr="00C25FFA">
        <w:rPr>
          <w:rStyle w:val="Hyperlink"/>
          <w:rFonts w:hint="cs"/>
          <w:color w:val="auto"/>
          <w:u w:val="none"/>
          <w:rtl/>
          <w:lang w:bidi="ar-EG"/>
        </w:rPr>
        <w:t>ضرائب</w:t>
      </w:r>
      <w:r w:rsidRPr="00C25FFA">
        <w:rPr>
          <w:rStyle w:val="Hyperlink"/>
          <w:color w:val="auto"/>
          <w:u w:val="none"/>
          <w:rtl/>
          <w:lang w:bidi="ar-EG"/>
        </w:rPr>
        <w:t xml:space="preserve"> </w:t>
      </w:r>
      <w:r w:rsidRPr="00C25FFA">
        <w:rPr>
          <w:rStyle w:val="Hyperlink"/>
          <w:rFonts w:hint="cs"/>
          <w:color w:val="auto"/>
          <w:u w:val="none"/>
          <w:rtl/>
          <w:lang w:bidi="ar-EG"/>
        </w:rPr>
        <w:t>إدارية</w:t>
      </w:r>
      <w:r w:rsidRPr="00C25FFA">
        <w:rPr>
          <w:rStyle w:val="Hyperlink"/>
          <w:color w:val="auto"/>
          <w:u w:val="none"/>
          <w:rtl/>
          <w:lang w:bidi="ar-EG"/>
        </w:rPr>
        <w:t>)</w:t>
      </w:r>
      <w:r w:rsidRPr="00C25FFA">
        <w:rPr>
          <w:webHidden/>
        </w:rPr>
        <w:tab/>
      </w:r>
      <w:r w:rsidR="003F18AE" w:rsidRPr="00C25FFA">
        <w:rPr>
          <w:rFonts w:hint="cs"/>
          <w:webHidden/>
          <w:rtl/>
        </w:rPr>
        <w:tab/>
      </w:r>
      <w:r w:rsidR="009D5FA1" w:rsidRPr="00C25FFA">
        <w:rPr>
          <w:webHidden/>
        </w:rPr>
        <w:t>3</w:t>
      </w:r>
    </w:p>
    <w:p w:rsidR="002779FA" w:rsidRPr="00C25FFA" w:rsidRDefault="002779FA" w:rsidP="00B0014D">
      <w:pPr>
        <w:pStyle w:val="TOC1"/>
        <w:tabs>
          <w:tab w:val="clear" w:pos="1275"/>
        </w:tabs>
        <w:bidi/>
        <w:spacing w:line="192" w:lineRule="auto"/>
        <w:ind w:left="1134"/>
        <w:rPr>
          <w:rStyle w:val="Hyperlink"/>
          <w:color w:val="auto"/>
          <w:u w:val="none"/>
        </w:rPr>
      </w:pPr>
      <w:r w:rsidRPr="00C25FFA">
        <w:rPr>
          <w:rStyle w:val="Hyperlink"/>
          <w:color w:val="auto"/>
          <w:u w:val="none"/>
        </w:rPr>
        <w:t>1.4</w:t>
      </w:r>
      <w:r w:rsidRPr="00C25FFA">
        <w:rPr>
          <w:rStyle w:val="Hyperlink"/>
          <w:color w:val="auto"/>
          <w:u w:val="none"/>
        </w:rPr>
        <w:tab/>
      </w:r>
      <w:r w:rsidRPr="00C25FFA">
        <w:rPr>
          <w:rStyle w:val="Hyperlink"/>
          <w:rFonts w:hint="cs"/>
          <w:color w:val="auto"/>
          <w:u w:val="none"/>
          <w:rtl/>
        </w:rPr>
        <w:t>ملاحظات</w:t>
      </w:r>
      <w:r w:rsidRPr="00C25FFA">
        <w:rPr>
          <w:rStyle w:val="Hyperlink"/>
          <w:color w:val="auto"/>
          <w:u w:val="none"/>
          <w:rtl/>
        </w:rPr>
        <w:t xml:space="preserve"> </w:t>
      </w:r>
      <w:r w:rsidRPr="00C25FFA">
        <w:rPr>
          <w:rStyle w:val="Hyperlink"/>
          <w:rFonts w:hint="cs"/>
          <w:color w:val="auto"/>
          <w:u w:val="none"/>
          <w:rtl/>
        </w:rPr>
        <w:t>واعتبارات</w:t>
      </w:r>
      <w:r w:rsidRPr="00C25FFA">
        <w:rPr>
          <w:rStyle w:val="Hyperlink"/>
          <w:color w:val="auto"/>
          <w:u w:val="none"/>
          <w:rtl/>
        </w:rPr>
        <w:t xml:space="preserve"> </w:t>
      </w:r>
      <w:r w:rsidRPr="00C25FFA">
        <w:rPr>
          <w:rStyle w:val="Hyperlink"/>
          <w:rFonts w:hint="cs"/>
          <w:color w:val="auto"/>
          <w:u w:val="none"/>
          <w:rtl/>
        </w:rPr>
        <w:t>عامة</w:t>
      </w:r>
      <w:r w:rsidRPr="00C25FFA">
        <w:rPr>
          <w:rStyle w:val="Hyperlink"/>
          <w:webHidden/>
          <w:color w:val="auto"/>
          <w:u w:val="none"/>
        </w:rPr>
        <w:tab/>
      </w:r>
      <w:r w:rsidR="003F18AE" w:rsidRPr="00C25FFA">
        <w:rPr>
          <w:rStyle w:val="Hyperlink"/>
          <w:rFonts w:hint="cs"/>
          <w:webHidden/>
          <w:color w:val="auto"/>
          <w:u w:val="none"/>
          <w:rtl/>
        </w:rPr>
        <w:tab/>
      </w:r>
      <w:r w:rsidR="009D5FA1" w:rsidRPr="00C25FFA">
        <w:rPr>
          <w:rStyle w:val="Hyperlink"/>
          <w:webHidden/>
          <w:color w:val="auto"/>
          <w:u w:val="none"/>
        </w:rPr>
        <w:t>3</w:t>
      </w:r>
    </w:p>
    <w:p w:rsidR="002779FA" w:rsidRPr="00C25FFA" w:rsidRDefault="002779FA" w:rsidP="00B0014D">
      <w:pPr>
        <w:pStyle w:val="TOC1"/>
        <w:tabs>
          <w:tab w:val="clear" w:pos="1275"/>
        </w:tabs>
        <w:bidi/>
        <w:spacing w:line="192" w:lineRule="auto"/>
        <w:ind w:left="1134"/>
        <w:rPr>
          <w:rStyle w:val="Hyperlink"/>
          <w:color w:val="auto"/>
          <w:u w:val="none"/>
        </w:rPr>
      </w:pPr>
      <w:r w:rsidRPr="00C25FFA">
        <w:rPr>
          <w:rStyle w:val="Hyperlink"/>
          <w:color w:val="auto"/>
          <w:u w:val="none"/>
        </w:rPr>
        <w:t>2.4</w:t>
      </w:r>
      <w:r w:rsidRPr="00C25FFA">
        <w:rPr>
          <w:rStyle w:val="Hyperlink"/>
          <w:color w:val="auto"/>
          <w:u w:val="none"/>
        </w:rPr>
        <w:tab/>
      </w:r>
      <w:r w:rsidRPr="00C25FFA">
        <w:rPr>
          <w:rStyle w:val="Hyperlink"/>
          <w:rFonts w:hint="cs"/>
          <w:color w:val="auto"/>
          <w:u w:val="none"/>
          <w:rtl/>
        </w:rPr>
        <w:t>قاعدة</w:t>
      </w:r>
      <w:r w:rsidRPr="00C25FFA">
        <w:rPr>
          <w:rStyle w:val="Hyperlink"/>
          <w:color w:val="auto"/>
          <w:u w:val="none"/>
          <w:rtl/>
        </w:rPr>
        <w:t xml:space="preserve"> </w:t>
      </w:r>
      <w:r w:rsidRPr="00C25FFA">
        <w:rPr>
          <w:rStyle w:val="Hyperlink"/>
          <w:rFonts w:hint="cs"/>
          <w:color w:val="auto"/>
          <w:u w:val="none"/>
          <w:rtl/>
        </w:rPr>
        <w:t>توزيع</w:t>
      </w:r>
      <w:r w:rsidRPr="00C25FFA">
        <w:rPr>
          <w:rStyle w:val="Hyperlink"/>
          <w:color w:val="auto"/>
          <w:u w:val="none"/>
          <w:rtl/>
        </w:rPr>
        <w:t xml:space="preserve"> </w:t>
      </w:r>
      <w:r w:rsidRPr="00C25FFA">
        <w:rPr>
          <w:rStyle w:val="Hyperlink"/>
          <w:rFonts w:hint="cs"/>
          <w:color w:val="auto"/>
          <w:u w:val="none"/>
          <w:rtl/>
        </w:rPr>
        <w:t>التكاليف</w:t>
      </w:r>
      <w:r w:rsidRPr="00C25FFA">
        <w:rPr>
          <w:rStyle w:val="Hyperlink"/>
          <w:color w:val="auto"/>
          <w:u w:val="none"/>
          <w:rtl/>
        </w:rPr>
        <w:t xml:space="preserve"> </w:t>
      </w:r>
      <w:r w:rsidRPr="00C25FFA">
        <w:rPr>
          <w:rStyle w:val="Hyperlink"/>
          <w:rFonts w:hint="cs"/>
          <w:color w:val="auto"/>
          <w:u w:val="none"/>
          <w:rtl/>
        </w:rPr>
        <w:t>الإدارية</w:t>
      </w:r>
      <w:r w:rsidRPr="00C25FFA">
        <w:rPr>
          <w:rStyle w:val="Hyperlink"/>
          <w:color w:val="auto"/>
          <w:u w:val="none"/>
          <w:rtl/>
        </w:rPr>
        <w:t xml:space="preserve"> - </w:t>
      </w:r>
      <w:r w:rsidRPr="00C25FFA">
        <w:rPr>
          <w:rStyle w:val="Hyperlink"/>
          <w:rFonts w:hint="cs"/>
          <w:color w:val="auto"/>
          <w:u w:val="none"/>
          <w:rtl/>
        </w:rPr>
        <w:t>المثال</w:t>
      </w:r>
      <w:r w:rsidRPr="00C25FFA">
        <w:rPr>
          <w:rStyle w:val="Hyperlink"/>
          <w:color w:val="auto"/>
          <w:u w:val="none"/>
          <w:rtl/>
        </w:rPr>
        <w:t xml:space="preserve"> </w:t>
      </w:r>
      <w:r w:rsidRPr="00C25FFA">
        <w:rPr>
          <w:rStyle w:val="Hyperlink"/>
          <w:color w:val="auto"/>
          <w:u w:val="none"/>
        </w:rPr>
        <w:t>1</w:t>
      </w:r>
      <w:r w:rsidRPr="00C25FFA">
        <w:rPr>
          <w:rStyle w:val="Hyperlink"/>
          <w:webHidden/>
          <w:color w:val="auto"/>
          <w:u w:val="none"/>
        </w:rPr>
        <w:tab/>
      </w:r>
      <w:r w:rsidR="003F18AE" w:rsidRPr="00C25FFA">
        <w:rPr>
          <w:rStyle w:val="Hyperlink"/>
          <w:rFonts w:hint="cs"/>
          <w:webHidden/>
          <w:color w:val="auto"/>
          <w:u w:val="none"/>
          <w:rtl/>
        </w:rPr>
        <w:tab/>
      </w:r>
      <w:r w:rsidR="009D5FA1" w:rsidRPr="00C25FFA">
        <w:rPr>
          <w:rStyle w:val="Hyperlink"/>
          <w:webHidden/>
          <w:color w:val="auto"/>
          <w:u w:val="none"/>
        </w:rPr>
        <w:t>4</w:t>
      </w:r>
    </w:p>
    <w:p w:rsidR="002779FA" w:rsidRPr="00C25FFA" w:rsidRDefault="002779FA" w:rsidP="00B0014D">
      <w:pPr>
        <w:pStyle w:val="TOC1"/>
        <w:tabs>
          <w:tab w:val="clear" w:pos="1275"/>
        </w:tabs>
        <w:bidi/>
        <w:spacing w:line="192" w:lineRule="auto"/>
        <w:ind w:left="1134"/>
        <w:rPr>
          <w:rFonts w:asciiTheme="minorHAnsi" w:eastAsiaTheme="minorEastAsia" w:hAnsiTheme="minorHAnsi" w:cstheme="minorBidi"/>
          <w:szCs w:val="22"/>
          <w:lang w:val="en-US" w:eastAsia="zh-CN"/>
        </w:rPr>
      </w:pPr>
      <w:r w:rsidRPr="00C25FFA">
        <w:rPr>
          <w:rStyle w:val="Hyperlink"/>
          <w:color w:val="auto"/>
          <w:u w:val="none"/>
        </w:rPr>
        <w:t>3.4</w:t>
      </w:r>
      <w:r w:rsidRPr="00C25FFA">
        <w:rPr>
          <w:rStyle w:val="Hyperlink"/>
          <w:color w:val="auto"/>
          <w:u w:val="none"/>
        </w:rPr>
        <w:tab/>
      </w:r>
      <w:r w:rsidRPr="00C25FFA">
        <w:rPr>
          <w:rStyle w:val="Hyperlink"/>
          <w:rFonts w:hint="cs"/>
          <w:color w:val="auto"/>
          <w:u w:val="none"/>
          <w:rtl/>
        </w:rPr>
        <w:t>قاعدة</w:t>
      </w:r>
      <w:r w:rsidRPr="00C25FFA">
        <w:rPr>
          <w:rStyle w:val="Hyperlink"/>
          <w:color w:val="auto"/>
          <w:u w:val="none"/>
          <w:rtl/>
        </w:rPr>
        <w:t xml:space="preserve"> </w:t>
      </w:r>
      <w:r w:rsidRPr="00C25FFA">
        <w:rPr>
          <w:rStyle w:val="Hyperlink"/>
          <w:rFonts w:hint="cs"/>
          <w:color w:val="auto"/>
          <w:u w:val="none"/>
          <w:rtl/>
        </w:rPr>
        <w:t>توزيع</w:t>
      </w:r>
      <w:r w:rsidRPr="00C25FFA">
        <w:rPr>
          <w:rStyle w:val="Hyperlink"/>
          <w:color w:val="auto"/>
          <w:u w:val="none"/>
          <w:rtl/>
        </w:rPr>
        <w:t xml:space="preserve"> </w:t>
      </w:r>
      <w:r w:rsidRPr="00C25FFA">
        <w:rPr>
          <w:rStyle w:val="Hyperlink"/>
          <w:rFonts w:hint="cs"/>
          <w:color w:val="auto"/>
          <w:u w:val="none"/>
          <w:rtl/>
        </w:rPr>
        <w:t>التكاليف</w:t>
      </w:r>
      <w:r w:rsidRPr="00C25FFA">
        <w:rPr>
          <w:rStyle w:val="Hyperlink"/>
          <w:color w:val="auto"/>
          <w:u w:val="none"/>
          <w:rtl/>
        </w:rPr>
        <w:t xml:space="preserve"> </w:t>
      </w:r>
      <w:r w:rsidRPr="00C25FFA">
        <w:rPr>
          <w:rStyle w:val="Hyperlink"/>
          <w:rFonts w:hint="cs"/>
          <w:color w:val="auto"/>
          <w:u w:val="none"/>
          <w:rtl/>
        </w:rPr>
        <w:t>الإدارية</w:t>
      </w:r>
      <w:r w:rsidRPr="00C25FFA">
        <w:rPr>
          <w:rStyle w:val="Hyperlink"/>
          <w:color w:val="auto"/>
          <w:u w:val="none"/>
          <w:rtl/>
        </w:rPr>
        <w:t xml:space="preserve"> - </w:t>
      </w:r>
      <w:r w:rsidRPr="00C25FFA">
        <w:rPr>
          <w:rStyle w:val="Hyperlink"/>
          <w:rFonts w:hint="cs"/>
          <w:color w:val="auto"/>
          <w:u w:val="none"/>
          <w:rtl/>
        </w:rPr>
        <w:t>المثال</w:t>
      </w:r>
      <w:r w:rsidRPr="00C25FFA">
        <w:rPr>
          <w:rStyle w:val="Hyperlink"/>
          <w:color w:val="auto"/>
          <w:u w:val="none"/>
          <w:rtl/>
        </w:rPr>
        <w:t xml:space="preserve"> </w:t>
      </w:r>
      <w:r w:rsidRPr="00C25FFA">
        <w:rPr>
          <w:rStyle w:val="Hyperlink"/>
          <w:color w:val="auto"/>
          <w:u w:val="none"/>
        </w:rPr>
        <w:t>2</w:t>
      </w:r>
      <w:r w:rsidRPr="00C25FFA">
        <w:rPr>
          <w:rStyle w:val="Hyperlink"/>
          <w:webHidden/>
          <w:color w:val="auto"/>
          <w:u w:val="none"/>
        </w:rPr>
        <w:tab/>
      </w:r>
      <w:r w:rsidR="003F18AE" w:rsidRPr="00C25FFA">
        <w:rPr>
          <w:rStyle w:val="Hyperlink"/>
          <w:rFonts w:hint="cs"/>
          <w:webHidden/>
          <w:color w:val="auto"/>
          <w:u w:val="none"/>
          <w:rtl/>
        </w:rPr>
        <w:tab/>
      </w:r>
      <w:r w:rsidR="009D5FA1" w:rsidRPr="00C25FFA">
        <w:rPr>
          <w:rStyle w:val="Hyperlink"/>
          <w:webHidden/>
          <w:color w:val="auto"/>
          <w:u w:val="none"/>
        </w:rPr>
        <w:t>4</w:t>
      </w:r>
    </w:p>
    <w:p w:rsidR="002779FA" w:rsidRPr="00C25FFA" w:rsidRDefault="002779FA" w:rsidP="00B0014D">
      <w:pPr>
        <w:pStyle w:val="TOC1"/>
        <w:bidi/>
        <w:spacing w:line="192" w:lineRule="auto"/>
        <w:rPr>
          <w:rFonts w:asciiTheme="minorHAnsi" w:eastAsiaTheme="minorEastAsia" w:hAnsiTheme="minorHAnsi" w:cstheme="minorBidi"/>
          <w:szCs w:val="22"/>
          <w:lang w:val="en-US" w:eastAsia="zh-CN"/>
        </w:rPr>
      </w:pPr>
      <w:r w:rsidRPr="00C25FFA">
        <w:rPr>
          <w:rStyle w:val="Hyperlink"/>
          <w:color w:val="auto"/>
          <w:u w:val="none"/>
          <w:lang w:bidi="ar-EG"/>
        </w:rPr>
        <w:t>5</w:t>
      </w:r>
      <w:r w:rsidRPr="00C25FFA">
        <w:rPr>
          <w:rFonts w:asciiTheme="minorHAnsi" w:eastAsiaTheme="minorEastAsia" w:hAnsiTheme="minorHAnsi" w:cstheme="minorBidi"/>
          <w:szCs w:val="22"/>
          <w:lang w:val="en-US" w:eastAsia="zh-CN"/>
        </w:rPr>
        <w:tab/>
      </w:r>
      <w:r w:rsidRPr="00C25FFA">
        <w:rPr>
          <w:rStyle w:val="Hyperlink"/>
          <w:rFonts w:hint="cs"/>
          <w:color w:val="auto"/>
          <w:u w:val="none"/>
          <w:rtl/>
          <w:lang w:bidi="ar-EG"/>
        </w:rPr>
        <w:t>الخطوط</w:t>
      </w:r>
      <w:r w:rsidRPr="00C25FFA">
        <w:rPr>
          <w:rStyle w:val="Hyperlink"/>
          <w:color w:val="auto"/>
          <w:u w:val="none"/>
          <w:rtl/>
          <w:lang w:bidi="ar-EG"/>
        </w:rPr>
        <w:t xml:space="preserve"> </w:t>
      </w:r>
      <w:r w:rsidRPr="00C25FFA">
        <w:rPr>
          <w:rStyle w:val="Hyperlink"/>
          <w:rFonts w:hint="cs"/>
          <w:color w:val="auto"/>
          <w:u w:val="none"/>
          <w:rtl/>
          <w:lang w:bidi="ar-EG"/>
        </w:rPr>
        <w:t>التوجيهية</w:t>
      </w:r>
      <w:r w:rsidRPr="00C25FFA">
        <w:rPr>
          <w:rStyle w:val="Hyperlink"/>
          <w:color w:val="auto"/>
          <w:u w:val="none"/>
          <w:rtl/>
          <w:lang w:bidi="ar-EG"/>
        </w:rPr>
        <w:t xml:space="preserve"> </w:t>
      </w:r>
      <w:r w:rsidRPr="00C25FFA">
        <w:rPr>
          <w:rStyle w:val="Hyperlink"/>
          <w:rFonts w:hint="cs"/>
          <w:color w:val="auto"/>
          <w:u w:val="none"/>
          <w:rtl/>
          <w:lang w:bidi="ar-EG"/>
        </w:rPr>
        <w:t>لتحديد</w:t>
      </w:r>
      <w:r w:rsidRPr="00C25FFA">
        <w:rPr>
          <w:rStyle w:val="Hyperlink"/>
          <w:color w:val="auto"/>
          <w:u w:val="none"/>
          <w:rtl/>
          <w:lang w:bidi="ar-EG"/>
        </w:rPr>
        <w:t xml:space="preserve"> </w:t>
      </w:r>
      <w:r w:rsidRPr="00C25FFA">
        <w:rPr>
          <w:rStyle w:val="Hyperlink"/>
          <w:rFonts w:hint="cs"/>
          <w:color w:val="auto"/>
          <w:u w:val="none"/>
          <w:rtl/>
          <w:lang w:bidi="ar-EG"/>
        </w:rPr>
        <w:t>رسوم</w:t>
      </w:r>
      <w:r w:rsidRPr="00C25FFA">
        <w:rPr>
          <w:rStyle w:val="Hyperlink"/>
          <w:color w:val="auto"/>
          <w:u w:val="none"/>
          <w:rtl/>
          <w:lang w:bidi="ar-EG"/>
        </w:rPr>
        <w:t xml:space="preserve"> </w:t>
      </w:r>
      <w:r w:rsidRPr="00C25FFA">
        <w:rPr>
          <w:rStyle w:val="Hyperlink"/>
          <w:rFonts w:hint="cs"/>
          <w:color w:val="auto"/>
          <w:u w:val="none"/>
          <w:rtl/>
          <w:lang w:bidi="ar-EG"/>
        </w:rPr>
        <w:t>الطيف</w:t>
      </w:r>
      <w:r w:rsidRPr="00C25FFA">
        <w:rPr>
          <w:webHidden/>
        </w:rPr>
        <w:tab/>
      </w:r>
      <w:r w:rsidR="003F18AE" w:rsidRPr="00C25FFA">
        <w:rPr>
          <w:rFonts w:hint="cs"/>
          <w:webHidden/>
          <w:rtl/>
        </w:rPr>
        <w:tab/>
      </w:r>
      <w:r w:rsidR="009D5FA1" w:rsidRPr="00C25FFA">
        <w:rPr>
          <w:webHidden/>
        </w:rPr>
        <w:t>5</w:t>
      </w:r>
    </w:p>
    <w:p w:rsidR="002779FA" w:rsidRPr="00207849" w:rsidRDefault="002779FA" w:rsidP="00B0014D">
      <w:pPr>
        <w:pStyle w:val="TOC1"/>
        <w:tabs>
          <w:tab w:val="clear" w:pos="1275"/>
        </w:tabs>
        <w:bidi/>
        <w:spacing w:line="192" w:lineRule="auto"/>
        <w:ind w:left="1134"/>
        <w:rPr>
          <w:rStyle w:val="Hyperlink"/>
          <w:color w:val="auto"/>
          <w:u w:val="none"/>
        </w:rPr>
      </w:pPr>
      <w:r w:rsidRPr="00C25FFA">
        <w:rPr>
          <w:rStyle w:val="Hyperlink"/>
          <w:color w:val="auto"/>
          <w:u w:val="none"/>
        </w:rPr>
        <w:t>1.5</w:t>
      </w:r>
      <w:r w:rsidRPr="0070267E">
        <w:rPr>
          <w:rStyle w:val="Hyperlink"/>
          <w:color w:val="auto"/>
          <w:u w:val="none"/>
        </w:rPr>
        <w:tab/>
      </w:r>
      <w:r w:rsidRPr="00C25FFA">
        <w:rPr>
          <w:rStyle w:val="Hyperlink"/>
          <w:rFonts w:hint="cs"/>
          <w:color w:val="auto"/>
          <w:u w:val="none"/>
          <w:rtl/>
        </w:rPr>
        <w:t>ملاحظات</w:t>
      </w:r>
      <w:r w:rsidRPr="00C25FFA">
        <w:rPr>
          <w:rStyle w:val="Hyperlink"/>
          <w:color w:val="auto"/>
          <w:u w:val="none"/>
          <w:rtl/>
        </w:rPr>
        <w:t xml:space="preserve"> </w:t>
      </w:r>
      <w:r w:rsidRPr="00C25FFA">
        <w:rPr>
          <w:rStyle w:val="Hyperlink"/>
          <w:rFonts w:hint="cs"/>
          <w:color w:val="auto"/>
          <w:u w:val="none"/>
          <w:rtl/>
        </w:rPr>
        <w:t>واعتبارات</w:t>
      </w:r>
      <w:r w:rsidRPr="00C25FFA">
        <w:rPr>
          <w:rStyle w:val="Hyperlink"/>
          <w:color w:val="auto"/>
          <w:u w:val="none"/>
          <w:rtl/>
        </w:rPr>
        <w:t xml:space="preserve"> </w:t>
      </w:r>
      <w:r w:rsidRPr="00C25FFA">
        <w:rPr>
          <w:rStyle w:val="Hyperlink"/>
          <w:rFonts w:hint="cs"/>
          <w:color w:val="auto"/>
          <w:u w:val="none"/>
          <w:rtl/>
        </w:rPr>
        <w:t>عامة</w:t>
      </w:r>
      <w:r w:rsidRPr="00207849">
        <w:rPr>
          <w:rStyle w:val="Hyperlink"/>
          <w:webHidden/>
          <w:color w:val="auto"/>
          <w:u w:val="none"/>
        </w:rPr>
        <w:tab/>
      </w:r>
      <w:r w:rsidR="003F18AE" w:rsidRPr="00207849">
        <w:rPr>
          <w:rStyle w:val="Hyperlink"/>
          <w:rFonts w:hint="cs"/>
          <w:webHidden/>
          <w:color w:val="auto"/>
          <w:u w:val="none"/>
          <w:rtl/>
        </w:rPr>
        <w:tab/>
      </w:r>
      <w:r w:rsidR="009D5FA1" w:rsidRPr="00207849">
        <w:rPr>
          <w:rStyle w:val="Hyperlink"/>
          <w:webHidden/>
          <w:color w:val="auto"/>
          <w:u w:val="none"/>
        </w:rPr>
        <w:t>5</w:t>
      </w:r>
    </w:p>
    <w:p w:rsidR="002779FA" w:rsidRPr="00207849" w:rsidRDefault="002779FA" w:rsidP="00B0014D">
      <w:pPr>
        <w:pStyle w:val="TOC1"/>
        <w:tabs>
          <w:tab w:val="clear" w:pos="1275"/>
        </w:tabs>
        <w:bidi/>
        <w:spacing w:line="192" w:lineRule="auto"/>
        <w:ind w:left="1134"/>
        <w:rPr>
          <w:rStyle w:val="Hyperlink"/>
          <w:color w:val="auto"/>
          <w:u w:val="none"/>
        </w:rPr>
      </w:pPr>
      <w:r w:rsidRPr="00C25FFA">
        <w:rPr>
          <w:rStyle w:val="Hyperlink"/>
          <w:color w:val="auto"/>
          <w:u w:val="none"/>
        </w:rPr>
        <w:t>2.5</w:t>
      </w:r>
      <w:r w:rsidRPr="00207849">
        <w:rPr>
          <w:rStyle w:val="Hyperlink"/>
          <w:color w:val="auto"/>
          <w:u w:val="none"/>
        </w:rPr>
        <w:tab/>
      </w:r>
      <w:r w:rsidRPr="00C25FFA">
        <w:rPr>
          <w:rStyle w:val="Hyperlink"/>
          <w:rFonts w:hint="cs"/>
          <w:color w:val="auto"/>
          <w:u w:val="none"/>
          <w:rtl/>
        </w:rPr>
        <w:t>رسوم</w:t>
      </w:r>
      <w:r w:rsidRPr="00C25FFA">
        <w:rPr>
          <w:rStyle w:val="Hyperlink"/>
          <w:color w:val="auto"/>
          <w:u w:val="none"/>
          <w:rtl/>
        </w:rPr>
        <w:t xml:space="preserve"> </w:t>
      </w:r>
      <w:r w:rsidRPr="00C25FFA">
        <w:rPr>
          <w:rStyle w:val="Hyperlink"/>
          <w:rFonts w:hint="cs"/>
          <w:color w:val="auto"/>
          <w:u w:val="none"/>
          <w:rtl/>
        </w:rPr>
        <w:t>الطيف</w:t>
      </w:r>
      <w:r w:rsidRPr="00C25FFA">
        <w:rPr>
          <w:rStyle w:val="Hyperlink"/>
          <w:color w:val="auto"/>
          <w:u w:val="none"/>
          <w:rtl/>
        </w:rPr>
        <w:t xml:space="preserve"> </w:t>
      </w:r>
      <w:r w:rsidRPr="00C25FFA">
        <w:rPr>
          <w:rStyle w:val="Hyperlink"/>
          <w:rFonts w:hint="cs"/>
          <w:color w:val="auto"/>
          <w:u w:val="none"/>
          <w:rtl/>
        </w:rPr>
        <w:t>المتعلقة</w:t>
      </w:r>
      <w:r w:rsidRPr="00C25FFA">
        <w:rPr>
          <w:rStyle w:val="Hyperlink"/>
          <w:color w:val="auto"/>
          <w:u w:val="none"/>
          <w:rtl/>
        </w:rPr>
        <w:t xml:space="preserve"> </w:t>
      </w:r>
      <w:r w:rsidRPr="00C25FFA">
        <w:rPr>
          <w:rStyle w:val="Hyperlink"/>
          <w:rFonts w:hint="cs"/>
          <w:color w:val="auto"/>
          <w:u w:val="none"/>
          <w:rtl/>
        </w:rPr>
        <w:t>بالترددات</w:t>
      </w:r>
      <w:r w:rsidRPr="00C25FFA">
        <w:rPr>
          <w:rStyle w:val="Hyperlink"/>
          <w:color w:val="auto"/>
          <w:u w:val="none"/>
          <w:rtl/>
        </w:rPr>
        <w:t xml:space="preserve"> </w:t>
      </w:r>
      <w:r w:rsidRPr="00C25FFA">
        <w:rPr>
          <w:rStyle w:val="Hyperlink"/>
          <w:rFonts w:hint="cs"/>
          <w:color w:val="auto"/>
          <w:u w:val="none"/>
          <w:rtl/>
        </w:rPr>
        <w:t>المكرسة</w:t>
      </w:r>
      <w:r w:rsidRPr="00C25FFA">
        <w:rPr>
          <w:rStyle w:val="Hyperlink"/>
          <w:color w:val="auto"/>
          <w:u w:val="none"/>
          <w:rtl/>
        </w:rPr>
        <w:t xml:space="preserve"> </w:t>
      </w:r>
      <w:r w:rsidRPr="00C25FFA">
        <w:rPr>
          <w:rStyle w:val="Hyperlink"/>
          <w:rFonts w:hint="cs"/>
          <w:color w:val="auto"/>
          <w:u w:val="none"/>
          <w:rtl/>
        </w:rPr>
        <w:t>لاحتياجات</w:t>
      </w:r>
      <w:r w:rsidRPr="00C25FFA">
        <w:rPr>
          <w:rStyle w:val="Hyperlink"/>
          <w:color w:val="auto"/>
          <w:u w:val="none"/>
          <w:rtl/>
        </w:rPr>
        <w:t xml:space="preserve"> </w:t>
      </w:r>
      <w:r w:rsidRPr="00C25FFA">
        <w:rPr>
          <w:rStyle w:val="Hyperlink"/>
          <w:rFonts w:hint="cs"/>
          <w:color w:val="auto"/>
          <w:u w:val="none"/>
          <w:rtl/>
        </w:rPr>
        <w:t>المستعملين</w:t>
      </w:r>
      <w:r w:rsidRPr="00C25FFA">
        <w:rPr>
          <w:rStyle w:val="Hyperlink"/>
          <w:color w:val="auto"/>
          <w:u w:val="none"/>
          <w:rtl/>
        </w:rPr>
        <w:t xml:space="preserve"> </w:t>
      </w:r>
      <w:r w:rsidRPr="00C25FFA">
        <w:rPr>
          <w:rStyle w:val="Hyperlink"/>
          <w:rFonts w:hint="cs"/>
          <w:color w:val="auto"/>
          <w:u w:val="none"/>
          <w:rtl/>
        </w:rPr>
        <w:t>الخاصة</w:t>
      </w:r>
      <w:r w:rsidRPr="00207849">
        <w:rPr>
          <w:rStyle w:val="Hyperlink"/>
          <w:webHidden/>
          <w:color w:val="auto"/>
          <w:u w:val="none"/>
        </w:rPr>
        <w:tab/>
      </w:r>
      <w:r w:rsidR="003F18AE" w:rsidRPr="00207849">
        <w:rPr>
          <w:rStyle w:val="Hyperlink"/>
          <w:rFonts w:hint="cs"/>
          <w:webHidden/>
          <w:color w:val="auto"/>
          <w:u w:val="none"/>
          <w:rtl/>
        </w:rPr>
        <w:tab/>
      </w:r>
      <w:r w:rsidR="009D5FA1" w:rsidRPr="00207849">
        <w:rPr>
          <w:rStyle w:val="Hyperlink"/>
          <w:webHidden/>
          <w:color w:val="auto"/>
          <w:u w:val="none"/>
        </w:rPr>
        <w:t>6</w:t>
      </w:r>
    </w:p>
    <w:p w:rsidR="002779FA" w:rsidRPr="00C25FFA" w:rsidRDefault="002779FA" w:rsidP="00B0014D">
      <w:pPr>
        <w:pStyle w:val="TOC1"/>
        <w:tabs>
          <w:tab w:val="clear" w:pos="1275"/>
        </w:tabs>
        <w:bidi/>
        <w:spacing w:line="192" w:lineRule="auto"/>
        <w:ind w:left="1134"/>
        <w:rPr>
          <w:rFonts w:asciiTheme="minorHAnsi" w:eastAsiaTheme="minorEastAsia" w:hAnsiTheme="minorHAnsi" w:cstheme="minorBidi"/>
          <w:szCs w:val="22"/>
          <w:lang w:val="en-US" w:eastAsia="zh-CN"/>
        </w:rPr>
      </w:pPr>
      <w:r w:rsidRPr="00C25FFA">
        <w:rPr>
          <w:rStyle w:val="Hyperlink"/>
          <w:color w:val="auto"/>
          <w:u w:val="none"/>
        </w:rPr>
        <w:t>3.5</w:t>
      </w:r>
      <w:r w:rsidRPr="00207849">
        <w:rPr>
          <w:rStyle w:val="Hyperlink"/>
          <w:color w:val="auto"/>
          <w:u w:val="none"/>
        </w:rPr>
        <w:tab/>
      </w:r>
      <w:r w:rsidRPr="00C25FFA">
        <w:rPr>
          <w:rStyle w:val="Hyperlink"/>
          <w:rFonts w:hint="cs"/>
          <w:color w:val="auto"/>
          <w:u w:val="none"/>
          <w:rtl/>
        </w:rPr>
        <w:t>رسوم</w:t>
      </w:r>
      <w:r w:rsidRPr="00C25FFA">
        <w:rPr>
          <w:rStyle w:val="Hyperlink"/>
          <w:color w:val="auto"/>
          <w:u w:val="none"/>
          <w:rtl/>
        </w:rPr>
        <w:t xml:space="preserve"> </w:t>
      </w:r>
      <w:r w:rsidRPr="00C25FFA">
        <w:rPr>
          <w:rStyle w:val="Hyperlink"/>
          <w:rFonts w:hint="cs"/>
          <w:color w:val="auto"/>
          <w:u w:val="none"/>
          <w:rtl/>
        </w:rPr>
        <w:t>الط</w:t>
      </w:r>
      <w:r w:rsidRPr="00C25FFA">
        <w:rPr>
          <w:rStyle w:val="Hyperlink"/>
          <w:rFonts w:hint="cs"/>
          <w:color w:val="auto"/>
          <w:u w:val="none"/>
          <w:rtl/>
          <w:lang w:bidi="ar-EG"/>
        </w:rPr>
        <w:t>يف</w:t>
      </w:r>
      <w:r w:rsidRPr="00C25FFA">
        <w:rPr>
          <w:rStyle w:val="Hyperlink"/>
          <w:color w:val="auto"/>
          <w:u w:val="none"/>
          <w:rtl/>
          <w:lang w:bidi="ar-EG"/>
        </w:rPr>
        <w:t xml:space="preserve"> </w:t>
      </w:r>
      <w:r w:rsidRPr="00C25FFA">
        <w:rPr>
          <w:rStyle w:val="Hyperlink"/>
          <w:rFonts w:hint="cs"/>
          <w:color w:val="auto"/>
          <w:u w:val="none"/>
          <w:rtl/>
          <w:lang w:bidi="ar-EG"/>
        </w:rPr>
        <w:t>المتصلة</w:t>
      </w:r>
      <w:r w:rsidRPr="00C25FFA">
        <w:rPr>
          <w:rStyle w:val="Hyperlink"/>
          <w:color w:val="auto"/>
          <w:u w:val="none"/>
          <w:rtl/>
          <w:lang w:bidi="ar-EG"/>
        </w:rPr>
        <w:t xml:space="preserve"> </w:t>
      </w:r>
      <w:r w:rsidRPr="00C25FFA">
        <w:rPr>
          <w:rStyle w:val="Hyperlink"/>
          <w:rFonts w:hint="cs"/>
          <w:color w:val="auto"/>
          <w:u w:val="none"/>
          <w:rtl/>
          <w:lang w:bidi="ar-EG"/>
        </w:rPr>
        <w:t>بالترددات</w:t>
      </w:r>
      <w:r w:rsidRPr="00C25FFA">
        <w:rPr>
          <w:rStyle w:val="Hyperlink"/>
          <w:color w:val="auto"/>
          <w:u w:val="none"/>
          <w:rtl/>
          <w:lang w:bidi="ar-EG"/>
        </w:rPr>
        <w:t xml:space="preserve"> </w:t>
      </w:r>
      <w:r w:rsidRPr="00C25FFA">
        <w:rPr>
          <w:rStyle w:val="Hyperlink"/>
          <w:rFonts w:hint="cs"/>
          <w:color w:val="auto"/>
          <w:u w:val="none"/>
          <w:rtl/>
          <w:lang w:bidi="ar-EG"/>
        </w:rPr>
        <w:t>المستعملة</w:t>
      </w:r>
      <w:r w:rsidRPr="00C25FFA">
        <w:rPr>
          <w:rStyle w:val="Hyperlink"/>
          <w:color w:val="auto"/>
          <w:u w:val="none"/>
          <w:rtl/>
          <w:lang w:bidi="ar-EG"/>
        </w:rPr>
        <w:t xml:space="preserve"> </w:t>
      </w:r>
      <w:r w:rsidRPr="00C25FFA">
        <w:rPr>
          <w:rStyle w:val="Hyperlink"/>
          <w:rFonts w:hint="cs"/>
          <w:color w:val="auto"/>
          <w:u w:val="none"/>
          <w:rtl/>
          <w:lang w:bidi="ar-EG"/>
        </w:rPr>
        <w:t>لتقديم</w:t>
      </w:r>
      <w:r w:rsidRPr="00C25FFA">
        <w:rPr>
          <w:rStyle w:val="Hyperlink"/>
          <w:color w:val="auto"/>
          <w:u w:val="none"/>
          <w:rtl/>
          <w:lang w:bidi="ar-EG"/>
        </w:rPr>
        <w:t xml:space="preserve"> </w:t>
      </w:r>
      <w:r w:rsidRPr="00C25FFA">
        <w:rPr>
          <w:rStyle w:val="Hyperlink"/>
          <w:rFonts w:hint="cs"/>
          <w:color w:val="auto"/>
          <w:u w:val="none"/>
          <w:rtl/>
          <w:lang w:bidi="ar-EG"/>
        </w:rPr>
        <w:t>خدمات</w:t>
      </w:r>
      <w:r w:rsidRPr="00C25FFA">
        <w:rPr>
          <w:rStyle w:val="Hyperlink"/>
          <w:color w:val="auto"/>
          <w:u w:val="none"/>
          <w:rtl/>
          <w:lang w:bidi="ar-EG"/>
        </w:rPr>
        <w:t xml:space="preserve"> </w:t>
      </w:r>
      <w:r w:rsidRPr="00C25FFA">
        <w:rPr>
          <w:rStyle w:val="Hyperlink"/>
          <w:rFonts w:hint="cs"/>
          <w:color w:val="auto"/>
          <w:u w:val="none"/>
          <w:rtl/>
          <w:lang w:bidi="ar-EG"/>
        </w:rPr>
        <w:t>أو</w:t>
      </w:r>
      <w:r w:rsidRPr="00C25FFA">
        <w:rPr>
          <w:rStyle w:val="Hyperlink"/>
          <w:color w:val="auto"/>
          <w:u w:val="none"/>
          <w:rtl/>
          <w:lang w:bidi="ar-EG"/>
        </w:rPr>
        <w:t xml:space="preserve"> </w:t>
      </w:r>
      <w:r w:rsidRPr="00C25FFA">
        <w:rPr>
          <w:rStyle w:val="Hyperlink"/>
          <w:rFonts w:hint="cs"/>
          <w:color w:val="auto"/>
          <w:u w:val="none"/>
          <w:rtl/>
          <w:lang w:bidi="ar-EG"/>
        </w:rPr>
        <w:t>بيعها</w:t>
      </w:r>
      <w:r w:rsidRPr="00C25FFA">
        <w:rPr>
          <w:rStyle w:val="Hyperlink"/>
          <w:color w:val="auto"/>
          <w:u w:val="none"/>
          <w:rtl/>
          <w:lang w:bidi="ar-EG"/>
        </w:rPr>
        <w:t xml:space="preserve"> </w:t>
      </w:r>
      <w:r w:rsidRPr="00C25FFA">
        <w:rPr>
          <w:rStyle w:val="Hyperlink"/>
          <w:rFonts w:hint="cs"/>
          <w:color w:val="auto"/>
          <w:u w:val="none"/>
          <w:rtl/>
          <w:lang w:bidi="ar-EG"/>
        </w:rPr>
        <w:t>في</w:t>
      </w:r>
      <w:r w:rsidRPr="00C25FFA">
        <w:rPr>
          <w:rStyle w:val="Hyperlink"/>
          <w:color w:val="auto"/>
          <w:u w:val="none"/>
          <w:rtl/>
          <w:lang w:bidi="ar-EG"/>
        </w:rPr>
        <w:t xml:space="preserve"> </w:t>
      </w:r>
      <w:r w:rsidRPr="00C25FFA">
        <w:rPr>
          <w:rStyle w:val="Hyperlink"/>
          <w:rFonts w:hint="cs"/>
          <w:color w:val="auto"/>
          <w:u w:val="none"/>
          <w:rtl/>
          <w:lang w:bidi="ar-EG"/>
        </w:rPr>
        <w:t>سوق</w:t>
      </w:r>
      <w:r w:rsidRPr="00C25FFA">
        <w:rPr>
          <w:rStyle w:val="Hyperlink"/>
          <w:color w:val="auto"/>
          <w:u w:val="none"/>
          <w:rtl/>
          <w:lang w:bidi="ar-EG"/>
        </w:rPr>
        <w:t xml:space="preserve"> </w:t>
      </w:r>
      <w:r w:rsidRPr="00C25FFA">
        <w:rPr>
          <w:rStyle w:val="Hyperlink"/>
          <w:rFonts w:hint="cs"/>
          <w:color w:val="auto"/>
          <w:u w:val="none"/>
          <w:rtl/>
          <w:lang w:bidi="ar-EG"/>
        </w:rPr>
        <w:t>استهلاكية</w:t>
      </w:r>
      <w:r w:rsidRPr="00C25FFA">
        <w:rPr>
          <w:webHidden/>
        </w:rPr>
        <w:tab/>
      </w:r>
      <w:r w:rsidR="003F18AE" w:rsidRPr="00C25FFA">
        <w:rPr>
          <w:rFonts w:hint="cs"/>
          <w:webHidden/>
          <w:rtl/>
        </w:rPr>
        <w:tab/>
      </w:r>
      <w:r w:rsidR="009D5FA1" w:rsidRPr="00C25FFA">
        <w:rPr>
          <w:webHidden/>
        </w:rPr>
        <w:t>8</w:t>
      </w:r>
    </w:p>
    <w:p w:rsidR="002779FA" w:rsidRPr="00C25FFA" w:rsidRDefault="002779FA" w:rsidP="00B0014D">
      <w:pPr>
        <w:pStyle w:val="TOC1"/>
        <w:bidi/>
        <w:spacing w:line="192" w:lineRule="auto"/>
        <w:rPr>
          <w:rFonts w:asciiTheme="minorHAnsi" w:eastAsiaTheme="minorEastAsia" w:hAnsiTheme="minorHAnsi" w:cstheme="minorBidi"/>
          <w:szCs w:val="22"/>
          <w:lang w:val="en-US" w:eastAsia="zh-CN"/>
        </w:rPr>
      </w:pPr>
      <w:r w:rsidRPr="00C25FFA">
        <w:rPr>
          <w:rStyle w:val="Hyperlink"/>
          <w:color w:val="auto"/>
          <w:u w:val="none"/>
          <w:lang w:bidi="ar-EG"/>
        </w:rPr>
        <w:t>6</w:t>
      </w:r>
      <w:r w:rsidRPr="00C25FFA">
        <w:rPr>
          <w:rFonts w:asciiTheme="minorHAnsi" w:eastAsiaTheme="minorEastAsia" w:hAnsiTheme="minorHAnsi" w:cstheme="minorBidi"/>
          <w:szCs w:val="22"/>
          <w:lang w:val="en-US" w:eastAsia="zh-CN"/>
        </w:rPr>
        <w:tab/>
      </w:r>
      <w:r w:rsidRPr="00C25FFA">
        <w:rPr>
          <w:rStyle w:val="Hyperlink"/>
          <w:rFonts w:hint="cs"/>
          <w:color w:val="auto"/>
          <w:u w:val="none"/>
          <w:rtl/>
          <w:lang w:bidi="ar-EG"/>
        </w:rPr>
        <w:t>توصيات</w:t>
      </w:r>
      <w:r w:rsidRPr="00C25FFA">
        <w:rPr>
          <w:rStyle w:val="Hyperlink"/>
          <w:color w:val="auto"/>
          <w:u w:val="none"/>
          <w:rtl/>
          <w:lang w:bidi="ar-EG"/>
        </w:rPr>
        <w:t xml:space="preserve"> </w:t>
      </w:r>
      <w:r w:rsidRPr="00C25FFA">
        <w:rPr>
          <w:rStyle w:val="Hyperlink"/>
          <w:rFonts w:hint="cs"/>
          <w:color w:val="auto"/>
          <w:u w:val="none"/>
          <w:rtl/>
          <w:lang w:bidi="ar-EG"/>
        </w:rPr>
        <w:t>للمقارنة</w:t>
      </w:r>
      <w:r w:rsidRPr="00C25FFA">
        <w:rPr>
          <w:rStyle w:val="Hyperlink"/>
          <w:color w:val="auto"/>
          <w:u w:val="none"/>
          <w:rtl/>
          <w:lang w:bidi="ar-EG"/>
        </w:rPr>
        <w:t xml:space="preserve"> </w:t>
      </w:r>
      <w:r w:rsidRPr="00C25FFA">
        <w:rPr>
          <w:rStyle w:val="Hyperlink"/>
          <w:rFonts w:hint="cs"/>
          <w:color w:val="auto"/>
          <w:u w:val="none"/>
          <w:rtl/>
          <w:lang w:bidi="ar-EG"/>
        </w:rPr>
        <w:t>بين</w:t>
      </w:r>
      <w:r w:rsidRPr="00C25FFA">
        <w:rPr>
          <w:rStyle w:val="Hyperlink"/>
          <w:color w:val="auto"/>
          <w:u w:val="none"/>
          <w:rtl/>
          <w:lang w:bidi="ar-EG"/>
        </w:rPr>
        <w:t xml:space="preserve"> </w:t>
      </w:r>
      <w:r w:rsidRPr="00C25FFA">
        <w:rPr>
          <w:rStyle w:val="Hyperlink"/>
          <w:rFonts w:hint="cs"/>
          <w:color w:val="auto"/>
          <w:u w:val="none"/>
          <w:rtl/>
          <w:lang w:bidi="ar-EG"/>
        </w:rPr>
        <w:t>الرسوم</w:t>
      </w:r>
      <w:r w:rsidRPr="00C25FFA">
        <w:rPr>
          <w:rStyle w:val="Hyperlink"/>
          <w:color w:val="auto"/>
          <w:u w:val="none"/>
          <w:rtl/>
          <w:lang w:bidi="ar-EG"/>
        </w:rPr>
        <w:t xml:space="preserve"> </w:t>
      </w:r>
      <w:r w:rsidRPr="00C25FFA">
        <w:rPr>
          <w:rStyle w:val="Hyperlink"/>
          <w:rFonts w:hint="cs"/>
          <w:color w:val="auto"/>
          <w:u w:val="none"/>
          <w:rtl/>
          <w:lang w:bidi="ar-EG"/>
        </w:rPr>
        <w:t>المطبقة</w:t>
      </w:r>
      <w:r w:rsidRPr="00C25FFA">
        <w:rPr>
          <w:rStyle w:val="Hyperlink"/>
          <w:color w:val="auto"/>
          <w:u w:val="none"/>
          <w:rtl/>
          <w:lang w:bidi="ar-EG"/>
        </w:rPr>
        <w:t xml:space="preserve"> </w:t>
      </w:r>
      <w:r w:rsidRPr="00C25FFA">
        <w:rPr>
          <w:rStyle w:val="Hyperlink"/>
          <w:rFonts w:hint="cs"/>
          <w:color w:val="auto"/>
          <w:u w:val="none"/>
          <w:rtl/>
          <w:lang w:bidi="ar-EG"/>
        </w:rPr>
        <w:t>على</w:t>
      </w:r>
      <w:r w:rsidRPr="00C25FFA">
        <w:rPr>
          <w:rStyle w:val="Hyperlink"/>
          <w:color w:val="auto"/>
          <w:u w:val="none"/>
          <w:rtl/>
          <w:lang w:bidi="ar-EG"/>
        </w:rPr>
        <w:t xml:space="preserve"> </w:t>
      </w:r>
      <w:r w:rsidRPr="00C25FFA">
        <w:rPr>
          <w:rStyle w:val="Hyperlink"/>
          <w:rFonts w:hint="cs"/>
          <w:color w:val="auto"/>
          <w:u w:val="none"/>
          <w:rtl/>
          <w:lang w:bidi="ar-EG"/>
        </w:rPr>
        <w:t>المستوى</w:t>
      </w:r>
      <w:r w:rsidRPr="00C25FFA">
        <w:rPr>
          <w:rStyle w:val="Hyperlink"/>
          <w:color w:val="auto"/>
          <w:u w:val="none"/>
          <w:rtl/>
          <w:lang w:bidi="ar-EG"/>
        </w:rPr>
        <w:t xml:space="preserve"> </w:t>
      </w:r>
      <w:r w:rsidRPr="00C25FFA">
        <w:rPr>
          <w:rStyle w:val="Hyperlink"/>
          <w:rFonts w:hint="cs"/>
          <w:color w:val="auto"/>
          <w:u w:val="none"/>
          <w:rtl/>
          <w:lang w:bidi="ar-EG"/>
        </w:rPr>
        <w:t>الدولي</w:t>
      </w:r>
      <w:r w:rsidRPr="00C25FFA">
        <w:rPr>
          <w:webHidden/>
        </w:rPr>
        <w:tab/>
      </w:r>
      <w:r w:rsidR="003F18AE" w:rsidRPr="00C25FFA">
        <w:rPr>
          <w:rFonts w:hint="cs"/>
          <w:webHidden/>
          <w:rtl/>
        </w:rPr>
        <w:tab/>
      </w:r>
      <w:r w:rsidR="009D5FA1" w:rsidRPr="00C25FFA">
        <w:rPr>
          <w:webHidden/>
        </w:rPr>
        <w:t>9</w:t>
      </w:r>
    </w:p>
    <w:p w:rsidR="002779FA" w:rsidRPr="00C25FFA" w:rsidRDefault="002779FA" w:rsidP="00B0014D">
      <w:pPr>
        <w:pStyle w:val="TOC1"/>
        <w:bidi/>
        <w:spacing w:line="192" w:lineRule="auto"/>
        <w:rPr>
          <w:rFonts w:asciiTheme="minorHAnsi" w:eastAsiaTheme="minorEastAsia" w:hAnsiTheme="minorHAnsi" w:cstheme="minorBidi"/>
          <w:szCs w:val="22"/>
          <w:lang w:val="en-US" w:eastAsia="zh-CN"/>
        </w:rPr>
      </w:pPr>
      <w:r w:rsidRPr="00C25FFA">
        <w:rPr>
          <w:rStyle w:val="Hyperlink"/>
          <w:color w:val="auto"/>
          <w:u w:val="none"/>
          <w:lang w:val="en-US" w:bidi="ar-EG"/>
        </w:rPr>
        <w:t>7</w:t>
      </w:r>
      <w:r w:rsidRPr="00C25FFA">
        <w:rPr>
          <w:rFonts w:asciiTheme="minorHAnsi" w:eastAsiaTheme="minorEastAsia" w:hAnsiTheme="minorHAnsi" w:cstheme="minorBidi"/>
          <w:szCs w:val="22"/>
          <w:lang w:val="en-US" w:eastAsia="zh-CN"/>
        </w:rPr>
        <w:tab/>
      </w:r>
      <w:r w:rsidRPr="00C25FFA">
        <w:rPr>
          <w:rStyle w:val="Hyperlink"/>
          <w:rFonts w:hint="cs"/>
          <w:color w:val="auto"/>
          <w:u w:val="none"/>
          <w:rtl/>
          <w:lang w:val="en-US" w:bidi="ar-EG"/>
        </w:rPr>
        <w:t>مخطط</w:t>
      </w:r>
      <w:r w:rsidRPr="00C25FFA">
        <w:rPr>
          <w:rStyle w:val="Hyperlink"/>
          <w:color w:val="auto"/>
          <w:u w:val="none"/>
          <w:rtl/>
          <w:lang w:val="en-US" w:bidi="ar-EG"/>
        </w:rPr>
        <w:t xml:space="preserve"> </w:t>
      </w:r>
      <w:r w:rsidRPr="00C25FFA">
        <w:rPr>
          <w:rStyle w:val="Hyperlink"/>
          <w:rFonts w:hint="cs"/>
          <w:color w:val="auto"/>
          <w:u w:val="none"/>
          <w:rtl/>
          <w:lang w:val="en-US" w:bidi="ar-EG"/>
        </w:rPr>
        <w:t>نظام</w:t>
      </w:r>
      <w:r w:rsidRPr="00C25FFA">
        <w:rPr>
          <w:rStyle w:val="Hyperlink"/>
          <w:color w:val="auto"/>
          <w:u w:val="none"/>
          <w:rtl/>
          <w:lang w:val="en-US" w:bidi="ar-EG"/>
        </w:rPr>
        <w:t xml:space="preserve"> </w:t>
      </w:r>
      <w:r w:rsidRPr="00C25FFA">
        <w:rPr>
          <w:rStyle w:val="Hyperlink"/>
          <w:rFonts w:hint="cs"/>
          <w:color w:val="auto"/>
          <w:u w:val="none"/>
          <w:rtl/>
          <w:lang w:val="en-US" w:bidi="ar-EG"/>
        </w:rPr>
        <w:t>الرسوم</w:t>
      </w:r>
      <w:r w:rsidRPr="00C25FFA">
        <w:rPr>
          <w:rStyle w:val="Hyperlink"/>
          <w:color w:val="auto"/>
          <w:u w:val="none"/>
          <w:rtl/>
          <w:lang w:val="en-US" w:bidi="ar-EG"/>
        </w:rPr>
        <w:t xml:space="preserve"> </w:t>
      </w:r>
      <w:r w:rsidRPr="00C25FFA">
        <w:rPr>
          <w:rStyle w:val="Hyperlink"/>
          <w:rFonts w:hint="cs"/>
          <w:color w:val="auto"/>
          <w:u w:val="none"/>
          <w:rtl/>
          <w:lang w:val="en-US" w:bidi="ar-EG"/>
        </w:rPr>
        <w:t>الموصى</w:t>
      </w:r>
      <w:r w:rsidRPr="00C25FFA">
        <w:rPr>
          <w:rStyle w:val="Hyperlink"/>
          <w:color w:val="auto"/>
          <w:u w:val="none"/>
          <w:rtl/>
          <w:lang w:val="en-US" w:bidi="ar-EG"/>
        </w:rPr>
        <w:t xml:space="preserve"> </w:t>
      </w:r>
      <w:r w:rsidRPr="00C25FFA">
        <w:rPr>
          <w:rStyle w:val="Hyperlink"/>
          <w:rFonts w:hint="cs"/>
          <w:color w:val="auto"/>
          <w:u w:val="none"/>
          <w:rtl/>
          <w:lang w:val="en-US" w:bidi="ar-EG"/>
        </w:rPr>
        <w:t>به</w:t>
      </w:r>
      <w:r w:rsidRPr="00C25FFA">
        <w:rPr>
          <w:webHidden/>
        </w:rPr>
        <w:tab/>
      </w:r>
      <w:r w:rsidR="003F18AE" w:rsidRPr="00C25FFA">
        <w:rPr>
          <w:rFonts w:hint="cs"/>
          <w:webHidden/>
          <w:rtl/>
        </w:rPr>
        <w:tab/>
      </w:r>
      <w:r w:rsidR="009D5FA1" w:rsidRPr="00C25FFA">
        <w:rPr>
          <w:webHidden/>
        </w:rPr>
        <w:t>10</w:t>
      </w:r>
    </w:p>
    <w:p w:rsidR="002779FA" w:rsidRPr="00C25FFA" w:rsidRDefault="002779FA" w:rsidP="00B0014D">
      <w:pPr>
        <w:pStyle w:val="TOC1"/>
        <w:bidi/>
        <w:spacing w:line="192" w:lineRule="auto"/>
        <w:rPr>
          <w:rFonts w:asciiTheme="minorHAnsi" w:eastAsiaTheme="minorEastAsia" w:hAnsiTheme="minorHAnsi" w:cstheme="minorBidi"/>
          <w:szCs w:val="22"/>
          <w:lang w:val="en-US" w:eastAsia="zh-CN"/>
        </w:rPr>
      </w:pPr>
      <w:r w:rsidRPr="00C25FFA">
        <w:rPr>
          <w:rStyle w:val="Hyperlink"/>
          <w:color w:val="auto"/>
          <w:u w:val="none"/>
          <w:lang w:val="en-US" w:bidi="ar-EG"/>
        </w:rPr>
        <w:t>8</w:t>
      </w:r>
      <w:r w:rsidRPr="00C25FFA">
        <w:rPr>
          <w:rFonts w:asciiTheme="minorHAnsi" w:eastAsiaTheme="minorEastAsia" w:hAnsiTheme="minorHAnsi" w:cstheme="minorBidi"/>
          <w:szCs w:val="22"/>
          <w:lang w:val="en-US" w:eastAsia="zh-CN"/>
        </w:rPr>
        <w:tab/>
      </w:r>
      <w:r w:rsidRPr="00C25FFA">
        <w:rPr>
          <w:rStyle w:val="Hyperlink"/>
          <w:rFonts w:hint="cs"/>
          <w:color w:val="auto"/>
          <w:u w:val="none"/>
          <w:rtl/>
          <w:lang w:val="en-US" w:bidi="ar-EG"/>
        </w:rPr>
        <w:t>أمثلة</w:t>
      </w:r>
      <w:r w:rsidRPr="00C25FFA">
        <w:rPr>
          <w:rStyle w:val="Hyperlink"/>
          <w:color w:val="auto"/>
          <w:u w:val="none"/>
          <w:rtl/>
          <w:lang w:val="en-US" w:bidi="ar-EG"/>
        </w:rPr>
        <w:t xml:space="preserve"> </w:t>
      </w:r>
      <w:r w:rsidRPr="00C25FFA">
        <w:rPr>
          <w:rStyle w:val="Hyperlink"/>
          <w:rFonts w:hint="cs"/>
          <w:color w:val="auto"/>
          <w:u w:val="none"/>
          <w:rtl/>
          <w:lang w:val="en-US" w:bidi="ar-EG"/>
        </w:rPr>
        <w:t>عن</w:t>
      </w:r>
      <w:r w:rsidRPr="00C25FFA">
        <w:rPr>
          <w:rStyle w:val="Hyperlink"/>
          <w:color w:val="auto"/>
          <w:u w:val="none"/>
          <w:rtl/>
          <w:lang w:val="en-US" w:bidi="ar-EG"/>
        </w:rPr>
        <w:t xml:space="preserve"> </w:t>
      </w:r>
      <w:r w:rsidRPr="00C25FFA">
        <w:rPr>
          <w:rStyle w:val="Hyperlink"/>
          <w:rFonts w:hint="cs"/>
          <w:color w:val="auto"/>
          <w:u w:val="none"/>
          <w:rtl/>
          <w:lang w:val="en-US" w:bidi="ar-EG"/>
        </w:rPr>
        <w:t>الرسوم</w:t>
      </w:r>
      <w:r w:rsidRPr="00C25FFA">
        <w:rPr>
          <w:rStyle w:val="Hyperlink"/>
          <w:color w:val="auto"/>
          <w:u w:val="none"/>
          <w:rtl/>
          <w:lang w:val="en-US" w:bidi="ar-EG"/>
        </w:rPr>
        <w:t xml:space="preserve"> </w:t>
      </w:r>
      <w:r w:rsidRPr="00C25FFA">
        <w:rPr>
          <w:rStyle w:val="Hyperlink"/>
          <w:rFonts w:hint="cs"/>
          <w:color w:val="auto"/>
          <w:u w:val="none"/>
          <w:rtl/>
          <w:lang w:val="en-US" w:bidi="ar-EG"/>
        </w:rPr>
        <w:t>التي</w:t>
      </w:r>
      <w:r w:rsidRPr="00C25FFA">
        <w:rPr>
          <w:rStyle w:val="Hyperlink"/>
          <w:color w:val="auto"/>
          <w:u w:val="none"/>
          <w:rtl/>
          <w:lang w:val="en-US" w:bidi="ar-EG"/>
        </w:rPr>
        <w:t xml:space="preserve"> </w:t>
      </w:r>
      <w:r w:rsidRPr="00C25FFA">
        <w:rPr>
          <w:rStyle w:val="Hyperlink"/>
          <w:rFonts w:hint="cs"/>
          <w:color w:val="auto"/>
          <w:u w:val="none"/>
          <w:rtl/>
          <w:lang w:val="en-US" w:bidi="ar-EG"/>
        </w:rPr>
        <w:t>تطبقها</w:t>
      </w:r>
      <w:r w:rsidRPr="00C25FFA">
        <w:rPr>
          <w:rStyle w:val="Hyperlink"/>
          <w:color w:val="auto"/>
          <w:u w:val="none"/>
          <w:rtl/>
          <w:lang w:val="en-US" w:bidi="ar-EG"/>
        </w:rPr>
        <w:t xml:space="preserve"> </w:t>
      </w:r>
      <w:r w:rsidRPr="00C25FFA">
        <w:rPr>
          <w:rStyle w:val="Hyperlink"/>
          <w:rFonts w:hint="cs"/>
          <w:color w:val="auto"/>
          <w:u w:val="none"/>
          <w:rtl/>
          <w:lang w:val="en-US" w:bidi="ar-EG"/>
        </w:rPr>
        <w:t>الإدارات</w:t>
      </w:r>
      <w:r w:rsidRPr="00C25FFA">
        <w:rPr>
          <w:webHidden/>
        </w:rPr>
        <w:tab/>
      </w:r>
      <w:r w:rsidR="003F18AE" w:rsidRPr="00C25FFA">
        <w:rPr>
          <w:rFonts w:hint="cs"/>
          <w:webHidden/>
          <w:rtl/>
        </w:rPr>
        <w:tab/>
      </w:r>
      <w:r w:rsidR="009D5FA1" w:rsidRPr="00C25FFA">
        <w:rPr>
          <w:webHidden/>
        </w:rPr>
        <w:t>10</w:t>
      </w:r>
    </w:p>
    <w:p w:rsidR="002779FA" w:rsidRPr="00C25FFA" w:rsidRDefault="002779FA" w:rsidP="00B0014D">
      <w:pPr>
        <w:pStyle w:val="TOC1"/>
        <w:tabs>
          <w:tab w:val="clear" w:pos="1275"/>
        </w:tabs>
        <w:bidi/>
        <w:spacing w:line="192" w:lineRule="auto"/>
        <w:ind w:left="1134"/>
        <w:rPr>
          <w:rStyle w:val="Hyperlink"/>
          <w:color w:val="auto"/>
          <w:u w:val="none"/>
        </w:rPr>
      </w:pPr>
      <w:r w:rsidRPr="00C25FFA">
        <w:rPr>
          <w:rStyle w:val="Hyperlink"/>
          <w:color w:val="auto"/>
          <w:u w:val="none"/>
        </w:rPr>
        <w:t>1.8</w:t>
      </w:r>
      <w:r w:rsidRPr="00C25FFA">
        <w:rPr>
          <w:rStyle w:val="Hyperlink"/>
          <w:color w:val="auto"/>
          <w:u w:val="none"/>
          <w:rtl/>
        </w:rPr>
        <w:t xml:space="preserve"> </w:t>
      </w:r>
      <w:r w:rsidRPr="00C25FFA">
        <w:rPr>
          <w:rStyle w:val="Hyperlink"/>
          <w:color w:val="auto"/>
          <w:u w:val="none"/>
        </w:rPr>
        <w:tab/>
      </w:r>
      <w:r w:rsidRPr="00C25FFA">
        <w:rPr>
          <w:rStyle w:val="Hyperlink"/>
          <w:rFonts w:hint="cs"/>
          <w:color w:val="auto"/>
          <w:u w:val="none"/>
          <w:rtl/>
        </w:rPr>
        <w:t>حالة</w:t>
      </w:r>
      <w:r w:rsidRPr="00C25FFA">
        <w:rPr>
          <w:rStyle w:val="Hyperlink"/>
          <w:color w:val="auto"/>
          <w:u w:val="none"/>
          <w:rtl/>
        </w:rPr>
        <w:t xml:space="preserve"> </w:t>
      </w:r>
      <w:r w:rsidRPr="00C25FFA">
        <w:rPr>
          <w:rStyle w:val="Hyperlink"/>
          <w:rFonts w:hint="cs"/>
          <w:color w:val="auto"/>
          <w:u w:val="none"/>
          <w:rtl/>
        </w:rPr>
        <w:t>الإمارات</w:t>
      </w:r>
      <w:r w:rsidRPr="00C25FFA">
        <w:rPr>
          <w:rStyle w:val="Hyperlink"/>
          <w:color w:val="auto"/>
          <w:u w:val="none"/>
          <w:rtl/>
        </w:rPr>
        <w:t xml:space="preserve"> </w:t>
      </w:r>
      <w:r w:rsidRPr="00C25FFA">
        <w:rPr>
          <w:rStyle w:val="Hyperlink"/>
          <w:rFonts w:hint="cs"/>
          <w:color w:val="auto"/>
          <w:u w:val="none"/>
          <w:rtl/>
        </w:rPr>
        <w:t>العربية</w:t>
      </w:r>
      <w:r w:rsidRPr="00C25FFA">
        <w:rPr>
          <w:rStyle w:val="Hyperlink"/>
          <w:color w:val="auto"/>
          <w:u w:val="none"/>
          <w:rtl/>
        </w:rPr>
        <w:t xml:space="preserve"> </w:t>
      </w:r>
      <w:r w:rsidRPr="00C25FFA">
        <w:rPr>
          <w:rStyle w:val="Hyperlink"/>
          <w:rFonts w:hint="cs"/>
          <w:color w:val="auto"/>
          <w:u w:val="none"/>
          <w:rtl/>
        </w:rPr>
        <w:t>المتحدة</w:t>
      </w:r>
      <w:r w:rsidRPr="00C25FFA">
        <w:rPr>
          <w:rStyle w:val="Hyperlink"/>
          <w:webHidden/>
          <w:color w:val="auto"/>
          <w:u w:val="none"/>
        </w:rPr>
        <w:tab/>
      </w:r>
      <w:r w:rsidR="003F18AE" w:rsidRPr="00C25FFA">
        <w:rPr>
          <w:rStyle w:val="Hyperlink"/>
          <w:rFonts w:hint="cs"/>
          <w:webHidden/>
          <w:color w:val="auto"/>
          <w:u w:val="none"/>
          <w:rtl/>
        </w:rPr>
        <w:tab/>
      </w:r>
      <w:r w:rsidR="009D5FA1" w:rsidRPr="00C25FFA">
        <w:rPr>
          <w:rStyle w:val="Hyperlink"/>
          <w:webHidden/>
          <w:color w:val="auto"/>
          <w:u w:val="none"/>
        </w:rPr>
        <w:t>10</w:t>
      </w:r>
    </w:p>
    <w:p w:rsidR="002779FA" w:rsidRPr="00C25FFA" w:rsidRDefault="002779FA" w:rsidP="00B0014D">
      <w:pPr>
        <w:pStyle w:val="TOC1"/>
        <w:tabs>
          <w:tab w:val="clear" w:pos="1275"/>
        </w:tabs>
        <w:bidi/>
        <w:spacing w:line="192" w:lineRule="auto"/>
        <w:ind w:left="1134"/>
        <w:rPr>
          <w:rStyle w:val="Hyperlink"/>
          <w:color w:val="auto"/>
          <w:u w:val="none"/>
        </w:rPr>
      </w:pPr>
      <w:r w:rsidRPr="00C25FFA">
        <w:rPr>
          <w:rStyle w:val="Hyperlink"/>
          <w:color w:val="auto"/>
          <w:u w:val="none"/>
        </w:rPr>
        <w:t>2.8</w:t>
      </w:r>
      <w:r w:rsidRPr="00C25FFA">
        <w:rPr>
          <w:rStyle w:val="Hyperlink"/>
          <w:color w:val="auto"/>
          <w:u w:val="none"/>
          <w:rtl/>
        </w:rPr>
        <w:t xml:space="preserve"> </w:t>
      </w:r>
      <w:r w:rsidRPr="00C25FFA">
        <w:rPr>
          <w:rStyle w:val="Hyperlink"/>
          <w:color w:val="auto"/>
          <w:u w:val="none"/>
        </w:rPr>
        <w:tab/>
      </w:r>
      <w:r w:rsidRPr="00C25FFA">
        <w:rPr>
          <w:rStyle w:val="Hyperlink"/>
          <w:rFonts w:hint="cs"/>
          <w:color w:val="auto"/>
          <w:u w:val="none"/>
          <w:rtl/>
        </w:rPr>
        <w:t>حالة</w:t>
      </w:r>
      <w:r w:rsidRPr="00C25FFA">
        <w:rPr>
          <w:rStyle w:val="Hyperlink"/>
          <w:color w:val="auto"/>
          <w:u w:val="none"/>
          <w:rtl/>
        </w:rPr>
        <w:t xml:space="preserve"> </w:t>
      </w:r>
      <w:r w:rsidRPr="00C25FFA">
        <w:rPr>
          <w:rStyle w:val="Hyperlink"/>
          <w:rFonts w:hint="cs"/>
          <w:color w:val="auto"/>
          <w:u w:val="none"/>
          <w:rtl/>
        </w:rPr>
        <w:t>سويسرا</w:t>
      </w:r>
      <w:r w:rsidRPr="00C25FFA">
        <w:rPr>
          <w:rStyle w:val="Hyperlink"/>
          <w:webHidden/>
          <w:color w:val="auto"/>
          <w:u w:val="none"/>
        </w:rPr>
        <w:tab/>
      </w:r>
      <w:r w:rsidR="003F18AE" w:rsidRPr="00C25FFA">
        <w:rPr>
          <w:rStyle w:val="Hyperlink"/>
          <w:rFonts w:hint="cs"/>
          <w:webHidden/>
          <w:color w:val="auto"/>
          <w:u w:val="none"/>
          <w:rtl/>
        </w:rPr>
        <w:tab/>
      </w:r>
      <w:r w:rsidR="009D5FA1" w:rsidRPr="00C25FFA">
        <w:rPr>
          <w:rStyle w:val="Hyperlink"/>
          <w:webHidden/>
          <w:color w:val="auto"/>
          <w:u w:val="none"/>
        </w:rPr>
        <w:t>10</w:t>
      </w:r>
    </w:p>
    <w:p w:rsidR="002779FA" w:rsidRPr="00C25FFA" w:rsidRDefault="002779FA" w:rsidP="00B0014D">
      <w:pPr>
        <w:pStyle w:val="TOC1"/>
        <w:tabs>
          <w:tab w:val="clear" w:pos="1275"/>
        </w:tabs>
        <w:bidi/>
        <w:spacing w:line="192" w:lineRule="auto"/>
        <w:ind w:left="1134"/>
        <w:rPr>
          <w:rStyle w:val="Hyperlink"/>
          <w:color w:val="auto"/>
          <w:u w:val="none"/>
        </w:rPr>
      </w:pPr>
      <w:r w:rsidRPr="00C25FFA">
        <w:rPr>
          <w:rStyle w:val="Hyperlink"/>
          <w:color w:val="auto"/>
          <w:u w:val="none"/>
        </w:rPr>
        <w:t>3.8</w:t>
      </w:r>
      <w:r w:rsidRPr="00C25FFA">
        <w:rPr>
          <w:rStyle w:val="Hyperlink"/>
          <w:color w:val="auto"/>
          <w:u w:val="none"/>
          <w:rtl/>
        </w:rPr>
        <w:t xml:space="preserve"> </w:t>
      </w:r>
      <w:r w:rsidRPr="00C25FFA">
        <w:rPr>
          <w:rStyle w:val="Hyperlink"/>
          <w:color w:val="auto"/>
          <w:u w:val="none"/>
        </w:rPr>
        <w:tab/>
      </w:r>
      <w:r w:rsidRPr="00C25FFA">
        <w:rPr>
          <w:rStyle w:val="Hyperlink"/>
          <w:rFonts w:hint="cs"/>
          <w:color w:val="auto"/>
          <w:u w:val="none"/>
          <w:rtl/>
        </w:rPr>
        <w:t>حالة</w:t>
      </w:r>
      <w:r w:rsidRPr="00C25FFA">
        <w:rPr>
          <w:rStyle w:val="Hyperlink"/>
          <w:color w:val="auto"/>
          <w:u w:val="none"/>
          <w:rtl/>
        </w:rPr>
        <w:t xml:space="preserve"> </w:t>
      </w:r>
      <w:r w:rsidRPr="00C25FFA">
        <w:rPr>
          <w:rStyle w:val="Hyperlink"/>
          <w:rFonts w:hint="cs"/>
          <w:color w:val="auto"/>
          <w:u w:val="none"/>
          <w:rtl/>
        </w:rPr>
        <w:t>فرنسا</w:t>
      </w:r>
      <w:r w:rsidRPr="00C25FFA">
        <w:rPr>
          <w:rStyle w:val="Hyperlink"/>
          <w:webHidden/>
          <w:color w:val="auto"/>
          <w:u w:val="none"/>
        </w:rPr>
        <w:tab/>
      </w:r>
      <w:r w:rsidR="003F18AE" w:rsidRPr="00C25FFA">
        <w:rPr>
          <w:rStyle w:val="Hyperlink"/>
          <w:rFonts w:hint="cs"/>
          <w:webHidden/>
          <w:color w:val="auto"/>
          <w:u w:val="none"/>
          <w:rtl/>
        </w:rPr>
        <w:tab/>
      </w:r>
      <w:r w:rsidR="009D5FA1" w:rsidRPr="00C25FFA">
        <w:rPr>
          <w:rStyle w:val="Hyperlink"/>
          <w:webHidden/>
          <w:color w:val="auto"/>
          <w:u w:val="none"/>
        </w:rPr>
        <w:t>11</w:t>
      </w:r>
    </w:p>
    <w:p w:rsidR="002779FA" w:rsidRPr="00C25FFA" w:rsidRDefault="002779FA" w:rsidP="00B0014D">
      <w:pPr>
        <w:pStyle w:val="TOC1"/>
        <w:tabs>
          <w:tab w:val="clear" w:pos="1275"/>
        </w:tabs>
        <w:bidi/>
        <w:spacing w:line="192" w:lineRule="auto"/>
        <w:ind w:left="1134"/>
        <w:rPr>
          <w:rFonts w:asciiTheme="minorHAnsi" w:eastAsiaTheme="minorEastAsia" w:hAnsiTheme="minorHAnsi" w:cstheme="minorBidi"/>
          <w:szCs w:val="22"/>
          <w:lang w:val="en-US" w:eastAsia="zh-CN"/>
        </w:rPr>
      </w:pPr>
      <w:r w:rsidRPr="00207849">
        <w:rPr>
          <w:rStyle w:val="Hyperlink"/>
          <w:color w:val="auto"/>
          <w:u w:val="none"/>
        </w:rPr>
        <w:t>4.8</w:t>
      </w:r>
      <w:r w:rsidRPr="00207849">
        <w:rPr>
          <w:rStyle w:val="Hyperlink"/>
          <w:color w:val="auto"/>
          <w:u w:val="none"/>
          <w:rtl/>
        </w:rPr>
        <w:t xml:space="preserve"> </w:t>
      </w:r>
      <w:r w:rsidRPr="00207849">
        <w:rPr>
          <w:rStyle w:val="Hyperlink"/>
          <w:color w:val="auto"/>
          <w:u w:val="none"/>
        </w:rPr>
        <w:tab/>
      </w:r>
      <w:r w:rsidRPr="00207849">
        <w:rPr>
          <w:rStyle w:val="Hyperlink"/>
          <w:rFonts w:hint="cs"/>
          <w:color w:val="auto"/>
          <w:u w:val="none"/>
          <w:rtl/>
        </w:rPr>
        <w:t>حالة</w:t>
      </w:r>
      <w:r w:rsidRPr="0070267E">
        <w:rPr>
          <w:rStyle w:val="Hyperlink"/>
          <w:color w:val="auto"/>
          <w:u w:val="none"/>
          <w:rtl/>
        </w:rPr>
        <w:t xml:space="preserve"> </w:t>
      </w:r>
      <w:r w:rsidRPr="0070267E">
        <w:rPr>
          <w:rStyle w:val="Hyperlink"/>
          <w:rFonts w:hint="cs"/>
          <w:color w:val="auto"/>
          <w:u w:val="none"/>
          <w:rtl/>
        </w:rPr>
        <w:t>كوت</w:t>
      </w:r>
      <w:r w:rsidRPr="00C25FFA">
        <w:rPr>
          <w:rStyle w:val="Hyperlink"/>
          <w:color w:val="auto"/>
          <w:u w:val="none"/>
          <w:rtl/>
          <w:lang w:val="en-US" w:bidi="ar-EG"/>
        </w:rPr>
        <w:t xml:space="preserve"> </w:t>
      </w:r>
      <w:r w:rsidRPr="00C25FFA">
        <w:rPr>
          <w:rStyle w:val="Hyperlink"/>
          <w:rFonts w:hint="cs"/>
          <w:color w:val="auto"/>
          <w:u w:val="none"/>
          <w:rtl/>
        </w:rPr>
        <w:t>ديفوار</w:t>
      </w:r>
      <w:r w:rsidRPr="00C25FFA">
        <w:rPr>
          <w:webHidden/>
        </w:rPr>
        <w:tab/>
      </w:r>
      <w:r w:rsidR="003F18AE" w:rsidRPr="00C25FFA">
        <w:rPr>
          <w:rFonts w:hint="cs"/>
          <w:webHidden/>
          <w:rtl/>
        </w:rPr>
        <w:tab/>
      </w:r>
      <w:r w:rsidR="009D5FA1" w:rsidRPr="00C25FFA">
        <w:rPr>
          <w:webHidden/>
        </w:rPr>
        <w:t>11</w:t>
      </w:r>
    </w:p>
    <w:p w:rsidR="002779FA" w:rsidRPr="00C25FFA" w:rsidRDefault="002779FA" w:rsidP="00B0014D">
      <w:pPr>
        <w:pStyle w:val="TOC1"/>
        <w:bidi/>
        <w:spacing w:line="192" w:lineRule="auto"/>
        <w:rPr>
          <w:rFonts w:asciiTheme="minorHAnsi" w:eastAsiaTheme="minorEastAsia" w:hAnsiTheme="minorHAnsi" w:cstheme="minorBidi"/>
          <w:szCs w:val="22"/>
          <w:lang w:val="en-US" w:eastAsia="zh-CN"/>
        </w:rPr>
      </w:pPr>
      <w:r w:rsidRPr="00207849">
        <w:rPr>
          <w:rStyle w:val="Hyperlink"/>
          <w:rFonts w:hint="cs"/>
          <w:color w:val="auto"/>
          <w:u w:val="none"/>
          <w:rtl/>
          <w:lang w:bidi="ar-EG"/>
        </w:rPr>
        <w:t>الملحـق</w:t>
      </w:r>
      <w:r w:rsidRPr="00207849">
        <w:rPr>
          <w:rStyle w:val="Hyperlink"/>
          <w:color w:val="auto"/>
          <w:u w:val="none"/>
          <w:rtl/>
          <w:lang w:bidi="ar-EG"/>
        </w:rPr>
        <w:t xml:space="preserve"> </w:t>
      </w:r>
      <w:r w:rsidRPr="00207849">
        <w:rPr>
          <w:rStyle w:val="Hyperlink"/>
          <w:color w:val="auto"/>
          <w:u w:val="none"/>
          <w:lang w:bidi="ar-EG"/>
        </w:rPr>
        <w:t>1</w:t>
      </w:r>
      <w:r w:rsidR="00207849">
        <w:rPr>
          <w:rStyle w:val="Hyperlink"/>
          <w:rFonts w:hint="cs"/>
          <w:b/>
          <w:bCs/>
          <w:color w:val="auto"/>
          <w:u w:val="none"/>
          <w:rtl/>
          <w:lang w:bidi="ar-EG"/>
        </w:rPr>
        <w:t xml:space="preserve"> </w:t>
      </w:r>
      <w:r w:rsidR="00207849">
        <w:rPr>
          <w:rFonts w:hint="cs"/>
          <w:webHidden/>
          <w:rtl/>
        </w:rPr>
        <w:t xml:space="preserve">- </w:t>
      </w:r>
      <w:r w:rsidRPr="00C25FFA">
        <w:rPr>
          <w:rStyle w:val="Hyperlink"/>
          <w:rFonts w:hint="cs"/>
          <w:color w:val="auto"/>
          <w:u w:val="none"/>
          <w:rtl/>
        </w:rPr>
        <w:t>مثال</w:t>
      </w:r>
      <w:r w:rsidRPr="00C25FFA">
        <w:rPr>
          <w:rStyle w:val="Hyperlink"/>
          <w:color w:val="auto"/>
          <w:u w:val="none"/>
          <w:rtl/>
        </w:rPr>
        <w:t xml:space="preserve"> </w:t>
      </w:r>
      <w:r w:rsidRPr="00C25FFA">
        <w:rPr>
          <w:rStyle w:val="Hyperlink"/>
          <w:rFonts w:hint="cs"/>
          <w:color w:val="auto"/>
          <w:u w:val="none"/>
          <w:rtl/>
        </w:rPr>
        <w:t>مبسط</w:t>
      </w:r>
      <w:r w:rsidRPr="00C25FFA">
        <w:rPr>
          <w:rStyle w:val="Hyperlink"/>
          <w:color w:val="auto"/>
          <w:u w:val="none"/>
          <w:rtl/>
        </w:rPr>
        <w:t xml:space="preserve"> </w:t>
      </w:r>
      <w:r w:rsidRPr="00C25FFA">
        <w:rPr>
          <w:rStyle w:val="Hyperlink"/>
          <w:rFonts w:hint="cs"/>
          <w:color w:val="auto"/>
          <w:u w:val="none"/>
          <w:rtl/>
        </w:rPr>
        <w:t>لجدول</w:t>
      </w:r>
      <w:r w:rsidRPr="00C25FFA">
        <w:rPr>
          <w:rStyle w:val="Hyperlink"/>
          <w:color w:val="auto"/>
          <w:u w:val="none"/>
          <w:rtl/>
        </w:rPr>
        <w:t xml:space="preserve"> </w:t>
      </w:r>
      <w:r w:rsidRPr="00C25FFA">
        <w:rPr>
          <w:rStyle w:val="Hyperlink"/>
          <w:rFonts w:hint="cs"/>
          <w:color w:val="auto"/>
          <w:u w:val="none"/>
          <w:rtl/>
        </w:rPr>
        <w:t>يعطي</w:t>
      </w:r>
      <w:r w:rsidRPr="00C25FFA">
        <w:rPr>
          <w:rStyle w:val="Hyperlink"/>
          <w:color w:val="auto"/>
          <w:u w:val="none"/>
          <w:rtl/>
        </w:rPr>
        <w:t xml:space="preserve"> </w:t>
      </w:r>
      <w:r w:rsidRPr="00C25FFA">
        <w:rPr>
          <w:rStyle w:val="Hyperlink"/>
          <w:rFonts w:hint="cs"/>
          <w:color w:val="auto"/>
          <w:u w:val="none"/>
          <w:rtl/>
        </w:rPr>
        <w:t>قيمة</w:t>
      </w:r>
      <w:r w:rsidRPr="00C25FFA">
        <w:rPr>
          <w:rStyle w:val="Hyperlink"/>
          <w:color w:val="auto"/>
          <w:u w:val="none"/>
          <w:rtl/>
        </w:rPr>
        <w:t xml:space="preserve"> </w:t>
      </w:r>
      <w:r w:rsidRPr="00C25FFA">
        <w:rPr>
          <w:rStyle w:val="Hyperlink"/>
          <w:rFonts w:hint="cs"/>
          <w:color w:val="auto"/>
          <w:u w:val="none"/>
          <w:rtl/>
        </w:rPr>
        <w:t>المعامل</w:t>
      </w:r>
      <w:r w:rsidRPr="00C25FFA">
        <w:rPr>
          <w:rStyle w:val="Hyperlink"/>
          <w:color w:val="auto"/>
          <w:u w:val="none"/>
          <w:rtl/>
        </w:rPr>
        <w:t xml:space="preserve"> </w:t>
      </w:r>
      <w:r w:rsidRPr="00C25FFA">
        <w:rPr>
          <w:rStyle w:val="Hyperlink"/>
          <w:color w:val="auto"/>
          <w:u w:val="none"/>
        </w:rPr>
        <w:t>"bf"</w:t>
      </w:r>
      <w:r w:rsidRPr="00C25FFA">
        <w:rPr>
          <w:rStyle w:val="Hyperlink"/>
          <w:color w:val="auto"/>
          <w:u w:val="none"/>
          <w:rtl/>
        </w:rPr>
        <w:t xml:space="preserve"> </w:t>
      </w:r>
      <w:r w:rsidRPr="00C25FFA">
        <w:rPr>
          <w:rStyle w:val="Hyperlink"/>
          <w:rFonts w:hint="cs"/>
          <w:color w:val="auto"/>
          <w:u w:val="none"/>
          <w:rtl/>
        </w:rPr>
        <w:t>وفقاً</w:t>
      </w:r>
      <w:r w:rsidRPr="00C25FFA">
        <w:rPr>
          <w:rStyle w:val="Hyperlink"/>
          <w:color w:val="auto"/>
          <w:u w:val="none"/>
          <w:rtl/>
        </w:rPr>
        <w:t xml:space="preserve"> </w:t>
      </w:r>
      <w:r w:rsidRPr="00C25FFA">
        <w:rPr>
          <w:rStyle w:val="Hyperlink"/>
          <w:rFonts w:hint="cs"/>
          <w:color w:val="auto"/>
          <w:u w:val="none"/>
          <w:rtl/>
        </w:rPr>
        <w:t>لنطاق</w:t>
      </w:r>
      <w:r w:rsidRPr="00C25FFA">
        <w:rPr>
          <w:rStyle w:val="Hyperlink"/>
          <w:color w:val="auto"/>
          <w:u w:val="none"/>
          <w:rtl/>
        </w:rPr>
        <w:t xml:space="preserve"> </w:t>
      </w:r>
      <w:r w:rsidRPr="00C25FFA">
        <w:rPr>
          <w:rStyle w:val="Hyperlink"/>
          <w:rFonts w:hint="cs"/>
          <w:color w:val="auto"/>
          <w:u w:val="none"/>
          <w:rtl/>
        </w:rPr>
        <w:t>التردد</w:t>
      </w:r>
      <w:r w:rsidRPr="00C25FFA">
        <w:rPr>
          <w:webHidden/>
        </w:rPr>
        <w:tab/>
      </w:r>
      <w:r w:rsidR="003F18AE" w:rsidRPr="00C25FFA">
        <w:rPr>
          <w:rFonts w:hint="cs"/>
          <w:webHidden/>
          <w:rtl/>
        </w:rPr>
        <w:tab/>
      </w:r>
      <w:r w:rsidR="009D5FA1" w:rsidRPr="00C25FFA">
        <w:rPr>
          <w:webHidden/>
        </w:rPr>
        <w:t>12</w:t>
      </w:r>
    </w:p>
    <w:p w:rsidR="002779FA" w:rsidRPr="00C25FFA" w:rsidRDefault="002779FA" w:rsidP="00B0014D">
      <w:pPr>
        <w:pStyle w:val="TOC1"/>
        <w:bidi/>
        <w:spacing w:line="192" w:lineRule="auto"/>
        <w:rPr>
          <w:rFonts w:asciiTheme="minorHAnsi" w:eastAsiaTheme="minorEastAsia" w:hAnsiTheme="minorHAnsi" w:cstheme="minorBidi"/>
          <w:szCs w:val="22"/>
          <w:lang w:val="en-US" w:eastAsia="zh-CN"/>
        </w:rPr>
      </w:pPr>
      <w:r w:rsidRPr="00207849">
        <w:rPr>
          <w:rStyle w:val="Hyperlink"/>
          <w:rFonts w:hint="cs"/>
          <w:color w:val="auto"/>
          <w:u w:val="none"/>
          <w:rtl/>
          <w:lang w:bidi="ar-EG"/>
        </w:rPr>
        <w:t>الملحـق</w:t>
      </w:r>
      <w:r w:rsidRPr="00207849">
        <w:rPr>
          <w:rStyle w:val="Hyperlink"/>
          <w:rFonts w:ascii="Times New Roman" w:hAnsi="Times New Roman"/>
          <w:color w:val="auto"/>
          <w:u w:val="none"/>
          <w:rtl/>
          <w:lang w:bidi="ar-EG"/>
        </w:rPr>
        <w:t xml:space="preserve"> </w:t>
      </w:r>
      <w:r w:rsidRPr="00207849">
        <w:rPr>
          <w:rStyle w:val="Hyperlink"/>
          <w:rFonts w:ascii="Times New Roman" w:hAnsi="Times New Roman"/>
          <w:color w:val="auto"/>
          <w:u w:val="none"/>
          <w:lang w:val="en-US" w:bidi="ar-EG"/>
        </w:rPr>
        <w:t>2</w:t>
      </w:r>
      <w:r w:rsidR="00207849">
        <w:rPr>
          <w:rFonts w:hint="cs"/>
          <w:webHidden/>
          <w:rtl/>
        </w:rPr>
        <w:t xml:space="preserve"> - </w:t>
      </w:r>
      <w:r w:rsidRPr="00C25FFA">
        <w:rPr>
          <w:rStyle w:val="Hyperlink"/>
          <w:rFonts w:hint="cs"/>
          <w:color w:val="auto"/>
          <w:u w:val="none"/>
          <w:rtl/>
        </w:rPr>
        <w:t>مثال</w:t>
      </w:r>
      <w:r w:rsidRPr="00C25FFA">
        <w:rPr>
          <w:rStyle w:val="Hyperlink"/>
          <w:color w:val="auto"/>
          <w:u w:val="none"/>
          <w:rtl/>
        </w:rPr>
        <w:t xml:space="preserve"> </w:t>
      </w:r>
      <w:r w:rsidRPr="00C25FFA">
        <w:rPr>
          <w:rStyle w:val="Hyperlink"/>
          <w:rFonts w:hint="cs"/>
          <w:color w:val="auto"/>
          <w:u w:val="none"/>
          <w:rtl/>
        </w:rPr>
        <w:t>لجدول</w:t>
      </w:r>
      <w:r w:rsidRPr="00C25FFA">
        <w:rPr>
          <w:rStyle w:val="Hyperlink"/>
          <w:color w:val="auto"/>
          <w:u w:val="none"/>
          <w:rtl/>
        </w:rPr>
        <w:t xml:space="preserve"> </w:t>
      </w:r>
      <w:r w:rsidRPr="00C25FFA">
        <w:rPr>
          <w:rStyle w:val="Hyperlink"/>
          <w:rFonts w:hint="cs"/>
          <w:color w:val="auto"/>
          <w:u w:val="none"/>
          <w:rtl/>
        </w:rPr>
        <w:t>يعطي</w:t>
      </w:r>
      <w:r w:rsidRPr="00C25FFA">
        <w:rPr>
          <w:rStyle w:val="Hyperlink"/>
          <w:color w:val="auto"/>
          <w:u w:val="none"/>
          <w:rtl/>
        </w:rPr>
        <w:t xml:space="preserve"> </w:t>
      </w:r>
      <w:r w:rsidRPr="00C25FFA">
        <w:rPr>
          <w:rStyle w:val="Hyperlink"/>
          <w:rFonts w:hint="cs"/>
          <w:color w:val="auto"/>
          <w:u w:val="none"/>
          <w:rtl/>
        </w:rPr>
        <w:t>قيمة</w:t>
      </w:r>
      <w:r w:rsidRPr="00C25FFA">
        <w:rPr>
          <w:rStyle w:val="Hyperlink"/>
          <w:color w:val="auto"/>
          <w:u w:val="none"/>
          <w:rtl/>
        </w:rPr>
        <w:t xml:space="preserve"> </w:t>
      </w:r>
      <w:r w:rsidRPr="00C25FFA">
        <w:rPr>
          <w:rStyle w:val="Hyperlink"/>
          <w:rFonts w:hint="cs"/>
          <w:color w:val="auto"/>
          <w:u w:val="none"/>
          <w:rtl/>
        </w:rPr>
        <w:t>المعامل</w:t>
      </w:r>
      <w:r w:rsidRPr="00C25FFA">
        <w:rPr>
          <w:rStyle w:val="Hyperlink"/>
          <w:color w:val="auto"/>
          <w:u w:val="none"/>
          <w:rtl/>
        </w:rPr>
        <w:t xml:space="preserve"> </w:t>
      </w:r>
      <w:r w:rsidRPr="00C25FFA">
        <w:rPr>
          <w:rStyle w:val="Hyperlink"/>
          <w:color w:val="auto"/>
          <w:u w:val="none"/>
        </w:rPr>
        <w:t>"a"</w:t>
      </w:r>
      <w:r w:rsidRPr="00C25FFA">
        <w:rPr>
          <w:rStyle w:val="Hyperlink"/>
          <w:color w:val="auto"/>
          <w:u w:val="none"/>
          <w:rtl/>
        </w:rPr>
        <w:t xml:space="preserve"> </w:t>
      </w:r>
      <w:r w:rsidRPr="00C25FFA">
        <w:rPr>
          <w:rStyle w:val="Hyperlink"/>
          <w:rFonts w:hint="cs"/>
          <w:color w:val="auto"/>
          <w:u w:val="none"/>
          <w:rtl/>
        </w:rPr>
        <w:t>تبعاً</w:t>
      </w:r>
      <w:r w:rsidRPr="00C25FFA">
        <w:rPr>
          <w:rStyle w:val="Hyperlink"/>
          <w:color w:val="auto"/>
          <w:u w:val="none"/>
          <w:rtl/>
        </w:rPr>
        <w:t xml:space="preserve"> </w:t>
      </w:r>
      <w:r w:rsidRPr="00C25FFA">
        <w:rPr>
          <w:rStyle w:val="Hyperlink"/>
          <w:rFonts w:hint="cs"/>
          <w:color w:val="auto"/>
          <w:u w:val="none"/>
          <w:rtl/>
        </w:rPr>
        <w:t>للخدمة</w:t>
      </w:r>
      <w:r w:rsidRPr="00C25FFA">
        <w:rPr>
          <w:webHidden/>
        </w:rPr>
        <w:tab/>
      </w:r>
      <w:r w:rsidR="003F18AE" w:rsidRPr="00C25FFA">
        <w:rPr>
          <w:rFonts w:hint="cs"/>
          <w:webHidden/>
          <w:rtl/>
        </w:rPr>
        <w:tab/>
      </w:r>
      <w:r w:rsidR="009D5FA1" w:rsidRPr="00C25FFA">
        <w:rPr>
          <w:webHidden/>
        </w:rPr>
        <w:t>13</w:t>
      </w:r>
    </w:p>
    <w:p w:rsidR="002779FA" w:rsidRPr="00C25FFA" w:rsidRDefault="002779FA" w:rsidP="00B0014D">
      <w:pPr>
        <w:pStyle w:val="TOC1"/>
        <w:bidi/>
        <w:spacing w:line="192" w:lineRule="auto"/>
        <w:rPr>
          <w:rFonts w:asciiTheme="minorHAnsi" w:eastAsiaTheme="minorEastAsia" w:hAnsiTheme="minorHAnsi" w:cstheme="minorBidi"/>
          <w:szCs w:val="22"/>
          <w:lang w:val="en-US" w:eastAsia="zh-CN"/>
        </w:rPr>
      </w:pPr>
      <w:r w:rsidRPr="00207849">
        <w:rPr>
          <w:rStyle w:val="Hyperlink"/>
          <w:rFonts w:hint="cs"/>
          <w:color w:val="auto"/>
          <w:u w:val="none"/>
          <w:rtl/>
          <w:lang w:bidi="ar-EG"/>
        </w:rPr>
        <w:t>الملحـق</w:t>
      </w:r>
      <w:r w:rsidRPr="00207849">
        <w:rPr>
          <w:rStyle w:val="Hyperlink"/>
          <w:color w:val="auto"/>
          <w:u w:val="none"/>
          <w:rtl/>
          <w:lang w:bidi="ar-EG"/>
        </w:rPr>
        <w:t xml:space="preserve"> </w:t>
      </w:r>
      <w:r w:rsidRPr="00207849">
        <w:rPr>
          <w:rStyle w:val="Hyperlink"/>
          <w:color w:val="auto"/>
          <w:u w:val="none"/>
          <w:lang w:bidi="ar-EG"/>
        </w:rPr>
        <w:t>3</w:t>
      </w:r>
      <w:r w:rsidR="00207849">
        <w:rPr>
          <w:rFonts w:hint="cs"/>
          <w:webHidden/>
          <w:rtl/>
        </w:rPr>
        <w:t xml:space="preserve"> - </w:t>
      </w:r>
      <w:r w:rsidRPr="00C25FFA">
        <w:rPr>
          <w:rStyle w:val="Hyperlink"/>
          <w:rFonts w:hint="cs"/>
          <w:color w:val="auto"/>
          <w:u w:val="none"/>
          <w:rtl/>
        </w:rPr>
        <w:t>مثال</w:t>
      </w:r>
      <w:r w:rsidRPr="00C25FFA">
        <w:rPr>
          <w:rStyle w:val="Hyperlink"/>
          <w:color w:val="auto"/>
          <w:u w:val="none"/>
          <w:rtl/>
        </w:rPr>
        <w:t xml:space="preserve"> </w:t>
      </w:r>
      <w:r w:rsidRPr="00C25FFA">
        <w:rPr>
          <w:rStyle w:val="Hyperlink"/>
          <w:rFonts w:hint="cs"/>
          <w:color w:val="auto"/>
          <w:u w:val="none"/>
          <w:rtl/>
        </w:rPr>
        <w:t>لجدول</w:t>
      </w:r>
      <w:r w:rsidRPr="00C25FFA">
        <w:rPr>
          <w:rStyle w:val="Hyperlink"/>
          <w:color w:val="auto"/>
          <w:u w:val="none"/>
          <w:rtl/>
        </w:rPr>
        <w:t xml:space="preserve"> </w:t>
      </w:r>
      <w:r w:rsidRPr="00C25FFA">
        <w:rPr>
          <w:rStyle w:val="Hyperlink"/>
          <w:rFonts w:hint="cs"/>
          <w:color w:val="auto"/>
          <w:u w:val="none"/>
          <w:rtl/>
        </w:rPr>
        <w:t>يعطي</w:t>
      </w:r>
      <w:r w:rsidRPr="00C25FFA">
        <w:rPr>
          <w:rStyle w:val="Hyperlink"/>
          <w:color w:val="auto"/>
          <w:u w:val="none"/>
          <w:rtl/>
        </w:rPr>
        <w:t xml:space="preserve"> </w:t>
      </w:r>
      <w:r w:rsidRPr="00C25FFA">
        <w:rPr>
          <w:rStyle w:val="Hyperlink"/>
          <w:rFonts w:hint="cs"/>
          <w:color w:val="auto"/>
          <w:u w:val="none"/>
          <w:rtl/>
        </w:rPr>
        <w:t>قيمة</w:t>
      </w:r>
      <w:r w:rsidRPr="00C25FFA">
        <w:rPr>
          <w:rStyle w:val="Hyperlink"/>
          <w:color w:val="auto"/>
          <w:u w:val="none"/>
          <w:rtl/>
        </w:rPr>
        <w:t xml:space="preserve"> </w:t>
      </w:r>
      <w:r w:rsidRPr="00C25FFA">
        <w:rPr>
          <w:rStyle w:val="Hyperlink"/>
          <w:rFonts w:hint="cs"/>
          <w:color w:val="auto"/>
          <w:u w:val="none"/>
          <w:rtl/>
        </w:rPr>
        <w:t>المعامل</w:t>
      </w:r>
      <w:r w:rsidRPr="00C25FFA">
        <w:rPr>
          <w:rStyle w:val="Hyperlink"/>
          <w:color w:val="auto"/>
          <w:u w:val="none"/>
          <w:rtl/>
        </w:rPr>
        <w:t xml:space="preserve"> </w:t>
      </w:r>
      <w:r w:rsidRPr="00C25FFA">
        <w:rPr>
          <w:rStyle w:val="Hyperlink"/>
          <w:color w:val="auto"/>
          <w:u w:val="none"/>
        </w:rPr>
        <w:t>"c"</w:t>
      </w:r>
      <w:r w:rsidRPr="00C25FFA">
        <w:rPr>
          <w:rStyle w:val="Hyperlink"/>
          <w:color w:val="auto"/>
          <w:u w:val="none"/>
          <w:rtl/>
        </w:rPr>
        <w:t xml:space="preserve"> </w:t>
      </w:r>
      <w:r w:rsidRPr="00C25FFA">
        <w:rPr>
          <w:rStyle w:val="Hyperlink"/>
          <w:rFonts w:hint="cs"/>
          <w:color w:val="auto"/>
          <w:u w:val="none"/>
          <w:rtl/>
        </w:rPr>
        <w:t>تبعاً</w:t>
      </w:r>
      <w:r w:rsidRPr="00C25FFA">
        <w:rPr>
          <w:rStyle w:val="Hyperlink"/>
          <w:color w:val="auto"/>
          <w:u w:val="none"/>
          <w:rtl/>
        </w:rPr>
        <w:t xml:space="preserve"> </w:t>
      </w:r>
      <w:r w:rsidRPr="00C25FFA">
        <w:rPr>
          <w:rStyle w:val="Hyperlink"/>
          <w:rFonts w:hint="cs"/>
          <w:color w:val="auto"/>
          <w:u w:val="none"/>
          <w:rtl/>
        </w:rPr>
        <w:t>لمساحة</w:t>
      </w:r>
      <w:r w:rsidRPr="00C25FFA">
        <w:rPr>
          <w:rStyle w:val="Hyperlink"/>
          <w:color w:val="auto"/>
          <w:u w:val="none"/>
          <w:rtl/>
        </w:rPr>
        <w:t xml:space="preserve"> </w:t>
      </w:r>
      <w:r w:rsidRPr="00C25FFA">
        <w:rPr>
          <w:rStyle w:val="Hyperlink"/>
          <w:rFonts w:hint="cs"/>
          <w:color w:val="auto"/>
          <w:u w:val="none"/>
          <w:rtl/>
        </w:rPr>
        <w:t>منطقة</w:t>
      </w:r>
      <w:r w:rsidRPr="00C25FFA">
        <w:rPr>
          <w:rStyle w:val="Hyperlink"/>
          <w:color w:val="auto"/>
          <w:u w:val="none"/>
          <w:rtl/>
        </w:rPr>
        <w:t xml:space="preserve"> </w:t>
      </w:r>
      <w:r w:rsidRPr="00C25FFA">
        <w:rPr>
          <w:rStyle w:val="Hyperlink"/>
          <w:rFonts w:hint="cs"/>
          <w:color w:val="auto"/>
          <w:u w:val="none"/>
          <w:rtl/>
        </w:rPr>
        <w:t>التوزيع</w:t>
      </w:r>
      <w:r w:rsidRPr="00C25FFA">
        <w:rPr>
          <w:webHidden/>
        </w:rPr>
        <w:tab/>
      </w:r>
      <w:r w:rsidR="003F18AE" w:rsidRPr="00C25FFA">
        <w:rPr>
          <w:rFonts w:hint="cs"/>
          <w:webHidden/>
          <w:rtl/>
        </w:rPr>
        <w:tab/>
      </w:r>
      <w:r w:rsidR="009D5FA1" w:rsidRPr="00C25FFA">
        <w:rPr>
          <w:webHidden/>
        </w:rPr>
        <w:t>14</w:t>
      </w:r>
    </w:p>
    <w:p w:rsidR="002779FA" w:rsidRDefault="002779FA" w:rsidP="00B0014D">
      <w:pPr>
        <w:pStyle w:val="TOC1"/>
        <w:bidi/>
        <w:spacing w:line="192" w:lineRule="auto"/>
        <w:rPr>
          <w:webHidden/>
        </w:rPr>
      </w:pPr>
      <w:r w:rsidRPr="00207849">
        <w:rPr>
          <w:rStyle w:val="Hyperlink"/>
          <w:rFonts w:hint="cs"/>
          <w:color w:val="auto"/>
          <w:u w:val="none"/>
          <w:rtl/>
          <w:lang w:bidi="ar-EG"/>
        </w:rPr>
        <w:t>الملحـق</w:t>
      </w:r>
      <w:r w:rsidRPr="00207849">
        <w:rPr>
          <w:rStyle w:val="Hyperlink"/>
          <w:color w:val="auto"/>
          <w:u w:val="none"/>
          <w:rtl/>
          <w:lang w:bidi="ar-EG"/>
        </w:rPr>
        <w:t xml:space="preserve"> </w:t>
      </w:r>
      <w:r w:rsidRPr="00207849">
        <w:rPr>
          <w:rStyle w:val="Hyperlink"/>
          <w:color w:val="auto"/>
          <w:u w:val="none"/>
          <w:lang w:bidi="ar-EG"/>
        </w:rPr>
        <w:t>4</w:t>
      </w:r>
      <w:r w:rsidR="00207849">
        <w:rPr>
          <w:rStyle w:val="Hyperlink"/>
          <w:rFonts w:hint="cs"/>
          <w:b/>
          <w:bCs/>
          <w:color w:val="auto"/>
          <w:u w:val="none"/>
          <w:rtl/>
          <w:lang w:bidi="ar-EG"/>
        </w:rPr>
        <w:t xml:space="preserve"> - </w:t>
      </w:r>
      <w:r w:rsidRPr="00C25FFA">
        <w:rPr>
          <w:rStyle w:val="Hyperlink"/>
          <w:rFonts w:hint="cs"/>
          <w:color w:val="auto"/>
          <w:u w:val="none"/>
          <w:rtl/>
        </w:rPr>
        <w:t>عناصر</w:t>
      </w:r>
      <w:r w:rsidRPr="00C25FFA">
        <w:rPr>
          <w:rStyle w:val="Hyperlink"/>
          <w:color w:val="auto"/>
          <w:u w:val="none"/>
          <w:rtl/>
        </w:rPr>
        <w:t xml:space="preserve"> </w:t>
      </w:r>
      <w:r w:rsidRPr="00C25FFA">
        <w:rPr>
          <w:rStyle w:val="Hyperlink"/>
          <w:rFonts w:hint="cs"/>
          <w:color w:val="auto"/>
          <w:u w:val="none"/>
          <w:rtl/>
        </w:rPr>
        <w:t>يحتمل</w:t>
      </w:r>
      <w:r w:rsidRPr="00C25FFA">
        <w:rPr>
          <w:rStyle w:val="Hyperlink"/>
          <w:color w:val="auto"/>
          <w:u w:val="none"/>
          <w:rtl/>
        </w:rPr>
        <w:t xml:space="preserve"> </w:t>
      </w:r>
      <w:r w:rsidRPr="00C25FFA">
        <w:rPr>
          <w:rStyle w:val="Hyperlink"/>
          <w:rFonts w:hint="cs"/>
          <w:color w:val="auto"/>
          <w:u w:val="none"/>
          <w:rtl/>
        </w:rPr>
        <w:t>أن</w:t>
      </w:r>
      <w:r w:rsidRPr="00C25FFA">
        <w:rPr>
          <w:rStyle w:val="Hyperlink"/>
          <w:color w:val="auto"/>
          <w:u w:val="none"/>
          <w:rtl/>
        </w:rPr>
        <w:t xml:space="preserve"> </w:t>
      </w:r>
      <w:r w:rsidRPr="00C25FFA">
        <w:rPr>
          <w:rStyle w:val="Hyperlink"/>
          <w:rFonts w:hint="cs"/>
          <w:color w:val="auto"/>
          <w:u w:val="none"/>
          <w:rtl/>
        </w:rPr>
        <w:t>تؤخذ</w:t>
      </w:r>
      <w:r w:rsidRPr="00C25FFA">
        <w:rPr>
          <w:rStyle w:val="Hyperlink"/>
          <w:color w:val="auto"/>
          <w:u w:val="none"/>
          <w:rtl/>
        </w:rPr>
        <w:t xml:space="preserve"> </w:t>
      </w:r>
      <w:r w:rsidRPr="00C25FFA">
        <w:rPr>
          <w:rStyle w:val="Hyperlink"/>
          <w:rFonts w:hint="cs"/>
          <w:color w:val="auto"/>
          <w:u w:val="none"/>
          <w:rtl/>
        </w:rPr>
        <w:t>بعين</w:t>
      </w:r>
      <w:r w:rsidRPr="00C25FFA">
        <w:rPr>
          <w:rStyle w:val="Hyperlink"/>
          <w:color w:val="auto"/>
          <w:u w:val="none"/>
          <w:rtl/>
        </w:rPr>
        <w:t xml:space="preserve"> </w:t>
      </w:r>
      <w:r w:rsidRPr="00C25FFA">
        <w:rPr>
          <w:rStyle w:val="Hyperlink"/>
          <w:rFonts w:hint="cs"/>
          <w:color w:val="auto"/>
          <w:u w:val="none"/>
          <w:rtl/>
        </w:rPr>
        <w:t>الاعتبار</w:t>
      </w:r>
      <w:r w:rsidRPr="00C25FFA">
        <w:rPr>
          <w:rStyle w:val="Hyperlink"/>
          <w:color w:val="auto"/>
          <w:u w:val="none"/>
          <w:rtl/>
        </w:rPr>
        <w:t xml:space="preserve"> </w:t>
      </w:r>
      <w:r w:rsidRPr="00C25FFA">
        <w:rPr>
          <w:rStyle w:val="Hyperlink"/>
          <w:rFonts w:hint="cs"/>
          <w:color w:val="auto"/>
          <w:u w:val="none"/>
          <w:rtl/>
        </w:rPr>
        <w:t>لمقارنة</w:t>
      </w:r>
      <w:r w:rsidRPr="00C25FFA">
        <w:rPr>
          <w:rStyle w:val="Hyperlink"/>
          <w:color w:val="auto"/>
          <w:u w:val="none"/>
          <w:rtl/>
        </w:rPr>
        <w:t xml:space="preserve"> </w:t>
      </w:r>
      <w:r w:rsidRPr="00C25FFA">
        <w:rPr>
          <w:rStyle w:val="Hyperlink"/>
          <w:rFonts w:hint="cs"/>
          <w:color w:val="auto"/>
          <w:u w:val="none"/>
          <w:rtl/>
        </w:rPr>
        <w:t>الرسوم</w:t>
      </w:r>
      <w:r w:rsidRPr="00C25FFA">
        <w:rPr>
          <w:rStyle w:val="Hyperlink"/>
          <w:color w:val="auto"/>
          <w:u w:val="none"/>
          <w:rtl/>
        </w:rPr>
        <w:t xml:space="preserve"> </w:t>
      </w:r>
      <w:r w:rsidRPr="00C25FFA">
        <w:rPr>
          <w:rStyle w:val="Hyperlink"/>
          <w:rFonts w:hint="cs"/>
          <w:color w:val="auto"/>
          <w:u w:val="none"/>
          <w:rtl/>
        </w:rPr>
        <w:t>على</w:t>
      </w:r>
      <w:r w:rsidRPr="00C25FFA">
        <w:rPr>
          <w:rStyle w:val="Hyperlink"/>
          <w:color w:val="auto"/>
          <w:u w:val="none"/>
          <w:rtl/>
        </w:rPr>
        <w:t xml:space="preserve"> </w:t>
      </w:r>
      <w:r w:rsidRPr="00C25FFA">
        <w:rPr>
          <w:rStyle w:val="Hyperlink"/>
          <w:rFonts w:hint="cs"/>
          <w:color w:val="auto"/>
          <w:u w:val="none"/>
          <w:rtl/>
        </w:rPr>
        <w:t>المستوى</w:t>
      </w:r>
      <w:r w:rsidRPr="00C25FFA">
        <w:rPr>
          <w:rStyle w:val="Hyperlink"/>
          <w:color w:val="auto"/>
          <w:u w:val="none"/>
          <w:rtl/>
        </w:rPr>
        <w:t xml:space="preserve"> </w:t>
      </w:r>
      <w:r w:rsidRPr="00C25FFA">
        <w:rPr>
          <w:rStyle w:val="Hyperlink"/>
          <w:rFonts w:hint="cs"/>
          <w:color w:val="auto"/>
          <w:u w:val="none"/>
          <w:rtl/>
        </w:rPr>
        <w:t>الدولي</w:t>
      </w:r>
      <w:r w:rsidRPr="00C25FFA">
        <w:rPr>
          <w:webHidden/>
        </w:rPr>
        <w:tab/>
      </w:r>
      <w:r w:rsidR="003F18AE" w:rsidRPr="00C25FFA">
        <w:rPr>
          <w:rFonts w:hint="cs"/>
          <w:webHidden/>
          <w:rtl/>
        </w:rPr>
        <w:tab/>
      </w:r>
      <w:r w:rsidR="009D5FA1" w:rsidRPr="00C25FFA">
        <w:rPr>
          <w:webHidden/>
        </w:rPr>
        <w:t>15</w:t>
      </w:r>
    </w:p>
    <w:p w:rsidR="00B0014D" w:rsidRDefault="00B0014D">
      <w:pPr>
        <w:tabs>
          <w:tab w:val="clear" w:pos="794"/>
          <w:tab w:val="clear" w:pos="1191"/>
          <w:tab w:val="clear" w:pos="1588"/>
          <w:tab w:val="clear" w:pos="1985"/>
        </w:tabs>
        <w:overflowPunct/>
        <w:autoSpaceDE/>
        <w:autoSpaceDN/>
        <w:bidi w:val="0"/>
        <w:adjustRightInd/>
        <w:spacing w:before="0" w:line="240" w:lineRule="auto"/>
        <w:jc w:val="left"/>
        <w:textAlignment w:val="auto"/>
        <w:rPr>
          <w:webHidden/>
          <w:lang w:val="en-US"/>
        </w:rPr>
      </w:pPr>
      <w:r>
        <w:rPr>
          <w:webHidden/>
          <w:lang w:val="en-US"/>
        </w:rPr>
        <w:br w:type="page"/>
      </w:r>
    </w:p>
    <w:p w:rsidR="00B0014D" w:rsidRPr="00B0014D" w:rsidRDefault="00B0014D" w:rsidP="00B0014D">
      <w:pPr>
        <w:rPr>
          <w:webHidden/>
          <w:rtl/>
          <w:lang w:val="en-US"/>
        </w:rPr>
      </w:pPr>
    </w:p>
    <w:p w:rsidR="003C2C70" w:rsidRPr="003C2C70" w:rsidRDefault="003C2C70" w:rsidP="003A5BC8">
      <w:pPr>
        <w:spacing w:after="120"/>
        <w:rPr>
          <w:rFonts w:eastAsiaTheme="minorEastAsia"/>
          <w:b/>
          <w:bCs/>
          <w:i/>
          <w:iCs/>
          <w:lang w:val="en-US" w:bidi="ar-EG"/>
        </w:rPr>
      </w:pPr>
      <w:r w:rsidRPr="003C2C70">
        <w:rPr>
          <w:rFonts w:eastAsiaTheme="minorEastAsia"/>
          <w:b/>
          <w:bCs/>
          <w:i/>
          <w:iCs/>
          <w:lang w:val="en-US" w:bidi="ar-EG"/>
        </w:rPr>
        <w:t>Page</w:t>
      </w:r>
    </w:p>
    <w:p w:rsidR="002779FA" w:rsidRPr="00C25FFA" w:rsidRDefault="002779FA" w:rsidP="002A74E2">
      <w:pPr>
        <w:pStyle w:val="TOC1"/>
        <w:rPr>
          <w:rFonts w:asciiTheme="minorHAnsi" w:eastAsiaTheme="minorEastAsia" w:hAnsiTheme="minorHAnsi" w:cstheme="minorBidi"/>
          <w:szCs w:val="22"/>
          <w:lang w:val="en-US" w:eastAsia="zh-CN"/>
        </w:rPr>
      </w:pPr>
      <w:r w:rsidRPr="00C25FFA">
        <w:rPr>
          <w:rStyle w:val="Hyperlink"/>
          <w:color w:val="auto"/>
          <w:u w:val="none"/>
        </w:rPr>
        <w:t>Appendix 1.1 (English)  United Arab Emirates: Basic elements of spectrum fees policy</w:t>
      </w:r>
      <w:r w:rsidRPr="00C25FFA">
        <w:rPr>
          <w:webHidden/>
        </w:rPr>
        <w:tab/>
      </w:r>
      <w:r w:rsidR="003F18AE" w:rsidRPr="00C25FFA">
        <w:rPr>
          <w:rFonts w:hint="cs"/>
          <w:webHidden/>
          <w:rtl/>
        </w:rPr>
        <w:tab/>
      </w:r>
      <w:r w:rsidR="003F18AE" w:rsidRPr="00C25FFA">
        <w:rPr>
          <w:webHidden/>
        </w:rPr>
        <w:t>19</w:t>
      </w:r>
    </w:p>
    <w:p w:rsidR="002779FA" w:rsidRPr="00AA5C49" w:rsidRDefault="002779FA" w:rsidP="002A74E2">
      <w:pPr>
        <w:pStyle w:val="TOC1"/>
        <w:rPr>
          <w:rFonts w:asciiTheme="minorHAnsi" w:eastAsiaTheme="minorEastAsia" w:hAnsiTheme="minorHAnsi" w:cstheme="minorBidi"/>
          <w:szCs w:val="22"/>
          <w:lang w:val="fr-CH" w:eastAsia="zh-CN"/>
        </w:rPr>
      </w:pPr>
      <w:r w:rsidRPr="00AA5C49">
        <w:rPr>
          <w:rStyle w:val="Hyperlink"/>
          <w:color w:val="auto"/>
          <w:u w:val="none"/>
          <w:lang w:val="fr-CH"/>
        </w:rPr>
        <w:t>Appendice 1.1 (Français)  Emirats Arabes Unis: Eléments fondamentaux de la politique en matière de redevances d'utilisation du spectre</w:t>
      </w:r>
      <w:r w:rsidRPr="00AA5C49">
        <w:rPr>
          <w:webHidden/>
          <w:lang w:val="fr-CH"/>
        </w:rPr>
        <w:tab/>
      </w:r>
      <w:r w:rsidR="003F18AE" w:rsidRPr="00C25FFA">
        <w:rPr>
          <w:rFonts w:hint="cs"/>
          <w:webHidden/>
          <w:rtl/>
        </w:rPr>
        <w:tab/>
      </w:r>
      <w:r w:rsidR="003F18AE" w:rsidRPr="00AA5C49">
        <w:rPr>
          <w:webHidden/>
          <w:lang w:val="fr-CH"/>
        </w:rPr>
        <w:t>22</w:t>
      </w:r>
    </w:p>
    <w:p w:rsidR="002779FA" w:rsidRPr="00C25FFA" w:rsidRDefault="002779FA" w:rsidP="002A74E2">
      <w:pPr>
        <w:pStyle w:val="TOC1"/>
        <w:rPr>
          <w:rFonts w:asciiTheme="minorHAnsi" w:eastAsiaTheme="minorEastAsia" w:hAnsiTheme="minorHAnsi" w:cstheme="minorBidi"/>
          <w:szCs w:val="22"/>
          <w:lang w:val="en-US" w:eastAsia="zh-CN"/>
        </w:rPr>
      </w:pPr>
      <w:r w:rsidRPr="00C25FFA">
        <w:rPr>
          <w:rStyle w:val="Hyperlink"/>
          <w:color w:val="auto"/>
          <w:u w:val="none"/>
        </w:rPr>
        <w:t xml:space="preserve">Appendix 1.2 (English)  </w:t>
      </w:r>
      <w:r w:rsidRPr="00C25FFA">
        <w:rPr>
          <w:rStyle w:val="Hyperlink"/>
          <w:color w:val="auto"/>
          <w:u w:val="none"/>
          <w:lang w:val="en-US"/>
        </w:rPr>
        <w:t>United Arab Emirates: Proposed example on spectrum fees policy</w:t>
      </w:r>
      <w:r w:rsidRPr="00C25FFA">
        <w:rPr>
          <w:webHidden/>
        </w:rPr>
        <w:tab/>
      </w:r>
      <w:r w:rsidR="003F18AE" w:rsidRPr="00C25FFA">
        <w:rPr>
          <w:rFonts w:hint="cs"/>
          <w:webHidden/>
          <w:rtl/>
        </w:rPr>
        <w:tab/>
      </w:r>
      <w:r w:rsidR="003F18AE" w:rsidRPr="00C25FFA">
        <w:rPr>
          <w:webHidden/>
        </w:rPr>
        <w:t>25</w:t>
      </w:r>
    </w:p>
    <w:p w:rsidR="002779FA" w:rsidRPr="00AA5C49" w:rsidRDefault="002779FA" w:rsidP="00BE74A4">
      <w:pPr>
        <w:pStyle w:val="TOC1"/>
        <w:rPr>
          <w:rFonts w:asciiTheme="minorHAnsi" w:eastAsiaTheme="minorEastAsia" w:hAnsiTheme="minorHAnsi" w:cstheme="minorBidi"/>
          <w:szCs w:val="22"/>
          <w:lang w:val="fr-CH" w:eastAsia="zh-CN"/>
        </w:rPr>
      </w:pPr>
      <w:r w:rsidRPr="00AA5C49">
        <w:rPr>
          <w:rStyle w:val="Hyperlink"/>
          <w:color w:val="auto"/>
          <w:u w:val="none"/>
          <w:lang w:val="fr-CH"/>
        </w:rPr>
        <w:t xml:space="preserve">Appendice 1.2 (Français)  </w:t>
      </w:r>
      <w:r w:rsidRPr="00C25FFA">
        <w:rPr>
          <w:rStyle w:val="Hyperlink"/>
          <w:color w:val="auto"/>
          <w:u w:val="none"/>
          <w:lang w:val="fr-FR"/>
        </w:rPr>
        <w:t>Emirats arabes unis: Exemple de directive en matière de droits d'utilisation du spectre</w:t>
      </w:r>
      <w:r w:rsidRPr="00AA5C49">
        <w:rPr>
          <w:webHidden/>
          <w:lang w:val="fr-CH"/>
        </w:rPr>
        <w:tab/>
      </w:r>
      <w:r w:rsidR="003F18AE" w:rsidRPr="00C25FFA">
        <w:rPr>
          <w:rFonts w:hint="cs"/>
          <w:webHidden/>
          <w:rtl/>
        </w:rPr>
        <w:tab/>
      </w:r>
      <w:r w:rsidR="003F18AE" w:rsidRPr="00AA5C49">
        <w:rPr>
          <w:webHidden/>
          <w:lang w:val="fr-CH"/>
        </w:rPr>
        <w:t>4</w:t>
      </w:r>
      <w:r w:rsidR="00BE74A4" w:rsidRPr="00AA5C49">
        <w:rPr>
          <w:webHidden/>
          <w:lang w:val="fr-CH"/>
        </w:rPr>
        <w:t>3</w:t>
      </w:r>
    </w:p>
    <w:p w:rsidR="002779FA" w:rsidRPr="00C25FFA" w:rsidRDefault="002779FA" w:rsidP="00BE74A4">
      <w:pPr>
        <w:pStyle w:val="TOC1"/>
        <w:rPr>
          <w:rFonts w:asciiTheme="minorHAnsi" w:eastAsiaTheme="minorEastAsia" w:hAnsiTheme="minorHAnsi" w:cstheme="minorBidi"/>
          <w:szCs w:val="22"/>
          <w:lang w:val="en-US" w:eastAsia="zh-CN"/>
        </w:rPr>
      </w:pPr>
      <w:r w:rsidRPr="00C25FFA">
        <w:rPr>
          <w:rStyle w:val="Hyperlink"/>
          <w:color w:val="auto"/>
          <w:u w:val="none"/>
        </w:rPr>
        <w:t>Appendix 2.1 (English)  Switzerland Financing of spectrum management activities in Switzerland: Abstract</w:t>
      </w:r>
      <w:r w:rsidRPr="00C25FFA">
        <w:rPr>
          <w:webHidden/>
        </w:rPr>
        <w:tab/>
      </w:r>
      <w:r w:rsidR="003F18AE" w:rsidRPr="00C25FFA">
        <w:rPr>
          <w:rFonts w:hint="cs"/>
          <w:webHidden/>
          <w:rtl/>
        </w:rPr>
        <w:tab/>
      </w:r>
      <w:r w:rsidR="003F18AE" w:rsidRPr="00C25FFA">
        <w:rPr>
          <w:webHidden/>
        </w:rPr>
        <w:t>6</w:t>
      </w:r>
      <w:r w:rsidR="00BE74A4">
        <w:rPr>
          <w:webHidden/>
        </w:rPr>
        <w:t>2</w:t>
      </w:r>
    </w:p>
    <w:p w:rsidR="002779FA" w:rsidRPr="00AA5C49" w:rsidRDefault="002779FA" w:rsidP="00BE74A4">
      <w:pPr>
        <w:pStyle w:val="TOC1"/>
        <w:rPr>
          <w:rFonts w:asciiTheme="minorHAnsi" w:eastAsiaTheme="minorEastAsia" w:hAnsiTheme="minorHAnsi" w:cstheme="minorBidi"/>
          <w:szCs w:val="22"/>
          <w:lang w:val="fr-CH" w:eastAsia="zh-CN"/>
        </w:rPr>
      </w:pPr>
      <w:r w:rsidRPr="00AA5C49">
        <w:rPr>
          <w:rStyle w:val="Hyperlink"/>
          <w:color w:val="auto"/>
          <w:u w:val="none"/>
          <w:lang w:val="fr-CH"/>
        </w:rPr>
        <w:t>Appendice 2.1 (Français)  Suisse Financement des activités de gestion du spectre en Suisse: Résumé</w:t>
      </w:r>
      <w:r w:rsidRPr="00AA5C49">
        <w:rPr>
          <w:webHidden/>
          <w:lang w:val="fr-CH"/>
        </w:rPr>
        <w:tab/>
      </w:r>
      <w:r w:rsidR="003F18AE" w:rsidRPr="00C25FFA">
        <w:rPr>
          <w:rFonts w:hint="cs"/>
          <w:webHidden/>
          <w:rtl/>
        </w:rPr>
        <w:tab/>
      </w:r>
      <w:r w:rsidR="003F18AE" w:rsidRPr="00AA5C49">
        <w:rPr>
          <w:webHidden/>
          <w:lang w:val="fr-CH"/>
        </w:rPr>
        <w:t>6</w:t>
      </w:r>
      <w:r w:rsidR="00BE74A4" w:rsidRPr="00AA5C49">
        <w:rPr>
          <w:webHidden/>
          <w:lang w:val="fr-CH"/>
        </w:rPr>
        <w:t>3</w:t>
      </w:r>
    </w:p>
    <w:p w:rsidR="002779FA" w:rsidRPr="00AA5C49" w:rsidRDefault="002779FA" w:rsidP="00BE74A4">
      <w:pPr>
        <w:pStyle w:val="TOC1"/>
        <w:rPr>
          <w:rFonts w:asciiTheme="minorHAnsi" w:eastAsiaTheme="minorEastAsia" w:hAnsiTheme="minorHAnsi" w:cstheme="minorBidi"/>
          <w:szCs w:val="22"/>
          <w:lang w:val="fr-CH" w:eastAsia="zh-CN"/>
        </w:rPr>
      </w:pPr>
      <w:r w:rsidRPr="00AA5C49">
        <w:rPr>
          <w:rStyle w:val="Hyperlink"/>
          <w:color w:val="auto"/>
          <w:u w:val="none"/>
          <w:lang w:val="fr-CH"/>
        </w:rPr>
        <w:t>Appendice 2.2 (Français)  Financement des activités de gestion du spectre en Suisse</w:t>
      </w:r>
      <w:r w:rsidRPr="00AA5C49">
        <w:rPr>
          <w:webHidden/>
          <w:lang w:val="fr-CH"/>
        </w:rPr>
        <w:tab/>
      </w:r>
      <w:r w:rsidR="003F18AE" w:rsidRPr="00C25FFA">
        <w:rPr>
          <w:rFonts w:hint="cs"/>
          <w:webHidden/>
          <w:rtl/>
        </w:rPr>
        <w:tab/>
      </w:r>
      <w:r w:rsidR="003F18AE" w:rsidRPr="00AA5C49">
        <w:rPr>
          <w:webHidden/>
          <w:lang w:val="fr-CH"/>
        </w:rPr>
        <w:t>6</w:t>
      </w:r>
      <w:r w:rsidR="00BE74A4" w:rsidRPr="00AA5C49">
        <w:rPr>
          <w:webHidden/>
          <w:lang w:val="fr-CH"/>
        </w:rPr>
        <w:t>4</w:t>
      </w:r>
    </w:p>
    <w:p w:rsidR="002779FA" w:rsidRPr="00C25FFA" w:rsidRDefault="002779FA" w:rsidP="00BE74A4">
      <w:pPr>
        <w:pStyle w:val="TOC1"/>
        <w:rPr>
          <w:rFonts w:asciiTheme="minorHAnsi" w:eastAsiaTheme="minorEastAsia" w:hAnsiTheme="minorHAnsi" w:cstheme="minorBidi"/>
          <w:szCs w:val="22"/>
          <w:lang w:val="en-US" w:eastAsia="zh-CN"/>
        </w:rPr>
      </w:pPr>
      <w:r w:rsidRPr="00C25FFA">
        <w:rPr>
          <w:rStyle w:val="Hyperlink"/>
          <w:color w:val="auto"/>
          <w:u w:val="none"/>
        </w:rPr>
        <w:t>Appendix 3.1 (English)  Example of fee system for frequency utilization in Côte d'Ivoire</w:t>
      </w:r>
      <w:r w:rsidRPr="00C25FFA">
        <w:rPr>
          <w:webHidden/>
        </w:rPr>
        <w:tab/>
      </w:r>
      <w:r w:rsidR="003F18AE" w:rsidRPr="00C25FFA">
        <w:rPr>
          <w:rFonts w:hint="cs"/>
          <w:webHidden/>
          <w:rtl/>
        </w:rPr>
        <w:tab/>
      </w:r>
      <w:r w:rsidR="003F18AE" w:rsidRPr="00C25FFA">
        <w:rPr>
          <w:webHidden/>
        </w:rPr>
        <w:t>7</w:t>
      </w:r>
      <w:r w:rsidR="00BE74A4">
        <w:rPr>
          <w:webHidden/>
        </w:rPr>
        <w:t>0</w:t>
      </w:r>
    </w:p>
    <w:p w:rsidR="002779FA" w:rsidRPr="00AA5C49" w:rsidRDefault="002779FA" w:rsidP="00BE74A4">
      <w:pPr>
        <w:pStyle w:val="TOC1"/>
        <w:rPr>
          <w:rFonts w:asciiTheme="minorHAnsi" w:eastAsiaTheme="minorEastAsia" w:hAnsiTheme="minorHAnsi" w:cstheme="minorBidi"/>
          <w:szCs w:val="22"/>
          <w:lang w:val="fr-CH" w:eastAsia="zh-CN"/>
        </w:rPr>
      </w:pPr>
      <w:r w:rsidRPr="00AA5C49">
        <w:rPr>
          <w:rStyle w:val="Hyperlink"/>
          <w:color w:val="auto"/>
          <w:u w:val="none"/>
          <w:lang w:val="fr-CH"/>
        </w:rPr>
        <w:t>Appendice 3.1 (Français)  Exemple de système de redevances liées à l'utilisation des fréquences en Côte d'Ivoire</w:t>
      </w:r>
      <w:r w:rsidRPr="00AA5C49">
        <w:rPr>
          <w:webHidden/>
          <w:lang w:val="fr-CH"/>
        </w:rPr>
        <w:tab/>
      </w:r>
      <w:r w:rsidR="003F18AE" w:rsidRPr="00C25FFA">
        <w:rPr>
          <w:rFonts w:hint="cs"/>
          <w:webHidden/>
          <w:rtl/>
        </w:rPr>
        <w:tab/>
      </w:r>
      <w:r w:rsidR="003F18AE" w:rsidRPr="00AA5C49">
        <w:rPr>
          <w:webHidden/>
          <w:lang w:val="fr-CH"/>
        </w:rPr>
        <w:t>7</w:t>
      </w:r>
      <w:r w:rsidR="00BE74A4" w:rsidRPr="00AA5C49">
        <w:rPr>
          <w:webHidden/>
          <w:lang w:val="fr-CH"/>
        </w:rPr>
        <w:t>2</w:t>
      </w:r>
    </w:p>
    <w:p w:rsidR="002779FA" w:rsidRPr="00C25FFA" w:rsidRDefault="002779FA" w:rsidP="00BE74A4">
      <w:pPr>
        <w:pStyle w:val="TOC1"/>
        <w:rPr>
          <w:rFonts w:asciiTheme="minorHAnsi" w:eastAsiaTheme="minorEastAsia" w:hAnsiTheme="minorHAnsi" w:cstheme="minorBidi"/>
          <w:szCs w:val="22"/>
          <w:lang w:val="en-US" w:eastAsia="zh-CN"/>
        </w:rPr>
      </w:pPr>
      <w:r w:rsidRPr="00C25FFA">
        <w:rPr>
          <w:rStyle w:val="Hyperlink"/>
          <w:color w:val="auto"/>
          <w:u w:val="none"/>
        </w:rPr>
        <w:t>Appendix 3.2</w:t>
      </w:r>
      <w:r w:rsidRPr="00C25FFA">
        <w:rPr>
          <w:webHidden/>
        </w:rPr>
        <w:tab/>
      </w:r>
      <w:r w:rsidR="003F18AE" w:rsidRPr="00C25FFA">
        <w:rPr>
          <w:rFonts w:hint="cs"/>
          <w:webHidden/>
          <w:rtl/>
        </w:rPr>
        <w:tab/>
      </w:r>
      <w:r w:rsidR="009D5FA1" w:rsidRPr="00C25FFA">
        <w:rPr>
          <w:webHidden/>
        </w:rPr>
        <w:tab/>
      </w:r>
      <w:r w:rsidR="003F18AE" w:rsidRPr="00C25FFA">
        <w:rPr>
          <w:webHidden/>
        </w:rPr>
        <w:t>7</w:t>
      </w:r>
      <w:r w:rsidR="00BE74A4">
        <w:rPr>
          <w:webHidden/>
        </w:rPr>
        <w:t>5</w:t>
      </w:r>
    </w:p>
    <w:p w:rsidR="002779FA" w:rsidRPr="00327D99" w:rsidRDefault="002779FA" w:rsidP="00DD3657">
      <w:pPr>
        <w:rPr>
          <w:rtl/>
          <w:lang w:bidi="ar-SY"/>
        </w:rPr>
      </w:pPr>
    </w:p>
    <w:p w:rsidR="00DD3657" w:rsidRDefault="00DD3657" w:rsidP="00DD3657">
      <w:pPr>
        <w:spacing w:before="0"/>
        <w:rPr>
          <w:rtl/>
          <w:lang w:val="en-US" w:bidi="ar-EG"/>
        </w:rPr>
      </w:pPr>
    </w:p>
    <w:p w:rsidR="00FD3D41" w:rsidRDefault="00FD3D41" w:rsidP="00DD3657">
      <w:pPr>
        <w:pStyle w:val="Source"/>
        <w:spacing w:before="120"/>
        <w:rPr>
          <w:b w:val="0"/>
          <w:rtl/>
          <w:lang w:val="en-US"/>
        </w:rPr>
        <w:sectPr w:rsidR="00FD3D41" w:rsidSect="009B1376">
          <w:headerReference w:type="even" r:id="rId13"/>
          <w:headerReference w:type="default" r:id="rId14"/>
          <w:footerReference w:type="even" r:id="rId15"/>
          <w:footerReference w:type="default" r:id="rId16"/>
          <w:footerReference w:type="first" r:id="rId17"/>
          <w:type w:val="oddPage"/>
          <w:pgSz w:w="11907" w:h="16834" w:code="9"/>
          <w:pgMar w:top="1418" w:right="1134" w:bottom="1134" w:left="1134" w:header="720" w:footer="720" w:gutter="0"/>
          <w:paperSrc w:first="7" w:other="7"/>
          <w:pgNumType w:fmt="lowerRoman" w:start="1"/>
          <w:cols w:space="720"/>
          <w:docGrid w:linePitch="245"/>
        </w:sectPr>
      </w:pPr>
    </w:p>
    <w:p w:rsidR="00DD3657" w:rsidRPr="00377605" w:rsidRDefault="00DD3657" w:rsidP="00DD3657">
      <w:pPr>
        <w:pStyle w:val="Source"/>
        <w:spacing w:before="120"/>
        <w:rPr>
          <w:b w:val="0"/>
          <w:bCs w:val="0"/>
          <w:lang w:val="en-US"/>
        </w:rPr>
      </w:pPr>
      <w:r w:rsidRPr="00E2705C">
        <w:rPr>
          <w:b w:val="0"/>
          <w:rtl/>
          <w:lang w:val="en-US"/>
        </w:rPr>
        <w:lastRenderedPageBreak/>
        <w:t>الخطوط التو</w:t>
      </w:r>
      <w:r>
        <w:rPr>
          <w:b w:val="0"/>
          <w:rtl/>
          <w:lang w:val="en-US"/>
        </w:rPr>
        <w:t>جيهية لإقامة نظام متناسق للرسوم</w:t>
      </w:r>
      <w:r>
        <w:rPr>
          <w:b w:val="0"/>
          <w:rtl/>
          <w:lang w:val="en-US"/>
        </w:rPr>
        <w:br/>
      </w:r>
      <w:r w:rsidRPr="00E2705C">
        <w:rPr>
          <w:b w:val="0"/>
          <w:rtl/>
          <w:lang w:val="en-US"/>
        </w:rPr>
        <w:t>استناداً إلى استعمال الترددات</w:t>
      </w:r>
    </w:p>
    <w:p w:rsidR="00DD3657" w:rsidRPr="00E2705C" w:rsidRDefault="00DD3657" w:rsidP="00DD3657">
      <w:pPr>
        <w:pStyle w:val="Heading1"/>
        <w:rPr>
          <w:b w:val="0"/>
          <w:bCs w:val="0"/>
          <w:rtl/>
        </w:rPr>
      </w:pPr>
      <w:bookmarkStart w:id="1" w:name="_Toc282768607"/>
      <w:r w:rsidRPr="00327D99">
        <w:t>1</w:t>
      </w:r>
      <w:bookmarkStart w:id="2" w:name="_Toc209263365"/>
      <w:bookmarkStart w:id="3" w:name="_Toc223322731"/>
      <w:bookmarkStart w:id="4" w:name="_Toc223323173"/>
      <w:r w:rsidRPr="00327D99">
        <w:rPr>
          <w:rFonts w:hint="cs"/>
          <w:rtl/>
        </w:rPr>
        <w:t xml:space="preserve"> </w:t>
      </w:r>
      <w:r w:rsidRPr="00327D99">
        <w:rPr>
          <w:rFonts w:hint="cs"/>
          <w:rtl/>
          <w:lang w:bidi="ar-SY"/>
        </w:rPr>
        <w:tab/>
      </w:r>
      <w:r w:rsidRPr="00E2705C">
        <w:rPr>
          <w:b w:val="0"/>
          <w:rtl/>
        </w:rPr>
        <w:t>مقدمة</w:t>
      </w:r>
      <w:bookmarkEnd w:id="1"/>
      <w:bookmarkEnd w:id="2"/>
      <w:bookmarkEnd w:id="3"/>
      <w:bookmarkEnd w:id="4"/>
    </w:p>
    <w:p w:rsidR="00DD3657" w:rsidRPr="00327D99" w:rsidRDefault="00DD3657" w:rsidP="00DD3657">
      <w:pPr>
        <w:rPr>
          <w:rtl/>
          <w:lang w:val="en-US" w:bidi="ar-EG"/>
        </w:rPr>
      </w:pPr>
      <w:r w:rsidRPr="00327D99">
        <w:rPr>
          <w:rtl/>
          <w:lang w:val="en-US" w:bidi="ar-EG"/>
        </w:rPr>
        <w:t xml:space="preserve">تسهم هذه الوثيقة في الاستجابة إلى طلب القرار </w:t>
      </w:r>
      <w:r w:rsidRPr="00327D99">
        <w:rPr>
          <w:lang w:val="en-US" w:bidi="ar-EG"/>
        </w:rPr>
        <w:t>9</w:t>
      </w:r>
      <w:r w:rsidRPr="00327D99">
        <w:rPr>
          <w:rtl/>
          <w:lang w:val="en-US" w:bidi="ar-EG"/>
        </w:rPr>
        <w:t xml:space="preserve"> </w:t>
      </w:r>
      <w:r w:rsidRPr="00327D99">
        <w:rPr>
          <w:rtl/>
          <w:lang w:bidi="ar-EG"/>
        </w:rPr>
        <w:t xml:space="preserve">(المراجع في الدوحة، </w:t>
      </w:r>
      <w:r w:rsidRPr="00327D99">
        <w:rPr>
          <w:lang w:bidi="ar-EG"/>
        </w:rPr>
        <w:t>2006</w:t>
      </w:r>
      <w:r w:rsidRPr="00327D99">
        <w:rPr>
          <w:rtl/>
          <w:lang w:bidi="ar-EG"/>
        </w:rPr>
        <w:t>)، الذي ينص</w:t>
      </w:r>
      <w:r w:rsidRPr="00327D99">
        <w:rPr>
          <w:rtl/>
          <w:lang w:val="en-US" w:bidi="ar-EG"/>
        </w:rPr>
        <w:t xml:space="preserve"> في الفقرة </w:t>
      </w:r>
      <w:r w:rsidRPr="00327D99">
        <w:rPr>
          <w:lang w:val="en-US" w:bidi="ar-EG"/>
        </w:rPr>
        <w:t>2</w:t>
      </w:r>
      <w:r w:rsidRPr="00327D99">
        <w:rPr>
          <w:rtl/>
          <w:lang w:val="en-US" w:bidi="ar-EG"/>
        </w:rPr>
        <w:t xml:space="preserve"> من منطوق القرار على "</w:t>
      </w:r>
      <w:r w:rsidRPr="00327D99">
        <w:rPr>
          <w:i/>
          <w:iCs/>
          <w:rtl/>
          <w:lang w:val="en-US" w:bidi="ar-EG"/>
        </w:rPr>
        <w:t>مواصلة وضع قاعدة البيانات، الرسوم المستحقة على استعمال الترددات وتوفير مبادئ توجيهية ودراسات حالة جديدة انطلاقاً من التجربة العملية لدى الإدارات</w:t>
      </w:r>
      <w:r w:rsidRPr="00327D99">
        <w:rPr>
          <w:rtl/>
          <w:lang w:val="en-US" w:bidi="ar-EG"/>
        </w:rPr>
        <w:t>".</w:t>
      </w:r>
    </w:p>
    <w:p w:rsidR="00DD3657" w:rsidRPr="00327D99" w:rsidRDefault="00DD3657" w:rsidP="00DD3657">
      <w:pPr>
        <w:rPr>
          <w:rtl/>
          <w:lang w:val="en-US" w:bidi="ar-EG"/>
        </w:rPr>
      </w:pPr>
      <w:r w:rsidRPr="00327D99">
        <w:rPr>
          <w:rtl/>
          <w:lang w:val="en-US" w:bidi="ar-EG"/>
        </w:rPr>
        <w:t>تعكس الخطوط التوجيهية التالية التجربة العملية لعدد من الإدارات، وتهدف إلى إقامة نظام متناسق للرسوم يراعي ما يلي:</w:t>
      </w:r>
    </w:p>
    <w:p w:rsidR="00DD3657" w:rsidRPr="00327D99" w:rsidRDefault="002E7443" w:rsidP="00DD3657">
      <w:pPr>
        <w:rPr>
          <w:rtl/>
          <w:lang w:bidi="ar-EG"/>
        </w:rPr>
      </w:pPr>
      <w:r>
        <w:rPr>
          <w:rFonts w:hint="cs"/>
          <w:rtl/>
          <w:lang w:bidi="ar-EG"/>
        </w:rPr>
        <w:t>-</w:t>
      </w:r>
      <w:r w:rsidR="00DD3657" w:rsidRPr="00327D99">
        <w:rPr>
          <w:rtl/>
          <w:lang w:bidi="ar-EG"/>
        </w:rPr>
        <w:tab/>
        <w:t>تمويل إدارة الطيف؛</w:t>
      </w:r>
    </w:p>
    <w:p w:rsidR="00DD3657" w:rsidRPr="00327D99" w:rsidRDefault="002E7443" w:rsidP="00DD3657">
      <w:pPr>
        <w:rPr>
          <w:rtl/>
          <w:lang w:bidi="ar-EG"/>
        </w:rPr>
      </w:pPr>
      <w:r>
        <w:rPr>
          <w:rFonts w:hint="cs"/>
          <w:rtl/>
          <w:lang w:bidi="ar-EG"/>
        </w:rPr>
        <w:t>-</w:t>
      </w:r>
      <w:r w:rsidR="00DD3657" w:rsidRPr="00327D99">
        <w:rPr>
          <w:rtl/>
          <w:lang w:bidi="ar-EG"/>
        </w:rPr>
        <w:tab/>
        <w:t>الأهداف المتعلقة بالميزانية وتطوير السلطات الحكومية؛</w:t>
      </w:r>
    </w:p>
    <w:p w:rsidR="00DD3657" w:rsidRPr="00327D99" w:rsidRDefault="002E7443" w:rsidP="00DD3657">
      <w:pPr>
        <w:rPr>
          <w:rtl/>
          <w:lang w:bidi="ar-EG"/>
        </w:rPr>
      </w:pPr>
      <w:r>
        <w:rPr>
          <w:rFonts w:hint="cs"/>
          <w:rtl/>
          <w:lang w:bidi="ar-EG"/>
        </w:rPr>
        <w:t>-</w:t>
      </w:r>
      <w:r w:rsidR="00DD3657" w:rsidRPr="00327D99">
        <w:rPr>
          <w:rtl/>
          <w:lang w:bidi="ar-EG"/>
        </w:rPr>
        <w:tab/>
        <w:t>الأهداف المتعلقة بفعالية إدارة الطيف وكفاءة استعمال الترددات.</w:t>
      </w:r>
    </w:p>
    <w:p w:rsidR="00DD3657" w:rsidRPr="00327D99" w:rsidRDefault="00DD3657" w:rsidP="00DD3657">
      <w:pPr>
        <w:rPr>
          <w:rtl/>
          <w:lang w:val="en-US" w:bidi="ar-EG"/>
        </w:rPr>
      </w:pPr>
      <w:r w:rsidRPr="00327D99">
        <w:rPr>
          <w:rtl/>
          <w:lang w:val="en-US" w:bidi="ar-EG"/>
        </w:rPr>
        <w:t xml:space="preserve">ونتجت هذه الخطوط التوجيهية عن الأعمال التي أجريت أثناء فترة الدراسات </w:t>
      </w:r>
      <w:r w:rsidRPr="00327D99">
        <w:rPr>
          <w:lang w:val="en-US" w:bidi="ar-EG"/>
        </w:rPr>
        <w:t>2010-2006</w:t>
      </w:r>
      <w:r w:rsidRPr="00327D99">
        <w:rPr>
          <w:rtl/>
          <w:lang w:val="en-US" w:bidi="ar-EG"/>
        </w:rPr>
        <w:t>، والتي استندت إلى الوثائق التالية:</w:t>
      </w:r>
    </w:p>
    <w:p w:rsidR="00DD3657" w:rsidRPr="00327D99" w:rsidRDefault="00DD3657" w:rsidP="00DD3657">
      <w:pPr>
        <w:pStyle w:val="enumlev1"/>
        <w:spacing w:before="120"/>
        <w:rPr>
          <w:rtl/>
          <w:lang w:bidi="ar-EG"/>
        </w:rPr>
      </w:pPr>
      <w:r w:rsidRPr="00327D99">
        <w:rPr>
          <w:rtl/>
          <w:lang w:bidi="ar-EG"/>
        </w:rPr>
        <w:t>-</w:t>
      </w:r>
      <w:r w:rsidRPr="00327D99">
        <w:rPr>
          <w:rtl/>
          <w:lang w:bidi="ar-EG"/>
        </w:rPr>
        <w:tab/>
        <w:t xml:space="preserve">التقرير </w:t>
      </w:r>
      <w:r w:rsidRPr="00327D99">
        <w:rPr>
          <w:lang w:bidi="ar-EG"/>
        </w:rPr>
        <w:t>ITU-R SM.2012-2</w:t>
      </w:r>
      <w:r w:rsidRPr="00327D99">
        <w:rPr>
          <w:rtl/>
          <w:lang w:bidi="ar-EG"/>
        </w:rPr>
        <w:t xml:space="preserve"> - الجوانب الاقتصادية لإدارة الطيف.</w:t>
      </w:r>
    </w:p>
    <w:p w:rsidR="00DD3657" w:rsidRPr="00327D99" w:rsidRDefault="00DD3657" w:rsidP="00DD3657">
      <w:pPr>
        <w:pStyle w:val="enumlev1"/>
        <w:spacing w:before="120"/>
        <w:rPr>
          <w:rtl/>
          <w:lang w:bidi="ar-EG"/>
        </w:rPr>
      </w:pPr>
      <w:r w:rsidRPr="00327D99">
        <w:rPr>
          <w:rtl/>
          <w:lang w:bidi="ar-EG"/>
        </w:rPr>
        <w:t>-</w:t>
      </w:r>
      <w:r w:rsidRPr="00327D99">
        <w:rPr>
          <w:rtl/>
          <w:lang w:bidi="ar-EG"/>
        </w:rPr>
        <w:tab/>
        <w:t>مشروع السوق المشتركة لدول غرب إفريقيا: انسجام السياسات الناظمة لسوق تكنولوجيا المعلومات والاتصالات</w:t>
      </w:r>
      <w:r>
        <w:rPr>
          <w:rFonts w:hint="cs"/>
          <w:rtl/>
          <w:lang w:bidi="ar-EG"/>
        </w:rPr>
        <w:t> </w:t>
      </w:r>
      <w:r w:rsidRPr="00327D99">
        <w:rPr>
          <w:rtl/>
          <w:lang w:bidi="ar-EG"/>
        </w:rPr>
        <w:t xml:space="preserve">في منطقة الجماعة الاقتصادية لدول غرب إفريقيا/الاتحاد الاقتصادي والنقدي لدول غرب إفريقيا </w:t>
      </w:r>
      <w:r w:rsidRPr="00327D99">
        <w:rPr>
          <w:lang w:bidi="ar-EG"/>
        </w:rPr>
        <w:t>(UEMOA-ECOWAS)</w:t>
      </w:r>
      <w:r w:rsidRPr="00327D99">
        <w:rPr>
          <w:rtl/>
          <w:lang w:bidi="ar-EG"/>
        </w:rPr>
        <w:t>. الخطوط التوجيهية النهائية المعتمدة في الجمعية العامة العادية الثالثة لجمعية منظمي الاتصالات في</w:t>
      </w:r>
      <w:r>
        <w:rPr>
          <w:rFonts w:hint="cs"/>
          <w:rtl/>
          <w:lang w:bidi="ar-EG"/>
        </w:rPr>
        <w:t> </w:t>
      </w:r>
      <w:r w:rsidRPr="00327D99">
        <w:rPr>
          <w:rtl/>
          <w:lang w:bidi="ar-EG"/>
        </w:rPr>
        <w:t xml:space="preserve">غرب إفريقيا المنعقدة في </w:t>
      </w:r>
      <w:r w:rsidRPr="00327D99">
        <w:rPr>
          <w:lang w:bidi="ar-EG"/>
        </w:rPr>
        <w:t>9</w:t>
      </w:r>
      <w:r w:rsidRPr="00327D99">
        <w:rPr>
          <w:rtl/>
          <w:lang w:bidi="ar-EG"/>
        </w:rPr>
        <w:t xml:space="preserve"> سبتمبر </w:t>
      </w:r>
      <w:r w:rsidRPr="00327D99">
        <w:rPr>
          <w:lang w:bidi="ar-EG"/>
        </w:rPr>
        <w:t>2005</w:t>
      </w:r>
      <w:r w:rsidRPr="00327D99">
        <w:rPr>
          <w:rtl/>
          <w:lang w:bidi="ar-EG"/>
        </w:rPr>
        <w:t>.</w:t>
      </w:r>
    </w:p>
    <w:p w:rsidR="00DD3657" w:rsidRPr="00327D99" w:rsidRDefault="00DD3657" w:rsidP="00DD3657">
      <w:pPr>
        <w:rPr>
          <w:rtl/>
          <w:lang w:bidi="ar-EG"/>
        </w:rPr>
      </w:pPr>
      <w:r w:rsidRPr="00327D99">
        <w:rPr>
          <w:rtl/>
          <w:lang w:bidi="ar-EG"/>
        </w:rPr>
        <w:t>ويجدر بالذكر خاصة البلدان التالية التي توافق على المبادئ المذكورة وتطبق فعلياً كلياً أو جزئياً الخطوط التوجيهية المبينة أدناه: البرازيل، الصين، كوت ديفوار، الإمارات العربية المتحدة، إسبانيا، إستونيا، فنلندا، فرنسا، هنغاريا، ليسوتو، المغرب، سويسرا، تن</w:t>
      </w:r>
      <w:r>
        <w:rPr>
          <w:rFonts w:hint="cs"/>
          <w:rtl/>
          <w:lang w:bidi="ar-EG"/>
        </w:rPr>
        <w:t>ـ</w:t>
      </w:r>
      <w:r w:rsidRPr="00327D99">
        <w:rPr>
          <w:rtl/>
          <w:lang w:bidi="ar-EG"/>
        </w:rPr>
        <w:t>زانيا.</w:t>
      </w:r>
    </w:p>
    <w:p w:rsidR="00DD3657" w:rsidRPr="00377605" w:rsidRDefault="00DD3657" w:rsidP="00DD3657">
      <w:pPr>
        <w:pStyle w:val="Headingb"/>
        <w:rPr>
          <w:b w:val="0"/>
          <w:bCs w:val="0"/>
          <w:sz w:val="30"/>
          <w:rtl/>
          <w:lang w:bidi="ar-EG"/>
        </w:rPr>
      </w:pPr>
      <w:r w:rsidRPr="00377605">
        <w:rPr>
          <w:rFonts w:hint="cs"/>
          <w:b w:val="0"/>
          <w:sz w:val="30"/>
          <w:rtl/>
          <w:lang w:bidi="ar-EG"/>
        </w:rPr>
        <w:t>تتعلق</w:t>
      </w:r>
      <w:r w:rsidRPr="00377605">
        <w:rPr>
          <w:b w:val="0"/>
          <w:sz w:val="30"/>
          <w:rtl/>
          <w:lang w:bidi="ar-EG"/>
        </w:rPr>
        <w:t xml:space="preserve"> الخطوط التوجيهية المتضمنة في هذه الوثيقة حصرياً </w:t>
      </w:r>
      <w:r w:rsidRPr="00377605">
        <w:rPr>
          <w:rFonts w:hint="cs"/>
          <w:b w:val="0"/>
          <w:sz w:val="30"/>
          <w:rtl/>
          <w:lang w:bidi="ar-EG"/>
        </w:rPr>
        <w:t>ب</w:t>
      </w:r>
      <w:r w:rsidRPr="00377605">
        <w:rPr>
          <w:b w:val="0"/>
          <w:sz w:val="30"/>
          <w:rtl/>
          <w:lang w:bidi="ar-EG"/>
        </w:rPr>
        <w:t>الاستعمالات غير الحكومية للطيف الراديوي</w:t>
      </w:r>
    </w:p>
    <w:p w:rsidR="00DD3657" w:rsidRPr="00057710" w:rsidRDefault="00DD3657" w:rsidP="0064775E">
      <w:pPr>
        <w:pStyle w:val="Heading1"/>
        <w:rPr>
          <w:rtl/>
        </w:rPr>
      </w:pPr>
      <w:bookmarkStart w:id="5" w:name="_Toc209263366"/>
      <w:bookmarkStart w:id="6" w:name="_Toc223322732"/>
      <w:bookmarkStart w:id="7" w:name="_Toc223323174"/>
      <w:bookmarkStart w:id="8" w:name="_Toc282768608"/>
      <w:r w:rsidRPr="00057710">
        <w:t>2</w:t>
      </w:r>
      <w:r w:rsidRPr="00057710">
        <w:tab/>
      </w:r>
      <w:r w:rsidRPr="00057710">
        <w:rPr>
          <w:rtl/>
        </w:rPr>
        <w:t>تعاريف تخص هذه الوثيقة</w:t>
      </w:r>
      <w:bookmarkEnd w:id="5"/>
      <w:bookmarkEnd w:id="6"/>
      <w:bookmarkEnd w:id="7"/>
      <w:bookmarkEnd w:id="8"/>
    </w:p>
    <w:p w:rsidR="00DD3657" w:rsidRPr="00327D99" w:rsidRDefault="00DD3657" w:rsidP="00DD3657">
      <w:pPr>
        <w:rPr>
          <w:rtl/>
          <w:lang w:val="en-US" w:bidi="ar-EG"/>
        </w:rPr>
      </w:pPr>
      <w:r w:rsidRPr="00327D99">
        <w:rPr>
          <w:rtl/>
          <w:lang w:val="en-US" w:bidi="ar-EG"/>
        </w:rPr>
        <w:t xml:space="preserve">استعملت التعاريف التالية لأغراض التيسير والوضوح، وهي تخص هذه الوثيقة. وتختلف هذه التعاريف بعض الشيء عن التعاريف التي يعطيها الرقمان </w:t>
      </w:r>
      <w:r w:rsidRPr="00327D99">
        <w:rPr>
          <w:lang w:val="en-US" w:bidi="ar-EG"/>
        </w:rPr>
        <w:t>17.1</w:t>
      </w:r>
      <w:r w:rsidRPr="00327D99">
        <w:rPr>
          <w:rtl/>
          <w:lang w:val="en-US" w:bidi="ar-EG"/>
        </w:rPr>
        <w:t xml:space="preserve"> و</w:t>
      </w:r>
      <w:r w:rsidRPr="00327D99">
        <w:rPr>
          <w:lang w:val="en-US" w:bidi="ar-EG"/>
        </w:rPr>
        <w:t>18.1</w:t>
      </w:r>
      <w:r w:rsidRPr="00327D99">
        <w:rPr>
          <w:rtl/>
          <w:lang w:val="en-US" w:bidi="ar-EG"/>
        </w:rPr>
        <w:t xml:space="preserve"> من لوائح الراديو للتعبيرين "تعيين" و"تخصيص" على التوالي.</w:t>
      </w:r>
    </w:p>
    <w:p w:rsidR="00DD3657" w:rsidRPr="00327D99" w:rsidRDefault="00DD3657" w:rsidP="00DD3657">
      <w:pPr>
        <w:rPr>
          <w:rtl/>
          <w:lang w:bidi="ar-EG"/>
        </w:rPr>
      </w:pPr>
      <w:r w:rsidRPr="00327D99">
        <w:rPr>
          <w:lang w:bidi="ar-EG"/>
        </w:rPr>
        <w:t>[1]</w:t>
      </w:r>
      <w:r w:rsidRPr="00327D99">
        <w:rPr>
          <w:rtl/>
          <w:lang w:bidi="ar-EG"/>
        </w:rPr>
        <w:tab/>
      </w:r>
      <w:r w:rsidRPr="00327D99">
        <w:rPr>
          <w:i/>
          <w:iCs/>
          <w:rtl/>
          <w:lang w:bidi="ar-EG"/>
        </w:rPr>
        <w:t>التخصيص</w:t>
      </w:r>
      <w:r w:rsidRPr="00327D99">
        <w:rPr>
          <w:rtl/>
          <w:lang w:bidi="ar-EG"/>
        </w:rPr>
        <w:t xml:space="preserve">: أي ترخيص ممنوح لاستعمال تردد راديوي في موقع محدد، وفقاً لشروط خاصة. ويسمى هذا التردد </w:t>
      </w:r>
      <w:r w:rsidRPr="00327D99">
        <w:rPr>
          <w:i/>
          <w:iCs/>
          <w:rtl/>
          <w:lang w:bidi="ar-EG"/>
        </w:rPr>
        <w:t>تردداً مخصصاً</w:t>
      </w:r>
      <w:r w:rsidRPr="00327D99">
        <w:rPr>
          <w:rtl/>
          <w:lang w:bidi="ar-EG"/>
        </w:rPr>
        <w:t>.</w:t>
      </w:r>
    </w:p>
    <w:p w:rsidR="00DD3657" w:rsidRPr="00327D99" w:rsidRDefault="00DD3657" w:rsidP="00DD3657">
      <w:pPr>
        <w:rPr>
          <w:rtl/>
          <w:lang w:bidi="ar-EG"/>
        </w:rPr>
      </w:pPr>
      <w:r w:rsidRPr="00327D99">
        <w:rPr>
          <w:lang w:bidi="ar-EG"/>
        </w:rPr>
        <w:t>[2]</w:t>
      </w:r>
      <w:r w:rsidRPr="00327D99">
        <w:rPr>
          <w:rtl/>
          <w:lang w:bidi="ar-EG"/>
        </w:rPr>
        <w:tab/>
      </w:r>
      <w:r w:rsidRPr="00327D99">
        <w:rPr>
          <w:i/>
          <w:iCs/>
          <w:rtl/>
          <w:lang w:bidi="ar-EG"/>
        </w:rPr>
        <w:t>مساحة التوزيع</w:t>
      </w:r>
      <w:r w:rsidRPr="00327D99">
        <w:rPr>
          <w:rtl/>
          <w:lang w:bidi="ar-EG"/>
        </w:rPr>
        <w:t xml:space="preserve"> لتخصيص معين: الجزء من الأراضي الذي يمكن فيه استعمال التردد المخصص.</w:t>
      </w:r>
    </w:p>
    <w:p w:rsidR="00DD3657" w:rsidRPr="00327D99" w:rsidRDefault="00DD3657" w:rsidP="00DD3657">
      <w:pPr>
        <w:rPr>
          <w:rtl/>
          <w:lang w:bidi="ar-EG"/>
        </w:rPr>
      </w:pPr>
      <w:r w:rsidRPr="00327D99">
        <w:rPr>
          <w:lang w:bidi="ar-EG"/>
        </w:rPr>
        <w:t>[3]</w:t>
      </w:r>
      <w:r w:rsidRPr="00327D99">
        <w:rPr>
          <w:lang w:bidi="ar-EG"/>
        </w:rPr>
        <w:tab/>
      </w:r>
      <w:r w:rsidRPr="00327D99">
        <w:rPr>
          <w:i/>
          <w:iCs/>
          <w:rtl/>
          <w:lang w:bidi="ar-EG"/>
        </w:rPr>
        <w:t>التعيين</w:t>
      </w:r>
      <w:r w:rsidRPr="00327D99">
        <w:rPr>
          <w:rtl/>
          <w:lang w:bidi="ar-EG"/>
        </w:rPr>
        <w:t xml:space="preserve">: أي ترخيص ممنوح لاستعمال مجموعة ترددات على منطقة جغرافية معينة. وتسمى هذه الترددات </w:t>
      </w:r>
      <w:r w:rsidRPr="00327D99">
        <w:rPr>
          <w:i/>
          <w:iCs/>
          <w:rtl/>
          <w:lang w:bidi="ar-EG"/>
        </w:rPr>
        <w:t>ترددات</w:t>
      </w:r>
      <w:r>
        <w:rPr>
          <w:rFonts w:hint="cs"/>
          <w:i/>
          <w:iCs/>
          <w:rtl/>
          <w:lang w:bidi="ar-EG"/>
        </w:rPr>
        <w:t> </w:t>
      </w:r>
      <w:r w:rsidRPr="00327D99">
        <w:rPr>
          <w:i/>
          <w:iCs/>
          <w:rtl/>
          <w:lang w:bidi="ar-EG"/>
        </w:rPr>
        <w:t>معينة</w:t>
      </w:r>
      <w:r w:rsidRPr="00327D99">
        <w:rPr>
          <w:rtl/>
          <w:lang w:bidi="ar-EG"/>
        </w:rPr>
        <w:t>.</w:t>
      </w:r>
    </w:p>
    <w:p w:rsidR="00DD3657" w:rsidRPr="00057710" w:rsidRDefault="00DD3657" w:rsidP="0064775E">
      <w:pPr>
        <w:pStyle w:val="Heading1"/>
        <w:rPr>
          <w:rtl/>
        </w:rPr>
      </w:pPr>
      <w:bookmarkStart w:id="9" w:name="_Toc209263367"/>
      <w:bookmarkStart w:id="10" w:name="_Toc223322733"/>
      <w:bookmarkStart w:id="11" w:name="_Toc223323175"/>
      <w:bookmarkStart w:id="12" w:name="_Toc282768609"/>
      <w:r w:rsidRPr="00057710">
        <w:lastRenderedPageBreak/>
        <w:t>3</w:t>
      </w:r>
      <w:r w:rsidRPr="00057710">
        <w:tab/>
      </w:r>
      <w:r w:rsidRPr="00057710">
        <w:rPr>
          <w:rtl/>
        </w:rPr>
        <w:t>المبادئ الأساسية</w:t>
      </w:r>
      <w:bookmarkEnd w:id="9"/>
      <w:bookmarkEnd w:id="10"/>
      <w:bookmarkEnd w:id="11"/>
      <w:bookmarkEnd w:id="12"/>
    </w:p>
    <w:p w:rsidR="00DD3657" w:rsidRPr="00327D99" w:rsidRDefault="00DD3657" w:rsidP="00DD3657">
      <w:pPr>
        <w:rPr>
          <w:rtl/>
          <w:lang w:val="en-US" w:bidi="ar-EG"/>
        </w:rPr>
      </w:pPr>
      <w:r w:rsidRPr="00327D99">
        <w:rPr>
          <w:rtl/>
          <w:lang w:val="en-US" w:bidi="ar-EG"/>
        </w:rPr>
        <w:t>يجب مراعاة المبادئ التالية عند إقامة أي نظام للرسوم. وتشكل هذه المبادئ الأساس الذي تقوم عليه الخطوط التوجيهية الواردة في هذه الوثيقة.</w:t>
      </w:r>
    </w:p>
    <w:p w:rsidR="00DD3657" w:rsidRPr="00327D99" w:rsidRDefault="00DD3657" w:rsidP="00DD3657">
      <w:pPr>
        <w:pStyle w:val="Heading2"/>
        <w:rPr>
          <w:rtl/>
          <w:lang w:bidi="ar-EG"/>
        </w:rPr>
      </w:pPr>
      <w:bookmarkStart w:id="13" w:name="_Toc209263368"/>
      <w:bookmarkStart w:id="14" w:name="_Toc223323176"/>
      <w:bookmarkStart w:id="15" w:name="_Toc282768610"/>
      <w:r w:rsidRPr="00327D99">
        <w:rPr>
          <w:lang w:bidi="ar-EG"/>
        </w:rPr>
        <w:t>1.3</w:t>
      </w:r>
      <w:r w:rsidRPr="00327D99">
        <w:rPr>
          <w:lang w:bidi="ar-EG"/>
        </w:rPr>
        <w:tab/>
      </w:r>
      <w:r w:rsidRPr="00057710">
        <w:rPr>
          <w:b w:val="0"/>
          <w:rtl/>
          <w:lang w:bidi="ar-EG"/>
        </w:rPr>
        <w:t>المبادئ القانونية</w:t>
      </w:r>
      <w:bookmarkEnd w:id="13"/>
      <w:bookmarkEnd w:id="14"/>
      <w:bookmarkEnd w:id="15"/>
    </w:p>
    <w:p w:rsidR="00DD3657" w:rsidRPr="00327D99" w:rsidRDefault="00DD3657" w:rsidP="00DD3657">
      <w:pPr>
        <w:rPr>
          <w:spacing w:val="-6"/>
          <w:rtl/>
          <w:lang w:val="en-US" w:bidi="ar-EG"/>
        </w:rPr>
      </w:pPr>
      <w:r w:rsidRPr="00327D99">
        <w:rPr>
          <w:spacing w:val="-6"/>
          <w:lang w:bidi="ar-EG"/>
        </w:rPr>
        <w:t>[4]</w:t>
      </w:r>
      <w:r w:rsidRPr="00327D99">
        <w:rPr>
          <w:spacing w:val="-6"/>
          <w:lang w:val="en-US" w:bidi="ar-EG"/>
        </w:rPr>
        <w:tab/>
      </w:r>
      <w:r w:rsidRPr="00327D99">
        <w:rPr>
          <w:spacing w:val="-6"/>
          <w:rtl/>
          <w:lang w:val="en-US" w:bidi="ar-EG"/>
        </w:rPr>
        <w:t>يعتبر الطيف الراديوي ملكاً للدولة. وبالتالي، فإن كل استخدام للطيف في أنشطة غير حكومية يعتبر شغلاً لأغراض خاصة.</w:t>
      </w:r>
    </w:p>
    <w:p w:rsidR="00DD3657" w:rsidRPr="00327D99" w:rsidRDefault="00DD3657" w:rsidP="00DD3657">
      <w:pPr>
        <w:rPr>
          <w:lang w:val="en-US" w:bidi="ar-EG"/>
        </w:rPr>
      </w:pPr>
      <w:r w:rsidRPr="00327D99">
        <w:rPr>
          <w:lang w:val="en-US" w:bidi="ar-EG"/>
        </w:rPr>
        <w:t>[</w:t>
      </w:r>
      <w:r w:rsidRPr="00327D99">
        <w:rPr>
          <w:lang w:bidi="ar-EG"/>
        </w:rPr>
        <w:t>5</w:t>
      </w:r>
      <w:r w:rsidRPr="00327D99">
        <w:rPr>
          <w:lang w:val="en-US" w:bidi="ar-EG"/>
        </w:rPr>
        <w:t>]</w:t>
      </w:r>
      <w:r w:rsidRPr="00327D99">
        <w:rPr>
          <w:lang w:val="en-US" w:bidi="ar-EG"/>
        </w:rPr>
        <w:tab/>
      </w:r>
      <w:r w:rsidRPr="00327D99">
        <w:rPr>
          <w:rtl/>
          <w:lang w:val="en-US" w:bidi="ar-EG"/>
        </w:rPr>
        <w:t>نظراً لأن الطيف يعتبر من الأملاك العامة للدولة، يجب إدارته بحيث يلب‍ي المصلحة العامة للمجتمع الوطني ككل.</w:t>
      </w:r>
    </w:p>
    <w:p w:rsidR="00DD3657" w:rsidRPr="00327D99" w:rsidRDefault="00DD3657" w:rsidP="00DD3657">
      <w:pPr>
        <w:rPr>
          <w:rtl/>
          <w:lang w:bidi="ar-EG"/>
        </w:rPr>
      </w:pPr>
      <w:r w:rsidRPr="00327D99">
        <w:rPr>
          <w:lang w:bidi="ar-EG"/>
        </w:rPr>
        <w:t>[6]</w:t>
      </w:r>
      <w:r w:rsidRPr="00327D99">
        <w:rPr>
          <w:rtl/>
          <w:lang w:val="en-US" w:bidi="ar-EG"/>
        </w:rPr>
        <w:tab/>
        <w:t xml:space="preserve">وبما أن الدولة تملك الطيف، يحق لها أن تطلب من شاغلي الطيف لأغراض خاصة، دفع </w:t>
      </w:r>
      <w:r w:rsidRPr="00327D99">
        <w:rPr>
          <w:i/>
          <w:iCs/>
          <w:rtl/>
          <w:lang w:val="en-US" w:bidi="ar-EG"/>
        </w:rPr>
        <w:t>"</w:t>
      </w:r>
      <w:r w:rsidRPr="00327D99">
        <w:rPr>
          <w:i/>
          <w:iCs/>
          <w:u w:val="single"/>
          <w:rtl/>
          <w:lang w:val="en-US" w:bidi="ar-EG"/>
        </w:rPr>
        <w:t>رسوم الطيف</w:t>
      </w:r>
      <w:r w:rsidRPr="00327D99">
        <w:rPr>
          <w:rtl/>
          <w:lang w:val="en-US" w:bidi="ar-EG"/>
        </w:rPr>
        <w:t xml:space="preserve">" (تسمى أيضاً </w:t>
      </w:r>
      <w:r w:rsidRPr="00327D99">
        <w:rPr>
          <w:i/>
          <w:iCs/>
          <w:rtl/>
          <w:lang w:val="en-US" w:bidi="ar-EG"/>
        </w:rPr>
        <w:t>رسوم شغل الطيف</w:t>
      </w:r>
      <w:r w:rsidRPr="00327D99">
        <w:rPr>
          <w:rtl/>
          <w:lang w:val="en-US" w:bidi="ar-EG"/>
        </w:rPr>
        <w:t xml:space="preserve">، أو </w:t>
      </w:r>
      <w:r w:rsidRPr="00327D99">
        <w:rPr>
          <w:i/>
          <w:iCs/>
          <w:rtl/>
          <w:lang w:val="en-US" w:bidi="ar-EG"/>
        </w:rPr>
        <w:t>رسوم إتاحة الطيف</w:t>
      </w:r>
      <w:r w:rsidRPr="00327D99">
        <w:rPr>
          <w:rtl/>
          <w:lang w:val="en-US" w:bidi="ar-EG"/>
        </w:rPr>
        <w:t xml:space="preserve"> أو </w:t>
      </w:r>
      <w:r w:rsidRPr="00327D99">
        <w:rPr>
          <w:i/>
          <w:iCs/>
          <w:rtl/>
          <w:lang w:val="en-US" w:bidi="ar-EG"/>
        </w:rPr>
        <w:t xml:space="preserve">رسوم استخدام الترددات أو مجرد رسوم </w:t>
      </w:r>
      <w:r w:rsidRPr="00327D99">
        <w:rPr>
          <w:rtl/>
          <w:lang w:bidi="ar-EG"/>
        </w:rPr>
        <w:t xml:space="preserve">عند عدم وجود لبس). </w:t>
      </w:r>
    </w:p>
    <w:p w:rsidR="00DD3657" w:rsidRPr="00327D99" w:rsidRDefault="00DD3657" w:rsidP="00DD3657">
      <w:pPr>
        <w:rPr>
          <w:rtl/>
          <w:lang w:val="en-US" w:bidi="ar-EG"/>
        </w:rPr>
      </w:pPr>
      <w:r w:rsidRPr="00327D99">
        <w:rPr>
          <w:lang w:bidi="ar-EG"/>
        </w:rPr>
        <w:t>[7]</w:t>
      </w:r>
      <w:r w:rsidRPr="00327D99">
        <w:rPr>
          <w:lang w:val="en-US" w:bidi="ar-EG"/>
        </w:rPr>
        <w:tab/>
      </w:r>
      <w:r w:rsidRPr="00327D99">
        <w:rPr>
          <w:rtl/>
          <w:lang w:val="en-US" w:bidi="ar-EG"/>
        </w:rPr>
        <w:t>تقوم الدولة بتخطيط الطيف وإدارته ومراقبته أو تعهد بهذه المسؤوليات لكيانات أخرى. وتعد هذه الأنشطة والتجهيزات والاستثمارات المرتبطة بها ضرورية لضمان استعمال الطيف في ظروف مرضية.</w:t>
      </w:r>
    </w:p>
    <w:p w:rsidR="00DD3657" w:rsidRPr="00327D99" w:rsidRDefault="00DD3657" w:rsidP="00DD3657">
      <w:pPr>
        <w:rPr>
          <w:rtl/>
          <w:lang w:val="en-US" w:bidi="ar-EG"/>
        </w:rPr>
      </w:pPr>
      <w:r w:rsidRPr="00327D99">
        <w:rPr>
          <w:lang w:bidi="ar-EG"/>
        </w:rPr>
        <w:t>[8]</w:t>
      </w:r>
      <w:r w:rsidRPr="00327D99">
        <w:rPr>
          <w:rtl/>
          <w:lang w:val="en-US" w:bidi="ar-EG"/>
        </w:rPr>
        <w:tab/>
        <w:t xml:space="preserve">ولذا يحق للسلطات الحكومية مطالبة شاغلي الطيف لأغراض خاصة بدفع </w:t>
      </w:r>
      <w:r w:rsidRPr="00327D99">
        <w:rPr>
          <w:i/>
          <w:iCs/>
          <w:u w:val="single"/>
          <w:rtl/>
          <w:lang w:val="en-US" w:bidi="ar-EG"/>
        </w:rPr>
        <w:t>رسوم إدارية</w:t>
      </w:r>
      <w:r w:rsidRPr="00327D99">
        <w:rPr>
          <w:rtl/>
          <w:lang w:val="en-US" w:bidi="ar-EG"/>
        </w:rPr>
        <w:t xml:space="preserve"> (تسمى كذلك </w:t>
      </w:r>
      <w:r w:rsidRPr="00327D99">
        <w:rPr>
          <w:i/>
          <w:iCs/>
          <w:rtl/>
          <w:lang w:val="en-US" w:bidi="ar-EG"/>
        </w:rPr>
        <w:t>برسوم إدارة الترددات</w:t>
      </w:r>
      <w:r w:rsidRPr="00327D99">
        <w:rPr>
          <w:rtl/>
          <w:lang w:val="en-US" w:bidi="ar-EG"/>
        </w:rPr>
        <w:t xml:space="preserve"> أو </w:t>
      </w:r>
      <w:r w:rsidRPr="00327D99">
        <w:rPr>
          <w:i/>
          <w:iCs/>
          <w:rtl/>
          <w:lang w:val="en-US" w:bidi="ar-EG"/>
        </w:rPr>
        <w:t xml:space="preserve">رسوم الخدمة أو ضرائب إدارية أو مجرد ضرائب </w:t>
      </w:r>
      <w:r w:rsidRPr="00327D99">
        <w:rPr>
          <w:rtl/>
          <w:lang w:bidi="ar-EG"/>
        </w:rPr>
        <w:t>عند عدم وجود لبس)</w:t>
      </w:r>
      <w:r w:rsidRPr="00327D99">
        <w:rPr>
          <w:rtl/>
          <w:lang w:val="en-US" w:bidi="ar-EG"/>
        </w:rPr>
        <w:t xml:space="preserve"> من أجل تغطية جميع التكاليف المتصلة بأنشطة تخطيط الطيف وإدارته ومراقبته.</w:t>
      </w:r>
    </w:p>
    <w:p w:rsidR="00DD3657" w:rsidRPr="00327D99" w:rsidRDefault="00DD3657" w:rsidP="00DD3657">
      <w:pPr>
        <w:rPr>
          <w:rtl/>
          <w:lang w:val="en-US" w:bidi="ar-EG"/>
        </w:rPr>
      </w:pPr>
      <w:r w:rsidRPr="00327D99">
        <w:rPr>
          <w:lang w:bidi="ar-EG"/>
        </w:rPr>
        <w:t>[9]</w:t>
      </w:r>
      <w:r w:rsidRPr="00327D99">
        <w:rPr>
          <w:lang w:val="en-US" w:bidi="ar-EG"/>
        </w:rPr>
        <w:tab/>
      </w:r>
      <w:r w:rsidRPr="00327D99">
        <w:rPr>
          <w:rtl/>
          <w:lang w:val="en-US" w:bidi="ar-EG"/>
        </w:rPr>
        <w:t>يجب تحديد رسوم الطيف والرسوم الإدارية مع مراعاة مبادئ الشفافية والموضوعية والتناسب وعدم التمييز. ويقتضي مبدأ الشفافية بالتحديد أن تكون قواعد تحديد الرسوم بسيطة وسهلة الفهم للجميع.</w:t>
      </w:r>
    </w:p>
    <w:p w:rsidR="00DD3657" w:rsidRPr="00327D99" w:rsidRDefault="00DD3657" w:rsidP="00DD3657">
      <w:pPr>
        <w:rPr>
          <w:spacing w:val="-4"/>
          <w:rtl/>
          <w:lang w:val="en-US" w:bidi="ar-EG"/>
        </w:rPr>
      </w:pPr>
      <w:r w:rsidRPr="00327D99">
        <w:rPr>
          <w:spacing w:val="-4"/>
          <w:lang w:bidi="ar-EG"/>
        </w:rPr>
        <w:t>[10]</w:t>
      </w:r>
      <w:r w:rsidRPr="00327D99">
        <w:rPr>
          <w:spacing w:val="-4"/>
          <w:rtl/>
          <w:lang w:val="en-US" w:bidi="ar-EG"/>
        </w:rPr>
        <w:tab/>
        <w:t>يجب أن تكون قواعد تحديد الرسوم ثابتة نسبياً على مر الزمن لتوفير الرؤية والأمن القانوني اللازمين لشاغلي الطيف.</w:t>
      </w:r>
    </w:p>
    <w:p w:rsidR="00DD3657" w:rsidRPr="00327D99" w:rsidRDefault="00DD3657" w:rsidP="00DD3657">
      <w:pPr>
        <w:rPr>
          <w:spacing w:val="-2"/>
          <w:rtl/>
          <w:lang w:val="en-US" w:bidi="ar-EG"/>
        </w:rPr>
      </w:pPr>
      <w:r w:rsidRPr="00327D99">
        <w:rPr>
          <w:lang w:bidi="ar-EG"/>
        </w:rPr>
        <w:t>[11]</w:t>
      </w:r>
      <w:r w:rsidRPr="00327D99">
        <w:rPr>
          <w:lang w:val="en-US" w:bidi="ar-EG"/>
        </w:rPr>
        <w:tab/>
      </w:r>
      <w:r w:rsidRPr="00327D99">
        <w:rPr>
          <w:spacing w:val="-2"/>
          <w:rtl/>
          <w:lang w:val="en-US" w:bidi="ar-EG"/>
        </w:rPr>
        <w:t xml:space="preserve">ووفقاً لأحكام القواعد التنظيمية السارية، يستفيد مستعمل الترددات المخصصة أو المعينة من الحماية مقابل الرسوم التي يدفعها. وعلى عكس ذلك، لا يتمتع بالحماية مستعمل الترددات على أساس النفاذ الحر (أمثلة الاستعمالات: أجهزة منخفضة </w:t>
      </w:r>
      <w:r w:rsidRPr="00C4522B">
        <w:rPr>
          <w:spacing w:val="-6"/>
          <w:rtl/>
          <w:lang w:val="en-US" w:bidi="ar-EG"/>
        </w:rPr>
        <w:t xml:space="preserve">المدى ومنخفضة القدرة، </w:t>
      </w:r>
      <w:r w:rsidRPr="00C4522B">
        <w:rPr>
          <w:spacing w:val="-6"/>
          <w:lang w:val="en-US" w:bidi="ar-EG"/>
        </w:rPr>
        <w:t>WiFi</w:t>
      </w:r>
      <w:r w:rsidRPr="00C4522B">
        <w:rPr>
          <w:spacing w:val="-6"/>
          <w:rtl/>
          <w:lang w:val="en-US" w:bidi="ar-EG"/>
        </w:rPr>
        <w:t xml:space="preserve">، </w:t>
      </w:r>
      <w:r w:rsidRPr="00C4522B">
        <w:rPr>
          <w:spacing w:val="-6"/>
          <w:lang w:val="en-US" w:bidi="ar-EG"/>
        </w:rPr>
        <w:t>bluetooth</w:t>
      </w:r>
      <w:r w:rsidRPr="00C4522B">
        <w:rPr>
          <w:spacing w:val="-6"/>
          <w:rtl/>
          <w:lang w:val="en-US" w:bidi="ar-EG"/>
        </w:rPr>
        <w:t xml:space="preserve">، خدمة الهواة الراديوية، نماذج بتحكم راديوي) وبالتالي يجب ألا يخضع للرسوم. ويقترن هذا المبدأ القانوني بمبدأ الواقع الذي يمنع تطبيق الرسوم على الترددات المستعملة على أساس النفاذ الحر (انظر الفقرة </w:t>
      </w:r>
      <w:r w:rsidRPr="00C4522B">
        <w:rPr>
          <w:spacing w:val="-6"/>
          <w:lang w:val="en-US" w:bidi="ar-EG"/>
        </w:rPr>
        <w:t>[17]</w:t>
      </w:r>
      <w:r w:rsidRPr="00C4522B">
        <w:rPr>
          <w:spacing w:val="-6"/>
          <w:rtl/>
          <w:lang w:val="en-US" w:bidi="ar-EG"/>
        </w:rPr>
        <w:t xml:space="preserve"> أدناه).</w:t>
      </w:r>
    </w:p>
    <w:p w:rsidR="00DD3657" w:rsidRPr="00057710" w:rsidRDefault="00DD3657" w:rsidP="002E7443">
      <w:pPr>
        <w:pStyle w:val="Heading2"/>
        <w:rPr>
          <w:rtl/>
        </w:rPr>
      </w:pPr>
      <w:bookmarkStart w:id="16" w:name="_Toc209263369"/>
      <w:bookmarkStart w:id="17" w:name="_Toc223323177"/>
      <w:bookmarkStart w:id="18" w:name="_Toc282768611"/>
      <w:r w:rsidRPr="002E7443">
        <w:rPr>
          <w:rFonts w:ascii="Times New Roman Bold" w:hAnsi="Times New Roman Bold"/>
          <w:kern w:val="32"/>
          <w:sz w:val="24"/>
          <w:szCs w:val="32"/>
        </w:rPr>
        <w:t>2.3</w:t>
      </w:r>
      <w:r w:rsidRPr="00057710">
        <w:tab/>
      </w:r>
      <w:r w:rsidRPr="00057710">
        <w:rPr>
          <w:rtl/>
        </w:rPr>
        <w:t>المبادئ الاقتصادية</w:t>
      </w:r>
      <w:bookmarkEnd w:id="16"/>
      <w:bookmarkEnd w:id="17"/>
      <w:bookmarkEnd w:id="18"/>
    </w:p>
    <w:p w:rsidR="00DD3657" w:rsidRPr="00327D99" w:rsidRDefault="00DD3657" w:rsidP="00DD3657">
      <w:pPr>
        <w:rPr>
          <w:rtl/>
          <w:lang w:val="en-US" w:bidi="ar-EG"/>
        </w:rPr>
      </w:pPr>
      <w:r w:rsidRPr="00327D99">
        <w:rPr>
          <w:lang w:bidi="ar-EG"/>
        </w:rPr>
        <w:t>[12]</w:t>
      </w:r>
      <w:r w:rsidRPr="00327D99">
        <w:rPr>
          <w:rtl/>
          <w:lang w:val="en-US" w:bidi="ar-EG"/>
        </w:rPr>
        <w:tab/>
        <w:t>يعد الطيف الراديوي مورداً محدوداً بل ونادراً في بعض الحالات. ويتمثل الهدف الرئيسي للمسؤول عن إدارة الطيف في ضمان شغل الطيف على أمثل وجه وكفاءة استخدام الترددات على حد سواء.</w:t>
      </w:r>
    </w:p>
    <w:p w:rsidR="00DD3657" w:rsidRPr="00327D99" w:rsidRDefault="00DD3657" w:rsidP="00DD3657">
      <w:pPr>
        <w:rPr>
          <w:spacing w:val="-2"/>
          <w:rtl/>
          <w:lang w:val="en-US" w:bidi="ar-EG"/>
        </w:rPr>
      </w:pPr>
      <w:r w:rsidRPr="00327D99">
        <w:rPr>
          <w:spacing w:val="-2"/>
          <w:lang w:bidi="ar-EG"/>
        </w:rPr>
        <w:t>[13]</w:t>
      </w:r>
      <w:r w:rsidRPr="00327D99">
        <w:rPr>
          <w:spacing w:val="-2"/>
          <w:rtl/>
          <w:lang w:val="en-US" w:bidi="ar-EG"/>
        </w:rPr>
        <w:tab/>
        <w:t xml:space="preserve">هناك اختلاف بين الأسس التي تقوم عليها رسوم الطيف والرسوم الإدارية والأغراض التي وضعت من أجلها. وينبغي توضيح هذا الاختلاف من خلال وضع </w:t>
      </w:r>
      <w:r w:rsidRPr="00327D99">
        <w:rPr>
          <w:spacing w:val="-2"/>
          <w:u w:val="single"/>
          <w:rtl/>
          <w:lang w:val="en-US" w:bidi="ar-EG"/>
        </w:rPr>
        <w:t>منهجين منفصلين لتحديد الرسوم الإدارية من جهة ورسوم الطيف من جهة أخرى</w:t>
      </w:r>
      <w:r w:rsidRPr="00327D99">
        <w:rPr>
          <w:spacing w:val="-2"/>
          <w:rtl/>
          <w:lang w:val="en-US" w:bidi="ar-EG"/>
        </w:rPr>
        <w:t>.</w:t>
      </w:r>
    </w:p>
    <w:p w:rsidR="00DD3657" w:rsidRPr="00327D99" w:rsidRDefault="00DD3657" w:rsidP="00DD3657">
      <w:pPr>
        <w:rPr>
          <w:rtl/>
          <w:lang w:val="en-US" w:bidi="ar-EG"/>
        </w:rPr>
      </w:pPr>
      <w:r w:rsidRPr="00327D99">
        <w:rPr>
          <w:lang w:bidi="ar-EG"/>
        </w:rPr>
        <w:t>[14]</w:t>
      </w:r>
      <w:r w:rsidRPr="00327D99">
        <w:rPr>
          <w:rtl/>
          <w:lang w:val="en-US" w:bidi="ar-EG"/>
        </w:rPr>
        <w:tab/>
        <w:t>وهكذا يكون الغرض الوحيد من الرسوم الإدارية هو الدفع مقابل الخدمة التي تقدمها السلطات الحكومية.</w:t>
      </w:r>
    </w:p>
    <w:p w:rsidR="00DD3657" w:rsidRPr="00327D99" w:rsidRDefault="00DD3657" w:rsidP="00DD3657">
      <w:pPr>
        <w:rPr>
          <w:rtl/>
          <w:lang w:val="en-US" w:bidi="ar-EG"/>
        </w:rPr>
      </w:pPr>
      <w:r w:rsidRPr="00327D99">
        <w:rPr>
          <w:lang w:bidi="ar-EG"/>
        </w:rPr>
        <w:t>[15]</w:t>
      </w:r>
      <w:r w:rsidRPr="00327D99">
        <w:rPr>
          <w:rtl/>
          <w:lang w:val="en-US" w:bidi="ar-EG"/>
        </w:rPr>
        <w:tab/>
        <w:t xml:space="preserve">في حين أن أغراض رسوم الطيف يكون لها عدة أشكال (انظر الفقرتين </w:t>
      </w:r>
      <w:r w:rsidRPr="00327D99">
        <w:rPr>
          <w:lang w:val="en-US" w:bidi="ar-EG"/>
        </w:rPr>
        <w:t>[4]</w:t>
      </w:r>
      <w:r w:rsidRPr="00327D99">
        <w:rPr>
          <w:rtl/>
          <w:lang w:val="en-US" w:bidi="ar-EG"/>
        </w:rPr>
        <w:t xml:space="preserve"> و</w:t>
      </w:r>
      <w:r w:rsidRPr="00327D99">
        <w:rPr>
          <w:lang w:val="en-US" w:bidi="ar-EG"/>
        </w:rPr>
        <w:t>[5]</w:t>
      </w:r>
      <w:r w:rsidRPr="00327D99">
        <w:rPr>
          <w:rtl/>
          <w:lang w:val="en-US" w:bidi="ar-EG"/>
        </w:rPr>
        <w:t>) لأنها يجب أن تحقق ما يلي:</w:t>
      </w:r>
    </w:p>
    <w:p w:rsidR="00DD3657" w:rsidRPr="00327D99" w:rsidRDefault="00DD3657" w:rsidP="00DD3657">
      <w:pPr>
        <w:rPr>
          <w:rtl/>
          <w:lang w:val="en-US" w:bidi="ar-EG"/>
        </w:rPr>
      </w:pPr>
      <w:r>
        <w:rPr>
          <w:rFonts w:hint="cs"/>
          <w:rtl/>
          <w:lang w:bidi="ar-EG"/>
        </w:rPr>
        <w:tab/>
      </w:r>
      <w:r w:rsidRPr="00327D99">
        <w:rPr>
          <w:lang w:bidi="ar-EG"/>
        </w:rPr>
        <w:t>[1.15]</w:t>
      </w:r>
      <w:r w:rsidRPr="00327D99">
        <w:rPr>
          <w:lang w:val="en-US" w:bidi="ar-EG"/>
        </w:rPr>
        <w:tab/>
      </w:r>
      <w:r w:rsidRPr="00327D99">
        <w:rPr>
          <w:rtl/>
          <w:lang w:val="en-US" w:bidi="ar-EG"/>
        </w:rPr>
        <w:t>السماح بتحقيق أهداف الميزانية التي تحددها السلطات الحكومية؛</w:t>
      </w:r>
    </w:p>
    <w:p w:rsidR="00DD3657" w:rsidRPr="00327D99" w:rsidRDefault="00DD3657" w:rsidP="00DD3657">
      <w:pPr>
        <w:rPr>
          <w:rtl/>
          <w:lang w:val="en-US" w:bidi="ar-EG"/>
        </w:rPr>
      </w:pPr>
      <w:r>
        <w:rPr>
          <w:rFonts w:hint="cs"/>
          <w:rtl/>
          <w:lang w:bidi="ar-EG"/>
        </w:rPr>
        <w:tab/>
      </w:r>
      <w:r w:rsidRPr="00327D99">
        <w:rPr>
          <w:lang w:bidi="ar-EG"/>
        </w:rPr>
        <w:t>[2.15]</w:t>
      </w:r>
      <w:r w:rsidRPr="00327D99">
        <w:rPr>
          <w:lang w:val="en-US" w:bidi="ar-EG"/>
        </w:rPr>
        <w:tab/>
      </w:r>
      <w:r w:rsidRPr="00327D99">
        <w:rPr>
          <w:rtl/>
          <w:lang w:val="en-US" w:bidi="ar-EG"/>
        </w:rPr>
        <w:t>عدم مناوأة الأهداف الاقتصادية للسلطات الحكومية فيما يتعلق بتنمية البلد وتطوير خدمات جديدة؛</w:t>
      </w:r>
    </w:p>
    <w:p w:rsidR="00DD3657" w:rsidRPr="00327D99" w:rsidRDefault="00DD3657" w:rsidP="00DD3657">
      <w:pPr>
        <w:rPr>
          <w:rtl/>
          <w:lang w:val="en-US" w:bidi="ar-EG"/>
        </w:rPr>
      </w:pPr>
      <w:r>
        <w:rPr>
          <w:rFonts w:hint="cs"/>
          <w:rtl/>
          <w:lang w:bidi="ar-EG"/>
        </w:rPr>
        <w:tab/>
      </w:r>
      <w:r w:rsidRPr="00327D99">
        <w:rPr>
          <w:lang w:bidi="ar-EG"/>
        </w:rPr>
        <w:t>[3.15]</w:t>
      </w:r>
      <w:r w:rsidRPr="00327D99">
        <w:rPr>
          <w:lang w:val="en-US" w:bidi="ar-EG"/>
        </w:rPr>
        <w:tab/>
      </w:r>
      <w:r w:rsidRPr="00327D99">
        <w:rPr>
          <w:rtl/>
          <w:lang w:val="en-US" w:bidi="ar-EG"/>
        </w:rPr>
        <w:t>مراعاة المزايا التي يستفيد منها شاغلو الطيف؛</w:t>
      </w:r>
    </w:p>
    <w:p w:rsidR="00DD3657" w:rsidRPr="00327D99" w:rsidRDefault="00DD3657" w:rsidP="00DD3657">
      <w:pPr>
        <w:rPr>
          <w:rtl/>
          <w:lang w:val="en-US" w:bidi="ar-EG"/>
        </w:rPr>
      </w:pPr>
      <w:r>
        <w:rPr>
          <w:rFonts w:hint="cs"/>
          <w:rtl/>
          <w:lang w:bidi="ar-EG"/>
        </w:rPr>
        <w:tab/>
      </w:r>
      <w:r w:rsidRPr="00327D99">
        <w:rPr>
          <w:lang w:bidi="ar-EG"/>
        </w:rPr>
        <w:t>[4.15]</w:t>
      </w:r>
      <w:r w:rsidRPr="00327D99">
        <w:rPr>
          <w:lang w:val="en-US" w:bidi="ar-EG"/>
        </w:rPr>
        <w:tab/>
      </w:r>
      <w:r w:rsidRPr="00327D99">
        <w:rPr>
          <w:rtl/>
          <w:lang w:val="en-US" w:bidi="ar-EG"/>
        </w:rPr>
        <w:t>تشكيل أداة لإدارة الطيف.</w:t>
      </w:r>
    </w:p>
    <w:p w:rsidR="00DD3657" w:rsidRPr="00327D99" w:rsidRDefault="00DD3657" w:rsidP="00DD3657">
      <w:pPr>
        <w:rPr>
          <w:rtl/>
          <w:lang w:val="en-US" w:bidi="ar-EG"/>
        </w:rPr>
      </w:pPr>
      <w:r w:rsidRPr="00327D99">
        <w:rPr>
          <w:lang w:bidi="ar-EG"/>
        </w:rPr>
        <w:lastRenderedPageBreak/>
        <w:t>[16]</w:t>
      </w:r>
      <w:r w:rsidRPr="00327D99">
        <w:rPr>
          <w:rtl/>
          <w:lang w:val="en-US" w:bidi="ar-EG"/>
        </w:rPr>
        <w:tab/>
        <w:t>تشكل الرسوم موارد مالية للدولة ولمدير الطيف. وينبغي أن يراعي مستوى الرسوم باستمرار عوامل التضخم أو</w:t>
      </w:r>
      <w:r>
        <w:rPr>
          <w:rFonts w:hint="cs"/>
          <w:rtl/>
          <w:lang w:val="en-US" w:bidi="ar-EG"/>
        </w:rPr>
        <w:t> </w:t>
      </w:r>
      <w:r w:rsidRPr="00327D99">
        <w:rPr>
          <w:rtl/>
          <w:lang w:val="en-US" w:bidi="ar-EG"/>
        </w:rPr>
        <w:t>تطور وضع ميزانية مدير الطيف.</w:t>
      </w:r>
    </w:p>
    <w:p w:rsidR="00DD3657" w:rsidRPr="002E7443" w:rsidRDefault="00DD3657" w:rsidP="002E7443">
      <w:pPr>
        <w:pStyle w:val="Heading2"/>
        <w:rPr>
          <w:rtl/>
        </w:rPr>
      </w:pPr>
      <w:bookmarkStart w:id="19" w:name="_Toc209263370"/>
      <w:bookmarkStart w:id="20" w:name="_Toc223323178"/>
      <w:bookmarkStart w:id="21" w:name="_Toc282768612"/>
      <w:r w:rsidRPr="002E7443">
        <w:t>3.3</w:t>
      </w:r>
      <w:r w:rsidRPr="002E7443">
        <w:tab/>
      </w:r>
      <w:r w:rsidRPr="002E7443">
        <w:rPr>
          <w:rtl/>
        </w:rPr>
        <w:t xml:space="preserve">مبادئ </w:t>
      </w:r>
      <w:bookmarkEnd w:id="19"/>
      <w:r w:rsidRPr="002E7443">
        <w:rPr>
          <w:rtl/>
        </w:rPr>
        <w:t>ذات صلة بالواقع</w:t>
      </w:r>
      <w:bookmarkEnd w:id="20"/>
      <w:bookmarkEnd w:id="21"/>
    </w:p>
    <w:p w:rsidR="00DD3657" w:rsidRPr="00327D99" w:rsidRDefault="00DD3657" w:rsidP="00DD3657">
      <w:pPr>
        <w:rPr>
          <w:rtl/>
          <w:lang w:val="en-US" w:bidi="ar-EG"/>
        </w:rPr>
      </w:pPr>
      <w:r w:rsidRPr="00327D99">
        <w:rPr>
          <w:lang w:bidi="ar-EG"/>
        </w:rPr>
        <w:t>[17]</w:t>
      </w:r>
      <w:r w:rsidRPr="00327D99">
        <w:rPr>
          <w:rtl/>
          <w:lang w:val="en-US" w:bidi="ar-EG"/>
        </w:rPr>
        <w:tab/>
        <w:t xml:space="preserve">ينبغي ألا تفرض الرسوم على كيانات يصعب تعريفها فردياً (كما هو الحال بالنسبة لمستعملي التردد على أساس النفاذ الحر)، لأن تحصيل الرسوم من هذه الكيانات سيكون غير دقيق وغير شامل إلى حد كبير (انظر الفقرة </w:t>
      </w:r>
      <w:r w:rsidRPr="00327D99">
        <w:rPr>
          <w:lang w:bidi="ar-EG"/>
        </w:rPr>
        <w:t>[11]</w:t>
      </w:r>
      <w:r w:rsidRPr="00327D99">
        <w:rPr>
          <w:rtl/>
          <w:lang w:val="en-US" w:bidi="ar-EG"/>
        </w:rPr>
        <w:t>).</w:t>
      </w:r>
    </w:p>
    <w:p w:rsidR="00DD3657" w:rsidRPr="00327D99" w:rsidRDefault="00DD3657" w:rsidP="00DD3657">
      <w:pPr>
        <w:rPr>
          <w:spacing w:val="-2"/>
          <w:rtl/>
          <w:lang w:val="en-US" w:bidi="ar-EG"/>
        </w:rPr>
      </w:pPr>
      <w:r w:rsidRPr="00327D99">
        <w:rPr>
          <w:spacing w:val="-2"/>
          <w:lang w:bidi="ar-EG"/>
        </w:rPr>
        <w:t>[18]</w:t>
      </w:r>
      <w:r w:rsidRPr="00327D99">
        <w:rPr>
          <w:spacing w:val="-2"/>
          <w:lang w:val="en-US" w:bidi="ar-EG"/>
        </w:rPr>
        <w:tab/>
      </w:r>
      <w:r w:rsidRPr="00327D99">
        <w:rPr>
          <w:spacing w:val="-2"/>
          <w:rtl/>
          <w:lang w:val="en-US" w:bidi="ar-EG"/>
        </w:rPr>
        <w:t xml:space="preserve">بالنسبة إلى اختيار المؤشرات التي تدخل في حساب الرسوم، ينبغي تفادي المؤشرات التي يصعب أو يستحيل على المستوى العملي التأكد منها كالقيم التي يعلن عنها المستعملون الخاضعون للرسوم (ارتفاع هوائي المحطة أو عدد المحطات المتنقلة في شبكة خاصة مثلاً). وسيسمح ذلك بتفادي البيانات غير الدقيقة المقدمة سعياً إلى تخفيض مستوى الرسوم المستحقة الدفع. </w:t>
      </w:r>
    </w:p>
    <w:p w:rsidR="00DD3657" w:rsidRPr="00327D99" w:rsidRDefault="00DD3657" w:rsidP="00DD3657">
      <w:pPr>
        <w:rPr>
          <w:rtl/>
          <w:lang w:bidi="ar-EG"/>
        </w:rPr>
      </w:pPr>
      <w:r w:rsidRPr="00327D99">
        <w:rPr>
          <w:lang w:bidi="ar-EG"/>
        </w:rPr>
        <w:t>[19]</w:t>
      </w:r>
      <w:r w:rsidRPr="00327D99">
        <w:rPr>
          <w:lang w:val="en-US" w:bidi="ar-EG"/>
        </w:rPr>
        <w:tab/>
      </w:r>
      <w:r w:rsidRPr="00327D99">
        <w:rPr>
          <w:rtl/>
          <w:lang w:bidi="ar-EG"/>
        </w:rPr>
        <w:t>ينبغي أن يكون نظام الرسوم قائماً على أساس التوافق بين جميع الأطراف المعنية، بحيث يمكن تحقيق معدل جيد لتحصيل الرسوم المستحقة.</w:t>
      </w:r>
    </w:p>
    <w:p w:rsidR="00DD3657" w:rsidRPr="00057710" w:rsidRDefault="00DD3657" w:rsidP="0064775E">
      <w:pPr>
        <w:pStyle w:val="Heading1"/>
        <w:rPr>
          <w:bCs w:val="0"/>
          <w:rtl/>
        </w:rPr>
      </w:pPr>
      <w:bookmarkStart w:id="22" w:name="_Toc209263371"/>
      <w:bookmarkStart w:id="23" w:name="_Toc223322734"/>
      <w:bookmarkStart w:id="24" w:name="_Toc223323179"/>
      <w:bookmarkStart w:id="25" w:name="_Toc282768613"/>
      <w:r w:rsidRPr="00057710">
        <w:t>4</w:t>
      </w:r>
      <w:r w:rsidRPr="00057710">
        <w:tab/>
      </w:r>
      <w:r w:rsidRPr="00057710">
        <w:rPr>
          <w:rtl/>
        </w:rPr>
        <w:t>الخطوط التوجيهية لتحديد الرسوم الإدارية</w:t>
      </w:r>
      <w:bookmarkEnd w:id="22"/>
      <w:bookmarkEnd w:id="23"/>
      <w:bookmarkEnd w:id="24"/>
      <w:r w:rsidRPr="00057710">
        <w:rPr>
          <w:rtl/>
        </w:rPr>
        <w:t xml:space="preserve"> (أو ضرائب إدارية)</w:t>
      </w:r>
      <w:bookmarkEnd w:id="25"/>
    </w:p>
    <w:p w:rsidR="00DD3657" w:rsidRPr="002E7443" w:rsidRDefault="00DD3657" w:rsidP="002E7443">
      <w:pPr>
        <w:pStyle w:val="Heading2"/>
        <w:rPr>
          <w:rtl/>
        </w:rPr>
      </w:pPr>
      <w:bookmarkStart w:id="26" w:name="_Toc209263372"/>
      <w:bookmarkStart w:id="27" w:name="_Toc223323180"/>
      <w:bookmarkStart w:id="28" w:name="_Toc282768614"/>
      <w:r w:rsidRPr="002E7443">
        <w:t>1.4</w:t>
      </w:r>
      <w:r w:rsidRPr="002E7443">
        <w:tab/>
      </w:r>
      <w:r w:rsidRPr="002E7443">
        <w:rPr>
          <w:rtl/>
        </w:rPr>
        <w:t>ملاحظات واعتبارات عامة</w:t>
      </w:r>
      <w:bookmarkEnd w:id="26"/>
      <w:bookmarkEnd w:id="27"/>
      <w:bookmarkEnd w:id="28"/>
    </w:p>
    <w:p w:rsidR="00DD3657" w:rsidRPr="00327D99" w:rsidRDefault="00DD3657" w:rsidP="00DD3657">
      <w:pPr>
        <w:rPr>
          <w:rtl/>
          <w:lang w:val="en-US" w:bidi="ar-EG"/>
        </w:rPr>
      </w:pPr>
      <w:r w:rsidRPr="00327D99">
        <w:rPr>
          <w:lang w:bidi="ar-EG"/>
        </w:rPr>
        <w:t>[20]</w:t>
      </w:r>
      <w:r w:rsidRPr="00327D99">
        <w:rPr>
          <w:rtl/>
          <w:lang w:val="en-US" w:bidi="ar-EG"/>
        </w:rPr>
        <w:tab/>
        <w:t>تكرس الرسوم الإدارية لتغطية جميع التكاليف المتصلة:</w:t>
      </w:r>
    </w:p>
    <w:p w:rsidR="00DD3657" w:rsidRPr="00327D99" w:rsidRDefault="00DD3657" w:rsidP="00DD3657">
      <w:pPr>
        <w:pStyle w:val="enumlev1"/>
        <w:spacing w:before="120"/>
        <w:rPr>
          <w:rtl/>
          <w:lang w:bidi="ar-EG"/>
        </w:rPr>
      </w:pPr>
      <w:r w:rsidRPr="00327D99">
        <w:rPr>
          <w:rtl/>
          <w:lang w:bidi="ar-EG"/>
        </w:rPr>
        <w:t>-</w:t>
      </w:r>
      <w:r w:rsidRPr="00327D99">
        <w:rPr>
          <w:rtl/>
          <w:lang w:bidi="ar-EG"/>
        </w:rPr>
        <w:tab/>
        <w:t>بأنشطة التخطيط وإدارة الطيف ومراقبته؛</w:t>
      </w:r>
    </w:p>
    <w:p w:rsidR="00DD3657" w:rsidRPr="00327D99" w:rsidRDefault="00DD3657" w:rsidP="00DD3657">
      <w:pPr>
        <w:pStyle w:val="enumlev1"/>
        <w:spacing w:before="120"/>
        <w:rPr>
          <w:rtl/>
          <w:lang w:bidi="ar-EG"/>
        </w:rPr>
      </w:pPr>
      <w:r w:rsidRPr="00327D99">
        <w:rPr>
          <w:rtl/>
          <w:lang w:bidi="ar-EG"/>
        </w:rPr>
        <w:t>-</w:t>
      </w:r>
      <w:r w:rsidRPr="00327D99">
        <w:rPr>
          <w:rtl/>
          <w:lang w:bidi="ar-EG"/>
        </w:rPr>
        <w:tab/>
        <w:t>بالأنشطة التي تضطلع بها جميع السلطات الحكومية والهيئات المفوضة فيما يتعلق بالطيف؛</w:t>
      </w:r>
    </w:p>
    <w:p w:rsidR="00DD3657" w:rsidRPr="00327D99" w:rsidRDefault="00DD3657" w:rsidP="00DD3657">
      <w:pPr>
        <w:pStyle w:val="enumlev1"/>
        <w:spacing w:before="120"/>
        <w:rPr>
          <w:rtl/>
          <w:lang w:bidi="ar-EG"/>
        </w:rPr>
      </w:pPr>
      <w:r w:rsidRPr="00327D99">
        <w:rPr>
          <w:rtl/>
          <w:lang w:bidi="ar-EG"/>
        </w:rPr>
        <w:t>-</w:t>
      </w:r>
      <w:r w:rsidRPr="00327D99">
        <w:rPr>
          <w:rtl/>
          <w:lang w:bidi="ar-EG"/>
        </w:rPr>
        <w:tab/>
        <w:t>بالأنشطة المتعلقة حصراً بشاغلي الطيف لأغراض خاصة.</w:t>
      </w:r>
    </w:p>
    <w:p w:rsidR="00DD3657" w:rsidRPr="00327D99" w:rsidRDefault="00DD3657" w:rsidP="00DD3657">
      <w:pPr>
        <w:rPr>
          <w:rtl/>
          <w:lang w:val="en-US" w:bidi="ar-EG"/>
        </w:rPr>
      </w:pPr>
      <w:r w:rsidRPr="00327D99">
        <w:rPr>
          <w:rtl/>
          <w:lang w:val="en-US" w:bidi="ar-EG"/>
        </w:rPr>
        <w:t>وتسمى هذه التكاليف فيما بعد ”التكاليف الإدارية“.</w:t>
      </w:r>
    </w:p>
    <w:p w:rsidR="00DD3657" w:rsidRPr="00327D99" w:rsidRDefault="00DD3657" w:rsidP="00DD3657">
      <w:pPr>
        <w:rPr>
          <w:rtl/>
          <w:lang w:val="en-US" w:bidi="ar-EG"/>
        </w:rPr>
      </w:pPr>
      <w:r w:rsidRPr="00327D99">
        <w:rPr>
          <w:rtl/>
          <w:lang w:val="en-US" w:bidi="ar-EG"/>
        </w:rPr>
        <w:t>وتشمل وظيفة الإدارة الأنشطة المتصلة بمنح الرخص والتصاريح لاستعمال الترددات وكذلك تحديد الرسوم وتحصيلها.</w:t>
      </w:r>
    </w:p>
    <w:p w:rsidR="00DD3657" w:rsidRPr="00327D99" w:rsidRDefault="00DD3657" w:rsidP="00DD3657">
      <w:pPr>
        <w:rPr>
          <w:rtl/>
          <w:lang w:val="en-US" w:bidi="ar-EG"/>
        </w:rPr>
      </w:pPr>
      <w:r w:rsidRPr="00327D99">
        <w:rPr>
          <w:rtl/>
          <w:lang w:val="en-US" w:bidi="ar-EG"/>
        </w:rPr>
        <w:t>تتكون التكاليف الإدارية من تكاليف الموظفين وتكاليف التشغيل وتكاليف (استهلاك) المباني والتجهيزات المتعلقة بالأنشطة المذكورة سالفاً.</w:t>
      </w:r>
    </w:p>
    <w:p w:rsidR="00DD3657" w:rsidRPr="00327D99" w:rsidRDefault="00DD3657" w:rsidP="00DD3657">
      <w:pPr>
        <w:rPr>
          <w:rtl/>
          <w:lang w:val="en-US" w:bidi="ar-EG"/>
        </w:rPr>
      </w:pPr>
      <w:r w:rsidRPr="00327D99">
        <w:rPr>
          <w:rtl/>
          <w:lang w:val="en-US" w:bidi="ar-EG"/>
        </w:rPr>
        <w:t>وعلى سبيل المثال، يمكن أن تكرس الكيانات التالية قدراً كبيراً نسبياً من عملها للأنشطة المتصلة بالطيف ولذا ينبغي أن تؤخذ بعين الاعتبار في عملية تحديد التكاليف الإدارية: مدير (مديرو) الطيف والمسؤولون عن تنظيم سوق الاتصالات والهيئات المسؤولة عن الإذاعة والتلفزيون والوزارة (الوزارات) المسؤولة عن الإذاعة والتلفزيون والاتصالات ووزارة الشؤون الخارجية.</w:t>
      </w:r>
    </w:p>
    <w:p w:rsidR="00DD3657" w:rsidRPr="00327D99" w:rsidRDefault="00DD3657" w:rsidP="00DD3657">
      <w:pPr>
        <w:rPr>
          <w:rtl/>
          <w:lang w:val="en-US" w:bidi="ar-EG"/>
        </w:rPr>
      </w:pPr>
      <w:r w:rsidRPr="00327D99">
        <w:rPr>
          <w:rtl/>
          <w:lang w:val="en-US" w:bidi="ar-EG"/>
        </w:rPr>
        <w:t>تحدد مبالغ الرسوم في العادة لمدة سنة واحدة. وعندما تقل فترة استعمال التردد عن سنة واحدة، تحدد المبالغ المقابلة على أساس نسبة الوقت التي تم فيها استعمال التردد. وفي حالة كانت هذه المبالغ أقل من المعدل الأدنى للتحصيل، ينطبق هذا المعدل الأدنى (يقابل المعدل الأدنى لتحصيل الرسوم الحد الذي تكون تحته تكاليف تحصيل الرسوم أعلى من الرسم نفسه).</w:t>
      </w:r>
    </w:p>
    <w:p w:rsidR="00DD3657" w:rsidRPr="00327D99" w:rsidRDefault="00DD3657" w:rsidP="00DD3657">
      <w:pPr>
        <w:rPr>
          <w:rtl/>
          <w:lang w:val="en-US" w:bidi="ar-EG"/>
        </w:rPr>
      </w:pPr>
      <w:r w:rsidRPr="00327D99">
        <w:rPr>
          <w:rtl/>
          <w:lang w:val="en-US" w:bidi="ar-EG"/>
        </w:rPr>
        <w:t xml:space="preserve">وينبغي أن يكون المبلغ الإجمالي السنوي للرسوم الإدارية المستحقة الدفع أقرب ما يكون من المبلغ الإجمالي السنوي للتكاليف الإدارية (انظر الفقرتين </w:t>
      </w:r>
      <w:r w:rsidRPr="00327D99">
        <w:rPr>
          <w:lang w:bidi="ar-EG"/>
        </w:rPr>
        <w:t>[14]</w:t>
      </w:r>
      <w:r w:rsidRPr="00327D99">
        <w:rPr>
          <w:rtl/>
          <w:lang w:bidi="ar-EG"/>
        </w:rPr>
        <w:t xml:space="preserve"> </w:t>
      </w:r>
      <w:r w:rsidRPr="00327D99">
        <w:rPr>
          <w:rtl/>
          <w:lang w:val="en-US" w:bidi="ar-EG"/>
        </w:rPr>
        <w:t>و</w:t>
      </w:r>
      <w:r w:rsidRPr="00327D99">
        <w:rPr>
          <w:lang w:val="en-US" w:bidi="ar-EG"/>
        </w:rPr>
        <w:t>(</w:t>
      </w:r>
      <w:r w:rsidRPr="00327D99">
        <w:rPr>
          <w:lang w:bidi="ar-EG"/>
        </w:rPr>
        <w:t>[20]</w:t>
      </w:r>
      <w:r w:rsidRPr="00327D99">
        <w:rPr>
          <w:rtl/>
          <w:lang w:val="en-US" w:bidi="ar-EG"/>
        </w:rPr>
        <w:t>. ولذا يجب تقييم التكاليف الإدارية السنوية من أجل توزيعها بين جميع مستعملي الترددات المخصصة أو المعينة.</w:t>
      </w:r>
    </w:p>
    <w:p w:rsidR="00DD3657" w:rsidRPr="00327D99" w:rsidRDefault="00DD3657" w:rsidP="00DD3657">
      <w:pPr>
        <w:rPr>
          <w:rtl/>
          <w:lang w:val="en-US" w:bidi="ar-EG"/>
        </w:rPr>
      </w:pPr>
      <w:r w:rsidRPr="00327D99">
        <w:rPr>
          <w:rtl/>
          <w:lang w:val="en-US" w:bidi="ar-EG"/>
        </w:rPr>
        <w:t>ويمكن تحديد التكاليف الإدارية بصورة دقيقة نسبياً من خلال تطبيق محاسبة تحليلية ملائمة.</w:t>
      </w:r>
    </w:p>
    <w:p w:rsidR="00DD3657" w:rsidRPr="00327D99" w:rsidRDefault="00DD3657" w:rsidP="00DD3657">
      <w:pPr>
        <w:rPr>
          <w:rtl/>
          <w:lang w:val="en-US" w:bidi="ar-EG"/>
        </w:rPr>
      </w:pPr>
      <w:r w:rsidRPr="00327D99">
        <w:rPr>
          <w:rtl/>
          <w:lang w:val="en-US" w:bidi="ar-EG"/>
        </w:rPr>
        <w:lastRenderedPageBreak/>
        <w:t xml:space="preserve">وفي نهاية كل سنة تقويمية أو سنة مالية وفي حال كان الفرق كبيراً بين مبلغ الرسوم المستحقة الدفع ومبلغ التكاليف الإدارية المسجلة بالفعل، يوصى بتسوية هذا الوضع لاستيعاب هذا الفرق (انظر الفقرتين </w:t>
      </w:r>
      <w:r w:rsidRPr="00327D99">
        <w:rPr>
          <w:lang w:bidi="ar-EG"/>
        </w:rPr>
        <w:t>[14]</w:t>
      </w:r>
      <w:r w:rsidRPr="00327D99">
        <w:rPr>
          <w:rtl/>
          <w:lang w:bidi="ar-EG"/>
        </w:rPr>
        <w:t xml:space="preserve"> </w:t>
      </w:r>
      <w:r w:rsidRPr="00327D99">
        <w:rPr>
          <w:rtl/>
          <w:lang w:val="en-US" w:bidi="ar-EG"/>
        </w:rPr>
        <w:t>و</w:t>
      </w:r>
      <w:r w:rsidRPr="00327D99">
        <w:rPr>
          <w:lang w:val="en-US" w:bidi="ar-EG"/>
        </w:rPr>
        <w:t>(</w:t>
      </w:r>
      <w:r w:rsidRPr="00327D99">
        <w:rPr>
          <w:lang w:bidi="ar-EG"/>
        </w:rPr>
        <w:t>[20]</w:t>
      </w:r>
      <w:r w:rsidRPr="00327D99">
        <w:rPr>
          <w:rtl/>
          <w:lang w:val="en-US" w:bidi="ar-EG"/>
        </w:rPr>
        <w:t>.</w:t>
      </w:r>
    </w:p>
    <w:p w:rsidR="00DD3657" w:rsidRPr="00327D99" w:rsidRDefault="00DD3657" w:rsidP="00DD3657">
      <w:pPr>
        <w:rPr>
          <w:rtl/>
          <w:lang w:val="en-US" w:bidi="ar-EG"/>
        </w:rPr>
      </w:pPr>
      <w:r w:rsidRPr="00327D99">
        <w:rPr>
          <w:rtl/>
          <w:lang w:val="en-US" w:bidi="ar-EG"/>
        </w:rPr>
        <w:t xml:space="preserve">ومن أجل توزيع التكاليف الإدارية بين الكيانات الخاضعة للرسوم الإدارية، يوصى باستعمال قاعدة بسيطة للتوزيع تمثل قدر الإمكان، العمل الإداري المكرس لكل طرف من الكيانات الخاضعة للرسوم الإدارية (انظر الفقرة </w:t>
      </w:r>
      <w:r w:rsidRPr="00327D99">
        <w:rPr>
          <w:lang w:val="en-US" w:bidi="ar-EG"/>
        </w:rPr>
        <w:t>(</w:t>
      </w:r>
      <w:r w:rsidRPr="00327D99">
        <w:rPr>
          <w:lang w:bidi="ar-EG"/>
        </w:rPr>
        <w:t>[9]</w:t>
      </w:r>
      <w:r w:rsidRPr="00327D99">
        <w:rPr>
          <w:rtl/>
          <w:lang w:val="en-US" w:bidi="ar-EG"/>
        </w:rPr>
        <w:t>.</w:t>
      </w:r>
    </w:p>
    <w:p w:rsidR="00DD3657" w:rsidRPr="00057710" w:rsidRDefault="00DD3657" w:rsidP="00DD3657">
      <w:pPr>
        <w:pStyle w:val="Heading2"/>
        <w:rPr>
          <w:b w:val="0"/>
          <w:bCs w:val="0"/>
          <w:rtl/>
          <w:lang w:bidi="ar-EG"/>
        </w:rPr>
      </w:pPr>
      <w:bookmarkStart w:id="29" w:name="_Toc209263373"/>
      <w:bookmarkStart w:id="30" w:name="_Toc223323181"/>
      <w:bookmarkStart w:id="31" w:name="_Toc282768615"/>
      <w:r w:rsidRPr="00327D99">
        <w:rPr>
          <w:lang w:bidi="ar-EG"/>
        </w:rPr>
        <w:t>2.4</w:t>
      </w:r>
      <w:r w:rsidRPr="00327D99">
        <w:rPr>
          <w:lang w:bidi="ar-EG"/>
        </w:rPr>
        <w:tab/>
      </w:r>
      <w:r w:rsidRPr="00057710">
        <w:rPr>
          <w:b w:val="0"/>
          <w:rtl/>
          <w:lang w:bidi="ar-EG"/>
        </w:rPr>
        <w:t xml:space="preserve">قاعدة توزيع التكاليف الإدارية - المثال </w:t>
      </w:r>
      <w:r w:rsidRPr="00057710">
        <w:rPr>
          <w:b w:val="0"/>
          <w:lang w:bidi="ar-EG"/>
        </w:rPr>
        <w:t>1</w:t>
      </w:r>
      <w:bookmarkEnd w:id="29"/>
      <w:bookmarkEnd w:id="30"/>
      <w:bookmarkEnd w:id="31"/>
    </w:p>
    <w:p w:rsidR="00DD3657" w:rsidRPr="00327D99" w:rsidRDefault="00DD3657" w:rsidP="00DD3657">
      <w:pPr>
        <w:rPr>
          <w:rtl/>
          <w:lang w:val="en-US" w:bidi="ar-EG"/>
        </w:rPr>
      </w:pPr>
      <w:r w:rsidRPr="00327D99">
        <w:rPr>
          <w:rtl/>
          <w:lang w:val="en-US" w:bidi="ar-EG"/>
        </w:rPr>
        <w:t>توزع التكاليف الإدارية السنوية بين جميع الكيانات الخاضعة لرسوم الإدارة بالتناسب مع رقم أعمالها.</w:t>
      </w:r>
    </w:p>
    <w:p w:rsidR="00DD3657" w:rsidRPr="00327D99" w:rsidRDefault="00DD3657" w:rsidP="00DD3657">
      <w:pPr>
        <w:rPr>
          <w:rtl/>
          <w:lang w:val="en-US" w:bidi="ar-EG"/>
        </w:rPr>
      </w:pPr>
      <w:r w:rsidRPr="00327D99">
        <w:rPr>
          <w:rtl/>
          <w:lang w:val="en-US" w:bidi="ar-EG"/>
        </w:rPr>
        <w:t xml:space="preserve">وهكذا، بالنسبة لكيان خاضع للرسوم حيث يوازي رقم الأعمال الخاص به </w:t>
      </w:r>
      <w:r w:rsidRPr="00327D99">
        <w:rPr>
          <w:i/>
          <w:iCs/>
          <w:lang w:val="en-US" w:bidi="ar-EG"/>
        </w:rPr>
        <w:t>CA</w:t>
      </w:r>
      <w:r w:rsidRPr="00327D99">
        <w:rPr>
          <w:rtl/>
          <w:lang w:val="en-US" w:bidi="ar-EG"/>
        </w:rPr>
        <w:t xml:space="preserve">، يساوي المبلغ السنوي للرسم الإداري </w:t>
      </w:r>
      <w:r w:rsidRPr="00327D99">
        <w:rPr>
          <w:i/>
          <w:iCs/>
          <w:lang w:val="en-US" w:bidi="ar-EG"/>
        </w:rPr>
        <w:t>Ra</w:t>
      </w:r>
      <w:r w:rsidRPr="00327D99">
        <w:rPr>
          <w:rtl/>
          <w:lang w:val="en-US" w:bidi="ar-EG"/>
        </w:rPr>
        <w:t xml:space="preserve"> عن السنة المعنية النتيجة التالية: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07"/>
        <w:gridCol w:w="7560"/>
        <w:gridCol w:w="1188"/>
      </w:tblGrid>
      <w:tr w:rsidR="00DD3657" w:rsidRPr="00327D99" w:rsidTr="00F76179">
        <w:tc>
          <w:tcPr>
            <w:tcW w:w="1107" w:type="dxa"/>
            <w:vMerge w:val="restart"/>
            <w:vAlign w:val="center"/>
          </w:tcPr>
          <w:p w:rsidR="00DD3657" w:rsidRPr="00327D99" w:rsidRDefault="00DD3657" w:rsidP="009C664A">
            <w:pPr>
              <w:spacing w:before="0"/>
              <w:jc w:val="right"/>
              <w:rPr>
                <w:i/>
                <w:iCs/>
                <w:lang w:val="en-US" w:bidi="ar-EG"/>
              </w:rPr>
            </w:pPr>
            <w:r w:rsidRPr="00327D99">
              <w:rPr>
                <w:i/>
                <w:iCs/>
                <w:lang w:val="en-US" w:bidi="ar-EG"/>
              </w:rPr>
              <w:t>= Ra</w:t>
            </w:r>
          </w:p>
        </w:tc>
        <w:tc>
          <w:tcPr>
            <w:tcW w:w="7560" w:type="dxa"/>
            <w:tcBorders>
              <w:bottom w:val="single" w:sz="4" w:space="0" w:color="auto"/>
            </w:tcBorders>
            <w:vAlign w:val="center"/>
          </w:tcPr>
          <w:p w:rsidR="00DD3657" w:rsidRPr="00327D99" w:rsidRDefault="00DD3657" w:rsidP="00C56EAC">
            <w:pPr>
              <w:jc w:val="center"/>
              <w:rPr>
                <w:i/>
                <w:iCs/>
                <w:rtl/>
                <w:lang w:val="en-US" w:bidi="ar-EG"/>
              </w:rPr>
            </w:pPr>
            <w:r w:rsidRPr="00327D99">
              <w:rPr>
                <w:i/>
                <w:iCs/>
                <w:rtl/>
                <w:lang w:val="en-US" w:bidi="ar-EG"/>
              </w:rPr>
              <w:t>التكاليف الإدارية للسنة المعنية</w:t>
            </w:r>
          </w:p>
        </w:tc>
        <w:tc>
          <w:tcPr>
            <w:tcW w:w="1188" w:type="dxa"/>
            <w:vMerge w:val="restart"/>
            <w:vAlign w:val="center"/>
          </w:tcPr>
          <w:p w:rsidR="00DD3657" w:rsidRPr="00327D99" w:rsidRDefault="00DD3657" w:rsidP="00E96486">
            <w:pPr>
              <w:spacing w:before="0"/>
              <w:rPr>
                <w:i/>
                <w:iCs/>
                <w:lang w:val="en-US" w:bidi="ar-EG"/>
              </w:rPr>
            </w:pPr>
            <w:r w:rsidRPr="00327D99">
              <w:rPr>
                <w:i/>
                <w:iCs/>
                <w:lang w:val="en-US" w:bidi="ar-EG"/>
              </w:rPr>
              <w:t xml:space="preserve">CA </w:t>
            </w:r>
            <w:r w:rsidRPr="00F76179">
              <w:rPr>
                <w:i/>
                <w:iCs/>
                <w:position w:val="-6"/>
                <w:lang w:val="en-US" w:bidi="ar-EG"/>
              </w:rPr>
              <w:t>*</w:t>
            </w:r>
          </w:p>
        </w:tc>
      </w:tr>
      <w:tr w:rsidR="00DD3657" w:rsidRPr="00327D99" w:rsidTr="00F76179">
        <w:tc>
          <w:tcPr>
            <w:tcW w:w="1107" w:type="dxa"/>
            <w:vMerge/>
            <w:vAlign w:val="center"/>
          </w:tcPr>
          <w:p w:rsidR="00DD3657" w:rsidRPr="00327D99" w:rsidRDefault="00DD3657" w:rsidP="00C56EAC">
            <w:pPr>
              <w:rPr>
                <w:i/>
                <w:iCs/>
                <w:lang w:val="en-US" w:bidi="ar-EG"/>
              </w:rPr>
            </w:pPr>
          </w:p>
        </w:tc>
        <w:tc>
          <w:tcPr>
            <w:tcW w:w="7560" w:type="dxa"/>
            <w:tcBorders>
              <w:top w:val="single" w:sz="4" w:space="0" w:color="auto"/>
            </w:tcBorders>
            <w:vAlign w:val="center"/>
          </w:tcPr>
          <w:p w:rsidR="00DD3657" w:rsidRPr="00327D99" w:rsidRDefault="00DD3657" w:rsidP="00C56EAC">
            <w:pPr>
              <w:jc w:val="center"/>
              <w:rPr>
                <w:i/>
                <w:iCs/>
                <w:rtl/>
                <w:lang w:val="en-US" w:bidi="ar-EG"/>
              </w:rPr>
            </w:pPr>
            <w:r w:rsidRPr="00327D99">
              <w:rPr>
                <w:i/>
                <w:iCs/>
                <w:rtl/>
                <w:lang w:val="en-US" w:bidi="ar-EG"/>
              </w:rPr>
              <w:t>المجموع الكلي لرقم الأعمال الخاص بجميع الكيانات الخاضعة للرسوم عن السنة المعنية</w:t>
            </w:r>
          </w:p>
        </w:tc>
        <w:tc>
          <w:tcPr>
            <w:tcW w:w="1188" w:type="dxa"/>
            <w:vMerge/>
            <w:vAlign w:val="center"/>
          </w:tcPr>
          <w:p w:rsidR="00DD3657" w:rsidRPr="00327D99" w:rsidRDefault="00DD3657" w:rsidP="00C56EAC">
            <w:pPr>
              <w:rPr>
                <w:i/>
                <w:iCs/>
                <w:lang w:val="en-US" w:bidi="ar-EG"/>
              </w:rPr>
            </w:pPr>
          </w:p>
        </w:tc>
      </w:tr>
    </w:tbl>
    <w:p w:rsidR="00DD3657" w:rsidRPr="00327D99" w:rsidRDefault="00DD3657" w:rsidP="00DD3657">
      <w:pPr>
        <w:rPr>
          <w:rtl/>
          <w:lang w:val="en-US" w:bidi="ar-EG"/>
        </w:rPr>
      </w:pPr>
      <w:r w:rsidRPr="00327D99">
        <w:rPr>
          <w:rtl/>
          <w:lang w:val="en-US" w:bidi="ar-EG"/>
        </w:rPr>
        <w:t>تتميز هذه القاعدة ببساطتها، إلا أنها قد تبدو قاسية بالنسبة إلى الكيانات الخاضعة للرسوم التي ليست لديها سوى شبكة راديوية خاصة والتي تمارس أنشطة صناعية أو تجارية كبيرة لكن دون أن تكون متصلة بالترددات، بحيث تكون هذه الكيانات مطالبة بدفع رسوم أعلى بكثير من تكلفة الخدمة المقدمة لها.</w:t>
      </w:r>
    </w:p>
    <w:p w:rsidR="00DD3657" w:rsidRPr="00327D99" w:rsidRDefault="00DD3657" w:rsidP="00DD3657">
      <w:pPr>
        <w:rPr>
          <w:rtl/>
          <w:lang w:val="en-US" w:bidi="ar-EG"/>
        </w:rPr>
      </w:pPr>
      <w:r w:rsidRPr="00327D99">
        <w:rPr>
          <w:rtl/>
          <w:lang w:val="en-US" w:bidi="ar-EG"/>
        </w:rPr>
        <w:t xml:space="preserve">ويمكن استعمال هذه القاعدة في الحالات التي يتعذر فيها تطبيق القاعدة الموصوفة في الفقرة </w:t>
      </w:r>
      <w:r w:rsidRPr="00327D99">
        <w:rPr>
          <w:lang w:val="en-US" w:bidi="ar-EG"/>
        </w:rPr>
        <w:t>3.4</w:t>
      </w:r>
      <w:r w:rsidRPr="00327D99">
        <w:rPr>
          <w:rtl/>
          <w:lang w:val="en-US" w:bidi="ar-EG"/>
        </w:rPr>
        <w:t>.</w:t>
      </w:r>
    </w:p>
    <w:p w:rsidR="00DD3657" w:rsidRPr="00377605" w:rsidRDefault="00DD3657" w:rsidP="0064775E">
      <w:pPr>
        <w:pStyle w:val="Heading2"/>
        <w:rPr>
          <w:bCs w:val="0"/>
          <w:rtl/>
          <w:lang w:bidi="ar-EG"/>
        </w:rPr>
      </w:pPr>
      <w:bookmarkStart w:id="32" w:name="_Toc209263374"/>
      <w:bookmarkStart w:id="33" w:name="_Toc223323182"/>
      <w:bookmarkStart w:id="34" w:name="_Toc282768616"/>
      <w:r w:rsidRPr="00377605">
        <w:rPr>
          <w:lang w:bidi="ar-EG"/>
        </w:rPr>
        <w:t>3.4</w:t>
      </w:r>
      <w:r w:rsidRPr="00377605">
        <w:rPr>
          <w:lang w:bidi="ar-EG"/>
        </w:rPr>
        <w:tab/>
      </w:r>
      <w:r w:rsidRPr="00377605">
        <w:rPr>
          <w:rtl/>
          <w:lang w:bidi="ar-EG"/>
        </w:rPr>
        <w:t xml:space="preserve">قاعدة توزيع التكاليف الإدارية - المثال </w:t>
      </w:r>
      <w:r w:rsidRPr="00377605">
        <w:rPr>
          <w:lang w:bidi="ar-EG"/>
        </w:rPr>
        <w:t>2</w:t>
      </w:r>
      <w:bookmarkEnd w:id="32"/>
      <w:bookmarkEnd w:id="33"/>
      <w:bookmarkEnd w:id="34"/>
    </w:p>
    <w:p w:rsidR="00DD3657" w:rsidRPr="00327D99" w:rsidRDefault="00DD3657" w:rsidP="00DD3657">
      <w:pPr>
        <w:rPr>
          <w:rtl/>
          <w:lang w:val="en-US" w:bidi="ar-EG"/>
        </w:rPr>
      </w:pPr>
      <w:r w:rsidRPr="00327D99">
        <w:rPr>
          <w:rtl/>
          <w:lang w:val="en-US" w:bidi="ar-EG"/>
        </w:rPr>
        <w:t xml:space="preserve">توزع التكاليف الإدارية بالتناسب حسب عدد التخصيصات وعدد التعيينات الموزعة لكل كيان من الكيانات الخاضعة لرسم الإدارة (انظر الفقرتين </w:t>
      </w:r>
      <w:r w:rsidRPr="00327D99">
        <w:rPr>
          <w:lang w:bidi="ar-EG"/>
        </w:rPr>
        <w:t>[1]</w:t>
      </w:r>
      <w:r w:rsidRPr="00327D99">
        <w:rPr>
          <w:rtl/>
          <w:lang w:bidi="ar-EG"/>
        </w:rPr>
        <w:t xml:space="preserve"> </w:t>
      </w:r>
      <w:r w:rsidRPr="00327D99">
        <w:rPr>
          <w:rtl/>
          <w:lang w:val="en-US" w:bidi="ar-EG"/>
        </w:rPr>
        <w:t>و</w:t>
      </w:r>
      <w:r w:rsidRPr="00327D99">
        <w:rPr>
          <w:lang w:val="en-US" w:bidi="ar-EG"/>
        </w:rPr>
        <w:t>(</w:t>
      </w:r>
      <w:r w:rsidRPr="00327D99">
        <w:rPr>
          <w:lang w:bidi="ar-EG"/>
        </w:rPr>
        <w:t>[2]</w:t>
      </w:r>
      <w:r w:rsidRPr="00327D99">
        <w:rPr>
          <w:rtl/>
          <w:lang w:val="en-US" w:bidi="ar-EG"/>
        </w:rPr>
        <w:t>.</w:t>
      </w:r>
    </w:p>
    <w:p w:rsidR="00DD3657" w:rsidRPr="00327D99" w:rsidRDefault="00DD3657" w:rsidP="00890DD5">
      <w:pPr>
        <w:rPr>
          <w:lang w:val="en-US" w:bidi="ar-EG"/>
        </w:rPr>
      </w:pPr>
      <w:r w:rsidRPr="00327D99">
        <w:rPr>
          <w:rtl/>
          <w:lang w:val="en-US" w:bidi="ar-EG"/>
        </w:rPr>
        <w:t xml:space="preserve">وعلى المستوى العملي، تحدد قيمتان نقديتان مرجعيتان تقابلان على التوالي مبلغ الرسم الإداري لتخصيص تردد </w:t>
      </w:r>
      <w:r w:rsidRPr="00327D99">
        <w:rPr>
          <w:lang w:val="en-US" w:bidi="ar-EG"/>
        </w:rPr>
        <w:t>(G)</w:t>
      </w:r>
      <w:r w:rsidRPr="00327D99">
        <w:rPr>
          <w:rtl/>
          <w:lang w:val="en-US" w:bidi="ar-EG"/>
        </w:rPr>
        <w:t xml:space="preserve"> ومبلغ الرسم الإداري لتعيين نطاق ترددات قدره </w:t>
      </w:r>
      <w:r w:rsidRPr="00327D99">
        <w:rPr>
          <w:lang w:val="en-US" w:bidi="ar-EG"/>
        </w:rPr>
        <w:t>MHz 1</w:t>
      </w:r>
      <w:r w:rsidRPr="00327D99">
        <w:rPr>
          <w:rtl/>
          <w:lang w:val="en-US" w:bidi="ar-EG"/>
        </w:rPr>
        <w:t xml:space="preserve"> </w:t>
      </w:r>
      <w:r w:rsidRPr="00327D99">
        <w:rPr>
          <w:lang w:val="en-US" w:bidi="ar-EG"/>
        </w:rPr>
        <w:t>(G</w:t>
      </w:r>
      <w:r w:rsidR="00890DD5">
        <w:rPr>
          <w:lang w:val="en-US" w:bidi="ar-EG"/>
        </w:rPr>
        <w:t>'</w:t>
      </w:r>
      <w:r w:rsidRPr="00327D99">
        <w:rPr>
          <w:lang w:val="en-US" w:bidi="ar-EG"/>
        </w:rPr>
        <w:t>)</w:t>
      </w:r>
      <w:r w:rsidRPr="00327D99">
        <w:rPr>
          <w:rtl/>
          <w:lang w:val="en-US" w:bidi="ar-EG"/>
        </w:rPr>
        <w:t>.</w:t>
      </w:r>
    </w:p>
    <w:p w:rsidR="00DD3657" w:rsidRDefault="00DD3657" w:rsidP="00B67A94">
      <w:pPr>
        <w:spacing w:after="120"/>
        <w:rPr>
          <w:spacing w:val="-6"/>
          <w:rtl/>
          <w:lang w:val="en-US" w:bidi="ar-EG"/>
        </w:rPr>
      </w:pPr>
      <w:r w:rsidRPr="00327D99">
        <w:rPr>
          <w:spacing w:val="-6"/>
          <w:rtl/>
          <w:lang w:val="en-US" w:bidi="ar-EG"/>
        </w:rPr>
        <w:t xml:space="preserve">وينبغي تحديد القيمتين </w:t>
      </w:r>
      <w:r w:rsidRPr="00327D99">
        <w:rPr>
          <w:spacing w:val="-6"/>
          <w:lang w:val="en-US" w:bidi="ar-EG"/>
        </w:rPr>
        <w:t>G</w:t>
      </w:r>
      <w:r w:rsidRPr="00327D99">
        <w:rPr>
          <w:spacing w:val="-6"/>
          <w:rtl/>
          <w:lang w:val="en-US" w:bidi="ar-EG"/>
        </w:rPr>
        <w:t xml:space="preserve"> و</w:t>
      </w:r>
      <w:r w:rsidRPr="00327D99">
        <w:rPr>
          <w:spacing w:val="-6"/>
          <w:lang w:val="en-US" w:bidi="ar-EG"/>
        </w:rPr>
        <w:t>G</w:t>
      </w:r>
      <w:r w:rsidR="00B67A94">
        <w:rPr>
          <w:lang w:val="en-US" w:bidi="ar-EG"/>
        </w:rPr>
        <w:t>'</w:t>
      </w:r>
      <w:r w:rsidRPr="00327D99">
        <w:rPr>
          <w:spacing w:val="-6"/>
          <w:rtl/>
          <w:lang w:val="en-US" w:bidi="ar-EG"/>
        </w:rPr>
        <w:t xml:space="preserve"> على نحو يمكّن من تحقيق المعادلة التالية لسنة معنية على أحسن وجه ممكن (انظر الفقرتين </w:t>
      </w:r>
      <w:r w:rsidRPr="00327D99">
        <w:rPr>
          <w:spacing w:val="-6"/>
          <w:lang w:bidi="ar-EG"/>
        </w:rPr>
        <w:t>[14]</w:t>
      </w:r>
      <w:r w:rsidRPr="00327D99">
        <w:rPr>
          <w:spacing w:val="-6"/>
          <w:rtl/>
          <w:lang w:bidi="ar-EG"/>
        </w:rPr>
        <w:t xml:space="preserve"> </w:t>
      </w:r>
      <w:r w:rsidRPr="00327D99">
        <w:rPr>
          <w:spacing w:val="-6"/>
          <w:rtl/>
          <w:lang w:val="en-US" w:bidi="ar-EG"/>
        </w:rPr>
        <w:t>و</w:t>
      </w:r>
      <w:r w:rsidRPr="00327D99">
        <w:rPr>
          <w:spacing w:val="-6"/>
          <w:lang w:bidi="ar-EG"/>
        </w:rPr>
        <w:t>[20]</w:t>
      </w:r>
      <w:r w:rsidRPr="00327D99">
        <w:rPr>
          <w:spacing w:val="-6"/>
          <w:rtl/>
          <w:lang w:val="en-US" w:bidi="ar-EG"/>
        </w:rPr>
        <w:t>):</w:t>
      </w:r>
    </w:p>
    <w:tbl>
      <w:tblPr>
        <w:tblStyle w:val="TableGrid"/>
        <w:bidiVisual/>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842"/>
        <w:gridCol w:w="6521"/>
      </w:tblGrid>
      <w:tr w:rsidR="00161205" w:rsidRPr="00327D99" w:rsidTr="00161205">
        <w:tc>
          <w:tcPr>
            <w:tcW w:w="1842" w:type="dxa"/>
            <w:vMerge w:val="restart"/>
            <w:vAlign w:val="center"/>
          </w:tcPr>
          <w:p w:rsidR="00161205" w:rsidRPr="00327D99" w:rsidRDefault="00161205" w:rsidP="00026C26">
            <w:pPr>
              <w:spacing w:before="0"/>
              <w:jc w:val="right"/>
              <w:rPr>
                <w:i/>
                <w:iCs/>
                <w:lang w:val="en-US" w:bidi="ar-EG"/>
              </w:rPr>
            </w:pPr>
            <w:r w:rsidRPr="00327D99">
              <w:rPr>
                <w:rtl/>
                <w:lang w:val="en-US" w:bidi="ar-EG"/>
              </w:rPr>
              <w:t>التكاليف الإدارية =</w:t>
            </w:r>
          </w:p>
        </w:tc>
        <w:tc>
          <w:tcPr>
            <w:tcW w:w="6521" w:type="dxa"/>
            <w:vAlign w:val="center"/>
          </w:tcPr>
          <w:p w:rsidR="00161205" w:rsidRPr="00327D99" w:rsidRDefault="00161205" w:rsidP="00161205">
            <w:pPr>
              <w:jc w:val="center"/>
              <w:rPr>
                <w:i/>
                <w:iCs/>
                <w:rtl/>
                <w:lang w:val="en-US" w:bidi="ar-EG"/>
              </w:rPr>
            </w:pPr>
            <w:r w:rsidRPr="00327D99">
              <w:rPr>
                <w:rtl/>
                <w:lang w:val="en-US" w:bidi="ar-EG"/>
              </w:rPr>
              <w:t xml:space="preserve">العدد الإجمالي للترددات المخصصة في المنطقة برمتها </w:t>
            </w:r>
            <w:r w:rsidRPr="00327D99">
              <w:rPr>
                <w:lang w:val="en-US" w:bidi="ar-EG"/>
              </w:rPr>
              <w:t>*</w:t>
            </w:r>
            <w:r w:rsidRPr="00327D99">
              <w:rPr>
                <w:rtl/>
                <w:lang w:val="en-US" w:bidi="ar-EG"/>
              </w:rPr>
              <w:t xml:space="preserve"> </w:t>
            </w:r>
            <w:r w:rsidRPr="00327D99">
              <w:rPr>
                <w:lang w:val="en-US" w:bidi="ar-EG"/>
              </w:rPr>
              <w:t>G</w:t>
            </w:r>
          </w:p>
        </w:tc>
      </w:tr>
      <w:tr w:rsidR="00161205" w:rsidRPr="00327D99" w:rsidTr="00161205">
        <w:tc>
          <w:tcPr>
            <w:tcW w:w="1842" w:type="dxa"/>
            <w:vMerge/>
            <w:vAlign w:val="center"/>
          </w:tcPr>
          <w:p w:rsidR="00161205" w:rsidRPr="00327D99" w:rsidRDefault="00161205" w:rsidP="00026C26">
            <w:pPr>
              <w:rPr>
                <w:i/>
                <w:iCs/>
                <w:lang w:val="en-US" w:bidi="ar-EG"/>
              </w:rPr>
            </w:pPr>
          </w:p>
        </w:tc>
        <w:tc>
          <w:tcPr>
            <w:tcW w:w="6521" w:type="dxa"/>
            <w:vAlign w:val="center"/>
          </w:tcPr>
          <w:p w:rsidR="00161205" w:rsidRPr="00327D99" w:rsidRDefault="00161205" w:rsidP="00161205">
            <w:pPr>
              <w:jc w:val="center"/>
              <w:rPr>
                <w:i/>
                <w:iCs/>
                <w:rtl/>
                <w:lang w:val="en-US" w:bidi="ar-EG"/>
              </w:rPr>
            </w:pPr>
            <w:r w:rsidRPr="00327D99">
              <w:rPr>
                <w:rtl/>
                <w:lang w:val="en-US" w:bidi="ar-EG"/>
              </w:rPr>
              <w:t xml:space="preserve">+ العدد الإجمالي من وحدات </w:t>
            </w:r>
            <w:r w:rsidRPr="00327D99">
              <w:rPr>
                <w:lang w:val="en-US" w:bidi="ar-EG"/>
              </w:rPr>
              <w:t>MHz</w:t>
            </w:r>
            <w:r w:rsidRPr="00327D99">
              <w:rPr>
                <w:rtl/>
                <w:lang w:val="en-US" w:bidi="ar-EG"/>
              </w:rPr>
              <w:t xml:space="preserve"> (ميغاهرتز) المعينة في المنطقة برمتها </w:t>
            </w:r>
            <w:r w:rsidRPr="00327D99">
              <w:rPr>
                <w:lang w:val="en-US" w:bidi="ar-EG"/>
              </w:rPr>
              <w:t>*</w:t>
            </w:r>
            <w:r w:rsidRPr="00327D99">
              <w:rPr>
                <w:rtl/>
                <w:lang w:val="en-US" w:bidi="ar-EG"/>
              </w:rPr>
              <w:t xml:space="preserve"> </w:t>
            </w:r>
            <w:r w:rsidRPr="00327D99">
              <w:rPr>
                <w:lang w:val="en-US" w:bidi="ar-EG"/>
              </w:rPr>
              <w:t>G</w:t>
            </w:r>
            <w:r w:rsidR="00B67A94">
              <w:rPr>
                <w:lang w:val="en-US" w:bidi="ar-EG"/>
              </w:rPr>
              <w:t>'</w:t>
            </w:r>
          </w:p>
        </w:tc>
      </w:tr>
    </w:tbl>
    <w:p w:rsidR="00DD3657" w:rsidRPr="00327D99" w:rsidRDefault="00DD3657" w:rsidP="00DD3657">
      <w:pPr>
        <w:rPr>
          <w:rtl/>
          <w:lang w:val="en-US" w:bidi="ar-EG"/>
        </w:rPr>
      </w:pPr>
      <w:r w:rsidRPr="00327D99">
        <w:rPr>
          <w:rtl/>
          <w:lang w:val="en-US" w:bidi="ar-EG"/>
        </w:rPr>
        <w:t xml:space="preserve">وعلى سبيل المثال، فإن كياناً يستفيد من </w:t>
      </w:r>
      <w:r w:rsidRPr="00327D99">
        <w:rPr>
          <w:lang w:val="en-US" w:bidi="ar-EG"/>
        </w:rPr>
        <w:t>50</w:t>
      </w:r>
      <w:r w:rsidRPr="00327D99">
        <w:rPr>
          <w:rtl/>
          <w:lang w:val="en-US" w:bidi="ar-EG"/>
        </w:rPr>
        <w:t xml:space="preserve"> تردداً مخصصاً وتعييناً قدره </w:t>
      </w:r>
      <w:r w:rsidRPr="00327D99">
        <w:rPr>
          <w:lang w:val="en-US" w:bidi="ar-EG"/>
        </w:rPr>
        <w:t>MHz 20</w:t>
      </w:r>
      <w:r w:rsidRPr="00327D99">
        <w:rPr>
          <w:rtl/>
          <w:lang w:val="en-US" w:bidi="ar-EG"/>
        </w:rPr>
        <w:t xml:space="preserve">، يدفع رسماً إدارياً </w:t>
      </w:r>
      <w:r w:rsidRPr="00327D99">
        <w:rPr>
          <w:i/>
          <w:iCs/>
          <w:lang w:val="en-US" w:bidi="ar-EG"/>
        </w:rPr>
        <w:t>Ra</w:t>
      </w:r>
      <w:r w:rsidRPr="00327D99">
        <w:rPr>
          <w:rtl/>
          <w:lang w:val="en-US" w:bidi="ar-EG"/>
        </w:rPr>
        <w:t xml:space="preserve"> كل سنة يساوي:</w:t>
      </w:r>
    </w:p>
    <w:p w:rsidR="00DD3657" w:rsidRPr="00327D99" w:rsidRDefault="00DD3657" w:rsidP="00B67A94">
      <w:pPr>
        <w:jc w:val="center"/>
        <w:rPr>
          <w:i/>
          <w:iCs/>
          <w:rtl/>
          <w:lang w:val="en-US" w:bidi="ar-EG"/>
        </w:rPr>
      </w:pPr>
      <w:r w:rsidRPr="00327D99">
        <w:rPr>
          <w:i/>
          <w:iCs/>
          <w:lang w:val="en-US" w:bidi="ar-EG"/>
        </w:rPr>
        <w:t>G</w:t>
      </w:r>
      <w:r w:rsidR="00B67A94">
        <w:rPr>
          <w:lang w:val="en-US" w:bidi="ar-EG"/>
        </w:rPr>
        <w:t>'</w:t>
      </w:r>
      <w:r w:rsidRPr="00327D99">
        <w:rPr>
          <w:i/>
          <w:iCs/>
          <w:rtl/>
          <w:lang w:val="en-US" w:bidi="ar-EG"/>
        </w:rPr>
        <w:t xml:space="preserve"> </w:t>
      </w:r>
      <w:r w:rsidRPr="00327D99">
        <w:rPr>
          <w:i/>
          <w:iCs/>
          <w:lang w:val="en-US" w:bidi="ar-EG"/>
        </w:rPr>
        <w:t>*</w:t>
      </w:r>
      <w:r w:rsidRPr="00327D99">
        <w:rPr>
          <w:i/>
          <w:iCs/>
          <w:rtl/>
          <w:lang w:val="en-US" w:bidi="ar-EG"/>
        </w:rPr>
        <w:t xml:space="preserve"> </w:t>
      </w:r>
      <w:r w:rsidRPr="00327D99">
        <w:rPr>
          <w:i/>
          <w:iCs/>
          <w:lang w:val="en-US" w:bidi="ar-EG"/>
        </w:rPr>
        <w:t>20</w:t>
      </w:r>
      <w:r w:rsidRPr="00327D99">
        <w:rPr>
          <w:i/>
          <w:iCs/>
          <w:rtl/>
          <w:lang w:val="en-US" w:bidi="ar-EG"/>
        </w:rPr>
        <w:t xml:space="preserve"> </w:t>
      </w:r>
      <w:r w:rsidRPr="00327D99">
        <w:rPr>
          <w:i/>
          <w:iCs/>
          <w:lang w:val="en-US" w:bidi="ar-EG"/>
        </w:rPr>
        <w:t>+</w:t>
      </w:r>
      <w:r w:rsidRPr="00327D99">
        <w:rPr>
          <w:i/>
          <w:iCs/>
          <w:rtl/>
          <w:lang w:val="en-US" w:bidi="ar-EG"/>
        </w:rPr>
        <w:t xml:space="preserve"> </w:t>
      </w:r>
      <w:r w:rsidRPr="00327D99">
        <w:rPr>
          <w:i/>
          <w:iCs/>
          <w:lang w:val="en-US" w:bidi="ar-EG"/>
        </w:rPr>
        <w:t>G</w:t>
      </w:r>
      <w:r w:rsidRPr="00327D99">
        <w:rPr>
          <w:i/>
          <w:iCs/>
          <w:rtl/>
          <w:lang w:val="en-US" w:bidi="ar-EG"/>
        </w:rPr>
        <w:t xml:space="preserve"> </w:t>
      </w:r>
      <w:r w:rsidRPr="00327D99">
        <w:rPr>
          <w:i/>
          <w:iCs/>
          <w:lang w:val="en-US" w:bidi="ar-EG"/>
        </w:rPr>
        <w:t>*</w:t>
      </w:r>
      <w:r w:rsidRPr="00327D99">
        <w:rPr>
          <w:i/>
          <w:iCs/>
          <w:rtl/>
          <w:lang w:val="en-US" w:bidi="ar-EG"/>
        </w:rPr>
        <w:t xml:space="preserve"> </w:t>
      </w:r>
      <w:r w:rsidRPr="00327D99">
        <w:rPr>
          <w:i/>
          <w:iCs/>
          <w:lang w:val="en-US" w:bidi="ar-EG"/>
        </w:rPr>
        <w:t>Ra = 50</w:t>
      </w:r>
    </w:p>
    <w:p w:rsidR="00DD3657" w:rsidRPr="00327D99" w:rsidRDefault="00DD3657" w:rsidP="00B67A94">
      <w:pPr>
        <w:rPr>
          <w:rtl/>
          <w:lang w:val="en-US" w:bidi="ar-EG"/>
        </w:rPr>
      </w:pPr>
      <w:r w:rsidRPr="00327D99">
        <w:rPr>
          <w:rtl/>
          <w:lang w:val="en-US" w:bidi="ar-EG"/>
        </w:rPr>
        <w:t xml:space="preserve">وفي حالات كثيرة، يكون العمل الإداري المتصل بالتعيين أعلى من العمل المتصل بالتخصيص. ولذا يوصى بمراعاة ذلك من خلال إعطاء قيمة أكبر للتعيينات عند توزيع التكاليف الإدارية أي لدى تحديد القيمتين </w:t>
      </w:r>
      <w:r w:rsidRPr="00327D99">
        <w:rPr>
          <w:lang w:val="en-US" w:bidi="ar-EG"/>
        </w:rPr>
        <w:t>G</w:t>
      </w:r>
      <w:r w:rsidRPr="00327D99">
        <w:rPr>
          <w:rtl/>
          <w:lang w:val="en-US" w:bidi="ar-EG"/>
        </w:rPr>
        <w:t xml:space="preserve"> و</w:t>
      </w:r>
      <w:r w:rsidRPr="00327D99">
        <w:rPr>
          <w:lang w:val="en-US" w:bidi="ar-EG"/>
        </w:rPr>
        <w:t>G</w:t>
      </w:r>
      <w:r w:rsidR="00B67A94">
        <w:rPr>
          <w:lang w:val="en-US" w:bidi="ar-EG"/>
        </w:rPr>
        <w:t>'</w:t>
      </w:r>
      <w:r w:rsidRPr="00327D99">
        <w:rPr>
          <w:rtl/>
          <w:lang w:val="en-US" w:bidi="ar-EG"/>
        </w:rPr>
        <w:t>.</w:t>
      </w:r>
    </w:p>
    <w:p w:rsidR="00DD3657" w:rsidRPr="00327D99" w:rsidRDefault="00DD3657" w:rsidP="002211E3">
      <w:pPr>
        <w:rPr>
          <w:rtl/>
          <w:lang w:val="en-US" w:bidi="ar-EG"/>
        </w:rPr>
      </w:pPr>
      <w:r w:rsidRPr="00327D99">
        <w:rPr>
          <w:rtl/>
          <w:lang w:val="en-US" w:bidi="ar-EG"/>
        </w:rPr>
        <w:t xml:space="preserve">ويمكن تحديد القيمتين </w:t>
      </w:r>
      <w:r w:rsidRPr="00327D99">
        <w:rPr>
          <w:lang w:val="en-US" w:bidi="ar-EG"/>
        </w:rPr>
        <w:t>G</w:t>
      </w:r>
      <w:r w:rsidRPr="00327D99">
        <w:rPr>
          <w:rtl/>
          <w:lang w:val="en-US" w:bidi="ar-EG"/>
        </w:rPr>
        <w:t xml:space="preserve"> و</w:t>
      </w:r>
      <w:r w:rsidRPr="00327D99">
        <w:rPr>
          <w:lang w:val="en-US" w:bidi="ar-EG"/>
        </w:rPr>
        <w:t>G</w:t>
      </w:r>
      <w:r w:rsidR="002211E3">
        <w:rPr>
          <w:lang w:val="en-US" w:bidi="ar-EG"/>
        </w:rPr>
        <w:t>'</w:t>
      </w:r>
      <w:r w:rsidRPr="00327D99">
        <w:rPr>
          <w:rtl/>
          <w:lang w:val="en-US" w:bidi="ar-EG"/>
        </w:rPr>
        <w:t xml:space="preserve"> بسهولة من خلال استعمال محاسبة تحليلية ملائمة.</w:t>
      </w:r>
    </w:p>
    <w:p w:rsidR="00DD3657" w:rsidRPr="00327D99" w:rsidRDefault="00DD3657" w:rsidP="00DD3657">
      <w:pPr>
        <w:rPr>
          <w:rtl/>
          <w:lang w:val="en-US" w:bidi="ar-EG"/>
        </w:rPr>
      </w:pPr>
      <w:r w:rsidRPr="00327D99">
        <w:rPr>
          <w:rtl/>
          <w:lang w:val="en-US" w:bidi="ar-EG"/>
        </w:rPr>
        <w:t>وميزة هذه القاعدة لتوزيع التكاليف الإدارية أنها تعكس جيداً الخدمة المقدمة، علماً بأن العمل الإداري اللازم يزداد مع ازدياد عدد تخصيصات التردد وعدد وحدات الميغاهرتز المعينة والموزعة للكيان الخاضع للرسوم.</w:t>
      </w:r>
    </w:p>
    <w:p w:rsidR="00DD3657" w:rsidRPr="00327D99" w:rsidRDefault="00DD3657" w:rsidP="00DD3657">
      <w:pPr>
        <w:pStyle w:val="Heading1"/>
        <w:spacing w:before="120"/>
        <w:rPr>
          <w:rtl/>
        </w:rPr>
      </w:pPr>
      <w:bookmarkStart w:id="35" w:name="_Toc209263375"/>
      <w:bookmarkStart w:id="36" w:name="_Toc223322735"/>
      <w:bookmarkStart w:id="37" w:name="_Toc223323183"/>
      <w:bookmarkStart w:id="38" w:name="_Toc282768617"/>
      <w:r w:rsidRPr="00327D99">
        <w:lastRenderedPageBreak/>
        <w:t>5</w:t>
      </w:r>
      <w:r w:rsidRPr="00057710">
        <w:rPr>
          <w:b w:val="0"/>
        </w:rPr>
        <w:tab/>
      </w:r>
      <w:r w:rsidRPr="00057710">
        <w:rPr>
          <w:b w:val="0"/>
          <w:rtl/>
        </w:rPr>
        <w:t>الخطوط التوجيهية لتحديد رسوم الطيف</w:t>
      </w:r>
      <w:bookmarkEnd w:id="35"/>
      <w:bookmarkEnd w:id="36"/>
      <w:bookmarkEnd w:id="37"/>
      <w:bookmarkEnd w:id="38"/>
    </w:p>
    <w:p w:rsidR="00DD3657" w:rsidRPr="00161205" w:rsidRDefault="00DD3657" w:rsidP="00161205">
      <w:pPr>
        <w:pStyle w:val="Heading2"/>
        <w:rPr>
          <w:rtl/>
        </w:rPr>
      </w:pPr>
      <w:bookmarkStart w:id="39" w:name="_Toc209263376"/>
      <w:bookmarkStart w:id="40" w:name="_Toc223323184"/>
      <w:bookmarkStart w:id="41" w:name="_Toc282768618"/>
      <w:r w:rsidRPr="00161205">
        <w:t>1.5</w:t>
      </w:r>
      <w:r w:rsidRPr="00161205">
        <w:tab/>
      </w:r>
      <w:r w:rsidRPr="00161205">
        <w:rPr>
          <w:rtl/>
        </w:rPr>
        <w:t>ملاحظات واعتبارات عامة</w:t>
      </w:r>
      <w:bookmarkEnd w:id="39"/>
      <w:bookmarkEnd w:id="40"/>
      <w:bookmarkEnd w:id="41"/>
    </w:p>
    <w:p w:rsidR="00DD3657" w:rsidRPr="00327D99" w:rsidRDefault="00DD3657" w:rsidP="00DD3657">
      <w:pPr>
        <w:rPr>
          <w:rtl/>
          <w:lang w:val="en-US" w:bidi="ar-EG"/>
        </w:rPr>
      </w:pPr>
      <w:r w:rsidRPr="00327D99">
        <w:rPr>
          <w:rtl/>
          <w:lang w:bidi="ar-EG"/>
        </w:rPr>
        <w:t xml:space="preserve">ينبغي أن يراعي نظام رسوم الطيف بوجه خاص المبادئ الاقتصادية الواردة في الفقرات </w:t>
      </w:r>
      <w:r w:rsidRPr="00327D99">
        <w:rPr>
          <w:lang w:bidi="ar-EG"/>
        </w:rPr>
        <w:t>[12]</w:t>
      </w:r>
      <w:r w:rsidRPr="00327D99">
        <w:rPr>
          <w:rtl/>
          <w:lang w:bidi="ar-EG"/>
        </w:rPr>
        <w:t xml:space="preserve"> </w:t>
      </w:r>
      <w:r w:rsidRPr="00327D99">
        <w:rPr>
          <w:rtl/>
          <w:lang w:val="en-US" w:bidi="ar-EG"/>
        </w:rPr>
        <w:t>و</w:t>
      </w:r>
      <w:r w:rsidRPr="00327D99">
        <w:rPr>
          <w:lang w:bidi="ar-EG"/>
        </w:rPr>
        <w:t>[15]</w:t>
      </w:r>
      <w:r w:rsidRPr="00327D99">
        <w:rPr>
          <w:rtl/>
          <w:lang w:val="en-US" w:bidi="ar-EG"/>
        </w:rPr>
        <w:t xml:space="preserve"> و</w:t>
      </w:r>
      <w:r w:rsidRPr="00327D99">
        <w:rPr>
          <w:lang w:bidi="ar-EG"/>
        </w:rPr>
        <w:t>[16]</w:t>
      </w:r>
      <w:r w:rsidRPr="00327D99">
        <w:rPr>
          <w:rtl/>
          <w:lang w:val="en-US" w:bidi="ar-EG"/>
        </w:rPr>
        <w:t>.</w:t>
      </w:r>
    </w:p>
    <w:p w:rsidR="00DD3657" w:rsidRPr="00327D99" w:rsidRDefault="00DD3657" w:rsidP="00DD3657">
      <w:pPr>
        <w:rPr>
          <w:rtl/>
          <w:lang w:val="en-US" w:bidi="ar-EG"/>
        </w:rPr>
      </w:pPr>
      <w:r w:rsidRPr="00327D99">
        <w:rPr>
          <w:rtl/>
          <w:lang w:val="en-US" w:bidi="ar-EG"/>
        </w:rPr>
        <w:t xml:space="preserve">وينبغي أن يراعي كذلك مبادئ الواقع الواردة في الفقرتين </w:t>
      </w:r>
      <w:r w:rsidRPr="00327D99">
        <w:rPr>
          <w:lang w:bidi="ar-EG"/>
        </w:rPr>
        <w:t>[18]</w:t>
      </w:r>
      <w:r w:rsidRPr="00327D99">
        <w:rPr>
          <w:rtl/>
          <w:lang w:bidi="ar-EG"/>
        </w:rPr>
        <w:t xml:space="preserve"> </w:t>
      </w:r>
      <w:r w:rsidRPr="00327D99">
        <w:rPr>
          <w:rtl/>
          <w:lang w:val="en-US" w:bidi="ar-EG"/>
        </w:rPr>
        <w:t>و</w:t>
      </w:r>
      <w:r w:rsidRPr="00327D99">
        <w:rPr>
          <w:lang w:bidi="ar-EG"/>
        </w:rPr>
        <w:t>[19]</w:t>
      </w:r>
      <w:r w:rsidRPr="00327D99">
        <w:rPr>
          <w:rtl/>
          <w:lang w:val="en-US" w:bidi="ar-EG"/>
        </w:rPr>
        <w:t xml:space="preserve"> لدى تحديد الأساس اللازم لحساب الرسوم.</w:t>
      </w:r>
    </w:p>
    <w:p w:rsidR="00DD3657" w:rsidRPr="00327D99" w:rsidRDefault="00DD3657" w:rsidP="00DD3657">
      <w:pPr>
        <w:pStyle w:val="Heading3"/>
        <w:rPr>
          <w:rtl/>
          <w:lang w:bidi="ar-EG"/>
        </w:rPr>
      </w:pPr>
      <w:bookmarkStart w:id="42" w:name="_Toc282768619"/>
      <w:r w:rsidRPr="00327D99">
        <w:rPr>
          <w:lang w:bidi="ar-EG"/>
        </w:rPr>
        <w:t>1.1.5</w:t>
      </w:r>
      <w:r w:rsidRPr="00327D99">
        <w:rPr>
          <w:lang w:bidi="ar-EG"/>
        </w:rPr>
        <w:tab/>
      </w:r>
      <w:r w:rsidRPr="00DA6DEA">
        <w:rPr>
          <w:b w:val="0"/>
          <w:rtl/>
          <w:lang w:bidi="ar-EG"/>
        </w:rPr>
        <w:t>الأهداف</w:t>
      </w:r>
      <w:r w:rsidRPr="00377605">
        <w:rPr>
          <w:b w:val="0"/>
          <w:rtl/>
          <w:lang w:bidi="ar-EG"/>
        </w:rPr>
        <w:t xml:space="preserve"> المتعلقة بميزانية السلطات الحكومية</w:t>
      </w:r>
      <w:bookmarkEnd w:id="42"/>
    </w:p>
    <w:p w:rsidR="00DD3657" w:rsidRPr="00327D99" w:rsidRDefault="00DD3657" w:rsidP="00DD3657">
      <w:pPr>
        <w:rPr>
          <w:rtl/>
          <w:lang w:val="en-US" w:bidi="ar-EG"/>
        </w:rPr>
      </w:pPr>
      <w:r w:rsidRPr="00327D99">
        <w:rPr>
          <w:rtl/>
          <w:lang w:val="en-US" w:bidi="ar-EG"/>
        </w:rPr>
        <w:t xml:space="preserve">يشير هدف الميزانية بصورة عامة إلى المبلغ </w:t>
      </w:r>
      <w:r w:rsidRPr="00327D99">
        <w:rPr>
          <w:u w:val="single"/>
          <w:rtl/>
          <w:lang w:val="en-US" w:bidi="ar-EG"/>
        </w:rPr>
        <w:t>الإجمالي</w:t>
      </w:r>
      <w:r w:rsidRPr="00327D99">
        <w:rPr>
          <w:rtl/>
          <w:lang w:val="en-US" w:bidi="ar-EG"/>
        </w:rPr>
        <w:t xml:space="preserve"> للإيرادات المتحقق للدولة من جراء تحصيل الرسوم.</w:t>
      </w:r>
    </w:p>
    <w:p w:rsidR="00DD3657" w:rsidRPr="00327D99" w:rsidRDefault="00DD3657" w:rsidP="00DD3657">
      <w:pPr>
        <w:rPr>
          <w:rtl/>
          <w:lang w:val="en-US" w:bidi="ar-EG"/>
        </w:rPr>
      </w:pPr>
      <w:r w:rsidRPr="00327D99">
        <w:rPr>
          <w:lang w:bidi="ar-EG"/>
        </w:rPr>
        <w:t>[21]</w:t>
      </w:r>
      <w:r w:rsidRPr="00327D99">
        <w:rPr>
          <w:rtl/>
          <w:lang w:val="en-US" w:bidi="ar-EG"/>
        </w:rPr>
        <w:tab/>
        <w:t xml:space="preserve">يوصى بتعديل مستويات الرسوم وفقاً للتطبيقات المعنية بحيث تؤخذ في الاعتبار على أكمل وجه الأغراض الثلاثة الأخرى لرسوم الطيف، على أن يتم الالتزام بالمبلغ الإجمالي للإيرادات الذي تحدده السلطات الحكومية (انظر الفقرات </w:t>
      </w:r>
      <w:r w:rsidRPr="00327D99">
        <w:rPr>
          <w:lang w:bidi="ar-EG"/>
        </w:rPr>
        <w:t>[2.15]</w:t>
      </w:r>
      <w:r w:rsidRPr="00327D99">
        <w:rPr>
          <w:rtl/>
          <w:lang w:bidi="ar-EG"/>
        </w:rPr>
        <w:t xml:space="preserve"> </w:t>
      </w:r>
      <w:r w:rsidRPr="00327D99">
        <w:rPr>
          <w:rtl/>
          <w:lang w:val="en-US" w:bidi="ar-EG"/>
        </w:rPr>
        <w:t>و</w:t>
      </w:r>
      <w:r w:rsidRPr="00327D99">
        <w:rPr>
          <w:lang w:bidi="ar-EG"/>
        </w:rPr>
        <w:t>[</w:t>
      </w:r>
      <w:r w:rsidRPr="00327D99">
        <w:rPr>
          <w:lang w:val="en-US" w:bidi="ar-EG"/>
        </w:rPr>
        <w:t>3.</w:t>
      </w:r>
      <w:r w:rsidRPr="00327D99">
        <w:rPr>
          <w:lang w:bidi="ar-EG"/>
        </w:rPr>
        <w:t>15]</w:t>
      </w:r>
      <w:r w:rsidRPr="00327D99">
        <w:rPr>
          <w:rtl/>
          <w:lang w:val="en-US" w:bidi="ar-EG"/>
        </w:rPr>
        <w:t xml:space="preserve"> و</w:t>
      </w:r>
      <w:r w:rsidRPr="00327D99">
        <w:rPr>
          <w:lang w:val="en-US" w:bidi="ar-EG"/>
        </w:rPr>
        <w:t>(</w:t>
      </w:r>
      <w:r w:rsidRPr="00327D99">
        <w:rPr>
          <w:lang w:bidi="ar-EG"/>
        </w:rPr>
        <w:t>[4.15]</w:t>
      </w:r>
      <w:r w:rsidRPr="00327D99">
        <w:rPr>
          <w:rtl/>
          <w:lang w:val="en-US" w:bidi="ar-EG"/>
        </w:rPr>
        <w:t>.</w:t>
      </w:r>
    </w:p>
    <w:p w:rsidR="00DD3657" w:rsidRPr="00C4522B" w:rsidRDefault="00DD3657" w:rsidP="0064775E">
      <w:pPr>
        <w:pStyle w:val="Heading3"/>
        <w:rPr>
          <w:bCs w:val="0"/>
          <w:rtl/>
          <w:lang w:bidi="ar-EG"/>
        </w:rPr>
      </w:pPr>
      <w:bookmarkStart w:id="43" w:name="_Toc282768620"/>
      <w:r w:rsidRPr="00C4522B">
        <w:rPr>
          <w:lang w:bidi="ar-EG"/>
        </w:rPr>
        <w:t>2.1.5</w:t>
      </w:r>
      <w:r w:rsidRPr="00C4522B">
        <w:rPr>
          <w:rtl/>
          <w:lang w:bidi="ar-EG"/>
        </w:rPr>
        <w:tab/>
        <w:t>الأهداف الاقتصادية للسلطات الحكومية</w:t>
      </w:r>
      <w:bookmarkEnd w:id="43"/>
    </w:p>
    <w:p w:rsidR="00DD3657" w:rsidRPr="00327D99" w:rsidRDefault="00DD3657" w:rsidP="00DD3657">
      <w:pPr>
        <w:rPr>
          <w:rtl/>
          <w:lang w:val="en-US" w:bidi="ar-EG"/>
        </w:rPr>
      </w:pPr>
      <w:r w:rsidRPr="00327D99">
        <w:rPr>
          <w:lang w:bidi="ar-EG"/>
        </w:rPr>
        <w:t>[22]</w:t>
      </w:r>
      <w:r w:rsidRPr="00327D99">
        <w:rPr>
          <w:rtl/>
          <w:lang w:val="en-US" w:bidi="ar-EG"/>
        </w:rPr>
        <w:tab/>
        <w:t>يؤدي استعمال الترددات، في معظم الحالات، إلى زيادة فعالية الكيانات الاقتصادية وتعزيز إنتاجيتها، وبالتالي يسهم في التنمية الوطنية. ويمكن مثلاً ذكر استعمال شركات الأشغال العمومية للاتصالات المتنقلة على مواقع البناء من أجل تعزيز إنتاجيتها. وإن تطبيق رسوم مرتفعة للغاية على استعمال التردد في هذه الحالات، يجوز أن يؤدي إلى تقييد هذا الاستعمال وعرقلة هدف التنمية الوطنية.</w:t>
      </w:r>
    </w:p>
    <w:p w:rsidR="00DD3657" w:rsidRPr="00327D99" w:rsidRDefault="00DD3657" w:rsidP="00DD3657">
      <w:pPr>
        <w:rPr>
          <w:rtl/>
          <w:lang w:val="en-US" w:bidi="ar-EG"/>
        </w:rPr>
      </w:pPr>
      <w:r w:rsidRPr="00327D99">
        <w:rPr>
          <w:lang w:bidi="ar-EG"/>
        </w:rPr>
        <w:t>[23]</w:t>
      </w:r>
      <w:r w:rsidRPr="00327D99">
        <w:rPr>
          <w:rtl/>
          <w:lang w:val="en-US" w:bidi="ar-EG"/>
        </w:rPr>
        <w:tab/>
        <w:t xml:space="preserve">وفي عدد من الحالات، يتطلب إدخال خدمة جديدة للاتصالات الراديوية استثمارات كبيرة. وفي هذه الحالة، وأثناء مرحلة اعتماد الخدمة وبدئها، يمكن أن يؤدي تطبيق "تذكرة دخول" أو فرض رسوم سنوية مرتفعة جداً إلى تخفيض قدرة </w:t>
      </w:r>
      <w:r w:rsidRPr="00327D99">
        <w:rPr>
          <w:rtl/>
          <w:lang w:bidi="ar-EG"/>
        </w:rPr>
        <w:t xml:space="preserve">شركات التشغيل </w:t>
      </w:r>
      <w:r w:rsidRPr="00327D99">
        <w:rPr>
          <w:rtl/>
          <w:lang w:val="en-US" w:bidi="ar-EG"/>
        </w:rPr>
        <w:t>المعنية على الاستثمار وبالتالي التأخير في توفير الخدمة.</w:t>
      </w:r>
    </w:p>
    <w:p w:rsidR="00DD3657" w:rsidRPr="00327D99" w:rsidRDefault="00DD3657" w:rsidP="00DD3657">
      <w:pPr>
        <w:rPr>
          <w:rtl/>
          <w:lang w:val="en-US" w:bidi="ar-EG"/>
        </w:rPr>
      </w:pPr>
      <w:r w:rsidRPr="00327D99">
        <w:rPr>
          <w:rtl/>
          <w:lang w:val="en-US" w:bidi="ar-EG"/>
        </w:rPr>
        <w:t xml:space="preserve">ويجوز أن يكون للسلطات الحكومية أيضاً أهداف متعلقة بتخطيط الأراضي بحيث يمكن تعديل مستويات الرسوم للوفاء بهذه الأهداف إذا دعت الحاجة إلى ذلك (انظر الفقرة </w:t>
      </w:r>
      <w:r w:rsidRPr="00327D99">
        <w:rPr>
          <w:lang w:val="en-US" w:bidi="ar-EG"/>
        </w:rPr>
        <w:t>[5]</w:t>
      </w:r>
      <w:r w:rsidRPr="00327D99">
        <w:rPr>
          <w:rtl/>
          <w:lang w:val="en-US" w:bidi="ar-EG"/>
        </w:rPr>
        <w:t>).</w:t>
      </w:r>
    </w:p>
    <w:p w:rsidR="00DD3657" w:rsidRPr="00057710" w:rsidRDefault="00DD3657" w:rsidP="0064775E">
      <w:pPr>
        <w:pStyle w:val="Heading3"/>
        <w:rPr>
          <w:rtl/>
          <w:lang w:bidi="ar-EG"/>
        </w:rPr>
      </w:pPr>
      <w:bookmarkStart w:id="44" w:name="_Toc282768621"/>
      <w:r w:rsidRPr="00057710">
        <w:rPr>
          <w:lang w:bidi="ar-EG"/>
        </w:rPr>
        <w:t>3.1.5</w:t>
      </w:r>
      <w:r w:rsidRPr="00057710">
        <w:rPr>
          <w:rtl/>
          <w:lang w:bidi="ar-EG"/>
        </w:rPr>
        <w:tab/>
        <w:t>إدراك الفوائد الناتجة عن شغل الطيف</w:t>
      </w:r>
      <w:bookmarkEnd w:id="44"/>
    </w:p>
    <w:p w:rsidR="00DD3657" w:rsidRPr="00327D99" w:rsidRDefault="00DD3657" w:rsidP="00DD3657">
      <w:pPr>
        <w:rPr>
          <w:rtl/>
          <w:lang w:val="en-US" w:bidi="ar-EG"/>
        </w:rPr>
      </w:pPr>
      <w:r w:rsidRPr="00327D99">
        <w:rPr>
          <w:rtl/>
          <w:lang w:val="en-US" w:bidi="ar-EG"/>
        </w:rPr>
        <w:t>تعتمد الفوائد المستفادة من شغل الطيف على الاستعمال الذي يخصصه شاغلو الطيف للترددات الموزعة لهم.</w:t>
      </w:r>
    </w:p>
    <w:p w:rsidR="00DD3657" w:rsidRPr="00327D99" w:rsidRDefault="00DD3657" w:rsidP="00DD3657">
      <w:pPr>
        <w:rPr>
          <w:rtl/>
          <w:lang w:val="en-US" w:bidi="ar-EG"/>
        </w:rPr>
      </w:pPr>
      <w:r w:rsidRPr="00327D99">
        <w:rPr>
          <w:lang w:bidi="ar-EG"/>
        </w:rPr>
        <w:t>[24]</w:t>
      </w:r>
      <w:r w:rsidRPr="00327D99">
        <w:rPr>
          <w:rtl/>
          <w:lang w:val="en-US" w:bidi="ar-EG"/>
        </w:rPr>
        <w:tab/>
        <w:t>عندما يستعمل كيان اقتصادي الترددات لتلبية احتياجاته الخاصة، تقتصر الفوائد التي يحصل عليها من هذا الاستعمال على المكاسب الناتجة عن زيادة الإنتاجية. وتتمثل هذه المكاسب في زيادة الكفاءة أو انخفاض تكاليف التشغيل. ويذكر على سبيل المثال، شركة "سيارة أجرة" التي تستعمل شبكة خاصة للاتصالات المتنقلة لتعزيز كفاءتها التجارية. كما أن مشغل الاتصالات سيستعمل وصلات ترحيل راديوي من أجل شبكة البنية التحتية الخاصة به إذا كانت تكاليف التشغيل أقل مما</w:t>
      </w:r>
      <w:r>
        <w:rPr>
          <w:rFonts w:hint="cs"/>
          <w:rtl/>
          <w:lang w:val="en-US" w:bidi="ar-EG"/>
        </w:rPr>
        <w:t> </w:t>
      </w:r>
      <w:r w:rsidRPr="00327D99">
        <w:rPr>
          <w:rtl/>
          <w:lang w:val="en-US" w:bidi="ar-EG"/>
        </w:rPr>
        <w:t>سيكلفه إقامة نظام سلكي.</w:t>
      </w:r>
    </w:p>
    <w:p w:rsidR="00DD3657" w:rsidRPr="00327D99" w:rsidRDefault="00DD3657" w:rsidP="00DD3657">
      <w:pPr>
        <w:rPr>
          <w:rtl/>
          <w:lang w:val="en-US" w:bidi="ar-EG"/>
        </w:rPr>
      </w:pPr>
      <w:r w:rsidRPr="00327D99">
        <w:rPr>
          <w:lang w:bidi="ar-EG"/>
        </w:rPr>
        <w:t>[25]</w:t>
      </w:r>
      <w:r w:rsidRPr="00327D99">
        <w:rPr>
          <w:rtl/>
          <w:lang w:val="en-US" w:bidi="ar-EG"/>
        </w:rPr>
        <w:tab/>
        <w:t xml:space="preserve">عندما يستعمل كيان اقتصادي نطاق تردد من أجل تقديم خدمات أو بيعها في سوق استهلاكية، يحقق بفضل هذا الاستعمال إيراداً لا تحققه الكيانات التي لا تتمتع بالنفاذ إلى هذا النطاق أو إلى نطاق تردد متكافئ اقتصادياً. وهذا هو الحال بالنسبة لمنتجي البرامج التلفزيونية أو شركات تشغيل الخدمات المتنقلة </w:t>
      </w:r>
      <w:r w:rsidRPr="00327D99">
        <w:rPr>
          <w:lang w:val="en-US" w:bidi="ar-EG"/>
        </w:rPr>
        <w:t>(GSM)</w:t>
      </w:r>
      <w:r w:rsidRPr="00327D99">
        <w:rPr>
          <w:rtl/>
          <w:lang w:val="en-US" w:bidi="ar-EG"/>
        </w:rPr>
        <w:t xml:space="preserve"> مثلاً.</w:t>
      </w:r>
    </w:p>
    <w:p w:rsidR="00DD3657" w:rsidRPr="00327D99" w:rsidRDefault="00DD3657" w:rsidP="00DD3657">
      <w:pPr>
        <w:rPr>
          <w:rtl/>
          <w:lang w:val="en-US" w:bidi="ar-EG"/>
        </w:rPr>
      </w:pPr>
      <w:r w:rsidRPr="00327D99">
        <w:rPr>
          <w:rtl/>
          <w:lang w:val="en-US" w:bidi="ar-EG"/>
        </w:rPr>
        <w:t>وغالباً ما تكون قيمة الإيرادات الناتجة عن حالة معينة أعلى كثيراً من قيمة المكاسب الناتجة عن زيادة الإنتاجية المذكورة سابقاً وخاصة في حالة ندرة مورد الطيف.</w:t>
      </w:r>
    </w:p>
    <w:p w:rsidR="00DD3657" w:rsidRPr="00327D99" w:rsidRDefault="00DD3657" w:rsidP="00DD3657">
      <w:pPr>
        <w:rPr>
          <w:rtl/>
          <w:lang w:val="en-US" w:bidi="ar-EG"/>
        </w:rPr>
      </w:pPr>
      <w:r w:rsidRPr="00327D99">
        <w:rPr>
          <w:rtl/>
          <w:lang w:val="en-US" w:bidi="ar-EG"/>
        </w:rPr>
        <w:lastRenderedPageBreak/>
        <w:t xml:space="preserve">وبالتالي ينبغي أن تعكس طرائق تحديد رسوم الطيف الفرق بين قيمة الإيرادات الناتجة عن حالة معينة وقيمة المكاسب الناتجة عن زيادة الإنتاجية (انظر الفقرة </w:t>
      </w:r>
      <w:r w:rsidRPr="00327D99">
        <w:rPr>
          <w:lang w:val="en-US" w:bidi="ar-EG"/>
        </w:rPr>
        <w:t>(</w:t>
      </w:r>
      <w:r w:rsidRPr="00327D99">
        <w:rPr>
          <w:lang w:bidi="ar-EG"/>
        </w:rPr>
        <w:t>[</w:t>
      </w:r>
      <w:r w:rsidRPr="00327D99">
        <w:rPr>
          <w:lang w:val="en-US" w:bidi="ar-EG"/>
        </w:rPr>
        <w:t>3.</w:t>
      </w:r>
      <w:r w:rsidRPr="00327D99">
        <w:rPr>
          <w:lang w:bidi="ar-EG"/>
        </w:rPr>
        <w:t>15]</w:t>
      </w:r>
      <w:r w:rsidRPr="00327D99">
        <w:rPr>
          <w:rtl/>
          <w:lang w:val="en-US" w:bidi="ar-EG"/>
        </w:rPr>
        <w:t>.</w:t>
      </w:r>
    </w:p>
    <w:p w:rsidR="00DD3657" w:rsidRPr="00057710" w:rsidRDefault="00DD3657" w:rsidP="0064775E">
      <w:pPr>
        <w:pStyle w:val="Heading3"/>
        <w:rPr>
          <w:rtl/>
          <w:lang w:bidi="ar-EG"/>
        </w:rPr>
      </w:pPr>
      <w:bookmarkStart w:id="45" w:name="_Toc282768622"/>
      <w:r w:rsidRPr="00057710">
        <w:rPr>
          <w:lang w:bidi="ar-EG"/>
        </w:rPr>
        <w:t>4.1.5</w:t>
      </w:r>
      <w:r w:rsidRPr="00057710">
        <w:rPr>
          <w:rtl/>
          <w:lang w:bidi="ar-EG"/>
        </w:rPr>
        <w:tab/>
        <w:t>أداة إدارة الطيف</w:t>
      </w:r>
      <w:bookmarkEnd w:id="45"/>
    </w:p>
    <w:p w:rsidR="00DD3657" w:rsidRPr="00327D99" w:rsidRDefault="00DD3657" w:rsidP="00DD3657">
      <w:pPr>
        <w:rPr>
          <w:rtl/>
          <w:lang w:val="en-US" w:bidi="ar-EG"/>
        </w:rPr>
      </w:pPr>
      <w:r w:rsidRPr="00327D99">
        <w:rPr>
          <w:rtl/>
          <w:lang w:val="en-US" w:bidi="ar-EG"/>
        </w:rPr>
        <w:t>يمكن توخي عدة عناصر لتشكيل الأساس اللازم لحساب رسوم الطيف. والعناصر المذكورة فيما يلي تتيح إدارة فعالة للطيف وكفاءة استعمال الترددات.</w:t>
      </w:r>
    </w:p>
    <w:p w:rsidR="00DD3657" w:rsidRPr="00C4522B" w:rsidRDefault="00DD3657" w:rsidP="00DD3657">
      <w:pPr>
        <w:rPr>
          <w:i/>
          <w:iCs/>
          <w:rtl/>
          <w:lang w:val="en-US" w:bidi="ar-EG"/>
        </w:rPr>
      </w:pPr>
      <w:r w:rsidRPr="00C4522B">
        <w:rPr>
          <w:i/>
          <w:iCs/>
          <w:rtl/>
          <w:lang w:val="en-US" w:bidi="ar-EG"/>
        </w:rPr>
        <w:t>عرض نطاق التردد الموزع</w:t>
      </w:r>
    </w:p>
    <w:p w:rsidR="00DD3657" w:rsidRPr="00327D99" w:rsidRDefault="00DD3657" w:rsidP="00DD3657">
      <w:pPr>
        <w:rPr>
          <w:rtl/>
          <w:lang w:val="en-US" w:bidi="ar-EG"/>
        </w:rPr>
      </w:pPr>
      <w:r w:rsidRPr="00327D99">
        <w:rPr>
          <w:rtl/>
          <w:lang w:val="en-US" w:bidi="ar-EG"/>
        </w:rPr>
        <w:t xml:space="preserve">عندما يكون مبلغ رسم الطيف متناسباً مع عرض النطاق الموزع، سوف يحث ذلك المستعملين على تحديد متطلباتهم من موارد الطيف على أدق وجه. ويمكن أن يتعلق هذا العنصر بجميع أنواع الاستعمال. </w:t>
      </w:r>
    </w:p>
    <w:p w:rsidR="00DD3657" w:rsidRPr="00327D99" w:rsidRDefault="00DD3657" w:rsidP="00DD3657">
      <w:pPr>
        <w:rPr>
          <w:rtl/>
          <w:lang w:val="en-US" w:bidi="ar-EG"/>
        </w:rPr>
      </w:pPr>
      <w:r w:rsidRPr="00327D99">
        <w:rPr>
          <w:i/>
          <w:iCs/>
          <w:rtl/>
          <w:lang w:val="en-US" w:bidi="ar-EG"/>
        </w:rPr>
        <w:t>مساحة منطقة التوزيع</w:t>
      </w:r>
    </w:p>
    <w:p w:rsidR="00DD3657" w:rsidRPr="00327D99" w:rsidRDefault="00DD3657" w:rsidP="00DD3657">
      <w:pPr>
        <w:rPr>
          <w:rtl/>
          <w:lang w:val="en-US" w:bidi="ar-EG"/>
        </w:rPr>
      </w:pPr>
      <w:r w:rsidRPr="00327D99">
        <w:rPr>
          <w:rtl/>
          <w:lang w:val="en-US" w:bidi="ar-EG"/>
        </w:rPr>
        <w:t>عندما يزداد مبلغ رسم الطيف حسب مساحة منطقة التوزيع، سوف يحث ذلك المستعملين على طلب، إن أمكن، الجزء من المنطقة المقابل حصراً لاحتياجاتهم مما يسمح لمدير الطيف بإعادة توزيع الترددات نفسها على الجزء المتبقي من المنطقة. ويؤدي هذا الوضع إلى استعمال أكثر كثافة للترددات. ولا يتعلق هذا العنصر بالتخصيصات الموزعة للخدمة الثابتة من نقطة إلى نقطة (وإلاّ فيكون عدد الوصلات أو عدد محطات الإرسال بديلاً وافياً) ولا بالخدمات الساتلية.</w:t>
      </w:r>
    </w:p>
    <w:p w:rsidR="00DD3657" w:rsidRPr="00327D99" w:rsidRDefault="00DD3657" w:rsidP="00DD3657">
      <w:pPr>
        <w:rPr>
          <w:i/>
          <w:iCs/>
          <w:rtl/>
          <w:lang w:val="en-US" w:bidi="ar-EG"/>
        </w:rPr>
      </w:pPr>
      <w:r w:rsidRPr="00327D99">
        <w:rPr>
          <w:i/>
          <w:iCs/>
          <w:rtl/>
          <w:lang w:val="en-US" w:bidi="ar-EG"/>
        </w:rPr>
        <w:t>المكان الذي يحتله نطاق الترددات الموزعة في الطيف</w:t>
      </w:r>
    </w:p>
    <w:p w:rsidR="00DD3657" w:rsidRPr="00327D99" w:rsidRDefault="00DD3657" w:rsidP="00DD3657">
      <w:pPr>
        <w:rPr>
          <w:rtl/>
          <w:lang w:val="en-US" w:bidi="ar-EG"/>
        </w:rPr>
      </w:pPr>
      <w:r w:rsidRPr="00327D99">
        <w:rPr>
          <w:rtl/>
          <w:lang w:val="en-US" w:bidi="ar-EG"/>
        </w:rPr>
        <w:t>عندما يعدَّل مستوى رسم الطيف حسب المكان الذي يحتله نطاق الترددات في الطيف، يتمكن مدير الطيف من توزيع الطيف لشغله بصورة أفضل. ولا يشمل هذا العنصر التطبيقات التي تخضع نطاقات الترددات الموزعة لها للتنسيق على المستوى الدولي (النظام العالمي للاتصالات المتنقلة والاتصالات المتنقلة الدولية-</w:t>
      </w:r>
      <w:r w:rsidRPr="00327D99">
        <w:rPr>
          <w:lang w:val="en-US" w:bidi="ar-EG"/>
        </w:rPr>
        <w:t>2000</w:t>
      </w:r>
      <w:r w:rsidRPr="00327D99">
        <w:rPr>
          <w:rtl/>
          <w:lang w:val="en-US" w:bidi="ar-EG"/>
        </w:rPr>
        <w:t xml:space="preserve"> مثلاً).</w:t>
      </w:r>
    </w:p>
    <w:p w:rsidR="00DD3657" w:rsidRPr="00327D99" w:rsidRDefault="00DD3657" w:rsidP="00DD3657">
      <w:pPr>
        <w:pStyle w:val="Heading2"/>
        <w:spacing w:before="120"/>
        <w:rPr>
          <w:rtl/>
          <w:lang w:bidi="ar-EG"/>
        </w:rPr>
      </w:pPr>
      <w:bookmarkStart w:id="46" w:name="_Toc209263377"/>
      <w:bookmarkStart w:id="47" w:name="_Toc223323185"/>
      <w:bookmarkStart w:id="48" w:name="_Toc282768623"/>
      <w:r w:rsidRPr="00327D99">
        <w:rPr>
          <w:lang w:bidi="ar-EG"/>
        </w:rPr>
        <w:t>2.5</w:t>
      </w:r>
      <w:r w:rsidRPr="00327D99">
        <w:rPr>
          <w:rtl/>
          <w:lang w:bidi="ar-EG"/>
        </w:rPr>
        <w:tab/>
      </w:r>
      <w:r w:rsidRPr="00057710">
        <w:rPr>
          <w:b w:val="0"/>
          <w:rtl/>
          <w:lang w:bidi="ar-EG"/>
        </w:rPr>
        <w:t>رسوم الطيف المتعلقة بالترددات المكرسة لاحتياجات المستعملين الخاصة</w:t>
      </w:r>
      <w:bookmarkEnd w:id="46"/>
      <w:bookmarkEnd w:id="47"/>
      <w:bookmarkEnd w:id="48"/>
    </w:p>
    <w:p w:rsidR="00DD3657" w:rsidRPr="00327D99" w:rsidRDefault="00DD3657" w:rsidP="00DD3657">
      <w:pPr>
        <w:rPr>
          <w:rtl/>
          <w:lang w:val="en-US" w:bidi="ar-EG"/>
        </w:rPr>
      </w:pPr>
      <w:r w:rsidRPr="00327D99">
        <w:rPr>
          <w:rtl/>
          <w:lang w:val="en-US" w:bidi="ar-EG"/>
        </w:rPr>
        <w:t xml:space="preserve">انظر الفقرة </w:t>
      </w:r>
      <w:r w:rsidRPr="00327D99">
        <w:rPr>
          <w:lang w:val="en-US" w:bidi="ar-EG"/>
        </w:rPr>
        <w:t>[24]</w:t>
      </w:r>
      <w:r w:rsidRPr="00327D99">
        <w:rPr>
          <w:rtl/>
          <w:lang w:val="en-US" w:bidi="ar-EG"/>
        </w:rPr>
        <w:t>.</w:t>
      </w:r>
    </w:p>
    <w:p w:rsidR="00DD3657" w:rsidRPr="00327D99" w:rsidRDefault="00DD3657" w:rsidP="00DD3657">
      <w:pPr>
        <w:rPr>
          <w:rtl/>
          <w:lang w:val="en-US" w:bidi="ar-EG"/>
        </w:rPr>
      </w:pPr>
      <w:r w:rsidRPr="00327D99">
        <w:rPr>
          <w:rtl/>
          <w:lang w:val="en-US" w:bidi="ar-EG"/>
        </w:rPr>
        <w:t>ينبغي أن يكون الهدف ذو الأولوية للرسوم المقصودة في هذه الفقرة فعالية إدارة الطيف وكفاءة استعمال الترددات.</w:t>
      </w:r>
    </w:p>
    <w:p w:rsidR="00DD3657" w:rsidRPr="00057710" w:rsidRDefault="00DD3657" w:rsidP="0064775E">
      <w:pPr>
        <w:pStyle w:val="Heading3"/>
        <w:rPr>
          <w:bCs w:val="0"/>
          <w:rtl/>
          <w:lang w:bidi="ar-EG"/>
        </w:rPr>
      </w:pPr>
      <w:bookmarkStart w:id="49" w:name="_Toc282768624"/>
      <w:r w:rsidRPr="00057710">
        <w:rPr>
          <w:lang w:bidi="ar-EG"/>
        </w:rPr>
        <w:t>1.2.5</w:t>
      </w:r>
      <w:r w:rsidRPr="00057710">
        <w:rPr>
          <w:rtl/>
          <w:lang w:bidi="ar-EG"/>
        </w:rPr>
        <w:tab/>
        <w:t>ملاحظات واعتبارات عامة</w:t>
      </w:r>
      <w:bookmarkEnd w:id="49"/>
    </w:p>
    <w:p w:rsidR="00DD3657" w:rsidRPr="00327D99" w:rsidRDefault="00DD3657" w:rsidP="00DD3657">
      <w:pPr>
        <w:rPr>
          <w:lang w:val="en-US" w:bidi="ar-EG"/>
        </w:rPr>
      </w:pPr>
      <w:r w:rsidRPr="00327D99">
        <w:rPr>
          <w:rtl/>
          <w:lang w:val="en-US" w:bidi="ar-EG"/>
        </w:rPr>
        <w:t xml:space="preserve">ينبغي أن تراعي طرائق تحديد الرسوم أساساً العناصر الواردة في الفقرتين </w:t>
      </w:r>
      <w:r w:rsidRPr="00327D99">
        <w:rPr>
          <w:lang w:val="en-US" w:bidi="ar-EG"/>
        </w:rPr>
        <w:t>4.1.</w:t>
      </w:r>
      <w:r w:rsidRPr="00327D99">
        <w:rPr>
          <w:lang w:bidi="ar-EG"/>
        </w:rPr>
        <w:t>5</w:t>
      </w:r>
      <w:r w:rsidRPr="00327D99">
        <w:rPr>
          <w:rtl/>
          <w:lang w:bidi="ar-EG"/>
        </w:rPr>
        <w:t xml:space="preserve"> </w:t>
      </w:r>
      <w:r w:rsidRPr="00327D99">
        <w:rPr>
          <w:rtl/>
          <w:lang w:val="en-US" w:bidi="ar-EG"/>
        </w:rPr>
        <w:t>و</w:t>
      </w:r>
      <w:r w:rsidRPr="00327D99">
        <w:rPr>
          <w:lang w:bidi="ar-EG"/>
        </w:rPr>
        <w:t>[22]</w:t>
      </w:r>
      <w:r w:rsidRPr="00327D99">
        <w:rPr>
          <w:rtl/>
          <w:lang w:val="en-US" w:bidi="ar-EG"/>
        </w:rPr>
        <w:t>.</w:t>
      </w:r>
    </w:p>
    <w:p w:rsidR="00DD3657" w:rsidRPr="00327D99" w:rsidRDefault="00DD3657" w:rsidP="00DD3657">
      <w:pPr>
        <w:rPr>
          <w:rtl/>
          <w:lang w:val="en-US" w:bidi="ar-EG"/>
        </w:rPr>
      </w:pPr>
      <w:r w:rsidRPr="00327D99">
        <w:rPr>
          <w:rtl/>
          <w:lang w:val="en-US" w:bidi="ar-EG"/>
        </w:rPr>
        <w:t>من أجل تشكيل الأساس اللازم لحساب الرسوم، يوصى باعتماد أدنى قدر من العناصر اللازمة لتحقيق أهداف فعالية إدارة الطيف وكفاءة استعمال الترددات.</w:t>
      </w:r>
    </w:p>
    <w:p w:rsidR="00DD3657" w:rsidRPr="00327D99" w:rsidRDefault="00DD3657" w:rsidP="00DD3657">
      <w:pPr>
        <w:rPr>
          <w:rtl/>
          <w:lang w:val="en-US" w:bidi="ar-EG"/>
        </w:rPr>
      </w:pPr>
      <w:r w:rsidRPr="00327D99">
        <w:rPr>
          <w:rtl/>
          <w:lang w:bidi="ar-EG"/>
        </w:rPr>
        <w:t xml:space="preserve">ويوصى باستعمال صيغة حساب بسيطة (انظر الفقرة </w:t>
      </w:r>
      <w:r w:rsidRPr="00327D99">
        <w:rPr>
          <w:lang w:val="en-US" w:bidi="ar-EG"/>
        </w:rPr>
        <w:t>(</w:t>
      </w:r>
      <w:r w:rsidRPr="00327D99">
        <w:rPr>
          <w:lang w:bidi="ar-EG"/>
        </w:rPr>
        <w:t>[9]</w:t>
      </w:r>
      <w:r w:rsidRPr="00327D99">
        <w:rPr>
          <w:rtl/>
          <w:lang w:val="en-US" w:bidi="ar-EG"/>
        </w:rPr>
        <w:t>. وتبدو صيغة الضرب ملائمة بشكل جيد لتحديد مستويات الرسوم بالاستناد إلى العناصر التي اختيرت من أجل تشكيل الأساس اللازم لحساب الرسوم.</w:t>
      </w:r>
    </w:p>
    <w:p w:rsidR="00DD3657" w:rsidRPr="00327D99" w:rsidRDefault="00DD3657" w:rsidP="00DD3657">
      <w:pPr>
        <w:rPr>
          <w:rtl/>
          <w:lang w:val="en-US" w:bidi="ar-EG"/>
        </w:rPr>
      </w:pPr>
      <w:r w:rsidRPr="00327D99">
        <w:rPr>
          <w:rtl/>
          <w:lang w:val="en-US" w:bidi="ar-EG"/>
        </w:rPr>
        <w:t xml:space="preserve">ومن أجل تعديل مستويات الرسوم حسب التطبيقات (انظر الفقرة </w:t>
      </w:r>
      <w:r w:rsidRPr="00327D99">
        <w:rPr>
          <w:lang w:val="en-US" w:bidi="ar-EG"/>
        </w:rPr>
        <w:t>(</w:t>
      </w:r>
      <w:r w:rsidRPr="00327D99">
        <w:rPr>
          <w:lang w:bidi="ar-EG"/>
        </w:rPr>
        <w:t>[21]</w:t>
      </w:r>
      <w:r w:rsidRPr="00327D99">
        <w:rPr>
          <w:rtl/>
          <w:lang w:val="en-US" w:bidi="ar-EG"/>
        </w:rPr>
        <w:t xml:space="preserve">، يوصى بتحديد </w:t>
      </w:r>
      <w:r w:rsidRPr="00327D99">
        <w:rPr>
          <w:i/>
          <w:iCs/>
          <w:rtl/>
          <w:lang w:val="en-US" w:bidi="ar-EG"/>
        </w:rPr>
        <w:t>قيمة نقدية مرجعية</w:t>
      </w:r>
      <w:r w:rsidRPr="00327D99">
        <w:rPr>
          <w:rtl/>
          <w:lang w:val="en-US" w:bidi="ar-EG"/>
        </w:rPr>
        <w:t xml:space="preserve"> </w:t>
      </w:r>
      <w:r w:rsidRPr="00327D99">
        <w:rPr>
          <w:lang w:val="en-US" w:bidi="ar-EG"/>
        </w:rPr>
        <w:t>"</w:t>
      </w:r>
      <w:r w:rsidRPr="00B67A94">
        <w:rPr>
          <w:lang w:val="en-US" w:bidi="ar-EG"/>
        </w:rPr>
        <w:t>k</w:t>
      </w:r>
      <w:r w:rsidRPr="00327D99">
        <w:rPr>
          <w:lang w:val="en-US" w:bidi="ar-EG"/>
        </w:rPr>
        <w:t>"</w:t>
      </w:r>
      <w:r w:rsidRPr="00327D99">
        <w:rPr>
          <w:rtl/>
          <w:lang w:val="en-US" w:bidi="ar-EG"/>
        </w:rPr>
        <w:t xml:space="preserve"> يعبر عنها بالعملة السائدة وذلك بالنسبة لكل تطبيق من التطبيقات قيد النظر، حيث تكون القيمة </w:t>
      </w:r>
      <w:r w:rsidRPr="00327D99">
        <w:rPr>
          <w:lang w:val="en-US" w:bidi="ar-EG"/>
        </w:rPr>
        <w:t>"</w:t>
      </w:r>
      <w:r w:rsidRPr="00B67A94">
        <w:rPr>
          <w:lang w:val="en-US" w:bidi="ar-EG"/>
        </w:rPr>
        <w:t>k</w:t>
      </w:r>
      <w:r w:rsidRPr="00327D99">
        <w:rPr>
          <w:lang w:val="en-US" w:bidi="ar-EG"/>
        </w:rPr>
        <w:t>"</w:t>
      </w:r>
      <w:r w:rsidRPr="00327D99">
        <w:rPr>
          <w:rtl/>
          <w:lang w:val="en-US" w:bidi="ar-EG"/>
        </w:rPr>
        <w:t xml:space="preserve"> أحد العوامل في عملية الضرب المذكورة سابقاً.</w:t>
      </w:r>
    </w:p>
    <w:p w:rsidR="00DD3657" w:rsidRPr="00057710" w:rsidRDefault="00DD3657" w:rsidP="00AE600A">
      <w:pPr>
        <w:pStyle w:val="Heading3"/>
        <w:rPr>
          <w:bCs w:val="0"/>
          <w:rtl/>
          <w:lang w:bidi="ar-EG"/>
        </w:rPr>
      </w:pPr>
      <w:bookmarkStart w:id="50" w:name="_Toc282768625"/>
      <w:r w:rsidRPr="00057710">
        <w:rPr>
          <w:lang w:bidi="ar-EG"/>
        </w:rPr>
        <w:t>2.2.5</w:t>
      </w:r>
      <w:r w:rsidRPr="00057710">
        <w:rPr>
          <w:rtl/>
          <w:lang w:bidi="ar-EG"/>
        </w:rPr>
        <w:tab/>
        <w:t>مثال لمعادلات حساب الرسوم</w:t>
      </w:r>
      <w:bookmarkEnd w:id="50"/>
    </w:p>
    <w:p w:rsidR="00DD3657" w:rsidRPr="00AE600A" w:rsidRDefault="00DD3657" w:rsidP="00AE600A">
      <w:pPr>
        <w:pStyle w:val="Heading4"/>
        <w:rPr>
          <w:rtl/>
        </w:rPr>
      </w:pPr>
      <w:r w:rsidRPr="00AE600A">
        <w:t>1.2.2.5</w:t>
      </w:r>
      <w:r w:rsidRPr="00AE600A">
        <w:rPr>
          <w:rtl/>
        </w:rPr>
        <w:tab/>
        <w:t>رموز المعاملات وتعريفها</w:t>
      </w:r>
    </w:p>
    <w:p w:rsidR="00DD3657" w:rsidRPr="00327D99" w:rsidRDefault="00DD3657" w:rsidP="00DD3657">
      <w:pPr>
        <w:rPr>
          <w:rtl/>
          <w:lang w:val="en-US" w:bidi="ar-EG"/>
        </w:rPr>
      </w:pPr>
      <w:r w:rsidRPr="00327D99">
        <w:rPr>
          <w:rtl/>
          <w:lang w:val="en-US" w:bidi="ar-EG"/>
        </w:rPr>
        <w:t>تستعمل المعاملات المعرفة فيما يلي في أمثلة لمعادلات حساب الرسوم:</w:t>
      </w:r>
    </w:p>
    <w:p w:rsidR="00DD3657" w:rsidRPr="00327D99" w:rsidRDefault="00DD3657" w:rsidP="00DD3657">
      <w:pPr>
        <w:rPr>
          <w:rtl/>
          <w:lang w:val="en-US" w:bidi="ar-EG"/>
        </w:rPr>
      </w:pPr>
      <w:r w:rsidRPr="00327D99">
        <w:rPr>
          <w:rtl/>
          <w:lang w:val="en-US" w:bidi="ar-EG"/>
        </w:rPr>
        <w:lastRenderedPageBreak/>
        <w:t xml:space="preserve">يمثل المعامل </w:t>
      </w:r>
      <w:r w:rsidRPr="00327D99">
        <w:rPr>
          <w:lang w:val="en-US" w:bidi="ar-EG"/>
        </w:rPr>
        <w:t>"L"</w:t>
      </w:r>
      <w:r w:rsidRPr="00327D99">
        <w:rPr>
          <w:rtl/>
          <w:lang w:val="en-US" w:bidi="ar-EG"/>
        </w:rPr>
        <w:t xml:space="preserve"> عرض نطاق الترددات الموزع.</w:t>
      </w:r>
    </w:p>
    <w:p w:rsidR="00DD3657" w:rsidRPr="00327D99" w:rsidRDefault="00DD3657" w:rsidP="00DD3657">
      <w:pPr>
        <w:rPr>
          <w:rtl/>
          <w:lang w:val="en-US" w:bidi="ar-EG"/>
        </w:rPr>
      </w:pPr>
      <w:r w:rsidRPr="00327D99">
        <w:rPr>
          <w:rtl/>
          <w:lang w:val="en-US" w:bidi="ar-EG"/>
        </w:rPr>
        <w:t xml:space="preserve">يمثل المعامل </w:t>
      </w:r>
      <w:r w:rsidRPr="00327D99">
        <w:rPr>
          <w:lang w:val="en-US" w:bidi="ar-EG"/>
        </w:rPr>
        <w:t>"bf"</w:t>
      </w:r>
      <w:r w:rsidRPr="00327D99">
        <w:rPr>
          <w:rtl/>
          <w:lang w:val="en-US" w:bidi="ar-EG"/>
        </w:rPr>
        <w:t xml:space="preserve"> الموقع الذي يحتله التردد أو نطاق الترددات في الطيف.</w:t>
      </w:r>
    </w:p>
    <w:p w:rsidR="00DD3657" w:rsidRPr="00327D99" w:rsidRDefault="00DD3657" w:rsidP="00DD3657">
      <w:pPr>
        <w:rPr>
          <w:rtl/>
          <w:lang w:val="en-US" w:bidi="ar-EG"/>
        </w:rPr>
      </w:pPr>
      <w:r w:rsidRPr="00327D99">
        <w:rPr>
          <w:rtl/>
          <w:lang w:val="en-US" w:bidi="ar-EG"/>
        </w:rPr>
        <w:t xml:space="preserve">وعلى المستوى العملي، يتم إعداد جدول يعطي قيمة المعامل </w:t>
      </w:r>
      <w:r w:rsidRPr="00327D99">
        <w:rPr>
          <w:lang w:val="en-US" w:bidi="ar-EG"/>
        </w:rPr>
        <w:t>"bf"</w:t>
      </w:r>
      <w:r w:rsidRPr="00327D99">
        <w:rPr>
          <w:rtl/>
          <w:lang w:val="en-US" w:bidi="ar-EG"/>
        </w:rPr>
        <w:t xml:space="preserve"> المقابل لكل مجموعة ترددات قيد النظر. ويوجد مثال لهذا الجدول في الملحق </w:t>
      </w:r>
      <w:r w:rsidRPr="00327D99">
        <w:rPr>
          <w:lang w:val="en-US" w:bidi="ar-EG"/>
        </w:rPr>
        <w:t>1</w:t>
      </w:r>
      <w:r w:rsidRPr="00327D99">
        <w:rPr>
          <w:rtl/>
          <w:lang w:val="en-US" w:bidi="ar-EG"/>
        </w:rPr>
        <w:t>.</w:t>
      </w:r>
    </w:p>
    <w:p w:rsidR="00DD3657" w:rsidRPr="00327D99" w:rsidRDefault="00DD3657" w:rsidP="00DD3657">
      <w:pPr>
        <w:rPr>
          <w:rtl/>
          <w:lang w:val="en-US" w:bidi="ar-EG"/>
        </w:rPr>
      </w:pPr>
      <w:r w:rsidRPr="00327D99">
        <w:rPr>
          <w:rtl/>
          <w:lang w:val="en-US" w:bidi="ar-EG"/>
        </w:rPr>
        <w:t xml:space="preserve">يمثل المعامل </w:t>
      </w:r>
      <w:r w:rsidRPr="00327D99">
        <w:rPr>
          <w:lang w:val="en-US" w:bidi="ar-EG"/>
        </w:rPr>
        <w:t>"a"</w:t>
      </w:r>
      <w:r w:rsidRPr="00327D99">
        <w:rPr>
          <w:rtl/>
          <w:lang w:val="en-US" w:bidi="ar-EG"/>
        </w:rPr>
        <w:t xml:space="preserve"> الترخيص باستعمال الترددات عن طريق التعيين (انظر الفقرة </w:t>
      </w:r>
      <w:r w:rsidRPr="00327D99">
        <w:rPr>
          <w:lang w:val="en-US" w:bidi="ar-EG"/>
        </w:rPr>
        <w:t>(</w:t>
      </w:r>
      <w:r w:rsidRPr="00327D99">
        <w:rPr>
          <w:lang w:bidi="ar-EG"/>
        </w:rPr>
        <w:t>[3]</w:t>
      </w:r>
      <w:r w:rsidRPr="00327D99">
        <w:rPr>
          <w:rtl/>
          <w:lang w:val="en-US" w:bidi="ar-EG"/>
        </w:rPr>
        <w:t>.</w:t>
      </w:r>
    </w:p>
    <w:p w:rsidR="00DD3657" w:rsidRPr="00327D99" w:rsidRDefault="00DD3657" w:rsidP="00DD3657">
      <w:pPr>
        <w:rPr>
          <w:rtl/>
          <w:lang w:val="en-US" w:bidi="ar-EG"/>
        </w:rPr>
      </w:pPr>
      <w:r w:rsidRPr="00327D99">
        <w:rPr>
          <w:rtl/>
          <w:lang w:val="en-US" w:bidi="ar-EG"/>
        </w:rPr>
        <w:t xml:space="preserve">انظر المثال في الملحق </w:t>
      </w:r>
      <w:r>
        <w:rPr>
          <w:lang w:val="en-US" w:bidi="ar-EG"/>
        </w:rPr>
        <w:t>2</w:t>
      </w:r>
      <w:r w:rsidRPr="00327D99">
        <w:rPr>
          <w:rtl/>
          <w:lang w:val="en-US" w:bidi="ar-EG"/>
        </w:rPr>
        <w:t xml:space="preserve"> لجدول يعطي قيم المعامل </w:t>
      </w:r>
      <w:r w:rsidRPr="00327D99">
        <w:rPr>
          <w:lang w:val="en-US" w:bidi="ar-EG"/>
        </w:rPr>
        <w:t>"a"</w:t>
      </w:r>
      <w:r w:rsidRPr="00327D99">
        <w:rPr>
          <w:rtl/>
          <w:lang w:val="en-US" w:bidi="ar-EG"/>
        </w:rPr>
        <w:t xml:space="preserve"> حسب الخدمات.</w:t>
      </w:r>
    </w:p>
    <w:p w:rsidR="00DD3657" w:rsidRPr="00327D99" w:rsidRDefault="00DD3657" w:rsidP="00DD3657">
      <w:pPr>
        <w:rPr>
          <w:rtl/>
          <w:lang w:val="en-US" w:bidi="ar-EG"/>
        </w:rPr>
      </w:pPr>
      <w:r w:rsidRPr="00327D99">
        <w:rPr>
          <w:rtl/>
          <w:lang w:val="en-US" w:bidi="ar-EG"/>
        </w:rPr>
        <w:t xml:space="preserve">يمثل المعامل </w:t>
      </w:r>
      <w:r w:rsidRPr="00327D99">
        <w:rPr>
          <w:lang w:val="en-US" w:bidi="ar-EG"/>
        </w:rPr>
        <w:t>"c"</w:t>
      </w:r>
      <w:r w:rsidRPr="00327D99">
        <w:rPr>
          <w:rtl/>
          <w:lang w:val="en-US" w:bidi="ar-EG"/>
        </w:rPr>
        <w:t xml:space="preserve"> مساحة المنطقة التي يغطيها الترخيص باستعمال الترددات (انظر الفقرة </w:t>
      </w:r>
      <w:r w:rsidRPr="00327D99">
        <w:rPr>
          <w:lang w:val="en-US" w:bidi="ar-EG"/>
        </w:rPr>
        <w:t>(</w:t>
      </w:r>
      <w:r w:rsidRPr="00327D99">
        <w:rPr>
          <w:lang w:bidi="ar-EG"/>
        </w:rPr>
        <w:t>[2]</w:t>
      </w:r>
      <w:r w:rsidRPr="00327D99">
        <w:rPr>
          <w:rtl/>
          <w:lang w:val="en-US" w:bidi="ar-EG"/>
        </w:rPr>
        <w:t>. وتكون المساحة التي يوزع لها التخصيص بصورة عامة عبارة عن دائرة تقع المحطة المعنية في مركزها ويساوي نصف قطرها أقصى مسافة لاستعمال التردد المخصص عندما يكون هوائي المحطة شامل الاتجاهات، أو عبارة عن مقطع من هذه الدائرة مقابل لزاوية فتحة الهوائي في حالة هوائي اتجاهي.</w:t>
      </w:r>
    </w:p>
    <w:p w:rsidR="00DD3657" w:rsidRPr="00327D99" w:rsidRDefault="00DD3657" w:rsidP="00DD3657">
      <w:pPr>
        <w:rPr>
          <w:rtl/>
          <w:lang w:val="en-US" w:bidi="ar-EG"/>
        </w:rPr>
      </w:pPr>
      <w:r w:rsidRPr="00327D99">
        <w:rPr>
          <w:rtl/>
          <w:lang w:val="en-US" w:bidi="ar-EG"/>
        </w:rPr>
        <w:t xml:space="preserve">وعلى المستوى العملي، يتم إعداد جدول يعطي قيمة المعامل </w:t>
      </w:r>
      <w:r w:rsidRPr="00327D99">
        <w:rPr>
          <w:lang w:val="en-US" w:bidi="ar-EG"/>
        </w:rPr>
        <w:t>"c"</w:t>
      </w:r>
      <w:r w:rsidRPr="00327D99">
        <w:rPr>
          <w:rtl/>
          <w:lang w:val="en-US" w:bidi="ar-EG"/>
        </w:rPr>
        <w:t xml:space="preserve"> المقابل لقيم المساحات المعنية. وميزة هذا الجدول أنه يسمح بتصحيح المجموعة الواسعة من مستويات الرسوم التي كان من المحتمل الحصول عليها إذا ما أخذنا مسافة التوزيع في الاعتبار بشكل مباشر. ويوجد مثال لهذا الجدول في الملحق </w:t>
      </w:r>
      <w:r>
        <w:rPr>
          <w:lang w:val="en-US" w:bidi="ar-EG"/>
        </w:rPr>
        <w:t>3</w:t>
      </w:r>
      <w:r w:rsidRPr="00327D99">
        <w:rPr>
          <w:rtl/>
          <w:lang w:val="en-US" w:bidi="ar-EG"/>
        </w:rPr>
        <w:t>.</w:t>
      </w:r>
    </w:p>
    <w:p w:rsidR="00DD3657" w:rsidRPr="00327D99" w:rsidRDefault="00DD3657" w:rsidP="00DD3657">
      <w:pPr>
        <w:rPr>
          <w:rtl/>
          <w:lang w:val="en-US" w:bidi="ar-EG"/>
        </w:rPr>
      </w:pPr>
      <w:r w:rsidRPr="00327D99">
        <w:rPr>
          <w:rtl/>
          <w:lang w:val="en-US" w:bidi="ar-EG"/>
        </w:rPr>
        <w:t xml:space="preserve">تعتبر المعاملات </w:t>
      </w:r>
      <w:r w:rsidRPr="00327D99">
        <w:rPr>
          <w:lang w:val="en-US" w:bidi="ar-EG"/>
        </w:rPr>
        <w:t>"k1"</w:t>
      </w:r>
      <w:r w:rsidRPr="00327D99">
        <w:rPr>
          <w:rtl/>
          <w:lang w:val="en-US" w:bidi="ar-EG"/>
        </w:rPr>
        <w:t xml:space="preserve"> و</w:t>
      </w:r>
      <w:r w:rsidRPr="00327D99">
        <w:rPr>
          <w:lang w:val="en-US" w:bidi="ar-EG"/>
        </w:rPr>
        <w:t>"k2"</w:t>
      </w:r>
      <w:r w:rsidRPr="00327D99">
        <w:rPr>
          <w:rtl/>
          <w:lang w:val="en-US" w:bidi="ar-EG"/>
        </w:rPr>
        <w:t xml:space="preserve"> و</w:t>
      </w:r>
      <w:r w:rsidRPr="00327D99">
        <w:rPr>
          <w:lang w:val="en-US" w:bidi="ar-EG"/>
        </w:rPr>
        <w:t>"k3"</w:t>
      </w:r>
      <w:r w:rsidRPr="00327D99">
        <w:rPr>
          <w:rtl/>
          <w:lang w:val="en-US" w:bidi="ar-EG"/>
        </w:rPr>
        <w:t xml:space="preserve"> و</w:t>
      </w:r>
      <w:r w:rsidRPr="00327D99">
        <w:rPr>
          <w:lang w:val="en-US" w:bidi="ar-EG"/>
        </w:rPr>
        <w:t>"k4"</w:t>
      </w:r>
      <w:r w:rsidRPr="00327D99">
        <w:rPr>
          <w:rtl/>
          <w:lang w:val="en-US" w:bidi="ar-EG"/>
        </w:rPr>
        <w:t xml:space="preserve"> قيماً نقدية مرجعية تخص التطبيقات المعنية. وعند تحديد هذه القيم، ينبغي إيلاء الأولوية لأحكام الفقرة </w:t>
      </w:r>
      <w:r w:rsidRPr="00327D99">
        <w:rPr>
          <w:lang w:bidi="ar-EG"/>
        </w:rPr>
        <w:t>[2.15]</w:t>
      </w:r>
      <w:r w:rsidRPr="00327D99">
        <w:rPr>
          <w:rtl/>
          <w:lang w:val="en-US" w:bidi="ar-EG"/>
        </w:rPr>
        <w:t xml:space="preserve"> وبصفة أقل للفقرة </w:t>
      </w:r>
      <w:r w:rsidRPr="00327D99">
        <w:rPr>
          <w:lang w:bidi="ar-EG"/>
        </w:rPr>
        <w:t>[1.15]</w:t>
      </w:r>
      <w:r w:rsidRPr="00327D99">
        <w:rPr>
          <w:rtl/>
          <w:lang w:val="en-US" w:bidi="ar-EG"/>
        </w:rPr>
        <w:t>.</w:t>
      </w:r>
    </w:p>
    <w:p w:rsidR="00DD3657" w:rsidRPr="00057710" w:rsidRDefault="00DD3657" w:rsidP="0064775E">
      <w:pPr>
        <w:pStyle w:val="Heading4"/>
        <w:rPr>
          <w:bCs w:val="0"/>
          <w:rtl/>
          <w:lang w:bidi="ar-EG"/>
        </w:rPr>
      </w:pPr>
      <w:r w:rsidRPr="00057710">
        <w:rPr>
          <w:lang w:bidi="ar-EG"/>
        </w:rPr>
        <w:t>2.2.2.5</w:t>
      </w:r>
      <w:r w:rsidRPr="00057710">
        <w:rPr>
          <w:rtl/>
          <w:lang w:bidi="ar-EG"/>
        </w:rPr>
        <w:tab/>
        <w:t>رسم مطبق على تخصيص للخدمة الثابتة من نقطة إلى نقطة</w:t>
      </w:r>
    </w:p>
    <w:p w:rsidR="00DD3657" w:rsidRDefault="00DD3657" w:rsidP="00DD3657">
      <w:pPr>
        <w:rPr>
          <w:lang w:val="en-US" w:bidi="ar-EG"/>
        </w:rPr>
      </w:pPr>
      <w:r w:rsidRPr="00327D99">
        <w:rPr>
          <w:rtl/>
          <w:lang w:val="en-US" w:bidi="ar-EG"/>
        </w:rPr>
        <w:t xml:space="preserve">يمكن استعمال المعادلة التالية لتحديد المبلغ السنوي </w:t>
      </w:r>
      <w:r w:rsidRPr="00327D99">
        <w:rPr>
          <w:i/>
          <w:iCs/>
          <w:lang w:val="en-US" w:bidi="ar-EG"/>
        </w:rPr>
        <w:t>Rs</w:t>
      </w:r>
      <w:r w:rsidRPr="00327D99">
        <w:rPr>
          <w:rtl/>
          <w:lang w:val="en-US" w:bidi="ar-EG"/>
        </w:rPr>
        <w:t xml:space="preserve"> لرسوم الطيف:</w:t>
      </w:r>
    </w:p>
    <w:p w:rsidR="00CE2192" w:rsidRPr="00890DD5" w:rsidRDefault="00CE2192" w:rsidP="00CE2192">
      <w:pPr>
        <w:jc w:val="center"/>
        <w:rPr>
          <w:lang w:val="en-US" w:bidi="ar-EG"/>
        </w:rPr>
      </w:pPr>
      <w:r w:rsidRPr="00890DD5">
        <w:rPr>
          <w:lang w:bidi="ar-EG"/>
        </w:rPr>
        <w:t>Rs = L * bf * k1</w:t>
      </w:r>
    </w:p>
    <w:p w:rsidR="00DD3657" w:rsidRPr="00057710" w:rsidRDefault="00DD3657" w:rsidP="0064775E">
      <w:pPr>
        <w:pStyle w:val="Heading4"/>
        <w:rPr>
          <w:rtl/>
          <w:lang w:bidi="ar-EG"/>
        </w:rPr>
      </w:pPr>
      <w:r w:rsidRPr="00057710">
        <w:rPr>
          <w:lang w:bidi="ar-EG"/>
        </w:rPr>
        <w:t>3.2.2.5</w:t>
      </w:r>
      <w:r w:rsidRPr="00057710">
        <w:rPr>
          <w:rtl/>
          <w:lang w:bidi="ar-EG"/>
        </w:rPr>
        <w:tab/>
        <w:t>رسم مطبق على تعيين للخدمة ثابتة من نقطة إلى نقطة</w:t>
      </w:r>
    </w:p>
    <w:p w:rsidR="00DD3657" w:rsidRDefault="00DD3657" w:rsidP="00DD3657">
      <w:pPr>
        <w:rPr>
          <w:lang w:val="en-US" w:bidi="ar-EG"/>
        </w:rPr>
      </w:pPr>
      <w:r w:rsidRPr="00327D99">
        <w:rPr>
          <w:rtl/>
          <w:lang w:val="en-US" w:bidi="ar-EG"/>
        </w:rPr>
        <w:t xml:space="preserve">يمكن استعمال المعادلة التالية لتحديد المبلغ السنوي </w:t>
      </w:r>
      <w:r w:rsidRPr="00327D99">
        <w:rPr>
          <w:i/>
          <w:iCs/>
          <w:lang w:val="en-US" w:bidi="ar-EG"/>
        </w:rPr>
        <w:t>Rs</w:t>
      </w:r>
      <w:r w:rsidRPr="00327D99">
        <w:rPr>
          <w:rtl/>
          <w:lang w:val="en-US" w:bidi="ar-EG"/>
        </w:rPr>
        <w:t xml:space="preserve"> لرسوم الطيف:</w:t>
      </w:r>
    </w:p>
    <w:p w:rsidR="00CE2192" w:rsidRPr="00890DD5" w:rsidRDefault="00CE2192" w:rsidP="00CE2192">
      <w:pPr>
        <w:jc w:val="center"/>
        <w:rPr>
          <w:rtl/>
          <w:lang w:val="en-US" w:bidi="ar-EG"/>
        </w:rPr>
      </w:pPr>
      <w:r w:rsidRPr="00890DD5">
        <w:rPr>
          <w:lang w:bidi="ar-EG"/>
        </w:rPr>
        <w:t>Rs = L * bf * a * c * k1</w:t>
      </w:r>
    </w:p>
    <w:p w:rsidR="00DD3657" w:rsidRPr="00327D99" w:rsidRDefault="00DD3657" w:rsidP="00DD3657">
      <w:pPr>
        <w:rPr>
          <w:rtl/>
          <w:lang w:val="en-US" w:bidi="ar-EG"/>
        </w:rPr>
      </w:pPr>
      <w:r w:rsidRPr="00327D99">
        <w:rPr>
          <w:rtl/>
          <w:lang w:val="en-US" w:bidi="ar-EG"/>
        </w:rPr>
        <w:t xml:space="preserve">حيث تدل القيمة </w:t>
      </w:r>
      <w:r w:rsidRPr="00327D99">
        <w:rPr>
          <w:lang w:val="en-US" w:bidi="ar-EG"/>
        </w:rPr>
        <w:t>"c"</w:t>
      </w:r>
      <w:r w:rsidRPr="00327D99">
        <w:rPr>
          <w:rtl/>
          <w:lang w:val="en-US" w:bidi="ar-EG"/>
        </w:rPr>
        <w:t xml:space="preserve"> على النسبة بين منطقة المساحة التي يغطيها التعيين والمساحة الكلية للإقليم الوطني.</w:t>
      </w:r>
    </w:p>
    <w:p w:rsidR="00DD3657" w:rsidRPr="00057710" w:rsidRDefault="00DD3657" w:rsidP="0064775E">
      <w:pPr>
        <w:pStyle w:val="Heading4"/>
        <w:rPr>
          <w:rtl/>
          <w:lang w:bidi="ar-EG"/>
        </w:rPr>
      </w:pPr>
      <w:r w:rsidRPr="00057710">
        <w:rPr>
          <w:lang w:bidi="ar-EG"/>
        </w:rPr>
        <w:t>4.2.2.5</w:t>
      </w:r>
      <w:r w:rsidRPr="00057710">
        <w:rPr>
          <w:rtl/>
          <w:lang w:bidi="ar-EG"/>
        </w:rPr>
        <w:tab/>
        <w:t xml:space="preserve">رسم مطبق على تعيين للخدمة الثابتة لعروة محلية لا سلكية (انظر الفقرة </w:t>
      </w:r>
      <w:r w:rsidRPr="00057710">
        <w:rPr>
          <w:lang w:bidi="ar-EG"/>
        </w:rPr>
        <w:t>4.3.5</w:t>
      </w:r>
      <w:r w:rsidRPr="00057710">
        <w:rPr>
          <w:rtl/>
          <w:lang w:bidi="ar-EG"/>
        </w:rPr>
        <w:t xml:space="preserve"> أيضاً)</w:t>
      </w:r>
    </w:p>
    <w:p w:rsidR="00DD3657" w:rsidRDefault="00DD3657" w:rsidP="00DD3657">
      <w:pPr>
        <w:rPr>
          <w:lang w:val="en-US" w:bidi="ar-EG"/>
        </w:rPr>
      </w:pPr>
      <w:r w:rsidRPr="00327D99">
        <w:rPr>
          <w:rtl/>
          <w:lang w:val="en-US" w:bidi="ar-EG"/>
        </w:rPr>
        <w:t xml:space="preserve">يمكن استعمال المعادلة التالية لتحديد المبلغ السنوي </w:t>
      </w:r>
      <w:r w:rsidRPr="00327D99">
        <w:rPr>
          <w:i/>
          <w:iCs/>
          <w:lang w:val="en-US" w:bidi="ar-EG"/>
        </w:rPr>
        <w:t>Rs</w:t>
      </w:r>
      <w:r w:rsidRPr="00327D99">
        <w:rPr>
          <w:rtl/>
          <w:lang w:val="en-US" w:bidi="ar-EG"/>
        </w:rPr>
        <w:t xml:space="preserve"> لرسوم الطيف:</w:t>
      </w:r>
    </w:p>
    <w:p w:rsidR="00CE2192" w:rsidRPr="00890DD5" w:rsidRDefault="00CE2192" w:rsidP="00CE2192">
      <w:pPr>
        <w:jc w:val="center"/>
        <w:rPr>
          <w:rtl/>
          <w:lang w:val="en-US" w:bidi="ar-EG"/>
        </w:rPr>
      </w:pPr>
      <w:r w:rsidRPr="00890DD5">
        <w:rPr>
          <w:lang w:bidi="ar-EG"/>
        </w:rPr>
        <w:t>Rs = L * bf * a * c * k2</w:t>
      </w:r>
    </w:p>
    <w:p w:rsidR="00DD3657" w:rsidRPr="00327D99" w:rsidRDefault="00DD3657" w:rsidP="00DD3657">
      <w:pPr>
        <w:rPr>
          <w:rtl/>
          <w:lang w:val="en-US" w:bidi="ar-EG"/>
        </w:rPr>
      </w:pPr>
      <w:r w:rsidRPr="00327D99">
        <w:rPr>
          <w:rtl/>
          <w:lang w:val="en-US" w:bidi="ar-EG"/>
        </w:rPr>
        <w:t xml:space="preserve">وتدل القيمة </w:t>
      </w:r>
      <w:r w:rsidRPr="00327D99">
        <w:rPr>
          <w:lang w:val="en-US" w:bidi="ar-EG"/>
        </w:rPr>
        <w:t>"c"</w:t>
      </w:r>
      <w:r w:rsidRPr="00327D99">
        <w:rPr>
          <w:rtl/>
          <w:lang w:val="en-US" w:bidi="ar-EG"/>
        </w:rPr>
        <w:t xml:space="preserve"> بهذا الصدد على النسبة بين المساحة التي يغطيها التعيين والمساحة الكلية للإقليم الوطني.</w:t>
      </w:r>
    </w:p>
    <w:p w:rsidR="00DD3657" w:rsidRPr="00057710" w:rsidRDefault="00DD3657" w:rsidP="0064775E">
      <w:pPr>
        <w:pStyle w:val="Heading4"/>
        <w:rPr>
          <w:rtl/>
          <w:lang w:bidi="ar-EG"/>
        </w:rPr>
      </w:pPr>
      <w:r w:rsidRPr="00057710">
        <w:rPr>
          <w:lang w:bidi="ar-EG"/>
        </w:rPr>
        <w:t>5.2.2.5</w:t>
      </w:r>
      <w:r w:rsidRPr="00057710">
        <w:rPr>
          <w:rtl/>
          <w:lang w:bidi="ar-EG"/>
        </w:rPr>
        <w:tab/>
        <w:t>رسم مطبق على تخصيص لمحطة أرضية في الخدمة الثابتة أو الخدمة المتنقلة الساتلية</w:t>
      </w:r>
    </w:p>
    <w:p w:rsidR="00DD3657" w:rsidRDefault="00DD3657" w:rsidP="00DD3657">
      <w:pPr>
        <w:rPr>
          <w:lang w:val="en-US" w:bidi="ar-EG"/>
        </w:rPr>
      </w:pPr>
      <w:r w:rsidRPr="00327D99">
        <w:rPr>
          <w:rtl/>
          <w:lang w:val="en-US" w:bidi="ar-EG"/>
        </w:rPr>
        <w:t xml:space="preserve">يمكن استعمال المعادلة التالية لتحديد المبلغ السنوي </w:t>
      </w:r>
      <w:r w:rsidRPr="00327D99">
        <w:rPr>
          <w:i/>
          <w:iCs/>
          <w:lang w:val="en-US" w:bidi="ar-EG"/>
        </w:rPr>
        <w:t>Rs</w:t>
      </w:r>
      <w:r w:rsidRPr="00327D99">
        <w:rPr>
          <w:rtl/>
          <w:lang w:val="en-US" w:bidi="ar-EG"/>
        </w:rPr>
        <w:t xml:space="preserve"> لرسوم الطيف:</w:t>
      </w:r>
    </w:p>
    <w:p w:rsidR="00CE2192" w:rsidRPr="00890DD5" w:rsidRDefault="00CE2192" w:rsidP="00CE2192">
      <w:pPr>
        <w:jc w:val="center"/>
        <w:rPr>
          <w:rtl/>
          <w:lang w:val="en-US" w:bidi="ar-EG"/>
        </w:rPr>
      </w:pPr>
      <w:r w:rsidRPr="00890DD5">
        <w:rPr>
          <w:lang w:bidi="ar-EG"/>
        </w:rPr>
        <w:t>Rs = L* bf * k3</w:t>
      </w:r>
    </w:p>
    <w:p w:rsidR="00DD3657" w:rsidRPr="00057710" w:rsidRDefault="00DD3657" w:rsidP="0064775E">
      <w:pPr>
        <w:pStyle w:val="Heading4"/>
        <w:rPr>
          <w:rtl/>
          <w:lang w:bidi="ar-EG"/>
        </w:rPr>
      </w:pPr>
      <w:r w:rsidRPr="00057710">
        <w:rPr>
          <w:lang w:bidi="ar-EG"/>
        </w:rPr>
        <w:t>6.2.2.5</w:t>
      </w:r>
      <w:r w:rsidRPr="00057710">
        <w:rPr>
          <w:rtl/>
          <w:lang w:bidi="ar-EG"/>
        </w:rPr>
        <w:tab/>
        <w:t>رسم مطبق على تعيين للخدمة الثابتة أو الخدمة المتنقلة الساتلية</w:t>
      </w:r>
    </w:p>
    <w:p w:rsidR="00DD3657" w:rsidRDefault="00DD3657" w:rsidP="00DD3657">
      <w:pPr>
        <w:rPr>
          <w:lang w:val="en-US" w:bidi="ar-EG"/>
        </w:rPr>
      </w:pPr>
      <w:r w:rsidRPr="00327D99">
        <w:rPr>
          <w:rtl/>
          <w:lang w:val="en-US" w:bidi="ar-EG"/>
        </w:rPr>
        <w:t xml:space="preserve">يمكن استعمال المعادلة التالية لتحديد المبلغ السنوي </w:t>
      </w:r>
      <w:r w:rsidRPr="00327D99">
        <w:rPr>
          <w:i/>
          <w:iCs/>
          <w:lang w:val="en-US" w:bidi="ar-EG"/>
        </w:rPr>
        <w:t>Rs</w:t>
      </w:r>
      <w:r w:rsidRPr="00327D99">
        <w:rPr>
          <w:rtl/>
          <w:lang w:val="en-US" w:bidi="ar-EG"/>
        </w:rPr>
        <w:t xml:space="preserve"> لرسوم الطيف:</w:t>
      </w:r>
    </w:p>
    <w:p w:rsidR="00CE2192" w:rsidRPr="00890DD5" w:rsidRDefault="00CE2192" w:rsidP="00CE2192">
      <w:pPr>
        <w:jc w:val="center"/>
        <w:rPr>
          <w:rtl/>
          <w:lang w:val="en-US" w:bidi="ar-EG"/>
        </w:rPr>
      </w:pPr>
      <w:r w:rsidRPr="00890DD5">
        <w:rPr>
          <w:lang w:bidi="ar-EG"/>
        </w:rPr>
        <w:t>Rs = L * bf * k3 * a</w:t>
      </w:r>
    </w:p>
    <w:p w:rsidR="00DD3657" w:rsidRPr="00057710" w:rsidRDefault="00DD3657" w:rsidP="0064775E">
      <w:pPr>
        <w:pStyle w:val="Heading4"/>
        <w:rPr>
          <w:rtl/>
          <w:lang w:bidi="ar-EG"/>
        </w:rPr>
      </w:pPr>
      <w:r w:rsidRPr="00057710">
        <w:rPr>
          <w:lang w:bidi="ar-EG"/>
        </w:rPr>
        <w:lastRenderedPageBreak/>
        <w:t>7.2.2.5</w:t>
      </w:r>
      <w:r w:rsidRPr="00057710">
        <w:rPr>
          <w:rtl/>
          <w:lang w:bidi="ar-EG"/>
        </w:rPr>
        <w:tab/>
        <w:t xml:space="preserve">رسم مطبق على تخصيص لشبكات خاصة في الخدمة المتنقلة </w:t>
      </w:r>
    </w:p>
    <w:p w:rsidR="00DD3657" w:rsidRPr="00327D99" w:rsidRDefault="00DD3657" w:rsidP="00DD3657">
      <w:pPr>
        <w:rPr>
          <w:rtl/>
          <w:lang w:val="en-US" w:bidi="ar-EG"/>
        </w:rPr>
      </w:pPr>
      <w:r w:rsidRPr="00327D99">
        <w:rPr>
          <w:rtl/>
          <w:lang w:val="en-US" w:bidi="ar-EG"/>
        </w:rPr>
        <w:t xml:space="preserve">يمكن استعمال المعادلة التالية لتحديد المبلغ السنوي </w:t>
      </w:r>
      <w:r w:rsidRPr="00327D99">
        <w:rPr>
          <w:i/>
          <w:iCs/>
          <w:lang w:val="en-US" w:bidi="ar-EG"/>
        </w:rPr>
        <w:t>Rs</w:t>
      </w:r>
      <w:r w:rsidRPr="00327D99">
        <w:rPr>
          <w:rtl/>
          <w:lang w:val="en-US" w:bidi="ar-EG"/>
        </w:rPr>
        <w:t xml:space="preserve"> لرسوم الطيف:</w:t>
      </w:r>
    </w:p>
    <w:p w:rsidR="00DD3657" w:rsidRPr="00890DD5" w:rsidRDefault="00CE2192" w:rsidP="00DD3657">
      <w:pPr>
        <w:jc w:val="center"/>
        <w:rPr>
          <w:rtl/>
          <w:lang w:bidi="ar-EG"/>
        </w:rPr>
      </w:pPr>
      <w:r w:rsidRPr="00890DD5">
        <w:rPr>
          <w:lang w:bidi="ar-EG"/>
        </w:rPr>
        <w:t>Rs = L * bf * c * k4</w:t>
      </w:r>
    </w:p>
    <w:p w:rsidR="00DD3657" w:rsidRPr="00377605" w:rsidRDefault="00DD3657" w:rsidP="0064775E">
      <w:pPr>
        <w:pStyle w:val="Heading2"/>
        <w:rPr>
          <w:bCs w:val="0"/>
          <w:rtl/>
          <w:lang w:bidi="ar-EG"/>
        </w:rPr>
      </w:pPr>
      <w:bookmarkStart w:id="51" w:name="_Toc209263378"/>
      <w:bookmarkStart w:id="52" w:name="_Toc223323186"/>
      <w:bookmarkStart w:id="53" w:name="_Toc282768626"/>
      <w:r w:rsidRPr="00377605">
        <w:rPr>
          <w:lang w:bidi="ar-EG"/>
        </w:rPr>
        <w:t>3.5</w:t>
      </w:r>
      <w:r w:rsidRPr="00377605">
        <w:rPr>
          <w:rtl/>
          <w:lang w:bidi="ar-EG"/>
        </w:rPr>
        <w:tab/>
      </w:r>
      <w:r w:rsidRPr="00057710">
        <w:rPr>
          <w:rtl/>
          <w:lang w:bidi="ar-EG"/>
        </w:rPr>
        <w:t>رسوم الطيف المتصلة بالترددات المستعملة لتقديم خدمات أو بيعها في سوق استهلاكية</w:t>
      </w:r>
      <w:bookmarkEnd w:id="51"/>
      <w:bookmarkEnd w:id="52"/>
      <w:bookmarkEnd w:id="53"/>
    </w:p>
    <w:p w:rsidR="00DD3657" w:rsidRPr="00327D99" w:rsidRDefault="00DD3657" w:rsidP="00DD3657">
      <w:pPr>
        <w:rPr>
          <w:spacing w:val="-4"/>
          <w:rtl/>
          <w:lang w:val="en-US" w:bidi="ar-EG"/>
        </w:rPr>
      </w:pPr>
      <w:r w:rsidRPr="00327D99">
        <w:rPr>
          <w:spacing w:val="-4"/>
          <w:rtl/>
          <w:lang w:val="en-US" w:bidi="ar-EG"/>
        </w:rPr>
        <w:t>ينبغي أن يكون الهدف ذو الأولوية للرسوم المذكورة في هذه الفقرة ضمان إيرادات الميزانية الإجمالية التي تحددها السلطات العامة.</w:t>
      </w:r>
    </w:p>
    <w:p w:rsidR="00DD3657" w:rsidRPr="00327D99" w:rsidRDefault="00DD3657" w:rsidP="00DD3657">
      <w:pPr>
        <w:pStyle w:val="Heading3"/>
        <w:spacing w:before="120"/>
        <w:rPr>
          <w:rtl/>
          <w:lang w:bidi="ar-EG"/>
        </w:rPr>
      </w:pPr>
      <w:bookmarkStart w:id="54" w:name="_Toc282768627"/>
      <w:r w:rsidRPr="00327D99">
        <w:rPr>
          <w:lang w:bidi="ar-EG"/>
        </w:rPr>
        <w:t>1.3.5</w:t>
      </w:r>
      <w:r w:rsidRPr="00327D99">
        <w:rPr>
          <w:rtl/>
          <w:lang w:bidi="ar-EG"/>
        </w:rPr>
        <w:tab/>
      </w:r>
      <w:r w:rsidRPr="00057710">
        <w:rPr>
          <w:b w:val="0"/>
          <w:rtl/>
          <w:lang w:bidi="ar-EG"/>
        </w:rPr>
        <w:t>ملاحظات واعتبارات عامة</w:t>
      </w:r>
      <w:bookmarkEnd w:id="54"/>
    </w:p>
    <w:p w:rsidR="00DD3657" w:rsidRPr="00327D99" w:rsidRDefault="00DD3657" w:rsidP="00DD3657">
      <w:pPr>
        <w:rPr>
          <w:rtl/>
          <w:lang w:val="en-US" w:bidi="ar-EG"/>
        </w:rPr>
      </w:pPr>
      <w:r w:rsidRPr="00327D99">
        <w:rPr>
          <w:rtl/>
          <w:lang w:val="en-US" w:bidi="ar-EG"/>
        </w:rPr>
        <w:t xml:space="preserve">ينبغي أن تراعي طرائق تحديد الرسوم، أولاً وقبل كل شيء، العناصر الواردة في الفقرتين </w:t>
      </w:r>
      <w:r w:rsidRPr="00327D99">
        <w:rPr>
          <w:lang w:val="en-US" w:bidi="ar-EG"/>
        </w:rPr>
        <w:t>1.1.5</w:t>
      </w:r>
      <w:r w:rsidRPr="00327D99">
        <w:rPr>
          <w:rtl/>
          <w:lang w:val="en-US" w:bidi="ar-EG"/>
        </w:rPr>
        <w:t xml:space="preserve"> و</w:t>
      </w:r>
      <w:r w:rsidRPr="00327D99">
        <w:rPr>
          <w:lang w:val="en-US" w:bidi="ar-EG"/>
        </w:rPr>
        <w:t>3.1.5</w:t>
      </w:r>
      <w:r w:rsidRPr="00327D99">
        <w:rPr>
          <w:rtl/>
          <w:lang w:val="en-US" w:bidi="ar-EG"/>
        </w:rPr>
        <w:t>، دون إهمال الجانب المتعلق بفعالية إدارة الطيف وكفاءة استعمال التردد.</w:t>
      </w:r>
    </w:p>
    <w:p w:rsidR="00DD3657" w:rsidRPr="00327D99" w:rsidRDefault="00DD3657" w:rsidP="00DD3657">
      <w:pPr>
        <w:rPr>
          <w:lang w:val="en-US" w:bidi="ar-EG"/>
        </w:rPr>
      </w:pPr>
      <w:r w:rsidRPr="00327D99">
        <w:rPr>
          <w:rtl/>
          <w:lang w:val="en-US" w:bidi="ar-EG"/>
        </w:rPr>
        <w:t>وبصورة عامة، تعتبر الرسوم المطبقة على الترددات المذكورة أعلاه هي التي تمثل أكبر نصيب من إيرادات الميزانية الناتجة عن الرسوم المتصلة بالطيف التي تحصلها الدولة.</w:t>
      </w:r>
    </w:p>
    <w:p w:rsidR="00DD3657" w:rsidRPr="00DA6DEA" w:rsidRDefault="00DD3657" w:rsidP="00DD3657">
      <w:pPr>
        <w:rPr>
          <w:spacing w:val="-4"/>
          <w:rtl/>
          <w:lang w:val="en-US" w:bidi="ar-EG"/>
        </w:rPr>
      </w:pPr>
      <w:r w:rsidRPr="00327D99">
        <w:rPr>
          <w:spacing w:val="-4"/>
          <w:rtl/>
          <w:lang w:val="en-US" w:bidi="ar-EG"/>
        </w:rPr>
        <w:t>ولتوضيح العوائد المحققة من الإيرادات الن</w:t>
      </w:r>
      <w:r>
        <w:rPr>
          <w:spacing w:val="-4"/>
          <w:rtl/>
          <w:lang w:val="en-US" w:bidi="ar-EG"/>
        </w:rPr>
        <w:t>اتجة عن حالة معينة</w:t>
      </w:r>
      <w:r w:rsidRPr="00327D99">
        <w:rPr>
          <w:spacing w:val="-4"/>
          <w:rtl/>
          <w:lang w:val="en-US" w:bidi="ar-EG"/>
        </w:rPr>
        <w:t>، يمكن أن تؤخذ</w:t>
      </w:r>
      <w:r>
        <w:rPr>
          <w:spacing w:val="-4"/>
          <w:rtl/>
          <w:lang w:val="en-US" w:bidi="ar-EG"/>
        </w:rPr>
        <w:t xml:space="preserve"> بالحسبان عوامل متعددة من بينها</w:t>
      </w:r>
      <w:r w:rsidRPr="00327D99">
        <w:rPr>
          <w:spacing w:val="-4"/>
          <w:rtl/>
          <w:lang w:val="en-US" w:bidi="ar-EG"/>
        </w:rPr>
        <w:t xml:space="preserve"> السكان الذين يشملهم الترخيص والجزء التابع للإقليم المعني بالترخيص أو رقم الأعمال المحقق من تقديم الخدمات أو بيعها.</w:t>
      </w:r>
    </w:p>
    <w:p w:rsidR="00DD3657" w:rsidRPr="00327D99" w:rsidRDefault="00DD3657" w:rsidP="00DD3657">
      <w:pPr>
        <w:rPr>
          <w:spacing w:val="-2"/>
          <w:rtl/>
          <w:lang w:val="en-US" w:bidi="ar-EG"/>
        </w:rPr>
      </w:pPr>
      <w:r w:rsidRPr="00327D99">
        <w:rPr>
          <w:spacing w:val="-2"/>
          <w:rtl/>
          <w:lang w:val="en-US" w:bidi="ar-EG"/>
        </w:rPr>
        <w:t>ويعتبر رقم الأعمال في معظم الحالات العنصر الذي يمثل إلى حد بعيد الإيراد الناتج عن حالة واقعية تستفيد منها شركة التشغيل.</w:t>
      </w:r>
    </w:p>
    <w:p w:rsidR="00DD3657" w:rsidRPr="00327D99" w:rsidRDefault="00DD3657" w:rsidP="00DD3657">
      <w:pPr>
        <w:rPr>
          <w:spacing w:val="-2"/>
          <w:rtl/>
          <w:lang w:val="en-US" w:bidi="ar-EG"/>
        </w:rPr>
      </w:pPr>
      <w:r w:rsidRPr="00327D99">
        <w:rPr>
          <w:spacing w:val="-2"/>
          <w:rtl/>
          <w:lang w:val="en-US" w:bidi="ar-EG"/>
        </w:rPr>
        <w:t>وفي حالة استعمال عنصر رقم الأعمال لتشكيل الأساس اللازم لتحديد الرسوم، يوصى</w:t>
      </w:r>
      <w:r>
        <w:rPr>
          <w:spacing w:val="-2"/>
          <w:rtl/>
          <w:lang w:val="en-US" w:bidi="ar-EG"/>
        </w:rPr>
        <w:t xml:space="preserve"> بتحديد محيطه ومضمونه بشكل واضح</w:t>
      </w:r>
      <w:r>
        <w:rPr>
          <w:rFonts w:hint="cs"/>
          <w:spacing w:val="-2"/>
          <w:rtl/>
          <w:lang w:val="en-US" w:bidi="ar-EG"/>
        </w:rPr>
        <w:t>.</w:t>
      </w:r>
    </w:p>
    <w:p w:rsidR="00DD3657" w:rsidRPr="00057710" w:rsidRDefault="00DD3657" w:rsidP="0064775E">
      <w:pPr>
        <w:pStyle w:val="Heading3"/>
        <w:rPr>
          <w:bCs w:val="0"/>
          <w:rtl/>
          <w:lang w:bidi="ar-EG"/>
        </w:rPr>
      </w:pPr>
      <w:bookmarkStart w:id="55" w:name="_Toc282768628"/>
      <w:r w:rsidRPr="00057710">
        <w:rPr>
          <w:lang w:bidi="ar-EG"/>
        </w:rPr>
        <w:t>2.3.5</w:t>
      </w:r>
      <w:r w:rsidRPr="00057710">
        <w:rPr>
          <w:rtl/>
          <w:lang w:bidi="ar-EG"/>
        </w:rPr>
        <w:tab/>
        <w:t xml:space="preserve">مثال للرسوم المطبقة على الخدمة المتنقلة للجيل الثاني </w:t>
      </w:r>
      <w:r w:rsidRPr="00057710">
        <w:rPr>
          <w:lang w:bidi="ar-EG"/>
        </w:rPr>
        <w:t>(2G)</w:t>
      </w:r>
      <w:bookmarkEnd w:id="55"/>
    </w:p>
    <w:p w:rsidR="00DD3657" w:rsidRPr="00327D99" w:rsidRDefault="00DD3657" w:rsidP="00DD3657">
      <w:pPr>
        <w:keepNext/>
        <w:rPr>
          <w:rtl/>
          <w:lang w:val="en-US" w:bidi="ar-EG"/>
        </w:rPr>
      </w:pPr>
      <w:r w:rsidRPr="00327D99">
        <w:rPr>
          <w:rtl/>
          <w:lang w:val="en-US" w:bidi="ar-EG"/>
        </w:rPr>
        <w:t xml:space="preserve">يمكن استعمال المعادلة التالية لتحديد المبلغ السنوي </w:t>
      </w:r>
      <w:r w:rsidRPr="00327D99">
        <w:rPr>
          <w:i/>
          <w:iCs/>
          <w:lang w:val="en-US" w:bidi="ar-EG"/>
        </w:rPr>
        <w:t>Rs</w:t>
      </w:r>
      <w:r w:rsidRPr="00327D99">
        <w:rPr>
          <w:rtl/>
          <w:lang w:val="en-US" w:bidi="ar-EG"/>
        </w:rPr>
        <w:t xml:space="preserve"> لرسوم الطيف:</w:t>
      </w:r>
    </w:p>
    <w:p w:rsidR="00DD3657" w:rsidRPr="00890DD5" w:rsidRDefault="00CE2192" w:rsidP="00DD3657">
      <w:pPr>
        <w:jc w:val="center"/>
        <w:rPr>
          <w:lang w:bidi="ar-EG"/>
        </w:rPr>
      </w:pPr>
      <w:r w:rsidRPr="00890DD5">
        <w:rPr>
          <w:lang w:bidi="ar-EG"/>
        </w:rPr>
        <w:t>Rs = F + t% * CA</w:t>
      </w:r>
    </w:p>
    <w:p w:rsidR="00DD3657" w:rsidRPr="00327D99" w:rsidRDefault="00DD3657" w:rsidP="00DD3657">
      <w:pPr>
        <w:rPr>
          <w:rtl/>
          <w:lang w:val="en-US" w:bidi="ar-SY"/>
        </w:rPr>
      </w:pPr>
      <w:r w:rsidRPr="00327D99">
        <w:rPr>
          <w:rtl/>
          <w:lang w:bidi="ar-EG"/>
        </w:rPr>
        <w:t>حيث</w:t>
      </w:r>
      <w:r w:rsidRPr="00327D99">
        <w:rPr>
          <w:rtl/>
          <w:lang w:val="en-US" w:bidi="ar-EG"/>
        </w:rPr>
        <w:t>:</w:t>
      </w:r>
    </w:p>
    <w:p w:rsidR="00DD3657" w:rsidRPr="00327D99" w:rsidRDefault="00DD3657" w:rsidP="00DD3657">
      <w:pPr>
        <w:pStyle w:val="enumlev1"/>
        <w:spacing w:before="120"/>
        <w:rPr>
          <w:rtl/>
          <w:lang w:bidi="ar-EG"/>
        </w:rPr>
      </w:pPr>
      <w:r w:rsidRPr="00327D99">
        <w:rPr>
          <w:rtl/>
          <w:lang w:bidi="ar-EG"/>
        </w:rPr>
        <w:t>-</w:t>
      </w:r>
      <w:r w:rsidRPr="00327D99">
        <w:rPr>
          <w:rtl/>
          <w:lang w:bidi="ar-EG"/>
        </w:rPr>
        <w:tab/>
        <w:t xml:space="preserve">يمثل </w:t>
      </w:r>
      <w:r w:rsidRPr="00327D99">
        <w:rPr>
          <w:lang w:bidi="ar-EG"/>
        </w:rPr>
        <w:t>F</w:t>
      </w:r>
      <w:r w:rsidRPr="00327D99">
        <w:rPr>
          <w:rtl/>
          <w:lang w:bidi="ar-EG"/>
        </w:rPr>
        <w:t xml:space="preserve"> مبلغاً ثابتاً مستحق الدفع كل سنة. وبغية إدراج الهدف المتمثل في فعالية إدارة الطيف وكفاءة استعمال الترددات، يجب أن يكون هذا المبلغ </w:t>
      </w:r>
      <w:r w:rsidRPr="0046171B">
        <w:rPr>
          <w:lang w:bidi="ar-EG"/>
        </w:rPr>
        <w:t>F</w:t>
      </w:r>
      <w:r w:rsidRPr="00327D99">
        <w:rPr>
          <w:rtl/>
          <w:lang w:bidi="ar-EG"/>
        </w:rPr>
        <w:t xml:space="preserve"> متناسباً مع عرض النطاق الكلي الموزع لكل شركة تشغيل على التوالي فيما</w:t>
      </w:r>
      <w:r>
        <w:rPr>
          <w:rFonts w:hint="cs"/>
          <w:rtl/>
          <w:lang w:bidi="ar-EG"/>
        </w:rPr>
        <w:t> </w:t>
      </w:r>
      <w:r w:rsidRPr="00327D99">
        <w:rPr>
          <w:rtl/>
          <w:lang w:bidi="ar-EG"/>
        </w:rPr>
        <w:t xml:space="preserve">يتعلق بالخدمة </w:t>
      </w:r>
      <w:r w:rsidRPr="00327D99">
        <w:rPr>
          <w:lang w:bidi="ar-EG"/>
        </w:rPr>
        <w:t>2G</w:t>
      </w:r>
      <w:r w:rsidRPr="00327D99">
        <w:rPr>
          <w:rtl/>
          <w:lang w:bidi="ar-EG"/>
        </w:rPr>
        <w:t>.</w:t>
      </w:r>
    </w:p>
    <w:p w:rsidR="00DD3657" w:rsidRPr="00C4522B" w:rsidRDefault="00DD3657" w:rsidP="00DD3657">
      <w:pPr>
        <w:pStyle w:val="enumlev1"/>
        <w:spacing w:before="120"/>
        <w:rPr>
          <w:spacing w:val="-4"/>
          <w:rtl/>
          <w:lang w:bidi="ar-EG"/>
        </w:rPr>
      </w:pPr>
      <w:r w:rsidRPr="0046171B">
        <w:rPr>
          <w:rtl/>
          <w:lang w:bidi="ar-EG"/>
        </w:rPr>
        <w:t>-</w:t>
      </w:r>
      <w:r w:rsidRPr="0046171B">
        <w:rPr>
          <w:rtl/>
          <w:lang w:bidi="ar-EG"/>
        </w:rPr>
        <w:tab/>
      </w:r>
      <w:r w:rsidRPr="00C4522B">
        <w:rPr>
          <w:spacing w:val="-4"/>
          <w:rtl/>
          <w:lang w:bidi="ar-EG"/>
        </w:rPr>
        <w:t xml:space="preserve">يمثل </w:t>
      </w:r>
      <w:r w:rsidRPr="00C4522B">
        <w:rPr>
          <w:spacing w:val="-4"/>
          <w:lang w:bidi="ar-EG"/>
        </w:rPr>
        <w:t>CA</w:t>
      </w:r>
      <w:r w:rsidRPr="00C4522B">
        <w:rPr>
          <w:spacing w:val="-4"/>
          <w:rtl/>
          <w:lang w:bidi="ar-EG"/>
        </w:rPr>
        <w:t xml:space="preserve"> رقم الأعمال الذي تحققه شركة التشغيل المعنية خلال السنة المقابلة فيما يتعلق بترددات الخدمة المتنقلة </w:t>
      </w:r>
      <w:r w:rsidRPr="00C4522B">
        <w:rPr>
          <w:spacing w:val="-4"/>
          <w:lang w:bidi="ar-EG"/>
        </w:rPr>
        <w:t>2G</w:t>
      </w:r>
      <w:r w:rsidRPr="00C4522B">
        <w:rPr>
          <w:spacing w:val="-4"/>
          <w:rtl/>
          <w:lang w:bidi="ar-EG"/>
        </w:rPr>
        <w:t>.</w:t>
      </w:r>
    </w:p>
    <w:p w:rsidR="00DD3657" w:rsidRPr="00327D99" w:rsidRDefault="00DD3657" w:rsidP="00B67A94">
      <w:pPr>
        <w:pStyle w:val="enumlev1"/>
        <w:spacing w:before="120"/>
        <w:rPr>
          <w:rtl/>
          <w:lang w:bidi="ar-EG"/>
        </w:rPr>
      </w:pPr>
      <w:r w:rsidRPr="00327D99">
        <w:rPr>
          <w:rtl/>
          <w:lang w:bidi="ar-EG"/>
        </w:rPr>
        <w:t>-</w:t>
      </w:r>
      <w:r w:rsidRPr="00327D99">
        <w:rPr>
          <w:rtl/>
          <w:lang w:bidi="ar-EG"/>
        </w:rPr>
        <w:tab/>
        <w:t xml:space="preserve">تمثل </w:t>
      </w:r>
      <w:r w:rsidR="00B67A94" w:rsidRPr="00327D99">
        <w:rPr>
          <w:lang w:bidi="ar-EG"/>
        </w:rPr>
        <w:t>%</w:t>
      </w:r>
      <w:r w:rsidRPr="00327D99">
        <w:rPr>
          <w:lang w:bidi="ar-EG"/>
        </w:rPr>
        <w:t>t</w:t>
      </w:r>
      <w:r w:rsidRPr="00327D99">
        <w:rPr>
          <w:rtl/>
          <w:lang w:bidi="ar-EG"/>
        </w:rPr>
        <w:t xml:space="preserve"> النسبة المئوية المفروضة على رقم الأعمال الذي تحققه شركة التشغيل. وتساوي قيمة </w:t>
      </w:r>
      <w:r w:rsidR="00B67A94" w:rsidRPr="00327D99">
        <w:rPr>
          <w:lang w:bidi="ar-EG"/>
        </w:rPr>
        <w:t>%</w:t>
      </w:r>
      <w:r w:rsidRPr="00327D99">
        <w:rPr>
          <w:lang w:bidi="ar-EG"/>
        </w:rPr>
        <w:t>t</w:t>
      </w:r>
      <w:r w:rsidRPr="00327D99">
        <w:rPr>
          <w:rtl/>
          <w:lang w:bidi="ar-EG"/>
        </w:rPr>
        <w:t xml:space="preserve"> التي تطبقها الإدارات بشكل عام، </w:t>
      </w:r>
      <w:r w:rsidRPr="00327D99">
        <w:rPr>
          <w:lang w:bidi="ar-EG"/>
        </w:rPr>
        <w:t>%1</w:t>
      </w:r>
      <w:r w:rsidRPr="00327D99">
        <w:rPr>
          <w:rtl/>
          <w:lang w:bidi="ar-EG"/>
        </w:rPr>
        <w:t xml:space="preserve"> أو ما يقرب من ذلك.</w:t>
      </w:r>
    </w:p>
    <w:p w:rsidR="00DD3657" w:rsidRPr="00057710" w:rsidRDefault="00DD3657" w:rsidP="0064775E">
      <w:pPr>
        <w:pStyle w:val="Heading3"/>
        <w:rPr>
          <w:rtl/>
          <w:lang w:bidi="ar-EG"/>
        </w:rPr>
      </w:pPr>
      <w:bookmarkStart w:id="56" w:name="_Toc282768629"/>
      <w:r w:rsidRPr="00057710">
        <w:rPr>
          <w:lang w:bidi="ar-EG"/>
        </w:rPr>
        <w:t>3.3.5</w:t>
      </w:r>
      <w:r w:rsidRPr="00057710">
        <w:rPr>
          <w:rtl/>
          <w:lang w:bidi="ar-EG"/>
        </w:rPr>
        <w:tab/>
        <w:t xml:space="preserve">مثال للرسوم المطبقة على الخدمة المتنقلة للجيل الثالث </w:t>
      </w:r>
      <w:r w:rsidRPr="00057710">
        <w:rPr>
          <w:lang w:bidi="ar-EG"/>
        </w:rPr>
        <w:t>(3G)</w:t>
      </w:r>
      <w:bookmarkEnd w:id="56"/>
    </w:p>
    <w:p w:rsidR="00DD3657" w:rsidRDefault="00DD3657" w:rsidP="00DD3657">
      <w:pPr>
        <w:rPr>
          <w:lang w:val="en-US" w:bidi="ar-EG"/>
        </w:rPr>
      </w:pPr>
      <w:r w:rsidRPr="00327D99">
        <w:rPr>
          <w:rtl/>
          <w:lang w:val="en-US" w:bidi="ar-EG"/>
        </w:rPr>
        <w:t xml:space="preserve">يمكن استعمال المعادلة التالية لتحديد المبلغ السنوي </w:t>
      </w:r>
      <w:r w:rsidRPr="00327D99">
        <w:rPr>
          <w:i/>
          <w:iCs/>
          <w:lang w:val="en-US" w:bidi="ar-EG"/>
        </w:rPr>
        <w:t>Rs</w:t>
      </w:r>
      <w:r w:rsidRPr="00327D99">
        <w:rPr>
          <w:rtl/>
          <w:lang w:val="en-US" w:bidi="ar-EG"/>
        </w:rPr>
        <w:t xml:space="preserve"> لرسوم </w:t>
      </w:r>
      <w:r w:rsidRPr="00327D99">
        <w:rPr>
          <w:rtl/>
          <w:lang w:bidi="ar-EG"/>
        </w:rPr>
        <w:t>الطيف</w:t>
      </w:r>
      <w:r w:rsidRPr="00327D99">
        <w:rPr>
          <w:rtl/>
          <w:lang w:val="en-US" w:bidi="ar-EG"/>
        </w:rPr>
        <w:t>:</w:t>
      </w:r>
    </w:p>
    <w:p w:rsidR="00CE2192" w:rsidRPr="00890DD5" w:rsidRDefault="00CE2192" w:rsidP="00CE2192">
      <w:pPr>
        <w:jc w:val="center"/>
        <w:rPr>
          <w:lang w:val="en-US" w:bidi="ar-EG"/>
        </w:rPr>
      </w:pPr>
      <w:r w:rsidRPr="00890DD5">
        <w:rPr>
          <w:lang w:bidi="ar-EG"/>
        </w:rPr>
        <w:t>Rs = t% * CA</w:t>
      </w:r>
    </w:p>
    <w:p w:rsidR="00DD3657" w:rsidRPr="00327D99" w:rsidRDefault="00DD3657" w:rsidP="00DD3657">
      <w:pPr>
        <w:rPr>
          <w:rtl/>
          <w:lang w:val="en-US" w:bidi="ar-SY"/>
        </w:rPr>
      </w:pPr>
      <w:r w:rsidRPr="00327D99">
        <w:rPr>
          <w:rtl/>
          <w:lang w:val="en-US" w:bidi="ar-EG"/>
        </w:rPr>
        <w:t>حيث:</w:t>
      </w:r>
    </w:p>
    <w:p w:rsidR="00DD3657" w:rsidRPr="00327D99" w:rsidRDefault="00DD3657" w:rsidP="00DD3657">
      <w:pPr>
        <w:pStyle w:val="enumlev1"/>
        <w:spacing w:before="120"/>
        <w:rPr>
          <w:rtl/>
          <w:lang w:bidi="ar-EG"/>
        </w:rPr>
      </w:pPr>
      <w:r w:rsidRPr="00327D99">
        <w:rPr>
          <w:rtl/>
          <w:lang w:bidi="ar-EG"/>
        </w:rPr>
        <w:t>-</w:t>
      </w:r>
      <w:r w:rsidRPr="00327D99">
        <w:rPr>
          <w:rtl/>
          <w:lang w:bidi="ar-EG"/>
        </w:rPr>
        <w:tab/>
        <w:t xml:space="preserve">يمثل </w:t>
      </w:r>
      <w:r w:rsidRPr="00327D99">
        <w:rPr>
          <w:lang w:bidi="ar-EG"/>
        </w:rPr>
        <w:t>CA</w:t>
      </w:r>
      <w:r w:rsidRPr="00327D99">
        <w:rPr>
          <w:rtl/>
          <w:lang w:bidi="ar-EG"/>
        </w:rPr>
        <w:t xml:space="preserve"> رقم الأعمال الذي تحققه شركة التشغيل خلال السنة المعنية فيما يتعلق بترددات الخدمة المتنقلة </w:t>
      </w:r>
      <w:r w:rsidRPr="00327D99">
        <w:rPr>
          <w:lang w:bidi="ar-EG"/>
        </w:rPr>
        <w:t>3G</w:t>
      </w:r>
      <w:r w:rsidRPr="00327D99">
        <w:rPr>
          <w:rtl/>
          <w:lang w:bidi="ar-EG"/>
        </w:rPr>
        <w:t>.</w:t>
      </w:r>
    </w:p>
    <w:p w:rsidR="00DD3657" w:rsidRPr="00327D99" w:rsidRDefault="00DD3657" w:rsidP="00B67A94">
      <w:pPr>
        <w:pStyle w:val="enumlev1"/>
        <w:spacing w:before="120"/>
        <w:rPr>
          <w:rtl/>
          <w:lang w:bidi="ar-EG"/>
        </w:rPr>
      </w:pPr>
      <w:r w:rsidRPr="00327D99">
        <w:rPr>
          <w:rtl/>
          <w:lang w:bidi="ar-EG"/>
        </w:rPr>
        <w:t>-</w:t>
      </w:r>
      <w:r w:rsidRPr="00327D99">
        <w:rPr>
          <w:rtl/>
          <w:lang w:bidi="ar-EG"/>
        </w:rPr>
        <w:tab/>
        <w:t xml:space="preserve">تمثل </w:t>
      </w:r>
      <w:r w:rsidR="00B67A94" w:rsidRPr="00327D99">
        <w:rPr>
          <w:lang w:bidi="ar-EG"/>
        </w:rPr>
        <w:t>%</w:t>
      </w:r>
      <w:r w:rsidRPr="00327D99">
        <w:rPr>
          <w:lang w:bidi="ar-EG"/>
        </w:rPr>
        <w:t>t</w:t>
      </w:r>
      <w:r w:rsidRPr="00327D99">
        <w:rPr>
          <w:rtl/>
          <w:lang w:bidi="ar-EG"/>
        </w:rPr>
        <w:t xml:space="preserve"> النسبة المئوية المفروضة على رقم الأعمال الذي تحققه شركة التشغيل.</w:t>
      </w:r>
    </w:p>
    <w:p w:rsidR="00DD3657" w:rsidRPr="00327D99" w:rsidRDefault="00DD3657" w:rsidP="00DD3657">
      <w:pPr>
        <w:rPr>
          <w:rtl/>
          <w:lang w:val="en-US" w:bidi="ar-EG"/>
        </w:rPr>
      </w:pPr>
      <w:r w:rsidRPr="00327D99">
        <w:rPr>
          <w:rtl/>
          <w:lang w:val="en-US" w:bidi="ar-EG"/>
        </w:rPr>
        <w:lastRenderedPageBreak/>
        <w:t xml:space="preserve">ويضاف إلى هذا الرسم السنوي "تذكرة دخول" تدفع مرة واحدة عند منح الترخيص. وينبغي تحديد مبلغ "تذكرة الدخول" الذي يمكن أن يكون متناسباً مع عرض النطاق الموزع إذا كان من المرغوب إدخال هدف فعالية إدارة الطيف وكفاءة استعمال التردد، مع مراعاة الفقرة </w:t>
      </w:r>
      <w:r w:rsidRPr="00327D99">
        <w:rPr>
          <w:lang w:val="en-US" w:bidi="ar-EG"/>
        </w:rPr>
        <w:t>[23]</w:t>
      </w:r>
      <w:r w:rsidRPr="00327D99">
        <w:rPr>
          <w:rtl/>
          <w:lang w:val="en-US" w:bidi="ar-EG"/>
        </w:rPr>
        <w:t xml:space="preserve"> بوجه خاص، وذلك لعدم الحيلولة دون انتشار شبكات الوافدين الجدد حسب الحالة.</w:t>
      </w:r>
    </w:p>
    <w:p w:rsidR="00DD3657" w:rsidRPr="00057710" w:rsidRDefault="00DD3657" w:rsidP="0064775E">
      <w:pPr>
        <w:pStyle w:val="Heading3"/>
        <w:rPr>
          <w:rtl/>
          <w:lang w:bidi="ar-EG"/>
        </w:rPr>
      </w:pPr>
      <w:bookmarkStart w:id="57" w:name="_Toc282768630"/>
      <w:r w:rsidRPr="00057710">
        <w:rPr>
          <w:lang w:bidi="ar-EG"/>
        </w:rPr>
        <w:t>4.3.5</w:t>
      </w:r>
      <w:r w:rsidRPr="00057710">
        <w:rPr>
          <w:rtl/>
          <w:lang w:bidi="ar-EG"/>
        </w:rPr>
        <w:tab/>
        <w:t>مثال آخر لرسوم مطبقة على الخدمة الثابتة لعروة محلية لا سلكية</w:t>
      </w:r>
      <w:bookmarkEnd w:id="57"/>
    </w:p>
    <w:p w:rsidR="00DD3657" w:rsidRDefault="00DD3657" w:rsidP="00DD3657">
      <w:pPr>
        <w:rPr>
          <w:lang w:val="en-US" w:bidi="ar-EG"/>
        </w:rPr>
      </w:pPr>
      <w:r w:rsidRPr="00327D99">
        <w:rPr>
          <w:rtl/>
          <w:lang w:val="en-US" w:bidi="ar-EG"/>
        </w:rPr>
        <w:t xml:space="preserve">يمكن استعمال المعادلة التالية لتحديد المبلغ السنوي </w:t>
      </w:r>
      <w:r w:rsidRPr="00327D99">
        <w:rPr>
          <w:i/>
          <w:iCs/>
          <w:lang w:val="en-US" w:bidi="ar-EG"/>
        </w:rPr>
        <w:t>Rs</w:t>
      </w:r>
      <w:r w:rsidRPr="00327D99">
        <w:rPr>
          <w:rtl/>
          <w:lang w:val="en-US" w:bidi="ar-EG"/>
        </w:rPr>
        <w:t xml:space="preserve"> لرسوم الطيف:</w:t>
      </w:r>
    </w:p>
    <w:p w:rsidR="00CE2192" w:rsidRPr="00890DD5" w:rsidRDefault="00CE2192" w:rsidP="00CE2192">
      <w:pPr>
        <w:jc w:val="center"/>
        <w:rPr>
          <w:rtl/>
          <w:lang w:val="en-US" w:bidi="ar-EG"/>
        </w:rPr>
      </w:pPr>
      <w:r w:rsidRPr="00890DD5">
        <w:rPr>
          <w:lang w:bidi="ar-EG"/>
        </w:rPr>
        <w:t>Rs = t% * CA</w:t>
      </w:r>
    </w:p>
    <w:p w:rsidR="00DD3657" w:rsidRPr="00327D99" w:rsidRDefault="00DD3657" w:rsidP="00DD3657">
      <w:pPr>
        <w:rPr>
          <w:rtl/>
          <w:lang w:val="en-US" w:bidi="ar-SY"/>
        </w:rPr>
      </w:pPr>
      <w:r w:rsidRPr="00327D99">
        <w:rPr>
          <w:rtl/>
          <w:lang w:val="en-US" w:bidi="ar-EG"/>
        </w:rPr>
        <w:t>حيث:</w:t>
      </w:r>
    </w:p>
    <w:p w:rsidR="00DD3657" w:rsidRPr="0046171B" w:rsidRDefault="00DD3657" w:rsidP="00DD3657">
      <w:pPr>
        <w:pStyle w:val="enumlev1"/>
        <w:spacing w:before="120"/>
        <w:rPr>
          <w:rtl/>
          <w:lang w:bidi="ar-EG"/>
        </w:rPr>
      </w:pPr>
      <w:r w:rsidRPr="0046171B">
        <w:rPr>
          <w:rtl/>
          <w:lang w:bidi="ar-EG"/>
        </w:rPr>
        <w:t>-</w:t>
      </w:r>
      <w:r w:rsidRPr="0046171B">
        <w:rPr>
          <w:rtl/>
          <w:lang w:bidi="ar-EG"/>
        </w:rPr>
        <w:tab/>
        <w:t xml:space="preserve">يمثل </w:t>
      </w:r>
      <w:r w:rsidRPr="0046171B">
        <w:rPr>
          <w:lang w:bidi="ar-EG"/>
        </w:rPr>
        <w:t>CA</w:t>
      </w:r>
      <w:r w:rsidRPr="0046171B">
        <w:rPr>
          <w:rtl/>
          <w:lang w:bidi="ar-EG"/>
        </w:rPr>
        <w:t xml:space="preserve"> رقم الأعمال الذي تحققه شركة التشغيل خلال السنة المقابلة فيما يتعلق بترددات الخدمة الثابتة لعروة محلية لا سلكية.</w:t>
      </w:r>
    </w:p>
    <w:p w:rsidR="00DD3657" w:rsidRPr="00327D99" w:rsidRDefault="00DD3657" w:rsidP="00085FEA">
      <w:pPr>
        <w:pStyle w:val="enumlev1"/>
        <w:spacing w:before="120"/>
        <w:rPr>
          <w:rtl/>
          <w:lang w:bidi="ar-EG"/>
        </w:rPr>
      </w:pPr>
      <w:r w:rsidRPr="00327D99">
        <w:rPr>
          <w:rtl/>
          <w:lang w:bidi="ar-EG"/>
        </w:rPr>
        <w:t>-</w:t>
      </w:r>
      <w:r w:rsidRPr="00327D99">
        <w:rPr>
          <w:rtl/>
          <w:lang w:bidi="ar-EG"/>
        </w:rPr>
        <w:tab/>
        <w:t xml:space="preserve">تمثل </w:t>
      </w:r>
      <w:r w:rsidR="00085FEA" w:rsidRPr="00327D99">
        <w:rPr>
          <w:lang w:bidi="ar-EG"/>
        </w:rPr>
        <w:t>%</w:t>
      </w:r>
      <w:r w:rsidRPr="00327D99">
        <w:rPr>
          <w:lang w:bidi="ar-EG"/>
        </w:rPr>
        <w:t>t</w:t>
      </w:r>
      <w:r w:rsidRPr="00327D99">
        <w:rPr>
          <w:rtl/>
          <w:lang w:bidi="ar-EG"/>
        </w:rPr>
        <w:t xml:space="preserve"> النسبة المئوية المفروضة على رقم الأعمال الذي تحققه شركة التشغيل.</w:t>
      </w:r>
    </w:p>
    <w:p w:rsidR="00DD3657" w:rsidRPr="00327D99" w:rsidRDefault="00DD3657" w:rsidP="00DD3657">
      <w:pPr>
        <w:rPr>
          <w:rtl/>
          <w:lang w:val="en-US" w:bidi="ar-EG"/>
        </w:rPr>
      </w:pPr>
      <w:r w:rsidRPr="00327D99">
        <w:rPr>
          <w:rtl/>
          <w:lang w:val="en-US" w:bidi="ar-EG"/>
        </w:rPr>
        <w:t xml:space="preserve">ويضاف إلى هذا الرسم السنوي "تذكرة دخول" تدفع مرة واحدة عند منح الترخيص. وينبغي تحديد مبلغ "تذكرة الدخول" الذي يمكن أن يكون متناسباً مع عرض النطاق الموزع إذا كان من المرغوب إدخال هدف فعالية إدارة الطيف وكفاءة استعمال التردد، مع مراعاة الفقرة </w:t>
      </w:r>
      <w:r w:rsidRPr="00327D99">
        <w:rPr>
          <w:lang w:val="en-US" w:bidi="ar-EG"/>
        </w:rPr>
        <w:t>[23]</w:t>
      </w:r>
      <w:r w:rsidRPr="00327D99">
        <w:rPr>
          <w:rtl/>
          <w:lang w:val="en-US" w:bidi="ar-EG"/>
        </w:rPr>
        <w:t xml:space="preserve"> بوجه خاص، وذلك لعدم الحيلولة دون انتشار شبكات الوافدين الجدد حسب الحالة.</w:t>
      </w:r>
    </w:p>
    <w:p w:rsidR="00DD3657" w:rsidRPr="00057710" w:rsidRDefault="00DD3657" w:rsidP="0064775E">
      <w:pPr>
        <w:pStyle w:val="Heading3"/>
        <w:rPr>
          <w:rtl/>
          <w:lang w:bidi="ar-EG"/>
        </w:rPr>
      </w:pPr>
      <w:bookmarkStart w:id="58" w:name="_Toc282768631"/>
      <w:r w:rsidRPr="00057710">
        <w:rPr>
          <w:lang w:bidi="ar-EG"/>
        </w:rPr>
        <w:t>5.3.5</w:t>
      </w:r>
      <w:r w:rsidRPr="00057710">
        <w:rPr>
          <w:rtl/>
          <w:lang w:bidi="ar-EG"/>
        </w:rPr>
        <w:tab/>
        <w:t>مثال لرسوم مطبقة على منتج برامج تلفزيونية</w:t>
      </w:r>
      <w:bookmarkEnd w:id="58"/>
    </w:p>
    <w:p w:rsidR="00DD3657" w:rsidRDefault="00DD3657" w:rsidP="00DD3657">
      <w:pPr>
        <w:rPr>
          <w:lang w:val="en-US" w:bidi="ar-EG"/>
        </w:rPr>
      </w:pPr>
      <w:r w:rsidRPr="00327D99">
        <w:rPr>
          <w:rtl/>
          <w:lang w:val="en-US" w:bidi="ar-EG"/>
        </w:rPr>
        <w:t xml:space="preserve">يمكن استعمال المعادلة التالية لتحديد المبلغ السنوي </w:t>
      </w:r>
      <w:r w:rsidRPr="00327D99">
        <w:rPr>
          <w:i/>
          <w:iCs/>
          <w:lang w:val="en-US" w:bidi="ar-EG"/>
        </w:rPr>
        <w:t>Rs</w:t>
      </w:r>
      <w:r w:rsidRPr="00327D99">
        <w:rPr>
          <w:rtl/>
          <w:lang w:val="en-US" w:bidi="ar-EG"/>
        </w:rPr>
        <w:t xml:space="preserve"> لرسوم الطيف:</w:t>
      </w:r>
    </w:p>
    <w:p w:rsidR="00CE2192" w:rsidRPr="00890DD5" w:rsidRDefault="00CE2192" w:rsidP="00CE2192">
      <w:pPr>
        <w:jc w:val="center"/>
        <w:rPr>
          <w:rtl/>
          <w:lang w:val="en-US" w:bidi="ar-EG"/>
        </w:rPr>
      </w:pPr>
      <w:r w:rsidRPr="00890DD5">
        <w:rPr>
          <w:lang w:bidi="ar-EG"/>
        </w:rPr>
        <w:t>Rs = F + t% * CA</w:t>
      </w:r>
    </w:p>
    <w:p w:rsidR="00DD3657" w:rsidRPr="00327D99" w:rsidRDefault="00DD3657" w:rsidP="00DD3657">
      <w:pPr>
        <w:rPr>
          <w:rtl/>
          <w:lang w:val="en-US" w:bidi="ar-SY"/>
        </w:rPr>
      </w:pPr>
      <w:r w:rsidRPr="00327D99">
        <w:rPr>
          <w:rtl/>
          <w:lang w:val="en-US" w:bidi="ar-EG"/>
        </w:rPr>
        <w:t>حيث:</w:t>
      </w:r>
    </w:p>
    <w:p w:rsidR="00DD3657" w:rsidRPr="00327D99" w:rsidRDefault="00DD3657" w:rsidP="00DD3657">
      <w:pPr>
        <w:pStyle w:val="enumlev1"/>
        <w:spacing w:before="120"/>
        <w:rPr>
          <w:rtl/>
          <w:lang w:bidi="ar-EG"/>
        </w:rPr>
      </w:pPr>
      <w:r w:rsidRPr="00327D99">
        <w:rPr>
          <w:rtl/>
          <w:lang w:bidi="ar-EG"/>
        </w:rPr>
        <w:t>-</w:t>
      </w:r>
      <w:r w:rsidRPr="00327D99">
        <w:rPr>
          <w:rtl/>
          <w:lang w:bidi="ar-EG"/>
        </w:rPr>
        <w:tab/>
        <w:t xml:space="preserve">يمثل </w:t>
      </w:r>
      <w:r w:rsidRPr="00327D99">
        <w:rPr>
          <w:lang w:bidi="ar-EG"/>
        </w:rPr>
        <w:t>F</w:t>
      </w:r>
      <w:r w:rsidRPr="00327D99">
        <w:rPr>
          <w:rtl/>
          <w:lang w:bidi="ar-EG"/>
        </w:rPr>
        <w:t xml:space="preserve"> مبلغاً ثابتاً مستحق الدفع كل سنة. </w:t>
      </w:r>
      <w:r>
        <w:rPr>
          <w:rFonts w:hint="cs"/>
          <w:rtl/>
          <w:lang w:bidi="ar-EG"/>
        </w:rPr>
        <w:t xml:space="preserve">وقد </w:t>
      </w:r>
      <w:r w:rsidRPr="00327D99">
        <w:rPr>
          <w:rtl/>
          <w:lang w:bidi="ar-EG"/>
        </w:rPr>
        <w:t xml:space="preserve">يكون هذا المبلغ </w:t>
      </w:r>
      <w:r w:rsidRPr="00327D99">
        <w:rPr>
          <w:lang w:val="en-US" w:bidi="ar-EG"/>
        </w:rPr>
        <w:t>F</w:t>
      </w:r>
      <w:r w:rsidRPr="00327D99">
        <w:rPr>
          <w:rtl/>
          <w:lang w:bidi="ar-EG"/>
        </w:rPr>
        <w:t xml:space="preserve"> متناسباً مع عرض النطاق الكلي الموزع لكل شركة تشغيل على التوالي لأغراض الإذاعة التلفزيونية.</w:t>
      </w:r>
    </w:p>
    <w:p w:rsidR="00DD3657" w:rsidRPr="0046171B" w:rsidRDefault="00DD3657" w:rsidP="00DD3657">
      <w:pPr>
        <w:pStyle w:val="enumlev1"/>
        <w:spacing w:before="120"/>
        <w:rPr>
          <w:rtl/>
          <w:lang w:bidi="ar-EG"/>
        </w:rPr>
      </w:pPr>
      <w:r w:rsidRPr="0046171B">
        <w:rPr>
          <w:rtl/>
          <w:lang w:bidi="ar-EG"/>
        </w:rPr>
        <w:t>-</w:t>
      </w:r>
      <w:r w:rsidRPr="0046171B">
        <w:rPr>
          <w:rtl/>
          <w:lang w:bidi="ar-EG"/>
        </w:rPr>
        <w:tab/>
        <w:t xml:space="preserve">يمثل </w:t>
      </w:r>
      <w:r w:rsidRPr="0046171B">
        <w:rPr>
          <w:lang w:bidi="ar-EG"/>
        </w:rPr>
        <w:t>CA</w:t>
      </w:r>
      <w:r w:rsidRPr="0046171B">
        <w:rPr>
          <w:rtl/>
          <w:lang w:bidi="ar-EG"/>
        </w:rPr>
        <w:t xml:space="preserve"> رقم الأعمال الذي تحققه شركة التشغيل خلال السنة المعنية الناتج عن الإيرادات الدعائية مضافاً إليه حسب الحالة الإيرادات الناتجة عن الاشتراكات والدفع حسب المشاهدة.</w:t>
      </w:r>
    </w:p>
    <w:p w:rsidR="00DD3657" w:rsidRPr="00327D99" w:rsidRDefault="00DD3657" w:rsidP="00085FEA">
      <w:pPr>
        <w:pStyle w:val="enumlev1"/>
        <w:spacing w:before="120"/>
        <w:rPr>
          <w:rtl/>
          <w:lang w:bidi="ar-EG"/>
        </w:rPr>
      </w:pPr>
      <w:r w:rsidRPr="0046171B">
        <w:rPr>
          <w:rtl/>
          <w:lang w:bidi="ar-EG"/>
        </w:rPr>
        <w:t>-</w:t>
      </w:r>
      <w:r w:rsidRPr="0046171B">
        <w:rPr>
          <w:rtl/>
          <w:lang w:bidi="ar-EG"/>
        </w:rPr>
        <w:tab/>
        <w:t xml:space="preserve">تمثل </w:t>
      </w:r>
      <w:r w:rsidR="00085FEA" w:rsidRPr="0046171B">
        <w:rPr>
          <w:lang w:bidi="ar-EG"/>
        </w:rPr>
        <w:t>%</w:t>
      </w:r>
      <w:r w:rsidRPr="0046171B">
        <w:rPr>
          <w:lang w:bidi="ar-EG"/>
        </w:rPr>
        <w:t>t</w:t>
      </w:r>
      <w:r w:rsidRPr="0046171B">
        <w:rPr>
          <w:rtl/>
          <w:lang w:bidi="ar-EG"/>
        </w:rPr>
        <w:t xml:space="preserve"> النسبة المئوية المفروضة على رقم الأعمال الذي تحققه شركة التشغيل.</w:t>
      </w:r>
    </w:p>
    <w:p w:rsidR="00DD3657" w:rsidRPr="00327D99" w:rsidRDefault="00DD3657" w:rsidP="00DD3657">
      <w:pPr>
        <w:pStyle w:val="Heading1"/>
        <w:rPr>
          <w:rtl/>
        </w:rPr>
      </w:pPr>
      <w:bookmarkStart w:id="59" w:name="_Toc209263379"/>
      <w:bookmarkStart w:id="60" w:name="_Toc223322736"/>
      <w:bookmarkStart w:id="61" w:name="_Toc223323187"/>
      <w:bookmarkStart w:id="62" w:name="_Toc282768632"/>
      <w:r w:rsidRPr="00327D99">
        <w:t>6</w:t>
      </w:r>
      <w:r w:rsidRPr="00327D99">
        <w:rPr>
          <w:rtl/>
        </w:rPr>
        <w:tab/>
      </w:r>
      <w:r w:rsidRPr="00057710">
        <w:rPr>
          <w:b w:val="0"/>
          <w:rtl/>
        </w:rPr>
        <w:t>توصيات للمقارنة بين الرسوم المطبقة على المستوى الدولي</w:t>
      </w:r>
      <w:bookmarkEnd w:id="59"/>
      <w:bookmarkEnd w:id="60"/>
      <w:bookmarkEnd w:id="61"/>
      <w:bookmarkEnd w:id="62"/>
    </w:p>
    <w:p w:rsidR="00DD3657" w:rsidRPr="00327D99" w:rsidRDefault="00DD3657" w:rsidP="00DD3657">
      <w:pPr>
        <w:rPr>
          <w:rtl/>
          <w:lang w:val="en-US" w:bidi="ar-EG"/>
        </w:rPr>
      </w:pPr>
      <w:r w:rsidRPr="00327D99">
        <w:rPr>
          <w:rtl/>
          <w:lang w:val="en-US" w:bidi="ar-EG"/>
        </w:rPr>
        <w:t xml:space="preserve">تتضمن قاعدة بيانات </w:t>
      </w:r>
      <w:r w:rsidRPr="00327D99">
        <w:rPr>
          <w:rtl/>
          <w:lang w:bidi="ar-EG"/>
        </w:rPr>
        <w:t>الرسوم المستحقة على استعمال الترددات</w:t>
      </w:r>
      <w:r w:rsidRPr="00327D99">
        <w:rPr>
          <w:rtl/>
          <w:lang w:val="en-US" w:bidi="ar-EG"/>
        </w:rPr>
        <w:t xml:space="preserve"> المتاحة على موقع الاتحاد الدولي للاتصالات في إطار القرار </w:t>
      </w:r>
      <w:r w:rsidRPr="00327D99">
        <w:rPr>
          <w:lang w:val="en-US" w:bidi="ar-EG"/>
        </w:rPr>
        <w:t>9</w:t>
      </w:r>
      <w:r w:rsidRPr="00327D99">
        <w:rPr>
          <w:rtl/>
          <w:lang w:val="en-US" w:bidi="ar-EG"/>
        </w:rPr>
        <w:t>، بيانات متصلة بأنظمة الرسوم التي تطبقها إدارات مختلفة.</w:t>
      </w:r>
    </w:p>
    <w:p w:rsidR="00DD3657" w:rsidRPr="00057710" w:rsidRDefault="00DD3657" w:rsidP="00DD3657">
      <w:pPr>
        <w:rPr>
          <w:rtl/>
          <w:lang w:val="en-US" w:bidi="ar-EG"/>
        </w:rPr>
      </w:pPr>
      <w:r w:rsidRPr="00057710">
        <w:rPr>
          <w:rtl/>
          <w:lang w:val="en-US" w:bidi="ar-EG"/>
        </w:rPr>
        <w:t xml:space="preserve">وينبغي أن تؤخذ عدة عوامل بعين الاعتبار عند إجراء مقارنة دولية بين الرسوم التي يطبقها كل بلد من البلدان المعنية </w:t>
      </w:r>
      <w:r>
        <w:rPr>
          <w:rFonts w:hint="cs"/>
          <w:rtl/>
          <w:lang w:val="en-US" w:bidi="ar-EG"/>
        </w:rPr>
        <w:br/>
      </w:r>
      <w:r w:rsidRPr="00057710">
        <w:rPr>
          <w:rtl/>
          <w:lang w:val="en-US" w:bidi="ar-EG"/>
        </w:rPr>
        <w:t xml:space="preserve">(انظر الملحق </w:t>
      </w:r>
      <w:r w:rsidRPr="00057710">
        <w:rPr>
          <w:lang w:val="en-US" w:bidi="ar-EG"/>
        </w:rPr>
        <w:t>(</w:t>
      </w:r>
      <w:r>
        <w:rPr>
          <w:lang w:val="en-US" w:bidi="ar-EG"/>
        </w:rPr>
        <w:t>4</w:t>
      </w:r>
      <w:r w:rsidRPr="00057710">
        <w:rPr>
          <w:rtl/>
          <w:lang w:val="en-US" w:bidi="ar-EG"/>
        </w:rPr>
        <w:t>.</w:t>
      </w:r>
    </w:p>
    <w:p w:rsidR="00DD3657" w:rsidRPr="00327D99" w:rsidRDefault="00DD3657" w:rsidP="00DD3657">
      <w:pPr>
        <w:rPr>
          <w:rtl/>
          <w:lang w:val="en-US" w:bidi="ar-EG"/>
        </w:rPr>
      </w:pPr>
      <w:r w:rsidRPr="00327D99">
        <w:rPr>
          <w:rtl/>
          <w:lang w:val="en-US" w:bidi="ar-EG"/>
        </w:rPr>
        <w:t>ومن بين هذه العناصر، التي قد يتطلب تحديدها في بعض الأحيان وقتاً وموارد كبيرة، يوصى باستعمال الناتج المحلي الإجمالي أو الناتج المحلي الإجمالي للفرد كعامل يستعمل لتصحيح البيانات الأولية من أجل الحصول، بسهولة وبسرعة، على مقارنة مرضية نسبياً للرسوم في أول محاولة بهذا الشأن.</w:t>
      </w:r>
    </w:p>
    <w:p w:rsidR="00DD3657" w:rsidRDefault="00DD3657" w:rsidP="004C6DD7">
      <w:pPr>
        <w:pStyle w:val="Heading1"/>
        <w:rPr>
          <w:b w:val="0"/>
          <w:rtl/>
          <w:lang w:val="en-US"/>
        </w:rPr>
      </w:pPr>
      <w:bookmarkStart w:id="63" w:name="_Toc282768633"/>
      <w:r>
        <w:rPr>
          <w:lang w:val="en-US"/>
        </w:rPr>
        <w:lastRenderedPageBreak/>
        <w:t>7</w:t>
      </w:r>
      <w:r>
        <w:rPr>
          <w:rFonts w:hint="cs"/>
          <w:rtl/>
          <w:lang w:val="en-US"/>
        </w:rPr>
        <w:tab/>
      </w:r>
      <w:r w:rsidRPr="009163AA">
        <w:rPr>
          <w:rFonts w:hint="cs"/>
          <w:b w:val="0"/>
          <w:rtl/>
          <w:lang w:val="en-US"/>
        </w:rPr>
        <w:t>مخ</w:t>
      </w:r>
      <w:r w:rsidRPr="00377605">
        <w:rPr>
          <w:rFonts w:hint="cs"/>
          <w:b w:val="0"/>
          <w:rtl/>
          <w:lang w:val="en-US"/>
        </w:rPr>
        <w:t>طط نظام الرسوم الموصى به</w:t>
      </w:r>
      <w:bookmarkEnd w:id="63"/>
    </w:p>
    <w:p w:rsidR="00735A51" w:rsidRPr="00735A51" w:rsidRDefault="00735A51" w:rsidP="004C6DD7">
      <w:pPr>
        <w:keepNext/>
        <w:pBdr>
          <w:bottom w:val="single" w:sz="12" w:space="1" w:color="auto"/>
        </w:pBdr>
        <w:rPr>
          <w:rtl/>
          <w:lang w:val="en-US" w:bidi="ar-EG"/>
        </w:rPr>
      </w:pPr>
    </w:p>
    <w:p w:rsidR="00DD3657" w:rsidRDefault="002401F9" w:rsidP="004C6DD7">
      <w:pPr>
        <w:rPr>
          <w:b/>
          <w:bCs/>
          <w:rtl/>
          <w:lang w:val="en-US" w:bidi="ar-SY"/>
        </w:rPr>
      </w:pPr>
      <w:r>
        <w:rPr>
          <w:b/>
          <w:bCs/>
          <w:rtl/>
          <w:lang w:val="en-US" w:bidi="ar-SY"/>
        </w:rPr>
      </w:r>
      <w:r>
        <w:rPr>
          <w:b/>
          <w:bCs/>
          <w:lang w:val="en-US" w:bidi="ar-SY"/>
        </w:rPr>
        <w:pict>
          <v:group id="_x0000_s1026" editas="canvas" style="width:359.6pt;height:269.6pt;mso-position-horizontal-relative:char;mso-position-vertical-relative:line" coordorigin="-2,-2" coordsize="7192,5392">
            <o:lock v:ext="edit" aspectratio="t"/>
            <v:shape id="_x0000_s1027" type="#_x0000_t75" style="position:absolute;left:-2;top:-2;width:7192;height:5392" o:preferrelative="f">
              <v:fill o:detectmouseclick="t"/>
              <v:path o:extrusionok="t" o:connecttype="none"/>
              <o:lock v:ext="edit" text="t"/>
            </v:shape>
            <v:rect id="_x0000_s1028" style="position:absolute;left:447;top:110;width:6107;height:402" filled="f" strokecolor="#e46c0a" strokeweight="19e-5mm">
              <v:stroke endcap="round"/>
            </v:rect>
            <v:shape id="_x0000_s1029" style="position:absolute;left:278;top:727;width:2358;height:729" coordsize="7875,2437" path="m406,hdc182,,,182,,406hal,2031hdc,2256,182,2437,406,2437hal7469,2437hdc7693,2437,7875,2256,7875,2031hal7875,406hdc7875,182,7693,,7469,hal406,hdxe" filled="f" strokecolor="#385d8a" strokeweight="56e-5mm">
              <v:stroke endcap="round"/>
              <v:path arrowok="t"/>
            </v:shape>
            <v:oval id="_x0000_s1030" style="position:absolute;left:447;top:2129;width:1965;height:561" filled="f" strokecolor="#385d8a" strokeweight="56e-5mm">
              <v:stroke endcap="round"/>
            </v:oval>
            <v:rect id="_x0000_s1031" style="position:absolute;left:391;top:3363;width:2301;height:1065" filled="f" strokecolor="#385d8a" strokeweight="56e-5mm">
              <v:stroke endcap="round"/>
            </v:rect>
            <v:group id="_x0000_s1032" style="position:absolute;left:1401;top:2746;width:168;height:561" coordorigin="1401,2746" coordsize="168,561">
              <v:shape id="_x0000_s1033" style="position:absolute;left:1401;top:2746;width:168;height:561" coordsize="168,561" path="m,84r42,l42,561r84,l126,84r42,l84,,,84xe" fillcolor="#4f81bd" stroked="f">
                <v:path arrowok="t"/>
              </v:shape>
              <v:shape id="_x0000_s1034" style="position:absolute;left:1401;top:2746;width:168;height:561" coordsize="168,561" path="m,84r42,l42,561r84,l126,84r42,l84,,,84xe" filled="f" strokecolor="#385d8a" strokeweight="56e-5mm">
                <v:stroke joinstyle="miter" endcap="round"/>
                <v:path arrowok="t"/>
              </v:shape>
            </v:group>
            <v:group id="_x0000_s1035" style="position:absolute;left:3813;top:618;width:2248;height:954" coordorigin="3813,618" coordsize="2248,954">
              <v:shape id="_x0000_s1036" style="position:absolute;left:3813;top:618;width:2248;height:954" coordsize="7510,3189" path="m684,1050r-1,hdc676,1020,673,989,673,959v,-375,525,-678,1172,-678c2054,281,2258,313,2438,374hal2438,374hdc2598,199,2913,89,3256,89v242,,476,55,649,154hal3905,243hdc4033,94,4296,,4583,v236,,459,64,603,173hal5186,173hdc5346,64,5581,1,5829,1v408,,758,169,830,400hal6659,401hdc7062,465,7342,677,7342,919v,73,-26,145,-75,212hal7267,1131hdc7424,1249,7510,1395,7510,1545v,339,-430,626,-1010,673hal6500,2218hdc6496,2537,6047,2794,5496,2794v-188,,-373,-30,-532,-88hal4964,2706hdc4814,2993,4359,3189,3842,3189v-391,,-757,-113,-974,-302hal2868,2887hdc2659,2960,2420,2998,2177,2998v-480,,-924,-149,-1163,-391hal1014,2607hdc985,2609,955,2610,926,2610v-418,,-757,-195,-757,-437c169,2063,242,1956,373,1875hal373,1875hdc142,1796,,1652,,1497,,1272,292,1083,677,1060hal684,1050xe" filled="f" strokecolor="#385d8a" strokeweight="56e-5mm">
                <v:path arrowok="t"/>
              </v:shape>
              <v:shape id="_x0000_s1037" style="position:absolute;left:3927;top:666;width:2060;height:811" coordsize="6882,2711" path="m440,1758r,hdc421,1759,401,1760,382,1760,248,1760,116,1739,,1700t828,702hal828,2402hdc766,2416,702,2426,636,2430t1850,281hal2486,2711hdc2440,2671,2401,2628,2370,2583m4630,2391hal4630,2391hdc4623,2439,4608,2486,4584,2532m5551,1521hal5550,1521hdc5896,1618,6115,1820,6115,2043v,1,,3,,4m6882,960hal6882,960hdc6826,1036,6740,1104,6631,1157m6279,227hal6279,227hdc6288,256,6292,285,6292,314v,2,,4,,7m4674,119hal4674,119hdc4706,76,4750,35,4803,m3469,175hal3469,175hdc3483,140,3504,105,3532,73m2056,210hal2056,210hdc2138,238,2214,271,2282,310m342,992hal342,992hdc324,958,311,923,303,887hae" filled="f" strokecolor="#385d8a" strokeweight="56e-5mm">
                <v:path arrowok="t"/>
                <o:lock v:ext="edit" verticies="t"/>
              </v:shape>
            </v:group>
            <v:rect id="_x0000_s1038" style="position:absolute;left:3871;top:2073;width:2414;height:897" filled="f" strokecolor="#385d8a" strokeweight="56e-5mm">
              <v:stroke endcap="round"/>
            </v:rect>
            <v:group id="_x0000_s1039" style="position:absolute;left:1401;top:1512;width:168;height:561" coordorigin="1401,1512" coordsize="168,561">
              <v:shape id="_x0000_s1040" style="position:absolute;left:1401;top:1512;width:168;height:561" coordsize="168,561" path="m,477r42,l42,r84,l126,477r42,l84,561,,477xe" fillcolor="#4f81bd" stroked="f">
                <v:path arrowok="t"/>
              </v:shape>
              <v:shape id="_x0000_s1041" style="position:absolute;left:1401;top:1512;width:168;height:561" coordsize="168,561" path="m,477r42,l42,r84,l126,477r42,l84,561,,477xe" filled="f" strokecolor="#385d8a" strokeweight="56e-5mm">
                <v:stroke joinstyle="miter" endcap="round"/>
                <v:path arrowok="t"/>
              </v:shape>
            </v:group>
            <v:oval id="_x0000_s1042" style="position:absolute;left:3253;top:3363;width:1235;height:729" filled="f" strokecolor="#385d8a" strokeweight="56e-5mm">
              <v:stroke endcap="round"/>
            </v:oval>
            <v:shape id="_x0000_s1043" style="position:absolute;left:5387;top:3419;width:1403;height:729" coordsize="1403,729" path="m182,l,365,182,729r1039,l1403,365,1221,,182,xe" filled="f" strokecolor="#385d8a" strokeweight="56e-5mm">
              <v:stroke joinstyle="miter" endcap="round"/>
              <v:path arrowok="t"/>
            </v:shape>
            <v:rect id="_x0000_s1044" style="position:absolute;left:3366;top:4428;width:1291;height:580" fillcolor="yellow" stroked="f"/>
            <v:rect id="_x0000_s1045" style="position:absolute;left:5162;top:4428;width:1403;height:580" fillcolor="#92d050" stroked="f"/>
            <v:shape id="_x0000_s1046" style="position:absolute;left:4708;top:1563;width:379;height:444" coordsize="1267,1484" path="m34,17r3,70l47,155,82,288r-1,-2l137,413r-1,-2l208,525r-2,-3l291,618r45,39l383,690r49,26l482,735r50,12l529,747r53,4l635,755hdc636,755,637,755,638,755hal690,768r53,21l794,817r51,35l892,893r87,97hdc980,991,980,992,981,993hal1053,1107hdc1053,1107,1053,1108,1054,1109hal1110,1236hdc1110,1237,1110,1237,1111,1238hal1146,1373r10,72l1156,1450hdc1157,1459,1150,1467,1140,1468v-9,,-17,-7,-17,-16hal1123,1450r-10,-68l1078,1247r1,2l1023,1122r1,2l952,1010r2,3l871,918,826,879,779,846,730,820,681,801,629,788r3,l579,784r-53,-4hdc525,780,524,780,523,780hal469,766,417,745,364,717,315,682,266,641,181,545hdc180,544,180,543,179,542hal107,428hdc107,428,107,427,106,426hal50,299hdc50,298,50,298,49,297hal14,160,4,88,1,18hdc,9,8,1,17,1,26,,34,8,34,17haxm1262,1254r-121,230l1000,1265hdc995,1257,998,1247,1005,1242v8,-5,19,-3,24,5hal1154,1442r-29,1l1233,1238hdc1237,1230,1247,1227,1255,1231v9,5,12,15,7,23haxe" fillcolor="#4a7ebb" strokecolor="#4a7ebb" strokeweight="1e-4mm">
              <v:stroke joinstyle="bevel"/>
              <v:path arrowok="t"/>
              <o:lock v:ext="edit" verticies="t"/>
            </v:shape>
            <v:shape id="_x0000_s1047" style="position:absolute;left:4330;top:2965;width:754;height:492" coordsize="2517,1643" path="m2516,18r-4,70l2501,160r-17,71l2458,303r-31,70l2389,442r-45,69l2295,578,2180,709,2044,834,1889,953r-172,109l1530,1164r-199,92l1121,1336r-220,68l674,1460r-233,40l205,1525r-171,7hdc25,1532,17,1525,16,1516v,-10,7,-17,16,-18hal202,1492r234,-25l667,1427r225,-54l1110,1305r208,-80l1515,1135r184,-101l1868,926,2021,809,2155,686,2268,559r49,-67l2360,427r36,-67l2427,292r24,-68l2468,155r11,-68l2483,17hdc2483,7,2491,,2500,1v10,,17,8,16,17haxm230,1639l,1516,220,1377hdc227,1372,238,1374,243,1382v5,8,2,18,-6,23hal42,1529r-1,-29l245,1609hdc253,1614,256,1624,252,1632v-4,8,-14,11,-22,7haxe" fillcolor="#4a7ebb" strokecolor="#4a7ebb" strokeweight="1e-4mm">
              <v:stroke joinstyle="bevel"/>
              <v:path arrowok="t"/>
              <o:lock v:ext="edit" verticies="t"/>
            </v:shape>
            <v:shape id="_x0000_s1048" style="position:absolute;left:5073;top:2965;width:531;height:444" coordsize="1772,1484" path="m34,16r5,70l52,154r-1,-2l74,220r29,66l140,349r42,61l286,522r-2,-2l408,616r66,39l543,688r72,27l688,734r74,13l837,751r77,4l992,768r76,20l1143,816r72,34l1284,891r126,97hdc1410,989,1411,989,1412,990hal1517,1104r44,64l1600,1234r30,69l1653,1372hdc1654,1373,1654,1374,1654,1374hal1667,1444r,6hdc1668,1459,1661,1467,1652,1468v-9,,-17,-7,-18,-16hal1634,1451r-13,-70l1622,1383r-23,-67l1571,1251r-37,-64l1492,1127,1387,1013r2,2l1267,920r-67,-40l1132,847r-73,-26l987,801,913,788r-77,-4l757,780,679,767,604,746,528,718,457,684,387,643,263,547hdc263,546,262,545,261,545hal155,429,111,366,72,299,43,231,20,163hdc19,162,19,161,19,161hal6,89,1,19hdc,9,7,2,16,1,25,,33,7,34,16haxm1768,1251r-115,233l1506,1269hdc1501,1262,1503,1251,1511,1246v7,-5,18,-3,23,4hal1664,1442r-28,2l1738,1236hdc1742,1228,1752,1224,1760,1228v8,4,12,14,8,23haxe" fillcolor="#4a7ebb" strokecolor="#4a7ebb" strokeweight="1e-4mm">
              <v:stroke joinstyle="bevel"/>
              <v:path arrowok="t"/>
              <o:lock v:ext="edit" verticies="t"/>
            </v:shape>
            <v:group id="_x0000_s1049" style="position:absolute;left:2804;top:3924;width:506;height:830" coordorigin="2804,3924" coordsize="506,830">
              <v:shape id="_x0000_s1050" style="position:absolute;left:2804;top:3924;width:506;height:830" coordsize="1688,2778" path="m1688,hdc756,,,488,,1090hal,1512hdc,2009,521,2443,1266,2567hal1266,2778r422,-387l1266,1935r,211hdc638,2041,158,1712,32,1301hal32,1301hdc188,790,882,422,1688,422hal1688,hdxe" fillcolor="#4f81bd" strokeweight="0">
                <v:path arrowok="t"/>
              </v:shape>
              <v:shape id="_x0000_s1051" style="position:absolute;left:2804;top:3924;width:506;height:389" coordsize="1688,1301" path="m1688,hdc756,,,488,,1090v,71,11,142,32,211hal32,1301hdc188,790,882,422,1688,422hal1688,hdxe" fillcolor="#3f6898" strokeweight="0">
                <v:path arrowok="t"/>
              </v:shape>
              <v:shape id="_x0000_s1052" style="position:absolute;left:2804;top:3924;width:506;height:830" coordsize="1688,2778" path="m1688,hdc756,,,488,,1090hal,1512hdc,2009,521,2443,1266,2567hal1266,2778r422,-387l1266,1935r,211hdc638,2041,158,1712,32,1301hal32,1301hdc188,790,882,422,1688,422hal1688,hdxe" filled="f" strokecolor="#385d8a" strokeweight="56e-5mm">
                <v:stroke joinstyle="miter"/>
                <v:path arrowok="t"/>
              </v:shape>
              <v:shape id="_x0000_s1053" style="position:absolute;left:2804;top:4250;width:10;height:63" coordsize="10,63" path="m,hdc,21,4,42,10,63e" filled="f" strokecolor="#385d8a" strokeweight="56e-5mm">
                <v:stroke joinstyle="miter"/>
                <v:path arrowok="t"/>
              </v:shape>
            </v:group>
            <v:group id="_x0000_s1054" style="position:absolute;left:6678;top:4036;width:337;height:830" coordorigin="6678,4036" coordsize="337,830">
              <v:shape id="_x0000_s1055" style="position:absolute;left:6678;top:4036;width:337;height:830" coordsize="1125,2775" path="m,hdc621,,1125,536,1125,1196hal1125,1477hdc1125,2022,778,2498,281,2634hal281,2775,,2532,281,2212r,141hdc731,2230,1063,1826,1117,1336hal1117,1336hdc1050,735,570,282,,282hal,hdxe" fillcolor="#4f81bd" strokeweight="0">
                <v:path arrowok="t"/>
              </v:shape>
              <v:shape id="_x0000_s1056" style="position:absolute;left:6678;top:4036;width:337;height:441" coordsize="1125,1477" path="m,hdc621,,1125,536,1125,1196hal1125,1477hdc1125,817,621,282,,282hal,hdxe" fillcolor="#3f6898" strokeweight="0">
                <v:path arrowok="t"/>
              </v:shape>
              <v:shape id="_x0000_s1057" style="position:absolute;left:6678;top:4036;width:337;height:830" coordsize="1125,2775" path="m,hdc621,,1125,536,1125,1196hal1125,1477hdc1125,2022,778,2498,281,2634hal281,2775,,2532,281,2212r,141hdc731,2230,1063,1826,1117,1336hal1117,1336hdc1050,735,570,282,,282hal,hdxe" filled="f" strokecolor="#385d8a" strokeweight="56e-5mm">
                <v:stroke joinstyle="miter"/>
                <v:path arrowok="t"/>
              </v:shape>
              <v:shape id="_x0000_s1058" style="position:absolute;left:7012;top:4435;width:3;height:42" coordsize="3,42" path="m3,42hdc3,28,2,14,,e" filled="f" strokecolor="#385d8a" strokeweight="56e-5mm">
                <v:stroke joinstyle="miter"/>
                <v:path arrowok="t"/>
              </v:shape>
            </v:group>
            <v:shapetype id="_x0000_t202" coordsize="21600,21600" o:spt="202" path="m,l,21600r21600,l21600,xe">
              <v:stroke joinstyle="miter"/>
              <v:path gradientshapeok="t" o:connecttype="rect"/>
            </v:shapetype>
            <v:shape id="_x0000_s1059" type="#_x0000_t202" style="position:absolute;left:1801;top:135;width:3195;height:371" filled="f" stroked="f">
              <v:textbox style="mso-next-textbox:#_x0000_s1059" inset="0,0,0,0">
                <w:txbxContent>
                  <w:p w:rsidR="0098598A" w:rsidRPr="009163AA" w:rsidRDefault="0098598A" w:rsidP="00DD3657">
                    <w:pPr>
                      <w:spacing w:before="0" w:line="300" w:lineRule="exact"/>
                      <w:jc w:val="center"/>
                      <w:rPr>
                        <w:lang w:bidi="ar-EG"/>
                      </w:rPr>
                    </w:pPr>
                    <w:r>
                      <w:rPr>
                        <w:rFonts w:hint="cs"/>
                        <w:b/>
                        <w:bCs/>
                        <w:rtl/>
                        <w:lang w:val="en-US" w:bidi="ar-EG"/>
                      </w:rPr>
                      <w:t>فائدة التمييز بين نوعين من الرسوم</w:t>
                    </w:r>
                  </w:p>
                </w:txbxContent>
              </v:textbox>
            </v:shape>
            <v:shape id="_x0000_s1060" type="#_x0000_t202" style="position:absolute;left:361;top:909;width:2187;height:286" filled="f" stroked="f">
              <v:textbox style="mso-next-textbox:#_x0000_s1060" inset="0,0,0,0">
                <w:txbxContent>
                  <w:p w:rsidR="0098598A" w:rsidRPr="00F41B1D" w:rsidRDefault="0098598A" w:rsidP="00DD3657">
                    <w:pPr>
                      <w:pStyle w:val="TextBox"/>
                      <w:rPr>
                        <w:lang w:bidi="ar-SY"/>
                      </w:rPr>
                    </w:pPr>
                    <w:r w:rsidRPr="00F41B1D">
                      <w:rPr>
                        <w:rFonts w:hint="cs"/>
                        <w:rtl/>
                      </w:rPr>
                      <w:t>تخطيط الطيف وإدارته ومراقبته</w:t>
                    </w:r>
                  </w:p>
                </w:txbxContent>
              </v:textbox>
            </v:shape>
            <v:shape id="_x0000_s1061" type="#_x0000_t202" style="position:absolute;left:4247;top:750;width:1460;height:695" filled="f" stroked="f">
              <v:textbox style="mso-next-textbox:#_x0000_s1061" inset="0,0,0,0">
                <w:txbxContent>
                  <w:p w:rsidR="0098598A" w:rsidRPr="00F41B1D" w:rsidRDefault="0098598A" w:rsidP="00DD3657">
                    <w:pPr>
                      <w:pStyle w:val="TextBox"/>
                      <w:rPr>
                        <w:lang w:bidi="ar-SY"/>
                      </w:rPr>
                    </w:pPr>
                    <w:r w:rsidRPr="00F41B1D">
                      <w:rPr>
                        <w:rFonts w:hint="cs"/>
                        <w:rtl/>
                      </w:rPr>
                      <w:t xml:space="preserve">شغل الطيف </w:t>
                    </w:r>
                    <w:r>
                      <w:rPr>
                        <w:rtl/>
                      </w:rPr>
                      <w:br/>
                    </w:r>
                    <w:r>
                      <w:rPr>
                        <w:rFonts w:hint="cs"/>
                        <w:rtl/>
                      </w:rPr>
                      <w:t>على أ</w:t>
                    </w:r>
                    <w:r w:rsidRPr="00F41B1D">
                      <w:rPr>
                        <w:rFonts w:hint="cs"/>
                        <w:rtl/>
                      </w:rPr>
                      <w:t>ساس خاص</w:t>
                    </w:r>
                  </w:p>
                </w:txbxContent>
              </v:textbox>
            </v:shape>
            <v:shape id="_x0000_s1062" type="#_x0000_t202" style="position:absolute;left:961;top:2139;width:1200;height:531" filled="f" stroked="f">
              <v:textbox style="mso-next-textbox:#_x0000_s1062" inset="0,0,0,0">
                <w:txbxContent>
                  <w:p w:rsidR="0098598A" w:rsidRPr="00F41B1D" w:rsidRDefault="0098598A" w:rsidP="00DD3657">
                    <w:pPr>
                      <w:rPr>
                        <w:lang w:val="en-US"/>
                      </w:rPr>
                    </w:pPr>
                    <w:r w:rsidRPr="00F41B1D">
                      <w:rPr>
                        <w:rFonts w:hint="cs"/>
                        <w:szCs w:val="22"/>
                        <w:rtl/>
                        <w:lang w:val="en-US" w:bidi="ar-EG"/>
                      </w:rPr>
                      <w:t>التكاليف الإدارية</w:t>
                    </w:r>
                  </w:p>
                </w:txbxContent>
              </v:textbox>
            </v:shape>
            <v:shape id="_x0000_s1063" type="#_x0000_t202" style="position:absolute;left:3996;top:2214;width:2187;height:651" filled="f" stroked="f">
              <v:textbox style="mso-next-textbox:#_x0000_s1063" inset="0,0,0,0">
                <w:txbxContent>
                  <w:p w:rsidR="0098598A" w:rsidRPr="00F41B1D" w:rsidRDefault="0098598A" w:rsidP="00DD3657">
                    <w:pPr>
                      <w:pStyle w:val="TextBox"/>
                    </w:pPr>
                    <w:r>
                      <w:rPr>
                        <w:rFonts w:hint="cs"/>
                        <w:rtl/>
                      </w:rPr>
                      <w:t xml:space="preserve">رسوم الطيف مع مراعاة </w:t>
                    </w:r>
                    <w:r>
                      <w:rPr>
                        <w:rtl/>
                      </w:rPr>
                      <w:br/>
                    </w:r>
                    <w:r>
                      <w:rPr>
                        <w:rFonts w:hint="cs"/>
                        <w:rtl/>
                      </w:rPr>
                      <w:t>المزايا المستخلصة</w:t>
                    </w:r>
                  </w:p>
                </w:txbxContent>
              </v:textbox>
            </v:shape>
            <v:shape id="_x0000_s1064" type="#_x0000_t202" style="position:absolute;left:699;top:3529;width:1702;height:694" filled="f" stroked="f">
              <v:textbox style="mso-next-textbox:#_x0000_s1064" inset="0,0,0,0">
                <w:txbxContent>
                  <w:p w:rsidR="0098598A" w:rsidRDefault="0098598A" w:rsidP="00DD3657">
                    <w:pPr>
                      <w:jc w:val="center"/>
                      <w:rPr>
                        <w:szCs w:val="22"/>
                        <w:rtl/>
                        <w:lang w:val="en-US" w:bidi="ar-EG"/>
                      </w:rPr>
                    </w:pPr>
                    <w:r w:rsidRPr="00F41B1D">
                      <w:rPr>
                        <w:rFonts w:hint="cs"/>
                        <w:szCs w:val="22"/>
                        <w:rtl/>
                        <w:lang w:val="en-US" w:bidi="ar-EG"/>
                      </w:rPr>
                      <w:t>رسوم إدارية لتغطية</w:t>
                    </w:r>
                  </w:p>
                  <w:p w:rsidR="0098598A" w:rsidRPr="00F41B1D" w:rsidRDefault="0098598A" w:rsidP="00DD3657">
                    <w:pPr>
                      <w:spacing w:before="0"/>
                      <w:jc w:val="center"/>
                      <w:rPr>
                        <w:b/>
                        <w:bCs/>
                        <w:szCs w:val="22"/>
                        <w:lang w:val="en-US" w:bidi="ar-EG"/>
                      </w:rPr>
                    </w:pPr>
                    <w:r w:rsidRPr="00F41B1D">
                      <w:rPr>
                        <w:rFonts w:hint="cs"/>
                        <w:szCs w:val="22"/>
                        <w:rtl/>
                        <w:lang w:val="en-US" w:bidi="ar-EG"/>
                      </w:rPr>
                      <w:t>التكاليف الإدارية</w:t>
                    </w:r>
                  </w:p>
                </w:txbxContent>
              </v:textbox>
            </v:shape>
            <v:shape id="_x0000_s1065" type="#_x0000_t202" style="position:absolute;left:3391;top:3519;width:959;height:414" filled="f" stroked="f">
              <v:textbox style="mso-next-textbox:#_x0000_s1065" inset="0,0,0,0">
                <w:txbxContent>
                  <w:p w:rsidR="0098598A" w:rsidRPr="00F41B1D" w:rsidRDefault="0098598A" w:rsidP="00DD3657">
                    <w:pPr>
                      <w:spacing w:before="0" w:line="200" w:lineRule="exact"/>
                      <w:jc w:val="center"/>
                      <w:rPr>
                        <w:sz w:val="16"/>
                        <w:szCs w:val="16"/>
                      </w:rPr>
                    </w:pPr>
                    <w:r w:rsidRPr="00F41B1D">
                      <w:rPr>
                        <w:rFonts w:hint="cs"/>
                        <w:sz w:val="16"/>
                        <w:szCs w:val="16"/>
                        <w:rtl/>
                        <w:lang w:val="en-US" w:bidi="ar-EG"/>
                      </w:rPr>
                      <w:t>الترددات المستعملة للاحتياجات الخاصة</w:t>
                    </w:r>
                  </w:p>
                </w:txbxContent>
              </v:textbox>
            </v:shape>
            <v:shape id="_x0000_s1066" type="#_x0000_t202" style="position:absolute;left:5604;top:3572;width:959;height:414" filled="f" stroked="f">
              <v:textbox style="mso-next-textbox:#_x0000_s1066" inset="0,0,0,0">
                <w:txbxContent>
                  <w:p w:rsidR="0098598A" w:rsidRPr="00F41B1D" w:rsidRDefault="0098598A" w:rsidP="00DD3657">
                    <w:pPr>
                      <w:spacing w:before="0" w:line="200" w:lineRule="exact"/>
                      <w:jc w:val="center"/>
                      <w:rPr>
                        <w:sz w:val="16"/>
                        <w:szCs w:val="16"/>
                      </w:rPr>
                    </w:pPr>
                    <w:r w:rsidRPr="00F41B1D">
                      <w:rPr>
                        <w:rFonts w:hint="cs"/>
                        <w:sz w:val="16"/>
                        <w:szCs w:val="16"/>
                        <w:rtl/>
                        <w:lang w:val="en-US" w:bidi="ar-EG"/>
                      </w:rPr>
                      <w:t xml:space="preserve">الترددات المستعملة </w:t>
                    </w:r>
                    <w:r>
                      <w:rPr>
                        <w:rFonts w:hint="cs"/>
                        <w:sz w:val="16"/>
                        <w:szCs w:val="16"/>
                        <w:rtl/>
                        <w:lang w:val="en-US" w:bidi="ar-EG"/>
                      </w:rPr>
                      <w:t>لبلوغ سوق استهلاكية</w:t>
                    </w:r>
                  </w:p>
                </w:txbxContent>
              </v:textbox>
            </v:shape>
            <v:shape id="_x0000_s1067" type="#_x0000_t202" style="position:absolute;left:3541;top:4499;width:959;height:414" filled="f" stroked="f">
              <v:textbox style="mso-next-textbox:#_x0000_s1067" inset="0,0,0,0">
                <w:txbxContent>
                  <w:p w:rsidR="0098598A" w:rsidRPr="00F41B1D" w:rsidRDefault="0098598A" w:rsidP="00DD3657">
                    <w:pPr>
                      <w:spacing w:before="0" w:line="200" w:lineRule="exact"/>
                      <w:jc w:val="center"/>
                      <w:rPr>
                        <w:sz w:val="16"/>
                        <w:szCs w:val="16"/>
                      </w:rPr>
                    </w:pPr>
                    <w:r>
                      <w:rPr>
                        <w:rFonts w:hint="cs"/>
                        <w:sz w:val="16"/>
                        <w:szCs w:val="16"/>
                        <w:rtl/>
                        <w:lang w:val="en-US" w:bidi="ar-EG"/>
                      </w:rPr>
                      <w:t>رسوم تركز على أهداف إدارة الطيف</w:t>
                    </w:r>
                  </w:p>
                </w:txbxContent>
              </v:textbox>
            </v:shape>
            <v:shape id="_x0000_s1068" type="#_x0000_t202" style="position:absolute;left:5281;top:4499;width:1164;height:414" filled="f" stroked="f">
              <v:textbox style="mso-next-textbox:#_x0000_s1068" inset="0,0,0,0">
                <w:txbxContent>
                  <w:p w:rsidR="0098598A" w:rsidRPr="00F41B1D" w:rsidRDefault="0098598A" w:rsidP="00DD3657">
                    <w:pPr>
                      <w:spacing w:before="0" w:line="200" w:lineRule="exact"/>
                      <w:jc w:val="center"/>
                      <w:rPr>
                        <w:sz w:val="16"/>
                        <w:szCs w:val="16"/>
                      </w:rPr>
                    </w:pPr>
                    <w:r>
                      <w:rPr>
                        <w:rFonts w:hint="cs"/>
                        <w:sz w:val="16"/>
                        <w:szCs w:val="16"/>
                        <w:rtl/>
                        <w:lang w:val="en-US" w:bidi="ar-EG"/>
                      </w:rPr>
                      <w:t>رسوم تركز على استخلاص الربح الاقتصادي</w:t>
                    </w:r>
                  </w:p>
                </w:txbxContent>
              </v:textbox>
            </v:shape>
            <w10:wrap type="none"/>
            <w10:anchorlock/>
          </v:group>
        </w:pict>
      </w:r>
    </w:p>
    <w:p w:rsidR="004C6DD7" w:rsidRPr="00735A51" w:rsidRDefault="004C6DD7" w:rsidP="004C6DD7">
      <w:pPr>
        <w:keepNext/>
        <w:pBdr>
          <w:bottom w:val="single" w:sz="12" w:space="1" w:color="auto"/>
        </w:pBdr>
        <w:spacing w:before="0"/>
        <w:rPr>
          <w:rtl/>
          <w:lang w:val="en-US" w:bidi="ar-EG"/>
        </w:rPr>
      </w:pPr>
    </w:p>
    <w:p w:rsidR="004C6DD7" w:rsidRDefault="004C6DD7" w:rsidP="004C6DD7">
      <w:pPr>
        <w:spacing w:line="120" w:lineRule="auto"/>
        <w:rPr>
          <w:b/>
          <w:bCs/>
          <w:rtl/>
          <w:lang w:val="en-US" w:bidi="ar-SY"/>
        </w:rPr>
      </w:pPr>
    </w:p>
    <w:p w:rsidR="00DD3657" w:rsidRPr="00377605" w:rsidRDefault="00DD3657" w:rsidP="00DD3657">
      <w:pPr>
        <w:pStyle w:val="Heading1"/>
        <w:spacing w:before="0"/>
        <w:rPr>
          <w:b w:val="0"/>
          <w:bCs w:val="0"/>
          <w:rtl/>
          <w:lang w:val="en-US"/>
        </w:rPr>
      </w:pPr>
      <w:bookmarkStart w:id="64" w:name="_Toc282768634"/>
      <w:r w:rsidRPr="007B6FE9">
        <w:rPr>
          <w:lang w:val="en-US"/>
        </w:rPr>
        <w:t>8</w:t>
      </w:r>
      <w:r>
        <w:rPr>
          <w:rFonts w:hint="cs"/>
          <w:rtl/>
          <w:lang w:val="en-US"/>
        </w:rPr>
        <w:tab/>
      </w:r>
      <w:r w:rsidRPr="00377605">
        <w:rPr>
          <w:rFonts w:hint="cs"/>
          <w:b w:val="0"/>
          <w:rtl/>
          <w:lang w:val="en-US"/>
        </w:rPr>
        <w:t>أمثلة عن الرسوم التي تطبقها الإدارات</w:t>
      </w:r>
      <w:bookmarkEnd w:id="64"/>
    </w:p>
    <w:p w:rsidR="00DD3657" w:rsidRDefault="00DD3657" w:rsidP="00DD3657">
      <w:pPr>
        <w:rPr>
          <w:rtl/>
          <w:lang w:val="en-US" w:bidi="ar-EG"/>
        </w:rPr>
      </w:pPr>
      <w:r>
        <w:rPr>
          <w:rFonts w:hint="cs"/>
          <w:rtl/>
          <w:lang w:val="en-US" w:bidi="ar-EG"/>
        </w:rPr>
        <w:t>يرد فيما يلي على سبيل التوضيح بعض الأمثلة تبين الحالات التي تطبق فيها الإدارات مبادئ وخطوطاً توجيهية ذُكرت سابقاً.</w:t>
      </w:r>
    </w:p>
    <w:p w:rsidR="00DD3657" w:rsidRDefault="00DD3657" w:rsidP="00DD3657">
      <w:pPr>
        <w:pStyle w:val="Heading2"/>
        <w:rPr>
          <w:rtl/>
          <w:lang w:val="en-US" w:bidi="ar-EG"/>
        </w:rPr>
      </w:pPr>
      <w:bookmarkStart w:id="65" w:name="_Toc282768635"/>
      <w:r>
        <w:rPr>
          <w:lang w:val="en-US" w:bidi="ar-EG"/>
        </w:rPr>
        <w:t>1.8</w:t>
      </w:r>
      <w:r>
        <w:rPr>
          <w:rFonts w:hint="cs"/>
          <w:rtl/>
          <w:lang w:val="en-US" w:bidi="ar-EG"/>
        </w:rPr>
        <w:t xml:space="preserve"> </w:t>
      </w:r>
      <w:r>
        <w:rPr>
          <w:rFonts w:hint="cs"/>
          <w:rtl/>
          <w:lang w:val="en-US" w:bidi="ar-EG"/>
        </w:rPr>
        <w:tab/>
      </w:r>
      <w:r w:rsidRPr="00377605">
        <w:rPr>
          <w:rFonts w:hint="cs"/>
          <w:b w:val="0"/>
          <w:rtl/>
          <w:lang w:val="en-US" w:bidi="ar-EG"/>
        </w:rPr>
        <w:t>حالة الإمارات العربية المتحدة</w:t>
      </w:r>
      <w:bookmarkEnd w:id="65"/>
    </w:p>
    <w:p w:rsidR="00DD3657" w:rsidRDefault="00DD3657" w:rsidP="00DD3657">
      <w:pPr>
        <w:rPr>
          <w:rtl/>
          <w:lang w:val="en-US" w:bidi="ar-EG"/>
        </w:rPr>
      </w:pPr>
      <w:r>
        <w:rPr>
          <w:rFonts w:hint="cs"/>
          <w:rtl/>
          <w:lang w:val="en-US" w:bidi="ar-EG"/>
        </w:rPr>
        <w:t xml:space="preserve">توضح أنظمة الرسوم التي اعتمدتها الإدارة أساساً المبادئ القانونية </w:t>
      </w:r>
      <w:r w:rsidRPr="0066591A">
        <w:rPr>
          <w:rFonts w:cs="Times New Roman"/>
          <w:sz w:val="24"/>
          <w:szCs w:val="24"/>
        </w:rPr>
        <w:t>{5}</w:t>
      </w:r>
      <w:r>
        <w:rPr>
          <w:rFonts w:hint="cs"/>
          <w:rtl/>
          <w:lang w:val="en-US" w:bidi="ar-EG"/>
        </w:rPr>
        <w:t xml:space="preserve"> و</w:t>
      </w:r>
      <w:r w:rsidRPr="0066591A">
        <w:rPr>
          <w:rFonts w:cs="Times New Roman"/>
          <w:sz w:val="24"/>
          <w:szCs w:val="24"/>
        </w:rPr>
        <w:t>{</w:t>
      </w:r>
      <w:r>
        <w:rPr>
          <w:rFonts w:cs="Times New Roman"/>
          <w:sz w:val="24"/>
          <w:szCs w:val="24"/>
        </w:rPr>
        <w:t>6</w:t>
      </w:r>
      <w:r w:rsidRPr="0066591A">
        <w:rPr>
          <w:rFonts w:cs="Times New Roman"/>
          <w:sz w:val="24"/>
          <w:szCs w:val="24"/>
        </w:rPr>
        <w:t>}</w:t>
      </w:r>
      <w:r>
        <w:rPr>
          <w:rFonts w:hint="cs"/>
          <w:rtl/>
          <w:lang w:val="en-US" w:bidi="ar-EG"/>
        </w:rPr>
        <w:t xml:space="preserve">، والاقتصادية </w:t>
      </w:r>
      <w:r w:rsidRPr="0066591A">
        <w:rPr>
          <w:rFonts w:cs="Times New Roman"/>
          <w:sz w:val="24"/>
          <w:szCs w:val="24"/>
        </w:rPr>
        <w:t>{</w:t>
      </w:r>
      <w:r>
        <w:rPr>
          <w:rFonts w:cs="Times New Roman"/>
          <w:sz w:val="24"/>
          <w:szCs w:val="24"/>
        </w:rPr>
        <w:t>12</w:t>
      </w:r>
      <w:r w:rsidRPr="0066591A">
        <w:rPr>
          <w:rFonts w:cs="Times New Roman"/>
          <w:sz w:val="24"/>
          <w:szCs w:val="24"/>
        </w:rPr>
        <w:t>}</w:t>
      </w:r>
      <w:r>
        <w:rPr>
          <w:rFonts w:hint="cs"/>
          <w:rtl/>
          <w:lang w:val="en-US" w:bidi="ar-EG"/>
        </w:rPr>
        <w:t xml:space="preserve"> و</w:t>
      </w:r>
      <w:r w:rsidRPr="0066591A">
        <w:rPr>
          <w:rFonts w:cs="Times New Roman"/>
          <w:sz w:val="24"/>
          <w:szCs w:val="24"/>
        </w:rPr>
        <w:t>{</w:t>
      </w:r>
      <w:r>
        <w:rPr>
          <w:rFonts w:cs="Times New Roman"/>
          <w:sz w:val="24"/>
          <w:szCs w:val="24"/>
        </w:rPr>
        <w:t>4.1</w:t>
      </w:r>
      <w:r w:rsidRPr="0066591A">
        <w:rPr>
          <w:rFonts w:cs="Times New Roman"/>
          <w:sz w:val="24"/>
          <w:szCs w:val="24"/>
        </w:rPr>
        <w:t>5}</w:t>
      </w:r>
      <w:r>
        <w:rPr>
          <w:rFonts w:hint="cs"/>
          <w:rtl/>
          <w:lang w:val="en-US" w:bidi="ar-EG"/>
        </w:rPr>
        <w:t xml:space="preserve">، ومبدأ الواقع </w:t>
      </w:r>
      <w:r w:rsidRPr="0066591A">
        <w:rPr>
          <w:rFonts w:cs="Times New Roman"/>
          <w:sz w:val="24"/>
          <w:szCs w:val="24"/>
        </w:rPr>
        <w:t>{</w:t>
      </w:r>
      <w:r>
        <w:rPr>
          <w:rFonts w:cs="Times New Roman"/>
          <w:sz w:val="24"/>
          <w:szCs w:val="24"/>
        </w:rPr>
        <w:t>18</w:t>
      </w:r>
      <w:r w:rsidRPr="0066591A">
        <w:rPr>
          <w:rFonts w:cs="Times New Roman"/>
          <w:sz w:val="24"/>
          <w:szCs w:val="24"/>
        </w:rPr>
        <w:t>}</w:t>
      </w:r>
      <w:r>
        <w:rPr>
          <w:rFonts w:hint="cs"/>
          <w:rtl/>
          <w:lang w:val="en-US" w:bidi="ar-EG"/>
        </w:rPr>
        <w:t xml:space="preserve"> وتشكل أداة جيدة لإدارة الطيف.</w:t>
      </w:r>
    </w:p>
    <w:p w:rsidR="00DD3657" w:rsidRDefault="00DD3657" w:rsidP="00DD3657">
      <w:pPr>
        <w:rPr>
          <w:rtl/>
          <w:lang w:val="en-US" w:bidi="ar-EG"/>
        </w:rPr>
      </w:pPr>
      <w:r>
        <w:rPr>
          <w:rFonts w:hint="cs"/>
          <w:rtl/>
          <w:lang w:val="en-US" w:bidi="ar-EG"/>
        </w:rPr>
        <w:t>وفي الواقع، بالنسبة لأنظمة الترحيل الراديوي والعروة المحلية الراديوية والوصلات بين المحطات، يأخذ حساب الرسوم بعين الاعتبار عرض النطاق الموزع والموقع داخل طيف التردد المركزي المستعمل.</w:t>
      </w:r>
    </w:p>
    <w:p w:rsidR="00DD3657" w:rsidRDefault="00DD3657" w:rsidP="00DD3657">
      <w:pPr>
        <w:rPr>
          <w:rtl/>
          <w:lang w:val="en-US" w:bidi="ar-EG"/>
        </w:rPr>
      </w:pPr>
      <w:r>
        <w:rPr>
          <w:rFonts w:hint="cs"/>
          <w:rtl/>
          <w:lang w:val="en-US" w:bidi="ar-EG"/>
        </w:rPr>
        <w:t>وتود الإدارة، من خلال مراعاة عرض النطاق الموزع، أن تحث المستعملين على طلب الحد الأدنى فقط من مورد المدار المقابل</w:t>
      </w:r>
      <w:r>
        <w:rPr>
          <w:rFonts w:hint="eastAsia"/>
          <w:rtl/>
          <w:lang w:val="en-US" w:bidi="ar-EG"/>
        </w:rPr>
        <w:t> </w:t>
      </w:r>
      <w:r>
        <w:rPr>
          <w:rFonts w:hint="cs"/>
          <w:rtl/>
          <w:lang w:val="en-US" w:bidi="ar-EG"/>
        </w:rPr>
        <w:t>لاحتياجاتهم.</w:t>
      </w:r>
    </w:p>
    <w:p w:rsidR="00DD3657" w:rsidRDefault="00DD3657" w:rsidP="00DD3657">
      <w:pPr>
        <w:rPr>
          <w:rtl/>
          <w:lang w:val="en-US" w:bidi="ar-EG"/>
        </w:rPr>
      </w:pPr>
      <w:r>
        <w:rPr>
          <w:rFonts w:hint="cs"/>
          <w:rtl/>
          <w:lang w:val="en-US" w:bidi="ar-EG"/>
        </w:rPr>
        <w:t>وتسعى الإدارة، من خلال مراعاة الموقع داخل طيف التردد المركزي المستعمل، إلى استمثال شغل الطيف.</w:t>
      </w:r>
    </w:p>
    <w:p w:rsidR="00DD3657" w:rsidRDefault="00DD3657" w:rsidP="00DD3657">
      <w:pPr>
        <w:rPr>
          <w:rtl/>
          <w:lang w:val="en-US" w:bidi="ar-EG"/>
        </w:rPr>
      </w:pPr>
      <w:r>
        <w:rPr>
          <w:rFonts w:hint="cs"/>
          <w:rtl/>
          <w:lang w:val="en-US" w:bidi="ar-EG"/>
        </w:rPr>
        <w:t xml:space="preserve">انظر مساهمة الإمارات العربية المتحدة في التذييلين </w:t>
      </w:r>
      <w:r>
        <w:rPr>
          <w:lang w:val="en-US" w:bidi="ar-EG"/>
        </w:rPr>
        <w:t>1.1</w:t>
      </w:r>
      <w:r>
        <w:rPr>
          <w:rFonts w:hint="cs"/>
          <w:rtl/>
          <w:lang w:val="en-US" w:bidi="ar-EG"/>
        </w:rPr>
        <w:t xml:space="preserve"> و</w:t>
      </w:r>
      <w:r>
        <w:rPr>
          <w:lang w:val="en-US" w:bidi="ar-EG"/>
        </w:rPr>
        <w:t>2.1</w:t>
      </w:r>
      <w:r>
        <w:rPr>
          <w:rFonts w:hint="cs"/>
          <w:rtl/>
          <w:lang w:val="en-US" w:bidi="ar-EG"/>
        </w:rPr>
        <w:t>.</w:t>
      </w:r>
    </w:p>
    <w:p w:rsidR="00DD3657" w:rsidRPr="00377605" w:rsidRDefault="00DD3657" w:rsidP="00175E2D">
      <w:pPr>
        <w:pStyle w:val="Heading2"/>
        <w:rPr>
          <w:bCs w:val="0"/>
          <w:rtl/>
          <w:lang w:val="en-US" w:bidi="ar-EG"/>
        </w:rPr>
      </w:pPr>
      <w:bookmarkStart w:id="66" w:name="_Toc282768636"/>
      <w:r w:rsidRPr="00377605">
        <w:rPr>
          <w:lang w:val="en-US" w:bidi="ar-EG"/>
        </w:rPr>
        <w:t>2.8</w:t>
      </w:r>
      <w:r w:rsidRPr="00377605">
        <w:rPr>
          <w:rFonts w:hint="cs"/>
          <w:rtl/>
          <w:lang w:val="en-US" w:bidi="ar-EG"/>
        </w:rPr>
        <w:t xml:space="preserve"> </w:t>
      </w:r>
      <w:r>
        <w:rPr>
          <w:rFonts w:hint="cs"/>
          <w:rtl/>
          <w:lang w:val="en-US" w:bidi="ar-EG"/>
        </w:rPr>
        <w:tab/>
      </w:r>
      <w:r w:rsidRPr="00377605">
        <w:rPr>
          <w:rFonts w:hint="cs"/>
          <w:rtl/>
          <w:lang w:val="en-US" w:bidi="ar-EG"/>
        </w:rPr>
        <w:t>حالة سويسرا</w:t>
      </w:r>
      <w:bookmarkEnd w:id="66"/>
    </w:p>
    <w:p w:rsidR="00DD3657" w:rsidRDefault="00DD3657" w:rsidP="00DD3657">
      <w:pPr>
        <w:rPr>
          <w:rtl/>
          <w:lang w:val="en-US" w:bidi="ar-EG"/>
        </w:rPr>
      </w:pPr>
      <w:r>
        <w:rPr>
          <w:rFonts w:hint="cs"/>
          <w:rtl/>
          <w:lang w:val="en-US" w:bidi="ar-EG"/>
        </w:rPr>
        <w:t xml:space="preserve">توضح أنظمة الرسوم التي اعتمدتها الإدارة أساساً المبادئ القانونية </w:t>
      </w:r>
      <w:r w:rsidRPr="0066591A">
        <w:rPr>
          <w:rFonts w:cs="Times New Roman"/>
          <w:sz w:val="24"/>
          <w:szCs w:val="24"/>
        </w:rPr>
        <w:t>{</w:t>
      </w:r>
      <w:r>
        <w:rPr>
          <w:rFonts w:cs="Times New Roman"/>
          <w:sz w:val="24"/>
          <w:szCs w:val="24"/>
        </w:rPr>
        <w:t>6</w:t>
      </w:r>
      <w:r w:rsidRPr="0066591A">
        <w:rPr>
          <w:rFonts w:cs="Times New Roman"/>
          <w:sz w:val="24"/>
          <w:szCs w:val="24"/>
        </w:rPr>
        <w:t>}</w:t>
      </w:r>
      <w:r>
        <w:rPr>
          <w:rFonts w:hint="cs"/>
          <w:rtl/>
          <w:lang w:val="en-US" w:bidi="ar-EG"/>
        </w:rPr>
        <w:t xml:space="preserve"> و</w:t>
      </w:r>
      <w:r w:rsidRPr="0066591A">
        <w:rPr>
          <w:rFonts w:cs="Times New Roman"/>
          <w:sz w:val="24"/>
          <w:szCs w:val="24"/>
        </w:rPr>
        <w:t>{</w:t>
      </w:r>
      <w:r>
        <w:rPr>
          <w:rFonts w:cs="Times New Roman"/>
          <w:sz w:val="24"/>
          <w:szCs w:val="24"/>
        </w:rPr>
        <w:t>8</w:t>
      </w:r>
      <w:r w:rsidRPr="0066591A">
        <w:rPr>
          <w:rFonts w:cs="Times New Roman"/>
          <w:sz w:val="24"/>
          <w:szCs w:val="24"/>
        </w:rPr>
        <w:t>}</w:t>
      </w:r>
      <w:r>
        <w:rPr>
          <w:rFonts w:hint="cs"/>
          <w:rtl/>
          <w:lang w:val="en-US" w:bidi="ar-EG"/>
        </w:rPr>
        <w:t xml:space="preserve">، والاقتصادية </w:t>
      </w:r>
      <w:r w:rsidRPr="0066591A">
        <w:rPr>
          <w:rFonts w:cs="Times New Roman"/>
          <w:sz w:val="24"/>
          <w:szCs w:val="24"/>
        </w:rPr>
        <w:t>{</w:t>
      </w:r>
      <w:r>
        <w:rPr>
          <w:rFonts w:cs="Times New Roman"/>
          <w:sz w:val="24"/>
          <w:szCs w:val="24"/>
        </w:rPr>
        <w:t>13</w:t>
      </w:r>
      <w:r w:rsidRPr="0066591A">
        <w:rPr>
          <w:rFonts w:cs="Times New Roman"/>
          <w:sz w:val="24"/>
          <w:szCs w:val="24"/>
        </w:rPr>
        <w:t>}</w:t>
      </w:r>
      <w:r>
        <w:rPr>
          <w:rFonts w:hint="cs"/>
          <w:rtl/>
          <w:lang w:val="en-US" w:bidi="ar-EG"/>
        </w:rPr>
        <w:t xml:space="preserve"> و</w:t>
      </w:r>
      <w:r w:rsidRPr="0066591A">
        <w:rPr>
          <w:rFonts w:cs="Times New Roman"/>
          <w:sz w:val="24"/>
          <w:szCs w:val="24"/>
        </w:rPr>
        <w:t>{</w:t>
      </w:r>
      <w:r>
        <w:rPr>
          <w:rFonts w:cs="Times New Roman"/>
          <w:sz w:val="24"/>
          <w:szCs w:val="24"/>
        </w:rPr>
        <w:t>14</w:t>
      </w:r>
      <w:r w:rsidRPr="0066591A">
        <w:rPr>
          <w:rFonts w:cs="Times New Roman"/>
          <w:sz w:val="24"/>
          <w:szCs w:val="24"/>
        </w:rPr>
        <w:t>}</w:t>
      </w:r>
      <w:r>
        <w:rPr>
          <w:rFonts w:hint="cs"/>
          <w:rtl/>
          <w:lang w:val="en-US" w:bidi="ar-EG"/>
        </w:rPr>
        <w:t xml:space="preserve"> و</w:t>
      </w:r>
      <w:r w:rsidRPr="0066591A">
        <w:rPr>
          <w:rFonts w:cs="Times New Roman"/>
          <w:sz w:val="24"/>
          <w:szCs w:val="24"/>
        </w:rPr>
        <w:t>{</w:t>
      </w:r>
      <w:r>
        <w:rPr>
          <w:rFonts w:cs="Times New Roman"/>
          <w:sz w:val="24"/>
          <w:szCs w:val="24"/>
        </w:rPr>
        <w:t>3.1</w:t>
      </w:r>
      <w:r w:rsidRPr="0066591A">
        <w:rPr>
          <w:rFonts w:cs="Times New Roman"/>
          <w:sz w:val="24"/>
          <w:szCs w:val="24"/>
        </w:rPr>
        <w:t>5}</w:t>
      </w:r>
      <w:r>
        <w:rPr>
          <w:rFonts w:hint="cs"/>
          <w:rtl/>
          <w:lang w:val="en-US" w:bidi="ar-EG"/>
        </w:rPr>
        <w:t xml:space="preserve">، </w:t>
      </w:r>
      <w:r w:rsidR="00026C26">
        <w:rPr>
          <w:lang w:val="en-US" w:bidi="ar-EG"/>
        </w:rPr>
        <w:br/>
      </w:r>
      <w:r>
        <w:rPr>
          <w:rFonts w:hint="cs"/>
          <w:rtl/>
          <w:lang w:val="en-US" w:bidi="ar-EG"/>
        </w:rPr>
        <w:t xml:space="preserve">والحكم </w:t>
      </w:r>
      <w:r w:rsidRPr="0066591A">
        <w:rPr>
          <w:rFonts w:cs="Times New Roman"/>
          <w:sz w:val="24"/>
          <w:szCs w:val="24"/>
        </w:rPr>
        <w:t>{</w:t>
      </w:r>
      <w:r>
        <w:rPr>
          <w:rFonts w:cs="Times New Roman"/>
          <w:sz w:val="24"/>
          <w:szCs w:val="24"/>
        </w:rPr>
        <w:t>20</w:t>
      </w:r>
      <w:r w:rsidRPr="0066591A">
        <w:rPr>
          <w:rFonts w:cs="Times New Roman"/>
          <w:sz w:val="24"/>
          <w:szCs w:val="24"/>
        </w:rPr>
        <w:t>}</w:t>
      </w:r>
      <w:r>
        <w:rPr>
          <w:rFonts w:hint="cs"/>
          <w:rtl/>
          <w:lang w:val="en-US" w:bidi="ar-EG"/>
        </w:rPr>
        <w:t>.</w:t>
      </w:r>
    </w:p>
    <w:p w:rsidR="00DD3657" w:rsidRDefault="00DD3657" w:rsidP="00DD3657">
      <w:pPr>
        <w:rPr>
          <w:rtl/>
          <w:lang w:val="en-US" w:bidi="ar-EG"/>
        </w:rPr>
      </w:pPr>
      <w:r>
        <w:rPr>
          <w:rFonts w:hint="cs"/>
          <w:rtl/>
          <w:lang w:val="en-US" w:bidi="ar-EG"/>
        </w:rPr>
        <w:lastRenderedPageBreak/>
        <w:t>وفي الواقع، ينبغي أن تلتزم الرسوم الإدارية المطبقة بمبدأ تغطية التكاليف الإدارية. وهكذا، يمكن في كل عام، زيادة الرسوم الإدارية أو خفضها حسب الأداء الحقيقي لميزانية الإدارة التي تقوم بإدارة الطيف.</w:t>
      </w:r>
    </w:p>
    <w:p w:rsidR="00DD3657" w:rsidRDefault="00DD3657" w:rsidP="00DD3657">
      <w:pPr>
        <w:rPr>
          <w:rtl/>
          <w:lang w:val="en-US" w:bidi="ar-EG"/>
        </w:rPr>
      </w:pPr>
      <w:r>
        <w:rPr>
          <w:rFonts w:hint="cs"/>
          <w:rtl/>
          <w:lang w:val="en-US" w:bidi="ar-EG"/>
        </w:rPr>
        <w:t xml:space="preserve">وإضافة إلى ذلك، اعتُمد حكم قانوني جديد في </w:t>
      </w:r>
      <w:r>
        <w:rPr>
          <w:lang w:val="en-US" w:bidi="ar-EG"/>
        </w:rPr>
        <w:t>2008</w:t>
      </w:r>
      <w:r>
        <w:rPr>
          <w:rFonts w:hint="cs"/>
          <w:rtl/>
          <w:lang w:val="en-US" w:bidi="ar-EG"/>
        </w:rPr>
        <w:t xml:space="preserve"> بحيث تراعي رسوم الطيف أيضاً القيمة الاقتصادية للترددات.</w:t>
      </w:r>
    </w:p>
    <w:p w:rsidR="00DD3657" w:rsidRDefault="00DD3657" w:rsidP="00DD3657">
      <w:pPr>
        <w:rPr>
          <w:rtl/>
          <w:lang w:val="en-US" w:bidi="ar-EG"/>
        </w:rPr>
      </w:pPr>
      <w:r>
        <w:rPr>
          <w:rFonts w:hint="cs"/>
          <w:rtl/>
          <w:lang w:val="en-US" w:bidi="ar-EG"/>
        </w:rPr>
        <w:t xml:space="preserve">انظر مساهمة سويسرا في التذييلين </w:t>
      </w:r>
      <w:r>
        <w:rPr>
          <w:lang w:val="en-US" w:bidi="ar-EG"/>
        </w:rPr>
        <w:t>1.2</w:t>
      </w:r>
      <w:r>
        <w:rPr>
          <w:rFonts w:hint="cs"/>
          <w:rtl/>
          <w:lang w:val="en-US" w:bidi="ar-EG"/>
        </w:rPr>
        <w:t xml:space="preserve"> و</w:t>
      </w:r>
      <w:r>
        <w:rPr>
          <w:lang w:val="en-US" w:bidi="ar-EG"/>
        </w:rPr>
        <w:t>2.2</w:t>
      </w:r>
      <w:r>
        <w:rPr>
          <w:rFonts w:hint="cs"/>
          <w:rtl/>
          <w:lang w:val="en-US" w:bidi="ar-EG"/>
        </w:rPr>
        <w:t>.</w:t>
      </w:r>
    </w:p>
    <w:p w:rsidR="00DD3657" w:rsidRPr="009163AA" w:rsidRDefault="00DD3657" w:rsidP="00175E2D">
      <w:pPr>
        <w:pStyle w:val="Heading2"/>
        <w:rPr>
          <w:bCs w:val="0"/>
          <w:rtl/>
          <w:lang w:val="en-US" w:bidi="ar-EG"/>
        </w:rPr>
      </w:pPr>
      <w:bookmarkStart w:id="67" w:name="_Toc282768637"/>
      <w:r w:rsidRPr="009163AA">
        <w:rPr>
          <w:lang w:val="en-US" w:bidi="ar-EG"/>
        </w:rPr>
        <w:t>3.8</w:t>
      </w:r>
      <w:r w:rsidRPr="009163AA">
        <w:rPr>
          <w:rFonts w:hint="cs"/>
          <w:rtl/>
          <w:lang w:val="en-US" w:bidi="ar-EG"/>
        </w:rPr>
        <w:t xml:space="preserve"> </w:t>
      </w:r>
      <w:r w:rsidRPr="009163AA">
        <w:rPr>
          <w:rFonts w:hint="cs"/>
          <w:rtl/>
          <w:lang w:val="en-US" w:bidi="ar-EG"/>
        </w:rPr>
        <w:tab/>
        <w:t>حالة فرنسا</w:t>
      </w:r>
      <w:bookmarkEnd w:id="67"/>
    </w:p>
    <w:p w:rsidR="00DD3657" w:rsidRPr="00A27BD2" w:rsidRDefault="00DD3657" w:rsidP="00DD3657">
      <w:pPr>
        <w:rPr>
          <w:rtl/>
          <w:lang w:bidi="ar-EG"/>
        </w:rPr>
      </w:pPr>
      <w:r>
        <w:rPr>
          <w:rFonts w:hint="cs"/>
          <w:rtl/>
          <w:lang w:val="en-US" w:bidi="ar-EG"/>
        </w:rPr>
        <w:t xml:space="preserve">توضح أنظمة الرسوم التي اعتمدتها الإدارة أساساً المبادئ القانونية </w:t>
      </w:r>
      <w:r w:rsidRPr="0066591A">
        <w:rPr>
          <w:rFonts w:cs="Times New Roman"/>
          <w:sz w:val="24"/>
          <w:szCs w:val="24"/>
        </w:rPr>
        <w:t>{</w:t>
      </w:r>
      <w:r>
        <w:rPr>
          <w:rFonts w:cs="Times New Roman"/>
          <w:sz w:val="24"/>
          <w:szCs w:val="24"/>
        </w:rPr>
        <w:t>6</w:t>
      </w:r>
      <w:r w:rsidRPr="0066591A">
        <w:rPr>
          <w:rFonts w:cs="Times New Roman"/>
          <w:sz w:val="24"/>
          <w:szCs w:val="24"/>
        </w:rPr>
        <w:t>}</w:t>
      </w:r>
      <w:r>
        <w:rPr>
          <w:rFonts w:hint="cs"/>
          <w:rtl/>
          <w:lang w:val="en-US" w:bidi="ar-EG"/>
        </w:rPr>
        <w:t xml:space="preserve"> و</w:t>
      </w:r>
      <w:r w:rsidRPr="0066591A">
        <w:rPr>
          <w:rFonts w:cs="Times New Roman"/>
          <w:sz w:val="24"/>
          <w:szCs w:val="24"/>
        </w:rPr>
        <w:t>{</w:t>
      </w:r>
      <w:r>
        <w:rPr>
          <w:rFonts w:cs="Times New Roman"/>
          <w:sz w:val="24"/>
          <w:szCs w:val="24"/>
        </w:rPr>
        <w:t>8</w:t>
      </w:r>
      <w:r w:rsidRPr="0066591A">
        <w:rPr>
          <w:rFonts w:cs="Times New Roman"/>
          <w:sz w:val="24"/>
          <w:szCs w:val="24"/>
        </w:rPr>
        <w:t>}</w:t>
      </w:r>
      <w:r>
        <w:rPr>
          <w:rFonts w:hint="cs"/>
          <w:rtl/>
          <w:lang w:val="en-US" w:bidi="ar-EG"/>
        </w:rPr>
        <w:t xml:space="preserve">، والاقتصادية </w:t>
      </w:r>
      <w:r w:rsidRPr="0066591A">
        <w:rPr>
          <w:rFonts w:cs="Times New Roman"/>
          <w:sz w:val="24"/>
          <w:szCs w:val="24"/>
        </w:rPr>
        <w:t>{</w:t>
      </w:r>
      <w:r>
        <w:rPr>
          <w:rFonts w:cs="Times New Roman"/>
          <w:sz w:val="24"/>
          <w:szCs w:val="24"/>
        </w:rPr>
        <w:t>13</w:t>
      </w:r>
      <w:r w:rsidRPr="0066591A">
        <w:rPr>
          <w:rFonts w:cs="Times New Roman"/>
          <w:sz w:val="24"/>
          <w:szCs w:val="24"/>
        </w:rPr>
        <w:t>}</w:t>
      </w:r>
      <w:r>
        <w:rPr>
          <w:rFonts w:hint="cs"/>
          <w:rtl/>
          <w:lang w:val="en-US" w:bidi="ar-EG"/>
        </w:rPr>
        <w:t xml:space="preserve"> و</w:t>
      </w:r>
      <w:r w:rsidRPr="0066591A">
        <w:rPr>
          <w:rFonts w:cs="Times New Roman"/>
          <w:sz w:val="24"/>
          <w:szCs w:val="24"/>
        </w:rPr>
        <w:t>{</w:t>
      </w:r>
      <w:r>
        <w:rPr>
          <w:rFonts w:cs="Times New Roman"/>
          <w:sz w:val="24"/>
          <w:szCs w:val="24"/>
        </w:rPr>
        <w:t>14</w:t>
      </w:r>
      <w:r w:rsidRPr="0066591A">
        <w:rPr>
          <w:rFonts w:cs="Times New Roman"/>
          <w:sz w:val="24"/>
          <w:szCs w:val="24"/>
        </w:rPr>
        <w:t>}</w:t>
      </w:r>
      <w:r>
        <w:rPr>
          <w:rFonts w:hint="cs"/>
          <w:rtl/>
          <w:lang w:val="en-US" w:bidi="ar-EG"/>
        </w:rPr>
        <w:t xml:space="preserve"> و</w:t>
      </w:r>
      <w:r w:rsidRPr="0066591A">
        <w:rPr>
          <w:rFonts w:cs="Times New Roman"/>
          <w:sz w:val="24"/>
          <w:szCs w:val="24"/>
        </w:rPr>
        <w:t>{</w:t>
      </w:r>
      <w:r>
        <w:rPr>
          <w:rFonts w:cs="Times New Roman"/>
          <w:sz w:val="24"/>
          <w:szCs w:val="24"/>
        </w:rPr>
        <w:t>2.1</w:t>
      </w:r>
      <w:r w:rsidRPr="0066591A">
        <w:rPr>
          <w:rFonts w:cs="Times New Roman"/>
          <w:sz w:val="24"/>
          <w:szCs w:val="24"/>
        </w:rPr>
        <w:t>5}</w:t>
      </w:r>
      <w:r>
        <w:rPr>
          <w:rFonts w:hint="cs"/>
          <w:rtl/>
          <w:lang w:bidi="ar-EG"/>
        </w:rPr>
        <w:t xml:space="preserve"> و</w:t>
      </w:r>
      <w:r w:rsidRPr="0066591A">
        <w:rPr>
          <w:rFonts w:cs="Times New Roman"/>
          <w:sz w:val="24"/>
          <w:szCs w:val="24"/>
        </w:rPr>
        <w:t>{</w:t>
      </w:r>
      <w:r>
        <w:rPr>
          <w:rFonts w:cs="Times New Roman"/>
          <w:sz w:val="24"/>
          <w:szCs w:val="24"/>
        </w:rPr>
        <w:t>3.1</w:t>
      </w:r>
      <w:r w:rsidRPr="0066591A">
        <w:rPr>
          <w:rFonts w:cs="Times New Roman"/>
          <w:sz w:val="24"/>
          <w:szCs w:val="24"/>
        </w:rPr>
        <w:t>5}</w:t>
      </w:r>
      <w:r>
        <w:rPr>
          <w:rFonts w:hint="cs"/>
          <w:rtl/>
          <w:lang w:bidi="ar-EG"/>
        </w:rPr>
        <w:t xml:space="preserve"> و</w:t>
      </w:r>
      <w:r w:rsidRPr="0066591A">
        <w:rPr>
          <w:rFonts w:cs="Times New Roman"/>
          <w:sz w:val="24"/>
          <w:szCs w:val="24"/>
        </w:rPr>
        <w:t>{</w:t>
      </w:r>
      <w:r>
        <w:rPr>
          <w:rFonts w:cs="Times New Roman"/>
          <w:sz w:val="24"/>
          <w:szCs w:val="24"/>
        </w:rPr>
        <w:t>4.1</w:t>
      </w:r>
      <w:r w:rsidRPr="0066591A">
        <w:rPr>
          <w:rFonts w:cs="Times New Roman"/>
          <w:sz w:val="24"/>
          <w:szCs w:val="24"/>
        </w:rPr>
        <w:t>5}</w:t>
      </w:r>
      <w:r>
        <w:rPr>
          <w:rFonts w:hint="cs"/>
          <w:rtl/>
          <w:lang w:val="en-US" w:bidi="ar-EG"/>
        </w:rPr>
        <w:t xml:space="preserve">، والأحكام </w:t>
      </w:r>
      <w:r w:rsidRPr="0066591A">
        <w:rPr>
          <w:rFonts w:cs="Times New Roman"/>
          <w:sz w:val="24"/>
          <w:szCs w:val="24"/>
        </w:rPr>
        <w:t>{</w:t>
      </w:r>
      <w:r>
        <w:rPr>
          <w:rFonts w:cs="Times New Roman"/>
          <w:sz w:val="24"/>
          <w:szCs w:val="24"/>
        </w:rPr>
        <w:t>20</w:t>
      </w:r>
      <w:r w:rsidRPr="0066591A">
        <w:rPr>
          <w:rFonts w:cs="Times New Roman"/>
          <w:sz w:val="24"/>
          <w:szCs w:val="24"/>
        </w:rPr>
        <w:t>}</w:t>
      </w:r>
      <w:r>
        <w:rPr>
          <w:rFonts w:hint="cs"/>
          <w:rtl/>
          <w:lang w:val="en-US" w:bidi="ar-EG"/>
        </w:rPr>
        <w:t xml:space="preserve"> و</w:t>
      </w:r>
      <w:r w:rsidRPr="0066591A">
        <w:rPr>
          <w:rFonts w:cs="Times New Roman"/>
          <w:sz w:val="24"/>
          <w:szCs w:val="24"/>
        </w:rPr>
        <w:t>{</w:t>
      </w:r>
      <w:r>
        <w:rPr>
          <w:rFonts w:cs="Times New Roman"/>
          <w:sz w:val="24"/>
          <w:szCs w:val="24"/>
        </w:rPr>
        <w:t>24</w:t>
      </w:r>
      <w:r w:rsidRPr="0066591A">
        <w:rPr>
          <w:rFonts w:cs="Times New Roman"/>
          <w:sz w:val="24"/>
          <w:szCs w:val="24"/>
        </w:rPr>
        <w:t>}</w:t>
      </w:r>
      <w:r>
        <w:rPr>
          <w:rFonts w:hint="cs"/>
          <w:rtl/>
          <w:lang w:bidi="ar-EG"/>
        </w:rPr>
        <w:t xml:space="preserve"> و</w:t>
      </w:r>
      <w:r w:rsidRPr="0066591A">
        <w:rPr>
          <w:rFonts w:cs="Times New Roman"/>
          <w:sz w:val="24"/>
          <w:szCs w:val="24"/>
        </w:rPr>
        <w:t>{</w:t>
      </w:r>
      <w:r>
        <w:rPr>
          <w:rFonts w:cs="Times New Roman"/>
          <w:sz w:val="24"/>
          <w:szCs w:val="24"/>
        </w:rPr>
        <w:t>25</w:t>
      </w:r>
      <w:r w:rsidRPr="0066591A">
        <w:rPr>
          <w:rFonts w:cs="Times New Roman"/>
          <w:sz w:val="24"/>
          <w:szCs w:val="24"/>
        </w:rPr>
        <w:t>}</w:t>
      </w:r>
      <w:r>
        <w:rPr>
          <w:rFonts w:hint="cs"/>
          <w:rtl/>
          <w:lang w:bidi="ar-EG"/>
        </w:rPr>
        <w:t>.</w:t>
      </w:r>
    </w:p>
    <w:p w:rsidR="00DD3657" w:rsidRDefault="00DD3657" w:rsidP="00DD3657">
      <w:pPr>
        <w:rPr>
          <w:rtl/>
          <w:lang w:val="en-US" w:bidi="ar-EG"/>
        </w:rPr>
      </w:pPr>
      <w:r>
        <w:rPr>
          <w:rFonts w:hint="cs"/>
          <w:rtl/>
          <w:lang w:val="en-US" w:bidi="ar-EG"/>
        </w:rPr>
        <w:t>وفي الواقع تطبق الإدارة فئتين من الرسوم.</w:t>
      </w:r>
    </w:p>
    <w:p w:rsidR="00DD3657" w:rsidRDefault="00DD3657" w:rsidP="00DD3657">
      <w:pPr>
        <w:rPr>
          <w:rtl/>
          <w:lang w:val="en-US" w:bidi="ar-EG"/>
        </w:rPr>
      </w:pPr>
      <w:r>
        <w:rPr>
          <w:rFonts w:hint="cs"/>
          <w:rtl/>
          <w:lang w:val="en-US" w:bidi="ar-EG"/>
        </w:rPr>
        <w:t>تكون الرسوم الإدارية متناسبة مع عدد التخصيصات وعدد التعيينات الموزعة. ويقابل مبلغها الإجمالي السنوي التكاليف الإجمالية السنوية لإدارة الطيف والتراخيص والأذون.</w:t>
      </w:r>
    </w:p>
    <w:p w:rsidR="00DD3657" w:rsidRDefault="00DD3657" w:rsidP="00DD3657">
      <w:pPr>
        <w:rPr>
          <w:rtl/>
          <w:lang w:val="en-US" w:bidi="ar-EG"/>
        </w:rPr>
      </w:pPr>
      <w:r>
        <w:rPr>
          <w:rFonts w:hint="cs"/>
          <w:rtl/>
          <w:lang w:val="en-US" w:bidi="ar-EG"/>
        </w:rPr>
        <w:t>ويقتصر حساب رسوم الطيف المتصلة بالترددات المكرسة للاحتياجات الخاصة للمستعملين على مراعاة عرض النطاق الموزع ومساحة التوزيع فقط.</w:t>
      </w:r>
    </w:p>
    <w:p w:rsidR="00DD3657" w:rsidRDefault="00DD3657" w:rsidP="00DD3657">
      <w:pPr>
        <w:rPr>
          <w:rtl/>
          <w:lang w:val="en-US" w:bidi="ar-EG"/>
        </w:rPr>
      </w:pPr>
      <w:r>
        <w:rPr>
          <w:rFonts w:hint="cs"/>
          <w:rtl/>
          <w:lang w:val="en-US" w:bidi="ar-EG"/>
        </w:rPr>
        <w:t xml:space="preserve">ويراعي حساب الرسوم المتصلة بالترددات المستعملة لتقديم أو تسويق خدمات مكرسة لسوق استهلاكية (حالة الترددات المستعملة في النظام </w:t>
      </w:r>
      <w:r>
        <w:rPr>
          <w:lang w:val="en-US" w:bidi="ar-EG"/>
        </w:rPr>
        <w:t>GSM</w:t>
      </w:r>
      <w:r>
        <w:rPr>
          <w:rFonts w:hint="cs"/>
          <w:rtl/>
          <w:lang w:val="en-US" w:bidi="ar-EG"/>
        </w:rPr>
        <w:t xml:space="preserve"> أو النظام </w:t>
      </w:r>
      <w:r>
        <w:rPr>
          <w:lang w:val="en-US" w:bidi="ar-EG"/>
        </w:rPr>
        <w:t>(UMTS</w:t>
      </w:r>
      <w:r>
        <w:rPr>
          <w:rFonts w:hint="cs"/>
          <w:rtl/>
          <w:lang w:val="en-US" w:bidi="ar-EG"/>
        </w:rPr>
        <w:t>، رقم الأعمال الذي يحققه المشغلون.</w:t>
      </w:r>
    </w:p>
    <w:p w:rsidR="00DD3657" w:rsidRPr="009163AA" w:rsidRDefault="00DD3657" w:rsidP="00DD3657">
      <w:pPr>
        <w:pStyle w:val="Heading2"/>
        <w:rPr>
          <w:b w:val="0"/>
          <w:bCs w:val="0"/>
          <w:rtl/>
          <w:lang w:val="en-US" w:bidi="ar-EG"/>
        </w:rPr>
      </w:pPr>
      <w:bookmarkStart w:id="68" w:name="_Toc282768638"/>
      <w:r w:rsidRPr="00085FEA">
        <w:rPr>
          <w:lang w:val="en-US" w:bidi="ar-EG"/>
        </w:rPr>
        <w:t>4.8</w:t>
      </w:r>
      <w:r w:rsidRPr="009163AA">
        <w:rPr>
          <w:rFonts w:hint="cs"/>
          <w:b w:val="0"/>
          <w:rtl/>
          <w:lang w:val="en-US" w:bidi="ar-EG"/>
        </w:rPr>
        <w:t xml:space="preserve"> </w:t>
      </w:r>
      <w:r w:rsidRPr="009163AA">
        <w:rPr>
          <w:rFonts w:hint="cs"/>
          <w:b w:val="0"/>
          <w:rtl/>
          <w:lang w:val="en-US" w:bidi="ar-EG"/>
        </w:rPr>
        <w:tab/>
        <w:t>حالة كوت ديفوار</w:t>
      </w:r>
      <w:bookmarkEnd w:id="68"/>
    </w:p>
    <w:p w:rsidR="00DD3657" w:rsidRPr="009163AA" w:rsidRDefault="00DD3657" w:rsidP="00DD3657">
      <w:pPr>
        <w:rPr>
          <w:spacing w:val="-4"/>
          <w:rtl/>
          <w:lang w:val="en-US" w:bidi="ar-EG"/>
        </w:rPr>
      </w:pPr>
      <w:r w:rsidRPr="009163AA">
        <w:rPr>
          <w:rFonts w:hint="cs"/>
          <w:spacing w:val="-4"/>
          <w:rtl/>
          <w:lang w:val="en-US" w:bidi="ar-EG"/>
        </w:rPr>
        <w:t xml:space="preserve">تلتزم إدارة كوت ديفوار التزاماً تاماً بالمبادئ القانونية </w:t>
      </w:r>
      <w:r w:rsidRPr="009163AA">
        <w:rPr>
          <w:rFonts w:cs="Times New Roman"/>
          <w:spacing w:val="-4"/>
          <w:sz w:val="24"/>
          <w:szCs w:val="24"/>
        </w:rPr>
        <w:t>{6}</w:t>
      </w:r>
      <w:r w:rsidRPr="009163AA">
        <w:rPr>
          <w:rFonts w:hint="cs"/>
          <w:spacing w:val="-4"/>
          <w:rtl/>
          <w:lang w:val="en-US" w:bidi="ar-EG"/>
        </w:rPr>
        <w:t xml:space="preserve"> و</w:t>
      </w:r>
      <w:r w:rsidRPr="009163AA">
        <w:rPr>
          <w:rFonts w:cs="Times New Roman"/>
          <w:spacing w:val="-4"/>
          <w:sz w:val="24"/>
          <w:szCs w:val="24"/>
        </w:rPr>
        <w:t>{7}</w:t>
      </w:r>
      <w:r w:rsidRPr="009163AA">
        <w:rPr>
          <w:rFonts w:hint="cs"/>
          <w:spacing w:val="-4"/>
          <w:rtl/>
          <w:lang w:val="en-US" w:bidi="ar-EG"/>
        </w:rPr>
        <w:t xml:space="preserve"> و</w:t>
      </w:r>
      <w:r w:rsidRPr="009163AA">
        <w:rPr>
          <w:rFonts w:cs="Times New Roman"/>
          <w:spacing w:val="-4"/>
          <w:sz w:val="24"/>
          <w:szCs w:val="24"/>
        </w:rPr>
        <w:t>{8}</w:t>
      </w:r>
      <w:r w:rsidRPr="009163AA">
        <w:rPr>
          <w:rFonts w:hint="cs"/>
          <w:spacing w:val="-4"/>
          <w:rtl/>
          <w:lang w:val="en-US" w:bidi="ar-EG"/>
        </w:rPr>
        <w:t xml:space="preserve">، والاقتصادية </w:t>
      </w:r>
      <w:r w:rsidRPr="009163AA">
        <w:rPr>
          <w:rFonts w:cs="Times New Roman"/>
          <w:spacing w:val="-4"/>
          <w:sz w:val="24"/>
          <w:szCs w:val="24"/>
        </w:rPr>
        <w:t>{1.15}</w:t>
      </w:r>
      <w:r w:rsidRPr="009163AA">
        <w:rPr>
          <w:rFonts w:hint="cs"/>
          <w:spacing w:val="-4"/>
          <w:rtl/>
          <w:lang w:bidi="ar-EG"/>
        </w:rPr>
        <w:t xml:space="preserve"> </w:t>
      </w:r>
      <w:r w:rsidRPr="009163AA">
        <w:rPr>
          <w:rFonts w:hint="cs"/>
          <w:spacing w:val="-4"/>
          <w:rtl/>
          <w:lang w:val="en-US" w:bidi="ar-EG"/>
        </w:rPr>
        <w:t>و</w:t>
      </w:r>
      <w:r w:rsidRPr="009163AA">
        <w:rPr>
          <w:rFonts w:cs="Times New Roman"/>
          <w:spacing w:val="-4"/>
          <w:sz w:val="24"/>
          <w:szCs w:val="24"/>
        </w:rPr>
        <w:t>{2.15}</w:t>
      </w:r>
      <w:r w:rsidRPr="009163AA">
        <w:rPr>
          <w:rFonts w:hint="cs"/>
          <w:spacing w:val="-4"/>
          <w:rtl/>
          <w:lang w:bidi="ar-EG"/>
        </w:rPr>
        <w:t xml:space="preserve"> و</w:t>
      </w:r>
      <w:r w:rsidRPr="009163AA">
        <w:rPr>
          <w:rFonts w:cs="Times New Roman"/>
          <w:spacing w:val="-4"/>
          <w:sz w:val="24"/>
          <w:szCs w:val="24"/>
        </w:rPr>
        <w:t>{3.15}</w:t>
      </w:r>
      <w:r w:rsidRPr="009163AA">
        <w:rPr>
          <w:rFonts w:hint="cs"/>
          <w:spacing w:val="-4"/>
          <w:rtl/>
          <w:lang w:bidi="ar-EG"/>
        </w:rPr>
        <w:t xml:space="preserve"> و</w:t>
      </w:r>
      <w:r w:rsidRPr="009163AA">
        <w:rPr>
          <w:rFonts w:cs="Times New Roman"/>
          <w:spacing w:val="-4"/>
          <w:sz w:val="24"/>
          <w:szCs w:val="24"/>
        </w:rPr>
        <w:t>{4.15}</w:t>
      </w:r>
      <w:r w:rsidRPr="009163AA">
        <w:rPr>
          <w:rFonts w:hint="cs"/>
          <w:spacing w:val="-4"/>
          <w:rtl/>
          <w:lang w:val="en-US" w:bidi="ar-EG"/>
        </w:rPr>
        <w:t>.</w:t>
      </w:r>
    </w:p>
    <w:p w:rsidR="00DD3657" w:rsidRPr="00A27BD2" w:rsidRDefault="00DD3657" w:rsidP="00DD3657">
      <w:pPr>
        <w:rPr>
          <w:rtl/>
          <w:lang w:bidi="ar-EG"/>
        </w:rPr>
      </w:pPr>
      <w:r>
        <w:rPr>
          <w:rFonts w:hint="cs"/>
          <w:rtl/>
          <w:lang w:val="en-US" w:bidi="ar-EG"/>
        </w:rPr>
        <w:t xml:space="preserve">وتطبق أساساً أحكام الفقرة </w:t>
      </w:r>
      <w:r>
        <w:rPr>
          <w:lang w:val="en-US" w:bidi="ar-EG"/>
        </w:rPr>
        <w:t>4.1.5</w:t>
      </w:r>
      <w:r>
        <w:rPr>
          <w:rFonts w:hint="cs"/>
          <w:rtl/>
          <w:lang w:val="en-US" w:bidi="ar-EG"/>
        </w:rPr>
        <w:t>.</w:t>
      </w:r>
    </w:p>
    <w:p w:rsidR="00DD3657" w:rsidRDefault="00DD3657" w:rsidP="00DD3657">
      <w:pPr>
        <w:rPr>
          <w:rtl/>
          <w:lang w:val="en-US" w:bidi="ar-EG"/>
        </w:rPr>
      </w:pPr>
      <w:r>
        <w:rPr>
          <w:rFonts w:hint="cs"/>
          <w:rtl/>
          <w:lang w:val="en-US" w:bidi="ar-EG"/>
        </w:rPr>
        <w:t xml:space="preserve">انظر مساهمة كوت ديفوار في التذييل </w:t>
      </w:r>
      <w:r>
        <w:rPr>
          <w:lang w:val="en-US" w:bidi="ar-EG"/>
        </w:rPr>
        <w:t>3</w:t>
      </w:r>
      <w:r>
        <w:rPr>
          <w:rFonts w:hint="cs"/>
          <w:rtl/>
          <w:lang w:val="en-US" w:bidi="ar-EG"/>
        </w:rPr>
        <w:t>.</w:t>
      </w:r>
    </w:p>
    <w:p w:rsidR="00DD3657" w:rsidRDefault="00DD3657" w:rsidP="00DD3657">
      <w:pPr>
        <w:spacing w:before="0"/>
        <w:rPr>
          <w:rtl/>
          <w:lang w:val="en-US" w:bidi="ar-EG"/>
        </w:rPr>
      </w:pPr>
    </w:p>
    <w:p w:rsidR="00175E2D" w:rsidRDefault="00175E2D" w:rsidP="00DD3657">
      <w:pPr>
        <w:spacing w:before="0"/>
        <w:rPr>
          <w:rtl/>
          <w:lang w:val="en-US" w:bidi="ar-EG"/>
        </w:rPr>
      </w:pPr>
    </w:p>
    <w:p w:rsidR="00175E2D" w:rsidRDefault="00175E2D" w:rsidP="00DD3657">
      <w:pPr>
        <w:spacing w:before="0"/>
        <w:rPr>
          <w:rtl/>
          <w:lang w:val="en-US" w:bidi="ar-EG"/>
        </w:rPr>
      </w:pPr>
    </w:p>
    <w:p w:rsidR="00175E2D" w:rsidRDefault="00175E2D" w:rsidP="00DD3657">
      <w:pPr>
        <w:spacing w:before="0"/>
        <w:rPr>
          <w:rtl/>
          <w:lang w:val="en-US" w:bidi="ar-EG"/>
        </w:rPr>
      </w:pPr>
    </w:p>
    <w:p w:rsidR="00175E2D" w:rsidRDefault="00175E2D" w:rsidP="00DD3657">
      <w:pPr>
        <w:spacing w:before="0"/>
        <w:rPr>
          <w:rtl/>
          <w:lang w:val="en-US" w:bidi="ar-EG"/>
        </w:rPr>
      </w:pPr>
    </w:p>
    <w:p w:rsidR="00175E2D" w:rsidRDefault="00175E2D" w:rsidP="00DD3657">
      <w:pPr>
        <w:spacing w:before="0"/>
        <w:rPr>
          <w:rtl/>
          <w:lang w:val="en-US" w:bidi="ar-EG"/>
        </w:rPr>
      </w:pPr>
    </w:p>
    <w:p w:rsidR="00175E2D" w:rsidRDefault="00175E2D" w:rsidP="00DD3657">
      <w:pPr>
        <w:spacing w:before="0"/>
        <w:rPr>
          <w:rtl/>
          <w:lang w:val="en-US" w:bidi="ar-EG"/>
        </w:rPr>
      </w:pPr>
    </w:p>
    <w:p w:rsidR="00175E2D" w:rsidRDefault="00175E2D" w:rsidP="00DD3657">
      <w:pPr>
        <w:spacing w:before="0"/>
        <w:rPr>
          <w:rtl/>
          <w:lang w:val="en-US" w:bidi="ar-EG"/>
        </w:rPr>
      </w:pPr>
    </w:p>
    <w:p w:rsidR="00175E2D" w:rsidRDefault="00175E2D" w:rsidP="00DD3657">
      <w:pPr>
        <w:spacing w:before="0"/>
        <w:rPr>
          <w:lang w:val="en-US" w:bidi="ar-EG"/>
        </w:rPr>
      </w:pPr>
    </w:p>
    <w:p w:rsidR="00DD3657" w:rsidRDefault="00DD3657" w:rsidP="00DD3657">
      <w:pPr>
        <w:spacing w:before="0"/>
        <w:rPr>
          <w:rtl/>
          <w:lang w:val="en-US" w:bidi="ar-EG"/>
        </w:rPr>
      </w:pPr>
      <w:r>
        <w:rPr>
          <w:rtl/>
          <w:lang w:val="en-US" w:bidi="ar-EG"/>
        </w:rPr>
        <w:br w:type="page"/>
      </w:r>
    </w:p>
    <w:p w:rsidR="00DD3657" w:rsidRPr="00E8422C" w:rsidRDefault="00DD3657" w:rsidP="00DD3657">
      <w:pPr>
        <w:pStyle w:val="AnnexNO"/>
        <w:rPr>
          <w:b/>
          <w:bCs/>
        </w:rPr>
      </w:pPr>
      <w:bookmarkStart w:id="69" w:name="_Toc282768639"/>
      <w:r w:rsidRPr="00E8422C">
        <w:rPr>
          <w:b/>
          <w:bCs/>
          <w:rtl/>
        </w:rPr>
        <w:lastRenderedPageBreak/>
        <w:t xml:space="preserve">الملحـق </w:t>
      </w:r>
      <w:r w:rsidRPr="00E8422C">
        <w:rPr>
          <w:b/>
          <w:bCs/>
        </w:rPr>
        <w:t>1</w:t>
      </w:r>
      <w:bookmarkEnd w:id="69"/>
    </w:p>
    <w:p w:rsidR="00DD3657" w:rsidRPr="007651AB" w:rsidRDefault="00DD3657" w:rsidP="00175E2D">
      <w:pPr>
        <w:pStyle w:val="Annextitle"/>
        <w:rPr>
          <w:rtl/>
        </w:rPr>
      </w:pPr>
      <w:bookmarkStart w:id="70" w:name="_Toc209263381"/>
      <w:bookmarkStart w:id="71" w:name="_Toc223322739"/>
      <w:bookmarkStart w:id="72" w:name="_Toc223323192"/>
      <w:bookmarkStart w:id="73" w:name="_Toc282768640"/>
      <w:r w:rsidRPr="007651AB">
        <w:rPr>
          <w:rtl/>
        </w:rPr>
        <w:t xml:space="preserve">مثال مبسط لجدول يعطي قيمة المعامل </w:t>
      </w:r>
      <w:r w:rsidRPr="007651AB">
        <w:t>"bf"</w:t>
      </w:r>
      <w:r w:rsidRPr="007651AB">
        <w:rPr>
          <w:rtl/>
        </w:rPr>
        <w:t xml:space="preserve"> وفقاً لنطاق التردد</w:t>
      </w:r>
      <w:bookmarkEnd w:id="70"/>
      <w:bookmarkEnd w:id="71"/>
      <w:bookmarkEnd w:id="72"/>
      <w:bookmarkEnd w:id="73"/>
    </w:p>
    <w:p w:rsidR="00DD3657" w:rsidRDefault="00DD3657" w:rsidP="00AA4257">
      <w:pPr>
        <w:pStyle w:val="AnnexNotitle"/>
        <w:bidi/>
        <w:spacing w:before="360" w:line="192" w:lineRule="auto"/>
        <w:jc w:val="both"/>
        <w:rPr>
          <w:rFonts w:hint="eastAsia"/>
          <w:b w:val="0"/>
          <w:bCs/>
          <w:sz w:val="30"/>
          <w:szCs w:val="30"/>
          <w:rtl/>
          <w:lang w:bidi="ar-EG"/>
        </w:rPr>
      </w:pPr>
      <w:r w:rsidRPr="005C4BE3">
        <w:rPr>
          <w:b w:val="0"/>
          <w:bCs/>
          <w:sz w:val="30"/>
          <w:szCs w:val="30"/>
          <w:rtl/>
          <w:lang w:bidi="ar-EG"/>
        </w:rPr>
        <w:t>تشجع المعاملات المنخفضة المستعملين على شغل النطاقات المقابلة في حين أن المعاملات الأعلى تحثهم</w:t>
      </w:r>
      <w:r w:rsidRPr="005C4BE3">
        <w:rPr>
          <w:rFonts w:hint="cs"/>
          <w:b w:val="0"/>
          <w:bCs/>
          <w:sz w:val="30"/>
          <w:szCs w:val="30"/>
          <w:rtl/>
          <w:lang w:bidi="ar-EG"/>
        </w:rPr>
        <w:t xml:space="preserve"> </w:t>
      </w:r>
      <w:r w:rsidRPr="005C4BE3">
        <w:rPr>
          <w:b w:val="0"/>
          <w:bCs/>
          <w:sz w:val="30"/>
          <w:szCs w:val="30"/>
          <w:rtl/>
          <w:lang w:bidi="ar-EG"/>
        </w:rPr>
        <w:t>على ترك النطاقات</w:t>
      </w:r>
      <w:r>
        <w:rPr>
          <w:rFonts w:hint="cs"/>
          <w:b w:val="0"/>
          <w:bCs/>
          <w:sz w:val="30"/>
          <w:szCs w:val="30"/>
          <w:rtl/>
          <w:lang w:bidi="ar-EG"/>
        </w:rPr>
        <w:t> </w:t>
      </w:r>
      <w:r w:rsidRPr="005C4BE3">
        <w:rPr>
          <w:b w:val="0"/>
          <w:bCs/>
          <w:sz w:val="30"/>
          <w:szCs w:val="30"/>
          <w:rtl/>
          <w:lang w:bidi="ar-EG"/>
        </w:rPr>
        <w:t>المقابلة</w:t>
      </w:r>
    </w:p>
    <w:p w:rsidR="00AA4257" w:rsidRPr="00AA4257" w:rsidRDefault="00AA4257" w:rsidP="00AA4257">
      <w:pPr>
        <w:pStyle w:val="Normalaftertitle0"/>
        <w:pBdr>
          <w:bottom w:val="single" w:sz="12" w:space="1" w:color="auto"/>
        </w:pBdr>
        <w:bidi/>
        <w:spacing w:before="120" w:after="240" w:line="192" w:lineRule="auto"/>
        <w:rPr>
          <w:rtl/>
          <w:lang w:bidi="ar-EG"/>
        </w:rPr>
      </w:pPr>
    </w:p>
    <w:tbl>
      <w:tblPr>
        <w:bidiVisual/>
        <w:tblW w:w="0" w:type="auto"/>
        <w:tblLayout w:type="fixed"/>
        <w:tblCellMar>
          <w:top w:w="55" w:type="dxa"/>
          <w:left w:w="55" w:type="dxa"/>
          <w:bottom w:w="55" w:type="dxa"/>
          <w:right w:w="55" w:type="dxa"/>
        </w:tblCellMar>
        <w:tblLook w:val="0000"/>
      </w:tblPr>
      <w:tblGrid>
        <w:gridCol w:w="5499"/>
        <w:gridCol w:w="4138"/>
      </w:tblGrid>
      <w:tr w:rsidR="00DD3657" w:rsidRPr="00327D99" w:rsidTr="00AA4257">
        <w:tc>
          <w:tcPr>
            <w:tcW w:w="5499" w:type="dxa"/>
            <w:tcBorders>
              <w:top w:val="single" w:sz="1" w:space="0" w:color="000000"/>
              <w:left w:val="single" w:sz="1" w:space="0" w:color="000000"/>
              <w:bottom w:val="single" w:sz="1" w:space="0" w:color="000000"/>
            </w:tcBorders>
          </w:tcPr>
          <w:p w:rsidR="00DD3657" w:rsidRPr="00AA4257" w:rsidRDefault="00DD3657" w:rsidP="00AA4257">
            <w:pPr>
              <w:framePr w:hSpace="180" w:wrap="around" w:vAnchor="text" w:hAnchor="text" w:xAlign="right" w:y="1"/>
              <w:spacing w:before="60" w:after="60" w:line="300" w:lineRule="exact"/>
              <w:jc w:val="center"/>
              <w:rPr>
                <w:b/>
                <w:bCs/>
                <w:lang w:val="en-US" w:bidi="ar-EG"/>
              </w:rPr>
            </w:pPr>
            <w:r w:rsidRPr="00AA4257">
              <w:rPr>
                <w:b/>
                <w:bCs/>
                <w:rtl/>
                <w:lang w:val="en-US" w:bidi="ar-EG"/>
              </w:rPr>
              <w:t>موقع نطاق الترددات الموزع</w:t>
            </w:r>
          </w:p>
        </w:tc>
        <w:tc>
          <w:tcPr>
            <w:tcW w:w="4138" w:type="dxa"/>
            <w:tcBorders>
              <w:top w:val="single" w:sz="1" w:space="0" w:color="000000"/>
              <w:left w:val="single" w:sz="1" w:space="0" w:color="000000"/>
              <w:bottom w:val="single" w:sz="1" w:space="0" w:color="000000"/>
              <w:right w:val="single" w:sz="1" w:space="0" w:color="000000"/>
            </w:tcBorders>
          </w:tcPr>
          <w:p w:rsidR="00DD3657" w:rsidRPr="00AA4257" w:rsidRDefault="00DD3657" w:rsidP="00AA4257">
            <w:pPr>
              <w:framePr w:hSpace="180" w:wrap="around" w:vAnchor="text" w:hAnchor="text" w:xAlign="right" w:y="1"/>
              <w:spacing w:before="60" w:after="60" w:line="300" w:lineRule="exact"/>
              <w:jc w:val="center"/>
              <w:rPr>
                <w:b/>
                <w:bCs/>
                <w:rtl/>
                <w:lang w:val="en-US" w:bidi="ar-EG"/>
              </w:rPr>
            </w:pPr>
            <w:r w:rsidRPr="00AA4257">
              <w:rPr>
                <w:b/>
                <w:bCs/>
                <w:rtl/>
                <w:lang w:val="en-US" w:bidi="ar-EG"/>
              </w:rPr>
              <w:t xml:space="preserve">قيمة المعامل </w:t>
            </w:r>
            <w:r w:rsidRPr="00AA4257">
              <w:rPr>
                <w:b/>
                <w:bCs/>
                <w:lang w:val="en-US" w:bidi="ar-EG"/>
              </w:rPr>
              <w:t>« bf »</w:t>
            </w:r>
          </w:p>
        </w:tc>
      </w:tr>
      <w:tr w:rsidR="00DD3657" w:rsidRPr="00327D99" w:rsidTr="00AA4257">
        <w:tc>
          <w:tcPr>
            <w:tcW w:w="5499" w:type="dxa"/>
            <w:tcBorders>
              <w:left w:val="single" w:sz="1" w:space="0" w:color="000000"/>
              <w:bottom w:val="single" w:sz="1" w:space="0" w:color="000000"/>
            </w:tcBorders>
          </w:tcPr>
          <w:p w:rsidR="00DD3657" w:rsidRPr="00AA4257" w:rsidRDefault="00DD3657" w:rsidP="00AA4257">
            <w:pPr>
              <w:framePr w:hSpace="180" w:wrap="around" w:vAnchor="text" w:hAnchor="text" w:xAlign="right" w:y="1"/>
              <w:spacing w:before="60" w:after="60" w:line="300" w:lineRule="exact"/>
              <w:jc w:val="center"/>
              <w:rPr>
                <w:rtl/>
                <w:lang w:val="en-US" w:bidi="ar-EG"/>
              </w:rPr>
            </w:pPr>
            <w:r w:rsidRPr="00AA4257">
              <w:rPr>
                <w:lang w:val="en-US" w:bidi="ar-EG"/>
              </w:rPr>
              <w:t>MHz 29,7</w:t>
            </w:r>
            <w:r w:rsidRPr="00AA4257">
              <w:rPr>
                <w:rtl/>
                <w:lang w:val="en-US" w:bidi="ar-EG"/>
              </w:rPr>
              <w:t xml:space="preserve"> </w:t>
            </w:r>
            <w:r w:rsidRPr="00AA4257">
              <w:rPr>
                <w:lang w:bidi="ar-EG"/>
              </w:rPr>
              <w:t>≥</w:t>
            </w:r>
            <w:r w:rsidRPr="00AA4257">
              <w:rPr>
                <w:rFonts w:hint="cs"/>
                <w:rtl/>
                <w:lang w:bidi="ar-EG"/>
              </w:rPr>
              <w:t xml:space="preserve"> </w:t>
            </w:r>
            <w:r w:rsidRPr="00AA4257">
              <w:rPr>
                <w:rtl/>
                <w:lang w:bidi="ar-EG"/>
              </w:rPr>
              <w:t xml:space="preserve">نطاق الترددات </w:t>
            </w:r>
            <w:r w:rsidRPr="00AA4257">
              <w:rPr>
                <w:lang w:bidi="ar-EG"/>
              </w:rPr>
              <w:t>&gt;</w:t>
            </w:r>
            <w:r w:rsidRPr="00AA4257">
              <w:rPr>
                <w:rtl/>
                <w:lang w:val="en-US" w:bidi="ar-EG"/>
              </w:rPr>
              <w:t xml:space="preserve"> </w:t>
            </w:r>
            <w:r w:rsidRPr="00AA4257">
              <w:rPr>
                <w:lang w:val="en-US" w:bidi="ar-EG"/>
              </w:rPr>
              <w:t>MHz 1 375</w:t>
            </w:r>
          </w:p>
        </w:tc>
        <w:tc>
          <w:tcPr>
            <w:tcW w:w="4138" w:type="dxa"/>
            <w:tcBorders>
              <w:left w:val="single" w:sz="1" w:space="0" w:color="000000"/>
              <w:bottom w:val="single" w:sz="1" w:space="0" w:color="000000"/>
              <w:right w:val="single" w:sz="1" w:space="0" w:color="000000"/>
            </w:tcBorders>
          </w:tcPr>
          <w:p w:rsidR="00DD3657" w:rsidRPr="00AA4257" w:rsidRDefault="00DD3657" w:rsidP="00AA4257">
            <w:pPr>
              <w:framePr w:hSpace="180" w:wrap="around" w:vAnchor="text" w:hAnchor="text" w:xAlign="right" w:y="1"/>
              <w:spacing w:before="60" w:after="60" w:line="300" w:lineRule="exact"/>
              <w:jc w:val="center"/>
              <w:rPr>
                <w:lang w:val="en-US" w:bidi="ar-EG"/>
              </w:rPr>
            </w:pPr>
            <w:r w:rsidRPr="00AA4257">
              <w:rPr>
                <w:lang w:val="en-US" w:bidi="ar-EG"/>
              </w:rPr>
              <w:t>1</w:t>
            </w:r>
          </w:p>
        </w:tc>
      </w:tr>
      <w:tr w:rsidR="00DD3657" w:rsidRPr="00327D99" w:rsidTr="00AA4257">
        <w:tc>
          <w:tcPr>
            <w:tcW w:w="5499" w:type="dxa"/>
            <w:tcBorders>
              <w:left w:val="single" w:sz="1" w:space="0" w:color="000000"/>
              <w:bottom w:val="single" w:sz="1" w:space="0" w:color="000000"/>
            </w:tcBorders>
          </w:tcPr>
          <w:p w:rsidR="00DD3657" w:rsidRPr="00AA4257" w:rsidRDefault="00DD3657" w:rsidP="00AA4257">
            <w:pPr>
              <w:framePr w:hSpace="180" w:wrap="around" w:vAnchor="text" w:hAnchor="text" w:xAlign="right" w:y="1"/>
              <w:spacing w:before="60" w:after="60" w:line="300" w:lineRule="exact"/>
              <w:jc w:val="center"/>
              <w:rPr>
                <w:rtl/>
                <w:lang w:bidi="ar-EG"/>
              </w:rPr>
            </w:pPr>
            <w:r w:rsidRPr="00AA4257">
              <w:rPr>
                <w:lang w:bidi="ar-EG"/>
              </w:rPr>
              <w:t>MHz 1 375</w:t>
            </w:r>
            <w:r w:rsidRPr="00AA4257">
              <w:rPr>
                <w:rtl/>
                <w:lang w:bidi="ar-EG"/>
              </w:rPr>
              <w:t xml:space="preserve"> </w:t>
            </w:r>
            <w:r w:rsidRPr="00AA4257">
              <w:rPr>
                <w:lang w:bidi="ar-EG"/>
              </w:rPr>
              <w:t>≥</w:t>
            </w:r>
            <w:r w:rsidRPr="00AA4257">
              <w:rPr>
                <w:rtl/>
                <w:lang w:bidi="ar-EG"/>
              </w:rPr>
              <w:t xml:space="preserve"> نطاق الترددات </w:t>
            </w:r>
            <w:r w:rsidRPr="00AA4257">
              <w:rPr>
                <w:lang w:bidi="ar-EG"/>
              </w:rPr>
              <w:t>&gt;</w:t>
            </w:r>
            <w:r w:rsidRPr="00AA4257">
              <w:rPr>
                <w:rtl/>
                <w:lang w:bidi="ar-EG"/>
              </w:rPr>
              <w:t xml:space="preserve"> </w:t>
            </w:r>
            <w:r w:rsidRPr="00AA4257">
              <w:rPr>
                <w:lang w:val="en-US" w:bidi="ar-EG"/>
              </w:rPr>
              <w:t>MHz</w:t>
            </w:r>
            <w:r w:rsidRPr="00AA4257">
              <w:rPr>
                <w:lang w:bidi="ar-EG"/>
              </w:rPr>
              <w:t xml:space="preserve"> 3 400</w:t>
            </w:r>
          </w:p>
        </w:tc>
        <w:tc>
          <w:tcPr>
            <w:tcW w:w="4138" w:type="dxa"/>
            <w:tcBorders>
              <w:left w:val="single" w:sz="1" w:space="0" w:color="000000"/>
              <w:bottom w:val="single" w:sz="1" w:space="0" w:color="000000"/>
              <w:right w:val="single" w:sz="1" w:space="0" w:color="000000"/>
            </w:tcBorders>
          </w:tcPr>
          <w:p w:rsidR="00DD3657" w:rsidRPr="00AA4257" w:rsidRDefault="00DD3657" w:rsidP="00AA4257">
            <w:pPr>
              <w:framePr w:hSpace="180" w:wrap="around" w:vAnchor="text" w:hAnchor="text" w:xAlign="right" w:y="1"/>
              <w:spacing w:before="60" w:after="60" w:line="300" w:lineRule="exact"/>
              <w:jc w:val="center"/>
              <w:rPr>
                <w:lang w:val="en-US" w:bidi="ar-EG"/>
              </w:rPr>
            </w:pPr>
            <w:r w:rsidRPr="00AA4257">
              <w:rPr>
                <w:lang w:val="en-US" w:bidi="ar-EG"/>
              </w:rPr>
              <w:t>8</w:t>
            </w:r>
          </w:p>
        </w:tc>
      </w:tr>
      <w:tr w:rsidR="00DD3657" w:rsidRPr="00327D99" w:rsidTr="00AA4257">
        <w:tc>
          <w:tcPr>
            <w:tcW w:w="5499" w:type="dxa"/>
            <w:tcBorders>
              <w:left w:val="single" w:sz="1" w:space="0" w:color="000000"/>
              <w:bottom w:val="single" w:sz="1" w:space="0" w:color="000000"/>
            </w:tcBorders>
          </w:tcPr>
          <w:p w:rsidR="00DD3657" w:rsidRPr="00AA4257" w:rsidRDefault="00DD3657" w:rsidP="00AA4257">
            <w:pPr>
              <w:framePr w:hSpace="180" w:wrap="around" w:vAnchor="text" w:hAnchor="text" w:xAlign="right" w:y="1"/>
              <w:spacing w:before="60" w:after="60" w:line="300" w:lineRule="exact"/>
              <w:jc w:val="center"/>
              <w:rPr>
                <w:rtl/>
                <w:lang w:bidi="ar-EG"/>
              </w:rPr>
            </w:pPr>
            <w:r w:rsidRPr="00AA4257">
              <w:rPr>
                <w:lang w:bidi="ar-EG"/>
              </w:rPr>
              <w:t>MHz 3 400</w:t>
            </w:r>
            <w:r w:rsidRPr="00AA4257">
              <w:rPr>
                <w:rtl/>
                <w:lang w:bidi="ar-EG"/>
              </w:rPr>
              <w:t xml:space="preserve"> </w:t>
            </w:r>
            <w:r w:rsidRPr="00AA4257">
              <w:rPr>
                <w:lang w:bidi="ar-EG"/>
              </w:rPr>
              <w:t>≥</w:t>
            </w:r>
            <w:r w:rsidRPr="00AA4257">
              <w:rPr>
                <w:rtl/>
                <w:lang w:bidi="ar-EG"/>
              </w:rPr>
              <w:t xml:space="preserve"> نطاق الترددات </w:t>
            </w:r>
            <w:r w:rsidRPr="00AA4257">
              <w:rPr>
                <w:lang w:bidi="ar-EG"/>
              </w:rPr>
              <w:t>&gt;</w:t>
            </w:r>
            <w:r w:rsidRPr="00AA4257">
              <w:rPr>
                <w:rtl/>
                <w:lang w:bidi="ar-EG"/>
              </w:rPr>
              <w:t xml:space="preserve"> </w:t>
            </w:r>
            <w:r w:rsidRPr="00AA4257">
              <w:rPr>
                <w:lang w:val="en-US" w:bidi="ar-EG"/>
              </w:rPr>
              <w:t>MHz</w:t>
            </w:r>
            <w:r w:rsidRPr="00AA4257">
              <w:rPr>
                <w:lang w:bidi="ar-EG"/>
              </w:rPr>
              <w:t xml:space="preserve"> 7 110</w:t>
            </w:r>
          </w:p>
        </w:tc>
        <w:tc>
          <w:tcPr>
            <w:tcW w:w="4138" w:type="dxa"/>
            <w:tcBorders>
              <w:left w:val="single" w:sz="1" w:space="0" w:color="000000"/>
              <w:bottom w:val="single" w:sz="1" w:space="0" w:color="000000"/>
              <w:right w:val="single" w:sz="1" w:space="0" w:color="000000"/>
            </w:tcBorders>
          </w:tcPr>
          <w:p w:rsidR="00DD3657" w:rsidRPr="00AA4257" w:rsidRDefault="00DD3657" w:rsidP="00AA4257">
            <w:pPr>
              <w:framePr w:hSpace="180" w:wrap="around" w:vAnchor="text" w:hAnchor="text" w:xAlign="right" w:y="1"/>
              <w:spacing w:before="60" w:after="60" w:line="300" w:lineRule="exact"/>
              <w:jc w:val="center"/>
              <w:rPr>
                <w:lang w:val="en-US" w:bidi="ar-EG"/>
              </w:rPr>
            </w:pPr>
            <w:r w:rsidRPr="00AA4257">
              <w:rPr>
                <w:lang w:val="en-US" w:bidi="ar-EG"/>
              </w:rPr>
              <w:t>2</w:t>
            </w:r>
          </w:p>
        </w:tc>
      </w:tr>
      <w:tr w:rsidR="00DD3657" w:rsidRPr="00327D99" w:rsidTr="00AA4257">
        <w:tc>
          <w:tcPr>
            <w:tcW w:w="5499" w:type="dxa"/>
            <w:tcBorders>
              <w:left w:val="single" w:sz="1" w:space="0" w:color="000000"/>
              <w:bottom w:val="single" w:sz="1" w:space="0" w:color="000000"/>
            </w:tcBorders>
          </w:tcPr>
          <w:p w:rsidR="00DD3657" w:rsidRPr="00AA4257" w:rsidRDefault="00DD3657" w:rsidP="00AA4257">
            <w:pPr>
              <w:framePr w:hSpace="180" w:wrap="around" w:vAnchor="text" w:hAnchor="text" w:xAlign="right" w:y="1"/>
              <w:spacing w:before="60" w:after="60" w:line="300" w:lineRule="exact"/>
              <w:jc w:val="center"/>
              <w:rPr>
                <w:rtl/>
                <w:lang w:bidi="ar-EG"/>
              </w:rPr>
            </w:pPr>
            <w:r w:rsidRPr="00AA4257">
              <w:rPr>
                <w:lang w:bidi="ar-EG"/>
              </w:rPr>
              <w:t>MHz 7 110</w:t>
            </w:r>
            <w:r w:rsidRPr="00AA4257">
              <w:rPr>
                <w:rtl/>
                <w:lang w:bidi="ar-EG"/>
              </w:rPr>
              <w:t xml:space="preserve"> </w:t>
            </w:r>
            <w:r w:rsidRPr="00AA4257">
              <w:rPr>
                <w:lang w:bidi="ar-EG"/>
              </w:rPr>
              <w:t>≥</w:t>
            </w:r>
            <w:r w:rsidRPr="00AA4257">
              <w:rPr>
                <w:rtl/>
                <w:lang w:bidi="ar-EG"/>
              </w:rPr>
              <w:t xml:space="preserve"> نطاق الترددات </w:t>
            </w:r>
            <w:r w:rsidRPr="00AA4257">
              <w:rPr>
                <w:lang w:bidi="ar-EG"/>
              </w:rPr>
              <w:t>&gt;</w:t>
            </w:r>
            <w:r w:rsidRPr="00AA4257">
              <w:rPr>
                <w:rFonts w:hint="cs"/>
                <w:rtl/>
                <w:lang w:bidi="ar-EG"/>
              </w:rPr>
              <w:t xml:space="preserve"> </w:t>
            </w:r>
            <w:r w:rsidRPr="00AA4257">
              <w:rPr>
                <w:lang w:bidi="ar-EG"/>
              </w:rPr>
              <w:t>GHz 12,75</w:t>
            </w:r>
          </w:p>
        </w:tc>
        <w:tc>
          <w:tcPr>
            <w:tcW w:w="4138" w:type="dxa"/>
            <w:tcBorders>
              <w:left w:val="single" w:sz="1" w:space="0" w:color="000000"/>
              <w:bottom w:val="single" w:sz="1" w:space="0" w:color="000000"/>
              <w:right w:val="single" w:sz="1" w:space="0" w:color="000000"/>
            </w:tcBorders>
          </w:tcPr>
          <w:p w:rsidR="00DD3657" w:rsidRPr="00AA4257" w:rsidRDefault="00DD3657" w:rsidP="00AA4257">
            <w:pPr>
              <w:framePr w:hSpace="180" w:wrap="around" w:vAnchor="text" w:hAnchor="text" w:xAlign="right" w:y="1"/>
              <w:spacing w:before="60" w:after="60" w:line="300" w:lineRule="exact"/>
              <w:jc w:val="center"/>
              <w:rPr>
                <w:lang w:val="en-US" w:bidi="ar-EG"/>
              </w:rPr>
            </w:pPr>
            <w:r w:rsidRPr="00AA4257">
              <w:rPr>
                <w:lang w:val="en-US" w:bidi="ar-EG"/>
              </w:rPr>
              <w:t>1,5</w:t>
            </w:r>
          </w:p>
        </w:tc>
      </w:tr>
      <w:tr w:rsidR="00DD3657" w:rsidRPr="00327D99" w:rsidTr="00AA4257">
        <w:tc>
          <w:tcPr>
            <w:tcW w:w="5499" w:type="dxa"/>
            <w:tcBorders>
              <w:left w:val="single" w:sz="1" w:space="0" w:color="000000"/>
              <w:bottom w:val="single" w:sz="1" w:space="0" w:color="000000"/>
            </w:tcBorders>
          </w:tcPr>
          <w:p w:rsidR="00DD3657" w:rsidRPr="00AA4257" w:rsidRDefault="00DD3657" w:rsidP="00AA4257">
            <w:pPr>
              <w:framePr w:hSpace="180" w:wrap="around" w:vAnchor="text" w:hAnchor="text" w:xAlign="right" w:y="1"/>
              <w:spacing w:before="60" w:after="60" w:line="300" w:lineRule="exact"/>
              <w:jc w:val="center"/>
              <w:rPr>
                <w:lang w:bidi="ar-EG"/>
              </w:rPr>
            </w:pPr>
            <w:r w:rsidRPr="00AA4257">
              <w:rPr>
                <w:lang w:bidi="ar-EG"/>
              </w:rPr>
              <w:t>GHz 12,75</w:t>
            </w:r>
            <w:r w:rsidRPr="00AA4257">
              <w:rPr>
                <w:rtl/>
                <w:lang w:bidi="ar-EG"/>
              </w:rPr>
              <w:t xml:space="preserve"> </w:t>
            </w:r>
            <w:r w:rsidRPr="00AA4257">
              <w:rPr>
                <w:lang w:bidi="ar-EG"/>
              </w:rPr>
              <w:t>≥</w:t>
            </w:r>
            <w:r w:rsidRPr="00AA4257">
              <w:rPr>
                <w:rtl/>
                <w:lang w:bidi="ar-EG"/>
              </w:rPr>
              <w:t xml:space="preserve"> نطاق الترددات </w:t>
            </w:r>
            <w:r w:rsidRPr="00AA4257">
              <w:rPr>
                <w:lang w:bidi="ar-EG"/>
              </w:rPr>
              <w:t>&gt;</w:t>
            </w:r>
            <w:r w:rsidRPr="00AA4257">
              <w:rPr>
                <w:rtl/>
                <w:lang w:bidi="ar-EG"/>
              </w:rPr>
              <w:t xml:space="preserve"> </w:t>
            </w:r>
            <w:r w:rsidRPr="00AA4257">
              <w:rPr>
                <w:lang w:bidi="ar-EG"/>
              </w:rPr>
              <w:t>GHz 14,5</w:t>
            </w:r>
          </w:p>
        </w:tc>
        <w:tc>
          <w:tcPr>
            <w:tcW w:w="4138" w:type="dxa"/>
            <w:tcBorders>
              <w:left w:val="single" w:sz="1" w:space="0" w:color="000000"/>
              <w:bottom w:val="single" w:sz="1" w:space="0" w:color="000000"/>
              <w:right w:val="single" w:sz="1" w:space="0" w:color="000000"/>
            </w:tcBorders>
          </w:tcPr>
          <w:p w:rsidR="00DD3657" w:rsidRPr="00AA4257" w:rsidRDefault="00DD3657" w:rsidP="00AA4257">
            <w:pPr>
              <w:framePr w:hSpace="180" w:wrap="around" w:vAnchor="text" w:hAnchor="text" w:xAlign="right" w:y="1"/>
              <w:spacing w:before="60" w:after="60" w:line="300" w:lineRule="exact"/>
              <w:jc w:val="center"/>
              <w:rPr>
                <w:lang w:val="en-US" w:bidi="ar-EG"/>
              </w:rPr>
            </w:pPr>
            <w:r w:rsidRPr="00AA4257">
              <w:rPr>
                <w:lang w:val="en-US" w:bidi="ar-EG"/>
              </w:rPr>
              <w:t>1</w:t>
            </w:r>
          </w:p>
        </w:tc>
      </w:tr>
      <w:tr w:rsidR="00DD3657" w:rsidRPr="00327D99" w:rsidTr="00AA4257">
        <w:tc>
          <w:tcPr>
            <w:tcW w:w="5499" w:type="dxa"/>
            <w:tcBorders>
              <w:left w:val="single" w:sz="1" w:space="0" w:color="000000"/>
              <w:bottom w:val="single" w:sz="4" w:space="0" w:color="auto"/>
            </w:tcBorders>
          </w:tcPr>
          <w:p w:rsidR="00DD3657" w:rsidRPr="00AA4257" w:rsidRDefault="00DD3657" w:rsidP="00AA4257">
            <w:pPr>
              <w:framePr w:hSpace="180" w:wrap="around" w:vAnchor="text" w:hAnchor="text" w:xAlign="right" w:y="1"/>
              <w:spacing w:before="60" w:after="60" w:line="300" w:lineRule="exact"/>
              <w:jc w:val="center"/>
              <w:rPr>
                <w:lang w:bidi="ar-EG"/>
              </w:rPr>
            </w:pPr>
            <w:r w:rsidRPr="00AA4257">
              <w:rPr>
                <w:lang w:bidi="ar-EG"/>
              </w:rPr>
              <w:t>GHz 14,5</w:t>
            </w:r>
            <w:r w:rsidRPr="00AA4257">
              <w:rPr>
                <w:rtl/>
                <w:lang w:bidi="ar-EG"/>
              </w:rPr>
              <w:t xml:space="preserve"> </w:t>
            </w:r>
            <w:r w:rsidRPr="00AA4257">
              <w:rPr>
                <w:lang w:bidi="ar-EG"/>
              </w:rPr>
              <w:t>≥</w:t>
            </w:r>
            <w:r w:rsidRPr="00AA4257">
              <w:rPr>
                <w:rtl/>
                <w:lang w:bidi="ar-EG"/>
              </w:rPr>
              <w:t xml:space="preserve"> نطاق الترددات </w:t>
            </w:r>
            <w:r w:rsidRPr="00AA4257">
              <w:rPr>
                <w:lang w:bidi="ar-EG"/>
              </w:rPr>
              <w:t>&gt;</w:t>
            </w:r>
            <w:r w:rsidRPr="00AA4257">
              <w:rPr>
                <w:rtl/>
                <w:lang w:bidi="ar-EG"/>
              </w:rPr>
              <w:t xml:space="preserve"> </w:t>
            </w:r>
            <w:r w:rsidRPr="00AA4257">
              <w:rPr>
                <w:lang w:bidi="ar-EG"/>
              </w:rPr>
              <w:t>GHz 20,2</w:t>
            </w:r>
          </w:p>
        </w:tc>
        <w:tc>
          <w:tcPr>
            <w:tcW w:w="4138" w:type="dxa"/>
            <w:tcBorders>
              <w:left w:val="single" w:sz="1" w:space="0" w:color="000000"/>
              <w:bottom w:val="single" w:sz="4" w:space="0" w:color="auto"/>
              <w:right w:val="single" w:sz="1" w:space="0" w:color="000000"/>
            </w:tcBorders>
          </w:tcPr>
          <w:p w:rsidR="00DD3657" w:rsidRPr="00AA4257" w:rsidRDefault="00DD3657" w:rsidP="00AA4257">
            <w:pPr>
              <w:framePr w:hSpace="180" w:wrap="around" w:vAnchor="text" w:hAnchor="text" w:xAlign="right" w:y="1"/>
              <w:spacing w:before="60" w:after="60" w:line="300" w:lineRule="exact"/>
              <w:jc w:val="center"/>
              <w:rPr>
                <w:lang w:val="en-US" w:bidi="ar-EG"/>
              </w:rPr>
            </w:pPr>
            <w:r w:rsidRPr="00AA4257">
              <w:rPr>
                <w:lang w:val="en-US" w:bidi="ar-EG"/>
              </w:rPr>
              <w:t>0,7</w:t>
            </w:r>
          </w:p>
        </w:tc>
      </w:tr>
      <w:tr w:rsidR="00DD3657" w:rsidRPr="00327D99" w:rsidTr="00AA4257">
        <w:tc>
          <w:tcPr>
            <w:tcW w:w="5499" w:type="dxa"/>
            <w:tcBorders>
              <w:top w:val="single" w:sz="4" w:space="0" w:color="auto"/>
              <w:left w:val="single" w:sz="2" w:space="0" w:color="000000"/>
              <w:bottom w:val="single" w:sz="2" w:space="0" w:color="000000"/>
              <w:right w:val="single" w:sz="2" w:space="0" w:color="000000"/>
            </w:tcBorders>
          </w:tcPr>
          <w:p w:rsidR="00DD3657" w:rsidRPr="00AA4257" w:rsidRDefault="00DD3657" w:rsidP="00AA4257">
            <w:pPr>
              <w:framePr w:hSpace="180" w:wrap="around" w:vAnchor="text" w:hAnchor="text" w:xAlign="right" w:y="1"/>
              <w:spacing w:before="60" w:after="60" w:line="300" w:lineRule="exact"/>
              <w:jc w:val="center"/>
              <w:rPr>
                <w:lang w:bidi="ar-EG"/>
              </w:rPr>
            </w:pPr>
            <w:r w:rsidRPr="00AA4257">
              <w:rPr>
                <w:lang w:bidi="ar-EG"/>
              </w:rPr>
              <w:t>GHz 20,2</w:t>
            </w:r>
            <w:r w:rsidRPr="00AA4257">
              <w:rPr>
                <w:rtl/>
                <w:lang w:bidi="ar-EG"/>
              </w:rPr>
              <w:t xml:space="preserve"> </w:t>
            </w:r>
            <w:r w:rsidRPr="00AA4257">
              <w:rPr>
                <w:lang w:bidi="ar-EG"/>
              </w:rPr>
              <w:t>&gt;</w:t>
            </w:r>
            <w:r w:rsidRPr="00AA4257">
              <w:rPr>
                <w:rtl/>
                <w:lang w:bidi="ar-EG"/>
              </w:rPr>
              <w:t xml:space="preserve"> نطاق الترددات </w:t>
            </w:r>
            <w:r w:rsidRPr="00AA4257">
              <w:rPr>
                <w:lang w:bidi="ar-EG"/>
              </w:rPr>
              <w:t>&gt;</w:t>
            </w:r>
            <w:r w:rsidRPr="00AA4257">
              <w:rPr>
                <w:rtl/>
                <w:lang w:bidi="ar-EG"/>
              </w:rPr>
              <w:t xml:space="preserve"> </w:t>
            </w:r>
            <w:r w:rsidRPr="00AA4257">
              <w:rPr>
                <w:lang w:bidi="ar-EG"/>
              </w:rPr>
              <w:t>GHz 37,5</w:t>
            </w:r>
          </w:p>
        </w:tc>
        <w:tc>
          <w:tcPr>
            <w:tcW w:w="4138" w:type="dxa"/>
            <w:tcBorders>
              <w:top w:val="single" w:sz="4" w:space="0" w:color="auto"/>
              <w:left w:val="single" w:sz="2" w:space="0" w:color="000000"/>
              <w:bottom w:val="single" w:sz="2" w:space="0" w:color="000000"/>
              <w:right w:val="single" w:sz="2" w:space="0" w:color="000000"/>
            </w:tcBorders>
          </w:tcPr>
          <w:p w:rsidR="00DD3657" w:rsidRPr="00AA4257" w:rsidRDefault="00DD3657" w:rsidP="00AA4257">
            <w:pPr>
              <w:framePr w:hSpace="180" w:wrap="around" w:vAnchor="text" w:hAnchor="text" w:xAlign="right" w:y="1"/>
              <w:spacing w:before="60" w:after="60" w:line="300" w:lineRule="exact"/>
              <w:jc w:val="center"/>
              <w:rPr>
                <w:rtl/>
                <w:lang w:val="en-US" w:bidi="ar-EG"/>
              </w:rPr>
            </w:pPr>
            <w:r w:rsidRPr="00AA4257">
              <w:rPr>
                <w:lang w:val="en-US" w:bidi="ar-EG"/>
              </w:rPr>
              <w:t>0,5</w:t>
            </w:r>
          </w:p>
        </w:tc>
      </w:tr>
      <w:tr w:rsidR="00DD3657" w:rsidRPr="00327D99" w:rsidTr="00AA4257">
        <w:tc>
          <w:tcPr>
            <w:tcW w:w="5499" w:type="dxa"/>
            <w:tcBorders>
              <w:top w:val="single" w:sz="2" w:space="0" w:color="000000"/>
              <w:left w:val="single" w:sz="1" w:space="0" w:color="000000"/>
              <w:bottom w:val="single" w:sz="1" w:space="0" w:color="000000"/>
            </w:tcBorders>
          </w:tcPr>
          <w:p w:rsidR="00DD3657" w:rsidRPr="00AA4257" w:rsidRDefault="00DD3657" w:rsidP="00AA4257">
            <w:pPr>
              <w:framePr w:hSpace="180" w:wrap="around" w:vAnchor="text" w:hAnchor="text" w:xAlign="right" w:y="1"/>
              <w:spacing w:before="60" w:after="60" w:line="300" w:lineRule="exact"/>
              <w:jc w:val="center"/>
              <w:rPr>
                <w:b/>
                <w:bCs/>
                <w:lang w:val="en-US" w:bidi="ar-EG"/>
              </w:rPr>
            </w:pPr>
            <w:r w:rsidRPr="00AA4257">
              <w:rPr>
                <w:lang w:val="en-US" w:bidi="ar-EG"/>
              </w:rPr>
              <w:t>GHz 37,5</w:t>
            </w:r>
            <w:r w:rsidRPr="00AA4257">
              <w:rPr>
                <w:rtl/>
                <w:lang w:bidi="ar-EG"/>
              </w:rPr>
              <w:t xml:space="preserve"> </w:t>
            </w:r>
            <w:r w:rsidRPr="00AA4257">
              <w:rPr>
                <w:lang w:bidi="ar-EG"/>
              </w:rPr>
              <w:t>≥</w:t>
            </w:r>
            <w:r w:rsidRPr="00AA4257">
              <w:rPr>
                <w:rtl/>
                <w:lang w:bidi="ar-EG"/>
              </w:rPr>
              <w:t xml:space="preserve"> نطاق الترددات</w:t>
            </w:r>
          </w:p>
        </w:tc>
        <w:tc>
          <w:tcPr>
            <w:tcW w:w="4138" w:type="dxa"/>
            <w:tcBorders>
              <w:top w:val="single" w:sz="2" w:space="0" w:color="000000"/>
              <w:left w:val="single" w:sz="1" w:space="0" w:color="000000"/>
              <w:bottom w:val="single" w:sz="1" w:space="0" w:color="000000"/>
              <w:right w:val="single" w:sz="1" w:space="0" w:color="000000"/>
            </w:tcBorders>
          </w:tcPr>
          <w:p w:rsidR="00DD3657" w:rsidRPr="00AA4257" w:rsidRDefault="00DD3657" w:rsidP="00AA4257">
            <w:pPr>
              <w:framePr w:hSpace="180" w:wrap="around" w:vAnchor="text" w:hAnchor="text" w:xAlign="right" w:y="1"/>
              <w:spacing w:before="60" w:after="60" w:line="300" w:lineRule="exact"/>
              <w:jc w:val="center"/>
              <w:rPr>
                <w:lang w:val="en-US" w:bidi="ar-EG"/>
              </w:rPr>
            </w:pPr>
            <w:r w:rsidRPr="00AA4257">
              <w:rPr>
                <w:lang w:val="en-US" w:bidi="ar-EG"/>
              </w:rPr>
              <w:t>0,3</w:t>
            </w:r>
          </w:p>
        </w:tc>
      </w:tr>
    </w:tbl>
    <w:p w:rsidR="00DD3657" w:rsidRDefault="00DD3657" w:rsidP="00AA4257">
      <w:pPr>
        <w:pBdr>
          <w:bottom w:val="single" w:sz="12" w:space="1" w:color="auto"/>
        </w:pBdr>
        <w:spacing w:before="0"/>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Pr="00327D99" w:rsidRDefault="00AA4257" w:rsidP="00AA4257">
      <w:pPr>
        <w:rPr>
          <w:rtl/>
          <w:lang w:val="en-US" w:bidi="ar-EG"/>
        </w:rPr>
      </w:pPr>
    </w:p>
    <w:p w:rsidR="00DD3657" w:rsidRPr="00327D99" w:rsidRDefault="00DD3657" w:rsidP="00AA4257">
      <w:pPr>
        <w:rPr>
          <w:rtl/>
          <w:lang w:val="en-US" w:bidi="ar-EG"/>
        </w:rPr>
      </w:pPr>
    </w:p>
    <w:p w:rsidR="00AA4257" w:rsidRDefault="00AA4257">
      <w:pPr>
        <w:tabs>
          <w:tab w:val="clear" w:pos="794"/>
          <w:tab w:val="clear" w:pos="1191"/>
          <w:tab w:val="clear" w:pos="1588"/>
          <w:tab w:val="clear" w:pos="1985"/>
        </w:tabs>
        <w:overflowPunct/>
        <w:autoSpaceDE/>
        <w:autoSpaceDN/>
        <w:bidi w:val="0"/>
        <w:adjustRightInd/>
        <w:spacing w:before="0" w:line="240" w:lineRule="auto"/>
        <w:jc w:val="left"/>
        <w:textAlignment w:val="auto"/>
        <w:rPr>
          <w:sz w:val="28"/>
          <w:szCs w:val="40"/>
          <w:rtl/>
          <w:lang w:bidi="ar-EG"/>
        </w:rPr>
      </w:pPr>
      <w:r>
        <w:rPr>
          <w:rtl/>
        </w:rPr>
        <w:br w:type="page"/>
      </w:r>
    </w:p>
    <w:p w:rsidR="00DD3657" w:rsidRPr="00E8422C" w:rsidRDefault="00DD3657" w:rsidP="00DD3657">
      <w:pPr>
        <w:pStyle w:val="AnnexNO"/>
        <w:rPr>
          <w:rFonts w:ascii="Times New Roman" w:hAnsi="Times New Roman"/>
          <w:b/>
          <w:bCs/>
          <w:rtl/>
        </w:rPr>
      </w:pPr>
      <w:bookmarkStart w:id="74" w:name="_Toc282768641"/>
      <w:r w:rsidRPr="00E8422C">
        <w:rPr>
          <w:b/>
          <w:bCs/>
          <w:rtl/>
        </w:rPr>
        <w:lastRenderedPageBreak/>
        <w:t>الملحـق</w:t>
      </w:r>
      <w:r w:rsidRPr="00E8422C">
        <w:rPr>
          <w:rFonts w:ascii="Times New Roman" w:hAnsi="Times New Roman"/>
          <w:b/>
          <w:bCs/>
          <w:rtl/>
        </w:rPr>
        <w:t xml:space="preserve"> </w:t>
      </w:r>
      <w:r w:rsidRPr="00E8422C">
        <w:rPr>
          <w:rFonts w:ascii="Times New Roman" w:hAnsi="Times New Roman"/>
          <w:b/>
          <w:bCs/>
          <w:lang w:val="en-US"/>
        </w:rPr>
        <w:t>2</w:t>
      </w:r>
      <w:bookmarkEnd w:id="74"/>
    </w:p>
    <w:p w:rsidR="00DD3657" w:rsidRPr="007651AB" w:rsidRDefault="00DD3657" w:rsidP="00DD3657">
      <w:pPr>
        <w:pStyle w:val="Annextitle"/>
        <w:rPr>
          <w:rtl/>
        </w:rPr>
      </w:pPr>
      <w:bookmarkStart w:id="75" w:name="_Toc209263383"/>
      <w:bookmarkStart w:id="76" w:name="_Toc223322741"/>
      <w:bookmarkStart w:id="77" w:name="_Toc223323194"/>
      <w:bookmarkStart w:id="78" w:name="_Toc282768642"/>
      <w:r w:rsidRPr="007651AB">
        <w:rPr>
          <w:rtl/>
        </w:rPr>
        <w:t xml:space="preserve">مثال لجدول يعطي قيمة المعامل </w:t>
      </w:r>
      <w:r w:rsidRPr="007651AB">
        <w:t>"a"</w:t>
      </w:r>
      <w:r w:rsidRPr="007651AB">
        <w:rPr>
          <w:rtl/>
        </w:rPr>
        <w:t xml:space="preserve"> تبعاً للخدمة</w:t>
      </w:r>
      <w:bookmarkEnd w:id="75"/>
      <w:bookmarkEnd w:id="76"/>
      <w:bookmarkEnd w:id="77"/>
      <w:bookmarkEnd w:id="78"/>
    </w:p>
    <w:p w:rsidR="00DD3657" w:rsidRPr="00327D99" w:rsidRDefault="00DD3657" w:rsidP="00AA4257">
      <w:pPr>
        <w:pBdr>
          <w:bottom w:val="single" w:sz="12" w:space="1" w:color="auto"/>
        </w:pBdr>
        <w:spacing w:after="240"/>
        <w:rPr>
          <w:rtl/>
          <w:lang w:val="en-US" w:bidi="ar-EG"/>
        </w:rPr>
      </w:pPr>
    </w:p>
    <w:tbl>
      <w:tblPr>
        <w:bidiVisual/>
        <w:tblW w:w="5000" w:type="pct"/>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97"/>
        <w:gridCol w:w="4268"/>
      </w:tblGrid>
      <w:tr w:rsidR="00DD3657" w:rsidRPr="00327D99" w:rsidTr="009F1A88">
        <w:trPr>
          <w:trHeight w:val="510"/>
        </w:trPr>
        <w:tc>
          <w:tcPr>
            <w:tcW w:w="4925" w:type="dxa"/>
            <w:tcMar>
              <w:top w:w="28" w:type="dxa"/>
              <w:left w:w="113" w:type="dxa"/>
              <w:bottom w:w="28" w:type="dxa"/>
              <w:right w:w="113" w:type="dxa"/>
            </w:tcMar>
            <w:vAlign w:val="center"/>
          </w:tcPr>
          <w:p w:rsidR="00DD3657" w:rsidRPr="00AA4257" w:rsidRDefault="00DD3657" w:rsidP="009F1A88">
            <w:pPr>
              <w:framePr w:hSpace="181" w:wrap="around" w:vAnchor="text" w:hAnchor="text" w:xAlign="center" w:y="1"/>
              <w:spacing w:before="60" w:after="60" w:line="300" w:lineRule="exact"/>
              <w:jc w:val="center"/>
              <w:rPr>
                <w:b/>
                <w:bCs/>
                <w:lang w:val="en-US" w:bidi="ar-EG"/>
              </w:rPr>
            </w:pPr>
            <w:r w:rsidRPr="00AA4257">
              <w:rPr>
                <w:b/>
                <w:bCs/>
                <w:rtl/>
                <w:lang w:val="en-US" w:bidi="ar-EG"/>
              </w:rPr>
              <w:t>نطاقات التردد</w:t>
            </w:r>
          </w:p>
        </w:tc>
        <w:tc>
          <w:tcPr>
            <w:tcW w:w="3755" w:type="dxa"/>
            <w:tcMar>
              <w:top w:w="28" w:type="dxa"/>
              <w:left w:w="113" w:type="dxa"/>
              <w:bottom w:w="28" w:type="dxa"/>
              <w:right w:w="113" w:type="dxa"/>
            </w:tcMar>
            <w:vAlign w:val="center"/>
          </w:tcPr>
          <w:p w:rsidR="00DD3657" w:rsidRPr="00AA4257" w:rsidRDefault="00DD3657" w:rsidP="009F1A88">
            <w:pPr>
              <w:framePr w:hSpace="181" w:wrap="around" w:vAnchor="text" w:hAnchor="text" w:xAlign="center" w:y="1"/>
              <w:spacing w:before="60" w:after="60" w:line="300" w:lineRule="exact"/>
              <w:jc w:val="center"/>
              <w:rPr>
                <w:b/>
                <w:bCs/>
                <w:lang w:val="en-US" w:bidi="ar-EG"/>
              </w:rPr>
            </w:pPr>
            <w:r w:rsidRPr="00AA4257">
              <w:rPr>
                <w:b/>
                <w:bCs/>
                <w:rtl/>
                <w:lang w:val="en-US" w:bidi="ar-EG"/>
              </w:rPr>
              <w:t xml:space="preserve">قيمة المعامل </w:t>
            </w:r>
            <w:r w:rsidRPr="00AA4257">
              <w:rPr>
                <w:b/>
                <w:bCs/>
                <w:lang w:val="en-US" w:bidi="ar-EG"/>
              </w:rPr>
              <w:t>« a »</w:t>
            </w:r>
          </w:p>
        </w:tc>
      </w:tr>
      <w:tr w:rsidR="00DD3657" w:rsidRPr="00327D99" w:rsidTr="009F1A88">
        <w:trPr>
          <w:trHeight w:val="525"/>
        </w:trPr>
        <w:tc>
          <w:tcPr>
            <w:tcW w:w="4925" w:type="dxa"/>
            <w:tcMar>
              <w:top w:w="28" w:type="dxa"/>
              <w:left w:w="113" w:type="dxa"/>
              <w:bottom w:w="28" w:type="dxa"/>
              <w:right w:w="113" w:type="dxa"/>
            </w:tcMar>
            <w:vAlign w:val="center"/>
          </w:tcPr>
          <w:p w:rsidR="00DD3657" w:rsidRPr="00AA4257" w:rsidRDefault="00DD3657" w:rsidP="009F1A88">
            <w:pPr>
              <w:framePr w:hSpace="181" w:wrap="around" w:vAnchor="text" w:hAnchor="text" w:xAlign="center" w:y="1"/>
              <w:spacing w:before="60" w:after="60" w:line="300" w:lineRule="exact"/>
              <w:rPr>
                <w:rtl/>
                <w:lang w:val="en-US" w:bidi="ar-EG"/>
              </w:rPr>
            </w:pPr>
            <w:r w:rsidRPr="00AA4257">
              <w:rPr>
                <w:rtl/>
                <w:lang w:val="en-US" w:bidi="ar-EG"/>
              </w:rPr>
              <w:t xml:space="preserve">ترددات الخدمة الثابتة أقل من </w:t>
            </w:r>
            <w:r w:rsidRPr="00AA4257">
              <w:rPr>
                <w:lang w:val="en-US" w:bidi="ar-EG"/>
              </w:rPr>
              <w:t>GHz 20</w:t>
            </w:r>
          </w:p>
        </w:tc>
        <w:tc>
          <w:tcPr>
            <w:tcW w:w="3755" w:type="dxa"/>
            <w:tcMar>
              <w:top w:w="28" w:type="dxa"/>
              <w:left w:w="113" w:type="dxa"/>
              <w:bottom w:w="28" w:type="dxa"/>
              <w:right w:w="113" w:type="dxa"/>
            </w:tcMar>
            <w:vAlign w:val="center"/>
          </w:tcPr>
          <w:p w:rsidR="00DD3657" w:rsidRPr="00AA4257" w:rsidRDefault="00DD3657" w:rsidP="009F1A88">
            <w:pPr>
              <w:framePr w:hSpace="181" w:wrap="around" w:vAnchor="text" w:hAnchor="text" w:xAlign="center" w:y="1"/>
              <w:spacing w:before="60" w:after="60" w:line="300" w:lineRule="exact"/>
              <w:jc w:val="center"/>
              <w:rPr>
                <w:lang w:val="en-US" w:bidi="ar-EG"/>
              </w:rPr>
            </w:pPr>
            <w:r w:rsidRPr="00AA4257">
              <w:rPr>
                <w:lang w:val="en-US" w:bidi="ar-EG"/>
              </w:rPr>
              <w:t>400</w:t>
            </w:r>
          </w:p>
        </w:tc>
      </w:tr>
      <w:tr w:rsidR="00DD3657" w:rsidRPr="00327D99" w:rsidTr="009F1A88">
        <w:trPr>
          <w:trHeight w:val="510"/>
        </w:trPr>
        <w:tc>
          <w:tcPr>
            <w:tcW w:w="4925" w:type="dxa"/>
            <w:tcMar>
              <w:top w:w="28" w:type="dxa"/>
              <w:left w:w="113" w:type="dxa"/>
              <w:bottom w:w="28" w:type="dxa"/>
              <w:right w:w="113" w:type="dxa"/>
            </w:tcMar>
            <w:vAlign w:val="center"/>
          </w:tcPr>
          <w:p w:rsidR="00DD3657" w:rsidRPr="00AA4257" w:rsidRDefault="00DD3657" w:rsidP="009F1A88">
            <w:pPr>
              <w:framePr w:hSpace="181" w:wrap="around" w:vAnchor="text" w:hAnchor="text" w:xAlign="center" w:y="1"/>
              <w:spacing w:before="60" w:after="60" w:line="300" w:lineRule="exact"/>
              <w:rPr>
                <w:lang w:val="en-US" w:bidi="ar-EG"/>
              </w:rPr>
            </w:pPr>
            <w:r w:rsidRPr="00AA4257">
              <w:rPr>
                <w:rtl/>
                <w:lang w:val="en-US" w:bidi="ar-EG"/>
              </w:rPr>
              <w:t xml:space="preserve">ترددات الخدمة الثابتة تساوي </w:t>
            </w:r>
            <w:r w:rsidRPr="00AA4257">
              <w:rPr>
                <w:lang w:val="en-US" w:bidi="ar-EG"/>
              </w:rPr>
              <w:t>GHz 20</w:t>
            </w:r>
            <w:r w:rsidRPr="00AA4257">
              <w:rPr>
                <w:rtl/>
                <w:lang w:val="en-US" w:bidi="ar-EG"/>
              </w:rPr>
              <w:t xml:space="preserve"> أو أعلى</w:t>
            </w:r>
          </w:p>
        </w:tc>
        <w:tc>
          <w:tcPr>
            <w:tcW w:w="3755" w:type="dxa"/>
            <w:tcMar>
              <w:top w:w="28" w:type="dxa"/>
              <w:left w:w="113" w:type="dxa"/>
              <w:bottom w:w="28" w:type="dxa"/>
              <w:right w:w="113" w:type="dxa"/>
            </w:tcMar>
            <w:vAlign w:val="center"/>
          </w:tcPr>
          <w:p w:rsidR="00DD3657" w:rsidRPr="00AA4257" w:rsidRDefault="00DD3657" w:rsidP="009F1A88">
            <w:pPr>
              <w:framePr w:hSpace="181" w:wrap="around" w:vAnchor="text" w:hAnchor="text" w:xAlign="center" w:y="1"/>
              <w:spacing w:before="60" w:after="60" w:line="300" w:lineRule="exact"/>
              <w:jc w:val="center"/>
              <w:rPr>
                <w:lang w:val="en-US" w:bidi="ar-EG"/>
              </w:rPr>
            </w:pPr>
            <w:r w:rsidRPr="00AA4257">
              <w:rPr>
                <w:lang w:val="en-US" w:bidi="ar-EG"/>
              </w:rPr>
              <w:t>1 000</w:t>
            </w:r>
          </w:p>
        </w:tc>
      </w:tr>
      <w:tr w:rsidR="00DD3657" w:rsidRPr="00327D99" w:rsidTr="009F1A88">
        <w:trPr>
          <w:trHeight w:val="525"/>
        </w:trPr>
        <w:tc>
          <w:tcPr>
            <w:tcW w:w="4925" w:type="dxa"/>
            <w:tcMar>
              <w:top w:w="28" w:type="dxa"/>
              <w:left w:w="113" w:type="dxa"/>
              <w:bottom w:w="28" w:type="dxa"/>
              <w:right w:w="113" w:type="dxa"/>
            </w:tcMar>
            <w:vAlign w:val="center"/>
          </w:tcPr>
          <w:p w:rsidR="00DD3657" w:rsidRPr="00AA4257" w:rsidRDefault="00DD3657" w:rsidP="009F1A88">
            <w:pPr>
              <w:framePr w:hSpace="181" w:wrap="around" w:vAnchor="text" w:hAnchor="text" w:xAlign="center" w:y="1"/>
              <w:spacing w:before="60" w:after="60" w:line="300" w:lineRule="exact"/>
              <w:rPr>
                <w:lang w:val="en-US" w:bidi="ar-EG"/>
              </w:rPr>
            </w:pPr>
            <w:r w:rsidRPr="00AA4257">
              <w:rPr>
                <w:rtl/>
                <w:lang w:val="en-US" w:bidi="ar-EG"/>
              </w:rPr>
              <w:t>ترددات الخدمات المتنقلة الساتلية</w:t>
            </w:r>
          </w:p>
        </w:tc>
        <w:tc>
          <w:tcPr>
            <w:tcW w:w="3755" w:type="dxa"/>
            <w:tcMar>
              <w:top w:w="28" w:type="dxa"/>
              <w:left w:w="113" w:type="dxa"/>
              <w:bottom w:w="28" w:type="dxa"/>
              <w:right w:w="113" w:type="dxa"/>
            </w:tcMar>
            <w:vAlign w:val="center"/>
          </w:tcPr>
          <w:p w:rsidR="00DD3657" w:rsidRPr="00AA4257" w:rsidRDefault="00DD3657" w:rsidP="009F1A88">
            <w:pPr>
              <w:framePr w:hSpace="181" w:wrap="around" w:vAnchor="text" w:hAnchor="text" w:xAlign="center" w:y="1"/>
              <w:spacing w:before="60" w:after="60" w:line="300" w:lineRule="exact"/>
              <w:jc w:val="center"/>
              <w:rPr>
                <w:lang w:val="en-US" w:bidi="ar-EG"/>
              </w:rPr>
            </w:pPr>
            <w:r w:rsidRPr="00AA4257">
              <w:rPr>
                <w:lang w:val="en-US" w:bidi="ar-EG"/>
              </w:rPr>
              <w:t>30</w:t>
            </w:r>
          </w:p>
        </w:tc>
      </w:tr>
      <w:tr w:rsidR="00DD3657" w:rsidRPr="00327D99" w:rsidTr="009F1A88">
        <w:trPr>
          <w:trHeight w:val="510"/>
        </w:trPr>
        <w:tc>
          <w:tcPr>
            <w:tcW w:w="4925" w:type="dxa"/>
            <w:tcMar>
              <w:top w:w="28" w:type="dxa"/>
              <w:left w:w="113" w:type="dxa"/>
              <w:bottom w:w="28" w:type="dxa"/>
              <w:right w:w="113" w:type="dxa"/>
            </w:tcMar>
            <w:vAlign w:val="center"/>
          </w:tcPr>
          <w:p w:rsidR="00DD3657" w:rsidRPr="00AA4257" w:rsidRDefault="00DD3657" w:rsidP="009F1A88">
            <w:pPr>
              <w:framePr w:hSpace="181" w:wrap="around" w:vAnchor="text" w:hAnchor="text" w:xAlign="center" w:y="1"/>
              <w:spacing w:before="60" w:after="60" w:line="300" w:lineRule="exact"/>
              <w:rPr>
                <w:lang w:val="en-US" w:bidi="ar-EG"/>
              </w:rPr>
            </w:pPr>
            <w:r w:rsidRPr="00AA4257">
              <w:rPr>
                <w:rtl/>
                <w:lang w:val="en-US" w:bidi="ar-EG"/>
              </w:rPr>
              <w:t>ترددات الخدمات الثابتة الساتلية</w:t>
            </w:r>
          </w:p>
        </w:tc>
        <w:tc>
          <w:tcPr>
            <w:tcW w:w="3755" w:type="dxa"/>
            <w:tcMar>
              <w:top w:w="28" w:type="dxa"/>
              <w:left w:w="113" w:type="dxa"/>
              <w:bottom w:w="28" w:type="dxa"/>
              <w:right w:w="113" w:type="dxa"/>
            </w:tcMar>
            <w:vAlign w:val="center"/>
          </w:tcPr>
          <w:p w:rsidR="00DD3657" w:rsidRPr="00AA4257" w:rsidRDefault="00DD3657" w:rsidP="009F1A88">
            <w:pPr>
              <w:framePr w:hSpace="181" w:wrap="around" w:vAnchor="text" w:hAnchor="text" w:xAlign="center" w:y="1"/>
              <w:spacing w:before="60" w:after="60" w:line="300" w:lineRule="exact"/>
              <w:jc w:val="center"/>
              <w:rPr>
                <w:lang w:val="en-US" w:bidi="ar-EG"/>
              </w:rPr>
            </w:pPr>
            <w:r w:rsidRPr="00AA4257">
              <w:rPr>
                <w:lang w:val="en-US" w:bidi="ar-EG"/>
              </w:rPr>
              <w:t>2,5</w:t>
            </w:r>
          </w:p>
        </w:tc>
      </w:tr>
    </w:tbl>
    <w:p w:rsidR="00DD3657" w:rsidRDefault="00DD3657" w:rsidP="00AA4257">
      <w:pPr>
        <w:pBdr>
          <w:bottom w:val="single" w:sz="12" w:space="1" w:color="auto"/>
        </w:pBdr>
        <w:spacing w:before="0"/>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Default="00AA4257" w:rsidP="00AA4257">
      <w:pPr>
        <w:rPr>
          <w:rtl/>
          <w:lang w:val="en-US" w:bidi="ar-EG"/>
        </w:rPr>
      </w:pPr>
    </w:p>
    <w:p w:rsidR="00AA4257" w:rsidRPr="00327D99" w:rsidRDefault="00AA4257" w:rsidP="00AA4257">
      <w:pPr>
        <w:rPr>
          <w:rtl/>
          <w:lang w:val="en-US" w:bidi="ar-EG"/>
        </w:rPr>
      </w:pPr>
    </w:p>
    <w:p w:rsidR="00DD3657" w:rsidRPr="00E8422C" w:rsidRDefault="00DD3657" w:rsidP="00DD3657">
      <w:pPr>
        <w:pStyle w:val="AnnexNO"/>
        <w:rPr>
          <w:b/>
          <w:bCs/>
          <w:rtl/>
        </w:rPr>
      </w:pPr>
      <w:r w:rsidRPr="00327D99">
        <w:rPr>
          <w:rFonts w:ascii="Times New Roman" w:hAnsi="Times New Roman"/>
          <w:sz w:val="22"/>
          <w:szCs w:val="30"/>
          <w:rtl/>
          <w:lang w:val="en-US"/>
        </w:rPr>
        <w:br w:type="page"/>
      </w:r>
      <w:bookmarkStart w:id="79" w:name="_Toc282768643"/>
      <w:r w:rsidRPr="00E8422C">
        <w:rPr>
          <w:b/>
          <w:bCs/>
          <w:rtl/>
        </w:rPr>
        <w:lastRenderedPageBreak/>
        <w:t xml:space="preserve">الملحـق </w:t>
      </w:r>
      <w:r w:rsidRPr="00E8422C">
        <w:rPr>
          <w:b/>
          <w:bCs/>
        </w:rPr>
        <w:t>3</w:t>
      </w:r>
      <w:bookmarkEnd w:id="79"/>
    </w:p>
    <w:p w:rsidR="00DD3657" w:rsidRDefault="00DD3657" w:rsidP="00DD3657">
      <w:pPr>
        <w:pStyle w:val="Annextitle"/>
        <w:spacing w:after="240"/>
        <w:rPr>
          <w:rtl/>
        </w:rPr>
      </w:pPr>
      <w:bookmarkStart w:id="80" w:name="_Toc209263385"/>
      <w:bookmarkStart w:id="81" w:name="_Toc223322743"/>
      <w:bookmarkStart w:id="82" w:name="_Toc223323196"/>
      <w:bookmarkStart w:id="83" w:name="_Toc282768644"/>
      <w:r w:rsidRPr="007651AB">
        <w:rPr>
          <w:rtl/>
        </w:rPr>
        <w:t xml:space="preserve">مثال لجدول يعطي قيمة المعامل </w:t>
      </w:r>
      <w:r w:rsidRPr="007651AB">
        <w:t>"c"</w:t>
      </w:r>
      <w:r w:rsidRPr="007651AB">
        <w:rPr>
          <w:rtl/>
        </w:rPr>
        <w:t xml:space="preserve"> تبعاً لمساحة منطقة التوزيع</w:t>
      </w:r>
      <w:bookmarkEnd w:id="80"/>
      <w:bookmarkEnd w:id="81"/>
      <w:bookmarkEnd w:id="82"/>
      <w:bookmarkEnd w:id="83"/>
    </w:p>
    <w:p w:rsidR="009F1A88" w:rsidRPr="009F1A88" w:rsidRDefault="009F1A88" w:rsidP="009F1A88">
      <w:pPr>
        <w:pBdr>
          <w:bottom w:val="single" w:sz="12" w:space="1" w:color="auto"/>
        </w:pBdr>
        <w:spacing w:after="240"/>
      </w:pPr>
    </w:p>
    <w:tbl>
      <w:tblPr>
        <w:bidiVisual/>
        <w:tblW w:w="5000" w:type="pct"/>
        <w:tblLayout w:type="fixed"/>
        <w:tblLook w:val="0000"/>
      </w:tblPr>
      <w:tblGrid>
        <w:gridCol w:w="7216"/>
        <w:gridCol w:w="2639"/>
      </w:tblGrid>
      <w:tr w:rsidR="00DD3657" w:rsidRPr="00327D99" w:rsidTr="009F1A88">
        <w:tc>
          <w:tcPr>
            <w:tcW w:w="6470" w:type="dxa"/>
            <w:tcBorders>
              <w:top w:val="single" w:sz="4" w:space="0" w:color="000000"/>
              <w:left w:val="single" w:sz="4" w:space="0" w:color="000000"/>
              <w:bottom w:val="single" w:sz="4" w:space="0" w:color="000000"/>
            </w:tcBorders>
            <w:vAlign w:val="center"/>
          </w:tcPr>
          <w:p w:rsidR="00DD3657" w:rsidRPr="009F1A88" w:rsidRDefault="00DD3657" w:rsidP="00505E09">
            <w:pPr>
              <w:framePr w:hSpace="180" w:wrap="around" w:vAnchor="text" w:hAnchor="text" w:xAlign="right" w:y="1"/>
              <w:spacing w:after="120" w:line="300" w:lineRule="exact"/>
              <w:jc w:val="center"/>
              <w:rPr>
                <w:b/>
                <w:bCs/>
                <w:rtl/>
                <w:lang w:val="en-US" w:bidi="ar-EG"/>
              </w:rPr>
            </w:pPr>
            <w:r w:rsidRPr="009F1A88">
              <w:rPr>
                <w:b/>
                <w:bCs/>
                <w:rtl/>
                <w:lang w:val="en-US" w:bidi="ar-EG"/>
              </w:rPr>
              <w:t>مساحة منطقة التوزيع</w:t>
            </w:r>
            <w:r w:rsidRPr="009F1A88">
              <w:rPr>
                <w:b/>
                <w:bCs/>
                <w:rtl/>
                <w:lang w:val="en-US" w:bidi="ar-EG"/>
              </w:rPr>
              <w:br/>
              <w:t>أو مجموع مساحات مناطق التوزيع</w:t>
            </w:r>
          </w:p>
        </w:tc>
        <w:tc>
          <w:tcPr>
            <w:tcW w:w="2366" w:type="dxa"/>
            <w:tcBorders>
              <w:top w:val="single" w:sz="4" w:space="0" w:color="000000"/>
              <w:left w:val="single" w:sz="4" w:space="0" w:color="000000"/>
              <w:bottom w:val="single" w:sz="4" w:space="0" w:color="000000"/>
              <w:right w:val="single" w:sz="4" w:space="0" w:color="000000"/>
            </w:tcBorders>
            <w:vAlign w:val="center"/>
          </w:tcPr>
          <w:p w:rsidR="00DD3657" w:rsidRPr="009F1A88" w:rsidRDefault="00DD3657" w:rsidP="00505E09">
            <w:pPr>
              <w:framePr w:hSpace="180" w:wrap="around" w:vAnchor="text" w:hAnchor="text" w:xAlign="right" w:y="1"/>
              <w:spacing w:after="120" w:line="300" w:lineRule="exact"/>
              <w:jc w:val="center"/>
              <w:rPr>
                <w:b/>
                <w:bCs/>
                <w:lang w:val="en-US" w:bidi="ar-EG"/>
              </w:rPr>
            </w:pPr>
            <w:r w:rsidRPr="009F1A88">
              <w:rPr>
                <w:b/>
                <w:bCs/>
                <w:rtl/>
                <w:lang w:val="en-US" w:bidi="ar-EG"/>
              </w:rPr>
              <w:t>قيمة المعامل</w:t>
            </w:r>
            <w:r w:rsidRPr="009F1A88">
              <w:rPr>
                <w:b/>
                <w:bCs/>
                <w:rtl/>
                <w:lang w:val="en-US" w:bidi="ar-EG"/>
              </w:rPr>
              <w:br/>
            </w:r>
            <w:r w:rsidRPr="009F1A88">
              <w:rPr>
                <w:b/>
                <w:bCs/>
                <w:lang w:val="en-US" w:bidi="ar-EG"/>
              </w:rPr>
              <w:t xml:space="preserve"> « c »</w:t>
            </w:r>
          </w:p>
        </w:tc>
      </w:tr>
      <w:tr w:rsidR="00DD3657" w:rsidRPr="00327D99" w:rsidTr="009F1A88">
        <w:tc>
          <w:tcPr>
            <w:tcW w:w="6470" w:type="dxa"/>
            <w:tcBorders>
              <w:top w:val="single" w:sz="4" w:space="0" w:color="000000"/>
              <w:left w:val="single" w:sz="4" w:space="0" w:color="000000"/>
              <w:bottom w:val="single" w:sz="4" w:space="0" w:color="000000"/>
            </w:tcBorders>
            <w:vAlign w:val="center"/>
          </w:tcPr>
          <w:p w:rsidR="00DD3657" w:rsidRPr="009F1A88" w:rsidRDefault="00DD3657" w:rsidP="00505E09">
            <w:pPr>
              <w:framePr w:hSpace="180" w:wrap="around" w:vAnchor="text" w:hAnchor="text" w:xAlign="right" w:y="1"/>
              <w:spacing w:after="120" w:line="300" w:lineRule="exact"/>
              <w:rPr>
                <w:rtl/>
                <w:lang w:val="en-US" w:bidi="ar-SY"/>
              </w:rPr>
            </w:pPr>
            <w:r w:rsidRPr="009F1A88">
              <w:rPr>
                <w:rtl/>
                <w:lang w:val="en-US" w:bidi="ar-EG"/>
              </w:rPr>
              <w:t xml:space="preserve">أعلى من </w:t>
            </w:r>
            <w:r w:rsidRPr="009F1A88">
              <w:rPr>
                <w:lang w:val="en-US" w:bidi="ar-EG"/>
              </w:rPr>
              <w:t>300 000</w:t>
            </w:r>
            <w:r w:rsidRPr="009F1A88">
              <w:rPr>
                <w:rtl/>
                <w:lang w:val="en-US" w:bidi="ar-EG"/>
              </w:rPr>
              <w:t xml:space="preserve"> </w:t>
            </w:r>
            <w:r w:rsidRPr="009F1A88">
              <w:rPr>
                <w:vertAlign w:val="superscript"/>
                <w:lang w:val="en-US" w:bidi="ar-EG"/>
              </w:rPr>
              <w:t>2</w:t>
            </w:r>
            <w:r w:rsidRPr="009F1A88">
              <w:rPr>
                <w:lang w:val="en-US" w:bidi="ar-EG"/>
              </w:rPr>
              <w:t>km</w:t>
            </w:r>
          </w:p>
        </w:tc>
        <w:tc>
          <w:tcPr>
            <w:tcW w:w="2366" w:type="dxa"/>
            <w:tcBorders>
              <w:top w:val="single" w:sz="4" w:space="0" w:color="000000"/>
              <w:left w:val="single" w:sz="4" w:space="0" w:color="000000"/>
              <w:bottom w:val="single" w:sz="4" w:space="0" w:color="000000"/>
              <w:right w:val="single" w:sz="4" w:space="0" w:color="000000"/>
            </w:tcBorders>
            <w:vAlign w:val="center"/>
          </w:tcPr>
          <w:p w:rsidR="00DD3657" w:rsidRPr="009F1A88" w:rsidRDefault="00DD3657" w:rsidP="00505E09">
            <w:pPr>
              <w:framePr w:hSpace="180" w:wrap="around" w:vAnchor="text" w:hAnchor="text" w:xAlign="right" w:y="1"/>
              <w:spacing w:after="120" w:line="300" w:lineRule="exact"/>
              <w:jc w:val="center"/>
              <w:rPr>
                <w:lang w:val="en-US" w:bidi="ar-EG"/>
              </w:rPr>
            </w:pPr>
            <w:r w:rsidRPr="009F1A88">
              <w:rPr>
                <w:lang w:val="en-US" w:bidi="ar-EG"/>
              </w:rPr>
              <w:t>1</w:t>
            </w:r>
          </w:p>
        </w:tc>
      </w:tr>
      <w:tr w:rsidR="00DD3657" w:rsidRPr="00327D99" w:rsidTr="009F1A88">
        <w:tc>
          <w:tcPr>
            <w:tcW w:w="6470" w:type="dxa"/>
            <w:tcBorders>
              <w:top w:val="single" w:sz="4" w:space="0" w:color="000000"/>
              <w:left w:val="single" w:sz="4" w:space="0" w:color="000000"/>
              <w:bottom w:val="single" w:sz="4" w:space="0" w:color="000000"/>
            </w:tcBorders>
            <w:vAlign w:val="center"/>
          </w:tcPr>
          <w:p w:rsidR="00DD3657" w:rsidRPr="009F1A88" w:rsidRDefault="00DD3657" w:rsidP="00505E09">
            <w:pPr>
              <w:framePr w:hSpace="180" w:wrap="around" w:vAnchor="text" w:hAnchor="text" w:xAlign="right" w:y="1"/>
              <w:spacing w:after="120" w:line="300" w:lineRule="exact"/>
              <w:rPr>
                <w:rtl/>
                <w:lang w:val="en-US" w:bidi="ar-EG"/>
              </w:rPr>
            </w:pPr>
            <w:r w:rsidRPr="009F1A88">
              <w:rPr>
                <w:rtl/>
                <w:lang w:val="en-US" w:bidi="ar-EG"/>
              </w:rPr>
              <w:t xml:space="preserve">أعلى من </w:t>
            </w:r>
            <w:r w:rsidRPr="009F1A88">
              <w:rPr>
                <w:lang w:val="en-US" w:bidi="ar-EG"/>
              </w:rPr>
              <w:t>125 000</w:t>
            </w:r>
            <w:r w:rsidRPr="009F1A88">
              <w:rPr>
                <w:rtl/>
                <w:lang w:val="en-US" w:bidi="ar-EG"/>
              </w:rPr>
              <w:t xml:space="preserve"> </w:t>
            </w:r>
            <w:r w:rsidRPr="009F1A88">
              <w:rPr>
                <w:vertAlign w:val="superscript"/>
                <w:lang w:val="en-US" w:bidi="ar-EG"/>
              </w:rPr>
              <w:t>2</w:t>
            </w:r>
            <w:r w:rsidRPr="009F1A88">
              <w:rPr>
                <w:lang w:val="en-US" w:bidi="ar-EG"/>
              </w:rPr>
              <w:t>km</w:t>
            </w:r>
            <w:r w:rsidRPr="009F1A88">
              <w:rPr>
                <w:rtl/>
                <w:lang w:val="en-US" w:bidi="ar-EG"/>
              </w:rPr>
              <w:t xml:space="preserve">، ويساوي </w:t>
            </w:r>
            <w:r w:rsidRPr="009F1A88">
              <w:rPr>
                <w:lang w:val="en-US" w:bidi="ar-EG"/>
              </w:rPr>
              <w:t>300 000</w:t>
            </w:r>
            <w:r w:rsidRPr="009F1A88">
              <w:rPr>
                <w:rtl/>
                <w:lang w:val="en-US" w:bidi="ar-EG"/>
              </w:rPr>
              <w:t xml:space="preserve"> </w:t>
            </w:r>
            <w:r w:rsidRPr="009F1A88">
              <w:rPr>
                <w:vertAlign w:val="superscript"/>
                <w:lang w:val="en-US" w:bidi="ar-EG"/>
              </w:rPr>
              <w:t>2</w:t>
            </w:r>
            <w:r w:rsidRPr="009F1A88">
              <w:rPr>
                <w:lang w:val="en-US" w:bidi="ar-EG"/>
              </w:rPr>
              <w:t>km</w:t>
            </w:r>
            <w:r w:rsidRPr="009F1A88">
              <w:rPr>
                <w:rtl/>
                <w:lang w:val="en-US" w:bidi="ar-EG"/>
              </w:rPr>
              <w:t xml:space="preserve"> أو أقل</w:t>
            </w:r>
          </w:p>
        </w:tc>
        <w:tc>
          <w:tcPr>
            <w:tcW w:w="2366" w:type="dxa"/>
            <w:tcBorders>
              <w:top w:val="single" w:sz="4" w:space="0" w:color="000000"/>
              <w:left w:val="single" w:sz="4" w:space="0" w:color="000000"/>
              <w:bottom w:val="single" w:sz="4" w:space="0" w:color="000000"/>
              <w:right w:val="single" w:sz="4" w:space="0" w:color="000000"/>
            </w:tcBorders>
            <w:vAlign w:val="center"/>
          </w:tcPr>
          <w:p w:rsidR="00DD3657" w:rsidRPr="009F1A88" w:rsidRDefault="00DD3657" w:rsidP="00505E09">
            <w:pPr>
              <w:framePr w:hSpace="180" w:wrap="around" w:vAnchor="text" w:hAnchor="text" w:xAlign="right" w:y="1"/>
              <w:spacing w:after="120" w:line="300" w:lineRule="exact"/>
              <w:jc w:val="center"/>
              <w:rPr>
                <w:lang w:val="en-US" w:bidi="ar-EG"/>
              </w:rPr>
            </w:pPr>
            <w:r w:rsidRPr="009F1A88">
              <w:rPr>
                <w:lang w:val="en-US" w:bidi="ar-EG"/>
              </w:rPr>
              <w:t>0,75</w:t>
            </w:r>
          </w:p>
        </w:tc>
      </w:tr>
      <w:tr w:rsidR="00DD3657" w:rsidRPr="00327D99" w:rsidTr="009F1A88">
        <w:tc>
          <w:tcPr>
            <w:tcW w:w="6470" w:type="dxa"/>
            <w:tcBorders>
              <w:top w:val="single" w:sz="4" w:space="0" w:color="000000"/>
              <w:left w:val="single" w:sz="4" w:space="0" w:color="000000"/>
              <w:bottom w:val="single" w:sz="4" w:space="0" w:color="000000"/>
            </w:tcBorders>
            <w:vAlign w:val="center"/>
          </w:tcPr>
          <w:p w:rsidR="00DD3657" w:rsidRPr="009F1A88" w:rsidRDefault="00DD3657" w:rsidP="00505E09">
            <w:pPr>
              <w:framePr w:hSpace="180" w:wrap="around" w:vAnchor="text" w:hAnchor="text" w:xAlign="right" w:y="1"/>
              <w:spacing w:after="120" w:line="300" w:lineRule="exact"/>
              <w:rPr>
                <w:rtl/>
                <w:lang w:val="en-US" w:bidi="ar-EG"/>
              </w:rPr>
            </w:pPr>
            <w:r w:rsidRPr="009F1A88">
              <w:rPr>
                <w:rtl/>
                <w:lang w:val="en-US" w:bidi="ar-EG"/>
              </w:rPr>
              <w:t xml:space="preserve">أعلى من </w:t>
            </w:r>
            <w:r w:rsidRPr="009F1A88">
              <w:rPr>
                <w:lang w:val="en-US" w:bidi="ar-EG"/>
              </w:rPr>
              <w:t>30 000</w:t>
            </w:r>
            <w:r w:rsidRPr="009F1A88">
              <w:rPr>
                <w:rtl/>
                <w:lang w:val="en-US" w:bidi="ar-EG"/>
              </w:rPr>
              <w:t xml:space="preserve"> </w:t>
            </w:r>
            <w:r w:rsidRPr="009F1A88">
              <w:rPr>
                <w:vertAlign w:val="superscript"/>
                <w:lang w:val="en-US" w:bidi="ar-EG"/>
              </w:rPr>
              <w:t>2</w:t>
            </w:r>
            <w:r w:rsidRPr="009F1A88">
              <w:rPr>
                <w:lang w:val="en-US" w:bidi="ar-EG"/>
              </w:rPr>
              <w:t>km</w:t>
            </w:r>
            <w:r w:rsidRPr="009F1A88">
              <w:rPr>
                <w:rtl/>
                <w:lang w:val="en-US" w:bidi="ar-EG"/>
              </w:rPr>
              <w:t xml:space="preserve">، ويساوي </w:t>
            </w:r>
            <w:r w:rsidRPr="009F1A88">
              <w:rPr>
                <w:lang w:val="en-US" w:bidi="ar-EG"/>
              </w:rPr>
              <w:t>125 000</w:t>
            </w:r>
            <w:r w:rsidRPr="009F1A88">
              <w:rPr>
                <w:rtl/>
                <w:lang w:val="en-US" w:bidi="ar-EG"/>
              </w:rPr>
              <w:t xml:space="preserve"> </w:t>
            </w:r>
            <w:r w:rsidRPr="009F1A88">
              <w:rPr>
                <w:vertAlign w:val="superscript"/>
                <w:lang w:val="en-US" w:bidi="ar-EG"/>
              </w:rPr>
              <w:t>2</w:t>
            </w:r>
            <w:r w:rsidRPr="009F1A88">
              <w:rPr>
                <w:lang w:val="en-US" w:bidi="ar-EG"/>
              </w:rPr>
              <w:t>km</w:t>
            </w:r>
            <w:r w:rsidRPr="009F1A88">
              <w:rPr>
                <w:rtl/>
                <w:lang w:val="en-US" w:bidi="ar-EG"/>
              </w:rPr>
              <w:t xml:space="preserve"> أو أقل</w:t>
            </w:r>
          </w:p>
        </w:tc>
        <w:tc>
          <w:tcPr>
            <w:tcW w:w="2366" w:type="dxa"/>
            <w:tcBorders>
              <w:top w:val="single" w:sz="4" w:space="0" w:color="000000"/>
              <w:left w:val="single" w:sz="4" w:space="0" w:color="000000"/>
              <w:bottom w:val="single" w:sz="4" w:space="0" w:color="000000"/>
              <w:right w:val="single" w:sz="4" w:space="0" w:color="000000"/>
            </w:tcBorders>
            <w:vAlign w:val="center"/>
          </w:tcPr>
          <w:p w:rsidR="00DD3657" w:rsidRPr="009F1A88" w:rsidRDefault="00DD3657" w:rsidP="00505E09">
            <w:pPr>
              <w:framePr w:hSpace="180" w:wrap="around" w:vAnchor="text" w:hAnchor="text" w:xAlign="right" w:y="1"/>
              <w:spacing w:after="120" w:line="300" w:lineRule="exact"/>
              <w:jc w:val="center"/>
              <w:rPr>
                <w:lang w:val="en-US" w:bidi="ar-EG"/>
              </w:rPr>
            </w:pPr>
            <w:r w:rsidRPr="009F1A88">
              <w:rPr>
                <w:lang w:val="en-US" w:bidi="ar-EG"/>
              </w:rPr>
              <w:t>0,5</w:t>
            </w:r>
          </w:p>
        </w:tc>
      </w:tr>
      <w:tr w:rsidR="00DD3657" w:rsidRPr="00327D99" w:rsidTr="009F1A88">
        <w:tc>
          <w:tcPr>
            <w:tcW w:w="6470" w:type="dxa"/>
            <w:tcBorders>
              <w:top w:val="single" w:sz="4" w:space="0" w:color="000000"/>
              <w:left w:val="single" w:sz="4" w:space="0" w:color="000000"/>
              <w:bottom w:val="single" w:sz="4" w:space="0" w:color="000000"/>
            </w:tcBorders>
            <w:vAlign w:val="center"/>
          </w:tcPr>
          <w:p w:rsidR="00DD3657" w:rsidRPr="009F1A88" w:rsidRDefault="00DD3657" w:rsidP="00505E09">
            <w:pPr>
              <w:framePr w:hSpace="180" w:wrap="around" w:vAnchor="text" w:hAnchor="text" w:xAlign="right" w:y="1"/>
              <w:spacing w:after="120" w:line="300" w:lineRule="exact"/>
              <w:rPr>
                <w:rtl/>
                <w:lang w:val="en-US" w:bidi="ar-EG"/>
              </w:rPr>
            </w:pPr>
            <w:r w:rsidRPr="009F1A88">
              <w:rPr>
                <w:rtl/>
                <w:lang w:val="en-US" w:bidi="ar-EG"/>
              </w:rPr>
              <w:t xml:space="preserve">أعلى من </w:t>
            </w:r>
            <w:r w:rsidRPr="009F1A88">
              <w:rPr>
                <w:lang w:val="en-US" w:bidi="ar-EG"/>
              </w:rPr>
              <w:t>8 000</w:t>
            </w:r>
            <w:r w:rsidRPr="009F1A88">
              <w:rPr>
                <w:rtl/>
                <w:lang w:val="en-US" w:bidi="ar-EG"/>
              </w:rPr>
              <w:t xml:space="preserve"> </w:t>
            </w:r>
            <w:r w:rsidRPr="009F1A88">
              <w:rPr>
                <w:vertAlign w:val="superscript"/>
                <w:lang w:val="en-US" w:bidi="ar-EG"/>
              </w:rPr>
              <w:t>2</w:t>
            </w:r>
            <w:r w:rsidRPr="009F1A88">
              <w:rPr>
                <w:lang w:val="en-US" w:bidi="ar-EG"/>
              </w:rPr>
              <w:t>km</w:t>
            </w:r>
            <w:r w:rsidRPr="009F1A88">
              <w:rPr>
                <w:rtl/>
                <w:lang w:val="en-US" w:bidi="ar-EG"/>
              </w:rPr>
              <w:t xml:space="preserve">، ويساوي </w:t>
            </w:r>
            <w:r w:rsidRPr="009F1A88">
              <w:rPr>
                <w:lang w:val="en-US" w:bidi="ar-EG"/>
              </w:rPr>
              <w:t>30 000</w:t>
            </w:r>
            <w:r w:rsidRPr="009F1A88">
              <w:rPr>
                <w:rtl/>
                <w:lang w:val="en-US" w:bidi="ar-EG"/>
              </w:rPr>
              <w:t xml:space="preserve"> </w:t>
            </w:r>
            <w:r w:rsidRPr="009F1A88">
              <w:rPr>
                <w:vertAlign w:val="superscript"/>
                <w:lang w:val="en-US" w:bidi="ar-EG"/>
              </w:rPr>
              <w:t>2</w:t>
            </w:r>
            <w:r w:rsidRPr="009F1A88">
              <w:rPr>
                <w:lang w:val="en-US" w:bidi="ar-EG"/>
              </w:rPr>
              <w:t>km</w:t>
            </w:r>
            <w:r w:rsidRPr="009F1A88">
              <w:rPr>
                <w:rtl/>
                <w:lang w:val="en-US" w:bidi="ar-EG"/>
              </w:rPr>
              <w:t xml:space="preserve"> أو أقل</w:t>
            </w:r>
          </w:p>
        </w:tc>
        <w:tc>
          <w:tcPr>
            <w:tcW w:w="2366" w:type="dxa"/>
            <w:tcBorders>
              <w:top w:val="single" w:sz="4" w:space="0" w:color="000000"/>
              <w:left w:val="single" w:sz="4" w:space="0" w:color="000000"/>
              <w:bottom w:val="single" w:sz="4" w:space="0" w:color="000000"/>
              <w:right w:val="single" w:sz="4" w:space="0" w:color="000000"/>
            </w:tcBorders>
            <w:vAlign w:val="center"/>
          </w:tcPr>
          <w:p w:rsidR="00DD3657" w:rsidRPr="009F1A88" w:rsidRDefault="00DD3657" w:rsidP="00505E09">
            <w:pPr>
              <w:framePr w:hSpace="180" w:wrap="around" w:vAnchor="text" w:hAnchor="text" w:xAlign="right" w:y="1"/>
              <w:spacing w:after="120" w:line="300" w:lineRule="exact"/>
              <w:jc w:val="center"/>
              <w:rPr>
                <w:lang w:val="en-US" w:bidi="ar-EG"/>
              </w:rPr>
            </w:pPr>
            <w:r w:rsidRPr="009F1A88">
              <w:rPr>
                <w:lang w:val="en-US" w:bidi="ar-EG"/>
              </w:rPr>
              <w:t>0,25</w:t>
            </w:r>
          </w:p>
        </w:tc>
      </w:tr>
      <w:tr w:rsidR="00DD3657" w:rsidRPr="00327D99" w:rsidTr="009F1A88">
        <w:tc>
          <w:tcPr>
            <w:tcW w:w="6470" w:type="dxa"/>
            <w:tcBorders>
              <w:top w:val="single" w:sz="4" w:space="0" w:color="000000"/>
              <w:left w:val="single" w:sz="4" w:space="0" w:color="000000"/>
              <w:bottom w:val="single" w:sz="4" w:space="0" w:color="000000"/>
            </w:tcBorders>
            <w:vAlign w:val="center"/>
          </w:tcPr>
          <w:p w:rsidR="00DD3657" w:rsidRPr="009F1A88" w:rsidRDefault="00DD3657" w:rsidP="00505E09">
            <w:pPr>
              <w:framePr w:hSpace="180" w:wrap="around" w:vAnchor="text" w:hAnchor="text" w:xAlign="right" w:y="1"/>
              <w:spacing w:after="120" w:line="300" w:lineRule="exact"/>
              <w:rPr>
                <w:rtl/>
                <w:lang w:val="en-US" w:bidi="ar-EG"/>
              </w:rPr>
            </w:pPr>
            <w:r w:rsidRPr="009F1A88">
              <w:rPr>
                <w:rtl/>
                <w:lang w:val="en-US" w:bidi="ar-EG"/>
              </w:rPr>
              <w:t xml:space="preserve">أعلى من </w:t>
            </w:r>
            <w:r w:rsidRPr="009F1A88">
              <w:rPr>
                <w:lang w:val="en-US" w:bidi="ar-EG"/>
              </w:rPr>
              <w:t>800</w:t>
            </w:r>
            <w:r w:rsidRPr="009F1A88">
              <w:rPr>
                <w:rtl/>
                <w:lang w:val="en-US" w:bidi="ar-EG"/>
              </w:rPr>
              <w:t xml:space="preserve"> </w:t>
            </w:r>
            <w:r w:rsidRPr="009F1A88">
              <w:rPr>
                <w:vertAlign w:val="superscript"/>
                <w:lang w:val="en-US" w:bidi="ar-EG"/>
              </w:rPr>
              <w:t>2</w:t>
            </w:r>
            <w:r w:rsidRPr="009F1A88">
              <w:rPr>
                <w:lang w:val="en-US" w:bidi="ar-EG"/>
              </w:rPr>
              <w:t>km</w:t>
            </w:r>
            <w:r w:rsidRPr="009F1A88">
              <w:rPr>
                <w:rtl/>
                <w:lang w:val="en-US" w:bidi="ar-EG"/>
              </w:rPr>
              <w:t xml:space="preserve">، ويساوي </w:t>
            </w:r>
            <w:r w:rsidRPr="009F1A88">
              <w:rPr>
                <w:lang w:val="en-US" w:bidi="ar-EG"/>
              </w:rPr>
              <w:t>8 000</w:t>
            </w:r>
            <w:r w:rsidRPr="009F1A88">
              <w:rPr>
                <w:rtl/>
                <w:lang w:val="en-US" w:bidi="ar-EG"/>
              </w:rPr>
              <w:t xml:space="preserve"> </w:t>
            </w:r>
            <w:r w:rsidRPr="009F1A88">
              <w:rPr>
                <w:vertAlign w:val="superscript"/>
                <w:lang w:val="en-US" w:bidi="ar-EG"/>
              </w:rPr>
              <w:t>2</w:t>
            </w:r>
            <w:r w:rsidRPr="009F1A88">
              <w:rPr>
                <w:lang w:val="en-US" w:bidi="ar-EG"/>
              </w:rPr>
              <w:t>km</w:t>
            </w:r>
            <w:r w:rsidRPr="009F1A88">
              <w:rPr>
                <w:rtl/>
                <w:lang w:val="en-US" w:bidi="ar-EG"/>
              </w:rPr>
              <w:t xml:space="preserve"> أو أقل</w:t>
            </w:r>
          </w:p>
        </w:tc>
        <w:tc>
          <w:tcPr>
            <w:tcW w:w="2366" w:type="dxa"/>
            <w:tcBorders>
              <w:top w:val="single" w:sz="4" w:space="0" w:color="000000"/>
              <w:left w:val="single" w:sz="4" w:space="0" w:color="000000"/>
              <w:bottom w:val="single" w:sz="4" w:space="0" w:color="000000"/>
              <w:right w:val="single" w:sz="4" w:space="0" w:color="000000"/>
            </w:tcBorders>
            <w:vAlign w:val="center"/>
          </w:tcPr>
          <w:p w:rsidR="00DD3657" w:rsidRPr="009F1A88" w:rsidRDefault="00DD3657" w:rsidP="00505E09">
            <w:pPr>
              <w:framePr w:hSpace="180" w:wrap="around" w:vAnchor="text" w:hAnchor="text" w:xAlign="right" w:y="1"/>
              <w:spacing w:after="120" w:line="300" w:lineRule="exact"/>
              <w:jc w:val="center"/>
              <w:rPr>
                <w:lang w:val="en-US" w:bidi="ar-EG"/>
              </w:rPr>
            </w:pPr>
            <w:r w:rsidRPr="009F1A88">
              <w:rPr>
                <w:lang w:val="en-US" w:bidi="ar-EG"/>
              </w:rPr>
              <w:t>0,1</w:t>
            </w:r>
          </w:p>
        </w:tc>
      </w:tr>
      <w:tr w:rsidR="00DD3657" w:rsidRPr="00327D99" w:rsidTr="009F1A88">
        <w:tc>
          <w:tcPr>
            <w:tcW w:w="6470" w:type="dxa"/>
            <w:tcBorders>
              <w:top w:val="single" w:sz="4" w:space="0" w:color="000000"/>
              <w:left w:val="single" w:sz="4" w:space="0" w:color="000000"/>
              <w:bottom w:val="single" w:sz="4" w:space="0" w:color="000000"/>
            </w:tcBorders>
            <w:vAlign w:val="center"/>
          </w:tcPr>
          <w:p w:rsidR="00DD3657" w:rsidRPr="009F1A88" w:rsidRDefault="00DD3657" w:rsidP="00505E09">
            <w:pPr>
              <w:framePr w:hSpace="180" w:wrap="around" w:vAnchor="text" w:hAnchor="text" w:xAlign="right" w:y="1"/>
              <w:spacing w:after="120" w:line="300" w:lineRule="exact"/>
              <w:rPr>
                <w:rtl/>
                <w:lang w:val="en-US" w:bidi="ar-EG"/>
              </w:rPr>
            </w:pPr>
            <w:r w:rsidRPr="009F1A88">
              <w:rPr>
                <w:rtl/>
                <w:lang w:val="en-US" w:bidi="ar-EG"/>
              </w:rPr>
              <w:t xml:space="preserve">أعلى من </w:t>
            </w:r>
            <w:r w:rsidRPr="009F1A88">
              <w:rPr>
                <w:lang w:val="en-US" w:bidi="ar-EG"/>
              </w:rPr>
              <w:t>80</w:t>
            </w:r>
            <w:r w:rsidRPr="009F1A88">
              <w:rPr>
                <w:rtl/>
                <w:lang w:val="en-US" w:bidi="ar-EG"/>
              </w:rPr>
              <w:t xml:space="preserve"> </w:t>
            </w:r>
            <w:r w:rsidRPr="009F1A88">
              <w:rPr>
                <w:vertAlign w:val="superscript"/>
                <w:lang w:val="en-US" w:bidi="ar-EG"/>
              </w:rPr>
              <w:t>2</w:t>
            </w:r>
            <w:r w:rsidRPr="009F1A88">
              <w:rPr>
                <w:lang w:val="en-US" w:bidi="ar-EG"/>
              </w:rPr>
              <w:t>km</w:t>
            </w:r>
            <w:r w:rsidRPr="009F1A88">
              <w:rPr>
                <w:rtl/>
                <w:lang w:val="en-US" w:bidi="ar-EG"/>
              </w:rPr>
              <w:t xml:space="preserve">، ويساوي </w:t>
            </w:r>
            <w:r w:rsidRPr="009F1A88">
              <w:rPr>
                <w:lang w:val="en-US" w:bidi="ar-EG"/>
              </w:rPr>
              <w:t>800</w:t>
            </w:r>
            <w:r w:rsidRPr="009F1A88">
              <w:rPr>
                <w:rtl/>
                <w:lang w:val="en-US" w:bidi="ar-EG"/>
              </w:rPr>
              <w:t xml:space="preserve"> </w:t>
            </w:r>
            <w:r w:rsidRPr="009F1A88">
              <w:rPr>
                <w:vertAlign w:val="superscript"/>
                <w:lang w:val="en-US" w:bidi="ar-EG"/>
              </w:rPr>
              <w:t>2</w:t>
            </w:r>
            <w:r w:rsidRPr="009F1A88">
              <w:rPr>
                <w:lang w:val="en-US" w:bidi="ar-EG"/>
              </w:rPr>
              <w:t>km</w:t>
            </w:r>
            <w:r w:rsidRPr="009F1A88">
              <w:rPr>
                <w:rtl/>
                <w:lang w:val="en-US" w:bidi="ar-EG"/>
              </w:rPr>
              <w:t xml:space="preserve"> أو أقل</w:t>
            </w:r>
          </w:p>
        </w:tc>
        <w:tc>
          <w:tcPr>
            <w:tcW w:w="2366" w:type="dxa"/>
            <w:tcBorders>
              <w:top w:val="single" w:sz="4" w:space="0" w:color="000000"/>
              <w:left w:val="single" w:sz="4" w:space="0" w:color="000000"/>
              <w:bottom w:val="single" w:sz="4" w:space="0" w:color="000000"/>
              <w:right w:val="single" w:sz="4" w:space="0" w:color="000000"/>
            </w:tcBorders>
            <w:vAlign w:val="center"/>
          </w:tcPr>
          <w:p w:rsidR="00DD3657" w:rsidRPr="009F1A88" w:rsidRDefault="00DD3657" w:rsidP="00505E09">
            <w:pPr>
              <w:framePr w:hSpace="180" w:wrap="around" w:vAnchor="text" w:hAnchor="text" w:xAlign="right" w:y="1"/>
              <w:spacing w:after="120" w:line="300" w:lineRule="exact"/>
              <w:jc w:val="center"/>
              <w:rPr>
                <w:lang w:val="en-US" w:bidi="ar-EG"/>
              </w:rPr>
            </w:pPr>
            <w:r w:rsidRPr="009F1A88">
              <w:rPr>
                <w:lang w:val="en-US" w:bidi="ar-EG"/>
              </w:rPr>
              <w:t>0,03</w:t>
            </w:r>
          </w:p>
        </w:tc>
      </w:tr>
      <w:tr w:rsidR="00DD3657" w:rsidRPr="00327D99" w:rsidTr="009F1A88">
        <w:tc>
          <w:tcPr>
            <w:tcW w:w="6470" w:type="dxa"/>
            <w:tcBorders>
              <w:top w:val="single" w:sz="4" w:space="0" w:color="000000"/>
              <w:left w:val="single" w:sz="4" w:space="0" w:color="000000"/>
              <w:bottom w:val="single" w:sz="4" w:space="0" w:color="000000"/>
            </w:tcBorders>
            <w:vAlign w:val="center"/>
          </w:tcPr>
          <w:p w:rsidR="00DD3657" w:rsidRPr="009F1A88" w:rsidRDefault="00DD3657" w:rsidP="00505E09">
            <w:pPr>
              <w:framePr w:hSpace="180" w:wrap="around" w:vAnchor="text" w:hAnchor="text" w:xAlign="right" w:y="1"/>
              <w:spacing w:after="120" w:line="300" w:lineRule="exact"/>
              <w:rPr>
                <w:rtl/>
                <w:lang w:val="en-US" w:bidi="ar-EG"/>
              </w:rPr>
            </w:pPr>
            <w:r w:rsidRPr="009F1A88">
              <w:rPr>
                <w:rtl/>
                <w:lang w:val="en-US" w:bidi="ar-EG"/>
              </w:rPr>
              <w:t xml:space="preserve">أعلى من </w:t>
            </w:r>
            <w:r w:rsidRPr="009F1A88">
              <w:rPr>
                <w:lang w:val="en-US" w:bidi="ar-EG"/>
              </w:rPr>
              <w:t>20</w:t>
            </w:r>
            <w:r w:rsidRPr="009F1A88">
              <w:rPr>
                <w:rtl/>
                <w:lang w:val="en-US" w:bidi="ar-EG"/>
              </w:rPr>
              <w:t xml:space="preserve"> </w:t>
            </w:r>
            <w:r w:rsidRPr="009F1A88">
              <w:rPr>
                <w:vertAlign w:val="superscript"/>
                <w:lang w:val="en-US" w:bidi="ar-EG"/>
              </w:rPr>
              <w:t>2</w:t>
            </w:r>
            <w:r w:rsidRPr="009F1A88">
              <w:rPr>
                <w:lang w:val="en-US" w:bidi="ar-EG"/>
              </w:rPr>
              <w:t>km</w:t>
            </w:r>
            <w:r w:rsidRPr="009F1A88">
              <w:rPr>
                <w:rtl/>
                <w:lang w:val="en-US" w:bidi="ar-EG"/>
              </w:rPr>
              <w:t xml:space="preserve">، ويساوي </w:t>
            </w:r>
            <w:r w:rsidRPr="009F1A88">
              <w:rPr>
                <w:lang w:val="en-US" w:bidi="ar-EG"/>
              </w:rPr>
              <w:t>80</w:t>
            </w:r>
            <w:r w:rsidRPr="009F1A88">
              <w:rPr>
                <w:rtl/>
                <w:lang w:val="en-US" w:bidi="ar-EG"/>
              </w:rPr>
              <w:t xml:space="preserve"> </w:t>
            </w:r>
            <w:r w:rsidRPr="009F1A88">
              <w:rPr>
                <w:vertAlign w:val="superscript"/>
                <w:lang w:val="en-US" w:bidi="ar-EG"/>
              </w:rPr>
              <w:t>2</w:t>
            </w:r>
            <w:r w:rsidRPr="009F1A88">
              <w:rPr>
                <w:lang w:val="en-US" w:bidi="ar-EG"/>
              </w:rPr>
              <w:t>km</w:t>
            </w:r>
            <w:r w:rsidRPr="009F1A88">
              <w:rPr>
                <w:rtl/>
                <w:lang w:val="en-US" w:bidi="ar-EG"/>
              </w:rPr>
              <w:t xml:space="preserve"> أو أقل</w:t>
            </w:r>
          </w:p>
        </w:tc>
        <w:tc>
          <w:tcPr>
            <w:tcW w:w="2366" w:type="dxa"/>
            <w:tcBorders>
              <w:top w:val="single" w:sz="4" w:space="0" w:color="000000"/>
              <w:left w:val="single" w:sz="4" w:space="0" w:color="000000"/>
              <w:bottom w:val="single" w:sz="4" w:space="0" w:color="000000"/>
              <w:right w:val="single" w:sz="4" w:space="0" w:color="000000"/>
            </w:tcBorders>
            <w:vAlign w:val="center"/>
          </w:tcPr>
          <w:p w:rsidR="00DD3657" w:rsidRPr="009F1A88" w:rsidRDefault="00DD3657" w:rsidP="00505E09">
            <w:pPr>
              <w:framePr w:hSpace="180" w:wrap="around" w:vAnchor="text" w:hAnchor="text" w:xAlign="right" w:y="1"/>
              <w:spacing w:after="120" w:line="300" w:lineRule="exact"/>
              <w:jc w:val="center"/>
              <w:rPr>
                <w:lang w:val="en-US" w:bidi="ar-EG"/>
              </w:rPr>
            </w:pPr>
            <w:r w:rsidRPr="009F1A88">
              <w:rPr>
                <w:lang w:val="en-US" w:bidi="ar-EG"/>
              </w:rPr>
              <w:t>0,01</w:t>
            </w:r>
          </w:p>
        </w:tc>
      </w:tr>
      <w:tr w:rsidR="00DD3657" w:rsidRPr="00327D99" w:rsidTr="009F1A88">
        <w:tc>
          <w:tcPr>
            <w:tcW w:w="6470" w:type="dxa"/>
            <w:tcBorders>
              <w:top w:val="single" w:sz="4" w:space="0" w:color="000000"/>
              <w:left w:val="single" w:sz="4" w:space="0" w:color="000000"/>
              <w:bottom w:val="single" w:sz="4" w:space="0" w:color="000000"/>
            </w:tcBorders>
            <w:vAlign w:val="center"/>
          </w:tcPr>
          <w:p w:rsidR="00DD3657" w:rsidRPr="009F1A88" w:rsidRDefault="00DD3657" w:rsidP="00505E09">
            <w:pPr>
              <w:framePr w:hSpace="180" w:wrap="around" w:vAnchor="text" w:hAnchor="text" w:xAlign="right" w:y="1"/>
              <w:spacing w:after="120" w:line="300" w:lineRule="exact"/>
              <w:rPr>
                <w:rtl/>
                <w:lang w:val="en-US" w:bidi="ar-EG"/>
              </w:rPr>
            </w:pPr>
            <w:r w:rsidRPr="009F1A88">
              <w:rPr>
                <w:rtl/>
                <w:lang w:val="en-US" w:bidi="ar-EG"/>
              </w:rPr>
              <w:t xml:space="preserve">يساوي </w:t>
            </w:r>
            <w:r w:rsidRPr="009F1A88">
              <w:rPr>
                <w:lang w:val="en-US" w:bidi="ar-EG"/>
              </w:rPr>
              <w:t>20</w:t>
            </w:r>
            <w:r w:rsidRPr="009F1A88">
              <w:rPr>
                <w:rtl/>
                <w:lang w:val="en-US" w:bidi="ar-EG"/>
              </w:rPr>
              <w:t xml:space="preserve"> </w:t>
            </w:r>
            <w:r w:rsidRPr="009F1A88">
              <w:rPr>
                <w:vertAlign w:val="superscript"/>
                <w:lang w:val="en-US" w:bidi="ar-EG"/>
              </w:rPr>
              <w:t>2</w:t>
            </w:r>
            <w:r w:rsidRPr="009F1A88">
              <w:rPr>
                <w:lang w:val="en-US" w:bidi="ar-EG"/>
              </w:rPr>
              <w:t>km</w:t>
            </w:r>
            <w:r w:rsidRPr="009F1A88">
              <w:rPr>
                <w:rtl/>
                <w:lang w:val="en-US" w:bidi="ar-EG"/>
              </w:rPr>
              <w:t xml:space="preserve"> أو أقل</w:t>
            </w:r>
          </w:p>
        </w:tc>
        <w:tc>
          <w:tcPr>
            <w:tcW w:w="2366" w:type="dxa"/>
            <w:tcBorders>
              <w:top w:val="single" w:sz="4" w:space="0" w:color="000000"/>
              <w:left w:val="single" w:sz="4" w:space="0" w:color="000000"/>
              <w:bottom w:val="single" w:sz="4" w:space="0" w:color="000000"/>
              <w:right w:val="single" w:sz="4" w:space="0" w:color="000000"/>
            </w:tcBorders>
            <w:vAlign w:val="center"/>
          </w:tcPr>
          <w:p w:rsidR="00DD3657" w:rsidRPr="009F1A88" w:rsidRDefault="00DD3657" w:rsidP="00505E09">
            <w:pPr>
              <w:framePr w:hSpace="180" w:wrap="around" w:vAnchor="text" w:hAnchor="text" w:xAlign="right" w:y="1"/>
              <w:spacing w:after="120" w:line="300" w:lineRule="exact"/>
              <w:jc w:val="center"/>
              <w:rPr>
                <w:lang w:val="en-US" w:bidi="ar-EG"/>
              </w:rPr>
            </w:pPr>
            <w:r w:rsidRPr="009F1A88">
              <w:rPr>
                <w:lang w:val="en-US" w:bidi="ar-EG"/>
              </w:rPr>
              <w:t>0,005</w:t>
            </w:r>
          </w:p>
        </w:tc>
      </w:tr>
    </w:tbl>
    <w:p w:rsidR="00DD3657" w:rsidRDefault="00DD3657" w:rsidP="009F1A88">
      <w:pPr>
        <w:pBdr>
          <w:bottom w:val="single" w:sz="12" w:space="1" w:color="auto"/>
        </w:pBdr>
        <w:spacing w:before="60" w:after="60" w:line="300" w:lineRule="exact"/>
        <w:rPr>
          <w:rtl/>
          <w:lang w:val="en-US" w:bidi="ar-EG"/>
        </w:rPr>
      </w:pPr>
    </w:p>
    <w:p w:rsidR="009F1A88" w:rsidRDefault="009F1A88" w:rsidP="00DD3657">
      <w:pPr>
        <w:spacing w:before="60" w:after="60" w:line="300" w:lineRule="exact"/>
        <w:rPr>
          <w:rtl/>
          <w:lang w:val="en-US" w:bidi="ar-EG"/>
        </w:rPr>
      </w:pPr>
    </w:p>
    <w:p w:rsidR="009F1A88" w:rsidRDefault="009F1A88" w:rsidP="00DD3657">
      <w:pPr>
        <w:spacing w:before="60" w:after="60" w:line="300" w:lineRule="exact"/>
        <w:rPr>
          <w:rtl/>
          <w:lang w:val="en-US" w:bidi="ar-EG"/>
        </w:rPr>
      </w:pPr>
    </w:p>
    <w:p w:rsidR="009F1A88" w:rsidRDefault="009F1A88" w:rsidP="00DD3657">
      <w:pPr>
        <w:spacing w:before="60" w:after="60" w:line="300" w:lineRule="exact"/>
        <w:rPr>
          <w:rtl/>
          <w:lang w:val="en-US" w:bidi="ar-EG"/>
        </w:rPr>
      </w:pPr>
    </w:p>
    <w:p w:rsidR="009F1A88" w:rsidRDefault="009F1A88" w:rsidP="00DD3657">
      <w:pPr>
        <w:spacing w:before="60" w:after="60" w:line="300" w:lineRule="exact"/>
        <w:rPr>
          <w:rtl/>
          <w:lang w:val="en-US" w:bidi="ar-EG"/>
        </w:rPr>
      </w:pPr>
    </w:p>
    <w:p w:rsidR="009F1A88" w:rsidRDefault="009F1A88" w:rsidP="00DD3657">
      <w:pPr>
        <w:spacing w:before="60" w:after="60" w:line="300" w:lineRule="exact"/>
        <w:rPr>
          <w:rtl/>
          <w:lang w:val="en-US" w:bidi="ar-EG"/>
        </w:rPr>
      </w:pPr>
    </w:p>
    <w:p w:rsidR="009F1A88" w:rsidRDefault="009F1A88" w:rsidP="00DD3657">
      <w:pPr>
        <w:spacing w:before="60" w:after="60" w:line="300" w:lineRule="exact"/>
        <w:rPr>
          <w:rtl/>
          <w:lang w:val="en-US" w:bidi="ar-EG"/>
        </w:rPr>
      </w:pPr>
    </w:p>
    <w:p w:rsidR="009F1A88" w:rsidRDefault="009F1A88" w:rsidP="00DD3657">
      <w:pPr>
        <w:spacing w:before="60" w:after="60" w:line="300" w:lineRule="exact"/>
        <w:rPr>
          <w:rtl/>
          <w:lang w:val="en-US" w:bidi="ar-EG"/>
        </w:rPr>
      </w:pPr>
    </w:p>
    <w:p w:rsidR="009F1A88" w:rsidRDefault="009F1A88" w:rsidP="00DD3657">
      <w:pPr>
        <w:spacing w:before="60" w:after="60" w:line="300" w:lineRule="exact"/>
        <w:rPr>
          <w:rtl/>
          <w:lang w:val="en-US" w:bidi="ar-EG"/>
        </w:rPr>
      </w:pPr>
    </w:p>
    <w:p w:rsidR="009F1A88" w:rsidRDefault="009F1A88" w:rsidP="00DD3657">
      <w:pPr>
        <w:spacing w:before="60" w:after="60" w:line="300" w:lineRule="exact"/>
        <w:rPr>
          <w:rtl/>
          <w:lang w:val="en-US" w:bidi="ar-EG"/>
        </w:rPr>
      </w:pPr>
    </w:p>
    <w:p w:rsidR="009F1A88" w:rsidRDefault="009F1A88" w:rsidP="00DD3657">
      <w:pPr>
        <w:spacing w:before="60" w:after="60" w:line="300" w:lineRule="exact"/>
        <w:rPr>
          <w:rtl/>
          <w:lang w:val="en-US" w:bidi="ar-EG"/>
        </w:rPr>
      </w:pPr>
    </w:p>
    <w:p w:rsidR="009F1A88" w:rsidRDefault="009F1A88" w:rsidP="00DD3657">
      <w:pPr>
        <w:spacing w:before="60" w:after="60" w:line="300" w:lineRule="exact"/>
        <w:rPr>
          <w:rtl/>
          <w:lang w:val="en-US" w:bidi="ar-EG"/>
        </w:rPr>
      </w:pPr>
    </w:p>
    <w:p w:rsidR="009F1A88" w:rsidRPr="00327D99" w:rsidRDefault="009F1A88" w:rsidP="00DD3657">
      <w:pPr>
        <w:spacing w:before="60" w:after="60" w:line="300" w:lineRule="exact"/>
        <w:rPr>
          <w:rtl/>
          <w:lang w:val="en-US" w:bidi="ar-EG"/>
        </w:rPr>
      </w:pPr>
    </w:p>
    <w:p w:rsidR="00DD3657" w:rsidRPr="00327D99" w:rsidRDefault="00DD3657" w:rsidP="00DD3657">
      <w:pPr>
        <w:spacing w:before="60" w:after="60" w:line="300" w:lineRule="exact"/>
        <w:rPr>
          <w:rtl/>
        </w:rPr>
      </w:pPr>
      <w:r w:rsidRPr="00327D99">
        <w:rPr>
          <w:rtl/>
          <w:lang w:val="en-US" w:bidi="ar-EG"/>
        </w:rPr>
        <w:br w:type="page"/>
      </w:r>
    </w:p>
    <w:p w:rsidR="00DD3657" w:rsidRPr="00E8422C" w:rsidRDefault="00DD3657" w:rsidP="00DD3657">
      <w:pPr>
        <w:pStyle w:val="AnnexNO"/>
        <w:rPr>
          <w:b/>
          <w:bCs/>
          <w:rtl/>
        </w:rPr>
      </w:pPr>
      <w:bookmarkStart w:id="84" w:name="_Toc282768645"/>
      <w:r w:rsidRPr="00E8422C">
        <w:rPr>
          <w:b/>
          <w:bCs/>
          <w:rtl/>
        </w:rPr>
        <w:lastRenderedPageBreak/>
        <w:t xml:space="preserve">الملحـق </w:t>
      </w:r>
      <w:r w:rsidRPr="00E8422C">
        <w:rPr>
          <w:b/>
          <w:bCs/>
        </w:rPr>
        <w:t>4</w:t>
      </w:r>
      <w:bookmarkEnd w:id="84"/>
    </w:p>
    <w:p w:rsidR="00DD3657" w:rsidRPr="007651AB" w:rsidRDefault="00DD3657" w:rsidP="00DD3657">
      <w:pPr>
        <w:pStyle w:val="Annextitle"/>
        <w:rPr>
          <w:rtl/>
        </w:rPr>
      </w:pPr>
      <w:bookmarkStart w:id="85" w:name="_Toc209263389"/>
      <w:bookmarkStart w:id="86" w:name="_Toc223322747"/>
      <w:bookmarkStart w:id="87" w:name="_Toc223323200"/>
      <w:bookmarkStart w:id="88" w:name="_Toc282768646"/>
      <w:r w:rsidRPr="007651AB">
        <w:rPr>
          <w:rtl/>
        </w:rPr>
        <w:t>عناصر يحتمل أن تؤخذ بعين الاعتبار لمقارنة الرسوم على المستوى الدولي</w:t>
      </w:r>
      <w:bookmarkEnd w:id="85"/>
      <w:bookmarkEnd w:id="86"/>
      <w:bookmarkEnd w:id="87"/>
      <w:bookmarkEnd w:id="88"/>
    </w:p>
    <w:p w:rsidR="00DD3657" w:rsidRPr="00327D99" w:rsidRDefault="00DD3657" w:rsidP="00DD3657">
      <w:pPr>
        <w:pStyle w:val="Heading1"/>
        <w:rPr>
          <w:rtl/>
        </w:rPr>
      </w:pPr>
      <w:bookmarkStart w:id="89" w:name="_Toc209263390"/>
      <w:bookmarkStart w:id="90" w:name="_Toc223322748"/>
      <w:bookmarkStart w:id="91" w:name="_Toc223323201"/>
      <w:bookmarkStart w:id="92" w:name="_Toc282768647"/>
      <w:r w:rsidRPr="00327D99">
        <w:t>1</w:t>
      </w:r>
      <w:r w:rsidRPr="00327D99">
        <w:rPr>
          <w:rtl/>
        </w:rPr>
        <w:tab/>
      </w:r>
      <w:r w:rsidRPr="00057710">
        <w:rPr>
          <w:b w:val="0"/>
          <w:rtl/>
        </w:rPr>
        <w:t>مقدمة</w:t>
      </w:r>
      <w:bookmarkEnd w:id="89"/>
      <w:bookmarkEnd w:id="90"/>
      <w:bookmarkEnd w:id="91"/>
      <w:bookmarkEnd w:id="92"/>
    </w:p>
    <w:p w:rsidR="00DD3657" w:rsidRPr="00327D99" w:rsidRDefault="00DD3657" w:rsidP="00DD3657">
      <w:pPr>
        <w:rPr>
          <w:rtl/>
          <w:lang w:val="en-US" w:bidi="ar-EG"/>
        </w:rPr>
      </w:pPr>
      <w:r w:rsidRPr="00327D99">
        <w:rPr>
          <w:rtl/>
          <w:lang w:val="en-US" w:bidi="ar-EG"/>
        </w:rPr>
        <w:t xml:space="preserve">تتضمن قاعدة بيانات </w:t>
      </w:r>
      <w:r w:rsidRPr="00327D99">
        <w:rPr>
          <w:rtl/>
          <w:lang w:bidi="ar-EG"/>
        </w:rPr>
        <w:t>الرسوم المستحقة على استعمال الترددات تفاصيل عن الرسوم المطبقة في عدد من البلدان. وتثار بهذا الصدد مسألة معرفة: ما هي مستويات الرسوم التي ينبغي اختيارها وهل يمكن استعمالها بشكل مباشر دون تعديلها أم ينبغي تعديل هذه المستويات قبل تطبيقها في حال تساوي سائر الاعتبارات الأخرى</w:t>
      </w:r>
      <w:r w:rsidRPr="00327D99">
        <w:rPr>
          <w:rtl/>
          <w:lang w:val="en-US" w:bidi="ar-EG"/>
        </w:rPr>
        <w:t>.</w:t>
      </w:r>
    </w:p>
    <w:p w:rsidR="00DD3657" w:rsidRPr="00327D99" w:rsidRDefault="00DD3657" w:rsidP="00DD3657">
      <w:pPr>
        <w:rPr>
          <w:rtl/>
          <w:lang w:val="en-US" w:bidi="ar-EG"/>
        </w:rPr>
      </w:pPr>
      <w:r w:rsidRPr="00327D99">
        <w:rPr>
          <w:rtl/>
          <w:lang w:val="en-US" w:bidi="ar-EG"/>
        </w:rPr>
        <w:t>وللإجابة على هذا السؤال، يُقترح توضيح أن إجراء تحليل للظروف الاقتصادية المحيطة باستعمال التراخيص ضروري، وبناءً على هذا التحليل، يتم إعداد قائمة (غير شاملة) بالعوامل التي يُحتمل أن تؤخذ بعين الاعتبار قبل نقل الرسوم المطبقة في أحد البلدان الواردة في قاعدة البيانات لتطبيقها على بلد آخر.</w:t>
      </w:r>
    </w:p>
    <w:p w:rsidR="00DD3657" w:rsidRPr="00327D99" w:rsidRDefault="00DD3657" w:rsidP="00DD3657">
      <w:pPr>
        <w:rPr>
          <w:spacing w:val="2"/>
          <w:rtl/>
          <w:lang w:val="en-US" w:bidi="ar-EG"/>
        </w:rPr>
      </w:pPr>
      <w:r w:rsidRPr="00327D99">
        <w:rPr>
          <w:spacing w:val="2"/>
          <w:rtl/>
          <w:lang w:val="en-US" w:bidi="ar-EG"/>
        </w:rPr>
        <w:t>ولن نتناول سوى حالة الرسوم المحددة إدارياً المطبقة على مشغلي الاتصالات المرخص لهم باستعمال الترددات (الحاصلين على ترخيص).</w:t>
      </w:r>
    </w:p>
    <w:p w:rsidR="00DD3657" w:rsidRPr="00327D99" w:rsidRDefault="00DD3657" w:rsidP="00DD3657">
      <w:pPr>
        <w:rPr>
          <w:rtl/>
          <w:lang w:val="en-US" w:bidi="ar-EG"/>
        </w:rPr>
      </w:pPr>
      <w:r w:rsidRPr="00327D99">
        <w:rPr>
          <w:rtl/>
          <w:lang w:val="en-US" w:bidi="ar-EG"/>
        </w:rPr>
        <w:t>ويمكن اتخاذ بعض العناصر المذكورة أعلاه كمعايير لمقارنة الظروف الاقتصادية المحيطة باستعمال التراخيص في البلدان المعنية. وسوف تساعد هذه المقارنة الإدارات المعنية على تحديد كيفية نقل مستويات الرسوم على أساس اقتصادي.</w:t>
      </w:r>
    </w:p>
    <w:p w:rsidR="00DD3657" w:rsidRPr="00E8422C" w:rsidRDefault="00DD3657" w:rsidP="00E8422C">
      <w:pPr>
        <w:pStyle w:val="Heading1"/>
        <w:rPr>
          <w:rtl/>
        </w:rPr>
      </w:pPr>
      <w:bookmarkStart w:id="93" w:name="_Toc209263391"/>
      <w:bookmarkStart w:id="94" w:name="_Toc223322749"/>
      <w:bookmarkStart w:id="95" w:name="_Toc223323202"/>
      <w:bookmarkStart w:id="96" w:name="_Toc282768648"/>
      <w:r w:rsidRPr="00E8422C">
        <w:t>2</w:t>
      </w:r>
      <w:r w:rsidRPr="00E8422C">
        <w:rPr>
          <w:rtl/>
        </w:rPr>
        <w:tab/>
        <w:t>أسس الرسوم وآثارها الاقتصادية</w:t>
      </w:r>
      <w:bookmarkEnd w:id="93"/>
      <w:bookmarkEnd w:id="94"/>
      <w:bookmarkEnd w:id="95"/>
      <w:bookmarkEnd w:id="96"/>
    </w:p>
    <w:p w:rsidR="00DD3657" w:rsidRPr="00327D99" w:rsidRDefault="00DD3657" w:rsidP="00DD3657">
      <w:pPr>
        <w:rPr>
          <w:spacing w:val="2"/>
          <w:rtl/>
          <w:lang w:val="en-US" w:bidi="ar-EG"/>
        </w:rPr>
      </w:pPr>
      <w:r w:rsidRPr="00327D99">
        <w:rPr>
          <w:spacing w:val="2"/>
          <w:rtl/>
          <w:lang w:val="en-US" w:bidi="ar-EG"/>
        </w:rPr>
        <w:t>يعتبر الطيف الراديوي في معظم البلدان مورداً عاماً من موارد الدولة واستعماله لأغراض تجارية يشكل شغل الطيف لأغراض خاصة.</w:t>
      </w:r>
    </w:p>
    <w:p w:rsidR="00DD3657" w:rsidRPr="00327D99" w:rsidRDefault="00DD3657" w:rsidP="00DD3657">
      <w:pPr>
        <w:rPr>
          <w:rtl/>
          <w:lang w:val="en-US" w:bidi="ar-EG"/>
        </w:rPr>
      </w:pPr>
      <w:r w:rsidRPr="00327D99">
        <w:rPr>
          <w:rtl/>
          <w:lang w:val="en-US" w:bidi="ar-EG"/>
        </w:rPr>
        <w:t>ولذلك من الطبيعي أن يخضع شغل الطيف للدفع:</w:t>
      </w:r>
    </w:p>
    <w:p w:rsidR="00DD3657" w:rsidRPr="00327D99" w:rsidRDefault="00DD3657" w:rsidP="00DD3657">
      <w:pPr>
        <w:rPr>
          <w:spacing w:val="-2"/>
          <w:rtl/>
          <w:lang w:bidi="ar-EG"/>
        </w:rPr>
      </w:pPr>
      <w:r w:rsidRPr="00327D99">
        <w:rPr>
          <w:spacing w:val="-2"/>
          <w:rtl/>
          <w:lang w:bidi="ar-EG"/>
        </w:rPr>
        <w:t>-</w:t>
      </w:r>
      <w:r w:rsidRPr="00327D99">
        <w:rPr>
          <w:spacing w:val="-2"/>
          <w:rtl/>
          <w:lang w:bidi="ar-EG"/>
        </w:rPr>
        <w:tab/>
        <w:t>دفع رسم للإدارة لتغطية التكاليف الإدارية لإدارة الطيف (وبمعنى أوسع، التخطيط والإدارة الوطنية والمراقبة) من جهة،</w:t>
      </w:r>
    </w:p>
    <w:p w:rsidR="00DD3657" w:rsidRPr="00327D99" w:rsidRDefault="00DD3657" w:rsidP="00DD3657">
      <w:pPr>
        <w:rPr>
          <w:rtl/>
          <w:lang w:bidi="ar-EG"/>
        </w:rPr>
      </w:pPr>
      <w:r w:rsidRPr="00327D99">
        <w:rPr>
          <w:rtl/>
          <w:lang w:bidi="ar-EG"/>
        </w:rPr>
        <w:t>-</w:t>
      </w:r>
      <w:r w:rsidRPr="00327D99">
        <w:rPr>
          <w:rtl/>
          <w:lang w:bidi="ar-EG"/>
        </w:rPr>
        <w:tab/>
        <w:t>ومن جهة أخرى، دفع رسم لتوفير الترددات يكون متناسباً مع الفوائد التي يجنيها المستفيد.</w:t>
      </w:r>
    </w:p>
    <w:p w:rsidR="00DD3657" w:rsidRPr="00327D99" w:rsidRDefault="00DD3657" w:rsidP="00DD3657">
      <w:pPr>
        <w:rPr>
          <w:rFonts w:eastAsia="Batang"/>
          <w:spacing w:val="-4"/>
          <w:rtl/>
          <w:lang w:val="en-US" w:bidi="ar-EG"/>
        </w:rPr>
      </w:pPr>
      <w:r w:rsidRPr="00327D99">
        <w:rPr>
          <w:rFonts w:eastAsia="Batang"/>
          <w:spacing w:val="-4"/>
          <w:rtl/>
          <w:lang w:val="en-US" w:bidi="ar-EG"/>
        </w:rPr>
        <w:t>ويمكن تقييم الفوائد التي يستفيد منها مشغل الاتصالات من خلال شغله للطيف بدراسة نتيجة التشغيل الصافية. ومن هذا المنطلق، إن الرسوم المتصلة باستعمال الترددات والمطبقة على شركة التشغيل ينبغي بالتالي أن تكون لها علاقة بنتيجة التشغيل الصافية.</w:t>
      </w:r>
    </w:p>
    <w:p w:rsidR="00DD3657" w:rsidRPr="00327D99" w:rsidRDefault="00DD3657" w:rsidP="00DD3657">
      <w:pPr>
        <w:rPr>
          <w:rtl/>
          <w:lang w:val="en-US" w:bidi="ar-EG"/>
        </w:rPr>
      </w:pPr>
      <w:r w:rsidRPr="00327D99">
        <w:rPr>
          <w:rtl/>
          <w:lang w:val="en-US" w:bidi="ar-EG"/>
        </w:rPr>
        <w:t>ومن منطلق اقتصادي ومحاسبي، تؤدي الرسوم المفروضة على استعمال الترددات إلى تقييد الموارد و/أو إلى تكاليف تشغيلية للمشغل تؤدي إلى انخفاض نتيجة التشغيل الصافية بقدر مقابل.</w:t>
      </w:r>
    </w:p>
    <w:p w:rsidR="00DD3657" w:rsidRPr="00327D99" w:rsidRDefault="00DD3657" w:rsidP="00DD3657">
      <w:pPr>
        <w:rPr>
          <w:rtl/>
          <w:lang w:val="en-US" w:bidi="ar-EG"/>
        </w:rPr>
      </w:pPr>
      <w:r w:rsidRPr="00327D99">
        <w:rPr>
          <w:rtl/>
          <w:lang w:val="en-US" w:bidi="ar-EG"/>
        </w:rPr>
        <w:t>ولذا، على الرغم من أن تطبيق الرسوم على استعمال الترددات يعد أمراً مشروعاً، ينبغي ألا تكون هذه الرسوم مرتفعة للغاية حتى لا تثبط المبادرات وتعوق تطوير خدمات جديدة. وفي جميع الأحوال، لا يمكن أن يفوق مستوى الرسوم المستوى الذي تكون شركة التشغيل مستعدة لدفعه.</w:t>
      </w:r>
    </w:p>
    <w:p w:rsidR="00DD3657" w:rsidRPr="00057710" w:rsidRDefault="00DD3657" w:rsidP="00E8422C">
      <w:pPr>
        <w:pStyle w:val="Heading1"/>
        <w:rPr>
          <w:rtl/>
        </w:rPr>
      </w:pPr>
      <w:bookmarkStart w:id="97" w:name="_Toc209263392"/>
      <w:bookmarkStart w:id="98" w:name="_Toc223322750"/>
      <w:bookmarkStart w:id="99" w:name="_Toc223323203"/>
      <w:bookmarkStart w:id="100" w:name="_Toc282768649"/>
      <w:r w:rsidRPr="00057710">
        <w:t>3</w:t>
      </w:r>
      <w:r w:rsidRPr="00057710">
        <w:rPr>
          <w:rtl/>
        </w:rPr>
        <w:tab/>
        <w:t>الظروف الاقتصادية لاستغلال التراخيص</w:t>
      </w:r>
      <w:bookmarkEnd w:id="97"/>
      <w:bookmarkEnd w:id="98"/>
      <w:bookmarkEnd w:id="99"/>
      <w:bookmarkEnd w:id="100"/>
    </w:p>
    <w:p w:rsidR="00DD3657" w:rsidRPr="00327D99" w:rsidRDefault="00DD3657" w:rsidP="00DD3657">
      <w:pPr>
        <w:rPr>
          <w:rtl/>
          <w:lang w:val="en-US" w:bidi="ar-EG"/>
        </w:rPr>
      </w:pPr>
      <w:r w:rsidRPr="00327D99">
        <w:rPr>
          <w:rtl/>
          <w:lang w:val="en-US" w:bidi="ar-EG"/>
        </w:rPr>
        <w:t>تتكون نتيجة التشغيل الصافية للمشغل من الفرق بين سعر البيع الإجمالي للسلع والخدمات المعروضة للبيع (رقم الأعمال) والكلفة الإجمالية لحيازة هذه السلع والخدمات (تكاليف التشغيل).</w:t>
      </w:r>
    </w:p>
    <w:p w:rsidR="00DD3657" w:rsidRPr="00327D99" w:rsidRDefault="00DD3657" w:rsidP="00DD3657">
      <w:pPr>
        <w:rPr>
          <w:rtl/>
          <w:lang w:val="en-US" w:bidi="ar-EG"/>
        </w:rPr>
      </w:pPr>
      <w:r w:rsidRPr="00327D99">
        <w:rPr>
          <w:rtl/>
          <w:lang w:val="en-US" w:bidi="ar-EG"/>
        </w:rPr>
        <w:t>ومن البديهي أن الظروف الاقتصادية المحيطة باستعمال التراخيص تؤثر في نفس الوقت على رقم الأعمال وتكاليف التشغيل التي تتحملها شركة التشغيل، وهي بالتالي تتحكم في النتيجة الصافية للمشغل.</w:t>
      </w:r>
    </w:p>
    <w:p w:rsidR="00DD3657" w:rsidRPr="00327D99" w:rsidRDefault="00DD3657" w:rsidP="00DD3657">
      <w:pPr>
        <w:rPr>
          <w:rtl/>
          <w:lang w:val="en-US" w:bidi="ar-EG"/>
        </w:rPr>
      </w:pPr>
      <w:r w:rsidRPr="00327D99">
        <w:rPr>
          <w:rtl/>
          <w:lang w:val="en-US" w:bidi="ar-EG"/>
        </w:rPr>
        <w:lastRenderedPageBreak/>
        <w:t>وهكذا كلما كانت ظروف التشغيل ملائمة للمشغلين، كلما زاد استعدادهم لدفع الرسوم والعكس صحيح.</w:t>
      </w:r>
    </w:p>
    <w:p w:rsidR="00DD3657" w:rsidRPr="00327D99" w:rsidRDefault="00DD3657" w:rsidP="00DD3657">
      <w:pPr>
        <w:rPr>
          <w:rtl/>
          <w:lang w:val="en-US" w:bidi="ar-EG"/>
        </w:rPr>
      </w:pPr>
      <w:r w:rsidRPr="00327D99">
        <w:rPr>
          <w:rtl/>
          <w:lang w:val="en-US" w:bidi="ar-EG"/>
        </w:rPr>
        <w:t>ولذا يجب تحليل الظروف الاقتصادية المحيطة باستعمال التراخيص في البلدان المعنية ومقارنتها.</w:t>
      </w:r>
    </w:p>
    <w:p w:rsidR="00DD3657" w:rsidRPr="00327D99" w:rsidRDefault="00DD3657" w:rsidP="00DD3657">
      <w:pPr>
        <w:rPr>
          <w:rtl/>
          <w:lang w:val="en-US" w:bidi="ar-EG"/>
        </w:rPr>
      </w:pPr>
      <w:r w:rsidRPr="00327D99">
        <w:rPr>
          <w:rtl/>
          <w:lang w:val="en-US" w:bidi="ar-EG"/>
        </w:rPr>
        <w:t>وتحدد هذه الظروف بواسطة العناصر التالية بوجه خاص.</w:t>
      </w:r>
    </w:p>
    <w:p w:rsidR="00DD3657" w:rsidRPr="00057710" w:rsidRDefault="00DD3657" w:rsidP="00270362">
      <w:pPr>
        <w:pStyle w:val="Heading2"/>
        <w:spacing w:before="180"/>
        <w:rPr>
          <w:rtl/>
          <w:lang w:bidi="ar-EG"/>
        </w:rPr>
      </w:pPr>
      <w:bookmarkStart w:id="101" w:name="_Toc209263393"/>
      <w:bookmarkStart w:id="102" w:name="_Toc223323204"/>
      <w:bookmarkStart w:id="103" w:name="_Toc282768650"/>
      <w:r w:rsidRPr="00057710">
        <w:rPr>
          <w:lang w:bidi="ar-EG"/>
        </w:rPr>
        <w:t>1.3</w:t>
      </w:r>
      <w:r w:rsidRPr="00057710">
        <w:rPr>
          <w:rtl/>
          <w:lang w:bidi="ar-EG"/>
        </w:rPr>
        <w:tab/>
      </w:r>
      <w:r w:rsidRPr="005C4BE3">
        <w:rPr>
          <w:b w:val="0"/>
          <w:rtl/>
          <w:lang w:bidi="ar-EG"/>
        </w:rPr>
        <w:t>العناصر الاجتماعية-الاقتصادية للبلدان قيد الدراسة</w:t>
      </w:r>
      <w:bookmarkEnd w:id="101"/>
      <w:bookmarkEnd w:id="102"/>
      <w:bookmarkEnd w:id="103"/>
    </w:p>
    <w:p w:rsidR="00DD3657" w:rsidRPr="00327D99" w:rsidRDefault="00DD3657" w:rsidP="00DD3657">
      <w:pPr>
        <w:rPr>
          <w:rtl/>
          <w:lang w:val="en-US" w:bidi="ar-SY"/>
        </w:rPr>
      </w:pPr>
      <w:r w:rsidRPr="00327D99">
        <w:rPr>
          <w:rtl/>
          <w:lang w:val="en-US" w:bidi="ar-EG"/>
        </w:rPr>
        <w:t>يمكن أن يشمل التحليل العناصر التالية:</w:t>
      </w:r>
    </w:p>
    <w:p w:rsidR="00DD3657" w:rsidRPr="00327D99" w:rsidRDefault="00DD3657" w:rsidP="00270362">
      <w:pPr>
        <w:spacing w:before="60"/>
        <w:rPr>
          <w:rtl/>
          <w:lang w:bidi="ar-EG"/>
        </w:rPr>
      </w:pPr>
      <w:r w:rsidRPr="00327D99">
        <w:rPr>
          <w:rtl/>
          <w:lang w:bidi="ar-EG"/>
        </w:rPr>
        <w:t>-</w:t>
      </w:r>
      <w:r w:rsidRPr="00327D99">
        <w:rPr>
          <w:rtl/>
          <w:lang w:bidi="ar-EG"/>
        </w:rPr>
        <w:tab/>
        <w:t>الناتج المحلي الإجمالي أو الناتج المحلي الإجمالي للفرد،</w:t>
      </w:r>
    </w:p>
    <w:p w:rsidR="00DD3657" w:rsidRPr="00327D99" w:rsidRDefault="00DD3657" w:rsidP="00270362">
      <w:pPr>
        <w:spacing w:before="60"/>
        <w:rPr>
          <w:rtl/>
          <w:lang w:bidi="ar-EG"/>
        </w:rPr>
      </w:pPr>
      <w:r w:rsidRPr="00327D99">
        <w:rPr>
          <w:rtl/>
          <w:lang w:bidi="ar-EG"/>
        </w:rPr>
        <w:t>-</w:t>
      </w:r>
      <w:r w:rsidRPr="00327D99">
        <w:rPr>
          <w:rtl/>
          <w:lang w:bidi="ar-EG"/>
        </w:rPr>
        <w:tab/>
        <w:t>مجموع السكان أو الكثافة السكانية،</w:t>
      </w:r>
    </w:p>
    <w:p w:rsidR="00DD3657" w:rsidRPr="00327D99" w:rsidRDefault="00DD3657" w:rsidP="00270362">
      <w:pPr>
        <w:spacing w:before="60"/>
        <w:rPr>
          <w:rtl/>
          <w:lang w:bidi="ar-EG"/>
        </w:rPr>
      </w:pPr>
      <w:r w:rsidRPr="00327D99">
        <w:rPr>
          <w:rtl/>
          <w:lang w:bidi="ar-EG"/>
        </w:rPr>
        <w:t>-</w:t>
      </w:r>
      <w:r w:rsidRPr="00327D99">
        <w:rPr>
          <w:rtl/>
          <w:lang w:bidi="ar-EG"/>
        </w:rPr>
        <w:tab/>
        <w:t>التوزيع الجغرافي للسكان (مناطق تجمعهم، ومدى انتشارهم، ...)،</w:t>
      </w:r>
    </w:p>
    <w:p w:rsidR="00DD3657" w:rsidRPr="00327D99" w:rsidRDefault="00DD3657" w:rsidP="00270362">
      <w:pPr>
        <w:spacing w:before="60"/>
        <w:rPr>
          <w:rtl/>
          <w:lang w:bidi="ar-EG"/>
        </w:rPr>
      </w:pPr>
      <w:r w:rsidRPr="00327D99">
        <w:rPr>
          <w:rtl/>
          <w:lang w:bidi="ar-EG"/>
        </w:rPr>
        <w:t>-</w:t>
      </w:r>
      <w:r w:rsidRPr="00327D99">
        <w:rPr>
          <w:rtl/>
          <w:lang w:bidi="ar-EG"/>
        </w:rPr>
        <w:tab/>
        <w:t>حجم البلد والتضاريس (السهول والجبال، ...) والطابع الجزري للبلد.</w:t>
      </w:r>
    </w:p>
    <w:p w:rsidR="00DD3657" w:rsidRPr="00E8422C" w:rsidRDefault="00DD3657" w:rsidP="00270362">
      <w:pPr>
        <w:pStyle w:val="Heading2"/>
        <w:spacing w:before="180"/>
        <w:rPr>
          <w:rtl/>
        </w:rPr>
      </w:pPr>
      <w:bookmarkStart w:id="104" w:name="_Toc209263394"/>
      <w:bookmarkStart w:id="105" w:name="_Toc223323205"/>
      <w:bookmarkStart w:id="106" w:name="_Toc282768651"/>
      <w:r w:rsidRPr="00E8422C">
        <w:t>2.3</w:t>
      </w:r>
      <w:r w:rsidRPr="00E8422C">
        <w:rPr>
          <w:rtl/>
        </w:rPr>
        <w:tab/>
        <w:t>خصائص التصريحات أو التراخيص الممنوحة</w:t>
      </w:r>
      <w:bookmarkEnd w:id="104"/>
      <w:bookmarkEnd w:id="105"/>
      <w:bookmarkEnd w:id="106"/>
    </w:p>
    <w:p w:rsidR="00DD3657" w:rsidRPr="00327D99" w:rsidRDefault="00DD3657" w:rsidP="00DD3657">
      <w:pPr>
        <w:rPr>
          <w:rtl/>
          <w:lang w:val="en-US" w:bidi="ar-EG"/>
        </w:rPr>
      </w:pPr>
      <w:r w:rsidRPr="00327D99">
        <w:rPr>
          <w:rtl/>
          <w:lang w:val="en-US" w:bidi="ar-EG"/>
        </w:rPr>
        <w:t>يجب إيلاء اهتمام خاص لما يلي:</w:t>
      </w:r>
    </w:p>
    <w:p w:rsidR="00DD3657" w:rsidRPr="00327D99" w:rsidRDefault="00DD3657" w:rsidP="00270362">
      <w:pPr>
        <w:spacing w:before="60"/>
        <w:rPr>
          <w:rtl/>
          <w:lang w:bidi="ar-EG"/>
        </w:rPr>
      </w:pPr>
      <w:r w:rsidRPr="00327D99">
        <w:rPr>
          <w:rtl/>
          <w:lang w:bidi="ar-EG"/>
        </w:rPr>
        <w:t>-</w:t>
      </w:r>
      <w:r w:rsidRPr="00327D99">
        <w:rPr>
          <w:rtl/>
          <w:lang w:bidi="ar-EG"/>
        </w:rPr>
        <w:tab/>
        <w:t>مدة التراخيص،</w:t>
      </w:r>
    </w:p>
    <w:p w:rsidR="00DD3657" w:rsidRPr="00327D99" w:rsidRDefault="00DD3657" w:rsidP="00270362">
      <w:pPr>
        <w:spacing w:before="60"/>
        <w:rPr>
          <w:rtl/>
          <w:lang w:bidi="ar-EG"/>
        </w:rPr>
      </w:pPr>
      <w:r w:rsidRPr="00327D99">
        <w:rPr>
          <w:rtl/>
          <w:lang w:bidi="ar-EG"/>
        </w:rPr>
        <w:t>-</w:t>
      </w:r>
      <w:r w:rsidRPr="00327D99">
        <w:rPr>
          <w:rtl/>
          <w:lang w:bidi="ar-EG"/>
        </w:rPr>
        <w:tab/>
        <w:t>استقرار ظروف التشغيل،</w:t>
      </w:r>
    </w:p>
    <w:p w:rsidR="00DD3657" w:rsidRPr="00327D99" w:rsidRDefault="00DD3657" w:rsidP="00270362">
      <w:pPr>
        <w:spacing w:before="60"/>
        <w:rPr>
          <w:rtl/>
          <w:lang w:bidi="ar-EG"/>
        </w:rPr>
      </w:pPr>
      <w:r w:rsidRPr="00327D99">
        <w:rPr>
          <w:rtl/>
          <w:lang w:bidi="ar-EG"/>
        </w:rPr>
        <w:t>-</w:t>
      </w:r>
      <w:r w:rsidRPr="00327D99">
        <w:rPr>
          <w:rtl/>
          <w:lang w:bidi="ar-EG"/>
        </w:rPr>
        <w:tab/>
        <w:t>مدى قابلية تجديد الترخيص.</w:t>
      </w:r>
    </w:p>
    <w:p w:rsidR="00DD3657" w:rsidRPr="00E8422C" w:rsidRDefault="00DD3657" w:rsidP="00270362">
      <w:pPr>
        <w:pStyle w:val="Heading2"/>
        <w:spacing w:before="180"/>
        <w:rPr>
          <w:rtl/>
        </w:rPr>
      </w:pPr>
      <w:bookmarkStart w:id="107" w:name="_Toc209263395"/>
      <w:bookmarkStart w:id="108" w:name="_Toc223323206"/>
      <w:bookmarkStart w:id="109" w:name="_Toc282768652"/>
      <w:r w:rsidRPr="00E8422C">
        <w:t>3.3</w:t>
      </w:r>
      <w:r w:rsidRPr="00E8422C">
        <w:rPr>
          <w:rtl/>
        </w:rPr>
        <w:tab/>
        <w:t>اختصاصات شركات التشغيل المرخص له</w:t>
      </w:r>
      <w:bookmarkEnd w:id="107"/>
      <w:r w:rsidRPr="00E8422C">
        <w:rPr>
          <w:rtl/>
        </w:rPr>
        <w:t>ا</w:t>
      </w:r>
      <w:bookmarkEnd w:id="108"/>
      <w:bookmarkEnd w:id="109"/>
    </w:p>
    <w:p w:rsidR="00DD3657" w:rsidRPr="00327D99" w:rsidRDefault="00DD3657" w:rsidP="00DD3657">
      <w:pPr>
        <w:rPr>
          <w:spacing w:val="-4"/>
          <w:rtl/>
          <w:lang w:val="en-US" w:bidi="ar-EG"/>
        </w:rPr>
      </w:pPr>
      <w:r w:rsidRPr="00327D99">
        <w:rPr>
          <w:spacing w:val="-4"/>
          <w:rtl/>
          <w:lang w:val="en-US" w:bidi="ar-EG"/>
        </w:rPr>
        <w:t>قد تتعلق الالتزامات المفروضة على شركات التشغيل بموجب اختصاصاتها والتي ترفع تكاليف التشغيل الواقعة على عاتقها بما يلي:</w:t>
      </w:r>
    </w:p>
    <w:p w:rsidR="00DD3657" w:rsidRPr="00327D99" w:rsidRDefault="00DD3657" w:rsidP="00270362">
      <w:pPr>
        <w:spacing w:before="60"/>
        <w:rPr>
          <w:rtl/>
          <w:lang w:bidi="ar-EG"/>
        </w:rPr>
      </w:pPr>
      <w:r w:rsidRPr="00327D99">
        <w:rPr>
          <w:rtl/>
          <w:lang w:bidi="ar-EG"/>
        </w:rPr>
        <w:t>-</w:t>
      </w:r>
      <w:r w:rsidRPr="00327D99">
        <w:rPr>
          <w:rtl/>
          <w:lang w:bidi="ar-EG"/>
        </w:rPr>
        <w:tab/>
        <w:t>تغطية الإقليم الوطني،</w:t>
      </w:r>
    </w:p>
    <w:p w:rsidR="00DD3657" w:rsidRPr="00327D99" w:rsidRDefault="00DD3657" w:rsidP="00270362">
      <w:pPr>
        <w:spacing w:before="60"/>
        <w:rPr>
          <w:rtl/>
          <w:lang w:bidi="ar-EG"/>
        </w:rPr>
      </w:pPr>
      <w:r w:rsidRPr="00327D99">
        <w:rPr>
          <w:rtl/>
          <w:lang w:bidi="ar-EG"/>
        </w:rPr>
        <w:t>-</w:t>
      </w:r>
      <w:r w:rsidRPr="00327D99">
        <w:rPr>
          <w:rtl/>
          <w:lang w:bidi="ar-EG"/>
        </w:rPr>
        <w:tab/>
        <w:t>نوعية الخدمة،</w:t>
      </w:r>
    </w:p>
    <w:p w:rsidR="00DD3657" w:rsidRPr="00327D99" w:rsidRDefault="00DD3657" w:rsidP="00270362">
      <w:pPr>
        <w:spacing w:before="60"/>
        <w:rPr>
          <w:rtl/>
          <w:lang w:bidi="ar-EG"/>
        </w:rPr>
      </w:pPr>
      <w:r w:rsidRPr="00327D99">
        <w:rPr>
          <w:rtl/>
          <w:lang w:bidi="ar-EG"/>
        </w:rPr>
        <w:t>-</w:t>
      </w:r>
      <w:r w:rsidRPr="00327D99">
        <w:rPr>
          <w:rtl/>
          <w:lang w:bidi="ar-EG"/>
        </w:rPr>
        <w:tab/>
        <w:t>المشاركة في الخدمة الشاملة،</w:t>
      </w:r>
    </w:p>
    <w:p w:rsidR="00DD3657" w:rsidRPr="00327D99" w:rsidRDefault="00DD3657" w:rsidP="00270362">
      <w:pPr>
        <w:spacing w:before="60"/>
        <w:rPr>
          <w:rtl/>
          <w:lang w:bidi="ar-EG"/>
        </w:rPr>
      </w:pPr>
      <w:r w:rsidRPr="00327D99">
        <w:rPr>
          <w:rtl/>
          <w:lang w:bidi="ar-EG"/>
        </w:rPr>
        <w:t>-</w:t>
      </w:r>
      <w:r w:rsidRPr="00327D99">
        <w:rPr>
          <w:rtl/>
          <w:lang w:bidi="ar-EG"/>
        </w:rPr>
        <w:tab/>
        <w:t>المشاركة في الجهود المبذولة في مجال البحث والتطوير في مجال الاتصالات،</w:t>
      </w:r>
    </w:p>
    <w:p w:rsidR="00DD3657" w:rsidRPr="00327D99" w:rsidRDefault="00DD3657" w:rsidP="00270362">
      <w:pPr>
        <w:spacing w:before="60"/>
        <w:rPr>
          <w:rtl/>
          <w:lang w:bidi="ar-EG"/>
        </w:rPr>
      </w:pPr>
      <w:r w:rsidRPr="00327D99">
        <w:rPr>
          <w:rtl/>
          <w:lang w:bidi="ar-EG"/>
        </w:rPr>
        <w:t>-</w:t>
      </w:r>
      <w:r w:rsidRPr="00327D99">
        <w:rPr>
          <w:rtl/>
          <w:lang w:bidi="ar-EG"/>
        </w:rPr>
        <w:tab/>
        <w:t>التزامات أخرى (النداء المجاني باتجاه بعض الأرقام وقابلية تنقل الأرقام، ...).</w:t>
      </w:r>
    </w:p>
    <w:p w:rsidR="00DD3657" w:rsidRPr="00057710" w:rsidRDefault="00DD3657" w:rsidP="00E8422C">
      <w:pPr>
        <w:pStyle w:val="Heading1"/>
        <w:rPr>
          <w:bCs w:val="0"/>
          <w:rtl/>
        </w:rPr>
      </w:pPr>
      <w:bookmarkStart w:id="110" w:name="_Toc209263396"/>
      <w:bookmarkStart w:id="111" w:name="_Toc223322751"/>
      <w:bookmarkStart w:id="112" w:name="_Toc223323207"/>
      <w:bookmarkStart w:id="113" w:name="_Toc282768653"/>
      <w:r w:rsidRPr="00057710">
        <w:t>4</w:t>
      </w:r>
      <w:r w:rsidRPr="00057710">
        <w:rPr>
          <w:rtl/>
        </w:rPr>
        <w:tab/>
        <w:t>مقارنة/نقل مستويات الرسوم</w:t>
      </w:r>
      <w:bookmarkEnd w:id="110"/>
      <w:bookmarkEnd w:id="111"/>
      <w:bookmarkEnd w:id="112"/>
      <w:bookmarkEnd w:id="113"/>
    </w:p>
    <w:p w:rsidR="00DD3657" w:rsidRPr="00327D99" w:rsidRDefault="00DD3657" w:rsidP="00DD3657">
      <w:pPr>
        <w:rPr>
          <w:rtl/>
          <w:lang w:val="en-US" w:bidi="ar-EG"/>
        </w:rPr>
      </w:pPr>
      <w:r w:rsidRPr="00327D99">
        <w:rPr>
          <w:rtl/>
          <w:lang w:val="en-US" w:bidi="ar-EG"/>
        </w:rPr>
        <w:t>يصف الجدول الوارد أدناه تأثير الظروف الاقتصادية المحيطة لاستعمال الترخيص على قابلية شركة التشغيل لدفع الرسوم.</w:t>
      </w:r>
    </w:p>
    <w:p w:rsidR="00DD3657" w:rsidRPr="00327D99" w:rsidRDefault="00DD3657" w:rsidP="00DD3657">
      <w:pPr>
        <w:rPr>
          <w:rtl/>
          <w:lang w:val="en-US" w:bidi="ar-SY"/>
        </w:rPr>
      </w:pPr>
      <w:r w:rsidRPr="00327D99">
        <w:rPr>
          <w:rtl/>
          <w:lang w:val="en-US" w:bidi="ar-EG"/>
        </w:rPr>
        <w:t>ومن البديهي أن العناصر التي تساعد على تعزيز رقم الأعمال ستساعد على زيادة قابلية الدفع. في حين أن العناصر التي تسهم في توليد تكاليف التشغيل ستؤدي إلى خفض هذه القابلية.</w:t>
      </w:r>
    </w:p>
    <w:p w:rsidR="00DD3657" w:rsidRPr="00057710" w:rsidRDefault="00DD3657" w:rsidP="00E8422C">
      <w:pPr>
        <w:pStyle w:val="Heading1"/>
        <w:rPr>
          <w:bCs w:val="0"/>
          <w:rtl/>
        </w:rPr>
      </w:pPr>
      <w:bookmarkStart w:id="114" w:name="_Toc223322752"/>
      <w:bookmarkStart w:id="115" w:name="_Toc223323208"/>
      <w:bookmarkStart w:id="116" w:name="_Toc282768654"/>
      <w:r w:rsidRPr="00057710">
        <w:t>5</w:t>
      </w:r>
      <w:r w:rsidRPr="00057710">
        <w:rPr>
          <w:rtl/>
        </w:rPr>
        <w:tab/>
        <w:t>خلاصة</w:t>
      </w:r>
      <w:bookmarkEnd w:id="114"/>
      <w:bookmarkEnd w:id="115"/>
      <w:bookmarkEnd w:id="116"/>
    </w:p>
    <w:p w:rsidR="00DD3657" w:rsidRPr="00327D99" w:rsidRDefault="00DD3657" w:rsidP="00DD3657">
      <w:pPr>
        <w:rPr>
          <w:rtl/>
          <w:lang w:val="en-US" w:bidi="ar-EG"/>
        </w:rPr>
      </w:pPr>
      <w:r w:rsidRPr="00327D99">
        <w:rPr>
          <w:rtl/>
          <w:lang w:val="en-US" w:bidi="ar-EG"/>
        </w:rPr>
        <w:t>إن كان من اليسير فهم التأثير الذي تشكله الظروف الاقتصادية المحيطة لاستعمال الترخيص على قابلية شركات التشغيل لدفع الرسوم، ليس من الهين دائماً تقدير هذا التأثير كمياً بشكل دقيق حين تكون المعلومات ذات الصلة غير متوفرة.</w:t>
      </w:r>
    </w:p>
    <w:p w:rsidR="00DD3657" w:rsidRPr="00327D99" w:rsidRDefault="00DD3657" w:rsidP="00DD3657">
      <w:pPr>
        <w:rPr>
          <w:rtl/>
          <w:lang w:val="en-US" w:bidi="ar-EG"/>
        </w:rPr>
      </w:pPr>
      <w:r w:rsidRPr="00327D99">
        <w:rPr>
          <w:rtl/>
          <w:lang w:val="en-US" w:bidi="ar-EG"/>
        </w:rPr>
        <w:t xml:space="preserve">ومن أجل إجراء مقارنة أو نقل مستويات الرسوم، يمكن استعمال عنصر واحد أو أكثر من العناصر الموصوفة في الفقرة </w:t>
      </w:r>
      <w:r w:rsidRPr="00327D99">
        <w:rPr>
          <w:lang w:val="en-US" w:bidi="ar-EG"/>
        </w:rPr>
        <w:t>4</w:t>
      </w:r>
      <w:r w:rsidRPr="00327D99">
        <w:rPr>
          <w:rtl/>
          <w:lang w:val="en-US" w:bidi="ar-EG"/>
        </w:rPr>
        <w:t xml:space="preserve"> وفقاً للمعلومات المتوفرة وتطبيق قاعدة بسيطة للحساب كالقاعدة القائمة على التناسب.</w:t>
      </w:r>
    </w:p>
    <w:p w:rsidR="00DD3657" w:rsidRDefault="00DD3657" w:rsidP="00270362">
      <w:pPr>
        <w:pStyle w:val="TableNotitle"/>
        <w:bidi/>
        <w:rPr>
          <w:b w:val="0"/>
          <w:sz w:val="30"/>
          <w:rtl/>
          <w:lang w:bidi="ar-EG"/>
        </w:rPr>
      </w:pPr>
      <w:r w:rsidRPr="00A24D89">
        <w:rPr>
          <w:b w:val="0"/>
          <w:sz w:val="30"/>
          <w:rtl/>
          <w:lang w:bidi="ar-EG"/>
        </w:rPr>
        <w:lastRenderedPageBreak/>
        <w:t>العناصر التي يمكن مراعاتها عند مقارنة أو نقل مستويات الرسوم</w:t>
      </w:r>
    </w:p>
    <w:p w:rsidR="00E37783" w:rsidRPr="00E37783" w:rsidRDefault="00E37783" w:rsidP="00E37783">
      <w:pPr>
        <w:pStyle w:val="Tablehead"/>
        <w:pBdr>
          <w:bottom w:val="single" w:sz="12" w:space="1" w:color="auto"/>
        </w:pBdr>
        <w:bidi/>
        <w:spacing w:after="240"/>
        <w:rPr>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3081"/>
        <w:gridCol w:w="6768"/>
      </w:tblGrid>
      <w:tr w:rsidR="00DD3657" w:rsidRPr="00327D99" w:rsidTr="00026C26">
        <w:trPr>
          <w:jc w:val="center"/>
        </w:trPr>
        <w:tc>
          <w:tcPr>
            <w:tcW w:w="3081" w:type="dxa"/>
            <w:vAlign w:val="center"/>
          </w:tcPr>
          <w:p w:rsidR="00DD3657" w:rsidRPr="00E37783" w:rsidRDefault="00DD3657" w:rsidP="00E37783">
            <w:pPr>
              <w:pStyle w:val="Tablehead"/>
              <w:bidi/>
              <w:spacing w:before="60" w:after="60" w:line="320" w:lineRule="exact"/>
              <w:rPr>
                <w:rFonts w:ascii="Times New Roman" w:hAnsi="Times New Roman"/>
                <w:b w:val="0"/>
                <w:bCs/>
                <w:rtl/>
                <w:lang w:bidi="ar-EG"/>
              </w:rPr>
            </w:pPr>
            <w:r w:rsidRPr="00E37783">
              <w:rPr>
                <w:rFonts w:ascii="Times New Roman" w:hAnsi="Times New Roman"/>
                <w:b w:val="0"/>
                <w:bCs/>
                <w:rtl/>
                <w:lang w:bidi="ar-EG"/>
              </w:rPr>
              <w:t>العناصر الاجتماعية-الاقتصادية للبلدان قيد الدراسة</w:t>
            </w:r>
          </w:p>
        </w:tc>
        <w:tc>
          <w:tcPr>
            <w:tcW w:w="6768" w:type="dxa"/>
            <w:vAlign w:val="center"/>
          </w:tcPr>
          <w:p w:rsidR="00DD3657" w:rsidRPr="00E37783" w:rsidRDefault="00DD3657" w:rsidP="00E37783">
            <w:pPr>
              <w:pStyle w:val="Tablehead"/>
              <w:bidi/>
              <w:spacing w:before="60" w:after="60" w:line="320" w:lineRule="exact"/>
              <w:rPr>
                <w:rFonts w:ascii="Times New Roman" w:hAnsi="Times New Roman"/>
                <w:b w:val="0"/>
                <w:bCs/>
                <w:rtl/>
                <w:lang w:bidi="ar-EG"/>
              </w:rPr>
            </w:pPr>
            <w:r w:rsidRPr="00E37783">
              <w:rPr>
                <w:rFonts w:ascii="Times New Roman" w:hAnsi="Times New Roman"/>
                <w:b w:val="0"/>
                <w:bCs/>
                <w:rtl/>
                <w:lang w:bidi="ar-EG"/>
              </w:rPr>
              <w:t>تعليقات</w:t>
            </w:r>
          </w:p>
        </w:tc>
      </w:tr>
      <w:tr w:rsidR="00DD3657" w:rsidRPr="00327D99" w:rsidTr="00026C26">
        <w:trPr>
          <w:jc w:val="center"/>
        </w:trPr>
        <w:tc>
          <w:tcPr>
            <w:tcW w:w="3081" w:type="dxa"/>
          </w:tcPr>
          <w:p w:rsidR="00DD3657" w:rsidRPr="00E37783" w:rsidRDefault="00DD3657" w:rsidP="00C56EAC">
            <w:pPr>
              <w:pStyle w:val="Tabletext"/>
              <w:bidi/>
              <w:spacing w:before="60" w:after="60" w:line="320" w:lineRule="exact"/>
              <w:jc w:val="both"/>
              <w:rPr>
                <w:rtl/>
                <w:lang w:bidi="ar-EG"/>
              </w:rPr>
            </w:pPr>
            <w:r w:rsidRPr="00E37783">
              <w:rPr>
                <w:rtl/>
                <w:lang w:bidi="ar-EG"/>
              </w:rPr>
              <w:t>الناتج المحلي الإجمالي أو الناتج المحلي الإجمالي للفرد</w:t>
            </w:r>
          </w:p>
        </w:tc>
        <w:tc>
          <w:tcPr>
            <w:tcW w:w="6768" w:type="dxa"/>
          </w:tcPr>
          <w:p w:rsidR="00DD3657" w:rsidRPr="00E37783" w:rsidRDefault="00DD3657" w:rsidP="00C56EAC">
            <w:pPr>
              <w:pStyle w:val="Tabletext"/>
              <w:bidi/>
              <w:spacing w:before="60" w:after="60" w:line="320" w:lineRule="exact"/>
              <w:jc w:val="both"/>
              <w:rPr>
                <w:rtl/>
                <w:lang w:bidi="ar-EG"/>
              </w:rPr>
            </w:pPr>
            <w:r w:rsidRPr="00E37783">
              <w:rPr>
                <w:rtl/>
                <w:lang w:bidi="ar-EG"/>
              </w:rPr>
              <w:t>تزداد قابلية شركات التشغيل لدفع الرسوم وفقاً للناتج المحلي الإجمالي نظراً لأن رقم الأعمال المحتمل يزداد مع تزايد الناتج المحلي الإجمالي.</w:t>
            </w:r>
          </w:p>
          <w:p w:rsidR="00DD3657" w:rsidRPr="00E37783" w:rsidRDefault="00DD3657" w:rsidP="00C56EAC">
            <w:pPr>
              <w:pStyle w:val="Tabletext"/>
              <w:bidi/>
              <w:spacing w:before="60" w:after="60" w:line="320" w:lineRule="exact"/>
              <w:jc w:val="both"/>
              <w:rPr>
                <w:lang w:bidi="ar-EG"/>
              </w:rPr>
            </w:pPr>
            <w:r w:rsidRPr="00E37783">
              <w:rPr>
                <w:rtl/>
                <w:lang w:bidi="ar-EG"/>
              </w:rPr>
              <w:t>ملاحظة: يمكن أن يؤدي نظام مقايضة إلى ناتج محلي إجمالي محسوب أدنى من الناتج المحلي الإجمالي الفعلي.</w:t>
            </w:r>
          </w:p>
        </w:tc>
      </w:tr>
      <w:tr w:rsidR="00DD3657" w:rsidRPr="00327D99" w:rsidTr="00026C26">
        <w:trPr>
          <w:jc w:val="center"/>
        </w:trPr>
        <w:tc>
          <w:tcPr>
            <w:tcW w:w="3081" w:type="dxa"/>
          </w:tcPr>
          <w:p w:rsidR="00DD3657" w:rsidRPr="00E37783" w:rsidRDefault="00DD3657" w:rsidP="00C56EAC">
            <w:pPr>
              <w:pStyle w:val="Tabletext"/>
              <w:bidi/>
              <w:spacing w:before="60" w:after="60" w:line="320" w:lineRule="exact"/>
              <w:jc w:val="both"/>
              <w:rPr>
                <w:lang w:bidi="ar-EG"/>
              </w:rPr>
            </w:pPr>
            <w:r w:rsidRPr="00E37783">
              <w:rPr>
                <w:rtl/>
                <w:lang w:bidi="ar-EG"/>
              </w:rPr>
              <w:t>مجموع السكان أو الكثافة السكانية</w:t>
            </w:r>
          </w:p>
        </w:tc>
        <w:tc>
          <w:tcPr>
            <w:tcW w:w="6768" w:type="dxa"/>
          </w:tcPr>
          <w:p w:rsidR="00DD3657" w:rsidRPr="00E37783" w:rsidRDefault="00DD3657" w:rsidP="00C56EAC">
            <w:pPr>
              <w:pStyle w:val="Tabletext"/>
              <w:bidi/>
              <w:spacing w:before="60" w:after="60" w:line="320" w:lineRule="exact"/>
              <w:jc w:val="both"/>
              <w:rPr>
                <w:lang w:bidi="ar-EG"/>
              </w:rPr>
            </w:pPr>
            <w:r w:rsidRPr="00E37783">
              <w:rPr>
                <w:rtl/>
                <w:lang w:bidi="ar-EG"/>
              </w:rPr>
              <w:t>تزداد قابلية شركات التشغيل لدفع الرسوم وفقاً لتعداد السكان نظراً لأن رقم الأعمال المحتمل يزداد عموماً مع تزايد تعداد السكان.</w:t>
            </w:r>
          </w:p>
        </w:tc>
      </w:tr>
      <w:tr w:rsidR="00DD3657" w:rsidRPr="00327D99" w:rsidTr="00026C26">
        <w:trPr>
          <w:jc w:val="center"/>
        </w:trPr>
        <w:tc>
          <w:tcPr>
            <w:tcW w:w="3081" w:type="dxa"/>
          </w:tcPr>
          <w:p w:rsidR="00DD3657" w:rsidRPr="00E37783" w:rsidRDefault="00DD3657" w:rsidP="00C56EAC">
            <w:pPr>
              <w:pStyle w:val="Tabletext"/>
              <w:bidi/>
              <w:spacing w:before="60" w:after="60" w:line="320" w:lineRule="exact"/>
              <w:jc w:val="both"/>
              <w:rPr>
                <w:lang w:bidi="ar-EG"/>
              </w:rPr>
            </w:pPr>
            <w:r w:rsidRPr="00E37783">
              <w:rPr>
                <w:rtl/>
                <w:lang w:bidi="ar-EG"/>
              </w:rPr>
              <w:t>التوزيع الجغرافي للسكان (مراكز التجمع، مدى الانتشار، ...)</w:t>
            </w:r>
          </w:p>
        </w:tc>
        <w:tc>
          <w:tcPr>
            <w:tcW w:w="6768" w:type="dxa"/>
          </w:tcPr>
          <w:p w:rsidR="00DD3657" w:rsidRPr="00E37783" w:rsidRDefault="00DD3657" w:rsidP="00C56EAC">
            <w:pPr>
              <w:pStyle w:val="Tabletext"/>
              <w:bidi/>
              <w:spacing w:before="60" w:after="60" w:line="320" w:lineRule="exact"/>
              <w:jc w:val="both"/>
              <w:rPr>
                <w:lang w:bidi="ar-EG"/>
              </w:rPr>
            </w:pPr>
            <w:r w:rsidRPr="00E37783">
              <w:rPr>
                <w:rtl/>
                <w:lang w:bidi="ar-EG"/>
              </w:rPr>
              <w:t>تزداد قابلية شركات التشغيل لدفع الرسوم وفقاً لنسبة التجمع نظراً لأن رقم الأعمال المحتمل يزداد عموماً مع زيادة نسبة التجمع.</w:t>
            </w:r>
          </w:p>
        </w:tc>
      </w:tr>
      <w:tr w:rsidR="00DD3657" w:rsidRPr="00327D99" w:rsidTr="00026C26">
        <w:trPr>
          <w:jc w:val="center"/>
        </w:trPr>
        <w:tc>
          <w:tcPr>
            <w:tcW w:w="3081" w:type="dxa"/>
          </w:tcPr>
          <w:p w:rsidR="00DD3657" w:rsidRPr="00E37783" w:rsidRDefault="00DD3657" w:rsidP="00C56EAC">
            <w:pPr>
              <w:pStyle w:val="Tabletext"/>
              <w:bidi/>
              <w:spacing w:before="60" w:after="60" w:line="320" w:lineRule="exact"/>
              <w:jc w:val="both"/>
              <w:rPr>
                <w:rtl/>
                <w:lang w:bidi="ar-EG"/>
              </w:rPr>
            </w:pPr>
            <w:r w:rsidRPr="00E37783">
              <w:rPr>
                <w:rtl/>
                <w:lang w:bidi="ar-EG"/>
              </w:rPr>
              <w:t>حجم البلد والتضاريس والطابع الجزري للبلد</w:t>
            </w:r>
          </w:p>
        </w:tc>
        <w:tc>
          <w:tcPr>
            <w:tcW w:w="6768" w:type="dxa"/>
          </w:tcPr>
          <w:p w:rsidR="00DD3657" w:rsidRPr="00E37783" w:rsidRDefault="00DD3657" w:rsidP="00C56EAC">
            <w:pPr>
              <w:pStyle w:val="Tabletext"/>
              <w:bidi/>
              <w:spacing w:before="60" w:after="60" w:line="320" w:lineRule="exact"/>
              <w:jc w:val="both"/>
              <w:rPr>
                <w:lang w:bidi="ar-EG"/>
              </w:rPr>
            </w:pPr>
            <w:r w:rsidRPr="00E37783">
              <w:rPr>
                <w:rtl/>
                <w:lang w:bidi="ar-EG"/>
              </w:rPr>
              <w:t>تقل قابلية شركات التشغيل لدفع الرسوم وفقاً لحجم البلد والتضاريس نظراً لأن تكاليف نشر الشبكات تزداد عموماً وفقاً لهذه المقاييس.</w:t>
            </w:r>
          </w:p>
        </w:tc>
      </w:tr>
      <w:tr w:rsidR="00DD3657" w:rsidRPr="00327D99" w:rsidTr="00026C26">
        <w:trPr>
          <w:jc w:val="center"/>
        </w:trPr>
        <w:tc>
          <w:tcPr>
            <w:tcW w:w="3081" w:type="dxa"/>
          </w:tcPr>
          <w:p w:rsidR="00DD3657" w:rsidRPr="00E37783" w:rsidRDefault="00DD3657" w:rsidP="00E37783">
            <w:pPr>
              <w:pStyle w:val="Tabletext"/>
              <w:bidi/>
              <w:spacing w:before="60" w:after="60" w:line="320" w:lineRule="exact"/>
              <w:rPr>
                <w:b/>
                <w:bCs/>
                <w:lang w:bidi="ar-EG"/>
              </w:rPr>
            </w:pPr>
            <w:r w:rsidRPr="00E37783">
              <w:rPr>
                <w:b/>
                <w:bCs/>
                <w:rtl/>
                <w:lang w:bidi="ar-EG"/>
              </w:rPr>
              <w:t xml:space="preserve">خصائص التصريحات </w:t>
            </w:r>
            <w:r w:rsidR="00026C26">
              <w:rPr>
                <w:b/>
                <w:bCs/>
                <w:lang w:bidi="ar-EG"/>
              </w:rPr>
              <w:br/>
            </w:r>
            <w:r w:rsidRPr="00E37783">
              <w:rPr>
                <w:b/>
                <w:bCs/>
                <w:rtl/>
                <w:lang w:bidi="ar-EG"/>
              </w:rPr>
              <w:t>أو التراخيص الممنوحة</w:t>
            </w:r>
          </w:p>
        </w:tc>
        <w:tc>
          <w:tcPr>
            <w:tcW w:w="6768" w:type="dxa"/>
          </w:tcPr>
          <w:p w:rsidR="00DD3657" w:rsidRPr="00E37783" w:rsidRDefault="00DD3657" w:rsidP="00C56EAC">
            <w:pPr>
              <w:pStyle w:val="Tabletext"/>
              <w:bidi/>
              <w:spacing w:before="60" w:after="60" w:line="320" w:lineRule="exact"/>
              <w:jc w:val="both"/>
              <w:rPr>
                <w:lang w:bidi="ar-EG"/>
              </w:rPr>
            </w:pPr>
          </w:p>
        </w:tc>
      </w:tr>
      <w:tr w:rsidR="00DD3657" w:rsidRPr="00327D99" w:rsidTr="00026C26">
        <w:trPr>
          <w:jc w:val="center"/>
        </w:trPr>
        <w:tc>
          <w:tcPr>
            <w:tcW w:w="3081" w:type="dxa"/>
          </w:tcPr>
          <w:p w:rsidR="00DD3657" w:rsidRPr="00E37783" w:rsidRDefault="00DD3657" w:rsidP="00C56EAC">
            <w:pPr>
              <w:pStyle w:val="Tabletext"/>
              <w:bidi/>
              <w:spacing w:before="60" w:after="60" w:line="320" w:lineRule="exact"/>
              <w:jc w:val="both"/>
              <w:rPr>
                <w:lang w:bidi="ar-EG"/>
              </w:rPr>
            </w:pPr>
            <w:r w:rsidRPr="00E37783">
              <w:rPr>
                <w:rtl/>
                <w:lang w:bidi="ar-EG"/>
              </w:rPr>
              <w:t>مدة صلاحية الترخيص</w:t>
            </w:r>
          </w:p>
        </w:tc>
        <w:tc>
          <w:tcPr>
            <w:tcW w:w="6768" w:type="dxa"/>
          </w:tcPr>
          <w:p w:rsidR="00DD3657" w:rsidRPr="00E37783" w:rsidRDefault="00DD3657" w:rsidP="00C56EAC">
            <w:pPr>
              <w:pStyle w:val="Tabletext"/>
              <w:bidi/>
              <w:spacing w:before="60" w:after="60" w:line="320" w:lineRule="exact"/>
              <w:jc w:val="both"/>
              <w:rPr>
                <w:lang w:bidi="ar-EG"/>
              </w:rPr>
            </w:pPr>
            <w:r w:rsidRPr="00E37783">
              <w:rPr>
                <w:rtl/>
                <w:lang w:bidi="ar-EG"/>
              </w:rPr>
              <w:t>تزداد قابلية شركات التشغيل لدفع الرسوم مع مرور الوقت لأن استهلاك التجهيزات يكون مضموناً بوجه أفضل كما أن السنوات الأخيرة من التشغيل تدر أرباحاً أكبر بكثير من السنوات الأولى بصورة عامة.</w:t>
            </w:r>
          </w:p>
        </w:tc>
      </w:tr>
      <w:tr w:rsidR="00DD3657" w:rsidRPr="00327D99" w:rsidTr="00026C26">
        <w:trPr>
          <w:jc w:val="center"/>
        </w:trPr>
        <w:tc>
          <w:tcPr>
            <w:tcW w:w="3081" w:type="dxa"/>
          </w:tcPr>
          <w:p w:rsidR="00DD3657" w:rsidRPr="00E37783" w:rsidRDefault="00DD3657" w:rsidP="00C56EAC">
            <w:pPr>
              <w:pStyle w:val="Tabletext"/>
              <w:bidi/>
              <w:spacing w:before="60" w:after="60" w:line="320" w:lineRule="exact"/>
              <w:jc w:val="both"/>
              <w:rPr>
                <w:lang w:bidi="ar-EG"/>
              </w:rPr>
            </w:pPr>
            <w:r w:rsidRPr="00E37783">
              <w:rPr>
                <w:rtl/>
                <w:lang w:bidi="ar-EG"/>
              </w:rPr>
              <w:t>استقرار ظروف التشغيل</w:t>
            </w:r>
          </w:p>
        </w:tc>
        <w:tc>
          <w:tcPr>
            <w:tcW w:w="6768" w:type="dxa"/>
          </w:tcPr>
          <w:p w:rsidR="00DD3657" w:rsidRPr="00E37783" w:rsidRDefault="00DD3657" w:rsidP="00C56EAC">
            <w:pPr>
              <w:pStyle w:val="Tabletext"/>
              <w:bidi/>
              <w:spacing w:before="60" w:after="60" w:line="320" w:lineRule="exact"/>
              <w:jc w:val="both"/>
              <w:rPr>
                <w:lang w:bidi="ar-EG"/>
              </w:rPr>
            </w:pPr>
            <w:r w:rsidRPr="00E37783">
              <w:rPr>
                <w:rtl/>
                <w:lang w:bidi="ar-EG"/>
              </w:rPr>
              <w:t>تزداد قابلية شركات التشغيل لدفع الرسوم بزيادة الاستقرار نظراً لأن انعدام الاستقرار يدفع شركات التشغيل إلى حماية أنفسها من المخاطر الملازمة لعدم الاستقرار.</w:t>
            </w:r>
          </w:p>
        </w:tc>
      </w:tr>
      <w:tr w:rsidR="00DD3657" w:rsidRPr="00327D99" w:rsidTr="00026C26">
        <w:trPr>
          <w:jc w:val="center"/>
        </w:trPr>
        <w:tc>
          <w:tcPr>
            <w:tcW w:w="3081" w:type="dxa"/>
          </w:tcPr>
          <w:p w:rsidR="00DD3657" w:rsidRPr="00E37783" w:rsidRDefault="00DD3657" w:rsidP="00C56EAC">
            <w:pPr>
              <w:pStyle w:val="Tabletext"/>
              <w:bidi/>
              <w:spacing w:before="60" w:after="60" w:line="320" w:lineRule="exact"/>
              <w:jc w:val="both"/>
              <w:rPr>
                <w:lang w:bidi="ar-EG"/>
              </w:rPr>
            </w:pPr>
            <w:r w:rsidRPr="00E37783">
              <w:rPr>
                <w:rtl/>
                <w:lang w:bidi="ar-EG"/>
              </w:rPr>
              <w:t xml:space="preserve">قابلية تجديد التراخيص </w:t>
            </w:r>
          </w:p>
        </w:tc>
        <w:tc>
          <w:tcPr>
            <w:tcW w:w="6768" w:type="dxa"/>
          </w:tcPr>
          <w:p w:rsidR="00DD3657" w:rsidRPr="00E37783" w:rsidRDefault="00DD3657" w:rsidP="00C56EAC">
            <w:pPr>
              <w:pStyle w:val="Tabletext"/>
              <w:bidi/>
              <w:spacing w:before="60" w:after="60" w:line="320" w:lineRule="exact"/>
              <w:jc w:val="both"/>
              <w:rPr>
                <w:lang w:bidi="ar-EG"/>
              </w:rPr>
            </w:pPr>
            <w:r w:rsidRPr="00E37783">
              <w:rPr>
                <w:rtl/>
                <w:lang w:bidi="ar-EG"/>
              </w:rPr>
              <w:t>لهذا العامل تأثير مماثل لتأثير العامل المتعلق بمدة صلاحية التراخيص.</w:t>
            </w:r>
          </w:p>
        </w:tc>
      </w:tr>
    </w:tbl>
    <w:p w:rsidR="00E37783" w:rsidRDefault="00E37783">
      <w: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3081"/>
        <w:gridCol w:w="6768"/>
      </w:tblGrid>
      <w:tr w:rsidR="00DD3657" w:rsidRPr="00327D99" w:rsidTr="00026C26">
        <w:trPr>
          <w:trHeight w:val="20"/>
          <w:jc w:val="center"/>
        </w:trPr>
        <w:tc>
          <w:tcPr>
            <w:tcW w:w="3081" w:type="dxa"/>
          </w:tcPr>
          <w:p w:rsidR="00DD3657" w:rsidRPr="00E37783" w:rsidRDefault="00DD3657" w:rsidP="00026C26">
            <w:pPr>
              <w:pStyle w:val="Tabletext"/>
              <w:bidi/>
              <w:spacing w:before="120" w:after="120" w:line="320" w:lineRule="exact"/>
              <w:rPr>
                <w:b/>
                <w:bCs/>
                <w:rtl/>
                <w:lang w:bidi="ar-EG"/>
              </w:rPr>
            </w:pPr>
            <w:r w:rsidRPr="00E37783">
              <w:rPr>
                <w:b/>
                <w:bCs/>
                <w:rtl/>
                <w:lang w:bidi="ar-EG"/>
              </w:rPr>
              <w:lastRenderedPageBreak/>
              <w:t>اختصاصات شركات التشغيل المرخص لها</w:t>
            </w:r>
          </w:p>
        </w:tc>
        <w:tc>
          <w:tcPr>
            <w:tcW w:w="6768" w:type="dxa"/>
          </w:tcPr>
          <w:p w:rsidR="00DD3657" w:rsidRPr="00E37783" w:rsidRDefault="00DD3657" w:rsidP="00E37783">
            <w:pPr>
              <w:pStyle w:val="Tabletext"/>
              <w:bidi/>
              <w:spacing w:before="120" w:after="120" w:line="320" w:lineRule="exact"/>
              <w:jc w:val="both"/>
              <w:rPr>
                <w:lang w:bidi="ar-EG"/>
              </w:rPr>
            </w:pPr>
          </w:p>
        </w:tc>
      </w:tr>
      <w:tr w:rsidR="00DD3657" w:rsidRPr="00327D99" w:rsidTr="00026C26">
        <w:trPr>
          <w:trHeight w:val="20"/>
          <w:jc w:val="center"/>
        </w:trPr>
        <w:tc>
          <w:tcPr>
            <w:tcW w:w="3081" w:type="dxa"/>
          </w:tcPr>
          <w:p w:rsidR="00DD3657" w:rsidRPr="00E37783" w:rsidRDefault="00DD3657" w:rsidP="00E37783">
            <w:pPr>
              <w:pStyle w:val="Tabletext"/>
              <w:bidi/>
              <w:spacing w:before="60" w:after="60" w:line="320" w:lineRule="exact"/>
              <w:jc w:val="both"/>
              <w:rPr>
                <w:rtl/>
                <w:lang w:bidi="ar-SY"/>
              </w:rPr>
            </w:pPr>
            <w:r w:rsidRPr="00E37783">
              <w:rPr>
                <w:rtl/>
                <w:lang w:bidi="ar-EG"/>
              </w:rPr>
              <w:t>تغطية الإقليم الوطني</w:t>
            </w:r>
          </w:p>
        </w:tc>
        <w:tc>
          <w:tcPr>
            <w:tcW w:w="6768" w:type="dxa"/>
            <w:vMerge w:val="restart"/>
          </w:tcPr>
          <w:p w:rsidR="00DD3657" w:rsidRPr="00E37783" w:rsidRDefault="00DD3657" w:rsidP="00026C26">
            <w:pPr>
              <w:pStyle w:val="Tabletext"/>
              <w:bidi/>
              <w:spacing w:before="60" w:after="120" w:line="320" w:lineRule="exact"/>
              <w:jc w:val="both"/>
              <w:rPr>
                <w:rtl/>
                <w:lang w:bidi="ar-EG"/>
              </w:rPr>
            </w:pPr>
            <w:r w:rsidRPr="00E37783">
              <w:rPr>
                <w:rtl/>
                <w:lang w:bidi="ar-EG"/>
              </w:rPr>
              <w:t>يؤدي إدراج هذه الالتزامات في اختصاصات شركات التشغيل إلى رفع تكاليف التشغيل تبعاً للمستوى الإلزامي المطلوب بموجب هذه الالتزامات وتثبيط قابلية شركات التشغيل للدفع.</w:t>
            </w:r>
          </w:p>
          <w:p w:rsidR="00DD3657" w:rsidRPr="00E37783" w:rsidRDefault="00DD3657" w:rsidP="00026C26">
            <w:pPr>
              <w:pStyle w:val="Tabletext"/>
              <w:bidi/>
              <w:spacing w:before="360" w:after="120" w:line="320" w:lineRule="exact"/>
              <w:jc w:val="both"/>
              <w:rPr>
                <w:rtl/>
                <w:lang w:bidi="ar-EG"/>
              </w:rPr>
            </w:pPr>
            <w:r w:rsidRPr="00E37783">
              <w:rPr>
                <w:rtl/>
                <w:lang w:bidi="ar-EG"/>
              </w:rPr>
              <w:t>ومن أجل إجراء مقارنة دقيقة، ينبغي تحليل إلى أي مدى يكون كل التزام إجبارياً على أن يتم مراعاة ما يلي بوجه خاص:</w:t>
            </w:r>
          </w:p>
          <w:p w:rsidR="00DD3657" w:rsidRPr="00E37783" w:rsidRDefault="00DD3657" w:rsidP="00026C26">
            <w:pPr>
              <w:pStyle w:val="Tabletext"/>
              <w:bidi/>
              <w:spacing w:before="360" w:after="120" w:line="320" w:lineRule="exact"/>
              <w:jc w:val="both"/>
              <w:rPr>
                <w:rtl/>
                <w:lang w:bidi="ar-EG"/>
              </w:rPr>
            </w:pPr>
            <w:r w:rsidRPr="00E37783">
              <w:rPr>
                <w:rtl/>
                <w:lang w:bidi="ar-EG"/>
              </w:rPr>
              <w:t>-</w:t>
            </w:r>
            <w:r w:rsidRPr="00E37783">
              <w:rPr>
                <w:rtl/>
                <w:lang w:bidi="ar-EG"/>
              </w:rPr>
              <w:tab/>
              <w:t>شروط النفاذ الدولي التي قد تؤثر على نوعية الخدمة،</w:t>
            </w:r>
          </w:p>
          <w:p w:rsidR="00DD3657" w:rsidRPr="00E37783" w:rsidRDefault="00DD3657" w:rsidP="00026C26">
            <w:pPr>
              <w:pStyle w:val="Tabletext"/>
              <w:bidi/>
              <w:spacing w:before="360" w:after="120" w:line="320" w:lineRule="exact"/>
              <w:jc w:val="both"/>
              <w:rPr>
                <w:lang w:bidi="ar-EG"/>
              </w:rPr>
            </w:pPr>
            <w:r w:rsidRPr="00E37783">
              <w:rPr>
                <w:rtl/>
                <w:lang w:bidi="ar-EG"/>
              </w:rPr>
              <w:t>-</w:t>
            </w:r>
            <w:r w:rsidRPr="00E37783">
              <w:rPr>
                <w:rtl/>
                <w:lang w:bidi="ar-EG"/>
              </w:rPr>
              <w:tab/>
              <w:t>الممارسات والعادات المحلية مثل تقديم خدمة مجانية لبعض المستعملين مما يؤدي إلى تخفيض نتيجة التشغيل.</w:t>
            </w:r>
          </w:p>
        </w:tc>
      </w:tr>
      <w:tr w:rsidR="00DD3657" w:rsidRPr="00327D99" w:rsidTr="00026C26">
        <w:trPr>
          <w:trHeight w:val="20"/>
          <w:jc w:val="center"/>
        </w:trPr>
        <w:tc>
          <w:tcPr>
            <w:tcW w:w="3081" w:type="dxa"/>
          </w:tcPr>
          <w:p w:rsidR="00DD3657" w:rsidRPr="00E37783" w:rsidRDefault="00DD3657" w:rsidP="00E37783">
            <w:pPr>
              <w:pStyle w:val="Tabletext"/>
              <w:bidi/>
              <w:spacing w:before="60" w:after="60" w:line="320" w:lineRule="exact"/>
              <w:jc w:val="both"/>
              <w:rPr>
                <w:lang w:bidi="ar-EG"/>
              </w:rPr>
            </w:pPr>
            <w:r w:rsidRPr="00E37783">
              <w:rPr>
                <w:rtl/>
                <w:lang w:bidi="ar-EG"/>
              </w:rPr>
              <w:t>نوعية الخدمة</w:t>
            </w:r>
          </w:p>
        </w:tc>
        <w:tc>
          <w:tcPr>
            <w:tcW w:w="6768" w:type="dxa"/>
            <w:vMerge/>
          </w:tcPr>
          <w:p w:rsidR="00DD3657" w:rsidRPr="00E37783" w:rsidRDefault="00DD3657" w:rsidP="00E37783">
            <w:pPr>
              <w:pStyle w:val="Tabletext"/>
              <w:bidi/>
              <w:spacing w:before="120" w:after="120" w:line="320" w:lineRule="exact"/>
              <w:jc w:val="both"/>
              <w:rPr>
                <w:lang w:bidi="ar-EG"/>
              </w:rPr>
            </w:pPr>
          </w:p>
        </w:tc>
      </w:tr>
      <w:tr w:rsidR="00DD3657" w:rsidRPr="00327D99" w:rsidTr="00026C26">
        <w:trPr>
          <w:trHeight w:val="20"/>
          <w:jc w:val="center"/>
        </w:trPr>
        <w:tc>
          <w:tcPr>
            <w:tcW w:w="3081" w:type="dxa"/>
          </w:tcPr>
          <w:p w:rsidR="00DD3657" w:rsidRPr="00E37783" w:rsidRDefault="00DD3657" w:rsidP="00E37783">
            <w:pPr>
              <w:pStyle w:val="Tabletext"/>
              <w:bidi/>
              <w:spacing w:before="60" w:after="60" w:line="320" w:lineRule="exact"/>
              <w:jc w:val="both"/>
              <w:rPr>
                <w:lang w:bidi="ar-EG"/>
              </w:rPr>
            </w:pPr>
            <w:r w:rsidRPr="00E37783">
              <w:rPr>
                <w:rtl/>
                <w:lang w:bidi="ar-EG"/>
              </w:rPr>
              <w:t>المشاركة في الخدمة الشاملة</w:t>
            </w:r>
          </w:p>
        </w:tc>
        <w:tc>
          <w:tcPr>
            <w:tcW w:w="6768" w:type="dxa"/>
            <w:vMerge/>
          </w:tcPr>
          <w:p w:rsidR="00DD3657" w:rsidRPr="00E37783" w:rsidRDefault="00DD3657" w:rsidP="00E37783">
            <w:pPr>
              <w:pStyle w:val="Tabletext"/>
              <w:bidi/>
              <w:spacing w:before="120" w:after="120" w:line="320" w:lineRule="exact"/>
              <w:jc w:val="both"/>
              <w:rPr>
                <w:lang w:bidi="ar-EG"/>
              </w:rPr>
            </w:pPr>
          </w:p>
        </w:tc>
      </w:tr>
      <w:tr w:rsidR="00DD3657" w:rsidRPr="00327D99" w:rsidTr="00026C26">
        <w:trPr>
          <w:trHeight w:val="20"/>
          <w:jc w:val="center"/>
        </w:trPr>
        <w:tc>
          <w:tcPr>
            <w:tcW w:w="3081" w:type="dxa"/>
          </w:tcPr>
          <w:p w:rsidR="00DD3657" w:rsidRPr="00E37783" w:rsidRDefault="00DD3657" w:rsidP="00E37783">
            <w:pPr>
              <w:pStyle w:val="Tabletext"/>
              <w:bidi/>
              <w:spacing w:before="60" w:after="60" w:line="320" w:lineRule="exact"/>
              <w:jc w:val="both"/>
              <w:rPr>
                <w:lang w:bidi="ar-EG"/>
              </w:rPr>
            </w:pPr>
            <w:r w:rsidRPr="00E37783">
              <w:rPr>
                <w:rtl/>
                <w:lang w:bidi="ar-EG"/>
              </w:rPr>
              <w:t>المشاركة في الجهود المبذولة في مجال البحث والتطوير في مجال الاتصالات</w:t>
            </w:r>
          </w:p>
        </w:tc>
        <w:tc>
          <w:tcPr>
            <w:tcW w:w="6768" w:type="dxa"/>
            <w:vMerge/>
          </w:tcPr>
          <w:p w:rsidR="00DD3657" w:rsidRPr="00E37783" w:rsidRDefault="00DD3657" w:rsidP="00E37783">
            <w:pPr>
              <w:pStyle w:val="Tabletext"/>
              <w:bidi/>
              <w:spacing w:before="120" w:after="120" w:line="320" w:lineRule="exact"/>
              <w:jc w:val="both"/>
              <w:rPr>
                <w:lang w:bidi="ar-EG"/>
              </w:rPr>
            </w:pPr>
          </w:p>
        </w:tc>
      </w:tr>
      <w:tr w:rsidR="00DD3657" w:rsidRPr="00327D99" w:rsidTr="00026C26">
        <w:trPr>
          <w:trHeight w:val="20"/>
          <w:jc w:val="center"/>
        </w:trPr>
        <w:tc>
          <w:tcPr>
            <w:tcW w:w="3081" w:type="dxa"/>
          </w:tcPr>
          <w:p w:rsidR="00DD3657" w:rsidRPr="00E37783" w:rsidRDefault="00DD3657" w:rsidP="00E37783">
            <w:pPr>
              <w:pStyle w:val="Tabletext"/>
              <w:bidi/>
              <w:spacing w:before="60" w:after="60" w:line="320" w:lineRule="exact"/>
              <w:jc w:val="both"/>
              <w:rPr>
                <w:lang w:bidi="ar-EG"/>
              </w:rPr>
            </w:pPr>
            <w:r w:rsidRPr="00E37783">
              <w:rPr>
                <w:rtl/>
                <w:lang w:bidi="ar-EG"/>
              </w:rPr>
              <w:t>التزامات أخرى (النداء المجاني باتجاه بعض الأرقام وقابلية تنقل الأرقام ...)</w:t>
            </w:r>
          </w:p>
        </w:tc>
        <w:tc>
          <w:tcPr>
            <w:tcW w:w="6768" w:type="dxa"/>
            <w:vMerge/>
          </w:tcPr>
          <w:p w:rsidR="00DD3657" w:rsidRPr="00E37783" w:rsidRDefault="00DD3657" w:rsidP="00E37783">
            <w:pPr>
              <w:pStyle w:val="Tabletext"/>
              <w:bidi/>
              <w:spacing w:before="120" w:after="120" w:line="320" w:lineRule="exact"/>
              <w:jc w:val="both"/>
              <w:rPr>
                <w:lang w:bidi="ar-EG"/>
              </w:rPr>
            </w:pPr>
          </w:p>
        </w:tc>
      </w:tr>
    </w:tbl>
    <w:p w:rsidR="00DD3657" w:rsidRDefault="00DD3657" w:rsidP="00E37783">
      <w:pPr>
        <w:pBdr>
          <w:bottom w:val="single" w:sz="12" w:space="1" w:color="auto"/>
        </w:pBdr>
        <w:jc w:val="center"/>
        <w:rPr>
          <w:rtl/>
          <w:lang w:val="en-US" w:bidi="ar-SY"/>
        </w:rPr>
      </w:pPr>
    </w:p>
    <w:p w:rsidR="00E37783" w:rsidRDefault="00E37783" w:rsidP="00DD3657">
      <w:pPr>
        <w:spacing w:line="480" w:lineRule="auto"/>
        <w:jc w:val="center"/>
        <w:rPr>
          <w:rtl/>
          <w:lang w:val="en-US" w:bidi="ar-SY"/>
        </w:rPr>
      </w:pPr>
    </w:p>
    <w:p w:rsidR="00E37783" w:rsidRDefault="00E37783" w:rsidP="00DD3657">
      <w:pPr>
        <w:spacing w:line="480" w:lineRule="auto"/>
        <w:jc w:val="center"/>
        <w:rPr>
          <w:lang w:val="en-US" w:bidi="ar-SY"/>
        </w:rPr>
        <w:sectPr w:rsidR="00E37783" w:rsidSect="003F18AE">
          <w:headerReference w:type="even" r:id="rId18"/>
          <w:headerReference w:type="default" r:id="rId19"/>
          <w:footerReference w:type="even" r:id="rId20"/>
          <w:footerReference w:type="default" r:id="rId21"/>
          <w:pgSz w:w="11907" w:h="16834" w:code="9"/>
          <w:pgMar w:top="1418" w:right="1134" w:bottom="1418" w:left="1134" w:header="720" w:footer="720" w:gutter="0"/>
          <w:paperSrc w:first="7" w:other="7"/>
          <w:pgNumType w:start="1"/>
          <w:cols w:space="720"/>
          <w:bidi/>
          <w:rtlGutter/>
        </w:sectPr>
      </w:pPr>
    </w:p>
    <w:p w:rsidR="003A5252" w:rsidRPr="007542AE" w:rsidDel="004D11AA" w:rsidRDefault="003A5252" w:rsidP="0049484E">
      <w:pPr>
        <w:pStyle w:val="AppendixNotitle"/>
      </w:pPr>
      <w:bookmarkStart w:id="117" w:name="_Toc280260011"/>
      <w:bookmarkStart w:id="118" w:name="_Toc280260873"/>
      <w:bookmarkStart w:id="119" w:name="_Toc280272472"/>
      <w:bookmarkStart w:id="120" w:name="_Toc282768655"/>
      <w:r>
        <w:lastRenderedPageBreak/>
        <w:t>Appendix 1.1 (English)</w:t>
      </w:r>
      <w:r>
        <w:br/>
      </w:r>
      <w:r>
        <w:rPr>
          <w:sz w:val="24"/>
          <w:szCs w:val="24"/>
        </w:rPr>
        <w:br/>
      </w:r>
      <w:r w:rsidRPr="007542AE">
        <w:t>United Arab Emirates: Basic elements of spectrum fees policy</w:t>
      </w:r>
      <w:bookmarkEnd w:id="117"/>
      <w:bookmarkEnd w:id="118"/>
      <w:bookmarkEnd w:id="119"/>
      <w:bookmarkEnd w:id="120"/>
    </w:p>
    <w:p w:rsidR="003A5252" w:rsidRDefault="003A5252" w:rsidP="003A5252">
      <w:pPr>
        <w:rPr>
          <w:lang w:val="en-US"/>
        </w:rPr>
      </w:pPr>
    </w:p>
    <w:p w:rsidR="003A5252" w:rsidRPr="009227FD" w:rsidRDefault="003A5252" w:rsidP="00026C26">
      <w:pPr>
        <w:pStyle w:val="Heading1"/>
        <w:bidi w:val="0"/>
        <w:rPr>
          <w:lang w:val="en-US"/>
        </w:rPr>
      </w:pPr>
      <w:bookmarkStart w:id="121" w:name="_Toc280260012"/>
      <w:bookmarkStart w:id="122" w:name="_Toc280260874"/>
      <w:bookmarkStart w:id="123" w:name="_Toc280272473"/>
      <w:bookmarkStart w:id="124" w:name="_Toc282768656"/>
      <w:r w:rsidRPr="009227FD">
        <w:rPr>
          <w:lang w:val="en-US"/>
        </w:rPr>
        <w:t>Introduction:</w:t>
      </w:r>
      <w:bookmarkEnd w:id="121"/>
      <w:bookmarkEnd w:id="122"/>
      <w:bookmarkEnd w:id="123"/>
      <w:bookmarkEnd w:id="124"/>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This document and its to serve the work of preparing the Guidelines for the System of Fees for the Use of the Radio Frequency Spectrum, with the aim to give an actual &amp; comprehensive guidelines as well as example of Spectrum Fees Policy that could be helpful to consider or to use by some of the countries, in particular developing and least developed countries, while drafting new SF policies or revising them.</w:t>
      </w:r>
    </w:p>
    <w:p w:rsidR="003A5252" w:rsidRPr="009227FD" w:rsidRDefault="003A5252" w:rsidP="00026C26">
      <w:pPr>
        <w:pStyle w:val="Heading1"/>
        <w:bidi w:val="0"/>
      </w:pPr>
      <w:bookmarkStart w:id="125" w:name="_Toc280260013"/>
      <w:bookmarkStart w:id="126" w:name="_Toc280260875"/>
      <w:bookmarkStart w:id="127" w:name="_Toc280272474"/>
      <w:bookmarkStart w:id="128" w:name="_Toc282768657"/>
      <w:r w:rsidRPr="009227FD">
        <w:t>Basic Elements of SF Policy:</w:t>
      </w:r>
      <w:bookmarkEnd w:id="125"/>
      <w:bookmarkEnd w:id="126"/>
      <w:bookmarkEnd w:id="127"/>
      <w:bookmarkEnd w:id="128"/>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 xml:space="preserve">It is very important to mention in the beginning of this document that there is ’no one solution fits all’ in spectrum economics. </w:t>
      </w:r>
      <w:r w:rsidRPr="009227FD">
        <w:rPr>
          <w:rFonts w:asciiTheme="majorBidi" w:hAnsiTheme="majorBidi" w:cstheme="majorBidi"/>
          <w:sz w:val="22"/>
          <w:szCs w:val="22"/>
          <w:u w:val="single"/>
          <w:lang w:val="en-US"/>
        </w:rPr>
        <w:t>Each country has its own legal, regulatory and economic objectives, and prevalent conditions based on which a customized solution has to be prepared with provisions to improve upon and at the same time maintaining assurance of stability in the fees regime</w:t>
      </w:r>
      <w:r w:rsidRPr="009227FD">
        <w:rPr>
          <w:rFonts w:asciiTheme="majorBidi" w:hAnsiTheme="majorBidi" w:cstheme="majorBidi"/>
          <w:sz w:val="22"/>
          <w:szCs w:val="22"/>
          <w:lang w:val="en-US"/>
        </w:rPr>
        <w:t xml:space="preserve">. </w:t>
      </w:r>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These guidelines propose some of the essential elements that are considered to be essential for any SF Policy:</w:t>
      </w:r>
    </w:p>
    <w:p w:rsidR="003A5252" w:rsidRPr="009227FD" w:rsidRDefault="003A5252" w:rsidP="00026C26">
      <w:pPr>
        <w:pStyle w:val="Heading1"/>
        <w:bidi w:val="0"/>
        <w:rPr>
          <w:lang w:val="en-US"/>
        </w:rPr>
      </w:pPr>
      <w:bookmarkStart w:id="129" w:name="_Toc280260014"/>
      <w:bookmarkStart w:id="130" w:name="_Toc280260876"/>
      <w:bookmarkStart w:id="131" w:name="_Toc280272475"/>
      <w:bookmarkStart w:id="132" w:name="_Toc282768658"/>
      <w:r w:rsidRPr="009227FD">
        <w:rPr>
          <w:lang w:val="en-US"/>
        </w:rPr>
        <w:t>1</w:t>
      </w:r>
      <w:r>
        <w:rPr>
          <w:lang w:val="en-US"/>
        </w:rPr>
        <w:tab/>
      </w:r>
      <w:r w:rsidRPr="009227FD">
        <w:rPr>
          <w:lang w:val="en-US"/>
        </w:rPr>
        <w:t>Reference to the Law</w:t>
      </w:r>
      <w:bookmarkEnd w:id="129"/>
      <w:bookmarkEnd w:id="130"/>
      <w:bookmarkEnd w:id="131"/>
      <w:bookmarkEnd w:id="132"/>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It is important to highlight in the beginning of SF Policy the LAW or the legal authority from where the power to charge for the spectrum management activities are derived.</w:t>
      </w:r>
    </w:p>
    <w:p w:rsidR="003A5252" w:rsidRPr="009227FD" w:rsidRDefault="003A5252" w:rsidP="00026C26">
      <w:pPr>
        <w:pStyle w:val="Heading1"/>
        <w:bidi w:val="0"/>
        <w:rPr>
          <w:lang w:val="en-US"/>
        </w:rPr>
      </w:pPr>
      <w:bookmarkStart w:id="133" w:name="_Toc280260015"/>
      <w:bookmarkStart w:id="134" w:name="_Toc280260877"/>
      <w:bookmarkStart w:id="135" w:name="_Toc280272476"/>
      <w:bookmarkStart w:id="136" w:name="_Toc282768659"/>
      <w:r w:rsidRPr="009227FD">
        <w:rPr>
          <w:lang w:val="en-US"/>
        </w:rPr>
        <w:t>2</w:t>
      </w:r>
      <w:r>
        <w:rPr>
          <w:lang w:val="en-US"/>
        </w:rPr>
        <w:tab/>
      </w:r>
      <w:r w:rsidRPr="009227FD">
        <w:rPr>
          <w:lang w:val="en-US"/>
        </w:rPr>
        <w:t>Important Definitions</w:t>
      </w:r>
      <w:bookmarkEnd w:id="133"/>
      <w:bookmarkEnd w:id="134"/>
      <w:bookmarkEnd w:id="135"/>
      <w:bookmarkEnd w:id="136"/>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It is important to have such part, not only to shorten the size of the Policy document but more importantly to remove any ambiguity on the meaning of any of the terms used.</w:t>
      </w:r>
    </w:p>
    <w:p w:rsidR="003A5252" w:rsidRPr="009227FD" w:rsidRDefault="003A5252" w:rsidP="00026C26">
      <w:pPr>
        <w:pStyle w:val="Heading1"/>
        <w:bidi w:val="0"/>
        <w:rPr>
          <w:lang w:val="en-US"/>
        </w:rPr>
      </w:pPr>
      <w:bookmarkStart w:id="137" w:name="_Toc280260016"/>
      <w:bookmarkStart w:id="138" w:name="_Toc280260878"/>
      <w:bookmarkStart w:id="139" w:name="_Toc280272477"/>
      <w:bookmarkStart w:id="140" w:name="_Toc282768660"/>
      <w:r w:rsidRPr="009227FD">
        <w:rPr>
          <w:lang w:val="en-US"/>
        </w:rPr>
        <w:t>3</w:t>
      </w:r>
      <w:r>
        <w:rPr>
          <w:lang w:val="en-US"/>
        </w:rPr>
        <w:tab/>
      </w:r>
      <w:r w:rsidRPr="009227FD">
        <w:rPr>
          <w:lang w:val="en-US"/>
        </w:rPr>
        <w:t>Type of Fees</w:t>
      </w:r>
      <w:bookmarkEnd w:id="137"/>
      <w:bookmarkEnd w:id="138"/>
      <w:bookmarkEnd w:id="139"/>
      <w:bookmarkEnd w:id="140"/>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It is useful to divide the fees categories of administrative fees for SM activities into components and details of the factors used for charging the spectrum usage fees; such as:</w:t>
      </w:r>
    </w:p>
    <w:p w:rsidR="003A5252" w:rsidRPr="009227FD" w:rsidRDefault="003A5252" w:rsidP="00026C26">
      <w:pPr>
        <w:pStyle w:val="Heading2"/>
        <w:bidi w:val="0"/>
      </w:pPr>
      <w:bookmarkStart w:id="141" w:name="_Toc280260017"/>
      <w:bookmarkStart w:id="142" w:name="_Toc280272478"/>
      <w:bookmarkStart w:id="143" w:name="_Toc282768661"/>
      <w:r>
        <w:t>A</w:t>
      </w:r>
      <w:r>
        <w:tab/>
      </w:r>
      <w:r w:rsidRPr="009227FD">
        <w:t>Basic Fees</w:t>
      </w:r>
      <w:bookmarkEnd w:id="141"/>
      <w:bookmarkEnd w:id="142"/>
      <w:bookmarkEnd w:id="143"/>
    </w:p>
    <w:p w:rsidR="003A5252" w:rsidRPr="00AA5C49" w:rsidRDefault="003A5252" w:rsidP="00026C26">
      <w:pPr>
        <w:pStyle w:val="enumlev1"/>
        <w:bidi w:val="0"/>
        <w:rPr>
          <w:lang w:val="en-US"/>
        </w:rPr>
      </w:pPr>
      <w:r w:rsidRPr="00AA5C49">
        <w:rPr>
          <w:lang w:val="en-US"/>
        </w:rPr>
        <w:t>–</w:t>
      </w:r>
      <w:r w:rsidRPr="00AA5C49">
        <w:rPr>
          <w:lang w:val="en-US"/>
        </w:rPr>
        <w:tab/>
        <w:t>Application Processing Fees: flat non-refundable fee for processing the application irrespective of the final status.</w:t>
      </w:r>
    </w:p>
    <w:p w:rsidR="003A5252" w:rsidRPr="00AA5C49" w:rsidRDefault="003A5252" w:rsidP="00026C26">
      <w:pPr>
        <w:pStyle w:val="enumlev1"/>
        <w:bidi w:val="0"/>
        <w:rPr>
          <w:lang w:val="en-US"/>
        </w:rPr>
      </w:pPr>
      <w:r w:rsidRPr="00AA5C49">
        <w:rPr>
          <w:lang w:val="en-US"/>
        </w:rPr>
        <w:t>–</w:t>
      </w:r>
      <w:r w:rsidRPr="00AA5C49">
        <w:rPr>
          <w:lang w:val="en-US"/>
        </w:rPr>
        <w:tab/>
        <w:t>Spectrum Fees: fees relative to the utilization of the spectrum.</w:t>
      </w:r>
    </w:p>
    <w:p w:rsidR="003A5252" w:rsidRPr="00CC5008" w:rsidRDefault="003A5252" w:rsidP="00026C26">
      <w:pPr>
        <w:pStyle w:val="Heading2"/>
        <w:bidi w:val="0"/>
      </w:pPr>
      <w:bookmarkStart w:id="144" w:name="_Toc280260018"/>
      <w:bookmarkStart w:id="145" w:name="_Toc280272479"/>
      <w:bookmarkStart w:id="146" w:name="_Toc282768662"/>
      <w:r w:rsidRPr="00CC5008">
        <w:t>B</w:t>
      </w:r>
      <w:r w:rsidRPr="00CC5008">
        <w:tab/>
        <w:t>Additional Fees</w:t>
      </w:r>
      <w:bookmarkEnd w:id="144"/>
      <w:bookmarkEnd w:id="145"/>
      <w:bookmarkEnd w:id="146"/>
    </w:p>
    <w:p w:rsidR="003A5252" w:rsidRPr="00AA5C49" w:rsidRDefault="003A5252" w:rsidP="00026C26">
      <w:pPr>
        <w:pStyle w:val="enumlev1"/>
        <w:bidi w:val="0"/>
        <w:rPr>
          <w:lang w:val="en-US"/>
        </w:rPr>
      </w:pPr>
      <w:r w:rsidRPr="00AA5C49">
        <w:rPr>
          <w:lang w:val="en-US"/>
        </w:rPr>
        <w:t>–</w:t>
      </w:r>
      <w:r w:rsidRPr="00AA5C49">
        <w:rPr>
          <w:lang w:val="en-US"/>
        </w:rPr>
        <w:tab/>
        <w:t>Reproduction, Modifications, Cancellation fees: the definition and applied fees for each should be specified.</w:t>
      </w:r>
    </w:p>
    <w:p w:rsidR="003A5252" w:rsidRPr="00AA5C49" w:rsidRDefault="003A5252" w:rsidP="00026C26">
      <w:pPr>
        <w:pStyle w:val="enumlev1"/>
        <w:bidi w:val="0"/>
        <w:rPr>
          <w:lang w:val="en-US"/>
        </w:rPr>
      </w:pPr>
      <w:r w:rsidRPr="00AA5C49">
        <w:rPr>
          <w:lang w:val="en-US"/>
        </w:rPr>
        <w:t>–</w:t>
      </w:r>
      <w:r w:rsidRPr="00AA5C49">
        <w:rPr>
          <w:lang w:val="en-US"/>
        </w:rPr>
        <w:tab/>
        <w:t xml:space="preserve">Other Fees due to special services requested from the Authority, such Interference Complaints processing and monitoring, Site Surveys, etc. </w:t>
      </w:r>
    </w:p>
    <w:p w:rsidR="003A5252" w:rsidRPr="00CC5008" w:rsidRDefault="003A5252" w:rsidP="00026C26">
      <w:pPr>
        <w:pStyle w:val="Heading1"/>
        <w:bidi w:val="0"/>
        <w:rPr>
          <w:lang w:val="en-US"/>
        </w:rPr>
      </w:pPr>
      <w:bookmarkStart w:id="147" w:name="_Toc280260019"/>
      <w:bookmarkStart w:id="148" w:name="_Toc280260879"/>
      <w:bookmarkStart w:id="149" w:name="_Toc280272480"/>
      <w:bookmarkStart w:id="150" w:name="_Toc282768663"/>
      <w:r w:rsidRPr="00CC5008">
        <w:rPr>
          <w:lang w:val="en-US"/>
        </w:rPr>
        <w:t>4</w:t>
      </w:r>
      <w:r w:rsidRPr="00CC5008">
        <w:rPr>
          <w:lang w:val="en-US"/>
        </w:rPr>
        <w:tab/>
        <w:t>Method of payment</w:t>
      </w:r>
      <w:bookmarkEnd w:id="147"/>
      <w:bookmarkEnd w:id="148"/>
      <w:bookmarkEnd w:id="149"/>
      <w:bookmarkEnd w:id="150"/>
    </w:p>
    <w:p w:rsidR="003A5252" w:rsidRPr="009227FD" w:rsidRDefault="003A5252" w:rsidP="00026C26">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It should be clear how the Authority would like to receive any of the above fees, for example:</w:t>
      </w:r>
    </w:p>
    <w:p w:rsidR="003A5252" w:rsidRPr="00AA5C49" w:rsidRDefault="003A5252" w:rsidP="00026C26">
      <w:pPr>
        <w:pStyle w:val="enumlev1"/>
        <w:bidi w:val="0"/>
        <w:rPr>
          <w:lang w:val="en-US"/>
        </w:rPr>
      </w:pPr>
      <w:r w:rsidRPr="00AA5C49">
        <w:rPr>
          <w:lang w:val="en-US"/>
        </w:rPr>
        <w:t>–</w:t>
      </w:r>
      <w:r w:rsidRPr="00AA5C49">
        <w:rPr>
          <w:lang w:val="en-US"/>
        </w:rPr>
        <w:tab/>
        <w:t>In advance or post payment, etc.</w:t>
      </w:r>
    </w:p>
    <w:p w:rsidR="003A5252" w:rsidRPr="009227FD" w:rsidRDefault="003A5252" w:rsidP="00026C26">
      <w:pPr>
        <w:pStyle w:val="enumlev1"/>
        <w:bidi w:val="0"/>
      </w:pPr>
      <w:r>
        <w:t>–</w:t>
      </w:r>
      <w:r>
        <w:tab/>
      </w:r>
      <w:r w:rsidRPr="009227FD">
        <w:t>Cheque, direct bank deposits, etc.</w:t>
      </w:r>
    </w:p>
    <w:p w:rsidR="00026C26" w:rsidRDefault="00026C26">
      <w:pPr>
        <w:tabs>
          <w:tab w:val="clear" w:pos="794"/>
          <w:tab w:val="clear" w:pos="1191"/>
          <w:tab w:val="clear" w:pos="1588"/>
          <w:tab w:val="clear" w:pos="1985"/>
        </w:tabs>
        <w:overflowPunct/>
        <w:autoSpaceDE/>
        <w:autoSpaceDN/>
        <w:bidi w:val="0"/>
        <w:adjustRightInd/>
        <w:spacing w:before="0" w:line="240" w:lineRule="auto"/>
        <w:jc w:val="left"/>
        <w:textAlignment w:val="auto"/>
        <w:rPr>
          <w:lang w:val="fr-FR"/>
        </w:rPr>
      </w:pPr>
      <w:r w:rsidRPr="00AA5C49">
        <w:rPr>
          <w:lang w:val="fr-CH"/>
        </w:rPr>
        <w:br w:type="page"/>
      </w:r>
    </w:p>
    <w:p w:rsidR="003A5252" w:rsidRPr="00AA5C49" w:rsidRDefault="003A5252" w:rsidP="00026C26">
      <w:pPr>
        <w:pStyle w:val="enumlev1"/>
        <w:bidi w:val="0"/>
        <w:rPr>
          <w:lang w:val="en-US"/>
        </w:rPr>
      </w:pPr>
      <w:r w:rsidRPr="00AA5C49">
        <w:rPr>
          <w:lang w:val="en-US"/>
        </w:rPr>
        <w:lastRenderedPageBreak/>
        <w:t>–</w:t>
      </w:r>
      <w:r w:rsidRPr="00AA5C49">
        <w:rPr>
          <w:lang w:val="en-US"/>
        </w:rPr>
        <w:tab/>
        <w:t>Deadline before which the payment should be received the further actions to be taken if the deadline was not met.</w:t>
      </w:r>
    </w:p>
    <w:p w:rsidR="003A5252" w:rsidRPr="006C412F" w:rsidRDefault="003A5252" w:rsidP="00026C26">
      <w:pPr>
        <w:pStyle w:val="Heading1"/>
        <w:bidi w:val="0"/>
        <w:rPr>
          <w:lang w:val="en-US"/>
        </w:rPr>
      </w:pPr>
      <w:bookmarkStart w:id="151" w:name="_Toc280260020"/>
      <w:bookmarkStart w:id="152" w:name="_Toc280260880"/>
      <w:bookmarkStart w:id="153" w:name="_Toc280272481"/>
      <w:bookmarkStart w:id="154" w:name="_Toc282768664"/>
      <w:r w:rsidRPr="006C412F">
        <w:rPr>
          <w:lang w:val="en-US"/>
        </w:rPr>
        <w:t>5</w:t>
      </w:r>
      <w:r w:rsidRPr="006C412F">
        <w:rPr>
          <w:lang w:val="en-US"/>
        </w:rPr>
        <w:tab/>
        <w:t>Fees Exemptions</w:t>
      </w:r>
      <w:bookmarkEnd w:id="151"/>
      <w:bookmarkEnd w:id="152"/>
      <w:bookmarkEnd w:id="153"/>
      <w:bookmarkEnd w:id="154"/>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Exemption of any of the Fees for particular services and/or particular individuals should be indicated clearly in the policy along with any conditions associated with it.</w:t>
      </w:r>
    </w:p>
    <w:p w:rsidR="003A5252" w:rsidRPr="00E76BAC" w:rsidRDefault="003A5252" w:rsidP="00026C26">
      <w:pPr>
        <w:pStyle w:val="Heading1"/>
        <w:bidi w:val="0"/>
        <w:rPr>
          <w:lang w:val="en-US"/>
        </w:rPr>
      </w:pPr>
      <w:bookmarkStart w:id="155" w:name="_Toc280260021"/>
      <w:bookmarkStart w:id="156" w:name="_Toc280260881"/>
      <w:bookmarkStart w:id="157" w:name="_Toc280272482"/>
      <w:bookmarkStart w:id="158" w:name="_Toc282768665"/>
      <w:r w:rsidRPr="00E76BAC">
        <w:rPr>
          <w:lang w:val="en-US"/>
        </w:rPr>
        <w:t>6</w:t>
      </w:r>
      <w:r w:rsidRPr="00E76BAC">
        <w:rPr>
          <w:lang w:val="en-US"/>
        </w:rPr>
        <w:tab/>
        <w:t>Spectrum fees calculation</w:t>
      </w:r>
      <w:bookmarkEnd w:id="155"/>
      <w:bookmarkEnd w:id="156"/>
      <w:bookmarkEnd w:id="157"/>
      <w:bookmarkEnd w:id="158"/>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The calculation of such fees should reflect both Administrative Cost for Spectrum Management activities, as well as the Spectrum Market value.</w:t>
      </w:r>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Method of calculating the Spectrum Fees should be given clearly for each service and its relevant frequency band(s), and should be based on a rational.</w:t>
      </w:r>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There are various calculation methods for Spectrum Fees, varying from having a flat rate to applying very complex formulas.</w:t>
      </w:r>
    </w:p>
    <w:p w:rsidR="003A5252" w:rsidRPr="009227FD" w:rsidRDefault="003A5252" w:rsidP="00026C26">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Some of the factors that could be considered in developing such calculations are:</w:t>
      </w:r>
    </w:p>
    <w:p w:rsidR="003A5252" w:rsidRPr="00AA5C49" w:rsidRDefault="003A5252" w:rsidP="00026C26">
      <w:pPr>
        <w:pStyle w:val="enumlev1"/>
        <w:bidi w:val="0"/>
        <w:rPr>
          <w:lang w:val="en-US"/>
        </w:rPr>
      </w:pPr>
      <w:r w:rsidRPr="00AA5C49">
        <w:rPr>
          <w:lang w:val="en-US"/>
        </w:rPr>
        <w:t>–</w:t>
      </w:r>
      <w:r w:rsidRPr="00AA5C49">
        <w:rPr>
          <w:lang w:val="en-US"/>
        </w:rPr>
        <w:tab/>
        <w:t>Frequency band (Spectrum demand and congestion)</w:t>
      </w:r>
    </w:p>
    <w:p w:rsidR="003A5252" w:rsidRPr="00AA5C49" w:rsidRDefault="003A5252" w:rsidP="00026C26">
      <w:pPr>
        <w:pStyle w:val="enumlev1"/>
        <w:bidi w:val="0"/>
        <w:rPr>
          <w:lang w:val="en-US"/>
        </w:rPr>
      </w:pPr>
      <w:r w:rsidRPr="00AA5C49">
        <w:rPr>
          <w:lang w:val="en-US"/>
        </w:rPr>
        <w:t>–</w:t>
      </w:r>
      <w:r w:rsidRPr="00AA5C49">
        <w:rPr>
          <w:lang w:val="en-US"/>
        </w:rPr>
        <w:tab/>
        <w:t>Bandwidth</w:t>
      </w:r>
    </w:p>
    <w:p w:rsidR="003A5252" w:rsidRPr="00AA5C49" w:rsidRDefault="003A5252" w:rsidP="00026C26">
      <w:pPr>
        <w:pStyle w:val="enumlev1"/>
        <w:bidi w:val="0"/>
        <w:rPr>
          <w:lang w:val="en-US"/>
        </w:rPr>
      </w:pPr>
      <w:r w:rsidRPr="00AA5C49">
        <w:rPr>
          <w:lang w:val="en-US"/>
        </w:rPr>
        <w:t>–</w:t>
      </w:r>
      <w:r w:rsidRPr="00AA5C49">
        <w:rPr>
          <w:lang w:val="en-US"/>
        </w:rPr>
        <w:tab/>
        <w:t>Power, Height, and resulted coverage area</w:t>
      </w:r>
    </w:p>
    <w:p w:rsidR="003A5252" w:rsidRPr="00AA5C49" w:rsidRDefault="003A5252" w:rsidP="00026C26">
      <w:pPr>
        <w:pStyle w:val="enumlev1"/>
        <w:bidi w:val="0"/>
        <w:rPr>
          <w:lang w:val="en-US"/>
        </w:rPr>
      </w:pPr>
      <w:r w:rsidRPr="00AA5C49">
        <w:rPr>
          <w:lang w:val="en-US"/>
        </w:rPr>
        <w:t>–</w:t>
      </w:r>
      <w:r w:rsidRPr="00AA5C49">
        <w:rPr>
          <w:lang w:val="en-US"/>
        </w:rPr>
        <w:tab/>
        <w:t>Location (Spectrum demand and congestion)</w:t>
      </w:r>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Bonus factors as well as special temporary discounts could be proposed to encourage the use of some bands or the introduction of particular services.</w:t>
      </w:r>
    </w:p>
    <w:p w:rsidR="003A5252" w:rsidRPr="00692EFE" w:rsidRDefault="003A5252" w:rsidP="00026C26">
      <w:pPr>
        <w:pStyle w:val="Heading1"/>
        <w:bidi w:val="0"/>
        <w:rPr>
          <w:lang w:val="en-US"/>
        </w:rPr>
      </w:pPr>
      <w:bookmarkStart w:id="159" w:name="_Toc280260022"/>
      <w:bookmarkStart w:id="160" w:name="_Toc280260882"/>
      <w:bookmarkStart w:id="161" w:name="_Toc280272483"/>
      <w:bookmarkStart w:id="162" w:name="_Toc282768666"/>
      <w:r w:rsidRPr="00692EFE">
        <w:rPr>
          <w:lang w:val="en-US"/>
        </w:rPr>
        <w:t>7</w:t>
      </w:r>
      <w:r w:rsidRPr="00692EFE">
        <w:rPr>
          <w:lang w:val="en-US"/>
        </w:rPr>
        <w:tab/>
        <w:t>Low Power &amp; Short Range Devices</w:t>
      </w:r>
      <w:bookmarkEnd w:id="159"/>
      <w:bookmarkEnd w:id="160"/>
      <w:bookmarkEnd w:id="161"/>
      <w:bookmarkEnd w:id="162"/>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Treatment of short range devices as well as services which are exempted from the above fees should also be clearly mentioned and any associated conditions could be specified.</w:t>
      </w:r>
    </w:p>
    <w:p w:rsidR="003A5252" w:rsidRPr="00692EFE" w:rsidRDefault="003A5252" w:rsidP="00026C26">
      <w:pPr>
        <w:pStyle w:val="Heading1"/>
        <w:bidi w:val="0"/>
        <w:rPr>
          <w:lang w:val="en-US"/>
        </w:rPr>
      </w:pPr>
      <w:bookmarkStart w:id="163" w:name="_Toc280260023"/>
      <w:bookmarkStart w:id="164" w:name="_Toc280260883"/>
      <w:bookmarkStart w:id="165" w:name="_Toc280272484"/>
      <w:bookmarkStart w:id="166" w:name="_Toc282768667"/>
      <w:r w:rsidRPr="00692EFE">
        <w:rPr>
          <w:lang w:val="en-US"/>
        </w:rPr>
        <w:t>8</w:t>
      </w:r>
      <w:r w:rsidRPr="00692EFE">
        <w:rPr>
          <w:lang w:val="en-US"/>
        </w:rPr>
        <w:tab/>
        <w:t>Fees due to Cancellation, Reproduction, and Modification of an Authorization</w:t>
      </w:r>
      <w:bookmarkEnd w:id="163"/>
      <w:bookmarkEnd w:id="164"/>
      <w:bookmarkEnd w:id="165"/>
      <w:bookmarkEnd w:id="166"/>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The definition and the associated fees, if any, of each should be clearly indicated.</w:t>
      </w:r>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 xml:space="preserve">Furthermore, it should be clear if a Modification results more Spectrum fees, how the difference to be paid by the user,is calculated. And in case the modification results in less Spectrum fees wither the Telecom Authority has to reimburse the difference back to the user, and if that is the case how it should reimburse the amount. . </w:t>
      </w:r>
    </w:p>
    <w:p w:rsidR="003A5252" w:rsidRPr="00692EFE" w:rsidRDefault="003A5252" w:rsidP="00026C26">
      <w:pPr>
        <w:pStyle w:val="Heading1"/>
        <w:bidi w:val="0"/>
        <w:rPr>
          <w:lang w:val="en-US"/>
        </w:rPr>
      </w:pPr>
      <w:bookmarkStart w:id="167" w:name="_Toc280260024"/>
      <w:bookmarkStart w:id="168" w:name="_Toc280260884"/>
      <w:bookmarkStart w:id="169" w:name="_Toc280272485"/>
      <w:bookmarkStart w:id="170" w:name="_Toc282768668"/>
      <w:r w:rsidRPr="00692EFE">
        <w:rPr>
          <w:lang w:val="en-US"/>
        </w:rPr>
        <w:t>9</w:t>
      </w:r>
      <w:r w:rsidRPr="00692EFE">
        <w:rPr>
          <w:lang w:val="en-US"/>
        </w:rPr>
        <w:tab/>
        <w:t>Treatment of Emergency and Disaster frequencies</w:t>
      </w:r>
      <w:bookmarkEnd w:id="167"/>
      <w:bookmarkEnd w:id="168"/>
      <w:bookmarkEnd w:id="169"/>
      <w:bookmarkEnd w:id="170"/>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It is maybe helpful to mention that all such authorized frequencies and equipments are exempted of any fees, or otherwise as the Authority wishes to treat such frequency usage.</w:t>
      </w:r>
    </w:p>
    <w:p w:rsidR="003A5252" w:rsidRPr="00692EFE" w:rsidRDefault="003A5252" w:rsidP="00026C26">
      <w:pPr>
        <w:pStyle w:val="Heading1"/>
        <w:bidi w:val="0"/>
        <w:rPr>
          <w:lang w:val="en-US"/>
        </w:rPr>
      </w:pPr>
      <w:bookmarkStart w:id="171" w:name="_Toc280260025"/>
      <w:bookmarkStart w:id="172" w:name="_Toc280260885"/>
      <w:bookmarkStart w:id="173" w:name="_Toc280272486"/>
      <w:bookmarkStart w:id="174" w:name="_Toc282768669"/>
      <w:r w:rsidRPr="00692EFE">
        <w:rPr>
          <w:lang w:val="en-US"/>
        </w:rPr>
        <w:t>10</w:t>
      </w:r>
      <w:r w:rsidRPr="00692EFE">
        <w:rPr>
          <w:lang w:val="en-US"/>
        </w:rPr>
        <w:tab/>
        <w:t>Temporary Authorizations</w:t>
      </w:r>
      <w:bookmarkEnd w:id="171"/>
      <w:bookmarkEnd w:id="172"/>
      <w:bookmarkEnd w:id="173"/>
      <w:bookmarkEnd w:id="174"/>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 xml:space="preserve">Calculation of fees to be applied for such cases should be clearly specified. </w:t>
      </w:r>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Minimum Fees, Minimum Time Unit used to calculate such Authorizations and other major associated conditions, maybe useful to indicate.</w:t>
      </w:r>
    </w:p>
    <w:p w:rsidR="00026C26" w:rsidRDefault="00026C26">
      <w:pPr>
        <w:tabs>
          <w:tab w:val="clear" w:pos="794"/>
          <w:tab w:val="clear" w:pos="1191"/>
          <w:tab w:val="clear" w:pos="1588"/>
          <w:tab w:val="clear" w:pos="1985"/>
        </w:tabs>
        <w:overflowPunct/>
        <w:autoSpaceDE/>
        <w:autoSpaceDN/>
        <w:bidi w:val="0"/>
        <w:adjustRightInd/>
        <w:spacing w:before="0" w:line="240" w:lineRule="auto"/>
        <w:jc w:val="left"/>
        <w:textAlignment w:val="auto"/>
        <w:rPr>
          <w:b/>
          <w:bCs/>
          <w:kern w:val="32"/>
          <w:sz w:val="24"/>
          <w:szCs w:val="32"/>
          <w:lang w:val="en-US" w:bidi="ar-EG"/>
        </w:rPr>
      </w:pPr>
      <w:bookmarkStart w:id="175" w:name="_Toc280260026"/>
      <w:bookmarkStart w:id="176" w:name="_Toc280260886"/>
      <w:bookmarkStart w:id="177" w:name="_Toc280272487"/>
      <w:r>
        <w:rPr>
          <w:lang w:val="en-US"/>
        </w:rPr>
        <w:br w:type="page"/>
      </w:r>
    </w:p>
    <w:p w:rsidR="003A5252" w:rsidRPr="00692EFE" w:rsidRDefault="003A5252" w:rsidP="00026C26">
      <w:pPr>
        <w:pStyle w:val="Heading1"/>
        <w:bidi w:val="0"/>
        <w:rPr>
          <w:lang w:val="en-US"/>
        </w:rPr>
      </w:pPr>
      <w:bookmarkStart w:id="178" w:name="_Toc282768670"/>
      <w:r w:rsidRPr="00692EFE">
        <w:rPr>
          <w:lang w:val="en-US"/>
        </w:rPr>
        <w:lastRenderedPageBreak/>
        <w:t>11</w:t>
      </w:r>
      <w:r w:rsidRPr="00692EFE">
        <w:rPr>
          <w:lang w:val="en-US"/>
        </w:rPr>
        <w:tab/>
        <w:t>Catering for any other Radio Services that are not mentioned</w:t>
      </w:r>
      <w:bookmarkEnd w:id="175"/>
      <w:bookmarkEnd w:id="176"/>
      <w:bookmarkEnd w:id="177"/>
      <w:bookmarkEnd w:id="178"/>
    </w:p>
    <w:p w:rsidR="003A5252" w:rsidRPr="009227FD" w:rsidRDefault="003A5252" w:rsidP="00026C26">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The Policy could include an Article that gives the Authority the total right to decide and apply the appropriate fees for any other Radio/wireless Services that are not mentioned in the policy.</w:t>
      </w:r>
    </w:p>
    <w:p w:rsidR="003A5252" w:rsidRPr="00692EFE" w:rsidRDefault="003A5252" w:rsidP="00026C26">
      <w:pPr>
        <w:pStyle w:val="Heading1"/>
        <w:bidi w:val="0"/>
        <w:rPr>
          <w:lang w:val="en-US"/>
        </w:rPr>
      </w:pPr>
      <w:bookmarkStart w:id="179" w:name="_Toc280260027"/>
      <w:bookmarkStart w:id="180" w:name="_Toc280260887"/>
      <w:bookmarkStart w:id="181" w:name="_Toc280272488"/>
      <w:bookmarkStart w:id="182" w:name="_Toc282768671"/>
      <w:r w:rsidRPr="00692EFE">
        <w:rPr>
          <w:lang w:val="en-US"/>
        </w:rPr>
        <w:t>12</w:t>
      </w:r>
      <w:r w:rsidRPr="00692EFE">
        <w:rPr>
          <w:lang w:val="en-US"/>
        </w:rPr>
        <w:tab/>
        <w:t>Other Fees</w:t>
      </w:r>
      <w:bookmarkEnd w:id="179"/>
      <w:bookmarkEnd w:id="180"/>
      <w:bookmarkEnd w:id="181"/>
      <w:bookmarkEnd w:id="182"/>
    </w:p>
    <w:p w:rsidR="003A5252" w:rsidRPr="009227FD" w:rsidRDefault="003A5252" w:rsidP="003A5252">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Applying of Fees due to special services requested from the Authority, such as Interference Complaints Processing and Monitoring, and making Site Surveys could be mentioned as well.</w:t>
      </w: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49484E"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p>
    <w:p w:rsidR="003A5252" w:rsidRDefault="003A5252" w:rsidP="0049484E">
      <w:pPr>
        <w:tabs>
          <w:tab w:val="clear" w:pos="794"/>
          <w:tab w:val="clear" w:pos="1191"/>
          <w:tab w:val="clear" w:pos="1588"/>
          <w:tab w:val="clear" w:pos="1985"/>
        </w:tabs>
        <w:overflowPunct/>
        <w:autoSpaceDE/>
        <w:autoSpaceDN/>
        <w:bidi w:val="0"/>
        <w:adjustRightInd/>
        <w:spacing w:before="0"/>
        <w:jc w:val="left"/>
        <w:textAlignment w:val="auto"/>
        <w:rPr>
          <w:b/>
          <w:szCs w:val="19"/>
        </w:rPr>
      </w:pPr>
      <w:r>
        <w:rPr>
          <w:b/>
          <w:szCs w:val="19"/>
        </w:rPr>
        <w:br w:type="page"/>
      </w:r>
    </w:p>
    <w:p w:rsidR="003A5252" w:rsidRPr="00AA5C49" w:rsidRDefault="003A5252" w:rsidP="0049484E">
      <w:pPr>
        <w:pStyle w:val="AppendixNotitle"/>
        <w:rPr>
          <w:lang w:val="fr-CH"/>
        </w:rPr>
      </w:pPr>
      <w:bookmarkStart w:id="183" w:name="_Toc280260028"/>
      <w:bookmarkStart w:id="184" w:name="_Toc280260888"/>
      <w:bookmarkStart w:id="185" w:name="_Toc280272489"/>
      <w:bookmarkStart w:id="186" w:name="_Toc282768672"/>
      <w:r w:rsidRPr="00AA5C49">
        <w:rPr>
          <w:lang w:val="fr-CH"/>
        </w:rPr>
        <w:lastRenderedPageBreak/>
        <w:t>Appendice 1.1 (Français)</w:t>
      </w:r>
      <w:r w:rsidRPr="00AA5C49">
        <w:rPr>
          <w:lang w:val="fr-CH"/>
        </w:rPr>
        <w:br/>
      </w:r>
      <w:r w:rsidRPr="00AA5C49">
        <w:rPr>
          <w:lang w:val="fr-CH"/>
        </w:rPr>
        <w:br/>
        <w:t>Emirats Arabes Unis: Eléments fondamentaux de la politique en matière</w:t>
      </w:r>
      <w:r w:rsidRPr="00AA5C49">
        <w:rPr>
          <w:lang w:val="fr-CH"/>
        </w:rPr>
        <w:br/>
        <w:t>de redevances d'utilisation du spectre</w:t>
      </w:r>
      <w:bookmarkEnd w:id="183"/>
      <w:bookmarkEnd w:id="184"/>
      <w:bookmarkEnd w:id="185"/>
      <w:bookmarkEnd w:id="186"/>
    </w:p>
    <w:p w:rsidR="003A5252" w:rsidRPr="008E172E" w:rsidRDefault="003A5252" w:rsidP="00E60699">
      <w:pPr>
        <w:pStyle w:val="Heading1"/>
        <w:bidi w:val="0"/>
        <w:rPr>
          <w:lang w:val="fr-CH"/>
        </w:rPr>
      </w:pPr>
      <w:bookmarkStart w:id="187" w:name="_Toc280260029"/>
      <w:bookmarkStart w:id="188" w:name="_Toc280260889"/>
      <w:bookmarkStart w:id="189" w:name="_Toc280272490"/>
      <w:bookmarkStart w:id="190" w:name="_Toc282768673"/>
      <w:r w:rsidRPr="008E172E">
        <w:rPr>
          <w:lang w:val="fr-CH"/>
        </w:rPr>
        <w:t>Introduction:</w:t>
      </w:r>
      <w:bookmarkEnd w:id="187"/>
      <w:bookmarkEnd w:id="188"/>
      <w:bookmarkEnd w:id="189"/>
      <w:bookmarkEnd w:id="190"/>
    </w:p>
    <w:p w:rsidR="003A5252" w:rsidRPr="00AA5C49" w:rsidRDefault="003A5252" w:rsidP="0049484E">
      <w:pPr>
        <w:bidi w:val="0"/>
        <w:spacing w:line="240" w:lineRule="auto"/>
        <w:rPr>
          <w:lang w:val="fr-CH"/>
        </w:rPr>
      </w:pPr>
      <w:r w:rsidRPr="00AA5C49">
        <w:rPr>
          <w:lang w:val="fr-CH"/>
        </w:rPr>
        <w:t>Le présent document et son Annexe, qui figurent dans le Document JGRES09/030, sont soumis en vue d'aider à élaborer les lignes directrices applicables au Système de redevances d'utilisation du spectre des fréquences radioélectriques, l'objectif étant d'établir des lignes directrices concrètes et complètes et de donner un exemple de politique en matière de redevances d'utilisation du spectre permettant d'aider certains pays, en particulier les pays en développement et les pays les moins avancés, à rédiger de nouvelles politiques de ce type ou réviser ces politiques.</w:t>
      </w:r>
    </w:p>
    <w:p w:rsidR="003A5252" w:rsidRPr="008E172E" w:rsidRDefault="003A5252" w:rsidP="0049484E">
      <w:pPr>
        <w:pStyle w:val="Heading1"/>
        <w:bidi w:val="0"/>
        <w:spacing w:line="240" w:lineRule="auto"/>
        <w:rPr>
          <w:lang w:val="fr-CH"/>
        </w:rPr>
      </w:pPr>
      <w:bookmarkStart w:id="191" w:name="_Toc280260030"/>
      <w:bookmarkStart w:id="192" w:name="_Toc280260890"/>
      <w:bookmarkStart w:id="193" w:name="_Toc280272491"/>
      <w:bookmarkStart w:id="194" w:name="_Toc282768674"/>
      <w:r w:rsidRPr="008E172E">
        <w:rPr>
          <w:lang w:val="fr-CH"/>
        </w:rPr>
        <w:t>Eléments fondamentaux de la politique en matière de redevances d'utilisation du spectre:</w:t>
      </w:r>
      <w:bookmarkEnd w:id="191"/>
      <w:bookmarkEnd w:id="192"/>
      <w:bookmarkEnd w:id="193"/>
      <w:bookmarkEnd w:id="194"/>
    </w:p>
    <w:p w:rsidR="003A5252" w:rsidRPr="00AA5C49" w:rsidRDefault="003A5252" w:rsidP="0049484E">
      <w:pPr>
        <w:bidi w:val="0"/>
        <w:spacing w:line="240" w:lineRule="auto"/>
        <w:rPr>
          <w:lang w:val="fr-CH"/>
        </w:rPr>
      </w:pPr>
      <w:r w:rsidRPr="00AA5C49">
        <w:rPr>
          <w:lang w:val="fr-CH"/>
        </w:rPr>
        <w:t xml:space="preserve">Il est très important de préciser dès le départ qu'il n'existe pas de solution unique concernant les aspects économiques de la gestion du spectre. </w:t>
      </w:r>
      <w:r w:rsidRPr="00AA5C49">
        <w:rPr>
          <w:u w:val="single"/>
          <w:lang w:val="fr-CH"/>
        </w:rPr>
        <w:t>Chaque pays a ses propres objectifs juridiques, réglementaires et économiques et des conditions spécifiques dont il faut tenir compte pour élaborer une solution adaptée contenant des dispositions pouvant être améliorées tout en assurant la stabilité du système de redevances</w:t>
      </w:r>
      <w:r w:rsidRPr="00AA5C49">
        <w:rPr>
          <w:lang w:val="fr-CH"/>
        </w:rPr>
        <w:t xml:space="preserve">. </w:t>
      </w:r>
    </w:p>
    <w:p w:rsidR="003A5252" w:rsidRPr="00AA5C49" w:rsidRDefault="003A5252" w:rsidP="0049484E">
      <w:pPr>
        <w:bidi w:val="0"/>
        <w:spacing w:line="240" w:lineRule="auto"/>
        <w:rPr>
          <w:lang w:val="fr-CH"/>
        </w:rPr>
      </w:pPr>
      <w:r w:rsidRPr="00AA5C49">
        <w:rPr>
          <w:lang w:val="fr-CH"/>
        </w:rPr>
        <w:t>Ces lignes directrices proposent certains éléments fondamentaux considérés comme étant indispensables pour l'établissement d'une politique en matière de redevances d'utilisation du spectre:</w:t>
      </w:r>
    </w:p>
    <w:p w:rsidR="003A5252" w:rsidRPr="00AA5C49" w:rsidRDefault="003A5252" w:rsidP="0049484E">
      <w:pPr>
        <w:pStyle w:val="Heading1"/>
        <w:bidi w:val="0"/>
        <w:spacing w:line="240" w:lineRule="auto"/>
        <w:rPr>
          <w:lang w:val="fr-CH"/>
        </w:rPr>
      </w:pPr>
      <w:bookmarkStart w:id="195" w:name="_Toc280260031"/>
      <w:bookmarkStart w:id="196" w:name="_Toc280260891"/>
      <w:bookmarkStart w:id="197" w:name="_Toc280272492"/>
      <w:bookmarkStart w:id="198" w:name="_Toc282768675"/>
      <w:r w:rsidRPr="00AA5C49">
        <w:rPr>
          <w:lang w:val="fr-CH"/>
        </w:rPr>
        <w:t>1</w:t>
      </w:r>
      <w:r w:rsidRPr="00AA5C49">
        <w:rPr>
          <w:lang w:val="fr-CH"/>
        </w:rPr>
        <w:tab/>
        <w:t>Référence à la législation</w:t>
      </w:r>
      <w:bookmarkEnd w:id="195"/>
      <w:bookmarkEnd w:id="196"/>
      <w:bookmarkEnd w:id="197"/>
      <w:bookmarkEnd w:id="198"/>
    </w:p>
    <w:p w:rsidR="003A5252" w:rsidRPr="00AA5C49" w:rsidRDefault="003A5252" w:rsidP="0049484E">
      <w:pPr>
        <w:bidi w:val="0"/>
        <w:spacing w:line="240" w:lineRule="auto"/>
        <w:rPr>
          <w:lang w:val="fr-CH"/>
        </w:rPr>
      </w:pPr>
      <w:r w:rsidRPr="00AA5C49">
        <w:rPr>
          <w:lang w:val="fr-CH"/>
        </w:rPr>
        <w:t>Dans ce type de politique, il est important de commencer par indiquer la législation qui fixe les droits à percevoir pour la gestion du spectre ou l'autorité juridique qui est habilitée à les fixer.</w:t>
      </w:r>
    </w:p>
    <w:p w:rsidR="003A5252" w:rsidRPr="00AA5C49" w:rsidRDefault="003A5252" w:rsidP="0049484E">
      <w:pPr>
        <w:pStyle w:val="Heading1"/>
        <w:bidi w:val="0"/>
        <w:spacing w:line="240" w:lineRule="auto"/>
        <w:rPr>
          <w:lang w:val="fr-CH"/>
        </w:rPr>
      </w:pPr>
      <w:bookmarkStart w:id="199" w:name="_Toc280260032"/>
      <w:bookmarkStart w:id="200" w:name="_Toc280260892"/>
      <w:bookmarkStart w:id="201" w:name="_Toc280272493"/>
      <w:bookmarkStart w:id="202" w:name="_Toc282768676"/>
      <w:r w:rsidRPr="00AA5C49">
        <w:rPr>
          <w:lang w:val="fr-CH"/>
        </w:rPr>
        <w:t>2</w:t>
      </w:r>
      <w:r w:rsidRPr="00AA5C49">
        <w:rPr>
          <w:lang w:val="fr-CH"/>
        </w:rPr>
        <w:tab/>
        <w:t>Définitions importantes</w:t>
      </w:r>
      <w:bookmarkEnd w:id="199"/>
      <w:bookmarkEnd w:id="200"/>
      <w:bookmarkEnd w:id="201"/>
      <w:bookmarkEnd w:id="202"/>
    </w:p>
    <w:p w:rsidR="003A5252" w:rsidRPr="00AA5C49" w:rsidRDefault="003A5252" w:rsidP="0049484E">
      <w:pPr>
        <w:bidi w:val="0"/>
        <w:spacing w:line="240" w:lineRule="auto"/>
        <w:rPr>
          <w:lang w:val="fr-CH"/>
        </w:rPr>
      </w:pPr>
      <w:r w:rsidRPr="00AA5C49">
        <w:rPr>
          <w:lang w:val="fr-CH"/>
        </w:rPr>
        <w:t>Cette partie permet, non seulement de réduire le volume du document relatif à la politique en question, mais, ce qui est plus important encore, de supprimer toute ambigüité quant à la signification des termes utilisés.</w:t>
      </w:r>
    </w:p>
    <w:p w:rsidR="003A5252" w:rsidRPr="00AA5C49" w:rsidRDefault="003A5252" w:rsidP="0049484E">
      <w:pPr>
        <w:pStyle w:val="Heading1"/>
        <w:bidi w:val="0"/>
        <w:spacing w:line="240" w:lineRule="auto"/>
        <w:rPr>
          <w:lang w:val="fr-CH"/>
        </w:rPr>
      </w:pPr>
      <w:bookmarkStart w:id="203" w:name="_Toc280260033"/>
      <w:bookmarkStart w:id="204" w:name="_Toc280260893"/>
      <w:bookmarkStart w:id="205" w:name="_Toc280272494"/>
      <w:bookmarkStart w:id="206" w:name="_Toc282768677"/>
      <w:r w:rsidRPr="00AA5C49">
        <w:rPr>
          <w:lang w:val="fr-CH"/>
        </w:rPr>
        <w:t>3</w:t>
      </w:r>
      <w:r w:rsidRPr="00AA5C49">
        <w:rPr>
          <w:lang w:val="fr-CH"/>
        </w:rPr>
        <w:tab/>
        <w:t>Type de redevances</w:t>
      </w:r>
      <w:bookmarkEnd w:id="203"/>
      <w:bookmarkEnd w:id="204"/>
      <w:bookmarkEnd w:id="205"/>
      <w:bookmarkEnd w:id="206"/>
    </w:p>
    <w:p w:rsidR="003A5252" w:rsidRPr="00AA5C49" w:rsidRDefault="003A5252" w:rsidP="0049484E">
      <w:pPr>
        <w:bidi w:val="0"/>
        <w:spacing w:line="240" w:lineRule="auto"/>
        <w:rPr>
          <w:lang w:val="fr-CH"/>
        </w:rPr>
      </w:pPr>
      <w:r w:rsidRPr="00AA5C49">
        <w:rPr>
          <w:lang w:val="fr-CH"/>
        </w:rPr>
        <w:t>Il est utile de diviser les catégories de redevances administratives pour la gestion du spectre en composantes et en éléments détaillés utilisés pour percevoir les redevances d'utilisation du spectre, à savoir:</w:t>
      </w:r>
    </w:p>
    <w:p w:rsidR="003A5252" w:rsidRPr="00AA5C49" w:rsidRDefault="003A5252" w:rsidP="0049484E">
      <w:pPr>
        <w:pStyle w:val="Heading2"/>
        <w:bidi w:val="0"/>
        <w:spacing w:line="240" w:lineRule="auto"/>
        <w:rPr>
          <w:lang w:val="fr-CH"/>
        </w:rPr>
      </w:pPr>
      <w:bookmarkStart w:id="207" w:name="_Toc280260034"/>
      <w:bookmarkStart w:id="208" w:name="_Toc280272495"/>
      <w:bookmarkStart w:id="209" w:name="_Toc282768678"/>
      <w:r w:rsidRPr="00AA5C49">
        <w:rPr>
          <w:lang w:val="fr-CH"/>
        </w:rPr>
        <w:t>A</w:t>
      </w:r>
      <w:r w:rsidRPr="00AA5C49">
        <w:rPr>
          <w:lang w:val="fr-CH"/>
        </w:rPr>
        <w:tab/>
        <w:t>Redevances de base</w:t>
      </w:r>
      <w:bookmarkEnd w:id="207"/>
      <w:bookmarkEnd w:id="208"/>
      <w:bookmarkEnd w:id="209"/>
    </w:p>
    <w:p w:rsidR="003A5252" w:rsidRPr="008E172E" w:rsidRDefault="003A5252" w:rsidP="0049484E">
      <w:pPr>
        <w:pStyle w:val="enumlev1"/>
        <w:bidi w:val="0"/>
        <w:spacing w:before="60" w:line="240" w:lineRule="auto"/>
        <w:rPr>
          <w:lang w:val="fr-CH"/>
        </w:rPr>
      </w:pPr>
      <w:r>
        <w:rPr>
          <w:lang w:val="fr-CH"/>
        </w:rPr>
        <w:t>–</w:t>
      </w:r>
      <w:r>
        <w:rPr>
          <w:lang w:val="fr-CH"/>
        </w:rPr>
        <w:tab/>
      </w:r>
      <w:r w:rsidRPr="008E172E">
        <w:rPr>
          <w:lang w:val="fr-CH"/>
        </w:rPr>
        <w:t>Redevances pour le traitement des demandes: redevances forfaitaires non remboursables pour le traitement des demandes quel que soit le statut final.</w:t>
      </w:r>
    </w:p>
    <w:p w:rsidR="003A5252" w:rsidRPr="008E172E" w:rsidRDefault="003A5252" w:rsidP="0049484E">
      <w:pPr>
        <w:pStyle w:val="enumlev1"/>
        <w:bidi w:val="0"/>
        <w:spacing w:before="60" w:line="240" w:lineRule="auto"/>
        <w:rPr>
          <w:lang w:val="fr-CH"/>
        </w:rPr>
      </w:pPr>
      <w:r>
        <w:rPr>
          <w:lang w:val="fr-CH"/>
        </w:rPr>
        <w:t>–</w:t>
      </w:r>
      <w:r>
        <w:rPr>
          <w:lang w:val="fr-CH"/>
        </w:rPr>
        <w:tab/>
      </w:r>
      <w:r w:rsidRPr="008E172E">
        <w:rPr>
          <w:lang w:val="fr-CH"/>
        </w:rPr>
        <w:t>Redevances d'utilisation du spectre: redevances liées à l'utilisation du spectre.</w:t>
      </w:r>
    </w:p>
    <w:p w:rsidR="003A5252" w:rsidRPr="00AA5C49" w:rsidRDefault="003A5252" w:rsidP="0049484E">
      <w:pPr>
        <w:pStyle w:val="Heading2"/>
        <w:bidi w:val="0"/>
        <w:spacing w:line="240" w:lineRule="auto"/>
        <w:rPr>
          <w:lang w:val="fr-CH"/>
        </w:rPr>
      </w:pPr>
      <w:bookmarkStart w:id="210" w:name="_Toc280260035"/>
      <w:bookmarkStart w:id="211" w:name="_Toc280272496"/>
      <w:bookmarkStart w:id="212" w:name="_Toc282768679"/>
      <w:r w:rsidRPr="00AA5C49">
        <w:rPr>
          <w:lang w:val="fr-CH"/>
        </w:rPr>
        <w:t>B</w:t>
      </w:r>
      <w:r w:rsidRPr="00AA5C49">
        <w:rPr>
          <w:lang w:val="fr-CH"/>
        </w:rPr>
        <w:tab/>
        <w:t>Redevances additionnelles</w:t>
      </w:r>
      <w:bookmarkEnd w:id="210"/>
      <w:bookmarkEnd w:id="211"/>
      <w:bookmarkEnd w:id="212"/>
    </w:p>
    <w:p w:rsidR="003A5252" w:rsidRPr="008E172E" w:rsidRDefault="003A5252" w:rsidP="0049484E">
      <w:pPr>
        <w:pStyle w:val="enumlev1"/>
        <w:bidi w:val="0"/>
        <w:spacing w:before="60" w:line="240" w:lineRule="auto"/>
        <w:rPr>
          <w:lang w:val="fr-CH"/>
        </w:rPr>
      </w:pPr>
      <w:r>
        <w:rPr>
          <w:lang w:val="fr-CH"/>
        </w:rPr>
        <w:t>–</w:t>
      </w:r>
      <w:r>
        <w:rPr>
          <w:lang w:val="fr-CH"/>
        </w:rPr>
        <w:tab/>
      </w:r>
      <w:r w:rsidRPr="008E172E">
        <w:rPr>
          <w:lang w:val="fr-CH"/>
        </w:rPr>
        <w:t>Redevances afférentes à la reproduction, la modification et l'annulation: il convient de définir et de spécifier les redevances appliquées dans chaque cas.</w:t>
      </w:r>
    </w:p>
    <w:p w:rsidR="003A5252" w:rsidRPr="008E172E" w:rsidRDefault="003A5252" w:rsidP="0049484E">
      <w:pPr>
        <w:pStyle w:val="enumlev1"/>
        <w:bidi w:val="0"/>
        <w:spacing w:before="60" w:line="240" w:lineRule="auto"/>
        <w:rPr>
          <w:lang w:val="fr-CH"/>
        </w:rPr>
      </w:pPr>
      <w:r>
        <w:rPr>
          <w:lang w:val="fr-CH"/>
        </w:rPr>
        <w:t>–</w:t>
      </w:r>
      <w:r>
        <w:rPr>
          <w:lang w:val="fr-CH"/>
        </w:rPr>
        <w:tab/>
      </w:r>
      <w:r w:rsidRPr="008E172E">
        <w:rPr>
          <w:lang w:val="fr-CH"/>
        </w:rPr>
        <w:t xml:space="preserve">Autres redevances pour les services spéciaux demandés par l'Autorité, comme le traitement et le suivi des plaintes concernant les brouillages, les études de site, etc. </w:t>
      </w:r>
    </w:p>
    <w:p w:rsidR="003A5252" w:rsidRPr="00AA5C49" w:rsidRDefault="003A5252" w:rsidP="0049484E">
      <w:pPr>
        <w:pStyle w:val="Heading1"/>
        <w:bidi w:val="0"/>
        <w:spacing w:line="240" w:lineRule="auto"/>
        <w:rPr>
          <w:lang w:val="fr-CH"/>
        </w:rPr>
      </w:pPr>
      <w:bookmarkStart w:id="213" w:name="_Toc280260036"/>
      <w:bookmarkStart w:id="214" w:name="_Toc280260894"/>
      <w:bookmarkStart w:id="215" w:name="_Toc280272497"/>
      <w:bookmarkStart w:id="216" w:name="_Toc282768680"/>
      <w:r w:rsidRPr="00AA5C49">
        <w:rPr>
          <w:lang w:val="fr-CH"/>
        </w:rPr>
        <w:lastRenderedPageBreak/>
        <w:t>4</w:t>
      </w:r>
      <w:r w:rsidRPr="00AA5C49">
        <w:rPr>
          <w:lang w:val="fr-CH"/>
        </w:rPr>
        <w:tab/>
        <w:t>Mode de paiement</w:t>
      </w:r>
      <w:bookmarkEnd w:id="213"/>
      <w:bookmarkEnd w:id="214"/>
      <w:bookmarkEnd w:id="215"/>
      <w:bookmarkEnd w:id="216"/>
    </w:p>
    <w:p w:rsidR="003A5252" w:rsidRPr="00AA5C49" w:rsidRDefault="003A5252" w:rsidP="0049484E">
      <w:pPr>
        <w:bidi w:val="0"/>
        <w:spacing w:line="240" w:lineRule="auto"/>
        <w:rPr>
          <w:lang w:val="fr-CH"/>
        </w:rPr>
      </w:pPr>
      <w:r w:rsidRPr="00AA5C49">
        <w:rPr>
          <w:lang w:val="fr-CH"/>
        </w:rPr>
        <w:t>Il faut préciser le mode de paiement choisi par l'Autorité pour la perception des redevances susmentionnées, par exemple:</w:t>
      </w:r>
    </w:p>
    <w:p w:rsidR="003A5252" w:rsidRPr="008E172E" w:rsidRDefault="003A5252" w:rsidP="0049484E">
      <w:pPr>
        <w:pStyle w:val="enumlev1"/>
        <w:bidi w:val="0"/>
        <w:spacing w:line="240" w:lineRule="auto"/>
        <w:rPr>
          <w:lang w:val="fr-CH"/>
        </w:rPr>
      </w:pPr>
      <w:r>
        <w:rPr>
          <w:lang w:val="fr-CH"/>
        </w:rPr>
        <w:t>–</w:t>
      </w:r>
      <w:r>
        <w:rPr>
          <w:lang w:val="fr-CH"/>
        </w:rPr>
        <w:tab/>
      </w:r>
      <w:r w:rsidRPr="008E172E">
        <w:rPr>
          <w:lang w:val="fr-CH"/>
        </w:rPr>
        <w:t>paiement à l'avance ou postpaiement, etc.</w:t>
      </w:r>
    </w:p>
    <w:p w:rsidR="003A5252" w:rsidRPr="008E172E" w:rsidRDefault="003A5252" w:rsidP="0049484E">
      <w:pPr>
        <w:pStyle w:val="enumlev1"/>
        <w:bidi w:val="0"/>
        <w:spacing w:line="240" w:lineRule="auto"/>
        <w:rPr>
          <w:lang w:val="fr-CH"/>
        </w:rPr>
      </w:pPr>
      <w:r>
        <w:rPr>
          <w:lang w:val="fr-CH"/>
        </w:rPr>
        <w:t>–</w:t>
      </w:r>
      <w:r>
        <w:rPr>
          <w:lang w:val="fr-CH"/>
        </w:rPr>
        <w:tab/>
      </w:r>
      <w:r w:rsidRPr="008E172E">
        <w:rPr>
          <w:lang w:val="fr-CH"/>
        </w:rPr>
        <w:t>chèque, dépôts bancaires directs, etc.</w:t>
      </w:r>
    </w:p>
    <w:p w:rsidR="003A5252" w:rsidRPr="008E172E" w:rsidRDefault="003A5252" w:rsidP="0049484E">
      <w:pPr>
        <w:pStyle w:val="enumlev1"/>
        <w:bidi w:val="0"/>
        <w:spacing w:line="240" w:lineRule="auto"/>
        <w:rPr>
          <w:lang w:val="fr-CH"/>
        </w:rPr>
      </w:pPr>
      <w:r>
        <w:rPr>
          <w:lang w:val="fr-CH"/>
        </w:rPr>
        <w:t>–</w:t>
      </w:r>
      <w:r>
        <w:rPr>
          <w:lang w:val="fr-CH"/>
        </w:rPr>
        <w:tab/>
      </w:r>
      <w:r w:rsidRPr="008E172E">
        <w:rPr>
          <w:lang w:val="fr-CH"/>
        </w:rPr>
        <w:t>date limite avant laquelle le paiement doit être effectué, mesures à prendre si le délai n'est pas respecté.</w:t>
      </w:r>
    </w:p>
    <w:p w:rsidR="003A5252" w:rsidRPr="00AA5C49" w:rsidRDefault="003A5252" w:rsidP="0049484E">
      <w:pPr>
        <w:pStyle w:val="Heading1"/>
        <w:bidi w:val="0"/>
        <w:spacing w:line="240" w:lineRule="auto"/>
        <w:rPr>
          <w:lang w:val="fr-CH"/>
        </w:rPr>
      </w:pPr>
      <w:bookmarkStart w:id="217" w:name="_Toc280260037"/>
      <w:bookmarkStart w:id="218" w:name="_Toc280260895"/>
      <w:bookmarkStart w:id="219" w:name="_Toc280272498"/>
      <w:bookmarkStart w:id="220" w:name="_Toc282768681"/>
      <w:r w:rsidRPr="00AA5C49">
        <w:rPr>
          <w:lang w:val="fr-CH"/>
        </w:rPr>
        <w:t>5</w:t>
      </w:r>
      <w:r w:rsidRPr="00AA5C49">
        <w:rPr>
          <w:lang w:val="fr-CH"/>
        </w:rPr>
        <w:tab/>
        <w:t>Exemption de redevances</w:t>
      </w:r>
      <w:bookmarkEnd w:id="217"/>
      <w:bookmarkEnd w:id="218"/>
      <w:bookmarkEnd w:id="219"/>
      <w:bookmarkEnd w:id="220"/>
    </w:p>
    <w:p w:rsidR="003A5252" w:rsidRPr="00AA5C49" w:rsidRDefault="003A5252" w:rsidP="0049484E">
      <w:pPr>
        <w:bidi w:val="0"/>
        <w:spacing w:line="240" w:lineRule="auto"/>
        <w:rPr>
          <w:lang w:val="fr-CH"/>
        </w:rPr>
      </w:pPr>
      <w:r w:rsidRPr="00AA5C49">
        <w:rPr>
          <w:lang w:val="fr-CH"/>
        </w:rPr>
        <w:t>L'exemption de tout type de redevances pour des services spécifiques et/ou des personnes données doit être clairement indiquée dans la politique ainsi que les conditions qui y sont associées.</w:t>
      </w:r>
    </w:p>
    <w:p w:rsidR="003A5252" w:rsidRPr="00AA5C49" w:rsidRDefault="003A5252" w:rsidP="0049484E">
      <w:pPr>
        <w:pStyle w:val="Heading1"/>
        <w:bidi w:val="0"/>
        <w:spacing w:line="240" w:lineRule="auto"/>
        <w:rPr>
          <w:lang w:val="fr-CH"/>
        </w:rPr>
      </w:pPr>
      <w:bookmarkStart w:id="221" w:name="_Toc280260038"/>
      <w:bookmarkStart w:id="222" w:name="_Toc280260896"/>
      <w:bookmarkStart w:id="223" w:name="_Toc280272499"/>
      <w:bookmarkStart w:id="224" w:name="_Toc282768682"/>
      <w:r w:rsidRPr="00AA5C49">
        <w:rPr>
          <w:lang w:val="fr-CH"/>
        </w:rPr>
        <w:t>6</w:t>
      </w:r>
      <w:r w:rsidRPr="00AA5C49">
        <w:rPr>
          <w:lang w:val="fr-CH"/>
        </w:rPr>
        <w:tab/>
        <w:t>Calcul des redevances d'utilisation du spectre</w:t>
      </w:r>
      <w:bookmarkEnd w:id="221"/>
      <w:bookmarkEnd w:id="222"/>
      <w:bookmarkEnd w:id="223"/>
      <w:bookmarkEnd w:id="224"/>
    </w:p>
    <w:p w:rsidR="003A5252" w:rsidRPr="008E172E" w:rsidRDefault="003A5252" w:rsidP="0049484E">
      <w:pPr>
        <w:bidi w:val="0"/>
        <w:spacing w:line="240" w:lineRule="auto"/>
        <w:rPr>
          <w:lang w:val="fr-CH"/>
        </w:rPr>
      </w:pPr>
      <w:r w:rsidRPr="008E172E">
        <w:rPr>
          <w:lang w:val="fr-CH"/>
        </w:rPr>
        <w:t>Pour calculer ces redevances, il faut tenir compte à la fois des frais administratifs de gestion du spectre et de la valeur du marché du spectre.</w:t>
      </w:r>
    </w:p>
    <w:p w:rsidR="003A5252" w:rsidRPr="008E172E" w:rsidRDefault="003A5252" w:rsidP="0049484E">
      <w:pPr>
        <w:bidi w:val="0"/>
        <w:spacing w:line="240" w:lineRule="auto"/>
        <w:rPr>
          <w:lang w:val="fr-CH"/>
        </w:rPr>
      </w:pPr>
      <w:r w:rsidRPr="008E172E">
        <w:rPr>
          <w:lang w:val="fr-CH"/>
        </w:rPr>
        <w:t>La méthode de calcul de ces redevances doit être clairement définie pour chaque service et sa (ses) bande(s) de fréquences pertinente(s) et doit être fondée sur une logique.</w:t>
      </w:r>
    </w:p>
    <w:p w:rsidR="003A5252" w:rsidRPr="008E172E" w:rsidRDefault="003A5252" w:rsidP="0049484E">
      <w:pPr>
        <w:bidi w:val="0"/>
        <w:spacing w:line="240" w:lineRule="auto"/>
        <w:rPr>
          <w:lang w:val="fr-CH"/>
        </w:rPr>
      </w:pPr>
      <w:r w:rsidRPr="008E172E">
        <w:rPr>
          <w:lang w:val="fr-CH"/>
        </w:rPr>
        <w:t>Il existe différentes méthodes de calcul allant du forfait à des formules très complexes.</w:t>
      </w:r>
    </w:p>
    <w:p w:rsidR="003A5252" w:rsidRPr="008E172E" w:rsidRDefault="003A5252" w:rsidP="0049484E">
      <w:pPr>
        <w:bidi w:val="0"/>
        <w:spacing w:line="240" w:lineRule="auto"/>
        <w:rPr>
          <w:lang w:val="fr-CH"/>
        </w:rPr>
      </w:pPr>
      <w:r w:rsidRPr="008E172E">
        <w:rPr>
          <w:lang w:val="fr-CH"/>
        </w:rPr>
        <w:t>Pour ces calculs, on pourrait tenir compte entre autres des facteurs suivants:</w:t>
      </w:r>
    </w:p>
    <w:p w:rsidR="003A5252" w:rsidRPr="008E172E" w:rsidRDefault="003A5252" w:rsidP="0049484E">
      <w:pPr>
        <w:pStyle w:val="enumlev1"/>
        <w:bidi w:val="0"/>
        <w:spacing w:line="240" w:lineRule="auto"/>
        <w:rPr>
          <w:lang w:val="fr-CH"/>
        </w:rPr>
      </w:pPr>
      <w:r>
        <w:rPr>
          <w:lang w:val="fr-CH"/>
        </w:rPr>
        <w:t>–</w:t>
      </w:r>
      <w:r>
        <w:rPr>
          <w:lang w:val="fr-CH"/>
        </w:rPr>
        <w:tab/>
      </w:r>
      <w:r w:rsidRPr="008E172E">
        <w:rPr>
          <w:lang w:val="fr-CH"/>
        </w:rPr>
        <w:t>Bande de fréquences (demande de fréquences et encombrement du spectre).</w:t>
      </w:r>
    </w:p>
    <w:p w:rsidR="003A5252" w:rsidRPr="008E172E" w:rsidRDefault="003A5252" w:rsidP="0049484E">
      <w:pPr>
        <w:pStyle w:val="enumlev1"/>
        <w:bidi w:val="0"/>
        <w:spacing w:line="240" w:lineRule="auto"/>
        <w:rPr>
          <w:lang w:val="fr-CH"/>
        </w:rPr>
      </w:pPr>
      <w:r>
        <w:rPr>
          <w:lang w:val="fr-CH"/>
        </w:rPr>
        <w:t>–</w:t>
      </w:r>
      <w:r>
        <w:rPr>
          <w:lang w:val="fr-CH"/>
        </w:rPr>
        <w:tab/>
      </w:r>
      <w:r w:rsidRPr="008E172E">
        <w:rPr>
          <w:lang w:val="fr-CH"/>
        </w:rPr>
        <w:t>Largeur de bande.</w:t>
      </w:r>
    </w:p>
    <w:p w:rsidR="003A5252" w:rsidRPr="008E172E" w:rsidRDefault="003A5252" w:rsidP="0049484E">
      <w:pPr>
        <w:pStyle w:val="enumlev1"/>
        <w:bidi w:val="0"/>
        <w:spacing w:line="240" w:lineRule="auto"/>
        <w:rPr>
          <w:lang w:val="fr-CH"/>
        </w:rPr>
      </w:pPr>
      <w:r>
        <w:rPr>
          <w:lang w:val="fr-CH"/>
        </w:rPr>
        <w:t>–</w:t>
      </w:r>
      <w:r>
        <w:rPr>
          <w:lang w:val="fr-CH"/>
        </w:rPr>
        <w:tab/>
      </w:r>
      <w:r w:rsidRPr="008E172E">
        <w:rPr>
          <w:lang w:val="fr-CH"/>
        </w:rPr>
        <w:t>Puissance, hauteur et zone de couverture.</w:t>
      </w:r>
    </w:p>
    <w:p w:rsidR="003A5252" w:rsidRPr="008E172E" w:rsidRDefault="003A5252" w:rsidP="0049484E">
      <w:pPr>
        <w:pStyle w:val="enumlev1"/>
        <w:bidi w:val="0"/>
        <w:spacing w:line="240" w:lineRule="auto"/>
        <w:rPr>
          <w:lang w:val="fr-CH"/>
        </w:rPr>
      </w:pPr>
      <w:r>
        <w:rPr>
          <w:lang w:val="fr-CH"/>
        </w:rPr>
        <w:t>–</w:t>
      </w:r>
      <w:r>
        <w:rPr>
          <w:lang w:val="fr-CH"/>
        </w:rPr>
        <w:tab/>
      </w:r>
      <w:r w:rsidRPr="008E172E">
        <w:rPr>
          <w:lang w:val="fr-CH"/>
        </w:rPr>
        <w:t>Lieu (demande de fréquences et encombrement du spectre).</w:t>
      </w:r>
    </w:p>
    <w:p w:rsidR="003A5252" w:rsidRPr="008E172E" w:rsidRDefault="003A5252" w:rsidP="0049484E">
      <w:pPr>
        <w:bidi w:val="0"/>
        <w:spacing w:line="240" w:lineRule="auto"/>
        <w:rPr>
          <w:lang w:val="fr-CH"/>
        </w:rPr>
      </w:pPr>
      <w:r w:rsidRPr="008E172E">
        <w:rPr>
          <w:lang w:val="fr-CH"/>
        </w:rPr>
        <w:t>Des primes ainsi que des réductions temporaires spéciales pourraient être proposées pour encourager l'utilisation de certaines bandes ou la mise en oeuvre de services spécifiques.</w:t>
      </w:r>
    </w:p>
    <w:p w:rsidR="003A5252" w:rsidRPr="00AA5C49" w:rsidRDefault="003A5252" w:rsidP="0049484E">
      <w:pPr>
        <w:pStyle w:val="Heading1"/>
        <w:bidi w:val="0"/>
        <w:spacing w:line="240" w:lineRule="auto"/>
        <w:rPr>
          <w:lang w:val="fr-CH"/>
        </w:rPr>
      </w:pPr>
      <w:bookmarkStart w:id="225" w:name="_Toc280260039"/>
      <w:bookmarkStart w:id="226" w:name="_Toc280260897"/>
      <w:bookmarkStart w:id="227" w:name="_Toc280272500"/>
      <w:bookmarkStart w:id="228" w:name="_Toc282768683"/>
      <w:r w:rsidRPr="00AA5C49">
        <w:rPr>
          <w:lang w:val="fr-CH"/>
        </w:rPr>
        <w:t>7</w:t>
      </w:r>
      <w:r w:rsidRPr="00AA5C49">
        <w:rPr>
          <w:lang w:val="fr-CH"/>
        </w:rPr>
        <w:tab/>
        <w:t>Dispositifs à faible puissance et à faible portée</w:t>
      </w:r>
      <w:bookmarkEnd w:id="225"/>
      <w:bookmarkEnd w:id="226"/>
      <w:bookmarkEnd w:id="227"/>
      <w:bookmarkEnd w:id="228"/>
    </w:p>
    <w:p w:rsidR="003A5252" w:rsidRPr="008E172E" w:rsidRDefault="003A5252" w:rsidP="0049484E">
      <w:pPr>
        <w:bidi w:val="0"/>
        <w:spacing w:line="240" w:lineRule="auto"/>
        <w:rPr>
          <w:lang w:val="fr-CH"/>
        </w:rPr>
      </w:pPr>
      <w:r w:rsidRPr="008E172E">
        <w:rPr>
          <w:lang w:val="fr-CH"/>
        </w:rPr>
        <w:t>Le traitement des dispositifs à faible portée ainsi que des services qui bénéficient de l'exemption des redevances susmentionnées devrait également être clairement défini et les conditions associées pourraient être spécifiées.</w:t>
      </w:r>
    </w:p>
    <w:p w:rsidR="003A5252" w:rsidRPr="00AA5C49" w:rsidRDefault="003A5252" w:rsidP="0049484E">
      <w:pPr>
        <w:pStyle w:val="Heading1"/>
        <w:bidi w:val="0"/>
        <w:spacing w:line="240" w:lineRule="auto"/>
        <w:rPr>
          <w:lang w:val="fr-CH"/>
        </w:rPr>
      </w:pPr>
      <w:bookmarkStart w:id="229" w:name="_Toc280260040"/>
      <w:bookmarkStart w:id="230" w:name="_Toc280260898"/>
      <w:bookmarkStart w:id="231" w:name="_Toc280272501"/>
      <w:bookmarkStart w:id="232" w:name="_Toc282768684"/>
      <w:r w:rsidRPr="00AA5C49">
        <w:rPr>
          <w:lang w:val="fr-CH"/>
        </w:rPr>
        <w:t>8</w:t>
      </w:r>
      <w:r w:rsidRPr="00AA5C49">
        <w:rPr>
          <w:lang w:val="fr-CH"/>
        </w:rPr>
        <w:tab/>
        <w:t>Redevances afférentes à l'annulation, la reproduction et la modification d'une autorisation</w:t>
      </w:r>
      <w:bookmarkEnd w:id="229"/>
      <w:bookmarkEnd w:id="230"/>
      <w:bookmarkEnd w:id="231"/>
      <w:bookmarkEnd w:id="232"/>
    </w:p>
    <w:p w:rsidR="003A5252" w:rsidRPr="008E172E" w:rsidRDefault="003A5252" w:rsidP="0049484E">
      <w:pPr>
        <w:bidi w:val="0"/>
        <w:spacing w:line="240" w:lineRule="auto"/>
        <w:rPr>
          <w:lang w:val="fr-CH"/>
        </w:rPr>
      </w:pPr>
      <w:r w:rsidRPr="008E172E">
        <w:rPr>
          <w:lang w:val="fr-CH"/>
        </w:rPr>
        <w:t>Il convient de définir et de spécifier les redevances éventuelles associées dans chaque cas.</w:t>
      </w:r>
    </w:p>
    <w:p w:rsidR="003A5252" w:rsidRPr="008E172E" w:rsidRDefault="003A5252" w:rsidP="0049484E">
      <w:pPr>
        <w:bidi w:val="0"/>
        <w:spacing w:line="240" w:lineRule="auto"/>
        <w:rPr>
          <w:lang w:val="fr-CH"/>
        </w:rPr>
      </w:pPr>
      <w:r w:rsidRPr="008E172E">
        <w:rPr>
          <w:lang w:val="fr-CH"/>
        </w:rPr>
        <w:t xml:space="preserve">En outre, il convient de préciser, dans le cas où une modification entraîne une augmentation des redevances d'utilisation du spectre, comment est calculée la différence que doit payer l'utilisateur. Dans le cas où la modification entraîne une diminution des redevances d'utilisation du spectre et que l'Autorité des </w:t>
      </w:r>
      <w:r w:rsidRPr="008E172E">
        <w:rPr>
          <w:szCs w:val="24"/>
          <w:lang w:val="fr-CH"/>
        </w:rPr>
        <w:t>télécommunications</w:t>
      </w:r>
      <w:r w:rsidRPr="008E172E">
        <w:rPr>
          <w:lang w:val="fr-CH"/>
        </w:rPr>
        <w:t xml:space="preserve"> doit rembourser la différence à l'utilisateur, il convient d'indiquer comment elle doit rembourser cette somme. </w:t>
      </w:r>
    </w:p>
    <w:p w:rsidR="003A5252" w:rsidRPr="00AA5C49" w:rsidRDefault="003A5252" w:rsidP="0049484E">
      <w:pPr>
        <w:pStyle w:val="Heading1"/>
        <w:bidi w:val="0"/>
        <w:spacing w:line="240" w:lineRule="auto"/>
        <w:rPr>
          <w:lang w:val="fr-CH"/>
        </w:rPr>
      </w:pPr>
      <w:bookmarkStart w:id="233" w:name="_Toc280260041"/>
      <w:bookmarkStart w:id="234" w:name="_Toc280260899"/>
      <w:bookmarkStart w:id="235" w:name="_Toc280272502"/>
      <w:bookmarkStart w:id="236" w:name="_Toc282768685"/>
      <w:r w:rsidRPr="00AA5C49">
        <w:rPr>
          <w:lang w:val="fr-CH"/>
        </w:rPr>
        <w:t>9</w:t>
      </w:r>
      <w:r w:rsidRPr="00AA5C49">
        <w:rPr>
          <w:lang w:val="fr-CH"/>
        </w:rPr>
        <w:tab/>
        <w:t>Traitement des fréquences d'urgence et de détresse</w:t>
      </w:r>
      <w:bookmarkEnd w:id="233"/>
      <w:bookmarkEnd w:id="234"/>
      <w:bookmarkEnd w:id="235"/>
      <w:bookmarkEnd w:id="236"/>
    </w:p>
    <w:p w:rsidR="003A5252" w:rsidRPr="008E172E" w:rsidRDefault="003A5252" w:rsidP="0049484E">
      <w:pPr>
        <w:bidi w:val="0"/>
        <w:spacing w:line="240" w:lineRule="auto"/>
        <w:rPr>
          <w:lang w:val="fr-CH"/>
        </w:rPr>
      </w:pPr>
      <w:r w:rsidRPr="008E172E">
        <w:rPr>
          <w:lang w:val="fr-CH"/>
        </w:rPr>
        <w:t>Il peut être utile d'indiquer que les fréquences et les équipements autorisés de ce type bénéficient d'une exemption de redevances, ou de donner des indications sur la façon dont l'Autorité entend traiter l'utilisation de ces fréquences.</w:t>
      </w:r>
    </w:p>
    <w:p w:rsidR="003A5252" w:rsidRPr="00AA5C49" w:rsidRDefault="003A5252" w:rsidP="0049484E">
      <w:pPr>
        <w:pStyle w:val="Heading1"/>
        <w:bidi w:val="0"/>
        <w:spacing w:line="240" w:lineRule="auto"/>
        <w:rPr>
          <w:lang w:val="fr-CH"/>
        </w:rPr>
      </w:pPr>
      <w:bookmarkStart w:id="237" w:name="_Toc280260042"/>
      <w:bookmarkStart w:id="238" w:name="_Toc280260900"/>
      <w:bookmarkStart w:id="239" w:name="_Toc280272503"/>
      <w:bookmarkStart w:id="240" w:name="_Toc282768686"/>
      <w:r w:rsidRPr="00AA5C49">
        <w:rPr>
          <w:lang w:val="fr-CH"/>
        </w:rPr>
        <w:lastRenderedPageBreak/>
        <w:t>10</w:t>
      </w:r>
      <w:r w:rsidRPr="00AA5C49">
        <w:rPr>
          <w:lang w:val="fr-CH"/>
        </w:rPr>
        <w:tab/>
        <w:t>Autorisations temporaires</w:t>
      </w:r>
      <w:bookmarkEnd w:id="237"/>
      <w:bookmarkEnd w:id="238"/>
      <w:bookmarkEnd w:id="239"/>
      <w:bookmarkEnd w:id="240"/>
    </w:p>
    <w:p w:rsidR="003A5252" w:rsidRPr="008E172E" w:rsidRDefault="003A5252" w:rsidP="0049484E">
      <w:pPr>
        <w:bidi w:val="0"/>
        <w:spacing w:line="240" w:lineRule="auto"/>
        <w:rPr>
          <w:lang w:val="fr-CH"/>
        </w:rPr>
      </w:pPr>
      <w:r w:rsidRPr="008E172E">
        <w:rPr>
          <w:lang w:val="fr-CH"/>
        </w:rPr>
        <w:t xml:space="preserve">Il convient de définir clairement le calcul des redevances à appliquer en pareils cas. </w:t>
      </w:r>
    </w:p>
    <w:p w:rsidR="003A5252" w:rsidRPr="008E172E" w:rsidRDefault="003A5252" w:rsidP="0049484E">
      <w:pPr>
        <w:bidi w:val="0"/>
        <w:spacing w:line="240" w:lineRule="auto"/>
        <w:rPr>
          <w:lang w:val="fr-CH"/>
        </w:rPr>
      </w:pPr>
      <w:r w:rsidRPr="008E172E">
        <w:rPr>
          <w:lang w:val="fr-CH"/>
        </w:rPr>
        <w:t>Il peut être utile d'indiquer les redevances minimales, l'unité de temps minimale utilisée pour calculer les redevances afférentes à ces autorisations, ainsi que d'autres conditions importantes associées.</w:t>
      </w:r>
    </w:p>
    <w:p w:rsidR="003A5252" w:rsidRPr="00AA5C49" w:rsidRDefault="003A5252" w:rsidP="0049484E">
      <w:pPr>
        <w:pStyle w:val="Heading1"/>
        <w:bidi w:val="0"/>
        <w:spacing w:line="240" w:lineRule="auto"/>
        <w:rPr>
          <w:lang w:val="fr-CH"/>
        </w:rPr>
      </w:pPr>
      <w:bookmarkStart w:id="241" w:name="_Toc280260043"/>
      <w:bookmarkStart w:id="242" w:name="_Toc280260901"/>
      <w:bookmarkStart w:id="243" w:name="_Toc280272504"/>
      <w:bookmarkStart w:id="244" w:name="_Toc282768687"/>
      <w:r w:rsidRPr="00AA5C49">
        <w:rPr>
          <w:lang w:val="fr-CH"/>
        </w:rPr>
        <w:t>11</w:t>
      </w:r>
      <w:r w:rsidRPr="00AA5C49">
        <w:rPr>
          <w:lang w:val="fr-CH"/>
        </w:rPr>
        <w:tab/>
        <w:t>Répondre aux besoins d'autres services de radiocommunication qui ne sont pas mentionnés</w:t>
      </w:r>
      <w:bookmarkEnd w:id="241"/>
      <w:bookmarkEnd w:id="242"/>
      <w:bookmarkEnd w:id="243"/>
      <w:bookmarkEnd w:id="244"/>
      <w:r w:rsidRPr="00AA5C49">
        <w:rPr>
          <w:lang w:val="fr-CH"/>
        </w:rPr>
        <w:t xml:space="preserve"> </w:t>
      </w:r>
    </w:p>
    <w:p w:rsidR="003A5252" w:rsidRPr="008E172E" w:rsidRDefault="003A5252" w:rsidP="0049484E">
      <w:pPr>
        <w:bidi w:val="0"/>
        <w:spacing w:line="240" w:lineRule="auto"/>
        <w:rPr>
          <w:lang w:val="fr-CH"/>
        </w:rPr>
      </w:pPr>
      <w:r w:rsidRPr="008E172E">
        <w:rPr>
          <w:lang w:val="fr-CH"/>
        </w:rPr>
        <w:t>La politique pourrait inclure un article habilitant l'Autorité à fixer et à appliquer les redevances appropriées pour tout autre service de radiocommunication/hertzien non mentionné dans ladite politique.</w:t>
      </w:r>
    </w:p>
    <w:p w:rsidR="003A5252" w:rsidRPr="00AA5C49" w:rsidRDefault="003A5252" w:rsidP="0049484E">
      <w:pPr>
        <w:pStyle w:val="Heading1"/>
        <w:bidi w:val="0"/>
        <w:spacing w:line="240" w:lineRule="auto"/>
        <w:rPr>
          <w:lang w:val="fr-CH"/>
        </w:rPr>
      </w:pPr>
      <w:bookmarkStart w:id="245" w:name="_Toc280260044"/>
      <w:bookmarkStart w:id="246" w:name="_Toc280260902"/>
      <w:bookmarkStart w:id="247" w:name="_Toc280272505"/>
      <w:bookmarkStart w:id="248" w:name="_Toc282768688"/>
      <w:r w:rsidRPr="00AA5C49">
        <w:rPr>
          <w:lang w:val="fr-CH"/>
        </w:rPr>
        <w:t>12</w:t>
      </w:r>
      <w:r w:rsidRPr="00AA5C49">
        <w:rPr>
          <w:lang w:val="fr-CH"/>
        </w:rPr>
        <w:tab/>
        <w:t>Autres redevances</w:t>
      </w:r>
      <w:bookmarkEnd w:id="245"/>
      <w:bookmarkEnd w:id="246"/>
      <w:bookmarkEnd w:id="247"/>
      <w:bookmarkEnd w:id="248"/>
    </w:p>
    <w:p w:rsidR="003A5252" w:rsidRPr="00BB3B03" w:rsidRDefault="003A5252" w:rsidP="0049484E">
      <w:pPr>
        <w:bidi w:val="0"/>
        <w:spacing w:line="240" w:lineRule="auto"/>
        <w:rPr>
          <w:lang w:val="fr-CH"/>
        </w:rPr>
      </w:pPr>
      <w:r w:rsidRPr="008E172E">
        <w:rPr>
          <w:lang w:val="fr-CH"/>
        </w:rPr>
        <w:t>Il peut être également fait mention de l'application de redevances afférentes à des services spéciaux demandés par l'Autorité, comme le traitement et le suivi des plaintes concernant les brouillages et la réalisation d'études de site.</w:t>
      </w: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49484E" w:rsidRPr="00AA5C49" w:rsidRDefault="0049484E"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p>
    <w:p w:rsidR="003A5252" w:rsidRPr="00AA5C49" w:rsidRDefault="003A5252" w:rsidP="0049484E">
      <w:pPr>
        <w:tabs>
          <w:tab w:val="clear" w:pos="794"/>
          <w:tab w:val="clear" w:pos="1191"/>
          <w:tab w:val="clear" w:pos="1588"/>
          <w:tab w:val="clear" w:pos="1985"/>
        </w:tabs>
        <w:overflowPunct/>
        <w:autoSpaceDE/>
        <w:autoSpaceDN/>
        <w:bidi w:val="0"/>
        <w:adjustRightInd/>
        <w:spacing w:before="0"/>
        <w:jc w:val="left"/>
        <w:textAlignment w:val="auto"/>
        <w:rPr>
          <w:b/>
          <w:szCs w:val="19"/>
          <w:lang w:val="fr-CH"/>
        </w:rPr>
      </w:pPr>
      <w:r w:rsidRPr="00AA5C49">
        <w:rPr>
          <w:b/>
          <w:szCs w:val="19"/>
          <w:lang w:val="fr-CH"/>
        </w:rPr>
        <w:br w:type="page"/>
      </w:r>
    </w:p>
    <w:p w:rsidR="003A5252" w:rsidRPr="00C92730" w:rsidRDefault="003A5252" w:rsidP="0049484E">
      <w:pPr>
        <w:pStyle w:val="AppendixNotitle"/>
        <w:rPr>
          <w:lang w:val="en-US"/>
        </w:rPr>
      </w:pPr>
      <w:bookmarkStart w:id="249" w:name="_Toc280260045"/>
      <w:bookmarkStart w:id="250" w:name="_Toc280260903"/>
      <w:bookmarkStart w:id="251" w:name="_Toc280272506"/>
      <w:bookmarkStart w:id="252" w:name="_Toc282768689"/>
      <w:r w:rsidRPr="00BB3B03">
        <w:lastRenderedPageBreak/>
        <w:t>Appendix 1.2</w:t>
      </w:r>
      <w:r>
        <w:t xml:space="preserve"> (English)</w:t>
      </w:r>
      <w:r>
        <w:br/>
      </w:r>
      <w:r>
        <w:br/>
      </w:r>
      <w:r w:rsidRPr="00C92730">
        <w:rPr>
          <w:lang w:val="en-US"/>
        </w:rPr>
        <w:t>United Arab Emirates: Proposed example on spectrum fees policy</w:t>
      </w:r>
      <w:bookmarkEnd w:id="249"/>
      <w:bookmarkEnd w:id="250"/>
      <w:bookmarkEnd w:id="251"/>
      <w:bookmarkEnd w:id="252"/>
    </w:p>
    <w:p w:rsidR="003A5252" w:rsidRPr="005948A4" w:rsidRDefault="003A5252" w:rsidP="00E60699">
      <w:pPr>
        <w:bidi w:val="0"/>
      </w:pPr>
    </w:p>
    <w:p w:rsidR="003A5252" w:rsidRPr="002048E8" w:rsidRDefault="003A5252" w:rsidP="00E60699">
      <w:pPr>
        <w:suppressAutoHyphens/>
        <w:bidi w:val="0"/>
        <w:jc w:val="center"/>
        <w:rPr>
          <w:b/>
        </w:rPr>
      </w:pPr>
      <w:r w:rsidRPr="002048E8">
        <w:rPr>
          <w:b/>
        </w:rPr>
        <w:t>TABLE OF CONTENTS</w:t>
      </w:r>
    </w:p>
    <w:p w:rsidR="003A5252" w:rsidRDefault="003A5252" w:rsidP="00E60699">
      <w:pPr>
        <w:suppressAutoHyphens/>
        <w:bidi w:val="0"/>
        <w:rPr>
          <w:bCs/>
        </w:rPr>
      </w:pPr>
    </w:p>
    <w:p w:rsidR="003A5252" w:rsidRDefault="003A5252" w:rsidP="002A74E2">
      <w:pPr>
        <w:pStyle w:val="Recdate"/>
        <w:keepLines w:val="0"/>
        <w:tabs>
          <w:tab w:val="right" w:pos="9639"/>
        </w:tabs>
        <w:jc w:val="left"/>
        <w:rPr>
          <w:b/>
          <w:iCs/>
        </w:rPr>
      </w:pPr>
      <w:r w:rsidRPr="0008342F">
        <w:rPr>
          <w:iCs/>
        </w:rPr>
        <w:tab/>
      </w:r>
      <w:r w:rsidRPr="00153922">
        <w:rPr>
          <w:b/>
          <w:iCs/>
        </w:rPr>
        <w:t>Page</w:t>
      </w:r>
    </w:p>
    <w:p w:rsidR="003A5252" w:rsidRDefault="003A5252" w:rsidP="002A74E2">
      <w:pPr>
        <w:pStyle w:val="TOC1"/>
        <w:rPr>
          <w:rFonts w:asciiTheme="minorHAnsi" w:eastAsia="SimSun" w:hAnsiTheme="minorHAnsi" w:cstheme="minorBidi"/>
          <w:szCs w:val="22"/>
          <w:lang w:eastAsia="zh-CN"/>
        </w:rPr>
      </w:pPr>
      <w:r w:rsidRPr="001305EE">
        <w:t>Article 1 – Purpose</w:t>
      </w:r>
      <w:r>
        <w:rPr>
          <w:webHidden/>
        </w:rPr>
        <w:tab/>
      </w:r>
      <w:r>
        <w:rPr>
          <w:webHidden/>
        </w:rPr>
        <w:tab/>
      </w:r>
      <w:r w:rsidR="002A74E2">
        <w:rPr>
          <w:webHidden/>
        </w:rPr>
        <w:t>27</w:t>
      </w:r>
    </w:p>
    <w:p w:rsidR="003A5252" w:rsidRDefault="003A5252" w:rsidP="002A74E2">
      <w:pPr>
        <w:pStyle w:val="TOC1"/>
        <w:rPr>
          <w:rFonts w:asciiTheme="minorHAnsi" w:eastAsia="SimSun" w:hAnsiTheme="minorHAnsi" w:cstheme="minorBidi"/>
          <w:szCs w:val="22"/>
          <w:lang w:eastAsia="zh-CN"/>
        </w:rPr>
      </w:pPr>
      <w:r w:rsidRPr="001305EE">
        <w:t>Article 2 – Definitions</w:t>
      </w:r>
      <w:r>
        <w:rPr>
          <w:webHidden/>
        </w:rPr>
        <w:tab/>
      </w:r>
      <w:r>
        <w:rPr>
          <w:webHidden/>
        </w:rPr>
        <w:tab/>
      </w:r>
      <w:r w:rsidR="002A74E2">
        <w:rPr>
          <w:webHidden/>
        </w:rPr>
        <w:t>27</w:t>
      </w:r>
    </w:p>
    <w:p w:rsidR="003A5252" w:rsidRDefault="003A5252" w:rsidP="002A74E2">
      <w:pPr>
        <w:pStyle w:val="TOC1"/>
        <w:rPr>
          <w:rFonts w:asciiTheme="minorHAnsi" w:eastAsia="SimSun" w:hAnsiTheme="minorHAnsi" w:cstheme="minorBidi"/>
          <w:szCs w:val="22"/>
          <w:lang w:eastAsia="zh-CN"/>
        </w:rPr>
      </w:pPr>
      <w:r w:rsidRPr="001305EE">
        <w:t>Article 3 – Application processing Fees</w:t>
      </w:r>
      <w:r>
        <w:rPr>
          <w:webHidden/>
        </w:rPr>
        <w:tab/>
      </w:r>
      <w:r>
        <w:rPr>
          <w:webHidden/>
        </w:rPr>
        <w:tab/>
      </w:r>
      <w:r w:rsidR="002A74E2">
        <w:rPr>
          <w:webHidden/>
        </w:rPr>
        <w:t>28</w:t>
      </w:r>
    </w:p>
    <w:p w:rsidR="003A5252" w:rsidRDefault="003A5252" w:rsidP="002A74E2">
      <w:pPr>
        <w:pStyle w:val="TOC1"/>
        <w:rPr>
          <w:rFonts w:asciiTheme="minorHAnsi" w:eastAsia="SimSun" w:hAnsiTheme="minorHAnsi" w:cstheme="minorBidi"/>
          <w:szCs w:val="22"/>
          <w:lang w:eastAsia="zh-CN"/>
        </w:rPr>
      </w:pPr>
      <w:r w:rsidRPr="001305EE">
        <w:t>Article 4 – Exemption from Application processing Fees</w:t>
      </w:r>
      <w:r>
        <w:rPr>
          <w:webHidden/>
        </w:rPr>
        <w:tab/>
      </w:r>
      <w:r>
        <w:rPr>
          <w:webHidden/>
        </w:rPr>
        <w:tab/>
      </w:r>
      <w:r w:rsidR="002A74E2">
        <w:rPr>
          <w:webHidden/>
        </w:rPr>
        <w:t>28</w:t>
      </w:r>
    </w:p>
    <w:p w:rsidR="003A5252" w:rsidRDefault="003A5252" w:rsidP="002A74E2">
      <w:pPr>
        <w:pStyle w:val="TOC1"/>
        <w:rPr>
          <w:rFonts w:asciiTheme="minorHAnsi" w:eastAsia="SimSun" w:hAnsiTheme="minorHAnsi" w:cstheme="minorBidi"/>
          <w:szCs w:val="22"/>
          <w:lang w:eastAsia="zh-CN"/>
        </w:rPr>
      </w:pPr>
      <w:r w:rsidRPr="001305EE">
        <w:t>Article 5 – Spectrum Fees for fresh Application</w:t>
      </w:r>
      <w:r>
        <w:rPr>
          <w:webHidden/>
        </w:rPr>
        <w:tab/>
      </w:r>
      <w:r>
        <w:rPr>
          <w:webHidden/>
        </w:rPr>
        <w:tab/>
      </w:r>
      <w:r w:rsidR="002A74E2">
        <w:rPr>
          <w:webHidden/>
        </w:rPr>
        <w:t>28</w:t>
      </w:r>
    </w:p>
    <w:p w:rsidR="003A5252" w:rsidRDefault="003A5252" w:rsidP="002A74E2">
      <w:pPr>
        <w:pStyle w:val="TOC1"/>
        <w:rPr>
          <w:rFonts w:asciiTheme="minorHAnsi" w:eastAsia="SimSun" w:hAnsiTheme="minorHAnsi" w:cstheme="minorBidi"/>
          <w:szCs w:val="22"/>
          <w:lang w:eastAsia="zh-CN"/>
        </w:rPr>
      </w:pPr>
      <w:r w:rsidRPr="001305EE">
        <w:t>Article 6 – Spectrum Fees for renewal of Authorization</w:t>
      </w:r>
      <w:r>
        <w:rPr>
          <w:webHidden/>
        </w:rPr>
        <w:tab/>
      </w:r>
      <w:r>
        <w:rPr>
          <w:webHidden/>
        </w:rPr>
        <w:tab/>
      </w:r>
      <w:r w:rsidR="002A74E2">
        <w:rPr>
          <w:webHidden/>
        </w:rPr>
        <w:t>29</w:t>
      </w:r>
    </w:p>
    <w:p w:rsidR="003A5252" w:rsidRDefault="003A5252" w:rsidP="002A74E2">
      <w:pPr>
        <w:pStyle w:val="TOC1"/>
        <w:rPr>
          <w:rFonts w:asciiTheme="minorHAnsi" w:eastAsia="SimSun" w:hAnsiTheme="minorHAnsi" w:cstheme="minorBidi"/>
          <w:szCs w:val="22"/>
          <w:lang w:eastAsia="zh-CN"/>
        </w:rPr>
      </w:pPr>
      <w:r w:rsidRPr="001305EE">
        <w:t>Article 7 – Additional Fees for delayed renewal of Authorization</w:t>
      </w:r>
      <w:r>
        <w:rPr>
          <w:webHidden/>
        </w:rPr>
        <w:tab/>
      </w:r>
      <w:r>
        <w:rPr>
          <w:webHidden/>
        </w:rPr>
        <w:tab/>
      </w:r>
      <w:r w:rsidR="002A74E2">
        <w:rPr>
          <w:webHidden/>
        </w:rPr>
        <w:t>29</w:t>
      </w:r>
    </w:p>
    <w:p w:rsidR="003A5252" w:rsidRDefault="003A5252" w:rsidP="002A74E2">
      <w:pPr>
        <w:pStyle w:val="TOC1"/>
        <w:rPr>
          <w:rFonts w:asciiTheme="minorHAnsi" w:eastAsia="SimSun" w:hAnsiTheme="minorHAnsi" w:cstheme="minorBidi"/>
          <w:szCs w:val="22"/>
          <w:lang w:eastAsia="zh-CN"/>
        </w:rPr>
      </w:pPr>
      <w:r w:rsidRPr="001305EE">
        <w:t>Article 8 – Authorization reproduction fees</w:t>
      </w:r>
      <w:r>
        <w:rPr>
          <w:webHidden/>
        </w:rPr>
        <w:tab/>
      </w:r>
      <w:r>
        <w:rPr>
          <w:webHidden/>
        </w:rPr>
        <w:tab/>
      </w:r>
      <w:r w:rsidR="002A74E2">
        <w:rPr>
          <w:webHidden/>
        </w:rPr>
        <w:t>29</w:t>
      </w:r>
    </w:p>
    <w:p w:rsidR="003A5252" w:rsidRDefault="003A5252" w:rsidP="002A74E2">
      <w:pPr>
        <w:pStyle w:val="TOC1"/>
        <w:rPr>
          <w:rFonts w:asciiTheme="minorHAnsi" w:eastAsia="SimSun" w:hAnsiTheme="minorHAnsi" w:cstheme="minorBidi"/>
          <w:szCs w:val="22"/>
          <w:lang w:eastAsia="zh-CN"/>
        </w:rPr>
      </w:pPr>
      <w:r w:rsidRPr="001305EE">
        <w:t>Article 9 – Authorization modification fees</w:t>
      </w:r>
      <w:r>
        <w:rPr>
          <w:webHidden/>
        </w:rPr>
        <w:tab/>
      </w:r>
      <w:r>
        <w:rPr>
          <w:webHidden/>
        </w:rPr>
        <w:tab/>
      </w:r>
      <w:r w:rsidR="002A74E2">
        <w:rPr>
          <w:webHidden/>
        </w:rPr>
        <w:t>29</w:t>
      </w:r>
    </w:p>
    <w:p w:rsidR="003A5252" w:rsidRDefault="003A5252" w:rsidP="002A74E2">
      <w:pPr>
        <w:pStyle w:val="TOC1"/>
        <w:rPr>
          <w:rFonts w:asciiTheme="minorHAnsi" w:eastAsia="SimSun" w:hAnsiTheme="minorHAnsi" w:cstheme="minorBidi"/>
          <w:szCs w:val="22"/>
          <w:lang w:eastAsia="zh-CN"/>
        </w:rPr>
      </w:pPr>
      <w:r w:rsidRPr="001305EE">
        <w:t>Article 10 – Authorization cancellation fees</w:t>
      </w:r>
      <w:r>
        <w:rPr>
          <w:webHidden/>
        </w:rPr>
        <w:tab/>
      </w:r>
      <w:r>
        <w:rPr>
          <w:webHidden/>
        </w:rPr>
        <w:tab/>
      </w:r>
      <w:r w:rsidR="002A74E2">
        <w:rPr>
          <w:webHidden/>
        </w:rPr>
        <w:t>29</w:t>
      </w:r>
    </w:p>
    <w:p w:rsidR="003A5252" w:rsidRDefault="003A5252" w:rsidP="002A74E2">
      <w:pPr>
        <w:pStyle w:val="TOC1"/>
        <w:rPr>
          <w:rFonts w:asciiTheme="minorHAnsi" w:eastAsia="SimSun" w:hAnsiTheme="minorHAnsi" w:cstheme="minorBidi"/>
          <w:szCs w:val="22"/>
          <w:lang w:eastAsia="zh-CN"/>
        </w:rPr>
      </w:pPr>
      <w:r w:rsidRPr="001305EE">
        <w:t>Article 11 – Spectrum Fees for Public Land Mobile (Cellular) Service</w:t>
      </w:r>
      <w:r>
        <w:rPr>
          <w:webHidden/>
        </w:rPr>
        <w:tab/>
      </w:r>
      <w:r>
        <w:rPr>
          <w:webHidden/>
        </w:rPr>
        <w:tab/>
      </w:r>
      <w:r w:rsidR="002A74E2">
        <w:rPr>
          <w:webHidden/>
        </w:rPr>
        <w:t>30</w:t>
      </w:r>
    </w:p>
    <w:p w:rsidR="003A5252" w:rsidRDefault="003A5252" w:rsidP="002A74E2">
      <w:pPr>
        <w:pStyle w:val="TOC1"/>
        <w:rPr>
          <w:rFonts w:asciiTheme="minorHAnsi" w:eastAsia="SimSun" w:hAnsiTheme="minorHAnsi" w:cstheme="minorBidi"/>
          <w:szCs w:val="22"/>
          <w:lang w:eastAsia="zh-CN"/>
        </w:rPr>
      </w:pPr>
      <w:r w:rsidRPr="001305EE">
        <w:t>Article 12 – Spectrum Fees for Private Mobile Radio, paging and trunking</w:t>
      </w:r>
      <w:r>
        <w:rPr>
          <w:webHidden/>
        </w:rPr>
        <w:tab/>
      </w:r>
      <w:r>
        <w:rPr>
          <w:webHidden/>
        </w:rPr>
        <w:tab/>
      </w:r>
      <w:r w:rsidR="002A74E2">
        <w:rPr>
          <w:webHidden/>
        </w:rPr>
        <w:t>30</w:t>
      </w:r>
    </w:p>
    <w:p w:rsidR="003A5252" w:rsidRDefault="003A5252" w:rsidP="002A74E2">
      <w:pPr>
        <w:pStyle w:val="TOC1"/>
        <w:rPr>
          <w:rFonts w:asciiTheme="minorHAnsi" w:eastAsia="SimSun" w:hAnsiTheme="minorHAnsi" w:cstheme="minorBidi"/>
          <w:szCs w:val="22"/>
          <w:lang w:eastAsia="zh-CN"/>
        </w:rPr>
      </w:pPr>
      <w:r w:rsidRPr="001305EE">
        <w:t>Article 13 – Spectrum Fees for Fixed (point to point) links</w:t>
      </w:r>
      <w:r>
        <w:rPr>
          <w:webHidden/>
        </w:rPr>
        <w:tab/>
      </w:r>
      <w:r>
        <w:rPr>
          <w:webHidden/>
        </w:rPr>
        <w:tab/>
      </w:r>
      <w:r w:rsidR="002A74E2">
        <w:rPr>
          <w:webHidden/>
        </w:rPr>
        <w:t>32</w:t>
      </w:r>
    </w:p>
    <w:p w:rsidR="003A5252" w:rsidRDefault="003A5252" w:rsidP="002A74E2">
      <w:pPr>
        <w:pStyle w:val="TOC1"/>
        <w:rPr>
          <w:rFonts w:asciiTheme="minorHAnsi" w:eastAsia="SimSun" w:hAnsiTheme="minorHAnsi" w:cstheme="minorBidi"/>
          <w:szCs w:val="22"/>
          <w:lang w:eastAsia="zh-CN"/>
        </w:rPr>
      </w:pPr>
      <w:r w:rsidRPr="001305EE">
        <w:t>Article 14 – Spectrum Fees for FWA, SCADA, Telemetry, Mesh Networks</w:t>
      </w:r>
      <w:r>
        <w:rPr>
          <w:webHidden/>
        </w:rPr>
        <w:tab/>
      </w:r>
      <w:r>
        <w:rPr>
          <w:webHidden/>
        </w:rPr>
        <w:tab/>
      </w:r>
      <w:r w:rsidR="002A74E2">
        <w:rPr>
          <w:webHidden/>
        </w:rPr>
        <w:t>33</w:t>
      </w:r>
    </w:p>
    <w:p w:rsidR="003A5252" w:rsidRDefault="003A5252" w:rsidP="002A74E2">
      <w:pPr>
        <w:pStyle w:val="TOC1"/>
        <w:rPr>
          <w:rFonts w:asciiTheme="minorHAnsi" w:eastAsia="SimSun" w:hAnsiTheme="minorHAnsi" w:cstheme="minorBidi"/>
          <w:szCs w:val="22"/>
          <w:lang w:eastAsia="zh-CN"/>
        </w:rPr>
      </w:pPr>
      <w:r w:rsidRPr="001305EE">
        <w:t>Article 15 – Spectrum Fees for Mobile Broadband Wireless Access</w:t>
      </w:r>
      <w:r>
        <w:rPr>
          <w:webHidden/>
        </w:rPr>
        <w:tab/>
      </w:r>
      <w:r>
        <w:rPr>
          <w:webHidden/>
        </w:rPr>
        <w:tab/>
      </w:r>
      <w:r w:rsidR="002A74E2">
        <w:rPr>
          <w:webHidden/>
        </w:rPr>
        <w:t>33</w:t>
      </w:r>
    </w:p>
    <w:p w:rsidR="003A5252" w:rsidRDefault="003A5252" w:rsidP="002A74E2">
      <w:pPr>
        <w:pStyle w:val="TOC1"/>
        <w:rPr>
          <w:rFonts w:asciiTheme="minorHAnsi" w:eastAsia="SimSun" w:hAnsiTheme="minorHAnsi" w:cstheme="minorBidi"/>
          <w:szCs w:val="22"/>
          <w:lang w:eastAsia="zh-CN"/>
        </w:rPr>
      </w:pPr>
      <w:r w:rsidRPr="001305EE">
        <w:t>Article 16 – Spectrum Fees for Optical and laser links</w:t>
      </w:r>
      <w:r>
        <w:rPr>
          <w:webHidden/>
        </w:rPr>
        <w:tab/>
      </w:r>
      <w:r>
        <w:rPr>
          <w:webHidden/>
        </w:rPr>
        <w:tab/>
      </w:r>
      <w:r w:rsidR="002A74E2">
        <w:rPr>
          <w:webHidden/>
        </w:rPr>
        <w:t>34</w:t>
      </w:r>
    </w:p>
    <w:p w:rsidR="003A5252" w:rsidRDefault="003A5252" w:rsidP="002A74E2">
      <w:pPr>
        <w:pStyle w:val="TOC1"/>
        <w:rPr>
          <w:rFonts w:asciiTheme="minorHAnsi" w:eastAsia="SimSun" w:hAnsiTheme="minorHAnsi" w:cstheme="minorBidi"/>
          <w:szCs w:val="22"/>
          <w:lang w:eastAsia="zh-CN"/>
        </w:rPr>
      </w:pPr>
      <w:r w:rsidRPr="001305EE">
        <w:t>Article 17 – Spectrum Fees for WLAN and cordless telephony</w:t>
      </w:r>
      <w:r>
        <w:rPr>
          <w:webHidden/>
        </w:rPr>
        <w:tab/>
      </w:r>
      <w:r>
        <w:rPr>
          <w:webHidden/>
        </w:rPr>
        <w:tab/>
      </w:r>
      <w:r w:rsidR="002A74E2">
        <w:rPr>
          <w:webHidden/>
        </w:rPr>
        <w:t>34</w:t>
      </w:r>
    </w:p>
    <w:p w:rsidR="003A5252" w:rsidRDefault="003A5252" w:rsidP="002A74E2">
      <w:pPr>
        <w:pStyle w:val="TOC1"/>
        <w:rPr>
          <w:rFonts w:asciiTheme="minorHAnsi" w:eastAsia="SimSun" w:hAnsiTheme="minorHAnsi" w:cstheme="minorBidi"/>
          <w:szCs w:val="22"/>
          <w:lang w:eastAsia="zh-CN"/>
        </w:rPr>
      </w:pPr>
      <w:r w:rsidRPr="001305EE">
        <w:t>Article 18 – Spectrum Fees for GMPCS</w:t>
      </w:r>
      <w:r>
        <w:rPr>
          <w:webHidden/>
        </w:rPr>
        <w:tab/>
      </w:r>
      <w:r>
        <w:rPr>
          <w:webHidden/>
        </w:rPr>
        <w:tab/>
      </w:r>
      <w:r w:rsidR="002A74E2">
        <w:rPr>
          <w:webHidden/>
        </w:rPr>
        <w:t>34</w:t>
      </w:r>
    </w:p>
    <w:p w:rsidR="003A5252" w:rsidRDefault="003A5252" w:rsidP="002A74E2">
      <w:pPr>
        <w:pStyle w:val="TOC1"/>
        <w:rPr>
          <w:rFonts w:asciiTheme="minorHAnsi" w:eastAsia="SimSun" w:hAnsiTheme="minorHAnsi" w:cstheme="minorBidi"/>
          <w:szCs w:val="22"/>
          <w:lang w:eastAsia="zh-CN"/>
        </w:rPr>
      </w:pPr>
      <w:r w:rsidRPr="001305EE">
        <w:t>Article 19 – Spectrum Fees for Amateur</w:t>
      </w:r>
      <w:r>
        <w:rPr>
          <w:webHidden/>
        </w:rPr>
        <w:tab/>
      </w:r>
      <w:r>
        <w:rPr>
          <w:webHidden/>
        </w:rPr>
        <w:tab/>
      </w:r>
      <w:r w:rsidR="002A74E2">
        <w:rPr>
          <w:webHidden/>
        </w:rPr>
        <w:t>35</w:t>
      </w:r>
    </w:p>
    <w:p w:rsidR="003A5252" w:rsidRDefault="003A5252" w:rsidP="002A74E2">
      <w:pPr>
        <w:pStyle w:val="TOC1"/>
        <w:rPr>
          <w:rFonts w:asciiTheme="minorHAnsi" w:eastAsia="SimSun" w:hAnsiTheme="minorHAnsi" w:cstheme="minorBidi"/>
          <w:szCs w:val="22"/>
          <w:lang w:eastAsia="zh-CN"/>
        </w:rPr>
      </w:pPr>
      <w:r w:rsidRPr="001305EE">
        <w:t>Article 20 – Spectrum Fees for Aeronautical Radio Stations</w:t>
      </w:r>
      <w:r>
        <w:rPr>
          <w:webHidden/>
        </w:rPr>
        <w:tab/>
      </w:r>
      <w:r>
        <w:rPr>
          <w:webHidden/>
        </w:rPr>
        <w:tab/>
      </w:r>
      <w:r w:rsidR="002A74E2">
        <w:rPr>
          <w:webHidden/>
        </w:rPr>
        <w:t>35</w:t>
      </w:r>
    </w:p>
    <w:p w:rsidR="003A5252" w:rsidRDefault="003A5252" w:rsidP="002A74E2">
      <w:pPr>
        <w:pStyle w:val="TOC1"/>
        <w:rPr>
          <w:rFonts w:asciiTheme="minorHAnsi" w:eastAsia="SimSun" w:hAnsiTheme="minorHAnsi" w:cstheme="minorBidi"/>
          <w:szCs w:val="22"/>
          <w:lang w:eastAsia="zh-CN"/>
        </w:rPr>
      </w:pPr>
      <w:r w:rsidRPr="001305EE">
        <w:t>Article 21 – Spectrum Fees for Maritime Radio Services</w:t>
      </w:r>
      <w:r>
        <w:rPr>
          <w:webHidden/>
        </w:rPr>
        <w:tab/>
      </w:r>
      <w:r>
        <w:rPr>
          <w:webHidden/>
        </w:rPr>
        <w:tab/>
      </w:r>
      <w:r w:rsidR="002A74E2">
        <w:rPr>
          <w:webHidden/>
        </w:rPr>
        <w:t>35</w:t>
      </w:r>
    </w:p>
    <w:p w:rsidR="003A5252" w:rsidRDefault="003A5252" w:rsidP="002A74E2">
      <w:pPr>
        <w:pStyle w:val="TOC1"/>
        <w:rPr>
          <w:rFonts w:asciiTheme="minorHAnsi" w:eastAsia="SimSun" w:hAnsiTheme="minorHAnsi" w:cstheme="minorBidi"/>
          <w:szCs w:val="22"/>
          <w:lang w:eastAsia="zh-CN"/>
        </w:rPr>
      </w:pPr>
      <w:r w:rsidRPr="001305EE">
        <w:t>Article 22 – Spectrum Fees for Space Services and Ancillary</w:t>
      </w:r>
      <w:r>
        <w:rPr>
          <w:webHidden/>
        </w:rPr>
        <w:tab/>
      </w:r>
      <w:r>
        <w:rPr>
          <w:webHidden/>
        </w:rPr>
        <w:tab/>
      </w:r>
      <w:r w:rsidR="002A74E2">
        <w:rPr>
          <w:webHidden/>
        </w:rPr>
        <w:t>36</w:t>
      </w:r>
    </w:p>
    <w:p w:rsidR="003A5252" w:rsidRDefault="003A5252" w:rsidP="002A74E2">
      <w:pPr>
        <w:pStyle w:val="TOC1"/>
        <w:rPr>
          <w:rFonts w:asciiTheme="minorHAnsi" w:eastAsia="SimSun" w:hAnsiTheme="minorHAnsi" w:cstheme="minorBidi"/>
          <w:szCs w:val="22"/>
          <w:lang w:eastAsia="zh-CN"/>
        </w:rPr>
      </w:pPr>
      <w:r w:rsidRPr="001305EE">
        <w:t>Article 23 – Spectrum Fees for Radionavigation stations</w:t>
      </w:r>
      <w:r>
        <w:rPr>
          <w:webHidden/>
        </w:rPr>
        <w:tab/>
      </w:r>
      <w:r>
        <w:rPr>
          <w:webHidden/>
        </w:rPr>
        <w:tab/>
      </w:r>
      <w:r w:rsidR="002A74E2">
        <w:rPr>
          <w:webHidden/>
        </w:rPr>
        <w:t>36</w:t>
      </w:r>
    </w:p>
    <w:p w:rsidR="00E60699" w:rsidRDefault="00E60699" w:rsidP="002A74E2">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i/>
          <w:iCs/>
          <w:noProof/>
          <w:sz w:val="18"/>
          <w:szCs w:val="20"/>
        </w:rPr>
      </w:pPr>
      <w:r>
        <w:rPr>
          <w:iCs/>
          <w:noProof/>
        </w:rPr>
        <w:br w:type="page"/>
      </w:r>
    </w:p>
    <w:p w:rsidR="003A5252" w:rsidRDefault="003A5252" w:rsidP="002A74E2">
      <w:pPr>
        <w:pStyle w:val="Recdate"/>
        <w:keepLines w:val="0"/>
        <w:tabs>
          <w:tab w:val="right" w:pos="9639"/>
        </w:tabs>
        <w:jc w:val="left"/>
        <w:rPr>
          <w:b/>
          <w:iCs/>
          <w:noProof/>
        </w:rPr>
      </w:pPr>
      <w:r w:rsidRPr="0008342F">
        <w:rPr>
          <w:iCs/>
          <w:noProof/>
        </w:rPr>
        <w:lastRenderedPageBreak/>
        <w:tab/>
      </w:r>
      <w:r w:rsidRPr="00153922">
        <w:rPr>
          <w:b/>
          <w:iCs/>
          <w:noProof/>
        </w:rPr>
        <w:t>Page</w:t>
      </w:r>
    </w:p>
    <w:p w:rsidR="003A5252" w:rsidRDefault="003A5252" w:rsidP="002A74E2">
      <w:pPr>
        <w:pStyle w:val="TOC1"/>
        <w:rPr>
          <w:rFonts w:asciiTheme="minorHAnsi" w:eastAsia="SimSun" w:hAnsiTheme="minorHAnsi" w:cstheme="minorBidi"/>
          <w:szCs w:val="22"/>
          <w:lang w:eastAsia="zh-CN"/>
        </w:rPr>
      </w:pPr>
      <w:r w:rsidRPr="001305EE">
        <w:t>Article 24 – Spectrum Fees for Radio Astronomy stations</w:t>
      </w:r>
      <w:r>
        <w:rPr>
          <w:webHidden/>
        </w:rPr>
        <w:tab/>
      </w:r>
      <w:r>
        <w:rPr>
          <w:webHidden/>
        </w:rPr>
        <w:tab/>
      </w:r>
      <w:r w:rsidR="002A74E2">
        <w:rPr>
          <w:webHidden/>
        </w:rPr>
        <w:t>36</w:t>
      </w:r>
    </w:p>
    <w:p w:rsidR="003A5252" w:rsidRDefault="003A5252" w:rsidP="002A74E2">
      <w:pPr>
        <w:pStyle w:val="TOC1"/>
        <w:rPr>
          <w:rFonts w:asciiTheme="minorHAnsi" w:eastAsia="SimSun" w:hAnsiTheme="minorHAnsi" w:cstheme="minorBidi"/>
          <w:szCs w:val="22"/>
          <w:lang w:eastAsia="zh-CN"/>
        </w:rPr>
      </w:pPr>
      <w:r w:rsidRPr="001305EE">
        <w:t>Article 25 – Spectrum Fees for Radiolocation stations</w:t>
      </w:r>
      <w:r>
        <w:rPr>
          <w:webHidden/>
        </w:rPr>
        <w:tab/>
      </w:r>
      <w:r>
        <w:rPr>
          <w:webHidden/>
        </w:rPr>
        <w:tab/>
      </w:r>
      <w:r w:rsidR="002A74E2">
        <w:rPr>
          <w:webHidden/>
        </w:rPr>
        <w:t>36</w:t>
      </w:r>
    </w:p>
    <w:p w:rsidR="003A5252" w:rsidRDefault="003A5252" w:rsidP="002A74E2">
      <w:pPr>
        <w:pStyle w:val="TOC1"/>
        <w:rPr>
          <w:rFonts w:asciiTheme="minorHAnsi" w:eastAsia="SimSun" w:hAnsiTheme="minorHAnsi" w:cstheme="minorBidi"/>
          <w:szCs w:val="22"/>
          <w:lang w:eastAsia="zh-CN"/>
        </w:rPr>
      </w:pPr>
      <w:r w:rsidRPr="001305EE">
        <w:t>Article 26 – Spectrum Fees for Broadcasting Service</w:t>
      </w:r>
      <w:r>
        <w:rPr>
          <w:webHidden/>
        </w:rPr>
        <w:tab/>
      </w:r>
      <w:r>
        <w:rPr>
          <w:webHidden/>
        </w:rPr>
        <w:tab/>
      </w:r>
      <w:r w:rsidR="002A74E2">
        <w:rPr>
          <w:webHidden/>
        </w:rPr>
        <w:t>36</w:t>
      </w:r>
    </w:p>
    <w:p w:rsidR="003A5252" w:rsidRDefault="003A5252" w:rsidP="002A74E2">
      <w:pPr>
        <w:pStyle w:val="TOC1"/>
        <w:rPr>
          <w:rFonts w:asciiTheme="minorHAnsi" w:eastAsia="SimSun" w:hAnsiTheme="minorHAnsi" w:cstheme="minorBidi"/>
          <w:szCs w:val="22"/>
          <w:lang w:eastAsia="zh-CN"/>
        </w:rPr>
      </w:pPr>
      <w:r w:rsidRPr="001305EE">
        <w:t>Article 27 – Short Range Devices</w:t>
      </w:r>
      <w:r>
        <w:rPr>
          <w:webHidden/>
        </w:rPr>
        <w:tab/>
      </w:r>
      <w:r>
        <w:rPr>
          <w:webHidden/>
        </w:rPr>
        <w:tab/>
      </w:r>
      <w:r w:rsidR="002A74E2">
        <w:rPr>
          <w:webHidden/>
        </w:rPr>
        <w:t>40</w:t>
      </w:r>
    </w:p>
    <w:p w:rsidR="003A5252" w:rsidRDefault="003A5252" w:rsidP="002A74E2">
      <w:pPr>
        <w:pStyle w:val="TOC1"/>
        <w:rPr>
          <w:rFonts w:asciiTheme="minorHAnsi" w:eastAsia="SimSun" w:hAnsiTheme="minorHAnsi" w:cstheme="minorBidi"/>
          <w:szCs w:val="22"/>
          <w:lang w:eastAsia="zh-CN"/>
        </w:rPr>
      </w:pPr>
      <w:r w:rsidRPr="001305EE">
        <w:t>Article 28</w:t>
      </w:r>
      <w:r w:rsidRPr="001305EE">
        <w:rPr>
          <w:bCs/>
        </w:rPr>
        <w:t xml:space="preserve"> – </w:t>
      </w:r>
      <w:r w:rsidRPr="001305EE">
        <w:t>Emergency and disaster frequencies</w:t>
      </w:r>
      <w:r>
        <w:rPr>
          <w:webHidden/>
        </w:rPr>
        <w:tab/>
      </w:r>
      <w:r>
        <w:rPr>
          <w:webHidden/>
        </w:rPr>
        <w:tab/>
      </w:r>
      <w:r w:rsidR="002A74E2">
        <w:rPr>
          <w:webHidden/>
        </w:rPr>
        <w:t>40</w:t>
      </w:r>
    </w:p>
    <w:p w:rsidR="003A5252" w:rsidRDefault="003A5252" w:rsidP="002A74E2">
      <w:pPr>
        <w:pStyle w:val="TOC1"/>
        <w:rPr>
          <w:rFonts w:asciiTheme="minorHAnsi" w:eastAsia="SimSun" w:hAnsiTheme="minorHAnsi" w:cstheme="minorBidi"/>
          <w:szCs w:val="22"/>
          <w:lang w:eastAsia="zh-CN"/>
        </w:rPr>
      </w:pPr>
      <w:r w:rsidRPr="001305EE">
        <w:t xml:space="preserve">Article 29 </w:t>
      </w:r>
      <w:r w:rsidRPr="001305EE">
        <w:rPr>
          <w:bCs/>
        </w:rPr>
        <w:t>–</w:t>
      </w:r>
      <w:r w:rsidRPr="001305EE">
        <w:t xml:space="preserve"> Temporary Authorization</w:t>
      </w:r>
      <w:r>
        <w:rPr>
          <w:webHidden/>
        </w:rPr>
        <w:tab/>
      </w:r>
      <w:r>
        <w:rPr>
          <w:webHidden/>
        </w:rPr>
        <w:tab/>
      </w:r>
      <w:r w:rsidR="002A74E2">
        <w:rPr>
          <w:webHidden/>
        </w:rPr>
        <w:t>41</w:t>
      </w:r>
    </w:p>
    <w:p w:rsidR="003A5252" w:rsidRDefault="003A5252" w:rsidP="002A74E2">
      <w:pPr>
        <w:pStyle w:val="TOC1"/>
        <w:rPr>
          <w:rFonts w:asciiTheme="minorHAnsi" w:eastAsia="SimSun" w:hAnsiTheme="minorHAnsi" w:cstheme="minorBidi"/>
          <w:szCs w:val="22"/>
          <w:lang w:eastAsia="zh-CN"/>
        </w:rPr>
      </w:pPr>
      <w:r w:rsidRPr="001305EE">
        <w:t xml:space="preserve">Article 30 </w:t>
      </w:r>
      <w:r w:rsidRPr="001305EE">
        <w:rPr>
          <w:bCs/>
        </w:rPr>
        <w:t>–</w:t>
      </w:r>
      <w:r w:rsidRPr="001305EE">
        <w:t xml:space="preserve"> Other Radio Services</w:t>
      </w:r>
      <w:r>
        <w:rPr>
          <w:webHidden/>
        </w:rPr>
        <w:tab/>
      </w:r>
      <w:r>
        <w:rPr>
          <w:webHidden/>
        </w:rPr>
        <w:tab/>
      </w:r>
      <w:r w:rsidR="002A74E2">
        <w:rPr>
          <w:webHidden/>
        </w:rPr>
        <w:t>41</w:t>
      </w:r>
    </w:p>
    <w:p w:rsidR="003A5252" w:rsidRDefault="003A5252" w:rsidP="002A74E2">
      <w:pPr>
        <w:pStyle w:val="TOC1"/>
        <w:rPr>
          <w:rFonts w:asciiTheme="minorHAnsi" w:eastAsia="SimSun" w:hAnsiTheme="minorHAnsi" w:cstheme="minorBidi"/>
          <w:szCs w:val="22"/>
          <w:lang w:eastAsia="zh-CN"/>
        </w:rPr>
      </w:pPr>
      <w:r w:rsidRPr="001305EE">
        <w:t xml:space="preserve">Article 31 </w:t>
      </w:r>
      <w:r w:rsidRPr="001305EE">
        <w:rPr>
          <w:bCs/>
        </w:rPr>
        <w:t>–</w:t>
      </w:r>
      <w:r w:rsidRPr="001305EE">
        <w:t xml:space="preserve"> Interference complaints processing and monitoring fees</w:t>
      </w:r>
      <w:r>
        <w:rPr>
          <w:webHidden/>
        </w:rPr>
        <w:tab/>
      </w:r>
      <w:r>
        <w:rPr>
          <w:webHidden/>
        </w:rPr>
        <w:tab/>
      </w:r>
      <w:r w:rsidR="002A74E2">
        <w:rPr>
          <w:webHidden/>
        </w:rPr>
        <w:t>41</w:t>
      </w:r>
    </w:p>
    <w:p w:rsidR="003A5252" w:rsidRDefault="003A5252" w:rsidP="002A74E2">
      <w:pPr>
        <w:pStyle w:val="TOC1"/>
        <w:rPr>
          <w:rFonts w:asciiTheme="minorHAnsi" w:eastAsia="SimSun" w:hAnsiTheme="minorHAnsi" w:cstheme="minorBidi"/>
          <w:szCs w:val="22"/>
          <w:lang w:eastAsia="zh-CN"/>
        </w:rPr>
      </w:pPr>
      <w:r w:rsidRPr="001305EE">
        <w:t xml:space="preserve">Article 32 </w:t>
      </w:r>
      <w:r w:rsidRPr="001305EE">
        <w:rPr>
          <w:bCs/>
        </w:rPr>
        <w:t>–</w:t>
      </w:r>
      <w:r w:rsidRPr="001305EE">
        <w:t xml:space="preserve"> Fees for the Foreign Embassies, Consulates and Diplomatic Missions</w:t>
      </w:r>
      <w:r>
        <w:rPr>
          <w:webHidden/>
        </w:rPr>
        <w:tab/>
      </w:r>
      <w:r>
        <w:rPr>
          <w:webHidden/>
        </w:rPr>
        <w:tab/>
      </w:r>
      <w:r w:rsidR="002A74E2">
        <w:rPr>
          <w:webHidden/>
        </w:rPr>
        <w:t>41</w:t>
      </w:r>
    </w:p>
    <w:p w:rsidR="003A5252" w:rsidRDefault="003A5252" w:rsidP="002A74E2">
      <w:pPr>
        <w:pStyle w:val="TOC1"/>
        <w:rPr>
          <w:rFonts w:asciiTheme="minorHAnsi" w:eastAsia="SimSun" w:hAnsiTheme="minorHAnsi" w:cstheme="minorBidi"/>
          <w:szCs w:val="22"/>
          <w:lang w:eastAsia="zh-CN"/>
        </w:rPr>
      </w:pPr>
      <w:r w:rsidRPr="001305EE">
        <w:t xml:space="preserve">Article 33 </w:t>
      </w:r>
      <w:r w:rsidRPr="001305EE">
        <w:rPr>
          <w:bCs/>
        </w:rPr>
        <w:t>–</w:t>
      </w:r>
      <w:r w:rsidRPr="001305EE">
        <w:t xml:space="preserve"> Fees for Site Surveys</w:t>
      </w:r>
      <w:r>
        <w:rPr>
          <w:webHidden/>
        </w:rPr>
        <w:tab/>
      </w:r>
      <w:r>
        <w:rPr>
          <w:webHidden/>
        </w:rPr>
        <w:tab/>
      </w:r>
      <w:r w:rsidR="002A74E2">
        <w:rPr>
          <w:webHidden/>
        </w:rPr>
        <w:t>41</w:t>
      </w:r>
    </w:p>
    <w:p w:rsidR="003A5252" w:rsidRDefault="003A5252" w:rsidP="002A74E2">
      <w:pPr>
        <w:pStyle w:val="TOC1"/>
        <w:rPr>
          <w:rFonts w:asciiTheme="minorHAnsi" w:eastAsia="SimSun" w:hAnsiTheme="minorHAnsi" w:cstheme="minorBidi"/>
          <w:szCs w:val="22"/>
          <w:lang w:eastAsia="zh-CN"/>
        </w:rPr>
      </w:pPr>
      <w:r w:rsidRPr="001305EE">
        <w:t xml:space="preserve">Article 34 </w:t>
      </w:r>
      <w:r w:rsidRPr="001305EE">
        <w:rPr>
          <w:bCs/>
        </w:rPr>
        <w:t>–</w:t>
      </w:r>
      <w:r w:rsidRPr="001305EE">
        <w:t xml:space="preserve"> Obligation to pay</w:t>
      </w:r>
      <w:r>
        <w:rPr>
          <w:webHidden/>
        </w:rPr>
        <w:tab/>
      </w:r>
      <w:r>
        <w:rPr>
          <w:webHidden/>
        </w:rPr>
        <w:tab/>
      </w:r>
      <w:r w:rsidR="002A74E2">
        <w:rPr>
          <w:webHidden/>
        </w:rPr>
        <w:t>41</w:t>
      </w:r>
    </w:p>
    <w:p w:rsidR="003A5252" w:rsidRDefault="003A5252" w:rsidP="002A74E2">
      <w:pPr>
        <w:pStyle w:val="TOC1"/>
        <w:rPr>
          <w:rFonts w:asciiTheme="minorHAnsi" w:eastAsia="SimSun" w:hAnsiTheme="minorHAnsi" w:cstheme="minorBidi"/>
          <w:szCs w:val="22"/>
          <w:lang w:eastAsia="zh-CN"/>
        </w:rPr>
      </w:pPr>
      <w:r w:rsidRPr="001305EE">
        <w:t>Article 35</w:t>
      </w:r>
      <w:r w:rsidRPr="001305EE">
        <w:rPr>
          <w:bCs/>
        </w:rPr>
        <w:t xml:space="preserve"> – </w:t>
      </w:r>
      <w:r w:rsidRPr="001305EE">
        <w:t>Methods of payments</w:t>
      </w:r>
      <w:r>
        <w:rPr>
          <w:webHidden/>
        </w:rPr>
        <w:tab/>
      </w:r>
      <w:r>
        <w:rPr>
          <w:webHidden/>
        </w:rPr>
        <w:tab/>
      </w:r>
      <w:r w:rsidR="002A74E2">
        <w:rPr>
          <w:webHidden/>
        </w:rPr>
        <w:t>42</w:t>
      </w:r>
    </w:p>
    <w:p w:rsidR="003A5252" w:rsidRPr="00AA5C49" w:rsidRDefault="003A5252" w:rsidP="002A74E2">
      <w:pPr>
        <w:pStyle w:val="TOC1"/>
        <w:rPr>
          <w:rFonts w:asciiTheme="minorHAnsi" w:eastAsia="SimSun" w:hAnsiTheme="minorHAnsi" w:cstheme="minorBidi"/>
          <w:szCs w:val="22"/>
          <w:lang w:val="fr-CH" w:eastAsia="zh-CN"/>
        </w:rPr>
      </w:pPr>
      <w:r w:rsidRPr="00AA5C49">
        <w:rPr>
          <w:lang w:val="fr-CH"/>
        </w:rPr>
        <w:t xml:space="preserve">Article 36 </w:t>
      </w:r>
      <w:r w:rsidRPr="00AA5C49">
        <w:rPr>
          <w:bCs/>
          <w:lang w:val="fr-CH"/>
        </w:rPr>
        <w:t>–</w:t>
      </w:r>
      <w:r w:rsidRPr="00AA5C49">
        <w:rPr>
          <w:lang w:val="fr-CH"/>
        </w:rPr>
        <w:t xml:space="preserve"> Penalties</w:t>
      </w:r>
      <w:r w:rsidRPr="00AA5C49">
        <w:rPr>
          <w:webHidden/>
          <w:lang w:val="fr-CH"/>
        </w:rPr>
        <w:tab/>
      </w:r>
      <w:r w:rsidRPr="00AA5C49">
        <w:rPr>
          <w:webHidden/>
          <w:lang w:val="fr-CH"/>
        </w:rPr>
        <w:tab/>
      </w:r>
      <w:r w:rsidR="002A74E2" w:rsidRPr="00AA5C49">
        <w:rPr>
          <w:webHidden/>
          <w:lang w:val="fr-CH"/>
        </w:rPr>
        <w:t>42</w:t>
      </w:r>
    </w:p>
    <w:p w:rsidR="003A5252" w:rsidRPr="00AA5C49" w:rsidRDefault="003A5252" w:rsidP="002A74E2">
      <w:pPr>
        <w:pStyle w:val="TOC1"/>
        <w:rPr>
          <w:rFonts w:asciiTheme="minorHAnsi" w:eastAsia="SimSun" w:hAnsiTheme="minorHAnsi" w:cstheme="minorBidi"/>
          <w:szCs w:val="22"/>
          <w:lang w:val="fr-CH" w:eastAsia="zh-CN"/>
        </w:rPr>
      </w:pPr>
      <w:r w:rsidRPr="00AA5C49">
        <w:rPr>
          <w:lang w:val="fr-CH"/>
        </w:rPr>
        <w:t xml:space="preserve">Article 37 </w:t>
      </w:r>
      <w:r w:rsidRPr="00AA5C49">
        <w:rPr>
          <w:bCs/>
          <w:lang w:val="fr-CH"/>
        </w:rPr>
        <w:t>–</w:t>
      </w:r>
      <w:r w:rsidRPr="00AA5C49">
        <w:rPr>
          <w:lang w:val="fr-CH"/>
        </w:rPr>
        <w:t xml:space="preserve"> Implementation</w:t>
      </w:r>
      <w:r w:rsidRPr="00AA5C49">
        <w:rPr>
          <w:webHidden/>
          <w:lang w:val="fr-CH"/>
        </w:rPr>
        <w:tab/>
      </w:r>
      <w:r w:rsidRPr="00AA5C49">
        <w:rPr>
          <w:webHidden/>
          <w:lang w:val="fr-CH"/>
        </w:rPr>
        <w:tab/>
      </w:r>
      <w:r w:rsidR="002A74E2" w:rsidRPr="00AA5C49">
        <w:rPr>
          <w:webHidden/>
          <w:lang w:val="fr-CH"/>
        </w:rPr>
        <w:t>42</w:t>
      </w:r>
    </w:p>
    <w:p w:rsidR="003A5252" w:rsidRPr="00AA5C49" w:rsidRDefault="003A5252" w:rsidP="002A74E2">
      <w:pPr>
        <w:bidi w:val="0"/>
        <w:rPr>
          <w:lang w:val="fr-CH"/>
        </w:rPr>
      </w:pPr>
    </w:p>
    <w:p w:rsidR="00E60699" w:rsidRPr="00AA5C49" w:rsidRDefault="00E60699" w:rsidP="00E60699">
      <w:pPr>
        <w:bidi w:val="0"/>
        <w:rPr>
          <w:lang w:val="fr-CH"/>
        </w:rPr>
      </w:pPr>
    </w:p>
    <w:p w:rsidR="00E60699" w:rsidRPr="00AA5C49" w:rsidRDefault="00E60699" w:rsidP="00E60699">
      <w:pPr>
        <w:bidi w:val="0"/>
        <w:rPr>
          <w:lang w:val="fr-CH"/>
        </w:rPr>
      </w:pPr>
    </w:p>
    <w:p w:rsidR="00E60699" w:rsidRPr="00AA5C49" w:rsidRDefault="00E60699" w:rsidP="00E60699">
      <w:pPr>
        <w:bidi w:val="0"/>
        <w:rPr>
          <w:lang w:val="fr-CH"/>
        </w:rPr>
      </w:pPr>
    </w:p>
    <w:p w:rsidR="00E60699" w:rsidRPr="00AA5C49" w:rsidRDefault="00E60699" w:rsidP="00E60699">
      <w:pPr>
        <w:bidi w:val="0"/>
        <w:rPr>
          <w:lang w:val="fr-CH"/>
        </w:rPr>
      </w:pPr>
    </w:p>
    <w:p w:rsidR="00E60699" w:rsidRPr="00AA5C49" w:rsidRDefault="00E60699" w:rsidP="00E60699">
      <w:pPr>
        <w:bidi w:val="0"/>
        <w:rPr>
          <w:lang w:val="fr-CH"/>
        </w:rPr>
      </w:pPr>
    </w:p>
    <w:p w:rsidR="00E60699" w:rsidRPr="00AA5C49" w:rsidRDefault="00E60699" w:rsidP="00E60699">
      <w:pPr>
        <w:bidi w:val="0"/>
        <w:rPr>
          <w:lang w:val="fr-CH"/>
        </w:rPr>
      </w:pPr>
    </w:p>
    <w:p w:rsidR="00E60699" w:rsidRPr="00AA5C49" w:rsidRDefault="00E60699" w:rsidP="00E60699">
      <w:pPr>
        <w:bidi w:val="0"/>
        <w:rPr>
          <w:lang w:val="fr-CH"/>
        </w:rPr>
      </w:pPr>
    </w:p>
    <w:p w:rsidR="00E60699" w:rsidRPr="00AA5C49" w:rsidRDefault="00E60699" w:rsidP="00E60699">
      <w:pPr>
        <w:bidi w:val="0"/>
        <w:rPr>
          <w:lang w:val="fr-CH"/>
        </w:rPr>
      </w:pPr>
    </w:p>
    <w:p w:rsidR="00E60699" w:rsidRPr="00AA5C49" w:rsidRDefault="00E60699" w:rsidP="00E60699">
      <w:pPr>
        <w:bidi w:val="0"/>
        <w:rPr>
          <w:lang w:val="fr-CH"/>
        </w:rPr>
      </w:pPr>
    </w:p>
    <w:p w:rsidR="00E60699" w:rsidRPr="00AA5C49" w:rsidRDefault="00E60699" w:rsidP="00E60699">
      <w:pPr>
        <w:bidi w:val="0"/>
        <w:rPr>
          <w:lang w:val="fr-CH"/>
        </w:rPr>
      </w:pPr>
    </w:p>
    <w:p w:rsidR="00E60699" w:rsidRPr="00AA5C49" w:rsidRDefault="00E60699" w:rsidP="00E60699">
      <w:pPr>
        <w:bidi w:val="0"/>
        <w:rPr>
          <w:lang w:val="fr-CH"/>
        </w:rPr>
      </w:pPr>
    </w:p>
    <w:p w:rsidR="00E60699" w:rsidRPr="00AA5C49" w:rsidRDefault="00E60699" w:rsidP="00E60699">
      <w:pPr>
        <w:bidi w:val="0"/>
        <w:rPr>
          <w:lang w:val="fr-CH"/>
        </w:rPr>
      </w:pPr>
    </w:p>
    <w:p w:rsidR="00E60699" w:rsidRPr="00AA5C49" w:rsidRDefault="00E60699" w:rsidP="00E60699">
      <w:pPr>
        <w:bidi w:val="0"/>
        <w:rPr>
          <w:lang w:val="fr-CH"/>
        </w:rPr>
      </w:pPr>
    </w:p>
    <w:p w:rsidR="00E60699" w:rsidRPr="00AA5C49" w:rsidRDefault="00E60699" w:rsidP="00E60699">
      <w:pPr>
        <w:bidi w:val="0"/>
        <w:rPr>
          <w:lang w:val="fr-CH"/>
        </w:rPr>
      </w:pPr>
    </w:p>
    <w:p w:rsidR="00E60699" w:rsidRPr="00AA5C49" w:rsidRDefault="00E60699" w:rsidP="00E60699">
      <w:pPr>
        <w:bidi w:val="0"/>
        <w:rPr>
          <w:lang w:val="fr-CH"/>
        </w:rPr>
      </w:pPr>
    </w:p>
    <w:p w:rsidR="00E60699" w:rsidRPr="00AA5C49" w:rsidRDefault="00E60699" w:rsidP="00E60699">
      <w:pPr>
        <w:bidi w:val="0"/>
        <w:rPr>
          <w:lang w:val="fr-CH"/>
        </w:rPr>
      </w:pPr>
    </w:p>
    <w:p w:rsidR="003A5252" w:rsidRPr="00AA5C49" w:rsidRDefault="003A5252" w:rsidP="0049484E">
      <w:pPr>
        <w:pStyle w:val="Arttitle"/>
        <w:rPr>
          <w:lang w:val="fr-CH"/>
        </w:rPr>
      </w:pPr>
      <w:r w:rsidRPr="00AA5C49">
        <w:rPr>
          <w:lang w:val="fr-CH"/>
        </w:rPr>
        <w:br w:type="page"/>
      </w:r>
      <w:bookmarkStart w:id="253" w:name="_Toc280261823"/>
      <w:bookmarkStart w:id="254" w:name="_Toc280262321"/>
      <w:bookmarkStart w:id="255" w:name="_Toc280272715"/>
      <w:bookmarkStart w:id="256" w:name="_Toc280272894"/>
      <w:r w:rsidRPr="00AA5C49">
        <w:rPr>
          <w:lang w:val="fr-CH"/>
        </w:rPr>
        <w:lastRenderedPageBreak/>
        <w:t>Article 1</w:t>
      </w:r>
      <w:r w:rsidRPr="00AA5C49">
        <w:rPr>
          <w:lang w:val="fr-CH"/>
        </w:rPr>
        <w:br/>
      </w:r>
      <w:r w:rsidRPr="00AA5C49">
        <w:rPr>
          <w:lang w:val="fr-CH"/>
        </w:rPr>
        <w:br/>
      </w:r>
      <w:bookmarkStart w:id="257" w:name="_Toc199215024"/>
      <w:r w:rsidRPr="00AA5C49">
        <w:rPr>
          <w:lang w:val="fr-CH"/>
        </w:rPr>
        <w:t>Purpose</w:t>
      </w:r>
      <w:bookmarkEnd w:id="253"/>
      <w:bookmarkEnd w:id="254"/>
      <w:bookmarkEnd w:id="255"/>
      <w:bookmarkEnd w:id="256"/>
      <w:bookmarkEnd w:id="257"/>
    </w:p>
    <w:p w:rsidR="003A5252" w:rsidRPr="002048E8" w:rsidRDefault="003A5252" w:rsidP="0049484E">
      <w:pPr>
        <w:bidi w:val="0"/>
        <w:spacing w:line="240" w:lineRule="auto"/>
      </w:pPr>
      <w:r w:rsidRPr="002048E8">
        <w:t xml:space="preserve">In accordance with the Federal Law by Decree No. 3 of 2003 as amended and its Executive Order, this Policy sets the </w:t>
      </w:r>
      <w:r>
        <w:t>s</w:t>
      </w:r>
      <w:r w:rsidRPr="002048E8">
        <w:t xml:space="preserve">pectrum </w:t>
      </w:r>
      <w:r>
        <w:t>f</w:t>
      </w:r>
      <w:r w:rsidRPr="002048E8">
        <w:t xml:space="preserve">ees </w:t>
      </w:r>
      <w:r>
        <w:t>s</w:t>
      </w:r>
      <w:r w:rsidRPr="002048E8">
        <w:t xml:space="preserve">chedule for </w:t>
      </w:r>
      <w:r>
        <w:t>Frequency</w:t>
      </w:r>
      <w:r w:rsidRPr="002048E8">
        <w:t xml:space="preserve"> Spectrum and Wireless </w:t>
      </w:r>
      <w:r>
        <w:t>E</w:t>
      </w:r>
      <w:r w:rsidRPr="002048E8">
        <w:t>quipment</w:t>
      </w:r>
      <w:r w:rsidRPr="002048E8" w:rsidDel="00475BFE">
        <w:t xml:space="preserve"> </w:t>
      </w:r>
      <w:r>
        <w:t>A</w:t>
      </w:r>
      <w:r w:rsidRPr="002048E8">
        <w:t xml:space="preserve">uthorization. The </w:t>
      </w:r>
      <w:r>
        <w:t>s</w:t>
      </w:r>
      <w:r w:rsidRPr="002048E8">
        <w:t xml:space="preserve">pectrum </w:t>
      </w:r>
      <w:r>
        <w:t>f</w:t>
      </w:r>
      <w:r w:rsidRPr="002048E8">
        <w:t xml:space="preserve">ees shall be collected in advance for </w:t>
      </w:r>
      <w:r>
        <w:t xml:space="preserve">applying, </w:t>
      </w:r>
      <w:r w:rsidRPr="002048E8">
        <w:t>registering, authorizing or renewing unless exempted in this Policy.</w:t>
      </w:r>
    </w:p>
    <w:p w:rsidR="003A5252" w:rsidRPr="001A775D" w:rsidRDefault="003A5252" w:rsidP="0049484E">
      <w:pPr>
        <w:pStyle w:val="Arttitle"/>
        <w:spacing w:before="400"/>
      </w:pPr>
      <w:bookmarkStart w:id="258" w:name="_Toc280261824"/>
      <w:bookmarkStart w:id="259" w:name="_Toc280262322"/>
      <w:bookmarkStart w:id="260" w:name="_Toc280272716"/>
      <w:bookmarkStart w:id="261" w:name="_Toc280272895"/>
      <w:r>
        <w:t xml:space="preserve">Article </w:t>
      </w:r>
      <w:r w:rsidRPr="002048E8">
        <w:t>2</w:t>
      </w:r>
      <w:r>
        <w:br/>
      </w:r>
      <w:r>
        <w:br/>
      </w:r>
      <w:bookmarkStart w:id="262" w:name="_Toc199215025"/>
      <w:r w:rsidRPr="004307D4">
        <w:t>Definiti</w:t>
      </w:r>
      <w:r w:rsidRPr="001A775D">
        <w:t>ons</w:t>
      </w:r>
      <w:bookmarkEnd w:id="258"/>
      <w:bookmarkEnd w:id="259"/>
      <w:bookmarkEnd w:id="260"/>
      <w:bookmarkEnd w:id="261"/>
      <w:bookmarkEnd w:id="262"/>
    </w:p>
    <w:p w:rsidR="003A5252" w:rsidRPr="002048E8" w:rsidRDefault="003A5252" w:rsidP="0049484E">
      <w:pPr>
        <w:bidi w:val="0"/>
        <w:spacing w:line="240" w:lineRule="auto"/>
      </w:pPr>
      <w:r w:rsidRPr="002048E8">
        <w:t>In applying this policy, the following terms shall have the following meanings unless the context requires otherwise, whereas any term undefined in the following shall be defined in</w:t>
      </w:r>
      <w:r>
        <w:noBreakHyphen/>
      </w:r>
      <w:r w:rsidRPr="002048E8">
        <w:t xml:space="preserve">line with the Federal Law by Decree </w:t>
      </w:r>
      <w:r>
        <w:t>No. 3 of 2003 as amended and it</w:t>
      </w:r>
      <w:r w:rsidRPr="002048E8">
        <w:t>s Executive Order:</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2.1</w:t>
      </w:r>
      <w:r w:rsidRPr="00AA5C49">
        <w:rPr>
          <w:rFonts w:asciiTheme="majorBidi" w:hAnsiTheme="majorBidi" w:cstheme="majorBidi"/>
          <w:b/>
          <w:szCs w:val="22"/>
          <w:lang w:val="en-US"/>
        </w:rPr>
        <w:tab/>
        <w:t>"Allocation"</w:t>
      </w:r>
      <w:r w:rsidRPr="00AA5C49">
        <w:rPr>
          <w:rFonts w:asciiTheme="majorBidi" w:hAnsiTheme="majorBidi" w:cstheme="majorBidi"/>
          <w:szCs w:val="22"/>
          <w:lang w:val="en-US"/>
        </w:rPr>
        <w:t xml:space="preserve"> means the entry of a designated frequency or frequency band in the National Spectrum Plan for use by one or more users for a terrestrial or space Radiocommunication service in the UAE.</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2.2</w:t>
      </w:r>
      <w:r w:rsidRPr="00AA5C49">
        <w:rPr>
          <w:rFonts w:asciiTheme="majorBidi" w:hAnsiTheme="majorBidi" w:cstheme="majorBidi"/>
          <w:b/>
          <w:szCs w:val="22"/>
          <w:lang w:val="en-US"/>
        </w:rPr>
        <w:tab/>
        <w:t>"Applicant"</w:t>
      </w:r>
      <w:r w:rsidRPr="00AA5C49">
        <w:rPr>
          <w:rFonts w:asciiTheme="majorBidi" w:hAnsiTheme="majorBidi" w:cstheme="majorBidi"/>
          <w:szCs w:val="22"/>
          <w:lang w:val="en-US"/>
        </w:rPr>
        <w:t xml:space="preserve"> means any Person who has applied for a License or an Authorization in accordance with the Telecom Law or other Policy Instruments issued by the TRA.</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2.3</w:t>
      </w:r>
      <w:r w:rsidRPr="00AA5C49">
        <w:rPr>
          <w:rFonts w:asciiTheme="majorBidi" w:hAnsiTheme="majorBidi" w:cstheme="majorBidi"/>
          <w:b/>
          <w:szCs w:val="22"/>
          <w:lang w:val="en-US"/>
        </w:rPr>
        <w:tab/>
        <w:t xml:space="preserve">"Application" </w:t>
      </w:r>
      <w:r w:rsidRPr="00AA5C49">
        <w:rPr>
          <w:rFonts w:asciiTheme="majorBidi" w:hAnsiTheme="majorBidi" w:cstheme="majorBidi"/>
          <w:szCs w:val="22"/>
          <w:lang w:val="en-US"/>
        </w:rPr>
        <w:t>means the request for issuance of a License or an Authorization, received at the TRA on prescribed forms as per the procedure in vogue.</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2.4</w:t>
      </w:r>
      <w:r w:rsidRPr="00AA5C49">
        <w:rPr>
          <w:rFonts w:asciiTheme="majorBidi" w:hAnsiTheme="majorBidi" w:cstheme="majorBidi"/>
          <w:b/>
          <w:szCs w:val="22"/>
          <w:lang w:val="en-US"/>
        </w:rPr>
        <w:tab/>
        <w:t xml:space="preserve">"Authorization" </w:t>
      </w:r>
      <w:r w:rsidRPr="00AA5C49">
        <w:rPr>
          <w:rFonts w:asciiTheme="majorBidi" w:hAnsiTheme="majorBidi" w:cstheme="majorBidi"/>
          <w:szCs w:val="22"/>
          <w:lang w:val="en-US"/>
        </w:rPr>
        <w:t>means a Radio Spectrum Authorization awarded by the TRA.</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2.5</w:t>
      </w:r>
      <w:r w:rsidRPr="00AA5C49">
        <w:rPr>
          <w:rFonts w:asciiTheme="majorBidi" w:hAnsiTheme="majorBidi" w:cstheme="majorBidi"/>
          <w:b/>
          <w:szCs w:val="22"/>
          <w:lang w:val="en-US"/>
        </w:rPr>
        <w:tab/>
        <w:t xml:space="preserve">"Authorized User" </w:t>
      </w:r>
      <w:r w:rsidRPr="00AA5C49">
        <w:rPr>
          <w:rFonts w:asciiTheme="majorBidi" w:hAnsiTheme="majorBidi" w:cstheme="majorBidi"/>
          <w:szCs w:val="22"/>
          <w:lang w:val="en-US"/>
        </w:rPr>
        <w:t>means a Person that has been issued a Radio Spectrum Authorization by the TRA.</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2.6</w:t>
      </w:r>
      <w:r w:rsidRPr="00AA5C49">
        <w:rPr>
          <w:rFonts w:asciiTheme="majorBidi" w:hAnsiTheme="majorBidi" w:cstheme="majorBidi"/>
          <w:b/>
          <w:szCs w:val="22"/>
          <w:lang w:val="en-US"/>
        </w:rPr>
        <w:tab/>
        <w:t>"Class Authorization"</w:t>
      </w:r>
      <w:r w:rsidRPr="00AA5C49">
        <w:rPr>
          <w:rFonts w:asciiTheme="majorBidi" w:hAnsiTheme="majorBidi" w:cstheme="majorBidi"/>
          <w:szCs w:val="22"/>
          <w:lang w:val="en-US"/>
        </w:rPr>
        <w:t xml:space="preserve"> means a Radio Spectrum Authorization which permits the operation of Wireless Equipment by any Person within designated frequency bands subject to any Terms and Conditions stipulated therein.</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2.7</w:t>
      </w:r>
      <w:r w:rsidRPr="00AA5C49">
        <w:rPr>
          <w:rFonts w:asciiTheme="majorBidi" w:hAnsiTheme="majorBidi" w:cstheme="majorBidi"/>
          <w:b/>
          <w:szCs w:val="22"/>
          <w:lang w:val="en-US"/>
        </w:rPr>
        <w:tab/>
        <w:t>"Individual Authorization"</w:t>
      </w:r>
      <w:r w:rsidRPr="00AA5C49">
        <w:rPr>
          <w:rFonts w:asciiTheme="majorBidi" w:hAnsiTheme="majorBidi" w:cstheme="majorBidi"/>
          <w:szCs w:val="22"/>
          <w:lang w:val="en-US"/>
        </w:rPr>
        <w:t xml:space="preserve"> means a Radio Spectrum Authorization which permits the operation of Wireless Equipment by a specified Person to whom frequencies have been allocated or assigned, subject to any Terms and Conditions stipulated therein.</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2.8</w:t>
      </w:r>
      <w:r w:rsidRPr="00AA5C49">
        <w:rPr>
          <w:rFonts w:asciiTheme="majorBidi" w:hAnsiTheme="majorBidi" w:cstheme="majorBidi"/>
          <w:b/>
          <w:szCs w:val="22"/>
          <w:lang w:val="en-US"/>
        </w:rPr>
        <w:tab/>
        <w:t>"National Spectrum Plan"</w:t>
      </w:r>
      <w:r w:rsidRPr="00AA5C49">
        <w:rPr>
          <w:rFonts w:asciiTheme="majorBidi" w:hAnsiTheme="majorBidi" w:cstheme="majorBidi"/>
          <w:szCs w:val="22"/>
          <w:lang w:val="en-US"/>
        </w:rPr>
        <w:t xml:space="preserve"> means Radio Frequency Allocation Plan for the UAE approved by the Supreme Committee and any modifications thereof.</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2.9</w:t>
      </w:r>
      <w:r w:rsidRPr="00AA5C49">
        <w:rPr>
          <w:rFonts w:asciiTheme="majorBidi" w:hAnsiTheme="majorBidi" w:cstheme="majorBidi"/>
          <w:b/>
          <w:szCs w:val="22"/>
          <w:lang w:val="en-US"/>
        </w:rPr>
        <w:tab/>
        <w:t>"Person"</w:t>
      </w:r>
      <w:r w:rsidRPr="00AA5C49">
        <w:rPr>
          <w:rFonts w:asciiTheme="majorBidi" w:hAnsiTheme="majorBidi" w:cstheme="majorBidi"/>
          <w:szCs w:val="22"/>
          <w:lang w:val="en-US"/>
        </w:rPr>
        <w:t xml:space="preserve"> will include ‘juridical entities’ as well as ‘natural persons’.</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2.10</w:t>
      </w:r>
      <w:r w:rsidRPr="00AA5C49">
        <w:rPr>
          <w:rFonts w:asciiTheme="majorBidi" w:hAnsiTheme="majorBidi" w:cstheme="majorBidi"/>
          <w:b/>
          <w:szCs w:val="22"/>
          <w:lang w:val="en-US"/>
        </w:rPr>
        <w:tab/>
        <w:t xml:space="preserve">"Radiocommunication" </w:t>
      </w:r>
      <w:r w:rsidRPr="00AA5C49">
        <w:rPr>
          <w:rFonts w:asciiTheme="majorBidi" w:hAnsiTheme="majorBidi" w:cstheme="majorBidi"/>
          <w:szCs w:val="22"/>
          <w:lang w:val="en-US"/>
        </w:rPr>
        <w:t>means Wireless Transmission by means of radio frequency.</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2.11</w:t>
      </w:r>
      <w:r w:rsidRPr="00AA5C49">
        <w:rPr>
          <w:rFonts w:asciiTheme="majorBidi" w:hAnsiTheme="majorBidi" w:cstheme="majorBidi"/>
          <w:b/>
          <w:szCs w:val="22"/>
          <w:lang w:val="en-US"/>
        </w:rPr>
        <w:tab/>
        <w:t xml:space="preserve">"Radiocommunication service" </w:t>
      </w:r>
      <w:r w:rsidRPr="00AA5C49">
        <w:rPr>
          <w:rFonts w:asciiTheme="majorBidi" w:hAnsiTheme="majorBidi" w:cstheme="majorBidi"/>
          <w:szCs w:val="22"/>
          <w:lang w:val="en-US"/>
        </w:rPr>
        <w:t>means a service using Radiocommunication.</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2.12</w:t>
      </w:r>
      <w:r w:rsidRPr="00AA5C49">
        <w:rPr>
          <w:rFonts w:asciiTheme="majorBidi" w:hAnsiTheme="majorBidi" w:cstheme="majorBidi"/>
          <w:b/>
          <w:szCs w:val="22"/>
          <w:lang w:val="en-US"/>
        </w:rPr>
        <w:tab/>
        <w:t xml:space="preserve">"Radio Frequency" </w:t>
      </w:r>
      <w:r w:rsidRPr="00AA5C49">
        <w:rPr>
          <w:rFonts w:asciiTheme="majorBidi" w:hAnsiTheme="majorBidi" w:cstheme="majorBidi"/>
          <w:szCs w:val="22"/>
          <w:lang w:val="en-US"/>
        </w:rPr>
        <w:t>means radiated electromagnetic energy measured in Hz or cycles / sec.</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2.13</w:t>
      </w:r>
      <w:r w:rsidRPr="00AA5C49">
        <w:rPr>
          <w:rFonts w:asciiTheme="majorBidi" w:hAnsiTheme="majorBidi" w:cstheme="majorBidi"/>
          <w:b/>
          <w:szCs w:val="22"/>
          <w:lang w:val="en-US"/>
        </w:rPr>
        <w:tab/>
        <w:t xml:space="preserve">"Radio Spectrum Authorization" </w:t>
      </w:r>
      <w:r w:rsidRPr="00AA5C49">
        <w:rPr>
          <w:rFonts w:asciiTheme="majorBidi" w:hAnsiTheme="majorBidi" w:cstheme="majorBidi"/>
          <w:szCs w:val="22"/>
          <w:lang w:val="en-US"/>
        </w:rPr>
        <w:t>means a Radio Spectrum Authorization whether Individual or Class issued by the TRA, which permits the use of Radio Frequency subject to terms and conditions set out therein.</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2.14</w:t>
      </w:r>
      <w:r w:rsidRPr="00AA5C49">
        <w:rPr>
          <w:rFonts w:asciiTheme="majorBidi" w:hAnsiTheme="majorBidi" w:cstheme="majorBidi"/>
          <w:b/>
          <w:szCs w:val="22"/>
          <w:lang w:val="en-US"/>
        </w:rPr>
        <w:tab/>
        <w:t xml:space="preserve">"Regulatory Instruments" </w:t>
      </w:r>
      <w:r w:rsidRPr="00AA5C49">
        <w:rPr>
          <w:rFonts w:asciiTheme="majorBidi" w:hAnsiTheme="majorBidi" w:cstheme="majorBidi"/>
          <w:szCs w:val="22"/>
          <w:lang w:val="en-US"/>
        </w:rPr>
        <w:t>means any instrument issued by the TRA under its powers, and includes without limitation; Regulations, violation decisions, directives, instructions, guidance and recommendations and regulatory policies.</w:t>
      </w:r>
    </w:p>
    <w:p w:rsidR="00E60699" w:rsidRPr="00AA5C49" w:rsidRDefault="003A5252" w:rsidP="002A74E2">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2.15</w:t>
      </w:r>
      <w:r w:rsidRPr="00AA5C49">
        <w:rPr>
          <w:rFonts w:asciiTheme="majorBidi" w:hAnsiTheme="majorBidi" w:cstheme="majorBidi"/>
          <w:b/>
          <w:szCs w:val="22"/>
          <w:lang w:val="en-US"/>
        </w:rPr>
        <w:tab/>
        <w:t xml:space="preserve">"Station" </w:t>
      </w:r>
      <w:r w:rsidRPr="00AA5C49">
        <w:rPr>
          <w:rFonts w:asciiTheme="majorBidi" w:hAnsiTheme="majorBidi" w:cstheme="majorBidi"/>
          <w:szCs w:val="22"/>
          <w:lang w:val="en-US"/>
        </w:rPr>
        <w:t>means an installation operated by an authorized user, comprising a radio transmitting and or receiving apparatus and the necessary auxiliary equipment or one or more transmitters or receivers or a combination of transmitters or receivers, including the ancillary equipment, necessary at one location for carrying on a Radiocommunication service.</w:t>
      </w:r>
      <w:r w:rsidR="00E60699" w:rsidRPr="00AA5C49">
        <w:rPr>
          <w:rFonts w:asciiTheme="majorBidi" w:hAnsiTheme="majorBidi" w:cstheme="majorBidi"/>
          <w:bCs/>
          <w:szCs w:val="22"/>
          <w:lang w:val="en-US"/>
        </w:rPr>
        <w:br w:type="page"/>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lastRenderedPageBreak/>
        <w:t>2.16</w:t>
      </w:r>
      <w:r w:rsidRPr="00AA5C49">
        <w:rPr>
          <w:rFonts w:asciiTheme="majorBidi" w:hAnsiTheme="majorBidi" w:cstheme="majorBidi"/>
          <w:b/>
          <w:szCs w:val="22"/>
          <w:lang w:val="en-US"/>
        </w:rPr>
        <w:tab/>
        <w:t xml:space="preserve">"Telecommunication" </w:t>
      </w:r>
      <w:r w:rsidRPr="00AA5C49">
        <w:rPr>
          <w:rFonts w:asciiTheme="majorBidi" w:hAnsiTheme="majorBidi" w:cstheme="majorBidi"/>
          <w:szCs w:val="22"/>
          <w:lang w:val="en-US"/>
        </w:rPr>
        <w:t>means any transmission, emission or reception of signs, signals, writings, images and sounds or intelligence of any nature by wire, radio, optical or other electromagnetic systems</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2.17</w:t>
      </w:r>
      <w:r w:rsidRPr="00AA5C49">
        <w:rPr>
          <w:rFonts w:asciiTheme="majorBidi" w:hAnsiTheme="majorBidi" w:cstheme="majorBidi"/>
          <w:b/>
          <w:szCs w:val="22"/>
          <w:lang w:val="en-US"/>
        </w:rPr>
        <w:tab/>
        <w:t xml:space="preserve">"Temporary Authorization" </w:t>
      </w:r>
      <w:r w:rsidRPr="00AA5C49">
        <w:rPr>
          <w:rFonts w:asciiTheme="majorBidi" w:hAnsiTheme="majorBidi" w:cstheme="majorBidi"/>
          <w:szCs w:val="22"/>
          <w:lang w:val="en-US"/>
        </w:rPr>
        <w:t>means Radio Spectrum Authorization issued by the TRA which permits the use of assigned frequency for a period up to 90 days.</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2.18</w:t>
      </w:r>
      <w:r w:rsidRPr="00AA5C49">
        <w:rPr>
          <w:rFonts w:asciiTheme="majorBidi" w:hAnsiTheme="majorBidi" w:cstheme="majorBidi"/>
          <w:b/>
          <w:szCs w:val="22"/>
          <w:lang w:val="en-US"/>
        </w:rPr>
        <w:tab/>
        <w:t xml:space="preserve">"The TRA" </w:t>
      </w:r>
      <w:r w:rsidRPr="00AA5C49">
        <w:rPr>
          <w:rFonts w:asciiTheme="majorBidi" w:hAnsiTheme="majorBidi" w:cstheme="majorBidi"/>
          <w:szCs w:val="22"/>
          <w:lang w:val="en-US"/>
        </w:rPr>
        <w:t>means the General Authority for Regulating the Telecommunication Sector known as Telecommunications Regulatory Authority (TRA) established pursuant to the provisions of Article 6 of Federal Law by Decree No. 3 of 2003.</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bCs/>
          <w:szCs w:val="22"/>
          <w:lang w:val="en-US"/>
        </w:rPr>
        <w:t>2.19</w:t>
      </w:r>
      <w:r w:rsidRPr="00AA5C49">
        <w:rPr>
          <w:rFonts w:asciiTheme="majorBidi" w:hAnsiTheme="majorBidi" w:cstheme="majorBidi"/>
          <w:b/>
          <w:szCs w:val="22"/>
          <w:lang w:val="en-US"/>
        </w:rPr>
        <w:tab/>
        <w:t xml:space="preserve">"UAE" </w:t>
      </w:r>
      <w:r w:rsidRPr="00AA5C49">
        <w:rPr>
          <w:rFonts w:asciiTheme="majorBidi" w:hAnsiTheme="majorBidi" w:cstheme="majorBidi"/>
          <w:szCs w:val="22"/>
          <w:lang w:val="en-US"/>
        </w:rPr>
        <w:t>means the United Arab Emirates including its territorial waters and the airspace above.</w:t>
      </w:r>
    </w:p>
    <w:p w:rsidR="003A5252" w:rsidRPr="00AA5C49" w:rsidRDefault="003A5252" w:rsidP="0049484E">
      <w:pPr>
        <w:pStyle w:val="enumlev1"/>
        <w:bidi w:val="0"/>
        <w:spacing w:line="240" w:lineRule="auto"/>
        <w:rPr>
          <w:rFonts w:asciiTheme="majorBidi" w:hAnsiTheme="majorBidi" w:cstheme="majorBidi"/>
          <w:b/>
          <w:szCs w:val="22"/>
          <w:lang w:val="en-US"/>
        </w:rPr>
      </w:pPr>
      <w:r w:rsidRPr="00AA5C49">
        <w:rPr>
          <w:rFonts w:asciiTheme="majorBidi" w:hAnsiTheme="majorBidi" w:cstheme="majorBidi"/>
          <w:bCs/>
          <w:szCs w:val="22"/>
          <w:lang w:val="en-US"/>
        </w:rPr>
        <w:t>2.20</w:t>
      </w:r>
      <w:r w:rsidRPr="00AA5C49">
        <w:rPr>
          <w:rFonts w:asciiTheme="majorBidi" w:hAnsiTheme="majorBidi" w:cstheme="majorBidi"/>
          <w:b/>
          <w:szCs w:val="22"/>
          <w:lang w:val="en-US"/>
        </w:rPr>
        <w:tab/>
        <w:t xml:space="preserve">"Wireless Equipment" </w:t>
      </w:r>
      <w:r w:rsidRPr="00AA5C49">
        <w:rPr>
          <w:rFonts w:asciiTheme="majorBidi" w:hAnsiTheme="majorBidi" w:cstheme="majorBidi"/>
          <w:szCs w:val="22"/>
          <w:lang w:val="en-US"/>
        </w:rPr>
        <w:t>means a category of Telecommunication Apparatus used for Radiocommunication.</w:t>
      </w:r>
    </w:p>
    <w:p w:rsidR="003A5252" w:rsidRPr="00F50942" w:rsidRDefault="003A5252" w:rsidP="0049484E">
      <w:pPr>
        <w:pStyle w:val="Arttitle"/>
        <w:spacing w:before="400"/>
      </w:pPr>
      <w:bookmarkStart w:id="263" w:name="_Toc280261825"/>
      <w:bookmarkStart w:id="264" w:name="_Toc280262323"/>
      <w:bookmarkStart w:id="265" w:name="_Toc280272717"/>
      <w:bookmarkStart w:id="266" w:name="_Toc280272896"/>
      <w:r>
        <w:t xml:space="preserve">Article </w:t>
      </w:r>
      <w:r w:rsidRPr="00F50942">
        <w:t>3</w:t>
      </w:r>
      <w:r>
        <w:br/>
      </w:r>
      <w:r>
        <w:br/>
      </w:r>
      <w:bookmarkStart w:id="267" w:name="_Toc199215026"/>
      <w:r w:rsidRPr="00F50942">
        <w:t>Application processing Fees</w:t>
      </w:r>
      <w:bookmarkEnd w:id="263"/>
      <w:bookmarkEnd w:id="264"/>
      <w:bookmarkEnd w:id="265"/>
      <w:bookmarkEnd w:id="266"/>
      <w:bookmarkEnd w:id="267"/>
    </w:p>
    <w:p w:rsidR="003A5252" w:rsidRPr="00F50942" w:rsidRDefault="003A5252" w:rsidP="0049484E">
      <w:pPr>
        <w:bidi w:val="0"/>
        <w:spacing w:line="240" w:lineRule="auto"/>
        <w:rPr>
          <w:szCs w:val="19"/>
        </w:rPr>
      </w:pPr>
      <w:r w:rsidRPr="00F50942">
        <w:rPr>
          <w:szCs w:val="19"/>
        </w:rPr>
        <w:t xml:space="preserve">Each application for the Radio Spectrum Authorization requires an advance non-refundable payment of Five Hundred </w:t>
      </w:r>
      <w:r w:rsidRPr="00F50942">
        <w:rPr>
          <w:b/>
          <w:szCs w:val="19"/>
        </w:rPr>
        <w:t xml:space="preserve">(500) Dirhams </w:t>
      </w:r>
      <w:r w:rsidRPr="00F50942">
        <w:rPr>
          <w:szCs w:val="19"/>
        </w:rPr>
        <w:t xml:space="preserve">for processing the application, irrespective of the final status of the application towards grant or rejection of the application. The TRA may advise certain Government organizations, licensed operators and any major user to accumulate the application processing fees for payment along with the spectrum fees. </w:t>
      </w:r>
    </w:p>
    <w:p w:rsidR="003A5252" w:rsidRPr="00F50942" w:rsidRDefault="003A5252" w:rsidP="0049484E">
      <w:pPr>
        <w:pStyle w:val="Arttitle"/>
        <w:spacing w:before="400"/>
      </w:pPr>
      <w:bookmarkStart w:id="268" w:name="_Toc280261826"/>
      <w:bookmarkStart w:id="269" w:name="_Toc280262324"/>
      <w:bookmarkStart w:id="270" w:name="_Toc280272718"/>
      <w:bookmarkStart w:id="271" w:name="_Toc280272897"/>
      <w:r>
        <w:t xml:space="preserve">Article </w:t>
      </w:r>
      <w:r w:rsidRPr="00F50942">
        <w:t>4</w:t>
      </w:r>
      <w:r>
        <w:br/>
      </w:r>
      <w:r>
        <w:br/>
      </w:r>
      <w:bookmarkStart w:id="272" w:name="_Toc199215027"/>
      <w:r w:rsidRPr="00F50942">
        <w:t>Exemption from Application processing Fees</w:t>
      </w:r>
      <w:bookmarkEnd w:id="268"/>
      <w:bookmarkEnd w:id="269"/>
      <w:bookmarkEnd w:id="270"/>
      <w:bookmarkEnd w:id="271"/>
      <w:bookmarkEnd w:id="272"/>
    </w:p>
    <w:p w:rsidR="003A5252" w:rsidRPr="00F50942" w:rsidRDefault="003A5252" w:rsidP="0049484E">
      <w:pPr>
        <w:bidi w:val="0"/>
        <w:spacing w:line="240" w:lineRule="auto"/>
        <w:rPr>
          <w:szCs w:val="19"/>
        </w:rPr>
      </w:pPr>
      <w:r w:rsidRPr="00F50942">
        <w:rPr>
          <w:szCs w:val="19"/>
        </w:rPr>
        <w:t>The following applications shall be exempted from the Application processing Fees:</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szCs w:val="22"/>
          <w:lang w:val="en-US"/>
        </w:rPr>
        <w:t>4.1</w:t>
      </w:r>
      <w:r w:rsidRPr="00AA5C49">
        <w:rPr>
          <w:rFonts w:asciiTheme="majorBidi" w:hAnsiTheme="majorBidi" w:cstheme="majorBidi"/>
          <w:szCs w:val="22"/>
          <w:lang w:val="en-US"/>
        </w:rPr>
        <w:tab/>
        <w:t>Application for Small Boat which is categorized as fishing trawler in the Navigation license.</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szCs w:val="22"/>
          <w:lang w:val="en-US"/>
        </w:rPr>
        <w:t>4.2</w:t>
      </w:r>
      <w:r w:rsidRPr="00AA5C49">
        <w:rPr>
          <w:rFonts w:asciiTheme="majorBidi" w:hAnsiTheme="majorBidi" w:cstheme="majorBidi"/>
          <w:szCs w:val="22"/>
          <w:lang w:val="en-US"/>
        </w:rPr>
        <w:tab/>
        <w:t>Application for Amateur Authorization if submitted through Emirates Amateur Radio Society.</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szCs w:val="22"/>
          <w:lang w:val="en-US"/>
        </w:rPr>
        <w:t>4.3</w:t>
      </w:r>
      <w:r w:rsidRPr="00AA5C49">
        <w:rPr>
          <w:rFonts w:asciiTheme="majorBidi" w:hAnsiTheme="majorBidi" w:cstheme="majorBidi"/>
          <w:szCs w:val="22"/>
          <w:lang w:val="en-US"/>
        </w:rPr>
        <w:tab/>
        <w:t>Application for personal use of Private Mobile Radio for Camel jockeys.</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szCs w:val="22"/>
          <w:lang w:val="en-US"/>
        </w:rPr>
        <w:t>4.4</w:t>
      </w:r>
      <w:r w:rsidRPr="00AA5C49">
        <w:rPr>
          <w:rFonts w:asciiTheme="majorBidi" w:hAnsiTheme="majorBidi" w:cstheme="majorBidi"/>
          <w:szCs w:val="22"/>
          <w:lang w:val="en-US"/>
        </w:rPr>
        <w:tab/>
        <w:t>Application by non-commercial clubs for hobbies like Aeromodelling.</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szCs w:val="22"/>
          <w:lang w:val="en-US"/>
        </w:rPr>
        <w:t>4.5</w:t>
      </w:r>
      <w:r w:rsidRPr="00AA5C49">
        <w:rPr>
          <w:rFonts w:asciiTheme="majorBidi" w:hAnsiTheme="majorBidi" w:cstheme="majorBidi"/>
          <w:szCs w:val="22"/>
          <w:lang w:val="en-US"/>
        </w:rPr>
        <w:tab/>
        <w:t>Application by research and educational institutions for private use.</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szCs w:val="22"/>
          <w:lang w:val="en-US"/>
        </w:rPr>
        <w:t>4.6</w:t>
      </w:r>
      <w:r w:rsidRPr="00AA5C49">
        <w:rPr>
          <w:rFonts w:asciiTheme="majorBidi" w:hAnsiTheme="majorBidi" w:cstheme="majorBidi"/>
          <w:szCs w:val="22"/>
          <w:lang w:val="en-US"/>
        </w:rPr>
        <w:tab/>
        <w:t>Application by Foreign Missions, Consulates and Embassies for official correspondence or visits of dignitaries when submitted through the UAE Ministry of Foreign Affairs.</w:t>
      </w:r>
    </w:p>
    <w:p w:rsidR="003A5252" w:rsidRPr="00F50942" w:rsidRDefault="003A5252" w:rsidP="0049484E">
      <w:pPr>
        <w:pStyle w:val="Arttitle"/>
        <w:spacing w:before="400"/>
      </w:pPr>
      <w:bookmarkStart w:id="273" w:name="_Toc280261827"/>
      <w:bookmarkStart w:id="274" w:name="_Toc280262325"/>
      <w:bookmarkStart w:id="275" w:name="_Toc280272719"/>
      <w:bookmarkStart w:id="276" w:name="_Toc280272898"/>
      <w:r>
        <w:t xml:space="preserve">Article </w:t>
      </w:r>
      <w:r w:rsidRPr="00F50942">
        <w:t>5</w:t>
      </w:r>
      <w:r>
        <w:br/>
      </w:r>
      <w:r>
        <w:br/>
      </w:r>
      <w:bookmarkStart w:id="277" w:name="_Toc199215028"/>
      <w:r w:rsidRPr="00F50942">
        <w:t>Spectrum Fees for fresh Application</w:t>
      </w:r>
      <w:bookmarkEnd w:id="273"/>
      <w:bookmarkEnd w:id="274"/>
      <w:bookmarkEnd w:id="275"/>
      <w:bookmarkEnd w:id="276"/>
      <w:bookmarkEnd w:id="277"/>
    </w:p>
    <w:p w:rsidR="003A5252" w:rsidRPr="00F50942" w:rsidRDefault="003A5252" w:rsidP="0049484E">
      <w:pPr>
        <w:bidi w:val="0"/>
        <w:spacing w:line="240" w:lineRule="auto"/>
        <w:rPr>
          <w:szCs w:val="19"/>
        </w:rPr>
      </w:pPr>
      <w:r w:rsidRPr="00F50942">
        <w:rPr>
          <w:szCs w:val="19"/>
        </w:rPr>
        <w:t>The spectrum fees shall be payable in advance. Upon successful processing of a fresh application, the TRA shall inform the Applicant of the spectrum fees in accordance with this policy calculated on prorate for the period of validity of the Authorization starting from the date of invoice. The Applicant shall submit to the TRA, the proof of payment immediately and not later than thirty (30) days. The receipt of the fees by the TRA based on verification by the TRA shall be considered as completion of the payment for issuance of the Authorization. If payment is not received, the TRA shall cancel the application. If the Applicant requires pursuing this Application, the Applicant shall be required to re-submit the application with application processing Fees.</w:t>
      </w:r>
    </w:p>
    <w:p w:rsidR="00E60699" w:rsidRDefault="00E60699" w:rsidP="0049484E">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b/>
          <w:sz w:val="24"/>
          <w:szCs w:val="20"/>
        </w:rPr>
      </w:pPr>
      <w:bookmarkStart w:id="278" w:name="_Toc280261828"/>
      <w:bookmarkStart w:id="279" w:name="_Toc280262326"/>
      <w:bookmarkStart w:id="280" w:name="_Toc280272720"/>
      <w:bookmarkStart w:id="281" w:name="_Toc280272899"/>
      <w:r>
        <w:br w:type="page"/>
      </w:r>
    </w:p>
    <w:p w:rsidR="003A5252" w:rsidRPr="00F50942" w:rsidRDefault="003A5252" w:rsidP="0049484E">
      <w:pPr>
        <w:pStyle w:val="Arttitle"/>
        <w:spacing w:before="400"/>
      </w:pPr>
      <w:r>
        <w:lastRenderedPageBreak/>
        <w:t xml:space="preserve">Article </w:t>
      </w:r>
      <w:r w:rsidRPr="00F50942">
        <w:t>6</w:t>
      </w:r>
      <w:r>
        <w:br/>
      </w:r>
      <w:r>
        <w:br/>
      </w:r>
      <w:bookmarkStart w:id="282" w:name="_Toc199215029"/>
      <w:r w:rsidRPr="00F50942">
        <w:t>Spectrum Fees for renewal of Authorization</w:t>
      </w:r>
      <w:bookmarkEnd w:id="278"/>
      <w:bookmarkEnd w:id="279"/>
      <w:bookmarkEnd w:id="280"/>
      <w:bookmarkEnd w:id="281"/>
      <w:bookmarkEnd w:id="282"/>
    </w:p>
    <w:p w:rsidR="003A5252" w:rsidRPr="00F50942" w:rsidRDefault="003A5252" w:rsidP="0049484E">
      <w:pPr>
        <w:bidi w:val="0"/>
        <w:spacing w:line="240" w:lineRule="auto"/>
        <w:rPr>
          <w:szCs w:val="19"/>
        </w:rPr>
      </w:pPr>
      <w:r w:rsidRPr="00F50942">
        <w:rPr>
          <w:szCs w:val="19"/>
        </w:rPr>
        <w:t xml:space="preserve">The Authorized User shall be responsible to apply to the TRA for renewal of the Authorization, within the period, thirty (30) days before the expiry of the Authorization. Authorized User may also request for invoice of the Spectrum Fees for renewal of Authorization even before thirty (30) days of the expiry of the Authorization for a period as allowed for that Authorization in the Spectrum Allocation and Assignment Regulations of the TRA. The applicable Spectrum Fees are defined in the relevant articles of this policy. Wherever, the Spectrum Fees are inclusive of Wireless Equipment as a component, the annual renewal of the Spectrum Fees will include all components and not any part thereof. A grace period of fifteen (15) days after expiry may be given to the Authorized User by the TRA to pay the Spectrum Fees for renewal without any additional Fees. </w:t>
      </w:r>
    </w:p>
    <w:p w:rsidR="003A5252" w:rsidRPr="00F50942" w:rsidRDefault="003A5252" w:rsidP="0049484E">
      <w:pPr>
        <w:pStyle w:val="Arttitle"/>
        <w:spacing w:before="400"/>
      </w:pPr>
      <w:bookmarkStart w:id="283" w:name="_Toc280261829"/>
      <w:bookmarkStart w:id="284" w:name="_Toc280262327"/>
      <w:bookmarkStart w:id="285" w:name="_Toc280272721"/>
      <w:bookmarkStart w:id="286" w:name="_Toc280272900"/>
      <w:r>
        <w:t>Article 7</w:t>
      </w:r>
      <w:r>
        <w:br/>
      </w:r>
      <w:r>
        <w:br/>
      </w:r>
      <w:bookmarkStart w:id="287" w:name="_Toc199215030"/>
      <w:r w:rsidRPr="00F50942">
        <w:t>Additional Fees for delayed renewal of Authorization</w:t>
      </w:r>
      <w:bookmarkEnd w:id="283"/>
      <w:bookmarkEnd w:id="284"/>
      <w:bookmarkEnd w:id="285"/>
      <w:bookmarkEnd w:id="286"/>
      <w:bookmarkEnd w:id="287"/>
    </w:p>
    <w:p w:rsidR="003A5252" w:rsidRPr="00F50942" w:rsidRDefault="003A5252" w:rsidP="0049484E">
      <w:pPr>
        <w:bidi w:val="0"/>
        <w:spacing w:line="240" w:lineRule="auto"/>
        <w:rPr>
          <w:szCs w:val="19"/>
        </w:rPr>
      </w:pPr>
      <w:r w:rsidRPr="00F50942">
        <w:rPr>
          <w:szCs w:val="19"/>
        </w:rPr>
        <w:t xml:space="preserve">The TRA shall levy an additional fee of 10% of the amount due for Spectrum Fees if the Authorized User applies for renewal after fifteen days of expiry and before forty-five (45) days of expiry. The TRA shall cancel the Authorization if not applied for renewal within forty-five (45) days of expiry. The TRA shall levy additional fees of 20% of the amount due for Spectrum Fees if a cancelled Authorization is applied for renewal. </w:t>
      </w:r>
    </w:p>
    <w:p w:rsidR="003A5252" w:rsidRPr="00F50942" w:rsidRDefault="003A5252" w:rsidP="0049484E">
      <w:pPr>
        <w:pStyle w:val="Arttitle"/>
        <w:spacing w:before="400"/>
      </w:pPr>
      <w:bookmarkStart w:id="288" w:name="_Toc280261830"/>
      <w:bookmarkStart w:id="289" w:name="_Toc280262328"/>
      <w:bookmarkStart w:id="290" w:name="_Toc280272722"/>
      <w:bookmarkStart w:id="291" w:name="_Toc280272901"/>
      <w:r w:rsidRPr="00F50942">
        <w:t>Articl</w:t>
      </w:r>
      <w:r>
        <w:t xml:space="preserve">e </w:t>
      </w:r>
      <w:r w:rsidRPr="00F50942">
        <w:t>8</w:t>
      </w:r>
      <w:r>
        <w:br/>
      </w:r>
      <w:r>
        <w:br/>
      </w:r>
      <w:bookmarkStart w:id="292" w:name="_Toc199215031"/>
      <w:r w:rsidRPr="00F50942">
        <w:t>Authorization reproduction fees</w:t>
      </w:r>
      <w:bookmarkEnd w:id="288"/>
      <w:bookmarkEnd w:id="289"/>
      <w:bookmarkEnd w:id="290"/>
      <w:bookmarkEnd w:id="291"/>
      <w:bookmarkEnd w:id="292"/>
    </w:p>
    <w:p w:rsidR="003A5252" w:rsidRPr="00F50942" w:rsidRDefault="003A5252" w:rsidP="0049484E">
      <w:pPr>
        <w:bidi w:val="0"/>
        <w:spacing w:line="240" w:lineRule="auto"/>
        <w:rPr>
          <w:szCs w:val="19"/>
        </w:rPr>
      </w:pPr>
      <w:r w:rsidRPr="00F50942">
        <w:rPr>
          <w:szCs w:val="19"/>
        </w:rPr>
        <w:t>In case the Authorization is damaged or lost, the Authorized User can apply to the TRA for reproduction of the Authorization. An advance non-refundable payment of One Hundred (100) Dirhams</w:t>
      </w:r>
      <w:r w:rsidRPr="00F50942">
        <w:rPr>
          <w:b/>
          <w:szCs w:val="19"/>
        </w:rPr>
        <w:t xml:space="preserve"> </w:t>
      </w:r>
      <w:r w:rsidRPr="00F50942">
        <w:rPr>
          <w:szCs w:val="19"/>
        </w:rPr>
        <w:t>shall be levied</w:t>
      </w:r>
      <w:r w:rsidRPr="00F50942">
        <w:rPr>
          <w:b/>
          <w:szCs w:val="19"/>
        </w:rPr>
        <w:t xml:space="preserve"> </w:t>
      </w:r>
      <w:r w:rsidRPr="00F50942">
        <w:rPr>
          <w:szCs w:val="19"/>
        </w:rPr>
        <w:t xml:space="preserve">for each Authorization requested. </w:t>
      </w:r>
    </w:p>
    <w:p w:rsidR="003A5252" w:rsidRPr="00F50942" w:rsidRDefault="003A5252" w:rsidP="0049484E">
      <w:pPr>
        <w:pStyle w:val="Arttitle"/>
        <w:spacing w:before="400"/>
      </w:pPr>
      <w:bookmarkStart w:id="293" w:name="_Toc280261831"/>
      <w:bookmarkStart w:id="294" w:name="_Toc280262329"/>
      <w:bookmarkStart w:id="295" w:name="_Toc280272723"/>
      <w:bookmarkStart w:id="296" w:name="_Toc280272902"/>
      <w:r>
        <w:t xml:space="preserve">Article </w:t>
      </w:r>
      <w:r w:rsidRPr="00F50942">
        <w:t>9</w:t>
      </w:r>
      <w:r>
        <w:br/>
      </w:r>
      <w:r>
        <w:br/>
      </w:r>
      <w:bookmarkStart w:id="297" w:name="_Toc199215032"/>
      <w:r w:rsidRPr="00F50942">
        <w:t>Authorization modification fees</w:t>
      </w:r>
      <w:bookmarkEnd w:id="293"/>
      <w:bookmarkEnd w:id="294"/>
      <w:bookmarkEnd w:id="295"/>
      <w:bookmarkEnd w:id="296"/>
      <w:bookmarkEnd w:id="297"/>
    </w:p>
    <w:p w:rsidR="003A5252" w:rsidRPr="00F50942" w:rsidRDefault="003A5252" w:rsidP="0049484E">
      <w:pPr>
        <w:bidi w:val="0"/>
        <w:spacing w:line="240" w:lineRule="auto"/>
        <w:rPr>
          <w:szCs w:val="19"/>
        </w:rPr>
      </w:pPr>
      <w:r w:rsidRPr="00F50942">
        <w:rPr>
          <w:szCs w:val="19"/>
        </w:rPr>
        <w:t xml:space="preserve">The Authorized User can apply for modification of an Authorization. Modifications of contact details in the Authorization at the time of renewal shall not be charged. Modifications of contact details in the Authorization other than the time of renewal shall require the reproduction charges. The modification of any site data or addition of Wireless Equipment, change of technical data shall require payment of application processing fees. In case the modification is approved by the TRA, the annual Spectrum Fees shall be calculated on pro-rata basis. The Authorized User shall pay the difference in advance to the TRA. If the difference is in favor of the Authorized User, no reimbursement shall be made by the TRA and the annual Spectrum Fees for subsequent year shall be calculated based on the revised fees. </w:t>
      </w:r>
    </w:p>
    <w:p w:rsidR="003A5252" w:rsidRPr="00F50942" w:rsidRDefault="003A5252" w:rsidP="0049484E">
      <w:pPr>
        <w:pStyle w:val="Arttitle"/>
        <w:spacing w:before="400"/>
      </w:pPr>
      <w:bookmarkStart w:id="298" w:name="_Toc280261832"/>
      <w:bookmarkStart w:id="299" w:name="_Toc280262330"/>
      <w:bookmarkStart w:id="300" w:name="_Toc280272724"/>
      <w:bookmarkStart w:id="301" w:name="_Toc280272903"/>
      <w:r>
        <w:t>Article 10</w:t>
      </w:r>
      <w:r>
        <w:br/>
      </w:r>
      <w:r>
        <w:br/>
      </w:r>
      <w:bookmarkStart w:id="302" w:name="_Toc199215033"/>
      <w:r w:rsidRPr="00F50942">
        <w:t>Authorization cancellation fees</w:t>
      </w:r>
      <w:bookmarkEnd w:id="298"/>
      <w:bookmarkEnd w:id="299"/>
      <w:bookmarkEnd w:id="300"/>
      <w:bookmarkEnd w:id="301"/>
      <w:bookmarkEnd w:id="302"/>
    </w:p>
    <w:p w:rsidR="0049484E" w:rsidRPr="0049484E" w:rsidRDefault="003A5252" w:rsidP="0049484E">
      <w:pPr>
        <w:bidi w:val="0"/>
        <w:spacing w:line="240" w:lineRule="auto"/>
        <w:rPr>
          <w:szCs w:val="19"/>
        </w:rPr>
      </w:pPr>
      <w:r w:rsidRPr="00F50942">
        <w:rPr>
          <w:szCs w:val="19"/>
        </w:rPr>
        <w:t xml:space="preserve">The Authorized User can apply for cancellation of the Authorization. There will be no fees for cancellation and no re-imbursements shall be made by the TRA for any balance amount. </w:t>
      </w:r>
      <w:bookmarkStart w:id="303" w:name="_Toc280261833"/>
      <w:bookmarkStart w:id="304" w:name="_Toc280262331"/>
      <w:bookmarkStart w:id="305" w:name="_Toc280272725"/>
      <w:bookmarkStart w:id="306" w:name="_Toc280272904"/>
    </w:p>
    <w:p w:rsidR="0049484E" w:rsidRPr="0049484E" w:rsidRDefault="0049484E" w:rsidP="0049484E">
      <w:pPr>
        <w:rPr>
          <w:lang w:val="en-US"/>
        </w:rPr>
        <w:sectPr w:rsidR="0049484E" w:rsidRPr="0049484E" w:rsidSect="0049484E">
          <w:headerReference w:type="even" r:id="rId22"/>
          <w:headerReference w:type="first" r:id="rId23"/>
          <w:pgSz w:w="11907" w:h="16834" w:code="9"/>
          <w:pgMar w:top="1418" w:right="1134" w:bottom="1418" w:left="1134" w:header="720" w:footer="720" w:gutter="0"/>
          <w:paperSrc w:first="7" w:other="7"/>
          <w:cols w:space="720"/>
          <w:vAlign w:val="both"/>
        </w:sectPr>
      </w:pPr>
    </w:p>
    <w:p w:rsidR="003A5252" w:rsidRPr="00F50942" w:rsidRDefault="003A5252" w:rsidP="0049484E">
      <w:pPr>
        <w:pStyle w:val="Arttitle"/>
        <w:spacing w:before="0"/>
      </w:pPr>
      <w:r>
        <w:lastRenderedPageBreak/>
        <w:t xml:space="preserve">Article </w:t>
      </w:r>
      <w:r w:rsidRPr="00F50942">
        <w:t>11</w:t>
      </w:r>
      <w:r>
        <w:br/>
      </w:r>
      <w:r>
        <w:br/>
      </w:r>
      <w:bookmarkStart w:id="307" w:name="_Toc199215034"/>
      <w:r w:rsidRPr="00F50942">
        <w:t xml:space="preserve">Spectrum Fees for </w:t>
      </w:r>
      <w:smartTag w:uri="urn:schemas-microsoft-com:office:smarttags" w:element="PlaceName">
        <w:r w:rsidRPr="00F50942">
          <w:t>Public</w:t>
        </w:r>
      </w:smartTag>
      <w:r w:rsidRPr="00F50942">
        <w:t xml:space="preserve"> </w:t>
      </w:r>
      <w:smartTag w:uri="urn:schemas-microsoft-com:office:smarttags" w:element="PlaceType">
        <w:r w:rsidRPr="00F50942">
          <w:t>Land</w:t>
        </w:r>
      </w:smartTag>
      <w:r w:rsidRPr="00F50942">
        <w:t xml:space="preserve"> </w:t>
      </w:r>
      <w:smartTag w:uri="urn:schemas-microsoft-com:office:smarttags" w:element="place">
        <w:r w:rsidRPr="00F50942">
          <w:t>Mobile</w:t>
        </w:r>
      </w:smartTag>
      <w:r w:rsidRPr="00F50942">
        <w:t xml:space="preserve"> (Cellular) Service</w:t>
      </w:r>
      <w:bookmarkEnd w:id="303"/>
      <w:bookmarkEnd w:id="304"/>
      <w:bookmarkEnd w:id="305"/>
      <w:bookmarkEnd w:id="306"/>
      <w:bookmarkEnd w:id="307"/>
    </w:p>
    <w:p w:rsidR="003A5252" w:rsidRPr="00AA5C49" w:rsidRDefault="003A5252" w:rsidP="0049484E">
      <w:pPr>
        <w:pStyle w:val="enumlev1"/>
        <w:bidi w:val="0"/>
        <w:spacing w:line="240" w:lineRule="auto"/>
        <w:rPr>
          <w:rFonts w:asciiTheme="majorBidi" w:hAnsiTheme="majorBidi" w:cstheme="majorBidi"/>
          <w:szCs w:val="19"/>
          <w:lang w:val="en-US"/>
        </w:rPr>
      </w:pPr>
      <w:r w:rsidRPr="00AA5C49">
        <w:rPr>
          <w:rFonts w:asciiTheme="majorBidi" w:hAnsiTheme="majorBidi" w:cstheme="majorBidi"/>
          <w:szCs w:val="19"/>
          <w:lang w:val="en-US"/>
        </w:rPr>
        <w:t>11.1</w:t>
      </w:r>
      <w:r w:rsidRPr="00AA5C49">
        <w:rPr>
          <w:rFonts w:asciiTheme="majorBidi" w:hAnsiTheme="majorBidi" w:cstheme="majorBidi"/>
          <w:szCs w:val="19"/>
          <w:lang w:val="en-US"/>
        </w:rPr>
        <w:tab/>
        <w:t xml:space="preserve">The Annual Spectrum Fees for the Public Land Mobile (cellular) services (including GSM, UMTS and IMT) shall be calculated as follows: </w:t>
      </w:r>
    </w:p>
    <w:p w:rsidR="003A5252" w:rsidRPr="00F50942" w:rsidRDefault="003A5252" w:rsidP="0049484E">
      <w:pPr>
        <w:bidi w:val="0"/>
        <w:spacing w:line="240" w:lineRule="auto"/>
        <w:jc w:val="center"/>
        <w:rPr>
          <w:color w:val="000000"/>
          <w:szCs w:val="19"/>
        </w:rPr>
      </w:pPr>
      <w:r w:rsidRPr="00F50942">
        <w:rPr>
          <w:b/>
          <w:color w:val="000000"/>
          <w:szCs w:val="19"/>
        </w:rPr>
        <w:t xml:space="preserve">Spectrum Price = [(P x MHz) </w:t>
      </w:r>
      <w:r w:rsidRPr="00F50942">
        <w:rPr>
          <w:b/>
          <w:color w:val="000000"/>
          <w:position w:val="10"/>
          <w:szCs w:val="19"/>
          <w:vertAlign w:val="superscript"/>
        </w:rPr>
        <w:t>EM</w:t>
      </w:r>
      <w:r w:rsidRPr="00F50942">
        <w:rPr>
          <w:b/>
          <w:color w:val="000000"/>
          <w:szCs w:val="19"/>
        </w:rPr>
        <w:t xml:space="preserve">] x [1 + (MC – CC) / CM] </w:t>
      </w:r>
      <w:r w:rsidRPr="00F50942">
        <w:rPr>
          <w:b/>
          <w:color w:val="000000"/>
          <w:position w:val="10"/>
          <w:szCs w:val="19"/>
          <w:vertAlign w:val="superscript"/>
        </w:rPr>
        <w:t xml:space="preserve">EC </w:t>
      </w:r>
    </w:p>
    <w:p w:rsidR="003A5252" w:rsidRPr="00F50942" w:rsidRDefault="003A5252" w:rsidP="0049484E">
      <w:pPr>
        <w:bidi w:val="0"/>
        <w:spacing w:before="80" w:line="240" w:lineRule="auto"/>
        <w:ind w:left="720"/>
        <w:rPr>
          <w:szCs w:val="19"/>
        </w:rPr>
      </w:pPr>
      <w:r w:rsidRPr="00F50942">
        <w:rPr>
          <w:szCs w:val="19"/>
        </w:rPr>
        <w:t xml:space="preserve">Where: </w:t>
      </w:r>
    </w:p>
    <w:p w:rsidR="003A5252" w:rsidRPr="00F50942" w:rsidRDefault="003A5252" w:rsidP="0049484E">
      <w:pPr>
        <w:bidi w:val="0"/>
        <w:spacing w:before="80" w:line="240" w:lineRule="auto"/>
        <w:ind w:left="720"/>
        <w:rPr>
          <w:szCs w:val="19"/>
        </w:rPr>
      </w:pPr>
      <w:r w:rsidRPr="00F50942">
        <w:rPr>
          <w:b/>
          <w:szCs w:val="19"/>
        </w:rPr>
        <w:t xml:space="preserve">P = </w:t>
      </w:r>
      <w:r w:rsidRPr="00F50942">
        <w:rPr>
          <w:szCs w:val="19"/>
        </w:rPr>
        <w:t xml:space="preserve">Price per MHz, presently set at 3,500,000.00 AED ( Three Million Five Hundred Thousand) per year </w:t>
      </w:r>
      <w:r w:rsidRPr="00F0529E">
        <w:rPr>
          <w:color w:val="000000"/>
          <w:szCs w:val="19"/>
        </w:rPr>
        <w:t>based</w:t>
      </w:r>
      <w:r w:rsidRPr="00F50942">
        <w:rPr>
          <w:szCs w:val="19"/>
        </w:rPr>
        <w:t xml:space="preserve"> on market study. The TRA may conduct a market study at appropriate intervals to review this price.  </w:t>
      </w:r>
    </w:p>
    <w:p w:rsidR="003A5252" w:rsidRPr="00F50942" w:rsidRDefault="003A5252" w:rsidP="0049484E">
      <w:pPr>
        <w:bidi w:val="0"/>
        <w:spacing w:before="80" w:line="240" w:lineRule="auto"/>
        <w:ind w:left="720"/>
        <w:rPr>
          <w:szCs w:val="19"/>
        </w:rPr>
      </w:pPr>
      <w:r w:rsidRPr="00F50942">
        <w:rPr>
          <w:b/>
          <w:szCs w:val="19"/>
        </w:rPr>
        <w:t>MHz</w:t>
      </w:r>
      <w:r w:rsidRPr="00F50942">
        <w:rPr>
          <w:szCs w:val="19"/>
        </w:rPr>
        <w:t>= Assigned Bandwidth (of Cellular service) where for duplex assignment of 2x20 MHz shall be taken as 40 MHz. Combined Bandwidth of GSM 900/1800 shall be used for each Licensed Operator. The bandwidth for UMTS and other IMT shall be charged separately.</w:t>
      </w:r>
    </w:p>
    <w:p w:rsidR="003A5252" w:rsidRPr="00F50942" w:rsidRDefault="003A5252" w:rsidP="0049484E">
      <w:pPr>
        <w:bidi w:val="0"/>
        <w:spacing w:before="80" w:line="240" w:lineRule="auto"/>
        <w:ind w:left="720"/>
        <w:rPr>
          <w:szCs w:val="19"/>
        </w:rPr>
      </w:pPr>
      <w:r w:rsidRPr="00F50942">
        <w:rPr>
          <w:b/>
          <w:szCs w:val="19"/>
        </w:rPr>
        <w:t>CC</w:t>
      </w:r>
      <w:r w:rsidRPr="00F50942">
        <w:rPr>
          <w:szCs w:val="19"/>
        </w:rPr>
        <w:t xml:space="preserve">= </w:t>
      </w:r>
      <w:r w:rsidRPr="00F0529E">
        <w:rPr>
          <w:color w:val="000000"/>
          <w:szCs w:val="19"/>
        </w:rPr>
        <w:t>Current</w:t>
      </w:r>
      <w:r w:rsidRPr="00F50942">
        <w:rPr>
          <w:szCs w:val="19"/>
        </w:rPr>
        <w:t xml:space="preserve"> Coverage of the operator in number of inhabitants covered by the radio network. </w:t>
      </w:r>
    </w:p>
    <w:p w:rsidR="003A5252" w:rsidRPr="00F50942" w:rsidRDefault="003A5252" w:rsidP="0049484E">
      <w:pPr>
        <w:bidi w:val="0"/>
        <w:spacing w:before="80" w:line="240" w:lineRule="auto"/>
        <w:ind w:left="720"/>
        <w:rPr>
          <w:szCs w:val="19"/>
        </w:rPr>
      </w:pPr>
      <w:r w:rsidRPr="00F50942">
        <w:rPr>
          <w:b/>
          <w:szCs w:val="19"/>
        </w:rPr>
        <w:t>CM</w:t>
      </w:r>
      <w:r w:rsidRPr="00F50942">
        <w:rPr>
          <w:szCs w:val="19"/>
        </w:rPr>
        <w:t xml:space="preserve">= </w:t>
      </w:r>
      <w:r w:rsidRPr="00F0529E">
        <w:rPr>
          <w:color w:val="000000"/>
          <w:szCs w:val="19"/>
        </w:rPr>
        <w:t>Maximum</w:t>
      </w:r>
      <w:r w:rsidRPr="00F50942">
        <w:rPr>
          <w:szCs w:val="19"/>
        </w:rPr>
        <w:t xml:space="preserve"> coverage in UAE is set as 4,912,000 inhabitants of UAE based on projected information from Ministry of Planning and shall be revised on results of Census or after three years from the date of this Policy.  </w:t>
      </w:r>
    </w:p>
    <w:p w:rsidR="003A5252" w:rsidRPr="00F50942" w:rsidRDefault="003A5252" w:rsidP="0049484E">
      <w:pPr>
        <w:bidi w:val="0"/>
        <w:spacing w:before="80" w:line="240" w:lineRule="auto"/>
        <w:ind w:left="720"/>
        <w:rPr>
          <w:szCs w:val="19"/>
        </w:rPr>
      </w:pPr>
      <w:r w:rsidRPr="00F50942">
        <w:rPr>
          <w:b/>
          <w:szCs w:val="19"/>
        </w:rPr>
        <w:t>MC</w:t>
      </w:r>
      <w:r w:rsidRPr="00F50942">
        <w:rPr>
          <w:szCs w:val="19"/>
        </w:rPr>
        <w:t xml:space="preserve">= </w:t>
      </w:r>
      <w:r w:rsidRPr="00F0529E">
        <w:rPr>
          <w:color w:val="000000"/>
          <w:szCs w:val="19"/>
        </w:rPr>
        <w:t>Minimum</w:t>
      </w:r>
      <w:r w:rsidRPr="00F50942">
        <w:rPr>
          <w:szCs w:val="19"/>
        </w:rPr>
        <w:t xml:space="preserve"> coverage which is set as 2,063,040 inhabitants of UAE (42% of the CM value). </w:t>
      </w:r>
    </w:p>
    <w:p w:rsidR="003A5252" w:rsidRPr="00F50942" w:rsidRDefault="003A5252" w:rsidP="0049484E">
      <w:pPr>
        <w:bidi w:val="0"/>
        <w:spacing w:before="80" w:line="240" w:lineRule="auto"/>
        <w:ind w:left="720"/>
        <w:rPr>
          <w:szCs w:val="19"/>
        </w:rPr>
      </w:pPr>
      <w:r w:rsidRPr="00F50942">
        <w:rPr>
          <w:b/>
          <w:szCs w:val="19"/>
        </w:rPr>
        <w:t>EC</w:t>
      </w:r>
      <w:r w:rsidRPr="00F50942">
        <w:rPr>
          <w:szCs w:val="19"/>
        </w:rPr>
        <w:t xml:space="preserve">= </w:t>
      </w:r>
      <w:r w:rsidRPr="00F0529E">
        <w:rPr>
          <w:color w:val="000000"/>
          <w:szCs w:val="19"/>
        </w:rPr>
        <w:t>Efficient</w:t>
      </w:r>
      <w:r w:rsidRPr="00F50942">
        <w:rPr>
          <w:szCs w:val="19"/>
        </w:rPr>
        <w:t xml:space="preserve"> Factor for coverage, calculated as EC= 1 + (CC/MC). </w:t>
      </w:r>
    </w:p>
    <w:p w:rsidR="003A5252" w:rsidRPr="00F50942" w:rsidRDefault="003A5252" w:rsidP="0049484E">
      <w:pPr>
        <w:bidi w:val="0"/>
        <w:spacing w:before="80" w:line="240" w:lineRule="auto"/>
        <w:ind w:left="720"/>
        <w:rPr>
          <w:szCs w:val="19"/>
        </w:rPr>
      </w:pPr>
      <w:r w:rsidRPr="00F50942">
        <w:rPr>
          <w:b/>
          <w:szCs w:val="19"/>
        </w:rPr>
        <w:t>EM</w:t>
      </w:r>
      <w:r w:rsidRPr="00F50942">
        <w:rPr>
          <w:szCs w:val="19"/>
        </w:rPr>
        <w:t xml:space="preserve">= </w:t>
      </w:r>
      <w:r w:rsidRPr="00F0529E">
        <w:rPr>
          <w:color w:val="000000"/>
          <w:szCs w:val="19"/>
        </w:rPr>
        <w:t>Efficiency</w:t>
      </w:r>
      <w:r w:rsidRPr="00F50942">
        <w:rPr>
          <w:szCs w:val="19"/>
        </w:rPr>
        <w:t xml:space="preserve"> factor for MHz, calculated as EM= 1 + (MHz/982.4) </w:t>
      </w:r>
    </w:p>
    <w:p w:rsidR="003A5252" w:rsidRPr="00F50942" w:rsidRDefault="003A5252" w:rsidP="0049484E">
      <w:pPr>
        <w:bidi w:val="0"/>
        <w:spacing w:before="80" w:line="240" w:lineRule="auto"/>
        <w:ind w:left="720"/>
        <w:rPr>
          <w:szCs w:val="19"/>
        </w:rPr>
      </w:pPr>
      <w:r w:rsidRPr="00F50942">
        <w:rPr>
          <w:szCs w:val="19"/>
        </w:rPr>
        <w:t xml:space="preserve">982.4 </w:t>
      </w:r>
      <w:r w:rsidRPr="00F0529E">
        <w:rPr>
          <w:color w:val="000000"/>
          <w:szCs w:val="19"/>
        </w:rPr>
        <w:t>represent</w:t>
      </w:r>
      <w:r w:rsidRPr="00F50942">
        <w:rPr>
          <w:szCs w:val="19"/>
        </w:rPr>
        <w:t xml:space="preserve"> a value corresponding to 4.912 Million population of UAE. </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szCs w:val="22"/>
          <w:lang w:val="en-US"/>
        </w:rPr>
        <w:t>11.2</w:t>
      </w:r>
      <w:r w:rsidRPr="00AA5C49">
        <w:rPr>
          <w:rFonts w:asciiTheme="majorBidi" w:hAnsiTheme="majorBidi" w:cstheme="majorBidi"/>
          <w:szCs w:val="22"/>
          <w:lang w:val="en-US"/>
        </w:rPr>
        <w:tab/>
        <w:t xml:space="preserve">The TRA regulations and guidelines for determination of the factors like coverage for calculation of Fees for Public Land Mobile (cellular) services shall apply. </w:t>
      </w:r>
    </w:p>
    <w:p w:rsidR="003A5252" w:rsidRPr="00F50942" w:rsidRDefault="003A5252" w:rsidP="0049484E">
      <w:pPr>
        <w:pStyle w:val="Arttitle"/>
      </w:pPr>
      <w:bookmarkStart w:id="308" w:name="_Toc280261834"/>
      <w:bookmarkStart w:id="309" w:name="_Toc280262332"/>
      <w:bookmarkStart w:id="310" w:name="_Toc280272726"/>
      <w:bookmarkStart w:id="311" w:name="_Toc280272905"/>
      <w:r>
        <w:t xml:space="preserve">Article </w:t>
      </w:r>
      <w:r w:rsidRPr="00F50942">
        <w:t>12</w:t>
      </w:r>
      <w:r>
        <w:br/>
      </w:r>
      <w:r>
        <w:br/>
      </w:r>
      <w:bookmarkStart w:id="312" w:name="_Toc199215035"/>
      <w:r w:rsidRPr="00F50942">
        <w:t>Spectrum Fees for Private Mobile Radio, paging and trunking</w:t>
      </w:r>
      <w:bookmarkEnd w:id="308"/>
      <w:bookmarkEnd w:id="309"/>
      <w:bookmarkEnd w:id="310"/>
      <w:bookmarkEnd w:id="311"/>
      <w:bookmarkEnd w:id="312"/>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szCs w:val="22"/>
          <w:lang w:val="en-US"/>
        </w:rPr>
        <w:t>12.1</w:t>
      </w:r>
      <w:r w:rsidRPr="00AA5C49">
        <w:rPr>
          <w:rFonts w:asciiTheme="majorBidi" w:hAnsiTheme="majorBidi" w:cstheme="majorBidi"/>
          <w:szCs w:val="22"/>
          <w:lang w:val="en-US"/>
        </w:rPr>
        <w:tab/>
        <w:t xml:space="preserve">The Annual Spectrum Fees for Private Mobile Radio shall be calculated as follows: </w:t>
      </w:r>
    </w:p>
    <w:p w:rsidR="003A5252" w:rsidRPr="00F50942" w:rsidRDefault="003A5252" w:rsidP="0049484E">
      <w:pPr>
        <w:bidi w:val="0"/>
        <w:spacing w:line="240" w:lineRule="auto"/>
        <w:jc w:val="center"/>
        <w:rPr>
          <w:color w:val="000000"/>
          <w:szCs w:val="19"/>
        </w:rPr>
      </w:pPr>
      <w:r w:rsidRPr="00F50942">
        <w:rPr>
          <w:b/>
          <w:color w:val="000000"/>
          <w:szCs w:val="19"/>
        </w:rPr>
        <w:t xml:space="preserve">Spectrum Price = NC x CF + SUM (WE x 500 x PF) </w:t>
      </w:r>
    </w:p>
    <w:p w:rsidR="003A5252" w:rsidRPr="00F50942" w:rsidRDefault="003A5252" w:rsidP="0049484E">
      <w:pPr>
        <w:bidi w:val="0"/>
        <w:spacing w:before="80" w:line="240" w:lineRule="auto"/>
        <w:ind w:left="720"/>
        <w:rPr>
          <w:color w:val="000000"/>
          <w:szCs w:val="19"/>
        </w:rPr>
      </w:pPr>
      <w:r w:rsidRPr="00F50942">
        <w:rPr>
          <w:color w:val="000000"/>
          <w:szCs w:val="19"/>
        </w:rPr>
        <w:t xml:space="preserve">Where: </w:t>
      </w:r>
    </w:p>
    <w:p w:rsidR="003A5252" w:rsidRPr="00F50942" w:rsidRDefault="003A5252" w:rsidP="0049484E">
      <w:pPr>
        <w:bidi w:val="0"/>
        <w:spacing w:before="80" w:line="240" w:lineRule="auto"/>
        <w:ind w:left="720"/>
        <w:rPr>
          <w:color w:val="000000"/>
          <w:szCs w:val="19"/>
        </w:rPr>
      </w:pPr>
      <w:r w:rsidRPr="00F50942">
        <w:rPr>
          <w:b/>
          <w:color w:val="000000"/>
          <w:szCs w:val="19"/>
        </w:rPr>
        <w:t xml:space="preserve">NC= </w:t>
      </w:r>
      <w:r w:rsidRPr="00F50942">
        <w:rPr>
          <w:color w:val="000000"/>
          <w:szCs w:val="19"/>
        </w:rPr>
        <w:t xml:space="preserve">Number of Channels (12.5 kHz bandwidth equivalents each) that will be assigned to the user. </w:t>
      </w:r>
    </w:p>
    <w:p w:rsidR="003A5252" w:rsidRPr="00F50942" w:rsidRDefault="003A5252" w:rsidP="0049484E">
      <w:pPr>
        <w:bidi w:val="0"/>
        <w:spacing w:before="80" w:line="240" w:lineRule="auto"/>
        <w:ind w:left="720"/>
        <w:rPr>
          <w:color w:val="000000"/>
          <w:szCs w:val="19"/>
        </w:rPr>
      </w:pPr>
      <w:r w:rsidRPr="00F50942">
        <w:rPr>
          <w:b/>
          <w:color w:val="000000"/>
          <w:szCs w:val="19"/>
        </w:rPr>
        <w:t xml:space="preserve">WE = </w:t>
      </w:r>
      <w:r w:rsidRPr="00F50942">
        <w:rPr>
          <w:color w:val="000000"/>
          <w:szCs w:val="19"/>
        </w:rPr>
        <w:t xml:space="preserve">Wireless Equipment authorized (including handhelds) will be included in the calculation. </w:t>
      </w:r>
    </w:p>
    <w:p w:rsidR="003A5252" w:rsidRPr="00F50942" w:rsidRDefault="003A5252" w:rsidP="0049484E">
      <w:pPr>
        <w:bidi w:val="0"/>
        <w:spacing w:before="80" w:line="240" w:lineRule="auto"/>
        <w:ind w:left="720"/>
        <w:rPr>
          <w:color w:val="000000"/>
          <w:szCs w:val="19"/>
        </w:rPr>
      </w:pPr>
      <w:r w:rsidRPr="00F50942">
        <w:rPr>
          <w:b/>
          <w:color w:val="000000"/>
          <w:szCs w:val="19"/>
        </w:rPr>
        <w:t xml:space="preserve">SUM (WE x 500 x PF) = </w:t>
      </w:r>
      <w:r w:rsidRPr="00F50942">
        <w:rPr>
          <w:color w:val="000000"/>
          <w:szCs w:val="19"/>
        </w:rPr>
        <w:t xml:space="preserve">Total sum of (each Wireless Equipment authorized multiplied by 500 multiplied by Power Factor). </w:t>
      </w:r>
    </w:p>
    <w:p w:rsidR="003A5252" w:rsidRDefault="003A5252" w:rsidP="0049484E">
      <w:pPr>
        <w:bidi w:val="0"/>
        <w:spacing w:before="80" w:line="240" w:lineRule="auto"/>
        <w:ind w:left="720"/>
        <w:rPr>
          <w:color w:val="000000"/>
          <w:szCs w:val="19"/>
        </w:rPr>
      </w:pPr>
      <w:r w:rsidRPr="00F50942">
        <w:rPr>
          <w:b/>
          <w:color w:val="000000"/>
          <w:szCs w:val="19"/>
        </w:rPr>
        <w:t xml:space="preserve">PF= </w:t>
      </w:r>
      <w:r w:rsidRPr="00F50942">
        <w:rPr>
          <w:color w:val="000000"/>
          <w:szCs w:val="19"/>
        </w:rPr>
        <w:t xml:space="preserve">Power Factor depending on the authorized radiated power of the Equipment which will be determined as follows: </w:t>
      </w:r>
    </w:p>
    <w:p w:rsidR="003A5252" w:rsidRPr="00F50942" w:rsidRDefault="003A5252" w:rsidP="00E60699">
      <w:pPr>
        <w:bidi w:val="0"/>
        <w:spacing w:before="0"/>
        <w:ind w:left="720"/>
        <w:rPr>
          <w:color w:val="000000"/>
          <w:szCs w:val="19"/>
        </w:rPr>
      </w:pPr>
    </w:p>
    <w:p w:rsidR="003A5252" w:rsidRPr="00F50942" w:rsidRDefault="003A5252" w:rsidP="0049484E">
      <w:pPr>
        <w:pStyle w:val="FigureTitle"/>
        <w:pBdr>
          <w:top w:val="single" w:sz="12" w:space="10" w:color="auto"/>
        </w:pBdr>
        <w:spacing w:line="120" w:lineRule="auto"/>
      </w:pPr>
    </w:p>
    <w:tbl>
      <w:tblPr>
        <w:tblW w:w="0" w:type="auto"/>
        <w:jc w:val="center"/>
        <w:tblInd w:w="900" w:type="dxa"/>
        <w:tblBorders>
          <w:top w:val="nil"/>
          <w:left w:val="nil"/>
          <w:bottom w:val="nil"/>
          <w:right w:val="nil"/>
        </w:tblBorders>
        <w:tblLook w:val="0000"/>
      </w:tblPr>
      <w:tblGrid>
        <w:gridCol w:w="815"/>
        <w:gridCol w:w="1555"/>
        <w:gridCol w:w="931"/>
        <w:gridCol w:w="1167"/>
        <w:gridCol w:w="1222"/>
        <w:gridCol w:w="782"/>
      </w:tblGrid>
      <w:tr w:rsidR="003A5252" w:rsidRPr="00F50942"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head"/>
              <w:rPr>
                <w:rFonts w:asciiTheme="majorBidi" w:hAnsiTheme="majorBidi" w:cstheme="majorBidi"/>
                <w:szCs w:val="22"/>
              </w:rPr>
            </w:pPr>
            <w:r w:rsidRPr="00AA5846">
              <w:rPr>
                <w:rFonts w:asciiTheme="majorBidi" w:hAnsiTheme="majorBidi" w:cstheme="majorBidi"/>
                <w:szCs w:val="22"/>
              </w:rPr>
              <w:t xml:space="preserve">Power </w:t>
            </w:r>
          </w:p>
        </w:tc>
        <w:tc>
          <w:tcPr>
            <w:tcW w:w="0" w:type="auto"/>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head"/>
              <w:rPr>
                <w:rFonts w:asciiTheme="majorBidi" w:hAnsiTheme="majorBidi" w:cstheme="majorBidi"/>
                <w:szCs w:val="22"/>
              </w:rPr>
            </w:pPr>
            <w:r w:rsidRPr="00AA5846">
              <w:rPr>
                <w:rFonts w:asciiTheme="majorBidi" w:hAnsiTheme="majorBidi" w:cstheme="majorBidi"/>
                <w:szCs w:val="22"/>
              </w:rPr>
              <w:t>Less than 1 W</w:t>
            </w:r>
          </w:p>
        </w:tc>
        <w:tc>
          <w:tcPr>
            <w:tcW w:w="0" w:type="auto"/>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head"/>
              <w:rPr>
                <w:rFonts w:asciiTheme="majorBidi" w:hAnsiTheme="majorBidi" w:cstheme="majorBidi"/>
                <w:szCs w:val="22"/>
              </w:rPr>
            </w:pPr>
            <w:r w:rsidRPr="00AA5846">
              <w:rPr>
                <w:rFonts w:asciiTheme="majorBidi" w:hAnsiTheme="majorBidi" w:cstheme="majorBidi"/>
                <w:szCs w:val="22"/>
              </w:rPr>
              <w:t xml:space="preserve">1 – 5 W </w:t>
            </w:r>
          </w:p>
        </w:tc>
        <w:tc>
          <w:tcPr>
            <w:tcW w:w="0" w:type="auto"/>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head"/>
              <w:rPr>
                <w:rFonts w:asciiTheme="majorBidi" w:hAnsiTheme="majorBidi" w:cstheme="majorBidi"/>
                <w:szCs w:val="22"/>
              </w:rPr>
            </w:pPr>
            <w:r w:rsidRPr="00AA5846">
              <w:rPr>
                <w:rFonts w:asciiTheme="majorBidi" w:hAnsiTheme="majorBidi" w:cstheme="majorBidi"/>
                <w:szCs w:val="22"/>
              </w:rPr>
              <w:t xml:space="preserve">&gt;5 – 10 W </w:t>
            </w:r>
          </w:p>
        </w:tc>
        <w:tc>
          <w:tcPr>
            <w:tcW w:w="0" w:type="auto"/>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head"/>
              <w:rPr>
                <w:rFonts w:asciiTheme="majorBidi" w:hAnsiTheme="majorBidi" w:cstheme="majorBidi"/>
                <w:szCs w:val="22"/>
              </w:rPr>
            </w:pPr>
            <w:r w:rsidRPr="00AA5846">
              <w:rPr>
                <w:rFonts w:asciiTheme="majorBidi" w:hAnsiTheme="majorBidi" w:cstheme="majorBidi"/>
                <w:szCs w:val="22"/>
              </w:rPr>
              <w:t xml:space="preserve">&gt;10 – 20W </w:t>
            </w:r>
          </w:p>
        </w:tc>
        <w:tc>
          <w:tcPr>
            <w:tcW w:w="0" w:type="auto"/>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head"/>
              <w:rPr>
                <w:rFonts w:asciiTheme="majorBidi" w:hAnsiTheme="majorBidi" w:cstheme="majorBidi"/>
                <w:szCs w:val="22"/>
              </w:rPr>
            </w:pPr>
            <w:r w:rsidRPr="00AA5846">
              <w:rPr>
                <w:rFonts w:asciiTheme="majorBidi" w:hAnsiTheme="majorBidi" w:cstheme="majorBidi"/>
                <w:szCs w:val="22"/>
              </w:rPr>
              <w:t xml:space="preserve">&gt;20W </w:t>
            </w:r>
          </w:p>
        </w:tc>
      </w:tr>
      <w:tr w:rsidR="003A5252" w:rsidRPr="00F50942"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text"/>
              <w:rPr>
                <w:rFonts w:asciiTheme="majorBidi" w:hAnsiTheme="majorBidi" w:cstheme="majorBidi"/>
                <w:szCs w:val="22"/>
              </w:rPr>
            </w:pPr>
            <w:r w:rsidRPr="00AA5846">
              <w:rPr>
                <w:rFonts w:asciiTheme="majorBidi" w:hAnsiTheme="majorBidi" w:cstheme="majorBidi"/>
                <w:szCs w:val="22"/>
              </w:rPr>
              <w:t>PF</w:t>
            </w:r>
          </w:p>
        </w:tc>
        <w:tc>
          <w:tcPr>
            <w:tcW w:w="0" w:type="auto"/>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text"/>
              <w:rPr>
                <w:rFonts w:asciiTheme="majorBidi" w:hAnsiTheme="majorBidi" w:cstheme="majorBidi"/>
                <w:szCs w:val="22"/>
              </w:rPr>
            </w:pPr>
            <w:r w:rsidRPr="00AA5846">
              <w:rPr>
                <w:rFonts w:asciiTheme="majorBidi" w:hAnsiTheme="majorBidi" w:cstheme="majorBidi"/>
                <w:szCs w:val="22"/>
              </w:rPr>
              <w:t>0.25</w:t>
            </w:r>
          </w:p>
        </w:tc>
        <w:tc>
          <w:tcPr>
            <w:tcW w:w="0" w:type="auto"/>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text"/>
              <w:rPr>
                <w:rFonts w:asciiTheme="majorBidi" w:hAnsiTheme="majorBidi" w:cstheme="majorBidi"/>
                <w:szCs w:val="22"/>
              </w:rPr>
            </w:pPr>
            <w:r w:rsidRPr="00AA5846">
              <w:rPr>
                <w:rFonts w:asciiTheme="majorBidi" w:hAnsiTheme="majorBidi" w:cstheme="majorBidi"/>
                <w:szCs w:val="22"/>
              </w:rPr>
              <w:t>1</w:t>
            </w:r>
          </w:p>
        </w:tc>
        <w:tc>
          <w:tcPr>
            <w:tcW w:w="0" w:type="auto"/>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text"/>
              <w:rPr>
                <w:rFonts w:asciiTheme="majorBidi" w:hAnsiTheme="majorBidi" w:cstheme="majorBidi"/>
                <w:szCs w:val="22"/>
              </w:rPr>
            </w:pPr>
            <w:r w:rsidRPr="00AA5846">
              <w:rPr>
                <w:rFonts w:asciiTheme="majorBidi" w:hAnsiTheme="majorBidi" w:cstheme="majorBidi"/>
                <w:szCs w:val="22"/>
              </w:rPr>
              <w:t>2</w:t>
            </w:r>
          </w:p>
        </w:tc>
        <w:tc>
          <w:tcPr>
            <w:tcW w:w="0" w:type="auto"/>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text"/>
              <w:rPr>
                <w:rFonts w:asciiTheme="majorBidi" w:hAnsiTheme="majorBidi" w:cstheme="majorBidi"/>
                <w:szCs w:val="22"/>
              </w:rPr>
            </w:pPr>
            <w:r w:rsidRPr="00AA5846">
              <w:rPr>
                <w:rFonts w:asciiTheme="majorBidi" w:hAnsiTheme="majorBidi" w:cstheme="majorBidi"/>
                <w:szCs w:val="22"/>
              </w:rPr>
              <w:t>3</w:t>
            </w:r>
          </w:p>
        </w:tc>
        <w:tc>
          <w:tcPr>
            <w:tcW w:w="0" w:type="auto"/>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text"/>
              <w:rPr>
                <w:rFonts w:asciiTheme="majorBidi" w:hAnsiTheme="majorBidi" w:cstheme="majorBidi"/>
                <w:szCs w:val="22"/>
              </w:rPr>
            </w:pPr>
            <w:r w:rsidRPr="00AA5846">
              <w:rPr>
                <w:rFonts w:asciiTheme="majorBidi" w:hAnsiTheme="majorBidi" w:cstheme="majorBidi"/>
                <w:szCs w:val="22"/>
              </w:rPr>
              <w:t>4</w:t>
            </w:r>
          </w:p>
        </w:tc>
      </w:tr>
    </w:tbl>
    <w:p w:rsidR="003A5252" w:rsidRPr="00F50942" w:rsidRDefault="003A5252" w:rsidP="0049484E">
      <w:pPr>
        <w:pStyle w:val="FigureSource"/>
        <w:keepLines/>
        <w:pBdr>
          <w:bottom w:val="single" w:sz="12" w:space="10" w:color="000000"/>
        </w:pBdr>
        <w:spacing w:line="120" w:lineRule="auto"/>
        <w:ind w:left="0" w:firstLine="0"/>
      </w:pPr>
    </w:p>
    <w:p w:rsidR="00E60699" w:rsidRDefault="00E60699">
      <w:pPr>
        <w:tabs>
          <w:tab w:val="clear" w:pos="794"/>
          <w:tab w:val="clear" w:pos="1191"/>
          <w:tab w:val="clear" w:pos="1588"/>
          <w:tab w:val="clear" w:pos="1985"/>
        </w:tabs>
        <w:overflowPunct/>
        <w:autoSpaceDE/>
        <w:autoSpaceDN/>
        <w:bidi w:val="0"/>
        <w:adjustRightInd/>
        <w:spacing w:before="0" w:line="240" w:lineRule="auto"/>
        <w:jc w:val="left"/>
        <w:textAlignment w:val="auto"/>
        <w:rPr>
          <w:b/>
          <w:color w:val="000000"/>
          <w:szCs w:val="19"/>
        </w:rPr>
      </w:pPr>
      <w:r>
        <w:rPr>
          <w:b/>
          <w:color w:val="000000"/>
          <w:szCs w:val="19"/>
        </w:rPr>
        <w:br w:type="page"/>
      </w:r>
    </w:p>
    <w:p w:rsidR="003A5252" w:rsidRPr="00F50942" w:rsidRDefault="003A5252" w:rsidP="0049484E">
      <w:pPr>
        <w:bidi w:val="0"/>
        <w:spacing w:line="240" w:lineRule="auto"/>
        <w:ind w:left="720"/>
        <w:rPr>
          <w:color w:val="000000"/>
          <w:szCs w:val="19"/>
        </w:rPr>
      </w:pPr>
      <w:r w:rsidRPr="00F50942">
        <w:rPr>
          <w:b/>
          <w:color w:val="000000"/>
          <w:szCs w:val="19"/>
        </w:rPr>
        <w:lastRenderedPageBreak/>
        <w:t xml:space="preserve">CF= </w:t>
      </w:r>
      <w:r w:rsidRPr="00F50942">
        <w:rPr>
          <w:color w:val="000000"/>
          <w:szCs w:val="19"/>
        </w:rPr>
        <w:t xml:space="preserve">Coverage Factor depending on the geographical area which will be determined as follows: </w:t>
      </w:r>
    </w:p>
    <w:p w:rsidR="003A5252" w:rsidRDefault="003A5252" w:rsidP="00E60699">
      <w:pPr>
        <w:bidi w:val="0"/>
        <w:ind w:left="720"/>
        <w:rPr>
          <w:color w:val="000000"/>
          <w:szCs w:val="19"/>
        </w:rPr>
      </w:pPr>
    </w:p>
    <w:p w:rsidR="003A5252" w:rsidRPr="00F50942" w:rsidRDefault="003A5252" w:rsidP="00EE251B">
      <w:pPr>
        <w:pStyle w:val="FigureTitle"/>
        <w:pBdr>
          <w:top w:val="single" w:sz="12" w:space="10" w:color="000000"/>
        </w:pBdr>
      </w:pPr>
    </w:p>
    <w:tbl>
      <w:tblPr>
        <w:tblW w:w="0" w:type="auto"/>
        <w:jc w:val="center"/>
        <w:tblInd w:w="900" w:type="dxa"/>
        <w:tblBorders>
          <w:top w:val="nil"/>
          <w:left w:val="nil"/>
          <w:bottom w:val="nil"/>
          <w:right w:val="nil"/>
        </w:tblBorders>
        <w:tblLook w:val="0000"/>
      </w:tblPr>
      <w:tblGrid>
        <w:gridCol w:w="681"/>
        <w:gridCol w:w="1475"/>
        <w:gridCol w:w="1523"/>
        <w:gridCol w:w="3268"/>
        <w:gridCol w:w="817"/>
      </w:tblGrid>
      <w:tr w:rsidR="003A5252" w:rsidRPr="00F50942"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head"/>
              <w:rPr>
                <w:rFonts w:asciiTheme="majorBidi" w:hAnsiTheme="majorBidi" w:cstheme="majorBidi"/>
                <w:szCs w:val="22"/>
              </w:rPr>
            </w:pPr>
            <w:r w:rsidRPr="00AA5846">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head"/>
              <w:rPr>
                <w:rFonts w:asciiTheme="majorBidi" w:hAnsiTheme="majorBidi" w:cstheme="majorBidi"/>
                <w:szCs w:val="22"/>
              </w:rPr>
            </w:pPr>
            <w:r w:rsidRPr="00AA5846">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head"/>
              <w:rPr>
                <w:rFonts w:asciiTheme="majorBidi" w:hAnsiTheme="majorBidi" w:cstheme="majorBidi"/>
                <w:szCs w:val="22"/>
              </w:rPr>
            </w:pPr>
            <w:r w:rsidRPr="00AA5846">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head"/>
              <w:rPr>
                <w:rFonts w:asciiTheme="majorBidi" w:hAnsiTheme="majorBidi" w:cstheme="majorBidi"/>
                <w:szCs w:val="22"/>
              </w:rPr>
            </w:pPr>
            <w:r w:rsidRPr="00AA5846">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head"/>
              <w:rPr>
                <w:rFonts w:asciiTheme="majorBidi" w:hAnsiTheme="majorBidi" w:cstheme="majorBidi"/>
                <w:szCs w:val="22"/>
              </w:rPr>
            </w:pPr>
            <w:r w:rsidRPr="00AA5846">
              <w:rPr>
                <w:rFonts w:asciiTheme="majorBidi" w:hAnsiTheme="majorBidi" w:cstheme="majorBidi"/>
                <w:szCs w:val="22"/>
              </w:rPr>
              <w:t xml:space="preserve">All UAE </w:t>
            </w:r>
          </w:p>
        </w:tc>
      </w:tr>
      <w:tr w:rsidR="003A5252" w:rsidRPr="00F50942"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text"/>
              <w:rPr>
                <w:rFonts w:asciiTheme="majorBidi" w:hAnsiTheme="majorBidi" w:cstheme="majorBidi"/>
                <w:szCs w:val="22"/>
              </w:rPr>
            </w:pPr>
            <w:r w:rsidRPr="00AA5846">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text"/>
              <w:rPr>
                <w:rFonts w:asciiTheme="majorBidi" w:hAnsiTheme="majorBidi" w:cstheme="majorBidi"/>
                <w:szCs w:val="22"/>
              </w:rPr>
            </w:pPr>
            <w:r w:rsidRPr="00AA5846">
              <w:rPr>
                <w:rFonts w:asciiTheme="majorBidi" w:hAnsiTheme="majorBidi" w:cstheme="majorBidi"/>
                <w:szCs w:val="22"/>
              </w:rPr>
              <w:t xml:space="preserve">100 </w:t>
            </w:r>
          </w:p>
        </w:tc>
        <w:tc>
          <w:tcPr>
            <w:tcW w:w="1523" w:type="dxa"/>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text"/>
              <w:rPr>
                <w:rFonts w:asciiTheme="majorBidi" w:hAnsiTheme="majorBidi" w:cstheme="majorBidi"/>
                <w:szCs w:val="22"/>
              </w:rPr>
            </w:pPr>
            <w:r w:rsidRPr="00AA5846">
              <w:rPr>
                <w:rFonts w:asciiTheme="majorBidi" w:hAnsiTheme="majorBidi" w:cstheme="majorBidi"/>
                <w:szCs w:val="22"/>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text"/>
              <w:rPr>
                <w:rFonts w:asciiTheme="majorBidi" w:hAnsiTheme="majorBidi" w:cstheme="majorBidi"/>
                <w:szCs w:val="22"/>
              </w:rPr>
            </w:pPr>
            <w:r w:rsidRPr="00AA5846">
              <w:rPr>
                <w:rFonts w:asciiTheme="majorBidi" w:hAnsiTheme="majorBidi" w:cstheme="majorBidi"/>
                <w:szCs w:val="22"/>
              </w:rPr>
              <w:t>2000 for Abu Dhabi or Dubai</w:t>
            </w:r>
          </w:p>
          <w:p w:rsidR="003A5252" w:rsidRPr="00AA5846" w:rsidRDefault="003A5252" w:rsidP="00E60699">
            <w:pPr>
              <w:pStyle w:val="Tabletext"/>
              <w:rPr>
                <w:rFonts w:asciiTheme="majorBidi" w:hAnsiTheme="majorBidi" w:cstheme="majorBidi"/>
                <w:szCs w:val="22"/>
              </w:rPr>
            </w:pPr>
            <w:r w:rsidRPr="00AA5846">
              <w:rPr>
                <w:rFonts w:asciiTheme="majorBidi" w:hAnsiTheme="majorBidi" w:cstheme="majorBidi"/>
                <w:szCs w:val="22"/>
              </w:rPr>
              <w:t>1000 for other Emirates</w:t>
            </w:r>
          </w:p>
        </w:tc>
        <w:tc>
          <w:tcPr>
            <w:tcW w:w="817" w:type="dxa"/>
            <w:tcBorders>
              <w:top w:val="single" w:sz="8" w:space="0" w:color="000000"/>
              <w:left w:val="single" w:sz="8" w:space="0" w:color="000000"/>
              <w:bottom w:val="single" w:sz="8" w:space="0" w:color="000000"/>
              <w:right w:val="single" w:sz="8" w:space="0" w:color="000000"/>
            </w:tcBorders>
          </w:tcPr>
          <w:p w:rsidR="003A5252" w:rsidRPr="00AA5846" w:rsidRDefault="003A5252" w:rsidP="00E60699">
            <w:pPr>
              <w:pStyle w:val="Tabletext"/>
              <w:rPr>
                <w:rFonts w:asciiTheme="majorBidi" w:hAnsiTheme="majorBidi" w:cstheme="majorBidi"/>
                <w:szCs w:val="22"/>
              </w:rPr>
            </w:pPr>
            <w:r w:rsidRPr="00AA5846">
              <w:rPr>
                <w:rFonts w:asciiTheme="majorBidi" w:hAnsiTheme="majorBidi" w:cstheme="majorBidi"/>
                <w:szCs w:val="22"/>
              </w:rPr>
              <w:t xml:space="preserve">4,000 </w:t>
            </w:r>
          </w:p>
        </w:tc>
      </w:tr>
    </w:tbl>
    <w:p w:rsidR="003A5252" w:rsidRPr="00F50942" w:rsidRDefault="003A5252" w:rsidP="00281920">
      <w:pPr>
        <w:pStyle w:val="FigureSource"/>
        <w:pBdr>
          <w:bottom w:val="single" w:sz="12" w:space="1" w:color="auto"/>
        </w:pBdr>
      </w:pPr>
    </w:p>
    <w:p w:rsidR="003A5252" w:rsidRDefault="003A5252" w:rsidP="00E60699">
      <w:pPr>
        <w:bidi w:val="0"/>
        <w:ind w:left="720" w:hanging="720"/>
      </w:pPr>
    </w:p>
    <w:p w:rsidR="003A5252" w:rsidRPr="002048E8" w:rsidRDefault="003A5252" w:rsidP="0049484E">
      <w:pPr>
        <w:bidi w:val="0"/>
        <w:spacing w:line="240" w:lineRule="auto"/>
        <w:ind w:left="720" w:hanging="720"/>
      </w:pPr>
      <w:r w:rsidRPr="002048E8">
        <w:t>12.3</w:t>
      </w:r>
      <w:r w:rsidRPr="002048E8">
        <w:tab/>
        <w:t xml:space="preserve">The Annual Spectrum Fees for Private Mobile Radio (vehicles only) which are not localized shall be calculated as follows: </w:t>
      </w:r>
    </w:p>
    <w:p w:rsidR="003A5252" w:rsidRPr="002048E8" w:rsidRDefault="003A5252" w:rsidP="0049484E">
      <w:pPr>
        <w:bidi w:val="0"/>
        <w:spacing w:line="240" w:lineRule="auto"/>
        <w:ind w:firstLine="720"/>
        <w:jc w:val="center"/>
        <w:rPr>
          <w:color w:val="000000"/>
        </w:rPr>
      </w:pPr>
      <w:r w:rsidRPr="002048E8">
        <w:rPr>
          <w:b/>
          <w:color w:val="000000"/>
        </w:rPr>
        <w:t xml:space="preserve">Spectrum Fees = NC x </w:t>
      </w:r>
      <w:r>
        <w:rPr>
          <w:b/>
          <w:color w:val="000000"/>
        </w:rPr>
        <w:t>CF</w:t>
      </w:r>
    </w:p>
    <w:p w:rsidR="003A5252" w:rsidRPr="002048E8" w:rsidRDefault="003A5252" w:rsidP="0049484E">
      <w:pPr>
        <w:bidi w:val="0"/>
        <w:spacing w:line="240" w:lineRule="auto"/>
        <w:ind w:left="720"/>
        <w:rPr>
          <w:color w:val="000000"/>
        </w:rPr>
      </w:pPr>
      <w:r w:rsidRPr="002048E8">
        <w:rPr>
          <w:color w:val="000000"/>
        </w:rPr>
        <w:t xml:space="preserve">Where: </w:t>
      </w:r>
    </w:p>
    <w:p w:rsidR="003A5252" w:rsidRPr="002048E8" w:rsidRDefault="003A5252" w:rsidP="0049484E">
      <w:pPr>
        <w:bidi w:val="0"/>
        <w:spacing w:line="240" w:lineRule="auto"/>
        <w:ind w:left="720"/>
        <w:rPr>
          <w:color w:val="000000"/>
        </w:rPr>
      </w:pPr>
      <w:r w:rsidRPr="002048E8">
        <w:rPr>
          <w:b/>
          <w:color w:val="000000"/>
        </w:rPr>
        <w:t xml:space="preserve">NC= </w:t>
      </w:r>
      <w:r w:rsidRPr="002048E8">
        <w:rPr>
          <w:color w:val="000000"/>
        </w:rPr>
        <w:t xml:space="preserve">Number of Channels (12.5 kHz bandwidth equivalents each) that will be assigned to the user. </w:t>
      </w:r>
    </w:p>
    <w:p w:rsidR="003A5252" w:rsidRPr="002048E8" w:rsidRDefault="003A5252" w:rsidP="0049484E">
      <w:pPr>
        <w:bidi w:val="0"/>
        <w:spacing w:line="240" w:lineRule="auto"/>
        <w:ind w:left="720"/>
        <w:rPr>
          <w:color w:val="000000"/>
        </w:rPr>
      </w:pPr>
      <w:r w:rsidRPr="002048E8">
        <w:rPr>
          <w:b/>
          <w:color w:val="000000"/>
        </w:rPr>
        <w:t xml:space="preserve">CF= </w:t>
      </w:r>
      <w:r w:rsidRPr="002048E8">
        <w:rPr>
          <w:color w:val="000000"/>
        </w:rPr>
        <w:t xml:space="preserve">Coverage Factor depending on the geographical area which will be determined as follows: </w:t>
      </w:r>
    </w:p>
    <w:p w:rsidR="003A5252" w:rsidRDefault="003A5252" w:rsidP="00E60699">
      <w:pPr>
        <w:bidi w:val="0"/>
      </w:pPr>
    </w:p>
    <w:p w:rsidR="003A5252" w:rsidRPr="00F50942" w:rsidRDefault="003A5252" w:rsidP="00EE251B">
      <w:pPr>
        <w:pStyle w:val="FigureTitle"/>
        <w:pBdr>
          <w:top w:val="single" w:sz="12" w:space="10" w:color="000000"/>
        </w:pBdr>
      </w:pPr>
    </w:p>
    <w:tbl>
      <w:tblPr>
        <w:tblW w:w="0" w:type="auto"/>
        <w:tblInd w:w="925" w:type="dxa"/>
        <w:tblBorders>
          <w:top w:val="nil"/>
          <w:left w:val="nil"/>
          <w:bottom w:val="nil"/>
          <w:right w:val="nil"/>
        </w:tblBorders>
        <w:tblLook w:val="0000"/>
      </w:tblPr>
      <w:tblGrid>
        <w:gridCol w:w="681"/>
        <w:gridCol w:w="1475"/>
        <w:gridCol w:w="1523"/>
        <w:gridCol w:w="3268"/>
        <w:gridCol w:w="817"/>
      </w:tblGrid>
      <w:tr w:rsidR="003A5252" w:rsidRPr="00F50942" w:rsidTr="00026C26">
        <w:trPr>
          <w:trHeight w:val="319"/>
        </w:trPr>
        <w:tc>
          <w:tcPr>
            <w:tcW w:w="0" w:type="auto"/>
            <w:tcBorders>
              <w:top w:val="single" w:sz="8" w:space="0" w:color="000000"/>
              <w:left w:val="single" w:sz="8" w:space="0" w:color="000000"/>
              <w:bottom w:val="single" w:sz="8" w:space="0" w:color="000000"/>
              <w:right w:val="single" w:sz="8" w:space="0" w:color="000000"/>
            </w:tcBorders>
          </w:tcPr>
          <w:p w:rsidR="003A5252" w:rsidRPr="00BD53B2" w:rsidRDefault="003A5252" w:rsidP="00E60699">
            <w:pPr>
              <w:pStyle w:val="Tablehead"/>
              <w:rPr>
                <w:rFonts w:asciiTheme="majorBidi" w:hAnsiTheme="majorBidi" w:cstheme="majorBidi"/>
                <w:szCs w:val="22"/>
              </w:rPr>
            </w:pPr>
            <w:r w:rsidRPr="00BD53B2">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3A5252" w:rsidRPr="00BD53B2" w:rsidRDefault="003A5252" w:rsidP="00E60699">
            <w:pPr>
              <w:pStyle w:val="Tablehead"/>
              <w:rPr>
                <w:rFonts w:asciiTheme="majorBidi" w:hAnsiTheme="majorBidi" w:cstheme="majorBidi"/>
                <w:szCs w:val="22"/>
              </w:rPr>
            </w:pPr>
            <w:r w:rsidRPr="00BD53B2">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3A5252" w:rsidRPr="00BD53B2" w:rsidRDefault="003A5252" w:rsidP="00E60699">
            <w:pPr>
              <w:pStyle w:val="Tablehead"/>
              <w:rPr>
                <w:rFonts w:asciiTheme="majorBidi" w:hAnsiTheme="majorBidi" w:cstheme="majorBidi"/>
                <w:szCs w:val="22"/>
              </w:rPr>
            </w:pPr>
            <w:r w:rsidRPr="00BD53B2">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3A5252" w:rsidRPr="00BD53B2" w:rsidRDefault="003A5252" w:rsidP="00E60699">
            <w:pPr>
              <w:pStyle w:val="Tablehead"/>
              <w:rPr>
                <w:rFonts w:asciiTheme="majorBidi" w:hAnsiTheme="majorBidi" w:cstheme="majorBidi"/>
                <w:szCs w:val="22"/>
              </w:rPr>
            </w:pPr>
            <w:r w:rsidRPr="00BD53B2">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3A5252" w:rsidRPr="00BD53B2" w:rsidRDefault="003A5252" w:rsidP="00E60699">
            <w:pPr>
              <w:pStyle w:val="Tablehead"/>
              <w:rPr>
                <w:rFonts w:asciiTheme="majorBidi" w:hAnsiTheme="majorBidi" w:cstheme="majorBidi"/>
                <w:szCs w:val="22"/>
              </w:rPr>
            </w:pPr>
            <w:r w:rsidRPr="00BD53B2">
              <w:rPr>
                <w:rFonts w:asciiTheme="majorBidi" w:hAnsiTheme="majorBidi" w:cstheme="majorBidi"/>
                <w:szCs w:val="22"/>
              </w:rPr>
              <w:t xml:space="preserve">All UAE </w:t>
            </w:r>
          </w:p>
        </w:tc>
      </w:tr>
      <w:tr w:rsidR="003A5252" w:rsidRPr="00F50942" w:rsidTr="00026C26">
        <w:trPr>
          <w:trHeight w:val="319"/>
        </w:trPr>
        <w:tc>
          <w:tcPr>
            <w:tcW w:w="0" w:type="auto"/>
            <w:tcBorders>
              <w:top w:val="single" w:sz="8" w:space="0" w:color="000000"/>
              <w:left w:val="single" w:sz="8" w:space="0" w:color="000000"/>
              <w:bottom w:val="single" w:sz="8" w:space="0" w:color="000000"/>
              <w:right w:val="single" w:sz="8" w:space="0" w:color="000000"/>
            </w:tcBorders>
          </w:tcPr>
          <w:p w:rsidR="003A5252" w:rsidRPr="00BD53B2" w:rsidRDefault="003A5252" w:rsidP="00E60699">
            <w:pPr>
              <w:pStyle w:val="Tabletext"/>
              <w:rPr>
                <w:rFonts w:asciiTheme="majorBidi" w:hAnsiTheme="majorBidi" w:cstheme="majorBidi"/>
                <w:szCs w:val="22"/>
              </w:rPr>
            </w:pPr>
            <w:r w:rsidRPr="00BD53B2">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3A5252" w:rsidRPr="00BD53B2" w:rsidRDefault="003A5252" w:rsidP="00E60699">
            <w:pPr>
              <w:pStyle w:val="Tabletext"/>
              <w:rPr>
                <w:rFonts w:asciiTheme="majorBidi" w:hAnsiTheme="majorBidi" w:cstheme="majorBidi"/>
                <w:szCs w:val="22"/>
              </w:rPr>
            </w:pPr>
            <w:r w:rsidRPr="00BD53B2">
              <w:rPr>
                <w:rFonts w:asciiTheme="majorBidi" w:hAnsiTheme="majorBidi" w:cstheme="majorBidi"/>
                <w:szCs w:val="22"/>
              </w:rPr>
              <w:t xml:space="preserve">100 </w:t>
            </w:r>
          </w:p>
        </w:tc>
        <w:tc>
          <w:tcPr>
            <w:tcW w:w="1523" w:type="dxa"/>
            <w:tcBorders>
              <w:top w:val="single" w:sz="8" w:space="0" w:color="000000"/>
              <w:left w:val="single" w:sz="8" w:space="0" w:color="000000"/>
              <w:bottom w:val="single" w:sz="8" w:space="0" w:color="000000"/>
              <w:right w:val="single" w:sz="8" w:space="0" w:color="000000"/>
            </w:tcBorders>
          </w:tcPr>
          <w:p w:rsidR="003A5252" w:rsidRPr="00BD53B2" w:rsidRDefault="003A5252" w:rsidP="00E60699">
            <w:pPr>
              <w:pStyle w:val="Tabletext"/>
              <w:rPr>
                <w:rFonts w:asciiTheme="majorBidi" w:hAnsiTheme="majorBidi" w:cstheme="majorBidi"/>
                <w:szCs w:val="22"/>
              </w:rPr>
            </w:pPr>
            <w:r w:rsidRPr="00BD53B2">
              <w:rPr>
                <w:rFonts w:asciiTheme="majorBidi" w:hAnsiTheme="majorBidi" w:cstheme="majorBidi"/>
                <w:szCs w:val="22"/>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3A5252" w:rsidRPr="00BD53B2" w:rsidRDefault="003A5252" w:rsidP="00E60699">
            <w:pPr>
              <w:pStyle w:val="Tabletext"/>
              <w:rPr>
                <w:rFonts w:asciiTheme="majorBidi" w:hAnsiTheme="majorBidi" w:cstheme="majorBidi"/>
                <w:szCs w:val="22"/>
              </w:rPr>
            </w:pPr>
            <w:r w:rsidRPr="00BD53B2">
              <w:rPr>
                <w:rFonts w:asciiTheme="majorBidi" w:hAnsiTheme="majorBidi" w:cstheme="majorBidi"/>
                <w:szCs w:val="22"/>
              </w:rPr>
              <w:t>2000 for Abu Dhabi or Dubai</w:t>
            </w:r>
          </w:p>
          <w:p w:rsidR="003A5252" w:rsidRPr="00BD53B2" w:rsidRDefault="003A5252" w:rsidP="00E60699">
            <w:pPr>
              <w:pStyle w:val="Tabletext"/>
              <w:rPr>
                <w:rFonts w:asciiTheme="majorBidi" w:hAnsiTheme="majorBidi" w:cstheme="majorBidi"/>
                <w:szCs w:val="22"/>
              </w:rPr>
            </w:pPr>
            <w:r w:rsidRPr="00BD53B2">
              <w:rPr>
                <w:rFonts w:asciiTheme="majorBidi" w:hAnsiTheme="majorBidi" w:cstheme="majorBidi"/>
                <w:szCs w:val="22"/>
              </w:rPr>
              <w:t>1000 for other Emirates</w:t>
            </w:r>
          </w:p>
        </w:tc>
        <w:tc>
          <w:tcPr>
            <w:tcW w:w="817" w:type="dxa"/>
            <w:tcBorders>
              <w:top w:val="single" w:sz="8" w:space="0" w:color="000000"/>
              <w:left w:val="single" w:sz="8" w:space="0" w:color="000000"/>
              <w:bottom w:val="single" w:sz="8" w:space="0" w:color="000000"/>
              <w:right w:val="single" w:sz="8" w:space="0" w:color="000000"/>
            </w:tcBorders>
          </w:tcPr>
          <w:p w:rsidR="003A5252" w:rsidRPr="00BD53B2" w:rsidRDefault="003A5252" w:rsidP="00E60699">
            <w:pPr>
              <w:pStyle w:val="Tabletext"/>
              <w:rPr>
                <w:rFonts w:asciiTheme="majorBidi" w:hAnsiTheme="majorBidi" w:cstheme="majorBidi"/>
                <w:szCs w:val="22"/>
              </w:rPr>
            </w:pPr>
            <w:r w:rsidRPr="00BD53B2">
              <w:rPr>
                <w:rFonts w:asciiTheme="majorBidi" w:hAnsiTheme="majorBidi" w:cstheme="majorBidi"/>
                <w:szCs w:val="22"/>
              </w:rPr>
              <w:t xml:space="preserve">4,000 </w:t>
            </w:r>
          </w:p>
        </w:tc>
      </w:tr>
    </w:tbl>
    <w:p w:rsidR="003A5252" w:rsidRDefault="003A5252" w:rsidP="00281920">
      <w:pPr>
        <w:pStyle w:val="FigureSource"/>
        <w:pBdr>
          <w:bottom w:val="single" w:sz="12" w:space="1" w:color="auto"/>
        </w:pBdr>
      </w:pPr>
    </w:p>
    <w:p w:rsidR="003A5252" w:rsidRPr="00F50942" w:rsidRDefault="003A5252" w:rsidP="00E60699">
      <w:pPr>
        <w:suppressAutoHyphens/>
        <w:bidi w:val="0"/>
        <w:rPr>
          <w:szCs w:val="19"/>
        </w:rPr>
      </w:pP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szCs w:val="22"/>
          <w:lang w:val="en-US"/>
        </w:rPr>
        <w:t>12.4</w:t>
      </w:r>
      <w:r w:rsidRPr="00AA5C49">
        <w:rPr>
          <w:rFonts w:asciiTheme="majorBidi" w:hAnsiTheme="majorBidi" w:cstheme="majorBidi"/>
          <w:szCs w:val="22"/>
          <w:lang w:val="en-US"/>
        </w:rPr>
        <w:tab/>
        <w:t xml:space="preserve">The Annual Spectrum Fees for Private Mobile Radio used by the Taxi companies shall be calculated for the base station in accordance with the Article 12.1 and separate charges of 300 AED for each Taxi fitted with a radio. </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szCs w:val="22"/>
          <w:lang w:val="en-US"/>
        </w:rPr>
        <w:t>12.5</w:t>
      </w:r>
      <w:r w:rsidRPr="00AA5C49">
        <w:rPr>
          <w:rFonts w:asciiTheme="majorBidi" w:hAnsiTheme="majorBidi" w:cstheme="majorBidi"/>
          <w:szCs w:val="22"/>
          <w:lang w:val="en-US"/>
        </w:rPr>
        <w:tab/>
        <w:t xml:space="preserve">The Annual Spectrum Fees for public paging and in house paging shall be calculated for the base station in accordance with the Article 12.1 with no additional charges for handheld pagers. </w:t>
      </w:r>
    </w:p>
    <w:p w:rsidR="003A5252" w:rsidRPr="00AA5C49" w:rsidRDefault="003A5252" w:rsidP="0049484E">
      <w:pPr>
        <w:pStyle w:val="enumlev1"/>
        <w:bidi w:val="0"/>
        <w:spacing w:line="240" w:lineRule="auto"/>
        <w:rPr>
          <w:rFonts w:asciiTheme="majorBidi" w:hAnsiTheme="majorBidi" w:cstheme="majorBidi"/>
          <w:szCs w:val="22"/>
          <w:lang w:val="en-US"/>
        </w:rPr>
      </w:pPr>
      <w:r w:rsidRPr="00AA5C49">
        <w:rPr>
          <w:rFonts w:asciiTheme="majorBidi" w:hAnsiTheme="majorBidi" w:cstheme="majorBidi"/>
          <w:szCs w:val="22"/>
          <w:lang w:val="en-US"/>
        </w:rPr>
        <w:t>12.6</w:t>
      </w:r>
      <w:r w:rsidRPr="00AA5C49">
        <w:rPr>
          <w:rFonts w:asciiTheme="majorBidi" w:hAnsiTheme="majorBidi" w:cstheme="majorBidi"/>
          <w:szCs w:val="22"/>
          <w:lang w:val="en-US"/>
        </w:rPr>
        <w:tab/>
        <w:t xml:space="preserve">The Annual Spectrum Fees for analog trunking (like MPT 1327) shall be calculated in accordance with the Article 12.1 above. </w:t>
      </w:r>
    </w:p>
    <w:p w:rsidR="003A5252" w:rsidRPr="00AA5C49" w:rsidRDefault="003A5252" w:rsidP="0049484E">
      <w:pPr>
        <w:pStyle w:val="enumlev1"/>
        <w:bidi w:val="0"/>
        <w:spacing w:line="240" w:lineRule="auto"/>
        <w:rPr>
          <w:rFonts w:asciiTheme="majorBidi" w:hAnsiTheme="majorBidi" w:cstheme="majorBidi"/>
          <w:color w:val="000000"/>
          <w:szCs w:val="22"/>
          <w:lang w:val="en-US"/>
        </w:rPr>
      </w:pPr>
      <w:r w:rsidRPr="00AA5C49">
        <w:rPr>
          <w:rFonts w:asciiTheme="majorBidi" w:hAnsiTheme="majorBidi" w:cstheme="majorBidi"/>
          <w:szCs w:val="22"/>
          <w:lang w:val="en-US"/>
        </w:rPr>
        <w:t>12.7</w:t>
      </w:r>
      <w:r w:rsidRPr="00AA5C49">
        <w:rPr>
          <w:rFonts w:asciiTheme="majorBidi" w:hAnsiTheme="majorBidi" w:cstheme="majorBidi"/>
          <w:szCs w:val="22"/>
          <w:lang w:val="en-US"/>
        </w:rPr>
        <w:tab/>
        <w:t>The Annual Spectrum Fees for digital trunking (like TETRA, TETRAPOL, EDACS, APCO, etc) shall be calculated as follows:</w:t>
      </w:r>
    </w:p>
    <w:p w:rsidR="003A5252" w:rsidRPr="00F50942" w:rsidRDefault="003A5252" w:rsidP="0049484E">
      <w:pPr>
        <w:bidi w:val="0"/>
        <w:spacing w:line="240" w:lineRule="auto"/>
        <w:ind w:left="720"/>
        <w:jc w:val="center"/>
        <w:rPr>
          <w:color w:val="000000"/>
          <w:szCs w:val="19"/>
        </w:rPr>
      </w:pPr>
      <w:r w:rsidRPr="00F50942">
        <w:rPr>
          <w:b/>
          <w:color w:val="000000"/>
          <w:szCs w:val="19"/>
        </w:rPr>
        <w:t>Spectrum Fees = NC x CF x 2.5</w:t>
      </w:r>
    </w:p>
    <w:p w:rsidR="003A5252" w:rsidRPr="00F50942" w:rsidRDefault="003A5252" w:rsidP="0049484E">
      <w:pPr>
        <w:bidi w:val="0"/>
        <w:spacing w:line="240" w:lineRule="auto"/>
        <w:ind w:left="720"/>
        <w:rPr>
          <w:color w:val="000000"/>
          <w:szCs w:val="19"/>
        </w:rPr>
      </w:pPr>
      <w:r w:rsidRPr="00F50942">
        <w:rPr>
          <w:color w:val="000000"/>
          <w:szCs w:val="19"/>
        </w:rPr>
        <w:t xml:space="preserve">Where: </w:t>
      </w:r>
    </w:p>
    <w:p w:rsidR="003A5252" w:rsidRPr="00F50942" w:rsidRDefault="003A5252" w:rsidP="0049484E">
      <w:pPr>
        <w:bidi w:val="0"/>
        <w:spacing w:line="240" w:lineRule="auto"/>
        <w:ind w:left="720"/>
        <w:rPr>
          <w:color w:val="000000"/>
          <w:szCs w:val="19"/>
        </w:rPr>
      </w:pPr>
      <w:r w:rsidRPr="00F50942">
        <w:rPr>
          <w:b/>
          <w:color w:val="000000"/>
          <w:szCs w:val="19"/>
        </w:rPr>
        <w:t>NC</w:t>
      </w:r>
      <w:r>
        <w:rPr>
          <w:b/>
          <w:color w:val="000000"/>
          <w:szCs w:val="19"/>
        </w:rPr>
        <w:t xml:space="preserve"> </w:t>
      </w:r>
      <w:r w:rsidRPr="00F50942">
        <w:rPr>
          <w:b/>
          <w:color w:val="000000"/>
          <w:szCs w:val="19"/>
        </w:rPr>
        <w:t xml:space="preserve">= </w:t>
      </w:r>
      <w:r w:rsidRPr="00F50942">
        <w:rPr>
          <w:color w:val="000000"/>
          <w:szCs w:val="19"/>
        </w:rPr>
        <w:t xml:space="preserve">Number of Channels (12.5 kHz unpaired bandwidth equivalents each) that will be assigned to the user. </w:t>
      </w:r>
    </w:p>
    <w:p w:rsidR="003A5252" w:rsidRPr="00F50942" w:rsidRDefault="003A5252" w:rsidP="0049484E">
      <w:pPr>
        <w:bidi w:val="0"/>
        <w:spacing w:line="240" w:lineRule="auto"/>
        <w:ind w:left="720"/>
        <w:rPr>
          <w:color w:val="000000"/>
          <w:szCs w:val="19"/>
        </w:rPr>
      </w:pPr>
      <w:r w:rsidRPr="00F50942">
        <w:rPr>
          <w:b/>
          <w:color w:val="000000"/>
          <w:szCs w:val="19"/>
        </w:rPr>
        <w:t>CF</w:t>
      </w:r>
      <w:r>
        <w:rPr>
          <w:b/>
          <w:color w:val="000000"/>
          <w:szCs w:val="19"/>
        </w:rPr>
        <w:t xml:space="preserve"> </w:t>
      </w:r>
      <w:r w:rsidRPr="00F50942">
        <w:rPr>
          <w:b/>
          <w:color w:val="000000"/>
          <w:szCs w:val="19"/>
        </w:rPr>
        <w:t xml:space="preserve">= </w:t>
      </w:r>
      <w:r w:rsidRPr="00F50942">
        <w:rPr>
          <w:color w:val="000000"/>
          <w:szCs w:val="19"/>
        </w:rPr>
        <w:t xml:space="preserve">Coverage Factor depending on the geographical area which will be determined as follows: </w:t>
      </w:r>
    </w:p>
    <w:p w:rsidR="003A5252" w:rsidRDefault="003A5252" w:rsidP="0049484E">
      <w:pPr>
        <w:bidi w:val="0"/>
        <w:spacing w:line="240" w:lineRule="auto"/>
      </w:pPr>
    </w:p>
    <w:p w:rsidR="003A5252" w:rsidRPr="00F50942" w:rsidRDefault="003A5252" w:rsidP="00EE251B">
      <w:pPr>
        <w:pStyle w:val="FigureTitle"/>
        <w:pBdr>
          <w:top w:val="single" w:sz="12" w:space="10" w:color="000000"/>
        </w:pBdr>
      </w:pPr>
    </w:p>
    <w:tbl>
      <w:tblPr>
        <w:tblW w:w="0" w:type="auto"/>
        <w:tblInd w:w="925" w:type="dxa"/>
        <w:tblBorders>
          <w:top w:val="nil"/>
          <w:left w:val="nil"/>
          <w:bottom w:val="nil"/>
          <w:right w:val="nil"/>
        </w:tblBorders>
        <w:tblLook w:val="0000"/>
      </w:tblPr>
      <w:tblGrid>
        <w:gridCol w:w="681"/>
        <w:gridCol w:w="1475"/>
        <w:gridCol w:w="1523"/>
        <w:gridCol w:w="3268"/>
        <w:gridCol w:w="817"/>
      </w:tblGrid>
      <w:tr w:rsidR="003A5252" w:rsidRPr="00F50942" w:rsidTr="00026C26">
        <w:trPr>
          <w:trHeight w:val="319"/>
        </w:trPr>
        <w:tc>
          <w:tcPr>
            <w:tcW w:w="0" w:type="auto"/>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head"/>
              <w:rPr>
                <w:rFonts w:asciiTheme="majorBidi" w:hAnsiTheme="majorBidi" w:cstheme="majorBidi"/>
                <w:szCs w:val="22"/>
              </w:rPr>
            </w:pPr>
            <w:r w:rsidRPr="00025314">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head"/>
              <w:rPr>
                <w:rFonts w:asciiTheme="majorBidi" w:hAnsiTheme="majorBidi" w:cstheme="majorBidi"/>
                <w:szCs w:val="22"/>
              </w:rPr>
            </w:pPr>
            <w:r w:rsidRPr="00025314">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head"/>
              <w:rPr>
                <w:rFonts w:asciiTheme="majorBidi" w:hAnsiTheme="majorBidi" w:cstheme="majorBidi"/>
                <w:szCs w:val="22"/>
              </w:rPr>
            </w:pPr>
            <w:r w:rsidRPr="00025314">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head"/>
              <w:rPr>
                <w:rFonts w:asciiTheme="majorBidi" w:hAnsiTheme="majorBidi" w:cstheme="majorBidi"/>
                <w:szCs w:val="22"/>
              </w:rPr>
            </w:pPr>
            <w:r w:rsidRPr="00025314">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head"/>
              <w:rPr>
                <w:rFonts w:asciiTheme="majorBidi" w:hAnsiTheme="majorBidi" w:cstheme="majorBidi"/>
                <w:szCs w:val="22"/>
              </w:rPr>
            </w:pPr>
            <w:r w:rsidRPr="00025314">
              <w:rPr>
                <w:rFonts w:asciiTheme="majorBidi" w:hAnsiTheme="majorBidi" w:cstheme="majorBidi"/>
                <w:szCs w:val="22"/>
              </w:rPr>
              <w:t xml:space="preserve">All UAE </w:t>
            </w:r>
          </w:p>
        </w:tc>
      </w:tr>
      <w:tr w:rsidR="003A5252" w:rsidRPr="00F50942" w:rsidTr="00026C26">
        <w:trPr>
          <w:trHeight w:val="319"/>
        </w:trPr>
        <w:tc>
          <w:tcPr>
            <w:tcW w:w="0" w:type="auto"/>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 xml:space="preserve">100 </w:t>
            </w:r>
          </w:p>
        </w:tc>
        <w:tc>
          <w:tcPr>
            <w:tcW w:w="1523"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2000 for Abu Dhabi or Dubai</w:t>
            </w:r>
          </w:p>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1000 for other Emirates</w:t>
            </w:r>
          </w:p>
        </w:tc>
        <w:tc>
          <w:tcPr>
            <w:tcW w:w="817"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 xml:space="preserve">4,000 </w:t>
            </w:r>
          </w:p>
        </w:tc>
      </w:tr>
    </w:tbl>
    <w:p w:rsidR="003A5252" w:rsidRPr="00F50942" w:rsidRDefault="003A5252" w:rsidP="00281920">
      <w:pPr>
        <w:pStyle w:val="FigureSource"/>
        <w:pBdr>
          <w:bottom w:val="single" w:sz="12" w:space="1" w:color="auto"/>
        </w:pBdr>
      </w:pPr>
    </w:p>
    <w:p w:rsidR="003A5252" w:rsidRPr="00F50942" w:rsidRDefault="003A5252" w:rsidP="00E60699">
      <w:pPr>
        <w:pStyle w:val="Arttitle"/>
        <w:spacing w:before="400"/>
      </w:pPr>
      <w:bookmarkStart w:id="313" w:name="_Toc280261835"/>
      <w:bookmarkStart w:id="314" w:name="_Toc280262333"/>
      <w:bookmarkStart w:id="315" w:name="_Toc280272727"/>
      <w:bookmarkStart w:id="316" w:name="_Toc280272906"/>
      <w:r>
        <w:t xml:space="preserve">Article </w:t>
      </w:r>
      <w:r w:rsidRPr="00F50942">
        <w:t>13</w:t>
      </w:r>
      <w:r>
        <w:br/>
      </w:r>
      <w:r>
        <w:br/>
      </w:r>
      <w:bookmarkStart w:id="317" w:name="_Toc199215036"/>
      <w:r w:rsidRPr="00F50942">
        <w:t>Spectrum Fees for Fixed (point to point) links</w:t>
      </w:r>
      <w:bookmarkEnd w:id="313"/>
      <w:bookmarkEnd w:id="314"/>
      <w:bookmarkEnd w:id="315"/>
      <w:bookmarkEnd w:id="316"/>
      <w:bookmarkEnd w:id="317"/>
    </w:p>
    <w:p w:rsidR="003A5252" w:rsidRPr="00AA5C49" w:rsidRDefault="003A5252" w:rsidP="000E0958">
      <w:pPr>
        <w:pStyle w:val="enumlev1"/>
        <w:bidi w:val="0"/>
        <w:spacing w:line="240" w:lineRule="auto"/>
        <w:rPr>
          <w:rFonts w:asciiTheme="majorBidi" w:hAnsiTheme="majorBidi" w:cstheme="majorBidi"/>
          <w:szCs w:val="22"/>
          <w:lang w:val="en-US"/>
        </w:rPr>
      </w:pPr>
      <w:r w:rsidRPr="00AA5C49">
        <w:rPr>
          <w:rFonts w:asciiTheme="majorBidi" w:hAnsiTheme="majorBidi" w:cstheme="majorBidi"/>
          <w:szCs w:val="22"/>
          <w:lang w:val="en-US"/>
        </w:rPr>
        <w:t>13.1</w:t>
      </w:r>
      <w:r w:rsidRPr="00AA5C49">
        <w:rPr>
          <w:rFonts w:asciiTheme="majorBidi" w:hAnsiTheme="majorBidi" w:cstheme="majorBidi"/>
          <w:szCs w:val="22"/>
          <w:lang w:val="en-US"/>
        </w:rPr>
        <w:tab/>
        <w:t xml:space="preserve">The Annual Spectrum Fees for each fixed point to point link above 2 GHz shall be calculated as follows: </w:t>
      </w:r>
    </w:p>
    <w:p w:rsidR="003A5252" w:rsidRPr="00F50942" w:rsidRDefault="003A5252" w:rsidP="000E0958">
      <w:pPr>
        <w:bidi w:val="0"/>
        <w:spacing w:line="240" w:lineRule="auto"/>
        <w:jc w:val="center"/>
        <w:rPr>
          <w:b/>
          <w:bCs/>
          <w:szCs w:val="19"/>
        </w:rPr>
      </w:pPr>
      <w:r w:rsidRPr="00F50942">
        <w:rPr>
          <w:b/>
          <w:szCs w:val="19"/>
        </w:rPr>
        <w:t>Spectrum Fees = F x 2000 + BW x 1000</w:t>
      </w:r>
    </w:p>
    <w:p w:rsidR="003A5252" w:rsidRPr="00F50942" w:rsidRDefault="003A5252" w:rsidP="000E0958">
      <w:pPr>
        <w:bidi w:val="0"/>
        <w:spacing w:line="240" w:lineRule="auto"/>
        <w:ind w:left="720"/>
        <w:rPr>
          <w:szCs w:val="19"/>
        </w:rPr>
      </w:pPr>
      <w:r w:rsidRPr="00F50942">
        <w:rPr>
          <w:szCs w:val="19"/>
        </w:rPr>
        <w:t xml:space="preserve">Where: </w:t>
      </w:r>
    </w:p>
    <w:p w:rsidR="003A5252" w:rsidRDefault="003A5252" w:rsidP="000E0958">
      <w:pPr>
        <w:bidi w:val="0"/>
        <w:spacing w:line="240" w:lineRule="auto"/>
        <w:ind w:left="720"/>
        <w:rPr>
          <w:szCs w:val="19"/>
        </w:rPr>
      </w:pPr>
      <w:r w:rsidRPr="00F50942">
        <w:rPr>
          <w:b/>
          <w:szCs w:val="19"/>
        </w:rPr>
        <w:t xml:space="preserve">F= </w:t>
      </w:r>
      <w:r w:rsidRPr="00AA5C49">
        <w:rPr>
          <w:lang w:val="en-US"/>
        </w:rPr>
        <w:t>Frequency</w:t>
      </w:r>
      <w:r w:rsidRPr="00F50942">
        <w:rPr>
          <w:szCs w:val="19"/>
        </w:rPr>
        <w:t xml:space="preserve"> range factor as follows: </w:t>
      </w:r>
      <w:r w:rsidRPr="00F50942">
        <w:rPr>
          <w:szCs w:val="19"/>
        </w:rPr>
        <w:tab/>
        <w:t xml:space="preserve"> </w:t>
      </w:r>
      <w:r w:rsidRPr="00F50942">
        <w:rPr>
          <w:b/>
          <w:szCs w:val="19"/>
        </w:rPr>
        <w:t xml:space="preserve">BW= </w:t>
      </w:r>
      <w:r w:rsidRPr="00F50942">
        <w:rPr>
          <w:szCs w:val="19"/>
        </w:rPr>
        <w:t xml:space="preserve">Bandwidth factor as follows: </w:t>
      </w:r>
    </w:p>
    <w:p w:rsidR="003A5252" w:rsidRPr="00F50942" w:rsidRDefault="003A5252" w:rsidP="00E60699">
      <w:pPr>
        <w:bidi w:val="0"/>
        <w:ind w:left="720"/>
        <w:rPr>
          <w:szCs w:val="19"/>
        </w:rPr>
      </w:pPr>
    </w:p>
    <w:p w:rsidR="003A5252" w:rsidRPr="00F50942" w:rsidRDefault="003A5252" w:rsidP="00EE251B">
      <w:pPr>
        <w:pStyle w:val="FigureTitle"/>
        <w:pBdr>
          <w:top w:val="single" w:sz="12" w:space="10" w:color="000000"/>
        </w:pBdr>
      </w:pPr>
    </w:p>
    <w:tbl>
      <w:tblPr>
        <w:tblW w:w="0" w:type="auto"/>
        <w:tblInd w:w="828" w:type="dxa"/>
        <w:tblBorders>
          <w:top w:val="nil"/>
          <w:left w:val="nil"/>
          <w:bottom w:val="nil"/>
          <w:right w:val="nil"/>
        </w:tblBorders>
        <w:tblLook w:val="0000"/>
      </w:tblPr>
      <w:tblGrid>
        <w:gridCol w:w="2447"/>
        <w:gridCol w:w="1071"/>
        <w:gridCol w:w="1142"/>
        <w:gridCol w:w="2163"/>
        <w:gridCol w:w="1097"/>
      </w:tblGrid>
      <w:tr w:rsidR="003A5252" w:rsidRPr="00F50942" w:rsidTr="00026C26">
        <w:trPr>
          <w:trHeight w:val="608"/>
        </w:trPr>
        <w:tc>
          <w:tcPr>
            <w:tcW w:w="2447"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head"/>
              <w:rPr>
                <w:rFonts w:asciiTheme="majorBidi" w:hAnsiTheme="majorBidi" w:cstheme="majorBidi"/>
                <w:szCs w:val="22"/>
              </w:rPr>
            </w:pPr>
            <w:r w:rsidRPr="00025314">
              <w:rPr>
                <w:rFonts w:asciiTheme="majorBidi" w:hAnsiTheme="majorBidi" w:cstheme="majorBidi"/>
                <w:szCs w:val="22"/>
              </w:rPr>
              <w:t xml:space="preserve">Frequency Range </w:t>
            </w:r>
          </w:p>
        </w:tc>
        <w:tc>
          <w:tcPr>
            <w:tcW w:w="1071" w:type="dxa"/>
            <w:tcBorders>
              <w:top w:val="single" w:sz="8" w:space="0" w:color="000000"/>
              <w:left w:val="single" w:sz="8" w:space="0" w:color="000000"/>
              <w:bottom w:val="single" w:sz="8" w:space="0" w:color="000000"/>
              <w:right w:val="single" w:sz="4" w:space="0" w:color="auto"/>
            </w:tcBorders>
          </w:tcPr>
          <w:p w:rsidR="003A5252" w:rsidRPr="00025314" w:rsidRDefault="003A5252" w:rsidP="00E60699">
            <w:pPr>
              <w:pStyle w:val="Tablehead"/>
              <w:rPr>
                <w:rFonts w:asciiTheme="majorBidi" w:hAnsiTheme="majorBidi" w:cstheme="majorBidi"/>
                <w:szCs w:val="22"/>
              </w:rPr>
            </w:pPr>
            <w:r w:rsidRPr="00025314">
              <w:rPr>
                <w:rFonts w:asciiTheme="majorBidi" w:hAnsiTheme="majorBidi" w:cstheme="majorBidi"/>
                <w:szCs w:val="22"/>
              </w:rPr>
              <w:t xml:space="preserve">F </w:t>
            </w:r>
            <w:r w:rsidRPr="00025314">
              <w:rPr>
                <w:rFonts w:asciiTheme="majorBidi" w:hAnsiTheme="majorBidi" w:cstheme="majorBidi"/>
                <w:szCs w:val="22"/>
              </w:rPr>
              <w:br/>
              <w:t xml:space="preserve">Factor </w:t>
            </w:r>
          </w:p>
        </w:tc>
        <w:tc>
          <w:tcPr>
            <w:tcW w:w="1142" w:type="dxa"/>
            <w:tcBorders>
              <w:top w:val="nil"/>
              <w:left w:val="single" w:sz="4" w:space="0" w:color="auto"/>
              <w:bottom w:val="nil"/>
              <w:right w:val="single" w:sz="4" w:space="0" w:color="auto"/>
            </w:tcBorders>
          </w:tcPr>
          <w:p w:rsidR="003A5252" w:rsidRPr="00F50942" w:rsidRDefault="003A5252" w:rsidP="00E60699">
            <w:pPr>
              <w:pStyle w:val="Tablehead"/>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3A5252" w:rsidRPr="00025314" w:rsidRDefault="003A5252" w:rsidP="00E60699">
            <w:pPr>
              <w:pStyle w:val="Tablehead"/>
              <w:rPr>
                <w:rFonts w:asciiTheme="majorBidi" w:hAnsiTheme="majorBidi" w:cstheme="majorBidi"/>
                <w:szCs w:val="22"/>
              </w:rPr>
            </w:pPr>
            <w:r w:rsidRPr="00025314">
              <w:rPr>
                <w:rFonts w:asciiTheme="majorBidi" w:hAnsiTheme="majorBidi" w:cstheme="majorBidi"/>
                <w:szCs w:val="22"/>
              </w:rPr>
              <w:t xml:space="preserve">Bandwidth </w:t>
            </w:r>
          </w:p>
        </w:tc>
        <w:tc>
          <w:tcPr>
            <w:tcW w:w="1097"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head"/>
              <w:rPr>
                <w:rFonts w:asciiTheme="majorBidi" w:hAnsiTheme="majorBidi" w:cstheme="majorBidi"/>
                <w:szCs w:val="22"/>
              </w:rPr>
            </w:pPr>
            <w:r w:rsidRPr="00025314">
              <w:rPr>
                <w:rFonts w:asciiTheme="majorBidi" w:hAnsiTheme="majorBidi" w:cstheme="majorBidi"/>
                <w:szCs w:val="22"/>
              </w:rPr>
              <w:t xml:space="preserve">BW </w:t>
            </w:r>
            <w:r w:rsidRPr="00025314">
              <w:rPr>
                <w:rFonts w:asciiTheme="majorBidi" w:hAnsiTheme="majorBidi" w:cstheme="majorBidi"/>
                <w:szCs w:val="22"/>
              </w:rPr>
              <w:br/>
              <w:t xml:space="preserve">Factor </w:t>
            </w:r>
          </w:p>
        </w:tc>
      </w:tr>
      <w:tr w:rsidR="003A5252" w:rsidRPr="00F50942" w:rsidTr="00026C26">
        <w:trPr>
          <w:trHeight w:val="319"/>
        </w:trPr>
        <w:tc>
          <w:tcPr>
            <w:tcW w:w="2447"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 xml:space="preserve">2 GHz - 3 GHz </w:t>
            </w:r>
          </w:p>
        </w:tc>
        <w:tc>
          <w:tcPr>
            <w:tcW w:w="1071" w:type="dxa"/>
            <w:tcBorders>
              <w:top w:val="single" w:sz="8" w:space="0" w:color="000000"/>
              <w:left w:val="single" w:sz="8" w:space="0" w:color="000000"/>
              <w:bottom w:val="single" w:sz="8" w:space="0" w:color="000000"/>
              <w:right w:val="single" w:sz="4" w:space="0" w:color="auto"/>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4</w:t>
            </w:r>
          </w:p>
        </w:tc>
        <w:tc>
          <w:tcPr>
            <w:tcW w:w="1142" w:type="dxa"/>
            <w:tcBorders>
              <w:top w:val="nil"/>
              <w:left w:val="single" w:sz="4" w:space="0" w:color="auto"/>
              <w:bottom w:val="nil"/>
              <w:right w:val="single" w:sz="4" w:space="0" w:color="auto"/>
            </w:tcBorders>
          </w:tcPr>
          <w:p w:rsidR="003A5252" w:rsidRPr="00F50942" w:rsidRDefault="003A5252" w:rsidP="00E60699">
            <w:pPr>
              <w:pStyle w:val="Tabletext"/>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 xml:space="preserve">7 MHz or less </w:t>
            </w:r>
          </w:p>
        </w:tc>
        <w:tc>
          <w:tcPr>
            <w:tcW w:w="1097"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1</w:t>
            </w:r>
          </w:p>
        </w:tc>
      </w:tr>
      <w:tr w:rsidR="003A5252" w:rsidRPr="00F50942" w:rsidTr="00026C26">
        <w:trPr>
          <w:trHeight w:val="319"/>
        </w:trPr>
        <w:tc>
          <w:tcPr>
            <w:tcW w:w="2447"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 xml:space="preserve">&gt;3 GHz – 14 GHz </w:t>
            </w:r>
          </w:p>
        </w:tc>
        <w:tc>
          <w:tcPr>
            <w:tcW w:w="1071" w:type="dxa"/>
            <w:tcBorders>
              <w:top w:val="single" w:sz="8" w:space="0" w:color="000000"/>
              <w:left w:val="single" w:sz="8" w:space="0" w:color="000000"/>
              <w:bottom w:val="single" w:sz="8" w:space="0" w:color="000000"/>
              <w:right w:val="single" w:sz="4" w:space="0" w:color="auto"/>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3</w:t>
            </w:r>
          </w:p>
        </w:tc>
        <w:tc>
          <w:tcPr>
            <w:tcW w:w="1142" w:type="dxa"/>
            <w:tcBorders>
              <w:top w:val="nil"/>
              <w:left w:val="single" w:sz="4" w:space="0" w:color="auto"/>
              <w:bottom w:val="nil"/>
              <w:right w:val="single" w:sz="4" w:space="0" w:color="auto"/>
            </w:tcBorders>
          </w:tcPr>
          <w:p w:rsidR="003A5252" w:rsidRPr="00F50942" w:rsidRDefault="003A5252" w:rsidP="00E60699">
            <w:pPr>
              <w:pStyle w:val="Tabletext"/>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 xml:space="preserve">&gt;7 MHz -28 MHz </w:t>
            </w:r>
          </w:p>
        </w:tc>
        <w:tc>
          <w:tcPr>
            <w:tcW w:w="1097"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2</w:t>
            </w:r>
          </w:p>
        </w:tc>
      </w:tr>
      <w:tr w:rsidR="003A5252" w:rsidRPr="00F50942" w:rsidTr="00026C26">
        <w:trPr>
          <w:trHeight w:val="319"/>
        </w:trPr>
        <w:tc>
          <w:tcPr>
            <w:tcW w:w="2447"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 xml:space="preserve">&gt;14 GHz – 40 GHz </w:t>
            </w:r>
          </w:p>
        </w:tc>
        <w:tc>
          <w:tcPr>
            <w:tcW w:w="1071" w:type="dxa"/>
            <w:tcBorders>
              <w:top w:val="single" w:sz="8" w:space="0" w:color="000000"/>
              <w:left w:val="single" w:sz="8" w:space="0" w:color="000000"/>
              <w:bottom w:val="single" w:sz="8" w:space="0" w:color="000000"/>
              <w:right w:val="single" w:sz="4" w:space="0" w:color="auto"/>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2</w:t>
            </w:r>
          </w:p>
        </w:tc>
        <w:tc>
          <w:tcPr>
            <w:tcW w:w="1142" w:type="dxa"/>
            <w:tcBorders>
              <w:top w:val="nil"/>
              <w:left w:val="single" w:sz="4" w:space="0" w:color="auto"/>
              <w:bottom w:val="nil"/>
              <w:right w:val="single" w:sz="4" w:space="0" w:color="auto"/>
            </w:tcBorders>
          </w:tcPr>
          <w:p w:rsidR="003A5252" w:rsidRPr="00F50942" w:rsidRDefault="003A5252" w:rsidP="00E60699">
            <w:pPr>
              <w:pStyle w:val="Tabletext"/>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 xml:space="preserve">&gt;28 MHz – 56 MHz </w:t>
            </w:r>
          </w:p>
        </w:tc>
        <w:tc>
          <w:tcPr>
            <w:tcW w:w="1097"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3</w:t>
            </w:r>
          </w:p>
        </w:tc>
      </w:tr>
      <w:tr w:rsidR="003A5252" w:rsidRPr="00F50942" w:rsidTr="00026C26">
        <w:trPr>
          <w:trHeight w:val="319"/>
        </w:trPr>
        <w:tc>
          <w:tcPr>
            <w:tcW w:w="2447"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 xml:space="preserve">Above 40 GHz </w:t>
            </w:r>
          </w:p>
        </w:tc>
        <w:tc>
          <w:tcPr>
            <w:tcW w:w="1071" w:type="dxa"/>
            <w:tcBorders>
              <w:top w:val="single" w:sz="8" w:space="0" w:color="000000"/>
              <w:left w:val="single" w:sz="8" w:space="0" w:color="000000"/>
              <w:bottom w:val="single" w:sz="8" w:space="0" w:color="000000"/>
              <w:right w:val="single" w:sz="4" w:space="0" w:color="auto"/>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1</w:t>
            </w:r>
          </w:p>
        </w:tc>
        <w:tc>
          <w:tcPr>
            <w:tcW w:w="1142" w:type="dxa"/>
            <w:tcBorders>
              <w:top w:val="nil"/>
              <w:left w:val="single" w:sz="4" w:space="0" w:color="auto"/>
              <w:bottom w:val="nil"/>
              <w:right w:val="single" w:sz="4" w:space="0" w:color="auto"/>
            </w:tcBorders>
          </w:tcPr>
          <w:p w:rsidR="003A5252" w:rsidRPr="00F50942" w:rsidRDefault="003A5252" w:rsidP="00E60699">
            <w:pPr>
              <w:pStyle w:val="Tabletext"/>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 xml:space="preserve">More than 56 MHz </w:t>
            </w:r>
          </w:p>
        </w:tc>
        <w:tc>
          <w:tcPr>
            <w:tcW w:w="1097" w:type="dxa"/>
            <w:tcBorders>
              <w:top w:val="single" w:sz="8" w:space="0" w:color="000000"/>
              <w:left w:val="single" w:sz="8" w:space="0" w:color="000000"/>
              <w:bottom w:val="single" w:sz="8" w:space="0" w:color="000000"/>
              <w:right w:val="single" w:sz="8" w:space="0" w:color="000000"/>
            </w:tcBorders>
          </w:tcPr>
          <w:p w:rsidR="003A5252" w:rsidRPr="00025314" w:rsidRDefault="003A5252" w:rsidP="00E60699">
            <w:pPr>
              <w:pStyle w:val="Tabletext"/>
              <w:rPr>
                <w:rFonts w:asciiTheme="majorBidi" w:hAnsiTheme="majorBidi" w:cstheme="majorBidi"/>
                <w:szCs w:val="22"/>
              </w:rPr>
            </w:pPr>
            <w:r w:rsidRPr="00025314">
              <w:rPr>
                <w:rFonts w:asciiTheme="majorBidi" w:hAnsiTheme="majorBidi" w:cstheme="majorBidi"/>
                <w:szCs w:val="22"/>
              </w:rPr>
              <w:t>4</w:t>
            </w:r>
          </w:p>
        </w:tc>
      </w:tr>
    </w:tbl>
    <w:p w:rsidR="003A5252" w:rsidRPr="00F50942" w:rsidRDefault="003A5252" w:rsidP="00281920">
      <w:pPr>
        <w:pStyle w:val="FigureSource"/>
        <w:pBdr>
          <w:bottom w:val="single" w:sz="12" w:space="1" w:color="auto"/>
        </w:pBdr>
      </w:pPr>
    </w:p>
    <w:p w:rsidR="003A5252" w:rsidRDefault="003A5252" w:rsidP="00E60699">
      <w:pPr>
        <w:pStyle w:val="enumlev1"/>
        <w:bidi w:val="0"/>
        <w:rPr>
          <w:rFonts w:ascii="Verdana" w:hAnsi="Verdana"/>
          <w:sz w:val="19"/>
          <w:szCs w:val="19"/>
        </w:rPr>
      </w:pPr>
    </w:p>
    <w:p w:rsidR="003A5252" w:rsidRPr="00AA5C49" w:rsidRDefault="003A5252" w:rsidP="000E0958">
      <w:pPr>
        <w:pStyle w:val="enumlev1"/>
        <w:bidi w:val="0"/>
        <w:spacing w:line="240" w:lineRule="auto"/>
        <w:rPr>
          <w:rFonts w:asciiTheme="majorBidi" w:hAnsiTheme="majorBidi" w:cstheme="majorBidi"/>
          <w:szCs w:val="22"/>
          <w:lang w:val="en-US"/>
        </w:rPr>
      </w:pPr>
      <w:r w:rsidRPr="00AA5C49">
        <w:rPr>
          <w:rFonts w:asciiTheme="majorBidi" w:hAnsiTheme="majorBidi" w:cstheme="majorBidi"/>
          <w:szCs w:val="22"/>
          <w:lang w:val="en-US"/>
        </w:rPr>
        <w:t>13.2</w:t>
      </w:r>
      <w:r w:rsidRPr="00AA5C49">
        <w:rPr>
          <w:rFonts w:asciiTheme="majorBidi" w:hAnsiTheme="majorBidi" w:cstheme="majorBidi"/>
          <w:szCs w:val="22"/>
          <w:lang w:val="en-US"/>
        </w:rPr>
        <w:tab/>
        <w:t>The bandwidth for each fixed point to point link above 2 GHz shall be calculated based on the channel bandwidth (e.g. frequency pair with each frequency of 3.5 MHz + 3.5 MHz = 7 MHz shall be having BW factor of 1). The frequency diversity shall be charged as a separate link but space diversity and hot standby operations shall not add to the fees.</w:t>
      </w:r>
    </w:p>
    <w:p w:rsidR="003A5252" w:rsidRPr="00AA5C49" w:rsidRDefault="003A5252" w:rsidP="000E0958">
      <w:pPr>
        <w:pStyle w:val="enumlev1"/>
        <w:bidi w:val="0"/>
        <w:spacing w:line="240" w:lineRule="auto"/>
        <w:rPr>
          <w:rFonts w:asciiTheme="majorBidi" w:hAnsiTheme="majorBidi" w:cstheme="majorBidi"/>
          <w:szCs w:val="22"/>
          <w:lang w:val="en-US"/>
        </w:rPr>
      </w:pPr>
      <w:r w:rsidRPr="00AA5C49">
        <w:rPr>
          <w:rFonts w:asciiTheme="majorBidi" w:hAnsiTheme="majorBidi" w:cstheme="majorBidi"/>
          <w:szCs w:val="22"/>
          <w:lang w:val="en-US"/>
        </w:rPr>
        <w:t>13.3</w:t>
      </w:r>
      <w:r w:rsidRPr="00AA5C49">
        <w:rPr>
          <w:rFonts w:asciiTheme="majorBidi" w:hAnsiTheme="majorBidi" w:cstheme="majorBidi"/>
          <w:szCs w:val="22"/>
          <w:lang w:val="en-US"/>
        </w:rPr>
        <w:tab/>
        <w:t>In exceptional cases where frequency pairs are assigned for all UAE point-to-point links above 2 GHz, the annual spectrum fees shall be ten times the annual spectrum fees for one link (same parameters) based on a re-use factor of 10.</w:t>
      </w:r>
    </w:p>
    <w:p w:rsidR="003A5252" w:rsidRPr="00AA5C49" w:rsidRDefault="003A5252" w:rsidP="000E0958">
      <w:pPr>
        <w:pStyle w:val="enumlev1"/>
        <w:bidi w:val="0"/>
        <w:spacing w:line="240" w:lineRule="auto"/>
        <w:rPr>
          <w:rFonts w:asciiTheme="majorBidi" w:hAnsiTheme="majorBidi" w:cstheme="majorBidi"/>
          <w:szCs w:val="22"/>
          <w:lang w:val="en-US"/>
        </w:rPr>
      </w:pPr>
      <w:r w:rsidRPr="00AA5C49">
        <w:rPr>
          <w:rFonts w:asciiTheme="majorBidi" w:hAnsiTheme="majorBidi" w:cstheme="majorBidi"/>
          <w:szCs w:val="22"/>
          <w:lang w:val="en-US"/>
        </w:rPr>
        <w:t>13.4</w:t>
      </w:r>
      <w:r w:rsidRPr="00AA5C49">
        <w:rPr>
          <w:rFonts w:asciiTheme="majorBidi" w:hAnsiTheme="majorBidi" w:cstheme="majorBidi"/>
          <w:szCs w:val="22"/>
          <w:lang w:val="en-US"/>
        </w:rPr>
        <w:tab/>
        <w:t xml:space="preserve">The Annual Spectrum Fees for each HF fixed point to point link below 30 MHz shall be calculated as follows: </w:t>
      </w:r>
    </w:p>
    <w:p w:rsidR="003A5252" w:rsidRPr="00F50942" w:rsidRDefault="003A5252" w:rsidP="000E0958">
      <w:pPr>
        <w:bidi w:val="0"/>
        <w:spacing w:line="240" w:lineRule="auto"/>
        <w:jc w:val="center"/>
        <w:rPr>
          <w:b/>
          <w:bCs/>
          <w:szCs w:val="19"/>
        </w:rPr>
      </w:pPr>
      <w:r w:rsidRPr="00F50942">
        <w:rPr>
          <w:b/>
          <w:szCs w:val="19"/>
        </w:rPr>
        <w:t>Spectrum Fees = BW x 1000</w:t>
      </w:r>
    </w:p>
    <w:p w:rsidR="003A5252" w:rsidRPr="00F50942" w:rsidRDefault="003A5252" w:rsidP="000E0958">
      <w:pPr>
        <w:bidi w:val="0"/>
        <w:spacing w:line="240" w:lineRule="auto"/>
        <w:rPr>
          <w:szCs w:val="19"/>
        </w:rPr>
      </w:pPr>
      <w:r w:rsidRPr="00F50942">
        <w:rPr>
          <w:szCs w:val="19"/>
        </w:rPr>
        <w:tab/>
        <w:t>Where: BW is in kHz for all channels of that link</w:t>
      </w:r>
    </w:p>
    <w:p w:rsidR="003A5252" w:rsidRDefault="003A5252" w:rsidP="00E60699">
      <w:pPr>
        <w:tabs>
          <w:tab w:val="clear" w:pos="794"/>
          <w:tab w:val="clear" w:pos="1191"/>
          <w:tab w:val="clear" w:pos="1588"/>
          <w:tab w:val="clear" w:pos="1985"/>
        </w:tabs>
        <w:overflowPunct/>
        <w:autoSpaceDE/>
        <w:autoSpaceDN/>
        <w:bidi w:val="0"/>
        <w:adjustRightInd/>
        <w:spacing w:before="0"/>
        <w:jc w:val="left"/>
        <w:textAlignment w:val="auto"/>
        <w:rPr>
          <w:rFonts w:asciiTheme="majorBidi" w:hAnsiTheme="majorBidi" w:cstheme="majorBidi"/>
          <w:szCs w:val="22"/>
        </w:rPr>
      </w:pPr>
      <w:r>
        <w:rPr>
          <w:rFonts w:asciiTheme="majorBidi" w:hAnsiTheme="majorBidi" w:cstheme="majorBidi"/>
          <w:szCs w:val="22"/>
        </w:rPr>
        <w:br w:type="page"/>
      </w:r>
    </w:p>
    <w:p w:rsidR="003A5252" w:rsidRPr="005079AE" w:rsidRDefault="003A5252" w:rsidP="000E0958">
      <w:pPr>
        <w:pStyle w:val="enumlev1"/>
        <w:bidi w:val="0"/>
        <w:spacing w:line="240" w:lineRule="auto"/>
        <w:rPr>
          <w:rFonts w:asciiTheme="majorBidi" w:hAnsiTheme="majorBidi" w:cstheme="majorBidi"/>
          <w:szCs w:val="22"/>
        </w:rPr>
      </w:pPr>
      <w:r w:rsidRPr="005079AE">
        <w:rPr>
          <w:rFonts w:asciiTheme="majorBidi" w:hAnsiTheme="majorBidi" w:cstheme="majorBidi"/>
          <w:szCs w:val="22"/>
        </w:rPr>
        <w:lastRenderedPageBreak/>
        <w:t>13.5</w:t>
      </w:r>
      <w:r w:rsidRPr="005079AE">
        <w:rPr>
          <w:rFonts w:asciiTheme="majorBidi" w:hAnsiTheme="majorBidi" w:cstheme="majorBidi"/>
          <w:szCs w:val="22"/>
        </w:rPr>
        <w:tab/>
        <w:t xml:space="preserve">The Annual Spectrum Fees for each VHF and UHF fixed point to point link below 2 GHz shall be calculated as follows: </w:t>
      </w:r>
    </w:p>
    <w:p w:rsidR="003A5252" w:rsidRPr="00382736" w:rsidRDefault="003A5252" w:rsidP="00E60699">
      <w:pPr>
        <w:pStyle w:val="Headingb"/>
        <w:bidi w:val="0"/>
        <w:jc w:val="center"/>
        <w:rPr>
          <w:szCs w:val="22"/>
        </w:rPr>
      </w:pPr>
      <w:r w:rsidRPr="00382736">
        <w:rPr>
          <w:szCs w:val="22"/>
        </w:rPr>
        <w:t>Spectrum Fees = BW x 500</w:t>
      </w:r>
    </w:p>
    <w:p w:rsidR="003A5252" w:rsidRPr="00F50942" w:rsidRDefault="003A5252" w:rsidP="000E0958">
      <w:pPr>
        <w:bidi w:val="0"/>
        <w:spacing w:before="80" w:line="240" w:lineRule="auto"/>
        <w:ind w:left="794" w:hanging="794"/>
        <w:rPr>
          <w:szCs w:val="19"/>
        </w:rPr>
      </w:pPr>
      <w:r w:rsidRPr="00F50942">
        <w:rPr>
          <w:szCs w:val="19"/>
        </w:rPr>
        <w:tab/>
        <w:t>Where: BW is in kHz for all channels of that link</w:t>
      </w:r>
    </w:p>
    <w:p w:rsidR="003A5252" w:rsidRPr="00F50942" w:rsidRDefault="003A5252" w:rsidP="000E0958">
      <w:pPr>
        <w:pStyle w:val="Arttitle"/>
        <w:spacing w:before="400"/>
      </w:pPr>
      <w:bookmarkStart w:id="318" w:name="_Toc280261836"/>
      <w:bookmarkStart w:id="319" w:name="_Toc280262334"/>
      <w:bookmarkStart w:id="320" w:name="_Toc280272728"/>
      <w:bookmarkStart w:id="321" w:name="_Toc280272907"/>
      <w:r>
        <w:t>Article 14</w:t>
      </w:r>
      <w:r>
        <w:br/>
      </w:r>
      <w:r>
        <w:br/>
      </w:r>
      <w:bookmarkStart w:id="322" w:name="_Toc199215037"/>
      <w:r w:rsidRPr="00F50942">
        <w:t>Spectrum Fees for FWA, SCADA, Telemetry, Mesh Networks</w:t>
      </w:r>
      <w:bookmarkEnd w:id="318"/>
      <w:bookmarkEnd w:id="319"/>
      <w:bookmarkEnd w:id="320"/>
      <w:bookmarkEnd w:id="321"/>
      <w:bookmarkEnd w:id="322"/>
    </w:p>
    <w:p w:rsidR="003A5252" w:rsidRPr="00A025FD" w:rsidRDefault="003A5252" w:rsidP="000E0958">
      <w:pPr>
        <w:pStyle w:val="enumlev1"/>
        <w:bidi w:val="0"/>
        <w:spacing w:line="240" w:lineRule="auto"/>
        <w:rPr>
          <w:rFonts w:asciiTheme="majorBidi" w:hAnsiTheme="majorBidi" w:cstheme="majorBidi"/>
          <w:szCs w:val="22"/>
        </w:rPr>
      </w:pPr>
      <w:r w:rsidRPr="00A025FD">
        <w:rPr>
          <w:rFonts w:asciiTheme="majorBidi" w:hAnsiTheme="majorBidi" w:cstheme="majorBidi"/>
          <w:szCs w:val="22"/>
        </w:rPr>
        <w:t>14.1</w:t>
      </w:r>
      <w:r w:rsidRPr="00A025FD">
        <w:rPr>
          <w:rFonts w:asciiTheme="majorBidi" w:hAnsiTheme="majorBidi" w:cstheme="majorBidi"/>
          <w:szCs w:val="22"/>
        </w:rPr>
        <w:tab/>
        <w:t xml:space="preserve">The Annual Spectrum Fees for Fixed Wireless Access (including Wireless Local loop and Point to multipoint), SCADA, Telemetry and mesh networks below 1 GHz shall be calculated as follows: </w:t>
      </w:r>
    </w:p>
    <w:p w:rsidR="003A5252" w:rsidRPr="00A025FD" w:rsidRDefault="003A5252" w:rsidP="000E0958">
      <w:pPr>
        <w:pStyle w:val="Headingb"/>
        <w:bidi w:val="0"/>
        <w:spacing w:line="240" w:lineRule="auto"/>
        <w:jc w:val="center"/>
        <w:rPr>
          <w:szCs w:val="22"/>
          <w:lang w:val="en-US"/>
        </w:rPr>
      </w:pPr>
      <w:r w:rsidRPr="00A025FD">
        <w:rPr>
          <w:szCs w:val="22"/>
          <w:lang w:val="en-US"/>
        </w:rPr>
        <w:t>Spectrum Fees = BW x 2000</w:t>
      </w:r>
    </w:p>
    <w:p w:rsidR="003A5252" w:rsidRPr="00796467" w:rsidRDefault="003A5252" w:rsidP="000E0958">
      <w:pPr>
        <w:bidi w:val="0"/>
        <w:spacing w:line="240" w:lineRule="auto"/>
        <w:rPr>
          <w:rFonts w:asciiTheme="majorBidi" w:hAnsiTheme="majorBidi" w:cstheme="majorBidi"/>
          <w:szCs w:val="22"/>
        </w:rPr>
      </w:pPr>
      <w:r w:rsidRPr="00F50942">
        <w:rPr>
          <w:rFonts w:ascii="Verdana" w:hAnsi="Verdana"/>
          <w:sz w:val="19"/>
          <w:szCs w:val="19"/>
        </w:rPr>
        <w:tab/>
      </w:r>
      <w:r w:rsidRPr="00796467">
        <w:rPr>
          <w:rFonts w:asciiTheme="majorBidi" w:hAnsiTheme="majorBidi" w:cstheme="majorBidi"/>
          <w:szCs w:val="22"/>
        </w:rPr>
        <w:t>Where</w:t>
      </w:r>
      <w:r w:rsidRPr="00796467">
        <w:rPr>
          <w:rFonts w:asciiTheme="majorBidi" w:hAnsiTheme="majorBidi" w:cstheme="majorBidi"/>
          <w:b/>
          <w:bCs/>
          <w:szCs w:val="22"/>
        </w:rPr>
        <w:t xml:space="preserve"> BW = </w:t>
      </w:r>
      <w:r w:rsidRPr="00796467">
        <w:rPr>
          <w:rFonts w:asciiTheme="majorBidi" w:hAnsiTheme="majorBidi" w:cstheme="majorBidi"/>
          <w:szCs w:val="22"/>
        </w:rPr>
        <w:t xml:space="preserve">Total Bandwidth in kHz </w:t>
      </w:r>
    </w:p>
    <w:p w:rsidR="003A5252" w:rsidRPr="00F50942" w:rsidRDefault="003A5252" w:rsidP="000E0958">
      <w:pPr>
        <w:bidi w:val="0"/>
        <w:spacing w:line="240" w:lineRule="auto"/>
        <w:ind w:left="720" w:hanging="720"/>
        <w:rPr>
          <w:szCs w:val="19"/>
        </w:rPr>
      </w:pPr>
      <w:r w:rsidRPr="00F50942">
        <w:rPr>
          <w:szCs w:val="19"/>
        </w:rPr>
        <w:t>14.2</w:t>
      </w:r>
      <w:r w:rsidRPr="00F50942">
        <w:rPr>
          <w:szCs w:val="19"/>
        </w:rPr>
        <w:tab/>
        <w:t xml:space="preserve">The Annual Spectrum Fees for Fixed Wireless Access (including Wireless Local loop and Point to multipoint), SCADA, Fixed Broadband and mesh networks between 1 GHz and 4 GHz shall be calculated as follows: </w:t>
      </w:r>
    </w:p>
    <w:p w:rsidR="003A5252" w:rsidRPr="00F50942" w:rsidRDefault="003A5252" w:rsidP="000E0958">
      <w:pPr>
        <w:bidi w:val="0"/>
        <w:spacing w:line="240" w:lineRule="auto"/>
        <w:jc w:val="center"/>
        <w:rPr>
          <w:color w:val="000000"/>
          <w:szCs w:val="19"/>
        </w:rPr>
      </w:pPr>
      <w:r w:rsidRPr="00F50942">
        <w:rPr>
          <w:b/>
          <w:color w:val="000000"/>
          <w:szCs w:val="19"/>
        </w:rPr>
        <w:t>Spectrum Fees = BW x CF x 5</w:t>
      </w:r>
    </w:p>
    <w:p w:rsidR="003A5252" w:rsidRPr="00F50942" w:rsidRDefault="003A5252" w:rsidP="000E0958">
      <w:pPr>
        <w:bidi w:val="0"/>
        <w:spacing w:line="240" w:lineRule="auto"/>
        <w:rPr>
          <w:b/>
          <w:bCs/>
          <w:color w:val="000000"/>
          <w:szCs w:val="19"/>
        </w:rPr>
      </w:pPr>
      <w:r w:rsidRPr="00F50942">
        <w:rPr>
          <w:szCs w:val="19"/>
        </w:rPr>
        <w:tab/>
        <w:t>Where</w:t>
      </w:r>
      <w:r w:rsidRPr="00F50942">
        <w:rPr>
          <w:b/>
          <w:color w:val="000000"/>
          <w:szCs w:val="19"/>
        </w:rPr>
        <w:t xml:space="preserve"> </w:t>
      </w:r>
    </w:p>
    <w:p w:rsidR="003A5252" w:rsidRPr="00F50942" w:rsidRDefault="003A5252" w:rsidP="000E0958">
      <w:pPr>
        <w:bidi w:val="0"/>
        <w:spacing w:line="240" w:lineRule="auto"/>
        <w:ind w:firstLine="720"/>
        <w:rPr>
          <w:color w:val="000000"/>
          <w:szCs w:val="19"/>
        </w:rPr>
      </w:pPr>
      <w:r w:rsidRPr="00F50942">
        <w:rPr>
          <w:b/>
          <w:color w:val="000000"/>
          <w:szCs w:val="19"/>
        </w:rPr>
        <w:t xml:space="preserve">BW = </w:t>
      </w:r>
      <w:r w:rsidRPr="00F50942">
        <w:rPr>
          <w:color w:val="000000"/>
          <w:szCs w:val="19"/>
        </w:rPr>
        <w:t>Total Bandwidth in MHz</w:t>
      </w:r>
    </w:p>
    <w:p w:rsidR="003A5252" w:rsidRDefault="003A5252" w:rsidP="000E0958">
      <w:pPr>
        <w:bidi w:val="0"/>
        <w:spacing w:line="240" w:lineRule="auto"/>
        <w:ind w:left="720"/>
        <w:rPr>
          <w:color w:val="000000"/>
          <w:szCs w:val="19"/>
        </w:rPr>
      </w:pPr>
      <w:r w:rsidRPr="00F50942">
        <w:rPr>
          <w:b/>
          <w:color w:val="000000"/>
          <w:szCs w:val="19"/>
        </w:rPr>
        <w:t xml:space="preserve">CF= </w:t>
      </w:r>
      <w:r w:rsidRPr="00F50942">
        <w:rPr>
          <w:color w:val="000000"/>
          <w:szCs w:val="19"/>
        </w:rPr>
        <w:t xml:space="preserve">Coverage Factor depending on the geographical area which will be determined as follows: </w:t>
      </w:r>
    </w:p>
    <w:p w:rsidR="003A5252" w:rsidRPr="00F50942" w:rsidRDefault="003A5252" w:rsidP="00E60699">
      <w:pPr>
        <w:bidi w:val="0"/>
        <w:ind w:left="720"/>
        <w:rPr>
          <w:color w:val="000000"/>
          <w:szCs w:val="19"/>
        </w:rPr>
      </w:pPr>
    </w:p>
    <w:p w:rsidR="003A5252" w:rsidRPr="00F50942" w:rsidRDefault="003A5252" w:rsidP="00EE251B">
      <w:pPr>
        <w:pStyle w:val="FigureTitle"/>
        <w:pBdr>
          <w:top w:val="single" w:sz="12" w:space="10" w:color="000000"/>
        </w:pBdr>
      </w:pPr>
    </w:p>
    <w:tbl>
      <w:tblPr>
        <w:tblW w:w="0" w:type="auto"/>
        <w:tblInd w:w="925" w:type="dxa"/>
        <w:tblBorders>
          <w:top w:val="nil"/>
          <w:left w:val="nil"/>
          <w:bottom w:val="nil"/>
          <w:right w:val="nil"/>
        </w:tblBorders>
        <w:tblLook w:val="0000"/>
      </w:tblPr>
      <w:tblGrid>
        <w:gridCol w:w="681"/>
        <w:gridCol w:w="1475"/>
        <w:gridCol w:w="1523"/>
        <w:gridCol w:w="3268"/>
        <w:gridCol w:w="817"/>
      </w:tblGrid>
      <w:tr w:rsidR="003A5252" w:rsidRPr="00F50942" w:rsidTr="00026C26">
        <w:trPr>
          <w:trHeight w:val="319"/>
        </w:trPr>
        <w:tc>
          <w:tcPr>
            <w:tcW w:w="0" w:type="auto"/>
            <w:tcBorders>
              <w:top w:val="single" w:sz="8" w:space="0" w:color="000000"/>
              <w:left w:val="single" w:sz="8" w:space="0" w:color="000000"/>
              <w:bottom w:val="single" w:sz="8" w:space="0" w:color="000000"/>
              <w:right w:val="single" w:sz="8" w:space="0" w:color="000000"/>
            </w:tcBorders>
          </w:tcPr>
          <w:p w:rsidR="003A5252" w:rsidRPr="00AE5B8E" w:rsidRDefault="003A5252" w:rsidP="00E60699">
            <w:pPr>
              <w:pStyle w:val="Tablehead"/>
              <w:rPr>
                <w:rFonts w:asciiTheme="majorBidi" w:hAnsiTheme="majorBidi" w:cstheme="majorBidi"/>
                <w:szCs w:val="22"/>
              </w:rPr>
            </w:pPr>
            <w:r w:rsidRPr="00AE5B8E">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3A5252" w:rsidRPr="00AE5B8E" w:rsidRDefault="003A5252" w:rsidP="00E60699">
            <w:pPr>
              <w:pStyle w:val="Tablehead"/>
              <w:rPr>
                <w:rFonts w:asciiTheme="majorBidi" w:hAnsiTheme="majorBidi" w:cstheme="majorBidi"/>
                <w:szCs w:val="22"/>
              </w:rPr>
            </w:pPr>
            <w:r w:rsidRPr="00AE5B8E">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3A5252" w:rsidRPr="00AE5B8E" w:rsidRDefault="003A5252" w:rsidP="00E60699">
            <w:pPr>
              <w:pStyle w:val="Tablehead"/>
              <w:rPr>
                <w:rFonts w:asciiTheme="majorBidi" w:hAnsiTheme="majorBidi" w:cstheme="majorBidi"/>
                <w:szCs w:val="22"/>
              </w:rPr>
            </w:pPr>
            <w:r w:rsidRPr="00AE5B8E">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3A5252" w:rsidRPr="00AE5B8E" w:rsidRDefault="003A5252" w:rsidP="00E60699">
            <w:pPr>
              <w:pStyle w:val="Tablehead"/>
              <w:rPr>
                <w:rFonts w:asciiTheme="majorBidi" w:hAnsiTheme="majorBidi" w:cstheme="majorBidi"/>
                <w:szCs w:val="22"/>
              </w:rPr>
            </w:pPr>
            <w:r w:rsidRPr="00AE5B8E">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3A5252" w:rsidRPr="00AE5B8E" w:rsidRDefault="003A5252" w:rsidP="00E60699">
            <w:pPr>
              <w:pStyle w:val="Tablehead"/>
              <w:rPr>
                <w:rFonts w:asciiTheme="majorBidi" w:hAnsiTheme="majorBidi" w:cstheme="majorBidi"/>
                <w:szCs w:val="22"/>
              </w:rPr>
            </w:pPr>
            <w:r w:rsidRPr="00AE5B8E">
              <w:rPr>
                <w:rFonts w:asciiTheme="majorBidi" w:hAnsiTheme="majorBidi" w:cstheme="majorBidi"/>
                <w:szCs w:val="22"/>
              </w:rPr>
              <w:t xml:space="preserve">All UAE </w:t>
            </w:r>
          </w:p>
        </w:tc>
      </w:tr>
      <w:tr w:rsidR="003A5252" w:rsidRPr="00F50942" w:rsidTr="00026C26">
        <w:trPr>
          <w:trHeight w:val="319"/>
        </w:trPr>
        <w:tc>
          <w:tcPr>
            <w:tcW w:w="0" w:type="auto"/>
            <w:tcBorders>
              <w:top w:val="single" w:sz="8" w:space="0" w:color="000000"/>
              <w:left w:val="single" w:sz="8" w:space="0" w:color="000000"/>
              <w:bottom w:val="single" w:sz="8" w:space="0" w:color="000000"/>
              <w:right w:val="single" w:sz="8" w:space="0" w:color="000000"/>
            </w:tcBorders>
          </w:tcPr>
          <w:p w:rsidR="003A5252" w:rsidRPr="00AE5B8E" w:rsidRDefault="003A5252" w:rsidP="00E60699">
            <w:pPr>
              <w:pStyle w:val="Tabletext"/>
              <w:rPr>
                <w:rFonts w:asciiTheme="majorBidi" w:hAnsiTheme="majorBidi" w:cstheme="majorBidi"/>
                <w:szCs w:val="22"/>
              </w:rPr>
            </w:pPr>
            <w:r w:rsidRPr="00AE5B8E">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3A5252" w:rsidRPr="00AE5B8E" w:rsidRDefault="003A5252" w:rsidP="00E60699">
            <w:pPr>
              <w:pStyle w:val="Tabletext"/>
              <w:rPr>
                <w:rFonts w:asciiTheme="majorBidi" w:hAnsiTheme="majorBidi" w:cstheme="majorBidi"/>
                <w:szCs w:val="22"/>
              </w:rPr>
            </w:pPr>
            <w:r w:rsidRPr="00AE5B8E">
              <w:rPr>
                <w:rFonts w:asciiTheme="majorBidi" w:hAnsiTheme="majorBidi" w:cstheme="majorBidi"/>
                <w:szCs w:val="22"/>
              </w:rPr>
              <w:t xml:space="preserve">100 </w:t>
            </w:r>
          </w:p>
        </w:tc>
        <w:tc>
          <w:tcPr>
            <w:tcW w:w="1523" w:type="dxa"/>
            <w:tcBorders>
              <w:top w:val="single" w:sz="8" w:space="0" w:color="000000"/>
              <w:left w:val="single" w:sz="8" w:space="0" w:color="000000"/>
              <w:bottom w:val="single" w:sz="8" w:space="0" w:color="000000"/>
              <w:right w:val="single" w:sz="8" w:space="0" w:color="000000"/>
            </w:tcBorders>
          </w:tcPr>
          <w:p w:rsidR="003A5252" w:rsidRPr="00AE5B8E" w:rsidRDefault="003A5252" w:rsidP="00E60699">
            <w:pPr>
              <w:pStyle w:val="Tabletext"/>
              <w:rPr>
                <w:rFonts w:asciiTheme="majorBidi" w:hAnsiTheme="majorBidi" w:cstheme="majorBidi"/>
                <w:szCs w:val="22"/>
              </w:rPr>
            </w:pPr>
            <w:r w:rsidRPr="00AE5B8E">
              <w:rPr>
                <w:rFonts w:asciiTheme="majorBidi" w:hAnsiTheme="majorBidi" w:cstheme="majorBidi"/>
                <w:szCs w:val="22"/>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3A5252" w:rsidRPr="00AE5B8E" w:rsidRDefault="003A5252" w:rsidP="00E60699">
            <w:pPr>
              <w:pStyle w:val="Tabletext"/>
              <w:rPr>
                <w:rFonts w:asciiTheme="majorBidi" w:hAnsiTheme="majorBidi" w:cstheme="majorBidi"/>
                <w:szCs w:val="22"/>
              </w:rPr>
            </w:pPr>
            <w:r w:rsidRPr="00AE5B8E">
              <w:rPr>
                <w:rFonts w:asciiTheme="majorBidi" w:hAnsiTheme="majorBidi" w:cstheme="majorBidi"/>
                <w:szCs w:val="22"/>
              </w:rPr>
              <w:t>2000 for Abu Dhabi or Dubai</w:t>
            </w:r>
          </w:p>
          <w:p w:rsidR="003A5252" w:rsidRPr="00AE5B8E" w:rsidRDefault="003A5252" w:rsidP="00E60699">
            <w:pPr>
              <w:pStyle w:val="Tabletext"/>
              <w:rPr>
                <w:rFonts w:asciiTheme="majorBidi" w:hAnsiTheme="majorBidi" w:cstheme="majorBidi"/>
                <w:szCs w:val="22"/>
              </w:rPr>
            </w:pPr>
            <w:r w:rsidRPr="00AE5B8E">
              <w:rPr>
                <w:rFonts w:asciiTheme="majorBidi" w:hAnsiTheme="majorBidi" w:cstheme="majorBidi"/>
                <w:szCs w:val="22"/>
              </w:rPr>
              <w:t>1000 for other Emirates</w:t>
            </w:r>
          </w:p>
        </w:tc>
        <w:tc>
          <w:tcPr>
            <w:tcW w:w="817" w:type="dxa"/>
            <w:tcBorders>
              <w:top w:val="single" w:sz="8" w:space="0" w:color="000000"/>
              <w:left w:val="single" w:sz="8" w:space="0" w:color="000000"/>
              <w:bottom w:val="single" w:sz="8" w:space="0" w:color="000000"/>
              <w:right w:val="single" w:sz="8" w:space="0" w:color="000000"/>
            </w:tcBorders>
          </w:tcPr>
          <w:p w:rsidR="003A5252" w:rsidRPr="00AE5B8E" w:rsidRDefault="003A5252" w:rsidP="00E60699">
            <w:pPr>
              <w:pStyle w:val="Tabletext"/>
              <w:rPr>
                <w:rFonts w:asciiTheme="majorBidi" w:hAnsiTheme="majorBidi" w:cstheme="majorBidi"/>
                <w:szCs w:val="22"/>
              </w:rPr>
            </w:pPr>
            <w:r w:rsidRPr="00AE5B8E">
              <w:rPr>
                <w:rFonts w:asciiTheme="majorBidi" w:hAnsiTheme="majorBidi" w:cstheme="majorBidi"/>
                <w:szCs w:val="22"/>
              </w:rPr>
              <w:t xml:space="preserve">4,000 </w:t>
            </w:r>
          </w:p>
        </w:tc>
      </w:tr>
    </w:tbl>
    <w:p w:rsidR="003A5252" w:rsidRDefault="003A5252" w:rsidP="00281920">
      <w:pPr>
        <w:pStyle w:val="FigureSource"/>
        <w:pBdr>
          <w:bottom w:val="single" w:sz="12" w:space="1" w:color="auto"/>
        </w:pBdr>
      </w:pPr>
    </w:p>
    <w:p w:rsidR="003A5252" w:rsidRPr="00F50942" w:rsidRDefault="003A5252" w:rsidP="000E0958">
      <w:pPr>
        <w:pStyle w:val="Arttitle"/>
        <w:spacing w:before="400"/>
      </w:pPr>
      <w:bookmarkStart w:id="323" w:name="_Toc280261837"/>
      <w:bookmarkStart w:id="324" w:name="_Toc280262335"/>
      <w:bookmarkStart w:id="325" w:name="_Toc280272729"/>
      <w:bookmarkStart w:id="326" w:name="_Toc280272908"/>
      <w:r>
        <w:t xml:space="preserve">Article </w:t>
      </w:r>
      <w:r w:rsidRPr="00F50942">
        <w:rPr>
          <w:color w:val="000000"/>
          <w:lang w:val="en-US"/>
        </w:rPr>
        <w:t>15</w:t>
      </w:r>
      <w:r>
        <w:rPr>
          <w:color w:val="000000"/>
          <w:lang w:val="en-US"/>
        </w:rPr>
        <w:br/>
      </w:r>
      <w:r>
        <w:rPr>
          <w:color w:val="000000"/>
          <w:lang w:val="en-US"/>
        </w:rPr>
        <w:br/>
      </w:r>
      <w:bookmarkStart w:id="327" w:name="_Toc199215038"/>
      <w:r w:rsidRPr="00F50942">
        <w:t xml:space="preserve">Spectrum Fees for </w:t>
      </w:r>
      <w:smartTag w:uri="urn:schemas-microsoft-com:office:smarttags" w:element="place">
        <w:r w:rsidRPr="00F50942">
          <w:t>Mobile</w:t>
        </w:r>
      </w:smartTag>
      <w:r w:rsidRPr="00F50942">
        <w:t xml:space="preserve"> Broadband Wireless Access</w:t>
      </w:r>
      <w:bookmarkEnd w:id="323"/>
      <w:bookmarkEnd w:id="324"/>
      <w:bookmarkEnd w:id="325"/>
      <w:bookmarkEnd w:id="326"/>
      <w:bookmarkEnd w:id="327"/>
    </w:p>
    <w:p w:rsidR="003A5252" w:rsidRPr="00C70806" w:rsidRDefault="003A5252" w:rsidP="000E0958">
      <w:pPr>
        <w:pStyle w:val="enumlev1"/>
        <w:bidi w:val="0"/>
        <w:spacing w:line="240" w:lineRule="auto"/>
        <w:rPr>
          <w:rFonts w:asciiTheme="majorBidi" w:hAnsiTheme="majorBidi" w:cstheme="majorBidi"/>
          <w:szCs w:val="22"/>
        </w:rPr>
      </w:pPr>
      <w:r w:rsidRPr="00C70806">
        <w:rPr>
          <w:rFonts w:asciiTheme="majorBidi" w:hAnsiTheme="majorBidi" w:cstheme="majorBidi"/>
          <w:szCs w:val="22"/>
        </w:rPr>
        <w:t>15.1</w:t>
      </w:r>
      <w:r w:rsidRPr="00C70806">
        <w:rPr>
          <w:rFonts w:asciiTheme="majorBidi" w:hAnsiTheme="majorBidi" w:cstheme="majorBidi"/>
          <w:szCs w:val="22"/>
        </w:rPr>
        <w:tab/>
        <w:t xml:space="preserve">The Annual Spectrum Fees for Mobile Broadband Wireless Access between 2 GHz to 4 GHz shall be calculated as follows: </w:t>
      </w:r>
    </w:p>
    <w:p w:rsidR="003A5252" w:rsidRPr="00F50942" w:rsidRDefault="003A5252" w:rsidP="000E0958">
      <w:pPr>
        <w:bidi w:val="0"/>
        <w:spacing w:line="240" w:lineRule="auto"/>
        <w:jc w:val="center"/>
        <w:rPr>
          <w:color w:val="000000"/>
          <w:szCs w:val="19"/>
        </w:rPr>
      </w:pPr>
      <w:r w:rsidRPr="00F50942">
        <w:rPr>
          <w:b/>
          <w:color w:val="000000"/>
          <w:szCs w:val="19"/>
        </w:rPr>
        <w:t>Spectrum Fees = BW x CF x 10</w:t>
      </w:r>
    </w:p>
    <w:p w:rsidR="003A5252" w:rsidRPr="00F50942" w:rsidRDefault="003A5252" w:rsidP="000E0958">
      <w:pPr>
        <w:bidi w:val="0"/>
        <w:spacing w:line="240" w:lineRule="auto"/>
        <w:ind w:firstLine="720"/>
        <w:rPr>
          <w:b/>
          <w:bCs/>
          <w:color w:val="000000"/>
          <w:szCs w:val="19"/>
        </w:rPr>
      </w:pPr>
      <w:r w:rsidRPr="00F50942">
        <w:rPr>
          <w:szCs w:val="19"/>
        </w:rPr>
        <w:t>Where</w:t>
      </w:r>
      <w:r w:rsidRPr="00F50942">
        <w:rPr>
          <w:b/>
          <w:color w:val="000000"/>
          <w:szCs w:val="19"/>
        </w:rPr>
        <w:t xml:space="preserve"> </w:t>
      </w:r>
    </w:p>
    <w:p w:rsidR="003A5252" w:rsidRPr="00F50942" w:rsidRDefault="003A5252" w:rsidP="000E0958">
      <w:pPr>
        <w:bidi w:val="0"/>
        <w:spacing w:line="240" w:lineRule="auto"/>
        <w:ind w:firstLine="720"/>
        <w:rPr>
          <w:color w:val="000000"/>
          <w:szCs w:val="19"/>
        </w:rPr>
      </w:pPr>
      <w:r w:rsidRPr="00F50942">
        <w:rPr>
          <w:b/>
          <w:color w:val="000000"/>
          <w:szCs w:val="19"/>
        </w:rPr>
        <w:t xml:space="preserve">BW = </w:t>
      </w:r>
      <w:r w:rsidRPr="00F50942">
        <w:rPr>
          <w:color w:val="000000"/>
          <w:szCs w:val="19"/>
        </w:rPr>
        <w:t>Total Bandwidth in MHz</w:t>
      </w:r>
    </w:p>
    <w:p w:rsidR="003A5252" w:rsidRPr="00F50942" w:rsidRDefault="003A5252" w:rsidP="000E0958">
      <w:pPr>
        <w:bidi w:val="0"/>
        <w:spacing w:line="240" w:lineRule="auto"/>
        <w:ind w:left="720"/>
        <w:rPr>
          <w:color w:val="000000"/>
          <w:szCs w:val="19"/>
        </w:rPr>
      </w:pPr>
      <w:r w:rsidRPr="00F50942">
        <w:rPr>
          <w:b/>
          <w:color w:val="000000"/>
          <w:szCs w:val="19"/>
        </w:rPr>
        <w:t xml:space="preserve">CF= </w:t>
      </w:r>
      <w:r w:rsidRPr="00F50942">
        <w:rPr>
          <w:color w:val="000000"/>
          <w:szCs w:val="19"/>
        </w:rPr>
        <w:t xml:space="preserve">Coverage Factor depending on the geographical area which will be determined as follows: </w:t>
      </w:r>
    </w:p>
    <w:p w:rsidR="003A5252" w:rsidRDefault="003A5252" w:rsidP="00E60699">
      <w:pPr>
        <w:bidi w:val="0"/>
      </w:pPr>
    </w:p>
    <w:p w:rsidR="003A5252" w:rsidRPr="00F50942" w:rsidRDefault="003A5252" w:rsidP="00EE251B">
      <w:pPr>
        <w:pStyle w:val="FigureTitle"/>
        <w:pBdr>
          <w:top w:val="single" w:sz="12" w:space="10" w:color="000000"/>
        </w:pBdr>
      </w:pPr>
    </w:p>
    <w:tbl>
      <w:tblPr>
        <w:tblW w:w="0" w:type="auto"/>
        <w:tblInd w:w="925" w:type="dxa"/>
        <w:tblBorders>
          <w:top w:val="nil"/>
          <w:left w:val="nil"/>
          <w:bottom w:val="nil"/>
          <w:right w:val="nil"/>
        </w:tblBorders>
        <w:tblLook w:val="0000"/>
      </w:tblPr>
      <w:tblGrid>
        <w:gridCol w:w="681"/>
        <w:gridCol w:w="1475"/>
        <w:gridCol w:w="1523"/>
        <w:gridCol w:w="3268"/>
        <w:gridCol w:w="817"/>
      </w:tblGrid>
      <w:tr w:rsidR="003A5252" w:rsidRPr="00F50942" w:rsidTr="00026C26">
        <w:trPr>
          <w:trHeight w:val="319"/>
        </w:trPr>
        <w:tc>
          <w:tcPr>
            <w:tcW w:w="0" w:type="auto"/>
            <w:tcBorders>
              <w:top w:val="single" w:sz="8" w:space="0" w:color="000000"/>
              <w:left w:val="single" w:sz="8" w:space="0" w:color="000000"/>
              <w:bottom w:val="single" w:sz="8" w:space="0" w:color="000000"/>
              <w:right w:val="single" w:sz="8" w:space="0" w:color="000000"/>
            </w:tcBorders>
          </w:tcPr>
          <w:p w:rsidR="003A5252" w:rsidRPr="0092737A" w:rsidRDefault="003A5252" w:rsidP="00E60699">
            <w:pPr>
              <w:pStyle w:val="Tablehead"/>
              <w:rPr>
                <w:rFonts w:asciiTheme="majorBidi" w:hAnsiTheme="majorBidi" w:cstheme="majorBidi"/>
                <w:szCs w:val="22"/>
              </w:rPr>
            </w:pPr>
            <w:r w:rsidRPr="0092737A">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3A5252" w:rsidRPr="0092737A" w:rsidRDefault="003A5252" w:rsidP="00E60699">
            <w:pPr>
              <w:pStyle w:val="Tablehead"/>
              <w:rPr>
                <w:rFonts w:asciiTheme="majorBidi" w:hAnsiTheme="majorBidi" w:cstheme="majorBidi"/>
                <w:szCs w:val="22"/>
              </w:rPr>
            </w:pPr>
            <w:r w:rsidRPr="0092737A">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3A5252" w:rsidRPr="0092737A" w:rsidRDefault="003A5252" w:rsidP="00E60699">
            <w:pPr>
              <w:pStyle w:val="Tablehead"/>
              <w:rPr>
                <w:rFonts w:asciiTheme="majorBidi" w:hAnsiTheme="majorBidi" w:cstheme="majorBidi"/>
                <w:szCs w:val="22"/>
              </w:rPr>
            </w:pPr>
            <w:r w:rsidRPr="0092737A">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3A5252" w:rsidRPr="0092737A" w:rsidRDefault="003A5252" w:rsidP="00E60699">
            <w:pPr>
              <w:pStyle w:val="Tablehead"/>
              <w:rPr>
                <w:rFonts w:asciiTheme="majorBidi" w:hAnsiTheme="majorBidi" w:cstheme="majorBidi"/>
                <w:szCs w:val="22"/>
              </w:rPr>
            </w:pPr>
            <w:r w:rsidRPr="0092737A">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3A5252" w:rsidRPr="0092737A" w:rsidRDefault="003A5252" w:rsidP="00E60699">
            <w:pPr>
              <w:pStyle w:val="Tablehead"/>
              <w:rPr>
                <w:rFonts w:asciiTheme="majorBidi" w:hAnsiTheme="majorBidi" w:cstheme="majorBidi"/>
                <w:szCs w:val="22"/>
              </w:rPr>
            </w:pPr>
            <w:r w:rsidRPr="0092737A">
              <w:rPr>
                <w:rFonts w:asciiTheme="majorBidi" w:hAnsiTheme="majorBidi" w:cstheme="majorBidi"/>
                <w:szCs w:val="22"/>
              </w:rPr>
              <w:t xml:space="preserve">All UAE </w:t>
            </w:r>
          </w:p>
        </w:tc>
      </w:tr>
      <w:tr w:rsidR="003A5252" w:rsidRPr="00F50942" w:rsidTr="00026C26">
        <w:trPr>
          <w:trHeight w:val="319"/>
        </w:trPr>
        <w:tc>
          <w:tcPr>
            <w:tcW w:w="0" w:type="auto"/>
            <w:tcBorders>
              <w:top w:val="single" w:sz="8" w:space="0" w:color="000000"/>
              <w:left w:val="single" w:sz="8" w:space="0" w:color="000000"/>
              <w:bottom w:val="single" w:sz="8" w:space="0" w:color="000000"/>
              <w:right w:val="single" w:sz="8" w:space="0" w:color="000000"/>
            </w:tcBorders>
          </w:tcPr>
          <w:p w:rsidR="003A5252" w:rsidRPr="0092737A" w:rsidRDefault="003A5252" w:rsidP="00E60699">
            <w:pPr>
              <w:pStyle w:val="Tabletext"/>
              <w:rPr>
                <w:rFonts w:asciiTheme="majorBidi" w:hAnsiTheme="majorBidi" w:cstheme="majorBidi"/>
                <w:szCs w:val="22"/>
              </w:rPr>
            </w:pPr>
            <w:r w:rsidRPr="0092737A">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3A5252" w:rsidRPr="0092737A" w:rsidRDefault="003A5252" w:rsidP="00E60699">
            <w:pPr>
              <w:pStyle w:val="Tabletext"/>
              <w:rPr>
                <w:rFonts w:asciiTheme="majorBidi" w:hAnsiTheme="majorBidi" w:cstheme="majorBidi"/>
                <w:szCs w:val="22"/>
              </w:rPr>
            </w:pPr>
            <w:r w:rsidRPr="0092737A">
              <w:rPr>
                <w:rFonts w:asciiTheme="majorBidi" w:hAnsiTheme="majorBidi" w:cstheme="majorBidi"/>
                <w:szCs w:val="22"/>
              </w:rPr>
              <w:t xml:space="preserve">100 </w:t>
            </w:r>
          </w:p>
        </w:tc>
        <w:tc>
          <w:tcPr>
            <w:tcW w:w="1523" w:type="dxa"/>
            <w:tcBorders>
              <w:top w:val="single" w:sz="8" w:space="0" w:color="000000"/>
              <w:left w:val="single" w:sz="8" w:space="0" w:color="000000"/>
              <w:bottom w:val="single" w:sz="8" w:space="0" w:color="000000"/>
              <w:right w:val="single" w:sz="8" w:space="0" w:color="000000"/>
            </w:tcBorders>
          </w:tcPr>
          <w:p w:rsidR="003A5252" w:rsidRPr="0092737A" w:rsidRDefault="003A5252" w:rsidP="00E60699">
            <w:pPr>
              <w:pStyle w:val="Tabletext"/>
              <w:rPr>
                <w:rFonts w:asciiTheme="majorBidi" w:hAnsiTheme="majorBidi" w:cstheme="majorBidi"/>
                <w:szCs w:val="22"/>
              </w:rPr>
            </w:pPr>
            <w:r w:rsidRPr="0092737A">
              <w:rPr>
                <w:rFonts w:asciiTheme="majorBidi" w:hAnsiTheme="majorBidi" w:cstheme="majorBidi"/>
                <w:szCs w:val="22"/>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3A5252" w:rsidRPr="0092737A" w:rsidRDefault="003A5252" w:rsidP="00E60699">
            <w:pPr>
              <w:pStyle w:val="Tabletext"/>
              <w:rPr>
                <w:rFonts w:asciiTheme="majorBidi" w:hAnsiTheme="majorBidi" w:cstheme="majorBidi"/>
                <w:szCs w:val="22"/>
              </w:rPr>
            </w:pPr>
            <w:r w:rsidRPr="0092737A">
              <w:rPr>
                <w:rFonts w:asciiTheme="majorBidi" w:hAnsiTheme="majorBidi" w:cstheme="majorBidi"/>
                <w:szCs w:val="22"/>
              </w:rPr>
              <w:t>2000 for Abu Dhabi or Dubai</w:t>
            </w:r>
          </w:p>
          <w:p w:rsidR="003A5252" w:rsidRPr="0092737A" w:rsidRDefault="003A5252" w:rsidP="00E60699">
            <w:pPr>
              <w:pStyle w:val="Tabletext"/>
              <w:rPr>
                <w:rFonts w:asciiTheme="majorBidi" w:hAnsiTheme="majorBidi" w:cstheme="majorBidi"/>
                <w:szCs w:val="22"/>
              </w:rPr>
            </w:pPr>
            <w:r w:rsidRPr="0092737A">
              <w:rPr>
                <w:rFonts w:asciiTheme="majorBidi" w:hAnsiTheme="majorBidi" w:cstheme="majorBidi"/>
                <w:szCs w:val="22"/>
              </w:rPr>
              <w:t>1000 for other Emirates</w:t>
            </w:r>
          </w:p>
        </w:tc>
        <w:tc>
          <w:tcPr>
            <w:tcW w:w="817" w:type="dxa"/>
            <w:tcBorders>
              <w:top w:val="single" w:sz="8" w:space="0" w:color="000000"/>
              <w:left w:val="single" w:sz="8" w:space="0" w:color="000000"/>
              <w:bottom w:val="single" w:sz="8" w:space="0" w:color="000000"/>
              <w:right w:val="single" w:sz="8" w:space="0" w:color="000000"/>
            </w:tcBorders>
          </w:tcPr>
          <w:p w:rsidR="003A5252" w:rsidRPr="0092737A" w:rsidRDefault="003A5252" w:rsidP="00E60699">
            <w:pPr>
              <w:pStyle w:val="Tabletext"/>
              <w:rPr>
                <w:rFonts w:asciiTheme="majorBidi" w:hAnsiTheme="majorBidi" w:cstheme="majorBidi"/>
                <w:szCs w:val="22"/>
              </w:rPr>
            </w:pPr>
            <w:r w:rsidRPr="0092737A">
              <w:rPr>
                <w:rFonts w:asciiTheme="majorBidi" w:hAnsiTheme="majorBidi" w:cstheme="majorBidi"/>
                <w:szCs w:val="22"/>
              </w:rPr>
              <w:t xml:space="preserve">4,000 </w:t>
            </w:r>
          </w:p>
        </w:tc>
      </w:tr>
    </w:tbl>
    <w:p w:rsidR="003A5252" w:rsidRDefault="003A5252" w:rsidP="00281920">
      <w:pPr>
        <w:pStyle w:val="FigureSource"/>
        <w:pBdr>
          <w:bottom w:val="single" w:sz="12" w:space="1" w:color="auto"/>
        </w:pBdr>
      </w:pPr>
    </w:p>
    <w:p w:rsidR="003A5252" w:rsidRPr="00F50942" w:rsidRDefault="003A5252" w:rsidP="0020445C">
      <w:pPr>
        <w:pStyle w:val="Arttitle"/>
        <w:spacing w:before="400"/>
      </w:pPr>
      <w:bookmarkStart w:id="328" w:name="_Toc280261838"/>
      <w:bookmarkStart w:id="329" w:name="_Toc280262336"/>
      <w:bookmarkStart w:id="330" w:name="_Toc280272730"/>
      <w:bookmarkStart w:id="331" w:name="_Toc280272909"/>
      <w:r>
        <w:t>Article 16</w:t>
      </w:r>
      <w:r>
        <w:br/>
      </w:r>
      <w:r>
        <w:br/>
      </w:r>
      <w:bookmarkStart w:id="332" w:name="_Toc199215039"/>
      <w:r w:rsidRPr="00F50942">
        <w:t>Spectrum Fees for Optical and laser links</w:t>
      </w:r>
      <w:bookmarkEnd w:id="328"/>
      <w:bookmarkEnd w:id="329"/>
      <w:bookmarkEnd w:id="330"/>
      <w:bookmarkEnd w:id="331"/>
      <w:bookmarkEnd w:id="332"/>
    </w:p>
    <w:p w:rsidR="003A5252" w:rsidRPr="00F50942" w:rsidRDefault="003A5252" w:rsidP="0020445C">
      <w:pPr>
        <w:bidi w:val="0"/>
        <w:spacing w:line="240" w:lineRule="auto"/>
        <w:rPr>
          <w:b/>
          <w:bCs/>
          <w:color w:val="000000"/>
          <w:szCs w:val="19"/>
        </w:rPr>
      </w:pPr>
      <w:r w:rsidRPr="00F50942">
        <w:rPr>
          <w:szCs w:val="19"/>
        </w:rPr>
        <w:t xml:space="preserve">The Annual Fees for free space optical and laser links shall be </w:t>
      </w:r>
      <w:r w:rsidRPr="00F50942">
        <w:rPr>
          <w:color w:val="000000"/>
          <w:szCs w:val="19"/>
        </w:rPr>
        <w:t>fifty (50) Dirhams.</w:t>
      </w:r>
      <w:r w:rsidRPr="00F50942">
        <w:rPr>
          <w:b/>
          <w:color w:val="000000"/>
          <w:szCs w:val="19"/>
        </w:rPr>
        <w:t xml:space="preserve"> </w:t>
      </w:r>
    </w:p>
    <w:p w:rsidR="003A5252" w:rsidRPr="00F50942" w:rsidRDefault="003A5252" w:rsidP="0020445C">
      <w:pPr>
        <w:pStyle w:val="Arttitle"/>
        <w:spacing w:before="400"/>
      </w:pPr>
      <w:bookmarkStart w:id="333" w:name="_Toc280261839"/>
      <w:bookmarkStart w:id="334" w:name="_Toc280262337"/>
      <w:bookmarkStart w:id="335" w:name="_Toc280272731"/>
      <w:bookmarkStart w:id="336" w:name="_Toc280272910"/>
      <w:r>
        <w:t xml:space="preserve">Article </w:t>
      </w:r>
      <w:r w:rsidRPr="00F50942">
        <w:t>17</w:t>
      </w:r>
      <w:r>
        <w:br/>
      </w:r>
      <w:r>
        <w:br/>
      </w:r>
      <w:bookmarkStart w:id="337" w:name="_Toc199215040"/>
      <w:r w:rsidRPr="00F50942">
        <w:t>Spectrum Fees for WLAN and cordless telephony</w:t>
      </w:r>
      <w:bookmarkEnd w:id="333"/>
      <w:bookmarkEnd w:id="334"/>
      <w:bookmarkEnd w:id="335"/>
      <w:bookmarkEnd w:id="336"/>
      <w:bookmarkEnd w:id="337"/>
    </w:p>
    <w:p w:rsidR="003A5252" w:rsidRPr="00F50942" w:rsidRDefault="003A5252" w:rsidP="0020445C">
      <w:pPr>
        <w:bidi w:val="0"/>
        <w:spacing w:line="240" w:lineRule="auto"/>
        <w:rPr>
          <w:b/>
          <w:bCs/>
          <w:color w:val="000000"/>
          <w:szCs w:val="19"/>
        </w:rPr>
      </w:pPr>
      <w:r w:rsidRPr="00F50942">
        <w:rPr>
          <w:szCs w:val="19"/>
        </w:rPr>
        <w:t>The indoor use of WLAN and DECT based cordless telephony shall be exempted from the Spectrum Fees.</w:t>
      </w:r>
      <w:r w:rsidRPr="00F50942">
        <w:rPr>
          <w:b/>
          <w:color w:val="000000"/>
          <w:szCs w:val="19"/>
        </w:rPr>
        <w:t xml:space="preserve"> </w:t>
      </w:r>
    </w:p>
    <w:p w:rsidR="003A5252" w:rsidRPr="00F50942" w:rsidRDefault="003A5252" w:rsidP="0020445C">
      <w:pPr>
        <w:pStyle w:val="Arttitle"/>
        <w:spacing w:before="400"/>
      </w:pPr>
      <w:bookmarkStart w:id="338" w:name="_Toc280261840"/>
      <w:bookmarkStart w:id="339" w:name="_Toc280262338"/>
      <w:bookmarkStart w:id="340" w:name="_Toc280272732"/>
      <w:bookmarkStart w:id="341" w:name="_Toc280272911"/>
      <w:r>
        <w:t xml:space="preserve">Article </w:t>
      </w:r>
      <w:r w:rsidRPr="00F50942">
        <w:t>18</w:t>
      </w:r>
      <w:r>
        <w:br/>
      </w:r>
      <w:r>
        <w:br/>
      </w:r>
      <w:bookmarkStart w:id="342" w:name="_Toc199215041"/>
      <w:r w:rsidRPr="00F50942">
        <w:t>Spectrum Fees for GMPCS</w:t>
      </w:r>
      <w:bookmarkEnd w:id="338"/>
      <w:bookmarkEnd w:id="339"/>
      <w:bookmarkEnd w:id="340"/>
      <w:bookmarkEnd w:id="341"/>
      <w:bookmarkEnd w:id="342"/>
    </w:p>
    <w:p w:rsidR="003A5252" w:rsidRPr="00F50942" w:rsidRDefault="003A5252" w:rsidP="0020445C">
      <w:pPr>
        <w:bidi w:val="0"/>
        <w:spacing w:line="240" w:lineRule="auto"/>
        <w:rPr>
          <w:szCs w:val="19"/>
        </w:rPr>
      </w:pPr>
      <w:r w:rsidRPr="00F50942">
        <w:rPr>
          <w:szCs w:val="19"/>
        </w:rPr>
        <w:t xml:space="preserve">The Annual Spectrum Fees for Global Mobile Personal Communication Service (GMPCS) shall be calculated as follows: </w:t>
      </w:r>
    </w:p>
    <w:p w:rsidR="003A5252" w:rsidRPr="00F50942" w:rsidRDefault="003A5252" w:rsidP="0020445C">
      <w:pPr>
        <w:bidi w:val="0"/>
        <w:spacing w:line="240" w:lineRule="auto"/>
        <w:jc w:val="center"/>
        <w:rPr>
          <w:b/>
          <w:bCs/>
          <w:color w:val="000000"/>
          <w:szCs w:val="19"/>
        </w:rPr>
      </w:pPr>
      <w:r w:rsidRPr="00F50942">
        <w:rPr>
          <w:b/>
          <w:color w:val="000000"/>
          <w:szCs w:val="19"/>
        </w:rPr>
        <w:t>Spectrum Fees = BW x 5000</w:t>
      </w:r>
    </w:p>
    <w:p w:rsidR="003A5252" w:rsidRPr="00F50942" w:rsidRDefault="003A5252" w:rsidP="0020445C">
      <w:pPr>
        <w:bidi w:val="0"/>
        <w:spacing w:line="240" w:lineRule="auto"/>
        <w:rPr>
          <w:color w:val="000000"/>
          <w:szCs w:val="19"/>
        </w:rPr>
      </w:pPr>
      <w:r w:rsidRPr="00F50942">
        <w:rPr>
          <w:color w:val="000000"/>
          <w:szCs w:val="19"/>
        </w:rPr>
        <w:tab/>
        <w:t xml:space="preserve">Where </w:t>
      </w:r>
      <w:r w:rsidRPr="00F50942">
        <w:rPr>
          <w:b/>
          <w:color w:val="000000"/>
          <w:szCs w:val="19"/>
        </w:rPr>
        <w:t xml:space="preserve">BW= </w:t>
      </w:r>
      <w:r w:rsidRPr="00F50942">
        <w:rPr>
          <w:color w:val="000000"/>
          <w:szCs w:val="19"/>
        </w:rPr>
        <w:t xml:space="preserve">Bandwidth Factor based on 2x1 MHz Bandwidth used </w:t>
      </w:r>
    </w:p>
    <w:p w:rsidR="00E60699" w:rsidRDefault="00E60699" w:rsidP="0020445C">
      <w:pPr>
        <w:tabs>
          <w:tab w:val="clear" w:pos="794"/>
          <w:tab w:val="clear" w:pos="1191"/>
          <w:tab w:val="clear" w:pos="1588"/>
          <w:tab w:val="clear" w:pos="1985"/>
        </w:tabs>
        <w:overflowPunct/>
        <w:autoSpaceDE/>
        <w:autoSpaceDN/>
        <w:bidi w:val="0"/>
        <w:adjustRightInd/>
        <w:spacing w:before="0" w:line="240" w:lineRule="auto"/>
        <w:jc w:val="left"/>
        <w:textAlignment w:val="auto"/>
        <w:rPr>
          <w:color w:val="000000"/>
          <w:szCs w:val="19"/>
        </w:rPr>
      </w:pPr>
    </w:p>
    <w:p w:rsidR="00E60699" w:rsidRDefault="00E60699" w:rsidP="00E60699">
      <w:pPr>
        <w:tabs>
          <w:tab w:val="clear" w:pos="794"/>
          <w:tab w:val="clear" w:pos="1191"/>
          <w:tab w:val="clear" w:pos="1588"/>
          <w:tab w:val="clear" w:pos="1985"/>
        </w:tabs>
        <w:overflowPunct/>
        <w:autoSpaceDE/>
        <w:autoSpaceDN/>
        <w:bidi w:val="0"/>
        <w:adjustRightInd/>
        <w:spacing w:before="0"/>
        <w:jc w:val="left"/>
        <w:textAlignment w:val="auto"/>
        <w:rPr>
          <w:color w:val="000000"/>
          <w:szCs w:val="19"/>
        </w:rPr>
      </w:pPr>
    </w:p>
    <w:p w:rsidR="00E60699" w:rsidRDefault="00E60699" w:rsidP="00E60699">
      <w:pPr>
        <w:tabs>
          <w:tab w:val="clear" w:pos="794"/>
          <w:tab w:val="clear" w:pos="1191"/>
          <w:tab w:val="clear" w:pos="1588"/>
          <w:tab w:val="clear" w:pos="1985"/>
        </w:tabs>
        <w:overflowPunct/>
        <w:autoSpaceDE/>
        <w:autoSpaceDN/>
        <w:bidi w:val="0"/>
        <w:adjustRightInd/>
        <w:spacing w:before="0"/>
        <w:jc w:val="left"/>
        <w:textAlignment w:val="auto"/>
        <w:rPr>
          <w:color w:val="000000"/>
          <w:szCs w:val="19"/>
        </w:rPr>
      </w:pPr>
    </w:p>
    <w:p w:rsidR="00E60699" w:rsidRDefault="00E60699" w:rsidP="00E60699">
      <w:pPr>
        <w:tabs>
          <w:tab w:val="clear" w:pos="794"/>
          <w:tab w:val="clear" w:pos="1191"/>
          <w:tab w:val="clear" w:pos="1588"/>
          <w:tab w:val="clear" w:pos="1985"/>
        </w:tabs>
        <w:overflowPunct/>
        <w:autoSpaceDE/>
        <w:autoSpaceDN/>
        <w:bidi w:val="0"/>
        <w:adjustRightInd/>
        <w:spacing w:before="0"/>
        <w:jc w:val="left"/>
        <w:textAlignment w:val="auto"/>
        <w:rPr>
          <w:color w:val="000000"/>
          <w:szCs w:val="19"/>
        </w:rPr>
      </w:pPr>
    </w:p>
    <w:p w:rsidR="00E60699" w:rsidRDefault="00E60699" w:rsidP="00E60699">
      <w:pPr>
        <w:tabs>
          <w:tab w:val="clear" w:pos="794"/>
          <w:tab w:val="clear" w:pos="1191"/>
          <w:tab w:val="clear" w:pos="1588"/>
          <w:tab w:val="clear" w:pos="1985"/>
        </w:tabs>
        <w:overflowPunct/>
        <w:autoSpaceDE/>
        <w:autoSpaceDN/>
        <w:bidi w:val="0"/>
        <w:adjustRightInd/>
        <w:spacing w:before="0"/>
        <w:jc w:val="left"/>
        <w:textAlignment w:val="auto"/>
        <w:rPr>
          <w:color w:val="000000"/>
          <w:szCs w:val="19"/>
        </w:rPr>
      </w:pPr>
    </w:p>
    <w:p w:rsidR="00E60699" w:rsidRDefault="00E60699" w:rsidP="00E60699">
      <w:pPr>
        <w:tabs>
          <w:tab w:val="clear" w:pos="794"/>
          <w:tab w:val="clear" w:pos="1191"/>
          <w:tab w:val="clear" w:pos="1588"/>
          <w:tab w:val="clear" w:pos="1985"/>
        </w:tabs>
        <w:overflowPunct/>
        <w:autoSpaceDE/>
        <w:autoSpaceDN/>
        <w:bidi w:val="0"/>
        <w:adjustRightInd/>
        <w:spacing w:before="0"/>
        <w:jc w:val="left"/>
        <w:textAlignment w:val="auto"/>
        <w:rPr>
          <w:color w:val="000000"/>
          <w:szCs w:val="19"/>
        </w:rPr>
      </w:pPr>
    </w:p>
    <w:p w:rsidR="00E60699" w:rsidRDefault="00E60699" w:rsidP="00E60699">
      <w:pPr>
        <w:tabs>
          <w:tab w:val="clear" w:pos="794"/>
          <w:tab w:val="clear" w:pos="1191"/>
          <w:tab w:val="clear" w:pos="1588"/>
          <w:tab w:val="clear" w:pos="1985"/>
        </w:tabs>
        <w:overflowPunct/>
        <w:autoSpaceDE/>
        <w:autoSpaceDN/>
        <w:bidi w:val="0"/>
        <w:adjustRightInd/>
        <w:spacing w:before="0"/>
        <w:jc w:val="left"/>
        <w:textAlignment w:val="auto"/>
        <w:rPr>
          <w:color w:val="000000"/>
          <w:szCs w:val="19"/>
        </w:rPr>
      </w:pPr>
    </w:p>
    <w:p w:rsidR="00E60699" w:rsidRDefault="00E60699" w:rsidP="00E60699">
      <w:pPr>
        <w:tabs>
          <w:tab w:val="clear" w:pos="794"/>
          <w:tab w:val="clear" w:pos="1191"/>
          <w:tab w:val="clear" w:pos="1588"/>
          <w:tab w:val="clear" w:pos="1985"/>
        </w:tabs>
        <w:overflowPunct/>
        <w:autoSpaceDE/>
        <w:autoSpaceDN/>
        <w:bidi w:val="0"/>
        <w:adjustRightInd/>
        <w:spacing w:before="0"/>
        <w:jc w:val="left"/>
        <w:textAlignment w:val="auto"/>
        <w:rPr>
          <w:color w:val="000000"/>
          <w:szCs w:val="19"/>
        </w:rPr>
      </w:pPr>
    </w:p>
    <w:p w:rsidR="00E60699" w:rsidRDefault="00E60699" w:rsidP="00E60699">
      <w:pPr>
        <w:tabs>
          <w:tab w:val="clear" w:pos="794"/>
          <w:tab w:val="clear" w:pos="1191"/>
          <w:tab w:val="clear" w:pos="1588"/>
          <w:tab w:val="clear" w:pos="1985"/>
        </w:tabs>
        <w:overflowPunct/>
        <w:autoSpaceDE/>
        <w:autoSpaceDN/>
        <w:bidi w:val="0"/>
        <w:adjustRightInd/>
        <w:spacing w:before="0"/>
        <w:jc w:val="left"/>
        <w:textAlignment w:val="auto"/>
        <w:rPr>
          <w:color w:val="000000"/>
          <w:szCs w:val="19"/>
        </w:rPr>
      </w:pPr>
    </w:p>
    <w:p w:rsidR="00E60699" w:rsidRDefault="00E60699" w:rsidP="00E60699">
      <w:pPr>
        <w:tabs>
          <w:tab w:val="clear" w:pos="794"/>
          <w:tab w:val="clear" w:pos="1191"/>
          <w:tab w:val="clear" w:pos="1588"/>
          <w:tab w:val="clear" w:pos="1985"/>
        </w:tabs>
        <w:overflowPunct/>
        <w:autoSpaceDE/>
        <w:autoSpaceDN/>
        <w:bidi w:val="0"/>
        <w:adjustRightInd/>
        <w:spacing w:before="0"/>
        <w:jc w:val="left"/>
        <w:textAlignment w:val="auto"/>
        <w:rPr>
          <w:color w:val="000000"/>
          <w:szCs w:val="19"/>
        </w:rPr>
      </w:pPr>
    </w:p>
    <w:p w:rsidR="00E60699" w:rsidRDefault="00E60699" w:rsidP="00E60699">
      <w:pPr>
        <w:tabs>
          <w:tab w:val="clear" w:pos="794"/>
          <w:tab w:val="clear" w:pos="1191"/>
          <w:tab w:val="clear" w:pos="1588"/>
          <w:tab w:val="clear" w:pos="1985"/>
        </w:tabs>
        <w:overflowPunct/>
        <w:autoSpaceDE/>
        <w:autoSpaceDN/>
        <w:bidi w:val="0"/>
        <w:adjustRightInd/>
        <w:spacing w:before="0"/>
        <w:jc w:val="left"/>
        <w:textAlignment w:val="auto"/>
        <w:rPr>
          <w:color w:val="000000"/>
          <w:szCs w:val="19"/>
        </w:rPr>
      </w:pPr>
    </w:p>
    <w:p w:rsidR="00E60699" w:rsidRDefault="00E60699" w:rsidP="00E60699">
      <w:pPr>
        <w:tabs>
          <w:tab w:val="clear" w:pos="794"/>
          <w:tab w:val="clear" w:pos="1191"/>
          <w:tab w:val="clear" w:pos="1588"/>
          <w:tab w:val="clear" w:pos="1985"/>
        </w:tabs>
        <w:overflowPunct/>
        <w:autoSpaceDE/>
        <w:autoSpaceDN/>
        <w:bidi w:val="0"/>
        <w:adjustRightInd/>
        <w:spacing w:before="0"/>
        <w:jc w:val="left"/>
        <w:textAlignment w:val="auto"/>
        <w:rPr>
          <w:color w:val="000000"/>
          <w:szCs w:val="19"/>
        </w:rPr>
      </w:pPr>
    </w:p>
    <w:p w:rsidR="00E60699" w:rsidRDefault="00E60699" w:rsidP="00E60699">
      <w:pPr>
        <w:tabs>
          <w:tab w:val="clear" w:pos="794"/>
          <w:tab w:val="clear" w:pos="1191"/>
          <w:tab w:val="clear" w:pos="1588"/>
          <w:tab w:val="clear" w:pos="1985"/>
        </w:tabs>
        <w:overflowPunct/>
        <w:autoSpaceDE/>
        <w:autoSpaceDN/>
        <w:bidi w:val="0"/>
        <w:adjustRightInd/>
        <w:spacing w:before="0"/>
        <w:jc w:val="left"/>
        <w:textAlignment w:val="auto"/>
        <w:rPr>
          <w:color w:val="000000"/>
          <w:szCs w:val="19"/>
        </w:rPr>
      </w:pPr>
    </w:p>
    <w:p w:rsidR="00E60699" w:rsidRDefault="00E60699" w:rsidP="00E60699">
      <w:pPr>
        <w:tabs>
          <w:tab w:val="clear" w:pos="794"/>
          <w:tab w:val="clear" w:pos="1191"/>
          <w:tab w:val="clear" w:pos="1588"/>
          <w:tab w:val="clear" w:pos="1985"/>
        </w:tabs>
        <w:overflowPunct/>
        <w:autoSpaceDE/>
        <w:autoSpaceDN/>
        <w:bidi w:val="0"/>
        <w:adjustRightInd/>
        <w:spacing w:before="0"/>
        <w:jc w:val="left"/>
        <w:textAlignment w:val="auto"/>
        <w:rPr>
          <w:color w:val="000000"/>
          <w:szCs w:val="19"/>
        </w:rPr>
      </w:pPr>
    </w:p>
    <w:p w:rsidR="003A5252" w:rsidRDefault="003A5252" w:rsidP="00E60699">
      <w:pPr>
        <w:tabs>
          <w:tab w:val="clear" w:pos="794"/>
          <w:tab w:val="clear" w:pos="1191"/>
          <w:tab w:val="clear" w:pos="1588"/>
          <w:tab w:val="clear" w:pos="1985"/>
        </w:tabs>
        <w:overflowPunct/>
        <w:autoSpaceDE/>
        <w:autoSpaceDN/>
        <w:bidi w:val="0"/>
        <w:adjustRightInd/>
        <w:spacing w:before="0"/>
        <w:jc w:val="left"/>
        <w:textAlignment w:val="auto"/>
        <w:rPr>
          <w:color w:val="000000"/>
          <w:szCs w:val="19"/>
        </w:rPr>
      </w:pPr>
      <w:r>
        <w:rPr>
          <w:color w:val="000000"/>
          <w:szCs w:val="19"/>
        </w:rPr>
        <w:br w:type="page"/>
      </w:r>
    </w:p>
    <w:p w:rsidR="003A5252" w:rsidRPr="00765C45" w:rsidRDefault="003A5252" w:rsidP="00E60699">
      <w:pPr>
        <w:bidi w:val="0"/>
        <w:spacing w:before="0"/>
        <w:rPr>
          <w:color w:val="000000"/>
          <w:sz w:val="2"/>
          <w:szCs w:val="19"/>
        </w:rPr>
      </w:pPr>
    </w:p>
    <w:p w:rsidR="003A5252" w:rsidRPr="00F50942" w:rsidRDefault="003A5252" w:rsidP="00EE251B">
      <w:pPr>
        <w:pStyle w:val="FigureTitle"/>
        <w:pBdr>
          <w:top w:val="single" w:sz="12" w:space="10" w:color="000000"/>
        </w:pBdr>
      </w:pPr>
    </w:p>
    <w:tbl>
      <w:tblPr>
        <w:tblW w:w="0" w:type="auto"/>
        <w:jc w:val="center"/>
        <w:tblInd w:w="1440" w:type="dxa"/>
        <w:tblBorders>
          <w:top w:val="nil"/>
          <w:left w:val="nil"/>
          <w:bottom w:val="nil"/>
          <w:right w:val="nil"/>
        </w:tblBorders>
        <w:tblLook w:val="0000"/>
      </w:tblPr>
      <w:tblGrid>
        <w:gridCol w:w="3333"/>
        <w:gridCol w:w="1261"/>
      </w:tblGrid>
      <w:tr w:rsidR="003A5252" w:rsidRPr="00F50942" w:rsidTr="00026C26">
        <w:trPr>
          <w:trHeight w:val="332"/>
          <w:tblHeader/>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765C45" w:rsidRDefault="003A5252" w:rsidP="00E60699">
            <w:pPr>
              <w:pStyle w:val="Tablehead"/>
              <w:rPr>
                <w:rFonts w:asciiTheme="majorBidi" w:hAnsiTheme="majorBidi" w:cstheme="majorBidi"/>
                <w:szCs w:val="22"/>
              </w:rPr>
            </w:pPr>
            <w:r w:rsidRPr="00765C45">
              <w:rPr>
                <w:rFonts w:asciiTheme="majorBidi" w:hAnsiTheme="majorBidi" w:cstheme="majorBidi"/>
                <w:szCs w:val="22"/>
              </w:rPr>
              <w:t xml:space="preserve">Bandwidth </w:t>
            </w:r>
          </w:p>
        </w:tc>
        <w:tc>
          <w:tcPr>
            <w:tcW w:w="0" w:type="auto"/>
            <w:tcBorders>
              <w:top w:val="single" w:sz="8" w:space="0" w:color="000000"/>
              <w:left w:val="single" w:sz="8" w:space="0" w:color="000000"/>
              <w:bottom w:val="single" w:sz="8" w:space="0" w:color="000000"/>
              <w:right w:val="single" w:sz="8" w:space="0" w:color="000000"/>
            </w:tcBorders>
          </w:tcPr>
          <w:p w:rsidR="003A5252" w:rsidRPr="00765C45" w:rsidRDefault="003A5252" w:rsidP="00E60699">
            <w:pPr>
              <w:pStyle w:val="Tablehead"/>
              <w:rPr>
                <w:rFonts w:asciiTheme="majorBidi" w:hAnsiTheme="majorBidi" w:cstheme="majorBidi"/>
                <w:szCs w:val="22"/>
              </w:rPr>
            </w:pPr>
            <w:r w:rsidRPr="00765C45">
              <w:rPr>
                <w:rFonts w:asciiTheme="majorBidi" w:hAnsiTheme="majorBidi" w:cstheme="majorBidi"/>
                <w:szCs w:val="22"/>
              </w:rPr>
              <w:t>BW Factor</w:t>
            </w:r>
          </w:p>
        </w:tc>
      </w:tr>
      <w:tr w:rsidR="003A5252" w:rsidRPr="00F50942"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765C45" w:rsidRDefault="003A5252" w:rsidP="00E60699">
            <w:pPr>
              <w:pStyle w:val="Tabletext"/>
              <w:rPr>
                <w:rFonts w:asciiTheme="majorBidi" w:hAnsiTheme="majorBidi" w:cstheme="majorBidi"/>
                <w:szCs w:val="22"/>
              </w:rPr>
            </w:pPr>
            <w:r w:rsidRPr="00765C45">
              <w:rPr>
                <w:rFonts w:asciiTheme="majorBidi" w:hAnsiTheme="majorBidi" w:cstheme="majorBidi"/>
                <w:szCs w:val="22"/>
              </w:rPr>
              <w:t xml:space="preserve">Less than 2 x 1 MHz </w:t>
            </w:r>
          </w:p>
        </w:tc>
        <w:tc>
          <w:tcPr>
            <w:tcW w:w="0" w:type="auto"/>
            <w:tcBorders>
              <w:top w:val="single" w:sz="8" w:space="0" w:color="000000"/>
              <w:left w:val="single" w:sz="8" w:space="0" w:color="000000"/>
              <w:bottom w:val="single" w:sz="8" w:space="0" w:color="000000"/>
              <w:right w:val="single" w:sz="8" w:space="0" w:color="000000"/>
            </w:tcBorders>
          </w:tcPr>
          <w:p w:rsidR="003A5252" w:rsidRPr="00765C45" w:rsidRDefault="003A5252" w:rsidP="00E60699">
            <w:pPr>
              <w:pStyle w:val="Tabletext"/>
              <w:rPr>
                <w:rFonts w:asciiTheme="majorBidi" w:hAnsiTheme="majorBidi" w:cstheme="majorBidi"/>
                <w:szCs w:val="22"/>
              </w:rPr>
            </w:pPr>
            <w:r w:rsidRPr="00765C45">
              <w:rPr>
                <w:rFonts w:asciiTheme="majorBidi" w:hAnsiTheme="majorBidi" w:cstheme="majorBidi"/>
                <w:szCs w:val="22"/>
              </w:rPr>
              <w:t>3</w:t>
            </w:r>
          </w:p>
        </w:tc>
      </w:tr>
      <w:tr w:rsidR="003A5252" w:rsidRPr="00F50942"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765C45" w:rsidRDefault="003A5252" w:rsidP="00E60699">
            <w:pPr>
              <w:pStyle w:val="Tabletext"/>
              <w:rPr>
                <w:rFonts w:asciiTheme="majorBidi" w:hAnsiTheme="majorBidi" w:cstheme="majorBidi"/>
                <w:szCs w:val="22"/>
              </w:rPr>
            </w:pPr>
            <w:r w:rsidRPr="00765C45">
              <w:rPr>
                <w:rFonts w:asciiTheme="majorBidi" w:hAnsiTheme="majorBidi" w:cstheme="majorBidi"/>
                <w:szCs w:val="22"/>
              </w:rPr>
              <w:t xml:space="preserve">2 x 1 MHz </w:t>
            </w:r>
            <w:r>
              <w:rPr>
                <w:rFonts w:asciiTheme="majorBidi" w:hAnsiTheme="majorBidi" w:cstheme="majorBidi"/>
                <w:szCs w:val="22"/>
              </w:rPr>
              <w:t>–</w:t>
            </w:r>
            <w:r w:rsidRPr="00765C45">
              <w:rPr>
                <w:rFonts w:asciiTheme="majorBidi" w:hAnsiTheme="majorBidi" w:cstheme="majorBidi"/>
                <w:szCs w:val="22"/>
              </w:rPr>
              <w:t xml:space="preserve"> Less than 4 x 1 MHz </w:t>
            </w:r>
          </w:p>
        </w:tc>
        <w:tc>
          <w:tcPr>
            <w:tcW w:w="0" w:type="auto"/>
            <w:tcBorders>
              <w:top w:val="single" w:sz="8" w:space="0" w:color="000000"/>
              <w:left w:val="single" w:sz="8" w:space="0" w:color="000000"/>
              <w:bottom w:val="single" w:sz="8" w:space="0" w:color="000000"/>
              <w:right w:val="single" w:sz="8" w:space="0" w:color="000000"/>
            </w:tcBorders>
          </w:tcPr>
          <w:p w:rsidR="003A5252" w:rsidRPr="00765C45" w:rsidRDefault="003A5252" w:rsidP="00E60699">
            <w:pPr>
              <w:pStyle w:val="Tabletext"/>
              <w:rPr>
                <w:rFonts w:asciiTheme="majorBidi" w:hAnsiTheme="majorBidi" w:cstheme="majorBidi"/>
                <w:szCs w:val="22"/>
              </w:rPr>
            </w:pPr>
            <w:r w:rsidRPr="00765C45">
              <w:rPr>
                <w:rFonts w:asciiTheme="majorBidi" w:hAnsiTheme="majorBidi" w:cstheme="majorBidi"/>
                <w:szCs w:val="22"/>
              </w:rPr>
              <w:t>6</w:t>
            </w:r>
          </w:p>
        </w:tc>
      </w:tr>
      <w:tr w:rsidR="003A5252" w:rsidRPr="00F50942"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765C45" w:rsidRDefault="003A5252" w:rsidP="00E60699">
            <w:pPr>
              <w:pStyle w:val="Tabletext"/>
              <w:rPr>
                <w:rFonts w:asciiTheme="majorBidi" w:hAnsiTheme="majorBidi" w:cstheme="majorBidi"/>
                <w:szCs w:val="22"/>
              </w:rPr>
            </w:pPr>
            <w:r>
              <w:rPr>
                <w:rFonts w:asciiTheme="majorBidi" w:hAnsiTheme="majorBidi" w:cstheme="majorBidi"/>
                <w:szCs w:val="22"/>
              </w:rPr>
              <w:t>4 x 1 MHz –</w:t>
            </w:r>
            <w:r w:rsidRPr="00765C45">
              <w:rPr>
                <w:rFonts w:asciiTheme="majorBidi" w:hAnsiTheme="majorBidi" w:cstheme="majorBidi"/>
                <w:szCs w:val="22"/>
              </w:rPr>
              <w:t xml:space="preserve"> Less than 6 x 1 MHz </w:t>
            </w:r>
          </w:p>
        </w:tc>
        <w:tc>
          <w:tcPr>
            <w:tcW w:w="0" w:type="auto"/>
            <w:tcBorders>
              <w:top w:val="single" w:sz="8" w:space="0" w:color="000000"/>
              <w:left w:val="single" w:sz="8" w:space="0" w:color="000000"/>
              <w:bottom w:val="single" w:sz="8" w:space="0" w:color="000000"/>
              <w:right w:val="single" w:sz="8" w:space="0" w:color="000000"/>
            </w:tcBorders>
          </w:tcPr>
          <w:p w:rsidR="003A5252" w:rsidRPr="00765C45" w:rsidRDefault="003A5252" w:rsidP="00E60699">
            <w:pPr>
              <w:pStyle w:val="Tabletext"/>
              <w:rPr>
                <w:rFonts w:asciiTheme="majorBidi" w:hAnsiTheme="majorBidi" w:cstheme="majorBidi"/>
                <w:szCs w:val="22"/>
              </w:rPr>
            </w:pPr>
            <w:r w:rsidRPr="00765C45">
              <w:rPr>
                <w:rFonts w:asciiTheme="majorBidi" w:hAnsiTheme="majorBidi" w:cstheme="majorBidi"/>
                <w:szCs w:val="22"/>
              </w:rPr>
              <w:t>9</w:t>
            </w:r>
          </w:p>
        </w:tc>
      </w:tr>
      <w:tr w:rsidR="003A5252" w:rsidRPr="00F50942"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765C45" w:rsidRDefault="003A5252" w:rsidP="00E60699">
            <w:pPr>
              <w:pStyle w:val="Tabletext"/>
              <w:rPr>
                <w:rFonts w:asciiTheme="majorBidi" w:hAnsiTheme="majorBidi" w:cstheme="majorBidi"/>
                <w:szCs w:val="22"/>
              </w:rPr>
            </w:pPr>
            <w:r>
              <w:rPr>
                <w:rFonts w:asciiTheme="majorBidi" w:hAnsiTheme="majorBidi" w:cstheme="majorBidi"/>
                <w:szCs w:val="22"/>
              </w:rPr>
              <w:t>6 x 1 MHz –</w:t>
            </w:r>
            <w:r w:rsidRPr="00765C45">
              <w:rPr>
                <w:rFonts w:asciiTheme="majorBidi" w:hAnsiTheme="majorBidi" w:cstheme="majorBidi"/>
                <w:szCs w:val="22"/>
              </w:rPr>
              <w:t xml:space="preserve"> Less than 8 x 1 MHz </w:t>
            </w:r>
          </w:p>
        </w:tc>
        <w:tc>
          <w:tcPr>
            <w:tcW w:w="0" w:type="auto"/>
            <w:tcBorders>
              <w:top w:val="single" w:sz="8" w:space="0" w:color="000000"/>
              <w:left w:val="single" w:sz="8" w:space="0" w:color="000000"/>
              <w:bottom w:val="single" w:sz="8" w:space="0" w:color="000000"/>
              <w:right w:val="single" w:sz="8" w:space="0" w:color="000000"/>
            </w:tcBorders>
          </w:tcPr>
          <w:p w:rsidR="003A5252" w:rsidRPr="00765C45" w:rsidRDefault="003A5252" w:rsidP="00E60699">
            <w:pPr>
              <w:pStyle w:val="Tabletext"/>
              <w:rPr>
                <w:rFonts w:asciiTheme="majorBidi" w:hAnsiTheme="majorBidi" w:cstheme="majorBidi"/>
                <w:szCs w:val="22"/>
              </w:rPr>
            </w:pPr>
            <w:r w:rsidRPr="00765C45">
              <w:rPr>
                <w:rFonts w:asciiTheme="majorBidi" w:hAnsiTheme="majorBidi" w:cstheme="majorBidi"/>
                <w:szCs w:val="22"/>
              </w:rPr>
              <w:t>12</w:t>
            </w:r>
          </w:p>
        </w:tc>
      </w:tr>
      <w:tr w:rsidR="003A5252" w:rsidRPr="00F50942"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765C45" w:rsidRDefault="003A5252" w:rsidP="00E60699">
            <w:pPr>
              <w:pStyle w:val="Tabletext"/>
              <w:rPr>
                <w:rFonts w:asciiTheme="majorBidi" w:hAnsiTheme="majorBidi" w:cstheme="majorBidi"/>
                <w:szCs w:val="22"/>
              </w:rPr>
            </w:pPr>
            <w:r>
              <w:rPr>
                <w:rFonts w:asciiTheme="majorBidi" w:hAnsiTheme="majorBidi" w:cstheme="majorBidi"/>
                <w:szCs w:val="22"/>
              </w:rPr>
              <w:t>8 x 1 MHz –</w:t>
            </w:r>
            <w:r w:rsidRPr="00765C45">
              <w:rPr>
                <w:rFonts w:asciiTheme="majorBidi" w:hAnsiTheme="majorBidi" w:cstheme="majorBidi"/>
                <w:szCs w:val="22"/>
              </w:rPr>
              <w:t xml:space="preserve"> Less than 10 x 1 MHz </w:t>
            </w:r>
          </w:p>
        </w:tc>
        <w:tc>
          <w:tcPr>
            <w:tcW w:w="0" w:type="auto"/>
            <w:tcBorders>
              <w:top w:val="single" w:sz="8" w:space="0" w:color="000000"/>
              <w:left w:val="single" w:sz="8" w:space="0" w:color="000000"/>
              <w:bottom w:val="single" w:sz="8" w:space="0" w:color="000000"/>
              <w:right w:val="single" w:sz="8" w:space="0" w:color="000000"/>
            </w:tcBorders>
          </w:tcPr>
          <w:p w:rsidR="003A5252" w:rsidRPr="00765C45" w:rsidRDefault="003A5252" w:rsidP="00E60699">
            <w:pPr>
              <w:pStyle w:val="Tabletext"/>
              <w:rPr>
                <w:rFonts w:asciiTheme="majorBidi" w:hAnsiTheme="majorBidi" w:cstheme="majorBidi"/>
                <w:szCs w:val="22"/>
              </w:rPr>
            </w:pPr>
            <w:r w:rsidRPr="00765C45">
              <w:rPr>
                <w:rFonts w:asciiTheme="majorBidi" w:hAnsiTheme="majorBidi" w:cstheme="majorBidi"/>
                <w:szCs w:val="22"/>
              </w:rPr>
              <w:t>15</w:t>
            </w:r>
          </w:p>
        </w:tc>
      </w:tr>
      <w:tr w:rsidR="003A5252" w:rsidRPr="00F50942"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765C45" w:rsidRDefault="003A5252" w:rsidP="00E60699">
            <w:pPr>
              <w:pStyle w:val="Tabletext"/>
              <w:rPr>
                <w:rFonts w:asciiTheme="majorBidi" w:hAnsiTheme="majorBidi" w:cstheme="majorBidi"/>
                <w:szCs w:val="22"/>
              </w:rPr>
            </w:pPr>
            <w:r w:rsidRPr="00765C45">
              <w:rPr>
                <w:rFonts w:asciiTheme="majorBidi" w:hAnsiTheme="majorBidi" w:cstheme="majorBidi"/>
                <w:szCs w:val="22"/>
              </w:rPr>
              <w:t xml:space="preserve">10 x 1 MHz </w:t>
            </w:r>
          </w:p>
        </w:tc>
        <w:tc>
          <w:tcPr>
            <w:tcW w:w="0" w:type="auto"/>
            <w:tcBorders>
              <w:top w:val="single" w:sz="8" w:space="0" w:color="000000"/>
              <w:left w:val="single" w:sz="8" w:space="0" w:color="000000"/>
              <w:bottom w:val="single" w:sz="8" w:space="0" w:color="000000"/>
              <w:right w:val="single" w:sz="8" w:space="0" w:color="000000"/>
            </w:tcBorders>
          </w:tcPr>
          <w:p w:rsidR="003A5252" w:rsidRPr="00765C45" w:rsidRDefault="003A5252" w:rsidP="00E60699">
            <w:pPr>
              <w:pStyle w:val="Tabletext"/>
              <w:rPr>
                <w:rFonts w:asciiTheme="majorBidi" w:hAnsiTheme="majorBidi" w:cstheme="majorBidi"/>
                <w:szCs w:val="22"/>
              </w:rPr>
            </w:pPr>
            <w:r w:rsidRPr="00765C45">
              <w:rPr>
                <w:rFonts w:asciiTheme="majorBidi" w:hAnsiTheme="majorBidi" w:cstheme="majorBidi"/>
                <w:szCs w:val="22"/>
              </w:rPr>
              <w:t>18</w:t>
            </w:r>
          </w:p>
        </w:tc>
      </w:tr>
      <w:tr w:rsidR="003A5252" w:rsidRPr="00F50942"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765C45" w:rsidRDefault="003A5252" w:rsidP="00E60699">
            <w:pPr>
              <w:pStyle w:val="Tabletext"/>
              <w:rPr>
                <w:rFonts w:asciiTheme="majorBidi" w:hAnsiTheme="majorBidi" w:cstheme="majorBidi"/>
                <w:szCs w:val="22"/>
              </w:rPr>
            </w:pPr>
            <w:r w:rsidRPr="00765C45">
              <w:rPr>
                <w:rFonts w:asciiTheme="majorBidi" w:hAnsiTheme="majorBidi" w:cstheme="majorBidi"/>
                <w:szCs w:val="22"/>
              </w:rPr>
              <w:t xml:space="preserve">For each additional 2x1 MHz </w:t>
            </w:r>
          </w:p>
        </w:tc>
        <w:tc>
          <w:tcPr>
            <w:tcW w:w="0" w:type="auto"/>
            <w:tcBorders>
              <w:top w:val="single" w:sz="8" w:space="0" w:color="000000"/>
              <w:left w:val="single" w:sz="8" w:space="0" w:color="000000"/>
              <w:bottom w:val="single" w:sz="8" w:space="0" w:color="000000"/>
              <w:right w:val="single" w:sz="8" w:space="0" w:color="000000"/>
            </w:tcBorders>
          </w:tcPr>
          <w:p w:rsidR="003A5252" w:rsidRPr="00765C45" w:rsidRDefault="003A5252" w:rsidP="00E60699">
            <w:pPr>
              <w:pStyle w:val="Tabletext"/>
              <w:rPr>
                <w:rFonts w:asciiTheme="majorBidi" w:hAnsiTheme="majorBidi" w:cstheme="majorBidi"/>
                <w:szCs w:val="22"/>
              </w:rPr>
            </w:pPr>
            <w:r w:rsidRPr="00765C45">
              <w:rPr>
                <w:rFonts w:asciiTheme="majorBidi" w:hAnsiTheme="majorBidi" w:cstheme="majorBidi"/>
                <w:szCs w:val="22"/>
              </w:rPr>
              <w:t>3</w:t>
            </w:r>
          </w:p>
        </w:tc>
      </w:tr>
    </w:tbl>
    <w:p w:rsidR="003A5252" w:rsidRPr="00F50942" w:rsidRDefault="003A5252" w:rsidP="00281920">
      <w:pPr>
        <w:pStyle w:val="FigureSource"/>
        <w:pBdr>
          <w:bottom w:val="single" w:sz="12" w:space="1" w:color="auto"/>
        </w:pBdr>
      </w:pPr>
    </w:p>
    <w:p w:rsidR="003A5252" w:rsidRPr="00F50942" w:rsidRDefault="003A5252" w:rsidP="0020445C">
      <w:pPr>
        <w:pStyle w:val="Arttitle"/>
        <w:spacing w:before="400"/>
      </w:pPr>
      <w:bookmarkStart w:id="343" w:name="_Toc280261841"/>
      <w:bookmarkStart w:id="344" w:name="_Toc280262339"/>
      <w:bookmarkStart w:id="345" w:name="_Toc280272733"/>
      <w:bookmarkStart w:id="346" w:name="_Toc280272912"/>
      <w:r>
        <w:t>Article 19</w:t>
      </w:r>
      <w:r>
        <w:br/>
      </w:r>
      <w:r>
        <w:br/>
      </w:r>
      <w:bookmarkStart w:id="347" w:name="_Toc199215042"/>
      <w:r w:rsidRPr="00F50942">
        <w:t>Spectrum Fees for Amateur</w:t>
      </w:r>
      <w:bookmarkEnd w:id="343"/>
      <w:bookmarkEnd w:id="344"/>
      <w:bookmarkEnd w:id="345"/>
      <w:bookmarkEnd w:id="346"/>
      <w:bookmarkEnd w:id="347"/>
    </w:p>
    <w:p w:rsidR="003A5252" w:rsidRPr="00F50942" w:rsidRDefault="003A5252" w:rsidP="0020445C">
      <w:pPr>
        <w:bidi w:val="0"/>
        <w:spacing w:line="240" w:lineRule="auto"/>
        <w:rPr>
          <w:szCs w:val="19"/>
        </w:rPr>
      </w:pPr>
      <w:r w:rsidRPr="00F50942">
        <w:rPr>
          <w:szCs w:val="19"/>
        </w:rPr>
        <w:t xml:space="preserve">The Annual fees for Amateur license shall be Two Hundred (200) AED per wireless equipment payable in advance. </w:t>
      </w:r>
    </w:p>
    <w:p w:rsidR="003A5252" w:rsidRPr="00F50942" w:rsidRDefault="003A5252" w:rsidP="0020445C">
      <w:pPr>
        <w:pStyle w:val="Arttitle"/>
        <w:spacing w:before="400"/>
      </w:pPr>
      <w:bookmarkStart w:id="348" w:name="_Toc280261842"/>
      <w:bookmarkStart w:id="349" w:name="_Toc280262340"/>
      <w:bookmarkStart w:id="350" w:name="_Toc280272734"/>
      <w:bookmarkStart w:id="351" w:name="_Toc280272913"/>
      <w:r>
        <w:t>Article 20</w:t>
      </w:r>
      <w:r>
        <w:br/>
      </w:r>
      <w:r>
        <w:br/>
      </w:r>
      <w:bookmarkStart w:id="352" w:name="_Toc199215043"/>
      <w:r w:rsidRPr="00F50942">
        <w:t xml:space="preserve">Spectrum Fees for Aeronautical Radio </w:t>
      </w:r>
      <w:bookmarkEnd w:id="352"/>
      <w:r w:rsidRPr="00F50942">
        <w:t>Stations</w:t>
      </w:r>
      <w:bookmarkEnd w:id="348"/>
      <w:bookmarkEnd w:id="349"/>
      <w:bookmarkEnd w:id="350"/>
      <w:bookmarkEnd w:id="351"/>
    </w:p>
    <w:p w:rsidR="003A5252" w:rsidRPr="00057B18" w:rsidRDefault="003A5252" w:rsidP="0020445C">
      <w:pPr>
        <w:pStyle w:val="enumlev1"/>
        <w:bidi w:val="0"/>
        <w:spacing w:line="240" w:lineRule="auto"/>
        <w:rPr>
          <w:rFonts w:asciiTheme="majorBidi" w:hAnsiTheme="majorBidi" w:cstheme="majorBidi"/>
          <w:szCs w:val="22"/>
        </w:rPr>
      </w:pPr>
      <w:r w:rsidRPr="00057B18">
        <w:rPr>
          <w:rFonts w:asciiTheme="majorBidi" w:hAnsiTheme="majorBidi" w:cstheme="majorBidi"/>
          <w:szCs w:val="22"/>
        </w:rPr>
        <w:t>20.1</w:t>
      </w:r>
      <w:r w:rsidRPr="00057B18">
        <w:rPr>
          <w:rFonts w:asciiTheme="majorBidi" w:hAnsiTheme="majorBidi" w:cstheme="majorBidi"/>
          <w:szCs w:val="22"/>
        </w:rPr>
        <w:tab/>
        <w:t>The annual fees for each aircraft and helicopter license shall be one thousand (1000) Dirhams. This shall deem to include all Wireless Equipment onboard.</w:t>
      </w:r>
    </w:p>
    <w:p w:rsidR="003A5252" w:rsidRPr="00057B18" w:rsidRDefault="003A5252" w:rsidP="0020445C">
      <w:pPr>
        <w:pStyle w:val="enumlev1"/>
        <w:bidi w:val="0"/>
        <w:spacing w:line="240" w:lineRule="auto"/>
        <w:rPr>
          <w:rFonts w:asciiTheme="majorBidi" w:hAnsiTheme="majorBidi" w:cstheme="majorBidi"/>
          <w:szCs w:val="22"/>
        </w:rPr>
      </w:pPr>
      <w:r w:rsidRPr="00057B18">
        <w:rPr>
          <w:rFonts w:asciiTheme="majorBidi" w:hAnsiTheme="majorBidi" w:cstheme="majorBidi"/>
          <w:szCs w:val="22"/>
        </w:rPr>
        <w:t>20.2</w:t>
      </w:r>
      <w:r w:rsidRPr="00057B18">
        <w:rPr>
          <w:rFonts w:asciiTheme="majorBidi" w:hAnsiTheme="majorBidi" w:cstheme="majorBidi"/>
          <w:szCs w:val="22"/>
        </w:rPr>
        <w:tab/>
        <w:t xml:space="preserve">The annual fees for gliders and balloons shall be three hundred (300) Dirhams. </w:t>
      </w:r>
    </w:p>
    <w:p w:rsidR="003A5252" w:rsidRPr="00057B18" w:rsidRDefault="003A5252" w:rsidP="0020445C">
      <w:pPr>
        <w:pStyle w:val="enumlev1"/>
        <w:bidi w:val="0"/>
        <w:spacing w:line="240" w:lineRule="auto"/>
        <w:rPr>
          <w:rFonts w:asciiTheme="majorBidi" w:hAnsiTheme="majorBidi" w:cstheme="majorBidi"/>
          <w:szCs w:val="22"/>
        </w:rPr>
      </w:pPr>
      <w:r w:rsidRPr="00057B18">
        <w:rPr>
          <w:rFonts w:asciiTheme="majorBidi" w:hAnsiTheme="majorBidi" w:cstheme="majorBidi"/>
          <w:szCs w:val="22"/>
        </w:rPr>
        <w:t>20.3</w:t>
      </w:r>
      <w:r w:rsidRPr="00057B18">
        <w:rPr>
          <w:rFonts w:asciiTheme="majorBidi" w:hAnsiTheme="majorBidi" w:cstheme="majorBidi"/>
          <w:szCs w:val="22"/>
        </w:rPr>
        <w:tab/>
        <w:t>The annual fees for ground to air links shall be in accordance with the private mobile radio. The ground to air HF links shall be charged in accordance with HF fixed point to point links.</w:t>
      </w:r>
    </w:p>
    <w:p w:rsidR="003A5252" w:rsidRPr="00057B18" w:rsidRDefault="003A5252" w:rsidP="0020445C">
      <w:pPr>
        <w:pStyle w:val="enumlev1"/>
        <w:bidi w:val="0"/>
        <w:spacing w:line="240" w:lineRule="auto"/>
        <w:rPr>
          <w:rFonts w:asciiTheme="majorBidi" w:hAnsiTheme="majorBidi" w:cstheme="majorBidi"/>
          <w:color w:val="000000"/>
          <w:szCs w:val="22"/>
        </w:rPr>
      </w:pPr>
      <w:r w:rsidRPr="00057B18">
        <w:rPr>
          <w:rFonts w:asciiTheme="majorBidi" w:hAnsiTheme="majorBidi" w:cstheme="majorBidi"/>
          <w:color w:val="000000"/>
          <w:szCs w:val="22"/>
        </w:rPr>
        <w:t>20.4</w:t>
      </w:r>
      <w:r w:rsidRPr="00057B18">
        <w:rPr>
          <w:rFonts w:asciiTheme="majorBidi" w:hAnsiTheme="majorBidi" w:cstheme="majorBidi"/>
          <w:color w:val="000000"/>
          <w:szCs w:val="22"/>
        </w:rPr>
        <w:tab/>
        <w:t xml:space="preserve">The annual fees for High Altitude Platform System (HAPS) shall be considered under satellite services for charging. </w:t>
      </w:r>
    </w:p>
    <w:p w:rsidR="003A5252" w:rsidRPr="00F50942" w:rsidRDefault="003A5252" w:rsidP="0020445C">
      <w:pPr>
        <w:pStyle w:val="Arttitle"/>
      </w:pPr>
      <w:bookmarkStart w:id="353" w:name="_Toc280261843"/>
      <w:bookmarkStart w:id="354" w:name="_Toc280262341"/>
      <w:bookmarkStart w:id="355" w:name="_Toc280272735"/>
      <w:bookmarkStart w:id="356" w:name="_Toc280272914"/>
      <w:r>
        <w:t>Article 21</w:t>
      </w:r>
      <w:r>
        <w:br/>
      </w:r>
      <w:r>
        <w:br/>
      </w:r>
      <w:bookmarkStart w:id="357" w:name="_Toc199215044"/>
      <w:r w:rsidRPr="00F50942">
        <w:t>Spectrum Fees for Maritime Radio Services</w:t>
      </w:r>
      <w:bookmarkEnd w:id="353"/>
      <w:bookmarkEnd w:id="354"/>
      <w:bookmarkEnd w:id="355"/>
      <w:bookmarkEnd w:id="356"/>
      <w:bookmarkEnd w:id="357"/>
    </w:p>
    <w:p w:rsidR="003A5252" w:rsidRPr="00057B18" w:rsidRDefault="003A5252" w:rsidP="0020445C">
      <w:pPr>
        <w:pStyle w:val="enumlev1"/>
        <w:bidi w:val="0"/>
        <w:spacing w:line="240" w:lineRule="auto"/>
        <w:rPr>
          <w:rFonts w:asciiTheme="majorBidi" w:hAnsiTheme="majorBidi" w:cstheme="majorBidi"/>
          <w:szCs w:val="22"/>
        </w:rPr>
      </w:pPr>
      <w:r w:rsidRPr="00057B18">
        <w:rPr>
          <w:rFonts w:asciiTheme="majorBidi" w:hAnsiTheme="majorBidi" w:cstheme="majorBidi"/>
          <w:szCs w:val="22"/>
        </w:rPr>
        <w:t>21.1</w:t>
      </w:r>
      <w:r w:rsidRPr="00057B18">
        <w:rPr>
          <w:rFonts w:asciiTheme="majorBidi" w:hAnsiTheme="majorBidi" w:cstheme="majorBidi"/>
          <w:szCs w:val="22"/>
        </w:rPr>
        <w:tab/>
        <w:t xml:space="preserve">The annual fees for each small boat license shall be two hundred (200) Dirhams. </w:t>
      </w:r>
    </w:p>
    <w:p w:rsidR="003A5252" w:rsidRPr="00057B18" w:rsidRDefault="003A5252" w:rsidP="0020445C">
      <w:pPr>
        <w:pStyle w:val="enumlev1"/>
        <w:bidi w:val="0"/>
        <w:spacing w:line="240" w:lineRule="auto"/>
        <w:rPr>
          <w:rFonts w:asciiTheme="majorBidi" w:hAnsiTheme="majorBidi" w:cstheme="majorBidi"/>
          <w:szCs w:val="22"/>
        </w:rPr>
      </w:pPr>
      <w:r w:rsidRPr="00057B18">
        <w:rPr>
          <w:rFonts w:asciiTheme="majorBidi" w:hAnsiTheme="majorBidi" w:cstheme="majorBidi"/>
          <w:szCs w:val="22"/>
        </w:rPr>
        <w:t>21.2</w:t>
      </w:r>
      <w:r w:rsidRPr="00057B18">
        <w:rPr>
          <w:rFonts w:asciiTheme="majorBidi" w:hAnsiTheme="majorBidi" w:cstheme="majorBidi"/>
          <w:szCs w:val="22"/>
        </w:rPr>
        <w:tab/>
        <w:t xml:space="preserve">The annual fees for each Coastal ship </w:t>
      </w:r>
      <w:r w:rsidRPr="00057B18">
        <w:rPr>
          <w:rFonts w:asciiTheme="majorBidi" w:hAnsiTheme="majorBidi" w:cstheme="majorBidi"/>
          <w:color w:val="000000"/>
          <w:szCs w:val="22"/>
        </w:rPr>
        <w:t xml:space="preserve">(within domestic water and without MMSI) </w:t>
      </w:r>
      <w:r w:rsidRPr="00057B18">
        <w:rPr>
          <w:rFonts w:asciiTheme="majorBidi" w:hAnsiTheme="majorBidi" w:cstheme="majorBidi"/>
          <w:szCs w:val="22"/>
        </w:rPr>
        <w:t xml:space="preserve">license shall be Five Hundred and Fifty (550) Dirhams. </w:t>
      </w:r>
    </w:p>
    <w:p w:rsidR="003A5252" w:rsidRPr="00057B18" w:rsidRDefault="003A5252" w:rsidP="0020445C">
      <w:pPr>
        <w:pStyle w:val="enumlev1"/>
        <w:bidi w:val="0"/>
        <w:spacing w:line="240" w:lineRule="auto"/>
        <w:rPr>
          <w:rFonts w:asciiTheme="majorBidi" w:hAnsiTheme="majorBidi" w:cstheme="majorBidi"/>
          <w:szCs w:val="22"/>
        </w:rPr>
      </w:pPr>
      <w:r w:rsidRPr="00057B18">
        <w:rPr>
          <w:rFonts w:asciiTheme="majorBidi" w:hAnsiTheme="majorBidi" w:cstheme="majorBidi"/>
          <w:szCs w:val="22"/>
        </w:rPr>
        <w:t>21.3</w:t>
      </w:r>
      <w:r w:rsidRPr="00057B18">
        <w:rPr>
          <w:rFonts w:asciiTheme="majorBidi" w:hAnsiTheme="majorBidi" w:cstheme="majorBidi"/>
          <w:szCs w:val="22"/>
        </w:rPr>
        <w:tab/>
        <w:t xml:space="preserve">The annual fees for each Ship </w:t>
      </w:r>
      <w:r w:rsidRPr="00057B18">
        <w:rPr>
          <w:rFonts w:asciiTheme="majorBidi" w:hAnsiTheme="majorBidi" w:cstheme="majorBidi"/>
          <w:color w:val="000000"/>
          <w:szCs w:val="22"/>
        </w:rPr>
        <w:t xml:space="preserve">(goes outside domestic water and with MMSI) </w:t>
      </w:r>
      <w:r w:rsidRPr="00057B18">
        <w:rPr>
          <w:rFonts w:asciiTheme="majorBidi" w:hAnsiTheme="majorBidi" w:cstheme="majorBidi"/>
          <w:szCs w:val="22"/>
        </w:rPr>
        <w:t xml:space="preserve">license shall be One Thousand (1000) Dirhams. </w:t>
      </w:r>
    </w:p>
    <w:p w:rsidR="00E60699" w:rsidRDefault="00E60699" w:rsidP="003A5252">
      <w:pPr>
        <w:tabs>
          <w:tab w:val="clear" w:pos="794"/>
          <w:tab w:val="clear" w:pos="1191"/>
          <w:tab w:val="clear" w:pos="1588"/>
          <w:tab w:val="clear" w:pos="1985"/>
        </w:tabs>
        <w:overflowPunct/>
        <w:autoSpaceDE/>
        <w:autoSpaceDN/>
        <w:adjustRightInd/>
        <w:spacing w:before="0"/>
        <w:jc w:val="left"/>
        <w:textAlignment w:val="auto"/>
      </w:pPr>
    </w:p>
    <w:p w:rsidR="00E60699" w:rsidRDefault="00E60699" w:rsidP="003A5252">
      <w:pPr>
        <w:tabs>
          <w:tab w:val="clear" w:pos="794"/>
          <w:tab w:val="clear" w:pos="1191"/>
          <w:tab w:val="clear" w:pos="1588"/>
          <w:tab w:val="clear" w:pos="1985"/>
        </w:tabs>
        <w:overflowPunct/>
        <w:autoSpaceDE/>
        <w:autoSpaceDN/>
        <w:adjustRightInd/>
        <w:spacing w:before="0"/>
        <w:jc w:val="left"/>
        <w:textAlignment w:val="auto"/>
      </w:pPr>
    </w:p>
    <w:p w:rsidR="00E60699" w:rsidRDefault="00E60699" w:rsidP="003A5252">
      <w:pPr>
        <w:tabs>
          <w:tab w:val="clear" w:pos="794"/>
          <w:tab w:val="clear" w:pos="1191"/>
          <w:tab w:val="clear" w:pos="1588"/>
          <w:tab w:val="clear" w:pos="1985"/>
        </w:tabs>
        <w:overflowPunct/>
        <w:autoSpaceDE/>
        <w:autoSpaceDN/>
        <w:adjustRightInd/>
        <w:spacing w:before="0"/>
        <w:jc w:val="left"/>
        <w:textAlignment w:val="auto"/>
      </w:pPr>
    </w:p>
    <w:p w:rsidR="00E60699" w:rsidRDefault="00E60699" w:rsidP="003A5252">
      <w:pPr>
        <w:tabs>
          <w:tab w:val="clear" w:pos="794"/>
          <w:tab w:val="clear" w:pos="1191"/>
          <w:tab w:val="clear" w:pos="1588"/>
          <w:tab w:val="clear" w:pos="1985"/>
        </w:tabs>
        <w:overflowPunct/>
        <w:autoSpaceDE/>
        <w:autoSpaceDN/>
        <w:adjustRightInd/>
        <w:spacing w:before="0"/>
        <w:jc w:val="left"/>
        <w:textAlignment w:val="auto"/>
      </w:pPr>
    </w:p>
    <w:p w:rsidR="00E60699" w:rsidRDefault="00E60699" w:rsidP="003A5252">
      <w:pPr>
        <w:tabs>
          <w:tab w:val="clear" w:pos="794"/>
          <w:tab w:val="clear" w:pos="1191"/>
          <w:tab w:val="clear" w:pos="1588"/>
          <w:tab w:val="clear" w:pos="1985"/>
        </w:tabs>
        <w:overflowPunct/>
        <w:autoSpaceDE/>
        <w:autoSpaceDN/>
        <w:adjustRightInd/>
        <w:spacing w:before="0"/>
        <w:jc w:val="left"/>
        <w:textAlignment w:val="auto"/>
      </w:pPr>
    </w:p>
    <w:p w:rsidR="00E60699" w:rsidRDefault="00E60699" w:rsidP="003A5252">
      <w:pPr>
        <w:tabs>
          <w:tab w:val="clear" w:pos="794"/>
          <w:tab w:val="clear" w:pos="1191"/>
          <w:tab w:val="clear" w:pos="1588"/>
          <w:tab w:val="clear" w:pos="1985"/>
        </w:tabs>
        <w:overflowPunct/>
        <w:autoSpaceDE/>
        <w:autoSpaceDN/>
        <w:adjustRightInd/>
        <w:spacing w:before="0"/>
        <w:jc w:val="left"/>
        <w:textAlignment w:val="auto"/>
      </w:pPr>
    </w:p>
    <w:p w:rsidR="003A5252" w:rsidRDefault="003A5252" w:rsidP="003A5252">
      <w:pPr>
        <w:tabs>
          <w:tab w:val="clear" w:pos="794"/>
          <w:tab w:val="clear" w:pos="1191"/>
          <w:tab w:val="clear" w:pos="1588"/>
          <w:tab w:val="clear" w:pos="1985"/>
        </w:tabs>
        <w:overflowPunct/>
        <w:autoSpaceDE/>
        <w:autoSpaceDN/>
        <w:adjustRightInd/>
        <w:spacing w:before="0"/>
        <w:jc w:val="left"/>
        <w:textAlignment w:val="auto"/>
        <w:rPr>
          <w:b/>
          <w:sz w:val="28"/>
        </w:rPr>
      </w:pPr>
      <w:r>
        <w:br w:type="page"/>
      </w:r>
    </w:p>
    <w:p w:rsidR="003A5252" w:rsidRPr="00F50942" w:rsidRDefault="003A5252" w:rsidP="0020445C">
      <w:pPr>
        <w:pStyle w:val="Arttitle"/>
        <w:spacing w:before="400"/>
      </w:pPr>
      <w:bookmarkStart w:id="358" w:name="_Toc280261844"/>
      <w:bookmarkStart w:id="359" w:name="_Toc280262342"/>
      <w:bookmarkStart w:id="360" w:name="_Toc280272736"/>
      <w:bookmarkStart w:id="361" w:name="_Toc280272915"/>
      <w:r>
        <w:lastRenderedPageBreak/>
        <w:t>Article 22</w:t>
      </w:r>
      <w:r>
        <w:br/>
      </w:r>
      <w:r>
        <w:br/>
      </w:r>
      <w:bookmarkStart w:id="362" w:name="_Toc199215045"/>
      <w:r w:rsidRPr="00F50942">
        <w:t>Spectrum Fees for Space Services and Ancillary</w:t>
      </w:r>
      <w:bookmarkEnd w:id="358"/>
      <w:bookmarkEnd w:id="359"/>
      <w:bookmarkEnd w:id="360"/>
      <w:bookmarkEnd w:id="361"/>
      <w:bookmarkEnd w:id="362"/>
    </w:p>
    <w:p w:rsidR="003A5252" w:rsidRPr="00285EB6" w:rsidRDefault="003A5252" w:rsidP="0020445C">
      <w:pPr>
        <w:pStyle w:val="enumlev1"/>
        <w:bidi w:val="0"/>
        <w:spacing w:line="240" w:lineRule="auto"/>
        <w:rPr>
          <w:rFonts w:asciiTheme="majorBidi" w:hAnsiTheme="majorBidi" w:cstheme="majorBidi"/>
          <w:szCs w:val="22"/>
        </w:rPr>
      </w:pPr>
      <w:r w:rsidRPr="00285EB6">
        <w:rPr>
          <w:rFonts w:asciiTheme="majorBidi" w:hAnsiTheme="majorBidi" w:cstheme="majorBidi"/>
          <w:szCs w:val="22"/>
        </w:rPr>
        <w:t>22.1</w:t>
      </w:r>
      <w:r w:rsidRPr="00285EB6">
        <w:rPr>
          <w:rFonts w:asciiTheme="majorBidi" w:hAnsiTheme="majorBidi" w:cstheme="majorBidi"/>
          <w:szCs w:val="22"/>
        </w:rPr>
        <w:tab/>
        <w:t xml:space="preserve">The annual fees for each VSAT shall be five thousand (5000) Dirhams. </w:t>
      </w:r>
    </w:p>
    <w:p w:rsidR="003A5252" w:rsidRPr="00285EB6" w:rsidRDefault="003A5252" w:rsidP="0020445C">
      <w:pPr>
        <w:pStyle w:val="enumlev1"/>
        <w:bidi w:val="0"/>
        <w:spacing w:line="240" w:lineRule="auto"/>
        <w:rPr>
          <w:rFonts w:asciiTheme="majorBidi" w:hAnsiTheme="majorBidi" w:cstheme="majorBidi"/>
          <w:szCs w:val="22"/>
        </w:rPr>
      </w:pPr>
      <w:r w:rsidRPr="00285EB6">
        <w:rPr>
          <w:rFonts w:asciiTheme="majorBidi" w:hAnsiTheme="majorBidi" w:cstheme="majorBidi"/>
          <w:szCs w:val="22"/>
        </w:rPr>
        <w:t>22.2</w:t>
      </w:r>
      <w:r w:rsidRPr="00285EB6">
        <w:rPr>
          <w:rFonts w:asciiTheme="majorBidi" w:hAnsiTheme="majorBidi" w:cstheme="majorBidi"/>
          <w:szCs w:val="22"/>
        </w:rPr>
        <w:tab/>
        <w:t xml:space="preserve">The annual fees for each Earth Station antenna shall be fifty thousand (50000) Dirhams. </w:t>
      </w:r>
    </w:p>
    <w:p w:rsidR="003A5252" w:rsidRPr="00285EB6" w:rsidRDefault="003A5252" w:rsidP="0020445C">
      <w:pPr>
        <w:pStyle w:val="enumlev1"/>
        <w:bidi w:val="0"/>
        <w:spacing w:line="240" w:lineRule="auto"/>
        <w:rPr>
          <w:rFonts w:asciiTheme="majorBidi" w:hAnsiTheme="majorBidi" w:cstheme="majorBidi"/>
          <w:szCs w:val="22"/>
        </w:rPr>
      </w:pPr>
      <w:r w:rsidRPr="00285EB6">
        <w:rPr>
          <w:rFonts w:asciiTheme="majorBidi" w:hAnsiTheme="majorBidi" w:cstheme="majorBidi"/>
          <w:szCs w:val="22"/>
        </w:rPr>
        <w:t>22.3</w:t>
      </w:r>
      <w:r w:rsidRPr="00285EB6">
        <w:rPr>
          <w:rFonts w:asciiTheme="majorBidi" w:hAnsiTheme="majorBidi" w:cstheme="majorBidi"/>
          <w:szCs w:val="22"/>
        </w:rPr>
        <w:tab/>
        <w:t xml:space="preserve">The TVRO (Television receive only) shall not be charged. </w:t>
      </w:r>
    </w:p>
    <w:p w:rsidR="003A5252" w:rsidRPr="00285EB6" w:rsidRDefault="003A5252" w:rsidP="0020445C">
      <w:pPr>
        <w:pStyle w:val="enumlev1"/>
        <w:bidi w:val="0"/>
        <w:spacing w:line="240" w:lineRule="auto"/>
        <w:rPr>
          <w:rFonts w:asciiTheme="majorBidi" w:hAnsiTheme="majorBidi" w:cstheme="majorBidi"/>
          <w:szCs w:val="22"/>
        </w:rPr>
      </w:pPr>
      <w:r w:rsidRPr="00285EB6">
        <w:rPr>
          <w:rFonts w:asciiTheme="majorBidi" w:hAnsiTheme="majorBidi" w:cstheme="majorBidi"/>
          <w:szCs w:val="22"/>
        </w:rPr>
        <w:t>22.4</w:t>
      </w:r>
      <w:r w:rsidRPr="00285EB6">
        <w:rPr>
          <w:rFonts w:asciiTheme="majorBidi" w:hAnsiTheme="majorBidi" w:cstheme="majorBidi"/>
          <w:szCs w:val="22"/>
        </w:rPr>
        <w:tab/>
        <w:t>The annual fees for each DSNG shall be five thousand (5000) Dirhams.</w:t>
      </w:r>
    </w:p>
    <w:p w:rsidR="003A5252" w:rsidRPr="00285EB6" w:rsidRDefault="003A5252" w:rsidP="0020445C">
      <w:pPr>
        <w:pStyle w:val="enumlev1"/>
        <w:bidi w:val="0"/>
        <w:spacing w:line="240" w:lineRule="auto"/>
        <w:rPr>
          <w:rFonts w:asciiTheme="majorBidi" w:hAnsiTheme="majorBidi" w:cstheme="majorBidi"/>
          <w:szCs w:val="22"/>
        </w:rPr>
      </w:pPr>
      <w:r w:rsidRPr="00285EB6">
        <w:rPr>
          <w:rFonts w:asciiTheme="majorBidi" w:hAnsiTheme="majorBidi" w:cstheme="majorBidi"/>
          <w:szCs w:val="22"/>
        </w:rPr>
        <w:t>22.5</w:t>
      </w:r>
      <w:r w:rsidRPr="00285EB6">
        <w:rPr>
          <w:rFonts w:asciiTheme="majorBidi" w:hAnsiTheme="majorBidi" w:cstheme="majorBidi"/>
          <w:szCs w:val="22"/>
        </w:rPr>
        <w:tab/>
        <w:t>The annual Spectrum Fees for offering Aeronautical Mobile Satellite service shall be ten thousand (10000) Dirhams.</w:t>
      </w:r>
    </w:p>
    <w:p w:rsidR="003A5252" w:rsidRPr="00285EB6" w:rsidRDefault="003A5252" w:rsidP="0020445C">
      <w:pPr>
        <w:pStyle w:val="enumlev1"/>
        <w:bidi w:val="0"/>
        <w:spacing w:line="240" w:lineRule="auto"/>
        <w:rPr>
          <w:rFonts w:asciiTheme="majorBidi" w:hAnsiTheme="majorBidi" w:cstheme="majorBidi"/>
          <w:szCs w:val="22"/>
        </w:rPr>
      </w:pPr>
      <w:r w:rsidRPr="00285EB6">
        <w:rPr>
          <w:rFonts w:asciiTheme="majorBidi" w:hAnsiTheme="majorBidi" w:cstheme="majorBidi"/>
          <w:szCs w:val="22"/>
        </w:rPr>
        <w:t>22.6</w:t>
      </w:r>
      <w:r w:rsidRPr="00285EB6">
        <w:rPr>
          <w:rFonts w:asciiTheme="majorBidi" w:hAnsiTheme="majorBidi" w:cstheme="majorBidi"/>
          <w:szCs w:val="22"/>
        </w:rPr>
        <w:tab/>
        <w:t>The annual Spectrum Fees for offering Maritime Mobile Satellite service shall be ten thousand (10000) Dirhams.</w:t>
      </w:r>
    </w:p>
    <w:p w:rsidR="003A5252" w:rsidRPr="00285EB6" w:rsidRDefault="003A5252" w:rsidP="0020445C">
      <w:pPr>
        <w:pStyle w:val="enumlev1"/>
        <w:bidi w:val="0"/>
        <w:spacing w:line="240" w:lineRule="auto"/>
        <w:rPr>
          <w:rFonts w:asciiTheme="majorBidi" w:hAnsiTheme="majorBidi" w:cstheme="majorBidi"/>
          <w:szCs w:val="22"/>
        </w:rPr>
      </w:pPr>
      <w:r w:rsidRPr="00285EB6">
        <w:rPr>
          <w:rFonts w:asciiTheme="majorBidi" w:hAnsiTheme="majorBidi" w:cstheme="majorBidi"/>
          <w:szCs w:val="22"/>
        </w:rPr>
        <w:t>22.7</w:t>
      </w:r>
      <w:r w:rsidRPr="00285EB6">
        <w:rPr>
          <w:rFonts w:asciiTheme="majorBidi" w:hAnsiTheme="majorBidi" w:cstheme="majorBidi"/>
          <w:szCs w:val="22"/>
        </w:rPr>
        <w:tab/>
        <w:t>The annual Spectrum Fees for offering Earth Exploration Satellite service shall be ten thousand (10000) Dirhams.</w:t>
      </w:r>
    </w:p>
    <w:p w:rsidR="003A5252" w:rsidRPr="00285EB6" w:rsidRDefault="003A5252" w:rsidP="0020445C">
      <w:pPr>
        <w:pStyle w:val="enumlev1"/>
        <w:bidi w:val="0"/>
        <w:spacing w:line="240" w:lineRule="auto"/>
        <w:rPr>
          <w:rFonts w:asciiTheme="majorBidi" w:hAnsiTheme="majorBidi" w:cstheme="majorBidi"/>
          <w:szCs w:val="22"/>
        </w:rPr>
      </w:pPr>
      <w:r w:rsidRPr="00285EB6">
        <w:rPr>
          <w:rFonts w:asciiTheme="majorBidi" w:hAnsiTheme="majorBidi" w:cstheme="majorBidi"/>
          <w:szCs w:val="22"/>
        </w:rPr>
        <w:t>22.8</w:t>
      </w:r>
      <w:r w:rsidRPr="00285EB6">
        <w:rPr>
          <w:rFonts w:asciiTheme="majorBidi" w:hAnsiTheme="majorBidi" w:cstheme="majorBidi"/>
          <w:szCs w:val="22"/>
        </w:rPr>
        <w:tab/>
        <w:t>The annual Spectrum Fees for HAPS shall be determined by the TRA based on the purpose of use.</w:t>
      </w:r>
    </w:p>
    <w:p w:rsidR="003A5252" w:rsidRPr="00F50942" w:rsidRDefault="003A5252" w:rsidP="0020445C">
      <w:pPr>
        <w:pStyle w:val="Arttitle"/>
        <w:spacing w:before="400"/>
      </w:pPr>
      <w:bookmarkStart w:id="363" w:name="_Toc280261845"/>
      <w:bookmarkStart w:id="364" w:name="_Toc280262343"/>
      <w:bookmarkStart w:id="365" w:name="_Toc280272737"/>
      <w:bookmarkStart w:id="366" w:name="_Toc280272916"/>
      <w:r>
        <w:t>Article 23</w:t>
      </w:r>
      <w:r>
        <w:br/>
      </w:r>
      <w:r>
        <w:br/>
      </w:r>
      <w:bookmarkStart w:id="367" w:name="_Toc199215046"/>
      <w:r w:rsidRPr="00F50942">
        <w:t>Spectrum Fees for Radionavigation stations</w:t>
      </w:r>
      <w:bookmarkEnd w:id="363"/>
      <w:bookmarkEnd w:id="364"/>
      <w:bookmarkEnd w:id="365"/>
      <w:bookmarkEnd w:id="366"/>
      <w:bookmarkEnd w:id="367"/>
    </w:p>
    <w:p w:rsidR="003A5252" w:rsidRPr="00F50942" w:rsidRDefault="003A5252" w:rsidP="0020445C">
      <w:pPr>
        <w:bidi w:val="0"/>
        <w:spacing w:line="240" w:lineRule="auto"/>
        <w:rPr>
          <w:color w:val="000000"/>
          <w:szCs w:val="19"/>
        </w:rPr>
      </w:pPr>
      <w:r w:rsidRPr="00F50942">
        <w:rPr>
          <w:szCs w:val="19"/>
        </w:rPr>
        <w:t>The annual fees for each Radionavigation Station shall be One thousand (1000) Dirhams.</w:t>
      </w:r>
    </w:p>
    <w:p w:rsidR="003A5252" w:rsidRPr="00F50942" w:rsidRDefault="003A5252" w:rsidP="0020445C">
      <w:pPr>
        <w:pStyle w:val="Arttitle"/>
        <w:spacing w:before="400"/>
      </w:pPr>
      <w:bookmarkStart w:id="368" w:name="_Toc280261846"/>
      <w:bookmarkStart w:id="369" w:name="_Toc280262344"/>
      <w:bookmarkStart w:id="370" w:name="_Toc280272738"/>
      <w:bookmarkStart w:id="371" w:name="_Toc280272917"/>
      <w:r>
        <w:t>Article 24</w:t>
      </w:r>
      <w:r>
        <w:br/>
      </w:r>
      <w:r>
        <w:br/>
      </w:r>
      <w:bookmarkStart w:id="372" w:name="_Toc199215047"/>
      <w:r w:rsidRPr="00F50942">
        <w:t>Spectrum Fees for Radio Astronomy stations</w:t>
      </w:r>
      <w:bookmarkEnd w:id="368"/>
      <w:bookmarkEnd w:id="369"/>
      <w:bookmarkEnd w:id="370"/>
      <w:bookmarkEnd w:id="371"/>
      <w:bookmarkEnd w:id="372"/>
    </w:p>
    <w:p w:rsidR="003A5252" w:rsidRPr="00F50942" w:rsidRDefault="003A5252" w:rsidP="0020445C">
      <w:pPr>
        <w:bidi w:val="0"/>
        <w:spacing w:line="240" w:lineRule="auto"/>
        <w:rPr>
          <w:color w:val="000000"/>
          <w:szCs w:val="19"/>
        </w:rPr>
      </w:pPr>
      <w:r w:rsidRPr="00F50942">
        <w:rPr>
          <w:szCs w:val="19"/>
        </w:rPr>
        <w:t>The annual fees for each Radio Astronomy Station shall be five hundred (500) Dirhams.</w:t>
      </w:r>
    </w:p>
    <w:p w:rsidR="003A5252" w:rsidRPr="00F50942" w:rsidRDefault="003A5252" w:rsidP="0020445C">
      <w:pPr>
        <w:pStyle w:val="Arttitle"/>
        <w:spacing w:before="400"/>
      </w:pPr>
      <w:bookmarkStart w:id="373" w:name="_Toc280261847"/>
      <w:bookmarkStart w:id="374" w:name="_Toc280262345"/>
      <w:bookmarkStart w:id="375" w:name="_Toc280272739"/>
      <w:bookmarkStart w:id="376" w:name="_Toc280272918"/>
      <w:r>
        <w:t>Article 25</w:t>
      </w:r>
      <w:r>
        <w:br/>
      </w:r>
      <w:r>
        <w:br/>
      </w:r>
      <w:bookmarkStart w:id="377" w:name="_Toc199215048"/>
      <w:r w:rsidRPr="00F50942">
        <w:t>Spectrum Fees for Radiolocation stations</w:t>
      </w:r>
      <w:bookmarkEnd w:id="373"/>
      <w:bookmarkEnd w:id="374"/>
      <w:bookmarkEnd w:id="375"/>
      <w:bookmarkEnd w:id="376"/>
      <w:bookmarkEnd w:id="377"/>
    </w:p>
    <w:p w:rsidR="003A5252" w:rsidRPr="00F50942" w:rsidRDefault="003A5252" w:rsidP="0020445C">
      <w:pPr>
        <w:bidi w:val="0"/>
        <w:spacing w:line="240" w:lineRule="auto"/>
        <w:rPr>
          <w:color w:val="000000"/>
          <w:szCs w:val="19"/>
        </w:rPr>
      </w:pPr>
      <w:r w:rsidRPr="00F50942">
        <w:rPr>
          <w:szCs w:val="19"/>
        </w:rPr>
        <w:t>The annual fees for each maritime coastal radar, weather radar, ground based radar, aeronautical surveillance, approach control, oceanic, surface movement and tracking shall be five thousand (5000) Dirhams.</w:t>
      </w:r>
    </w:p>
    <w:p w:rsidR="003A5252" w:rsidRPr="00F50942" w:rsidRDefault="003A5252" w:rsidP="0020445C">
      <w:pPr>
        <w:pStyle w:val="Arttitle"/>
        <w:spacing w:before="400"/>
      </w:pPr>
      <w:bookmarkStart w:id="378" w:name="_Toc280261848"/>
      <w:bookmarkStart w:id="379" w:name="_Toc280262346"/>
      <w:bookmarkStart w:id="380" w:name="_Toc280272740"/>
      <w:bookmarkStart w:id="381" w:name="_Toc280272919"/>
      <w:r>
        <w:t>Article 26</w:t>
      </w:r>
      <w:r>
        <w:br/>
      </w:r>
      <w:r>
        <w:br/>
      </w:r>
      <w:bookmarkStart w:id="382" w:name="_Toc199215049"/>
      <w:r w:rsidRPr="00F50942">
        <w:t>Spectrum Fees for Broadcasting Service</w:t>
      </w:r>
      <w:bookmarkEnd w:id="378"/>
      <w:bookmarkEnd w:id="379"/>
      <w:bookmarkEnd w:id="380"/>
      <w:bookmarkEnd w:id="381"/>
      <w:bookmarkEnd w:id="382"/>
    </w:p>
    <w:p w:rsidR="003A5252" w:rsidRPr="003A3389" w:rsidRDefault="003A5252" w:rsidP="0020445C">
      <w:pPr>
        <w:pStyle w:val="enumlev1"/>
        <w:bidi w:val="0"/>
        <w:spacing w:line="240" w:lineRule="auto"/>
        <w:rPr>
          <w:rFonts w:asciiTheme="majorBidi" w:hAnsiTheme="majorBidi" w:cstheme="majorBidi"/>
          <w:szCs w:val="22"/>
        </w:rPr>
      </w:pPr>
      <w:bookmarkStart w:id="383" w:name="_Toc195057825"/>
      <w:r w:rsidRPr="003A3389">
        <w:rPr>
          <w:rFonts w:asciiTheme="majorBidi" w:hAnsiTheme="majorBidi" w:cstheme="majorBidi"/>
          <w:szCs w:val="22"/>
        </w:rPr>
        <w:t>26.1</w:t>
      </w:r>
      <w:r w:rsidRPr="003A3389">
        <w:rPr>
          <w:rFonts w:asciiTheme="majorBidi" w:hAnsiTheme="majorBidi" w:cstheme="majorBidi"/>
          <w:szCs w:val="22"/>
        </w:rPr>
        <w:tab/>
        <w:t>Terrestrial Radio and Television Broadcasting</w:t>
      </w:r>
      <w:bookmarkEnd w:id="383"/>
    </w:p>
    <w:p w:rsidR="003A5252" w:rsidRPr="003A3389" w:rsidRDefault="003A5252" w:rsidP="0020445C">
      <w:pPr>
        <w:pStyle w:val="enumlev1"/>
        <w:bidi w:val="0"/>
        <w:spacing w:line="240" w:lineRule="auto"/>
        <w:rPr>
          <w:rFonts w:asciiTheme="majorBidi" w:hAnsiTheme="majorBidi" w:cstheme="majorBidi"/>
          <w:b/>
          <w:szCs w:val="22"/>
        </w:rPr>
      </w:pPr>
      <w:r w:rsidRPr="003A3389">
        <w:rPr>
          <w:rFonts w:asciiTheme="majorBidi" w:hAnsiTheme="majorBidi" w:cstheme="majorBidi"/>
          <w:szCs w:val="22"/>
        </w:rPr>
        <w:tab/>
        <w:t>Annual fees of Radio Spectrum Authorization for an individual Broadcasting Station shall be calculated as follows:-</w:t>
      </w:r>
    </w:p>
    <w:p w:rsidR="003A5252" w:rsidRPr="00F50942" w:rsidRDefault="003A5252" w:rsidP="0020445C">
      <w:pPr>
        <w:suppressAutoHyphens/>
        <w:bidi w:val="0"/>
        <w:spacing w:line="240" w:lineRule="auto"/>
        <w:ind w:left="851"/>
        <w:rPr>
          <w:b/>
          <w:szCs w:val="19"/>
        </w:rPr>
      </w:pPr>
      <w:r w:rsidRPr="00F50942">
        <w:rPr>
          <w:b/>
          <w:szCs w:val="19"/>
        </w:rPr>
        <w:tab/>
        <w:t>Spectrum Fees (per Station) = A + B * C * D * E * F</w:t>
      </w:r>
    </w:p>
    <w:p w:rsidR="003A5252" w:rsidRPr="00F50942" w:rsidRDefault="003A5252" w:rsidP="0020445C">
      <w:pPr>
        <w:tabs>
          <w:tab w:val="left" w:pos="851"/>
        </w:tabs>
        <w:bidi w:val="0"/>
        <w:spacing w:line="240" w:lineRule="auto"/>
        <w:ind w:left="851"/>
        <w:rPr>
          <w:szCs w:val="19"/>
        </w:rPr>
      </w:pPr>
      <w:r w:rsidRPr="00F50942">
        <w:rPr>
          <w:b/>
          <w:szCs w:val="19"/>
        </w:rPr>
        <w:tab/>
        <w:t xml:space="preserve">A = Basic Fee = </w:t>
      </w:r>
      <w:r w:rsidRPr="00F50942">
        <w:rPr>
          <w:szCs w:val="19"/>
        </w:rPr>
        <w:t>30,000 AED.</w:t>
      </w:r>
    </w:p>
    <w:p w:rsidR="00E60699" w:rsidRDefault="00E60699">
      <w:pPr>
        <w:tabs>
          <w:tab w:val="clear" w:pos="794"/>
          <w:tab w:val="clear" w:pos="1191"/>
          <w:tab w:val="clear" w:pos="1588"/>
          <w:tab w:val="clear" w:pos="1985"/>
        </w:tabs>
        <w:overflowPunct/>
        <w:autoSpaceDE/>
        <w:autoSpaceDN/>
        <w:bidi w:val="0"/>
        <w:adjustRightInd/>
        <w:spacing w:before="0" w:line="240" w:lineRule="auto"/>
        <w:jc w:val="left"/>
        <w:textAlignment w:val="auto"/>
        <w:rPr>
          <w:b/>
          <w:szCs w:val="19"/>
        </w:rPr>
      </w:pPr>
      <w:r>
        <w:rPr>
          <w:b/>
          <w:szCs w:val="19"/>
        </w:rPr>
        <w:br w:type="page"/>
      </w:r>
    </w:p>
    <w:p w:rsidR="003A5252" w:rsidRPr="00F50942" w:rsidRDefault="003A5252" w:rsidP="0020445C">
      <w:pPr>
        <w:bidi w:val="0"/>
        <w:spacing w:line="240" w:lineRule="auto"/>
        <w:ind w:left="1191" w:hanging="1191"/>
        <w:rPr>
          <w:szCs w:val="19"/>
        </w:rPr>
      </w:pPr>
      <w:r w:rsidRPr="00F50942">
        <w:rPr>
          <w:b/>
          <w:szCs w:val="19"/>
        </w:rPr>
        <w:lastRenderedPageBreak/>
        <w:tab/>
      </w:r>
      <w:r w:rsidRPr="00F50942">
        <w:rPr>
          <w:b/>
          <w:szCs w:val="19"/>
        </w:rPr>
        <w:tab/>
        <w:t>Note:</w:t>
      </w:r>
      <w:r w:rsidRPr="00F50942">
        <w:rPr>
          <w:szCs w:val="19"/>
        </w:rPr>
        <w:t xml:space="preserve"> In case of using Single Frequency Network (SFN) the complete network shall be treated as one single transmitter and the Basic Fee shall be charged once for that SFN whereas the remaining part of Spectrum Fees shall be charged per station.</w:t>
      </w:r>
    </w:p>
    <w:p w:rsidR="003A5252" w:rsidRPr="00F50942" w:rsidRDefault="003A5252" w:rsidP="0020445C">
      <w:pPr>
        <w:bidi w:val="0"/>
        <w:spacing w:line="240" w:lineRule="auto"/>
        <w:ind w:left="1191" w:hanging="1191"/>
        <w:rPr>
          <w:szCs w:val="19"/>
        </w:rPr>
      </w:pPr>
      <w:r w:rsidRPr="00F50942">
        <w:rPr>
          <w:b/>
          <w:szCs w:val="19"/>
        </w:rPr>
        <w:tab/>
      </w:r>
      <w:r w:rsidRPr="00F50942">
        <w:rPr>
          <w:b/>
          <w:szCs w:val="19"/>
        </w:rPr>
        <w:tab/>
        <w:t xml:space="preserve">B = Power Factor </w:t>
      </w:r>
      <w:r w:rsidRPr="00F50942">
        <w:rPr>
          <w:szCs w:val="19"/>
        </w:rPr>
        <w:t xml:space="preserve">= The power, expressed in kilowatts [kW] equals the </w:t>
      </w:r>
      <w:r w:rsidRPr="00F50942">
        <w:rPr>
          <w:szCs w:val="19"/>
        </w:rPr>
        <w:tab/>
        <w:t xml:space="preserve">transmitter output power (in case of LW, MW  or SW transmissions) and effective </w:t>
      </w:r>
      <w:r w:rsidRPr="00F50942">
        <w:rPr>
          <w:szCs w:val="19"/>
        </w:rPr>
        <w:tab/>
        <w:t>radiated power (ERP) in all other cases.</w:t>
      </w:r>
    </w:p>
    <w:p w:rsidR="003A5252" w:rsidRPr="00F50942" w:rsidRDefault="003A5252" w:rsidP="0020445C">
      <w:pPr>
        <w:bidi w:val="0"/>
        <w:spacing w:line="240" w:lineRule="auto"/>
        <w:rPr>
          <w:szCs w:val="19"/>
        </w:rPr>
      </w:pPr>
      <w:r w:rsidRPr="00F50942">
        <w:rPr>
          <w:szCs w:val="19"/>
        </w:rPr>
        <w:tab/>
      </w:r>
      <w:r w:rsidRPr="00F50942">
        <w:rPr>
          <w:szCs w:val="19"/>
        </w:rPr>
        <w:tab/>
      </w:r>
      <w:r w:rsidRPr="00F50942">
        <w:rPr>
          <w:b/>
          <w:szCs w:val="19"/>
        </w:rPr>
        <w:t xml:space="preserve">C = Service Type Factor </w:t>
      </w:r>
      <w:r w:rsidRPr="00F50942">
        <w:rPr>
          <w:szCs w:val="19"/>
        </w:rPr>
        <w:t xml:space="preserve">as follows: </w:t>
      </w:r>
    </w:p>
    <w:p w:rsidR="003A5252" w:rsidRDefault="003A5252" w:rsidP="00E60699">
      <w:pPr>
        <w:bidi w:val="0"/>
        <w:rPr>
          <w:szCs w:val="19"/>
        </w:rPr>
      </w:pPr>
    </w:p>
    <w:p w:rsidR="003A5252" w:rsidRDefault="003A5252" w:rsidP="00EE251B">
      <w:pPr>
        <w:pStyle w:val="FigureTitle"/>
        <w:pBdr>
          <w:top w:val="single" w:sz="12" w:space="10" w:color="000000"/>
        </w:pBdr>
      </w:pPr>
      <w:bookmarkStart w:id="384" w:name="_Toc195057726"/>
      <w:r w:rsidRPr="00F50942">
        <w:t xml:space="preserve">Table </w:t>
      </w:r>
      <w:fldSimple w:instr=" SEQ Figure \* ARABIC ">
        <w:r>
          <w:rPr>
            <w:noProof/>
          </w:rPr>
          <w:t>1</w:t>
        </w:r>
      </w:fldSimple>
      <w:r w:rsidRPr="00F50942">
        <w:t xml:space="preserve"> – Definition of Service Type Factors (C) for </w:t>
      </w:r>
      <w:bookmarkEnd w:id="384"/>
      <w:r w:rsidRPr="00F50942">
        <w:t>Sound Broadcasting Services</w:t>
      </w:r>
    </w:p>
    <w:p w:rsidR="003A5252" w:rsidRPr="00D018D4" w:rsidRDefault="003A5252" w:rsidP="003A5252">
      <w:pPr>
        <w:rPr>
          <w:lang w:val="en-US"/>
        </w:rPr>
      </w:pP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2"/>
        <w:gridCol w:w="2496"/>
        <w:gridCol w:w="1620"/>
        <w:gridCol w:w="1829"/>
      </w:tblGrid>
      <w:tr w:rsidR="003A5252" w:rsidRPr="00F50942" w:rsidTr="00026C26">
        <w:trPr>
          <w:trHeight w:val="397"/>
          <w:jc w:val="center"/>
        </w:trPr>
        <w:tc>
          <w:tcPr>
            <w:tcW w:w="7517" w:type="dxa"/>
            <w:gridSpan w:val="4"/>
            <w:tcBorders>
              <w:bottom w:val="single" w:sz="4" w:space="0" w:color="auto"/>
            </w:tcBorders>
            <w:shd w:val="clear" w:color="auto" w:fill="E6E6E6"/>
            <w:vAlign w:val="center"/>
          </w:tcPr>
          <w:p w:rsidR="003A5252" w:rsidRPr="00B5798C" w:rsidRDefault="003A5252" w:rsidP="00026C26">
            <w:pPr>
              <w:pStyle w:val="Tablehead"/>
              <w:rPr>
                <w:rFonts w:asciiTheme="majorBidi" w:hAnsiTheme="majorBidi" w:cstheme="majorBidi"/>
                <w:szCs w:val="22"/>
              </w:rPr>
            </w:pPr>
            <w:r w:rsidRPr="00B5798C">
              <w:rPr>
                <w:rFonts w:asciiTheme="majorBidi" w:hAnsiTheme="majorBidi" w:cstheme="majorBidi"/>
                <w:szCs w:val="22"/>
              </w:rPr>
              <w:t>Sound Broadcasting Service</w:t>
            </w:r>
          </w:p>
        </w:tc>
      </w:tr>
      <w:tr w:rsidR="003A5252" w:rsidRPr="00F50942" w:rsidTr="00026C26">
        <w:trPr>
          <w:trHeight w:val="397"/>
          <w:jc w:val="center"/>
        </w:trPr>
        <w:tc>
          <w:tcPr>
            <w:tcW w:w="1572" w:type="dxa"/>
            <w:shd w:val="clear" w:color="auto" w:fill="E6E6E6"/>
            <w:vAlign w:val="center"/>
          </w:tcPr>
          <w:p w:rsidR="003A5252" w:rsidRPr="00B5798C" w:rsidRDefault="003A5252" w:rsidP="00026C26">
            <w:pPr>
              <w:pStyle w:val="Tablehead"/>
              <w:rPr>
                <w:rFonts w:asciiTheme="majorBidi" w:hAnsiTheme="majorBidi" w:cstheme="majorBidi"/>
                <w:szCs w:val="22"/>
              </w:rPr>
            </w:pPr>
            <w:r w:rsidRPr="00B5798C">
              <w:rPr>
                <w:rFonts w:asciiTheme="majorBidi" w:hAnsiTheme="majorBidi" w:cstheme="majorBidi"/>
                <w:szCs w:val="22"/>
              </w:rPr>
              <w:t>Service Type</w:t>
            </w:r>
          </w:p>
        </w:tc>
        <w:tc>
          <w:tcPr>
            <w:tcW w:w="2496" w:type="dxa"/>
            <w:shd w:val="clear" w:color="auto" w:fill="E6E6E6"/>
            <w:vAlign w:val="center"/>
          </w:tcPr>
          <w:p w:rsidR="003A5252" w:rsidRPr="00B5798C" w:rsidRDefault="003A5252" w:rsidP="00026C26">
            <w:pPr>
              <w:pStyle w:val="Tablehead"/>
              <w:rPr>
                <w:rFonts w:asciiTheme="majorBidi" w:hAnsiTheme="majorBidi" w:cstheme="majorBidi"/>
                <w:szCs w:val="22"/>
              </w:rPr>
            </w:pPr>
            <w:r w:rsidRPr="00B5798C">
              <w:rPr>
                <w:rFonts w:asciiTheme="majorBidi" w:hAnsiTheme="majorBidi" w:cstheme="majorBidi"/>
                <w:szCs w:val="22"/>
              </w:rPr>
              <w:t>Frequency Range</w:t>
            </w:r>
          </w:p>
        </w:tc>
        <w:tc>
          <w:tcPr>
            <w:tcW w:w="1620" w:type="dxa"/>
            <w:shd w:val="clear" w:color="auto" w:fill="E6E6E6"/>
            <w:vAlign w:val="center"/>
          </w:tcPr>
          <w:p w:rsidR="003A5252" w:rsidRPr="00B5798C" w:rsidRDefault="003A5252" w:rsidP="00026C26">
            <w:pPr>
              <w:pStyle w:val="Tablehead"/>
              <w:rPr>
                <w:rFonts w:asciiTheme="majorBidi" w:hAnsiTheme="majorBidi" w:cstheme="majorBidi"/>
                <w:szCs w:val="22"/>
              </w:rPr>
            </w:pPr>
            <w:r w:rsidRPr="00B5798C">
              <w:rPr>
                <w:rFonts w:asciiTheme="majorBidi" w:hAnsiTheme="majorBidi" w:cstheme="majorBidi"/>
                <w:szCs w:val="22"/>
              </w:rPr>
              <w:t>Bandwidth</w:t>
            </w:r>
          </w:p>
        </w:tc>
        <w:tc>
          <w:tcPr>
            <w:tcW w:w="1829" w:type="dxa"/>
            <w:shd w:val="clear" w:color="auto" w:fill="E6E6E6"/>
            <w:vAlign w:val="center"/>
          </w:tcPr>
          <w:p w:rsidR="003A5252" w:rsidRPr="00B5798C" w:rsidRDefault="003A5252" w:rsidP="00026C26">
            <w:pPr>
              <w:pStyle w:val="Tablehead"/>
              <w:rPr>
                <w:rFonts w:asciiTheme="majorBidi" w:hAnsiTheme="majorBidi" w:cstheme="majorBidi"/>
                <w:szCs w:val="22"/>
              </w:rPr>
            </w:pPr>
            <w:r w:rsidRPr="00B5798C">
              <w:rPr>
                <w:rFonts w:asciiTheme="majorBidi" w:hAnsiTheme="majorBidi" w:cstheme="majorBidi"/>
                <w:szCs w:val="22"/>
              </w:rPr>
              <w:t>Service Type Factor (C)</w:t>
            </w:r>
          </w:p>
        </w:tc>
      </w:tr>
      <w:tr w:rsidR="003A5252" w:rsidRPr="00F50942" w:rsidTr="00026C26">
        <w:trPr>
          <w:trHeight w:val="368"/>
          <w:jc w:val="center"/>
        </w:trPr>
        <w:tc>
          <w:tcPr>
            <w:tcW w:w="1572" w:type="dxa"/>
            <w:vMerge w:val="restart"/>
          </w:tcPr>
          <w:p w:rsidR="003A5252" w:rsidRPr="00B5798C" w:rsidRDefault="003A5252" w:rsidP="00026C26">
            <w:pPr>
              <w:pStyle w:val="Tabletext"/>
              <w:rPr>
                <w:rFonts w:asciiTheme="majorBidi" w:hAnsiTheme="majorBidi" w:cstheme="majorBidi"/>
                <w:szCs w:val="22"/>
              </w:rPr>
            </w:pPr>
            <w:r w:rsidRPr="00B5798C">
              <w:rPr>
                <w:rFonts w:asciiTheme="majorBidi" w:hAnsiTheme="majorBidi" w:cstheme="majorBidi"/>
                <w:szCs w:val="22"/>
              </w:rPr>
              <w:br/>
              <w:t>LF/MF</w:t>
            </w:r>
          </w:p>
        </w:tc>
        <w:tc>
          <w:tcPr>
            <w:tcW w:w="2496" w:type="dxa"/>
            <w:shd w:val="clear" w:color="auto" w:fill="auto"/>
          </w:tcPr>
          <w:p w:rsidR="003A5252" w:rsidRPr="00B5798C" w:rsidRDefault="003A5252" w:rsidP="00026C26">
            <w:pPr>
              <w:pStyle w:val="Tabletext"/>
              <w:rPr>
                <w:rFonts w:asciiTheme="majorBidi" w:hAnsiTheme="majorBidi" w:cstheme="majorBidi"/>
                <w:szCs w:val="22"/>
              </w:rPr>
            </w:pPr>
            <w:r w:rsidRPr="00B5798C">
              <w:rPr>
                <w:rFonts w:asciiTheme="majorBidi" w:hAnsiTheme="majorBidi" w:cstheme="majorBidi"/>
                <w:szCs w:val="22"/>
              </w:rPr>
              <w:t>148.5 – 283.5 kHz</w:t>
            </w:r>
          </w:p>
        </w:tc>
        <w:tc>
          <w:tcPr>
            <w:tcW w:w="1620" w:type="dxa"/>
            <w:shd w:val="clear" w:color="auto" w:fill="auto"/>
          </w:tcPr>
          <w:p w:rsidR="003A5252" w:rsidRPr="00B5798C" w:rsidRDefault="003A5252" w:rsidP="00026C26">
            <w:pPr>
              <w:pStyle w:val="Tabletext"/>
              <w:rPr>
                <w:rFonts w:asciiTheme="majorBidi" w:hAnsiTheme="majorBidi" w:cstheme="majorBidi"/>
                <w:szCs w:val="22"/>
              </w:rPr>
            </w:pPr>
            <w:r w:rsidRPr="00B5798C">
              <w:rPr>
                <w:rFonts w:asciiTheme="majorBidi" w:hAnsiTheme="majorBidi" w:cstheme="majorBidi"/>
                <w:szCs w:val="22"/>
              </w:rPr>
              <w:t>9 kHz</w:t>
            </w:r>
          </w:p>
        </w:tc>
        <w:tc>
          <w:tcPr>
            <w:tcW w:w="1829" w:type="dxa"/>
            <w:vMerge w:val="restart"/>
            <w:vAlign w:val="center"/>
          </w:tcPr>
          <w:p w:rsidR="003A5252" w:rsidRPr="00B5798C" w:rsidRDefault="003A5252" w:rsidP="00026C26">
            <w:pPr>
              <w:pStyle w:val="Tabletext"/>
              <w:rPr>
                <w:rFonts w:asciiTheme="majorBidi" w:hAnsiTheme="majorBidi" w:cstheme="majorBidi"/>
                <w:szCs w:val="22"/>
              </w:rPr>
            </w:pPr>
            <w:r w:rsidRPr="00B5798C">
              <w:rPr>
                <w:rFonts w:asciiTheme="majorBidi" w:hAnsiTheme="majorBidi" w:cstheme="majorBidi"/>
                <w:szCs w:val="22"/>
              </w:rPr>
              <w:t>8</w:t>
            </w:r>
          </w:p>
        </w:tc>
      </w:tr>
      <w:tr w:rsidR="003A5252" w:rsidRPr="00F50942" w:rsidTr="00026C26">
        <w:trPr>
          <w:jc w:val="center"/>
        </w:trPr>
        <w:tc>
          <w:tcPr>
            <w:tcW w:w="1572" w:type="dxa"/>
            <w:vMerge/>
          </w:tcPr>
          <w:p w:rsidR="003A5252" w:rsidRPr="00B5798C" w:rsidRDefault="003A5252" w:rsidP="00026C26">
            <w:pPr>
              <w:pStyle w:val="Tabletext"/>
              <w:rPr>
                <w:rFonts w:asciiTheme="majorBidi" w:hAnsiTheme="majorBidi" w:cstheme="majorBidi"/>
                <w:szCs w:val="22"/>
              </w:rPr>
            </w:pPr>
          </w:p>
        </w:tc>
        <w:tc>
          <w:tcPr>
            <w:tcW w:w="2496" w:type="dxa"/>
            <w:shd w:val="clear" w:color="auto" w:fill="auto"/>
          </w:tcPr>
          <w:p w:rsidR="003A5252" w:rsidRPr="00B5798C" w:rsidRDefault="003A5252" w:rsidP="00026C26">
            <w:pPr>
              <w:pStyle w:val="Tabletext"/>
              <w:rPr>
                <w:rFonts w:asciiTheme="majorBidi" w:hAnsiTheme="majorBidi" w:cstheme="majorBidi"/>
                <w:szCs w:val="22"/>
              </w:rPr>
            </w:pPr>
            <w:r w:rsidRPr="00B5798C">
              <w:rPr>
                <w:rFonts w:asciiTheme="majorBidi" w:hAnsiTheme="majorBidi" w:cstheme="majorBidi"/>
                <w:szCs w:val="22"/>
              </w:rPr>
              <w:t>526.5 – 1,606.5 kHz</w:t>
            </w:r>
          </w:p>
        </w:tc>
        <w:tc>
          <w:tcPr>
            <w:tcW w:w="1620" w:type="dxa"/>
            <w:shd w:val="clear" w:color="auto" w:fill="auto"/>
          </w:tcPr>
          <w:p w:rsidR="003A5252" w:rsidRPr="00B5798C" w:rsidRDefault="003A5252" w:rsidP="00026C26">
            <w:pPr>
              <w:pStyle w:val="Tabletext"/>
              <w:rPr>
                <w:rFonts w:asciiTheme="majorBidi" w:hAnsiTheme="majorBidi" w:cstheme="majorBidi"/>
                <w:szCs w:val="22"/>
              </w:rPr>
            </w:pPr>
            <w:r w:rsidRPr="00B5798C">
              <w:rPr>
                <w:rFonts w:asciiTheme="majorBidi" w:hAnsiTheme="majorBidi" w:cstheme="majorBidi"/>
                <w:szCs w:val="22"/>
              </w:rPr>
              <w:t>9 kHz</w:t>
            </w:r>
          </w:p>
        </w:tc>
        <w:tc>
          <w:tcPr>
            <w:tcW w:w="1829" w:type="dxa"/>
            <w:vMerge/>
            <w:vAlign w:val="center"/>
          </w:tcPr>
          <w:p w:rsidR="003A5252" w:rsidRPr="00B5798C" w:rsidRDefault="003A5252" w:rsidP="00026C26">
            <w:pPr>
              <w:pStyle w:val="Tabletext"/>
              <w:rPr>
                <w:rFonts w:asciiTheme="majorBidi" w:hAnsiTheme="majorBidi" w:cstheme="majorBidi"/>
                <w:szCs w:val="22"/>
              </w:rPr>
            </w:pPr>
          </w:p>
        </w:tc>
      </w:tr>
      <w:tr w:rsidR="003A5252" w:rsidRPr="00F50942" w:rsidTr="00026C26">
        <w:trPr>
          <w:trHeight w:val="233"/>
          <w:jc w:val="center"/>
        </w:trPr>
        <w:tc>
          <w:tcPr>
            <w:tcW w:w="1572" w:type="dxa"/>
            <w:vMerge w:val="restart"/>
          </w:tcPr>
          <w:p w:rsidR="003A5252" w:rsidRPr="00B5798C" w:rsidRDefault="003A5252" w:rsidP="00026C26">
            <w:pPr>
              <w:pStyle w:val="Tabletext"/>
              <w:rPr>
                <w:rFonts w:asciiTheme="majorBidi" w:hAnsiTheme="majorBidi" w:cstheme="majorBidi"/>
                <w:szCs w:val="22"/>
              </w:rPr>
            </w:pPr>
            <w:r w:rsidRPr="00B5798C">
              <w:rPr>
                <w:rFonts w:asciiTheme="majorBidi" w:hAnsiTheme="majorBidi" w:cstheme="majorBidi"/>
                <w:szCs w:val="22"/>
              </w:rPr>
              <w:br/>
              <w:t>VHF</w:t>
            </w:r>
          </w:p>
        </w:tc>
        <w:tc>
          <w:tcPr>
            <w:tcW w:w="2496" w:type="dxa"/>
            <w:shd w:val="clear" w:color="auto" w:fill="auto"/>
          </w:tcPr>
          <w:p w:rsidR="003A5252" w:rsidRPr="00B5798C" w:rsidRDefault="003A5252" w:rsidP="00026C26">
            <w:pPr>
              <w:pStyle w:val="Tabletext"/>
              <w:rPr>
                <w:rFonts w:asciiTheme="majorBidi" w:hAnsiTheme="majorBidi" w:cstheme="majorBidi"/>
                <w:szCs w:val="22"/>
              </w:rPr>
            </w:pPr>
            <w:r w:rsidRPr="00B5798C">
              <w:rPr>
                <w:rFonts w:asciiTheme="majorBidi" w:hAnsiTheme="majorBidi" w:cstheme="majorBidi"/>
                <w:szCs w:val="22"/>
              </w:rPr>
              <w:t>87.5 – 108 MHz</w:t>
            </w:r>
          </w:p>
        </w:tc>
        <w:tc>
          <w:tcPr>
            <w:tcW w:w="1620" w:type="dxa"/>
            <w:shd w:val="clear" w:color="auto" w:fill="auto"/>
          </w:tcPr>
          <w:p w:rsidR="003A5252" w:rsidRPr="00B5798C" w:rsidRDefault="003A5252" w:rsidP="00026C26">
            <w:pPr>
              <w:pStyle w:val="Tabletext"/>
              <w:rPr>
                <w:rFonts w:asciiTheme="majorBidi" w:hAnsiTheme="majorBidi" w:cstheme="majorBidi"/>
                <w:szCs w:val="22"/>
              </w:rPr>
            </w:pPr>
            <w:r w:rsidRPr="00B5798C">
              <w:rPr>
                <w:rFonts w:asciiTheme="majorBidi" w:hAnsiTheme="majorBidi" w:cstheme="majorBidi"/>
                <w:szCs w:val="22"/>
              </w:rPr>
              <w:t>200 kHz</w:t>
            </w:r>
          </w:p>
        </w:tc>
        <w:tc>
          <w:tcPr>
            <w:tcW w:w="1829" w:type="dxa"/>
          </w:tcPr>
          <w:p w:rsidR="003A5252" w:rsidRPr="00B5798C" w:rsidRDefault="003A5252" w:rsidP="00026C26">
            <w:pPr>
              <w:pStyle w:val="Tabletext"/>
              <w:rPr>
                <w:rFonts w:asciiTheme="majorBidi" w:hAnsiTheme="majorBidi" w:cstheme="majorBidi"/>
                <w:szCs w:val="22"/>
              </w:rPr>
            </w:pPr>
            <w:r w:rsidRPr="00B5798C">
              <w:rPr>
                <w:rFonts w:asciiTheme="majorBidi" w:hAnsiTheme="majorBidi" w:cstheme="majorBidi"/>
                <w:szCs w:val="22"/>
              </w:rPr>
              <w:t>16</w:t>
            </w:r>
          </w:p>
        </w:tc>
      </w:tr>
      <w:tr w:rsidR="003A5252" w:rsidRPr="00F50942" w:rsidTr="00026C26">
        <w:trPr>
          <w:trHeight w:val="305"/>
          <w:jc w:val="center"/>
        </w:trPr>
        <w:tc>
          <w:tcPr>
            <w:tcW w:w="1572" w:type="dxa"/>
            <w:vMerge/>
          </w:tcPr>
          <w:p w:rsidR="003A5252" w:rsidRPr="00F50942" w:rsidDel="00192A8E" w:rsidRDefault="003A5252" w:rsidP="00026C26">
            <w:pPr>
              <w:pStyle w:val="Tabletext"/>
              <w:rPr>
                <w:rFonts w:ascii="Verdana" w:hAnsi="Verdana"/>
                <w:sz w:val="19"/>
                <w:szCs w:val="19"/>
              </w:rPr>
            </w:pPr>
          </w:p>
        </w:tc>
        <w:tc>
          <w:tcPr>
            <w:tcW w:w="2496" w:type="dxa"/>
            <w:shd w:val="clear" w:color="auto" w:fill="auto"/>
          </w:tcPr>
          <w:p w:rsidR="003A5252" w:rsidRPr="00B5798C" w:rsidRDefault="003A5252" w:rsidP="00026C26">
            <w:pPr>
              <w:pStyle w:val="Tabletext"/>
              <w:rPr>
                <w:rFonts w:asciiTheme="majorBidi" w:hAnsiTheme="majorBidi" w:cstheme="majorBidi"/>
                <w:szCs w:val="22"/>
              </w:rPr>
            </w:pPr>
            <w:r w:rsidRPr="00B5798C">
              <w:rPr>
                <w:rFonts w:asciiTheme="majorBidi" w:hAnsiTheme="majorBidi" w:cstheme="majorBidi"/>
                <w:szCs w:val="22"/>
              </w:rPr>
              <w:t>174 – 230 MHz</w:t>
            </w:r>
          </w:p>
        </w:tc>
        <w:tc>
          <w:tcPr>
            <w:tcW w:w="1620" w:type="dxa"/>
            <w:shd w:val="clear" w:color="auto" w:fill="auto"/>
          </w:tcPr>
          <w:p w:rsidR="003A5252" w:rsidRPr="00B5798C" w:rsidRDefault="003A5252" w:rsidP="00026C26">
            <w:pPr>
              <w:pStyle w:val="Tabletext"/>
              <w:rPr>
                <w:rFonts w:asciiTheme="majorBidi" w:hAnsiTheme="majorBidi" w:cstheme="majorBidi"/>
                <w:szCs w:val="22"/>
              </w:rPr>
            </w:pPr>
            <w:r w:rsidRPr="00B5798C">
              <w:rPr>
                <w:rFonts w:asciiTheme="majorBidi" w:hAnsiTheme="majorBidi" w:cstheme="majorBidi"/>
                <w:szCs w:val="22"/>
              </w:rPr>
              <w:t>1.536 MHz</w:t>
            </w:r>
          </w:p>
        </w:tc>
        <w:tc>
          <w:tcPr>
            <w:tcW w:w="1829" w:type="dxa"/>
          </w:tcPr>
          <w:p w:rsidR="003A5252" w:rsidRPr="00B5798C" w:rsidRDefault="003A5252" w:rsidP="00026C26">
            <w:pPr>
              <w:pStyle w:val="Tabletext"/>
              <w:rPr>
                <w:rFonts w:asciiTheme="majorBidi" w:hAnsiTheme="majorBidi" w:cstheme="majorBidi"/>
                <w:szCs w:val="22"/>
              </w:rPr>
            </w:pPr>
            <w:r w:rsidRPr="00B5798C">
              <w:rPr>
                <w:rFonts w:asciiTheme="majorBidi" w:hAnsiTheme="majorBidi" w:cstheme="majorBidi"/>
                <w:szCs w:val="22"/>
              </w:rPr>
              <w:t>18</w:t>
            </w:r>
          </w:p>
        </w:tc>
      </w:tr>
    </w:tbl>
    <w:p w:rsidR="003A5252" w:rsidRDefault="003A5252" w:rsidP="00281920">
      <w:pPr>
        <w:pStyle w:val="FigureSource"/>
        <w:pBdr>
          <w:bottom w:val="single" w:sz="12" w:space="1" w:color="auto"/>
        </w:pBdr>
      </w:pPr>
    </w:p>
    <w:p w:rsidR="003A5252" w:rsidRDefault="003A5252" w:rsidP="003A5252"/>
    <w:p w:rsidR="003A5252" w:rsidRDefault="003A5252" w:rsidP="00EE251B">
      <w:pPr>
        <w:pStyle w:val="FigureTitle"/>
        <w:pBdr>
          <w:top w:val="single" w:sz="12" w:space="10" w:color="000000"/>
        </w:pBdr>
      </w:pPr>
      <w:r w:rsidRPr="00F50942">
        <w:t xml:space="preserve">Table </w:t>
      </w:r>
      <w:fldSimple w:instr=" SEQ Figure \* ARABIC ">
        <w:r>
          <w:rPr>
            <w:noProof/>
          </w:rPr>
          <w:t>2</w:t>
        </w:r>
      </w:fldSimple>
      <w:r w:rsidRPr="00F50942">
        <w:t xml:space="preserve"> – Definition of Service Type Factors (C) for TV Broadcasting Services</w:t>
      </w:r>
    </w:p>
    <w:p w:rsidR="003A5252" w:rsidRPr="00B5798C" w:rsidRDefault="003A5252" w:rsidP="003A5252">
      <w:pPr>
        <w:rPr>
          <w:lang w:val="en-US"/>
        </w:rPr>
      </w:pP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9"/>
        <w:gridCol w:w="2568"/>
        <w:gridCol w:w="1443"/>
        <w:gridCol w:w="2117"/>
      </w:tblGrid>
      <w:tr w:rsidR="003A5252" w:rsidRPr="00F50942" w:rsidTr="00026C26">
        <w:trPr>
          <w:trHeight w:val="397"/>
          <w:jc w:val="center"/>
        </w:trPr>
        <w:tc>
          <w:tcPr>
            <w:tcW w:w="7577" w:type="dxa"/>
            <w:gridSpan w:val="4"/>
            <w:tcBorders>
              <w:bottom w:val="single" w:sz="4" w:space="0" w:color="auto"/>
            </w:tcBorders>
            <w:shd w:val="clear" w:color="auto" w:fill="E6E6E6"/>
            <w:vAlign w:val="center"/>
          </w:tcPr>
          <w:p w:rsidR="003A5252" w:rsidRPr="000A39EC" w:rsidRDefault="003A5252" w:rsidP="00026C26">
            <w:pPr>
              <w:pStyle w:val="Tablehead"/>
              <w:rPr>
                <w:rFonts w:asciiTheme="majorBidi" w:hAnsiTheme="majorBidi" w:cstheme="majorBidi"/>
                <w:szCs w:val="22"/>
              </w:rPr>
            </w:pPr>
            <w:r w:rsidRPr="000A39EC">
              <w:rPr>
                <w:rFonts w:asciiTheme="majorBidi" w:hAnsiTheme="majorBidi" w:cstheme="majorBidi"/>
                <w:szCs w:val="22"/>
              </w:rPr>
              <w:t>TV Broadcasting Service</w:t>
            </w:r>
          </w:p>
        </w:tc>
      </w:tr>
      <w:tr w:rsidR="003A5252" w:rsidRPr="00F50942" w:rsidTr="00026C26">
        <w:trPr>
          <w:trHeight w:val="397"/>
          <w:jc w:val="center"/>
        </w:trPr>
        <w:tc>
          <w:tcPr>
            <w:tcW w:w="1449" w:type="dxa"/>
            <w:shd w:val="clear" w:color="auto" w:fill="E6E6E6"/>
            <w:vAlign w:val="center"/>
          </w:tcPr>
          <w:p w:rsidR="003A5252" w:rsidRPr="000A39EC" w:rsidRDefault="003A5252" w:rsidP="00026C26">
            <w:pPr>
              <w:pStyle w:val="Tablehead"/>
              <w:rPr>
                <w:rFonts w:asciiTheme="majorBidi" w:hAnsiTheme="majorBidi" w:cstheme="majorBidi"/>
                <w:szCs w:val="22"/>
              </w:rPr>
            </w:pPr>
            <w:r w:rsidRPr="000A39EC">
              <w:rPr>
                <w:rFonts w:asciiTheme="majorBidi" w:hAnsiTheme="majorBidi" w:cstheme="majorBidi"/>
                <w:szCs w:val="22"/>
              </w:rPr>
              <w:t>Service Type</w:t>
            </w:r>
          </w:p>
        </w:tc>
        <w:tc>
          <w:tcPr>
            <w:tcW w:w="2568" w:type="dxa"/>
            <w:shd w:val="clear" w:color="auto" w:fill="E6E6E6"/>
            <w:vAlign w:val="center"/>
          </w:tcPr>
          <w:p w:rsidR="003A5252" w:rsidRPr="000A39EC" w:rsidRDefault="003A5252" w:rsidP="00026C26">
            <w:pPr>
              <w:pStyle w:val="Tablehead"/>
              <w:rPr>
                <w:rFonts w:asciiTheme="majorBidi" w:hAnsiTheme="majorBidi" w:cstheme="majorBidi"/>
                <w:szCs w:val="22"/>
              </w:rPr>
            </w:pPr>
            <w:r w:rsidRPr="000A39EC">
              <w:rPr>
                <w:rFonts w:asciiTheme="majorBidi" w:hAnsiTheme="majorBidi" w:cstheme="majorBidi"/>
                <w:szCs w:val="22"/>
              </w:rPr>
              <w:t>Frequency Range</w:t>
            </w:r>
          </w:p>
        </w:tc>
        <w:tc>
          <w:tcPr>
            <w:tcW w:w="1443" w:type="dxa"/>
            <w:shd w:val="clear" w:color="auto" w:fill="E6E6E6"/>
            <w:vAlign w:val="center"/>
          </w:tcPr>
          <w:p w:rsidR="003A5252" w:rsidRPr="000A39EC" w:rsidRDefault="003A5252" w:rsidP="00026C26">
            <w:pPr>
              <w:pStyle w:val="Tablehead"/>
              <w:rPr>
                <w:rFonts w:asciiTheme="majorBidi" w:hAnsiTheme="majorBidi" w:cstheme="majorBidi"/>
                <w:szCs w:val="22"/>
              </w:rPr>
            </w:pPr>
            <w:r w:rsidRPr="000A39EC">
              <w:rPr>
                <w:rFonts w:asciiTheme="majorBidi" w:hAnsiTheme="majorBidi" w:cstheme="majorBidi"/>
                <w:szCs w:val="22"/>
              </w:rPr>
              <w:t>Bandwidth</w:t>
            </w:r>
          </w:p>
        </w:tc>
        <w:tc>
          <w:tcPr>
            <w:tcW w:w="2117" w:type="dxa"/>
            <w:shd w:val="clear" w:color="auto" w:fill="E6E6E6"/>
            <w:vAlign w:val="center"/>
          </w:tcPr>
          <w:p w:rsidR="003A5252" w:rsidRPr="000A39EC" w:rsidRDefault="003A5252" w:rsidP="00026C26">
            <w:pPr>
              <w:pStyle w:val="Tablehead"/>
              <w:rPr>
                <w:rFonts w:asciiTheme="majorBidi" w:hAnsiTheme="majorBidi" w:cstheme="majorBidi"/>
                <w:szCs w:val="22"/>
              </w:rPr>
            </w:pPr>
            <w:r w:rsidRPr="000A39EC">
              <w:rPr>
                <w:rFonts w:asciiTheme="majorBidi" w:hAnsiTheme="majorBidi" w:cstheme="majorBidi"/>
                <w:szCs w:val="22"/>
              </w:rPr>
              <w:t>Service Type Factor (C)</w:t>
            </w:r>
          </w:p>
        </w:tc>
      </w:tr>
      <w:tr w:rsidR="003A5252" w:rsidRPr="00F50942" w:rsidTr="00026C26">
        <w:trPr>
          <w:jc w:val="center"/>
        </w:trPr>
        <w:tc>
          <w:tcPr>
            <w:tcW w:w="1449" w:type="dxa"/>
            <w:vMerge w:val="restart"/>
            <w:shd w:val="clear" w:color="auto" w:fill="auto"/>
            <w:vAlign w:val="center"/>
          </w:tcPr>
          <w:p w:rsidR="003A5252" w:rsidRPr="000A39EC" w:rsidRDefault="003A5252" w:rsidP="00026C26">
            <w:pPr>
              <w:pStyle w:val="Tabletext"/>
              <w:rPr>
                <w:rFonts w:asciiTheme="majorBidi" w:hAnsiTheme="majorBidi" w:cstheme="majorBidi"/>
                <w:szCs w:val="22"/>
              </w:rPr>
            </w:pPr>
            <w:r w:rsidRPr="000A39EC">
              <w:rPr>
                <w:rFonts w:asciiTheme="majorBidi" w:hAnsiTheme="majorBidi" w:cstheme="majorBidi"/>
                <w:szCs w:val="22"/>
              </w:rPr>
              <w:t>VHF</w:t>
            </w:r>
          </w:p>
        </w:tc>
        <w:tc>
          <w:tcPr>
            <w:tcW w:w="2568" w:type="dxa"/>
            <w:shd w:val="clear" w:color="auto" w:fill="auto"/>
          </w:tcPr>
          <w:p w:rsidR="003A5252" w:rsidRPr="000A39EC" w:rsidRDefault="003A5252" w:rsidP="00026C26">
            <w:pPr>
              <w:pStyle w:val="Tabletext"/>
              <w:rPr>
                <w:rFonts w:asciiTheme="majorBidi" w:hAnsiTheme="majorBidi" w:cstheme="majorBidi"/>
                <w:szCs w:val="22"/>
              </w:rPr>
            </w:pPr>
            <w:r w:rsidRPr="000A39EC">
              <w:rPr>
                <w:rFonts w:asciiTheme="majorBidi" w:hAnsiTheme="majorBidi" w:cstheme="majorBidi"/>
                <w:szCs w:val="22"/>
              </w:rPr>
              <w:t>47 – 68 MHz</w:t>
            </w:r>
          </w:p>
        </w:tc>
        <w:tc>
          <w:tcPr>
            <w:tcW w:w="1443" w:type="dxa"/>
            <w:vMerge w:val="restart"/>
            <w:shd w:val="clear" w:color="auto" w:fill="auto"/>
            <w:vAlign w:val="center"/>
          </w:tcPr>
          <w:p w:rsidR="003A5252" w:rsidRPr="000A39EC" w:rsidRDefault="003A5252" w:rsidP="00026C26">
            <w:pPr>
              <w:pStyle w:val="Tabletext"/>
              <w:rPr>
                <w:rFonts w:asciiTheme="majorBidi" w:hAnsiTheme="majorBidi" w:cstheme="majorBidi"/>
                <w:szCs w:val="22"/>
              </w:rPr>
            </w:pPr>
            <w:r w:rsidRPr="000A39EC">
              <w:rPr>
                <w:rFonts w:asciiTheme="majorBidi" w:hAnsiTheme="majorBidi" w:cstheme="majorBidi"/>
                <w:szCs w:val="22"/>
              </w:rPr>
              <w:t>7 MHz</w:t>
            </w:r>
          </w:p>
        </w:tc>
        <w:tc>
          <w:tcPr>
            <w:tcW w:w="2117" w:type="dxa"/>
            <w:vMerge w:val="restart"/>
            <w:vAlign w:val="center"/>
          </w:tcPr>
          <w:p w:rsidR="003A5252" w:rsidRPr="000A39EC" w:rsidRDefault="003A5252" w:rsidP="00026C26">
            <w:pPr>
              <w:pStyle w:val="Tabletext"/>
              <w:rPr>
                <w:rFonts w:asciiTheme="majorBidi" w:hAnsiTheme="majorBidi" w:cstheme="majorBidi"/>
                <w:szCs w:val="22"/>
              </w:rPr>
            </w:pPr>
            <w:r w:rsidRPr="000A39EC">
              <w:rPr>
                <w:rFonts w:asciiTheme="majorBidi" w:hAnsiTheme="majorBidi" w:cstheme="majorBidi"/>
                <w:szCs w:val="22"/>
              </w:rPr>
              <w:t>24</w:t>
            </w:r>
          </w:p>
        </w:tc>
      </w:tr>
      <w:tr w:rsidR="003A5252" w:rsidRPr="00F50942" w:rsidTr="00026C26">
        <w:trPr>
          <w:trHeight w:val="377"/>
          <w:jc w:val="center"/>
        </w:trPr>
        <w:tc>
          <w:tcPr>
            <w:tcW w:w="1449" w:type="dxa"/>
            <w:vMerge/>
            <w:shd w:val="clear" w:color="auto" w:fill="auto"/>
          </w:tcPr>
          <w:p w:rsidR="003A5252" w:rsidRPr="000A39EC" w:rsidRDefault="003A5252" w:rsidP="00026C26">
            <w:pPr>
              <w:pStyle w:val="Tabletext"/>
              <w:rPr>
                <w:rFonts w:asciiTheme="majorBidi" w:hAnsiTheme="majorBidi" w:cstheme="majorBidi"/>
                <w:szCs w:val="22"/>
              </w:rPr>
            </w:pPr>
          </w:p>
        </w:tc>
        <w:tc>
          <w:tcPr>
            <w:tcW w:w="2568" w:type="dxa"/>
            <w:shd w:val="clear" w:color="auto" w:fill="auto"/>
          </w:tcPr>
          <w:p w:rsidR="003A5252" w:rsidRPr="000A39EC" w:rsidRDefault="003A5252" w:rsidP="00026C26">
            <w:pPr>
              <w:pStyle w:val="Tabletext"/>
              <w:rPr>
                <w:rFonts w:asciiTheme="majorBidi" w:hAnsiTheme="majorBidi" w:cstheme="majorBidi"/>
                <w:szCs w:val="22"/>
              </w:rPr>
            </w:pPr>
            <w:r w:rsidRPr="000A39EC">
              <w:rPr>
                <w:rFonts w:asciiTheme="majorBidi" w:hAnsiTheme="majorBidi" w:cstheme="majorBidi"/>
                <w:szCs w:val="22"/>
              </w:rPr>
              <w:t>174 – 230 MHz</w:t>
            </w:r>
          </w:p>
        </w:tc>
        <w:tc>
          <w:tcPr>
            <w:tcW w:w="1443" w:type="dxa"/>
            <w:vMerge/>
            <w:shd w:val="clear" w:color="auto" w:fill="auto"/>
            <w:vAlign w:val="center"/>
          </w:tcPr>
          <w:p w:rsidR="003A5252" w:rsidRPr="000A39EC" w:rsidRDefault="003A5252" w:rsidP="00026C26">
            <w:pPr>
              <w:pStyle w:val="Tabletext"/>
              <w:rPr>
                <w:rFonts w:asciiTheme="majorBidi" w:hAnsiTheme="majorBidi" w:cstheme="majorBidi"/>
                <w:szCs w:val="22"/>
              </w:rPr>
            </w:pPr>
          </w:p>
        </w:tc>
        <w:tc>
          <w:tcPr>
            <w:tcW w:w="2117" w:type="dxa"/>
            <w:vMerge/>
          </w:tcPr>
          <w:p w:rsidR="003A5252" w:rsidRPr="000A39EC" w:rsidRDefault="003A5252" w:rsidP="00026C26">
            <w:pPr>
              <w:pStyle w:val="Tabletext"/>
              <w:rPr>
                <w:rFonts w:asciiTheme="majorBidi" w:hAnsiTheme="majorBidi" w:cstheme="majorBidi"/>
                <w:szCs w:val="22"/>
              </w:rPr>
            </w:pPr>
          </w:p>
        </w:tc>
      </w:tr>
      <w:tr w:rsidR="003A5252" w:rsidRPr="00F50942" w:rsidTr="00026C26">
        <w:trPr>
          <w:trHeight w:val="485"/>
          <w:jc w:val="center"/>
        </w:trPr>
        <w:tc>
          <w:tcPr>
            <w:tcW w:w="1449" w:type="dxa"/>
            <w:shd w:val="clear" w:color="auto" w:fill="auto"/>
          </w:tcPr>
          <w:p w:rsidR="003A5252" w:rsidRPr="000A39EC" w:rsidRDefault="003A5252" w:rsidP="00026C26">
            <w:pPr>
              <w:pStyle w:val="Tabletext"/>
              <w:rPr>
                <w:rFonts w:asciiTheme="majorBidi" w:hAnsiTheme="majorBidi" w:cstheme="majorBidi"/>
                <w:szCs w:val="22"/>
              </w:rPr>
            </w:pPr>
            <w:r w:rsidRPr="000A39EC">
              <w:rPr>
                <w:rFonts w:asciiTheme="majorBidi" w:hAnsiTheme="majorBidi" w:cstheme="majorBidi"/>
                <w:szCs w:val="22"/>
              </w:rPr>
              <w:t>UHF</w:t>
            </w:r>
          </w:p>
        </w:tc>
        <w:tc>
          <w:tcPr>
            <w:tcW w:w="2568" w:type="dxa"/>
            <w:shd w:val="clear" w:color="auto" w:fill="auto"/>
          </w:tcPr>
          <w:p w:rsidR="003A5252" w:rsidRPr="000A39EC" w:rsidRDefault="003A5252" w:rsidP="00026C26">
            <w:pPr>
              <w:pStyle w:val="Tabletext"/>
              <w:rPr>
                <w:rFonts w:asciiTheme="majorBidi" w:hAnsiTheme="majorBidi" w:cstheme="majorBidi"/>
                <w:szCs w:val="22"/>
              </w:rPr>
            </w:pPr>
            <w:r w:rsidRPr="000A39EC">
              <w:rPr>
                <w:rFonts w:asciiTheme="majorBidi" w:hAnsiTheme="majorBidi" w:cstheme="majorBidi"/>
                <w:szCs w:val="22"/>
              </w:rPr>
              <w:t>470 – 862 MHz</w:t>
            </w:r>
          </w:p>
        </w:tc>
        <w:tc>
          <w:tcPr>
            <w:tcW w:w="1443" w:type="dxa"/>
            <w:shd w:val="clear" w:color="auto" w:fill="auto"/>
            <w:vAlign w:val="center"/>
          </w:tcPr>
          <w:p w:rsidR="003A5252" w:rsidRPr="000A39EC" w:rsidRDefault="003A5252" w:rsidP="00026C26">
            <w:pPr>
              <w:pStyle w:val="Tabletext"/>
              <w:rPr>
                <w:rFonts w:asciiTheme="majorBidi" w:hAnsiTheme="majorBidi" w:cstheme="majorBidi"/>
                <w:szCs w:val="22"/>
              </w:rPr>
            </w:pPr>
            <w:r w:rsidRPr="000A39EC">
              <w:rPr>
                <w:rFonts w:asciiTheme="majorBidi" w:hAnsiTheme="majorBidi" w:cstheme="majorBidi"/>
                <w:szCs w:val="22"/>
              </w:rPr>
              <w:t>8 MHz</w:t>
            </w:r>
          </w:p>
        </w:tc>
        <w:tc>
          <w:tcPr>
            <w:tcW w:w="2117" w:type="dxa"/>
          </w:tcPr>
          <w:p w:rsidR="003A5252" w:rsidRPr="000A39EC" w:rsidRDefault="003A5252" w:rsidP="00026C26">
            <w:pPr>
              <w:pStyle w:val="Tabletext"/>
              <w:rPr>
                <w:rFonts w:asciiTheme="majorBidi" w:hAnsiTheme="majorBidi" w:cstheme="majorBidi"/>
                <w:szCs w:val="22"/>
              </w:rPr>
            </w:pPr>
            <w:r w:rsidRPr="000A39EC">
              <w:rPr>
                <w:rFonts w:asciiTheme="majorBidi" w:hAnsiTheme="majorBidi" w:cstheme="majorBidi"/>
                <w:szCs w:val="22"/>
              </w:rPr>
              <w:t>36</w:t>
            </w:r>
          </w:p>
        </w:tc>
      </w:tr>
    </w:tbl>
    <w:p w:rsidR="003A5252" w:rsidRDefault="003A5252" w:rsidP="00281920">
      <w:pPr>
        <w:pStyle w:val="FigureSource"/>
        <w:pBdr>
          <w:bottom w:val="single" w:sz="12" w:space="1" w:color="auto"/>
        </w:pBdr>
      </w:pPr>
    </w:p>
    <w:p w:rsidR="00E60699" w:rsidRDefault="00E60699" w:rsidP="00E60699">
      <w:pPr>
        <w:rPr>
          <w:lang w:val="en-US" w:eastAsia="ar-SA"/>
        </w:rPr>
      </w:pPr>
    </w:p>
    <w:p w:rsidR="00E60699" w:rsidRDefault="00E60699" w:rsidP="00E60699">
      <w:pPr>
        <w:rPr>
          <w:lang w:val="en-US" w:eastAsia="ar-SA"/>
        </w:rPr>
      </w:pPr>
    </w:p>
    <w:p w:rsidR="00E60699" w:rsidRDefault="00E60699" w:rsidP="00E60699">
      <w:pPr>
        <w:rPr>
          <w:lang w:val="en-US" w:eastAsia="ar-SA"/>
        </w:rPr>
      </w:pPr>
    </w:p>
    <w:p w:rsidR="00E60699" w:rsidRDefault="00E60699" w:rsidP="00E60699">
      <w:pPr>
        <w:rPr>
          <w:lang w:val="en-US" w:eastAsia="ar-SA"/>
        </w:rPr>
      </w:pPr>
    </w:p>
    <w:p w:rsidR="00E60699" w:rsidRDefault="00E60699" w:rsidP="00E60699">
      <w:pPr>
        <w:rPr>
          <w:lang w:val="en-US" w:eastAsia="ar-SA"/>
        </w:rPr>
      </w:pPr>
    </w:p>
    <w:p w:rsidR="00E60699" w:rsidRDefault="00E60699" w:rsidP="00E60699">
      <w:pPr>
        <w:rPr>
          <w:lang w:val="en-US" w:eastAsia="ar-SA"/>
        </w:rPr>
      </w:pPr>
    </w:p>
    <w:p w:rsidR="00E60699" w:rsidRPr="00E60699" w:rsidRDefault="00E60699" w:rsidP="00E60699">
      <w:pPr>
        <w:rPr>
          <w:lang w:val="en-US" w:eastAsia="ar-SA"/>
        </w:rPr>
      </w:pPr>
    </w:p>
    <w:p w:rsidR="003A5252" w:rsidRDefault="003A5252" w:rsidP="003A5252">
      <w:pPr>
        <w:tabs>
          <w:tab w:val="clear" w:pos="794"/>
          <w:tab w:val="clear" w:pos="1191"/>
          <w:tab w:val="clear" w:pos="1588"/>
          <w:tab w:val="clear" w:pos="1985"/>
        </w:tabs>
        <w:overflowPunct/>
        <w:autoSpaceDE/>
        <w:autoSpaceDN/>
        <w:adjustRightInd/>
        <w:spacing w:before="0"/>
        <w:jc w:val="left"/>
        <w:textAlignment w:val="auto"/>
        <w:rPr>
          <w:b/>
          <w:szCs w:val="19"/>
        </w:rPr>
      </w:pPr>
      <w:r>
        <w:rPr>
          <w:b/>
          <w:szCs w:val="19"/>
        </w:rPr>
        <w:br w:type="page"/>
      </w:r>
    </w:p>
    <w:p w:rsidR="003A5252" w:rsidRPr="00F50942" w:rsidRDefault="003A5252" w:rsidP="00E60699">
      <w:pPr>
        <w:bidi w:val="0"/>
        <w:ind w:left="1599" w:hanging="159"/>
        <w:rPr>
          <w:szCs w:val="19"/>
        </w:rPr>
      </w:pPr>
      <w:r w:rsidRPr="00F50942">
        <w:rPr>
          <w:b/>
          <w:szCs w:val="19"/>
        </w:rPr>
        <w:lastRenderedPageBreak/>
        <w:t>D = Service Zone Factor as follows:</w:t>
      </w:r>
    </w:p>
    <w:p w:rsidR="003A5252" w:rsidRPr="00F25A74" w:rsidRDefault="003A5252" w:rsidP="003A5252">
      <w:pPr>
        <w:rPr>
          <w:sz w:val="2"/>
        </w:rPr>
      </w:pPr>
    </w:p>
    <w:p w:rsidR="003A5252" w:rsidRDefault="003A5252" w:rsidP="00EE251B">
      <w:pPr>
        <w:pStyle w:val="FigureTitle"/>
        <w:pBdr>
          <w:top w:val="single" w:sz="12" w:space="10" w:color="000000"/>
        </w:pBdr>
      </w:pPr>
      <w:bookmarkStart w:id="385" w:name="_Toc195057730"/>
      <w:r w:rsidRPr="00F50942">
        <w:t xml:space="preserve">Table </w:t>
      </w:r>
      <w:fldSimple w:instr=" SEQ Figure \* ARABIC ">
        <w:r>
          <w:rPr>
            <w:noProof/>
          </w:rPr>
          <w:t>3</w:t>
        </w:r>
      </w:fldSimple>
      <w:r w:rsidRPr="00F50942">
        <w:t xml:space="preserve"> – Definition of Service Zones Factors (D)</w:t>
      </w:r>
      <w:bookmarkEnd w:id="385"/>
    </w:p>
    <w:p w:rsidR="003A5252" w:rsidRPr="00CC5F10" w:rsidRDefault="003A5252" w:rsidP="003A5252">
      <w:pPr>
        <w:rPr>
          <w:lang w:val="en-US"/>
        </w:rPr>
      </w:pPr>
    </w:p>
    <w:tbl>
      <w:tblPr>
        <w:tblW w:w="0" w:type="auto"/>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2807"/>
        <w:gridCol w:w="2628"/>
      </w:tblGrid>
      <w:tr w:rsidR="003A5252" w:rsidRPr="00F50942" w:rsidTr="00026C26">
        <w:trPr>
          <w:trHeight w:val="680"/>
        </w:trPr>
        <w:tc>
          <w:tcPr>
            <w:tcW w:w="1713" w:type="dxa"/>
            <w:shd w:val="clear" w:color="auto" w:fill="E6E6E6"/>
            <w:vAlign w:val="center"/>
          </w:tcPr>
          <w:p w:rsidR="003A5252" w:rsidRPr="00F25A74" w:rsidRDefault="003A5252" w:rsidP="00026C26">
            <w:pPr>
              <w:pStyle w:val="Tablehead"/>
              <w:rPr>
                <w:rFonts w:asciiTheme="majorBidi" w:hAnsiTheme="majorBidi" w:cstheme="majorBidi"/>
                <w:szCs w:val="22"/>
              </w:rPr>
            </w:pPr>
            <w:r w:rsidRPr="00F25A74">
              <w:rPr>
                <w:rFonts w:asciiTheme="majorBidi" w:hAnsiTheme="majorBidi" w:cstheme="majorBidi"/>
                <w:szCs w:val="22"/>
              </w:rPr>
              <w:t>Service Zone Factor (D)</w:t>
            </w:r>
          </w:p>
        </w:tc>
        <w:tc>
          <w:tcPr>
            <w:tcW w:w="2807" w:type="dxa"/>
            <w:shd w:val="clear" w:color="auto" w:fill="E6E6E6"/>
            <w:vAlign w:val="center"/>
          </w:tcPr>
          <w:p w:rsidR="003A5252" w:rsidRPr="00F25A74" w:rsidRDefault="003A5252" w:rsidP="00026C26">
            <w:pPr>
              <w:pStyle w:val="Tablehead"/>
              <w:rPr>
                <w:rFonts w:asciiTheme="majorBidi" w:hAnsiTheme="majorBidi" w:cstheme="majorBidi"/>
                <w:szCs w:val="22"/>
              </w:rPr>
            </w:pPr>
            <w:r w:rsidRPr="00F25A74">
              <w:rPr>
                <w:rFonts w:asciiTheme="majorBidi" w:hAnsiTheme="majorBidi" w:cstheme="majorBidi"/>
                <w:szCs w:val="22"/>
              </w:rPr>
              <w:t>Service Zone</w:t>
            </w:r>
          </w:p>
        </w:tc>
        <w:tc>
          <w:tcPr>
            <w:tcW w:w="2628" w:type="dxa"/>
            <w:shd w:val="clear" w:color="auto" w:fill="E6E6E6"/>
            <w:vAlign w:val="center"/>
          </w:tcPr>
          <w:p w:rsidR="003A5252" w:rsidRPr="00F25A74" w:rsidRDefault="003A5252" w:rsidP="00026C26">
            <w:pPr>
              <w:pStyle w:val="Tablehead"/>
              <w:rPr>
                <w:rFonts w:asciiTheme="majorBidi" w:hAnsiTheme="majorBidi" w:cstheme="majorBidi"/>
                <w:szCs w:val="22"/>
              </w:rPr>
            </w:pPr>
            <w:r w:rsidRPr="00F25A74">
              <w:rPr>
                <w:rFonts w:asciiTheme="majorBidi" w:hAnsiTheme="majorBidi" w:cstheme="majorBidi"/>
                <w:szCs w:val="22"/>
              </w:rPr>
              <w:t>Polygon Corners</w:t>
            </w:r>
          </w:p>
        </w:tc>
      </w:tr>
      <w:tr w:rsidR="003A5252" w:rsidRPr="00F50942" w:rsidTr="00026C26">
        <w:trPr>
          <w:trHeight w:val="1142"/>
        </w:trPr>
        <w:tc>
          <w:tcPr>
            <w:tcW w:w="1713" w:type="dxa"/>
            <w:vMerge w:val="restart"/>
          </w:tcPr>
          <w:p w:rsidR="003A5252" w:rsidRPr="00F25A74" w:rsidRDefault="003A5252" w:rsidP="00026C26">
            <w:pPr>
              <w:pStyle w:val="Tabletext"/>
              <w:rPr>
                <w:rFonts w:asciiTheme="majorBidi" w:hAnsiTheme="majorBidi" w:cstheme="majorBidi"/>
                <w:b/>
                <w:bCs/>
                <w:szCs w:val="22"/>
                <w:lang w:eastAsia="de-DE"/>
              </w:rPr>
            </w:pPr>
            <w:r w:rsidRPr="00F25A74">
              <w:rPr>
                <w:rFonts w:asciiTheme="majorBidi" w:hAnsiTheme="majorBidi" w:cstheme="majorBidi"/>
                <w:b/>
                <w:bCs/>
                <w:szCs w:val="22"/>
                <w:lang w:eastAsia="de-DE"/>
              </w:rPr>
              <w:t>1.00 (high)</w:t>
            </w:r>
          </w:p>
        </w:tc>
        <w:tc>
          <w:tcPr>
            <w:tcW w:w="2807" w:type="dxa"/>
          </w:tcPr>
          <w:p w:rsidR="003A5252" w:rsidRPr="00F25A74" w:rsidRDefault="003A5252" w:rsidP="00026C26">
            <w:pPr>
              <w:pStyle w:val="Tabletext"/>
              <w:rPr>
                <w:rFonts w:asciiTheme="majorBidi" w:hAnsiTheme="majorBidi" w:cstheme="majorBidi"/>
                <w:szCs w:val="22"/>
                <w:lang w:eastAsia="de-DE"/>
              </w:rPr>
            </w:pPr>
            <w:r w:rsidRPr="00F25A74">
              <w:rPr>
                <w:rFonts w:asciiTheme="majorBidi" w:hAnsiTheme="majorBidi" w:cstheme="majorBidi"/>
                <w:szCs w:val="22"/>
                <w:lang w:eastAsia="de-DE"/>
              </w:rPr>
              <w:t>City and environs of Abu Dhabi</w:t>
            </w:r>
          </w:p>
        </w:tc>
        <w:tc>
          <w:tcPr>
            <w:tcW w:w="2628" w:type="dxa"/>
          </w:tcPr>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54° 30’ E – 24° 45’ N</w:t>
            </w:r>
          </w:p>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55° 00’ E – 24° 45’ N</w:t>
            </w:r>
          </w:p>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55° 00’ E – 24° 05’ N</w:t>
            </w:r>
          </w:p>
          <w:p w:rsidR="003A5252" w:rsidRPr="00F25A74" w:rsidRDefault="003A5252" w:rsidP="00026C26">
            <w:pPr>
              <w:pStyle w:val="Tabletext"/>
              <w:rPr>
                <w:rFonts w:asciiTheme="majorBidi" w:hAnsiTheme="majorBidi" w:cstheme="majorBidi"/>
                <w:szCs w:val="22"/>
              </w:rPr>
            </w:pPr>
            <w:r w:rsidRPr="00F25A74">
              <w:rPr>
                <w:rFonts w:asciiTheme="majorBidi" w:hAnsiTheme="majorBidi" w:cstheme="majorBidi"/>
                <w:szCs w:val="22"/>
              </w:rPr>
              <w:t>54° 00’ E – 24° 20’ N</w:t>
            </w:r>
          </w:p>
        </w:tc>
      </w:tr>
      <w:tr w:rsidR="003A5252" w:rsidRPr="00F50942" w:rsidTr="00026C26">
        <w:trPr>
          <w:trHeight w:val="1250"/>
        </w:trPr>
        <w:tc>
          <w:tcPr>
            <w:tcW w:w="1713" w:type="dxa"/>
            <w:vMerge/>
          </w:tcPr>
          <w:p w:rsidR="003A5252" w:rsidRPr="00F25A74" w:rsidRDefault="003A5252" w:rsidP="00026C26">
            <w:pPr>
              <w:pStyle w:val="Tabletext"/>
              <w:rPr>
                <w:rFonts w:asciiTheme="majorBidi" w:hAnsiTheme="majorBidi" w:cstheme="majorBidi"/>
                <w:szCs w:val="22"/>
              </w:rPr>
            </w:pPr>
          </w:p>
        </w:tc>
        <w:tc>
          <w:tcPr>
            <w:tcW w:w="2807" w:type="dxa"/>
          </w:tcPr>
          <w:p w:rsidR="003A5252" w:rsidRPr="00F25A74" w:rsidRDefault="003A5252" w:rsidP="00026C26">
            <w:pPr>
              <w:pStyle w:val="Tabletext"/>
              <w:rPr>
                <w:rFonts w:asciiTheme="majorBidi" w:hAnsiTheme="majorBidi" w:cstheme="majorBidi"/>
                <w:szCs w:val="22"/>
              </w:rPr>
            </w:pPr>
            <w:r w:rsidRPr="00F25A74">
              <w:rPr>
                <w:rFonts w:asciiTheme="majorBidi" w:hAnsiTheme="majorBidi" w:cstheme="majorBidi"/>
                <w:szCs w:val="22"/>
              </w:rPr>
              <w:t>Cities and environs of Dubai, Sharjah, Ajman and Umm Al Qaiwain</w:t>
            </w:r>
          </w:p>
        </w:tc>
        <w:tc>
          <w:tcPr>
            <w:tcW w:w="2628" w:type="dxa"/>
          </w:tcPr>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55° 30’ E – 25° 40’ N</w:t>
            </w:r>
          </w:p>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55° 55’ E – 25° 20’ N</w:t>
            </w:r>
          </w:p>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55° 00’ E – 24° 45’ N</w:t>
            </w:r>
          </w:p>
          <w:p w:rsidR="003A5252" w:rsidRPr="00F25A74" w:rsidRDefault="003A5252" w:rsidP="00026C26">
            <w:pPr>
              <w:pStyle w:val="Tabletext"/>
              <w:rPr>
                <w:rFonts w:asciiTheme="majorBidi" w:hAnsiTheme="majorBidi" w:cstheme="majorBidi"/>
                <w:szCs w:val="22"/>
              </w:rPr>
            </w:pPr>
            <w:r w:rsidRPr="00F25A74">
              <w:rPr>
                <w:rFonts w:asciiTheme="majorBidi" w:hAnsiTheme="majorBidi" w:cstheme="majorBidi"/>
                <w:szCs w:val="22"/>
              </w:rPr>
              <w:t>54° 30’ E – 24° 45’ N</w:t>
            </w:r>
          </w:p>
        </w:tc>
      </w:tr>
      <w:tr w:rsidR="003A5252" w:rsidRPr="00F50942" w:rsidTr="00026C26">
        <w:trPr>
          <w:trHeight w:val="1250"/>
        </w:trPr>
        <w:tc>
          <w:tcPr>
            <w:tcW w:w="1713" w:type="dxa"/>
            <w:vMerge/>
          </w:tcPr>
          <w:p w:rsidR="003A5252" w:rsidRPr="00F25A74" w:rsidRDefault="003A5252" w:rsidP="00026C26">
            <w:pPr>
              <w:pStyle w:val="Tabletext"/>
              <w:rPr>
                <w:rFonts w:asciiTheme="majorBidi" w:hAnsiTheme="majorBidi" w:cstheme="majorBidi"/>
                <w:szCs w:val="22"/>
                <w:lang w:val="pt-BR"/>
              </w:rPr>
            </w:pPr>
          </w:p>
        </w:tc>
        <w:tc>
          <w:tcPr>
            <w:tcW w:w="2807" w:type="dxa"/>
          </w:tcPr>
          <w:p w:rsidR="003A5252" w:rsidRPr="00F25A74" w:rsidRDefault="003A5252" w:rsidP="00026C26">
            <w:pPr>
              <w:pStyle w:val="Tabletext"/>
              <w:rPr>
                <w:rFonts w:asciiTheme="majorBidi" w:hAnsiTheme="majorBidi" w:cstheme="majorBidi"/>
                <w:szCs w:val="22"/>
              </w:rPr>
            </w:pPr>
            <w:r w:rsidRPr="00F25A74">
              <w:rPr>
                <w:rFonts w:asciiTheme="majorBidi" w:hAnsiTheme="majorBidi" w:cstheme="majorBidi"/>
                <w:szCs w:val="22"/>
                <w:lang w:eastAsia="de-DE"/>
              </w:rPr>
              <w:t>City and environs of Al Ain</w:t>
            </w:r>
          </w:p>
        </w:tc>
        <w:tc>
          <w:tcPr>
            <w:tcW w:w="2628" w:type="dxa"/>
          </w:tcPr>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55° 30’ E – 24° 20’ N</w:t>
            </w:r>
          </w:p>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55° 50’ E – 24° 20’ N</w:t>
            </w:r>
          </w:p>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55° 50’ E – 24° 00’ N</w:t>
            </w:r>
          </w:p>
          <w:p w:rsidR="003A5252" w:rsidRPr="00F25A74" w:rsidRDefault="003A5252" w:rsidP="00026C26">
            <w:pPr>
              <w:pStyle w:val="Tabletext"/>
              <w:rPr>
                <w:rFonts w:asciiTheme="majorBidi" w:hAnsiTheme="majorBidi" w:cstheme="majorBidi"/>
                <w:szCs w:val="22"/>
              </w:rPr>
            </w:pPr>
            <w:r w:rsidRPr="00F25A74">
              <w:rPr>
                <w:rFonts w:asciiTheme="majorBidi" w:hAnsiTheme="majorBidi" w:cstheme="majorBidi"/>
                <w:szCs w:val="22"/>
              </w:rPr>
              <w:t>55° 30’ E – 24° 00’ N</w:t>
            </w:r>
          </w:p>
        </w:tc>
      </w:tr>
      <w:tr w:rsidR="003A5252" w:rsidRPr="00F50942" w:rsidTr="00026C26">
        <w:trPr>
          <w:trHeight w:val="1250"/>
        </w:trPr>
        <w:tc>
          <w:tcPr>
            <w:tcW w:w="1713" w:type="dxa"/>
            <w:vMerge w:val="restart"/>
          </w:tcPr>
          <w:p w:rsidR="003A5252" w:rsidRPr="00F25A74" w:rsidRDefault="003A5252" w:rsidP="00026C26">
            <w:pPr>
              <w:pStyle w:val="Tabletext"/>
              <w:rPr>
                <w:rFonts w:asciiTheme="majorBidi" w:hAnsiTheme="majorBidi" w:cstheme="majorBidi"/>
                <w:b/>
                <w:bCs/>
                <w:szCs w:val="22"/>
              </w:rPr>
            </w:pPr>
            <w:r w:rsidRPr="00F25A74">
              <w:rPr>
                <w:rFonts w:asciiTheme="majorBidi" w:hAnsiTheme="majorBidi" w:cstheme="majorBidi"/>
                <w:b/>
                <w:bCs/>
                <w:szCs w:val="22"/>
              </w:rPr>
              <w:t>0.75(medium)</w:t>
            </w:r>
          </w:p>
        </w:tc>
        <w:tc>
          <w:tcPr>
            <w:tcW w:w="2807" w:type="dxa"/>
          </w:tcPr>
          <w:p w:rsidR="003A5252" w:rsidRPr="00F25A74" w:rsidRDefault="003A5252" w:rsidP="00026C26">
            <w:pPr>
              <w:pStyle w:val="Tabletext"/>
              <w:rPr>
                <w:rFonts w:asciiTheme="majorBidi" w:hAnsiTheme="majorBidi" w:cstheme="majorBidi"/>
                <w:szCs w:val="22"/>
              </w:rPr>
            </w:pPr>
            <w:r w:rsidRPr="00F25A74">
              <w:rPr>
                <w:rFonts w:asciiTheme="majorBidi" w:hAnsiTheme="majorBidi" w:cstheme="majorBidi"/>
                <w:szCs w:val="22"/>
              </w:rPr>
              <w:t>Area between Abu Dhabi and Al Ain</w:t>
            </w:r>
          </w:p>
        </w:tc>
        <w:tc>
          <w:tcPr>
            <w:tcW w:w="2628" w:type="dxa"/>
          </w:tcPr>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55° 00’ E – 24° 20’ N</w:t>
            </w:r>
          </w:p>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55° 30’ E – 24° 20’ N</w:t>
            </w:r>
          </w:p>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55° 30’ E – 24° 00’ N</w:t>
            </w:r>
          </w:p>
          <w:p w:rsidR="003A5252" w:rsidRPr="00F25A74" w:rsidRDefault="003A5252" w:rsidP="00026C26">
            <w:pPr>
              <w:pStyle w:val="Tabletext"/>
              <w:rPr>
                <w:rFonts w:asciiTheme="majorBidi" w:hAnsiTheme="majorBidi" w:cstheme="majorBidi"/>
                <w:szCs w:val="22"/>
              </w:rPr>
            </w:pPr>
            <w:r w:rsidRPr="00F25A74">
              <w:rPr>
                <w:rFonts w:asciiTheme="majorBidi" w:hAnsiTheme="majorBidi" w:cstheme="majorBidi"/>
                <w:szCs w:val="22"/>
              </w:rPr>
              <w:t>55° 00’ E – 24° 05’ N</w:t>
            </w:r>
          </w:p>
        </w:tc>
      </w:tr>
      <w:tr w:rsidR="003A5252" w:rsidRPr="00F50942" w:rsidTr="00026C26">
        <w:trPr>
          <w:trHeight w:val="1430"/>
        </w:trPr>
        <w:tc>
          <w:tcPr>
            <w:tcW w:w="1713" w:type="dxa"/>
            <w:vMerge/>
          </w:tcPr>
          <w:p w:rsidR="003A5252" w:rsidRPr="00F25A74" w:rsidRDefault="003A5252" w:rsidP="00026C26">
            <w:pPr>
              <w:pStyle w:val="Tabletext"/>
              <w:rPr>
                <w:rFonts w:asciiTheme="majorBidi" w:hAnsiTheme="majorBidi" w:cstheme="majorBidi"/>
                <w:szCs w:val="22"/>
                <w:lang w:val="pt-BR"/>
              </w:rPr>
            </w:pPr>
          </w:p>
        </w:tc>
        <w:tc>
          <w:tcPr>
            <w:tcW w:w="2807" w:type="dxa"/>
          </w:tcPr>
          <w:p w:rsidR="003A5252" w:rsidRPr="00F25A74" w:rsidRDefault="003A5252" w:rsidP="00026C26">
            <w:pPr>
              <w:pStyle w:val="Tabletext"/>
              <w:rPr>
                <w:rFonts w:asciiTheme="majorBidi" w:hAnsiTheme="majorBidi" w:cstheme="majorBidi"/>
                <w:szCs w:val="22"/>
                <w:lang w:eastAsia="de-DE"/>
              </w:rPr>
            </w:pPr>
            <w:r w:rsidRPr="00F25A74">
              <w:rPr>
                <w:rFonts w:asciiTheme="majorBidi" w:hAnsiTheme="majorBidi" w:cstheme="majorBidi"/>
                <w:szCs w:val="22"/>
                <w:lang w:eastAsia="de-DE"/>
              </w:rPr>
              <w:t>City and environs of Fujairah</w:t>
            </w:r>
          </w:p>
        </w:tc>
        <w:tc>
          <w:tcPr>
            <w:tcW w:w="2628" w:type="dxa"/>
            <w:vAlign w:val="center"/>
          </w:tcPr>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56° 15’ E – 25° 15’ N</w:t>
            </w:r>
          </w:p>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56° 25’ E – 25° 15’ N</w:t>
            </w:r>
          </w:p>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56° 25’ E – 25° 00’ N</w:t>
            </w:r>
          </w:p>
          <w:p w:rsidR="003A5252" w:rsidRPr="00F25A74" w:rsidRDefault="003A5252" w:rsidP="00026C26">
            <w:pPr>
              <w:pStyle w:val="Tabletext"/>
              <w:rPr>
                <w:rFonts w:asciiTheme="majorBidi" w:hAnsiTheme="majorBidi" w:cstheme="majorBidi"/>
                <w:szCs w:val="22"/>
              </w:rPr>
            </w:pPr>
            <w:r w:rsidRPr="00F25A74">
              <w:rPr>
                <w:rFonts w:asciiTheme="majorBidi" w:hAnsiTheme="majorBidi" w:cstheme="majorBidi"/>
                <w:szCs w:val="22"/>
              </w:rPr>
              <w:t>56° 15’ E – 25° 00’ N</w:t>
            </w:r>
          </w:p>
        </w:tc>
      </w:tr>
      <w:tr w:rsidR="003A5252" w:rsidRPr="00F50942" w:rsidTr="00026C26">
        <w:trPr>
          <w:trHeight w:val="1250"/>
        </w:trPr>
        <w:tc>
          <w:tcPr>
            <w:tcW w:w="1713" w:type="dxa"/>
            <w:vMerge/>
          </w:tcPr>
          <w:p w:rsidR="003A5252" w:rsidRPr="00F25A74" w:rsidRDefault="003A5252" w:rsidP="00026C26">
            <w:pPr>
              <w:pStyle w:val="Tabletext"/>
              <w:rPr>
                <w:rFonts w:asciiTheme="majorBidi" w:hAnsiTheme="majorBidi" w:cstheme="majorBidi"/>
                <w:szCs w:val="22"/>
                <w:lang w:val="pt-BR"/>
              </w:rPr>
            </w:pPr>
          </w:p>
        </w:tc>
        <w:tc>
          <w:tcPr>
            <w:tcW w:w="2807" w:type="dxa"/>
          </w:tcPr>
          <w:p w:rsidR="003A5252" w:rsidRPr="00F25A74" w:rsidRDefault="003A5252" w:rsidP="00026C26">
            <w:pPr>
              <w:pStyle w:val="Tabletext"/>
              <w:rPr>
                <w:rFonts w:asciiTheme="majorBidi" w:hAnsiTheme="majorBidi" w:cstheme="majorBidi"/>
                <w:szCs w:val="22"/>
                <w:lang w:eastAsia="de-DE"/>
              </w:rPr>
            </w:pPr>
            <w:r w:rsidRPr="00F25A74">
              <w:rPr>
                <w:rFonts w:asciiTheme="majorBidi" w:hAnsiTheme="majorBidi" w:cstheme="majorBidi"/>
                <w:szCs w:val="22"/>
                <w:lang w:eastAsia="de-DE"/>
              </w:rPr>
              <w:t>City and environs of Ras Al Khaimah</w:t>
            </w:r>
          </w:p>
        </w:tc>
        <w:tc>
          <w:tcPr>
            <w:tcW w:w="2628" w:type="dxa"/>
            <w:vAlign w:val="center"/>
          </w:tcPr>
          <w:p w:rsidR="003A5252" w:rsidRPr="00F25A74" w:rsidRDefault="003A5252" w:rsidP="00026C26">
            <w:pPr>
              <w:pStyle w:val="Tabletext"/>
              <w:rPr>
                <w:rFonts w:asciiTheme="majorBidi" w:hAnsiTheme="majorBidi" w:cstheme="majorBidi"/>
                <w:szCs w:val="22"/>
                <w:lang w:val="pt-BR" w:eastAsia="de-DE"/>
              </w:rPr>
            </w:pPr>
            <w:r w:rsidRPr="00F25A74">
              <w:rPr>
                <w:rFonts w:asciiTheme="majorBidi" w:hAnsiTheme="majorBidi" w:cstheme="majorBidi"/>
                <w:szCs w:val="22"/>
                <w:lang w:val="pt-BR" w:eastAsia="de-DE"/>
              </w:rPr>
              <w:t>55° 50’ E – 25° 55’ N</w:t>
            </w:r>
          </w:p>
          <w:p w:rsidR="003A5252" w:rsidRPr="00F25A74" w:rsidRDefault="003A5252" w:rsidP="00026C26">
            <w:pPr>
              <w:pStyle w:val="Tabletext"/>
              <w:rPr>
                <w:rFonts w:asciiTheme="majorBidi" w:hAnsiTheme="majorBidi" w:cstheme="majorBidi"/>
                <w:szCs w:val="22"/>
                <w:lang w:val="pt-BR" w:eastAsia="de-DE"/>
              </w:rPr>
            </w:pPr>
            <w:r w:rsidRPr="00F25A74">
              <w:rPr>
                <w:rFonts w:asciiTheme="majorBidi" w:hAnsiTheme="majorBidi" w:cstheme="majorBidi"/>
                <w:szCs w:val="22"/>
                <w:lang w:val="pt-BR" w:eastAsia="de-DE"/>
              </w:rPr>
              <w:t>56° 05’ E – 25° 55’ N</w:t>
            </w:r>
          </w:p>
          <w:p w:rsidR="003A5252" w:rsidRPr="00F25A74" w:rsidRDefault="003A5252" w:rsidP="00026C26">
            <w:pPr>
              <w:pStyle w:val="Tabletext"/>
              <w:rPr>
                <w:rFonts w:asciiTheme="majorBidi" w:hAnsiTheme="majorBidi" w:cstheme="majorBidi"/>
                <w:szCs w:val="22"/>
                <w:lang w:val="pt-BR" w:eastAsia="de-DE"/>
              </w:rPr>
            </w:pPr>
            <w:r w:rsidRPr="00F25A74">
              <w:rPr>
                <w:rFonts w:asciiTheme="majorBidi" w:hAnsiTheme="majorBidi" w:cstheme="majorBidi"/>
                <w:szCs w:val="22"/>
                <w:lang w:val="pt-BR" w:eastAsia="de-DE"/>
              </w:rPr>
              <w:t>56° 05’ E – 25° 40’ N</w:t>
            </w:r>
          </w:p>
          <w:p w:rsidR="003A5252" w:rsidRPr="00F25A74" w:rsidRDefault="003A5252" w:rsidP="00026C26">
            <w:pPr>
              <w:pStyle w:val="Tabletext"/>
              <w:rPr>
                <w:rFonts w:asciiTheme="majorBidi" w:hAnsiTheme="majorBidi" w:cstheme="majorBidi"/>
                <w:szCs w:val="22"/>
                <w:lang w:val="pt-BR" w:eastAsia="de-DE"/>
              </w:rPr>
            </w:pPr>
            <w:r w:rsidRPr="00F25A74">
              <w:rPr>
                <w:rFonts w:asciiTheme="majorBidi" w:hAnsiTheme="majorBidi" w:cstheme="majorBidi"/>
                <w:szCs w:val="22"/>
                <w:lang w:val="pt-BR" w:eastAsia="de-DE"/>
              </w:rPr>
              <w:t>55° 50’ E – 25° 40’ N</w:t>
            </w:r>
          </w:p>
        </w:tc>
      </w:tr>
      <w:tr w:rsidR="003A5252" w:rsidRPr="007E2B73" w:rsidTr="00026C26">
        <w:trPr>
          <w:trHeight w:val="1070"/>
        </w:trPr>
        <w:tc>
          <w:tcPr>
            <w:tcW w:w="1713" w:type="dxa"/>
            <w:vMerge/>
          </w:tcPr>
          <w:p w:rsidR="003A5252" w:rsidRPr="00F25A74" w:rsidRDefault="003A5252" w:rsidP="00026C26">
            <w:pPr>
              <w:pStyle w:val="Tabletext"/>
              <w:rPr>
                <w:rFonts w:asciiTheme="majorBidi" w:hAnsiTheme="majorBidi" w:cstheme="majorBidi"/>
                <w:szCs w:val="22"/>
                <w:lang w:val="pt-BR"/>
              </w:rPr>
            </w:pPr>
          </w:p>
        </w:tc>
        <w:tc>
          <w:tcPr>
            <w:tcW w:w="2807" w:type="dxa"/>
            <w:vAlign w:val="center"/>
          </w:tcPr>
          <w:p w:rsidR="003A5252" w:rsidRPr="00F25A74" w:rsidRDefault="003A5252" w:rsidP="00026C26">
            <w:pPr>
              <w:pStyle w:val="Tabletext"/>
              <w:rPr>
                <w:rFonts w:asciiTheme="majorBidi" w:hAnsiTheme="majorBidi" w:cstheme="majorBidi"/>
                <w:szCs w:val="22"/>
                <w:lang w:eastAsia="de-DE"/>
              </w:rPr>
            </w:pPr>
            <w:r w:rsidRPr="00F25A74">
              <w:rPr>
                <w:rFonts w:asciiTheme="majorBidi" w:hAnsiTheme="majorBidi" w:cstheme="majorBidi"/>
                <w:szCs w:val="22"/>
                <w:lang w:eastAsia="de-DE"/>
              </w:rPr>
              <w:t xml:space="preserve">Area between </w:t>
            </w:r>
            <w:r w:rsidRPr="00F25A74">
              <w:rPr>
                <w:rFonts w:asciiTheme="majorBidi" w:hAnsiTheme="majorBidi" w:cstheme="majorBidi"/>
                <w:szCs w:val="22"/>
              </w:rPr>
              <w:t xml:space="preserve">Umm Al Qaiwain and </w:t>
            </w:r>
            <w:r w:rsidRPr="00F25A74">
              <w:rPr>
                <w:rFonts w:asciiTheme="majorBidi" w:hAnsiTheme="majorBidi" w:cstheme="majorBidi"/>
                <w:szCs w:val="22"/>
                <w:lang w:eastAsia="de-DE"/>
              </w:rPr>
              <w:t>Ras Al Khaimah</w:t>
            </w:r>
          </w:p>
        </w:tc>
        <w:tc>
          <w:tcPr>
            <w:tcW w:w="2628" w:type="dxa"/>
          </w:tcPr>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55° 30’ E – 25° 40’ N</w:t>
            </w:r>
          </w:p>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56° 05’ E – 25° 40’ N</w:t>
            </w:r>
          </w:p>
          <w:p w:rsidR="003A5252" w:rsidRPr="00F25A74" w:rsidRDefault="003A5252" w:rsidP="00026C26">
            <w:pPr>
              <w:pStyle w:val="Tabletext"/>
              <w:rPr>
                <w:rFonts w:asciiTheme="majorBidi" w:hAnsiTheme="majorBidi" w:cstheme="majorBidi"/>
                <w:szCs w:val="22"/>
                <w:lang w:val="pt-BR"/>
              </w:rPr>
            </w:pPr>
            <w:r w:rsidRPr="00F25A74">
              <w:rPr>
                <w:rFonts w:asciiTheme="majorBidi" w:hAnsiTheme="majorBidi" w:cstheme="majorBidi"/>
                <w:szCs w:val="22"/>
                <w:lang w:val="pt-BR"/>
              </w:rPr>
              <w:t>55° 55’ E – 25° 20’ N</w:t>
            </w:r>
          </w:p>
        </w:tc>
      </w:tr>
      <w:tr w:rsidR="003A5252" w:rsidRPr="00F50942" w:rsidTr="00026C26">
        <w:trPr>
          <w:trHeight w:val="350"/>
        </w:trPr>
        <w:tc>
          <w:tcPr>
            <w:tcW w:w="1713" w:type="dxa"/>
            <w:vAlign w:val="center"/>
          </w:tcPr>
          <w:p w:rsidR="003A5252" w:rsidRPr="00F25A74" w:rsidRDefault="003A5252" w:rsidP="00026C26">
            <w:pPr>
              <w:pStyle w:val="Tabletext"/>
              <w:rPr>
                <w:rFonts w:asciiTheme="majorBidi" w:hAnsiTheme="majorBidi" w:cstheme="majorBidi"/>
                <w:b/>
                <w:bCs/>
                <w:szCs w:val="22"/>
                <w:lang w:eastAsia="de-DE"/>
              </w:rPr>
            </w:pPr>
            <w:r w:rsidRPr="00F25A74">
              <w:rPr>
                <w:rFonts w:asciiTheme="majorBidi" w:hAnsiTheme="majorBidi" w:cstheme="majorBidi"/>
                <w:b/>
                <w:bCs/>
                <w:szCs w:val="22"/>
                <w:lang w:eastAsia="de-DE"/>
              </w:rPr>
              <w:t>0.50 (low)</w:t>
            </w:r>
          </w:p>
        </w:tc>
        <w:tc>
          <w:tcPr>
            <w:tcW w:w="5435" w:type="dxa"/>
            <w:gridSpan w:val="2"/>
            <w:vAlign w:val="center"/>
          </w:tcPr>
          <w:p w:rsidR="003A5252" w:rsidRPr="00F25A74" w:rsidRDefault="003A5252" w:rsidP="00026C26">
            <w:pPr>
              <w:pStyle w:val="Tabletext"/>
              <w:rPr>
                <w:rFonts w:asciiTheme="majorBidi" w:hAnsiTheme="majorBidi" w:cstheme="majorBidi"/>
                <w:szCs w:val="22"/>
                <w:lang w:eastAsia="de-DE"/>
              </w:rPr>
            </w:pPr>
            <w:r w:rsidRPr="00F25A74">
              <w:rPr>
                <w:rFonts w:asciiTheme="majorBidi" w:hAnsiTheme="majorBidi" w:cstheme="majorBidi"/>
                <w:szCs w:val="22"/>
                <w:lang w:eastAsia="de-DE"/>
              </w:rPr>
              <w:t>All remaining areas</w:t>
            </w:r>
          </w:p>
        </w:tc>
      </w:tr>
    </w:tbl>
    <w:p w:rsidR="003A5252" w:rsidRDefault="003A5252" w:rsidP="00281920">
      <w:pPr>
        <w:pStyle w:val="FigureSource"/>
        <w:pBdr>
          <w:bottom w:val="single" w:sz="12" w:space="1" w:color="auto"/>
        </w:pBdr>
      </w:pPr>
    </w:p>
    <w:p w:rsidR="00E60699" w:rsidRDefault="00E60699" w:rsidP="00E60699">
      <w:pPr>
        <w:rPr>
          <w:lang w:val="en-US" w:eastAsia="ar-SA"/>
        </w:rPr>
      </w:pPr>
    </w:p>
    <w:p w:rsidR="00E60699" w:rsidRDefault="00E60699" w:rsidP="00E60699">
      <w:pPr>
        <w:rPr>
          <w:lang w:val="en-US" w:eastAsia="ar-SA"/>
        </w:rPr>
      </w:pPr>
    </w:p>
    <w:p w:rsidR="00E60699" w:rsidRDefault="00E60699" w:rsidP="00E60699">
      <w:pPr>
        <w:rPr>
          <w:lang w:val="en-US" w:eastAsia="ar-SA"/>
        </w:rPr>
      </w:pPr>
    </w:p>
    <w:p w:rsidR="006E09AC" w:rsidRDefault="006E09AC" w:rsidP="00E60699">
      <w:pPr>
        <w:rPr>
          <w:rtl/>
          <w:lang w:val="en-US" w:eastAsia="ar-SA"/>
        </w:rPr>
        <w:sectPr w:rsidR="006E09AC" w:rsidSect="006E09AC">
          <w:pgSz w:w="11907" w:h="16834" w:code="9"/>
          <w:pgMar w:top="1418" w:right="1134" w:bottom="1418" w:left="1134" w:header="720" w:footer="720" w:gutter="0"/>
          <w:paperSrc w:first="7" w:other="7"/>
          <w:cols w:space="720"/>
        </w:sectPr>
      </w:pPr>
    </w:p>
    <w:p w:rsidR="00E60699" w:rsidRPr="00E60699" w:rsidRDefault="00E60699" w:rsidP="00E60699">
      <w:pPr>
        <w:rPr>
          <w:lang w:val="en-US" w:eastAsia="ar-SA"/>
        </w:rPr>
      </w:pPr>
    </w:p>
    <w:p w:rsidR="003A5252" w:rsidRPr="00F50942" w:rsidRDefault="003A5252" w:rsidP="00EE251B">
      <w:pPr>
        <w:pStyle w:val="FigureTitle"/>
        <w:pBdr>
          <w:top w:val="single" w:sz="12" w:space="10" w:color="000000"/>
        </w:pBdr>
      </w:pPr>
    </w:p>
    <w:p w:rsidR="003A5252" w:rsidRPr="00F50942" w:rsidRDefault="003A5252" w:rsidP="003A5252">
      <w:pPr>
        <w:ind w:left="1599" w:hanging="902"/>
        <w:jc w:val="center"/>
        <w:rPr>
          <w:szCs w:val="19"/>
        </w:rPr>
      </w:pPr>
      <w:r>
        <w:rPr>
          <w:noProof/>
          <w:szCs w:val="19"/>
          <w:lang w:val="en-US" w:eastAsia="zh-CN"/>
        </w:rPr>
        <w:drawing>
          <wp:inline distT="0" distB="0" distL="0" distR="0">
            <wp:extent cx="4933950" cy="4267200"/>
            <wp:effectExtent l="19050" t="0" r="0" b="0"/>
            <wp:docPr id="2" name="Picture 2" descr="UA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E-TRA"/>
                    <pic:cNvPicPr>
                      <a:picLocks noChangeAspect="1" noChangeArrowheads="1"/>
                    </pic:cNvPicPr>
                  </pic:nvPicPr>
                  <pic:blipFill>
                    <a:blip r:embed="rId24" cstate="print"/>
                    <a:srcRect/>
                    <a:stretch>
                      <a:fillRect/>
                    </a:stretch>
                  </pic:blipFill>
                  <pic:spPr bwMode="auto">
                    <a:xfrm>
                      <a:off x="0" y="0"/>
                      <a:ext cx="4933950" cy="4267200"/>
                    </a:xfrm>
                    <a:prstGeom prst="rect">
                      <a:avLst/>
                    </a:prstGeom>
                    <a:noFill/>
                    <a:ln w="9525">
                      <a:noFill/>
                      <a:miter lim="800000"/>
                      <a:headEnd/>
                      <a:tailEnd/>
                    </a:ln>
                  </pic:spPr>
                </pic:pic>
              </a:graphicData>
            </a:graphic>
          </wp:inline>
        </w:drawing>
      </w:r>
    </w:p>
    <w:p w:rsidR="003A5252" w:rsidRPr="00F50942" w:rsidRDefault="003A5252" w:rsidP="00E60699">
      <w:pPr>
        <w:pStyle w:val="TableNotitle"/>
        <w:rPr>
          <w:sz w:val="19"/>
          <w:szCs w:val="19"/>
        </w:rPr>
      </w:pPr>
      <w:r w:rsidRPr="00F50942">
        <w:rPr>
          <w:sz w:val="19"/>
          <w:szCs w:val="19"/>
        </w:rPr>
        <w:t xml:space="preserve">Satellite view of the </w:t>
      </w:r>
      <w:smartTag w:uri="urn:schemas-microsoft-com:office:smarttags" w:element="place">
        <w:smartTag w:uri="urn:schemas-microsoft-com:office:smarttags" w:element="country-region">
          <w:r w:rsidRPr="00F50942">
            <w:rPr>
              <w:sz w:val="19"/>
              <w:szCs w:val="19"/>
            </w:rPr>
            <w:t>United Arab Emirates</w:t>
          </w:r>
        </w:smartTag>
      </w:smartTag>
      <w:r w:rsidRPr="00F50942">
        <w:rPr>
          <w:sz w:val="19"/>
          <w:szCs w:val="19"/>
        </w:rPr>
        <w:t xml:space="preserve"> with marked Service Zones</w:t>
      </w:r>
    </w:p>
    <w:p w:rsidR="003A5252" w:rsidRPr="00F50942" w:rsidRDefault="003A5252" w:rsidP="00E60699">
      <w:pPr>
        <w:bidi w:val="0"/>
        <w:ind w:left="3800" w:hanging="2200"/>
        <w:rPr>
          <w:b/>
          <w:szCs w:val="19"/>
        </w:rPr>
      </w:pPr>
      <w:r w:rsidRPr="00F50942">
        <w:rPr>
          <w:b/>
          <w:szCs w:val="19"/>
        </w:rPr>
        <w:t>Red Zones:</w:t>
      </w:r>
      <w:r w:rsidRPr="00F50942">
        <w:rPr>
          <w:b/>
          <w:szCs w:val="19"/>
        </w:rPr>
        <w:tab/>
        <w:t>Service Zone Factor D high (1.00)</w:t>
      </w:r>
    </w:p>
    <w:p w:rsidR="003A5252" w:rsidRPr="00F50942" w:rsidRDefault="003A5252" w:rsidP="00E60699">
      <w:pPr>
        <w:bidi w:val="0"/>
        <w:ind w:left="3800" w:hanging="2200"/>
        <w:rPr>
          <w:b/>
          <w:szCs w:val="19"/>
        </w:rPr>
      </w:pPr>
      <w:r w:rsidRPr="00F50942">
        <w:rPr>
          <w:b/>
          <w:szCs w:val="19"/>
        </w:rPr>
        <w:t>Green Zones:</w:t>
      </w:r>
      <w:r w:rsidRPr="00F50942">
        <w:rPr>
          <w:b/>
          <w:szCs w:val="19"/>
        </w:rPr>
        <w:tab/>
        <w:t>Service Zone Factor D medium (0.75)</w:t>
      </w:r>
    </w:p>
    <w:p w:rsidR="003A5252" w:rsidRPr="00F50942" w:rsidRDefault="003A5252" w:rsidP="00E60699">
      <w:pPr>
        <w:bidi w:val="0"/>
        <w:ind w:left="3800" w:hanging="2200"/>
        <w:rPr>
          <w:b/>
          <w:szCs w:val="19"/>
        </w:rPr>
      </w:pPr>
      <w:r w:rsidRPr="00F50942">
        <w:rPr>
          <w:b/>
          <w:szCs w:val="19"/>
        </w:rPr>
        <w:t>Remaining Zones:</w:t>
      </w:r>
      <w:r w:rsidRPr="00F50942">
        <w:rPr>
          <w:b/>
          <w:szCs w:val="19"/>
        </w:rPr>
        <w:tab/>
        <w:t>Service Zone Factor D low (0.50)</w:t>
      </w:r>
    </w:p>
    <w:p w:rsidR="003A5252" w:rsidRDefault="003A5252" w:rsidP="00281920">
      <w:pPr>
        <w:pStyle w:val="FigureSource"/>
        <w:pBdr>
          <w:bottom w:val="single" w:sz="12" w:space="1" w:color="auto"/>
        </w:pBdr>
      </w:pPr>
    </w:p>
    <w:p w:rsidR="003A5252" w:rsidRPr="00F50942" w:rsidRDefault="003A5252" w:rsidP="0020445C">
      <w:pPr>
        <w:bidi w:val="0"/>
        <w:spacing w:line="240" w:lineRule="auto"/>
        <w:ind w:left="1191" w:hanging="1191"/>
        <w:rPr>
          <w:szCs w:val="19"/>
        </w:rPr>
      </w:pPr>
      <w:r w:rsidRPr="00F50942">
        <w:rPr>
          <w:b/>
          <w:szCs w:val="19"/>
        </w:rPr>
        <w:tab/>
      </w:r>
      <w:r w:rsidRPr="00F50942">
        <w:rPr>
          <w:b/>
          <w:szCs w:val="19"/>
        </w:rPr>
        <w:tab/>
        <w:t>Note 1:</w:t>
      </w:r>
      <w:r w:rsidRPr="00F50942">
        <w:rPr>
          <w:szCs w:val="19"/>
        </w:rPr>
        <w:tab/>
        <w:t>Any transmission from a certain location having medium or low Service Zone Factor into (partly or entirely) a Service Zone of higher level will upgrade this particular station in Service Zone Factor to the higher level which may be also a two step increase.</w:t>
      </w:r>
    </w:p>
    <w:p w:rsidR="003A5252" w:rsidRPr="00F50942" w:rsidRDefault="003A5252" w:rsidP="0020445C">
      <w:pPr>
        <w:bidi w:val="0"/>
        <w:spacing w:line="240" w:lineRule="auto"/>
        <w:ind w:left="1191" w:hanging="1191"/>
        <w:rPr>
          <w:szCs w:val="19"/>
        </w:rPr>
      </w:pPr>
      <w:r w:rsidRPr="00F50942">
        <w:rPr>
          <w:b/>
          <w:szCs w:val="19"/>
        </w:rPr>
        <w:tab/>
      </w:r>
      <w:r w:rsidRPr="00F50942">
        <w:rPr>
          <w:b/>
          <w:szCs w:val="19"/>
        </w:rPr>
        <w:tab/>
        <w:t>Note 2:</w:t>
      </w:r>
      <w:r w:rsidRPr="00F50942">
        <w:rPr>
          <w:szCs w:val="19"/>
        </w:rPr>
        <w:tab/>
        <w:t xml:space="preserve">For Broadcasting Services in the HF and lower frequency bands, the Service Zone Factor = 1. </w:t>
      </w:r>
    </w:p>
    <w:p w:rsidR="003A5252" w:rsidRPr="00F50942" w:rsidRDefault="003A5252" w:rsidP="0020445C">
      <w:pPr>
        <w:bidi w:val="0"/>
        <w:spacing w:line="240" w:lineRule="auto"/>
        <w:ind w:left="1191" w:hanging="1191"/>
        <w:rPr>
          <w:b/>
          <w:bCs/>
          <w:szCs w:val="19"/>
        </w:rPr>
      </w:pPr>
      <w:r w:rsidRPr="00F50942">
        <w:rPr>
          <w:b/>
          <w:szCs w:val="19"/>
        </w:rPr>
        <w:tab/>
      </w:r>
      <w:r w:rsidRPr="00F50942">
        <w:rPr>
          <w:b/>
          <w:szCs w:val="19"/>
        </w:rPr>
        <w:tab/>
        <w:t>E = Antenna Height Factor as follows:</w:t>
      </w:r>
    </w:p>
    <w:p w:rsidR="003A5252" w:rsidRPr="00F50942" w:rsidRDefault="003A5252" w:rsidP="0020445C">
      <w:pPr>
        <w:bidi w:val="0"/>
        <w:spacing w:line="240" w:lineRule="auto"/>
        <w:ind w:left="1191" w:hanging="1191"/>
        <w:rPr>
          <w:szCs w:val="19"/>
        </w:rPr>
      </w:pPr>
      <w:r w:rsidRPr="00F50942">
        <w:rPr>
          <w:szCs w:val="19"/>
        </w:rPr>
        <w:tab/>
      </w:r>
      <w:r w:rsidRPr="00F50942">
        <w:rPr>
          <w:szCs w:val="19"/>
        </w:rPr>
        <w:tab/>
        <w:t>The Antenna Height Factor is calculated as follows:</w:t>
      </w:r>
    </w:p>
    <w:p w:rsidR="003A5252" w:rsidRPr="00F50942" w:rsidRDefault="003A5252" w:rsidP="0020445C">
      <w:pPr>
        <w:bidi w:val="0"/>
        <w:spacing w:line="240" w:lineRule="auto"/>
        <w:ind w:left="2160" w:hanging="1463"/>
        <w:rPr>
          <w:b/>
          <w:bCs/>
          <w:szCs w:val="19"/>
          <w:vertAlign w:val="subscript"/>
        </w:rPr>
      </w:pPr>
      <w:r w:rsidRPr="00F50942">
        <w:rPr>
          <w:b/>
          <w:szCs w:val="19"/>
        </w:rPr>
        <w:tab/>
      </w:r>
      <w:r w:rsidRPr="00F50942">
        <w:rPr>
          <w:b/>
          <w:szCs w:val="19"/>
        </w:rPr>
        <w:tab/>
        <w:t>E = H</w:t>
      </w:r>
      <w:r w:rsidRPr="00F50942">
        <w:rPr>
          <w:b/>
          <w:szCs w:val="19"/>
          <w:vertAlign w:val="subscript"/>
        </w:rPr>
        <w:t>ASL</w:t>
      </w:r>
      <w:r w:rsidRPr="00F50942">
        <w:rPr>
          <w:b/>
          <w:szCs w:val="19"/>
        </w:rPr>
        <w:t xml:space="preserve"> + H</w:t>
      </w:r>
      <w:r w:rsidRPr="00F50942">
        <w:rPr>
          <w:b/>
          <w:szCs w:val="19"/>
          <w:vertAlign w:val="subscript"/>
        </w:rPr>
        <w:t>AGL</w:t>
      </w:r>
    </w:p>
    <w:p w:rsidR="003A5252" w:rsidRPr="00F50942" w:rsidRDefault="003A5252" w:rsidP="0020445C">
      <w:pPr>
        <w:bidi w:val="0"/>
        <w:spacing w:line="240" w:lineRule="auto"/>
        <w:ind w:left="1191" w:hanging="1191"/>
        <w:rPr>
          <w:szCs w:val="19"/>
        </w:rPr>
      </w:pPr>
      <w:r w:rsidRPr="00F50942">
        <w:rPr>
          <w:szCs w:val="19"/>
        </w:rPr>
        <w:tab/>
      </w:r>
      <w:r w:rsidRPr="00F50942">
        <w:rPr>
          <w:szCs w:val="19"/>
        </w:rPr>
        <w:tab/>
        <w:t xml:space="preserve">whereby </w:t>
      </w:r>
      <w:r w:rsidRPr="00F50942">
        <w:rPr>
          <w:b/>
          <w:szCs w:val="19"/>
        </w:rPr>
        <w:t>H</w:t>
      </w:r>
      <w:r w:rsidRPr="00F50942">
        <w:rPr>
          <w:b/>
          <w:szCs w:val="19"/>
          <w:vertAlign w:val="subscript"/>
        </w:rPr>
        <w:t>ASL</w:t>
      </w:r>
      <w:r w:rsidRPr="00F50942">
        <w:rPr>
          <w:szCs w:val="19"/>
        </w:rPr>
        <w:t xml:space="preserve"> is the height above sea level in meters and </w:t>
      </w:r>
      <w:r w:rsidRPr="00F50942">
        <w:rPr>
          <w:b/>
          <w:szCs w:val="19"/>
        </w:rPr>
        <w:t>H</w:t>
      </w:r>
      <w:r w:rsidRPr="00F50942">
        <w:rPr>
          <w:b/>
          <w:szCs w:val="19"/>
          <w:vertAlign w:val="subscript"/>
        </w:rPr>
        <w:t>AGL</w:t>
      </w:r>
      <w:r w:rsidRPr="00F50942">
        <w:rPr>
          <w:szCs w:val="19"/>
        </w:rPr>
        <w:t xml:space="preserve"> is the height above ground level in meters.</w:t>
      </w:r>
    </w:p>
    <w:p w:rsidR="003A5252" w:rsidRPr="00F50942" w:rsidRDefault="003A5252" w:rsidP="0020445C">
      <w:pPr>
        <w:bidi w:val="0"/>
        <w:spacing w:line="240" w:lineRule="auto"/>
        <w:ind w:left="1191" w:hanging="1191"/>
        <w:rPr>
          <w:szCs w:val="19"/>
        </w:rPr>
      </w:pPr>
      <w:r w:rsidRPr="00F50942">
        <w:rPr>
          <w:szCs w:val="19"/>
        </w:rPr>
        <w:tab/>
      </w:r>
      <w:r w:rsidRPr="00F50942">
        <w:rPr>
          <w:szCs w:val="19"/>
        </w:rPr>
        <w:tab/>
      </w:r>
      <w:r w:rsidRPr="00F50942">
        <w:rPr>
          <w:b/>
          <w:szCs w:val="19"/>
        </w:rPr>
        <w:t>F = Correction Factor</w:t>
      </w:r>
      <w:r w:rsidRPr="00F50942">
        <w:rPr>
          <w:szCs w:val="19"/>
        </w:rPr>
        <w:t xml:space="preserve"> as follows:</w:t>
      </w:r>
    </w:p>
    <w:p w:rsidR="003A5252" w:rsidRPr="007408F0" w:rsidRDefault="003A5252" w:rsidP="0020445C">
      <w:pPr>
        <w:pStyle w:val="enumlev1"/>
        <w:bidi w:val="0"/>
        <w:spacing w:line="240" w:lineRule="auto"/>
        <w:ind w:left="1588" w:hanging="1588"/>
        <w:rPr>
          <w:rFonts w:asciiTheme="majorBidi" w:hAnsiTheme="majorBidi" w:cstheme="majorBidi"/>
          <w:szCs w:val="22"/>
        </w:rPr>
      </w:pPr>
      <w:r w:rsidRPr="007408F0">
        <w:rPr>
          <w:rFonts w:asciiTheme="majorBidi" w:hAnsiTheme="majorBidi" w:cstheme="majorBidi"/>
          <w:szCs w:val="22"/>
        </w:rPr>
        <w:tab/>
      </w:r>
      <w:r w:rsidRPr="007408F0">
        <w:rPr>
          <w:rFonts w:asciiTheme="majorBidi" w:hAnsiTheme="majorBidi" w:cstheme="majorBidi"/>
          <w:szCs w:val="22"/>
        </w:rPr>
        <w:tab/>
        <w:t>a)</w:t>
      </w:r>
      <w:r w:rsidRPr="007408F0">
        <w:rPr>
          <w:rFonts w:asciiTheme="majorBidi" w:hAnsiTheme="majorBidi" w:cstheme="majorBidi"/>
          <w:szCs w:val="22"/>
        </w:rPr>
        <w:tab/>
        <w:t>For Governmental Broadcasting Stations which are operating on a non-commercial base, a Correction Factor (F) of 0.5 shall be applied.</w:t>
      </w:r>
    </w:p>
    <w:p w:rsidR="00497388" w:rsidRDefault="00497388">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heme="majorBidi" w:hAnsiTheme="majorBidi" w:cstheme="majorBidi"/>
          <w:szCs w:val="22"/>
          <w:lang w:val="fr-FR"/>
        </w:rPr>
      </w:pPr>
      <w:r>
        <w:rPr>
          <w:rFonts w:asciiTheme="majorBidi" w:hAnsiTheme="majorBidi" w:cstheme="majorBidi"/>
          <w:szCs w:val="22"/>
        </w:rPr>
        <w:br w:type="page"/>
      </w:r>
    </w:p>
    <w:p w:rsidR="003A5252" w:rsidRPr="007408F0" w:rsidRDefault="003A5252" w:rsidP="0020445C">
      <w:pPr>
        <w:pStyle w:val="enumlev1"/>
        <w:bidi w:val="0"/>
        <w:spacing w:line="240" w:lineRule="auto"/>
        <w:ind w:left="1588" w:hanging="1588"/>
        <w:rPr>
          <w:rFonts w:asciiTheme="majorBidi" w:hAnsiTheme="majorBidi" w:cstheme="majorBidi"/>
          <w:szCs w:val="22"/>
        </w:rPr>
      </w:pPr>
      <w:r w:rsidRPr="007408F0">
        <w:rPr>
          <w:rFonts w:asciiTheme="majorBidi" w:hAnsiTheme="majorBidi" w:cstheme="majorBidi"/>
          <w:szCs w:val="22"/>
        </w:rPr>
        <w:lastRenderedPageBreak/>
        <w:tab/>
      </w:r>
      <w:r w:rsidRPr="007408F0">
        <w:rPr>
          <w:rFonts w:asciiTheme="majorBidi" w:hAnsiTheme="majorBidi" w:cstheme="majorBidi"/>
          <w:szCs w:val="22"/>
        </w:rPr>
        <w:tab/>
        <w:t>b)</w:t>
      </w:r>
      <w:r w:rsidRPr="007408F0">
        <w:rPr>
          <w:rFonts w:asciiTheme="majorBidi" w:hAnsiTheme="majorBidi" w:cstheme="majorBidi"/>
          <w:szCs w:val="22"/>
        </w:rPr>
        <w:tab/>
        <w:t>For promoting new digital terrestrial audio and video broadcasting technologies, a reduction of 25% shall be granted during the period before 2015; (i.e. Correction Factor = 0.75). This reduction is only limited to the above specified period and maybe accompanied with other conditions made by the TRA.</w:t>
      </w:r>
    </w:p>
    <w:p w:rsidR="003A5252" w:rsidRPr="007408F0" w:rsidRDefault="003A5252" w:rsidP="0020445C">
      <w:pPr>
        <w:pStyle w:val="enumlev1"/>
        <w:bidi w:val="0"/>
        <w:spacing w:line="240" w:lineRule="auto"/>
        <w:ind w:left="1588" w:hanging="1588"/>
        <w:rPr>
          <w:rFonts w:asciiTheme="majorBidi" w:hAnsiTheme="majorBidi" w:cstheme="majorBidi"/>
          <w:szCs w:val="22"/>
        </w:rPr>
      </w:pPr>
      <w:r w:rsidRPr="007408F0">
        <w:rPr>
          <w:rFonts w:asciiTheme="majorBidi" w:hAnsiTheme="majorBidi" w:cstheme="majorBidi"/>
          <w:szCs w:val="22"/>
        </w:rPr>
        <w:tab/>
      </w:r>
      <w:r w:rsidRPr="007408F0">
        <w:rPr>
          <w:rFonts w:asciiTheme="majorBidi" w:hAnsiTheme="majorBidi" w:cstheme="majorBidi"/>
          <w:szCs w:val="22"/>
        </w:rPr>
        <w:tab/>
        <w:t>c)</w:t>
      </w:r>
      <w:r w:rsidRPr="007408F0">
        <w:rPr>
          <w:rFonts w:asciiTheme="majorBidi" w:hAnsiTheme="majorBidi" w:cstheme="majorBidi"/>
          <w:szCs w:val="22"/>
        </w:rPr>
        <w:tab/>
        <w:t>For all other assignments, the value of Correction Factor = 1.</w:t>
      </w:r>
    </w:p>
    <w:p w:rsidR="003A5252" w:rsidRPr="00F50942" w:rsidRDefault="003A5252" w:rsidP="0020445C">
      <w:pPr>
        <w:pStyle w:val="Heading2"/>
        <w:bidi w:val="0"/>
        <w:spacing w:line="240" w:lineRule="auto"/>
      </w:pPr>
      <w:bookmarkStart w:id="386" w:name="_Toc280260046"/>
      <w:bookmarkStart w:id="387" w:name="_Toc280272507"/>
      <w:bookmarkStart w:id="388" w:name="_Toc282768690"/>
      <w:bookmarkStart w:id="389" w:name="_Toc195057826"/>
      <w:r w:rsidRPr="00F50942">
        <w:t>26.2</w:t>
      </w:r>
      <w:r w:rsidRPr="00F50942">
        <w:tab/>
        <w:t>HF Seasonal Sound Broadcasting:</w:t>
      </w:r>
      <w:bookmarkEnd w:id="386"/>
      <w:bookmarkEnd w:id="387"/>
      <w:bookmarkEnd w:id="388"/>
    </w:p>
    <w:p w:rsidR="003A5252" w:rsidRPr="00F50942" w:rsidRDefault="003A5252" w:rsidP="0020445C">
      <w:pPr>
        <w:bidi w:val="0"/>
        <w:spacing w:line="240" w:lineRule="auto"/>
        <w:rPr>
          <w:szCs w:val="19"/>
        </w:rPr>
      </w:pPr>
      <w:r w:rsidRPr="00F50942">
        <w:rPr>
          <w:szCs w:val="19"/>
        </w:rPr>
        <w:t>For HF Seasonal Sound Broadcasting Services, the Spectrum Fee shall be charged per transmitter basis and for each transmitter the annual Spectrum Fees shall be:</w:t>
      </w:r>
    </w:p>
    <w:p w:rsidR="003A5252" w:rsidRPr="00F50942" w:rsidRDefault="003A5252" w:rsidP="0020445C">
      <w:pPr>
        <w:bidi w:val="0"/>
        <w:spacing w:line="240" w:lineRule="auto"/>
        <w:rPr>
          <w:szCs w:val="19"/>
        </w:rPr>
      </w:pPr>
      <w:r w:rsidRPr="00F50942">
        <w:rPr>
          <w:szCs w:val="19"/>
        </w:rPr>
        <w:t xml:space="preserve">Spectrum Fees = AED 30,000/-  </w:t>
      </w:r>
    </w:p>
    <w:p w:rsidR="003A5252" w:rsidRPr="00F50942" w:rsidRDefault="003A5252" w:rsidP="0020445C">
      <w:pPr>
        <w:pStyle w:val="Heading2"/>
        <w:bidi w:val="0"/>
        <w:spacing w:line="240" w:lineRule="auto"/>
      </w:pPr>
      <w:bookmarkStart w:id="390" w:name="_Toc280260047"/>
      <w:bookmarkStart w:id="391" w:name="_Toc280272508"/>
      <w:bookmarkStart w:id="392" w:name="_Toc282768691"/>
      <w:bookmarkEnd w:id="389"/>
      <w:r w:rsidRPr="00F50942">
        <w:t>26.3</w:t>
      </w:r>
      <w:r w:rsidRPr="00F50942">
        <w:tab/>
        <w:t>Satellite Radio and Television Broadcasting</w:t>
      </w:r>
      <w:bookmarkEnd w:id="390"/>
      <w:bookmarkEnd w:id="391"/>
      <w:bookmarkEnd w:id="392"/>
    </w:p>
    <w:p w:rsidR="003A5252" w:rsidRPr="00F50942" w:rsidRDefault="003A5252" w:rsidP="0020445C">
      <w:pPr>
        <w:bidi w:val="0"/>
        <w:spacing w:line="240" w:lineRule="auto"/>
        <w:rPr>
          <w:szCs w:val="19"/>
        </w:rPr>
      </w:pPr>
      <w:r w:rsidRPr="00F50942">
        <w:rPr>
          <w:szCs w:val="19"/>
        </w:rPr>
        <w:t>Up linking of DAB and DVB-SH shall be charged at 200,000 AED per multiplex unit, DVB-S and DVB-RCS by 400,000 AED per multiplex unit.</w:t>
      </w:r>
    </w:p>
    <w:p w:rsidR="003A5252" w:rsidRPr="00F50942" w:rsidRDefault="003A5252" w:rsidP="0020445C">
      <w:pPr>
        <w:bidi w:val="0"/>
        <w:spacing w:line="240" w:lineRule="auto"/>
        <w:rPr>
          <w:szCs w:val="19"/>
        </w:rPr>
      </w:pPr>
      <w:r w:rsidRPr="00F50942">
        <w:rPr>
          <w:szCs w:val="19"/>
        </w:rPr>
        <w:t>A multiplex unit is defined as one channel (signal) with appropriate bandwidth containing several programmes combined by digital multiplexing and compressing.</w:t>
      </w:r>
    </w:p>
    <w:p w:rsidR="003A5252" w:rsidRPr="00F50942" w:rsidRDefault="003A5252" w:rsidP="0020445C">
      <w:pPr>
        <w:pStyle w:val="Arttitle"/>
        <w:spacing w:before="400"/>
      </w:pPr>
      <w:bookmarkStart w:id="393" w:name="_Toc280261849"/>
      <w:bookmarkStart w:id="394" w:name="_Toc280262347"/>
      <w:bookmarkStart w:id="395" w:name="_Toc280272741"/>
      <w:bookmarkStart w:id="396" w:name="_Toc280272920"/>
      <w:r w:rsidRPr="00F50942">
        <w:t>Article 27</w:t>
      </w:r>
      <w:r>
        <w:br/>
      </w:r>
      <w:r>
        <w:br/>
      </w:r>
      <w:bookmarkStart w:id="397" w:name="_Toc199215050"/>
      <w:r w:rsidRPr="00F50942">
        <w:t xml:space="preserve">Short </w:t>
      </w:r>
      <w:smartTag w:uri="urn:schemas-microsoft-com:office:smarttags" w:element="PlaceType">
        <w:r w:rsidRPr="00F50942">
          <w:t>Range</w:t>
        </w:r>
      </w:smartTag>
      <w:r w:rsidRPr="00F50942">
        <w:t xml:space="preserve"> Devices</w:t>
      </w:r>
      <w:bookmarkEnd w:id="393"/>
      <w:bookmarkEnd w:id="394"/>
      <w:bookmarkEnd w:id="395"/>
      <w:bookmarkEnd w:id="396"/>
      <w:bookmarkEnd w:id="397"/>
    </w:p>
    <w:p w:rsidR="003A5252" w:rsidRPr="00CA4845" w:rsidRDefault="003A5252" w:rsidP="0020445C">
      <w:pPr>
        <w:pStyle w:val="enumlev1"/>
        <w:bidi w:val="0"/>
        <w:spacing w:line="240" w:lineRule="auto"/>
        <w:rPr>
          <w:rFonts w:asciiTheme="majorBidi" w:hAnsiTheme="majorBidi" w:cstheme="majorBidi"/>
          <w:szCs w:val="22"/>
        </w:rPr>
      </w:pPr>
      <w:r w:rsidRPr="00CA4845">
        <w:rPr>
          <w:rFonts w:asciiTheme="majorBidi" w:hAnsiTheme="majorBidi" w:cstheme="majorBidi"/>
          <w:szCs w:val="22"/>
        </w:rPr>
        <w:t>27.1</w:t>
      </w:r>
      <w:r w:rsidRPr="00CA4845">
        <w:rPr>
          <w:rFonts w:asciiTheme="majorBidi" w:hAnsiTheme="majorBidi" w:cstheme="majorBidi"/>
          <w:szCs w:val="22"/>
        </w:rPr>
        <w:tab/>
        <w:t>All Wireless Transmission equipment meeting the criteria of the Short Range Devices as determined by the TRA shall be exempted from the annual Spectrum Fees. Class Authorization shall be issued for such Wireless Transmission equipment.</w:t>
      </w:r>
    </w:p>
    <w:p w:rsidR="003A5252" w:rsidRPr="00CA4845" w:rsidRDefault="003A5252" w:rsidP="0020445C">
      <w:pPr>
        <w:pStyle w:val="enumlev1"/>
        <w:bidi w:val="0"/>
        <w:spacing w:line="240" w:lineRule="auto"/>
        <w:rPr>
          <w:rFonts w:asciiTheme="majorBidi" w:hAnsiTheme="majorBidi" w:cstheme="majorBidi"/>
          <w:szCs w:val="22"/>
        </w:rPr>
      </w:pPr>
      <w:r w:rsidRPr="00CA4845">
        <w:rPr>
          <w:rFonts w:asciiTheme="majorBidi" w:hAnsiTheme="majorBidi" w:cstheme="majorBidi"/>
          <w:szCs w:val="22"/>
        </w:rPr>
        <w:t>27.2</w:t>
      </w:r>
      <w:r w:rsidRPr="00CA4845">
        <w:rPr>
          <w:rFonts w:asciiTheme="majorBidi" w:hAnsiTheme="majorBidi" w:cstheme="majorBidi"/>
          <w:szCs w:val="22"/>
        </w:rPr>
        <w:tab/>
        <w:t>Low Power Transmitting Equipment intended for strictly indoor use having less than 1 W effective radiated power and not categorized as short range device shall be charged as follows:</w:t>
      </w:r>
    </w:p>
    <w:p w:rsidR="003A5252" w:rsidRDefault="003A5252" w:rsidP="003A5252"/>
    <w:p w:rsidR="003A5252" w:rsidRDefault="003A5252" w:rsidP="00EE251B">
      <w:pPr>
        <w:pStyle w:val="FigureTitle"/>
        <w:pBdr>
          <w:top w:val="single" w:sz="12" w:space="10" w:color="000000"/>
        </w:pBdr>
      </w:pPr>
      <w:r w:rsidRPr="00F50942">
        <w:t xml:space="preserve">Table </w:t>
      </w:r>
      <w:fldSimple w:instr=" SEQ Figure \* ARABIC ">
        <w:r>
          <w:rPr>
            <w:noProof/>
          </w:rPr>
          <w:t>4</w:t>
        </w:r>
      </w:fldSimple>
      <w:r w:rsidRPr="00F50942">
        <w:t xml:space="preserve"> – Annual Fee for Low Power Equipment</w:t>
      </w:r>
    </w:p>
    <w:p w:rsidR="003A5252" w:rsidRPr="00D125D9" w:rsidRDefault="003A5252" w:rsidP="003A5252">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1628"/>
      </w:tblGrid>
      <w:tr w:rsidR="003A5252" w:rsidRPr="00F50942" w:rsidTr="00026C26">
        <w:trPr>
          <w:jc w:val="center"/>
        </w:trPr>
        <w:tc>
          <w:tcPr>
            <w:tcW w:w="2470" w:type="dxa"/>
            <w:shd w:val="clear" w:color="auto" w:fill="E6E6E6"/>
            <w:vAlign w:val="center"/>
          </w:tcPr>
          <w:p w:rsidR="003A5252" w:rsidRPr="00D125D9" w:rsidRDefault="003A5252" w:rsidP="00026C26">
            <w:pPr>
              <w:pStyle w:val="Tablehead"/>
              <w:rPr>
                <w:rFonts w:asciiTheme="majorBidi" w:hAnsiTheme="majorBidi" w:cstheme="majorBidi"/>
                <w:szCs w:val="22"/>
              </w:rPr>
            </w:pPr>
            <w:r w:rsidRPr="00D125D9">
              <w:rPr>
                <w:rFonts w:asciiTheme="majorBidi" w:hAnsiTheme="majorBidi" w:cstheme="majorBidi"/>
                <w:szCs w:val="22"/>
              </w:rPr>
              <w:t>Radiated Power</w:t>
            </w:r>
          </w:p>
        </w:tc>
        <w:tc>
          <w:tcPr>
            <w:tcW w:w="1628" w:type="dxa"/>
            <w:shd w:val="clear" w:color="auto" w:fill="E6E6E6"/>
            <w:vAlign w:val="center"/>
          </w:tcPr>
          <w:p w:rsidR="003A5252" w:rsidRPr="00D125D9" w:rsidRDefault="003A5252" w:rsidP="00026C26">
            <w:pPr>
              <w:pStyle w:val="Tablehead"/>
              <w:rPr>
                <w:rFonts w:asciiTheme="majorBidi" w:hAnsiTheme="majorBidi" w:cstheme="majorBidi"/>
                <w:szCs w:val="22"/>
              </w:rPr>
            </w:pPr>
            <w:r w:rsidRPr="00D125D9">
              <w:rPr>
                <w:rFonts w:asciiTheme="majorBidi" w:hAnsiTheme="majorBidi" w:cstheme="majorBidi"/>
                <w:szCs w:val="22"/>
              </w:rPr>
              <w:t>Annual Fee</w:t>
            </w:r>
          </w:p>
        </w:tc>
      </w:tr>
      <w:tr w:rsidR="003A5252" w:rsidRPr="00F50942" w:rsidTr="00026C26">
        <w:trPr>
          <w:trHeight w:val="340"/>
          <w:jc w:val="center"/>
        </w:trPr>
        <w:tc>
          <w:tcPr>
            <w:tcW w:w="2470" w:type="dxa"/>
            <w:vAlign w:val="center"/>
          </w:tcPr>
          <w:p w:rsidR="003A5252" w:rsidRPr="00D125D9" w:rsidRDefault="003A5252" w:rsidP="00026C26">
            <w:pPr>
              <w:pStyle w:val="Tabletext"/>
              <w:rPr>
                <w:rFonts w:asciiTheme="majorBidi" w:hAnsiTheme="majorBidi" w:cstheme="majorBidi"/>
                <w:szCs w:val="22"/>
              </w:rPr>
            </w:pPr>
            <w:r w:rsidRPr="00D125D9">
              <w:rPr>
                <w:rFonts w:asciiTheme="majorBidi" w:hAnsiTheme="majorBidi" w:cstheme="majorBidi"/>
                <w:szCs w:val="22"/>
              </w:rPr>
              <w:t>up to 10 mW</w:t>
            </w:r>
          </w:p>
        </w:tc>
        <w:tc>
          <w:tcPr>
            <w:tcW w:w="1628" w:type="dxa"/>
            <w:vAlign w:val="center"/>
          </w:tcPr>
          <w:p w:rsidR="003A5252" w:rsidRPr="00D125D9" w:rsidRDefault="003A5252" w:rsidP="00026C26">
            <w:pPr>
              <w:pStyle w:val="Tabletext"/>
              <w:rPr>
                <w:rFonts w:asciiTheme="majorBidi" w:hAnsiTheme="majorBidi" w:cstheme="majorBidi"/>
                <w:szCs w:val="22"/>
              </w:rPr>
            </w:pPr>
            <w:r w:rsidRPr="00D125D9">
              <w:rPr>
                <w:rFonts w:asciiTheme="majorBidi" w:hAnsiTheme="majorBidi" w:cstheme="majorBidi"/>
                <w:szCs w:val="22"/>
              </w:rPr>
              <w:t>100 AED</w:t>
            </w:r>
          </w:p>
        </w:tc>
      </w:tr>
      <w:tr w:rsidR="003A5252" w:rsidRPr="00F50942" w:rsidTr="00026C26">
        <w:trPr>
          <w:trHeight w:val="340"/>
          <w:jc w:val="center"/>
        </w:trPr>
        <w:tc>
          <w:tcPr>
            <w:tcW w:w="2470" w:type="dxa"/>
            <w:vAlign w:val="center"/>
          </w:tcPr>
          <w:p w:rsidR="003A5252" w:rsidRPr="00D125D9" w:rsidRDefault="003A5252" w:rsidP="00026C26">
            <w:pPr>
              <w:pStyle w:val="Tabletext"/>
              <w:rPr>
                <w:rFonts w:asciiTheme="majorBidi" w:hAnsiTheme="majorBidi" w:cstheme="majorBidi"/>
                <w:szCs w:val="22"/>
              </w:rPr>
            </w:pPr>
            <w:r w:rsidRPr="00D125D9">
              <w:rPr>
                <w:rFonts w:asciiTheme="majorBidi" w:hAnsiTheme="majorBidi" w:cstheme="majorBidi"/>
                <w:szCs w:val="22"/>
              </w:rPr>
              <w:t>10 mW to 100 mW</w:t>
            </w:r>
          </w:p>
        </w:tc>
        <w:tc>
          <w:tcPr>
            <w:tcW w:w="1628" w:type="dxa"/>
            <w:vAlign w:val="center"/>
          </w:tcPr>
          <w:p w:rsidR="003A5252" w:rsidRPr="00D125D9" w:rsidRDefault="003A5252" w:rsidP="00026C26">
            <w:pPr>
              <w:pStyle w:val="Tabletext"/>
              <w:rPr>
                <w:rFonts w:asciiTheme="majorBidi" w:hAnsiTheme="majorBidi" w:cstheme="majorBidi"/>
                <w:szCs w:val="22"/>
              </w:rPr>
            </w:pPr>
            <w:r w:rsidRPr="00D125D9">
              <w:rPr>
                <w:rFonts w:asciiTheme="majorBidi" w:hAnsiTheme="majorBidi" w:cstheme="majorBidi"/>
                <w:szCs w:val="22"/>
              </w:rPr>
              <w:t>200 AED</w:t>
            </w:r>
          </w:p>
        </w:tc>
      </w:tr>
      <w:tr w:rsidR="003A5252" w:rsidRPr="00F50942" w:rsidTr="00026C26">
        <w:trPr>
          <w:trHeight w:val="340"/>
          <w:jc w:val="center"/>
        </w:trPr>
        <w:tc>
          <w:tcPr>
            <w:tcW w:w="2470" w:type="dxa"/>
            <w:vAlign w:val="center"/>
          </w:tcPr>
          <w:p w:rsidR="003A5252" w:rsidRPr="00D125D9" w:rsidRDefault="003A5252" w:rsidP="00026C26">
            <w:pPr>
              <w:pStyle w:val="Tabletext"/>
              <w:rPr>
                <w:rFonts w:asciiTheme="majorBidi" w:hAnsiTheme="majorBidi" w:cstheme="majorBidi"/>
                <w:szCs w:val="22"/>
              </w:rPr>
            </w:pPr>
            <w:r w:rsidRPr="00D125D9">
              <w:rPr>
                <w:rFonts w:asciiTheme="majorBidi" w:hAnsiTheme="majorBidi" w:cstheme="majorBidi"/>
                <w:szCs w:val="22"/>
              </w:rPr>
              <w:t>100 mW to 1 W</w:t>
            </w:r>
          </w:p>
        </w:tc>
        <w:tc>
          <w:tcPr>
            <w:tcW w:w="1628" w:type="dxa"/>
            <w:vAlign w:val="center"/>
          </w:tcPr>
          <w:p w:rsidR="003A5252" w:rsidRPr="00D125D9" w:rsidRDefault="003A5252" w:rsidP="00026C26">
            <w:pPr>
              <w:pStyle w:val="Tabletext"/>
              <w:rPr>
                <w:rFonts w:asciiTheme="majorBidi" w:hAnsiTheme="majorBidi" w:cstheme="majorBidi"/>
                <w:szCs w:val="22"/>
              </w:rPr>
            </w:pPr>
            <w:r w:rsidRPr="00D125D9">
              <w:rPr>
                <w:rFonts w:asciiTheme="majorBidi" w:hAnsiTheme="majorBidi" w:cstheme="majorBidi"/>
                <w:szCs w:val="22"/>
              </w:rPr>
              <w:t>400 AED</w:t>
            </w:r>
          </w:p>
        </w:tc>
      </w:tr>
    </w:tbl>
    <w:p w:rsidR="003A5252" w:rsidRDefault="003A5252" w:rsidP="00281920">
      <w:pPr>
        <w:pStyle w:val="FigureSource"/>
        <w:pBdr>
          <w:bottom w:val="single" w:sz="12" w:space="1" w:color="auto"/>
        </w:pBdr>
      </w:pPr>
    </w:p>
    <w:p w:rsidR="003A5252" w:rsidRPr="00F50942" w:rsidRDefault="003A5252" w:rsidP="0020445C">
      <w:pPr>
        <w:pStyle w:val="Arttitle"/>
        <w:spacing w:before="400"/>
        <w:rPr>
          <w:bCs/>
        </w:rPr>
      </w:pPr>
      <w:bookmarkStart w:id="398" w:name="_Toc280261850"/>
      <w:bookmarkStart w:id="399" w:name="_Toc280262348"/>
      <w:bookmarkStart w:id="400" w:name="_Toc280272742"/>
      <w:bookmarkStart w:id="401" w:name="_Toc280272921"/>
      <w:r w:rsidRPr="00F50942">
        <w:t>Article 28</w:t>
      </w:r>
      <w:r>
        <w:rPr>
          <w:bCs/>
        </w:rPr>
        <w:br/>
      </w:r>
      <w:r>
        <w:rPr>
          <w:bCs/>
        </w:rPr>
        <w:br/>
      </w:r>
      <w:bookmarkStart w:id="402" w:name="_Toc199215051"/>
      <w:r w:rsidRPr="00F50942">
        <w:t>Emergency and disaster frequencies</w:t>
      </w:r>
      <w:bookmarkEnd w:id="398"/>
      <w:bookmarkEnd w:id="399"/>
      <w:bookmarkEnd w:id="400"/>
      <w:bookmarkEnd w:id="401"/>
      <w:bookmarkEnd w:id="402"/>
    </w:p>
    <w:p w:rsidR="003A5252" w:rsidRPr="00F50942" w:rsidRDefault="003A5252" w:rsidP="0020445C">
      <w:pPr>
        <w:bidi w:val="0"/>
        <w:spacing w:line="240" w:lineRule="auto"/>
        <w:rPr>
          <w:szCs w:val="19"/>
        </w:rPr>
      </w:pPr>
      <w:r w:rsidRPr="00F50942">
        <w:rPr>
          <w:szCs w:val="19"/>
        </w:rPr>
        <w:t xml:space="preserve">All emergency, distress and safety of life frequencies identified within the National Spectrum Plan and the National Table of Frequency Allocation shall not be charged. All Wireless Transmission equipment made exclusively for safety of life and accepted by the Director General of the TRA as falling within this category shall be exempted from the spectrum Fees. </w:t>
      </w:r>
    </w:p>
    <w:p w:rsidR="00497388" w:rsidRDefault="00497388">
      <w:pPr>
        <w:tabs>
          <w:tab w:val="clear" w:pos="794"/>
          <w:tab w:val="clear" w:pos="1191"/>
          <w:tab w:val="clear" w:pos="1588"/>
          <w:tab w:val="clear" w:pos="1985"/>
        </w:tabs>
        <w:overflowPunct/>
        <w:autoSpaceDE/>
        <w:autoSpaceDN/>
        <w:bidi w:val="0"/>
        <w:adjustRightInd/>
        <w:spacing w:before="0" w:line="240" w:lineRule="auto"/>
        <w:jc w:val="left"/>
        <w:textAlignment w:val="auto"/>
      </w:pPr>
      <w:bookmarkStart w:id="403" w:name="_Toc280261851"/>
      <w:bookmarkStart w:id="404" w:name="_Toc280262349"/>
      <w:bookmarkStart w:id="405" w:name="_Toc280272743"/>
      <w:bookmarkStart w:id="406" w:name="_Toc280272922"/>
    </w:p>
    <w:p w:rsidR="00497388" w:rsidRDefault="00497388" w:rsidP="00497388">
      <w:pPr>
        <w:tabs>
          <w:tab w:val="clear" w:pos="794"/>
          <w:tab w:val="clear" w:pos="1191"/>
          <w:tab w:val="clear" w:pos="1588"/>
          <w:tab w:val="clear" w:pos="1985"/>
        </w:tabs>
        <w:overflowPunct/>
        <w:autoSpaceDE/>
        <w:autoSpaceDN/>
        <w:bidi w:val="0"/>
        <w:adjustRightInd/>
        <w:spacing w:before="0" w:line="240" w:lineRule="auto"/>
        <w:jc w:val="left"/>
        <w:textAlignment w:val="auto"/>
      </w:pPr>
    </w:p>
    <w:p w:rsidR="00497388" w:rsidRDefault="00497388" w:rsidP="00497388">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b/>
          <w:sz w:val="24"/>
          <w:szCs w:val="20"/>
        </w:rPr>
      </w:pPr>
      <w:r>
        <w:br w:type="page"/>
      </w:r>
    </w:p>
    <w:p w:rsidR="003A5252" w:rsidRPr="00F50942" w:rsidRDefault="003A5252" w:rsidP="0020445C">
      <w:pPr>
        <w:pStyle w:val="Arttitle"/>
        <w:spacing w:before="120"/>
      </w:pPr>
      <w:r w:rsidRPr="00F50942">
        <w:lastRenderedPageBreak/>
        <w:t>Article 29</w:t>
      </w:r>
      <w:r>
        <w:br/>
      </w:r>
      <w:r>
        <w:br/>
      </w:r>
      <w:bookmarkStart w:id="407" w:name="_Toc199215052"/>
      <w:r w:rsidRPr="00F50942">
        <w:t>Temporary Authorization</w:t>
      </w:r>
      <w:bookmarkEnd w:id="403"/>
      <w:bookmarkEnd w:id="404"/>
      <w:bookmarkEnd w:id="405"/>
      <w:bookmarkEnd w:id="406"/>
      <w:bookmarkEnd w:id="407"/>
    </w:p>
    <w:p w:rsidR="003A5252" w:rsidRPr="00F50942" w:rsidRDefault="003A5252" w:rsidP="0020445C">
      <w:pPr>
        <w:bidi w:val="0"/>
        <w:spacing w:line="240" w:lineRule="auto"/>
        <w:rPr>
          <w:szCs w:val="19"/>
        </w:rPr>
      </w:pPr>
      <w:r w:rsidRPr="00F50942">
        <w:rPr>
          <w:szCs w:val="19"/>
        </w:rPr>
        <w:t xml:space="preserve">Spectrum fees for temporary authorization will be calculated on pro-rata basis of the annual fees in accordance to the radio services. However, a minimum of 100 AED will be charged as spectrum fees in case the amount is less than 100 AED. The temporary spectrum charge will be in addition to the application processing fees. </w:t>
      </w:r>
    </w:p>
    <w:p w:rsidR="003A5252" w:rsidRPr="00F50942" w:rsidRDefault="003A5252" w:rsidP="0020445C">
      <w:pPr>
        <w:pStyle w:val="Arttitle"/>
        <w:spacing w:before="360"/>
      </w:pPr>
      <w:bookmarkStart w:id="408" w:name="_Toc280261852"/>
      <w:bookmarkStart w:id="409" w:name="_Toc280262350"/>
      <w:bookmarkStart w:id="410" w:name="_Toc280272744"/>
      <w:bookmarkStart w:id="411" w:name="_Toc280272923"/>
      <w:r w:rsidRPr="00F50942">
        <w:t>Article 30</w:t>
      </w:r>
      <w:r>
        <w:br/>
      </w:r>
      <w:r>
        <w:br/>
      </w:r>
      <w:bookmarkStart w:id="412" w:name="_Toc199215053"/>
      <w:r w:rsidRPr="00F50942">
        <w:t>Other Radio Services</w:t>
      </w:r>
      <w:bookmarkEnd w:id="408"/>
      <w:bookmarkEnd w:id="409"/>
      <w:bookmarkEnd w:id="410"/>
      <w:bookmarkEnd w:id="411"/>
      <w:bookmarkEnd w:id="412"/>
    </w:p>
    <w:p w:rsidR="003A5252" w:rsidRPr="00F50942" w:rsidRDefault="003A5252" w:rsidP="0020445C">
      <w:pPr>
        <w:bidi w:val="0"/>
        <w:spacing w:line="240" w:lineRule="auto"/>
        <w:rPr>
          <w:szCs w:val="19"/>
        </w:rPr>
      </w:pPr>
      <w:r w:rsidRPr="00F50942">
        <w:rPr>
          <w:szCs w:val="19"/>
        </w:rPr>
        <w:t xml:space="preserve">The annual fees of Radio Spectrum Authorization for any other Radio Services which are not covered above shall be determined by the TRA and shall be applicable on approval by the Director General, even before inclusion in the revised issue of this policy. </w:t>
      </w:r>
    </w:p>
    <w:p w:rsidR="003A5252" w:rsidRPr="00F50942" w:rsidRDefault="003A5252" w:rsidP="0020445C">
      <w:pPr>
        <w:pStyle w:val="Arttitle"/>
        <w:spacing w:before="360"/>
      </w:pPr>
      <w:bookmarkStart w:id="413" w:name="_Toc280261853"/>
      <w:bookmarkStart w:id="414" w:name="_Toc280262351"/>
      <w:bookmarkStart w:id="415" w:name="_Toc280272745"/>
      <w:bookmarkStart w:id="416" w:name="_Toc280272924"/>
      <w:r w:rsidRPr="00F50942">
        <w:t>Article 31</w:t>
      </w:r>
      <w:r>
        <w:br/>
      </w:r>
      <w:r>
        <w:br/>
      </w:r>
      <w:bookmarkStart w:id="417" w:name="_Toc199215054"/>
      <w:r w:rsidRPr="00F50942">
        <w:t>Interference complaints processing and monitoring fees</w:t>
      </w:r>
      <w:bookmarkEnd w:id="413"/>
      <w:bookmarkEnd w:id="414"/>
      <w:bookmarkEnd w:id="415"/>
      <w:bookmarkEnd w:id="416"/>
      <w:bookmarkEnd w:id="417"/>
    </w:p>
    <w:p w:rsidR="003A5252" w:rsidRPr="00F50942" w:rsidRDefault="003A5252" w:rsidP="0020445C">
      <w:pPr>
        <w:bidi w:val="0"/>
        <w:spacing w:line="240" w:lineRule="auto"/>
        <w:rPr>
          <w:color w:val="000000"/>
          <w:szCs w:val="19"/>
        </w:rPr>
      </w:pPr>
      <w:r w:rsidRPr="00F50942">
        <w:rPr>
          <w:szCs w:val="19"/>
        </w:rPr>
        <w:t>The TRA shall determine the interference complaints processing and monitoring fees on case to case basis subject to the approval by the</w:t>
      </w:r>
      <w:r w:rsidRPr="00F50942">
        <w:rPr>
          <w:color w:val="000000"/>
          <w:szCs w:val="19"/>
        </w:rPr>
        <w:t xml:space="preserve"> Director General. </w:t>
      </w:r>
    </w:p>
    <w:p w:rsidR="003A5252" w:rsidRPr="00F50942" w:rsidRDefault="003A5252" w:rsidP="0020445C">
      <w:pPr>
        <w:pStyle w:val="Arttitle"/>
        <w:spacing w:before="360"/>
      </w:pPr>
      <w:bookmarkStart w:id="418" w:name="_Toc280261854"/>
      <w:bookmarkStart w:id="419" w:name="_Toc280262352"/>
      <w:bookmarkStart w:id="420" w:name="_Toc280272746"/>
      <w:bookmarkStart w:id="421" w:name="_Toc280272925"/>
      <w:r w:rsidRPr="00F50942">
        <w:t>Article 32</w:t>
      </w:r>
      <w:r>
        <w:br/>
      </w:r>
      <w:bookmarkStart w:id="422" w:name="_Toc199215055"/>
      <w:r>
        <w:br/>
      </w:r>
      <w:r w:rsidRPr="00F50942">
        <w:t>Fees for the Foreign Embassies, Consulates and Diplomatic Missions</w:t>
      </w:r>
      <w:bookmarkEnd w:id="418"/>
      <w:bookmarkEnd w:id="419"/>
      <w:bookmarkEnd w:id="420"/>
      <w:bookmarkEnd w:id="421"/>
      <w:bookmarkEnd w:id="422"/>
    </w:p>
    <w:p w:rsidR="003A5252" w:rsidRPr="00F50942" w:rsidRDefault="003A5252" w:rsidP="0020445C">
      <w:pPr>
        <w:bidi w:val="0"/>
        <w:spacing w:line="240" w:lineRule="auto"/>
        <w:rPr>
          <w:szCs w:val="19"/>
        </w:rPr>
      </w:pPr>
      <w:r w:rsidRPr="00F50942">
        <w:rPr>
          <w:szCs w:val="19"/>
        </w:rPr>
        <w:t xml:space="preserve">The Foreign Embassies, Consulates, Diplomatic Missions and the State visits of dignitaries shall be exempted from the Spectrum Fees provided the same exemption is available for the UAE Embassy, Consulate and </w:t>
      </w:r>
      <w:smartTag w:uri="urn:schemas-microsoft-com:office:smarttags" w:element="place">
        <w:smartTag w:uri="urn:schemas-microsoft-com:office:smarttags" w:element="City">
          <w:r w:rsidRPr="00F50942">
            <w:rPr>
              <w:szCs w:val="19"/>
            </w:rPr>
            <w:t>Mission</w:t>
          </w:r>
        </w:smartTag>
      </w:smartTag>
      <w:r w:rsidRPr="00F50942">
        <w:rPr>
          <w:szCs w:val="19"/>
        </w:rPr>
        <w:t xml:space="preserve"> in the country of origin. This exemption shall be applicable for official correspondence which falls within the scope of the Vienna Convention for diplomatic correspondence and forwarded through the Ministry of Foreign Affairs of the UAE. </w:t>
      </w:r>
    </w:p>
    <w:p w:rsidR="003A5252" w:rsidRPr="00F50942" w:rsidRDefault="003A5252" w:rsidP="0020445C">
      <w:pPr>
        <w:pStyle w:val="Arttitle"/>
        <w:spacing w:before="360"/>
      </w:pPr>
      <w:bookmarkStart w:id="423" w:name="_Toc280261855"/>
      <w:bookmarkStart w:id="424" w:name="_Toc280262353"/>
      <w:bookmarkStart w:id="425" w:name="_Toc280272747"/>
      <w:bookmarkStart w:id="426" w:name="_Toc280272926"/>
      <w:r w:rsidRPr="00F50942">
        <w:t>Article 33</w:t>
      </w:r>
      <w:r>
        <w:br/>
      </w:r>
      <w:r>
        <w:br/>
      </w:r>
      <w:r w:rsidRPr="00F50942">
        <w:t>Fees for Site Surveys</w:t>
      </w:r>
      <w:bookmarkEnd w:id="423"/>
      <w:bookmarkEnd w:id="424"/>
      <w:bookmarkEnd w:id="425"/>
      <w:bookmarkEnd w:id="426"/>
    </w:p>
    <w:p w:rsidR="003A5252" w:rsidRPr="00F50942" w:rsidRDefault="003A5252" w:rsidP="0020445C">
      <w:pPr>
        <w:bidi w:val="0"/>
        <w:spacing w:line="240" w:lineRule="auto"/>
        <w:rPr>
          <w:szCs w:val="19"/>
        </w:rPr>
      </w:pPr>
      <w:r w:rsidRPr="00F50942">
        <w:rPr>
          <w:szCs w:val="19"/>
        </w:rPr>
        <w:t>The following fees shall be charged for the site survey conducted by the Authority upon request from the Authorized User for technical assistance:</w:t>
      </w:r>
    </w:p>
    <w:p w:rsidR="003A5252" w:rsidRPr="00F50942" w:rsidRDefault="003A5252" w:rsidP="0020445C">
      <w:pPr>
        <w:bidi w:val="0"/>
        <w:spacing w:line="240" w:lineRule="auto"/>
        <w:ind w:left="1191" w:hanging="1191"/>
        <w:rPr>
          <w:szCs w:val="19"/>
        </w:rPr>
      </w:pPr>
      <w:r w:rsidRPr="00F50942">
        <w:rPr>
          <w:b/>
          <w:szCs w:val="19"/>
        </w:rPr>
        <w:tab/>
      </w:r>
      <w:r w:rsidRPr="00F50942">
        <w:rPr>
          <w:b/>
          <w:szCs w:val="19"/>
        </w:rPr>
        <w:tab/>
        <w:t>Site Survey Fee</w:t>
      </w:r>
      <w:r w:rsidRPr="00F50942">
        <w:rPr>
          <w:szCs w:val="19"/>
        </w:rPr>
        <w:t xml:space="preserve"> = 5,000 AED per day for each visit </w:t>
      </w:r>
    </w:p>
    <w:p w:rsidR="003A5252" w:rsidRPr="00F50942" w:rsidRDefault="003A5252" w:rsidP="0020445C">
      <w:pPr>
        <w:pStyle w:val="Arttitle"/>
        <w:spacing w:before="360"/>
      </w:pPr>
      <w:bookmarkStart w:id="427" w:name="_Toc280261856"/>
      <w:bookmarkStart w:id="428" w:name="_Toc280262354"/>
      <w:bookmarkStart w:id="429" w:name="_Toc280272748"/>
      <w:bookmarkStart w:id="430" w:name="_Toc280272927"/>
      <w:r w:rsidRPr="00F50942">
        <w:t>Article 34</w:t>
      </w:r>
      <w:r>
        <w:br/>
      </w:r>
      <w:r>
        <w:br/>
      </w:r>
      <w:bookmarkStart w:id="431" w:name="_Toc199215056"/>
      <w:r w:rsidRPr="00F50942">
        <w:t>Obligation to pay</w:t>
      </w:r>
      <w:bookmarkEnd w:id="427"/>
      <w:bookmarkEnd w:id="428"/>
      <w:bookmarkEnd w:id="429"/>
      <w:bookmarkEnd w:id="430"/>
      <w:bookmarkEnd w:id="431"/>
    </w:p>
    <w:p w:rsidR="003A5252" w:rsidRPr="00F50942" w:rsidRDefault="003A5252" w:rsidP="0020445C">
      <w:pPr>
        <w:bidi w:val="0"/>
        <w:spacing w:line="240" w:lineRule="auto"/>
        <w:rPr>
          <w:szCs w:val="19"/>
        </w:rPr>
      </w:pPr>
      <w:r w:rsidRPr="00F50942">
        <w:rPr>
          <w:szCs w:val="19"/>
        </w:rPr>
        <w:t xml:space="preserve">The Spectrum Fees shall be payable in advance by all without any exemption except as determined in this Policy. The Spectrum Fees shall not be construed as Federal Tax or any Local Tax and shall be considered as charge for the use of a scarce national resource. Authorized Users should pay the full dues within the stipulated time, even in cases where the Authorised User contests the amount either wholly or partially. In </w:t>
      </w:r>
      <w:r w:rsidRPr="00F50942">
        <w:rPr>
          <w:szCs w:val="19"/>
        </w:rPr>
        <w:lastRenderedPageBreak/>
        <w:t xml:space="preserve">case the amount is contested and a refund is due to the Authorised User, the amount shall be paid by the TRA within one month of settlement. </w:t>
      </w:r>
    </w:p>
    <w:p w:rsidR="003A5252" w:rsidRPr="00F50942" w:rsidRDefault="003A5252" w:rsidP="0020445C">
      <w:pPr>
        <w:pStyle w:val="Arttitle"/>
        <w:spacing w:before="400"/>
        <w:rPr>
          <w:bCs/>
        </w:rPr>
      </w:pPr>
      <w:bookmarkStart w:id="432" w:name="_Toc280261857"/>
      <w:bookmarkStart w:id="433" w:name="_Toc280262355"/>
      <w:bookmarkStart w:id="434" w:name="_Toc280272749"/>
      <w:bookmarkStart w:id="435" w:name="_Toc280272928"/>
      <w:r w:rsidRPr="00F50942">
        <w:t>Article 35</w:t>
      </w:r>
      <w:r>
        <w:rPr>
          <w:bCs/>
        </w:rPr>
        <w:br/>
      </w:r>
      <w:r>
        <w:rPr>
          <w:bCs/>
        </w:rPr>
        <w:br/>
      </w:r>
      <w:bookmarkStart w:id="436" w:name="_Toc199215057"/>
      <w:r w:rsidRPr="00F50942">
        <w:t>Methods of payments</w:t>
      </w:r>
      <w:bookmarkEnd w:id="432"/>
      <w:bookmarkEnd w:id="433"/>
      <w:bookmarkEnd w:id="434"/>
      <w:bookmarkEnd w:id="435"/>
      <w:bookmarkEnd w:id="436"/>
    </w:p>
    <w:p w:rsidR="003A5252" w:rsidRPr="00F50942" w:rsidRDefault="003A5252" w:rsidP="0020445C">
      <w:pPr>
        <w:bidi w:val="0"/>
        <w:spacing w:line="240" w:lineRule="auto"/>
        <w:rPr>
          <w:szCs w:val="19"/>
        </w:rPr>
      </w:pPr>
      <w:r w:rsidRPr="00F50942">
        <w:rPr>
          <w:szCs w:val="19"/>
        </w:rPr>
        <w:t xml:space="preserve">Cash payment to the TRA shall not be acceptable and spectrum fees and other associated shall be payable to the TRA in one of the following methods: </w:t>
      </w:r>
    </w:p>
    <w:p w:rsidR="003A5252" w:rsidRPr="00BD3C28" w:rsidRDefault="003A5252" w:rsidP="0020445C">
      <w:pPr>
        <w:pStyle w:val="enumlev1"/>
        <w:bidi w:val="0"/>
        <w:spacing w:line="240" w:lineRule="auto"/>
      </w:pPr>
      <w:r>
        <w:t>–</w:t>
      </w:r>
      <w:r w:rsidRPr="00BD3C28">
        <w:tab/>
        <w:t xml:space="preserve">E-Dirham </w:t>
      </w:r>
    </w:p>
    <w:p w:rsidR="003A5252" w:rsidRPr="00BD3C28" w:rsidRDefault="003A5252" w:rsidP="0020445C">
      <w:pPr>
        <w:pStyle w:val="enumlev1"/>
        <w:bidi w:val="0"/>
        <w:spacing w:line="240" w:lineRule="auto"/>
      </w:pPr>
      <w:r>
        <w:t>–</w:t>
      </w:r>
      <w:r w:rsidRPr="00BD3C28">
        <w:tab/>
        <w:t xml:space="preserve">Cheque </w:t>
      </w:r>
    </w:p>
    <w:p w:rsidR="003A5252" w:rsidRPr="00BD3C28" w:rsidRDefault="003A5252" w:rsidP="0020445C">
      <w:pPr>
        <w:pStyle w:val="enumlev1"/>
        <w:bidi w:val="0"/>
        <w:spacing w:line="240" w:lineRule="auto"/>
      </w:pPr>
      <w:r>
        <w:t>–</w:t>
      </w:r>
      <w:r w:rsidRPr="00BD3C28">
        <w:tab/>
        <w:t xml:space="preserve">Deposit into the TRA’s bank account </w:t>
      </w:r>
    </w:p>
    <w:p w:rsidR="003A5252" w:rsidRPr="00F50942" w:rsidRDefault="003A5252" w:rsidP="0020445C">
      <w:pPr>
        <w:pStyle w:val="Arttitle"/>
        <w:spacing w:before="400"/>
      </w:pPr>
      <w:bookmarkStart w:id="437" w:name="_Toc280261858"/>
      <w:bookmarkStart w:id="438" w:name="_Toc280262356"/>
      <w:bookmarkStart w:id="439" w:name="_Toc280272750"/>
      <w:bookmarkStart w:id="440" w:name="_Toc280272929"/>
      <w:r w:rsidRPr="00F50942">
        <w:t>Article 36</w:t>
      </w:r>
      <w:r>
        <w:br/>
      </w:r>
      <w:r>
        <w:br/>
      </w:r>
      <w:bookmarkStart w:id="441" w:name="_Toc199215058"/>
      <w:r w:rsidRPr="00F50942">
        <w:t>Penalties</w:t>
      </w:r>
      <w:bookmarkEnd w:id="437"/>
      <w:bookmarkEnd w:id="438"/>
      <w:bookmarkEnd w:id="439"/>
      <w:bookmarkEnd w:id="440"/>
      <w:bookmarkEnd w:id="441"/>
    </w:p>
    <w:p w:rsidR="003A5252" w:rsidRPr="00F50942" w:rsidRDefault="003A5252" w:rsidP="0020445C">
      <w:pPr>
        <w:bidi w:val="0"/>
        <w:spacing w:line="240" w:lineRule="auto"/>
        <w:rPr>
          <w:szCs w:val="19"/>
        </w:rPr>
      </w:pPr>
      <w:r w:rsidRPr="00F50942">
        <w:rPr>
          <w:szCs w:val="19"/>
        </w:rPr>
        <w:t>The TRA has the power to impose penalties upon any instance of non-observation of the terms and conditions of this Policy and any other Regulatory Instrument issued by the TRA. The manner and circumstances upon which the penalty should be imposed and the amount of such penalty is specified in the articles of the Federal Law issued by the Decree 3 of 2003 as amended.</w:t>
      </w:r>
    </w:p>
    <w:p w:rsidR="003A5252" w:rsidRPr="00F50942" w:rsidRDefault="003A5252" w:rsidP="0020445C">
      <w:pPr>
        <w:pStyle w:val="Arttitle"/>
        <w:spacing w:before="400"/>
      </w:pPr>
      <w:bookmarkStart w:id="442" w:name="_Toc280261859"/>
      <w:bookmarkStart w:id="443" w:name="_Toc280262357"/>
      <w:bookmarkStart w:id="444" w:name="_Toc280272751"/>
      <w:bookmarkStart w:id="445" w:name="_Toc280272930"/>
      <w:r w:rsidRPr="00F50942">
        <w:t>Article 37</w:t>
      </w:r>
      <w:r>
        <w:br/>
      </w:r>
      <w:r>
        <w:br/>
      </w:r>
      <w:bookmarkStart w:id="446" w:name="_Toc199215060"/>
      <w:r w:rsidRPr="00F50942">
        <w:t>Implementation</w:t>
      </w:r>
      <w:bookmarkEnd w:id="442"/>
      <w:bookmarkEnd w:id="443"/>
      <w:bookmarkEnd w:id="444"/>
      <w:bookmarkEnd w:id="445"/>
      <w:bookmarkEnd w:id="446"/>
    </w:p>
    <w:p w:rsidR="003A5252" w:rsidRPr="00F50942" w:rsidRDefault="003A5252" w:rsidP="0020445C">
      <w:pPr>
        <w:bidi w:val="0"/>
        <w:spacing w:line="240" w:lineRule="auto"/>
        <w:rPr>
          <w:szCs w:val="19"/>
        </w:rPr>
      </w:pPr>
      <w:r w:rsidRPr="00F50942">
        <w:rPr>
          <w:szCs w:val="19"/>
        </w:rPr>
        <w:t>All invoices raised for the period starting from 1st January 2009 shall be in accordance with this Policy. The invoices raised for the period starting before 1st January 2009 shall be in accordance with the Spectrum Fees Policy Version 1.0</w:t>
      </w: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497388" w:rsidRDefault="00497388" w:rsidP="00497388">
      <w:pPr>
        <w:tabs>
          <w:tab w:val="clear" w:pos="794"/>
          <w:tab w:val="clear" w:pos="1191"/>
          <w:tab w:val="clear" w:pos="1588"/>
          <w:tab w:val="clear" w:pos="1985"/>
        </w:tabs>
        <w:overflowPunct/>
        <w:autoSpaceDE/>
        <w:autoSpaceDN/>
        <w:bidi w:val="0"/>
        <w:adjustRightInd/>
        <w:spacing w:before="0"/>
        <w:jc w:val="left"/>
        <w:textAlignment w:val="auto"/>
        <w:rPr>
          <w:b/>
        </w:rPr>
      </w:pPr>
    </w:p>
    <w:p w:rsidR="003A5252" w:rsidRDefault="003A5252" w:rsidP="00497388">
      <w:pPr>
        <w:tabs>
          <w:tab w:val="clear" w:pos="794"/>
          <w:tab w:val="clear" w:pos="1191"/>
          <w:tab w:val="clear" w:pos="1588"/>
          <w:tab w:val="clear" w:pos="1985"/>
        </w:tabs>
        <w:overflowPunct/>
        <w:autoSpaceDE/>
        <w:autoSpaceDN/>
        <w:bidi w:val="0"/>
        <w:adjustRightInd/>
        <w:spacing w:before="0"/>
        <w:jc w:val="left"/>
        <w:textAlignment w:val="auto"/>
        <w:rPr>
          <w:b/>
        </w:rPr>
      </w:pPr>
      <w:r>
        <w:rPr>
          <w:b/>
        </w:rPr>
        <w:br w:type="page"/>
      </w:r>
    </w:p>
    <w:p w:rsidR="003A5252" w:rsidRDefault="003A5252" w:rsidP="0049484E">
      <w:pPr>
        <w:pStyle w:val="AppendixNotitle"/>
        <w:rPr>
          <w:lang w:val="fr-FR"/>
        </w:rPr>
      </w:pPr>
      <w:bookmarkStart w:id="447" w:name="_Toc280260048"/>
      <w:bookmarkStart w:id="448" w:name="_Toc280260904"/>
      <w:bookmarkStart w:id="449" w:name="_Toc280272509"/>
      <w:bookmarkStart w:id="450" w:name="_Toc282768692"/>
      <w:r w:rsidRPr="006E1EDC">
        <w:lastRenderedPageBreak/>
        <w:t>Appendice 1.2 (Français)</w:t>
      </w:r>
      <w:r>
        <w:br/>
      </w:r>
      <w:r>
        <w:br/>
      </w:r>
      <w:r w:rsidRPr="00205BD7">
        <w:rPr>
          <w:lang w:val="fr-FR"/>
        </w:rPr>
        <w:t>Emirats arabes unis: Exemple de directive en matière</w:t>
      </w:r>
      <w:r>
        <w:rPr>
          <w:lang w:val="fr-FR"/>
        </w:rPr>
        <w:br/>
      </w:r>
      <w:r w:rsidRPr="00205BD7">
        <w:rPr>
          <w:lang w:val="fr-FR"/>
        </w:rPr>
        <w:t>de droits d'utilisation du spectre</w:t>
      </w:r>
      <w:bookmarkEnd w:id="447"/>
      <w:bookmarkEnd w:id="448"/>
      <w:bookmarkEnd w:id="449"/>
      <w:bookmarkEnd w:id="450"/>
    </w:p>
    <w:p w:rsidR="003A5252" w:rsidRPr="004A1D01" w:rsidRDefault="003A5252" w:rsidP="003A5252">
      <w:pPr>
        <w:pStyle w:val="Normalaftertitle0"/>
      </w:pPr>
    </w:p>
    <w:p w:rsidR="003A5252" w:rsidRPr="00D50570" w:rsidRDefault="003A5252" w:rsidP="003A5252">
      <w:pPr>
        <w:suppressAutoHyphens/>
        <w:jc w:val="center"/>
        <w:rPr>
          <w:b/>
        </w:rPr>
      </w:pPr>
      <w:r w:rsidRPr="00D50570">
        <w:rPr>
          <w:b/>
        </w:rPr>
        <w:t>TABLE DES MATIÈRES</w:t>
      </w:r>
    </w:p>
    <w:p w:rsidR="003A5252" w:rsidRDefault="003A5252" w:rsidP="003A5252">
      <w:pPr>
        <w:widowControl w:val="0"/>
        <w:snapToGrid w:val="0"/>
        <w:rPr>
          <w:lang w:val="fr-FR"/>
        </w:rPr>
      </w:pPr>
    </w:p>
    <w:p w:rsidR="003A5252" w:rsidRDefault="003A5252" w:rsidP="003A5252">
      <w:pPr>
        <w:pStyle w:val="Recdate"/>
        <w:keepLines w:val="0"/>
        <w:tabs>
          <w:tab w:val="right" w:pos="9639"/>
        </w:tabs>
        <w:jc w:val="left"/>
        <w:rPr>
          <w:b/>
          <w:iCs/>
        </w:rPr>
      </w:pPr>
      <w:r w:rsidRPr="0008342F">
        <w:rPr>
          <w:iCs/>
        </w:rPr>
        <w:tab/>
      </w:r>
      <w:r w:rsidRPr="00153922">
        <w:rPr>
          <w:b/>
          <w:iCs/>
        </w:rPr>
        <w:t>Page</w:t>
      </w:r>
    </w:p>
    <w:p w:rsidR="003A5252" w:rsidRDefault="003A5252" w:rsidP="002A74E2">
      <w:pPr>
        <w:pStyle w:val="TOC1"/>
        <w:rPr>
          <w:rFonts w:asciiTheme="minorHAnsi" w:eastAsia="SimSun" w:hAnsiTheme="minorHAnsi" w:cstheme="minorBidi"/>
          <w:szCs w:val="22"/>
          <w:lang w:eastAsia="zh-CN"/>
        </w:rPr>
      </w:pPr>
      <w:r w:rsidRPr="001305EE">
        <w:t>Article 1 – Objet</w:t>
      </w:r>
      <w:r>
        <w:rPr>
          <w:webHidden/>
        </w:rPr>
        <w:tab/>
      </w:r>
      <w:r>
        <w:rPr>
          <w:webHidden/>
        </w:rPr>
        <w:tab/>
      </w:r>
      <w:r w:rsidR="002A74E2">
        <w:rPr>
          <w:webHidden/>
        </w:rPr>
        <w:t>45</w:t>
      </w:r>
    </w:p>
    <w:p w:rsidR="003A5252" w:rsidRDefault="003A5252" w:rsidP="002A74E2">
      <w:pPr>
        <w:pStyle w:val="TOC1"/>
        <w:rPr>
          <w:rFonts w:asciiTheme="minorHAnsi" w:eastAsia="SimSun" w:hAnsiTheme="minorHAnsi" w:cstheme="minorBidi"/>
          <w:szCs w:val="22"/>
          <w:lang w:eastAsia="zh-CN"/>
        </w:rPr>
      </w:pPr>
      <w:r w:rsidRPr="001305EE">
        <w:t>Article 2 – Définitions</w:t>
      </w:r>
      <w:r>
        <w:rPr>
          <w:webHidden/>
        </w:rPr>
        <w:tab/>
      </w:r>
      <w:r>
        <w:rPr>
          <w:webHidden/>
        </w:rPr>
        <w:tab/>
      </w:r>
      <w:r w:rsidR="002A74E2">
        <w:rPr>
          <w:webHidden/>
        </w:rPr>
        <w:t>45</w:t>
      </w:r>
    </w:p>
    <w:p w:rsidR="003A5252" w:rsidRDefault="003A5252" w:rsidP="002A74E2">
      <w:pPr>
        <w:pStyle w:val="TOC1"/>
        <w:rPr>
          <w:rFonts w:asciiTheme="minorHAnsi" w:eastAsia="SimSun" w:hAnsiTheme="minorHAnsi" w:cstheme="minorBidi"/>
          <w:szCs w:val="22"/>
          <w:lang w:eastAsia="zh-CN"/>
        </w:rPr>
      </w:pPr>
      <w:r w:rsidRPr="001305EE">
        <w:t>Article 3 – Droits à acquitter pour le traitement des demandes</w:t>
      </w:r>
      <w:r>
        <w:rPr>
          <w:webHidden/>
        </w:rPr>
        <w:tab/>
      </w:r>
      <w:r>
        <w:rPr>
          <w:webHidden/>
        </w:rPr>
        <w:tab/>
      </w:r>
      <w:r w:rsidR="002A74E2">
        <w:rPr>
          <w:webHidden/>
        </w:rPr>
        <w:t>46</w:t>
      </w:r>
    </w:p>
    <w:p w:rsidR="003A5252" w:rsidRDefault="003A5252" w:rsidP="002A74E2">
      <w:pPr>
        <w:pStyle w:val="TOC1"/>
        <w:rPr>
          <w:rFonts w:asciiTheme="minorHAnsi" w:eastAsia="SimSun" w:hAnsiTheme="minorHAnsi" w:cstheme="minorBidi"/>
          <w:szCs w:val="22"/>
          <w:lang w:eastAsia="zh-CN"/>
        </w:rPr>
      </w:pPr>
      <w:r w:rsidRPr="001305EE">
        <w:t>Article 4 – Exemption des droits à acquitter pour le traitement des demandes</w:t>
      </w:r>
      <w:r>
        <w:rPr>
          <w:webHidden/>
        </w:rPr>
        <w:tab/>
      </w:r>
      <w:r>
        <w:rPr>
          <w:webHidden/>
        </w:rPr>
        <w:tab/>
      </w:r>
      <w:r w:rsidR="002A74E2">
        <w:rPr>
          <w:webHidden/>
        </w:rPr>
        <w:t>46</w:t>
      </w:r>
    </w:p>
    <w:p w:rsidR="003A5252" w:rsidRDefault="003A5252" w:rsidP="002A74E2">
      <w:pPr>
        <w:pStyle w:val="TOC1"/>
        <w:rPr>
          <w:rFonts w:asciiTheme="minorHAnsi" w:eastAsia="SimSun" w:hAnsiTheme="minorHAnsi" w:cstheme="minorBidi"/>
          <w:szCs w:val="22"/>
          <w:lang w:eastAsia="zh-CN"/>
        </w:rPr>
      </w:pPr>
      <w:r w:rsidRPr="001305EE">
        <w:t>Article 5 – Droits d'utilisation du spectre à acquitter en cas de nouvelle demande</w:t>
      </w:r>
      <w:r>
        <w:rPr>
          <w:webHidden/>
        </w:rPr>
        <w:tab/>
      </w:r>
      <w:r>
        <w:rPr>
          <w:webHidden/>
        </w:rPr>
        <w:tab/>
      </w:r>
      <w:r w:rsidR="002A74E2">
        <w:rPr>
          <w:webHidden/>
        </w:rPr>
        <w:t>47</w:t>
      </w:r>
    </w:p>
    <w:p w:rsidR="003A5252" w:rsidRDefault="003A5252" w:rsidP="002A74E2">
      <w:pPr>
        <w:pStyle w:val="TOC1"/>
        <w:rPr>
          <w:rFonts w:asciiTheme="minorHAnsi" w:eastAsia="SimSun" w:hAnsiTheme="minorHAnsi" w:cstheme="minorBidi"/>
          <w:szCs w:val="22"/>
          <w:lang w:eastAsia="zh-CN"/>
        </w:rPr>
      </w:pPr>
      <w:r w:rsidRPr="001305EE">
        <w:t>Article 6 – Montant des droits à acquitter pour le renouvellement d'une autorisation</w:t>
      </w:r>
      <w:r>
        <w:rPr>
          <w:webHidden/>
        </w:rPr>
        <w:tab/>
      </w:r>
      <w:r>
        <w:rPr>
          <w:webHidden/>
        </w:rPr>
        <w:tab/>
      </w:r>
      <w:r w:rsidR="002A74E2">
        <w:rPr>
          <w:webHidden/>
        </w:rPr>
        <w:t>47</w:t>
      </w:r>
    </w:p>
    <w:p w:rsidR="003A5252" w:rsidRDefault="003A5252" w:rsidP="002A74E2">
      <w:pPr>
        <w:pStyle w:val="TOC1"/>
        <w:rPr>
          <w:rFonts w:asciiTheme="minorHAnsi" w:eastAsia="SimSun" w:hAnsiTheme="minorHAnsi" w:cstheme="minorBidi"/>
          <w:szCs w:val="22"/>
          <w:lang w:eastAsia="zh-CN"/>
        </w:rPr>
      </w:pPr>
      <w:r w:rsidRPr="001305EE">
        <w:t>Article 7 – Droits supplémentaires à acquitter en cas de retard  du renouvellement de l'autorisation</w:t>
      </w:r>
      <w:r>
        <w:rPr>
          <w:webHidden/>
        </w:rPr>
        <w:tab/>
      </w:r>
      <w:r>
        <w:rPr>
          <w:webHidden/>
        </w:rPr>
        <w:tab/>
      </w:r>
      <w:r w:rsidR="002A74E2">
        <w:rPr>
          <w:webHidden/>
        </w:rPr>
        <w:t>47</w:t>
      </w:r>
    </w:p>
    <w:p w:rsidR="003A5252" w:rsidRDefault="003A5252" w:rsidP="002A74E2">
      <w:pPr>
        <w:pStyle w:val="TOC1"/>
        <w:rPr>
          <w:rFonts w:asciiTheme="minorHAnsi" w:eastAsia="SimSun" w:hAnsiTheme="minorHAnsi" w:cstheme="minorBidi"/>
          <w:szCs w:val="22"/>
          <w:lang w:eastAsia="zh-CN"/>
        </w:rPr>
      </w:pPr>
      <w:r w:rsidRPr="001305EE">
        <w:t>Article 8 – Droits à acquitter pour obtenir une copie d'une autorisation</w:t>
      </w:r>
      <w:r>
        <w:rPr>
          <w:webHidden/>
        </w:rPr>
        <w:tab/>
      </w:r>
      <w:r>
        <w:rPr>
          <w:webHidden/>
        </w:rPr>
        <w:tab/>
      </w:r>
      <w:r w:rsidR="002A74E2">
        <w:rPr>
          <w:webHidden/>
        </w:rPr>
        <w:t>47</w:t>
      </w:r>
    </w:p>
    <w:p w:rsidR="003A5252" w:rsidRDefault="003A5252" w:rsidP="002A74E2">
      <w:pPr>
        <w:pStyle w:val="TOC1"/>
        <w:rPr>
          <w:rFonts w:asciiTheme="minorHAnsi" w:eastAsia="SimSun" w:hAnsiTheme="minorHAnsi" w:cstheme="minorBidi"/>
          <w:szCs w:val="22"/>
          <w:lang w:eastAsia="zh-CN"/>
        </w:rPr>
      </w:pPr>
      <w:r w:rsidRPr="001305EE">
        <w:t>Article 9 – Droits à acquitter pour modifier l'autorisation</w:t>
      </w:r>
      <w:r>
        <w:rPr>
          <w:webHidden/>
        </w:rPr>
        <w:tab/>
      </w:r>
      <w:r>
        <w:rPr>
          <w:webHidden/>
        </w:rPr>
        <w:tab/>
      </w:r>
      <w:r w:rsidR="002A74E2">
        <w:rPr>
          <w:webHidden/>
        </w:rPr>
        <w:t>48</w:t>
      </w:r>
    </w:p>
    <w:p w:rsidR="003A5252" w:rsidRDefault="003A5252" w:rsidP="002A74E2">
      <w:pPr>
        <w:pStyle w:val="TOC1"/>
        <w:rPr>
          <w:rFonts w:asciiTheme="minorHAnsi" w:eastAsia="SimSun" w:hAnsiTheme="minorHAnsi" w:cstheme="minorBidi"/>
          <w:szCs w:val="22"/>
          <w:lang w:eastAsia="zh-CN"/>
        </w:rPr>
      </w:pPr>
      <w:r w:rsidRPr="001305EE">
        <w:t>Article 10 – Droits à acquitter pour l'annulation d'une autorisation</w:t>
      </w:r>
      <w:r>
        <w:rPr>
          <w:webHidden/>
        </w:rPr>
        <w:tab/>
      </w:r>
      <w:r>
        <w:rPr>
          <w:webHidden/>
        </w:rPr>
        <w:tab/>
      </w:r>
      <w:r w:rsidR="002A74E2">
        <w:rPr>
          <w:webHidden/>
        </w:rPr>
        <w:t>48</w:t>
      </w:r>
    </w:p>
    <w:p w:rsidR="003A5252" w:rsidRDefault="003A5252" w:rsidP="002A74E2">
      <w:pPr>
        <w:pStyle w:val="TOC1"/>
        <w:rPr>
          <w:rFonts w:asciiTheme="minorHAnsi" w:eastAsia="SimSun" w:hAnsiTheme="minorHAnsi" w:cstheme="minorBidi"/>
          <w:szCs w:val="22"/>
          <w:lang w:eastAsia="zh-CN"/>
        </w:rPr>
      </w:pPr>
      <w:r w:rsidRPr="001305EE">
        <w:t>Article 11 – Droits à acquitter pour l'utilisation du spectre pour le service mobile terrestre public (cellulaire)</w:t>
      </w:r>
      <w:r>
        <w:rPr>
          <w:webHidden/>
        </w:rPr>
        <w:tab/>
      </w:r>
      <w:r>
        <w:rPr>
          <w:webHidden/>
        </w:rPr>
        <w:tab/>
      </w:r>
      <w:r w:rsidR="002A74E2">
        <w:rPr>
          <w:webHidden/>
        </w:rPr>
        <w:t>48</w:t>
      </w:r>
    </w:p>
    <w:p w:rsidR="003A5252" w:rsidRDefault="003A5252" w:rsidP="002A74E2">
      <w:pPr>
        <w:pStyle w:val="TOC1"/>
        <w:rPr>
          <w:rFonts w:asciiTheme="minorHAnsi" w:eastAsia="SimSun" w:hAnsiTheme="minorHAnsi" w:cstheme="minorBidi"/>
          <w:szCs w:val="22"/>
          <w:lang w:eastAsia="zh-CN"/>
        </w:rPr>
      </w:pPr>
      <w:r w:rsidRPr="001305EE">
        <w:t>Article 12 – Droits à acquitter pour les radiocommunications mobiles privées,  la radiomessagerie et les systèmes à ressources partagées</w:t>
      </w:r>
      <w:r>
        <w:rPr>
          <w:webHidden/>
        </w:rPr>
        <w:tab/>
      </w:r>
      <w:r>
        <w:rPr>
          <w:webHidden/>
        </w:rPr>
        <w:tab/>
      </w:r>
      <w:r w:rsidR="002A74E2">
        <w:rPr>
          <w:webHidden/>
        </w:rPr>
        <w:t>49</w:t>
      </w:r>
    </w:p>
    <w:p w:rsidR="003A5252" w:rsidRDefault="003A5252" w:rsidP="002A74E2">
      <w:pPr>
        <w:pStyle w:val="TOC1"/>
        <w:rPr>
          <w:rFonts w:asciiTheme="minorHAnsi" w:eastAsia="SimSun" w:hAnsiTheme="minorHAnsi" w:cstheme="minorBidi"/>
          <w:szCs w:val="22"/>
          <w:lang w:eastAsia="zh-CN"/>
        </w:rPr>
      </w:pPr>
      <w:r w:rsidRPr="001305EE">
        <w:t>Article 13 – Droits à acquitter pour l'utilisation du spectre pour des liaisons fixes (point à point)</w:t>
      </w:r>
      <w:r>
        <w:rPr>
          <w:webHidden/>
        </w:rPr>
        <w:tab/>
      </w:r>
      <w:r>
        <w:rPr>
          <w:webHidden/>
        </w:rPr>
        <w:tab/>
      </w:r>
      <w:r w:rsidR="002A74E2">
        <w:rPr>
          <w:webHidden/>
        </w:rPr>
        <w:t>51</w:t>
      </w:r>
    </w:p>
    <w:p w:rsidR="003A5252" w:rsidRDefault="003A5252" w:rsidP="002A74E2">
      <w:pPr>
        <w:pStyle w:val="TOC1"/>
        <w:rPr>
          <w:rFonts w:asciiTheme="minorHAnsi" w:eastAsia="SimSun" w:hAnsiTheme="minorHAnsi" w:cstheme="minorBidi"/>
          <w:szCs w:val="22"/>
          <w:lang w:eastAsia="zh-CN"/>
        </w:rPr>
      </w:pPr>
      <w:r w:rsidRPr="001305EE">
        <w:t>Article 14 – Droits d'utilisation du spectre à acquitter pour l'accès hertzien fixe,  les systèmes de surveillance et d'acquisition de données (SCADA), la télémesure et les réseaux maillés</w:t>
      </w:r>
      <w:r>
        <w:rPr>
          <w:webHidden/>
        </w:rPr>
        <w:tab/>
      </w:r>
      <w:r>
        <w:rPr>
          <w:webHidden/>
        </w:rPr>
        <w:tab/>
      </w:r>
      <w:r w:rsidR="002A74E2">
        <w:rPr>
          <w:webHidden/>
        </w:rPr>
        <w:t>52</w:t>
      </w:r>
    </w:p>
    <w:p w:rsidR="003A5252" w:rsidRDefault="003A5252" w:rsidP="002A74E2">
      <w:pPr>
        <w:pStyle w:val="TOC1"/>
        <w:rPr>
          <w:rFonts w:asciiTheme="minorHAnsi" w:eastAsia="SimSun" w:hAnsiTheme="minorHAnsi" w:cstheme="minorBidi"/>
          <w:szCs w:val="22"/>
          <w:lang w:eastAsia="zh-CN"/>
        </w:rPr>
      </w:pPr>
      <w:r w:rsidRPr="001305EE">
        <w:t>Article 15 – Droits d'utilisation du spectre à acquitter pour l'accès hertzien large bande mobile</w:t>
      </w:r>
      <w:r>
        <w:rPr>
          <w:webHidden/>
        </w:rPr>
        <w:tab/>
      </w:r>
      <w:r>
        <w:rPr>
          <w:webHidden/>
        </w:rPr>
        <w:tab/>
      </w:r>
      <w:r w:rsidR="002A74E2">
        <w:rPr>
          <w:webHidden/>
        </w:rPr>
        <w:t>52</w:t>
      </w:r>
    </w:p>
    <w:p w:rsidR="003A5252" w:rsidRDefault="003A5252" w:rsidP="002A74E2">
      <w:pPr>
        <w:pStyle w:val="TOC1"/>
        <w:rPr>
          <w:rFonts w:asciiTheme="minorHAnsi" w:eastAsia="SimSun" w:hAnsiTheme="minorHAnsi" w:cstheme="minorBidi"/>
          <w:szCs w:val="22"/>
          <w:lang w:eastAsia="zh-CN"/>
        </w:rPr>
      </w:pPr>
      <w:r w:rsidRPr="001305EE">
        <w:t>Article 16 – Droits d'utilisation du spectre pour les liaisons à fibre optique et les liaisons laser</w:t>
      </w:r>
      <w:r>
        <w:rPr>
          <w:webHidden/>
        </w:rPr>
        <w:tab/>
      </w:r>
      <w:r>
        <w:rPr>
          <w:webHidden/>
        </w:rPr>
        <w:tab/>
      </w:r>
      <w:r w:rsidR="002A74E2">
        <w:rPr>
          <w:webHidden/>
        </w:rPr>
        <w:t>53</w:t>
      </w:r>
    </w:p>
    <w:p w:rsidR="003A5252" w:rsidRDefault="003A5252" w:rsidP="002A74E2">
      <w:pPr>
        <w:pStyle w:val="TOC1"/>
        <w:rPr>
          <w:rFonts w:asciiTheme="minorHAnsi" w:eastAsia="SimSun" w:hAnsiTheme="minorHAnsi" w:cstheme="minorBidi"/>
          <w:szCs w:val="22"/>
          <w:lang w:eastAsia="zh-CN"/>
        </w:rPr>
      </w:pPr>
      <w:r w:rsidRPr="001305EE">
        <w:t>Article 17 – Droits d'utilisation du spectre pour les réseaux WLAN et la téléphonie sans fil</w:t>
      </w:r>
      <w:r>
        <w:rPr>
          <w:webHidden/>
        </w:rPr>
        <w:tab/>
      </w:r>
      <w:r>
        <w:rPr>
          <w:webHidden/>
        </w:rPr>
        <w:tab/>
      </w:r>
      <w:r w:rsidR="002A74E2">
        <w:rPr>
          <w:webHidden/>
        </w:rPr>
        <w:t>53</w:t>
      </w:r>
    </w:p>
    <w:p w:rsidR="003A5252" w:rsidRDefault="003A5252" w:rsidP="002A74E2">
      <w:pPr>
        <w:pStyle w:val="TOC1"/>
        <w:rPr>
          <w:rFonts w:asciiTheme="minorHAnsi" w:eastAsia="SimSun" w:hAnsiTheme="minorHAnsi" w:cstheme="minorBidi"/>
          <w:szCs w:val="22"/>
          <w:lang w:eastAsia="zh-CN"/>
        </w:rPr>
      </w:pPr>
      <w:r w:rsidRPr="001305EE">
        <w:t>Article 18 – Droits d'utilisation du spectre pour les systèmes GMPCS</w:t>
      </w:r>
      <w:r>
        <w:rPr>
          <w:webHidden/>
        </w:rPr>
        <w:tab/>
      </w:r>
      <w:r>
        <w:rPr>
          <w:webHidden/>
        </w:rPr>
        <w:tab/>
      </w:r>
      <w:r w:rsidR="002A74E2">
        <w:rPr>
          <w:webHidden/>
        </w:rPr>
        <w:t>53</w:t>
      </w:r>
    </w:p>
    <w:p w:rsidR="003A5252" w:rsidRDefault="003A5252" w:rsidP="002A74E2">
      <w:pPr>
        <w:pStyle w:val="TOC1"/>
        <w:rPr>
          <w:rFonts w:asciiTheme="minorHAnsi" w:eastAsia="SimSun" w:hAnsiTheme="minorHAnsi" w:cstheme="minorBidi"/>
          <w:szCs w:val="22"/>
          <w:lang w:eastAsia="zh-CN"/>
        </w:rPr>
      </w:pPr>
      <w:r w:rsidRPr="001305EE">
        <w:t>Article 19 – Droits d'utilisation du spectre pour le Service d'amateur</w:t>
      </w:r>
      <w:r>
        <w:rPr>
          <w:webHidden/>
        </w:rPr>
        <w:tab/>
      </w:r>
      <w:r>
        <w:rPr>
          <w:webHidden/>
        </w:rPr>
        <w:tab/>
      </w:r>
      <w:r w:rsidR="002A74E2">
        <w:rPr>
          <w:webHidden/>
        </w:rPr>
        <w:t>54</w:t>
      </w:r>
    </w:p>
    <w:p w:rsidR="003A5252" w:rsidRDefault="003A5252" w:rsidP="002A74E2">
      <w:pPr>
        <w:pStyle w:val="TOC1"/>
        <w:rPr>
          <w:rFonts w:asciiTheme="minorHAnsi" w:eastAsia="SimSun" w:hAnsiTheme="minorHAnsi" w:cstheme="minorBidi"/>
          <w:szCs w:val="22"/>
          <w:lang w:eastAsia="zh-CN"/>
        </w:rPr>
      </w:pPr>
      <w:r w:rsidRPr="001305EE">
        <w:t>Article 20 – Droits d'utilisation du spectre à acquitter pour les stations  de radiocommunication aéronautiques</w:t>
      </w:r>
      <w:r>
        <w:rPr>
          <w:webHidden/>
        </w:rPr>
        <w:tab/>
      </w:r>
      <w:r>
        <w:rPr>
          <w:webHidden/>
        </w:rPr>
        <w:tab/>
      </w:r>
      <w:r w:rsidR="002A74E2">
        <w:rPr>
          <w:webHidden/>
        </w:rPr>
        <w:t>54</w:t>
      </w:r>
    </w:p>
    <w:p w:rsidR="00497388" w:rsidRDefault="00497388" w:rsidP="00497388">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i/>
          <w:iCs/>
          <w:noProof/>
          <w:sz w:val="18"/>
          <w:szCs w:val="20"/>
        </w:rPr>
      </w:pPr>
      <w:r>
        <w:rPr>
          <w:iCs/>
          <w:noProof/>
        </w:rPr>
        <w:br w:type="page"/>
      </w:r>
    </w:p>
    <w:p w:rsidR="003A5252" w:rsidRDefault="003A5252" w:rsidP="00497388">
      <w:pPr>
        <w:pStyle w:val="Recdate"/>
        <w:keepLines w:val="0"/>
        <w:tabs>
          <w:tab w:val="right" w:pos="9639"/>
        </w:tabs>
        <w:jc w:val="left"/>
        <w:rPr>
          <w:b/>
          <w:iCs/>
          <w:noProof/>
        </w:rPr>
      </w:pPr>
      <w:r w:rsidRPr="0008342F">
        <w:rPr>
          <w:iCs/>
          <w:noProof/>
        </w:rPr>
        <w:lastRenderedPageBreak/>
        <w:tab/>
      </w:r>
      <w:r w:rsidRPr="00153922">
        <w:rPr>
          <w:b/>
          <w:iCs/>
          <w:noProof/>
        </w:rPr>
        <w:t>Page</w:t>
      </w:r>
    </w:p>
    <w:p w:rsidR="003A5252" w:rsidRDefault="003A5252" w:rsidP="002A74E2">
      <w:pPr>
        <w:pStyle w:val="TOC1"/>
        <w:rPr>
          <w:rFonts w:asciiTheme="minorHAnsi" w:eastAsia="SimSun" w:hAnsiTheme="minorHAnsi" w:cstheme="minorBidi"/>
          <w:szCs w:val="22"/>
          <w:lang w:eastAsia="zh-CN"/>
        </w:rPr>
      </w:pPr>
      <w:r w:rsidRPr="001305EE">
        <w:t>Article 21 – Droits d'utilisation du spectre pour les services de radiocommunication maritimes</w:t>
      </w:r>
      <w:r>
        <w:rPr>
          <w:webHidden/>
        </w:rPr>
        <w:tab/>
      </w:r>
      <w:r>
        <w:rPr>
          <w:webHidden/>
        </w:rPr>
        <w:tab/>
      </w:r>
      <w:r w:rsidR="002A74E2">
        <w:rPr>
          <w:webHidden/>
        </w:rPr>
        <w:t>54</w:t>
      </w:r>
    </w:p>
    <w:p w:rsidR="003A5252" w:rsidRDefault="003A5252" w:rsidP="002A74E2">
      <w:pPr>
        <w:pStyle w:val="TOC1"/>
        <w:rPr>
          <w:rFonts w:asciiTheme="minorHAnsi" w:eastAsia="SimSun" w:hAnsiTheme="minorHAnsi" w:cstheme="minorBidi"/>
          <w:szCs w:val="22"/>
          <w:lang w:eastAsia="zh-CN"/>
        </w:rPr>
      </w:pPr>
      <w:r w:rsidRPr="001305EE">
        <w:t>Article 22 – Droits d'utilisation du spectre à acquitter pour les services spatiaux  et les services auxiliaires</w:t>
      </w:r>
      <w:r>
        <w:rPr>
          <w:webHidden/>
        </w:rPr>
        <w:tab/>
      </w:r>
      <w:r>
        <w:rPr>
          <w:webHidden/>
        </w:rPr>
        <w:tab/>
      </w:r>
      <w:r w:rsidR="002A74E2">
        <w:rPr>
          <w:webHidden/>
        </w:rPr>
        <w:t>54</w:t>
      </w:r>
    </w:p>
    <w:p w:rsidR="003A5252" w:rsidRDefault="003A5252" w:rsidP="002A74E2">
      <w:pPr>
        <w:pStyle w:val="TOC1"/>
        <w:rPr>
          <w:rFonts w:asciiTheme="minorHAnsi" w:eastAsia="SimSun" w:hAnsiTheme="minorHAnsi" w:cstheme="minorBidi"/>
          <w:szCs w:val="22"/>
          <w:lang w:eastAsia="zh-CN"/>
        </w:rPr>
      </w:pPr>
      <w:r w:rsidRPr="001305EE">
        <w:t>Article 23 – Droits à acquitter pour les stations de radionavigation</w:t>
      </w:r>
      <w:r>
        <w:rPr>
          <w:webHidden/>
        </w:rPr>
        <w:tab/>
      </w:r>
      <w:r>
        <w:rPr>
          <w:webHidden/>
        </w:rPr>
        <w:tab/>
      </w:r>
      <w:r w:rsidR="002A74E2">
        <w:rPr>
          <w:webHidden/>
        </w:rPr>
        <w:t>55</w:t>
      </w:r>
    </w:p>
    <w:p w:rsidR="003A5252" w:rsidRDefault="003A5252" w:rsidP="002A74E2">
      <w:pPr>
        <w:pStyle w:val="TOC1"/>
        <w:rPr>
          <w:rFonts w:asciiTheme="minorHAnsi" w:eastAsia="SimSun" w:hAnsiTheme="minorHAnsi" w:cstheme="minorBidi"/>
          <w:szCs w:val="22"/>
          <w:lang w:eastAsia="zh-CN"/>
        </w:rPr>
      </w:pPr>
      <w:r w:rsidRPr="001305EE">
        <w:t>Article 24 – Droits à acquitter pour les stations de radioastronomie</w:t>
      </w:r>
      <w:r>
        <w:rPr>
          <w:webHidden/>
        </w:rPr>
        <w:tab/>
      </w:r>
      <w:r>
        <w:rPr>
          <w:webHidden/>
        </w:rPr>
        <w:tab/>
      </w:r>
      <w:r w:rsidR="002A74E2">
        <w:rPr>
          <w:webHidden/>
        </w:rPr>
        <w:t>55</w:t>
      </w:r>
    </w:p>
    <w:p w:rsidR="003A5252" w:rsidRDefault="003A5252" w:rsidP="002A74E2">
      <w:pPr>
        <w:pStyle w:val="TOC1"/>
        <w:rPr>
          <w:rFonts w:asciiTheme="minorHAnsi" w:eastAsia="SimSun" w:hAnsiTheme="minorHAnsi" w:cstheme="minorBidi"/>
          <w:szCs w:val="22"/>
          <w:lang w:eastAsia="zh-CN"/>
        </w:rPr>
      </w:pPr>
      <w:r w:rsidRPr="001305EE">
        <w:t>Article 25 – Droits à acquitter pour les stations de radiolocalisation</w:t>
      </w:r>
      <w:r>
        <w:rPr>
          <w:webHidden/>
        </w:rPr>
        <w:tab/>
      </w:r>
      <w:r>
        <w:rPr>
          <w:webHidden/>
        </w:rPr>
        <w:tab/>
      </w:r>
      <w:r w:rsidR="002A74E2">
        <w:rPr>
          <w:webHidden/>
        </w:rPr>
        <w:t>55</w:t>
      </w:r>
    </w:p>
    <w:p w:rsidR="003A5252" w:rsidRDefault="003A5252" w:rsidP="002A74E2">
      <w:pPr>
        <w:pStyle w:val="TOC1"/>
        <w:rPr>
          <w:rFonts w:asciiTheme="minorHAnsi" w:eastAsia="SimSun" w:hAnsiTheme="minorHAnsi" w:cstheme="minorBidi"/>
          <w:szCs w:val="22"/>
          <w:lang w:eastAsia="zh-CN"/>
        </w:rPr>
      </w:pPr>
      <w:r w:rsidRPr="001305EE">
        <w:t>Article 26 – Droits à acquitter pour le service de radiodiffusion</w:t>
      </w:r>
      <w:r>
        <w:rPr>
          <w:webHidden/>
        </w:rPr>
        <w:tab/>
      </w:r>
      <w:r>
        <w:rPr>
          <w:webHidden/>
        </w:rPr>
        <w:tab/>
      </w:r>
      <w:r w:rsidR="002A74E2">
        <w:rPr>
          <w:webHidden/>
        </w:rPr>
        <w:t>55</w:t>
      </w:r>
    </w:p>
    <w:p w:rsidR="003A5252" w:rsidRDefault="003A5252" w:rsidP="002A74E2">
      <w:pPr>
        <w:pStyle w:val="TOC1"/>
        <w:rPr>
          <w:rFonts w:asciiTheme="minorHAnsi" w:eastAsia="SimSun" w:hAnsiTheme="minorHAnsi" w:cstheme="minorBidi"/>
          <w:szCs w:val="22"/>
          <w:lang w:eastAsia="zh-CN"/>
        </w:rPr>
      </w:pPr>
      <w:r w:rsidRPr="001305EE">
        <w:t>Article 27 – Systèmes à courte portée</w:t>
      </w:r>
      <w:r>
        <w:rPr>
          <w:webHidden/>
        </w:rPr>
        <w:tab/>
      </w:r>
      <w:r>
        <w:rPr>
          <w:webHidden/>
        </w:rPr>
        <w:tab/>
      </w:r>
      <w:r w:rsidR="002A74E2">
        <w:rPr>
          <w:webHidden/>
        </w:rPr>
        <w:t>59</w:t>
      </w:r>
    </w:p>
    <w:p w:rsidR="003A5252" w:rsidRDefault="003A5252" w:rsidP="002A74E2">
      <w:pPr>
        <w:pStyle w:val="TOC1"/>
        <w:rPr>
          <w:rFonts w:asciiTheme="minorHAnsi" w:eastAsia="SimSun" w:hAnsiTheme="minorHAnsi" w:cstheme="minorBidi"/>
          <w:szCs w:val="22"/>
          <w:lang w:eastAsia="zh-CN"/>
        </w:rPr>
      </w:pPr>
      <w:r w:rsidRPr="001305EE">
        <w:t>Article 28 – Fréquences à utiliser en cas d'urgence et de catastrophe</w:t>
      </w:r>
      <w:r>
        <w:rPr>
          <w:webHidden/>
        </w:rPr>
        <w:tab/>
      </w:r>
      <w:r>
        <w:rPr>
          <w:webHidden/>
        </w:rPr>
        <w:tab/>
      </w:r>
      <w:r w:rsidR="002A74E2">
        <w:rPr>
          <w:webHidden/>
        </w:rPr>
        <w:t>59</w:t>
      </w:r>
    </w:p>
    <w:p w:rsidR="003A5252" w:rsidRDefault="003A5252" w:rsidP="002A74E2">
      <w:pPr>
        <w:pStyle w:val="TOC1"/>
        <w:rPr>
          <w:rFonts w:asciiTheme="minorHAnsi" w:eastAsia="SimSun" w:hAnsiTheme="minorHAnsi" w:cstheme="minorBidi"/>
          <w:szCs w:val="22"/>
          <w:lang w:eastAsia="zh-CN"/>
        </w:rPr>
      </w:pPr>
      <w:r w:rsidRPr="001305EE">
        <w:t>Article 29 – Autorisation temporaire</w:t>
      </w:r>
      <w:r>
        <w:rPr>
          <w:webHidden/>
        </w:rPr>
        <w:tab/>
      </w:r>
      <w:r>
        <w:rPr>
          <w:webHidden/>
        </w:rPr>
        <w:tab/>
      </w:r>
      <w:r w:rsidR="002A74E2">
        <w:rPr>
          <w:webHidden/>
        </w:rPr>
        <w:t>60</w:t>
      </w:r>
    </w:p>
    <w:p w:rsidR="003A5252" w:rsidRDefault="003A5252" w:rsidP="002A74E2">
      <w:pPr>
        <w:pStyle w:val="TOC1"/>
        <w:rPr>
          <w:rFonts w:asciiTheme="minorHAnsi" w:eastAsia="SimSun" w:hAnsiTheme="minorHAnsi" w:cstheme="minorBidi"/>
          <w:szCs w:val="22"/>
          <w:lang w:eastAsia="zh-CN"/>
        </w:rPr>
      </w:pPr>
      <w:r w:rsidRPr="001305EE">
        <w:t>Article 30 – Autres services de radiocommunication</w:t>
      </w:r>
      <w:r>
        <w:rPr>
          <w:webHidden/>
        </w:rPr>
        <w:tab/>
      </w:r>
      <w:r>
        <w:rPr>
          <w:webHidden/>
        </w:rPr>
        <w:tab/>
      </w:r>
      <w:r w:rsidR="002A74E2">
        <w:rPr>
          <w:webHidden/>
        </w:rPr>
        <w:t>60</w:t>
      </w:r>
    </w:p>
    <w:p w:rsidR="003A5252" w:rsidRDefault="003A5252" w:rsidP="002A74E2">
      <w:pPr>
        <w:pStyle w:val="TOC1"/>
        <w:rPr>
          <w:rFonts w:asciiTheme="minorHAnsi" w:eastAsia="SimSun" w:hAnsiTheme="minorHAnsi" w:cstheme="minorBidi"/>
          <w:szCs w:val="22"/>
          <w:lang w:eastAsia="zh-CN"/>
        </w:rPr>
      </w:pPr>
      <w:r w:rsidRPr="001305EE">
        <w:t>Article 31 – Traitement des plaintes pour brouillages et droits applicables</w:t>
      </w:r>
      <w:r>
        <w:rPr>
          <w:webHidden/>
        </w:rPr>
        <w:tab/>
      </w:r>
      <w:r>
        <w:rPr>
          <w:webHidden/>
        </w:rPr>
        <w:tab/>
      </w:r>
      <w:r w:rsidR="002A74E2">
        <w:rPr>
          <w:webHidden/>
        </w:rPr>
        <w:t>60</w:t>
      </w:r>
    </w:p>
    <w:p w:rsidR="003A5252" w:rsidRDefault="003A5252" w:rsidP="002A74E2">
      <w:pPr>
        <w:pStyle w:val="TOC1"/>
        <w:rPr>
          <w:rFonts w:asciiTheme="minorHAnsi" w:eastAsia="SimSun" w:hAnsiTheme="minorHAnsi" w:cstheme="minorBidi"/>
          <w:szCs w:val="22"/>
          <w:lang w:eastAsia="zh-CN"/>
        </w:rPr>
      </w:pPr>
      <w:r w:rsidRPr="001305EE">
        <w:t>Article 32 – Droits à acquitter par les ambassades et consulats de pays étrangers  et par les missions diplomatiques</w:t>
      </w:r>
      <w:r>
        <w:rPr>
          <w:webHidden/>
        </w:rPr>
        <w:tab/>
      </w:r>
      <w:r>
        <w:rPr>
          <w:webHidden/>
        </w:rPr>
        <w:tab/>
      </w:r>
      <w:r w:rsidR="002A74E2">
        <w:rPr>
          <w:webHidden/>
        </w:rPr>
        <w:t>60</w:t>
      </w:r>
    </w:p>
    <w:p w:rsidR="003A5252" w:rsidRDefault="003A5252" w:rsidP="002A74E2">
      <w:pPr>
        <w:pStyle w:val="TOC1"/>
        <w:rPr>
          <w:rFonts w:asciiTheme="minorHAnsi" w:eastAsia="SimSun" w:hAnsiTheme="minorHAnsi" w:cstheme="minorBidi"/>
          <w:szCs w:val="22"/>
          <w:lang w:eastAsia="zh-CN"/>
        </w:rPr>
      </w:pPr>
      <w:r w:rsidRPr="001305EE">
        <w:t>Article 33 – Droits à acquitter pour la visite des emplacements</w:t>
      </w:r>
      <w:r>
        <w:rPr>
          <w:webHidden/>
        </w:rPr>
        <w:tab/>
      </w:r>
      <w:r>
        <w:rPr>
          <w:webHidden/>
        </w:rPr>
        <w:tab/>
      </w:r>
      <w:r w:rsidR="002A74E2">
        <w:rPr>
          <w:webHidden/>
        </w:rPr>
        <w:t>60</w:t>
      </w:r>
    </w:p>
    <w:p w:rsidR="003A5252" w:rsidRDefault="003A5252" w:rsidP="002A74E2">
      <w:pPr>
        <w:pStyle w:val="TOC1"/>
        <w:rPr>
          <w:rFonts w:asciiTheme="minorHAnsi" w:eastAsia="SimSun" w:hAnsiTheme="minorHAnsi" w:cstheme="minorBidi"/>
          <w:szCs w:val="22"/>
          <w:lang w:eastAsia="zh-CN"/>
        </w:rPr>
      </w:pPr>
      <w:r w:rsidRPr="001305EE">
        <w:t>Article 34 – Obligation de paiement</w:t>
      </w:r>
      <w:r>
        <w:rPr>
          <w:webHidden/>
        </w:rPr>
        <w:tab/>
      </w:r>
      <w:r>
        <w:rPr>
          <w:webHidden/>
        </w:rPr>
        <w:tab/>
      </w:r>
      <w:r w:rsidR="002A74E2">
        <w:rPr>
          <w:webHidden/>
        </w:rPr>
        <w:t>61</w:t>
      </w:r>
    </w:p>
    <w:p w:rsidR="003A5252" w:rsidRDefault="003A5252" w:rsidP="002A74E2">
      <w:pPr>
        <w:pStyle w:val="TOC1"/>
        <w:rPr>
          <w:rFonts w:asciiTheme="minorHAnsi" w:eastAsia="SimSun" w:hAnsiTheme="minorHAnsi" w:cstheme="minorBidi"/>
          <w:szCs w:val="22"/>
          <w:lang w:eastAsia="zh-CN"/>
        </w:rPr>
      </w:pPr>
      <w:r w:rsidRPr="001305EE">
        <w:t>Article 35 – Méthodes de paiement</w:t>
      </w:r>
      <w:r>
        <w:rPr>
          <w:webHidden/>
        </w:rPr>
        <w:tab/>
      </w:r>
      <w:r>
        <w:rPr>
          <w:webHidden/>
        </w:rPr>
        <w:tab/>
      </w:r>
      <w:r w:rsidR="002A74E2">
        <w:rPr>
          <w:webHidden/>
        </w:rPr>
        <w:t>61</w:t>
      </w:r>
    </w:p>
    <w:p w:rsidR="003A5252" w:rsidRDefault="003A5252" w:rsidP="002A74E2">
      <w:pPr>
        <w:pStyle w:val="TOC1"/>
        <w:rPr>
          <w:rFonts w:asciiTheme="minorHAnsi" w:eastAsia="SimSun" w:hAnsiTheme="minorHAnsi" w:cstheme="minorBidi"/>
          <w:szCs w:val="22"/>
          <w:lang w:eastAsia="zh-CN"/>
        </w:rPr>
      </w:pPr>
      <w:r w:rsidRPr="001305EE">
        <w:t>Article 36 – Sanctions</w:t>
      </w:r>
      <w:r>
        <w:rPr>
          <w:webHidden/>
        </w:rPr>
        <w:tab/>
      </w:r>
      <w:r>
        <w:rPr>
          <w:webHidden/>
        </w:rPr>
        <w:tab/>
      </w:r>
      <w:r w:rsidR="002A74E2">
        <w:rPr>
          <w:webHidden/>
        </w:rPr>
        <w:t>61</w:t>
      </w:r>
    </w:p>
    <w:p w:rsidR="003A5252" w:rsidRDefault="003A5252" w:rsidP="002A74E2">
      <w:pPr>
        <w:pStyle w:val="TOC1"/>
        <w:rPr>
          <w:rFonts w:asciiTheme="minorHAnsi" w:eastAsia="SimSun" w:hAnsiTheme="minorHAnsi" w:cstheme="minorBidi"/>
          <w:szCs w:val="22"/>
          <w:lang w:eastAsia="zh-CN"/>
        </w:rPr>
      </w:pPr>
      <w:r w:rsidRPr="001305EE">
        <w:t>Article 37 – Mise en application</w:t>
      </w:r>
      <w:r>
        <w:rPr>
          <w:webHidden/>
        </w:rPr>
        <w:tab/>
      </w:r>
      <w:r>
        <w:rPr>
          <w:webHidden/>
        </w:rPr>
        <w:tab/>
      </w:r>
      <w:r w:rsidR="002A74E2">
        <w:rPr>
          <w:webHidden/>
        </w:rPr>
        <w:t>61</w:t>
      </w:r>
    </w:p>
    <w:p w:rsidR="00497388" w:rsidRDefault="00497388" w:rsidP="00497388">
      <w:pPr>
        <w:bidi w:val="0"/>
        <w:rPr>
          <w:noProof/>
          <w:lang w:val="fr-FR"/>
        </w:rPr>
      </w:pPr>
    </w:p>
    <w:p w:rsidR="00497388" w:rsidRDefault="00497388" w:rsidP="00497388">
      <w:pPr>
        <w:bidi w:val="0"/>
        <w:rPr>
          <w:noProof/>
          <w:lang w:val="fr-FR"/>
        </w:rPr>
      </w:pPr>
    </w:p>
    <w:p w:rsidR="00497388" w:rsidRDefault="00497388" w:rsidP="00497388">
      <w:pPr>
        <w:bidi w:val="0"/>
        <w:rPr>
          <w:noProof/>
          <w:lang w:val="fr-FR"/>
        </w:rPr>
      </w:pPr>
    </w:p>
    <w:p w:rsidR="00497388" w:rsidRDefault="00497388" w:rsidP="00497388">
      <w:pPr>
        <w:bidi w:val="0"/>
        <w:rPr>
          <w:noProof/>
          <w:lang w:val="fr-FR"/>
        </w:rPr>
      </w:pPr>
    </w:p>
    <w:p w:rsidR="00497388" w:rsidRDefault="00497388" w:rsidP="00497388">
      <w:pPr>
        <w:bidi w:val="0"/>
        <w:rPr>
          <w:noProof/>
          <w:lang w:val="fr-FR"/>
        </w:rPr>
      </w:pPr>
    </w:p>
    <w:p w:rsidR="00497388" w:rsidRDefault="00497388" w:rsidP="00497388">
      <w:pPr>
        <w:bidi w:val="0"/>
        <w:rPr>
          <w:noProof/>
          <w:lang w:val="fr-FR"/>
        </w:rPr>
      </w:pPr>
    </w:p>
    <w:p w:rsidR="00497388" w:rsidRDefault="00497388" w:rsidP="00497388">
      <w:pPr>
        <w:bidi w:val="0"/>
        <w:rPr>
          <w:noProof/>
          <w:lang w:val="fr-FR"/>
        </w:rPr>
      </w:pPr>
    </w:p>
    <w:p w:rsidR="00497388" w:rsidRDefault="00497388" w:rsidP="00497388">
      <w:pPr>
        <w:bidi w:val="0"/>
        <w:rPr>
          <w:noProof/>
          <w:lang w:val="fr-FR"/>
        </w:rPr>
      </w:pPr>
    </w:p>
    <w:p w:rsidR="00497388" w:rsidRDefault="00497388" w:rsidP="00497388">
      <w:pPr>
        <w:bidi w:val="0"/>
        <w:rPr>
          <w:noProof/>
          <w:lang w:val="fr-FR"/>
        </w:rPr>
      </w:pPr>
    </w:p>
    <w:p w:rsidR="00497388" w:rsidRDefault="00497388" w:rsidP="00497388">
      <w:pPr>
        <w:bidi w:val="0"/>
        <w:rPr>
          <w:noProof/>
          <w:lang w:val="fr-FR"/>
        </w:rPr>
      </w:pPr>
    </w:p>
    <w:p w:rsidR="00497388" w:rsidRDefault="00497388" w:rsidP="00497388">
      <w:pPr>
        <w:bidi w:val="0"/>
        <w:rPr>
          <w:noProof/>
          <w:lang w:val="fr-FR"/>
        </w:rPr>
      </w:pPr>
    </w:p>
    <w:p w:rsidR="00497388" w:rsidRDefault="00497388" w:rsidP="00497388">
      <w:pPr>
        <w:bidi w:val="0"/>
        <w:rPr>
          <w:noProof/>
          <w:lang w:val="fr-FR"/>
        </w:rPr>
      </w:pPr>
    </w:p>
    <w:p w:rsidR="00497388" w:rsidRDefault="00497388" w:rsidP="00497388">
      <w:pPr>
        <w:bidi w:val="0"/>
        <w:rPr>
          <w:noProof/>
          <w:lang w:val="fr-FR"/>
        </w:rPr>
      </w:pPr>
    </w:p>
    <w:p w:rsidR="003A5252" w:rsidRDefault="003A5252" w:rsidP="00497388">
      <w:pPr>
        <w:bidi w:val="0"/>
        <w:rPr>
          <w:lang w:val="fr-FR"/>
        </w:rPr>
      </w:pPr>
    </w:p>
    <w:p w:rsidR="003A5252" w:rsidRPr="00002558" w:rsidRDefault="003A5252" w:rsidP="003A5252">
      <w:pPr>
        <w:pStyle w:val="Arttitle"/>
        <w:spacing w:before="400"/>
      </w:pPr>
      <w:r w:rsidRPr="001C00F5">
        <w:rPr>
          <w:lang w:val="fr-FR"/>
        </w:rPr>
        <w:br w:type="page"/>
      </w:r>
      <w:bookmarkStart w:id="451" w:name="_Toc225739476"/>
      <w:bookmarkStart w:id="452" w:name="_Toc225739811"/>
      <w:bookmarkStart w:id="453" w:name="_Toc280262358"/>
      <w:bookmarkStart w:id="454" w:name="_Toc280272752"/>
      <w:bookmarkStart w:id="455" w:name="_Toc280272931"/>
      <w:r>
        <w:lastRenderedPageBreak/>
        <w:t xml:space="preserve">Article </w:t>
      </w:r>
      <w:r w:rsidRPr="00002558">
        <w:t>1</w:t>
      </w:r>
      <w:bookmarkStart w:id="456" w:name="_Toc225739477"/>
      <w:bookmarkStart w:id="457" w:name="_Toc225739812"/>
      <w:bookmarkEnd w:id="451"/>
      <w:bookmarkEnd w:id="452"/>
      <w:r w:rsidRPr="00002558">
        <w:br/>
      </w:r>
      <w:r w:rsidRPr="00002558">
        <w:br/>
        <w:t>Objet</w:t>
      </w:r>
      <w:bookmarkEnd w:id="453"/>
      <w:bookmarkEnd w:id="454"/>
      <w:bookmarkEnd w:id="455"/>
      <w:bookmarkEnd w:id="456"/>
      <w:bookmarkEnd w:id="457"/>
    </w:p>
    <w:p w:rsidR="003A5252" w:rsidRPr="001C00F5" w:rsidRDefault="003A5252" w:rsidP="00497388">
      <w:pPr>
        <w:bidi w:val="0"/>
        <w:spacing w:line="240" w:lineRule="auto"/>
        <w:rPr>
          <w:lang w:val="fr-FR"/>
        </w:rPr>
      </w:pPr>
      <w:r w:rsidRPr="001C00F5">
        <w:rPr>
          <w:lang w:val="fr-FR"/>
        </w:rPr>
        <w:t>Conformément à la Loi fédérale (Décret N° 3 de 2003), telle qu'elle a été amendée, et à son texte d'application, la présente directive établit le barème des droits d'utilisation du spectre des fréquences radioélectriques et d'utilisation d'équipements hertziens. Les droits d'utilisation du spectre sont payables à l'avance pour les demandes d'autorisation, l'enregistrement de ces demandes, l'autorisation ou le renouvellement, sauf disposition contraire indiquée dans la présente directive.</w:t>
      </w:r>
    </w:p>
    <w:p w:rsidR="003A5252" w:rsidRPr="00002558" w:rsidRDefault="003A5252" w:rsidP="003A5252">
      <w:pPr>
        <w:pStyle w:val="Arttitle"/>
        <w:spacing w:before="400"/>
      </w:pPr>
      <w:bookmarkStart w:id="458" w:name="_Toc225739478"/>
      <w:bookmarkStart w:id="459" w:name="_Toc225739813"/>
      <w:bookmarkStart w:id="460" w:name="_Toc280262359"/>
      <w:bookmarkStart w:id="461" w:name="_Toc280272753"/>
      <w:bookmarkStart w:id="462" w:name="_Toc280272932"/>
      <w:r>
        <w:t xml:space="preserve">Article </w:t>
      </w:r>
      <w:r w:rsidRPr="00002558">
        <w:t>2</w:t>
      </w:r>
      <w:bookmarkStart w:id="463" w:name="_Toc225739479"/>
      <w:bookmarkStart w:id="464" w:name="_Toc225739814"/>
      <w:bookmarkEnd w:id="458"/>
      <w:bookmarkEnd w:id="459"/>
      <w:r w:rsidRPr="00002558">
        <w:br/>
      </w:r>
      <w:r w:rsidRPr="00002558">
        <w:br/>
        <w:t>Définitions</w:t>
      </w:r>
      <w:bookmarkEnd w:id="460"/>
      <w:bookmarkEnd w:id="461"/>
      <w:bookmarkEnd w:id="462"/>
      <w:bookmarkEnd w:id="463"/>
      <w:bookmarkEnd w:id="464"/>
    </w:p>
    <w:p w:rsidR="003A5252" w:rsidRPr="001C00F5" w:rsidRDefault="003A5252" w:rsidP="00497388">
      <w:pPr>
        <w:bidi w:val="0"/>
        <w:spacing w:line="240" w:lineRule="auto"/>
        <w:rPr>
          <w:lang w:val="fr-FR"/>
        </w:rPr>
      </w:pPr>
      <w:r w:rsidRPr="001C00F5">
        <w:rPr>
          <w:lang w:val="fr-FR"/>
        </w:rPr>
        <w:t>Dans la présente directive, les termes suivants ont la signification suivante, sauf si le contexte en décide autrement, et chaque terme utilisé ci-après est défini conformément à la Loi fédérale (Décret N° 3 de 2003), telle qu'elle a été amendée, et à son texte d'application:</w:t>
      </w:r>
    </w:p>
    <w:p w:rsidR="003A5252" w:rsidRPr="00737557" w:rsidRDefault="003A5252" w:rsidP="00497388">
      <w:pPr>
        <w:pStyle w:val="enumlev1"/>
        <w:bidi w:val="0"/>
        <w:spacing w:line="240" w:lineRule="auto"/>
        <w:rPr>
          <w:rFonts w:asciiTheme="majorBidi" w:hAnsiTheme="majorBidi" w:cstheme="majorBidi"/>
          <w:bCs/>
          <w:szCs w:val="22"/>
        </w:rPr>
      </w:pPr>
      <w:r w:rsidRPr="00737557">
        <w:rPr>
          <w:rFonts w:asciiTheme="majorBidi" w:hAnsiTheme="majorBidi" w:cstheme="majorBidi"/>
          <w:bCs/>
          <w:szCs w:val="22"/>
        </w:rPr>
        <w:t>2.1</w:t>
      </w:r>
      <w:r w:rsidRPr="00737557">
        <w:rPr>
          <w:rFonts w:asciiTheme="majorBidi" w:hAnsiTheme="majorBidi" w:cstheme="majorBidi"/>
          <w:bCs/>
          <w:szCs w:val="22"/>
        </w:rPr>
        <w:tab/>
        <w:t>On entend par "</w:t>
      </w:r>
      <w:r w:rsidRPr="00290D1C">
        <w:rPr>
          <w:rFonts w:asciiTheme="majorBidi" w:hAnsiTheme="majorBidi" w:cstheme="majorBidi"/>
          <w:b/>
          <w:szCs w:val="22"/>
        </w:rPr>
        <w:t>Attribution</w:t>
      </w:r>
      <w:r w:rsidRPr="00737557">
        <w:rPr>
          <w:rFonts w:asciiTheme="majorBidi" w:hAnsiTheme="majorBidi" w:cstheme="majorBidi"/>
          <w:bCs/>
          <w:szCs w:val="22"/>
        </w:rPr>
        <w:t>" l'inscription d'une fréquence ou d'une bande de fréquences désignée dans le plan national des fréquences radioélectriques, devant être utilisée par un ou plusieurs utilisateurs d'un service de radiocommunication de Terre ou spatial dans les Emirats arabes unis.</w:t>
      </w:r>
    </w:p>
    <w:p w:rsidR="003A5252" w:rsidRPr="00737557" w:rsidRDefault="003A5252" w:rsidP="00497388">
      <w:pPr>
        <w:pStyle w:val="enumlev1"/>
        <w:bidi w:val="0"/>
        <w:spacing w:line="240" w:lineRule="auto"/>
        <w:rPr>
          <w:rFonts w:asciiTheme="majorBidi" w:hAnsiTheme="majorBidi" w:cstheme="majorBidi"/>
          <w:bCs/>
          <w:szCs w:val="22"/>
        </w:rPr>
      </w:pPr>
      <w:r w:rsidRPr="00737557">
        <w:rPr>
          <w:rFonts w:asciiTheme="majorBidi" w:hAnsiTheme="majorBidi" w:cstheme="majorBidi"/>
          <w:bCs/>
          <w:szCs w:val="22"/>
        </w:rPr>
        <w:t>2.2</w:t>
      </w:r>
      <w:r w:rsidRPr="00737557">
        <w:rPr>
          <w:rFonts w:asciiTheme="majorBidi" w:hAnsiTheme="majorBidi" w:cstheme="majorBidi"/>
          <w:bCs/>
          <w:szCs w:val="22"/>
        </w:rPr>
        <w:tab/>
        <w:t>On entend par "</w:t>
      </w:r>
      <w:r w:rsidRPr="00290D1C">
        <w:rPr>
          <w:rFonts w:asciiTheme="majorBidi" w:hAnsiTheme="majorBidi" w:cstheme="majorBidi"/>
          <w:b/>
          <w:szCs w:val="22"/>
        </w:rPr>
        <w:t>Demandeur</w:t>
      </w:r>
      <w:r w:rsidRPr="00737557">
        <w:rPr>
          <w:rFonts w:asciiTheme="majorBidi" w:hAnsiTheme="majorBidi" w:cstheme="majorBidi"/>
          <w:bCs/>
          <w:szCs w:val="22"/>
        </w:rPr>
        <w:t>" toute personne qui a demandé une licence ou une autorisation, conformément à la Loi sur les télécommunications ou à tout autre instrument de politique générale promulgué par la TRA.</w:t>
      </w:r>
    </w:p>
    <w:p w:rsidR="003A5252" w:rsidRPr="00737557" w:rsidRDefault="003A5252" w:rsidP="00497388">
      <w:pPr>
        <w:pStyle w:val="enumlev1"/>
        <w:bidi w:val="0"/>
        <w:spacing w:line="240" w:lineRule="auto"/>
        <w:rPr>
          <w:rFonts w:asciiTheme="majorBidi" w:hAnsiTheme="majorBidi" w:cstheme="majorBidi"/>
          <w:bCs/>
          <w:szCs w:val="22"/>
        </w:rPr>
      </w:pPr>
      <w:r w:rsidRPr="00737557">
        <w:rPr>
          <w:rFonts w:asciiTheme="majorBidi" w:hAnsiTheme="majorBidi" w:cstheme="majorBidi"/>
          <w:bCs/>
          <w:szCs w:val="22"/>
        </w:rPr>
        <w:t>2.3</w:t>
      </w:r>
      <w:r w:rsidRPr="00737557">
        <w:rPr>
          <w:rFonts w:asciiTheme="majorBidi" w:hAnsiTheme="majorBidi" w:cstheme="majorBidi"/>
          <w:bCs/>
          <w:szCs w:val="22"/>
        </w:rPr>
        <w:tab/>
        <w:t>On entend par "</w:t>
      </w:r>
      <w:r w:rsidRPr="00290D1C">
        <w:rPr>
          <w:rFonts w:asciiTheme="majorBidi" w:hAnsiTheme="majorBidi" w:cstheme="majorBidi"/>
          <w:b/>
          <w:szCs w:val="22"/>
        </w:rPr>
        <w:t>Demande</w:t>
      </w:r>
      <w:r w:rsidRPr="00737557">
        <w:rPr>
          <w:rFonts w:asciiTheme="majorBidi" w:hAnsiTheme="majorBidi" w:cstheme="majorBidi"/>
          <w:bCs/>
          <w:szCs w:val="22"/>
        </w:rPr>
        <w:t>" la demande de délivrance d'une licence ou d'une autorisation, reçue par la TRA selon la procédure en vigueur.</w:t>
      </w:r>
    </w:p>
    <w:p w:rsidR="003A5252" w:rsidRPr="00737557" w:rsidRDefault="003A5252" w:rsidP="00497388">
      <w:pPr>
        <w:pStyle w:val="enumlev1"/>
        <w:bidi w:val="0"/>
        <w:spacing w:line="240" w:lineRule="auto"/>
        <w:rPr>
          <w:rFonts w:asciiTheme="majorBidi" w:hAnsiTheme="majorBidi" w:cstheme="majorBidi"/>
          <w:bCs/>
          <w:szCs w:val="22"/>
        </w:rPr>
      </w:pPr>
      <w:r w:rsidRPr="00737557">
        <w:rPr>
          <w:rFonts w:asciiTheme="majorBidi" w:hAnsiTheme="majorBidi" w:cstheme="majorBidi"/>
          <w:bCs/>
          <w:szCs w:val="22"/>
        </w:rPr>
        <w:t>2.4</w:t>
      </w:r>
      <w:r w:rsidRPr="00737557">
        <w:rPr>
          <w:rFonts w:asciiTheme="majorBidi" w:hAnsiTheme="majorBidi" w:cstheme="majorBidi"/>
          <w:bCs/>
          <w:szCs w:val="22"/>
        </w:rPr>
        <w:tab/>
        <w:t>On entend par "</w:t>
      </w:r>
      <w:r w:rsidRPr="00290D1C">
        <w:rPr>
          <w:rFonts w:asciiTheme="majorBidi" w:hAnsiTheme="majorBidi" w:cstheme="majorBidi"/>
          <w:b/>
          <w:szCs w:val="22"/>
        </w:rPr>
        <w:t>Autorisation</w:t>
      </w:r>
      <w:r w:rsidRPr="00737557">
        <w:rPr>
          <w:rFonts w:asciiTheme="majorBidi" w:hAnsiTheme="majorBidi" w:cstheme="majorBidi"/>
          <w:bCs/>
          <w:szCs w:val="22"/>
        </w:rPr>
        <w:t>" une autorisation d'utilisation du spectre des fréquences radioélectriques, délivrée par la TRA.</w:t>
      </w:r>
    </w:p>
    <w:p w:rsidR="003A5252" w:rsidRPr="00737557" w:rsidRDefault="003A5252" w:rsidP="00497388">
      <w:pPr>
        <w:pStyle w:val="enumlev1"/>
        <w:bidi w:val="0"/>
        <w:spacing w:line="240" w:lineRule="auto"/>
        <w:rPr>
          <w:rFonts w:asciiTheme="majorBidi" w:hAnsiTheme="majorBidi" w:cstheme="majorBidi"/>
          <w:bCs/>
          <w:szCs w:val="22"/>
        </w:rPr>
      </w:pPr>
      <w:r w:rsidRPr="00737557">
        <w:rPr>
          <w:rFonts w:asciiTheme="majorBidi" w:hAnsiTheme="majorBidi" w:cstheme="majorBidi"/>
          <w:bCs/>
          <w:szCs w:val="22"/>
        </w:rPr>
        <w:t>2.5</w:t>
      </w:r>
      <w:r w:rsidRPr="00737557">
        <w:rPr>
          <w:rFonts w:asciiTheme="majorBidi" w:hAnsiTheme="majorBidi" w:cstheme="majorBidi"/>
          <w:bCs/>
          <w:szCs w:val="22"/>
        </w:rPr>
        <w:tab/>
        <w:t>On entend par "</w:t>
      </w:r>
      <w:r w:rsidRPr="00290D1C">
        <w:rPr>
          <w:rFonts w:asciiTheme="majorBidi" w:hAnsiTheme="majorBidi" w:cstheme="majorBidi"/>
          <w:b/>
          <w:szCs w:val="22"/>
        </w:rPr>
        <w:t>Utilisateur agréé</w:t>
      </w:r>
      <w:r w:rsidRPr="00737557">
        <w:rPr>
          <w:rFonts w:asciiTheme="majorBidi" w:hAnsiTheme="majorBidi" w:cstheme="majorBidi"/>
          <w:bCs/>
          <w:szCs w:val="22"/>
        </w:rPr>
        <w:t>" une personne à laquelle la TRA a délivré une autorisation d'utilisation du spectre des fréquences radioélectriques.</w:t>
      </w:r>
    </w:p>
    <w:p w:rsidR="003A5252" w:rsidRPr="00737557" w:rsidRDefault="003A5252" w:rsidP="00497388">
      <w:pPr>
        <w:pStyle w:val="enumlev1"/>
        <w:bidi w:val="0"/>
        <w:spacing w:line="240" w:lineRule="auto"/>
        <w:rPr>
          <w:rFonts w:asciiTheme="majorBidi" w:hAnsiTheme="majorBidi" w:cstheme="majorBidi"/>
          <w:bCs/>
          <w:szCs w:val="22"/>
        </w:rPr>
      </w:pPr>
      <w:r w:rsidRPr="00737557">
        <w:rPr>
          <w:rFonts w:asciiTheme="majorBidi" w:hAnsiTheme="majorBidi" w:cstheme="majorBidi"/>
          <w:bCs/>
          <w:szCs w:val="22"/>
        </w:rPr>
        <w:t>2.6</w:t>
      </w:r>
      <w:r w:rsidRPr="00737557">
        <w:rPr>
          <w:rFonts w:asciiTheme="majorBidi" w:hAnsiTheme="majorBidi" w:cstheme="majorBidi"/>
          <w:bCs/>
          <w:szCs w:val="22"/>
        </w:rPr>
        <w:tab/>
        <w:t>On entend par "</w:t>
      </w:r>
      <w:r w:rsidRPr="00290D1C">
        <w:rPr>
          <w:rFonts w:asciiTheme="majorBidi" w:hAnsiTheme="majorBidi" w:cstheme="majorBidi"/>
          <w:b/>
          <w:szCs w:val="22"/>
        </w:rPr>
        <w:t>Autorisation catégorielle</w:t>
      </w:r>
      <w:r w:rsidRPr="00737557">
        <w:rPr>
          <w:rFonts w:asciiTheme="majorBidi" w:hAnsiTheme="majorBidi" w:cstheme="majorBidi"/>
          <w:bCs/>
          <w:szCs w:val="22"/>
        </w:rPr>
        <w:t>" une autorisation d'utilisation des fréquences radioélectriques qui autorise l'exploitation d'équipements sans fil dans des bandes de fréquences désignées, conformément aux modalités et conditions énoncées ci-après.</w:t>
      </w:r>
    </w:p>
    <w:p w:rsidR="003A5252" w:rsidRPr="00737557" w:rsidRDefault="003A5252" w:rsidP="00497388">
      <w:pPr>
        <w:pStyle w:val="enumlev1"/>
        <w:bidi w:val="0"/>
        <w:spacing w:line="240" w:lineRule="auto"/>
        <w:rPr>
          <w:rFonts w:asciiTheme="majorBidi" w:hAnsiTheme="majorBidi" w:cstheme="majorBidi"/>
          <w:bCs/>
          <w:szCs w:val="22"/>
        </w:rPr>
      </w:pPr>
      <w:r w:rsidRPr="00737557">
        <w:rPr>
          <w:rFonts w:asciiTheme="majorBidi" w:hAnsiTheme="majorBidi" w:cstheme="majorBidi"/>
          <w:bCs/>
          <w:szCs w:val="22"/>
        </w:rPr>
        <w:t>2.7</w:t>
      </w:r>
      <w:r w:rsidRPr="00737557">
        <w:rPr>
          <w:rFonts w:asciiTheme="majorBidi" w:hAnsiTheme="majorBidi" w:cstheme="majorBidi"/>
          <w:bCs/>
          <w:szCs w:val="22"/>
        </w:rPr>
        <w:tab/>
        <w:t>On entend par "</w:t>
      </w:r>
      <w:r w:rsidRPr="00290D1C">
        <w:rPr>
          <w:rFonts w:asciiTheme="majorBidi" w:hAnsiTheme="majorBidi" w:cstheme="majorBidi"/>
          <w:b/>
          <w:szCs w:val="22"/>
        </w:rPr>
        <w:t>Autorisation individuelle</w:t>
      </w:r>
      <w:r w:rsidRPr="00737557">
        <w:rPr>
          <w:rFonts w:asciiTheme="majorBidi" w:hAnsiTheme="majorBidi" w:cstheme="majorBidi"/>
          <w:bCs/>
          <w:szCs w:val="22"/>
        </w:rPr>
        <w:t>" une autorisation d'utilisation du spectre des fréquences radioélectriques qui autorise l'exploitation d'équipements sans fil par une personne précise à laquelle des fréquences ont été attribuées ou assignées, conformément aux modalités et conditions énoncées ci-après.</w:t>
      </w:r>
    </w:p>
    <w:p w:rsidR="003A5252" w:rsidRPr="00737557" w:rsidRDefault="003A5252" w:rsidP="00497388">
      <w:pPr>
        <w:pStyle w:val="enumlev1"/>
        <w:bidi w:val="0"/>
        <w:spacing w:line="240" w:lineRule="auto"/>
        <w:rPr>
          <w:rFonts w:asciiTheme="majorBidi" w:hAnsiTheme="majorBidi" w:cstheme="majorBidi"/>
          <w:bCs/>
          <w:szCs w:val="22"/>
        </w:rPr>
      </w:pPr>
      <w:r w:rsidRPr="00737557">
        <w:rPr>
          <w:rFonts w:asciiTheme="majorBidi" w:hAnsiTheme="majorBidi" w:cstheme="majorBidi"/>
          <w:bCs/>
          <w:szCs w:val="22"/>
        </w:rPr>
        <w:t>2.8</w:t>
      </w:r>
      <w:r w:rsidRPr="00737557">
        <w:rPr>
          <w:rFonts w:asciiTheme="majorBidi" w:hAnsiTheme="majorBidi" w:cstheme="majorBidi"/>
          <w:bCs/>
          <w:szCs w:val="22"/>
        </w:rPr>
        <w:tab/>
        <w:t>On entend par "</w:t>
      </w:r>
      <w:r w:rsidRPr="00290D1C">
        <w:rPr>
          <w:rFonts w:asciiTheme="majorBidi" w:hAnsiTheme="majorBidi" w:cstheme="majorBidi"/>
          <w:b/>
          <w:szCs w:val="22"/>
        </w:rPr>
        <w:t>Plan national d'utilisation du spectre</w:t>
      </w:r>
      <w:r w:rsidRPr="00737557">
        <w:rPr>
          <w:rFonts w:asciiTheme="majorBidi" w:hAnsiTheme="majorBidi" w:cstheme="majorBidi"/>
          <w:bCs/>
          <w:szCs w:val="22"/>
        </w:rPr>
        <w:t>" le plan d'attribution des fréquences radioélectriques pour les Emirats arabes unis, approuvé par le Conseil suprême, et les éventuelles modifications de ce plan.</w:t>
      </w:r>
    </w:p>
    <w:p w:rsidR="003A5252" w:rsidRPr="00737557" w:rsidRDefault="003A5252" w:rsidP="00497388">
      <w:pPr>
        <w:pStyle w:val="enumlev1"/>
        <w:bidi w:val="0"/>
        <w:spacing w:line="240" w:lineRule="auto"/>
        <w:rPr>
          <w:rFonts w:asciiTheme="majorBidi" w:hAnsiTheme="majorBidi" w:cstheme="majorBidi"/>
          <w:bCs/>
          <w:szCs w:val="22"/>
        </w:rPr>
      </w:pPr>
      <w:r w:rsidRPr="00737557">
        <w:rPr>
          <w:rFonts w:asciiTheme="majorBidi" w:hAnsiTheme="majorBidi" w:cstheme="majorBidi"/>
          <w:bCs/>
          <w:szCs w:val="22"/>
        </w:rPr>
        <w:t>2.9</w:t>
      </w:r>
      <w:r w:rsidRPr="00737557">
        <w:rPr>
          <w:rFonts w:asciiTheme="majorBidi" w:hAnsiTheme="majorBidi" w:cstheme="majorBidi"/>
          <w:bCs/>
          <w:szCs w:val="22"/>
        </w:rPr>
        <w:tab/>
        <w:t>On entend par "Personne" aussi bien des personnes morales que des personnes physiques.</w:t>
      </w:r>
    </w:p>
    <w:p w:rsidR="003A5252" w:rsidRPr="00737557" w:rsidRDefault="003A5252" w:rsidP="00497388">
      <w:pPr>
        <w:pStyle w:val="enumlev1"/>
        <w:bidi w:val="0"/>
        <w:spacing w:line="240" w:lineRule="auto"/>
        <w:rPr>
          <w:rFonts w:asciiTheme="majorBidi" w:hAnsiTheme="majorBidi" w:cstheme="majorBidi"/>
          <w:bCs/>
          <w:szCs w:val="22"/>
        </w:rPr>
      </w:pPr>
      <w:r w:rsidRPr="00737557">
        <w:rPr>
          <w:rFonts w:asciiTheme="majorBidi" w:hAnsiTheme="majorBidi" w:cstheme="majorBidi"/>
          <w:bCs/>
          <w:szCs w:val="22"/>
        </w:rPr>
        <w:t>2.10</w:t>
      </w:r>
      <w:r w:rsidRPr="00737557">
        <w:rPr>
          <w:rFonts w:asciiTheme="majorBidi" w:hAnsiTheme="majorBidi" w:cstheme="majorBidi"/>
          <w:bCs/>
          <w:szCs w:val="22"/>
        </w:rPr>
        <w:tab/>
        <w:t>On entend par "</w:t>
      </w:r>
      <w:r w:rsidRPr="00290D1C">
        <w:rPr>
          <w:rFonts w:asciiTheme="majorBidi" w:hAnsiTheme="majorBidi" w:cstheme="majorBidi"/>
          <w:b/>
          <w:szCs w:val="22"/>
        </w:rPr>
        <w:t>Radiocommunication</w:t>
      </w:r>
      <w:r w:rsidRPr="00737557">
        <w:rPr>
          <w:rFonts w:asciiTheme="majorBidi" w:hAnsiTheme="majorBidi" w:cstheme="majorBidi"/>
          <w:bCs/>
          <w:szCs w:val="22"/>
        </w:rPr>
        <w:t>" les systèmes de transmission hertziens utilisant les fréquences radioélectriques.</w:t>
      </w:r>
    </w:p>
    <w:p w:rsidR="003A5252" w:rsidRPr="00737557" w:rsidRDefault="003A5252" w:rsidP="00497388">
      <w:pPr>
        <w:pStyle w:val="enumlev1"/>
        <w:bidi w:val="0"/>
        <w:spacing w:line="240" w:lineRule="auto"/>
        <w:rPr>
          <w:rFonts w:asciiTheme="majorBidi" w:hAnsiTheme="majorBidi" w:cstheme="majorBidi"/>
          <w:bCs/>
          <w:szCs w:val="22"/>
        </w:rPr>
      </w:pPr>
      <w:r w:rsidRPr="00737557">
        <w:rPr>
          <w:rFonts w:asciiTheme="majorBidi" w:hAnsiTheme="majorBidi" w:cstheme="majorBidi"/>
          <w:bCs/>
          <w:szCs w:val="22"/>
        </w:rPr>
        <w:t>2.11</w:t>
      </w:r>
      <w:r w:rsidRPr="00737557">
        <w:rPr>
          <w:rFonts w:asciiTheme="majorBidi" w:hAnsiTheme="majorBidi" w:cstheme="majorBidi"/>
          <w:bCs/>
          <w:szCs w:val="22"/>
        </w:rPr>
        <w:tab/>
        <w:t>On entend par "</w:t>
      </w:r>
      <w:r w:rsidRPr="00290D1C">
        <w:rPr>
          <w:rFonts w:asciiTheme="majorBidi" w:hAnsiTheme="majorBidi" w:cstheme="majorBidi"/>
          <w:b/>
          <w:szCs w:val="22"/>
        </w:rPr>
        <w:t>Service de radiocommunication</w:t>
      </w:r>
      <w:r w:rsidRPr="00737557">
        <w:rPr>
          <w:rFonts w:asciiTheme="majorBidi" w:hAnsiTheme="majorBidi" w:cstheme="majorBidi"/>
          <w:bCs/>
          <w:szCs w:val="22"/>
        </w:rPr>
        <w:t>" un service qui utilise les radiocommunications.</w:t>
      </w:r>
    </w:p>
    <w:p w:rsidR="003A5252" w:rsidRPr="00737557" w:rsidRDefault="003A5252" w:rsidP="00497388">
      <w:pPr>
        <w:pStyle w:val="enumlev1"/>
        <w:bidi w:val="0"/>
        <w:spacing w:line="240" w:lineRule="auto"/>
        <w:rPr>
          <w:rFonts w:asciiTheme="majorBidi" w:hAnsiTheme="majorBidi" w:cstheme="majorBidi"/>
          <w:bCs/>
          <w:szCs w:val="22"/>
        </w:rPr>
      </w:pPr>
      <w:r w:rsidRPr="00737557">
        <w:rPr>
          <w:rFonts w:asciiTheme="majorBidi" w:hAnsiTheme="majorBidi" w:cstheme="majorBidi"/>
          <w:bCs/>
          <w:szCs w:val="22"/>
        </w:rPr>
        <w:t>2.12</w:t>
      </w:r>
      <w:r w:rsidRPr="00737557">
        <w:rPr>
          <w:rFonts w:asciiTheme="majorBidi" w:hAnsiTheme="majorBidi" w:cstheme="majorBidi"/>
          <w:bCs/>
          <w:szCs w:val="22"/>
        </w:rPr>
        <w:tab/>
        <w:t>On entend par "</w:t>
      </w:r>
      <w:r w:rsidRPr="00290D1C">
        <w:rPr>
          <w:rFonts w:asciiTheme="majorBidi" w:hAnsiTheme="majorBidi" w:cstheme="majorBidi"/>
          <w:b/>
          <w:szCs w:val="22"/>
        </w:rPr>
        <w:t>Fréquence radioélectrique</w:t>
      </w:r>
      <w:r w:rsidRPr="00737557">
        <w:rPr>
          <w:rFonts w:asciiTheme="majorBidi" w:hAnsiTheme="majorBidi" w:cstheme="majorBidi"/>
          <w:bCs/>
          <w:szCs w:val="22"/>
        </w:rPr>
        <w:t>" l'énergie électromagnétique émise, mesurée en hertz ou en cycles/seconde.</w:t>
      </w:r>
    </w:p>
    <w:p w:rsidR="003A5252" w:rsidRPr="00737557" w:rsidRDefault="003A5252" w:rsidP="00497388">
      <w:pPr>
        <w:pStyle w:val="enumlev1"/>
        <w:bidi w:val="0"/>
        <w:spacing w:line="240" w:lineRule="auto"/>
        <w:rPr>
          <w:rFonts w:asciiTheme="majorBidi" w:hAnsiTheme="majorBidi" w:cstheme="majorBidi"/>
          <w:bCs/>
          <w:szCs w:val="22"/>
        </w:rPr>
      </w:pPr>
      <w:r w:rsidRPr="00737557">
        <w:rPr>
          <w:rFonts w:asciiTheme="majorBidi" w:hAnsiTheme="majorBidi" w:cstheme="majorBidi"/>
          <w:bCs/>
          <w:szCs w:val="22"/>
        </w:rPr>
        <w:t>2.13</w:t>
      </w:r>
      <w:r w:rsidRPr="00737557">
        <w:rPr>
          <w:rFonts w:asciiTheme="majorBidi" w:hAnsiTheme="majorBidi" w:cstheme="majorBidi"/>
          <w:bCs/>
          <w:szCs w:val="22"/>
        </w:rPr>
        <w:tab/>
        <w:t>On entend par "</w:t>
      </w:r>
      <w:r w:rsidRPr="00290D1C">
        <w:rPr>
          <w:rFonts w:asciiTheme="majorBidi" w:hAnsiTheme="majorBidi" w:cstheme="majorBidi"/>
          <w:b/>
          <w:szCs w:val="22"/>
        </w:rPr>
        <w:t>Autorisation d'utilisation des fréquences radioélectriques</w:t>
      </w:r>
      <w:r w:rsidRPr="00737557">
        <w:rPr>
          <w:rFonts w:asciiTheme="majorBidi" w:hAnsiTheme="majorBidi" w:cstheme="majorBidi"/>
          <w:bCs/>
          <w:szCs w:val="22"/>
        </w:rPr>
        <w:t>" une autorisation, individuelle ou catégorielle, délivrée par la TRA, qui permet l'utilisation des fréquences radioélectriques, conformément aux modalités et conditions énoncées ci-après.</w:t>
      </w:r>
    </w:p>
    <w:p w:rsidR="003A5252" w:rsidRPr="00737557" w:rsidRDefault="003A5252" w:rsidP="00497388">
      <w:pPr>
        <w:pStyle w:val="enumlev1"/>
        <w:bidi w:val="0"/>
        <w:spacing w:line="240" w:lineRule="auto"/>
        <w:rPr>
          <w:rFonts w:asciiTheme="majorBidi" w:hAnsiTheme="majorBidi" w:cstheme="majorBidi"/>
          <w:bCs/>
          <w:szCs w:val="22"/>
        </w:rPr>
      </w:pPr>
      <w:r w:rsidRPr="00737557">
        <w:rPr>
          <w:rFonts w:asciiTheme="majorBidi" w:hAnsiTheme="majorBidi" w:cstheme="majorBidi"/>
          <w:bCs/>
          <w:szCs w:val="22"/>
        </w:rPr>
        <w:lastRenderedPageBreak/>
        <w:t>2.14</w:t>
      </w:r>
      <w:r w:rsidRPr="00737557">
        <w:rPr>
          <w:rFonts w:asciiTheme="majorBidi" w:hAnsiTheme="majorBidi" w:cstheme="majorBidi"/>
          <w:bCs/>
          <w:szCs w:val="22"/>
        </w:rPr>
        <w:tab/>
        <w:t>On entend par "</w:t>
      </w:r>
      <w:r w:rsidRPr="00290D1C">
        <w:rPr>
          <w:rFonts w:asciiTheme="majorBidi" w:hAnsiTheme="majorBidi" w:cstheme="majorBidi"/>
          <w:b/>
          <w:szCs w:val="22"/>
        </w:rPr>
        <w:t>Instruments réglementaires</w:t>
      </w:r>
      <w:r w:rsidRPr="00737557">
        <w:rPr>
          <w:rFonts w:asciiTheme="majorBidi" w:hAnsiTheme="majorBidi" w:cstheme="majorBidi"/>
          <w:bCs/>
          <w:szCs w:val="22"/>
        </w:rPr>
        <w:t>" tout instrument provenant de la TRA et relevant de sa compétence, et plus précisément, mais non exclusivement, les réglementations, avis de violation, directives, instructions, avis, recommandations et politiques réglementaires.</w:t>
      </w:r>
    </w:p>
    <w:p w:rsidR="003A5252" w:rsidRPr="00E60C8E" w:rsidRDefault="003A5252" w:rsidP="00497388">
      <w:pPr>
        <w:pStyle w:val="enumlev1"/>
        <w:bidi w:val="0"/>
        <w:spacing w:line="240" w:lineRule="auto"/>
        <w:rPr>
          <w:rFonts w:asciiTheme="majorBidi" w:hAnsiTheme="majorBidi" w:cstheme="majorBidi"/>
          <w:bCs/>
          <w:szCs w:val="22"/>
        </w:rPr>
      </w:pPr>
      <w:r w:rsidRPr="00E60C8E">
        <w:rPr>
          <w:rFonts w:asciiTheme="majorBidi" w:hAnsiTheme="majorBidi" w:cstheme="majorBidi"/>
          <w:bCs/>
          <w:szCs w:val="22"/>
        </w:rPr>
        <w:t>2.15</w:t>
      </w:r>
      <w:r w:rsidRPr="00E60C8E">
        <w:rPr>
          <w:rFonts w:asciiTheme="majorBidi" w:hAnsiTheme="majorBidi" w:cstheme="majorBidi"/>
          <w:bCs/>
          <w:szCs w:val="22"/>
        </w:rPr>
        <w:tab/>
        <w:t>On entend par "</w:t>
      </w:r>
      <w:r w:rsidRPr="00E60C8E">
        <w:rPr>
          <w:rFonts w:asciiTheme="majorBidi" w:hAnsiTheme="majorBidi" w:cstheme="majorBidi"/>
          <w:b/>
          <w:szCs w:val="22"/>
        </w:rPr>
        <w:t>Station</w:t>
      </w:r>
      <w:r w:rsidRPr="00E60C8E">
        <w:rPr>
          <w:rFonts w:asciiTheme="majorBidi" w:hAnsiTheme="majorBidi" w:cstheme="majorBidi"/>
          <w:bCs/>
          <w:szCs w:val="22"/>
        </w:rPr>
        <w:t>" une installation exploitée par un utilisateur agréé, se composant d'un système d'émission ou de réception radioélectrique et des équipements auxiliaires nécessaires, ou d'un ou de plusieurs émetteurs ou récepteurs, ou encore d'une combinaison d'émetteurs et de récepteurs, équipements auxiliaires compris, nécessaires à l'acheminement d'un service de radiocommunication.</w:t>
      </w:r>
    </w:p>
    <w:p w:rsidR="003A5252" w:rsidRPr="00E60C8E" w:rsidRDefault="003A5252" w:rsidP="00497388">
      <w:pPr>
        <w:pStyle w:val="enumlev1"/>
        <w:bidi w:val="0"/>
        <w:spacing w:line="240" w:lineRule="auto"/>
        <w:rPr>
          <w:rFonts w:asciiTheme="majorBidi" w:hAnsiTheme="majorBidi" w:cstheme="majorBidi"/>
          <w:bCs/>
          <w:szCs w:val="22"/>
        </w:rPr>
      </w:pPr>
      <w:r w:rsidRPr="00E60C8E">
        <w:rPr>
          <w:rFonts w:asciiTheme="majorBidi" w:hAnsiTheme="majorBidi" w:cstheme="majorBidi"/>
          <w:bCs/>
          <w:szCs w:val="22"/>
        </w:rPr>
        <w:t>2.16</w:t>
      </w:r>
      <w:r w:rsidRPr="00E60C8E">
        <w:rPr>
          <w:rFonts w:asciiTheme="majorBidi" w:hAnsiTheme="majorBidi" w:cstheme="majorBidi"/>
          <w:bCs/>
          <w:szCs w:val="22"/>
        </w:rPr>
        <w:tab/>
        <w:t>On entend par "</w:t>
      </w:r>
      <w:r w:rsidRPr="00E60C8E">
        <w:rPr>
          <w:rFonts w:asciiTheme="majorBidi" w:hAnsiTheme="majorBidi" w:cstheme="majorBidi"/>
          <w:b/>
          <w:szCs w:val="22"/>
        </w:rPr>
        <w:t>Télécommunication</w:t>
      </w:r>
      <w:r w:rsidRPr="00E60C8E">
        <w:rPr>
          <w:rFonts w:asciiTheme="majorBidi" w:hAnsiTheme="majorBidi" w:cstheme="majorBidi"/>
          <w:bCs/>
          <w:szCs w:val="22"/>
        </w:rPr>
        <w:t>" tout moyen de transmission, d'émission ou de réception de signaux, de texte, d'images, de sons ou d'information de toute nature par voie filaire, radioélectrique, optique ou par tout autre système électromagnétique.</w:t>
      </w:r>
    </w:p>
    <w:p w:rsidR="003A5252" w:rsidRPr="00E60C8E" w:rsidRDefault="003A5252" w:rsidP="00497388">
      <w:pPr>
        <w:pStyle w:val="enumlev1"/>
        <w:bidi w:val="0"/>
        <w:spacing w:line="240" w:lineRule="auto"/>
        <w:rPr>
          <w:rFonts w:asciiTheme="majorBidi" w:hAnsiTheme="majorBidi" w:cstheme="majorBidi"/>
          <w:bCs/>
          <w:szCs w:val="22"/>
        </w:rPr>
      </w:pPr>
      <w:r w:rsidRPr="00E60C8E">
        <w:rPr>
          <w:rFonts w:asciiTheme="majorBidi" w:hAnsiTheme="majorBidi" w:cstheme="majorBidi"/>
          <w:bCs/>
          <w:szCs w:val="22"/>
        </w:rPr>
        <w:t>2.17</w:t>
      </w:r>
      <w:r w:rsidRPr="00E60C8E">
        <w:rPr>
          <w:rFonts w:asciiTheme="majorBidi" w:hAnsiTheme="majorBidi" w:cstheme="majorBidi"/>
          <w:bCs/>
          <w:szCs w:val="22"/>
        </w:rPr>
        <w:tab/>
        <w:t>On entend par "</w:t>
      </w:r>
      <w:r w:rsidRPr="00E60C8E">
        <w:rPr>
          <w:rFonts w:asciiTheme="majorBidi" w:hAnsiTheme="majorBidi" w:cstheme="majorBidi"/>
          <w:b/>
          <w:szCs w:val="22"/>
        </w:rPr>
        <w:t>Autorisation temporaire</w:t>
      </w:r>
      <w:r w:rsidRPr="00E60C8E">
        <w:rPr>
          <w:rFonts w:asciiTheme="majorBidi" w:hAnsiTheme="majorBidi" w:cstheme="majorBidi"/>
          <w:bCs/>
          <w:szCs w:val="22"/>
        </w:rPr>
        <w:t>" une autorisation d'utilisation du spectre des fréquences radioélectriques accordée par la TRA et qui permet l'utilisation de fréquences données pendant une période maximale de 90 jours.</w:t>
      </w:r>
    </w:p>
    <w:p w:rsidR="003A5252" w:rsidRPr="00E60C8E" w:rsidRDefault="003A5252" w:rsidP="00497388">
      <w:pPr>
        <w:pStyle w:val="enumlev1"/>
        <w:bidi w:val="0"/>
        <w:spacing w:line="240" w:lineRule="auto"/>
        <w:rPr>
          <w:rFonts w:asciiTheme="majorBidi" w:hAnsiTheme="majorBidi" w:cstheme="majorBidi"/>
          <w:bCs/>
          <w:szCs w:val="22"/>
        </w:rPr>
      </w:pPr>
      <w:r w:rsidRPr="00E60C8E">
        <w:rPr>
          <w:rFonts w:asciiTheme="majorBidi" w:hAnsiTheme="majorBidi" w:cstheme="majorBidi"/>
          <w:bCs/>
          <w:szCs w:val="22"/>
        </w:rPr>
        <w:t>2.18</w:t>
      </w:r>
      <w:r w:rsidRPr="00E60C8E">
        <w:rPr>
          <w:rFonts w:asciiTheme="majorBidi" w:hAnsiTheme="majorBidi" w:cstheme="majorBidi"/>
          <w:bCs/>
          <w:szCs w:val="22"/>
        </w:rPr>
        <w:tab/>
        <w:t>On entend par "</w:t>
      </w:r>
      <w:r w:rsidRPr="00E60C8E">
        <w:rPr>
          <w:rFonts w:asciiTheme="majorBidi" w:hAnsiTheme="majorBidi" w:cstheme="majorBidi"/>
          <w:b/>
          <w:szCs w:val="22"/>
        </w:rPr>
        <w:t>TRA</w:t>
      </w:r>
      <w:r w:rsidRPr="00E60C8E">
        <w:rPr>
          <w:rFonts w:asciiTheme="majorBidi" w:hAnsiTheme="majorBidi" w:cstheme="majorBidi"/>
          <w:bCs/>
          <w:szCs w:val="22"/>
        </w:rPr>
        <w:t>" l'Autorité générale responsable de la réglementation du secteur des télécommunications, appelée Telecommunication Regulatory Authority (TRA) et mise en place conformément aux dispositions de l'Article 6 de la Loi fédérale aux termes du Décret N° 3 (2003).</w:t>
      </w:r>
    </w:p>
    <w:p w:rsidR="003A5252" w:rsidRPr="00E60C8E" w:rsidRDefault="003A5252" w:rsidP="00497388">
      <w:pPr>
        <w:pStyle w:val="enumlev1"/>
        <w:bidi w:val="0"/>
        <w:spacing w:line="240" w:lineRule="auto"/>
        <w:rPr>
          <w:rFonts w:asciiTheme="majorBidi" w:hAnsiTheme="majorBidi" w:cstheme="majorBidi"/>
          <w:bCs/>
          <w:szCs w:val="22"/>
        </w:rPr>
      </w:pPr>
      <w:r w:rsidRPr="00E60C8E">
        <w:rPr>
          <w:rFonts w:asciiTheme="majorBidi" w:hAnsiTheme="majorBidi" w:cstheme="majorBidi"/>
          <w:bCs/>
          <w:szCs w:val="22"/>
        </w:rPr>
        <w:t>2.19</w:t>
      </w:r>
      <w:r w:rsidRPr="00E60C8E">
        <w:rPr>
          <w:rFonts w:asciiTheme="majorBidi" w:hAnsiTheme="majorBidi" w:cstheme="majorBidi"/>
          <w:bCs/>
          <w:szCs w:val="22"/>
        </w:rPr>
        <w:tab/>
        <w:t>On entend par "</w:t>
      </w:r>
      <w:r w:rsidRPr="00E60C8E">
        <w:rPr>
          <w:rFonts w:asciiTheme="majorBidi" w:hAnsiTheme="majorBidi" w:cstheme="majorBidi"/>
          <w:b/>
          <w:szCs w:val="22"/>
        </w:rPr>
        <w:t>EAU</w:t>
      </w:r>
      <w:r w:rsidRPr="00E60C8E">
        <w:rPr>
          <w:rFonts w:asciiTheme="majorBidi" w:hAnsiTheme="majorBidi" w:cstheme="majorBidi"/>
          <w:bCs/>
          <w:szCs w:val="22"/>
        </w:rPr>
        <w:t>" les Emirats arabes unis, incluant leurs eaux territoriales et espace aérien.</w:t>
      </w:r>
    </w:p>
    <w:p w:rsidR="003A5252" w:rsidRPr="00E60C8E" w:rsidRDefault="003A5252" w:rsidP="00497388">
      <w:pPr>
        <w:pStyle w:val="enumlev1"/>
        <w:bidi w:val="0"/>
        <w:spacing w:line="240" w:lineRule="auto"/>
        <w:rPr>
          <w:rFonts w:asciiTheme="majorBidi" w:hAnsiTheme="majorBidi" w:cstheme="majorBidi"/>
          <w:bCs/>
          <w:szCs w:val="22"/>
        </w:rPr>
      </w:pPr>
      <w:r w:rsidRPr="00E60C8E">
        <w:rPr>
          <w:rFonts w:asciiTheme="majorBidi" w:hAnsiTheme="majorBidi" w:cstheme="majorBidi"/>
          <w:bCs/>
          <w:szCs w:val="22"/>
        </w:rPr>
        <w:t>2.20</w:t>
      </w:r>
      <w:r w:rsidRPr="00E60C8E">
        <w:rPr>
          <w:rFonts w:asciiTheme="majorBidi" w:hAnsiTheme="majorBidi" w:cstheme="majorBidi"/>
          <w:bCs/>
          <w:szCs w:val="22"/>
        </w:rPr>
        <w:tab/>
        <w:t>On entend par "</w:t>
      </w:r>
      <w:r w:rsidRPr="00E60C8E">
        <w:rPr>
          <w:rFonts w:asciiTheme="majorBidi" w:hAnsiTheme="majorBidi" w:cstheme="majorBidi"/>
          <w:b/>
          <w:szCs w:val="22"/>
        </w:rPr>
        <w:t>Equipements hertziens</w:t>
      </w:r>
      <w:r w:rsidRPr="00E60C8E">
        <w:rPr>
          <w:rFonts w:asciiTheme="majorBidi" w:hAnsiTheme="majorBidi" w:cstheme="majorBidi"/>
          <w:bCs/>
          <w:szCs w:val="22"/>
        </w:rPr>
        <w:t>" une catégorie d'appareils de télécommunication utilisés pour les radiocommunications.</w:t>
      </w:r>
    </w:p>
    <w:p w:rsidR="003A5252" w:rsidRPr="00840785" w:rsidRDefault="003A5252" w:rsidP="00497388">
      <w:pPr>
        <w:pStyle w:val="Arttitle"/>
        <w:spacing w:before="400"/>
      </w:pPr>
      <w:bookmarkStart w:id="465" w:name="_Toc225739815"/>
      <w:bookmarkStart w:id="466" w:name="_Toc280262360"/>
      <w:bookmarkStart w:id="467" w:name="_Toc280272754"/>
      <w:bookmarkStart w:id="468" w:name="_Toc280272933"/>
      <w:r>
        <w:t>Article 3</w:t>
      </w:r>
      <w:r w:rsidRPr="00840785">
        <w:br/>
      </w:r>
      <w:r w:rsidRPr="00840785">
        <w:br/>
        <w:t>Droits à acquitter pour le traitement des demandes</w:t>
      </w:r>
      <w:bookmarkEnd w:id="465"/>
      <w:bookmarkEnd w:id="466"/>
      <w:bookmarkEnd w:id="467"/>
      <w:bookmarkEnd w:id="468"/>
    </w:p>
    <w:p w:rsidR="003A5252" w:rsidRPr="001C00F5" w:rsidRDefault="003A5252" w:rsidP="00497388">
      <w:pPr>
        <w:bidi w:val="0"/>
        <w:spacing w:line="240" w:lineRule="auto"/>
        <w:rPr>
          <w:lang w:val="fr-FR"/>
        </w:rPr>
      </w:pPr>
      <w:r w:rsidRPr="001C00F5">
        <w:rPr>
          <w:lang w:val="fr-FR"/>
        </w:rPr>
        <w:t xml:space="preserve">Chaque demande d'autorisation de fréquences radioélectriques doit être accompagnée par avance d'un paiement non remboursable de cinq cents </w:t>
      </w:r>
      <w:r w:rsidRPr="001C00F5">
        <w:rPr>
          <w:b/>
          <w:lang w:val="fr-FR"/>
        </w:rPr>
        <w:t>(500) dirhams</w:t>
      </w:r>
      <w:r w:rsidRPr="001C00F5">
        <w:rPr>
          <w:lang w:val="fr-FR"/>
        </w:rPr>
        <w:t xml:space="preserve"> pour le traitement de la demande, que celle-ci soit finalement approuvée ou refusée. La TRA peut conseiller à certains organismes gouvernementaux, opérateurs détenteurs de licence et grands utilisateurs de regrouper le paiement des droits à acquitter pour le traitement des demandes et pour l'utilisation du spectre.</w:t>
      </w:r>
    </w:p>
    <w:p w:rsidR="003A5252" w:rsidRPr="00840785" w:rsidRDefault="003A5252" w:rsidP="00497388">
      <w:pPr>
        <w:pStyle w:val="Arttitle"/>
        <w:spacing w:before="400"/>
      </w:pPr>
      <w:bookmarkStart w:id="469" w:name="_Toc280262361"/>
      <w:bookmarkStart w:id="470" w:name="_Toc280272755"/>
      <w:bookmarkStart w:id="471" w:name="_Toc280272934"/>
      <w:r>
        <w:t xml:space="preserve">Article </w:t>
      </w:r>
      <w:r w:rsidRPr="00840785">
        <w:t>4</w:t>
      </w:r>
      <w:bookmarkStart w:id="472" w:name="_Toc225739816"/>
      <w:r w:rsidRPr="00840785">
        <w:br/>
      </w:r>
      <w:r w:rsidRPr="00840785">
        <w:br/>
        <w:t>Exemption des droits à acquitter pour le traitement des demandes</w:t>
      </w:r>
      <w:bookmarkEnd w:id="469"/>
      <w:bookmarkEnd w:id="470"/>
      <w:bookmarkEnd w:id="471"/>
      <w:bookmarkEnd w:id="472"/>
    </w:p>
    <w:p w:rsidR="003A5252" w:rsidRPr="001C00F5" w:rsidRDefault="003A5252" w:rsidP="00497388">
      <w:pPr>
        <w:bidi w:val="0"/>
        <w:spacing w:line="240" w:lineRule="auto"/>
        <w:rPr>
          <w:lang w:val="fr-FR"/>
        </w:rPr>
      </w:pPr>
      <w:r w:rsidRPr="001C00F5">
        <w:rPr>
          <w:lang w:val="fr-FR"/>
        </w:rPr>
        <w:t>Les demandes suivantes sont exemptées de droits de traitement:</w:t>
      </w:r>
    </w:p>
    <w:p w:rsidR="003A5252" w:rsidRPr="0099749E" w:rsidRDefault="003A5252" w:rsidP="00497388">
      <w:pPr>
        <w:pStyle w:val="enumlev1"/>
        <w:bidi w:val="0"/>
        <w:spacing w:line="240" w:lineRule="auto"/>
        <w:rPr>
          <w:rFonts w:asciiTheme="majorBidi" w:hAnsiTheme="majorBidi" w:cstheme="majorBidi"/>
          <w:szCs w:val="22"/>
        </w:rPr>
      </w:pPr>
      <w:r w:rsidRPr="0099749E">
        <w:rPr>
          <w:rFonts w:asciiTheme="majorBidi" w:hAnsiTheme="majorBidi" w:cstheme="majorBidi"/>
          <w:szCs w:val="22"/>
        </w:rPr>
        <w:t>4.1</w:t>
      </w:r>
      <w:r w:rsidRPr="0099749E">
        <w:rPr>
          <w:rFonts w:asciiTheme="majorBidi" w:hAnsiTheme="majorBidi" w:cstheme="majorBidi"/>
          <w:szCs w:val="22"/>
        </w:rPr>
        <w:tab/>
        <w:t>Demande concernant des petites embarcations considérées comme chalutiers selon leur permis de navigation.</w:t>
      </w:r>
    </w:p>
    <w:p w:rsidR="003A5252" w:rsidRPr="0099749E" w:rsidRDefault="003A5252" w:rsidP="00497388">
      <w:pPr>
        <w:pStyle w:val="enumlev1"/>
        <w:bidi w:val="0"/>
        <w:spacing w:line="240" w:lineRule="auto"/>
        <w:rPr>
          <w:rFonts w:asciiTheme="majorBidi" w:hAnsiTheme="majorBidi" w:cstheme="majorBidi"/>
          <w:szCs w:val="22"/>
        </w:rPr>
      </w:pPr>
      <w:r w:rsidRPr="0099749E">
        <w:rPr>
          <w:rFonts w:asciiTheme="majorBidi" w:hAnsiTheme="majorBidi" w:cstheme="majorBidi"/>
          <w:szCs w:val="22"/>
        </w:rPr>
        <w:t>4.2</w:t>
      </w:r>
      <w:r w:rsidRPr="0099749E">
        <w:rPr>
          <w:rFonts w:asciiTheme="majorBidi" w:hAnsiTheme="majorBidi" w:cstheme="majorBidi"/>
          <w:szCs w:val="22"/>
        </w:rPr>
        <w:tab/>
        <w:t>Demande d'autorisation de service d'amateur, si elle est présentée par l'intermédiaire de la Société des radioamateurs des Emirats.</w:t>
      </w:r>
    </w:p>
    <w:p w:rsidR="003A5252" w:rsidRPr="0099749E" w:rsidRDefault="003A5252" w:rsidP="00497388">
      <w:pPr>
        <w:pStyle w:val="enumlev1"/>
        <w:bidi w:val="0"/>
        <w:spacing w:line="240" w:lineRule="auto"/>
        <w:rPr>
          <w:rFonts w:asciiTheme="majorBidi" w:hAnsiTheme="majorBidi" w:cstheme="majorBidi"/>
          <w:szCs w:val="22"/>
        </w:rPr>
      </w:pPr>
      <w:r w:rsidRPr="0099749E">
        <w:rPr>
          <w:rFonts w:asciiTheme="majorBidi" w:hAnsiTheme="majorBidi" w:cstheme="majorBidi"/>
          <w:szCs w:val="22"/>
        </w:rPr>
        <w:t>4.3</w:t>
      </w:r>
      <w:r w:rsidRPr="0099749E">
        <w:rPr>
          <w:rFonts w:asciiTheme="majorBidi" w:hAnsiTheme="majorBidi" w:cstheme="majorBidi"/>
          <w:szCs w:val="22"/>
        </w:rPr>
        <w:tab/>
        <w:t>Demande d'utilisation personnelle d'un système de radiocommunication mobile privé pour les jockeys des courses de chameaux.</w:t>
      </w:r>
    </w:p>
    <w:p w:rsidR="003A5252" w:rsidRPr="0099749E" w:rsidRDefault="003A5252" w:rsidP="00497388">
      <w:pPr>
        <w:pStyle w:val="enumlev1"/>
        <w:bidi w:val="0"/>
        <w:spacing w:line="240" w:lineRule="auto"/>
        <w:rPr>
          <w:rFonts w:asciiTheme="majorBidi" w:hAnsiTheme="majorBidi" w:cstheme="majorBidi"/>
          <w:szCs w:val="22"/>
        </w:rPr>
      </w:pPr>
      <w:r w:rsidRPr="0099749E">
        <w:rPr>
          <w:rFonts w:asciiTheme="majorBidi" w:hAnsiTheme="majorBidi" w:cstheme="majorBidi"/>
          <w:szCs w:val="22"/>
        </w:rPr>
        <w:t>4.4</w:t>
      </w:r>
      <w:r w:rsidRPr="0099749E">
        <w:rPr>
          <w:rFonts w:asciiTheme="majorBidi" w:hAnsiTheme="majorBidi" w:cstheme="majorBidi"/>
          <w:szCs w:val="22"/>
        </w:rPr>
        <w:tab/>
        <w:t>Demande de clubs de loisirs à vocation non commerciale, par exemple pour l'aéromodélisme.</w:t>
      </w:r>
    </w:p>
    <w:p w:rsidR="003A5252" w:rsidRPr="0099749E" w:rsidRDefault="003A5252" w:rsidP="00497388">
      <w:pPr>
        <w:pStyle w:val="enumlev1"/>
        <w:bidi w:val="0"/>
        <w:spacing w:line="240" w:lineRule="auto"/>
        <w:rPr>
          <w:rFonts w:asciiTheme="majorBidi" w:hAnsiTheme="majorBidi" w:cstheme="majorBidi"/>
          <w:szCs w:val="22"/>
        </w:rPr>
      </w:pPr>
      <w:r w:rsidRPr="0099749E">
        <w:rPr>
          <w:rFonts w:asciiTheme="majorBidi" w:hAnsiTheme="majorBidi" w:cstheme="majorBidi"/>
          <w:szCs w:val="22"/>
        </w:rPr>
        <w:t>4.5</w:t>
      </w:r>
      <w:r w:rsidRPr="0099749E">
        <w:rPr>
          <w:rFonts w:asciiTheme="majorBidi" w:hAnsiTheme="majorBidi" w:cstheme="majorBidi"/>
          <w:szCs w:val="22"/>
        </w:rPr>
        <w:tab/>
        <w:t>Demande d'instituts de recherche et d'établissements d'enseignement pour utilisation privée.</w:t>
      </w:r>
    </w:p>
    <w:p w:rsidR="003A5252" w:rsidRPr="00CB0217" w:rsidRDefault="003A5252" w:rsidP="00497388">
      <w:pPr>
        <w:pStyle w:val="enumlev1"/>
        <w:bidi w:val="0"/>
        <w:spacing w:line="240" w:lineRule="auto"/>
        <w:rPr>
          <w:rFonts w:asciiTheme="majorBidi" w:hAnsiTheme="majorBidi" w:cstheme="majorBidi"/>
          <w:szCs w:val="22"/>
        </w:rPr>
      </w:pPr>
      <w:r w:rsidRPr="00CB0217">
        <w:rPr>
          <w:rFonts w:asciiTheme="majorBidi" w:hAnsiTheme="majorBidi" w:cstheme="majorBidi"/>
          <w:szCs w:val="22"/>
        </w:rPr>
        <w:t>4.6</w:t>
      </w:r>
      <w:r w:rsidRPr="00CB0217">
        <w:rPr>
          <w:rFonts w:asciiTheme="majorBidi" w:hAnsiTheme="majorBidi" w:cstheme="majorBidi"/>
          <w:szCs w:val="22"/>
        </w:rPr>
        <w:tab/>
        <w:t>Demande des missions étrangères, des consulats et ambassades pour la correspondance officielle ou les visites de hautes personnalités, soumises par l'intermédiaire du Ministère des affaires étrangères des Emirats arabes unis.</w:t>
      </w:r>
    </w:p>
    <w:p w:rsidR="003A5252" w:rsidRPr="00C658EB" w:rsidRDefault="003A5252" w:rsidP="00FD23B9">
      <w:pPr>
        <w:pStyle w:val="Arttitle"/>
      </w:pPr>
      <w:bookmarkStart w:id="473" w:name="_Toc225739817"/>
      <w:bookmarkStart w:id="474" w:name="_Toc280262362"/>
      <w:bookmarkStart w:id="475" w:name="_Toc280272756"/>
      <w:bookmarkStart w:id="476" w:name="_Toc280272935"/>
      <w:r>
        <w:lastRenderedPageBreak/>
        <w:t>Article 5</w:t>
      </w:r>
      <w:r w:rsidRPr="00C658EB">
        <w:br/>
      </w:r>
      <w:r w:rsidRPr="00C658EB">
        <w:br/>
        <w:t>Droits d'utilisation du spectre à acquitter en cas de nouvelle demande</w:t>
      </w:r>
      <w:bookmarkEnd w:id="473"/>
      <w:bookmarkEnd w:id="474"/>
      <w:bookmarkEnd w:id="475"/>
      <w:bookmarkEnd w:id="476"/>
    </w:p>
    <w:p w:rsidR="003A5252" w:rsidRPr="001C00F5" w:rsidRDefault="003A5252" w:rsidP="00FD23B9">
      <w:pPr>
        <w:bidi w:val="0"/>
        <w:spacing w:line="240" w:lineRule="auto"/>
        <w:rPr>
          <w:lang w:val="fr-FR"/>
        </w:rPr>
      </w:pPr>
      <w:r w:rsidRPr="001C00F5">
        <w:rPr>
          <w:lang w:val="fr-FR"/>
        </w:rPr>
        <w:t>Les droits d'utilisation du spectre sont à acquitter à l'avance. Lorsqu'une réponse favorable est donnée à une nouvelle demande, la TRA informe le demandeur du montant des droits, conformément à la présente directive, calculé au prorata de la durée de validité de l'autorisation à compter de la date de la facture. Le demandeur présente à la TRA une preuve de paiement, dans un délai de trente (30) jours maximum. A la réception du paiement vérifié par la TRA, on considère que le paiement a été versé aux fins de délivrance de l'autorisation. En cas de non-réception du paiement, la TRA annule la demande. Si le demandeur exige qu'il soit donné suite à sa demande, il est tenu de la présenter une nouvelle fois, en s'acquittant des droits de traitement correspondants.</w:t>
      </w:r>
    </w:p>
    <w:p w:rsidR="003A5252" w:rsidRPr="00C658EB" w:rsidRDefault="003A5252" w:rsidP="00FD23B9">
      <w:pPr>
        <w:pStyle w:val="Arttitle"/>
        <w:spacing w:before="400"/>
      </w:pPr>
      <w:bookmarkStart w:id="477" w:name="_Toc280262363"/>
      <w:bookmarkStart w:id="478" w:name="_Toc280272757"/>
      <w:bookmarkStart w:id="479" w:name="_Toc280272936"/>
      <w:r>
        <w:t xml:space="preserve">Article </w:t>
      </w:r>
      <w:r w:rsidRPr="00C658EB">
        <w:t>6</w:t>
      </w:r>
      <w:bookmarkStart w:id="480" w:name="_Toc225739818"/>
      <w:r w:rsidRPr="00C658EB">
        <w:br/>
      </w:r>
      <w:r w:rsidRPr="00C658EB">
        <w:br/>
        <w:t>Montant des droits à acquitter pour le renouvellement d'une autorisation</w:t>
      </w:r>
      <w:bookmarkEnd w:id="477"/>
      <w:bookmarkEnd w:id="478"/>
      <w:bookmarkEnd w:id="479"/>
      <w:bookmarkEnd w:id="480"/>
    </w:p>
    <w:p w:rsidR="003A5252" w:rsidRPr="001C00F5" w:rsidRDefault="003A5252" w:rsidP="00FD23B9">
      <w:pPr>
        <w:bidi w:val="0"/>
        <w:spacing w:line="240" w:lineRule="auto"/>
        <w:rPr>
          <w:lang w:val="fr-FR"/>
        </w:rPr>
      </w:pPr>
      <w:r w:rsidRPr="001C00F5">
        <w:rPr>
          <w:lang w:val="fr-FR"/>
        </w:rPr>
        <w:t>L'utilisateur agréé doit demander à la TRA le renouvellement de l'autorisation dans un délai de trente (30) jours avant l'expiration de celle-ci. Il peut également demander que lui soient facturés les droits d'utilisation du spectre pour le renouvellement de son autorisation, même avant expiration du délai de trente (30) jours, pour la période autorisée dans la réglementation de la TRA régissant l'attribution et l'assignation des fréquences radioélectriques. Les droits applicables sont définis dans les articles correspondants du présent document. Dans tous les cas, ces droits couvrent la composante équipements hertziens et leur renouvellement annuel inclut toutes les composantes, sans distinction entre les parties. Un délai de grâce de quinze (15) jours après la date d'expiration peut être accordé par la TRA à l'utilisateur agréé pour qu'il s'acquitte des droits de renouvellement, sans entraîner le paiement de droits supplémentaires.</w:t>
      </w:r>
    </w:p>
    <w:p w:rsidR="003A5252" w:rsidRPr="00C658EB" w:rsidRDefault="003A5252" w:rsidP="00FD23B9">
      <w:pPr>
        <w:pStyle w:val="Arttitle"/>
        <w:spacing w:before="400"/>
      </w:pPr>
      <w:bookmarkStart w:id="481" w:name="_Toc280262364"/>
      <w:bookmarkStart w:id="482" w:name="_Toc280272758"/>
      <w:bookmarkStart w:id="483" w:name="_Toc280272937"/>
      <w:r>
        <w:t xml:space="preserve">Article </w:t>
      </w:r>
      <w:r w:rsidRPr="00C658EB">
        <w:t>7</w:t>
      </w:r>
      <w:r w:rsidRPr="00C658EB">
        <w:br/>
      </w:r>
      <w:r w:rsidRPr="00C658EB">
        <w:br/>
      </w:r>
      <w:bookmarkStart w:id="484" w:name="_Toc225739819"/>
      <w:r w:rsidRPr="00C658EB">
        <w:t xml:space="preserve">Droits supplémentaires à acquitter en cas de retard </w:t>
      </w:r>
      <w:r w:rsidRPr="00C658EB">
        <w:br/>
        <w:t>du renouvellement de l'autorisation</w:t>
      </w:r>
      <w:bookmarkEnd w:id="481"/>
      <w:bookmarkEnd w:id="482"/>
      <w:bookmarkEnd w:id="483"/>
      <w:bookmarkEnd w:id="484"/>
    </w:p>
    <w:p w:rsidR="003A5252" w:rsidRPr="001C00F5" w:rsidRDefault="003A5252" w:rsidP="00FD23B9">
      <w:pPr>
        <w:bidi w:val="0"/>
        <w:spacing w:line="240" w:lineRule="auto"/>
        <w:rPr>
          <w:lang w:val="fr-FR"/>
        </w:rPr>
      </w:pPr>
      <w:r w:rsidRPr="001C00F5">
        <w:rPr>
          <w:lang w:val="fr-FR"/>
        </w:rPr>
        <w:t>La TRA applique un droit supplémentaire équivalent à 10% du montant des droits d'utilisation du spectre si l'utilisateur agréé demande le renouvellement entre quinze et quarante-cinq (45) jours après la date d'expiration. La TRA annule l'autorisation si aucune demande de renouvellement ne lui parvient dans un délai de quarante-cinq (45) jours après la date d'expiration. La TRA applique un droit supplémentaire de 20% du montant à appliquer pour les droits d'utilisation du spectre si le renouvellement d'une autorisation déjà annulée est demandé.</w:t>
      </w:r>
    </w:p>
    <w:p w:rsidR="003A5252" w:rsidRPr="00C658EB" w:rsidRDefault="003A5252" w:rsidP="00FD23B9">
      <w:pPr>
        <w:pStyle w:val="Arttitle"/>
        <w:spacing w:before="400"/>
      </w:pPr>
      <w:bookmarkStart w:id="485" w:name="_Toc280262365"/>
      <w:bookmarkStart w:id="486" w:name="_Toc280272759"/>
      <w:bookmarkStart w:id="487" w:name="_Toc280272938"/>
      <w:r>
        <w:t xml:space="preserve">Article </w:t>
      </w:r>
      <w:r w:rsidRPr="00C658EB">
        <w:t>8</w:t>
      </w:r>
      <w:r w:rsidRPr="00C658EB">
        <w:br/>
      </w:r>
      <w:r w:rsidRPr="00C658EB">
        <w:br/>
      </w:r>
      <w:bookmarkStart w:id="488" w:name="_Toc225739820"/>
      <w:r w:rsidRPr="00C658EB">
        <w:t>Droits à acquitter pour obtenir une copie d'une autorisation</w:t>
      </w:r>
      <w:bookmarkEnd w:id="485"/>
      <w:bookmarkEnd w:id="486"/>
      <w:bookmarkEnd w:id="487"/>
      <w:bookmarkEnd w:id="488"/>
    </w:p>
    <w:p w:rsidR="003A5252" w:rsidRPr="001C00F5" w:rsidRDefault="003A5252" w:rsidP="00FD23B9">
      <w:pPr>
        <w:bidi w:val="0"/>
        <w:spacing w:line="240" w:lineRule="auto"/>
        <w:rPr>
          <w:lang w:val="fr-FR"/>
        </w:rPr>
      </w:pPr>
      <w:r w:rsidRPr="001C00F5">
        <w:rPr>
          <w:lang w:val="fr-FR"/>
        </w:rPr>
        <w:t>Au cas où l'autorisation serait endommagée ou perdue, l'utilisateur agréé peut demander à la TRA de lui en fournir une nouvelle copie. Il lui est alors demandé de verser par avance la somme, non remboursable, de cent (100) dirhams.</w:t>
      </w:r>
    </w:p>
    <w:p w:rsidR="003A5252" w:rsidRPr="00C658EB" w:rsidRDefault="003A5252" w:rsidP="00FD23B9">
      <w:pPr>
        <w:pStyle w:val="Arttitle"/>
        <w:spacing w:before="400"/>
      </w:pPr>
      <w:bookmarkStart w:id="489" w:name="_Toc280262366"/>
      <w:bookmarkStart w:id="490" w:name="_Toc280272760"/>
      <w:bookmarkStart w:id="491" w:name="_Toc280272939"/>
      <w:r>
        <w:lastRenderedPageBreak/>
        <w:t xml:space="preserve">Article </w:t>
      </w:r>
      <w:r w:rsidRPr="00C658EB">
        <w:t>9</w:t>
      </w:r>
      <w:r w:rsidRPr="00C658EB">
        <w:br/>
      </w:r>
      <w:r w:rsidRPr="00C658EB">
        <w:br/>
      </w:r>
      <w:bookmarkStart w:id="492" w:name="_Toc225739821"/>
      <w:r w:rsidRPr="00C658EB">
        <w:t>Droits à acquitter pour modifier l'autorisation</w:t>
      </w:r>
      <w:bookmarkEnd w:id="489"/>
      <w:bookmarkEnd w:id="490"/>
      <w:bookmarkEnd w:id="491"/>
      <w:bookmarkEnd w:id="492"/>
    </w:p>
    <w:p w:rsidR="003A5252" w:rsidRPr="001C00F5" w:rsidRDefault="003A5252" w:rsidP="00FD23B9">
      <w:pPr>
        <w:bidi w:val="0"/>
        <w:spacing w:line="240" w:lineRule="auto"/>
        <w:rPr>
          <w:lang w:val="fr-FR"/>
        </w:rPr>
      </w:pPr>
      <w:r w:rsidRPr="001C00F5">
        <w:rPr>
          <w:lang w:val="fr-FR"/>
        </w:rPr>
        <w:t>L'utilisateur agréé peut demander qu'une autorisation soit modifiée. La modification des coordonnées indiquées dans l'autorisation au moment du renouvellement s'effectue sans frais; par contre, la modification des coordonnées indiquées dans l'autorisation à tout autre moment s'effectue contre paiement. La modification des données relatives aux emplacements ou à l'adjonction de nouveaux équipements ainsi que celle des données techniques s'effectuent contre paiement. Au cas où la modification est approuvée par la TRA, les droits annuels d'utilisation du spectre sont calculés au prorata. L'utilisateur agréé s'acquitte par avance à la TRA de la différence. Si le montant de cette différence est en faveur de l'utilisateur agréé, la TRA ne procède pas au remboursement et le montant annuel des droits d'utilisation du spectre pour l'année suivante est calculé sur la base du montant ainsi révisé.</w:t>
      </w:r>
    </w:p>
    <w:p w:rsidR="003A5252" w:rsidRPr="00C658EB" w:rsidRDefault="003A5252" w:rsidP="00FD23B9">
      <w:pPr>
        <w:pStyle w:val="Arttitle"/>
        <w:spacing w:before="400"/>
      </w:pPr>
      <w:bookmarkStart w:id="493" w:name="_Toc280262367"/>
      <w:bookmarkStart w:id="494" w:name="_Toc280272761"/>
      <w:bookmarkStart w:id="495" w:name="_Toc280272940"/>
      <w:r>
        <w:t xml:space="preserve">Article </w:t>
      </w:r>
      <w:r w:rsidRPr="00C658EB">
        <w:t>10</w:t>
      </w:r>
      <w:r w:rsidRPr="00C658EB">
        <w:br/>
      </w:r>
      <w:r w:rsidRPr="00C658EB">
        <w:br/>
      </w:r>
      <w:bookmarkStart w:id="496" w:name="_Toc225739822"/>
      <w:r w:rsidRPr="00C658EB">
        <w:t>Droits à acquitter pour l'annulation d'une autorisation</w:t>
      </w:r>
      <w:bookmarkEnd w:id="493"/>
      <w:bookmarkEnd w:id="494"/>
      <w:bookmarkEnd w:id="495"/>
      <w:bookmarkEnd w:id="496"/>
    </w:p>
    <w:p w:rsidR="003A5252" w:rsidRPr="001C00F5" w:rsidRDefault="003A5252" w:rsidP="00FD23B9">
      <w:pPr>
        <w:bidi w:val="0"/>
        <w:spacing w:line="240" w:lineRule="auto"/>
        <w:rPr>
          <w:lang w:val="fr-FR"/>
        </w:rPr>
      </w:pPr>
      <w:r w:rsidRPr="001C00F5">
        <w:rPr>
          <w:lang w:val="fr-FR"/>
        </w:rPr>
        <w:t>L'utilisateur agréé peut demander l'annulation de l'autorisation. Aucun droit n'est perçu pour l'annulation et la TRA ne procède à aucun remboursement de l'éventuel solde.</w:t>
      </w:r>
    </w:p>
    <w:p w:rsidR="003A5252" w:rsidRPr="00C658EB" w:rsidRDefault="003A5252" w:rsidP="00FD23B9">
      <w:pPr>
        <w:pStyle w:val="Arttitle"/>
        <w:spacing w:before="400"/>
      </w:pPr>
      <w:bookmarkStart w:id="497" w:name="_Toc280262368"/>
      <w:bookmarkStart w:id="498" w:name="_Toc280272762"/>
      <w:bookmarkStart w:id="499" w:name="_Toc280272941"/>
      <w:r>
        <w:t xml:space="preserve">Article </w:t>
      </w:r>
      <w:r w:rsidRPr="00C658EB">
        <w:t>11</w:t>
      </w:r>
      <w:r w:rsidRPr="00C658EB">
        <w:br/>
      </w:r>
      <w:r w:rsidRPr="00C658EB">
        <w:br/>
      </w:r>
      <w:bookmarkStart w:id="500" w:name="_Toc225739823"/>
      <w:r w:rsidRPr="00C658EB">
        <w:t>Droits à acquitter pour l'utilisation du spectre pour</w:t>
      </w:r>
      <w:r w:rsidRPr="00C658EB">
        <w:br/>
        <w:t>le service mobile terrestre public (cellulaire)</w:t>
      </w:r>
      <w:bookmarkEnd w:id="497"/>
      <w:bookmarkEnd w:id="498"/>
      <w:bookmarkEnd w:id="499"/>
      <w:bookmarkEnd w:id="500"/>
    </w:p>
    <w:p w:rsidR="003A5252" w:rsidRPr="000E4E0E" w:rsidRDefault="003A5252" w:rsidP="00FD23B9">
      <w:pPr>
        <w:pStyle w:val="enumlev1"/>
        <w:bidi w:val="0"/>
        <w:spacing w:line="240" w:lineRule="auto"/>
        <w:rPr>
          <w:rFonts w:asciiTheme="majorBidi" w:hAnsiTheme="majorBidi" w:cstheme="majorBidi"/>
          <w:szCs w:val="19"/>
        </w:rPr>
      </w:pPr>
      <w:r w:rsidRPr="000E4E0E">
        <w:rPr>
          <w:rFonts w:asciiTheme="majorBidi" w:hAnsiTheme="majorBidi" w:cstheme="majorBidi"/>
          <w:szCs w:val="19"/>
        </w:rPr>
        <w:t>11.1</w:t>
      </w:r>
      <w:r w:rsidRPr="000E4E0E">
        <w:rPr>
          <w:rFonts w:asciiTheme="majorBidi" w:hAnsiTheme="majorBidi" w:cstheme="majorBidi"/>
          <w:szCs w:val="19"/>
        </w:rPr>
        <w:tab/>
        <w:t>Le montant des droits annuels d'utilisation du spectre pour le service mobile terrestre public (cellulaire) (comprenant les systèmes GSM, UMTS et IMT) est calculé comme suit:</w:t>
      </w:r>
    </w:p>
    <w:p w:rsidR="003A5252" w:rsidRPr="001C00F5" w:rsidRDefault="003A5252" w:rsidP="00FD23B9">
      <w:pPr>
        <w:bidi w:val="0"/>
        <w:spacing w:line="240" w:lineRule="auto"/>
        <w:jc w:val="center"/>
        <w:rPr>
          <w:color w:val="000000"/>
          <w:lang w:val="fr-FR"/>
        </w:rPr>
      </w:pPr>
      <w:r w:rsidRPr="001C00F5">
        <w:rPr>
          <w:b/>
          <w:color w:val="000000"/>
          <w:lang w:val="fr-FR"/>
        </w:rPr>
        <w:t xml:space="preserve">Droits à acquitter pour l'utilisation du spectre = [(P x MHz) </w:t>
      </w:r>
      <w:r w:rsidRPr="001C00F5">
        <w:rPr>
          <w:b/>
          <w:color w:val="000000"/>
          <w:position w:val="10"/>
          <w:vertAlign w:val="superscript"/>
          <w:lang w:val="fr-FR"/>
        </w:rPr>
        <w:t>EM</w:t>
      </w:r>
      <w:r w:rsidRPr="001C00F5">
        <w:rPr>
          <w:b/>
          <w:color w:val="000000"/>
          <w:lang w:val="fr-FR"/>
        </w:rPr>
        <w:t xml:space="preserve">] x [1 + (MC – CC) / CM] </w:t>
      </w:r>
      <w:r w:rsidRPr="001C00F5">
        <w:rPr>
          <w:b/>
          <w:color w:val="000000"/>
          <w:position w:val="10"/>
          <w:vertAlign w:val="superscript"/>
          <w:lang w:val="fr-FR"/>
        </w:rPr>
        <w:t xml:space="preserve">EC </w:t>
      </w:r>
    </w:p>
    <w:p w:rsidR="003A5252" w:rsidRPr="00850A0F" w:rsidRDefault="003A5252" w:rsidP="00FD23B9">
      <w:pPr>
        <w:bidi w:val="0"/>
        <w:spacing w:line="240" w:lineRule="auto"/>
        <w:ind w:left="720"/>
        <w:rPr>
          <w:rFonts w:ascii="Verdana" w:hAnsi="Verdana"/>
          <w:sz w:val="19"/>
          <w:szCs w:val="19"/>
          <w:lang w:val="fr-FR"/>
        </w:rPr>
      </w:pPr>
      <w:r w:rsidRPr="00850A0F">
        <w:rPr>
          <w:rFonts w:ascii="Verdana" w:hAnsi="Verdana"/>
          <w:sz w:val="19"/>
          <w:szCs w:val="19"/>
          <w:lang w:val="fr-FR"/>
        </w:rPr>
        <w:t xml:space="preserve">où: </w:t>
      </w:r>
    </w:p>
    <w:p w:rsidR="003A5252" w:rsidRPr="00F57B72" w:rsidRDefault="003A5252" w:rsidP="00FD23B9">
      <w:pPr>
        <w:bidi w:val="0"/>
        <w:spacing w:before="60" w:line="240" w:lineRule="auto"/>
        <w:ind w:left="720"/>
        <w:rPr>
          <w:szCs w:val="19"/>
        </w:rPr>
      </w:pPr>
      <w:r w:rsidRPr="00F57B72">
        <w:rPr>
          <w:b/>
          <w:bCs/>
          <w:szCs w:val="19"/>
        </w:rPr>
        <w:t>P</w:t>
      </w:r>
      <w:r w:rsidRPr="00F57B72">
        <w:rPr>
          <w:szCs w:val="19"/>
        </w:rPr>
        <w:t xml:space="preserve"> = prix par MHz, actuellement fixé à 3 500 000,00 AED (trois millions cinq cent mille) par an, sur la base d'une étude de marché. La TRA peut réaliser des études de marché à intervalles réguliers afin que le montant de ce prix soit réajusté.</w:t>
      </w:r>
    </w:p>
    <w:p w:rsidR="003A5252" w:rsidRPr="00F57B72" w:rsidRDefault="003A5252" w:rsidP="00FD23B9">
      <w:pPr>
        <w:bidi w:val="0"/>
        <w:spacing w:before="60" w:line="240" w:lineRule="auto"/>
        <w:ind w:left="720"/>
        <w:rPr>
          <w:szCs w:val="19"/>
        </w:rPr>
      </w:pPr>
      <w:r w:rsidRPr="00F57B72">
        <w:rPr>
          <w:b/>
          <w:bCs/>
          <w:szCs w:val="19"/>
        </w:rPr>
        <w:t>MHz</w:t>
      </w:r>
      <w:r w:rsidRPr="00F57B72">
        <w:rPr>
          <w:szCs w:val="19"/>
        </w:rPr>
        <w:t xml:space="preserve"> = largeur de bande attribuée (du service cellulaire) pour laquelle un bande de 20 MHz en mode duplex est comptée pour 40 MHz. La largeur de bande combinée du système GSM 900/1800 est utilisée pour chaque opérateur détenteur de licence. La largeur de bande pour les systèmes UMTS et IMT est facturée séparément.</w:t>
      </w:r>
    </w:p>
    <w:p w:rsidR="003A5252" w:rsidRPr="00F57B72" w:rsidRDefault="003A5252" w:rsidP="00FD23B9">
      <w:pPr>
        <w:bidi w:val="0"/>
        <w:spacing w:before="60" w:line="240" w:lineRule="auto"/>
        <w:ind w:left="720"/>
        <w:rPr>
          <w:szCs w:val="19"/>
        </w:rPr>
      </w:pPr>
      <w:r w:rsidRPr="00F57B72">
        <w:rPr>
          <w:b/>
          <w:bCs/>
          <w:szCs w:val="19"/>
        </w:rPr>
        <w:t>CC</w:t>
      </w:r>
      <w:r w:rsidRPr="00F57B72">
        <w:rPr>
          <w:szCs w:val="19"/>
        </w:rPr>
        <w:t xml:space="preserve"> = Desserte actuelle de l'opérateur, en termes du nombre d'habitants desservis par le réseau de radiocommunication. </w:t>
      </w:r>
    </w:p>
    <w:p w:rsidR="003A5252" w:rsidRPr="00F57B72" w:rsidRDefault="003A5252" w:rsidP="00FD23B9">
      <w:pPr>
        <w:bidi w:val="0"/>
        <w:spacing w:before="60" w:line="240" w:lineRule="auto"/>
        <w:ind w:left="720"/>
        <w:rPr>
          <w:szCs w:val="19"/>
        </w:rPr>
      </w:pPr>
      <w:r w:rsidRPr="00F57B72">
        <w:rPr>
          <w:b/>
          <w:bCs/>
          <w:szCs w:val="19"/>
        </w:rPr>
        <w:t>CM</w:t>
      </w:r>
      <w:r w:rsidRPr="00F57B72">
        <w:rPr>
          <w:szCs w:val="19"/>
        </w:rPr>
        <w:t xml:space="preserve"> = Desserte maximale dans les Emirats arabes unis, soit 4 912 000 habitants, sur la base des prévisions du Ministère de la planification. Ce chiffre sera revu compte tenu des résultats du recensement ou après trois ans à compter de la date de parution du présent document.</w:t>
      </w:r>
    </w:p>
    <w:p w:rsidR="003A5252" w:rsidRPr="00F57B72" w:rsidRDefault="003A5252" w:rsidP="00FD23B9">
      <w:pPr>
        <w:bidi w:val="0"/>
        <w:spacing w:before="60" w:line="240" w:lineRule="auto"/>
        <w:ind w:left="720"/>
        <w:rPr>
          <w:szCs w:val="19"/>
        </w:rPr>
      </w:pPr>
      <w:r w:rsidRPr="00F57B72">
        <w:rPr>
          <w:b/>
          <w:bCs/>
          <w:szCs w:val="19"/>
        </w:rPr>
        <w:t>MC</w:t>
      </w:r>
      <w:r w:rsidRPr="00F57B72">
        <w:rPr>
          <w:szCs w:val="19"/>
        </w:rPr>
        <w:t xml:space="preserve"> = Desserte minimale, soit 2 063 040 habitants des Emirats arabes unis (soit 42% de la valeur CM). </w:t>
      </w:r>
    </w:p>
    <w:p w:rsidR="003A5252" w:rsidRPr="00F57B72" w:rsidRDefault="003A5252" w:rsidP="00FD23B9">
      <w:pPr>
        <w:bidi w:val="0"/>
        <w:spacing w:before="60" w:line="240" w:lineRule="auto"/>
        <w:ind w:left="720"/>
        <w:rPr>
          <w:szCs w:val="19"/>
        </w:rPr>
      </w:pPr>
      <w:r w:rsidRPr="00F57B72">
        <w:rPr>
          <w:b/>
          <w:bCs/>
          <w:szCs w:val="19"/>
        </w:rPr>
        <w:t>EC</w:t>
      </w:r>
      <w:r w:rsidRPr="00F57B72">
        <w:rPr>
          <w:szCs w:val="19"/>
        </w:rPr>
        <w:t xml:space="preserve"> = Coefficient d'efficacité pour la desserte, calculé selon la formule EC = 1 + (CC/MC). </w:t>
      </w:r>
    </w:p>
    <w:p w:rsidR="003A5252" w:rsidRPr="00F57B72" w:rsidRDefault="003A5252" w:rsidP="00FD23B9">
      <w:pPr>
        <w:bidi w:val="0"/>
        <w:spacing w:before="60" w:line="240" w:lineRule="auto"/>
        <w:ind w:left="720"/>
        <w:rPr>
          <w:szCs w:val="19"/>
        </w:rPr>
      </w:pPr>
      <w:r w:rsidRPr="00F57B72">
        <w:rPr>
          <w:b/>
          <w:bCs/>
          <w:szCs w:val="19"/>
        </w:rPr>
        <w:t>EM</w:t>
      </w:r>
      <w:r w:rsidRPr="00F57B72">
        <w:rPr>
          <w:szCs w:val="19"/>
        </w:rPr>
        <w:t xml:space="preserve"> = Coefficient d'efficacité pour les MHz, calculé selon la formule EM = 1 + (MHz/982,4) </w:t>
      </w:r>
    </w:p>
    <w:p w:rsidR="003A5252" w:rsidRPr="00F57B72" w:rsidRDefault="003A5252" w:rsidP="00FD23B9">
      <w:pPr>
        <w:bidi w:val="0"/>
        <w:spacing w:before="60" w:line="240" w:lineRule="auto"/>
        <w:ind w:left="720"/>
        <w:rPr>
          <w:szCs w:val="19"/>
        </w:rPr>
      </w:pPr>
      <w:r w:rsidRPr="00F57B72">
        <w:rPr>
          <w:szCs w:val="19"/>
        </w:rPr>
        <w:t xml:space="preserve">982,4 représente une valeur correspondant au chiffre de la population des Emirats arabes unis, soit 4,912 millions d'habitants. </w:t>
      </w:r>
    </w:p>
    <w:p w:rsidR="006E09AC" w:rsidRDefault="006E09AC" w:rsidP="00FD23B9">
      <w:pPr>
        <w:pStyle w:val="enumlev1"/>
        <w:bidi w:val="0"/>
        <w:spacing w:line="240" w:lineRule="auto"/>
        <w:rPr>
          <w:rFonts w:asciiTheme="majorBidi" w:hAnsiTheme="majorBidi" w:cstheme="majorBidi"/>
          <w:szCs w:val="22"/>
        </w:rPr>
        <w:sectPr w:rsidR="006E09AC" w:rsidSect="0020445C">
          <w:pgSz w:w="11907" w:h="16834" w:code="9"/>
          <w:pgMar w:top="1418" w:right="1134" w:bottom="1418" w:left="1134" w:header="720" w:footer="720" w:gutter="0"/>
          <w:paperSrc w:first="7" w:other="7"/>
          <w:cols w:space="720"/>
          <w:vAlign w:val="both"/>
        </w:sectPr>
      </w:pPr>
    </w:p>
    <w:p w:rsidR="003A5252" w:rsidRPr="000B30A2" w:rsidRDefault="003A5252" w:rsidP="00FD23B9">
      <w:pPr>
        <w:pStyle w:val="enumlev1"/>
        <w:bidi w:val="0"/>
        <w:spacing w:line="240" w:lineRule="auto"/>
        <w:rPr>
          <w:rFonts w:asciiTheme="majorBidi" w:hAnsiTheme="majorBidi" w:cstheme="majorBidi"/>
          <w:szCs w:val="22"/>
        </w:rPr>
      </w:pPr>
      <w:r w:rsidRPr="000B30A2">
        <w:rPr>
          <w:rFonts w:asciiTheme="majorBidi" w:hAnsiTheme="majorBidi" w:cstheme="majorBidi"/>
          <w:szCs w:val="22"/>
        </w:rPr>
        <w:lastRenderedPageBreak/>
        <w:t>11.2</w:t>
      </w:r>
      <w:r w:rsidRPr="000B30A2">
        <w:rPr>
          <w:rFonts w:asciiTheme="majorBidi" w:hAnsiTheme="majorBidi" w:cstheme="majorBidi"/>
          <w:szCs w:val="22"/>
        </w:rPr>
        <w:tab/>
        <w:t xml:space="preserve">On applique la règlementation et les lignes directrices établies par la TRA pour le calcul des coefficients comme la couverture, pour établir le montant des droits dans le service mobile public terrestre (cellulaire). </w:t>
      </w:r>
    </w:p>
    <w:p w:rsidR="003A5252" w:rsidRPr="005028A3" w:rsidRDefault="003A5252" w:rsidP="00FD23B9">
      <w:pPr>
        <w:pStyle w:val="Arttitle"/>
        <w:spacing w:before="400"/>
      </w:pPr>
      <w:bookmarkStart w:id="501" w:name="_Toc225739480"/>
      <w:bookmarkStart w:id="502" w:name="_Toc225739824"/>
      <w:bookmarkStart w:id="503" w:name="_Toc280262369"/>
      <w:bookmarkStart w:id="504" w:name="_Toc280272763"/>
      <w:bookmarkStart w:id="505" w:name="_Toc280272942"/>
      <w:r>
        <w:t xml:space="preserve">Article </w:t>
      </w:r>
      <w:r w:rsidRPr="005028A3">
        <w:t>12</w:t>
      </w:r>
      <w:bookmarkEnd w:id="501"/>
      <w:bookmarkEnd w:id="502"/>
      <w:r w:rsidRPr="005028A3">
        <w:br/>
      </w:r>
      <w:r w:rsidRPr="005028A3">
        <w:br/>
      </w:r>
      <w:bookmarkStart w:id="506" w:name="_Toc225739481"/>
      <w:bookmarkStart w:id="507" w:name="_Toc225739825"/>
      <w:r w:rsidRPr="005028A3">
        <w:t xml:space="preserve">Droits à acquitter pour les radiocommunications mobiles privées, </w:t>
      </w:r>
      <w:r w:rsidRPr="005028A3">
        <w:br/>
        <w:t>la radiomessagerie et les systèmes à ressources partagées</w:t>
      </w:r>
      <w:bookmarkEnd w:id="503"/>
      <w:bookmarkEnd w:id="504"/>
      <w:bookmarkEnd w:id="505"/>
      <w:bookmarkEnd w:id="506"/>
      <w:bookmarkEnd w:id="507"/>
    </w:p>
    <w:p w:rsidR="003A5252" w:rsidRPr="000B30A2" w:rsidRDefault="003A5252" w:rsidP="00FD23B9">
      <w:pPr>
        <w:pStyle w:val="enumlev1"/>
        <w:bidi w:val="0"/>
        <w:spacing w:line="240" w:lineRule="auto"/>
        <w:rPr>
          <w:rFonts w:asciiTheme="majorBidi" w:hAnsiTheme="majorBidi" w:cstheme="majorBidi"/>
          <w:szCs w:val="22"/>
        </w:rPr>
      </w:pPr>
      <w:r w:rsidRPr="000B30A2">
        <w:rPr>
          <w:rFonts w:asciiTheme="majorBidi" w:hAnsiTheme="majorBidi" w:cstheme="majorBidi"/>
          <w:szCs w:val="22"/>
        </w:rPr>
        <w:t>12.1</w:t>
      </w:r>
      <w:r w:rsidRPr="000B30A2">
        <w:rPr>
          <w:rFonts w:asciiTheme="majorBidi" w:hAnsiTheme="majorBidi" w:cstheme="majorBidi"/>
          <w:szCs w:val="22"/>
        </w:rPr>
        <w:tab/>
        <w:t xml:space="preserve">Le montant annuel des droits à acquitter pour les radiocommunications mobiles privées est calculé selon la formule suivante: </w:t>
      </w:r>
    </w:p>
    <w:p w:rsidR="003A5252" w:rsidRPr="001C00F5" w:rsidRDefault="003A5252" w:rsidP="00FD23B9">
      <w:pPr>
        <w:bidi w:val="0"/>
        <w:spacing w:line="240" w:lineRule="auto"/>
        <w:jc w:val="center"/>
        <w:rPr>
          <w:color w:val="000000"/>
          <w:lang w:val="fr-FR"/>
        </w:rPr>
      </w:pPr>
      <w:r w:rsidRPr="001C00F5">
        <w:rPr>
          <w:b/>
          <w:color w:val="000000"/>
          <w:lang w:val="fr-FR"/>
        </w:rPr>
        <w:t xml:space="preserve">Droits à acquitter = NC x CF + SUM (WE x 500 x PF) </w:t>
      </w:r>
    </w:p>
    <w:p w:rsidR="003A5252" w:rsidRPr="00210743" w:rsidRDefault="003A5252" w:rsidP="00FD23B9">
      <w:pPr>
        <w:bidi w:val="0"/>
        <w:spacing w:line="240" w:lineRule="auto"/>
        <w:ind w:left="720"/>
        <w:rPr>
          <w:color w:val="000000"/>
          <w:szCs w:val="19"/>
        </w:rPr>
      </w:pPr>
      <w:r w:rsidRPr="00210743">
        <w:rPr>
          <w:color w:val="000000"/>
          <w:szCs w:val="19"/>
        </w:rPr>
        <w:t xml:space="preserve">où: </w:t>
      </w:r>
    </w:p>
    <w:p w:rsidR="003A5252" w:rsidRPr="00210743" w:rsidRDefault="003A5252" w:rsidP="00FD23B9">
      <w:pPr>
        <w:bidi w:val="0"/>
        <w:spacing w:line="240" w:lineRule="auto"/>
        <w:ind w:left="720"/>
        <w:rPr>
          <w:color w:val="000000"/>
          <w:szCs w:val="19"/>
        </w:rPr>
      </w:pPr>
      <w:r w:rsidRPr="00210743">
        <w:rPr>
          <w:b/>
          <w:bCs/>
          <w:color w:val="000000"/>
          <w:szCs w:val="19"/>
        </w:rPr>
        <w:t>NC</w:t>
      </w:r>
      <w:r w:rsidRPr="00210743">
        <w:rPr>
          <w:color w:val="000000"/>
          <w:szCs w:val="19"/>
        </w:rPr>
        <w:t xml:space="preserve"> = Le nombre de canaux (dont chacun a une largeur de bande équivalente de 12,5 kHz) qui seront attribués à l'utilisateur. </w:t>
      </w:r>
    </w:p>
    <w:p w:rsidR="003A5252" w:rsidRPr="00210743" w:rsidRDefault="003A5252" w:rsidP="00FD23B9">
      <w:pPr>
        <w:bidi w:val="0"/>
        <w:spacing w:line="240" w:lineRule="auto"/>
        <w:ind w:left="720"/>
        <w:rPr>
          <w:color w:val="000000"/>
          <w:szCs w:val="19"/>
        </w:rPr>
      </w:pPr>
      <w:r w:rsidRPr="00210743">
        <w:rPr>
          <w:b/>
          <w:bCs/>
          <w:color w:val="000000"/>
          <w:szCs w:val="19"/>
        </w:rPr>
        <w:t>WE</w:t>
      </w:r>
      <w:r w:rsidRPr="00210743">
        <w:rPr>
          <w:color w:val="000000"/>
          <w:szCs w:val="19"/>
        </w:rPr>
        <w:t xml:space="preserve"> = Equipements hertziens autorisés (appareils portables compris), qui seront inclus dans le calcul. </w:t>
      </w:r>
    </w:p>
    <w:p w:rsidR="003A5252" w:rsidRPr="00210743" w:rsidRDefault="003A5252" w:rsidP="00FD23B9">
      <w:pPr>
        <w:bidi w:val="0"/>
        <w:spacing w:line="240" w:lineRule="auto"/>
        <w:ind w:left="720"/>
        <w:rPr>
          <w:color w:val="000000"/>
          <w:szCs w:val="19"/>
        </w:rPr>
      </w:pPr>
      <w:r w:rsidRPr="00210743">
        <w:rPr>
          <w:b/>
          <w:bCs/>
          <w:color w:val="000000"/>
          <w:szCs w:val="19"/>
        </w:rPr>
        <w:t>SUM (WE x 500 x PF)</w:t>
      </w:r>
      <w:r w:rsidRPr="00210743">
        <w:rPr>
          <w:color w:val="000000"/>
          <w:szCs w:val="19"/>
        </w:rPr>
        <w:t xml:space="preserve"> = Somme totale: chaque équipement hertzien autorisé multiplié par 500, multiplié par le facteur de puissance. </w:t>
      </w:r>
    </w:p>
    <w:p w:rsidR="003A5252" w:rsidRDefault="003A5252" w:rsidP="00FD23B9">
      <w:pPr>
        <w:bidi w:val="0"/>
        <w:spacing w:line="240" w:lineRule="auto"/>
        <w:ind w:left="720"/>
        <w:rPr>
          <w:color w:val="000000"/>
          <w:szCs w:val="19"/>
        </w:rPr>
      </w:pPr>
      <w:r w:rsidRPr="00210743">
        <w:rPr>
          <w:b/>
          <w:bCs/>
          <w:color w:val="000000"/>
          <w:szCs w:val="19"/>
        </w:rPr>
        <w:t>PF</w:t>
      </w:r>
      <w:r w:rsidRPr="00210743">
        <w:rPr>
          <w:color w:val="000000"/>
          <w:szCs w:val="19"/>
        </w:rPr>
        <w:t xml:space="preserve"> = Facteur de puissance, dépendant de la puissance émise autorisée des équipements, qui est calculé comme suit: </w:t>
      </w:r>
    </w:p>
    <w:p w:rsidR="003A5252" w:rsidRPr="00F50942" w:rsidRDefault="003A5252" w:rsidP="00FD23B9">
      <w:pPr>
        <w:bidi w:val="0"/>
        <w:spacing w:line="240" w:lineRule="auto"/>
        <w:ind w:left="720"/>
        <w:rPr>
          <w:color w:val="000000"/>
          <w:szCs w:val="19"/>
        </w:rPr>
      </w:pPr>
    </w:p>
    <w:p w:rsidR="003A5252" w:rsidRPr="00F50942" w:rsidRDefault="003A5252" w:rsidP="00EE251B">
      <w:pPr>
        <w:pStyle w:val="FigureTitle"/>
        <w:pBdr>
          <w:top w:val="single" w:sz="12" w:space="10" w:color="000000"/>
        </w:pBdr>
      </w:pPr>
    </w:p>
    <w:tbl>
      <w:tblPr>
        <w:tblW w:w="0" w:type="auto"/>
        <w:jc w:val="center"/>
        <w:tblInd w:w="900" w:type="dxa"/>
        <w:tblBorders>
          <w:top w:val="nil"/>
          <w:left w:val="nil"/>
          <w:bottom w:val="nil"/>
          <w:right w:val="nil"/>
        </w:tblBorders>
        <w:tblLook w:val="0000"/>
      </w:tblPr>
      <w:tblGrid>
        <w:gridCol w:w="1226"/>
        <w:gridCol w:w="2032"/>
        <w:gridCol w:w="931"/>
        <w:gridCol w:w="1167"/>
        <w:gridCol w:w="1277"/>
        <w:gridCol w:w="837"/>
      </w:tblGrid>
      <w:tr w:rsidR="003A5252" w:rsidRPr="00850A0F" w:rsidTr="00026C26">
        <w:trPr>
          <w:trHeight w:val="319"/>
          <w:jc w:val="center"/>
        </w:trPr>
        <w:tc>
          <w:tcPr>
            <w:tcW w:w="1226" w:type="dxa"/>
            <w:tcBorders>
              <w:top w:val="single" w:sz="8" w:space="0" w:color="000000"/>
              <w:left w:val="single" w:sz="8" w:space="0" w:color="000000"/>
              <w:bottom w:val="single" w:sz="8" w:space="0" w:color="000000"/>
              <w:right w:val="single" w:sz="8" w:space="0" w:color="000000"/>
            </w:tcBorders>
          </w:tcPr>
          <w:p w:rsidR="003A5252" w:rsidRPr="00EE469B" w:rsidRDefault="003A5252" w:rsidP="00FD23B9">
            <w:pPr>
              <w:pStyle w:val="Tablehead"/>
              <w:spacing w:line="240" w:lineRule="auto"/>
              <w:rPr>
                <w:rFonts w:asciiTheme="majorBidi" w:hAnsiTheme="majorBidi" w:cstheme="majorBidi"/>
                <w:szCs w:val="22"/>
                <w:lang w:val="fr-FR"/>
              </w:rPr>
            </w:pPr>
            <w:r w:rsidRPr="00EE469B">
              <w:rPr>
                <w:rFonts w:asciiTheme="majorBidi" w:hAnsiTheme="majorBidi" w:cstheme="majorBidi"/>
                <w:szCs w:val="22"/>
                <w:lang w:val="fr-FR"/>
              </w:rPr>
              <w:t xml:space="preserve">Puissance </w:t>
            </w:r>
          </w:p>
        </w:tc>
        <w:tc>
          <w:tcPr>
            <w:tcW w:w="2032" w:type="dxa"/>
            <w:tcBorders>
              <w:top w:val="single" w:sz="8" w:space="0" w:color="000000"/>
              <w:left w:val="single" w:sz="8" w:space="0" w:color="000000"/>
              <w:bottom w:val="single" w:sz="8" w:space="0" w:color="000000"/>
              <w:right w:val="single" w:sz="8" w:space="0" w:color="000000"/>
            </w:tcBorders>
          </w:tcPr>
          <w:p w:rsidR="003A5252" w:rsidRPr="00EE469B" w:rsidRDefault="003A5252" w:rsidP="00FD23B9">
            <w:pPr>
              <w:pStyle w:val="Tablehead"/>
              <w:spacing w:line="240" w:lineRule="auto"/>
              <w:rPr>
                <w:rFonts w:asciiTheme="majorBidi" w:hAnsiTheme="majorBidi" w:cstheme="majorBidi"/>
                <w:szCs w:val="22"/>
                <w:lang w:val="fr-FR"/>
              </w:rPr>
            </w:pPr>
            <w:r w:rsidRPr="00EE469B">
              <w:rPr>
                <w:rFonts w:asciiTheme="majorBidi" w:hAnsiTheme="majorBidi" w:cstheme="majorBidi"/>
                <w:szCs w:val="22"/>
                <w:lang w:val="fr-FR"/>
              </w:rPr>
              <w:t>Inférieure à 1 W</w:t>
            </w:r>
          </w:p>
        </w:tc>
        <w:tc>
          <w:tcPr>
            <w:tcW w:w="0" w:type="auto"/>
            <w:tcBorders>
              <w:top w:val="single" w:sz="8" w:space="0" w:color="000000"/>
              <w:left w:val="single" w:sz="8" w:space="0" w:color="000000"/>
              <w:bottom w:val="single" w:sz="8" w:space="0" w:color="000000"/>
              <w:right w:val="single" w:sz="8" w:space="0" w:color="000000"/>
            </w:tcBorders>
          </w:tcPr>
          <w:p w:rsidR="003A5252" w:rsidRPr="00EE469B" w:rsidRDefault="003A5252" w:rsidP="00FD23B9">
            <w:pPr>
              <w:pStyle w:val="Tablehead"/>
              <w:spacing w:line="240" w:lineRule="auto"/>
              <w:rPr>
                <w:rFonts w:asciiTheme="majorBidi" w:hAnsiTheme="majorBidi" w:cstheme="majorBidi"/>
                <w:szCs w:val="22"/>
                <w:lang w:val="fr-FR"/>
              </w:rPr>
            </w:pPr>
            <w:r w:rsidRPr="00EE469B">
              <w:rPr>
                <w:rFonts w:asciiTheme="majorBidi" w:hAnsiTheme="majorBidi" w:cstheme="majorBidi"/>
                <w:szCs w:val="22"/>
                <w:lang w:val="fr-FR"/>
              </w:rPr>
              <w:t xml:space="preserve">1 – 5 W </w:t>
            </w:r>
          </w:p>
        </w:tc>
        <w:tc>
          <w:tcPr>
            <w:tcW w:w="0" w:type="auto"/>
            <w:tcBorders>
              <w:top w:val="single" w:sz="8" w:space="0" w:color="000000"/>
              <w:left w:val="single" w:sz="8" w:space="0" w:color="000000"/>
              <w:bottom w:val="single" w:sz="8" w:space="0" w:color="000000"/>
              <w:right w:val="single" w:sz="8" w:space="0" w:color="000000"/>
            </w:tcBorders>
          </w:tcPr>
          <w:p w:rsidR="003A5252" w:rsidRPr="00EE469B" w:rsidRDefault="003A5252" w:rsidP="00FD23B9">
            <w:pPr>
              <w:pStyle w:val="Tablehead"/>
              <w:spacing w:line="240" w:lineRule="auto"/>
              <w:rPr>
                <w:rFonts w:asciiTheme="majorBidi" w:hAnsiTheme="majorBidi" w:cstheme="majorBidi"/>
                <w:szCs w:val="22"/>
                <w:lang w:val="fr-FR"/>
              </w:rPr>
            </w:pPr>
            <w:r w:rsidRPr="00EE469B">
              <w:rPr>
                <w:rFonts w:asciiTheme="majorBidi" w:hAnsiTheme="majorBidi" w:cstheme="majorBidi"/>
                <w:szCs w:val="22"/>
                <w:lang w:val="fr-FR"/>
              </w:rPr>
              <w:t xml:space="preserve">&gt;5 – 10 W </w:t>
            </w:r>
          </w:p>
        </w:tc>
        <w:tc>
          <w:tcPr>
            <w:tcW w:w="0" w:type="auto"/>
            <w:tcBorders>
              <w:top w:val="single" w:sz="8" w:space="0" w:color="000000"/>
              <w:left w:val="single" w:sz="8" w:space="0" w:color="000000"/>
              <w:bottom w:val="single" w:sz="8" w:space="0" w:color="000000"/>
              <w:right w:val="single" w:sz="8" w:space="0" w:color="000000"/>
            </w:tcBorders>
          </w:tcPr>
          <w:p w:rsidR="003A5252" w:rsidRPr="00EE469B" w:rsidRDefault="003A5252" w:rsidP="00FD23B9">
            <w:pPr>
              <w:pStyle w:val="Tablehead"/>
              <w:spacing w:line="240" w:lineRule="auto"/>
              <w:rPr>
                <w:rFonts w:asciiTheme="majorBidi" w:hAnsiTheme="majorBidi" w:cstheme="majorBidi"/>
                <w:szCs w:val="22"/>
                <w:lang w:val="fr-FR"/>
              </w:rPr>
            </w:pPr>
            <w:r w:rsidRPr="00EE469B">
              <w:rPr>
                <w:rFonts w:asciiTheme="majorBidi" w:hAnsiTheme="majorBidi" w:cstheme="majorBidi"/>
                <w:szCs w:val="22"/>
                <w:lang w:val="fr-FR"/>
              </w:rPr>
              <w:t xml:space="preserve">&gt;10 – 20 W </w:t>
            </w:r>
          </w:p>
        </w:tc>
        <w:tc>
          <w:tcPr>
            <w:tcW w:w="0" w:type="auto"/>
            <w:tcBorders>
              <w:top w:val="single" w:sz="8" w:space="0" w:color="000000"/>
              <w:left w:val="single" w:sz="8" w:space="0" w:color="000000"/>
              <w:bottom w:val="single" w:sz="8" w:space="0" w:color="000000"/>
              <w:right w:val="single" w:sz="8" w:space="0" w:color="000000"/>
            </w:tcBorders>
          </w:tcPr>
          <w:p w:rsidR="003A5252" w:rsidRPr="00EE469B" w:rsidRDefault="003A5252" w:rsidP="00FD23B9">
            <w:pPr>
              <w:pStyle w:val="Tablehead"/>
              <w:spacing w:line="240" w:lineRule="auto"/>
              <w:rPr>
                <w:rFonts w:asciiTheme="majorBidi" w:hAnsiTheme="majorBidi" w:cstheme="majorBidi"/>
                <w:szCs w:val="22"/>
                <w:lang w:val="fr-FR"/>
              </w:rPr>
            </w:pPr>
            <w:r w:rsidRPr="00EE469B">
              <w:rPr>
                <w:rFonts w:asciiTheme="majorBidi" w:hAnsiTheme="majorBidi" w:cstheme="majorBidi"/>
                <w:szCs w:val="22"/>
                <w:lang w:val="fr-FR"/>
              </w:rPr>
              <w:t xml:space="preserve">&gt;20 W </w:t>
            </w:r>
          </w:p>
        </w:tc>
      </w:tr>
      <w:tr w:rsidR="003A5252" w:rsidRPr="00850A0F" w:rsidTr="00026C26">
        <w:trPr>
          <w:trHeight w:val="319"/>
          <w:jc w:val="center"/>
        </w:trPr>
        <w:tc>
          <w:tcPr>
            <w:tcW w:w="1226" w:type="dxa"/>
            <w:tcBorders>
              <w:top w:val="single" w:sz="8" w:space="0" w:color="000000"/>
              <w:left w:val="single" w:sz="8" w:space="0" w:color="000000"/>
              <w:bottom w:val="single" w:sz="8" w:space="0" w:color="000000"/>
              <w:right w:val="single" w:sz="8" w:space="0" w:color="000000"/>
            </w:tcBorders>
          </w:tcPr>
          <w:p w:rsidR="003A5252" w:rsidRPr="00EE469B" w:rsidRDefault="003A5252" w:rsidP="00FD23B9">
            <w:pPr>
              <w:pStyle w:val="Tabletext"/>
              <w:spacing w:line="240" w:lineRule="auto"/>
              <w:rPr>
                <w:rFonts w:asciiTheme="majorBidi" w:hAnsiTheme="majorBidi" w:cstheme="majorBidi"/>
                <w:szCs w:val="22"/>
                <w:lang w:val="fr-FR"/>
              </w:rPr>
            </w:pPr>
            <w:r w:rsidRPr="00EE469B">
              <w:rPr>
                <w:rFonts w:asciiTheme="majorBidi" w:hAnsiTheme="majorBidi" w:cstheme="majorBidi"/>
                <w:szCs w:val="22"/>
                <w:lang w:val="fr-FR"/>
              </w:rPr>
              <w:t>PF</w:t>
            </w:r>
          </w:p>
        </w:tc>
        <w:tc>
          <w:tcPr>
            <w:tcW w:w="2032" w:type="dxa"/>
            <w:tcBorders>
              <w:top w:val="single" w:sz="8" w:space="0" w:color="000000"/>
              <w:left w:val="single" w:sz="8" w:space="0" w:color="000000"/>
              <w:bottom w:val="single" w:sz="8" w:space="0" w:color="000000"/>
              <w:right w:val="single" w:sz="8" w:space="0" w:color="000000"/>
            </w:tcBorders>
          </w:tcPr>
          <w:p w:rsidR="003A5252" w:rsidRPr="00EE469B" w:rsidRDefault="003A5252" w:rsidP="00FD23B9">
            <w:pPr>
              <w:pStyle w:val="Tabletext"/>
              <w:spacing w:line="240" w:lineRule="auto"/>
              <w:rPr>
                <w:rFonts w:asciiTheme="majorBidi" w:hAnsiTheme="majorBidi" w:cstheme="majorBidi"/>
                <w:szCs w:val="22"/>
                <w:lang w:val="fr-FR"/>
              </w:rPr>
            </w:pPr>
            <w:r w:rsidRPr="00EE469B">
              <w:rPr>
                <w:rFonts w:asciiTheme="majorBidi" w:hAnsiTheme="majorBidi" w:cstheme="majorBidi"/>
                <w:szCs w:val="22"/>
                <w:lang w:val="fr-FR"/>
              </w:rPr>
              <w:t>0,25</w:t>
            </w:r>
          </w:p>
        </w:tc>
        <w:tc>
          <w:tcPr>
            <w:tcW w:w="0" w:type="auto"/>
            <w:tcBorders>
              <w:top w:val="single" w:sz="8" w:space="0" w:color="000000"/>
              <w:left w:val="single" w:sz="8" w:space="0" w:color="000000"/>
              <w:bottom w:val="single" w:sz="8" w:space="0" w:color="000000"/>
              <w:right w:val="single" w:sz="8" w:space="0" w:color="000000"/>
            </w:tcBorders>
          </w:tcPr>
          <w:p w:rsidR="003A5252" w:rsidRPr="00EE469B" w:rsidRDefault="003A5252" w:rsidP="00FD23B9">
            <w:pPr>
              <w:pStyle w:val="Tabletext"/>
              <w:spacing w:line="240" w:lineRule="auto"/>
              <w:rPr>
                <w:rFonts w:asciiTheme="majorBidi" w:hAnsiTheme="majorBidi" w:cstheme="majorBidi"/>
                <w:szCs w:val="22"/>
                <w:lang w:val="fr-FR"/>
              </w:rPr>
            </w:pPr>
            <w:r w:rsidRPr="00EE469B">
              <w:rPr>
                <w:rFonts w:asciiTheme="majorBidi" w:hAnsiTheme="majorBidi" w:cstheme="majorBidi"/>
                <w:szCs w:val="22"/>
                <w:lang w:val="fr-FR"/>
              </w:rPr>
              <w:t>1</w:t>
            </w:r>
          </w:p>
        </w:tc>
        <w:tc>
          <w:tcPr>
            <w:tcW w:w="0" w:type="auto"/>
            <w:tcBorders>
              <w:top w:val="single" w:sz="8" w:space="0" w:color="000000"/>
              <w:left w:val="single" w:sz="8" w:space="0" w:color="000000"/>
              <w:bottom w:val="single" w:sz="8" w:space="0" w:color="000000"/>
              <w:right w:val="single" w:sz="8" w:space="0" w:color="000000"/>
            </w:tcBorders>
          </w:tcPr>
          <w:p w:rsidR="003A5252" w:rsidRPr="00EE469B" w:rsidRDefault="003A5252" w:rsidP="00FD23B9">
            <w:pPr>
              <w:pStyle w:val="Tabletext"/>
              <w:spacing w:line="240" w:lineRule="auto"/>
              <w:rPr>
                <w:rFonts w:asciiTheme="majorBidi" w:hAnsiTheme="majorBidi" w:cstheme="majorBidi"/>
                <w:szCs w:val="22"/>
                <w:lang w:val="fr-FR"/>
              </w:rPr>
            </w:pPr>
            <w:r w:rsidRPr="00EE469B">
              <w:rPr>
                <w:rFonts w:asciiTheme="majorBidi" w:hAnsiTheme="majorBidi" w:cstheme="majorBidi"/>
                <w:szCs w:val="22"/>
                <w:lang w:val="fr-FR"/>
              </w:rPr>
              <w:t>2</w:t>
            </w:r>
          </w:p>
        </w:tc>
        <w:tc>
          <w:tcPr>
            <w:tcW w:w="0" w:type="auto"/>
            <w:tcBorders>
              <w:top w:val="single" w:sz="8" w:space="0" w:color="000000"/>
              <w:left w:val="single" w:sz="8" w:space="0" w:color="000000"/>
              <w:bottom w:val="single" w:sz="8" w:space="0" w:color="000000"/>
              <w:right w:val="single" w:sz="8" w:space="0" w:color="000000"/>
            </w:tcBorders>
          </w:tcPr>
          <w:p w:rsidR="003A5252" w:rsidRPr="00EE469B" w:rsidRDefault="003A5252" w:rsidP="00FD23B9">
            <w:pPr>
              <w:pStyle w:val="Tabletext"/>
              <w:spacing w:line="240" w:lineRule="auto"/>
              <w:rPr>
                <w:rFonts w:asciiTheme="majorBidi" w:hAnsiTheme="majorBidi" w:cstheme="majorBidi"/>
                <w:szCs w:val="22"/>
                <w:lang w:val="fr-FR"/>
              </w:rPr>
            </w:pPr>
            <w:r w:rsidRPr="00EE469B">
              <w:rPr>
                <w:rFonts w:asciiTheme="majorBidi" w:hAnsiTheme="majorBidi" w:cstheme="majorBidi"/>
                <w:szCs w:val="22"/>
                <w:lang w:val="fr-FR"/>
              </w:rPr>
              <w:t>3</w:t>
            </w:r>
          </w:p>
        </w:tc>
        <w:tc>
          <w:tcPr>
            <w:tcW w:w="0" w:type="auto"/>
            <w:tcBorders>
              <w:top w:val="single" w:sz="8" w:space="0" w:color="000000"/>
              <w:left w:val="single" w:sz="8" w:space="0" w:color="000000"/>
              <w:bottom w:val="single" w:sz="8" w:space="0" w:color="000000"/>
              <w:right w:val="single" w:sz="8" w:space="0" w:color="000000"/>
            </w:tcBorders>
          </w:tcPr>
          <w:p w:rsidR="003A5252" w:rsidRPr="00EE469B" w:rsidRDefault="003A5252" w:rsidP="00FD23B9">
            <w:pPr>
              <w:pStyle w:val="Tabletext"/>
              <w:spacing w:line="240" w:lineRule="auto"/>
              <w:rPr>
                <w:rFonts w:asciiTheme="majorBidi" w:hAnsiTheme="majorBidi" w:cstheme="majorBidi"/>
                <w:szCs w:val="22"/>
                <w:lang w:val="fr-FR"/>
              </w:rPr>
            </w:pPr>
            <w:r w:rsidRPr="00EE469B">
              <w:rPr>
                <w:rFonts w:asciiTheme="majorBidi" w:hAnsiTheme="majorBidi" w:cstheme="majorBidi"/>
                <w:szCs w:val="22"/>
                <w:lang w:val="fr-FR"/>
              </w:rPr>
              <w:t>4</w:t>
            </w:r>
          </w:p>
        </w:tc>
      </w:tr>
    </w:tbl>
    <w:p w:rsidR="003A5252" w:rsidRPr="00F50942" w:rsidRDefault="003A5252" w:rsidP="00281920">
      <w:pPr>
        <w:pStyle w:val="FigureSource"/>
        <w:pBdr>
          <w:bottom w:val="single" w:sz="12" w:space="1" w:color="auto"/>
        </w:pBdr>
      </w:pPr>
    </w:p>
    <w:p w:rsidR="003A5252" w:rsidRDefault="003A5252" w:rsidP="00FD23B9">
      <w:pPr>
        <w:bidi w:val="0"/>
        <w:spacing w:line="240" w:lineRule="auto"/>
        <w:ind w:left="720"/>
        <w:rPr>
          <w:b/>
          <w:color w:val="000000"/>
          <w:szCs w:val="19"/>
        </w:rPr>
      </w:pPr>
    </w:p>
    <w:p w:rsidR="003A5252" w:rsidRDefault="003A5252" w:rsidP="00FD23B9">
      <w:pPr>
        <w:bidi w:val="0"/>
        <w:spacing w:line="240" w:lineRule="auto"/>
        <w:ind w:left="720"/>
        <w:rPr>
          <w:color w:val="000000"/>
          <w:szCs w:val="19"/>
        </w:rPr>
      </w:pPr>
      <w:r w:rsidRPr="00461B11">
        <w:rPr>
          <w:b/>
          <w:bCs/>
          <w:color w:val="000000"/>
          <w:szCs w:val="19"/>
        </w:rPr>
        <w:t>CF</w:t>
      </w:r>
      <w:r w:rsidRPr="00461B11">
        <w:rPr>
          <w:color w:val="000000"/>
          <w:szCs w:val="19"/>
        </w:rPr>
        <w:t xml:space="preserve"> = coefficient de desserte, en fonction de la zone géographique, qui est déterminé comme suit: </w:t>
      </w:r>
    </w:p>
    <w:p w:rsidR="003A5252" w:rsidRDefault="003A5252" w:rsidP="00FD23B9">
      <w:pPr>
        <w:bidi w:val="0"/>
        <w:spacing w:line="240" w:lineRule="auto"/>
        <w:ind w:left="720"/>
        <w:rPr>
          <w:color w:val="000000"/>
          <w:szCs w:val="19"/>
        </w:rPr>
      </w:pPr>
    </w:p>
    <w:p w:rsidR="003A5252" w:rsidRPr="00F50942" w:rsidRDefault="003A5252" w:rsidP="00EE251B">
      <w:pPr>
        <w:pStyle w:val="FigureTitle"/>
        <w:pBdr>
          <w:top w:val="single" w:sz="12" w:space="10" w:color="000000"/>
        </w:pBdr>
      </w:pPr>
    </w:p>
    <w:tbl>
      <w:tblPr>
        <w:tblW w:w="0" w:type="auto"/>
        <w:jc w:val="center"/>
        <w:tblInd w:w="490" w:type="dxa"/>
        <w:tblBorders>
          <w:top w:val="nil"/>
          <w:left w:val="nil"/>
          <w:bottom w:val="nil"/>
          <w:right w:val="nil"/>
        </w:tblBorders>
        <w:tblLook w:val="0000"/>
      </w:tblPr>
      <w:tblGrid>
        <w:gridCol w:w="1122"/>
        <w:gridCol w:w="1475"/>
        <w:gridCol w:w="1230"/>
        <w:gridCol w:w="3118"/>
        <w:gridCol w:w="1433"/>
      </w:tblGrid>
      <w:tr w:rsidR="003A5252" w:rsidRPr="007E2B73" w:rsidTr="00026C26">
        <w:trPr>
          <w:trHeight w:val="319"/>
          <w:jc w:val="center"/>
        </w:trPr>
        <w:tc>
          <w:tcPr>
            <w:tcW w:w="1122" w:type="dxa"/>
            <w:tcBorders>
              <w:top w:val="single" w:sz="8" w:space="0" w:color="000000"/>
              <w:left w:val="single" w:sz="8" w:space="0" w:color="000000"/>
              <w:bottom w:val="single" w:sz="8" w:space="0" w:color="000000"/>
              <w:right w:val="single" w:sz="8" w:space="0" w:color="000000"/>
            </w:tcBorders>
          </w:tcPr>
          <w:p w:rsidR="003A5252" w:rsidRPr="00C148EA" w:rsidRDefault="003A5252" w:rsidP="00FD23B9">
            <w:pPr>
              <w:pStyle w:val="Tablehead"/>
              <w:spacing w:line="240" w:lineRule="auto"/>
              <w:rPr>
                <w:rFonts w:asciiTheme="majorBidi" w:hAnsiTheme="majorBidi" w:cstheme="majorBidi"/>
                <w:szCs w:val="22"/>
                <w:lang w:val="fr-FR"/>
              </w:rPr>
            </w:pPr>
            <w:r w:rsidRPr="00C148EA">
              <w:rPr>
                <w:rFonts w:asciiTheme="majorBidi" w:hAnsiTheme="majorBidi" w:cstheme="majorBidi"/>
                <w:szCs w:val="22"/>
                <w:lang w:val="fr-FR"/>
              </w:rPr>
              <w:t xml:space="preserve">Zone </w:t>
            </w:r>
          </w:p>
        </w:tc>
        <w:tc>
          <w:tcPr>
            <w:tcW w:w="1475" w:type="dxa"/>
            <w:tcBorders>
              <w:top w:val="single" w:sz="8" w:space="0" w:color="000000"/>
              <w:left w:val="single" w:sz="8" w:space="0" w:color="000000"/>
              <w:bottom w:val="single" w:sz="8" w:space="0" w:color="000000"/>
              <w:right w:val="single" w:sz="8" w:space="0" w:color="000000"/>
            </w:tcBorders>
          </w:tcPr>
          <w:p w:rsidR="003A5252" w:rsidRPr="00C148EA" w:rsidRDefault="003A5252" w:rsidP="00FD23B9">
            <w:pPr>
              <w:pStyle w:val="Tablehead"/>
              <w:spacing w:line="240" w:lineRule="auto"/>
              <w:rPr>
                <w:rFonts w:asciiTheme="majorBidi" w:hAnsiTheme="majorBidi" w:cstheme="majorBidi"/>
                <w:szCs w:val="22"/>
                <w:lang w:val="fr-FR"/>
              </w:rPr>
            </w:pPr>
            <w:r w:rsidRPr="00C148EA">
              <w:rPr>
                <w:rFonts w:asciiTheme="majorBidi" w:hAnsiTheme="majorBidi" w:cstheme="majorBidi"/>
                <w:szCs w:val="22"/>
                <w:lang w:val="fr-FR"/>
              </w:rPr>
              <w:t>Zone rurale ou à l'intérieur de locaux</w:t>
            </w:r>
          </w:p>
        </w:tc>
        <w:tc>
          <w:tcPr>
            <w:tcW w:w="1230" w:type="dxa"/>
            <w:tcBorders>
              <w:top w:val="single" w:sz="8" w:space="0" w:color="000000"/>
              <w:left w:val="single" w:sz="8" w:space="0" w:color="000000"/>
              <w:bottom w:val="single" w:sz="8" w:space="0" w:color="000000"/>
              <w:right w:val="single" w:sz="8" w:space="0" w:color="000000"/>
            </w:tcBorders>
          </w:tcPr>
          <w:p w:rsidR="003A5252" w:rsidRPr="00C148EA" w:rsidRDefault="003A5252" w:rsidP="00FD23B9">
            <w:pPr>
              <w:pStyle w:val="Tablehead"/>
              <w:spacing w:line="240" w:lineRule="auto"/>
              <w:rPr>
                <w:rFonts w:asciiTheme="majorBidi" w:hAnsiTheme="majorBidi" w:cstheme="majorBidi"/>
                <w:szCs w:val="22"/>
                <w:lang w:val="fr-FR"/>
              </w:rPr>
            </w:pPr>
            <w:r w:rsidRPr="00C148EA">
              <w:rPr>
                <w:rFonts w:asciiTheme="majorBidi" w:hAnsiTheme="majorBidi" w:cstheme="majorBidi"/>
                <w:szCs w:val="22"/>
                <w:lang w:val="fr-FR"/>
              </w:rPr>
              <w:t xml:space="preserve">Zone urbaine </w:t>
            </w:r>
          </w:p>
        </w:tc>
        <w:tc>
          <w:tcPr>
            <w:tcW w:w="3118" w:type="dxa"/>
            <w:tcBorders>
              <w:top w:val="single" w:sz="8" w:space="0" w:color="000000"/>
              <w:left w:val="single" w:sz="8" w:space="0" w:color="000000"/>
              <w:bottom w:val="single" w:sz="8" w:space="0" w:color="000000"/>
              <w:right w:val="single" w:sz="8" w:space="0" w:color="000000"/>
            </w:tcBorders>
          </w:tcPr>
          <w:p w:rsidR="003A5252" w:rsidRPr="00C148EA" w:rsidRDefault="003A5252" w:rsidP="00FD23B9">
            <w:pPr>
              <w:pStyle w:val="Tablehead"/>
              <w:spacing w:line="240" w:lineRule="auto"/>
              <w:rPr>
                <w:rFonts w:asciiTheme="majorBidi" w:hAnsiTheme="majorBidi" w:cstheme="majorBidi"/>
                <w:szCs w:val="22"/>
                <w:lang w:val="fr-FR"/>
              </w:rPr>
            </w:pPr>
            <w:r w:rsidRPr="00C148EA">
              <w:rPr>
                <w:rFonts w:asciiTheme="majorBidi" w:hAnsiTheme="majorBidi" w:cstheme="majorBidi"/>
                <w:szCs w:val="22"/>
                <w:lang w:val="fr-FR"/>
              </w:rPr>
              <w:t xml:space="preserve">Ensemble des Emirats </w:t>
            </w:r>
          </w:p>
        </w:tc>
        <w:tc>
          <w:tcPr>
            <w:tcW w:w="1433" w:type="dxa"/>
            <w:tcBorders>
              <w:top w:val="single" w:sz="8" w:space="0" w:color="000000"/>
              <w:left w:val="single" w:sz="8" w:space="0" w:color="000000"/>
              <w:bottom w:val="single" w:sz="8" w:space="0" w:color="000000"/>
              <w:right w:val="single" w:sz="8" w:space="0" w:color="000000"/>
            </w:tcBorders>
          </w:tcPr>
          <w:p w:rsidR="003A5252" w:rsidRPr="00C148EA" w:rsidRDefault="003A5252" w:rsidP="00FD23B9">
            <w:pPr>
              <w:pStyle w:val="Tablehead"/>
              <w:spacing w:line="240" w:lineRule="auto"/>
              <w:rPr>
                <w:rFonts w:asciiTheme="majorBidi" w:hAnsiTheme="majorBidi" w:cstheme="majorBidi"/>
                <w:szCs w:val="22"/>
                <w:lang w:val="fr-FR"/>
              </w:rPr>
            </w:pPr>
            <w:r w:rsidRPr="00C148EA">
              <w:rPr>
                <w:rFonts w:asciiTheme="majorBidi" w:hAnsiTheme="majorBidi" w:cstheme="majorBidi"/>
                <w:szCs w:val="22"/>
                <w:lang w:val="fr-FR"/>
              </w:rPr>
              <w:t xml:space="preserve">Totalité des Emirats arabes unis </w:t>
            </w:r>
          </w:p>
        </w:tc>
      </w:tr>
      <w:tr w:rsidR="003A5252" w:rsidRPr="00850A0F" w:rsidTr="00026C26">
        <w:trPr>
          <w:trHeight w:val="319"/>
          <w:jc w:val="center"/>
        </w:trPr>
        <w:tc>
          <w:tcPr>
            <w:tcW w:w="1122" w:type="dxa"/>
            <w:tcBorders>
              <w:top w:val="single" w:sz="8" w:space="0" w:color="000000"/>
              <w:left w:val="single" w:sz="8" w:space="0" w:color="000000"/>
              <w:bottom w:val="single" w:sz="8" w:space="0" w:color="000000"/>
              <w:right w:val="single" w:sz="8" w:space="0" w:color="000000"/>
            </w:tcBorders>
          </w:tcPr>
          <w:p w:rsidR="003A5252" w:rsidRPr="00C148EA" w:rsidRDefault="003A5252" w:rsidP="00FD23B9">
            <w:pPr>
              <w:pStyle w:val="Tabletext"/>
              <w:spacing w:line="240" w:lineRule="auto"/>
              <w:rPr>
                <w:rFonts w:asciiTheme="majorBidi" w:hAnsiTheme="majorBidi" w:cstheme="majorBidi"/>
                <w:szCs w:val="22"/>
                <w:lang w:val="fr-FR"/>
              </w:rPr>
            </w:pPr>
            <w:r w:rsidRPr="00C148EA">
              <w:rPr>
                <w:rFonts w:asciiTheme="majorBidi" w:hAnsiTheme="majorBidi" w:cstheme="majorBidi"/>
                <w:szCs w:val="22"/>
                <w:lang w:val="fr-FR"/>
              </w:rPr>
              <w:t>CF</w:t>
            </w:r>
          </w:p>
        </w:tc>
        <w:tc>
          <w:tcPr>
            <w:tcW w:w="1475" w:type="dxa"/>
            <w:tcBorders>
              <w:top w:val="single" w:sz="8" w:space="0" w:color="000000"/>
              <w:left w:val="single" w:sz="8" w:space="0" w:color="000000"/>
              <w:bottom w:val="single" w:sz="8" w:space="0" w:color="000000"/>
              <w:right w:val="single" w:sz="8" w:space="0" w:color="000000"/>
            </w:tcBorders>
          </w:tcPr>
          <w:p w:rsidR="003A5252" w:rsidRPr="00C148EA" w:rsidRDefault="003A5252" w:rsidP="00FD23B9">
            <w:pPr>
              <w:pStyle w:val="Tabletext"/>
              <w:spacing w:line="240" w:lineRule="auto"/>
              <w:rPr>
                <w:rFonts w:asciiTheme="majorBidi" w:hAnsiTheme="majorBidi" w:cstheme="majorBidi"/>
                <w:szCs w:val="22"/>
                <w:lang w:val="fr-FR"/>
              </w:rPr>
            </w:pPr>
            <w:r w:rsidRPr="00C148EA">
              <w:rPr>
                <w:rFonts w:asciiTheme="majorBidi" w:hAnsiTheme="majorBidi" w:cstheme="majorBidi"/>
                <w:szCs w:val="22"/>
                <w:lang w:val="fr-FR"/>
              </w:rPr>
              <w:t>100</w:t>
            </w:r>
          </w:p>
        </w:tc>
        <w:tc>
          <w:tcPr>
            <w:tcW w:w="1230" w:type="dxa"/>
            <w:tcBorders>
              <w:top w:val="single" w:sz="8" w:space="0" w:color="000000"/>
              <w:left w:val="single" w:sz="8" w:space="0" w:color="000000"/>
              <w:bottom w:val="single" w:sz="8" w:space="0" w:color="000000"/>
              <w:right w:val="single" w:sz="8" w:space="0" w:color="000000"/>
            </w:tcBorders>
          </w:tcPr>
          <w:p w:rsidR="003A5252" w:rsidRPr="00C148EA" w:rsidRDefault="003A5252" w:rsidP="00FD23B9">
            <w:pPr>
              <w:pStyle w:val="Tabletext"/>
              <w:spacing w:line="240" w:lineRule="auto"/>
              <w:rPr>
                <w:rFonts w:asciiTheme="majorBidi" w:hAnsiTheme="majorBidi" w:cstheme="majorBidi"/>
                <w:szCs w:val="22"/>
                <w:lang w:val="fr-FR"/>
              </w:rPr>
            </w:pPr>
            <w:r w:rsidRPr="00C148EA">
              <w:rPr>
                <w:rFonts w:asciiTheme="majorBidi" w:hAnsiTheme="majorBidi" w:cstheme="majorBidi"/>
                <w:szCs w:val="22"/>
                <w:lang w:val="fr-FR"/>
              </w:rPr>
              <w:t>500</w:t>
            </w:r>
          </w:p>
        </w:tc>
        <w:tc>
          <w:tcPr>
            <w:tcW w:w="3118" w:type="dxa"/>
            <w:tcBorders>
              <w:top w:val="single" w:sz="8" w:space="0" w:color="000000"/>
              <w:left w:val="single" w:sz="8" w:space="0" w:color="000000"/>
              <w:bottom w:val="single" w:sz="8" w:space="0" w:color="000000"/>
              <w:right w:val="single" w:sz="8" w:space="0" w:color="000000"/>
            </w:tcBorders>
          </w:tcPr>
          <w:p w:rsidR="003A5252" w:rsidRPr="00C148EA" w:rsidRDefault="003A5252" w:rsidP="00FD23B9">
            <w:pPr>
              <w:pStyle w:val="Tabletext"/>
              <w:spacing w:line="240" w:lineRule="auto"/>
              <w:rPr>
                <w:rFonts w:asciiTheme="majorBidi" w:hAnsiTheme="majorBidi" w:cstheme="majorBidi"/>
                <w:szCs w:val="22"/>
                <w:lang w:val="fr-FR"/>
              </w:rPr>
            </w:pPr>
            <w:r w:rsidRPr="00C148EA">
              <w:rPr>
                <w:rFonts w:asciiTheme="majorBidi" w:hAnsiTheme="majorBidi" w:cstheme="majorBidi"/>
                <w:szCs w:val="22"/>
                <w:lang w:val="fr-FR"/>
              </w:rPr>
              <w:t>2 000 pour Abu Dhabi ou Dubaï</w:t>
            </w:r>
          </w:p>
          <w:p w:rsidR="003A5252" w:rsidRPr="00C148EA" w:rsidRDefault="003A5252" w:rsidP="00FD23B9">
            <w:pPr>
              <w:pStyle w:val="Tabletext"/>
              <w:spacing w:line="240" w:lineRule="auto"/>
              <w:rPr>
                <w:rFonts w:asciiTheme="majorBidi" w:hAnsiTheme="majorBidi" w:cstheme="majorBidi"/>
                <w:szCs w:val="22"/>
                <w:lang w:val="fr-FR"/>
              </w:rPr>
            </w:pPr>
            <w:r w:rsidRPr="00C148EA">
              <w:rPr>
                <w:rFonts w:asciiTheme="majorBidi" w:hAnsiTheme="majorBidi" w:cstheme="majorBidi"/>
                <w:szCs w:val="22"/>
                <w:lang w:val="fr-FR"/>
              </w:rPr>
              <w:t>1 000 pour les autres Emirats</w:t>
            </w:r>
          </w:p>
        </w:tc>
        <w:tc>
          <w:tcPr>
            <w:tcW w:w="1433" w:type="dxa"/>
            <w:tcBorders>
              <w:top w:val="single" w:sz="8" w:space="0" w:color="000000"/>
              <w:left w:val="single" w:sz="8" w:space="0" w:color="000000"/>
              <w:bottom w:val="single" w:sz="8" w:space="0" w:color="000000"/>
              <w:right w:val="single" w:sz="8" w:space="0" w:color="000000"/>
            </w:tcBorders>
          </w:tcPr>
          <w:p w:rsidR="003A5252" w:rsidRPr="00C148EA" w:rsidRDefault="003A5252" w:rsidP="00FD23B9">
            <w:pPr>
              <w:pStyle w:val="Tabletext"/>
              <w:spacing w:line="240" w:lineRule="auto"/>
              <w:rPr>
                <w:rFonts w:asciiTheme="majorBidi" w:hAnsiTheme="majorBidi" w:cstheme="majorBidi"/>
                <w:szCs w:val="22"/>
                <w:lang w:val="fr-FR"/>
              </w:rPr>
            </w:pPr>
            <w:r w:rsidRPr="00C148EA">
              <w:rPr>
                <w:rFonts w:asciiTheme="majorBidi" w:hAnsiTheme="majorBidi" w:cstheme="majorBidi"/>
                <w:szCs w:val="22"/>
                <w:lang w:val="fr-FR"/>
              </w:rPr>
              <w:t>4 000</w:t>
            </w:r>
          </w:p>
        </w:tc>
      </w:tr>
    </w:tbl>
    <w:p w:rsidR="003A5252" w:rsidRPr="00F50942" w:rsidRDefault="003A5252" w:rsidP="00281920">
      <w:pPr>
        <w:pStyle w:val="FigureSource"/>
        <w:pBdr>
          <w:bottom w:val="single" w:sz="12" w:space="1" w:color="auto"/>
        </w:pBdr>
      </w:pPr>
    </w:p>
    <w:p w:rsidR="003A5252" w:rsidRDefault="003A5252" w:rsidP="00FD23B9">
      <w:pPr>
        <w:bidi w:val="0"/>
        <w:spacing w:line="240" w:lineRule="auto"/>
        <w:ind w:left="720" w:hanging="720"/>
      </w:pPr>
    </w:p>
    <w:p w:rsidR="00FD23B9" w:rsidRDefault="00FD23B9" w:rsidP="00FD23B9">
      <w:pPr>
        <w:bidi w:val="0"/>
        <w:spacing w:line="240" w:lineRule="auto"/>
        <w:ind w:left="720" w:hanging="720"/>
      </w:pPr>
    </w:p>
    <w:p w:rsidR="00FD23B9" w:rsidRDefault="00FD23B9" w:rsidP="00FD23B9">
      <w:pPr>
        <w:bidi w:val="0"/>
        <w:spacing w:line="240" w:lineRule="auto"/>
        <w:ind w:left="720" w:hanging="720"/>
      </w:pPr>
    </w:p>
    <w:p w:rsidR="003A5252" w:rsidRDefault="003A5252" w:rsidP="00FD23B9">
      <w:pPr>
        <w:tabs>
          <w:tab w:val="clear" w:pos="794"/>
          <w:tab w:val="clear" w:pos="1191"/>
          <w:tab w:val="clear" w:pos="1588"/>
          <w:tab w:val="clear" w:pos="1985"/>
        </w:tabs>
        <w:overflowPunct/>
        <w:autoSpaceDE/>
        <w:autoSpaceDN/>
        <w:bidi w:val="0"/>
        <w:adjustRightInd/>
        <w:spacing w:before="0" w:line="240" w:lineRule="auto"/>
        <w:jc w:val="left"/>
        <w:textAlignment w:val="auto"/>
      </w:pPr>
      <w:r>
        <w:br w:type="page"/>
      </w:r>
    </w:p>
    <w:p w:rsidR="003A5252" w:rsidRPr="00B04A90" w:rsidRDefault="003A5252" w:rsidP="00FD23B9">
      <w:pPr>
        <w:bidi w:val="0"/>
        <w:spacing w:line="240" w:lineRule="auto"/>
        <w:ind w:left="720" w:hanging="720"/>
      </w:pPr>
      <w:r w:rsidRPr="00B04A90">
        <w:lastRenderedPageBreak/>
        <w:t>12.3</w:t>
      </w:r>
      <w:r w:rsidRPr="00B04A90">
        <w:tab/>
        <w:t xml:space="preserve">Le montant annuel des droits d'utilisation du spectre pour les radiocommunications mobiles privées (à bord de véhicules uniquement) qui ne sont pas localisées est calculé comme suit: </w:t>
      </w:r>
    </w:p>
    <w:p w:rsidR="003A5252" w:rsidRPr="001C00F5" w:rsidRDefault="003A5252" w:rsidP="00FD23B9">
      <w:pPr>
        <w:bidi w:val="0"/>
        <w:spacing w:before="60" w:line="240" w:lineRule="auto"/>
        <w:ind w:firstLine="720"/>
        <w:jc w:val="center"/>
        <w:rPr>
          <w:color w:val="000000"/>
          <w:lang w:val="fr-FR"/>
        </w:rPr>
      </w:pPr>
      <w:r w:rsidRPr="001C00F5">
        <w:rPr>
          <w:b/>
          <w:color w:val="000000"/>
          <w:lang w:val="fr-FR"/>
        </w:rPr>
        <w:t>Droits à acquitter = NC x CF</w:t>
      </w:r>
    </w:p>
    <w:p w:rsidR="003A5252" w:rsidRPr="00127B11" w:rsidRDefault="003A5252" w:rsidP="00FD23B9">
      <w:pPr>
        <w:bidi w:val="0"/>
        <w:spacing w:before="60" w:line="240" w:lineRule="auto"/>
        <w:ind w:left="720"/>
        <w:rPr>
          <w:color w:val="000000"/>
        </w:rPr>
      </w:pPr>
      <w:r w:rsidRPr="00127B11">
        <w:rPr>
          <w:color w:val="000000"/>
        </w:rPr>
        <w:t xml:space="preserve">où: </w:t>
      </w:r>
    </w:p>
    <w:p w:rsidR="003A5252" w:rsidRPr="00127B11" w:rsidRDefault="003A5252" w:rsidP="00FD23B9">
      <w:pPr>
        <w:bidi w:val="0"/>
        <w:spacing w:before="60" w:line="240" w:lineRule="auto"/>
        <w:ind w:left="720"/>
        <w:rPr>
          <w:color w:val="000000"/>
        </w:rPr>
      </w:pPr>
      <w:r w:rsidRPr="00127B11">
        <w:rPr>
          <w:b/>
          <w:bCs/>
          <w:color w:val="000000"/>
        </w:rPr>
        <w:t>NC</w:t>
      </w:r>
      <w:r w:rsidRPr="00127B11">
        <w:rPr>
          <w:color w:val="000000"/>
        </w:rPr>
        <w:t xml:space="preserve"> = Le nombre de canaux (dont chacun a une largeur de bande équivalente de 12,5 kHz) qui seront attribués à l'utilisateur. </w:t>
      </w:r>
    </w:p>
    <w:p w:rsidR="003A5252" w:rsidRDefault="003A5252" w:rsidP="00FD23B9">
      <w:pPr>
        <w:bidi w:val="0"/>
        <w:spacing w:before="60" w:line="240" w:lineRule="auto"/>
        <w:ind w:left="720"/>
        <w:rPr>
          <w:color w:val="000000"/>
        </w:rPr>
      </w:pPr>
      <w:r w:rsidRPr="00127B11">
        <w:rPr>
          <w:b/>
          <w:bCs/>
          <w:color w:val="000000"/>
        </w:rPr>
        <w:t>CF</w:t>
      </w:r>
      <w:r w:rsidRPr="00127B11">
        <w:rPr>
          <w:color w:val="000000"/>
        </w:rPr>
        <w:t xml:space="preserve"> = Coefficient de desserte, en fonction de la zone géographique, qui est déterminé comme suit: </w:t>
      </w:r>
    </w:p>
    <w:p w:rsidR="003A5252" w:rsidRDefault="003A5252" w:rsidP="00FD23B9">
      <w:pPr>
        <w:bidi w:val="0"/>
        <w:spacing w:before="60" w:line="240" w:lineRule="auto"/>
      </w:pPr>
    </w:p>
    <w:p w:rsidR="003A5252" w:rsidRPr="00F50942" w:rsidRDefault="003A5252" w:rsidP="00EE251B">
      <w:pPr>
        <w:pStyle w:val="FigureTitle"/>
        <w:pBdr>
          <w:top w:val="single" w:sz="12" w:space="10" w:color="000000"/>
        </w:pBdr>
      </w:pPr>
    </w:p>
    <w:tbl>
      <w:tblPr>
        <w:tblW w:w="0" w:type="auto"/>
        <w:jc w:val="center"/>
        <w:tblInd w:w="900" w:type="dxa"/>
        <w:tblBorders>
          <w:top w:val="nil"/>
          <w:left w:val="nil"/>
          <w:bottom w:val="nil"/>
          <w:right w:val="nil"/>
        </w:tblBorders>
        <w:tblLook w:val="0000"/>
      </w:tblPr>
      <w:tblGrid>
        <w:gridCol w:w="1057"/>
        <w:gridCol w:w="1442"/>
        <w:gridCol w:w="1218"/>
        <w:gridCol w:w="3107"/>
        <w:gridCol w:w="1456"/>
      </w:tblGrid>
      <w:tr w:rsidR="003A5252" w:rsidRPr="007E2B73" w:rsidTr="00026C26">
        <w:trPr>
          <w:trHeight w:val="319"/>
          <w:jc w:val="center"/>
        </w:trPr>
        <w:tc>
          <w:tcPr>
            <w:tcW w:w="1057" w:type="dxa"/>
            <w:tcBorders>
              <w:top w:val="single" w:sz="8" w:space="0" w:color="000000"/>
              <w:left w:val="single" w:sz="8" w:space="0" w:color="000000"/>
              <w:bottom w:val="single" w:sz="8" w:space="0" w:color="000000"/>
              <w:right w:val="single" w:sz="8" w:space="0" w:color="000000"/>
            </w:tcBorders>
          </w:tcPr>
          <w:p w:rsidR="003A5252" w:rsidRPr="00127B11" w:rsidRDefault="003A5252" w:rsidP="00FD23B9">
            <w:pPr>
              <w:pStyle w:val="Tablehead"/>
              <w:spacing w:before="0" w:after="0" w:line="240" w:lineRule="auto"/>
              <w:rPr>
                <w:rFonts w:asciiTheme="majorBidi" w:hAnsiTheme="majorBidi" w:cstheme="majorBidi"/>
                <w:szCs w:val="22"/>
                <w:lang w:val="fr-FR"/>
              </w:rPr>
            </w:pPr>
            <w:r w:rsidRPr="00127B11">
              <w:rPr>
                <w:rFonts w:asciiTheme="majorBidi" w:hAnsiTheme="majorBidi" w:cstheme="majorBidi"/>
                <w:szCs w:val="22"/>
                <w:lang w:val="fr-FR"/>
              </w:rPr>
              <w:t xml:space="preserve">Zone </w:t>
            </w:r>
          </w:p>
        </w:tc>
        <w:tc>
          <w:tcPr>
            <w:tcW w:w="1442" w:type="dxa"/>
            <w:tcBorders>
              <w:top w:val="single" w:sz="8" w:space="0" w:color="000000"/>
              <w:left w:val="single" w:sz="8" w:space="0" w:color="000000"/>
              <w:bottom w:val="single" w:sz="8" w:space="0" w:color="000000"/>
              <w:right w:val="single" w:sz="8" w:space="0" w:color="000000"/>
            </w:tcBorders>
          </w:tcPr>
          <w:p w:rsidR="003A5252" w:rsidRPr="00127B11" w:rsidRDefault="003A5252" w:rsidP="00FD23B9">
            <w:pPr>
              <w:pStyle w:val="Tablehead"/>
              <w:spacing w:before="0" w:after="0" w:line="240" w:lineRule="auto"/>
              <w:rPr>
                <w:rFonts w:asciiTheme="majorBidi" w:hAnsiTheme="majorBidi" w:cstheme="majorBidi"/>
                <w:szCs w:val="22"/>
                <w:lang w:val="fr-FR"/>
              </w:rPr>
            </w:pPr>
            <w:r w:rsidRPr="00127B11">
              <w:rPr>
                <w:rFonts w:asciiTheme="majorBidi" w:hAnsiTheme="majorBidi" w:cstheme="majorBidi"/>
                <w:szCs w:val="22"/>
                <w:lang w:val="fr-FR"/>
              </w:rPr>
              <w:t>Zone rurale ou à l'intérieur de locaux</w:t>
            </w:r>
          </w:p>
        </w:tc>
        <w:tc>
          <w:tcPr>
            <w:tcW w:w="1218" w:type="dxa"/>
            <w:tcBorders>
              <w:top w:val="single" w:sz="8" w:space="0" w:color="000000"/>
              <w:left w:val="single" w:sz="8" w:space="0" w:color="000000"/>
              <w:bottom w:val="single" w:sz="8" w:space="0" w:color="000000"/>
              <w:right w:val="single" w:sz="8" w:space="0" w:color="000000"/>
            </w:tcBorders>
          </w:tcPr>
          <w:p w:rsidR="003A5252" w:rsidRPr="00127B11" w:rsidRDefault="003A5252" w:rsidP="00FD23B9">
            <w:pPr>
              <w:pStyle w:val="Tablehead"/>
              <w:spacing w:before="0" w:after="0" w:line="240" w:lineRule="auto"/>
              <w:rPr>
                <w:rFonts w:asciiTheme="majorBidi" w:hAnsiTheme="majorBidi" w:cstheme="majorBidi"/>
                <w:szCs w:val="22"/>
                <w:lang w:val="fr-FR"/>
              </w:rPr>
            </w:pPr>
            <w:r w:rsidRPr="00127B11">
              <w:rPr>
                <w:rFonts w:asciiTheme="majorBidi" w:hAnsiTheme="majorBidi" w:cstheme="majorBidi"/>
                <w:szCs w:val="22"/>
                <w:lang w:val="fr-FR"/>
              </w:rPr>
              <w:t xml:space="preserve">Zone urbaine </w:t>
            </w:r>
          </w:p>
        </w:tc>
        <w:tc>
          <w:tcPr>
            <w:tcW w:w="3107" w:type="dxa"/>
            <w:tcBorders>
              <w:top w:val="single" w:sz="8" w:space="0" w:color="000000"/>
              <w:left w:val="single" w:sz="8" w:space="0" w:color="000000"/>
              <w:bottom w:val="single" w:sz="8" w:space="0" w:color="000000"/>
              <w:right w:val="single" w:sz="8" w:space="0" w:color="000000"/>
            </w:tcBorders>
          </w:tcPr>
          <w:p w:rsidR="003A5252" w:rsidRPr="00127B11" w:rsidRDefault="003A5252" w:rsidP="00FD23B9">
            <w:pPr>
              <w:pStyle w:val="Tablehead"/>
              <w:spacing w:before="0" w:after="0" w:line="240" w:lineRule="auto"/>
              <w:rPr>
                <w:rFonts w:asciiTheme="majorBidi" w:hAnsiTheme="majorBidi" w:cstheme="majorBidi"/>
                <w:szCs w:val="22"/>
                <w:lang w:val="fr-FR"/>
              </w:rPr>
            </w:pPr>
            <w:r w:rsidRPr="00127B11">
              <w:rPr>
                <w:rFonts w:asciiTheme="majorBidi" w:hAnsiTheme="majorBidi" w:cstheme="majorBidi"/>
                <w:szCs w:val="22"/>
                <w:lang w:val="fr-FR"/>
              </w:rPr>
              <w:t>Ensemble des Emirats</w:t>
            </w:r>
          </w:p>
        </w:tc>
        <w:tc>
          <w:tcPr>
            <w:tcW w:w="1456" w:type="dxa"/>
            <w:tcBorders>
              <w:top w:val="single" w:sz="8" w:space="0" w:color="000000"/>
              <w:left w:val="single" w:sz="8" w:space="0" w:color="000000"/>
              <w:bottom w:val="single" w:sz="8" w:space="0" w:color="000000"/>
              <w:right w:val="single" w:sz="8" w:space="0" w:color="000000"/>
            </w:tcBorders>
          </w:tcPr>
          <w:p w:rsidR="003A5252" w:rsidRPr="00127B11" w:rsidRDefault="003A5252" w:rsidP="00FD23B9">
            <w:pPr>
              <w:pStyle w:val="Tablehead"/>
              <w:spacing w:before="0" w:after="0" w:line="240" w:lineRule="auto"/>
              <w:rPr>
                <w:rFonts w:asciiTheme="majorBidi" w:hAnsiTheme="majorBidi" w:cstheme="majorBidi"/>
                <w:szCs w:val="22"/>
                <w:lang w:val="fr-FR"/>
              </w:rPr>
            </w:pPr>
            <w:r w:rsidRPr="00127B11">
              <w:rPr>
                <w:rFonts w:asciiTheme="majorBidi" w:hAnsiTheme="majorBidi" w:cstheme="majorBidi"/>
                <w:szCs w:val="22"/>
                <w:lang w:val="fr-FR"/>
              </w:rPr>
              <w:t xml:space="preserve">Totalité des Emirats arabes unis </w:t>
            </w:r>
          </w:p>
        </w:tc>
      </w:tr>
      <w:tr w:rsidR="003A5252" w:rsidRPr="00850A0F" w:rsidTr="00026C26">
        <w:trPr>
          <w:trHeight w:val="319"/>
          <w:jc w:val="center"/>
        </w:trPr>
        <w:tc>
          <w:tcPr>
            <w:tcW w:w="1057" w:type="dxa"/>
            <w:tcBorders>
              <w:top w:val="single" w:sz="8" w:space="0" w:color="000000"/>
              <w:left w:val="single" w:sz="8" w:space="0" w:color="000000"/>
              <w:bottom w:val="single" w:sz="8" w:space="0" w:color="000000"/>
              <w:right w:val="single" w:sz="8" w:space="0" w:color="000000"/>
            </w:tcBorders>
          </w:tcPr>
          <w:p w:rsidR="003A5252" w:rsidRPr="00127B11" w:rsidRDefault="003A5252" w:rsidP="00FD23B9">
            <w:pPr>
              <w:pStyle w:val="Tabletext"/>
              <w:spacing w:before="0" w:after="0" w:line="240" w:lineRule="auto"/>
              <w:rPr>
                <w:rFonts w:asciiTheme="majorBidi" w:hAnsiTheme="majorBidi" w:cstheme="majorBidi"/>
                <w:szCs w:val="22"/>
                <w:lang w:val="fr-FR"/>
              </w:rPr>
            </w:pPr>
            <w:r w:rsidRPr="00127B11">
              <w:rPr>
                <w:rFonts w:asciiTheme="majorBidi" w:hAnsiTheme="majorBidi" w:cstheme="majorBidi"/>
                <w:szCs w:val="22"/>
                <w:lang w:val="fr-FR"/>
              </w:rPr>
              <w:t>CF</w:t>
            </w:r>
          </w:p>
        </w:tc>
        <w:tc>
          <w:tcPr>
            <w:tcW w:w="1442" w:type="dxa"/>
            <w:tcBorders>
              <w:top w:val="single" w:sz="8" w:space="0" w:color="000000"/>
              <w:left w:val="single" w:sz="8" w:space="0" w:color="000000"/>
              <w:bottom w:val="single" w:sz="8" w:space="0" w:color="000000"/>
              <w:right w:val="single" w:sz="8" w:space="0" w:color="000000"/>
            </w:tcBorders>
          </w:tcPr>
          <w:p w:rsidR="003A5252" w:rsidRPr="00127B11" w:rsidRDefault="003A5252" w:rsidP="00FD23B9">
            <w:pPr>
              <w:pStyle w:val="Tabletext"/>
              <w:spacing w:before="0" w:after="0" w:line="240" w:lineRule="auto"/>
              <w:rPr>
                <w:rFonts w:asciiTheme="majorBidi" w:hAnsiTheme="majorBidi" w:cstheme="majorBidi"/>
                <w:szCs w:val="22"/>
                <w:lang w:val="fr-FR"/>
              </w:rPr>
            </w:pPr>
            <w:r w:rsidRPr="00127B11">
              <w:rPr>
                <w:rFonts w:asciiTheme="majorBidi" w:hAnsiTheme="majorBidi" w:cstheme="majorBidi"/>
                <w:szCs w:val="22"/>
                <w:lang w:val="fr-FR"/>
              </w:rPr>
              <w:t>100</w:t>
            </w:r>
          </w:p>
        </w:tc>
        <w:tc>
          <w:tcPr>
            <w:tcW w:w="1218" w:type="dxa"/>
            <w:tcBorders>
              <w:top w:val="single" w:sz="8" w:space="0" w:color="000000"/>
              <w:left w:val="single" w:sz="8" w:space="0" w:color="000000"/>
              <w:bottom w:val="single" w:sz="8" w:space="0" w:color="000000"/>
              <w:right w:val="single" w:sz="8" w:space="0" w:color="000000"/>
            </w:tcBorders>
          </w:tcPr>
          <w:p w:rsidR="003A5252" w:rsidRPr="00127B11" w:rsidRDefault="003A5252" w:rsidP="00FD23B9">
            <w:pPr>
              <w:pStyle w:val="Tabletext"/>
              <w:spacing w:before="0" w:after="0" w:line="240" w:lineRule="auto"/>
              <w:rPr>
                <w:rFonts w:asciiTheme="majorBidi" w:hAnsiTheme="majorBidi" w:cstheme="majorBidi"/>
                <w:szCs w:val="22"/>
                <w:lang w:val="fr-FR"/>
              </w:rPr>
            </w:pPr>
            <w:r w:rsidRPr="00127B11">
              <w:rPr>
                <w:rFonts w:asciiTheme="majorBidi" w:hAnsiTheme="majorBidi" w:cstheme="majorBidi"/>
                <w:szCs w:val="22"/>
                <w:lang w:val="fr-FR"/>
              </w:rPr>
              <w:t>500</w:t>
            </w:r>
          </w:p>
        </w:tc>
        <w:tc>
          <w:tcPr>
            <w:tcW w:w="3107" w:type="dxa"/>
            <w:tcBorders>
              <w:top w:val="single" w:sz="8" w:space="0" w:color="000000"/>
              <w:left w:val="single" w:sz="8" w:space="0" w:color="000000"/>
              <w:bottom w:val="single" w:sz="8" w:space="0" w:color="000000"/>
              <w:right w:val="single" w:sz="8" w:space="0" w:color="000000"/>
            </w:tcBorders>
          </w:tcPr>
          <w:p w:rsidR="003A5252" w:rsidRPr="00127B11" w:rsidRDefault="003A5252" w:rsidP="00FD23B9">
            <w:pPr>
              <w:pStyle w:val="Tabletext"/>
              <w:spacing w:before="0" w:after="0" w:line="240" w:lineRule="auto"/>
              <w:rPr>
                <w:rFonts w:asciiTheme="majorBidi" w:hAnsiTheme="majorBidi" w:cstheme="majorBidi"/>
                <w:szCs w:val="22"/>
                <w:lang w:val="fr-FR"/>
              </w:rPr>
            </w:pPr>
            <w:r w:rsidRPr="00127B11">
              <w:rPr>
                <w:rFonts w:asciiTheme="majorBidi" w:hAnsiTheme="majorBidi" w:cstheme="majorBidi"/>
                <w:szCs w:val="22"/>
                <w:lang w:val="fr-FR"/>
              </w:rPr>
              <w:t>2 000 pour Abu Dhabi ou Dubaï</w:t>
            </w:r>
          </w:p>
          <w:p w:rsidR="003A5252" w:rsidRPr="00127B11" w:rsidRDefault="003A5252" w:rsidP="00FD23B9">
            <w:pPr>
              <w:pStyle w:val="Tabletext"/>
              <w:spacing w:before="0" w:after="0" w:line="240" w:lineRule="auto"/>
              <w:rPr>
                <w:rFonts w:asciiTheme="majorBidi" w:hAnsiTheme="majorBidi" w:cstheme="majorBidi"/>
                <w:szCs w:val="22"/>
                <w:lang w:val="fr-FR"/>
              </w:rPr>
            </w:pPr>
            <w:r w:rsidRPr="00127B11">
              <w:rPr>
                <w:rFonts w:asciiTheme="majorBidi" w:hAnsiTheme="majorBidi" w:cstheme="majorBidi"/>
                <w:szCs w:val="22"/>
                <w:lang w:val="fr-FR"/>
              </w:rPr>
              <w:t>1 000 pour les autres Emirats</w:t>
            </w:r>
          </w:p>
        </w:tc>
        <w:tc>
          <w:tcPr>
            <w:tcW w:w="1456" w:type="dxa"/>
            <w:tcBorders>
              <w:top w:val="single" w:sz="8" w:space="0" w:color="000000"/>
              <w:left w:val="single" w:sz="8" w:space="0" w:color="000000"/>
              <w:bottom w:val="single" w:sz="8" w:space="0" w:color="000000"/>
              <w:right w:val="single" w:sz="8" w:space="0" w:color="000000"/>
            </w:tcBorders>
          </w:tcPr>
          <w:p w:rsidR="003A5252" w:rsidRPr="00127B11" w:rsidRDefault="003A5252" w:rsidP="00FD23B9">
            <w:pPr>
              <w:pStyle w:val="Tabletext"/>
              <w:spacing w:before="0" w:after="0" w:line="240" w:lineRule="auto"/>
              <w:rPr>
                <w:rFonts w:asciiTheme="majorBidi" w:hAnsiTheme="majorBidi" w:cstheme="majorBidi"/>
                <w:szCs w:val="22"/>
                <w:lang w:val="fr-FR"/>
              </w:rPr>
            </w:pPr>
            <w:r w:rsidRPr="00127B11">
              <w:rPr>
                <w:rFonts w:asciiTheme="majorBidi" w:hAnsiTheme="majorBidi" w:cstheme="majorBidi"/>
                <w:szCs w:val="22"/>
                <w:lang w:val="fr-FR"/>
              </w:rPr>
              <w:t>4 000</w:t>
            </w:r>
          </w:p>
        </w:tc>
      </w:tr>
    </w:tbl>
    <w:p w:rsidR="003A5252" w:rsidRDefault="003A5252" w:rsidP="00281920">
      <w:pPr>
        <w:pStyle w:val="FigureSource"/>
        <w:pBdr>
          <w:bottom w:val="single" w:sz="12" w:space="1" w:color="auto"/>
        </w:pBdr>
      </w:pPr>
    </w:p>
    <w:p w:rsidR="003A5252" w:rsidRPr="00F50942" w:rsidRDefault="003A5252" w:rsidP="00FD23B9">
      <w:pPr>
        <w:suppressAutoHyphens/>
        <w:bidi w:val="0"/>
        <w:spacing w:before="60" w:line="240" w:lineRule="auto"/>
        <w:rPr>
          <w:szCs w:val="19"/>
        </w:rPr>
      </w:pPr>
    </w:p>
    <w:p w:rsidR="003A5252" w:rsidRPr="00793073" w:rsidRDefault="003A5252" w:rsidP="00FD23B9">
      <w:pPr>
        <w:pStyle w:val="enumlev1"/>
        <w:bidi w:val="0"/>
        <w:spacing w:before="60" w:line="240" w:lineRule="auto"/>
        <w:rPr>
          <w:rFonts w:asciiTheme="majorBidi" w:hAnsiTheme="majorBidi" w:cstheme="majorBidi"/>
          <w:szCs w:val="22"/>
        </w:rPr>
      </w:pPr>
      <w:r w:rsidRPr="00793073">
        <w:rPr>
          <w:rFonts w:asciiTheme="majorBidi" w:hAnsiTheme="majorBidi" w:cstheme="majorBidi"/>
          <w:szCs w:val="22"/>
        </w:rPr>
        <w:t>12.4</w:t>
      </w:r>
      <w:r w:rsidRPr="00793073">
        <w:rPr>
          <w:rFonts w:asciiTheme="majorBidi" w:hAnsiTheme="majorBidi" w:cstheme="majorBidi"/>
          <w:szCs w:val="22"/>
        </w:rPr>
        <w:tab/>
        <w:t xml:space="preserve">Le montant annuel des droits d'utilisation du spectre pour les radiocommunications mobiles privées utilisées par les compagnies de taxi est calculé, pour la station de base, conformément à l'Article 12.1, une taxe distincte de 300 AED s'appliquant à chaque taxi équipé d'une radio. </w:t>
      </w:r>
    </w:p>
    <w:p w:rsidR="003A5252" w:rsidRPr="00793073" w:rsidRDefault="003A5252" w:rsidP="00FD23B9">
      <w:pPr>
        <w:pStyle w:val="enumlev1"/>
        <w:bidi w:val="0"/>
        <w:spacing w:before="60" w:line="240" w:lineRule="auto"/>
        <w:rPr>
          <w:rFonts w:asciiTheme="majorBidi" w:hAnsiTheme="majorBidi" w:cstheme="majorBidi"/>
          <w:szCs w:val="22"/>
        </w:rPr>
      </w:pPr>
      <w:r w:rsidRPr="00793073">
        <w:rPr>
          <w:rFonts w:asciiTheme="majorBidi" w:hAnsiTheme="majorBidi" w:cstheme="majorBidi"/>
          <w:szCs w:val="22"/>
        </w:rPr>
        <w:t>12.5</w:t>
      </w:r>
      <w:r w:rsidRPr="00793073">
        <w:rPr>
          <w:rFonts w:asciiTheme="majorBidi" w:hAnsiTheme="majorBidi" w:cstheme="majorBidi"/>
          <w:szCs w:val="22"/>
        </w:rPr>
        <w:tab/>
        <w:t xml:space="preserve">Les droits annuels d'utilisation du spectre pour la radiomessagerie publique et au domicile sont calculés pour la station de base conformément à l'Article 12.1, aucune taxe supplémentaire n'étant facturée pour les appareils portables. </w:t>
      </w:r>
    </w:p>
    <w:p w:rsidR="003A5252" w:rsidRPr="00793073" w:rsidRDefault="003A5252" w:rsidP="00FD23B9">
      <w:pPr>
        <w:pStyle w:val="enumlev1"/>
        <w:bidi w:val="0"/>
        <w:spacing w:before="60" w:line="240" w:lineRule="auto"/>
        <w:rPr>
          <w:rFonts w:asciiTheme="majorBidi" w:hAnsiTheme="majorBidi" w:cstheme="majorBidi"/>
          <w:szCs w:val="22"/>
        </w:rPr>
      </w:pPr>
      <w:r w:rsidRPr="00793073">
        <w:rPr>
          <w:rFonts w:asciiTheme="majorBidi" w:hAnsiTheme="majorBidi" w:cstheme="majorBidi"/>
          <w:szCs w:val="22"/>
        </w:rPr>
        <w:t>12.6</w:t>
      </w:r>
      <w:r w:rsidRPr="00793073">
        <w:rPr>
          <w:rFonts w:asciiTheme="majorBidi" w:hAnsiTheme="majorBidi" w:cstheme="majorBidi"/>
          <w:szCs w:val="22"/>
        </w:rPr>
        <w:tab/>
        <w:t xml:space="preserve">Les droits annuels d'utilisation du spectre pour les systèmes analogiques à ressources partagées (du type MPT 1327) sont calculés conformément à l'Article 12.1 ci-dessus. </w:t>
      </w:r>
    </w:p>
    <w:p w:rsidR="003A5252" w:rsidRPr="00793073" w:rsidRDefault="003A5252" w:rsidP="00FD23B9">
      <w:pPr>
        <w:pStyle w:val="enumlev1"/>
        <w:bidi w:val="0"/>
        <w:spacing w:before="60" w:line="240" w:lineRule="auto"/>
        <w:rPr>
          <w:rFonts w:asciiTheme="majorBidi" w:hAnsiTheme="majorBidi" w:cstheme="majorBidi"/>
          <w:szCs w:val="22"/>
        </w:rPr>
      </w:pPr>
      <w:r w:rsidRPr="00793073">
        <w:rPr>
          <w:rFonts w:asciiTheme="majorBidi" w:hAnsiTheme="majorBidi" w:cstheme="majorBidi"/>
          <w:szCs w:val="22"/>
        </w:rPr>
        <w:t>12.7</w:t>
      </w:r>
      <w:r w:rsidRPr="00793073">
        <w:rPr>
          <w:rFonts w:asciiTheme="majorBidi" w:hAnsiTheme="majorBidi" w:cstheme="majorBidi"/>
          <w:szCs w:val="22"/>
        </w:rPr>
        <w:tab/>
        <w:t>Les droits annuels d'utilisation du spectre pour les systèmes numériques à ressources partagées (du type TETRA, TETRAPOL, EDACS, APCO, etc.) sont calculés comme suit:</w:t>
      </w:r>
    </w:p>
    <w:p w:rsidR="003A5252" w:rsidRPr="001C00F5" w:rsidRDefault="003A5252" w:rsidP="00FD23B9">
      <w:pPr>
        <w:bidi w:val="0"/>
        <w:spacing w:before="60" w:line="240" w:lineRule="auto"/>
        <w:ind w:left="720"/>
        <w:jc w:val="center"/>
        <w:rPr>
          <w:color w:val="000000"/>
          <w:lang w:val="fr-FR"/>
        </w:rPr>
      </w:pPr>
      <w:r w:rsidRPr="001C00F5">
        <w:rPr>
          <w:b/>
          <w:color w:val="000000"/>
          <w:lang w:val="fr-FR"/>
        </w:rPr>
        <w:t>Droits à acquitter = NC x CF x 2,5</w:t>
      </w:r>
    </w:p>
    <w:p w:rsidR="003A5252" w:rsidRPr="001C00F5" w:rsidRDefault="003A5252" w:rsidP="00FD23B9">
      <w:pPr>
        <w:bidi w:val="0"/>
        <w:spacing w:before="60" w:line="240" w:lineRule="auto"/>
        <w:ind w:left="720"/>
        <w:rPr>
          <w:color w:val="000000"/>
          <w:lang w:val="fr-FR"/>
        </w:rPr>
      </w:pPr>
      <w:r w:rsidRPr="00CA590E">
        <w:rPr>
          <w:color w:val="000000"/>
          <w:szCs w:val="19"/>
        </w:rPr>
        <w:t>où</w:t>
      </w:r>
      <w:r w:rsidRPr="001C00F5">
        <w:rPr>
          <w:color w:val="000000"/>
          <w:lang w:val="fr-FR"/>
        </w:rPr>
        <w:t xml:space="preserve">: </w:t>
      </w:r>
    </w:p>
    <w:p w:rsidR="003A5252" w:rsidRPr="00CA590E" w:rsidRDefault="003A5252" w:rsidP="00FD23B9">
      <w:pPr>
        <w:bidi w:val="0"/>
        <w:spacing w:before="60" w:line="240" w:lineRule="auto"/>
        <w:ind w:left="720"/>
        <w:rPr>
          <w:color w:val="000000"/>
          <w:szCs w:val="19"/>
        </w:rPr>
      </w:pPr>
      <w:r w:rsidRPr="00CA590E">
        <w:rPr>
          <w:b/>
          <w:bCs/>
          <w:color w:val="000000"/>
          <w:szCs w:val="19"/>
        </w:rPr>
        <w:t>NC</w:t>
      </w:r>
      <w:r w:rsidRPr="00CA590E">
        <w:rPr>
          <w:color w:val="000000"/>
          <w:szCs w:val="19"/>
        </w:rPr>
        <w:t xml:space="preserve"> = Le nombre de canaux (dont chacun a une largeur de bande équivalente de 12,5 kHz) qui seront attribués à l'utilisateur. </w:t>
      </w:r>
    </w:p>
    <w:p w:rsidR="003A5252" w:rsidRDefault="003A5252" w:rsidP="00FD23B9">
      <w:pPr>
        <w:bidi w:val="0"/>
        <w:spacing w:before="60" w:line="240" w:lineRule="auto"/>
        <w:ind w:left="720"/>
        <w:rPr>
          <w:color w:val="000000"/>
          <w:szCs w:val="19"/>
        </w:rPr>
      </w:pPr>
      <w:r w:rsidRPr="00CA590E">
        <w:rPr>
          <w:b/>
          <w:bCs/>
          <w:color w:val="000000"/>
          <w:szCs w:val="19"/>
        </w:rPr>
        <w:t>CF</w:t>
      </w:r>
      <w:r w:rsidRPr="00CA590E">
        <w:rPr>
          <w:color w:val="000000"/>
          <w:szCs w:val="19"/>
        </w:rPr>
        <w:t xml:space="preserve"> = Coefficient de desserte, en fonction de la zone géographique, qui est déterminé comme suit: </w:t>
      </w:r>
    </w:p>
    <w:p w:rsidR="003A5252" w:rsidRDefault="003A5252" w:rsidP="00FD23B9">
      <w:pPr>
        <w:bidi w:val="0"/>
        <w:spacing w:line="240" w:lineRule="auto"/>
      </w:pPr>
    </w:p>
    <w:p w:rsidR="003A5252" w:rsidRPr="00F50942" w:rsidRDefault="003A5252" w:rsidP="00EE251B">
      <w:pPr>
        <w:pStyle w:val="FigureTitle"/>
        <w:pBdr>
          <w:top w:val="single" w:sz="12" w:space="10" w:color="000000"/>
        </w:pBdr>
      </w:pPr>
    </w:p>
    <w:tbl>
      <w:tblPr>
        <w:tblW w:w="0" w:type="auto"/>
        <w:jc w:val="center"/>
        <w:tblInd w:w="925" w:type="dxa"/>
        <w:tblBorders>
          <w:top w:val="nil"/>
          <w:left w:val="nil"/>
          <w:bottom w:val="nil"/>
          <w:right w:val="nil"/>
        </w:tblBorders>
        <w:tblLook w:val="0000"/>
      </w:tblPr>
      <w:tblGrid>
        <w:gridCol w:w="866"/>
        <w:gridCol w:w="1462"/>
        <w:gridCol w:w="1382"/>
        <w:gridCol w:w="3268"/>
        <w:gridCol w:w="1401"/>
      </w:tblGrid>
      <w:tr w:rsidR="003A5252" w:rsidRPr="007E2B73" w:rsidTr="00026C26">
        <w:trPr>
          <w:trHeight w:val="319"/>
          <w:jc w:val="center"/>
        </w:trPr>
        <w:tc>
          <w:tcPr>
            <w:tcW w:w="866" w:type="dxa"/>
            <w:tcBorders>
              <w:top w:val="single" w:sz="8" w:space="0" w:color="000000"/>
              <w:left w:val="single" w:sz="8" w:space="0" w:color="000000"/>
              <w:bottom w:val="single" w:sz="8" w:space="0" w:color="000000"/>
              <w:right w:val="single" w:sz="8" w:space="0" w:color="000000"/>
            </w:tcBorders>
          </w:tcPr>
          <w:p w:rsidR="003A5252" w:rsidRPr="004216E7" w:rsidRDefault="003A5252" w:rsidP="00FD23B9">
            <w:pPr>
              <w:pStyle w:val="Tablehead"/>
              <w:spacing w:before="0" w:after="0" w:line="240" w:lineRule="auto"/>
              <w:rPr>
                <w:rFonts w:asciiTheme="majorBidi" w:hAnsiTheme="majorBidi" w:cstheme="majorBidi"/>
                <w:szCs w:val="22"/>
                <w:lang w:val="fr-FR"/>
              </w:rPr>
            </w:pPr>
            <w:r w:rsidRPr="004216E7">
              <w:rPr>
                <w:rFonts w:asciiTheme="majorBidi" w:hAnsiTheme="majorBidi" w:cstheme="majorBidi"/>
                <w:szCs w:val="22"/>
                <w:lang w:val="fr-FR"/>
              </w:rPr>
              <w:t xml:space="preserve">Zone </w:t>
            </w:r>
          </w:p>
        </w:tc>
        <w:tc>
          <w:tcPr>
            <w:tcW w:w="1462" w:type="dxa"/>
            <w:tcBorders>
              <w:top w:val="single" w:sz="8" w:space="0" w:color="000000"/>
              <w:left w:val="single" w:sz="8" w:space="0" w:color="000000"/>
              <w:bottom w:val="single" w:sz="8" w:space="0" w:color="000000"/>
              <w:right w:val="single" w:sz="8" w:space="0" w:color="000000"/>
            </w:tcBorders>
          </w:tcPr>
          <w:p w:rsidR="003A5252" w:rsidRPr="004216E7" w:rsidRDefault="003A5252" w:rsidP="00FD23B9">
            <w:pPr>
              <w:pStyle w:val="Tablehead"/>
              <w:spacing w:before="0" w:after="0" w:line="240" w:lineRule="auto"/>
              <w:rPr>
                <w:rFonts w:asciiTheme="majorBidi" w:hAnsiTheme="majorBidi" w:cstheme="majorBidi"/>
                <w:szCs w:val="22"/>
                <w:lang w:val="fr-FR"/>
              </w:rPr>
            </w:pPr>
            <w:r w:rsidRPr="004216E7">
              <w:rPr>
                <w:rFonts w:asciiTheme="majorBidi" w:hAnsiTheme="majorBidi" w:cstheme="majorBidi"/>
                <w:szCs w:val="22"/>
                <w:lang w:val="fr-FR"/>
              </w:rPr>
              <w:t>Zone rurale ou à l'intérieur de locaux</w:t>
            </w:r>
          </w:p>
        </w:tc>
        <w:tc>
          <w:tcPr>
            <w:tcW w:w="1382" w:type="dxa"/>
            <w:tcBorders>
              <w:top w:val="single" w:sz="8" w:space="0" w:color="000000"/>
              <w:left w:val="single" w:sz="8" w:space="0" w:color="000000"/>
              <w:bottom w:val="single" w:sz="8" w:space="0" w:color="000000"/>
              <w:right w:val="single" w:sz="8" w:space="0" w:color="000000"/>
            </w:tcBorders>
          </w:tcPr>
          <w:p w:rsidR="003A5252" w:rsidRPr="004216E7" w:rsidRDefault="003A5252" w:rsidP="00FD23B9">
            <w:pPr>
              <w:pStyle w:val="Tablehead"/>
              <w:spacing w:before="0" w:after="0" w:line="240" w:lineRule="auto"/>
              <w:rPr>
                <w:rFonts w:asciiTheme="majorBidi" w:hAnsiTheme="majorBidi" w:cstheme="majorBidi"/>
                <w:szCs w:val="22"/>
                <w:lang w:val="fr-FR"/>
              </w:rPr>
            </w:pPr>
            <w:r w:rsidRPr="004216E7">
              <w:rPr>
                <w:rFonts w:asciiTheme="majorBidi" w:hAnsiTheme="majorBidi" w:cstheme="majorBidi"/>
                <w:szCs w:val="22"/>
                <w:lang w:val="fr-FR"/>
              </w:rPr>
              <w:t xml:space="preserve">Zone urbaine </w:t>
            </w:r>
          </w:p>
        </w:tc>
        <w:tc>
          <w:tcPr>
            <w:tcW w:w="3268" w:type="dxa"/>
            <w:tcBorders>
              <w:top w:val="single" w:sz="8" w:space="0" w:color="000000"/>
              <w:left w:val="single" w:sz="8" w:space="0" w:color="000000"/>
              <w:bottom w:val="single" w:sz="8" w:space="0" w:color="000000"/>
              <w:right w:val="single" w:sz="8" w:space="0" w:color="000000"/>
            </w:tcBorders>
          </w:tcPr>
          <w:p w:rsidR="003A5252" w:rsidRPr="004216E7" w:rsidRDefault="003A5252" w:rsidP="00FD23B9">
            <w:pPr>
              <w:pStyle w:val="Tablehead"/>
              <w:spacing w:before="0" w:after="0" w:line="240" w:lineRule="auto"/>
              <w:rPr>
                <w:rFonts w:asciiTheme="majorBidi" w:hAnsiTheme="majorBidi" w:cstheme="majorBidi"/>
                <w:szCs w:val="22"/>
                <w:lang w:val="fr-FR"/>
              </w:rPr>
            </w:pPr>
            <w:r w:rsidRPr="004216E7">
              <w:rPr>
                <w:rFonts w:asciiTheme="majorBidi" w:hAnsiTheme="majorBidi" w:cstheme="majorBidi"/>
                <w:szCs w:val="22"/>
                <w:lang w:val="fr-FR"/>
              </w:rPr>
              <w:t>Ensemble des Emirats</w:t>
            </w:r>
          </w:p>
        </w:tc>
        <w:tc>
          <w:tcPr>
            <w:tcW w:w="1401" w:type="dxa"/>
            <w:tcBorders>
              <w:top w:val="single" w:sz="8" w:space="0" w:color="000000"/>
              <w:left w:val="single" w:sz="8" w:space="0" w:color="000000"/>
              <w:bottom w:val="single" w:sz="8" w:space="0" w:color="000000"/>
              <w:right w:val="single" w:sz="8" w:space="0" w:color="000000"/>
            </w:tcBorders>
          </w:tcPr>
          <w:p w:rsidR="003A5252" w:rsidRPr="004216E7" w:rsidRDefault="003A5252" w:rsidP="00FD23B9">
            <w:pPr>
              <w:pStyle w:val="Tablehead"/>
              <w:spacing w:before="0" w:after="0" w:line="240" w:lineRule="auto"/>
              <w:rPr>
                <w:rFonts w:asciiTheme="majorBidi" w:hAnsiTheme="majorBidi" w:cstheme="majorBidi"/>
                <w:szCs w:val="22"/>
                <w:lang w:val="fr-FR"/>
              </w:rPr>
            </w:pPr>
            <w:r w:rsidRPr="004216E7">
              <w:rPr>
                <w:rFonts w:asciiTheme="majorBidi" w:hAnsiTheme="majorBidi" w:cstheme="majorBidi"/>
                <w:szCs w:val="22"/>
                <w:lang w:val="fr-FR"/>
              </w:rPr>
              <w:t xml:space="preserve">Totalité des Emirats arabes unis </w:t>
            </w:r>
          </w:p>
        </w:tc>
      </w:tr>
      <w:tr w:rsidR="003A5252" w:rsidRPr="00850A0F" w:rsidTr="00026C26">
        <w:trPr>
          <w:trHeight w:val="319"/>
          <w:jc w:val="center"/>
        </w:trPr>
        <w:tc>
          <w:tcPr>
            <w:tcW w:w="866" w:type="dxa"/>
            <w:tcBorders>
              <w:top w:val="single" w:sz="8" w:space="0" w:color="000000"/>
              <w:left w:val="single" w:sz="8" w:space="0" w:color="000000"/>
              <w:bottom w:val="single" w:sz="8" w:space="0" w:color="000000"/>
              <w:right w:val="single" w:sz="8" w:space="0" w:color="000000"/>
            </w:tcBorders>
          </w:tcPr>
          <w:p w:rsidR="003A5252" w:rsidRPr="004216E7" w:rsidRDefault="003A5252" w:rsidP="00FD23B9">
            <w:pPr>
              <w:pStyle w:val="Tablehead"/>
              <w:spacing w:before="0" w:after="0" w:line="240" w:lineRule="auto"/>
              <w:rPr>
                <w:rFonts w:asciiTheme="majorBidi" w:hAnsiTheme="majorBidi" w:cstheme="majorBidi"/>
                <w:b w:val="0"/>
                <w:bCs/>
                <w:szCs w:val="22"/>
                <w:lang w:val="fr-FR"/>
              </w:rPr>
            </w:pPr>
            <w:r w:rsidRPr="004216E7">
              <w:rPr>
                <w:rFonts w:asciiTheme="majorBidi" w:hAnsiTheme="majorBidi" w:cstheme="majorBidi"/>
                <w:b w:val="0"/>
                <w:bCs/>
                <w:szCs w:val="22"/>
                <w:lang w:val="fr-FR"/>
              </w:rPr>
              <w:t xml:space="preserve">CF </w:t>
            </w:r>
          </w:p>
        </w:tc>
        <w:tc>
          <w:tcPr>
            <w:tcW w:w="1462" w:type="dxa"/>
            <w:tcBorders>
              <w:top w:val="single" w:sz="8" w:space="0" w:color="000000"/>
              <w:left w:val="single" w:sz="8" w:space="0" w:color="000000"/>
              <w:bottom w:val="single" w:sz="8" w:space="0" w:color="000000"/>
              <w:right w:val="single" w:sz="8" w:space="0" w:color="000000"/>
            </w:tcBorders>
          </w:tcPr>
          <w:p w:rsidR="003A5252" w:rsidRPr="004216E7" w:rsidRDefault="003A5252" w:rsidP="00FD23B9">
            <w:pPr>
              <w:pStyle w:val="Tablehead"/>
              <w:spacing w:before="0" w:after="0" w:line="240" w:lineRule="auto"/>
              <w:rPr>
                <w:rFonts w:asciiTheme="majorBidi" w:hAnsiTheme="majorBidi" w:cstheme="majorBidi"/>
                <w:b w:val="0"/>
                <w:bCs/>
                <w:szCs w:val="22"/>
                <w:lang w:val="fr-FR"/>
              </w:rPr>
            </w:pPr>
            <w:r w:rsidRPr="004216E7">
              <w:rPr>
                <w:rFonts w:asciiTheme="majorBidi" w:hAnsiTheme="majorBidi" w:cstheme="majorBidi"/>
                <w:b w:val="0"/>
                <w:bCs/>
                <w:szCs w:val="22"/>
                <w:lang w:val="fr-FR"/>
              </w:rPr>
              <w:t xml:space="preserve">100 </w:t>
            </w:r>
          </w:p>
        </w:tc>
        <w:tc>
          <w:tcPr>
            <w:tcW w:w="1382" w:type="dxa"/>
            <w:tcBorders>
              <w:top w:val="single" w:sz="8" w:space="0" w:color="000000"/>
              <w:left w:val="single" w:sz="8" w:space="0" w:color="000000"/>
              <w:bottom w:val="single" w:sz="8" w:space="0" w:color="000000"/>
              <w:right w:val="single" w:sz="8" w:space="0" w:color="000000"/>
            </w:tcBorders>
          </w:tcPr>
          <w:p w:rsidR="003A5252" w:rsidRPr="004216E7" w:rsidRDefault="003A5252" w:rsidP="00FD23B9">
            <w:pPr>
              <w:pStyle w:val="Tablehead"/>
              <w:spacing w:before="0" w:after="0" w:line="240" w:lineRule="auto"/>
              <w:rPr>
                <w:rFonts w:asciiTheme="majorBidi" w:hAnsiTheme="majorBidi" w:cstheme="majorBidi"/>
                <w:b w:val="0"/>
                <w:bCs/>
                <w:szCs w:val="22"/>
                <w:lang w:val="fr-FR"/>
              </w:rPr>
            </w:pPr>
            <w:r w:rsidRPr="004216E7">
              <w:rPr>
                <w:rFonts w:asciiTheme="majorBidi" w:hAnsiTheme="majorBidi" w:cstheme="majorBidi"/>
                <w:b w:val="0"/>
                <w:bCs/>
                <w:szCs w:val="22"/>
                <w:lang w:val="fr-FR"/>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3A5252" w:rsidRPr="004216E7" w:rsidRDefault="003A5252" w:rsidP="00FD23B9">
            <w:pPr>
              <w:pStyle w:val="Tablehead"/>
              <w:spacing w:before="0" w:after="0" w:line="240" w:lineRule="auto"/>
              <w:rPr>
                <w:rFonts w:asciiTheme="majorBidi" w:hAnsiTheme="majorBidi" w:cstheme="majorBidi"/>
                <w:b w:val="0"/>
                <w:bCs/>
                <w:szCs w:val="22"/>
                <w:lang w:val="fr-FR"/>
              </w:rPr>
            </w:pPr>
            <w:r w:rsidRPr="004216E7">
              <w:rPr>
                <w:rFonts w:asciiTheme="majorBidi" w:hAnsiTheme="majorBidi" w:cstheme="majorBidi"/>
                <w:b w:val="0"/>
                <w:bCs/>
                <w:szCs w:val="22"/>
                <w:lang w:val="fr-FR"/>
              </w:rPr>
              <w:t>2 000 pour Abu Dhabi ou Dubaï</w:t>
            </w:r>
          </w:p>
          <w:p w:rsidR="003A5252" w:rsidRPr="004216E7" w:rsidRDefault="003A5252" w:rsidP="00FD23B9">
            <w:pPr>
              <w:pStyle w:val="Tablehead"/>
              <w:spacing w:before="0" w:after="0" w:line="240" w:lineRule="auto"/>
              <w:rPr>
                <w:rFonts w:asciiTheme="majorBidi" w:hAnsiTheme="majorBidi" w:cstheme="majorBidi"/>
                <w:b w:val="0"/>
                <w:bCs/>
                <w:szCs w:val="22"/>
                <w:lang w:val="fr-FR"/>
              </w:rPr>
            </w:pPr>
            <w:r w:rsidRPr="004216E7">
              <w:rPr>
                <w:rFonts w:asciiTheme="majorBidi" w:hAnsiTheme="majorBidi" w:cstheme="majorBidi"/>
                <w:b w:val="0"/>
                <w:bCs/>
                <w:szCs w:val="22"/>
                <w:lang w:val="fr-FR"/>
              </w:rPr>
              <w:t>1 000 pour les autres Emirats</w:t>
            </w:r>
          </w:p>
        </w:tc>
        <w:tc>
          <w:tcPr>
            <w:tcW w:w="1401" w:type="dxa"/>
            <w:tcBorders>
              <w:top w:val="single" w:sz="8" w:space="0" w:color="000000"/>
              <w:left w:val="single" w:sz="8" w:space="0" w:color="000000"/>
              <w:bottom w:val="single" w:sz="8" w:space="0" w:color="000000"/>
              <w:right w:val="single" w:sz="8" w:space="0" w:color="000000"/>
            </w:tcBorders>
          </w:tcPr>
          <w:p w:rsidR="003A5252" w:rsidRPr="004216E7" w:rsidRDefault="003A5252" w:rsidP="00FD23B9">
            <w:pPr>
              <w:pStyle w:val="Tablehead"/>
              <w:spacing w:before="0" w:after="0" w:line="240" w:lineRule="auto"/>
              <w:rPr>
                <w:rFonts w:asciiTheme="majorBidi" w:hAnsiTheme="majorBidi" w:cstheme="majorBidi"/>
                <w:b w:val="0"/>
                <w:bCs/>
                <w:szCs w:val="22"/>
                <w:lang w:val="fr-FR"/>
              </w:rPr>
            </w:pPr>
            <w:r w:rsidRPr="004216E7">
              <w:rPr>
                <w:rFonts w:asciiTheme="majorBidi" w:hAnsiTheme="majorBidi" w:cstheme="majorBidi"/>
                <w:b w:val="0"/>
                <w:bCs/>
                <w:szCs w:val="22"/>
                <w:lang w:val="fr-FR"/>
              </w:rPr>
              <w:t xml:space="preserve">4 000 </w:t>
            </w:r>
          </w:p>
        </w:tc>
      </w:tr>
    </w:tbl>
    <w:p w:rsidR="003A5252" w:rsidRPr="00F50942" w:rsidRDefault="003A5252" w:rsidP="00281920">
      <w:pPr>
        <w:pStyle w:val="FigureSource"/>
        <w:pBdr>
          <w:bottom w:val="single" w:sz="12" w:space="1" w:color="auto"/>
        </w:pBdr>
      </w:pPr>
    </w:p>
    <w:p w:rsidR="00FD23B9" w:rsidRDefault="00FD23B9">
      <w:pPr>
        <w:tabs>
          <w:tab w:val="clear" w:pos="794"/>
          <w:tab w:val="clear" w:pos="1191"/>
          <w:tab w:val="clear" w:pos="1588"/>
          <w:tab w:val="clear" w:pos="1985"/>
        </w:tabs>
        <w:overflowPunct/>
        <w:autoSpaceDE/>
        <w:autoSpaceDN/>
        <w:bidi w:val="0"/>
        <w:adjustRightInd/>
        <w:spacing w:before="0" w:line="240" w:lineRule="auto"/>
        <w:jc w:val="left"/>
        <w:textAlignment w:val="auto"/>
      </w:pPr>
      <w:bookmarkStart w:id="508" w:name="_Toc225739482"/>
      <w:bookmarkStart w:id="509" w:name="_Toc225739826"/>
      <w:bookmarkStart w:id="510" w:name="_Toc280262370"/>
      <w:bookmarkStart w:id="511" w:name="_Toc280272764"/>
      <w:bookmarkStart w:id="512" w:name="_Toc280272943"/>
    </w:p>
    <w:p w:rsidR="00FD23B9" w:rsidRDefault="00FD23B9" w:rsidP="00FD23B9">
      <w:pPr>
        <w:tabs>
          <w:tab w:val="clear" w:pos="794"/>
          <w:tab w:val="clear" w:pos="1191"/>
          <w:tab w:val="clear" w:pos="1588"/>
          <w:tab w:val="clear" w:pos="1985"/>
        </w:tabs>
        <w:overflowPunct/>
        <w:autoSpaceDE/>
        <w:autoSpaceDN/>
        <w:bidi w:val="0"/>
        <w:adjustRightInd/>
        <w:spacing w:before="0" w:line="240" w:lineRule="auto"/>
        <w:jc w:val="left"/>
        <w:textAlignment w:val="auto"/>
      </w:pPr>
    </w:p>
    <w:p w:rsidR="00FD23B9" w:rsidRDefault="00FD23B9" w:rsidP="00FD23B9">
      <w:pPr>
        <w:tabs>
          <w:tab w:val="clear" w:pos="794"/>
          <w:tab w:val="clear" w:pos="1191"/>
          <w:tab w:val="clear" w:pos="1588"/>
          <w:tab w:val="clear" w:pos="1985"/>
        </w:tabs>
        <w:overflowPunct/>
        <w:autoSpaceDE/>
        <w:autoSpaceDN/>
        <w:bidi w:val="0"/>
        <w:adjustRightInd/>
        <w:spacing w:before="0" w:line="240" w:lineRule="auto"/>
        <w:jc w:val="left"/>
        <w:textAlignment w:val="auto"/>
      </w:pPr>
    </w:p>
    <w:p w:rsidR="00FD23B9" w:rsidRDefault="00FD23B9" w:rsidP="00FD23B9">
      <w:pPr>
        <w:tabs>
          <w:tab w:val="clear" w:pos="794"/>
          <w:tab w:val="clear" w:pos="1191"/>
          <w:tab w:val="clear" w:pos="1588"/>
          <w:tab w:val="clear" w:pos="1985"/>
        </w:tabs>
        <w:overflowPunct/>
        <w:autoSpaceDE/>
        <w:autoSpaceDN/>
        <w:bidi w:val="0"/>
        <w:adjustRightInd/>
        <w:spacing w:before="0" w:line="240" w:lineRule="auto"/>
        <w:jc w:val="left"/>
        <w:textAlignment w:val="auto"/>
      </w:pPr>
    </w:p>
    <w:p w:rsidR="00FD23B9" w:rsidRDefault="00FD23B9" w:rsidP="00FD23B9">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b/>
          <w:sz w:val="24"/>
          <w:szCs w:val="20"/>
        </w:rPr>
      </w:pPr>
      <w:r>
        <w:br w:type="page"/>
      </w:r>
    </w:p>
    <w:p w:rsidR="003A5252" w:rsidRPr="00EB0987" w:rsidRDefault="003A5252" w:rsidP="00FD23B9">
      <w:pPr>
        <w:pStyle w:val="Arttitle"/>
        <w:spacing w:before="400"/>
      </w:pPr>
      <w:r w:rsidRPr="00EB0987">
        <w:lastRenderedPageBreak/>
        <w:t>Article 13</w:t>
      </w:r>
      <w:bookmarkEnd w:id="508"/>
      <w:bookmarkEnd w:id="509"/>
      <w:r w:rsidRPr="00EB0987">
        <w:br/>
      </w:r>
      <w:r w:rsidRPr="00EB0987">
        <w:br/>
      </w:r>
      <w:bookmarkStart w:id="513" w:name="_Toc225739483"/>
      <w:bookmarkStart w:id="514" w:name="_Toc225739827"/>
      <w:r w:rsidRPr="00EB0987">
        <w:t>Droits à acquitter pour l'utilisation du spectre</w:t>
      </w:r>
      <w:r>
        <w:br/>
      </w:r>
      <w:r w:rsidRPr="00EB0987">
        <w:t>pour des liaisons fixes (point à point)</w:t>
      </w:r>
      <w:bookmarkEnd w:id="510"/>
      <w:bookmarkEnd w:id="511"/>
      <w:bookmarkEnd w:id="512"/>
      <w:bookmarkEnd w:id="513"/>
      <w:bookmarkEnd w:id="514"/>
    </w:p>
    <w:p w:rsidR="003A5252" w:rsidRPr="00151874" w:rsidRDefault="003A5252" w:rsidP="00FD23B9">
      <w:pPr>
        <w:pStyle w:val="enumlev1"/>
        <w:bidi w:val="0"/>
        <w:spacing w:line="240" w:lineRule="auto"/>
        <w:rPr>
          <w:rFonts w:asciiTheme="majorBidi" w:hAnsiTheme="majorBidi" w:cstheme="majorBidi"/>
          <w:szCs w:val="22"/>
        </w:rPr>
      </w:pPr>
      <w:r w:rsidRPr="00151874">
        <w:rPr>
          <w:rFonts w:asciiTheme="majorBidi" w:hAnsiTheme="majorBidi" w:cstheme="majorBidi"/>
          <w:szCs w:val="22"/>
        </w:rPr>
        <w:t>13.1</w:t>
      </w:r>
      <w:r w:rsidRPr="00151874">
        <w:rPr>
          <w:rFonts w:asciiTheme="majorBidi" w:hAnsiTheme="majorBidi" w:cstheme="majorBidi"/>
          <w:szCs w:val="22"/>
        </w:rPr>
        <w:tab/>
        <w:t xml:space="preserve">Les droits annuels à acquitter pour chaque liaison fixe point à point au-dessus de 2 GHz sont calculés comme suit: </w:t>
      </w:r>
    </w:p>
    <w:p w:rsidR="003A5252" w:rsidRPr="001C00F5" w:rsidRDefault="003A5252" w:rsidP="00FD23B9">
      <w:pPr>
        <w:bidi w:val="0"/>
        <w:spacing w:line="240" w:lineRule="auto"/>
        <w:jc w:val="center"/>
        <w:rPr>
          <w:lang w:val="fr-FR"/>
        </w:rPr>
      </w:pPr>
      <w:r w:rsidRPr="001C00F5">
        <w:rPr>
          <w:b/>
          <w:lang w:val="fr-FR"/>
        </w:rPr>
        <w:t>Droits à acquitter = F x 2000 + BW x 1000</w:t>
      </w:r>
    </w:p>
    <w:p w:rsidR="003A5252" w:rsidRPr="001C00F5" w:rsidRDefault="003A5252" w:rsidP="00FD23B9">
      <w:pPr>
        <w:bidi w:val="0"/>
        <w:spacing w:line="240" w:lineRule="auto"/>
        <w:ind w:left="720"/>
        <w:rPr>
          <w:lang w:val="fr-FR"/>
        </w:rPr>
      </w:pPr>
      <w:r w:rsidRPr="001C00F5">
        <w:rPr>
          <w:lang w:val="fr-FR"/>
        </w:rPr>
        <w:t xml:space="preserve">où: </w:t>
      </w:r>
    </w:p>
    <w:p w:rsidR="003A5252" w:rsidRDefault="003A5252" w:rsidP="00FD23B9">
      <w:pPr>
        <w:bidi w:val="0"/>
        <w:spacing w:line="240" w:lineRule="auto"/>
        <w:ind w:left="720"/>
        <w:rPr>
          <w:lang w:val="fr-FR"/>
        </w:rPr>
      </w:pPr>
      <w:r w:rsidRPr="009C59C0">
        <w:rPr>
          <w:b/>
          <w:bCs/>
          <w:lang w:val="fr-FR"/>
        </w:rPr>
        <w:t>F</w:t>
      </w:r>
      <w:r w:rsidRPr="00151874">
        <w:rPr>
          <w:lang w:val="fr-FR"/>
        </w:rPr>
        <w:t xml:space="preserve"> </w:t>
      </w:r>
      <w:r w:rsidRPr="001C00F5">
        <w:rPr>
          <w:lang w:val="fr-FR"/>
        </w:rPr>
        <w:t xml:space="preserve">= Le coefficient de gamme de </w:t>
      </w:r>
      <w:r w:rsidRPr="001C00F5">
        <w:rPr>
          <w:lang w:val="fr-FR"/>
        </w:rPr>
        <w:tab/>
      </w:r>
      <w:r w:rsidRPr="001C00F5">
        <w:rPr>
          <w:lang w:val="fr-FR"/>
        </w:rPr>
        <w:tab/>
      </w:r>
      <w:r w:rsidRPr="001C00F5">
        <w:rPr>
          <w:lang w:val="fr-FR"/>
        </w:rPr>
        <w:tab/>
      </w:r>
      <w:r w:rsidRPr="001C00F5">
        <w:rPr>
          <w:lang w:val="fr-FR"/>
        </w:rPr>
        <w:tab/>
      </w:r>
      <w:r w:rsidRPr="009C59C0">
        <w:rPr>
          <w:b/>
          <w:bCs/>
          <w:lang w:val="fr-FR"/>
        </w:rPr>
        <w:t>BW</w:t>
      </w:r>
      <w:r w:rsidRPr="00151874">
        <w:rPr>
          <w:lang w:val="fr-FR"/>
        </w:rPr>
        <w:t xml:space="preserve"> </w:t>
      </w:r>
      <w:r w:rsidRPr="001C00F5">
        <w:rPr>
          <w:lang w:val="fr-FR"/>
        </w:rPr>
        <w:t>= Le coefficient de largeur de bande,</w:t>
      </w:r>
      <w:r w:rsidRPr="001C00F5">
        <w:rPr>
          <w:lang w:val="fr-FR"/>
        </w:rPr>
        <w:br/>
        <w:t>fréquence</w:t>
      </w:r>
      <w:r>
        <w:rPr>
          <w:lang w:val="fr-FR"/>
        </w:rPr>
        <w:t xml:space="preserve">s, comme suit: </w:t>
      </w:r>
      <w:r>
        <w:rPr>
          <w:lang w:val="fr-FR"/>
        </w:rPr>
        <w:tab/>
      </w:r>
      <w:r>
        <w:rPr>
          <w:lang w:val="fr-FR"/>
        </w:rPr>
        <w:tab/>
      </w:r>
      <w:r>
        <w:rPr>
          <w:lang w:val="fr-FR"/>
        </w:rPr>
        <w:tab/>
      </w:r>
      <w:r>
        <w:rPr>
          <w:lang w:val="fr-FR"/>
        </w:rPr>
        <w:tab/>
      </w:r>
      <w:r>
        <w:rPr>
          <w:lang w:val="fr-FR"/>
        </w:rPr>
        <w:tab/>
        <w:t>comme suit:</w:t>
      </w:r>
    </w:p>
    <w:p w:rsidR="003A5252" w:rsidRPr="00F50942" w:rsidRDefault="003A5252" w:rsidP="00FD23B9">
      <w:pPr>
        <w:bidi w:val="0"/>
        <w:spacing w:line="240" w:lineRule="auto"/>
        <w:ind w:left="720"/>
        <w:rPr>
          <w:szCs w:val="19"/>
        </w:rPr>
      </w:pPr>
    </w:p>
    <w:p w:rsidR="003A5252" w:rsidRPr="00F50942" w:rsidRDefault="003A5252" w:rsidP="00EE251B">
      <w:pPr>
        <w:pStyle w:val="FigureTitle"/>
        <w:pBdr>
          <w:top w:val="single" w:sz="12" w:space="10" w:color="000000"/>
        </w:pBdr>
      </w:pPr>
    </w:p>
    <w:tbl>
      <w:tblPr>
        <w:tblW w:w="0" w:type="auto"/>
        <w:tblInd w:w="675" w:type="dxa"/>
        <w:tblBorders>
          <w:top w:val="nil"/>
          <w:left w:val="nil"/>
          <w:bottom w:val="nil"/>
          <w:right w:val="nil"/>
        </w:tblBorders>
        <w:tblLook w:val="0000"/>
      </w:tblPr>
      <w:tblGrid>
        <w:gridCol w:w="2410"/>
        <w:gridCol w:w="1491"/>
        <w:gridCol w:w="1247"/>
        <w:gridCol w:w="2127"/>
        <w:gridCol w:w="1769"/>
      </w:tblGrid>
      <w:tr w:rsidR="003A5252" w:rsidRPr="00850A0F" w:rsidTr="00026C26">
        <w:trPr>
          <w:trHeight w:val="608"/>
        </w:trPr>
        <w:tc>
          <w:tcPr>
            <w:tcW w:w="2410" w:type="dxa"/>
            <w:tcBorders>
              <w:top w:val="single" w:sz="8" w:space="0" w:color="000000"/>
              <w:left w:val="single" w:sz="8" w:space="0" w:color="000000"/>
              <w:bottom w:val="single" w:sz="8" w:space="0" w:color="000000"/>
              <w:right w:val="single" w:sz="8" w:space="0" w:color="000000"/>
            </w:tcBorders>
          </w:tcPr>
          <w:p w:rsidR="003A5252" w:rsidRPr="009C59C0" w:rsidRDefault="003A5252" w:rsidP="00FD23B9">
            <w:pPr>
              <w:pStyle w:val="Tablehead"/>
              <w:spacing w:line="240" w:lineRule="auto"/>
              <w:rPr>
                <w:rFonts w:asciiTheme="majorBidi" w:hAnsiTheme="majorBidi" w:cstheme="majorBidi"/>
                <w:szCs w:val="22"/>
                <w:lang w:val="fr-FR"/>
              </w:rPr>
            </w:pPr>
            <w:r w:rsidRPr="009C59C0">
              <w:rPr>
                <w:rFonts w:asciiTheme="majorBidi" w:hAnsiTheme="majorBidi" w:cstheme="majorBidi"/>
                <w:szCs w:val="22"/>
                <w:lang w:val="fr-FR"/>
              </w:rPr>
              <w:t>Bande de fréquences</w:t>
            </w:r>
          </w:p>
        </w:tc>
        <w:tc>
          <w:tcPr>
            <w:tcW w:w="1491" w:type="dxa"/>
            <w:tcBorders>
              <w:top w:val="single" w:sz="8" w:space="0" w:color="000000"/>
              <w:left w:val="single" w:sz="8" w:space="0" w:color="000000"/>
              <w:bottom w:val="single" w:sz="8" w:space="0" w:color="000000"/>
              <w:right w:val="single" w:sz="4" w:space="0" w:color="auto"/>
            </w:tcBorders>
          </w:tcPr>
          <w:p w:rsidR="003A5252" w:rsidRPr="009C59C0" w:rsidRDefault="003A5252" w:rsidP="00FD23B9">
            <w:pPr>
              <w:pStyle w:val="Tablehead"/>
              <w:spacing w:line="240" w:lineRule="auto"/>
              <w:rPr>
                <w:rFonts w:asciiTheme="majorBidi" w:hAnsiTheme="majorBidi" w:cstheme="majorBidi"/>
                <w:szCs w:val="22"/>
                <w:lang w:val="fr-FR"/>
              </w:rPr>
            </w:pPr>
            <w:r w:rsidRPr="009C59C0">
              <w:rPr>
                <w:rFonts w:asciiTheme="majorBidi" w:hAnsiTheme="majorBidi" w:cstheme="majorBidi"/>
                <w:szCs w:val="22"/>
                <w:lang w:val="fr-FR"/>
              </w:rPr>
              <w:t xml:space="preserve">Coefficient F </w:t>
            </w:r>
          </w:p>
        </w:tc>
        <w:tc>
          <w:tcPr>
            <w:tcW w:w="1247" w:type="dxa"/>
            <w:tcBorders>
              <w:top w:val="nil"/>
              <w:left w:val="single" w:sz="4" w:space="0" w:color="auto"/>
              <w:bottom w:val="nil"/>
              <w:right w:val="single" w:sz="4" w:space="0" w:color="auto"/>
            </w:tcBorders>
          </w:tcPr>
          <w:p w:rsidR="003A5252" w:rsidRPr="009C59C0" w:rsidRDefault="003A5252" w:rsidP="00FD23B9">
            <w:pPr>
              <w:pStyle w:val="Tablehead"/>
              <w:spacing w:line="240" w:lineRule="auto"/>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3A5252" w:rsidRPr="009C59C0" w:rsidRDefault="003A5252" w:rsidP="00FD23B9">
            <w:pPr>
              <w:pStyle w:val="Tablehead"/>
              <w:spacing w:line="240" w:lineRule="auto"/>
              <w:rPr>
                <w:rFonts w:asciiTheme="majorBidi" w:hAnsiTheme="majorBidi" w:cstheme="majorBidi"/>
                <w:szCs w:val="22"/>
                <w:lang w:val="fr-FR"/>
              </w:rPr>
            </w:pPr>
            <w:r w:rsidRPr="009C59C0">
              <w:rPr>
                <w:rFonts w:asciiTheme="majorBidi" w:hAnsiTheme="majorBidi" w:cstheme="majorBidi"/>
                <w:szCs w:val="22"/>
                <w:lang w:val="fr-FR"/>
              </w:rPr>
              <w:t xml:space="preserve">Largeur de bande </w:t>
            </w:r>
          </w:p>
        </w:tc>
        <w:tc>
          <w:tcPr>
            <w:tcW w:w="1769" w:type="dxa"/>
            <w:tcBorders>
              <w:top w:val="single" w:sz="8" w:space="0" w:color="000000"/>
              <w:left w:val="single" w:sz="8" w:space="0" w:color="000000"/>
              <w:bottom w:val="single" w:sz="8" w:space="0" w:color="000000"/>
              <w:right w:val="single" w:sz="8" w:space="0" w:color="000000"/>
            </w:tcBorders>
          </w:tcPr>
          <w:p w:rsidR="003A5252" w:rsidRPr="009C59C0" w:rsidRDefault="003A5252" w:rsidP="00FD23B9">
            <w:pPr>
              <w:pStyle w:val="Tablehead"/>
              <w:spacing w:line="240" w:lineRule="auto"/>
              <w:rPr>
                <w:rFonts w:asciiTheme="majorBidi" w:hAnsiTheme="majorBidi" w:cstheme="majorBidi"/>
                <w:szCs w:val="22"/>
                <w:lang w:val="fr-FR"/>
              </w:rPr>
            </w:pPr>
            <w:r w:rsidRPr="009C59C0">
              <w:rPr>
                <w:rFonts w:asciiTheme="majorBidi" w:hAnsiTheme="majorBidi" w:cstheme="majorBidi"/>
                <w:szCs w:val="22"/>
                <w:lang w:val="fr-FR"/>
              </w:rPr>
              <w:t xml:space="preserve">Coefficient BW </w:t>
            </w:r>
          </w:p>
        </w:tc>
      </w:tr>
      <w:tr w:rsidR="003A5252" w:rsidRPr="00850A0F" w:rsidTr="00026C26">
        <w:trPr>
          <w:trHeight w:val="319"/>
        </w:trPr>
        <w:tc>
          <w:tcPr>
            <w:tcW w:w="2410" w:type="dxa"/>
            <w:tcBorders>
              <w:top w:val="single" w:sz="8" w:space="0" w:color="000000"/>
              <w:left w:val="single" w:sz="8" w:space="0" w:color="000000"/>
              <w:bottom w:val="single" w:sz="8" w:space="0" w:color="000000"/>
              <w:right w:val="single" w:sz="8" w:space="0" w:color="000000"/>
            </w:tcBorders>
          </w:tcPr>
          <w:p w:rsidR="003A5252" w:rsidRPr="009C59C0" w:rsidRDefault="003A5252" w:rsidP="00FD23B9">
            <w:pPr>
              <w:pStyle w:val="Tabletext"/>
              <w:spacing w:line="240" w:lineRule="auto"/>
              <w:rPr>
                <w:rFonts w:asciiTheme="majorBidi" w:hAnsiTheme="majorBidi" w:cstheme="majorBidi"/>
                <w:szCs w:val="22"/>
                <w:lang w:val="fr-FR"/>
              </w:rPr>
            </w:pPr>
            <w:r w:rsidRPr="009C59C0">
              <w:rPr>
                <w:rFonts w:asciiTheme="majorBidi" w:hAnsiTheme="majorBidi" w:cstheme="majorBidi"/>
                <w:szCs w:val="22"/>
                <w:lang w:val="fr-FR"/>
              </w:rPr>
              <w:t xml:space="preserve">2 GHz-3 GHz </w:t>
            </w:r>
          </w:p>
        </w:tc>
        <w:tc>
          <w:tcPr>
            <w:tcW w:w="1491" w:type="dxa"/>
            <w:tcBorders>
              <w:top w:val="single" w:sz="8" w:space="0" w:color="000000"/>
              <w:left w:val="single" w:sz="8" w:space="0" w:color="000000"/>
              <w:bottom w:val="single" w:sz="8" w:space="0" w:color="000000"/>
              <w:right w:val="single" w:sz="4" w:space="0" w:color="auto"/>
            </w:tcBorders>
          </w:tcPr>
          <w:p w:rsidR="003A5252" w:rsidRPr="009C59C0" w:rsidRDefault="003A5252" w:rsidP="00FD23B9">
            <w:pPr>
              <w:pStyle w:val="Tabletext"/>
              <w:spacing w:line="240" w:lineRule="auto"/>
              <w:rPr>
                <w:rFonts w:asciiTheme="majorBidi" w:hAnsiTheme="majorBidi" w:cstheme="majorBidi"/>
                <w:szCs w:val="22"/>
                <w:lang w:val="fr-FR"/>
              </w:rPr>
            </w:pPr>
            <w:r w:rsidRPr="009C59C0">
              <w:rPr>
                <w:rFonts w:asciiTheme="majorBidi" w:hAnsiTheme="majorBidi" w:cstheme="majorBidi"/>
                <w:szCs w:val="22"/>
                <w:lang w:val="fr-FR"/>
              </w:rPr>
              <w:t>4</w:t>
            </w:r>
          </w:p>
        </w:tc>
        <w:tc>
          <w:tcPr>
            <w:tcW w:w="1247" w:type="dxa"/>
            <w:tcBorders>
              <w:top w:val="nil"/>
              <w:left w:val="single" w:sz="4" w:space="0" w:color="auto"/>
              <w:bottom w:val="nil"/>
              <w:right w:val="single" w:sz="4" w:space="0" w:color="auto"/>
            </w:tcBorders>
          </w:tcPr>
          <w:p w:rsidR="003A5252" w:rsidRPr="009C59C0" w:rsidRDefault="003A5252" w:rsidP="00FD23B9">
            <w:pPr>
              <w:pStyle w:val="Tabletext"/>
              <w:spacing w:line="240" w:lineRule="auto"/>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3A5252" w:rsidRPr="009C59C0" w:rsidRDefault="003A5252" w:rsidP="00FD23B9">
            <w:pPr>
              <w:pStyle w:val="Tabletext"/>
              <w:spacing w:line="240" w:lineRule="auto"/>
              <w:rPr>
                <w:rFonts w:asciiTheme="majorBidi" w:hAnsiTheme="majorBidi" w:cstheme="majorBidi"/>
                <w:szCs w:val="22"/>
                <w:lang w:val="fr-FR"/>
              </w:rPr>
            </w:pPr>
            <w:r w:rsidRPr="009C59C0">
              <w:rPr>
                <w:rFonts w:asciiTheme="majorBidi" w:hAnsiTheme="majorBidi" w:cstheme="majorBidi"/>
                <w:szCs w:val="22"/>
                <w:lang w:val="fr-FR"/>
              </w:rPr>
              <w:t>7 MHz ou moins</w:t>
            </w:r>
          </w:p>
        </w:tc>
        <w:tc>
          <w:tcPr>
            <w:tcW w:w="1769" w:type="dxa"/>
            <w:tcBorders>
              <w:top w:val="single" w:sz="8" w:space="0" w:color="000000"/>
              <w:left w:val="single" w:sz="8" w:space="0" w:color="000000"/>
              <w:bottom w:val="single" w:sz="8" w:space="0" w:color="000000"/>
              <w:right w:val="single" w:sz="8" w:space="0" w:color="000000"/>
            </w:tcBorders>
          </w:tcPr>
          <w:p w:rsidR="003A5252" w:rsidRPr="009C59C0" w:rsidRDefault="003A5252" w:rsidP="00FD23B9">
            <w:pPr>
              <w:pStyle w:val="Tabletext"/>
              <w:spacing w:line="240" w:lineRule="auto"/>
              <w:rPr>
                <w:rFonts w:asciiTheme="majorBidi" w:hAnsiTheme="majorBidi" w:cstheme="majorBidi"/>
                <w:szCs w:val="22"/>
                <w:lang w:val="fr-FR"/>
              </w:rPr>
            </w:pPr>
            <w:r w:rsidRPr="009C59C0">
              <w:rPr>
                <w:rFonts w:asciiTheme="majorBidi" w:hAnsiTheme="majorBidi" w:cstheme="majorBidi"/>
                <w:szCs w:val="22"/>
                <w:lang w:val="fr-FR"/>
              </w:rPr>
              <w:t>1</w:t>
            </w:r>
          </w:p>
        </w:tc>
      </w:tr>
      <w:tr w:rsidR="003A5252" w:rsidRPr="00850A0F" w:rsidTr="00026C26">
        <w:trPr>
          <w:trHeight w:val="319"/>
        </w:trPr>
        <w:tc>
          <w:tcPr>
            <w:tcW w:w="2410" w:type="dxa"/>
            <w:tcBorders>
              <w:top w:val="single" w:sz="8" w:space="0" w:color="000000"/>
              <w:left w:val="single" w:sz="8" w:space="0" w:color="000000"/>
              <w:bottom w:val="single" w:sz="8" w:space="0" w:color="000000"/>
              <w:right w:val="single" w:sz="8" w:space="0" w:color="000000"/>
            </w:tcBorders>
          </w:tcPr>
          <w:p w:rsidR="003A5252" w:rsidRPr="009C59C0" w:rsidRDefault="003A5252" w:rsidP="00FD23B9">
            <w:pPr>
              <w:pStyle w:val="Tabletext"/>
              <w:spacing w:line="240" w:lineRule="auto"/>
              <w:rPr>
                <w:rFonts w:asciiTheme="majorBidi" w:hAnsiTheme="majorBidi" w:cstheme="majorBidi"/>
                <w:szCs w:val="22"/>
                <w:lang w:val="fr-FR"/>
              </w:rPr>
            </w:pPr>
            <w:r w:rsidRPr="009C59C0">
              <w:rPr>
                <w:rFonts w:asciiTheme="majorBidi" w:hAnsiTheme="majorBidi" w:cstheme="majorBidi"/>
                <w:szCs w:val="22"/>
                <w:lang w:val="fr-FR"/>
              </w:rPr>
              <w:t xml:space="preserve">&gt;3 GHz-14 GHz </w:t>
            </w:r>
          </w:p>
        </w:tc>
        <w:tc>
          <w:tcPr>
            <w:tcW w:w="1491" w:type="dxa"/>
            <w:tcBorders>
              <w:top w:val="single" w:sz="8" w:space="0" w:color="000000"/>
              <w:left w:val="single" w:sz="8" w:space="0" w:color="000000"/>
              <w:bottom w:val="single" w:sz="8" w:space="0" w:color="000000"/>
              <w:right w:val="single" w:sz="4" w:space="0" w:color="auto"/>
            </w:tcBorders>
          </w:tcPr>
          <w:p w:rsidR="003A5252" w:rsidRPr="009C59C0" w:rsidRDefault="003A5252" w:rsidP="00FD23B9">
            <w:pPr>
              <w:pStyle w:val="Tabletext"/>
              <w:spacing w:line="240" w:lineRule="auto"/>
              <w:rPr>
                <w:rFonts w:asciiTheme="majorBidi" w:hAnsiTheme="majorBidi" w:cstheme="majorBidi"/>
                <w:szCs w:val="22"/>
                <w:lang w:val="fr-FR"/>
              </w:rPr>
            </w:pPr>
            <w:r w:rsidRPr="009C59C0">
              <w:rPr>
                <w:rFonts w:asciiTheme="majorBidi" w:hAnsiTheme="majorBidi" w:cstheme="majorBidi"/>
                <w:szCs w:val="22"/>
                <w:lang w:val="fr-FR"/>
              </w:rPr>
              <w:t>3</w:t>
            </w:r>
          </w:p>
        </w:tc>
        <w:tc>
          <w:tcPr>
            <w:tcW w:w="1247" w:type="dxa"/>
            <w:tcBorders>
              <w:top w:val="nil"/>
              <w:left w:val="single" w:sz="4" w:space="0" w:color="auto"/>
              <w:bottom w:val="nil"/>
              <w:right w:val="single" w:sz="4" w:space="0" w:color="auto"/>
            </w:tcBorders>
          </w:tcPr>
          <w:p w:rsidR="003A5252" w:rsidRPr="009C59C0" w:rsidRDefault="003A5252" w:rsidP="00FD23B9">
            <w:pPr>
              <w:pStyle w:val="Tabletext"/>
              <w:spacing w:line="240" w:lineRule="auto"/>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3A5252" w:rsidRPr="009C59C0" w:rsidRDefault="003A5252" w:rsidP="00FD23B9">
            <w:pPr>
              <w:pStyle w:val="Tabletext"/>
              <w:spacing w:line="240" w:lineRule="auto"/>
              <w:rPr>
                <w:rFonts w:asciiTheme="majorBidi" w:hAnsiTheme="majorBidi" w:cstheme="majorBidi"/>
                <w:szCs w:val="22"/>
                <w:lang w:val="fr-FR"/>
              </w:rPr>
            </w:pPr>
            <w:r w:rsidRPr="009C59C0">
              <w:rPr>
                <w:rFonts w:asciiTheme="majorBidi" w:hAnsiTheme="majorBidi" w:cstheme="majorBidi"/>
                <w:szCs w:val="22"/>
                <w:lang w:val="fr-FR"/>
              </w:rPr>
              <w:t xml:space="preserve">&gt;7 MHz-28 MHz </w:t>
            </w:r>
          </w:p>
        </w:tc>
        <w:tc>
          <w:tcPr>
            <w:tcW w:w="1769" w:type="dxa"/>
            <w:tcBorders>
              <w:top w:val="single" w:sz="8" w:space="0" w:color="000000"/>
              <w:left w:val="single" w:sz="8" w:space="0" w:color="000000"/>
              <w:bottom w:val="single" w:sz="8" w:space="0" w:color="000000"/>
              <w:right w:val="single" w:sz="8" w:space="0" w:color="000000"/>
            </w:tcBorders>
          </w:tcPr>
          <w:p w:rsidR="003A5252" w:rsidRPr="009C59C0" w:rsidRDefault="003A5252" w:rsidP="00FD23B9">
            <w:pPr>
              <w:pStyle w:val="Tabletext"/>
              <w:spacing w:line="240" w:lineRule="auto"/>
              <w:rPr>
                <w:rFonts w:asciiTheme="majorBidi" w:hAnsiTheme="majorBidi" w:cstheme="majorBidi"/>
                <w:szCs w:val="22"/>
                <w:lang w:val="fr-FR"/>
              </w:rPr>
            </w:pPr>
            <w:r w:rsidRPr="009C59C0">
              <w:rPr>
                <w:rFonts w:asciiTheme="majorBidi" w:hAnsiTheme="majorBidi" w:cstheme="majorBidi"/>
                <w:szCs w:val="22"/>
                <w:lang w:val="fr-FR"/>
              </w:rPr>
              <w:t>2</w:t>
            </w:r>
          </w:p>
        </w:tc>
      </w:tr>
      <w:tr w:rsidR="003A5252" w:rsidRPr="00850A0F" w:rsidTr="00026C26">
        <w:trPr>
          <w:trHeight w:val="319"/>
        </w:trPr>
        <w:tc>
          <w:tcPr>
            <w:tcW w:w="2410" w:type="dxa"/>
            <w:tcBorders>
              <w:top w:val="single" w:sz="8" w:space="0" w:color="000000"/>
              <w:left w:val="single" w:sz="8" w:space="0" w:color="000000"/>
              <w:bottom w:val="single" w:sz="8" w:space="0" w:color="000000"/>
              <w:right w:val="single" w:sz="8" w:space="0" w:color="000000"/>
            </w:tcBorders>
          </w:tcPr>
          <w:p w:rsidR="003A5252" w:rsidRPr="009C59C0" w:rsidRDefault="003A5252" w:rsidP="00FD23B9">
            <w:pPr>
              <w:pStyle w:val="Tabletext"/>
              <w:spacing w:line="240" w:lineRule="auto"/>
              <w:rPr>
                <w:rFonts w:asciiTheme="majorBidi" w:hAnsiTheme="majorBidi" w:cstheme="majorBidi"/>
                <w:szCs w:val="22"/>
                <w:lang w:val="fr-FR"/>
              </w:rPr>
            </w:pPr>
            <w:r w:rsidRPr="009C59C0">
              <w:rPr>
                <w:rFonts w:asciiTheme="majorBidi" w:hAnsiTheme="majorBidi" w:cstheme="majorBidi"/>
                <w:szCs w:val="22"/>
                <w:lang w:val="fr-FR"/>
              </w:rPr>
              <w:t xml:space="preserve">&gt;14 GHz-40 GHz </w:t>
            </w:r>
          </w:p>
        </w:tc>
        <w:tc>
          <w:tcPr>
            <w:tcW w:w="1491" w:type="dxa"/>
            <w:tcBorders>
              <w:top w:val="single" w:sz="8" w:space="0" w:color="000000"/>
              <w:left w:val="single" w:sz="8" w:space="0" w:color="000000"/>
              <w:bottom w:val="single" w:sz="8" w:space="0" w:color="000000"/>
              <w:right w:val="single" w:sz="4" w:space="0" w:color="auto"/>
            </w:tcBorders>
          </w:tcPr>
          <w:p w:rsidR="003A5252" w:rsidRPr="009C59C0" w:rsidRDefault="003A5252" w:rsidP="00FD23B9">
            <w:pPr>
              <w:pStyle w:val="Tabletext"/>
              <w:spacing w:line="240" w:lineRule="auto"/>
              <w:rPr>
                <w:rFonts w:asciiTheme="majorBidi" w:hAnsiTheme="majorBidi" w:cstheme="majorBidi"/>
                <w:szCs w:val="22"/>
                <w:lang w:val="fr-FR"/>
              </w:rPr>
            </w:pPr>
            <w:r w:rsidRPr="009C59C0">
              <w:rPr>
                <w:rFonts w:asciiTheme="majorBidi" w:hAnsiTheme="majorBidi" w:cstheme="majorBidi"/>
                <w:szCs w:val="22"/>
                <w:lang w:val="fr-FR"/>
              </w:rPr>
              <w:t>2</w:t>
            </w:r>
          </w:p>
        </w:tc>
        <w:tc>
          <w:tcPr>
            <w:tcW w:w="1247" w:type="dxa"/>
            <w:tcBorders>
              <w:top w:val="nil"/>
              <w:left w:val="single" w:sz="4" w:space="0" w:color="auto"/>
              <w:bottom w:val="nil"/>
              <w:right w:val="single" w:sz="4" w:space="0" w:color="auto"/>
            </w:tcBorders>
          </w:tcPr>
          <w:p w:rsidR="003A5252" w:rsidRPr="009C59C0" w:rsidRDefault="003A5252" w:rsidP="00FD23B9">
            <w:pPr>
              <w:pStyle w:val="Tabletext"/>
              <w:spacing w:line="240" w:lineRule="auto"/>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3A5252" w:rsidRPr="009C59C0" w:rsidRDefault="003A5252" w:rsidP="00FD23B9">
            <w:pPr>
              <w:pStyle w:val="Tabletext"/>
              <w:spacing w:line="240" w:lineRule="auto"/>
              <w:rPr>
                <w:rFonts w:asciiTheme="majorBidi" w:hAnsiTheme="majorBidi" w:cstheme="majorBidi"/>
                <w:szCs w:val="22"/>
                <w:lang w:val="fr-FR"/>
              </w:rPr>
            </w:pPr>
            <w:r w:rsidRPr="009C59C0">
              <w:rPr>
                <w:rFonts w:asciiTheme="majorBidi" w:hAnsiTheme="majorBidi" w:cstheme="majorBidi"/>
                <w:szCs w:val="22"/>
                <w:lang w:val="fr-FR"/>
              </w:rPr>
              <w:t xml:space="preserve">&gt;28 MHz-56 MHz </w:t>
            </w:r>
          </w:p>
        </w:tc>
        <w:tc>
          <w:tcPr>
            <w:tcW w:w="1769" w:type="dxa"/>
            <w:tcBorders>
              <w:top w:val="single" w:sz="8" w:space="0" w:color="000000"/>
              <w:left w:val="single" w:sz="8" w:space="0" w:color="000000"/>
              <w:bottom w:val="single" w:sz="8" w:space="0" w:color="000000"/>
              <w:right w:val="single" w:sz="8" w:space="0" w:color="000000"/>
            </w:tcBorders>
          </w:tcPr>
          <w:p w:rsidR="003A5252" w:rsidRPr="009C59C0" w:rsidRDefault="003A5252" w:rsidP="00FD23B9">
            <w:pPr>
              <w:pStyle w:val="Tabletext"/>
              <w:spacing w:line="240" w:lineRule="auto"/>
              <w:rPr>
                <w:rFonts w:asciiTheme="majorBidi" w:hAnsiTheme="majorBidi" w:cstheme="majorBidi"/>
                <w:szCs w:val="22"/>
                <w:lang w:val="fr-FR"/>
              </w:rPr>
            </w:pPr>
            <w:r w:rsidRPr="009C59C0">
              <w:rPr>
                <w:rFonts w:asciiTheme="majorBidi" w:hAnsiTheme="majorBidi" w:cstheme="majorBidi"/>
                <w:szCs w:val="22"/>
                <w:lang w:val="fr-FR"/>
              </w:rPr>
              <w:t>3</w:t>
            </w:r>
          </w:p>
        </w:tc>
      </w:tr>
      <w:tr w:rsidR="003A5252" w:rsidRPr="00850A0F" w:rsidTr="00026C26">
        <w:trPr>
          <w:trHeight w:val="319"/>
        </w:trPr>
        <w:tc>
          <w:tcPr>
            <w:tcW w:w="2410" w:type="dxa"/>
            <w:tcBorders>
              <w:top w:val="single" w:sz="8" w:space="0" w:color="000000"/>
              <w:left w:val="single" w:sz="8" w:space="0" w:color="000000"/>
              <w:bottom w:val="single" w:sz="8" w:space="0" w:color="000000"/>
              <w:right w:val="single" w:sz="8" w:space="0" w:color="000000"/>
            </w:tcBorders>
          </w:tcPr>
          <w:p w:rsidR="003A5252" w:rsidRPr="009C59C0" w:rsidRDefault="003A5252" w:rsidP="00FD23B9">
            <w:pPr>
              <w:pStyle w:val="Tabletext"/>
              <w:spacing w:line="240" w:lineRule="auto"/>
              <w:rPr>
                <w:rFonts w:asciiTheme="majorBidi" w:hAnsiTheme="majorBidi" w:cstheme="majorBidi"/>
                <w:szCs w:val="22"/>
                <w:lang w:val="fr-FR"/>
              </w:rPr>
            </w:pPr>
            <w:r w:rsidRPr="009C59C0">
              <w:rPr>
                <w:rFonts w:asciiTheme="majorBidi" w:hAnsiTheme="majorBidi" w:cstheme="majorBidi"/>
                <w:szCs w:val="22"/>
                <w:lang w:val="fr-FR"/>
              </w:rPr>
              <w:t xml:space="preserve">Au-dessus de 40 GHz </w:t>
            </w:r>
          </w:p>
        </w:tc>
        <w:tc>
          <w:tcPr>
            <w:tcW w:w="1491" w:type="dxa"/>
            <w:tcBorders>
              <w:top w:val="single" w:sz="8" w:space="0" w:color="000000"/>
              <w:left w:val="single" w:sz="8" w:space="0" w:color="000000"/>
              <w:bottom w:val="single" w:sz="8" w:space="0" w:color="000000"/>
              <w:right w:val="single" w:sz="4" w:space="0" w:color="auto"/>
            </w:tcBorders>
          </w:tcPr>
          <w:p w:rsidR="003A5252" w:rsidRPr="009C59C0" w:rsidRDefault="003A5252" w:rsidP="00FD23B9">
            <w:pPr>
              <w:pStyle w:val="Tabletext"/>
              <w:spacing w:line="240" w:lineRule="auto"/>
              <w:rPr>
                <w:rFonts w:asciiTheme="majorBidi" w:hAnsiTheme="majorBidi" w:cstheme="majorBidi"/>
                <w:szCs w:val="22"/>
                <w:lang w:val="fr-FR"/>
              </w:rPr>
            </w:pPr>
            <w:r w:rsidRPr="009C59C0">
              <w:rPr>
                <w:rFonts w:asciiTheme="majorBidi" w:hAnsiTheme="majorBidi" w:cstheme="majorBidi"/>
                <w:szCs w:val="22"/>
                <w:lang w:val="fr-FR"/>
              </w:rPr>
              <w:t>1</w:t>
            </w:r>
          </w:p>
        </w:tc>
        <w:tc>
          <w:tcPr>
            <w:tcW w:w="1247" w:type="dxa"/>
            <w:tcBorders>
              <w:top w:val="nil"/>
              <w:left w:val="single" w:sz="4" w:space="0" w:color="auto"/>
              <w:bottom w:val="nil"/>
              <w:right w:val="single" w:sz="4" w:space="0" w:color="auto"/>
            </w:tcBorders>
          </w:tcPr>
          <w:p w:rsidR="003A5252" w:rsidRPr="009C59C0" w:rsidRDefault="003A5252" w:rsidP="00FD23B9">
            <w:pPr>
              <w:pStyle w:val="Tabletext"/>
              <w:spacing w:line="240" w:lineRule="auto"/>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3A5252" w:rsidRPr="009C59C0" w:rsidRDefault="003A5252" w:rsidP="00FD23B9">
            <w:pPr>
              <w:pStyle w:val="Tabletext"/>
              <w:spacing w:line="240" w:lineRule="auto"/>
              <w:rPr>
                <w:rFonts w:asciiTheme="majorBidi" w:hAnsiTheme="majorBidi" w:cstheme="majorBidi"/>
                <w:szCs w:val="22"/>
                <w:lang w:val="fr-FR"/>
              </w:rPr>
            </w:pPr>
            <w:r w:rsidRPr="009C59C0">
              <w:rPr>
                <w:rFonts w:asciiTheme="majorBidi" w:hAnsiTheme="majorBidi" w:cstheme="majorBidi"/>
                <w:szCs w:val="22"/>
                <w:lang w:val="fr-FR"/>
              </w:rPr>
              <w:t xml:space="preserve">Supérieure à 56 MHz </w:t>
            </w:r>
          </w:p>
        </w:tc>
        <w:tc>
          <w:tcPr>
            <w:tcW w:w="1769" w:type="dxa"/>
            <w:tcBorders>
              <w:top w:val="single" w:sz="8" w:space="0" w:color="000000"/>
              <w:left w:val="single" w:sz="8" w:space="0" w:color="000000"/>
              <w:bottom w:val="single" w:sz="8" w:space="0" w:color="000000"/>
              <w:right w:val="single" w:sz="8" w:space="0" w:color="000000"/>
            </w:tcBorders>
          </w:tcPr>
          <w:p w:rsidR="003A5252" w:rsidRPr="009C59C0" w:rsidRDefault="003A5252" w:rsidP="00FD23B9">
            <w:pPr>
              <w:pStyle w:val="Tabletext"/>
              <w:spacing w:line="240" w:lineRule="auto"/>
              <w:rPr>
                <w:rFonts w:asciiTheme="majorBidi" w:hAnsiTheme="majorBidi" w:cstheme="majorBidi"/>
                <w:szCs w:val="22"/>
                <w:lang w:val="fr-FR"/>
              </w:rPr>
            </w:pPr>
            <w:r w:rsidRPr="009C59C0">
              <w:rPr>
                <w:rFonts w:asciiTheme="majorBidi" w:hAnsiTheme="majorBidi" w:cstheme="majorBidi"/>
                <w:szCs w:val="22"/>
                <w:lang w:val="fr-FR"/>
              </w:rPr>
              <w:t>4</w:t>
            </w:r>
          </w:p>
        </w:tc>
      </w:tr>
    </w:tbl>
    <w:p w:rsidR="003A5252" w:rsidRPr="00F50942" w:rsidRDefault="003A5252" w:rsidP="00281920">
      <w:pPr>
        <w:pStyle w:val="FigureSource"/>
        <w:pBdr>
          <w:bottom w:val="single" w:sz="12" w:space="1" w:color="auto"/>
        </w:pBdr>
      </w:pPr>
    </w:p>
    <w:p w:rsidR="003A5252" w:rsidRDefault="003A5252" w:rsidP="00FD23B9">
      <w:pPr>
        <w:pStyle w:val="enumlev1"/>
        <w:bidi w:val="0"/>
        <w:spacing w:line="240" w:lineRule="auto"/>
        <w:rPr>
          <w:rFonts w:ascii="Verdana" w:hAnsi="Verdana"/>
          <w:sz w:val="19"/>
          <w:szCs w:val="19"/>
        </w:rPr>
      </w:pPr>
    </w:p>
    <w:p w:rsidR="003A5252" w:rsidRPr="00E04915" w:rsidRDefault="003A5252" w:rsidP="00FD23B9">
      <w:pPr>
        <w:pStyle w:val="enumlev1"/>
        <w:bidi w:val="0"/>
        <w:spacing w:line="240" w:lineRule="auto"/>
        <w:rPr>
          <w:rFonts w:asciiTheme="majorBidi" w:hAnsiTheme="majorBidi" w:cstheme="majorBidi"/>
          <w:szCs w:val="22"/>
        </w:rPr>
      </w:pPr>
      <w:r w:rsidRPr="00E04915">
        <w:rPr>
          <w:rFonts w:asciiTheme="majorBidi" w:hAnsiTheme="majorBidi" w:cstheme="majorBidi"/>
          <w:szCs w:val="22"/>
        </w:rPr>
        <w:t>13.2</w:t>
      </w:r>
      <w:r w:rsidRPr="00E04915">
        <w:rPr>
          <w:rFonts w:asciiTheme="majorBidi" w:hAnsiTheme="majorBidi" w:cstheme="majorBidi"/>
          <w:szCs w:val="22"/>
        </w:rPr>
        <w:tab/>
        <w:t>La largeur de bande pour chaque liaison fixe point à point au-dessus de 2 GHz est calculée sur la base de la largeur de bande du canal (par exemple, pour deux bandes de fréquences de 3,5 MHz chacune, soit 7 MHz, on a un coefficient de largeur de bande de 1). La diversité de fréquence est facturée comme une liaison séparée, mais sans supplément pour la diversité d'espace et l'exploitation en mode réserve active.</w:t>
      </w:r>
    </w:p>
    <w:p w:rsidR="003A5252" w:rsidRPr="00E04915" w:rsidRDefault="003A5252" w:rsidP="00FD23B9">
      <w:pPr>
        <w:pStyle w:val="enumlev1"/>
        <w:bidi w:val="0"/>
        <w:spacing w:line="240" w:lineRule="auto"/>
        <w:rPr>
          <w:rFonts w:asciiTheme="majorBidi" w:hAnsiTheme="majorBidi" w:cstheme="majorBidi"/>
          <w:szCs w:val="22"/>
        </w:rPr>
      </w:pPr>
      <w:r w:rsidRPr="00E04915">
        <w:rPr>
          <w:rFonts w:asciiTheme="majorBidi" w:hAnsiTheme="majorBidi" w:cstheme="majorBidi"/>
          <w:szCs w:val="22"/>
        </w:rPr>
        <w:t>13.3</w:t>
      </w:r>
      <w:r w:rsidRPr="00E04915">
        <w:rPr>
          <w:rFonts w:asciiTheme="majorBidi" w:hAnsiTheme="majorBidi" w:cstheme="majorBidi"/>
          <w:szCs w:val="22"/>
        </w:rPr>
        <w:tab/>
        <w:t>Dans des cas exceptionnels, lorsque deux bandes de fréquences sont assignées à toutes les liaisons point à point des Emirats arabes unis, au-dessus de 2 GHz, le montant annuel des droits d'utilisation du spectre est dix fois supérieur au montant fixé pour une seule liaison (en supposant que les mêmes paramètres s'appliquent), sur la base d'un coefficient de réutilisation égal à 10.</w:t>
      </w:r>
    </w:p>
    <w:p w:rsidR="003A5252" w:rsidRPr="00E04915" w:rsidRDefault="003A5252" w:rsidP="00FD23B9">
      <w:pPr>
        <w:pStyle w:val="enumlev1"/>
        <w:bidi w:val="0"/>
        <w:spacing w:line="240" w:lineRule="auto"/>
        <w:rPr>
          <w:rFonts w:asciiTheme="majorBidi" w:hAnsiTheme="majorBidi" w:cstheme="majorBidi"/>
          <w:szCs w:val="22"/>
        </w:rPr>
      </w:pPr>
      <w:r w:rsidRPr="00E04915">
        <w:rPr>
          <w:rFonts w:asciiTheme="majorBidi" w:hAnsiTheme="majorBidi" w:cstheme="majorBidi"/>
          <w:szCs w:val="22"/>
        </w:rPr>
        <w:t>13.4</w:t>
      </w:r>
      <w:r w:rsidRPr="00E04915">
        <w:rPr>
          <w:rFonts w:asciiTheme="majorBidi" w:hAnsiTheme="majorBidi" w:cstheme="majorBidi"/>
          <w:szCs w:val="22"/>
        </w:rPr>
        <w:tab/>
        <w:t xml:space="preserve">Le montant annuel des droits d'utilisation du spectre pour chaque liaison fixe point à point en ondes décamétriques au-dessous de 30 MHz est calculé comme suit: </w:t>
      </w:r>
    </w:p>
    <w:p w:rsidR="003A5252" w:rsidRPr="001C00F5" w:rsidRDefault="003A5252" w:rsidP="00FD23B9">
      <w:pPr>
        <w:bidi w:val="0"/>
        <w:spacing w:line="240" w:lineRule="auto"/>
        <w:jc w:val="center"/>
        <w:rPr>
          <w:b/>
          <w:bCs/>
          <w:lang w:val="fr-FR"/>
        </w:rPr>
      </w:pPr>
      <w:r w:rsidRPr="001C00F5">
        <w:rPr>
          <w:b/>
          <w:lang w:val="fr-FR"/>
        </w:rPr>
        <w:t>Droits à acquitter = BW x 1000</w:t>
      </w:r>
    </w:p>
    <w:p w:rsidR="003A5252" w:rsidRPr="001C00F5" w:rsidRDefault="003A5252" w:rsidP="00FD23B9">
      <w:pPr>
        <w:bidi w:val="0"/>
        <w:spacing w:line="240" w:lineRule="auto"/>
        <w:ind w:left="794" w:hanging="794"/>
        <w:rPr>
          <w:lang w:val="fr-FR"/>
        </w:rPr>
      </w:pPr>
      <w:r w:rsidRPr="001C00F5">
        <w:rPr>
          <w:lang w:val="fr-FR"/>
        </w:rPr>
        <w:tab/>
        <w:t>Le coefficient BW étant exprimé en kHz pour tous les canaux sur cette liaison</w:t>
      </w:r>
    </w:p>
    <w:p w:rsidR="003A5252" w:rsidRPr="00E04915" w:rsidRDefault="003A5252" w:rsidP="00FD23B9">
      <w:pPr>
        <w:pStyle w:val="enumlev1"/>
        <w:bidi w:val="0"/>
        <w:spacing w:line="240" w:lineRule="auto"/>
        <w:rPr>
          <w:rFonts w:asciiTheme="majorBidi" w:hAnsiTheme="majorBidi" w:cstheme="majorBidi"/>
          <w:szCs w:val="22"/>
        </w:rPr>
      </w:pPr>
      <w:r w:rsidRPr="00E04915">
        <w:rPr>
          <w:rFonts w:asciiTheme="majorBidi" w:hAnsiTheme="majorBidi" w:cstheme="majorBidi"/>
          <w:szCs w:val="22"/>
        </w:rPr>
        <w:t>13.5</w:t>
      </w:r>
      <w:r w:rsidRPr="00E04915">
        <w:rPr>
          <w:rFonts w:asciiTheme="majorBidi" w:hAnsiTheme="majorBidi" w:cstheme="majorBidi"/>
          <w:szCs w:val="22"/>
        </w:rPr>
        <w:tab/>
        <w:t xml:space="preserve">Le montant annuel des droits d'utilisation du spectre pour chaque liaison fixe point à point en ondes métriques et décimétriques au-dessous de 2 GHz est calculé comme suit: </w:t>
      </w:r>
    </w:p>
    <w:p w:rsidR="003A5252" w:rsidRPr="001C00F5" w:rsidRDefault="003A5252" w:rsidP="00FD23B9">
      <w:pPr>
        <w:pStyle w:val="Headingb"/>
        <w:bidi w:val="0"/>
        <w:spacing w:line="240" w:lineRule="auto"/>
        <w:jc w:val="center"/>
        <w:rPr>
          <w:lang w:val="fr-FR"/>
        </w:rPr>
      </w:pPr>
      <w:bookmarkStart w:id="515" w:name="_Toc225739484"/>
      <w:bookmarkStart w:id="516" w:name="_Toc225739828"/>
      <w:r w:rsidRPr="001C00F5">
        <w:rPr>
          <w:lang w:val="fr-FR"/>
        </w:rPr>
        <w:t>Droits à acquitter = BW x 500</w:t>
      </w:r>
      <w:bookmarkEnd w:id="515"/>
      <w:bookmarkEnd w:id="516"/>
    </w:p>
    <w:p w:rsidR="003A5252" w:rsidRPr="001C00F5" w:rsidRDefault="003A5252" w:rsidP="00FD23B9">
      <w:pPr>
        <w:bidi w:val="0"/>
        <w:spacing w:line="240" w:lineRule="auto"/>
        <w:ind w:left="794" w:hanging="794"/>
        <w:rPr>
          <w:lang w:val="fr-FR"/>
        </w:rPr>
      </w:pPr>
      <w:r w:rsidRPr="001C00F5">
        <w:rPr>
          <w:lang w:val="fr-FR"/>
        </w:rPr>
        <w:tab/>
        <w:t>Le coefficient BW étant exprimé en kHz pour tous les canaux sur cette liaison</w:t>
      </w:r>
    </w:p>
    <w:p w:rsidR="003A5252" w:rsidRPr="000A0926" w:rsidRDefault="003A5252" w:rsidP="00FD23B9">
      <w:pPr>
        <w:pStyle w:val="Arttitle"/>
        <w:spacing w:before="400"/>
      </w:pPr>
      <w:bookmarkStart w:id="517" w:name="_Toc225739485"/>
      <w:bookmarkStart w:id="518" w:name="_Toc225739829"/>
      <w:bookmarkStart w:id="519" w:name="_Toc280262371"/>
      <w:bookmarkStart w:id="520" w:name="_Toc280272765"/>
      <w:bookmarkStart w:id="521" w:name="_Toc280272944"/>
      <w:r>
        <w:lastRenderedPageBreak/>
        <w:t xml:space="preserve">Article </w:t>
      </w:r>
      <w:r w:rsidRPr="000A0926">
        <w:t>14</w:t>
      </w:r>
      <w:bookmarkEnd w:id="517"/>
      <w:bookmarkEnd w:id="518"/>
      <w:r w:rsidRPr="000A0926">
        <w:br/>
      </w:r>
      <w:r w:rsidRPr="000A0926">
        <w:br/>
      </w:r>
      <w:bookmarkStart w:id="522" w:name="_Toc225739486"/>
      <w:bookmarkStart w:id="523" w:name="_Toc225739830"/>
      <w:r w:rsidRPr="000A0926">
        <w:t xml:space="preserve">Droits d'utilisation du spectre à acquitter pour l'accès hertzien fixe, </w:t>
      </w:r>
      <w:r w:rsidRPr="000A0926">
        <w:br/>
        <w:t>les systèmes de surveillance et d'acquisition de données (SCADA),</w:t>
      </w:r>
      <w:r w:rsidRPr="000A0926">
        <w:br/>
        <w:t>la télémesure et les réseaux maillés</w:t>
      </w:r>
      <w:bookmarkEnd w:id="519"/>
      <w:bookmarkEnd w:id="520"/>
      <w:bookmarkEnd w:id="521"/>
      <w:bookmarkEnd w:id="522"/>
      <w:bookmarkEnd w:id="523"/>
    </w:p>
    <w:p w:rsidR="003A5252" w:rsidRPr="007B0403" w:rsidRDefault="003A5252" w:rsidP="00FD23B9">
      <w:pPr>
        <w:pStyle w:val="enumlev1"/>
        <w:bidi w:val="0"/>
        <w:spacing w:line="240" w:lineRule="auto"/>
        <w:rPr>
          <w:rFonts w:asciiTheme="majorBidi" w:hAnsiTheme="majorBidi" w:cstheme="majorBidi"/>
          <w:szCs w:val="22"/>
        </w:rPr>
      </w:pPr>
      <w:r w:rsidRPr="007B0403">
        <w:rPr>
          <w:rFonts w:asciiTheme="majorBidi" w:hAnsiTheme="majorBidi" w:cstheme="majorBidi"/>
          <w:szCs w:val="22"/>
        </w:rPr>
        <w:t>14.1</w:t>
      </w:r>
      <w:r w:rsidRPr="007B0403">
        <w:rPr>
          <w:rFonts w:asciiTheme="majorBidi" w:hAnsiTheme="majorBidi" w:cstheme="majorBidi"/>
          <w:szCs w:val="22"/>
        </w:rPr>
        <w:tab/>
        <w:t xml:space="preserve">Le montant annuel des droits d'utilisation du spectre à acquitter pour l'accès hertzien fixe (y compris l'accès à la boucle locale hertzienne et l'accès point à multipoint), les systèmes SCADA, la télémesure et les réseaux maillés, au-dessous de 1 GHz, est calculé comme suit: </w:t>
      </w:r>
    </w:p>
    <w:p w:rsidR="003A5252" w:rsidRPr="001C00F5" w:rsidRDefault="003A5252" w:rsidP="00FD23B9">
      <w:pPr>
        <w:pStyle w:val="Headingb"/>
        <w:bidi w:val="0"/>
        <w:spacing w:line="240" w:lineRule="auto"/>
        <w:jc w:val="center"/>
        <w:rPr>
          <w:lang w:val="fr-FR"/>
        </w:rPr>
      </w:pPr>
      <w:bookmarkStart w:id="524" w:name="_Toc225739487"/>
      <w:bookmarkStart w:id="525" w:name="_Toc225739831"/>
      <w:r w:rsidRPr="001C00F5">
        <w:rPr>
          <w:lang w:val="fr-FR"/>
        </w:rPr>
        <w:t>Droits à acquitter = BW x 2000</w:t>
      </w:r>
      <w:bookmarkEnd w:id="524"/>
      <w:bookmarkEnd w:id="525"/>
    </w:p>
    <w:p w:rsidR="003A5252" w:rsidRPr="002654C0" w:rsidRDefault="003A5252" w:rsidP="00FD23B9">
      <w:pPr>
        <w:bidi w:val="0"/>
        <w:spacing w:line="240" w:lineRule="auto"/>
        <w:rPr>
          <w:rFonts w:asciiTheme="majorBidi" w:hAnsiTheme="majorBidi" w:cstheme="majorBidi"/>
          <w:szCs w:val="22"/>
        </w:rPr>
      </w:pPr>
      <w:r w:rsidRPr="002654C0">
        <w:rPr>
          <w:rFonts w:asciiTheme="majorBidi" w:hAnsiTheme="majorBidi" w:cstheme="majorBidi"/>
          <w:szCs w:val="22"/>
        </w:rPr>
        <w:tab/>
      </w:r>
      <w:r w:rsidRPr="002654C0">
        <w:rPr>
          <w:rFonts w:asciiTheme="majorBidi" w:hAnsiTheme="majorBidi" w:cstheme="majorBidi"/>
          <w:b/>
          <w:bCs/>
          <w:szCs w:val="22"/>
        </w:rPr>
        <w:t>BW</w:t>
      </w:r>
      <w:r w:rsidRPr="002654C0">
        <w:rPr>
          <w:rFonts w:asciiTheme="majorBidi" w:hAnsiTheme="majorBidi" w:cstheme="majorBidi"/>
          <w:szCs w:val="22"/>
        </w:rPr>
        <w:t xml:space="preserve"> étant la largeur de bande totale en kHz</w:t>
      </w:r>
    </w:p>
    <w:p w:rsidR="003A5252" w:rsidRPr="007B0403" w:rsidRDefault="003A5252" w:rsidP="00FD23B9">
      <w:pPr>
        <w:pStyle w:val="enumlev1"/>
        <w:bidi w:val="0"/>
        <w:spacing w:line="240" w:lineRule="auto"/>
        <w:rPr>
          <w:rFonts w:asciiTheme="majorBidi" w:hAnsiTheme="majorBidi" w:cstheme="majorBidi"/>
          <w:szCs w:val="22"/>
        </w:rPr>
      </w:pPr>
      <w:r w:rsidRPr="007B0403">
        <w:rPr>
          <w:rFonts w:asciiTheme="majorBidi" w:hAnsiTheme="majorBidi" w:cstheme="majorBidi"/>
          <w:szCs w:val="22"/>
        </w:rPr>
        <w:t>14.2</w:t>
      </w:r>
      <w:r w:rsidRPr="007B0403">
        <w:rPr>
          <w:rFonts w:asciiTheme="majorBidi" w:hAnsiTheme="majorBidi" w:cstheme="majorBidi"/>
          <w:szCs w:val="22"/>
        </w:rPr>
        <w:tab/>
        <w:t xml:space="preserve">Le montant annuel des droits d'utilisation du spectre à acquitter pour l'accès hertzien fixe (y compris l'accès à la boucle locale hertzienne et les liaisons point à multipoint), les systèmes SCADA, l'accès fixe large bande et les réseaux maillés, entre 1 GHz et 4 GHz, est calculé comme suit: </w:t>
      </w:r>
    </w:p>
    <w:p w:rsidR="003A5252" w:rsidRPr="001C00F5" w:rsidRDefault="003A5252" w:rsidP="00FD23B9">
      <w:pPr>
        <w:bidi w:val="0"/>
        <w:spacing w:line="240" w:lineRule="auto"/>
        <w:jc w:val="center"/>
        <w:rPr>
          <w:color w:val="000000"/>
          <w:lang w:val="fr-FR"/>
        </w:rPr>
      </w:pPr>
      <w:r w:rsidRPr="001C00F5">
        <w:rPr>
          <w:b/>
          <w:lang w:val="fr-FR"/>
        </w:rPr>
        <w:t>Droits à acquitter</w:t>
      </w:r>
      <w:r w:rsidRPr="001C00F5">
        <w:rPr>
          <w:b/>
          <w:color w:val="000000"/>
          <w:lang w:val="fr-FR"/>
        </w:rPr>
        <w:t xml:space="preserve"> = BW x CF x 5</w:t>
      </w:r>
    </w:p>
    <w:p w:rsidR="003A5252" w:rsidRPr="001C00F5" w:rsidRDefault="003A5252" w:rsidP="00FD23B9">
      <w:pPr>
        <w:bidi w:val="0"/>
        <w:spacing w:line="240" w:lineRule="auto"/>
        <w:ind w:firstLine="720"/>
        <w:rPr>
          <w:color w:val="000000"/>
          <w:lang w:val="fr-FR"/>
        </w:rPr>
      </w:pPr>
      <w:r w:rsidRPr="001C00F5">
        <w:rPr>
          <w:b/>
          <w:color w:val="000000"/>
          <w:lang w:val="fr-FR"/>
        </w:rPr>
        <w:t>BW</w:t>
      </w:r>
      <w:r w:rsidRPr="001C00F5">
        <w:rPr>
          <w:color w:val="000000"/>
          <w:lang w:val="fr-FR"/>
        </w:rPr>
        <w:t xml:space="preserve"> étant la l</w:t>
      </w:r>
      <w:r w:rsidRPr="001C00F5">
        <w:rPr>
          <w:lang w:val="fr-FR"/>
        </w:rPr>
        <w:t>argeur de bande totale en MHz</w:t>
      </w:r>
    </w:p>
    <w:p w:rsidR="003A5252" w:rsidRDefault="003A5252" w:rsidP="00FD23B9">
      <w:pPr>
        <w:bidi w:val="0"/>
        <w:spacing w:after="360" w:line="240" w:lineRule="auto"/>
        <w:ind w:left="720"/>
        <w:rPr>
          <w:color w:val="000000"/>
          <w:lang w:val="fr-FR"/>
        </w:rPr>
      </w:pPr>
      <w:r w:rsidRPr="001C00F5">
        <w:rPr>
          <w:b/>
          <w:color w:val="000000"/>
          <w:lang w:val="fr-FR"/>
        </w:rPr>
        <w:t>CF</w:t>
      </w:r>
      <w:r w:rsidRPr="001C00F5">
        <w:rPr>
          <w:color w:val="000000"/>
          <w:lang w:val="fr-FR"/>
        </w:rPr>
        <w:t xml:space="preserve"> étant le</w:t>
      </w:r>
      <w:r w:rsidRPr="001C00F5">
        <w:rPr>
          <w:b/>
          <w:color w:val="000000"/>
          <w:lang w:val="fr-FR"/>
        </w:rPr>
        <w:t xml:space="preserve"> </w:t>
      </w:r>
      <w:r w:rsidRPr="00826F37">
        <w:rPr>
          <w:color w:val="000000"/>
          <w:lang w:val="fr-FR"/>
        </w:rPr>
        <w:t>c</w:t>
      </w:r>
      <w:r w:rsidRPr="001C00F5">
        <w:rPr>
          <w:color w:val="000000"/>
          <w:lang w:val="fr-FR"/>
        </w:rPr>
        <w:t>oefficient de couverture, en fonction de la zone géographique,</w:t>
      </w:r>
      <w:r>
        <w:rPr>
          <w:color w:val="000000"/>
          <w:lang w:val="fr-FR"/>
        </w:rPr>
        <w:t xml:space="preserve"> déterminé comme suit:</w:t>
      </w:r>
    </w:p>
    <w:p w:rsidR="003A5252" w:rsidRPr="00F50942" w:rsidRDefault="003A5252" w:rsidP="00FD23B9">
      <w:pPr>
        <w:bidi w:val="0"/>
        <w:spacing w:line="240" w:lineRule="auto"/>
        <w:ind w:left="720"/>
        <w:rPr>
          <w:color w:val="000000"/>
          <w:szCs w:val="19"/>
        </w:rPr>
      </w:pPr>
    </w:p>
    <w:p w:rsidR="003A5252" w:rsidRPr="00F50942" w:rsidRDefault="003A5252" w:rsidP="00EE251B">
      <w:pPr>
        <w:pStyle w:val="FigureTitle"/>
        <w:pBdr>
          <w:top w:val="single" w:sz="12" w:space="10" w:color="000000"/>
        </w:pBdr>
      </w:pPr>
    </w:p>
    <w:tbl>
      <w:tblPr>
        <w:tblW w:w="0" w:type="auto"/>
        <w:jc w:val="center"/>
        <w:tblInd w:w="925" w:type="dxa"/>
        <w:tblBorders>
          <w:top w:val="nil"/>
          <w:left w:val="nil"/>
          <w:bottom w:val="nil"/>
          <w:right w:val="nil"/>
        </w:tblBorders>
        <w:tblLook w:val="0000"/>
      </w:tblPr>
      <w:tblGrid>
        <w:gridCol w:w="693"/>
        <w:gridCol w:w="1475"/>
        <w:gridCol w:w="1107"/>
        <w:gridCol w:w="3119"/>
        <w:gridCol w:w="1555"/>
      </w:tblGrid>
      <w:tr w:rsidR="003A5252" w:rsidRPr="007E2B73"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083040" w:rsidRDefault="003A5252" w:rsidP="00FD23B9">
            <w:pPr>
              <w:pStyle w:val="Tablehead"/>
              <w:spacing w:line="240" w:lineRule="auto"/>
              <w:rPr>
                <w:rFonts w:asciiTheme="majorBidi" w:hAnsiTheme="majorBidi" w:cstheme="majorBidi"/>
                <w:szCs w:val="22"/>
                <w:lang w:val="fr-FR"/>
              </w:rPr>
            </w:pPr>
            <w:r w:rsidRPr="00083040">
              <w:rPr>
                <w:rFonts w:asciiTheme="majorBidi" w:hAnsiTheme="majorBidi" w:cstheme="majorBidi"/>
                <w:szCs w:val="22"/>
                <w:lang w:val="fr-FR"/>
              </w:rPr>
              <w:t xml:space="preserve">Zone </w:t>
            </w:r>
          </w:p>
        </w:tc>
        <w:tc>
          <w:tcPr>
            <w:tcW w:w="1475" w:type="dxa"/>
            <w:tcBorders>
              <w:top w:val="single" w:sz="8" w:space="0" w:color="000000"/>
              <w:left w:val="single" w:sz="8" w:space="0" w:color="000000"/>
              <w:bottom w:val="single" w:sz="8" w:space="0" w:color="000000"/>
              <w:right w:val="single" w:sz="8" w:space="0" w:color="000000"/>
            </w:tcBorders>
          </w:tcPr>
          <w:p w:rsidR="003A5252" w:rsidRPr="00083040" w:rsidRDefault="003A5252" w:rsidP="00FD23B9">
            <w:pPr>
              <w:pStyle w:val="Tablehead"/>
              <w:spacing w:line="240" w:lineRule="auto"/>
              <w:rPr>
                <w:rFonts w:asciiTheme="majorBidi" w:hAnsiTheme="majorBidi" w:cstheme="majorBidi"/>
                <w:szCs w:val="22"/>
                <w:lang w:val="fr-FR"/>
              </w:rPr>
            </w:pPr>
            <w:r w:rsidRPr="00083040">
              <w:rPr>
                <w:rFonts w:asciiTheme="majorBidi" w:hAnsiTheme="majorBidi" w:cstheme="majorBidi"/>
                <w:szCs w:val="22"/>
                <w:lang w:val="fr-FR"/>
              </w:rPr>
              <w:t>Zone rurale ou à l'intérieur de locaux</w:t>
            </w:r>
          </w:p>
        </w:tc>
        <w:tc>
          <w:tcPr>
            <w:tcW w:w="1107" w:type="dxa"/>
            <w:tcBorders>
              <w:top w:val="single" w:sz="8" w:space="0" w:color="000000"/>
              <w:left w:val="single" w:sz="8" w:space="0" w:color="000000"/>
              <w:bottom w:val="single" w:sz="8" w:space="0" w:color="000000"/>
              <w:right w:val="single" w:sz="8" w:space="0" w:color="000000"/>
            </w:tcBorders>
          </w:tcPr>
          <w:p w:rsidR="003A5252" w:rsidRPr="00083040" w:rsidRDefault="003A5252" w:rsidP="00FD23B9">
            <w:pPr>
              <w:pStyle w:val="Tablehead"/>
              <w:spacing w:line="240" w:lineRule="auto"/>
              <w:rPr>
                <w:rFonts w:asciiTheme="majorBidi" w:hAnsiTheme="majorBidi" w:cstheme="majorBidi"/>
                <w:szCs w:val="22"/>
                <w:lang w:val="fr-FR"/>
              </w:rPr>
            </w:pPr>
            <w:r w:rsidRPr="00083040">
              <w:rPr>
                <w:rFonts w:asciiTheme="majorBidi" w:hAnsiTheme="majorBidi" w:cstheme="majorBidi"/>
                <w:szCs w:val="22"/>
                <w:lang w:val="fr-FR"/>
              </w:rPr>
              <w:t xml:space="preserve">Zone urbaine </w:t>
            </w:r>
          </w:p>
        </w:tc>
        <w:tc>
          <w:tcPr>
            <w:tcW w:w="3119" w:type="dxa"/>
            <w:tcBorders>
              <w:top w:val="single" w:sz="8" w:space="0" w:color="000000"/>
              <w:left w:val="single" w:sz="8" w:space="0" w:color="000000"/>
              <w:bottom w:val="single" w:sz="8" w:space="0" w:color="000000"/>
              <w:right w:val="single" w:sz="8" w:space="0" w:color="000000"/>
            </w:tcBorders>
          </w:tcPr>
          <w:p w:rsidR="003A5252" w:rsidRPr="00083040" w:rsidRDefault="003A5252" w:rsidP="00FD23B9">
            <w:pPr>
              <w:pStyle w:val="Tablehead"/>
              <w:spacing w:line="240" w:lineRule="auto"/>
              <w:rPr>
                <w:rFonts w:asciiTheme="majorBidi" w:hAnsiTheme="majorBidi" w:cstheme="majorBidi"/>
                <w:szCs w:val="22"/>
                <w:lang w:val="fr-FR"/>
              </w:rPr>
            </w:pPr>
            <w:r w:rsidRPr="00083040">
              <w:rPr>
                <w:rFonts w:asciiTheme="majorBidi" w:hAnsiTheme="majorBidi" w:cstheme="majorBidi"/>
                <w:szCs w:val="22"/>
                <w:lang w:val="fr-FR"/>
              </w:rPr>
              <w:t>Ensemble des Emirats</w:t>
            </w:r>
          </w:p>
        </w:tc>
        <w:tc>
          <w:tcPr>
            <w:tcW w:w="1555" w:type="dxa"/>
            <w:tcBorders>
              <w:top w:val="single" w:sz="8" w:space="0" w:color="000000"/>
              <w:left w:val="single" w:sz="8" w:space="0" w:color="000000"/>
              <w:bottom w:val="single" w:sz="8" w:space="0" w:color="000000"/>
              <w:right w:val="single" w:sz="8" w:space="0" w:color="000000"/>
            </w:tcBorders>
          </w:tcPr>
          <w:p w:rsidR="003A5252" w:rsidRPr="00083040" w:rsidRDefault="003A5252" w:rsidP="00FD23B9">
            <w:pPr>
              <w:pStyle w:val="Tablehead"/>
              <w:spacing w:line="240" w:lineRule="auto"/>
              <w:rPr>
                <w:rFonts w:asciiTheme="majorBidi" w:hAnsiTheme="majorBidi" w:cstheme="majorBidi"/>
                <w:szCs w:val="22"/>
                <w:lang w:val="fr-FR"/>
              </w:rPr>
            </w:pPr>
            <w:r w:rsidRPr="00083040">
              <w:rPr>
                <w:rFonts w:asciiTheme="majorBidi" w:hAnsiTheme="majorBidi" w:cstheme="majorBidi"/>
                <w:szCs w:val="22"/>
                <w:lang w:val="fr-FR"/>
              </w:rPr>
              <w:t xml:space="preserve">Totalité des Emirats arabes unis </w:t>
            </w:r>
          </w:p>
        </w:tc>
      </w:tr>
      <w:tr w:rsidR="003A5252" w:rsidRPr="00850A0F"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083040" w:rsidRDefault="003A5252" w:rsidP="00FD23B9">
            <w:pPr>
              <w:pStyle w:val="Tabletext"/>
              <w:spacing w:line="240" w:lineRule="auto"/>
              <w:rPr>
                <w:rFonts w:asciiTheme="majorBidi" w:hAnsiTheme="majorBidi" w:cstheme="majorBidi"/>
                <w:szCs w:val="22"/>
                <w:lang w:val="fr-FR"/>
              </w:rPr>
            </w:pPr>
            <w:r w:rsidRPr="00083040">
              <w:rPr>
                <w:rFonts w:asciiTheme="majorBidi" w:hAnsiTheme="majorBidi" w:cstheme="majorBidi"/>
                <w:szCs w:val="22"/>
                <w:lang w:val="fr-FR"/>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3A5252" w:rsidRPr="00083040" w:rsidRDefault="003A5252" w:rsidP="00FD23B9">
            <w:pPr>
              <w:pStyle w:val="Tabletext"/>
              <w:spacing w:line="240" w:lineRule="auto"/>
              <w:rPr>
                <w:rFonts w:asciiTheme="majorBidi" w:hAnsiTheme="majorBidi" w:cstheme="majorBidi"/>
                <w:szCs w:val="22"/>
                <w:lang w:val="fr-FR"/>
              </w:rPr>
            </w:pPr>
            <w:r w:rsidRPr="00083040">
              <w:rPr>
                <w:rFonts w:asciiTheme="majorBidi" w:hAnsiTheme="majorBidi" w:cstheme="majorBidi"/>
                <w:szCs w:val="22"/>
                <w:lang w:val="fr-FR"/>
              </w:rPr>
              <w:t>100</w:t>
            </w:r>
          </w:p>
        </w:tc>
        <w:tc>
          <w:tcPr>
            <w:tcW w:w="1107" w:type="dxa"/>
            <w:tcBorders>
              <w:top w:val="single" w:sz="8" w:space="0" w:color="000000"/>
              <w:left w:val="single" w:sz="8" w:space="0" w:color="000000"/>
              <w:bottom w:val="single" w:sz="8" w:space="0" w:color="000000"/>
              <w:right w:val="single" w:sz="8" w:space="0" w:color="000000"/>
            </w:tcBorders>
          </w:tcPr>
          <w:p w:rsidR="003A5252" w:rsidRPr="00083040" w:rsidRDefault="003A5252" w:rsidP="00FD23B9">
            <w:pPr>
              <w:pStyle w:val="Tabletext"/>
              <w:spacing w:line="240" w:lineRule="auto"/>
              <w:rPr>
                <w:rFonts w:asciiTheme="majorBidi" w:hAnsiTheme="majorBidi" w:cstheme="majorBidi"/>
                <w:szCs w:val="22"/>
                <w:lang w:val="fr-FR"/>
              </w:rPr>
            </w:pPr>
            <w:r w:rsidRPr="00083040">
              <w:rPr>
                <w:rFonts w:asciiTheme="majorBidi" w:hAnsiTheme="majorBidi" w:cstheme="majorBidi"/>
                <w:szCs w:val="22"/>
                <w:lang w:val="fr-FR"/>
              </w:rPr>
              <w:t>500</w:t>
            </w:r>
          </w:p>
        </w:tc>
        <w:tc>
          <w:tcPr>
            <w:tcW w:w="3119" w:type="dxa"/>
            <w:tcBorders>
              <w:top w:val="single" w:sz="8" w:space="0" w:color="000000"/>
              <w:left w:val="single" w:sz="8" w:space="0" w:color="000000"/>
              <w:bottom w:val="single" w:sz="8" w:space="0" w:color="000000"/>
              <w:right w:val="single" w:sz="8" w:space="0" w:color="000000"/>
            </w:tcBorders>
          </w:tcPr>
          <w:p w:rsidR="003A5252" w:rsidRPr="00083040" w:rsidRDefault="003A5252" w:rsidP="00FD23B9">
            <w:pPr>
              <w:pStyle w:val="Tabletext"/>
              <w:spacing w:line="240" w:lineRule="auto"/>
              <w:rPr>
                <w:rFonts w:asciiTheme="majorBidi" w:hAnsiTheme="majorBidi" w:cstheme="majorBidi"/>
                <w:szCs w:val="22"/>
                <w:lang w:val="fr-FR"/>
              </w:rPr>
            </w:pPr>
            <w:r w:rsidRPr="00083040">
              <w:rPr>
                <w:rFonts w:asciiTheme="majorBidi" w:hAnsiTheme="majorBidi" w:cstheme="majorBidi"/>
                <w:szCs w:val="22"/>
                <w:lang w:val="fr-FR"/>
              </w:rPr>
              <w:t>2 000 pour Abu Dhabi ou Dubaï</w:t>
            </w:r>
          </w:p>
          <w:p w:rsidR="003A5252" w:rsidRPr="00083040" w:rsidRDefault="003A5252" w:rsidP="00FD23B9">
            <w:pPr>
              <w:pStyle w:val="Tabletext"/>
              <w:spacing w:line="240" w:lineRule="auto"/>
              <w:rPr>
                <w:rFonts w:asciiTheme="majorBidi" w:hAnsiTheme="majorBidi" w:cstheme="majorBidi"/>
                <w:szCs w:val="22"/>
                <w:lang w:val="fr-FR"/>
              </w:rPr>
            </w:pPr>
            <w:r w:rsidRPr="00083040">
              <w:rPr>
                <w:rFonts w:asciiTheme="majorBidi" w:hAnsiTheme="majorBidi" w:cstheme="majorBidi"/>
                <w:szCs w:val="22"/>
                <w:lang w:val="fr-FR"/>
              </w:rPr>
              <w:t>1 000 pour les autres Emirats</w:t>
            </w:r>
          </w:p>
        </w:tc>
        <w:tc>
          <w:tcPr>
            <w:tcW w:w="1555" w:type="dxa"/>
            <w:tcBorders>
              <w:top w:val="single" w:sz="8" w:space="0" w:color="000000"/>
              <w:left w:val="single" w:sz="8" w:space="0" w:color="000000"/>
              <w:bottom w:val="single" w:sz="8" w:space="0" w:color="000000"/>
              <w:right w:val="single" w:sz="8" w:space="0" w:color="000000"/>
            </w:tcBorders>
          </w:tcPr>
          <w:p w:rsidR="003A5252" w:rsidRPr="00083040" w:rsidRDefault="003A5252" w:rsidP="00FD23B9">
            <w:pPr>
              <w:pStyle w:val="Tabletext"/>
              <w:spacing w:line="240" w:lineRule="auto"/>
              <w:rPr>
                <w:rFonts w:asciiTheme="majorBidi" w:hAnsiTheme="majorBidi" w:cstheme="majorBidi"/>
                <w:szCs w:val="22"/>
                <w:lang w:val="fr-FR"/>
              </w:rPr>
            </w:pPr>
            <w:r w:rsidRPr="00083040">
              <w:rPr>
                <w:rFonts w:asciiTheme="majorBidi" w:hAnsiTheme="majorBidi" w:cstheme="majorBidi"/>
                <w:szCs w:val="22"/>
                <w:lang w:val="fr-FR"/>
              </w:rPr>
              <w:t xml:space="preserve">4 000 </w:t>
            </w:r>
          </w:p>
        </w:tc>
      </w:tr>
    </w:tbl>
    <w:p w:rsidR="003A5252" w:rsidRDefault="003A5252" w:rsidP="00281920">
      <w:pPr>
        <w:pStyle w:val="FigureSource"/>
        <w:pBdr>
          <w:bottom w:val="single" w:sz="12" w:space="1" w:color="auto"/>
        </w:pBdr>
      </w:pPr>
    </w:p>
    <w:p w:rsidR="003A5252" w:rsidRPr="00E123B8" w:rsidRDefault="003A5252" w:rsidP="00FD23B9">
      <w:pPr>
        <w:pStyle w:val="Arttitle"/>
        <w:spacing w:before="400"/>
      </w:pPr>
      <w:bookmarkStart w:id="526" w:name="_Toc225739488"/>
      <w:bookmarkStart w:id="527" w:name="_Toc225739832"/>
      <w:bookmarkStart w:id="528" w:name="_Toc280262372"/>
      <w:bookmarkStart w:id="529" w:name="_Toc280272766"/>
      <w:bookmarkStart w:id="530" w:name="_Toc280272945"/>
      <w:r w:rsidRPr="00E123B8">
        <w:t>Article 15</w:t>
      </w:r>
      <w:bookmarkEnd w:id="526"/>
      <w:bookmarkEnd w:id="527"/>
      <w:r w:rsidRPr="00E123B8">
        <w:br/>
      </w:r>
      <w:r w:rsidRPr="00E123B8">
        <w:br/>
      </w:r>
      <w:bookmarkStart w:id="531" w:name="_Toc225739489"/>
      <w:bookmarkStart w:id="532" w:name="_Toc225739833"/>
      <w:r w:rsidRPr="00E123B8">
        <w:t>Droits d'utilisation du spectre à acquitter pour l'accès hertzien</w:t>
      </w:r>
      <w:r w:rsidRPr="00E123B8">
        <w:br/>
        <w:t>large bande mobile</w:t>
      </w:r>
      <w:bookmarkEnd w:id="528"/>
      <w:bookmarkEnd w:id="529"/>
      <w:bookmarkEnd w:id="530"/>
      <w:bookmarkEnd w:id="531"/>
      <w:bookmarkEnd w:id="532"/>
    </w:p>
    <w:p w:rsidR="003A5252" w:rsidRPr="00A36319" w:rsidRDefault="003A5252" w:rsidP="00FD23B9">
      <w:pPr>
        <w:pStyle w:val="enumlev1"/>
        <w:bidi w:val="0"/>
        <w:spacing w:line="240" w:lineRule="auto"/>
        <w:rPr>
          <w:rFonts w:asciiTheme="majorBidi" w:hAnsiTheme="majorBidi" w:cstheme="majorBidi"/>
          <w:szCs w:val="22"/>
        </w:rPr>
      </w:pPr>
      <w:r w:rsidRPr="00A36319">
        <w:rPr>
          <w:rFonts w:asciiTheme="majorBidi" w:hAnsiTheme="majorBidi" w:cstheme="majorBidi"/>
          <w:szCs w:val="22"/>
        </w:rPr>
        <w:t>15.1</w:t>
      </w:r>
      <w:r w:rsidRPr="00A36319">
        <w:rPr>
          <w:rFonts w:asciiTheme="majorBidi" w:hAnsiTheme="majorBidi" w:cstheme="majorBidi"/>
          <w:szCs w:val="22"/>
        </w:rPr>
        <w:tab/>
        <w:t xml:space="preserve">Le montant annuel des droits d'utilisation du spectre à acquitter pour l'accès hertzien large bande mobile, entre 2 GHz et 4 GHz, est calculé comme suit: </w:t>
      </w:r>
    </w:p>
    <w:p w:rsidR="003A5252" w:rsidRPr="001C00F5" w:rsidRDefault="003A5252" w:rsidP="00FD23B9">
      <w:pPr>
        <w:bidi w:val="0"/>
        <w:spacing w:line="240" w:lineRule="auto"/>
        <w:jc w:val="center"/>
        <w:rPr>
          <w:color w:val="000000"/>
          <w:lang w:val="fr-FR"/>
        </w:rPr>
      </w:pPr>
      <w:r w:rsidRPr="001C00F5">
        <w:rPr>
          <w:b/>
          <w:lang w:val="fr-FR"/>
        </w:rPr>
        <w:t>Droits à acquitter</w:t>
      </w:r>
      <w:r w:rsidRPr="001C00F5">
        <w:rPr>
          <w:b/>
          <w:color w:val="000000"/>
          <w:lang w:val="fr-FR"/>
        </w:rPr>
        <w:t xml:space="preserve"> = BW x CF x 10</w:t>
      </w:r>
    </w:p>
    <w:p w:rsidR="003A5252" w:rsidRPr="001C00F5" w:rsidRDefault="003A5252" w:rsidP="00FD23B9">
      <w:pPr>
        <w:bidi w:val="0"/>
        <w:spacing w:line="240" w:lineRule="auto"/>
        <w:ind w:firstLine="720"/>
        <w:rPr>
          <w:color w:val="000000"/>
          <w:lang w:val="fr-FR"/>
        </w:rPr>
      </w:pPr>
      <w:r w:rsidRPr="001C00F5">
        <w:rPr>
          <w:b/>
          <w:color w:val="000000"/>
          <w:lang w:val="fr-FR"/>
        </w:rPr>
        <w:t xml:space="preserve">BW </w:t>
      </w:r>
      <w:r w:rsidRPr="001C00F5">
        <w:rPr>
          <w:color w:val="000000"/>
          <w:lang w:val="fr-FR"/>
        </w:rPr>
        <w:t>étant la l</w:t>
      </w:r>
      <w:r w:rsidRPr="001C00F5">
        <w:rPr>
          <w:lang w:val="fr-FR"/>
        </w:rPr>
        <w:t>argeur de bande totale en MHz</w:t>
      </w:r>
    </w:p>
    <w:p w:rsidR="003A5252" w:rsidRDefault="003A5252" w:rsidP="00FD23B9">
      <w:pPr>
        <w:bidi w:val="0"/>
        <w:spacing w:after="120" w:line="240" w:lineRule="auto"/>
        <w:ind w:left="720"/>
        <w:rPr>
          <w:color w:val="000000"/>
          <w:lang w:val="fr-FR"/>
        </w:rPr>
      </w:pPr>
      <w:r w:rsidRPr="001C00F5">
        <w:rPr>
          <w:b/>
          <w:color w:val="000000"/>
          <w:lang w:val="fr-FR"/>
        </w:rPr>
        <w:t>CF</w:t>
      </w:r>
      <w:r w:rsidRPr="001C00F5">
        <w:rPr>
          <w:color w:val="000000"/>
          <w:lang w:val="fr-FR"/>
        </w:rPr>
        <w:t xml:space="preserve"> étant le coefficient de couverture, en fonction de la zone géographique,</w:t>
      </w:r>
      <w:r>
        <w:rPr>
          <w:color w:val="000000"/>
          <w:lang w:val="fr-FR"/>
        </w:rPr>
        <w:t xml:space="preserve"> déterminé</w:t>
      </w:r>
      <w:r w:rsidRPr="001C00F5">
        <w:rPr>
          <w:color w:val="000000"/>
          <w:lang w:val="fr-FR"/>
        </w:rPr>
        <w:t xml:space="preserve"> comme suit:</w:t>
      </w:r>
    </w:p>
    <w:p w:rsidR="003A5252" w:rsidRDefault="003A5252" w:rsidP="00FD23B9">
      <w:pPr>
        <w:tabs>
          <w:tab w:val="clear" w:pos="794"/>
          <w:tab w:val="clear" w:pos="1191"/>
          <w:tab w:val="clear" w:pos="1588"/>
          <w:tab w:val="clear" w:pos="1985"/>
        </w:tabs>
        <w:overflowPunct/>
        <w:autoSpaceDE/>
        <w:autoSpaceDN/>
        <w:bidi w:val="0"/>
        <w:adjustRightInd/>
        <w:spacing w:before="0" w:line="240" w:lineRule="auto"/>
        <w:jc w:val="left"/>
        <w:textAlignment w:val="auto"/>
      </w:pPr>
      <w:r>
        <w:br w:type="page"/>
      </w:r>
    </w:p>
    <w:p w:rsidR="003A5252" w:rsidRDefault="003A5252" w:rsidP="00FD23B9">
      <w:pPr>
        <w:bidi w:val="0"/>
        <w:spacing w:before="0" w:line="240" w:lineRule="auto"/>
      </w:pPr>
    </w:p>
    <w:p w:rsidR="003A5252" w:rsidRPr="00F50942" w:rsidRDefault="003A5252" w:rsidP="00EE251B">
      <w:pPr>
        <w:pStyle w:val="FigureTitle"/>
        <w:pBdr>
          <w:top w:val="single" w:sz="12" w:space="10" w:color="000000"/>
        </w:pBdr>
      </w:pPr>
    </w:p>
    <w:tbl>
      <w:tblPr>
        <w:tblW w:w="0" w:type="auto"/>
        <w:jc w:val="center"/>
        <w:tblInd w:w="925" w:type="dxa"/>
        <w:tblBorders>
          <w:top w:val="nil"/>
          <w:left w:val="nil"/>
          <w:bottom w:val="nil"/>
          <w:right w:val="nil"/>
        </w:tblBorders>
        <w:tblLook w:val="0000"/>
      </w:tblPr>
      <w:tblGrid>
        <w:gridCol w:w="850"/>
        <w:gridCol w:w="1470"/>
        <w:gridCol w:w="1390"/>
        <w:gridCol w:w="3268"/>
        <w:gridCol w:w="1401"/>
      </w:tblGrid>
      <w:tr w:rsidR="003A5252" w:rsidRPr="007E2B73" w:rsidTr="00026C26">
        <w:trPr>
          <w:trHeight w:val="319"/>
          <w:jc w:val="center"/>
        </w:trPr>
        <w:tc>
          <w:tcPr>
            <w:tcW w:w="850" w:type="dxa"/>
            <w:tcBorders>
              <w:top w:val="single" w:sz="8" w:space="0" w:color="000000"/>
              <w:left w:val="single" w:sz="8" w:space="0" w:color="000000"/>
              <w:bottom w:val="single" w:sz="8" w:space="0" w:color="000000"/>
              <w:right w:val="single" w:sz="8" w:space="0" w:color="000000"/>
            </w:tcBorders>
          </w:tcPr>
          <w:p w:rsidR="003A5252" w:rsidRPr="00D01AD4" w:rsidRDefault="003A5252" w:rsidP="00FD23B9">
            <w:pPr>
              <w:pStyle w:val="Tablehead"/>
              <w:spacing w:line="240" w:lineRule="auto"/>
              <w:rPr>
                <w:rFonts w:asciiTheme="majorBidi" w:hAnsiTheme="majorBidi" w:cstheme="majorBidi"/>
                <w:szCs w:val="22"/>
                <w:lang w:val="fr-FR"/>
              </w:rPr>
            </w:pPr>
            <w:r w:rsidRPr="00D01AD4">
              <w:rPr>
                <w:rFonts w:asciiTheme="majorBidi" w:hAnsiTheme="majorBidi" w:cstheme="majorBidi"/>
                <w:szCs w:val="22"/>
                <w:lang w:val="fr-FR"/>
              </w:rPr>
              <w:t xml:space="preserve">Zone </w:t>
            </w:r>
          </w:p>
        </w:tc>
        <w:tc>
          <w:tcPr>
            <w:tcW w:w="1470" w:type="dxa"/>
            <w:tcBorders>
              <w:top w:val="single" w:sz="8" w:space="0" w:color="000000"/>
              <w:left w:val="single" w:sz="8" w:space="0" w:color="000000"/>
              <w:bottom w:val="single" w:sz="8" w:space="0" w:color="000000"/>
              <w:right w:val="single" w:sz="8" w:space="0" w:color="000000"/>
            </w:tcBorders>
          </w:tcPr>
          <w:p w:rsidR="003A5252" w:rsidRPr="00D01AD4" w:rsidRDefault="003A5252" w:rsidP="00FD23B9">
            <w:pPr>
              <w:pStyle w:val="Tablehead"/>
              <w:spacing w:line="240" w:lineRule="auto"/>
              <w:rPr>
                <w:rFonts w:asciiTheme="majorBidi" w:hAnsiTheme="majorBidi" w:cstheme="majorBidi"/>
                <w:szCs w:val="22"/>
                <w:lang w:val="fr-FR"/>
              </w:rPr>
            </w:pPr>
            <w:r w:rsidRPr="00D01AD4">
              <w:rPr>
                <w:rFonts w:asciiTheme="majorBidi" w:hAnsiTheme="majorBidi" w:cstheme="majorBidi"/>
                <w:szCs w:val="22"/>
                <w:lang w:val="fr-FR"/>
              </w:rPr>
              <w:t>Zone rurale ou à l'intérieur de locaux</w:t>
            </w:r>
          </w:p>
        </w:tc>
        <w:tc>
          <w:tcPr>
            <w:tcW w:w="1390" w:type="dxa"/>
            <w:tcBorders>
              <w:top w:val="single" w:sz="8" w:space="0" w:color="000000"/>
              <w:left w:val="single" w:sz="8" w:space="0" w:color="000000"/>
              <w:bottom w:val="single" w:sz="8" w:space="0" w:color="000000"/>
              <w:right w:val="single" w:sz="8" w:space="0" w:color="000000"/>
            </w:tcBorders>
          </w:tcPr>
          <w:p w:rsidR="003A5252" w:rsidRPr="00D01AD4" w:rsidRDefault="003A5252" w:rsidP="00FD23B9">
            <w:pPr>
              <w:pStyle w:val="Tablehead"/>
              <w:spacing w:line="240" w:lineRule="auto"/>
              <w:rPr>
                <w:rFonts w:asciiTheme="majorBidi" w:hAnsiTheme="majorBidi" w:cstheme="majorBidi"/>
                <w:szCs w:val="22"/>
                <w:lang w:val="fr-FR"/>
              </w:rPr>
            </w:pPr>
            <w:r w:rsidRPr="00D01AD4">
              <w:rPr>
                <w:rFonts w:asciiTheme="majorBidi" w:hAnsiTheme="majorBidi" w:cstheme="majorBidi"/>
                <w:szCs w:val="22"/>
                <w:lang w:val="fr-FR"/>
              </w:rPr>
              <w:t xml:space="preserve">Zone urbaine </w:t>
            </w:r>
          </w:p>
        </w:tc>
        <w:tc>
          <w:tcPr>
            <w:tcW w:w="3268" w:type="dxa"/>
            <w:tcBorders>
              <w:top w:val="single" w:sz="8" w:space="0" w:color="000000"/>
              <w:left w:val="single" w:sz="8" w:space="0" w:color="000000"/>
              <w:bottom w:val="single" w:sz="8" w:space="0" w:color="000000"/>
              <w:right w:val="single" w:sz="8" w:space="0" w:color="000000"/>
            </w:tcBorders>
          </w:tcPr>
          <w:p w:rsidR="003A5252" w:rsidRPr="00D01AD4" w:rsidRDefault="003A5252" w:rsidP="00FD23B9">
            <w:pPr>
              <w:pStyle w:val="Tablehead"/>
              <w:spacing w:line="240" w:lineRule="auto"/>
              <w:rPr>
                <w:rFonts w:asciiTheme="majorBidi" w:hAnsiTheme="majorBidi" w:cstheme="majorBidi"/>
                <w:szCs w:val="22"/>
                <w:lang w:val="fr-FR"/>
              </w:rPr>
            </w:pPr>
            <w:r w:rsidRPr="00D01AD4">
              <w:rPr>
                <w:rFonts w:asciiTheme="majorBidi" w:hAnsiTheme="majorBidi" w:cstheme="majorBidi"/>
                <w:szCs w:val="22"/>
                <w:lang w:val="fr-FR"/>
              </w:rPr>
              <w:t>Ensemble des Emirats</w:t>
            </w:r>
          </w:p>
        </w:tc>
        <w:tc>
          <w:tcPr>
            <w:tcW w:w="1401" w:type="dxa"/>
            <w:tcBorders>
              <w:top w:val="single" w:sz="8" w:space="0" w:color="000000"/>
              <w:left w:val="single" w:sz="8" w:space="0" w:color="000000"/>
              <w:bottom w:val="single" w:sz="8" w:space="0" w:color="000000"/>
              <w:right w:val="single" w:sz="8" w:space="0" w:color="000000"/>
            </w:tcBorders>
          </w:tcPr>
          <w:p w:rsidR="003A5252" w:rsidRPr="00D01AD4" w:rsidRDefault="003A5252" w:rsidP="00FD23B9">
            <w:pPr>
              <w:pStyle w:val="Tablehead"/>
              <w:spacing w:line="240" w:lineRule="auto"/>
              <w:rPr>
                <w:rFonts w:asciiTheme="majorBidi" w:hAnsiTheme="majorBidi" w:cstheme="majorBidi"/>
                <w:szCs w:val="22"/>
                <w:lang w:val="fr-FR"/>
              </w:rPr>
            </w:pPr>
            <w:r w:rsidRPr="00D01AD4">
              <w:rPr>
                <w:rFonts w:asciiTheme="majorBidi" w:hAnsiTheme="majorBidi" w:cstheme="majorBidi"/>
                <w:szCs w:val="22"/>
                <w:lang w:val="fr-FR"/>
              </w:rPr>
              <w:t xml:space="preserve">Totalité des Emirats arabes unis </w:t>
            </w:r>
          </w:p>
        </w:tc>
      </w:tr>
      <w:tr w:rsidR="003A5252" w:rsidRPr="00850A0F" w:rsidTr="00026C26">
        <w:trPr>
          <w:trHeight w:val="319"/>
          <w:jc w:val="center"/>
        </w:trPr>
        <w:tc>
          <w:tcPr>
            <w:tcW w:w="850" w:type="dxa"/>
            <w:tcBorders>
              <w:top w:val="single" w:sz="8" w:space="0" w:color="000000"/>
              <w:left w:val="single" w:sz="8" w:space="0" w:color="000000"/>
              <w:bottom w:val="single" w:sz="8" w:space="0" w:color="000000"/>
              <w:right w:val="single" w:sz="8" w:space="0" w:color="000000"/>
            </w:tcBorders>
          </w:tcPr>
          <w:p w:rsidR="003A5252" w:rsidRPr="00D01AD4" w:rsidRDefault="003A5252" w:rsidP="00FD23B9">
            <w:pPr>
              <w:pStyle w:val="Tabletext"/>
              <w:spacing w:line="240" w:lineRule="auto"/>
              <w:rPr>
                <w:rFonts w:asciiTheme="majorBidi" w:hAnsiTheme="majorBidi" w:cstheme="majorBidi"/>
                <w:szCs w:val="22"/>
                <w:lang w:val="fr-FR"/>
              </w:rPr>
            </w:pPr>
            <w:r w:rsidRPr="00D01AD4">
              <w:rPr>
                <w:rFonts w:asciiTheme="majorBidi" w:hAnsiTheme="majorBidi" w:cstheme="majorBidi"/>
                <w:szCs w:val="22"/>
                <w:lang w:val="fr-FR"/>
              </w:rPr>
              <w:t>CF</w:t>
            </w:r>
          </w:p>
        </w:tc>
        <w:tc>
          <w:tcPr>
            <w:tcW w:w="1470" w:type="dxa"/>
            <w:tcBorders>
              <w:top w:val="single" w:sz="8" w:space="0" w:color="000000"/>
              <w:left w:val="single" w:sz="8" w:space="0" w:color="000000"/>
              <w:bottom w:val="single" w:sz="8" w:space="0" w:color="000000"/>
              <w:right w:val="single" w:sz="8" w:space="0" w:color="000000"/>
            </w:tcBorders>
          </w:tcPr>
          <w:p w:rsidR="003A5252" w:rsidRPr="00D01AD4" w:rsidRDefault="003A5252" w:rsidP="00FD23B9">
            <w:pPr>
              <w:pStyle w:val="Tabletext"/>
              <w:spacing w:line="240" w:lineRule="auto"/>
              <w:rPr>
                <w:rFonts w:asciiTheme="majorBidi" w:hAnsiTheme="majorBidi" w:cstheme="majorBidi"/>
                <w:szCs w:val="22"/>
                <w:lang w:val="fr-FR"/>
              </w:rPr>
            </w:pPr>
            <w:r w:rsidRPr="00D01AD4">
              <w:rPr>
                <w:rFonts w:asciiTheme="majorBidi" w:hAnsiTheme="majorBidi" w:cstheme="majorBidi"/>
                <w:szCs w:val="22"/>
                <w:lang w:val="fr-FR"/>
              </w:rPr>
              <w:t>100</w:t>
            </w:r>
          </w:p>
        </w:tc>
        <w:tc>
          <w:tcPr>
            <w:tcW w:w="1390" w:type="dxa"/>
            <w:tcBorders>
              <w:top w:val="single" w:sz="8" w:space="0" w:color="000000"/>
              <w:left w:val="single" w:sz="8" w:space="0" w:color="000000"/>
              <w:bottom w:val="single" w:sz="8" w:space="0" w:color="000000"/>
              <w:right w:val="single" w:sz="8" w:space="0" w:color="000000"/>
            </w:tcBorders>
          </w:tcPr>
          <w:p w:rsidR="003A5252" w:rsidRPr="00D01AD4" w:rsidRDefault="003A5252" w:rsidP="00FD23B9">
            <w:pPr>
              <w:pStyle w:val="Tabletext"/>
              <w:spacing w:line="240" w:lineRule="auto"/>
              <w:rPr>
                <w:rFonts w:asciiTheme="majorBidi" w:hAnsiTheme="majorBidi" w:cstheme="majorBidi"/>
                <w:szCs w:val="22"/>
                <w:lang w:val="fr-FR"/>
              </w:rPr>
            </w:pPr>
            <w:r w:rsidRPr="00D01AD4">
              <w:rPr>
                <w:rFonts w:asciiTheme="majorBidi" w:hAnsiTheme="majorBidi" w:cstheme="majorBidi"/>
                <w:szCs w:val="22"/>
                <w:lang w:val="fr-FR"/>
              </w:rPr>
              <w:t>500</w:t>
            </w:r>
          </w:p>
        </w:tc>
        <w:tc>
          <w:tcPr>
            <w:tcW w:w="3268" w:type="dxa"/>
            <w:tcBorders>
              <w:top w:val="single" w:sz="8" w:space="0" w:color="000000"/>
              <w:left w:val="single" w:sz="8" w:space="0" w:color="000000"/>
              <w:bottom w:val="single" w:sz="8" w:space="0" w:color="000000"/>
              <w:right w:val="single" w:sz="8" w:space="0" w:color="000000"/>
            </w:tcBorders>
          </w:tcPr>
          <w:p w:rsidR="003A5252" w:rsidRPr="00D01AD4" w:rsidRDefault="003A5252" w:rsidP="00FD23B9">
            <w:pPr>
              <w:pStyle w:val="Tabletext"/>
              <w:spacing w:line="240" w:lineRule="auto"/>
              <w:rPr>
                <w:rFonts w:asciiTheme="majorBidi" w:hAnsiTheme="majorBidi" w:cstheme="majorBidi"/>
                <w:szCs w:val="22"/>
                <w:lang w:val="fr-FR"/>
              </w:rPr>
            </w:pPr>
            <w:r w:rsidRPr="00D01AD4">
              <w:rPr>
                <w:rFonts w:asciiTheme="majorBidi" w:hAnsiTheme="majorBidi" w:cstheme="majorBidi"/>
                <w:szCs w:val="22"/>
                <w:lang w:val="fr-FR"/>
              </w:rPr>
              <w:t>2 000 pour Abu Dhabi ou Dubaï</w:t>
            </w:r>
          </w:p>
          <w:p w:rsidR="003A5252" w:rsidRPr="00D01AD4" w:rsidRDefault="003A5252" w:rsidP="00FD23B9">
            <w:pPr>
              <w:pStyle w:val="Tabletext"/>
              <w:spacing w:line="240" w:lineRule="auto"/>
              <w:rPr>
                <w:rFonts w:asciiTheme="majorBidi" w:hAnsiTheme="majorBidi" w:cstheme="majorBidi"/>
                <w:szCs w:val="22"/>
                <w:lang w:val="fr-FR"/>
              </w:rPr>
            </w:pPr>
            <w:r w:rsidRPr="00D01AD4">
              <w:rPr>
                <w:rFonts w:asciiTheme="majorBidi" w:hAnsiTheme="majorBidi" w:cstheme="majorBidi"/>
                <w:szCs w:val="22"/>
                <w:lang w:val="fr-FR"/>
              </w:rPr>
              <w:t>1 000 pour les autres Emirats</w:t>
            </w:r>
          </w:p>
        </w:tc>
        <w:tc>
          <w:tcPr>
            <w:tcW w:w="1401" w:type="dxa"/>
            <w:tcBorders>
              <w:top w:val="single" w:sz="8" w:space="0" w:color="000000"/>
              <w:left w:val="single" w:sz="8" w:space="0" w:color="000000"/>
              <w:bottom w:val="single" w:sz="8" w:space="0" w:color="000000"/>
              <w:right w:val="single" w:sz="8" w:space="0" w:color="000000"/>
            </w:tcBorders>
          </w:tcPr>
          <w:p w:rsidR="003A5252" w:rsidRPr="00D01AD4" w:rsidRDefault="003A5252" w:rsidP="00FD23B9">
            <w:pPr>
              <w:pStyle w:val="Tabletext"/>
              <w:spacing w:line="240" w:lineRule="auto"/>
              <w:rPr>
                <w:rFonts w:asciiTheme="majorBidi" w:hAnsiTheme="majorBidi" w:cstheme="majorBidi"/>
                <w:szCs w:val="22"/>
                <w:lang w:val="fr-FR"/>
              </w:rPr>
            </w:pPr>
            <w:r w:rsidRPr="00D01AD4">
              <w:rPr>
                <w:rFonts w:asciiTheme="majorBidi" w:hAnsiTheme="majorBidi" w:cstheme="majorBidi"/>
                <w:szCs w:val="22"/>
                <w:lang w:val="fr-FR"/>
              </w:rPr>
              <w:t>4 000</w:t>
            </w:r>
          </w:p>
        </w:tc>
      </w:tr>
    </w:tbl>
    <w:p w:rsidR="003A5252" w:rsidRDefault="003A5252" w:rsidP="00281920">
      <w:pPr>
        <w:pStyle w:val="FigureSource"/>
        <w:pBdr>
          <w:bottom w:val="single" w:sz="12" w:space="1" w:color="auto"/>
        </w:pBdr>
      </w:pPr>
    </w:p>
    <w:p w:rsidR="003A5252" w:rsidRPr="00FC7377" w:rsidRDefault="003A5252" w:rsidP="00FD23B9">
      <w:pPr>
        <w:pStyle w:val="Arttitle"/>
        <w:spacing w:before="400"/>
      </w:pPr>
      <w:bookmarkStart w:id="533" w:name="_Toc225739490"/>
      <w:bookmarkStart w:id="534" w:name="_Toc225739834"/>
      <w:bookmarkStart w:id="535" w:name="_Toc280262373"/>
      <w:bookmarkStart w:id="536" w:name="_Toc280272767"/>
      <w:bookmarkStart w:id="537" w:name="_Toc280272946"/>
      <w:r>
        <w:t xml:space="preserve">Article </w:t>
      </w:r>
      <w:r w:rsidRPr="00FC7377">
        <w:t>16</w:t>
      </w:r>
      <w:bookmarkEnd w:id="533"/>
      <w:bookmarkEnd w:id="534"/>
      <w:r w:rsidRPr="00FC7377">
        <w:br/>
      </w:r>
      <w:r w:rsidRPr="00FC7377">
        <w:br/>
      </w:r>
      <w:bookmarkStart w:id="538" w:name="_Toc225739491"/>
      <w:bookmarkStart w:id="539" w:name="_Toc225739835"/>
      <w:r w:rsidRPr="00FC7377">
        <w:t>Droits d'utilisation du spectre pour les liaisons à fibre optique et les liaisons laser</w:t>
      </w:r>
      <w:bookmarkEnd w:id="535"/>
      <w:bookmarkEnd w:id="536"/>
      <w:bookmarkEnd w:id="537"/>
      <w:bookmarkEnd w:id="538"/>
      <w:bookmarkEnd w:id="539"/>
    </w:p>
    <w:p w:rsidR="003A5252" w:rsidRPr="001C00F5" w:rsidRDefault="003A5252" w:rsidP="00FD23B9">
      <w:pPr>
        <w:bidi w:val="0"/>
        <w:spacing w:line="240" w:lineRule="auto"/>
        <w:rPr>
          <w:b/>
          <w:bCs/>
          <w:color w:val="000000"/>
          <w:lang w:val="fr-FR"/>
        </w:rPr>
      </w:pPr>
      <w:r w:rsidRPr="001C00F5">
        <w:rPr>
          <w:lang w:val="fr-FR"/>
        </w:rPr>
        <w:t xml:space="preserve">Le montant annuel des droits à acquitter pour ces liaisons est de cinquante </w:t>
      </w:r>
      <w:r w:rsidRPr="001C00F5">
        <w:rPr>
          <w:color w:val="000000"/>
          <w:lang w:val="fr-FR"/>
        </w:rPr>
        <w:t>(50) dirhams.</w:t>
      </w:r>
      <w:r w:rsidRPr="001C00F5">
        <w:rPr>
          <w:b/>
          <w:color w:val="000000"/>
          <w:lang w:val="fr-FR"/>
        </w:rPr>
        <w:t xml:space="preserve"> </w:t>
      </w:r>
    </w:p>
    <w:p w:rsidR="003A5252" w:rsidRPr="00FC7377" w:rsidRDefault="003A5252" w:rsidP="00FD23B9">
      <w:pPr>
        <w:pStyle w:val="Arttitle"/>
        <w:spacing w:before="400"/>
      </w:pPr>
      <w:bookmarkStart w:id="540" w:name="_Toc225739492"/>
      <w:bookmarkStart w:id="541" w:name="_Toc225739836"/>
      <w:bookmarkStart w:id="542" w:name="_Toc280262374"/>
      <w:bookmarkStart w:id="543" w:name="_Toc280272768"/>
      <w:bookmarkStart w:id="544" w:name="_Toc280272947"/>
      <w:r>
        <w:t xml:space="preserve">Article </w:t>
      </w:r>
      <w:r w:rsidRPr="00FC7377">
        <w:t>17</w:t>
      </w:r>
      <w:bookmarkEnd w:id="540"/>
      <w:bookmarkEnd w:id="541"/>
      <w:r w:rsidRPr="00FC7377">
        <w:br/>
      </w:r>
      <w:r w:rsidRPr="00FC7377">
        <w:br/>
      </w:r>
      <w:bookmarkStart w:id="545" w:name="_Toc225739493"/>
      <w:bookmarkStart w:id="546" w:name="_Toc225739837"/>
      <w:r w:rsidRPr="00FC7377">
        <w:t>Droits d'utilisation du spectre pour les réseaux WLAN et la téléphonie sans fil</w:t>
      </w:r>
      <w:bookmarkEnd w:id="542"/>
      <w:bookmarkEnd w:id="543"/>
      <w:bookmarkEnd w:id="544"/>
      <w:bookmarkEnd w:id="545"/>
      <w:bookmarkEnd w:id="546"/>
    </w:p>
    <w:p w:rsidR="003A5252" w:rsidRPr="001C00F5" w:rsidRDefault="003A5252" w:rsidP="00FD23B9">
      <w:pPr>
        <w:bidi w:val="0"/>
        <w:spacing w:line="240" w:lineRule="auto"/>
        <w:rPr>
          <w:b/>
          <w:bCs/>
          <w:color w:val="000000"/>
          <w:lang w:val="fr-FR"/>
        </w:rPr>
      </w:pPr>
      <w:r w:rsidRPr="001C00F5">
        <w:rPr>
          <w:lang w:val="fr-FR"/>
        </w:rPr>
        <w:t>L'utilisation à l'intérieur de la téléphonie sans fil sur réseau WLAN et utilisant le système DECT est exemptée de droits.</w:t>
      </w:r>
      <w:r w:rsidRPr="001C00F5">
        <w:rPr>
          <w:b/>
          <w:color w:val="000000"/>
          <w:lang w:val="fr-FR"/>
        </w:rPr>
        <w:t xml:space="preserve"> </w:t>
      </w:r>
    </w:p>
    <w:p w:rsidR="003A5252" w:rsidRPr="00FC7377" w:rsidRDefault="003A5252" w:rsidP="00FD23B9">
      <w:pPr>
        <w:pStyle w:val="Arttitle"/>
        <w:spacing w:before="400"/>
      </w:pPr>
      <w:bookmarkStart w:id="547" w:name="_Toc225739494"/>
      <w:bookmarkStart w:id="548" w:name="_Toc225739838"/>
      <w:bookmarkStart w:id="549" w:name="_Toc280262375"/>
      <w:bookmarkStart w:id="550" w:name="_Toc280272769"/>
      <w:bookmarkStart w:id="551" w:name="_Toc280272948"/>
      <w:r>
        <w:t xml:space="preserve">Article </w:t>
      </w:r>
      <w:r w:rsidRPr="00FC7377">
        <w:t>18</w:t>
      </w:r>
      <w:bookmarkEnd w:id="547"/>
      <w:bookmarkEnd w:id="548"/>
      <w:r w:rsidRPr="00FC7377">
        <w:br/>
      </w:r>
      <w:r w:rsidRPr="00FC7377">
        <w:br/>
      </w:r>
      <w:bookmarkStart w:id="552" w:name="_Toc225739495"/>
      <w:bookmarkStart w:id="553" w:name="_Toc225739839"/>
      <w:r w:rsidRPr="00FC7377">
        <w:t>Droits d'utilisation du spectre pour les systèmes GMPCS</w:t>
      </w:r>
      <w:bookmarkEnd w:id="549"/>
      <w:bookmarkEnd w:id="550"/>
      <w:bookmarkEnd w:id="551"/>
      <w:bookmarkEnd w:id="552"/>
      <w:bookmarkEnd w:id="553"/>
    </w:p>
    <w:p w:rsidR="003A5252" w:rsidRPr="001C00F5" w:rsidRDefault="003A5252" w:rsidP="00FD23B9">
      <w:pPr>
        <w:bidi w:val="0"/>
        <w:spacing w:line="240" w:lineRule="auto"/>
        <w:rPr>
          <w:lang w:val="fr-FR"/>
        </w:rPr>
      </w:pPr>
      <w:r w:rsidRPr="001C00F5">
        <w:rPr>
          <w:lang w:val="fr-FR"/>
        </w:rPr>
        <w:t xml:space="preserve">Le montant annuel des droits d'utilisation du spectre pour les systèmes mobiles mondiaux de communications personnelles (GMPCS) est calculé comme suit: </w:t>
      </w:r>
    </w:p>
    <w:p w:rsidR="003A5252" w:rsidRPr="001C00F5" w:rsidRDefault="003A5252" w:rsidP="00FD23B9">
      <w:pPr>
        <w:bidi w:val="0"/>
        <w:spacing w:line="240" w:lineRule="auto"/>
        <w:jc w:val="center"/>
        <w:rPr>
          <w:b/>
          <w:bCs/>
          <w:color w:val="000000"/>
          <w:lang w:val="fr-FR"/>
        </w:rPr>
      </w:pPr>
      <w:r w:rsidRPr="001C00F5">
        <w:rPr>
          <w:b/>
          <w:lang w:val="fr-FR"/>
        </w:rPr>
        <w:t>Droits à acquitter</w:t>
      </w:r>
      <w:r w:rsidRPr="001C00F5">
        <w:rPr>
          <w:b/>
          <w:color w:val="000000"/>
          <w:lang w:val="fr-FR"/>
        </w:rPr>
        <w:t xml:space="preserve"> = BW x 5000</w:t>
      </w:r>
    </w:p>
    <w:p w:rsidR="003A5252" w:rsidRDefault="003A5252" w:rsidP="00FD23B9">
      <w:pPr>
        <w:bidi w:val="0"/>
        <w:spacing w:line="240" w:lineRule="auto"/>
        <w:ind w:left="567" w:hanging="567"/>
        <w:rPr>
          <w:color w:val="000000"/>
          <w:lang w:val="fr-FR"/>
        </w:rPr>
      </w:pPr>
      <w:r w:rsidRPr="001C00F5">
        <w:rPr>
          <w:color w:val="000000"/>
          <w:lang w:val="fr-FR"/>
        </w:rPr>
        <w:tab/>
      </w:r>
      <w:r w:rsidRPr="001C00F5">
        <w:rPr>
          <w:b/>
          <w:color w:val="000000"/>
          <w:lang w:val="fr-FR"/>
        </w:rPr>
        <w:t xml:space="preserve">BW </w:t>
      </w:r>
      <w:r w:rsidRPr="001C00F5">
        <w:rPr>
          <w:color w:val="000000"/>
          <w:lang w:val="fr-FR"/>
        </w:rPr>
        <w:t xml:space="preserve">étant le coefficient de largeur de bande, fondé sur l'utilisation 2 x 1 MHz de largeur de bande </w:t>
      </w:r>
    </w:p>
    <w:p w:rsidR="003A5252" w:rsidRPr="001C00F5" w:rsidRDefault="003A5252" w:rsidP="00FD23B9">
      <w:pPr>
        <w:bidi w:val="0"/>
        <w:spacing w:line="240" w:lineRule="auto"/>
        <w:ind w:left="567" w:hanging="567"/>
        <w:rPr>
          <w:color w:val="000000"/>
          <w:lang w:val="fr-FR"/>
        </w:rPr>
      </w:pPr>
    </w:p>
    <w:p w:rsidR="003A5252" w:rsidRPr="00F50942" w:rsidRDefault="003A5252" w:rsidP="00EE251B">
      <w:pPr>
        <w:pStyle w:val="FigureTitle"/>
        <w:pBdr>
          <w:top w:val="single" w:sz="12" w:space="10" w:color="000000"/>
        </w:pBdr>
      </w:pPr>
    </w:p>
    <w:tbl>
      <w:tblPr>
        <w:tblW w:w="0" w:type="auto"/>
        <w:jc w:val="center"/>
        <w:tblInd w:w="1440" w:type="dxa"/>
        <w:tblBorders>
          <w:top w:val="nil"/>
          <w:left w:val="nil"/>
          <w:bottom w:val="nil"/>
          <w:right w:val="nil"/>
        </w:tblBorders>
        <w:tblLook w:val="0000"/>
      </w:tblPr>
      <w:tblGrid>
        <w:gridCol w:w="3711"/>
        <w:gridCol w:w="2219"/>
      </w:tblGrid>
      <w:tr w:rsidR="003A5252" w:rsidRPr="00850A0F" w:rsidTr="00026C26">
        <w:trPr>
          <w:trHeight w:val="332"/>
          <w:tblHeader/>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87278C" w:rsidRDefault="003A5252" w:rsidP="00FD23B9">
            <w:pPr>
              <w:pStyle w:val="Tablehead"/>
              <w:spacing w:line="240" w:lineRule="auto"/>
              <w:rPr>
                <w:rFonts w:asciiTheme="majorBidi" w:hAnsiTheme="majorBidi" w:cstheme="majorBidi"/>
                <w:szCs w:val="22"/>
                <w:lang w:val="fr-FR"/>
              </w:rPr>
            </w:pPr>
            <w:r w:rsidRPr="0087278C">
              <w:rPr>
                <w:rFonts w:asciiTheme="majorBidi" w:hAnsiTheme="majorBidi" w:cstheme="majorBidi"/>
                <w:szCs w:val="22"/>
                <w:lang w:val="fr-FR"/>
              </w:rPr>
              <w:t>Largeur de bande</w:t>
            </w:r>
          </w:p>
        </w:tc>
        <w:tc>
          <w:tcPr>
            <w:tcW w:w="2219" w:type="dxa"/>
            <w:tcBorders>
              <w:top w:val="single" w:sz="8" w:space="0" w:color="000000"/>
              <w:left w:val="single" w:sz="8" w:space="0" w:color="000000"/>
              <w:bottom w:val="single" w:sz="8" w:space="0" w:color="000000"/>
              <w:right w:val="single" w:sz="8" w:space="0" w:color="000000"/>
            </w:tcBorders>
          </w:tcPr>
          <w:p w:rsidR="003A5252" w:rsidRPr="0087278C" w:rsidRDefault="003A5252" w:rsidP="00FD23B9">
            <w:pPr>
              <w:pStyle w:val="Tablehead"/>
              <w:spacing w:line="240" w:lineRule="auto"/>
              <w:rPr>
                <w:rFonts w:asciiTheme="majorBidi" w:hAnsiTheme="majorBidi" w:cstheme="majorBidi"/>
                <w:szCs w:val="22"/>
                <w:lang w:val="fr-FR"/>
              </w:rPr>
            </w:pPr>
            <w:r w:rsidRPr="0087278C">
              <w:rPr>
                <w:rFonts w:asciiTheme="majorBidi" w:hAnsiTheme="majorBidi" w:cstheme="majorBidi"/>
                <w:szCs w:val="22"/>
                <w:lang w:val="fr-FR"/>
              </w:rPr>
              <w:t>Coefficient BW</w:t>
            </w:r>
          </w:p>
        </w:tc>
      </w:tr>
      <w:tr w:rsidR="003A5252" w:rsidRPr="00850A0F"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87278C" w:rsidRDefault="003A5252" w:rsidP="00FD23B9">
            <w:pPr>
              <w:pStyle w:val="Tabletext"/>
              <w:spacing w:line="240" w:lineRule="auto"/>
              <w:rPr>
                <w:rFonts w:asciiTheme="majorBidi" w:hAnsiTheme="majorBidi" w:cstheme="majorBidi"/>
                <w:szCs w:val="22"/>
                <w:lang w:val="fr-FR"/>
              </w:rPr>
            </w:pPr>
            <w:r w:rsidRPr="0087278C">
              <w:rPr>
                <w:rFonts w:asciiTheme="majorBidi" w:hAnsiTheme="majorBidi" w:cstheme="majorBidi"/>
                <w:szCs w:val="22"/>
                <w:lang w:val="fr-FR"/>
              </w:rPr>
              <w:t xml:space="preserve">Moins de 2 x 1 MHz </w:t>
            </w:r>
          </w:p>
        </w:tc>
        <w:tc>
          <w:tcPr>
            <w:tcW w:w="2219" w:type="dxa"/>
            <w:tcBorders>
              <w:top w:val="single" w:sz="8" w:space="0" w:color="000000"/>
              <w:left w:val="single" w:sz="8" w:space="0" w:color="000000"/>
              <w:bottom w:val="single" w:sz="8" w:space="0" w:color="000000"/>
              <w:right w:val="single" w:sz="8" w:space="0" w:color="000000"/>
            </w:tcBorders>
          </w:tcPr>
          <w:p w:rsidR="003A5252" w:rsidRPr="0087278C" w:rsidRDefault="003A5252" w:rsidP="00FD23B9">
            <w:pPr>
              <w:pStyle w:val="Tabletext"/>
              <w:spacing w:line="240" w:lineRule="auto"/>
              <w:rPr>
                <w:rFonts w:asciiTheme="majorBidi" w:hAnsiTheme="majorBidi" w:cstheme="majorBidi"/>
                <w:szCs w:val="22"/>
                <w:lang w:val="fr-FR"/>
              </w:rPr>
            </w:pPr>
            <w:r w:rsidRPr="0087278C">
              <w:rPr>
                <w:rFonts w:asciiTheme="majorBidi" w:hAnsiTheme="majorBidi" w:cstheme="majorBidi"/>
                <w:szCs w:val="22"/>
                <w:lang w:val="fr-FR"/>
              </w:rPr>
              <w:t>3</w:t>
            </w:r>
          </w:p>
        </w:tc>
      </w:tr>
      <w:tr w:rsidR="003A5252" w:rsidRPr="00850A0F"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87278C" w:rsidRDefault="003A5252" w:rsidP="00FD23B9">
            <w:pPr>
              <w:pStyle w:val="Tabletext"/>
              <w:spacing w:line="240" w:lineRule="auto"/>
              <w:rPr>
                <w:rFonts w:asciiTheme="majorBidi" w:hAnsiTheme="majorBidi" w:cstheme="majorBidi"/>
                <w:szCs w:val="22"/>
                <w:lang w:val="fr-FR"/>
              </w:rPr>
            </w:pPr>
            <w:r w:rsidRPr="0087278C">
              <w:rPr>
                <w:rFonts w:asciiTheme="majorBidi" w:hAnsiTheme="majorBidi" w:cstheme="majorBidi"/>
                <w:szCs w:val="22"/>
                <w:lang w:val="fr-FR"/>
              </w:rPr>
              <w:t xml:space="preserve">2 x 1 MHz - Moins de 4 x 1 MHz </w:t>
            </w:r>
          </w:p>
        </w:tc>
        <w:tc>
          <w:tcPr>
            <w:tcW w:w="2219" w:type="dxa"/>
            <w:tcBorders>
              <w:top w:val="single" w:sz="8" w:space="0" w:color="000000"/>
              <w:left w:val="single" w:sz="8" w:space="0" w:color="000000"/>
              <w:bottom w:val="single" w:sz="8" w:space="0" w:color="000000"/>
              <w:right w:val="single" w:sz="8" w:space="0" w:color="000000"/>
            </w:tcBorders>
          </w:tcPr>
          <w:p w:rsidR="003A5252" w:rsidRPr="0087278C" w:rsidRDefault="003A5252" w:rsidP="00FD23B9">
            <w:pPr>
              <w:pStyle w:val="Tabletext"/>
              <w:spacing w:line="240" w:lineRule="auto"/>
              <w:rPr>
                <w:rFonts w:asciiTheme="majorBidi" w:hAnsiTheme="majorBidi" w:cstheme="majorBidi"/>
                <w:szCs w:val="22"/>
                <w:lang w:val="fr-FR"/>
              </w:rPr>
            </w:pPr>
            <w:r w:rsidRPr="0087278C">
              <w:rPr>
                <w:rFonts w:asciiTheme="majorBidi" w:hAnsiTheme="majorBidi" w:cstheme="majorBidi"/>
                <w:szCs w:val="22"/>
                <w:lang w:val="fr-FR"/>
              </w:rPr>
              <w:t>6</w:t>
            </w:r>
          </w:p>
        </w:tc>
      </w:tr>
      <w:tr w:rsidR="003A5252" w:rsidRPr="00850A0F"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87278C" w:rsidRDefault="003A5252" w:rsidP="00FD23B9">
            <w:pPr>
              <w:pStyle w:val="Tabletext"/>
              <w:spacing w:line="240" w:lineRule="auto"/>
              <w:rPr>
                <w:rFonts w:asciiTheme="majorBidi" w:hAnsiTheme="majorBidi" w:cstheme="majorBidi"/>
                <w:szCs w:val="22"/>
                <w:lang w:val="fr-FR"/>
              </w:rPr>
            </w:pPr>
            <w:r w:rsidRPr="0087278C">
              <w:rPr>
                <w:rFonts w:asciiTheme="majorBidi" w:hAnsiTheme="majorBidi" w:cstheme="majorBidi"/>
                <w:szCs w:val="22"/>
                <w:lang w:val="fr-FR"/>
              </w:rPr>
              <w:t xml:space="preserve">4 x 1 MHz - Moins de 6 x 1 MHz </w:t>
            </w:r>
          </w:p>
        </w:tc>
        <w:tc>
          <w:tcPr>
            <w:tcW w:w="2219" w:type="dxa"/>
            <w:tcBorders>
              <w:top w:val="single" w:sz="8" w:space="0" w:color="000000"/>
              <w:left w:val="single" w:sz="8" w:space="0" w:color="000000"/>
              <w:bottom w:val="single" w:sz="8" w:space="0" w:color="000000"/>
              <w:right w:val="single" w:sz="8" w:space="0" w:color="000000"/>
            </w:tcBorders>
          </w:tcPr>
          <w:p w:rsidR="003A5252" w:rsidRPr="0087278C" w:rsidRDefault="003A5252" w:rsidP="00FD23B9">
            <w:pPr>
              <w:pStyle w:val="Tabletext"/>
              <w:spacing w:line="240" w:lineRule="auto"/>
              <w:rPr>
                <w:rFonts w:asciiTheme="majorBidi" w:hAnsiTheme="majorBidi" w:cstheme="majorBidi"/>
                <w:szCs w:val="22"/>
                <w:lang w:val="fr-FR"/>
              </w:rPr>
            </w:pPr>
            <w:r w:rsidRPr="0087278C">
              <w:rPr>
                <w:rFonts w:asciiTheme="majorBidi" w:hAnsiTheme="majorBidi" w:cstheme="majorBidi"/>
                <w:szCs w:val="22"/>
                <w:lang w:val="fr-FR"/>
              </w:rPr>
              <w:t>9</w:t>
            </w:r>
          </w:p>
        </w:tc>
      </w:tr>
      <w:tr w:rsidR="003A5252" w:rsidRPr="00850A0F"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87278C" w:rsidRDefault="003A5252" w:rsidP="00FD23B9">
            <w:pPr>
              <w:pStyle w:val="Tabletext"/>
              <w:spacing w:line="240" w:lineRule="auto"/>
              <w:rPr>
                <w:rFonts w:asciiTheme="majorBidi" w:hAnsiTheme="majorBidi" w:cstheme="majorBidi"/>
                <w:szCs w:val="22"/>
                <w:lang w:val="fr-FR"/>
              </w:rPr>
            </w:pPr>
            <w:r w:rsidRPr="0087278C">
              <w:rPr>
                <w:rFonts w:asciiTheme="majorBidi" w:hAnsiTheme="majorBidi" w:cstheme="majorBidi"/>
                <w:szCs w:val="22"/>
                <w:lang w:val="fr-FR"/>
              </w:rPr>
              <w:t xml:space="preserve">6 x 1 MHz - Moins de 8 x 1 MHz </w:t>
            </w:r>
          </w:p>
        </w:tc>
        <w:tc>
          <w:tcPr>
            <w:tcW w:w="2219" w:type="dxa"/>
            <w:tcBorders>
              <w:top w:val="single" w:sz="8" w:space="0" w:color="000000"/>
              <w:left w:val="single" w:sz="8" w:space="0" w:color="000000"/>
              <w:bottom w:val="single" w:sz="8" w:space="0" w:color="000000"/>
              <w:right w:val="single" w:sz="8" w:space="0" w:color="000000"/>
            </w:tcBorders>
          </w:tcPr>
          <w:p w:rsidR="003A5252" w:rsidRPr="0087278C" w:rsidRDefault="003A5252" w:rsidP="00FD23B9">
            <w:pPr>
              <w:pStyle w:val="Tabletext"/>
              <w:spacing w:line="240" w:lineRule="auto"/>
              <w:rPr>
                <w:rFonts w:asciiTheme="majorBidi" w:hAnsiTheme="majorBidi" w:cstheme="majorBidi"/>
                <w:szCs w:val="22"/>
                <w:lang w:val="fr-FR"/>
              </w:rPr>
            </w:pPr>
            <w:r w:rsidRPr="0087278C">
              <w:rPr>
                <w:rFonts w:asciiTheme="majorBidi" w:hAnsiTheme="majorBidi" w:cstheme="majorBidi"/>
                <w:szCs w:val="22"/>
                <w:lang w:val="fr-FR"/>
              </w:rPr>
              <w:t>12</w:t>
            </w:r>
          </w:p>
        </w:tc>
      </w:tr>
      <w:tr w:rsidR="003A5252" w:rsidRPr="00850A0F"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87278C" w:rsidRDefault="003A5252" w:rsidP="00FD23B9">
            <w:pPr>
              <w:pStyle w:val="Tabletext"/>
              <w:spacing w:line="240" w:lineRule="auto"/>
              <w:rPr>
                <w:rFonts w:asciiTheme="majorBidi" w:hAnsiTheme="majorBidi" w:cstheme="majorBidi"/>
                <w:szCs w:val="22"/>
                <w:lang w:val="fr-FR"/>
              </w:rPr>
            </w:pPr>
            <w:r w:rsidRPr="0087278C">
              <w:rPr>
                <w:rFonts w:asciiTheme="majorBidi" w:hAnsiTheme="majorBidi" w:cstheme="majorBidi"/>
                <w:szCs w:val="22"/>
                <w:lang w:val="fr-FR"/>
              </w:rPr>
              <w:t xml:space="preserve">8 x 1 MHz - Moins de 10 x 1 MHz </w:t>
            </w:r>
          </w:p>
        </w:tc>
        <w:tc>
          <w:tcPr>
            <w:tcW w:w="2219" w:type="dxa"/>
            <w:tcBorders>
              <w:top w:val="single" w:sz="8" w:space="0" w:color="000000"/>
              <w:left w:val="single" w:sz="8" w:space="0" w:color="000000"/>
              <w:bottom w:val="single" w:sz="8" w:space="0" w:color="000000"/>
              <w:right w:val="single" w:sz="8" w:space="0" w:color="000000"/>
            </w:tcBorders>
          </w:tcPr>
          <w:p w:rsidR="003A5252" w:rsidRPr="0087278C" w:rsidRDefault="003A5252" w:rsidP="00FD23B9">
            <w:pPr>
              <w:pStyle w:val="Tabletext"/>
              <w:spacing w:line="240" w:lineRule="auto"/>
              <w:rPr>
                <w:rFonts w:asciiTheme="majorBidi" w:hAnsiTheme="majorBidi" w:cstheme="majorBidi"/>
                <w:szCs w:val="22"/>
                <w:lang w:val="fr-FR"/>
              </w:rPr>
            </w:pPr>
            <w:r w:rsidRPr="0087278C">
              <w:rPr>
                <w:rFonts w:asciiTheme="majorBidi" w:hAnsiTheme="majorBidi" w:cstheme="majorBidi"/>
                <w:szCs w:val="22"/>
                <w:lang w:val="fr-FR"/>
              </w:rPr>
              <w:t>15</w:t>
            </w:r>
          </w:p>
        </w:tc>
      </w:tr>
      <w:tr w:rsidR="003A5252" w:rsidRPr="00850A0F"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87278C" w:rsidRDefault="003A5252" w:rsidP="00FD23B9">
            <w:pPr>
              <w:pStyle w:val="Tabletext"/>
              <w:spacing w:line="240" w:lineRule="auto"/>
              <w:rPr>
                <w:rFonts w:asciiTheme="majorBidi" w:hAnsiTheme="majorBidi" w:cstheme="majorBidi"/>
                <w:szCs w:val="22"/>
                <w:lang w:val="fr-FR"/>
              </w:rPr>
            </w:pPr>
            <w:r w:rsidRPr="0087278C">
              <w:rPr>
                <w:rFonts w:asciiTheme="majorBidi" w:hAnsiTheme="majorBidi" w:cstheme="majorBidi"/>
                <w:szCs w:val="22"/>
                <w:lang w:val="fr-FR"/>
              </w:rPr>
              <w:t xml:space="preserve">10 x 1 MHz </w:t>
            </w:r>
          </w:p>
        </w:tc>
        <w:tc>
          <w:tcPr>
            <w:tcW w:w="2219" w:type="dxa"/>
            <w:tcBorders>
              <w:top w:val="single" w:sz="8" w:space="0" w:color="000000"/>
              <w:left w:val="single" w:sz="8" w:space="0" w:color="000000"/>
              <w:bottom w:val="single" w:sz="8" w:space="0" w:color="000000"/>
              <w:right w:val="single" w:sz="8" w:space="0" w:color="000000"/>
            </w:tcBorders>
          </w:tcPr>
          <w:p w:rsidR="003A5252" w:rsidRPr="0087278C" w:rsidRDefault="003A5252" w:rsidP="00FD23B9">
            <w:pPr>
              <w:pStyle w:val="Tabletext"/>
              <w:spacing w:line="240" w:lineRule="auto"/>
              <w:rPr>
                <w:rFonts w:asciiTheme="majorBidi" w:hAnsiTheme="majorBidi" w:cstheme="majorBidi"/>
                <w:szCs w:val="22"/>
                <w:lang w:val="fr-FR"/>
              </w:rPr>
            </w:pPr>
            <w:r w:rsidRPr="0087278C">
              <w:rPr>
                <w:rFonts w:asciiTheme="majorBidi" w:hAnsiTheme="majorBidi" w:cstheme="majorBidi"/>
                <w:szCs w:val="22"/>
                <w:lang w:val="fr-FR"/>
              </w:rPr>
              <w:t>18</w:t>
            </w:r>
          </w:p>
        </w:tc>
      </w:tr>
      <w:tr w:rsidR="003A5252" w:rsidRPr="00850A0F" w:rsidTr="00026C26">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3A5252" w:rsidRPr="0087278C" w:rsidRDefault="003A5252" w:rsidP="00FD23B9">
            <w:pPr>
              <w:pStyle w:val="Tabletext"/>
              <w:spacing w:line="240" w:lineRule="auto"/>
              <w:rPr>
                <w:rFonts w:asciiTheme="majorBidi" w:hAnsiTheme="majorBidi" w:cstheme="majorBidi"/>
                <w:szCs w:val="22"/>
                <w:lang w:val="fr-FR"/>
              </w:rPr>
            </w:pPr>
            <w:r w:rsidRPr="0087278C">
              <w:rPr>
                <w:rFonts w:asciiTheme="majorBidi" w:hAnsiTheme="majorBidi" w:cstheme="majorBidi"/>
                <w:szCs w:val="22"/>
                <w:lang w:val="fr-FR"/>
              </w:rPr>
              <w:t xml:space="preserve">Pour chaque 2 x 1 MHz supplémentaire </w:t>
            </w:r>
          </w:p>
        </w:tc>
        <w:tc>
          <w:tcPr>
            <w:tcW w:w="2219" w:type="dxa"/>
            <w:tcBorders>
              <w:top w:val="single" w:sz="8" w:space="0" w:color="000000"/>
              <w:left w:val="single" w:sz="8" w:space="0" w:color="000000"/>
              <w:bottom w:val="single" w:sz="8" w:space="0" w:color="000000"/>
              <w:right w:val="single" w:sz="8" w:space="0" w:color="000000"/>
            </w:tcBorders>
          </w:tcPr>
          <w:p w:rsidR="003A5252" w:rsidRPr="0087278C" w:rsidRDefault="003A5252" w:rsidP="00FD23B9">
            <w:pPr>
              <w:pStyle w:val="Tabletext"/>
              <w:spacing w:line="240" w:lineRule="auto"/>
              <w:rPr>
                <w:rFonts w:asciiTheme="majorBidi" w:hAnsiTheme="majorBidi" w:cstheme="majorBidi"/>
                <w:szCs w:val="22"/>
                <w:lang w:val="fr-FR"/>
              </w:rPr>
            </w:pPr>
            <w:r w:rsidRPr="0087278C">
              <w:rPr>
                <w:rFonts w:asciiTheme="majorBidi" w:hAnsiTheme="majorBidi" w:cstheme="majorBidi"/>
                <w:szCs w:val="22"/>
                <w:lang w:val="fr-FR"/>
              </w:rPr>
              <w:t>3</w:t>
            </w:r>
          </w:p>
        </w:tc>
      </w:tr>
    </w:tbl>
    <w:p w:rsidR="003A5252" w:rsidRPr="00F50942" w:rsidRDefault="003A5252" w:rsidP="00281920">
      <w:pPr>
        <w:pStyle w:val="FigureSource"/>
        <w:pBdr>
          <w:bottom w:val="single" w:sz="12" w:space="1" w:color="auto"/>
        </w:pBdr>
      </w:pPr>
    </w:p>
    <w:p w:rsidR="00FD23B9" w:rsidRDefault="00FD23B9">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b/>
          <w:sz w:val="24"/>
          <w:szCs w:val="20"/>
        </w:rPr>
      </w:pPr>
      <w:bookmarkStart w:id="554" w:name="_Toc225739496"/>
      <w:bookmarkStart w:id="555" w:name="_Toc225739840"/>
      <w:bookmarkStart w:id="556" w:name="_Toc280262376"/>
      <w:bookmarkStart w:id="557" w:name="_Toc280272770"/>
      <w:bookmarkStart w:id="558" w:name="_Toc280272949"/>
      <w:r>
        <w:br w:type="page"/>
      </w:r>
    </w:p>
    <w:p w:rsidR="003A5252" w:rsidRPr="000003AA" w:rsidRDefault="003A5252" w:rsidP="00FD23B9">
      <w:pPr>
        <w:pStyle w:val="Arttitle"/>
        <w:spacing w:before="400"/>
      </w:pPr>
      <w:r>
        <w:lastRenderedPageBreak/>
        <w:t xml:space="preserve">Article </w:t>
      </w:r>
      <w:r w:rsidRPr="000003AA">
        <w:t>19</w:t>
      </w:r>
      <w:bookmarkEnd w:id="554"/>
      <w:bookmarkEnd w:id="555"/>
      <w:r w:rsidRPr="000003AA">
        <w:br/>
      </w:r>
      <w:r w:rsidRPr="000003AA">
        <w:br/>
      </w:r>
      <w:bookmarkStart w:id="559" w:name="_Toc225739497"/>
      <w:bookmarkStart w:id="560" w:name="_Toc225739841"/>
      <w:r w:rsidRPr="000003AA">
        <w:t>Droits d'utilisation du spectre pour le Service d'amateur</w:t>
      </w:r>
      <w:bookmarkEnd w:id="556"/>
      <w:bookmarkEnd w:id="557"/>
      <w:bookmarkEnd w:id="558"/>
      <w:bookmarkEnd w:id="559"/>
      <w:bookmarkEnd w:id="560"/>
    </w:p>
    <w:p w:rsidR="003A5252" w:rsidRPr="006E6D40" w:rsidRDefault="003A5252" w:rsidP="00FD23B9">
      <w:pPr>
        <w:bidi w:val="0"/>
        <w:spacing w:line="240" w:lineRule="auto"/>
        <w:rPr>
          <w:szCs w:val="19"/>
        </w:rPr>
      </w:pPr>
      <w:r w:rsidRPr="006E6D40">
        <w:rPr>
          <w:szCs w:val="19"/>
        </w:rPr>
        <w:t>Le montant annuel des droits à acquitter pour obtenir une licence d'amateur est de deux cents (200) AED par équipement hertzien, payable à l'avance.</w:t>
      </w:r>
    </w:p>
    <w:p w:rsidR="003A5252" w:rsidRPr="000003AA" w:rsidRDefault="003A5252" w:rsidP="00FD23B9">
      <w:pPr>
        <w:pStyle w:val="Arttitle"/>
        <w:spacing w:before="400"/>
      </w:pPr>
      <w:bookmarkStart w:id="561" w:name="_Toc225739498"/>
      <w:bookmarkStart w:id="562" w:name="_Toc225739842"/>
      <w:bookmarkStart w:id="563" w:name="_Toc280262377"/>
      <w:bookmarkStart w:id="564" w:name="_Toc280272771"/>
      <w:bookmarkStart w:id="565" w:name="_Toc280272950"/>
      <w:r>
        <w:t xml:space="preserve">Article </w:t>
      </w:r>
      <w:r w:rsidRPr="000003AA">
        <w:t>20</w:t>
      </w:r>
      <w:bookmarkEnd w:id="561"/>
      <w:bookmarkEnd w:id="562"/>
      <w:r w:rsidRPr="000003AA">
        <w:br/>
      </w:r>
      <w:r w:rsidRPr="000003AA">
        <w:br/>
      </w:r>
      <w:bookmarkStart w:id="566" w:name="_Toc225739499"/>
      <w:bookmarkStart w:id="567" w:name="_Toc225739843"/>
      <w:r w:rsidRPr="000003AA">
        <w:t xml:space="preserve">Droits d'utilisation du spectre à acquitter pour les stations </w:t>
      </w:r>
      <w:r w:rsidRPr="000003AA">
        <w:br/>
        <w:t>de radiocommunication aéronautiques</w:t>
      </w:r>
      <w:bookmarkEnd w:id="563"/>
      <w:bookmarkEnd w:id="564"/>
      <w:bookmarkEnd w:id="565"/>
      <w:bookmarkEnd w:id="566"/>
      <w:bookmarkEnd w:id="567"/>
    </w:p>
    <w:p w:rsidR="003A5252" w:rsidRPr="00C74C5F" w:rsidRDefault="003A5252" w:rsidP="00FD23B9">
      <w:pPr>
        <w:pStyle w:val="enumlev1"/>
        <w:bidi w:val="0"/>
        <w:spacing w:line="240" w:lineRule="auto"/>
        <w:rPr>
          <w:rFonts w:asciiTheme="majorBidi" w:hAnsiTheme="majorBidi" w:cstheme="majorBidi"/>
          <w:szCs w:val="22"/>
        </w:rPr>
      </w:pPr>
      <w:r w:rsidRPr="00C74C5F">
        <w:rPr>
          <w:rFonts w:asciiTheme="majorBidi" w:hAnsiTheme="majorBidi" w:cstheme="majorBidi"/>
          <w:szCs w:val="22"/>
        </w:rPr>
        <w:t>20.1</w:t>
      </w:r>
      <w:r w:rsidRPr="00C74C5F">
        <w:rPr>
          <w:rFonts w:asciiTheme="majorBidi" w:hAnsiTheme="majorBidi" w:cstheme="majorBidi"/>
          <w:szCs w:val="22"/>
        </w:rPr>
        <w:tab/>
        <w:t>Le montant annuel à acquitter pour chaque licence d'aéronef et d'hélicoptère est de mille (1 000) dirhams. Ce montant inclut tous les équipements hertziens à bord.</w:t>
      </w:r>
    </w:p>
    <w:p w:rsidR="003A5252" w:rsidRPr="00C74C5F" w:rsidRDefault="003A5252" w:rsidP="00FD23B9">
      <w:pPr>
        <w:pStyle w:val="enumlev1"/>
        <w:bidi w:val="0"/>
        <w:spacing w:line="240" w:lineRule="auto"/>
        <w:rPr>
          <w:rFonts w:asciiTheme="majorBidi" w:hAnsiTheme="majorBidi" w:cstheme="majorBidi"/>
          <w:szCs w:val="22"/>
        </w:rPr>
      </w:pPr>
      <w:r w:rsidRPr="00C74C5F">
        <w:rPr>
          <w:rFonts w:asciiTheme="majorBidi" w:hAnsiTheme="majorBidi" w:cstheme="majorBidi"/>
          <w:szCs w:val="22"/>
        </w:rPr>
        <w:t>20.2</w:t>
      </w:r>
      <w:r w:rsidRPr="00C74C5F">
        <w:rPr>
          <w:rFonts w:asciiTheme="majorBidi" w:hAnsiTheme="majorBidi" w:cstheme="majorBidi"/>
          <w:szCs w:val="22"/>
        </w:rPr>
        <w:tab/>
        <w:t xml:space="preserve">Le montant annuel des droits à acquitter pour les planeurs et les ballons est de trois cents (300) dirhams. </w:t>
      </w:r>
    </w:p>
    <w:p w:rsidR="003A5252" w:rsidRPr="00C74C5F" w:rsidRDefault="003A5252" w:rsidP="00FD23B9">
      <w:pPr>
        <w:pStyle w:val="enumlev1"/>
        <w:bidi w:val="0"/>
        <w:spacing w:line="240" w:lineRule="auto"/>
        <w:rPr>
          <w:rFonts w:asciiTheme="majorBidi" w:hAnsiTheme="majorBidi" w:cstheme="majorBidi"/>
          <w:szCs w:val="22"/>
        </w:rPr>
      </w:pPr>
      <w:r w:rsidRPr="00C74C5F">
        <w:rPr>
          <w:rFonts w:asciiTheme="majorBidi" w:hAnsiTheme="majorBidi" w:cstheme="majorBidi"/>
          <w:szCs w:val="22"/>
        </w:rPr>
        <w:t>20.3</w:t>
      </w:r>
      <w:r w:rsidRPr="00C74C5F">
        <w:rPr>
          <w:rFonts w:asciiTheme="majorBidi" w:hAnsiTheme="majorBidi" w:cstheme="majorBidi"/>
          <w:szCs w:val="22"/>
        </w:rPr>
        <w:tab/>
        <w:t>Le montant annuel des droits à acquitter pour les liaisons sol-air est fixé conformément à celui du service des radiocommunications mobiles privées. Les liaisons sol</w:t>
      </w:r>
      <w:r w:rsidRPr="00C74C5F">
        <w:rPr>
          <w:rFonts w:asciiTheme="majorBidi" w:hAnsiTheme="majorBidi" w:cstheme="majorBidi"/>
          <w:szCs w:val="22"/>
        </w:rPr>
        <w:noBreakHyphen/>
        <w:t>air en ondes décamétriques sont facturées comme les liaisons point à point du service fixe en ondes décamétriques.</w:t>
      </w:r>
    </w:p>
    <w:p w:rsidR="003A5252" w:rsidRPr="00C74C5F" w:rsidRDefault="003A5252" w:rsidP="00FD23B9">
      <w:pPr>
        <w:pStyle w:val="enumlev1"/>
        <w:bidi w:val="0"/>
        <w:spacing w:line="240" w:lineRule="auto"/>
        <w:rPr>
          <w:rFonts w:asciiTheme="majorBidi" w:hAnsiTheme="majorBidi" w:cstheme="majorBidi"/>
          <w:szCs w:val="22"/>
        </w:rPr>
      </w:pPr>
      <w:r w:rsidRPr="00C74C5F">
        <w:rPr>
          <w:rFonts w:asciiTheme="majorBidi" w:hAnsiTheme="majorBidi" w:cstheme="majorBidi"/>
          <w:szCs w:val="22"/>
        </w:rPr>
        <w:t>20.4</w:t>
      </w:r>
      <w:r w:rsidRPr="00C74C5F">
        <w:rPr>
          <w:rFonts w:asciiTheme="majorBidi" w:hAnsiTheme="majorBidi" w:cstheme="majorBidi"/>
          <w:szCs w:val="22"/>
        </w:rPr>
        <w:tab/>
        <w:t>Le montant annuel des droits à acquitter pour les stations placées sur des plates</w:t>
      </w:r>
      <w:r w:rsidRPr="00C74C5F">
        <w:rPr>
          <w:rFonts w:asciiTheme="majorBidi" w:hAnsiTheme="majorBidi" w:cstheme="majorBidi"/>
          <w:szCs w:val="22"/>
        </w:rPr>
        <w:noBreakHyphen/>
        <w:t>formes à haute altitude (HAPS) relève de la rubrique services par satellite.</w:t>
      </w:r>
    </w:p>
    <w:p w:rsidR="003A5252" w:rsidRPr="0069101F" w:rsidRDefault="003A5252" w:rsidP="00FD23B9">
      <w:pPr>
        <w:pStyle w:val="Arttitle"/>
        <w:spacing w:before="400"/>
      </w:pPr>
      <w:bookmarkStart w:id="568" w:name="_Toc225739500"/>
      <w:bookmarkStart w:id="569" w:name="_Toc225739844"/>
      <w:bookmarkStart w:id="570" w:name="_Toc280262378"/>
      <w:bookmarkStart w:id="571" w:name="_Toc280272772"/>
      <w:bookmarkStart w:id="572" w:name="_Toc280272951"/>
      <w:r>
        <w:t xml:space="preserve">Article </w:t>
      </w:r>
      <w:r w:rsidRPr="0069101F">
        <w:t>21</w:t>
      </w:r>
      <w:bookmarkEnd w:id="568"/>
      <w:bookmarkEnd w:id="569"/>
      <w:r w:rsidRPr="0069101F">
        <w:br/>
      </w:r>
      <w:r w:rsidRPr="0069101F">
        <w:br/>
      </w:r>
      <w:bookmarkStart w:id="573" w:name="_Toc225739501"/>
      <w:bookmarkStart w:id="574" w:name="_Toc225739845"/>
      <w:r w:rsidRPr="0069101F">
        <w:t>Droits d'utilisation du spectre pour les services de radiocommunication maritimes</w:t>
      </w:r>
      <w:bookmarkEnd w:id="570"/>
      <w:bookmarkEnd w:id="571"/>
      <w:bookmarkEnd w:id="572"/>
      <w:bookmarkEnd w:id="573"/>
      <w:bookmarkEnd w:id="574"/>
    </w:p>
    <w:p w:rsidR="003A5252" w:rsidRPr="00C74C5F" w:rsidRDefault="003A5252" w:rsidP="00FD23B9">
      <w:pPr>
        <w:pStyle w:val="enumlev1"/>
        <w:bidi w:val="0"/>
        <w:spacing w:line="240" w:lineRule="auto"/>
        <w:rPr>
          <w:rFonts w:asciiTheme="majorBidi" w:hAnsiTheme="majorBidi" w:cstheme="majorBidi"/>
          <w:szCs w:val="22"/>
        </w:rPr>
      </w:pPr>
      <w:r w:rsidRPr="00C74C5F">
        <w:rPr>
          <w:rFonts w:asciiTheme="majorBidi" w:hAnsiTheme="majorBidi" w:cstheme="majorBidi"/>
          <w:szCs w:val="22"/>
        </w:rPr>
        <w:t>21.1</w:t>
      </w:r>
      <w:r w:rsidRPr="00C74C5F">
        <w:rPr>
          <w:rFonts w:asciiTheme="majorBidi" w:hAnsiTheme="majorBidi" w:cstheme="majorBidi"/>
          <w:szCs w:val="22"/>
        </w:rPr>
        <w:tab/>
        <w:t xml:space="preserve">Le montant annuel de chaque licence pour une petite embarcation est de deux cents (200) dirhams. </w:t>
      </w:r>
    </w:p>
    <w:p w:rsidR="003A5252" w:rsidRPr="00C74C5F" w:rsidRDefault="003A5252" w:rsidP="00FD23B9">
      <w:pPr>
        <w:pStyle w:val="enumlev1"/>
        <w:bidi w:val="0"/>
        <w:spacing w:line="240" w:lineRule="auto"/>
        <w:rPr>
          <w:rFonts w:asciiTheme="majorBidi" w:hAnsiTheme="majorBidi" w:cstheme="majorBidi"/>
          <w:szCs w:val="22"/>
        </w:rPr>
      </w:pPr>
      <w:r w:rsidRPr="00C74C5F">
        <w:rPr>
          <w:rFonts w:asciiTheme="majorBidi" w:hAnsiTheme="majorBidi" w:cstheme="majorBidi"/>
          <w:szCs w:val="22"/>
        </w:rPr>
        <w:t>21.2</w:t>
      </w:r>
      <w:r w:rsidRPr="00C74C5F">
        <w:rPr>
          <w:rFonts w:asciiTheme="majorBidi" w:hAnsiTheme="majorBidi" w:cstheme="majorBidi"/>
          <w:szCs w:val="22"/>
        </w:rPr>
        <w:tab/>
        <w:t xml:space="preserve">Le montant annuel des droits à acquitter pour chaque caboteur (naviguant dans les limites des eaux territoriales et sans identité MMSI) est de cinq cent cinquante (550) dirhams. </w:t>
      </w:r>
    </w:p>
    <w:p w:rsidR="003A5252" w:rsidRPr="00C74C5F" w:rsidRDefault="003A5252" w:rsidP="00FD23B9">
      <w:pPr>
        <w:pStyle w:val="enumlev1"/>
        <w:bidi w:val="0"/>
        <w:spacing w:line="240" w:lineRule="auto"/>
        <w:rPr>
          <w:rFonts w:asciiTheme="majorBidi" w:hAnsiTheme="majorBidi" w:cstheme="majorBidi"/>
          <w:szCs w:val="22"/>
        </w:rPr>
      </w:pPr>
      <w:r w:rsidRPr="00C74C5F">
        <w:rPr>
          <w:rFonts w:asciiTheme="majorBidi" w:hAnsiTheme="majorBidi" w:cstheme="majorBidi"/>
          <w:szCs w:val="22"/>
        </w:rPr>
        <w:t>21.3</w:t>
      </w:r>
      <w:r w:rsidRPr="00C74C5F">
        <w:rPr>
          <w:rFonts w:asciiTheme="majorBidi" w:hAnsiTheme="majorBidi" w:cstheme="majorBidi"/>
          <w:szCs w:val="22"/>
        </w:rPr>
        <w:tab/>
        <w:t xml:space="preserve">Le montant annuel des droits à acquitter pour chaque navire (naviguant hors des eaux territoriales et avec identité MMSI) est de mille (1 000) dirhams. </w:t>
      </w:r>
    </w:p>
    <w:p w:rsidR="003A5252" w:rsidRPr="0069101F" w:rsidRDefault="003A5252" w:rsidP="00FD23B9">
      <w:pPr>
        <w:pStyle w:val="Arttitle"/>
        <w:spacing w:before="400"/>
      </w:pPr>
      <w:bookmarkStart w:id="575" w:name="_Toc225739502"/>
      <w:bookmarkStart w:id="576" w:name="_Toc225739846"/>
      <w:bookmarkStart w:id="577" w:name="_Toc280262379"/>
      <w:bookmarkStart w:id="578" w:name="_Toc280272773"/>
      <w:bookmarkStart w:id="579" w:name="_Toc280272952"/>
      <w:r>
        <w:t xml:space="preserve">Article </w:t>
      </w:r>
      <w:r w:rsidRPr="0069101F">
        <w:t>22</w:t>
      </w:r>
      <w:bookmarkEnd w:id="575"/>
      <w:bookmarkEnd w:id="576"/>
      <w:r w:rsidRPr="0069101F">
        <w:br/>
      </w:r>
      <w:r w:rsidRPr="0069101F">
        <w:br/>
      </w:r>
      <w:bookmarkStart w:id="580" w:name="_Toc225739503"/>
      <w:bookmarkStart w:id="581" w:name="_Toc225739847"/>
      <w:r w:rsidRPr="0069101F">
        <w:t xml:space="preserve">Droits d'utilisation du spectre à acquitter pour les services spatiaux </w:t>
      </w:r>
      <w:r w:rsidRPr="0069101F">
        <w:br/>
        <w:t>et les services auxiliaires</w:t>
      </w:r>
      <w:bookmarkEnd w:id="577"/>
      <w:bookmarkEnd w:id="578"/>
      <w:bookmarkEnd w:id="579"/>
      <w:bookmarkEnd w:id="580"/>
      <w:bookmarkEnd w:id="581"/>
    </w:p>
    <w:p w:rsidR="003A5252" w:rsidRPr="00C74C5F" w:rsidRDefault="003A5252" w:rsidP="00FD23B9">
      <w:pPr>
        <w:pStyle w:val="enumlev1"/>
        <w:bidi w:val="0"/>
        <w:spacing w:line="240" w:lineRule="auto"/>
        <w:rPr>
          <w:rFonts w:asciiTheme="majorBidi" w:hAnsiTheme="majorBidi" w:cstheme="majorBidi"/>
          <w:szCs w:val="22"/>
        </w:rPr>
      </w:pPr>
      <w:r w:rsidRPr="00C74C5F">
        <w:rPr>
          <w:rFonts w:asciiTheme="majorBidi" w:hAnsiTheme="majorBidi" w:cstheme="majorBidi"/>
          <w:szCs w:val="22"/>
        </w:rPr>
        <w:t>22.1</w:t>
      </w:r>
      <w:r w:rsidRPr="00C74C5F">
        <w:rPr>
          <w:rFonts w:asciiTheme="majorBidi" w:hAnsiTheme="majorBidi" w:cstheme="majorBidi"/>
          <w:szCs w:val="22"/>
        </w:rPr>
        <w:tab/>
        <w:t xml:space="preserve">Le montant annuel à acquitter pour chaque microstation est de cinq mille (5 000) dirhams. </w:t>
      </w:r>
    </w:p>
    <w:p w:rsidR="003A5252" w:rsidRPr="00C74C5F" w:rsidRDefault="003A5252" w:rsidP="00FD23B9">
      <w:pPr>
        <w:pStyle w:val="enumlev1"/>
        <w:bidi w:val="0"/>
        <w:spacing w:line="240" w:lineRule="auto"/>
        <w:rPr>
          <w:rFonts w:asciiTheme="majorBidi" w:hAnsiTheme="majorBidi" w:cstheme="majorBidi"/>
          <w:szCs w:val="22"/>
        </w:rPr>
      </w:pPr>
      <w:r w:rsidRPr="00C74C5F">
        <w:rPr>
          <w:rFonts w:asciiTheme="majorBidi" w:hAnsiTheme="majorBidi" w:cstheme="majorBidi"/>
          <w:szCs w:val="22"/>
        </w:rPr>
        <w:t>22.2</w:t>
      </w:r>
      <w:r w:rsidRPr="00C74C5F">
        <w:rPr>
          <w:rFonts w:asciiTheme="majorBidi" w:hAnsiTheme="majorBidi" w:cstheme="majorBidi"/>
          <w:szCs w:val="22"/>
        </w:rPr>
        <w:tab/>
        <w:t xml:space="preserve">Le montant annuel à acquitter pour chaque antenne de station terrienne est de cinquante mille (50 000) dirhams. </w:t>
      </w:r>
    </w:p>
    <w:p w:rsidR="003A5252" w:rsidRPr="00C74C5F" w:rsidRDefault="003A5252" w:rsidP="00FD23B9">
      <w:pPr>
        <w:pStyle w:val="enumlev1"/>
        <w:bidi w:val="0"/>
        <w:spacing w:line="240" w:lineRule="auto"/>
        <w:rPr>
          <w:rFonts w:asciiTheme="majorBidi" w:hAnsiTheme="majorBidi" w:cstheme="majorBidi"/>
          <w:szCs w:val="22"/>
        </w:rPr>
      </w:pPr>
      <w:r w:rsidRPr="00C74C5F">
        <w:rPr>
          <w:rFonts w:asciiTheme="majorBidi" w:hAnsiTheme="majorBidi" w:cstheme="majorBidi"/>
          <w:szCs w:val="22"/>
        </w:rPr>
        <w:t>22.3</w:t>
      </w:r>
      <w:r w:rsidRPr="00C74C5F">
        <w:rPr>
          <w:rFonts w:asciiTheme="majorBidi" w:hAnsiTheme="majorBidi" w:cstheme="majorBidi"/>
          <w:szCs w:val="22"/>
        </w:rPr>
        <w:tab/>
        <w:t xml:space="preserve">La télévision uniquement réceptrice est gratuite. </w:t>
      </w:r>
    </w:p>
    <w:p w:rsidR="003A5252" w:rsidRPr="00C74C5F" w:rsidRDefault="003A5252" w:rsidP="00FD23B9">
      <w:pPr>
        <w:pStyle w:val="enumlev1"/>
        <w:bidi w:val="0"/>
        <w:spacing w:line="240" w:lineRule="auto"/>
        <w:rPr>
          <w:rFonts w:asciiTheme="majorBidi" w:hAnsiTheme="majorBidi" w:cstheme="majorBidi"/>
          <w:szCs w:val="22"/>
        </w:rPr>
      </w:pPr>
      <w:r w:rsidRPr="00C74C5F">
        <w:rPr>
          <w:rFonts w:asciiTheme="majorBidi" w:hAnsiTheme="majorBidi" w:cstheme="majorBidi"/>
          <w:szCs w:val="22"/>
        </w:rPr>
        <w:t>22.4</w:t>
      </w:r>
      <w:r w:rsidRPr="00C74C5F">
        <w:rPr>
          <w:rFonts w:asciiTheme="majorBidi" w:hAnsiTheme="majorBidi" w:cstheme="majorBidi"/>
          <w:szCs w:val="22"/>
        </w:rPr>
        <w:tab/>
        <w:t>Le montant annuel à acquitter pour chaque reportage d'actualités par satellite numérique est de cinq mille (5 000) dirhams.</w:t>
      </w:r>
    </w:p>
    <w:p w:rsidR="003A5252" w:rsidRPr="00C74C5F" w:rsidRDefault="003A5252" w:rsidP="00FD23B9">
      <w:pPr>
        <w:pStyle w:val="enumlev1"/>
        <w:bidi w:val="0"/>
        <w:spacing w:line="240" w:lineRule="auto"/>
        <w:rPr>
          <w:rFonts w:asciiTheme="majorBidi" w:hAnsiTheme="majorBidi" w:cstheme="majorBidi"/>
          <w:szCs w:val="22"/>
        </w:rPr>
      </w:pPr>
      <w:r w:rsidRPr="00C74C5F">
        <w:rPr>
          <w:rFonts w:asciiTheme="majorBidi" w:hAnsiTheme="majorBidi" w:cstheme="majorBidi"/>
          <w:szCs w:val="22"/>
        </w:rPr>
        <w:t>22.5</w:t>
      </w:r>
      <w:r w:rsidRPr="00C74C5F">
        <w:rPr>
          <w:rFonts w:asciiTheme="majorBidi" w:hAnsiTheme="majorBidi" w:cstheme="majorBidi"/>
          <w:szCs w:val="22"/>
        </w:rPr>
        <w:tab/>
        <w:t>Le montant annuel à acquitter pour le service mobile aéronautique par satellite est de dix mille (10 000) dirhams.</w:t>
      </w:r>
    </w:p>
    <w:p w:rsidR="003A5252" w:rsidRPr="00C74C5F" w:rsidRDefault="003A5252" w:rsidP="00FD23B9">
      <w:pPr>
        <w:pStyle w:val="enumlev1"/>
        <w:bidi w:val="0"/>
        <w:spacing w:line="240" w:lineRule="auto"/>
        <w:rPr>
          <w:rFonts w:asciiTheme="majorBidi" w:hAnsiTheme="majorBidi" w:cstheme="majorBidi"/>
          <w:szCs w:val="22"/>
        </w:rPr>
      </w:pPr>
      <w:r w:rsidRPr="00C74C5F">
        <w:rPr>
          <w:rFonts w:asciiTheme="majorBidi" w:hAnsiTheme="majorBidi" w:cstheme="majorBidi"/>
          <w:szCs w:val="22"/>
        </w:rPr>
        <w:t>22.6</w:t>
      </w:r>
      <w:r w:rsidRPr="00C74C5F">
        <w:rPr>
          <w:rFonts w:asciiTheme="majorBidi" w:hAnsiTheme="majorBidi" w:cstheme="majorBidi"/>
          <w:szCs w:val="22"/>
        </w:rPr>
        <w:tab/>
        <w:t>Le montant annuel à acquitter pour le service mobile maritime par satellite est de dix mille (10 000) dirhams.</w:t>
      </w:r>
    </w:p>
    <w:p w:rsidR="00FD23B9" w:rsidRDefault="00FD23B9">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heme="majorBidi" w:hAnsiTheme="majorBidi" w:cstheme="majorBidi"/>
          <w:szCs w:val="22"/>
          <w:lang w:val="fr-FR"/>
        </w:rPr>
      </w:pPr>
      <w:r>
        <w:rPr>
          <w:rFonts w:asciiTheme="majorBidi" w:hAnsiTheme="majorBidi" w:cstheme="majorBidi"/>
          <w:szCs w:val="22"/>
        </w:rPr>
        <w:br w:type="page"/>
      </w:r>
    </w:p>
    <w:p w:rsidR="003A5252" w:rsidRPr="00C74C5F" w:rsidRDefault="003A5252" w:rsidP="00FD23B9">
      <w:pPr>
        <w:pStyle w:val="enumlev1"/>
        <w:bidi w:val="0"/>
        <w:spacing w:line="240" w:lineRule="auto"/>
        <w:rPr>
          <w:rFonts w:asciiTheme="majorBidi" w:hAnsiTheme="majorBidi" w:cstheme="majorBidi"/>
          <w:szCs w:val="22"/>
        </w:rPr>
      </w:pPr>
      <w:r w:rsidRPr="00C74C5F">
        <w:rPr>
          <w:rFonts w:asciiTheme="majorBidi" w:hAnsiTheme="majorBidi" w:cstheme="majorBidi"/>
          <w:szCs w:val="22"/>
        </w:rPr>
        <w:lastRenderedPageBreak/>
        <w:t>22.7</w:t>
      </w:r>
      <w:r w:rsidRPr="00C74C5F">
        <w:rPr>
          <w:rFonts w:asciiTheme="majorBidi" w:hAnsiTheme="majorBidi" w:cstheme="majorBidi"/>
          <w:szCs w:val="22"/>
        </w:rPr>
        <w:tab/>
        <w:t>Le montant annuel à acquitter pour les services d'exploration de la Terre par satellite est de dix mille (10 000) dirhams.</w:t>
      </w:r>
    </w:p>
    <w:p w:rsidR="003A5252" w:rsidRPr="00C74C5F" w:rsidRDefault="003A5252" w:rsidP="00FD23B9">
      <w:pPr>
        <w:pStyle w:val="enumlev1"/>
        <w:bidi w:val="0"/>
        <w:spacing w:line="240" w:lineRule="auto"/>
        <w:rPr>
          <w:rFonts w:asciiTheme="majorBidi" w:hAnsiTheme="majorBidi" w:cstheme="majorBidi"/>
          <w:szCs w:val="22"/>
        </w:rPr>
      </w:pPr>
      <w:r w:rsidRPr="00C74C5F">
        <w:rPr>
          <w:rFonts w:asciiTheme="majorBidi" w:hAnsiTheme="majorBidi" w:cstheme="majorBidi"/>
          <w:szCs w:val="22"/>
        </w:rPr>
        <w:t>22.8</w:t>
      </w:r>
      <w:r w:rsidRPr="00C74C5F">
        <w:rPr>
          <w:rFonts w:asciiTheme="majorBidi" w:hAnsiTheme="majorBidi" w:cstheme="majorBidi"/>
          <w:szCs w:val="22"/>
        </w:rPr>
        <w:tab/>
        <w:t>Le montant annuel à acquitter pour les stations HAPS est déterminé par la TRA, en fonction de la finalité de l'utilisation.</w:t>
      </w:r>
    </w:p>
    <w:p w:rsidR="003A5252" w:rsidRPr="00336437" w:rsidRDefault="003A5252" w:rsidP="00FD23B9">
      <w:pPr>
        <w:pStyle w:val="Arttitle"/>
        <w:spacing w:before="400"/>
      </w:pPr>
      <w:bookmarkStart w:id="582" w:name="_Toc225739504"/>
      <w:bookmarkStart w:id="583" w:name="_Toc225739848"/>
      <w:bookmarkStart w:id="584" w:name="_Toc280262380"/>
      <w:bookmarkStart w:id="585" w:name="_Toc280272774"/>
      <w:bookmarkStart w:id="586" w:name="_Toc280272953"/>
      <w:r>
        <w:t xml:space="preserve">Article </w:t>
      </w:r>
      <w:r w:rsidRPr="00336437">
        <w:t>23</w:t>
      </w:r>
      <w:bookmarkEnd w:id="582"/>
      <w:bookmarkEnd w:id="583"/>
      <w:r w:rsidRPr="00336437">
        <w:br/>
      </w:r>
      <w:r w:rsidRPr="00336437">
        <w:br/>
      </w:r>
      <w:bookmarkStart w:id="587" w:name="_Toc225739505"/>
      <w:bookmarkStart w:id="588" w:name="_Toc225739849"/>
      <w:r w:rsidRPr="00336437">
        <w:t>Droits à acquitter pour les stations de radionavigation</w:t>
      </w:r>
      <w:bookmarkEnd w:id="584"/>
      <w:bookmarkEnd w:id="585"/>
      <w:bookmarkEnd w:id="586"/>
      <w:bookmarkEnd w:id="587"/>
      <w:bookmarkEnd w:id="588"/>
    </w:p>
    <w:p w:rsidR="003A5252" w:rsidRPr="001C00F5" w:rsidRDefault="003A5252" w:rsidP="00FD23B9">
      <w:pPr>
        <w:bidi w:val="0"/>
        <w:spacing w:line="240" w:lineRule="auto"/>
        <w:rPr>
          <w:color w:val="000000"/>
          <w:lang w:val="fr-FR"/>
        </w:rPr>
      </w:pPr>
      <w:r w:rsidRPr="001C00F5">
        <w:rPr>
          <w:lang w:val="fr-FR"/>
        </w:rPr>
        <w:t>Le montant annuel à acquitter pour chaque station de radionavigation est de mille (1 000) dirhams.</w:t>
      </w:r>
    </w:p>
    <w:p w:rsidR="003A5252" w:rsidRPr="00336437" w:rsidRDefault="003A5252" w:rsidP="00FD23B9">
      <w:pPr>
        <w:pStyle w:val="Arttitle"/>
        <w:spacing w:before="400"/>
      </w:pPr>
      <w:bookmarkStart w:id="589" w:name="_Toc225739506"/>
      <w:bookmarkStart w:id="590" w:name="_Toc225739850"/>
      <w:bookmarkStart w:id="591" w:name="_Toc280262381"/>
      <w:bookmarkStart w:id="592" w:name="_Toc280272775"/>
      <w:bookmarkStart w:id="593" w:name="_Toc280272954"/>
      <w:r>
        <w:t xml:space="preserve">Article </w:t>
      </w:r>
      <w:r w:rsidRPr="00336437">
        <w:t>24</w:t>
      </w:r>
      <w:bookmarkEnd w:id="589"/>
      <w:bookmarkEnd w:id="590"/>
      <w:r w:rsidRPr="00336437">
        <w:br/>
      </w:r>
      <w:r w:rsidRPr="00336437">
        <w:br/>
      </w:r>
      <w:bookmarkStart w:id="594" w:name="_Toc225739507"/>
      <w:bookmarkStart w:id="595" w:name="_Toc225739851"/>
      <w:r w:rsidRPr="00336437">
        <w:t>Droits à acquitter pour les stations de radioastronomie</w:t>
      </w:r>
      <w:bookmarkEnd w:id="591"/>
      <w:bookmarkEnd w:id="592"/>
      <w:bookmarkEnd w:id="593"/>
      <w:bookmarkEnd w:id="594"/>
      <w:bookmarkEnd w:id="595"/>
    </w:p>
    <w:p w:rsidR="003A5252" w:rsidRPr="001C00F5" w:rsidRDefault="003A5252" w:rsidP="00FD23B9">
      <w:pPr>
        <w:bidi w:val="0"/>
        <w:spacing w:line="240" w:lineRule="auto"/>
        <w:rPr>
          <w:color w:val="000000"/>
          <w:lang w:val="fr-FR"/>
        </w:rPr>
      </w:pPr>
      <w:r w:rsidRPr="001C00F5">
        <w:rPr>
          <w:lang w:val="fr-FR"/>
        </w:rPr>
        <w:t>Le montant annuel à acquitter pour chaque station de radioastronomie est de cinq cents (500) dirhams.</w:t>
      </w:r>
    </w:p>
    <w:p w:rsidR="003A5252" w:rsidRPr="00336437" w:rsidRDefault="003A5252" w:rsidP="00FD23B9">
      <w:pPr>
        <w:pStyle w:val="Arttitle"/>
        <w:spacing w:before="400"/>
      </w:pPr>
      <w:bookmarkStart w:id="596" w:name="_Toc225739508"/>
      <w:bookmarkStart w:id="597" w:name="_Toc225739852"/>
      <w:bookmarkStart w:id="598" w:name="_Toc280262382"/>
      <w:bookmarkStart w:id="599" w:name="_Toc280272776"/>
      <w:bookmarkStart w:id="600" w:name="_Toc280272955"/>
      <w:r>
        <w:t xml:space="preserve">Article </w:t>
      </w:r>
      <w:r w:rsidRPr="00336437">
        <w:t>25</w:t>
      </w:r>
      <w:bookmarkEnd w:id="596"/>
      <w:bookmarkEnd w:id="597"/>
      <w:r w:rsidRPr="00336437">
        <w:br/>
      </w:r>
      <w:r w:rsidRPr="00336437">
        <w:br/>
      </w:r>
      <w:bookmarkStart w:id="601" w:name="_Toc225739509"/>
      <w:bookmarkStart w:id="602" w:name="_Toc225739853"/>
      <w:r w:rsidRPr="00336437">
        <w:t>Droits à acquitter pour les stations de radiolocalisation</w:t>
      </w:r>
      <w:bookmarkEnd w:id="598"/>
      <w:bookmarkEnd w:id="599"/>
      <w:bookmarkEnd w:id="600"/>
      <w:bookmarkEnd w:id="601"/>
      <w:bookmarkEnd w:id="602"/>
    </w:p>
    <w:p w:rsidR="003A5252" w:rsidRPr="007D7851" w:rsidRDefault="003A5252" w:rsidP="00FD23B9">
      <w:pPr>
        <w:bidi w:val="0"/>
        <w:spacing w:line="240" w:lineRule="auto"/>
      </w:pPr>
      <w:r w:rsidRPr="007D7851">
        <w:t>Le montant annuel des droits à acquitter pour chaque radar côtier maritime, radar météorologique, radar au sol, station de surveillance aéronautique, station de contrôle d'approche, station d'observation des océans, des mouvements en surface et de localisation est de cinq mille (5 000) dirhams.</w:t>
      </w:r>
    </w:p>
    <w:p w:rsidR="003A5252" w:rsidRPr="00336437" w:rsidRDefault="003A5252" w:rsidP="00FD23B9">
      <w:pPr>
        <w:pStyle w:val="Arttitle"/>
        <w:spacing w:before="400"/>
      </w:pPr>
      <w:bookmarkStart w:id="603" w:name="_Toc225739510"/>
      <w:bookmarkStart w:id="604" w:name="_Toc225739854"/>
      <w:bookmarkStart w:id="605" w:name="_Toc280262383"/>
      <w:bookmarkStart w:id="606" w:name="_Toc280272777"/>
      <w:bookmarkStart w:id="607" w:name="_Toc280272956"/>
      <w:r>
        <w:t xml:space="preserve">Article </w:t>
      </w:r>
      <w:r w:rsidRPr="00336437">
        <w:t>26</w:t>
      </w:r>
      <w:bookmarkEnd w:id="603"/>
      <w:bookmarkEnd w:id="604"/>
      <w:r w:rsidRPr="00336437">
        <w:br/>
      </w:r>
      <w:r w:rsidRPr="00336437">
        <w:br/>
      </w:r>
      <w:bookmarkStart w:id="608" w:name="_Toc225739511"/>
      <w:bookmarkStart w:id="609" w:name="_Toc225739855"/>
      <w:r w:rsidRPr="00336437">
        <w:t>Droits à acquitter pour le service de radiodiffusion</w:t>
      </w:r>
      <w:bookmarkEnd w:id="605"/>
      <w:bookmarkEnd w:id="606"/>
      <w:bookmarkEnd w:id="607"/>
      <w:bookmarkEnd w:id="608"/>
      <w:bookmarkEnd w:id="609"/>
    </w:p>
    <w:p w:rsidR="003A5252" w:rsidRPr="009F1673" w:rsidRDefault="003A5252" w:rsidP="00FD23B9">
      <w:pPr>
        <w:pStyle w:val="enumlev1"/>
        <w:bidi w:val="0"/>
        <w:spacing w:line="240" w:lineRule="auto"/>
        <w:rPr>
          <w:rFonts w:asciiTheme="majorBidi" w:hAnsiTheme="majorBidi" w:cstheme="majorBidi"/>
          <w:szCs w:val="22"/>
        </w:rPr>
      </w:pPr>
      <w:r w:rsidRPr="009F1673">
        <w:rPr>
          <w:rFonts w:asciiTheme="majorBidi" w:hAnsiTheme="majorBidi" w:cstheme="majorBidi"/>
          <w:szCs w:val="22"/>
        </w:rPr>
        <w:t>26.1</w:t>
      </w:r>
      <w:r w:rsidRPr="009F1673">
        <w:rPr>
          <w:rFonts w:asciiTheme="majorBidi" w:hAnsiTheme="majorBidi" w:cstheme="majorBidi"/>
          <w:szCs w:val="22"/>
        </w:rPr>
        <w:tab/>
        <w:t>Radiodiffusion et télévision de Terre</w:t>
      </w:r>
    </w:p>
    <w:p w:rsidR="003A5252" w:rsidRPr="00B4213F" w:rsidRDefault="003A5252" w:rsidP="00FD23B9">
      <w:pPr>
        <w:bidi w:val="0"/>
        <w:spacing w:line="240" w:lineRule="auto"/>
        <w:ind w:left="794" w:hanging="794"/>
        <w:rPr>
          <w:b/>
          <w:lang w:val="fr-FR"/>
        </w:rPr>
      </w:pPr>
      <w:r w:rsidRPr="00B4213F">
        <w:rPr>
          <w:lang w:val="fr-FR"/>
        </w:rPr>
        <w:tab/>
        <w:t>Le montant annuel des droits à acquitter pour une station de radiodiffusion individuelle est calculé comme suit:</w:t>
      </w:r>
    </w:p>
    <w:p w:rsidR="003A5252" w:rsidRPr="00B4213F" w:rsidRDefault="003A5252" w:rsidP="00FD23B9">
      <w:pPr>
        <w:tabs>
          <w:tab w:val="left" w:pos="851"/>
        </w:tabs>
        <w:suppressAutoHyphens/>
        <w:bidi w:val="0"/>
        <w:spacing w:line="240" w:lineRule="auto"/>
        <w:rPr>
          <w:b/>
          <w:szCs w:val="19"/>
          <w:lang w:val="fr-FR"/>
        </w:rPr>
      </w:pPr>
      <w:r w:rsidRPr="00B4213F">
        <w:rPr>
          <w:b/>
          <w:szCs w:val="19"/>
          <w:lang w:val="fr-FR"/>
        </w:rPr>
        <w:tab/>
        <w:t>Montant à acquitter (par station) = A + B * C * D * E * F</w:t>
      </w:r>
    </w:p>
    <w:p w:rsidR="003A5252" w:rsidRPr="001C00F5" w:rsidRDefault="003A5252" w:rsidP="00FD23B9">
      <w:pPr>
        <w:tabs>
          <w:tab w:val="left" w:pos="851"/>
        </w:tabs>
        <w:bidi w:val="0"/>
        <w:spacing w:line="240" w:lineRule="auto"/>
        <w:rPr>
          <w:lang w:val="fr-FR"/>
        </w:rPr>
      </w:pPr>
      <w:r w:rsidRPr="001C00F5">
        <w:rPr>
          <w:b/>
          <w:lang w:val="fr-FR"/>
        </w:rPr>
        <w:tab/>
        <w:t>A = Montant de base</w:t>
      </w:r>
      <w:r w:rsidRPr="001C00F5">
        <w:rPr>
          <w:lang w:val="fr-FR"/>
        </w:rPr>
        <w:t xml:space="preserve"> = 30 000 AED.</w:t>
      </w:r>
    </w:p>
    <w:p w:rsidR="003A5252" w:rsidRPr="001C00F5" w:rsidRDefault="003A5252" w:rsidP="00FD23B9">
      <w:pPr>
        <w:tabs>
          <w:tab w:val="left" w:pos="851"/>
        </w:tabs>
        <w:bidi w:val="0"/>
        <w:spacing w:line="240" w:lineRule="auto"/>
        <w:ind w:left="851" w:hanging="851"/>
        <w:rPr>
          <w:lang w:val="fr-FR"/>
        </w:rPr>
      </w:pPr>
      <w:r w:rsidRPr="001C00F5">
        <w:rPr>
          <w:lang w:val="fr-FR"/>
        </w:rPr>
        <w:tab/>
        <w:t>NOTE – Dans le cas d'un réseau à fréquence unique (RFU), le réseau complet est considéré comme étant un seul émetteur et le montant de base est facturé une fois pour ce réseau, tandis que le reste des droits à acquitter est facturé pour chaque station.</w:t>
      </w:r>
    </w:p>
    <w:p w:rsidR="003A5252" w:rsidRPr="001C00F5" w:rsidRDefault="003A5252" w:rsidP="00FD23B9">
      <w:pPr>
        <w:tabs>
          <w:tab w:val="left" w:pos="851"/>
        </w:tabs>
        <w:bidi w:val="0"/>
        <w:spacing w:line="240" w:lineRule="auto"/>
        <w:ind w:left="851" w:hanging="851"/>
        <w:rPr>
          <w:lang w:val="fr-FR"/>
        </w:rPr>
      </w:pPr>
      <w:r w:rsidRPr="001C00F5">
        <w:rPr>
          <w:b/>
          <w:lang w:val="fr-FR"/>
        </w:rPr>
        <w:tab/>
        <w:t xml:space="preserve">B = Facteur de puissance = </w:t>
      </w:r>
      <w:r w:rsidRPr="001C00F5">
        <w:rPr>
          <w:lang w:val="fr-FR"/>
        </w:rPr>
        <w:t>La puissance, exprimée en kilowatts [kW], égale à la puissance émise par l'émetteur (en cas d'émission en ondes longues, moyennes ou courtes) et à la puissance apparente rayonnée (</w:t>
      </w:r>
      <w:r>
        <w:rPr>
          <w:lang w:val="fr-FR"/>
        </w:rPr>
        <w:t>p.a.r.</w:t>
      </w:r>
      <w:r w:rsidRPr="001C00F5">
        <w:rPr>
          <w:lang w:val="fr-FR"/>
        </w:rPr>
        <w:t>) dans tous les autres cas.</w:t>
      </w:r>
    </w:p>
    <w:p w:rsidR="003A5252" w:rsidRDefault="003A5252" w:rsidP="00FD23B9">
      <w:pPr>
        <w:tabs>
          <w:tab w:val="left" w:pos="851"/>
        </w:tabs>
        <w:bidi w:val="0"/>
        <w:spacing w:after="360" w:line="240" w:lineRule="auto"/>
        <w:rPr>
          <w:lang w:val="fr-FR"/>
        </w:rPr>
      </w:pPr>
      <w:r w:rsidRPr="001C00F5">
        <w:rPr>
          <w:b/>
          <w:lang w:val="fr-FR"/>
        </w:rPr>
        <w:tab/>
        <w:t>C = Coefficient de type de service</w:t>
      </w:r>
      <w:r w:rsidRPr="001C00F5">
        <w:rPr>
          <w:lang w:val="fr-FR"/>
        </w:rPr>
        <w:t>,</w:t>
      </w:r>
      <w:r w:rsidRPr="001C00F5">
        <w:rPr>
          <w:b/>
          <w:lang w:val="fr-FR"/>
        </w:rPr>
        <w:t xml:space="preserve"> </w:t>
      </w:r>
      <w:r>
        <w:rPr>
          <w:lang w:val="fr-FR"/>
        </w:rPr>
        <w:t>comme suit:</w:t>
      </w:r>
    </w:p>
    <w:p w:rsidR="003A5252" w:rsidRDefault="003A5252" w:rsidP="00FD23B9">
      <w:pPr>
        <w:tabs>
          <w:tab w:val="clear" w:pos="794"/>
          <w:tab w:val="clear" w:pos="1191"/>
          <w:tab w:val="clear" w:pos="1588"/>
          <w:tab w:val="clear" w:pos="1985"/>
        </w:tabs>
        <w:overflowPunct/>
        <w:autoSpaceDE/>
        <w:autoSpaceDN/>
        <w:bidi w:val="0"/>
        <w:adjustRightInd/>
        <w:spacing w:before="0" w:line="240" w:lineRule="auto"/>
        <w:jc w:val="left"/>
        <w:textAlignment w:val="auto"/>
        <w:rPr>
          <w:szCs w:val="19"/>
        </w:rPr>
      </w:pPr>
      <w:r>
        <w:rPr>
          <w:szCs w:val="19"/>
        </w:rPr>
        <w:br w:type="page"/>
      </w:r>
    </w:p>
    <w:p w:rsidR="003A5252" w:rsidRDefault="003A5252" w:rsidP="00EE251B">
      <w:pPr>
        <w:pStyle w:val="FigureTitle"/>
        <w:pBdr>
          <w:top w:val="single" w:sz="12" w:space="10" w:color="000000"/>
        </w:pBdr>
      </w:pPr>
      <w:r w:rsidRPr="00F50942">
        <w:lastRenderedPageBreak/>
        <w:t>Table</w:t>
      </w:r>
      <w:r>
        <w:t>au</w:t>
      </w:r>
      <w:r w:rsidRPr="00F50942">
        <w:t xml:space="preserve"> </w:t>
      </w:r>
      <w:fldSimple w:instr=" SEQ Figure \* ARABIC ">
        <w:r>
          <w:rPr>
            <w:noProof/>
          </w:rPr>
          <w:t>1</w:t>
        </w:r>
      </w:fldSimple>
      <w:r w:rsidRPr="00F50942">
        <w:t xml:space="preserve"> – </w:t>
      </w:r>
      <w:r w:rsidRPr="001C00F5">
        <w:rPr>
          <w:lang w:val="fr-FR"/>
        </w:rPr>
        <w:t>Définition des coefficients de type de service (C) pour les services de radiodiffusion sonore</w:t>
      </w:r>
      <w:r w:rsidRPr="00F50942">
        <w:t xml:space="preserve"> </w:t>
      </w:r>
    </w:p>
    <w:p w:rsidR="003A5252" w:rsidRPr="00D018D4" w:rsidRDefault="003A5252" w:rsidP="00FD23B9">
      <w:pPr>
        <w:bidi w:val="0"/>
        <w:spacing w:line="240" w:lineRule="auto"/>
        <w:rPr>
          <w:lang w:val="en-US"/>
        </w:rPr>
      </w:pP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2"/>
        <w:gridCol w:w="2496"/>
        <w:gridCol w:w="1620"/>
        <w:gridCol w:w="1829"/>
      </w:tblGrid>
      <w:tr w:rsidR="003A5252" w:rsidRPr="00F50942" w:rsidTr="00026C26">
        <w:trPr>
          <w:trHeight w:val="397"/>
          <w:jc w:val="center"/>
        </w:trPr>
        <w:tc>
          <w:tcPr>
            <w:tcW w:w="7517" w:type="dxa"/>
            <w:gridSpan w:val="4"/>
            <w:tcBorders>
              <w:bottom w:val="single" w:sz="4" w:space="0" w:color="auto"/>
            </w:tcBorders>
            <w:shd w:val="clear" w:color="auto" w:fill="E6E6E6"/>
            <w:vAlign w:val="center"/>
          </w:tcPr>
          <w:p w:rsidR="003A5252" w:rsidRPr="00200C50" w:rsidRDefault="003A5252" w:rsidP="00FD23B9">
            <w:pPr>
              <w:pStyle w:val="Tablehead"/>
              <w:spacing w:line="240" w:lineRule="auto"/>
              <w:rPr>
                <w:rFonts w:asciiTheme="majorBidi" w:hAnsiTheme="majorBidi" w:cstheme="majorBidi"/>
                <w:szCs w:val="22"/>
              </w:rPr>
            </w:pPr>
            <w:r w:rsidRPr="00200C50">
              <w:rPr>
                <w:rFonts w:asciiTheme="majorBidi" w:hAnsiTheme="majorBidi" w:cstheme="majorBidi"/>
                <w:szCs w:val="22"/>
                <w:lang w:val="fr-FR"/>
              </w:rPr>
              <w:t>Service de radiodiffusion sonore</w:t>
            </w:r>
          </w:p>
        </w:tc>
      </w:tr>
      <w:tr w:rsidR="003A5252" w:rsidRPr="00F50942" w:rsidTr="00026C26">
        <w:trPr>
          <w:trHeight w:val="397"/>
          <w:jc w:val="center"/>
        </w:trPr>
        <w:tc>
          <w:tcPr>
            <w:tcW w:w="1572" w:type="dxa"/>
            <w:shd w:val="clear" w:color="auto" w:fill="E6E6E6"/>
            <w:vAlign w:val="center"/>
          </w:tcPr>
          <w:p w:rsidR="003A5252" w:rsidRPr="00200C50" w:rsidRDefault="003A5252" w:rsidP="00FD23B9">
            <w:pPr>
              <w:pStyle w:val="Tablehead"/>
              <w:spacing w:line="240" w:lineRule="auto"/>
              <w:rPr>
                <w:rFonts w:asciiTheme="majorBidi" w:hAnsiTheme="majorBidi" w:cstheme="majorBidi"/>
                <w:szCs w:val="22"/>
              </w:rPr>
            </w:pPr>
            <w:r w:rsidRPr="00200C50">
              <w:rPr>
                <w:rFonts w:asciiTheme="majorBidi" w:hAnsiTheme="majorBidi" w:cstheme="majorBidi"/>
                <w:szCs w:val="22"/>
                <w:lang w:val="fr-FR"/>
              </w:rPr>
              <w:t>Type de service</w:t>
            </w:r>
          </w:p>
        </w:tc>
        <w:tc>
          <w:tcPr>
            <w:tcW w:w="2496" w:type="dxa"/>
            <w:shd w:val="clear" w:color="auto" w:fill="E6E6E6"/>
            <w:vAlign w:val="center"/>
          </w:tcPr>
          <w:p w:rsidR="003A5252" w:rsidRPr="00200C50" w:rsidRDefault="003A5252" w:rsidP="00FD23B9">
            <w:pPr>
              <w:pStyle w:val="Tablehead"/>
              <w:spacing w:line="240" w:lineRule="auto"/>
              <w:rPr>
                <w:rFonts w:asciiTheme="majorBidi" w:hAnsiTheme="majorBidi" w:cstheme="majorBidi"/>
                <w:szCs w:val="22"/>
              </w:rPr>
            </w:pPr>
            <w:r w:rsidRPr="00200C50">
              <w:rPr>
                <w:rFonts w:asciiTheme="majorBidi" w:hAnsiTheme="majorBidi" w:cstheme="majorBidi"/>
                <w:szCs w:val="22"/>
                <w:lang w:val="fr-FR"/>
              </w:rPr>
              <w:t>Gamme de fréquences</w:t>
            </w:r>
          </w:p>
        </w:tc>
        <w:tc>
          <w:tcPr>
            <w:tcW w:w="1620" w:type="dxa"/>
            <w:shd w:val="clear" w:color="auto" w:fill="E6E6E6"/>
            <w:vAlign w:val="center"/>
          </w:tcPr>
          <w:p w:rsidR="003A5252" w:rsidRPr="00200C50" w:rsidRDefault="003A5252" w:rsidP="00FD23B9">
            <w:pPr>
              <w:pStyle w:val="Tablehead"/>
              <w:spacing w:line="240" w:lineRule="auto"/>
              <w:rPr>
                <w:rFonts w:asciiTheme="majorBidi" w:hAnsiTheme="majorBidi" w:cstheme="majorBidi"/>
                <w:szCs w:val="22"/>
              </w:rPr>
            </w:pPr>
            <w:r w:rsidRPr="00200C50">
              <w:rPr>
                <w:rFonts w:asciiTheme="majorBidi" w:hAnsiTheme="majorBidi" w:cstheme="majorBidi"/>
                <w:szCs w:val="22"/>
                <w:lang w:val="fr-FR"/>
              </w:rPr>
              <w:t>Largeur de bande</w:t>
            </w:r>
          </w:p>
        </w:tc>
        <w:tc>
          <w:tcPr>
            <w:tcW w:w="1829" w:type="dxa"/>
            <w:shd w:val="clear" w:color="auto" w:fill="E6E6E6"/>
            <w:vAlign w:val="center"/>
          </w:tcPr>
          <w:p w:rsidR="003A5252" w:rsidRPr="00200C50" w:rsidRDefault="003A5252" w:rsidP="00FD23B9">
            <w:pPr>
              <w:pStyle w:val="Tablehead"/>
              <w:spacing w:line="240" w:lineRule="auto"/>
              <w:rPr>
                <w:rFonts w:asciiTheme="majorBidi" w:hAnsiTheme="majorBidi" w:cstheme="majorBidi"/>
                <w:szCs w:val="22"/>
              </w:rPr>
            </w:pPr>
            <w:r w:rsidRPr="00200C50">
              <w:rPr>
                <w:rFonts w:asciiTheme="majorBidi" w:hAnsiTheme="majorBidi" w:cstheme="majorBidi"/>
                <w:szCs w:val="22"/>
                <w:lang w:val="fr-FR"/>
              </w:rPr>
              <w:t>Coefficient de type de service (C)</w:t>
            </w:r>
          </w:p>
        </w:tc>
      </w:tr>
      <w:tr w:rsidR="003A5252" w:rsidRPr="00F50942" w:rsidTr="00026C26">
        <w:trPr>
          <w:trHeight w:val="368"/>
          <w:jc w:val="center"/>
        </w:trPr>
        <w:tc>
          <w:tcPr>
            <w:tcW w:w="1572" w:type="dxa"/>
            <w:vMerge w:val="restart"/>
          </w:tcPr>
          <w:p w:rsidR="003A5252" w:rsidRPr="00FB6A8B" w:rsidRDefault="003A5252" w:rsidP="00FB6A8B">
            <w:pPr>
              <w:pStyle w:val="Tabletext"/>
              <w:spacing w:line="240" w:lineRule="auto"/>
              <w:rPr>
                <w:rFonts w:asciiTheme="majorBidi" w:hAnsiTheme="majorBidi" w:cstheme="majorBidi"/>
                <w:szCs w:val="22"/>
                <w:lang w:val="fr-FR"/>
              </w:rPr>
            </w:pPr>
            <w:r w:rsidRPr="00200C50">
              <w:rPr>
                <w:rFonts w:asciiTheme="majorBidi" w:hAnsiTheme="majorBidi" w:cstheme="majorBidi"/>
                <w:szCs w:val="22"/>
                <w:lang w:val="fr-FR"/>
              </w:rPr>
              <w:t>Ondes kilométriques/</w:t>
            </w:r>
            <w:r w:rsidRPr="00200C50">
              <w:rPr>
                <w:rFonts w:asciiTheme="majorBidi" w:hAnsiTheme="majorBidi" w:cstheme="majorBidi"/>
                <w:szCs w:val="22"/>
                <w:lang w:val="fr-FR"/>
              </w:rPr>
              <w:br/>
              <w:t>hectométriques</w:t>
            </w:r>
          </w:p>
        </w:tc>
        <w:tc>
          <w:tcPr>
            <w:tcW w:w="2496" w:type="dxa"/>
            <w:shd w:val="clear" w:color="auto" w:fill="auto"/>
          </w:tcPr>
          <w:p w:rsidR="003A5252" w:rsidRPr="00200C50" w:rsidRDefault="003A5252" w:rsidP="00FD23B9">
            <w:pPr>
              <w:pStyle w:val="Tabletext"/>
              <w:spacing w:line="240" w:lineRule="auto"/>
              <w:rPr>
                <w:rFonts w:asciiTheme="majorBidi" w:hAnsiTheme="majorBidi" w:cstheme="majorBidi"/>
                <w:szCs w:val="22"/>
              </w:rPr>
            </w:pPr>
            <w:r w:rsidRPr="00200C50">
              <w:rPr>
                <w:rFonts w:asciiTheme="majorBidi" w:hAnsiTheme="majorBidi" w:cstheme="majorBidi"/>
                <w:szCs w:val="22"/>
                <w:lang w:val="fr-FR"/>
              </w:rPr>
              <w:t>148,5-283,5 kHz</w:t>
            </w:r>
          </w:p>
        </w:tc>
        <w:tc>
          <w:tcPr>
            <w:tcW w:w="1620" w:type="dxa"/>
            <w:shd w:val="clear" w:color="auto" w:fill="auto"/>
          </w:tcPr>
          <w:p w:rsidR="003A5252" w:rsidRPr="00200C50" w:rsidRDefault="003A5252" w:rsidP="00FD23B9">
            <w:pPr>
              <w:pStyle w:val="Tabletext"/>
              <w:spacing w:line="240" w:lineRule="auto"/>
              <w:rPr>
                <w:rFonts w:asciiTheme="majorBidi" w:hAnsiTheme="majorBidi" w:cstheme="majorBidi"/>
                <w:szCs w:val="22"/>
              </w:rPr>
            </w:pPr>
            <w:r w:rsidRPr="00200C50">
              <w:rPr>
                <w:rFonts w:asciiTheme="majorBidi" w:hAnsiTheme="majorBidi" w:cstheme="majorBidi"/>
                <w:szCs w:val="22"/>
              </w:rPr>
              <w:t>9 kHz</w:t>
            </w:r>
          </w:p>
        </w:tc>
        <w:tc>
          <w:tcPr>
            <w:tcW w:w="1829" w:type="dxa"/>
            <w:vMerge w:val="restart"/>
            <w:vAlign w:val="center"/>
          </w:tcPr>
          <w:p w:rsidR="003A5252" w:rsidRPr="00200C50" w:rsidRDefault="003A5252" w:rsidP="00FD23B9">
            <w:pPr>
              <w:pStyle w:val="Tabletext"/>
              <w:spacing w:line="240" w:lineRule="auto"/>
              <w:rPr>
                <w:rFonts w:asciiTheme="majorBidi" w:hAnsiTheme="majorBidi" w:cstheme="majorBidi"/>
                <w:szCs w:val="22"/>
              </w:rPr>
            </w:pPr>
            <w:r w:rsidRPr="00200C50">
              <w:rPr>
                <w:rFonts w:asciiTheme="majorBidi" w:hAnsiTheme="majorBidi" w:cstheme="majorBidi"/>
                <w:szCs w:val="22"/>
              </w:rPr>
              <w:t>8</w:t>
            </w:r>
          </w:p>
        </w:tc>
      </w:tr>
      <w:tr w:rsidR="003A5252" w:rsidRPr="00F50942" w:rsidTr="00026C26">
        <w:trPr>
          <w:jc w:val="center"/>
        </w:trPr>
        <w:tc>
          <w:tcPr>
            <w:tcW w:w="1572" w:type="dxa"/>
            <w:vMerge/>
          </w:tcPr>
          <w:p w:rsidR="003A5252" w:rsidRPr="00200C50" w:rsidRDefault="003A5252" w:rsidP="00FD23B9">
            <w:pPr>
              <w:pStyle w:val="Tabletext"/>
              <w:spacing w:line="240" w:lineRule="auto"/>
              <w:rPr>
                <w:rFonts w:asciiTheme="majorBidi" w:hAnsiTheme="majorBidi" w:cstheme="majorBidi"/>
                <w:szCs w:val="22"/>
              </w:rPr>
            </w:pPr>
          </w:p>
        </w:tc>
        <w:tc>
          <w:tcPr>
            <w:tcW w:w="2496" w:type="dxa"/>
            <w:shd w:val="clear" w:color="auto" w:fill="auto"/>
          </w:tcPr>
          <w:p w:rsidR="003A5252" w:rsidRPr="00200C50" w:rsidRDefault="003A5252" w:rsidP="00FD23B9">
            <w:pPr>
              <w:pStyle w:val="Tabletext"/>
              <w:spacing w:line="240" w:lineRule="auto"/>
              <w:rPr>
                <w:rFonts w:asciiTheme="majorBidi" w:hAnsiTheme="majorBidi" w:cstheme="majorBidi"/>
                <w:szCs w:val="22"/>
              </w:rPr>
            </w:pPr>
            <w:r w:rsidRPr="00200C50">
              <w:rPr>
                <w:rFonts w:asciiTheme="majorBidi" w:hAnsiTheme="majorBidi" w:cstheme="majorBidi"/>
                <w:szCs w:val="22"/>
                <w:lang w:val="fr-FR"/>
              </w:rPr>
              <w:t>526,5-1 606,5 kHz</w:t>
            </w:r>
          </w:p>
        </w:tc>
        <w:tc>
          <w:tcPr>
            <w:tcW w:w="1620" w:type="dxa"/>
            <w:shd w:val="clear" w:color="auto" w:fill="auto"/>
          </w:tcPr>
          <w:p w:rsidR="003A5252" w:rsidRPr="00200C50" w:rsidRDefault="003A5252" w:rsidP="00FD23B9">
            <w:pPr>
              <w:pStyle w:val="Tabletext"/>
              <w:spacing w:line="240" w:lineRule="auto"/>
              <w:rPr>
                <w:rFonts w:asciiTheme="majorBidi" w:hAnsiTheme="majorBidi" w:cstheme="majorBidi"/>
                <w:szCs w:val="22"/>
              </w:rPr>
            </w:pPr>
            <w:r w:rsidRPr="00200C50">
              <w:rPr>
                <w:rFonts w:asciiTheme="majorBidi" w:hAnsiTheme="majorBidi" w:cstheme="majorBidi"/>
                <w:szCs w:val="22"/>
              </w:rPr>
              <w:t>9 kHz</w:t>
            </w:r>
          </w:p>
        </w:tc>
        <w:tc>
          <w:tcPr>
            <w:tcW w:w="1829" w:type="dxa"/>
            <w:vMerge/>
            <w:vAlign w:val="center"/>
          </w:tcPr>
          <w:p w:rsidR="003A5252" w:rsidRPr="00200C50" w:rsidRDefault="003A5252" w:rsidP="00FD23B9">
            <w:pPr>
              <w:pStyle w:val="Tabletext"/>
              <w:spacing w:line="240" w:lineRule="auto"/>
              <w:rPr>
                <w:rFonts w:asciiTheme="majorBidi" w:hAnsiTheme="majorBidi" w:cstheme="majorBidi"/>
                <w:szCs w:val="22"/>
              </w:rPr>
            </w:pPr>
          </w:p>
        </w:tc>
      </w:tr>
      <w:tr w:rsidR="003A5252" w:rsidRPr="00F50942" w:rsidTr="00026C26">
        <w:trPr>
          <w:trHeight w:val="233"/>
          <w:jc w:val="center"/>
        </w:trPr>
        <w:tc>
          <w:tcPr>
            <w:tcW w:w="1572" w:type="dxa"/>
            <w:vMerge w:val="restart"/>
          </w:tcPr>
          <w:p w:rsidR="003A5252" w:rsidRPr="00200C50" w:rsidRDefault="003A5252" w:rsidP="00FD23B9">
            <w:pPr>
              <w:pStyle w:val="Tabletext"/>
              <w:spacing w:line="240" w:lineRule="auto"/>
              <w:rPr>
                <w:rFonts w:asciiTheme="majorBidi" w:hAnsiTheme="majorBidi" w:cstheme="majorBidi"/>
                <w:szCs w:val="22"/>
              </w:rPr>
            </w:pPr>
            <w:r w:rsidRPr="00200C50">
              <w:rPr>
                <w:rFonts w:asciiTheme="majorBidi" w:hAnsiTheme="majorBidi" w:cstheme="majorBidi"/>
                <w:szCs w:val="22"/>
                <w:lang w:val="fr-FR"/>
              </w:rPr>
              <w:t>Ondes métriques</w:t>
            </w:r>
          </w:p>
        </w:tc>
        <w:tc>
          <w:tcPr>
            <w:tcW w:w="2496" w:type="dxa"/>
            <w:shd w:val="clear" w:color="auto" w:fill="auto"/>
          </w:tcPr>
          <w:p w:rsidR="003A5252" w:rsidRPr="00200C50" w:rsidRDefault="003A5252" w:rsidP="00FD23B9">
            <w:pPr>
              <w:pStyle w:val="Tabletext"/>
              <w:spacing w:line="240" w:lineRule="auto"/>
              <w:rPr>
                <w:rFonts w:asciiTheme="majorBidi" w:hAnsiTheme="majorBidi" w:cstheme="majorBidi"/>
                <w:szCs w:val="22"/>
              </w:rPr>
            </w:pPr>
            <w:r w:rsidRPr="00200C50">
              <w:rPr>
                <w:rFonts w:asciiTheme="majorBidi" w:hAnsiTheme="majorBidi" w:cstheme="majorBidi"/>
                <w:szCs w:val="22"/>
                <w:lang w:val="fr-FR"/>
              </w:rPr>
              <w:t>87,5-108 MHz</w:t>
            </w:r>
          </w:p>
        </w:tc>
        <w:tc>
          <w:tcPr>
            <w:tcW w:w="1620" w:type="dxa"/>
            <w:shd w:val="clear" w:color="auto" w:fill="auto"/>
          </w:tcPr>
          <w:p w:rsidR="003A5252" w:rsidRPr="00200C50" w:rsidRDefault="003A5252" w:rsidP="00FD23B9">
            <w:pPr>
              <w:pStyle w:val="Tabletext"/>
              <w:spacing w:line="240" w:lineRule="auto"/>
              <w:rPr>
                <w:rFonts w:asciiTheme="majorBidi" w:hAnsiTheme="majorBidi" w:cstheme="majorBidi"/>
                <w:szCs w:val="22"/>
              </w:rPr>
            </w:pPr>
            <w:r w:rsidRPr="00200C50">
              <w:rPr>
                <w:rFonts w:asciiTheme="majorBidi" w:hAnsiTheme="majorBidi" w:cstheme="majorBidi"/>
                <w:szCs w:val="22"/>
              </w:rPr>
              <w:t>200 kHz</w:t>
            </w:r>
          </w:p>
        </w:tc>
        <w:tc>
          <w:tcPr>
            <w:tcW w:w="1829" w:type="dxa"/>
          </w:tcPr>
          <w:p w:rsidR="003A5252" w:rsidRPr="00200C50" w:rsidRDefault="003A5252" w:rsidP="00FD23B9">
            <w:pPr>
              <w:pStyle w:val="Tabletext"/>
              <w:spacing w:line="240" w:lineRule="auto"/>
              <w:rPr>
                <w:rFonts w:asciiTheme="majorBidi" w:hAnsiTheme="majorBidi" w:cstheme="majorBidi"/>
                <w:szCs w:val="22"/>
              </w:rPr>
            </w:pPr>
            <w:r w:rsidRPr="00200C50">
              <w:rPr>
                <w:rFonts w:asciiTheme="majorBidi" w:hAnsiTheme="majorBidi" w:cstheme="majorBidi"/>
                <w:szCs w:val="22"/>
              </w:rPr>
              <w:t>16</w:t>
            </w:r>
          </w:p>
        </w:tc>
      </w:tr>
      <w:tr w:rsidR="003A5252" w:rsidRPr="00F50942" w:rsidTr="00026C26">
        <w:trPr>
          <w:trHeight w:val="305"/>
          <w:jc w:val="center"/>
        </w:trPr>
        <w:tc>
          <w:tcPr>
            <w:tcW w:w="1572" w:type="dxa"/>
            <w:vMerge/>
          </w:tcPr>
          <w:p w:rsidR="003A5252" w:rsidRPr="00200C50" w:rsidDel="00192A8E" w:rsidRDefault="003A5252" w:rsidP="00FD23B9">
            <w:pPr>
              <w:pStyle w:val="Tabletext"/>
              <w:spacing w:line="240" w:lineRule="auto"/>
              <w:rPr>
                <w:rFonts w:asciiTheme="majorBidi" w:hAnsiTheme="majorBidi" w:cstheme="majorBidi"/>
                <w:szCs w:val="22"/>
              </w:rPr>
            </w:pPr>
          </w:p>
        </w:tc>
        <w:tc>
          <w:tcPr>
            <w:tcW w:w="2496" w:type="dxa"/>
            <w:shd w:val="clear" w:color="auto" w:fill="auto"/>
          </w:tcPr>
          <w:p w:rsidR="003A5252" w:rsidRPr="00200C50" w:rsidRDefault="003A5252" w:rsidP="00FD23B9">
            <w:pPr>
              <w:pStyle w:val="Tabletext"/>
              <w:spacing w:line="240" w:lineRule="auto"/>
              <w:rPr>
                <w:rFonts w:asciiTheme="majorBidi" w:hAnsiTheme="majorBidi" w:cstheme="majorBidi"/>
                <w:szCs w:val="22"/>
              </w:rPr>
            </w:pPr>
            <w:r w:rsidRPr="00200C50">
              <w:rPr>
                <w:rFonts w:asciiTheme="majorBidi" w:hAnsiTheme="majorBidi" w:cstheme="majorBidi"/>
                <w:szCs w:val="22"/>
                <w:lang w:val="fr-FR"/>
              </w:rPr>
              <w:t>174-230 MHz</w:t>
            </w:r>
          </w:p>
        </w:tc>
        <w:tc>
          <w:tcPr>
            <w:tcW w:w="1620" w:type="dxa"/>
            <w:shd w:val="clear" w:color="auto" w:fill="auto"/>
          </w:tcPr>
          <w:p w:rsidR="003A5252" w:rsidRPr="00200C50" w:rsidRDefault="003A5252" w:rsidP="00FD23B9">
            <w:pPr>
              <w:pStyle w:val="Tabletext"/>
              <w:spacing w:line="240" w:lineRule="auto"/>
              <w:rPr>
                <w:rFonts w:asciiTheme="majorBidi" w:hAnsiTheme="majorBidi" w:cstheme="majorBidi"/>
                <w:szCs w:val="22"/>
              </w:rPr>
            </w:pPr>
            <w:r w:rsidRPr="00200C50">
              <w:rPr>
                <w:rFonts w:asciiTheme="majorBidi" w:hAnsiTheme="majorBidi" w:cstheme="majorBidi"/>
                <w:szCs w:val="22"/>
                <w:lang w:val="fr-FR"/>
              </w:rPr>
              <w:t>1,536 MHz</w:t>
            </w:r>
          </w:p>
        </w:tc>
        <w:tc>
          <w:tcPr>
            <w:tcW w:w="1829" w:type="dxa"/>
          </w:tcPr>
          <w:p w:rsidR="003A5252" w:rsidRPr="00200C50" w:rsidRDefault="003A5252" w:rsidP="00FD23B9">
            <w:pPr>
              <w:pStyle w:val="Tabletext"/>
              <w:spacing w:line="240" w:lineRule="auto"/>
              <w:rPr>
                <w:rFonts w:asciiTheme="majorBidi" w:hAnsiTheme="majorBidi" w:cstheme="majorBidi"/>
                <w:szCs w:val="22"/>
              </w:rPr>
            </w:pPr>
            <w:r w:rsidRPr="00200C50">
              <w:rPr>
                <w:rFonts w:asciiTheme="majorBidi" w:hAnsiTheme="majorBidi" w:cstheme="majorBidi"/>
                <w:szCs w:val="22"/>
              </w:rPr>
              <w:t>18</w:t>
            </w:r>
          </w:p>
        </w:tc>
      </w:tr>
    </w:tbl>
    <w:p w:rsidR="003A5252" w:rsidRDefault="003A5252" w:rsidP="00281920">
      <w:pPr>
        <w:pStyle w:val="FigureSource"/>
        <w:pBdr>
          <w:bottom w:val="single" w:sz="12" w:space="1" w:color="auto"/>
        </w:pBdr>
      </w:pPr>
    </w:p>
    <w:p w:rsidR="003A5252" w:rsidRDefault="003A5252" w:rsidP="00FD23B9">
      <w:pPr>
        <w:bidi w:val="0"/>
        <w:spacing w:line="240" w:lineRule="auto"/>
      </w:pPr>
    </w:p>
    <w:p w:rsidR="00FB6A8B" w:rsidRDefault="00FB6A8B" w:rsidP="00FB6A8B">
      <w:pPr>
        <w:bidi w:val="0"/>
        <w:spacing w:line="240" w:lineRule="auto"/>
      </w:pPr>
    </w:p>
    <w:p w:rsidR="003A5252" w:rsidRDefault="003A5252" w:rsidP="00EE251B">
      <w:pPr>
        <w:pStyle w:val="FigureTitle"/>
        <w:pBdr>
          <w:top w:val="single" w:sz="12" w:space="10" w:color="000000"/>
        </w:pBdr>
      </w:pPr>
      <w:r w:rsidRPr="00F50942">
        <w:t>Table</w:t>
      </w:r>
      <w:r>
        <w:t>au</w:t>
      </w:r>
      <w:r w:rsidRPr="00F50942">
        <w:t xml:space="preserve"> </w:t>
      </w:r>
      <w:fldSimple w:instr=" SEQ Figure \* ARABIC ">
        <w:r>
          <w:rPr>
            <w:noProof/>
          </w:rPr>
          <w:t>2</w:t>
        </w:r>
      </w:fldSimple>
      <w:r w:rsidRPr="00F50942">
        <w:t xml:space="preserve"> – </w:t>
      </w:r>
      <w:r w:rsidRPr="001C00F5">
        <w:rPr>
          <w:lang w:val="fr-FR"/>
        </w:rPr>
        <w:t>Définition des coefficients de type de service (C) pour les services de radiodiffusion télévisuelle</w:t>
      </w:r>
    </w:p>
    <w:p w:rsidR="003A5252" w:rsidRPr="00B5798C" w:rsidRDefault="003A5252" w:rsidP="00FD23B9">
      <w:pPr>
        <w:bidi w:val="0"/>
        <w:spacing w:line="240" w:lineRule="auto"/>
        <w:rPr>
          <w:lang w:val="en-US"/>
        </w:rPr>
      </w:pP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2515"/>
        <w:gridCol w:w="1443"/>
        <w:gridCol w:w="2117"/>
      </w:tblGrid>
      <w:tr w:rsidR="003A5252" w:rsidRPr="00B4213F" w:rsidTr="00026C26">
        <w:trPr>
          <w:trHeight w:val="397"/>
          <w:jc w:val="center"/>
        </w:trPr>
        <w:tc>
          <w:tcPr>
            <w:tcW w:w="7631" w:type="dxa"/>
            <w:gridSpan w:val="4"/>
            <w:tcBorders>
              <w:bottom w:val="single" w:sz="4" w:space="0" w:color="auto"/>
            </w:tcBorders>
            <w:shd w:val="clear" w:color="auto" w:fill="E6E6E6"/>
            <w:vAlign w:val="center"/>
          </w:tcPr>
          <w:p w:rsidR="003A5252" w:rsidRPr="0066622E" w:rsidRDefault="003A5252" w:rsidP="00FD23B9">
            <w:pPr>
              <w:pStyle w:val="Tablehead"/>
              <w:spacing w:line="240" w:lineRule="auto"/>
              <w:rPr>
                <w:rFonts w:asciiTheme="majorBidi" w:hAnsiTheme="majorBidi" w:cstheme="majorBidi"/>
                <w:szCs w:val="22"/>
                <w:lang w:val="fr-FR"/>
              </w:rPr>
            </w:pPr>
            <w:r w:rsidRPr="0066622E">
              <w:rPr>
                <w:rFonts w:asciiTheme="majorBidi" w:hAnsiTheme="majorBidi" w:cstheme="majorBidi"/>
                <w:szCs w:val="22"/>
                <w:lang w:val="fr-FR"/>
              </w:rPr>
              <w:t>Service de radiodiffusion télévisuelle</w:t>
            </w:r>
          </w:p>
        </w:tc>
      </w:tr>
      <w:tr w:rsidR="003A5252" w:rsidRPr="007E2B73" w:rsidTr="00026C26">
        <w:trPr>
          <w:trHeight w:val="397"/>
          <w:jc w:val="center"/>
        </w:trPr>
        <w:tc>
          <w:tcPr>
            <w:tcW w:w="1556" w:type="dxa"/>
            <w:shd w:val="clear" w:color="auto" w:fill="E6E6E6"/>
            <w:vAlign w:val="center"/>
          </w:tcPr>
          <w:p w:rsidR="003A5252" w:rsidRPr="0066622E" w:rsidRDefault="003A5252" w:rsidP="00FD23B9">
            <w:pPr>
              <w:pStyle w:val="Tablehead"/>
              <w:spacing w:line="240" w:lineRule="auto"/>
              <w:rPr>
                <w:rFonts w:asciiTheme="majorBidi" w:hAnsiTheme="majorBidi" w:cstheme="majorBidi"/>
                <w:szCs w:val="22"/>
                <w:lang w:val="fr-FR"/>
              </w:rPr>
            </w:pPr>
            <w:r w:rsidRPr="0066622E">
              <w:rPr>
                <w:rFonts w:asciiTheme="majorBidi" w:hAnsiTheme="majorBidi" w:cstheme="majorBidi"/>
                <w:szCs w:val="22"/>
                <w:lang w:val="fr-FR"/>
              </w:rPr>
              <w:t>Type de service</w:t>
            </w:r>
          </w:p>
        </w:tc>
        <w:tc>
          <w:tcPr>
            <w:tcW w:w="2515" w:type="dxa"/>
            <w:shd w:val="clear" w:color="auto" w:fill="E6E6E6"/>
            <w:vAlign w:val="center"/>
          </w:tcPr>
          <w:p w:rsidR="003A5252" w:rsidRPr="0066622E" w:rsidRDefault="003A5252" w:rsidP="00FD23B9">
            <w:pPr>
              <w:pStyle w:val="Tablehead"/>
              <w:spacing w:line="240" w:lineRule="auto"/>
              <w:rPr>
                <w:rFonts w:asciiTheme="majorBidi" w:hAnsiTheme="majorBidi" w:cstheme="majorBidi"/>
                <w:szCs w:val="22"/>
                <w:lang w:val="fr-FR"/>
              </w:rPr>
            </w:pPr>
            <w:r w:rsidRPr="0066622E">
              <w:rPr>
                <w:rFonts w:asciiTheme="majorBidi" w:hAnsiTheme="majorBidi" w:cstheme="majorBidi"/>
                <w:szCs w:val="22"/>
                <w:lang w:val="fr-FR"/>
              </w:rPr>
              <w:t>Gamme de fréquences</w:t>
            </w:r>
          </w:p>
        </w:tc>
        <w:tc>
          <w:tcPr>
            <w:tcW w:w="1443" w:type="dxa"/>
            <w:shd w:val="clear" w:color="auto" w:fill="E6E6E6"/>
            <w:vAlign w:val="center"/>
          </w:tcPr>
          <w:p w:rsidR="003A5252" w:rsidRPr="0066622E" w:rsidRDefault="003A5252" w:rsidP="00FD23B9">
            <w:pPr>
              <w:pStyle w:val="Tablehead"/>
              <w:spacing w:line="240" w:lineRule="auto"/>
              <w:rPr>
                <w:rFonts w:asciiTheme="majorBidi" w:hAnsiTheme="majorBidi" w:cstheme="majorBidi"/>
                <w:szCs w:val="22"/>
                <w:lang w:val="fr-FR"/>
              </w:rPr>
            </w:pPr>
            <w:r w:rsidRPr="0066622E">
              <w:rPr>
                <w:rFonts w:asciiTheme="majorBidi" w:hAnsiTheme="majorBidi" w:cstheme="majorBidi"/>
                <w:szCs w:val="22"/>
                <w:lang w:val="fr-FR"/>
              </w:rPr>
              <w:t>Largeur de bande</w:t>
            </w:r>
          </w:p>
        </w:tc>
        <w:tc>
          <w:tcPr>
            <w:tcW w:w="2117" w:type="dxa"/>
            <w:shd w:val="clear" w:color="auto" w:fill="E6E6E6"/>
            <w:vAlign w:val="center"/>
          </w:tcPr>
          <w:p w:rsidR="003A5252" w:rsidRPr="0066622E" w:rsidRDefault="003A5252" w:rsidP="00FD23B9">
            <w:pPr>
              <w:pStyle w:val="Tablehead"/>
              <w:spacing w:line="240" w:lineRule="auto"/>
              <w:rPr>
                <w:rFonts w:asciiTheme="majorBidi" w:hAnsiTheme="majorBidi" w:cstheme="majorBidi"/>
                <w:szCs w:val="22"/>
                <w:lang w:val="fr-FR"/>
              </w:rPr>
            </w:pPr>
            <w:r w:rsidRPr="0066622E">
              <w:rPr>
                <w:rFonts w:asciiTheme="majorBidi" w:hAnsiTheme="majorBidi" w:cstheme="majorBidi"/>
                <w:szCs w:val="22"/>
                <w:lang w:val="fr-FR"/>
              </w:rPr>
              <w:t>Coefficient de type de service (C)</w:t>
            </w:r>
          </w:p>
        </w:tc>
      </w:tr>
      <w:tr w:rsidR="003A5252" w:rsidRPr="00B4213F" w:rsidTr="00026C26">
        <w:trPr>
          <w:jc w:val="center"/>
        </w:trPr>
        <w:tc>
          <w:tcPr>
            <w:tcW w:w="1556" w:type="dxa"/>
            <w:vMerge w:val="restart"/>
            <w:shd w:val="clear" w:color="auto" w:fill="auto"/>
            <w:vAlign w:val="center"/>
          </w:tcPr>
          <w:p w:rsidR="003A5252" w:rsidRPr="0066622E" w:rsidRDefault="003A5252" w:rsidP="00FD23B9">
            <w:pPr>
              <w:pStyle w:val="Tabletext"/>
              <w:spacing w:line="240" w:lineRule="auto"/>
              <w:rPr>
                <w:rFonts w:asciiTheme="majorBidi" w:hAnsiTheme="majorBidi" w:cstheme="majorBidi"/>
                <w:szCs w:val="22"/>
                <w:lang w:val="fr-FR"/>
              </w:rPr>
            </w:pPr>
            <w:r w:rsidRPr="0066622E">
              <w:rPr>
                <w:rFonts w:asciiTheme="majorBidi" w:hAnsiTheme="majorBidi" w:cstheme="majorBidi"/>
                <w:szCs w:val="22"/>
                <w:lang w:val="fr-FR"/>
              </w:rPr>
              <w:t>Ondes métriques</w:t>
            </w:r>
          </w:p>
        </w:tc>
        <w:tc>
          <w:tcPr>
            <w:tcW w:w="2515" w:type="dxa"/>
            <w:shd w:val="clear" w:color="auto" w:fill="auto"/>
          </w:tcPr>
          <w:p w:rsidR="003A5252" w:rsidRPr="0066622E" w:rsidRDefault="003A5252" w:rsidP="00FD23B9">
            <w:pPr>
              <w:pStyle w:val="Tabletext"/>
              <w:spacing w:line="240" w:lineRule="auto"/>
              <w:rPr>
                <w:rFonts w:asciiTheme="majorBidi" w:hAnsiTheme="majorBidi" w:cstheme="majorBidi"/>
                <w:szCs w:val="22"/>
                <w:lang w:val="fr-FR"/>
              </w:rPr>
            </w:pPr>
            <w:r w:rsidRPr="0066622E">
              <w:rPr>
                <w:rFonts w:asciiTheme="majorBidi" w:hAnsiTheme="majorBidi" w:cstheme="majorBidi"/>
                <w:szCs w:val="22"/>
                <w:lang w:val="fr-FR"/>
              </w:rPr>
              <w:t>47-68 MHz</w:t>
            </w:r>
          </w:p>
        </w:tc>
        <w:tc>
          <w:tcPr>
            <w:tcW w:w="1443" w:type="dxa"/>
            <w:vMerge w:val="restart"/>
            <w:shd w:val="clear" w:color="auto" w:fill="auto"/>
            <w:vAlign w:val="center"/>
          </w:tcPr>
          <w:p w:rsidR="003A5252" w:rsidRPr="0066622E" w:rsidRDefault="003A5252" w:rsidP="00FD23B9">
            <w:pPr>
              <w:pStyle w:val="Tabletext"/>
              <w:spacing w:line="240" w:lineRule="auto"/>
              <w:rPr>
                <w:rFonts w:asciiTheme="majorBidi" w:hAnsiTheme="majorBidi" w:cstheme="majorBidi"/>
                <w:szCs w:val="22"/>
                <w:lang w:val="fr-FR"/>
              </w:rPr>
            </w:pPr>
            <w:r w:rsidRPr="0066622E">
              <w:rPr>
                <w:rFonts w:asciiTheme="majorBidi" w:hAnsiTheme="majorBidi" w:cstheme="majorBidi"/>
                <w:szCs w:val="22"/>
                <w:lang w:val="fr-FR"/>
              </w:rPr>
              <w:t>7 MHz</w:t>
            </w:r>
          </w:p>
        </w:tc>
        <w:tc>
          <w:tcPr>
            <w:tcW w:w="2117" w:type="dxa"/>
            <w:vMerge w:val="restart"/>
            <w:vAlign w:val="center"/>
          </w:tcPr>
          <w:p w:rsidR="003A5252" w:rsidRPr="0066622E" w:rsidRDefault="003A5252" w:rsidP="00FD23B9">
            <w:pPr>
              <w:pStyle w:val="Tabletext"/>
              <w:spacing w:line="240" w:lineRule="auto"/>
              <w:rPr>
                <w:rFonts w:asciiTheme="majorBidi" w:hAnsiTheme="majorBidi" w:cstheme="majorBidi"/>
                <w:szCs w:val="22"/>
                <w:lang w:val="fr-FR"/>
              </w:rPr>
            </w:pPr>
            <w:r w:rsidRPr="0066622E">
              <w:rPr>
                <w:rFonts w:asciiTheme="majorBidi" w:hAnsiTheme="majorBidi" w:cstheme="majorBidi"/>
                <w:szCs w:val="22"/>
                <w:lang w:val="fr-FR"/>
              </w:rPr>
              <w:t>24</w:t>
            </w:r>
          </w:p>
        </w:tc>
      </w:tr>
      <w:tr w:rsidR="003A5252" w:rsidRPr="00B4213F" w:rsidTr="00026C26">
        <w:trPr>
          <w:trHeight w:val="377"/>
          <w:jc w:val="center"/>
        </w:trPr>
        <w:tc>
          <w:tcPr>
            <w:tcW w:w="1556" w:type="dxa"/>
            <w:vMerge/>
            <w:shd w:val="clear" w:color="auto" w:fill="auto"/>
          </w:tcPr>
          <w:p w:rsidR="003A5252" w:rsidRPr="0066622E" w:rsidRDefault="003A5252" w:rsidP="00FD23B9">
            <w:pPr>
              <w:pStyle w:val="Tabletext"/>
              <w:spacing w:line="240" w:lineRule="auto"/>
              <w:rPr>
                <w:rFonts w:asciiTheme="majorBidi" w:hAnsiTheme="majorBidi" w:cstheme="majorBidi"/>
                <w:szCs w:val="22"/>
                <w:lang w:val="fr-FR"/>
              </w:rPr>
            </w:pPr>
          </w:p>
        </w:tc>
        <w:tc>
          <w:tcPr>
            <w:tcW w:w="2515" w:type="dxa"/>
            <w:shd w:val="clear" w:color="auto" w:fill="auto"/>
          </w:tcPr>
          <w:p w:rsidR="003A5252" w:rsidRPr="0066622E" w:rsidRDefault="003A5252" w:rsidP="00FD23B9">
            <w:pPr>
              <w:pStyle w:val="Tabletext"/>
              <w:spacing w:line="240" w:lineRule="auto"/>
              <w:rPr>
                <w:rFonts w:asciiTheme="majorBidi" w:hAnsiTheme="majorBidi" w:cstheme="majorBidi"/>
                <w:szCs w:val="22"/>
                <w:lang w:val="fr-FR"/>
              </w:rPr>
            </w:pPr>
            <w:r w:rsidRPr="0066622E">
              <w:rPr>
                <w:rFonts w:asciiTheme="majorBidi" w:hAnsiTheme="majorBidi" w:cstheme="majorBidi"/>
                <w:szCs w:val="22"/>
                <w:lang w:val="fr-FR"/>
              </w:rPr>
              <w:t>174-230 MHz</w:t>
            </w:r>
          </w:p>
        </w:tc>
        <w:tc>
          <w:tcPr>
            <w:tcW w:w="1443" w:type="dxa"/>
            <w:vMerge/>
            <w:shd w:val="clear" w:color="auto" w:fill="auto"/>
            <w:vAlign w:val="center"/>
          </w:tcPr>
          <w:p w:rsidR="003A5252" w:rsidRPr="0066622E" w:rsidRDefault="003A5252" w:rsidP="00FD23B9">
            <w:pPr>
              <w:pStyle w:val="Tabletext"/>
              <w:spacing w:line="240" w:lineRule="auto"/>
              <w:rPr>
                <w:rFonts w:asciiTheme="majorBidi" w:hAnsiTheme="majorBidi" w:cstheme="majorBidi"/>
                <w:szCs w:val="22"/>
                <w:lang w:val="fr-FR"/>
              </w:rPr>
            </w:pPr>
          </w:p>
        </w:tc>
        <w:tc>
          <w:tcPr>
            <w:tcW w:w="2117" w:type="dxa"/>
            <w:vMerge/>
          </w:tcPr>
          <w:p w:rsidR="003A5252" w:rsidRPr="0066622E" w:rsidRDefault="003A5252" w:rsidP="00FD23B9">
            <w:pPr>
              <w:pStyle w:val="Tabletext"/>
              <w:spacing w:line="240" w:lineRule="auto"/>
              <w:rPr>
                <w:rFonts w:asciiTheme="majorBidi" w:hAnsiTheme="majorBidi" w:cstheme="majorBidi"/>
                <w:szCs w:val="22"/>
                <w:lang w:val="fr-FR"/>
              </w:rPr>
            </w:pPr>
          </w:p>
        </w:tc>
      </w:tr>
      <w:tr w:rsidR="003A5252" w:rsidRPr="00B4213F" w:rsidTr="00026C26">
        <w:trPr>
          <w:trHeight w:val="485"/>
          <w:jc w:val="center"/>
        </w:trPr>
        <w:tc>
          <w:tcPr>
            <w:tcW w:w="1556" w:type="dxa"/>
            <w:shd w:val="clear" w:color="auto" w:fill="auto"/>
          </w:tcPr>
          <w:p w:rsidR="003A5252" w:rsidRPr="0066622E" w:rsidRDefault="003A5252" w:rsidP="00FD23B9">
            <w:pPr>
              <w:pStyle w:val="Tabletext"/>
              <w:spacing w:line="240" w:lineRule="auto"/>
              <w:rPr>
                <w:rFonts w:asciiTheme="majorBidi" w:hAnsiTheme="majorBidi" w:cstheme="majorBidi"/>
                <w:szCs w:val="22"/>
                <w:lang w:val="fr-FR"/>
              </w:rPr>
            </w:pPr>
            <w:r w:rsidRPr="0066622E">
              <w:rPr>
                <w:rFonts w:asciiTheme="majorBidi" w:hAnsiTheme="majorBidi" w:cstheme="majorBidi"/>
                <w:szCs w:val="22"/>
                <w:lang w:val="fr-FR"/>
              </w:rPr>
              <w:t>Ondes décimétriques</w:t>
            </w:r>
          </w:p>
        </w:tc>
        <w:tc>
          <w:tcPr>
            <w:tcW w:w="2515" w:type="dxa"/>
            <w:shd w:val="clear" w:color="auto" w:fill="auto"/>
          </w:tcPr>
          <w:p w:rsidR="003A5252" w:rsidRPr="0066622E" w:rsidRDefault="003A5252" w:rsidP="00FD23B9">
            <w:pPr>
              <w:pStyle w:val="Tabletext"/>
              <w:spacing w:line="240" w:lineRule="auto"/>
              <w:rPr>
                <w:rFonts w:asciiTheme="majorBidi" w:hAnsiTheme="majorBidi" w:cstheme="majorBidi"/>
                <w:szCs w:val="22"/>
                <w:lang w:val="fr-FR"/>
              </w:rPr>
            </w:pPr>
            <w:r w:rsidRPr="0066622E">
              <w:rPr>
                <w:rFonts w:asciiTheme="majorBidi" w:hAnsiTheme="majorBidi" w:cstheme="majorBidi"/>
                <w:szCs w:val="22"/>
                <w:lang w:val="fr-FR"/>
              </w:rPr>
              <w:t>470-862 MHz</w:t>
            </w:r>
          </w:p>
        </w:tc>
        <w:tc>
          <w:tcPr>
            <w:tcW w:w="1443" w:type="dxa"/>
            <w:shd w:val="clear" w:color="auto" w:fill="auto"/>
            <w:vAlign w:val="center"/>
          </w:tcPr>
          <w:p w:rsidR="003A5252" w:rsidRPr="0066622E" w:rsidRDefault="003A5252" w:rsidP="00FD23B9">
            <w:pPr>
              <w:pStyle w:val="Tabletext"/>
              <w:spacing w:line="240" w:lineRule="auto"/>
              <w:rPr>
                <w:rFonts w:asciiTheme="majorBidi" w:hAnsiTheme="majorBidi" w:cstheme="majorBidi"/>
                <w:szCs w:val="22"/>
                <w:lang w:val="fr-FR"/>
              </w:rPr>
            </w:pPr>
            <w:r w:rsidRPr="0066622E">
              <w:rPr>
                <w:rFonts w:asciiTheme="majorBidi" w:hAnsiTheme="majorBidi" w:cstheme="majorBidi"/>
                <w:szCs w:val="22"/>
                <w:lang w:val="fr-FR"/>
              </w:rPr>
              <w:t>8 MHz</w:t>
            </w:r>
          </w:p>
        </w:tc>
        <w:tc>
          <w:tcPr>
            <w:tcW w:w="2117" w:type="dxa"/>
          </w:tcPr>
          <w:p w:rsidR="003A5252" w:rsidRPr="0066622E" w:rsidRDefault="003A5252" w:rsidP="00FD23B9">
            <w:pPr>
              <w:pStyle w:val="Tabletext"/>
              <w:spacing w:line="240" w:lineRule="auto"/>
              <w:rPr>
                <w:rFonts w:asciiTheme="majorBidi" w:hAnsiTheme="majorBidi" w:cstheme="majorBidi"/>
                <w:szCs w:val="22"/>
                <w:lang w:val="fr-FR"/>
              </w:rPr>
            </w:pPr>
            <w:r w:rsidRPr="0066622E">
              <w:rPr>
                <w:rFonts w:asciiTheme="majorBidi" w:hAnsiTheme="majorBidi" w:cstheme="majorBidi"/>
                <w:szCs w:val="22"/>
                <w:lang w:val="fr-FR"/>
              </w:rPr>
              <w:t>36</w:t>
            </w:r>
          </w:p>
        </w:tc>
      </w:tr>
    </w:tbl>
    <w:p w:rsidR="003A5252" w:rsidRDefault="003A5252" w:rsidP="00281920">
      <w:pPr>
        <w:pStyle w:val="FigureSource"/>
        <w:pBdr>
          <w:bottom w:val="single" w:sz="12" w:space="1" w:color="auto"/>
        </w:pBdr>
      </w:pPr>
    </w:p>
    <w:p w:rsidR="00FB6A8B" w:rsidRDefault="00FB6A8B" w:rsidP="00FD23B9">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p>
    <w:p w:rsidR="003A5252" w:rsidRDefault="003A5252"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b/>
          <w:lang w:val="fr-FR"/>
        </w:rPr>
      </w:pPr>
      <w:r>
        <w:rPr>
          <w:b/>
          <w:lang w:val="fr-FR"/>
        </w:rPr>
        <w:br w:type="page"/>
      </w:r>
    </w:p>
    <w:p w:rsidR="003A5252" w:rsidRDefault="003A5252" w:rsidP="00FD23B9">
      <w:pPr>
        <w:bidi w:val="0"/>
        <w:spacing w:after="120" w:line="240" w:lineRule="auto"/>
        <w:ind w:left="1599" w:hanging="159"/>
        <w:rPr>
          <w:b/>
          <w:lang w:val="fr-FR"/>
        </w:rPr>
      </w:pPr>
      <w:r w:rsidRPr="001C00F5">
        <w:rPr>
          <w:b/>
          <w:lang w:val="fr-FR"/>
        </w:rPr>
        <w:lastRenderedPageBreak/>
        <w:t>D = Coefficient de zone de service, comme suit:</w:t>
      </w:r>
    </w:p>
    <w:p w:rsidR="003A5252" w:rsidRDefault="003A5252" w:rsidP="00EE251B">
      <w:pPr>
        <w:pStyle w:val="FigureTitle"/>
        <w:pBdr>
          <w:top w:val="single" w:sz="12" w:space="10" w:color="000000"/>
        </w:pBdr>
      </w:pPr>
      <w:r w:rsidRPr="00F50942">
        <w:t>Table</w:t>
      </w:r>
      <w:r>
        <w:t>au</w:t>
      </w:r>
      <w:r w:rsidRPr="00F50942">
        <w:t xml:space="preserve"> </w:t>
      </w:r>
      <w:fldSimple w:instr=" SEQ Figure \* ARABIC ">
        <w:r>
          <w:rPr>
            <w:noProof/>
          </w:rPr>
          <w:t>3</w:t>
        </w:r>
      </w:fldSimple>
      <w:r w:rsidRPr="00F50942">
        <w:t xml:space="preserve"> – </w:t>
      </w:r>
      <w:r w:rsidRPr="001C00F5">
        <w:rPr>
          <w:lang w:val="fr-FR"/>
        </w:rPr>
        <w:t>Définition des coefficients de zone de service (D)</w:t>
      </w:r>
    </w:p>
    <w:p w:rsidR="003A5252" w:rsidRPr="00CC5F10" w:rsidRDefault="003A5252" w:rsidP="00FD23B9">
      <w:pPr>
        <w:bidi w:val="0"/>
        <w:spacing w:line="240" w:lineRule="auto"/>
        <w:rPr>
          <w:lang w:val="en-US"/>
        </w:rPr>
      </w:pPr>
    </w:p>
    <w:tbl>
      <w:tblPr>
        <w:tblW w:w="0" w:type="auto"/>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2807"/>
        <w:gridCol w:w="2628"/>
      </w:tblGrid>
      <w:tr w:rsidR="003A5252" w:rsidRPr="00B4213F" w:rsidTr="00026C26">
        <w:trPr>
          <w:trHeight w:val="680"/>
        </w:trPr>
        <w:tc>
          <w:tcPr>
            <w:tcW w:w="1713" w:type="dxa"/>
            <w:shd w:val="clear" w:color="auto" w:fill="E6E6E6"/>
            <w:vAlign w:val="center"/>
          </w:tcPr>
          <w:p w:rsidR="003A5252" w:rsidRPr="002C76FE" w:rsidRDefault="003A5252" w:rsidP="00FD23B9">
            <w:pPr>
              <w:pStyle w:val="Tablehead"/>
              <w:spacing w:line="240" w:lineRule="auto"/>
              <w:rPr>
                <w:rFonts w:asciiTheme="majorBidi" w:hAnsiTheme="majorBidi" w:cstheme="majorBidi"/>
                <w:szCs w:val="22"/>
                <w:lang w:val="fr-FR"/>
              </w:rPr>
            </w:pPr>
            <w:r w:rsidRPr="002C76FE">
              <w:rPr>
                <w:rFonts w:asciiTheme="majorBidi" w:hAnsiTheme="majorBidi" w:cstheme="majorBidi"/>
                <w:szCs w:val="22"/>
                <w:lang w:val="fr-FR"/>
              </w:rPr>
              <w:t>Coefficient de zone de service (D)</w:t>
            </w:r>
          </w:p>
        </w:tc>
        <w:tc>
          <w:tcPr>
            <w:tcW w:w="2807" w:type="dxa"/>
            <w:shd w:val="clear" w:color="auto" w:fill="E6E6E6"/>
            <w:vAlign w:val="center"/>
          </w:tcPr>
          <w:p w:rsidR="003A5252" w:rsidRPr="002C76FE" w:rsidRDefault="003A5252" w:rsidP="00FD23B9">
            <w:pPr>
              <w:pStyle w:val="Tablehead"/>
              <w:spacing w:line="240" w:lineRule="auto"/>
              <w:rPr>
                <w:rFonts w:asciiTheme="majorBidi" w:hAnsiTheme="majorBidi" w:cstheme="majorBidi"/>
                <w:szCs w:val="22"/>
                <w:lang w:val="fr-FR"/>
              </w:rPr>
            </w:pPr>
            <w:r w:rsidRPr="002C76FE">
              <w:rPr>
                <w:rFonts w:asciiTheme="majorBidi" w:hAnsiTheme="majorBidi" w:cstheme="majorBidi"/>
                <w:szCs w:val="22"/>
                <w:lang w:val="fr-FR"/>
              </w:rPr>
              <w:t>Zone de service</w:t>
            </w:r>
          </w:p>
        </w:tc>
        <w:tc>
          <w:tcPr>
            <w:tcW w:w="2628" w:type="dxa"/>
            <w:shd w:val="clear" w:color="auto" w:fill="E6E6E6"/>
            <w:vAlign w:val="center"/>
          </w:tcPr>
          <w:p w:rsidR="003A5252" w:rsidRPr="002C76FE" w:rsidRDefault="003A5252" w:rsidP="00FD23B9">
            <w:pPr>
              <w:pStyle w:val="Tablehead"/>
              <w:spacing w:line="240" w:lineRule="auto"/>
              <w:rPr>
                <w:rFonts w:asciiTheme="majorBidi" w:hAnsiTheme="majorBidi" w:cstheme="majorBidi"/>
                <w:szCs w:val="22"/>
                <w:lang w:val="fr-FR"/>
              </w:rPr>
            </w:pPr>
            <w:r w:rsidRPr="002C76FE">
              <w:rPr>
                <w:rFonts w:asciiTheme="majorBidi" w:hAnsiTheme="majorBidi" w:cstheme="majorBidi"/>
                <w:szCs w:val="22"/>
                <w:lang w:val="fr-FR"/>
              </w:rPr>
              <w:t>Coordonnées</w:t>
            </w:r>
          </w:p>
        </w:tc>
      </w:tr>
      <w:tr w:rsidR="003A5252" w:rsidRPr="00B4213F" w:rsidTr="00026C26">
        <w:trPr>
          <w:trHeight w:val="1142"/>
        </w:trPr>
        <w:tc>
          <w:tcPr>
            <w:tcW w:w="1713" w:type="dxa"/>
            <w:vMerge w:val="restart"/>
          </w:tcPr>
          <w:p w:rsidR="003A5252" w:rsidRPr="002C76FE" w:rsidRDefault="003A5252" w:rsidP="00FD23B9">
            <w:pPr>
              <w:pStyle w:val="Tabletext"/>
              <w:spacing w:line="240" w:lineRule="auto"/>
              <w:rPr>
                <w:rFonts w:asciiTheme="majorBidi" w:hAnsiTheme="majorBidi" w:cstheme="majorBidi"/>
                <w:b/>
                <w:bCs/>
                <w:szCs w:val="22"/>
                <w:lang w:val="fr-FR" w:eastAsia="de-DE"/>
              </w:rPr>
            </w:pPr>
            <w:r w:rsidRPr="002C76FE">
              <w:rPr>
                <w:rFonts w:asciiTheme="majorBidi" w:hAnsiTheme="majorBidi" w:cstheme="majorBidi"/>
                <w:b/>
                <w:bCs/>
                <w:szCs w:val="22"/>
                <w:lang w:val="fr-FR" w:eastAsia="de-DE"/>
              </w:rPr>
              <w:t>1,00 (élevé)</w:t>
            </w:r>
          </w:p>
        </w:tc>
        <w:tc>
          <w:tcPr>
            <w:tcW w:w="2807" w:type="dxa"/>
          </w:tcPr>
          <w:p w:rsidR="003A5252" w:rsidRPr="002C76FE" w:rsidRDefault="003A5252" w:rsidP="00FD23B9">
            <w:pPr>
              <w:pStyle w:val="Tabletext"/>
              <w:spacing w:line="240" w:lineRule="auto"/>
              <w:jc w:val="left"/>
              <w:rPr>
                <w:rFonts w:asciiTheme="majorBidi" w:hAnsiTheme="majorBidi" w:cstheme="majorBidi"/>
                <w:szCs w:val="22"/>
                <w:lang w:val="fr-FR" w:eastAsia="de-DE"/>
              </w:rPr>
            </w:pPr>
            <w:r w:rsidRPr="002C76FE">
              <w:rPr>
                <w:rFonts w:asciiTheme="majorBidi" w:hAnsiTheme="majorBidi" w:cstheme="majorBidi"/>
                <w:szCs w:val="22"/>
                <w:lang w:val="fr-FR" w:eastAsia="de-DE"/>
              </w:rPr>
              <w:t>Ville d'Abu Dhabi et environs</w:t>
            </w:r>
          </w:p>
        </w:tc>
        <w:tc>
          <w:tcPr>
            <w:tcW w:w="2628" w:type="dxa"/>
          </w:tcPr>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54° 30' E – 24° 45' N</w:t>
            </w:r>
          </w:p>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55° 00' E – 24° 45' N</w:t>
            </w:r>
          </w:p>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55° 00' E – 24° 05' N</w:t>
            </w:r>
          </w:p>
          <w:p w:rsidR="003A5252" w:rsidRPr="002C76FE" w:rsidRDefault="003A5252" w:rsidP="00FD23B9">
            <w:pPr>
              <w:pStyle w:val="Tabletext"/>
              <w:spacing w:line="240" w:lineRule="auto"/>
              <w:rPr>
                <w:rFonts w:asciiTheme="majorBidi" w:hAnsiTheme="majorBidi" w:cstheme="majorBidi"/>
                <w:szCs w:val="22"/>
                <w:lang w:val="fr-FR"/>
              </w:rPr>
            </w:pPr>
            <w:r w:rsidRPr="002C76FE">
              <w:rPr>
                <w:rFonts w:asciiTheme="majorBidi" w:hAnsiTheme="majorBidi" w:cstheme="majorBidi"/>
                <w:szCs w:val="22"/>
                <w:lang w:val="fr-FR"/>
              </w:rPr>
              <w:t>54° 00' E – 24° 20' N</w:t>
            </w:r>
          </w:p>
        </w:tc>
      </w:tr>
      <w:tr w:rsidR="003A5252" w:rsidRPr="00B4213F" w:rsidTr="00026C26">
        <w:trPr>
          <w:trHeight w:val="1250"/>
        </w:trPr>
        <w:tc>
          <w:tcPr>
            <w:tcW w:w="1713" w:type="dxa"/>
            <w:vMerge/>
          </w:tcPr>
          <w:p w:rsidR="003A5252" w:rsidRPr="002C76FE" w:rsidRDefault="003A5252" w:rsidP="00FD23B9">
            <w:pPr>
              <w:pStyle w:val="Tabletext"/>
              <w:spacing w:line="240" w:lineRule="auto"/>
              <w:rPr>
                <w:rFonts w:asciiTheme="majorBidi" w:hAnsiTheme="majorBidi" w:cstheme="majorBidi"/>
                <w:szCs w:val="22"/>
                <w:lang w:val="fr-FR"/>
              </w:rPr>
            </w:pPr>
          </w:p>
        </w:tc>
        <w:tc>
          <w:tcPr>
            <w:tcW w:w="2807" w:type="dxa"/>
          </w:tcPr>
          <w:p w:rsidR="003A5252" w:rsidRPr="002C76FE" w:rsidRDefault="003A5252" w:rsidP="00FD23B9">
            <w:pPr>
              <w:pStyle w:val="Tabletext"/>
              <w:spacing w:line="240" w:lineRule="auto"/>
              <w:jc w:val="left"/>
              <w:rPr>
                <w:rFonts w:asciiTheme="majorBidi" w:hAnsiTheme="majorBidi" w:cstheme="majorBidi"/>
                <w:szCs w:val="22"/>
                <w:lang w:val="fr-FR"/>
              </w:rPr>
            </w:pPr>
            <w:r w:rsidRPr="002C76FE">
              <w:rPr>
                <w:rFonts w:asciiTheme="majorBidi" w:hAnsiTheme="majorBidi" w:cstheme="majorBidi"/>
                <w:szCs w:val="22"/>
                <w:lang w:val="fr-FR"/>
              </w:rPr>
              <w:t>Villes de Dubaï, Sharjah, Ajman et Umm Al Qaiwain et environs</w:t>
            </w:r>
          </w:p>
        </w:tc>
        <w:tc>
          <w:tcPr>
            <w:tcW w:w="2628" w:type="dxa"/>
          </w:tcPr>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55° 30' E – 25° 40' N</w:t>
            </w:r>
          </w:p>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55° 55' E – 25° 20' N</w:t>
            </w:r>
          </w:p>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55° 00' E – 24° 45' N</w:t>
            </w:r>
          </w:p>
          <w:p w:rsidR="003A5252" w:rsidRPr="002C76FE" w:rsidRDefault="003A5252" w:rsidP="00FD23B9">
            <w:pPr>
              <w:pStyle w:val="Tabletext"/>
              <w:spacing w:line="240" w:lineRule="auto"/>
              <w:rPr>
                <w:rFonts w:asciiTheme="majorBidi" w:hAnsiTheme="majorBidi" w:cstheme="majorBidi"/>
                <w:szCs w:val="22"/>
                <w:lang w:val="fr-FR"/>
              </w:rPr>
            </w:pPr>
            <w:r w:rsidRPr="002C76FE">
              <w:rPr>
                <w:rFonts w:asciiTheme="majorBidi" w:hAnsiTheme="majorBidi" w:cstheme="majorBidi"/>
                <w:szCs w:val="22"/>
                <w:lang w:val="fr-FR"/>
              </w:rPr>
              <w:t>54° 30' E – 24° 45' N</w:t>
            </w:r>
          </w:p>
        </w:tc>
      </w:tr>
      <w:tr w:rsidR="003A5252" w:rsidRPr="00B4213F" w:rsidTr="00026C26">
        <w:trPr>
          <w:trHeight w:val="1250"/>
        </w:trPr>
        <w:tc>
          <w:tcPr>
            <w:tcW w:w="1713" w:type="dxa"/>
            <w:vMerge/>
          </w:tcPr>
          <w:p w:rsidR="003A5252" w:rsidRPr="002C76FE" w:rsidRDefault="003A5252" w:rsidP="00FD23B9">
            <w:pPr>
              <w:pStyle w:val="Tabletext"/>
              <w:spacing w:line="240" w:lineRule="auto"/>
              <w:rPr>
                <w:rFonts w:asciiTheme="majorBidi" w:hAnsiTheme="majorBidi" w:cstheme="majorBidi"/>
                <w:szCs w:val="22"/>
                <w:lang w:val="fr-FR"/>
              </w:rPr>
            </w:pPr>
          </w:p>
        </w:tc>
        <w:tc>
          <w:tcPr>
            <w:tcW w:w="2807" w:type="dxa"/>
          </w:tcPr>
          <w:p w:rsidR="003A5252" w:rsidRPr="002C76FE" w:rsidRDefault="003A5252" w:rsidP="00FD23B9">
            <w:pPr>
              <w:pStyle w:val="Tabletext"/>
              <w:spacing w:line="240" w:lineRule="auto"/>
              <w:jc w:val="left"/>
              <w:rPr>
                <w:rFonts w:asciiTheme="majorBidi" w:hAnsiTheme="majorBidi" w:cstheme="majorBidi"/>
                <w:szCs w:val="22"/>
                <w:lang w:val="fr-FR"/>
              </w:rPr>
            </w:pPr>
            <w:r w:rsidRPr="002C76FE">
              <w:rPr>
                <w:rFonts w:asciiTheme="majorBidi" w:hAnsiTheme="majorBidi" w:cstheme="majorBidi"/>
                <w:szCs w:val="22"/>
                <w:lang w:val="fr-FR" w:eastAsia="de-DE"/>
              </w:rPr>
              <w:t>Ville de Al Ain et environs</w:t>
            </w:r>
          </w:p>
        </w:tc>
        <w:tc>
          <w:tcPr>
            <w:tcW w:w="2628" w:type="dxa"/>
          </w:tcPr>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55° 30' E – 24° 20' N</w:t>
            </w:r>
          </w:p>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55° 50' E – 24° 20' N</w:t>
            </w:r>
          </w:p>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55° 50' E – 24° 00' N</w:t>
            </w:r>
          </w:p>
          <w:p w:rsidR="003A5252" w:rsidRPr="002C76FE" w:rsidRDefault="003A5252" w:rsidP="00FD23B9">
            <w:pPr>
              <w:pStyle w:val="Tabletext"/>
              <w:spacing w:line="240" w:lineRule="auto"/>
              <w:rPr>
                <w:rFonts w:asciiTheme="majorBidi" w:hAnsiTheme="majorBidi" w:cstheme="majorBidi"/>
                <w:szCs w:val="22"/>
                <w:lang w:val="fr-FR"/>
              </w:rPr>
            </w:pPr>
            <w:r w:rsidRPr="002C76FE">
              <w:rPr>
                <w:rFonts w:asciiTheme="majorBidi" w:hAnsiTheme="majorBidi" w:cstheme="majorBidi"/>
                <w:szCs w:val="22"/>
                <w:lang w:val="fr-FR"/>
              </w:rPr>
              <w:t>55° 30' E – 24° 00' N</w:t>
            </w:r>
          </w:p>
        </w:tc>
      </w:tr>
      <w:tr w:rsidR="003A5252" w:rsidRPr="00B4213F" w:rsidTr="00026C26">
        <w:trPr>
          <w:trHeight w:val="1250"/>
        </w:trPr>
        <w:tc>
          <w:tcPr>
            <w:tcW w:w="1713" w:type="dxa"/>
            <w:vMerge w:val="restart"/>
          </w:tcPr>
          <w:p w:rsidR="003A5252" w:rsidRPr="002C76FE" w:rsidRDefault="003A5252" w:rsidP="00FD23B9">
            <w:pPr>
              <w:pStyle w:val="Tabletext"/>
              <w:spacing w:line="240" w:lineRule="auto"/>
              <w:rPr>
                <w:rFonts w:asciiTheme="majorBidi" w:hAnsiTheme="majorBidi" w:cstheme="majorBidi"/>
                <w:b/>
                <w:bCs/>
                <w:szCs w:val="22"/>
                <w:lang w:val="fr-FR"/>
              </w:rPr>
            </w:pPr>
            <w:r w:rsidRPr="002C76FE">
              <w:rPr>
                <w:rFonts w:asciiTheme="majorBidi" w:hAnsiTheme="majorBidi" w:cstheme="majorBidi"/>
                <w:b/>
                <w:bCs/>
                <w:szCs w:val="22"/>
                <w:lang w:val="fr-FR"/>
              </w:rPr>
              <w:t>0,75 (moyen)</w:t>
            </w:r>
          </w:p>
        </w:tc>
        <w:tc>
          <w:tcPr>
            <w:tcW w:w="2807" w:type="dxa"/>
          </w:tcPr>
          <w:p w:rsidR="003A5252" w:rsidRPr="002C76FE" w:rsidRDefault="003A5252" w:rsidP="00FD23B9">
            <w:pPr>
              <w:pStyle w:val="Tabletext"/>
              <w:spacing w:line="240" w:lineRule="auto"/>
              <w:jc w:val="left"/>
              <w:rPr>
                <w:rFonts w:asciiTheme="majorBidi" w:hAnsiTheme="majorBidi" w:cstheme="majorBidi"/>
                <w:szCs w:val="22"/>
                <w:lang w:val="fr-FR"/>
              </w:rPr>
            </w:pPr>
            <w:r w:rsidRPr="002C76FE">
              <w:rPr>
                <w:rFonts w:asciiTheme="majorBidi" w:hAnsiTheme="majorBidi" w:cstheme="majorBidi"/>
                <w:szCs w:val="22"/>
                <w:lang w:val="fr-FR"/>
              </w:rPr>
              <w:t xml:space="preserve">Zone entre Abu Dhabi et Al Ain </w:t>
            </w:r>
          </w:p>
        </w:tc>
        <w:tc>
          <w:tcPr>
            <w:tcW w:w="2628" w:type="dxa"/>
          </w:tcPr>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55° 00' E – 24° 20' N</w:t>
            </w:r>
          </w:p>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55° 30' E – 24° 20' N</w:t>
            </w:r>
          </w:p>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55° 30' E – 24° 00' N</w:t>
            </w:r>
          </w:p>
          <w:p w:rsidR="003A5252" w:rsidRPr="002C76FE" w:rsidRDefault="003A5252" w:rsidP="00FD23B9">
            <w:pPr>
              <w:pStyle w:val="Tabletext"/>
              <w:spacing w:line="240" w:lineRule="auto"/>
              <w:rPr>
                <w:rFonts w:asciiTheme="majorBidi" w:hAnsiTheme="majorBidi" w:cstheme="majorBidi"/>
                <w:szCs w:val="22"/>
                <w:lang w:val="fr-FR"/>
              </w:rPr>
            </w:pPr>
            <w:r w:rsidRPr="002C76FE">
              <w:rPr>
                <w:rFonts w:asciiTheme="majorBidi" w:hAnsiTheme="majorBidi" w:cstheme="majorBidi"/>
                <w:szCs w:val="22"/>
                <w:lang w:val="fr-FR"/>
              </w:rPr>
              <w:t>55° 00' E – 24° 05' N</w:t>
            </w:r>
          </w:p>
        </w:tc>
      </w:tr>
      <w:tr w:rsidR="003A5252" w:rsidRPr="00B4213F" w:rsidTr="00026C26">
        <w:trPr>
          <w:trHeight w:val="1430"/>
        </w:trPr>
        <w:tc>
          <w:tcPr>
            <w:tcW w:w="1713" w:type="dxa"/>
            <w:vMerge/>
          </w:tcPr>
          <w:p w:rsidR="003A5252" w:rsidRPr="002C76FE" w:rsidRDefault="003A5252" w:rsidP="00FD23B9">
            <w:pPr>
              <w:pStyle w:val="Tabletext"/>
              <w:spacing w:line="240" w:lineRule="auto"/>
              <w:rPr>
                <w:rFonts w:asciiTheme="majorBidi" w:hAnsiTheme="majorBidi" w:cstheme="majorBidi"/>
                <w:szCs w:val="22"/>
                <w:lang w:val="fr-FR"/>
              </w:rPr>
            </w:pPr>
          </w:p>
        </w:tc>
        <w:tc>
          <w:tcPr>
            <w:tcW w:w="2807" w:type="dxa"/>
          </w:tcPr>
          <w:p w:rsidR="003A5252" w:rsidRPr="002C76FE" w:rsidRDefault="003A5252" w:rsidP="00FD23B9">
            <w:pPr>
              <w:pStyle w:val="Tabletext"/>
              <w:spacing w:line="240" w:lineRule="auto"/>
              <w:jc w:val="left"/>
              <w:rPr>
                <w:rFonts w:asciiTheme="majorBidi" w:hAnsiTheme="majorBidi" w:cstheme="majorBidi"/>
                <w:szCs w:val="22"/>
                <w:lang w:val="fr-FR" w:eastAsia="de-DE"/>
              </w:rPr>
            </w:pPr>
            <w:r w:rsidRPr="002C76FE">
              <w:rPr>
                <w:rFonts w:asciiTheme="majorBidi" w:hAnsiTheme="majorBidi" w:cstheme="majorBidi"/>
                <w:szCs w:val="22"/>
                <w:lang w:val="fr-FR" w:eastAsia="de-DE"/>
              </w:rPr>
              <w:t xml:space="preserve">Ville de Fujairah </w:t>
            </w:r>
            <w:r w:rsidRPr="002C76FE">
              <w:rPr>
                <w:rFonts w:asciiTheme="majorBidi" w:hAnsiTheme="majorBidi" w:cstheme="majorBidi"/>
                <w:szCs w:val="22"/>
                <w:lang w:val="fr-FR"/>
              </w:rPr>
              <w:t>et environs</w:t>
            </w:r>
          </w:p>
        </w:tc>
        <w:tc>
          <w:tcPr>
            <w:tcW w:w="2628" w:type="dxa"/>
            <w:vAlign w:val="center"/>
          </w:tcPr>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56° 15' E – 25° 15' N</w:t>
            </w:r>
          </w:p>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56° 25' E – 25° 15' N</w:t>
            </w:r>
          </w:p>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56° 25' E – 25° 00' N</w:t>
            </w:r>
          </w:p>
          <w:p w:rsidR="003A5252" w:rsidRPr="002C76FE" w:rsidRDefault="003A5252" w:rsidP="00FD23B9">
            <w:pPr>
              <w:pStyle w:val="Tabletext"/>
              <w:spacing w:line="240" w:lineRule="auto"/>
              <w:rPr>
                <w:rFonts w:asciiTheme="majorBidi" w:hAnsiTheme="majorBidi" w:cstheme="majorBidi"/>
                <w:szCs w:val="22"/>
                <w:lang w:val="fr-FR"/>
              </w:rPr>
            </w:pPr>
            <w:r w:rsidRPr="002C76FE">
              <w:rPr>
                <w:rFonts w:asciiTheme="majorBidi" w:hAnsiTheme="majorBidi" w:cstheme="majorBidi"/>
                <w:szCs w:val="22"/>
                <w:lang w:val="fr-FR"/>
              </w:rPr>
              <w:t>56° 15' E – 25° 00' N</w:t>
            </w:r>
          </w:p>
        </w:tc>
      </w:tr>
      <w:tr w:rsidR="003A5252" w:rsidRPr="00B4213F" w:rsidTr="00026C26">
        <w:trPr>
          <w:trHeight w:val="1250"/>
        </w:trPr>
        <w:tc>
          <w:tcPr>
            <w:tcW w:w="1713" w:type="dxa"/>
            <w:vMerge/>
          </w:tcPr>
          <w:p w:rsidR="003A5252" w:rsidRPr="002C76FE" w:rsidRDefault="003A5252" w:rsidP="00FD23B9">
            <w:pPr>
              <w:pStyle w:val="Tabletext"/>
              <w:spacing w:line="240" w:lineRule="auto"/>
              <w:rPr>
                <w:rFonts w:asciiTheme="majorBidi" w:hAnsiTheme="majorBidi" w:cstheme="majorBidi"/>
                <w:szCs w:val="22"/>
                <w:lang w:val="fr-FR"/>
              </w:rPr>
            </w:pPr>
          </w:p>
        </w:tc>
        <w:tc>
          <w:tcPr>
            <w:tcW w:w="2807" w:type="dxa"/>
          </w:tcPr>
          <w:p w:rsidR="003A5252" w:rsidRPr="002C76FE" w:rsidRDefault="003A5252" w:rsidP="00FD23B9">
            <w:pPr>
              <w:pStyle w:val="Tabletext"/>
              <w:spacing w:line="240" w:lineRule="auto"/>
              <w:jc w:val="left"/>
              <w:rPr>
                <w:rFonts w:asciiTheme="majorBidi" w:hAnsiTheme="majorBidi" w:cstheme="majorBidi"/>
                <w:szCs w:val="22"/>
                <w:lang w:val="fr-FR" w:eastAsia="de-DE"/>
              </w:rPr>
            </w:pPr>
            <w:r w:rsidRPr="002C76FE">
              <w:rPr>
                <w:rFonts w:asciiTheme="majorBidi" w:hAnsiTheme="majorBidi" w:cstheme="majorBidi"/>
                <w:szCs w:val="22"/>
                <w:lang w:val="fr-FR" w:eastAsia="de-DE"/>
              </w:rPr>
              <w:t>Ville de Ras Al Khaimah</w:t>
            </w:r>
            <w:r w:rsidRPr="002C76FE">
              <w:rPr>
                <w:rFonts w:asciiTheme="majorBidi" w:hAnsiTheme="majorBidi" w:cstheme="majorBidi"/>
                <w:szCs w:val="22"/>
                <w:lang w:val="fr-FR"/>
              </w:rPr>
              <w:t xml:space="preserve"> et environs</w:t>
            </w:r>
          </w:p>
        </w:tc>
        <w:tc>
          <w:tcPr>
            <w:tcW w:w="2628" w:type="dxa"/>
            <w:vAlign w:val="center"/>
          </w:tcPr>
          <w:p w:rsidR="003A5252" w:rsidRPr="002C76FE" w:rsidRDefault="003A5252" w:rsidP="00FD23B9">
            <w:pPr>
              <w:pStyle w:val="Tabletext"/>
              <w:spacing w:line="240" w:lineRule="auto"/>
              <w:rPr>
                <w:rFonts w:asciiTheme="majorBidi" w:hAnsiTheme="majorBidi" w:cstheme="majorBidi"/>
                <w:szCs w:val="22"/>
                <w:lang w:val="it-IT" w:eastAsia="de-DE"/>
              </w:rPr>
            </w:pPr>
            <w:r w:rsidRPr="002C76FE">
              <w:rPr>
                <w:rFonts w:asciiTheme="majorBidi" w:hAnsiTheme="majorBidi" w:cstheme="majorBidi"/>
                <w:szCs w:val="22"/>
                <w:lang w:val="it-IT" w:eastAsia="de-DE"/>
              </w:rPr>
              <w:t>55° 50' E – 25° 55' N</w:t>
            </w:r>
          </w:p>
          <w:p w:rsidR="003A5252" w:rsidRPr="002C76FE" w:rsidRDefault="003A5252" w:rsidP="00FD23B9">
            <w:pPr>
              <w:pStyle w:val="Tabletext"/>
              <w:spacing w:line="240" w:lineRule="auto"/>
              <w:rPr>
                <w:rFonts w:asciiTheme="majorBidi" w:hAnsiTheme="majorBidi" w:cstheme="majorBidi"/>
                <w:szCs w:val="22"/>
                <w:lang w:val="it-IT" w:eastAsia="de-DE"/>
              </w:rPr>
            </w:pPr>
            <w:r w:rsidRPr="002C76FE">
              <w:rPr>
                <w:rFonts w:asciiTheme="majorBidi" w:hAnsiTheme="majorBidi" w:cstheme="majorBidi"/>
                <w:szCs w:val="22"/>
                <w:lang w:val="it-IT" w:eastAsia="de-DE"/>
              </w:rPr>
              <w:t>56° 05' E – 25° 55' N</w:t>
            </w:r>
          </w:p>
          <w:p w:rsidR="003A5252" w:rsidRPr="002C76FE" w:rsidRDefault="003A5252" w:rsidP="00FD23B9">
            <w:pPr>
              <w:pStyle w:val="Tabletext"/>
              <w:spacing w:line="240" w:lineRule="auto"/>
              <w:rPr>
                <w:rFonts w:asciiTheme="majorBidi" w:hAnsiTheme="majorBidi" w:cstheme="majorBidi"/>
                <w:szCs w:val="22"/>
                <w:lang w:val="it-IT" w:eastAsia="de-DE"/>
              </w:rPr>
            </w:pPr>
            <w:r w:rsidRPr="002C76FE">
              <w:rPr>
                <w:rFonts w:asciiTheme="majorBidi" w:hAnsiTheme="majorBidi" w:cstheme="majorBidi"/>
                <w:szCs w:val="22"/>
                <w:lang w:val="it-IT" w:eastAsia="de-DE"/>
              </w:rPr>
              <w:t>56° 05' E – 25° 40' N</w:t>
            </w:r>
          </w:p>
          <w:p w:rsidR="003A5252" w:rsidRPr="002C76FE" w:rsidRDefault="003A5252" w:rsidP="00FD23B9">
            <w:pPr>
              <w:pStyle w:val="Tabletext"/>
              <w:spacing w:line="240" w:lineRule="auto"/>
              <w:rPr>
                <w:rFonts w:asciiTheme="majorBidi" w:hAnsiTheme="majorBidi" w:cstheme="majorBidi"/>
                <w:szCs w:val="22"/>
                <w:lang w:val="fr-FR" w:eastAsia="de-DE"/>
              </w:rPr>
            </w:pPr>
            <w:r w:rsidRPr="002C76FE">
              <w:rPr>
                <w:rFonts w:asciiTheme="majorBidi" w:hAnsiTheme="majorBidi" w:cstheme="majorBidi"/>
                <w:szCs w:val="22"/>
                <w:lang w:val="fr-FR" w:eastAsia="de-DE"/>
              </w:rPr>
              <w:t>55° 50' E – 25° 40' N</w:t>
            </w:r>
          </w:p>
        </w:tc>
      </w:tr>
      <w:tr w:rsidR="003A5252" w:rsidRPr="007E2B73" w:rsidTr="00026C26">
        <w:trPr>
          <w:trHeight w:val="1070"/>
        </w:trPr>
        <w:tc>
          <w:tcPr>
            <w:tcW w:w="1713" w:type="dxa"/>
            <w:vMerge/>
          </w:tcPr>
          <w:p w:rsidR="003A5252" w:rsidRPr="002C76FE" w:rsidRDefault="003A5252" w:rsidP="00FD23B9">
            <w:pPr>
              <w:pStyle w:val="Tabletext"/>
              <w:spacing w:line="240" w:lineRule="auto"/>
              <w:rPr>
                <w:rFonts w:asciiTheme="majorBidi" w:hAnsiTheme="majorBidi" w:cstheme="majorBidi"/>
                <w:szCs w:val="22"/>
                <w:lang w:val="fr-FR"/>
              </w:rPr>
            </w:pPr>
          </w:p>
        </w:tc>
        <w:tc>
          <w:tcPr>
            <w:tcW w:w="2807" w:type="dxa"/>
            <w:vAlign w:val="center"/>
          </w:tcPr>
          <w:p w:rsidR="003A5252" w:rsidRPr="002C76FE" w:rsidRDefault="003A5252" w:rsidP="00FD23B9">
            <w:pPr>
              <w:pStyle w:val="Tabletext"/>
              <w:spacing w:line="240" w:lineRule="auto"/>
              <w:jc w:val="left"/>
              <w:rPr>
                <w:rFonts w:asciiTheme="majorBidi" w:hAnsiTheme="majorBidi" w:cstheme="majorBidi"/>
                <w:szCs w:val="22"/>
                <w:lang w:val="fr-FR" w:eastAsia="de-DE"/>
              </w:rPr>
            </w:pPr>
            <w:r w:rsidRPr="002C76FE">
              <w:rPr>
                <w:rFonts w:asciiTheme="majorBidi" w:hAnsiTheme="majorBidi" w:cstheme="majorBidi"/>
                <w:szCs w:val="22"/>
                <w:lang w:val="fr-FR" w:eastAsia="de-DE"/>
              </w:rPr>
              <w:t xml:space="preserve">Zone entre </w:t>
            </w:r>
            <w:r w:rsidRPr="002C76FE">
              <w:rPr>
                <w:rFonts w:asciiTheme="majorBidi" w:hAnsiTheme="majorBidi" w:cstheme="majorBidi"/>
                <w:szCs w:val="22"/>
                <w:lang w:val="fr-FR"/>
              </w:rPr>
              <w:t xml:space="preserve">Umm Al Qaiwain et </w:t>
            </w:r>
            <w:r w:rsidRPr="002C76FE">
              <w:rPr>
                <w:rFonts w:asciiTheme="majorBidi" w:hAnsiTheme="majorBidi" w:cstheme="majorBidi"/>
                <w:szCs w:val="22"/>
                <w:lang w:val="fr-FR" w:eastAsia="de-DE"/>
              </w:rPr>
              <w:t>Ras Al Khaimah</w:t>
            </w:r>
            <w:r w:rsidRPr="002C76FE">
              <w:rPr>
                <w:rFonts w:asciiTheme="majorBidi" w:hAnsiTheme="majorBidi" w:cstheme="majorBidi"/>
                <w:szCs w:val="22"/>
                <w:lang w:val="fr-FR"/>
              </w:rPr>
              <w:t xml:space="preserve"> </w:t>
            </w:r>
          </w:p>
        </w:tc>
        <w:tc>
          <w:tcPr>
            <w:tcW w:w="2628" w:type="dxa"/>
          </w:tcPr>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55° 30' E – 25° 40' N</w:t>
            </w:r>
          </w:p>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56° 05' E – 25° 40' N</w:t>
            </w:r>
          </w:p>
          <w:p w:rsidR="003A5252" w:rsidRPr="002C76FE" w:rsidRDefault="003A5252" w:rsidP="00FD23B9">
            <w:pPr>
              <w:pStyle w:val="Tabletext"/>
              <w:spacing w:line="240" w:lineRule="auto"/>
              <w:rPr>
                <w:rFonts w:asciiTheme="majorBidi" w:hAnsiTheme="majorBidi" w:cstheme="majorBidi"/>
                <w:szCs w:val="22"/>
                <w:lang w:val="it-IT"/>
              </w:rPr>
            </w:pPr>
            <w:r w:rsidRPr="002C76FE">
              <w:rPr>
                <w:rFonts w:asciiTheme="majorBidi" w:hAnsiTheme="majorBidi" w:cstheme="majorBidi"/>
                <w:szCs w:val="22"/>
                <w:lang w:val="it-IT"/>
              </w:rPr>
              <w:t>55° 55' E – 25° 20' N</w:t>
            </w:r>
          </w:p>
        </w:tc>
      </w:tr>
      <w:tr w:rsidR="003A5252" w:rsidRPr="00B4213F" w:rsidTr="00026C26">
        <w:trPr>
          <w:trHeight w:val="350"/>
        </w:trPr>
        <w:tc>
          <w:tcPr>
            <w:tcW w:w="1713" w:type="dxa"/>
            <w:vAlign w:val="center"/>
          </w:tcPr>
          <w:p w:rsidR="003A5252" w:rsidRPr="002C76FE" w:rsidRDefault="003A5252" w:rsidP="00FD23B9">
            <w:pPr>
              <w:pStyle w:val="Tabletext"/>
              <w:spacing w:line="240" w:lineRule="auto"/>
              <w:rPr>
                <w:rFonts w:asciiTheme="majorBidi" w:hAnsiTheme="majorBidi" w:cstheme="majorBidi"/>
                <w:b/>
                <w:bCs/>
                <w:szCs w:val="22"/>
                <w:lang w:val="fr-FR" w:eastAsia="de-DE"/>
              </w:rPr>
            </w:pPr>
            <w:r w:rsidRPr="002C76FE">
              <w:rPr>
                <w:rFonts w:asciiTheme="majorBidi" w:hAnsiTheme="majorBidi" w:cstheme="majorBidi"/>
                <w:b/>
                <w:bCs/>
                <w:szCs w:val="22"/>
                <w:lang w:val="fr-FR" w:eastAsia="de-DE"/>
              </w:rPr>
              <w:t>0,50 (faible)</w:t>
            </w:r>
          </w:p>
        </w:tc>
        <w:tc>
          <w:tcPr>
            <w:tcW w:w="5435" w:type="dxa"/>
            <w:gridSpan w:val="2"/>
            <w:vAlign w:val="center"/>
          </w:tcPr>
          <w:p w:rsidR="003A5252" w:rsidRPr="002C76FE" w:rsidRDefault="003A5252" w:rsidP="00FD23B9">
            <w:pPr>
              <w:pStyle w:val="Tabletext"/>
              <w:spacing w:line="240" w:lineRule="auto"/>
              <w:rPr>
                <w:rFonts w:asciiTheme="majorBidi" w:hAnsiTheme="majorBidi" w:cstheme="majorBidi"/>
                <w:szCs w:val="22"/>
                <w:lang w:val="fr-FR" w:eastAsia="de-DE"/>
              </w:rPr>
            </w:pPr>
            <w:r w:rsidRPr="002C76FE">
              <w:rPr>
                <w:rFonts w:asciiTheme="majorBidi" w:hAnsiTheme="majorBidi" w:cstheme="majorBidi"/>
                <w:szCs w:val="22"/>
                <w:lang w:val="fr-FR" w:eastAsia="de-DE"/>
              </w:rPr>
              <w:t>Toutes les zones restantes</w:t>
            </w:r>
          </w:p>
        </w:tc>
      </w:tr>
    </w:tbl>
    <w:p w:rsidR="00FB6A8B" w:rsidRDefault="00FB6A8B" w:rsidP="00281920">
      <w:pPr>
        <w:pBdr>
          <w:bottom w:val="single" w:sz="12" w:space="1" w:color="auto"/>
        </w:pBdr>
        <w:tabs>
          <w:tab w:val="clear" w:pos="794"/>
          <w:tab w:val="clear" w:pos="1191"/>
          <w:tab w:val="clear" w:pos="1588"/>
          <w:tab w:val="clear" w:pos="1985"/>
        </w:tabs>
        <w:overflowPunct/>
        <w:autoSpaceDE/>
        <w:autoSpaceDN/>
        <w:bidi w:val="0"/>
        <w:adjustRightInd/>
        <w:spacing w:before="0" w:line="240" w:lineRule="auto"/>
        <w:jc w:val="left"/>
        <w:textAlignment w:val="auto"/>
      </w:pPr>
    </w:p>
    <w:p w:rsidR="00FB6A8B" w:rsidRDefault="00FB6A8B" w:rsidP="00FB6A8B">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w:eastAsia="SimSun" w:hAnsi="Times" w:cs="Times New Roman"/>
          <w:sz w:val="16"/>
          <w:szCs w:val="20"/>
          <w:lang w:val="en-US" w:eastAsia="ar-SA"/>
        </w:rPr>
      </w:pPr>
      <w:r>
        <w:br w:type="page"/>
      </w:r>
    </w:p>
    <w:p w:rsidR="003A5252" w:rsidRPr="00F50942" w:rsidRDefault="003A5252" w:rsidP="00FD23B9">
      <w:pPr>
        <w:pStyle w:val="FigureSource"/>
      </w:pPr>
    </w:p>
    <w:p w:rsidR="003A5252" w:rsidRPr="00F50942" w:rsidRDefault="003A5252" w:rsidP="00EE251B">
      <w:pPr>
        <w:pStyle w:val="FigureTitle"/>
        <w:pBdr>
          <w:top w:val="single" w:sz="12" w:space="10" w:color="000000"/>
        </w:pBdr>
      </w:pPr>
    </w:p>
    <w:p w:rsidR="003A5252" w:rsidRPr="00F50942" w:rsidRDefault="003A5252" w:rsidP="00FD23B9">
      <w:pPr>
        <w:bidi w:val="0"/>
        <w:spacing w:line="240" w:lineRule="auto"/>
        <w:ind w:left="1599" w:hanging="902"/>
        <w:jc w:val="center"/>
        <w:rPr>
          <w:szCs w:val="19"/>
        </w:rPr>
      </w:pPr>
      <w:r w:rsidRPr="00E05829">
        <w:rPr>
          <w:noProof/>
          <w:szCs w:val="19"/>
          <w:lang w:val="en-US" w:eastAsia="zh-CN"/>
        </w:rPr>
        <w:drawing>
          <wp:inline distT="0" distB="0" distL="0" distR="0">
            <wp:extent cx="4933950" cy="4267200"/>
            <wp:effectExtent l="19050" t="0" r="0" b="0"/>
            <wp:docPr id="5" name="Picture 3" descr="UA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E-TRA"/>
                    <pic:cNvPicPr>
                      <a:picLocks noChangeAspect="1" noChangeArrowheads="1"/>
                    </pic:cNvPicPr>
                  </pic:nvPicPr>
                  <pic:blipFill>
                    <a:blip r:embed="rId24" cstate="print"/>
                    <a:srcRect/>
                    <a:stretch>
                      <a:fillRect/>
                    </a:stretch>
                  </pic:blipFill>
                  <pic:spPr bwMode="auto">
                    <a:xfrm>
                      <a:off x="0" y="0"/>
                      <a:ext cx="4933950" cy="4267200"/>
                    </a:xfrm>
                    <a:prstGeom prst="rect">
                      <a:avLst/>
                    </a:prstGeom>
                    <a:noFill/>
                    <a:ln w="9525">
                      <a:noFill/>
                      <a:miter lim="800000"/>
                      <a:headEnd/>
                      <a:tailEnd/>
                    </a:ln>
                  </pic:spPr>
                </pic:pic>
              </a:graphicData>
            </a:graphic>
          </wp:inline>
        </w:drawing>
      </w:r>
    </w:p>
    <w:p w:rsidR="003A5252" w:rsidRPr="00E05829" w:rsidRDefault="003A5252" w:rsidP="00FD23B9">
      <w:pPr>
        <w:pStyle w:val="TableNotitle"/>
        <w:spacing w:line="240" w:lineRule="auto"/>
        <w:rPr>
          <w:sz w:val="19"/>
          <w:szCs w:val="19"/>
        </w:rPr>
      </w:pPr>
      <w:r w:rsidRPr="00E05829">
        <w:rPr>
          <w:sz w:val="19"/>
          <w:szCs w:val="19"/>
        </w:rPr>
        <w:t>Vue par satellite des Emirats arabes unis, avec indication des zones de service</w:t>
      </w:r>
    </w:p>
    <w:p w:rsidR="003A5252" w:rsidRPr="001C00F5" w:rsidRDefault="003A5252" w:rsidP="00FD23B9">
      <w:pPr>
        <w:bidi w:val="0"/>
        <w:spacing w:line="240" w:lineRule="auto"/>
        <w:ind w:left="3800" w:hanging="2200"/>
        <w:rPr>
          <w:b/>
          <w:lang w:val="fr-FR"/>
        </w:rPr>
      </w:pPr>
      <w:r w:rsidRPr="001C00F5">
        <w:rPr>
          <w:b/>
          <w:lang w:val="fr-FR"/>
        </w:rPr>
        <w:t>En rouge:</w:t>
      </w:r>
      <w:r w:rsidRPr="001C00F5">
        <w:rPr>
          <w:b/>
          <w:lang w:val="fr-FR"/>
        </w:rPr>
        <w:tab/>
        <w:t>Zone de service avec coefficient D élevé (1,00)</w:t>
      </w:r>
    </w:p>
    <w:p w:rsidR="003A5252" w:rsidRPr="001C00F5" w:rsidRDefault="003A5252" w:rsidP="00FD23B9">
      <w:pPr>
        <w:bidi w:val="0"/>
        <w:spacing w:line="240" w:lineRule="auto"/>
        <w:ind w:left="3800" w:hanging="2200"/>
        <w:rPr>
          <w:b/>
          <w:lang w:val="fr-FR"/>
        </w:rPr>
      </w:pPr>
      <w:r w:rsidRPr="001C00F5">
        <w:rPr>
          <w:b/>
          <w:lang w:val="fr-FR"/>
        </w:rPr>
        <w:t>En vert:</w:t>
      </w:r>
      <w:r w:rsidRPr="001C00F5">
        <w:rPr>
          <w:b/>
          <w:lang w:val="fr-FR"/>
        </w:rPr>
        <w:tab/>
        <w:t>Zone de service avec coefficient D moyen (0,75)</w:t>
      </w:r>
    </w:p>
    <w:p w:rsidR="003A5252" w:rsidRPr="001C00F5" w:rsidRDefault="003A5252" w:rsidP="00FD23B9">
      <w:pPr>
        <w:bidi w:val="0"/>
        <w:spacing w:line="240" w:lineRule="auto"/>
        <w:ind w:left="3800" w:hanging="2200"/>
        <w:rPr>
          <w:b/>
          <w:lang w:val="fr-FR"/>
        </w:rPr>
      </w:pPr>
      <w:r w:rsidRPr="001C00F5">
        <w:rPr>
          <w:b/>
          <w:lang w:val="fr-FR"/>
        </w:rPr>
        <w:t>Autres zones:</w:t>
      </w:r>
      <w:r w:rsidRPr="001C00F5">
        <w:rPr>
          <w:b/>
          <w:lang w:val="fr-FR"/>
        </w:rPr>
        <w:tab/>
        <w:t>Zone de service avec coefficient D faible (0,50)</w:t>
      </w:r>
    </w:p>
    <w:p w:rsidR="003A5252" w:rsidRDefault="003A5252" w:rsidP="00281920">
      <w:pPr>
        <w:pStyle w:val="FigureSource"/>
        <w:pBdr>
          <w:bottom w:val="single" w:sz="12" w:space="10" w:color="000000"/>
        </w:pBdr>
      </w:pPr>
    </w:p>
    <w:p w:rsidR="003A5252" w:rsidRPr="001C00F5" w:rsidRDefault="003A5252" w:rsidP="00FD23B9">
      <w:pPr>
        <w:bidi w:val="0"/>
        <w:spacing w:line="240" w:lineRule="auto"/>
        <w:ind w:left="1191" w:hanging="1191"/>
        <w:rPr>
          <w:lang w:val="fr-FR"/>
        </w:rPr>
      </w:pPr>
      <w:r>
        <w:rPr>
          <w:b/>
          <w:lang w:val="fr-FR"/>
        </w:rPr>
        <w:tab/>
      </w:r>
      <w:r w:rsidRPr="001C00F5">
        <w:rPr>
          <w:b/>
          <w:lang w:val="fr-FR"/>
        </w:rPr>
        <w:tab/>
      </w:r>
      <w:r w:rsidRPr="003B6BCC">
        <w:rPr>
          <w:b/>
          <w:bCs/>
          <w:lang w:val="fr-FR"/>
        </w:rPr>
        <w:t>Note 1</w:t>
      </w:r>
      <w:r>
        <w:rPr>
          <w:lang w:val="fr-FR"/>
        </w:rPr>
        <w:t>:</w:t>
      </w:r>
      <w:r>
        <w:rPr>
          <w:lang w:val="fr-FR"/>
        </w:rPr>
        <w:tab/>
      </w:r>
      <w:r w:rsidRPr="001C00F5">
        <w:rPr>
          <w:lang w:val="fr-FR"/>
        </w:rPr>
        <w:t xml:space="preserve">En cas d'émission depuis une station située dans une zone de service à coefficient moyen ou faible et à destination (en partie ou en totalité) d'une zone de service à coefficient plus élevé, la station concernée </w:t>
      </w:r>
      <w:r w:rsidRPr="003B6BCC">
        <w:rPr>
          <w:szCs w:val="19"/>
        </w:rPr>
        <w:t>sera</w:t>
      </w:r>
      <w:r w:rsidRPr="001C00F5">
        <w:rPr>
          <w:lang w:val="fr-FR"/>
        </w:rPr>
        <w:t xml:space="preserve"> considérée comme appartenant à la zone de service à coefficient plus élevé.</w:t>
      </w:r>
    </w:p>
    <w:p w:rsidR="003A5252" w:rsidRPr="001C00F5" w:rsidRDefault="003A5252" w:rsidP="00FD23B9">
      <w:pPr>
        <w:bidi w:val="0"/>
        <w:spacing w:line="240" w:lineRule="auto"/>
        <w:ind w:left="1191" w:hanging="1191"/>
        <w:rPr>
          <w:lang w:val="fr-FR"/>
        </w:rPr>
      </w:pPr>
      <w:r>
        <w:rPr>
          <w:b/>
          <w:lang w:val="fr-FR"/>
        </w:rPr>
        <w:tab/>
      </w:r>
      <w:r w:rsidRPr="001C00F5">
        <w:rPr>
          <w:b/>
          <w:lang w:val="fr-FR"/>
        </w:rPr>
        <w:tab/>
      </w:r>
      <w:r w:rsidRPr="003B6BCC">
        <w:rPr>
          <w:b/>
          <w:bCs/>
          <w:lang w:val="fr-FR"/>
        </w:rPr>
        <w:t>Note 2</w:t>
      </w:r>
      <w:r>
        <w:rPr>
          <w:lang w:val="fr-FR"/>
        </w:rPr>
        <w:t>:</w:t>
      </w:r>
      <w:r>
        <w:rPr>
          <w:lang w:val="fr-FR"/>
        </w:rPr>
        <w:tab/>
      </w:r>
      <w:r w:rsidRPr="001C00F5">
        <w:rPr>
          <w:lang w:val="fr-FR"/>
        </w:rPr>
        <w:t>Pour les services de radiodiffusion dans la bande des ondes décamétriques et dans les bandes de fréquences inférieures, le coefficient d</w:t>
      </w:r>
      <w:r>
        <w:rPr>
          <w:lang w:val="fr-FR"/>
        </w:rPr>
        <w:t>e zone de service est égal à 1.</w:t>
      </w:r>
    </w:p>
    <w:p w:rsidR="003A5252" w:rsidRPr="001C00F5" w:rsidRDefault="003A5252" w:rsidP="00FD23B9">
      <w:pPr>
        <w:bidi w:val="0"/>
        <w:spacing w:line="240" w:lineRule="auto"/>
        <w:ind w:left="1191" w:hanging="1191"/>
        <w:rPr>
          <w:b/>
          <w:bCs/>
          <w:lang w:val="fr-FR"/>
        </w:rPr>
      </w:pPr>
      <w:r w:rsidRPr="001C00F5">
        <w:rPr>
          <w:b/>
          <w:lang w:val="fr-FR"/>
        </w:rPr>
        <w:tab/>
      </w:r>
      <w:r>
        <w:rPr>
          <w:b/>
          <w:lang w:val="fr-FR"/>
        </w:rPr>
        <w:tab/>
      </w:r>
      <w:r w:rsidRPr="001C00F5">
        <w:rPr>
          <w:b/>
          <w:lang w:val="fr-FR"/>
        </w:rPr>
        <w:t>E = Coefficient de hauteur de l'antenne, calculé comme suit:</w:t>
      </w:r>
    </w:p>
    <w:p w:rsidR="003A5252" w:rsidRPr="001C00F5" w:rsidRDefault="003A5252" w:rsidP="00FD23B9">
      <w:pPr>
        <w:tabs>
          <w:tab w:val="clear" w:pos="1191"/>
          <w:tab w:val="left" w:pos="1204"/>
        </w:tabs>
        <w:bidi w:val="0"/>
        <w:spacing w:line="240" w:lineRule="auto"/>
        <w:ind w:left="2160" w:hanging="1463"/>
        <w:rPr>
          <w:b/>
          <w:bCs/>
          <w:vertAlign w:val="subscript"/>
          <w:lang w:val="fr-FR"/>
        </w:rPr>
      </w:pPr>
      <w:r w:rsidRPr="001C00F5">
        <w:rPr>
          <w:b/>
          <w:lang w:val="fr-FR"/>
        </w:rPr>
        <w:tab/>
      </w:r>
      <w:r>
        <w:rPr>
          <w:b/>
          <w:lang w:val="fr-FR"/>
        </w:rPr>
        <w:tab/>
      </w:r>
      <w:r w:rsidRPr="001C00F5">
        <w:rPr>
          <w:b/>
          <w:lang w:val="fr-FR"/>
        </w:rPr>
        <w:t>E = H</w:t>
      </w:r>
      <w:r w:rsidRPr="001C00F5">
        <w:rPr>
          <w:b/>
          <w:vertAlign w:val="subscript"/>
          <w:lang w:val="fr-FR"/>
        </w:rPr>
        <w:t>ASL</w:t>
      </w:r>
      <w:r w:rsidRPr="001C00F5">
        <w:rPr>
          <w:b/>
          <w:lang w:val="fr-FR"/>
        </w:rPr>
        <w:t xml:space="preserve"> + H</w:t>
      </w:r>
      <w:r w:rsidRPr="001C00F5">
        <w:rPr>
          <w:b/>
          <w:vertAlign w:val="subscript"/>
          <w:lang w:val="fr-FR"/>
        </w:rPr>
        <w:t>AGL</w:t>
      </w:r>
    </w:p>
    <w:p w:rsidR="003A5252" w:rsidRPr="001C00F5" w:rsidRDefault="003A5252" w:rsidP="00FD23B9">
      <w:pPr>
        <w:bidi w:val="0"/>
        <w:spacing w:line="240" w:lineRule="auto"/>
        <w:ind w:left="1191" w:hanging="1191"/>
        <w:rPr>
          <w:lang w:val="fr-FR"/>
        </w:rPr>
      </w:pPr>
      <w:r w:rsidRPr="001C00F5">
        <w:rPr>
          <w:lang w:val="fr-FR"/>
        </w:rPr>
        <w:tab/>
      </w:r>
      <w:r>
        <w:rPr>
          <w:lang w:val="fr-FR"/>
        </w:rPr>
        <w:tab/>
      </w:r>
      <w:r w:rsidRPr="001C00F5">
        <w:rPr>
          <w:b/>
          <w:lang w:val="fr-FR"/>
        </w:rPr>
        <w:t>H</w:t>
      </w:r>
      <w:r w:rsidRPr="001C00F5">
        <w:rPr>
          <w:b/>
          <w:vertAlign w:val="subscript"/>
          <w:lang w:val="fr-FR"/>
        </w:rPr>
        <w:t>ASL</w:t>
      </w:r>
      <w:r w:rsidRPr="001C00F5">
        <w:rPr>
          <w:lang w:val="fr-FR"/>
        </w:rPr>
        <w:t xml:space="preserve"> étant la hauteur par rapport au niveau de la mer exprimée en mètres et </w:t>
      </w:r>
      <w:r w:rsidRPr="001C00F5">
        <w:rPr>
          <w:b/>
          <w:lang w:val="fr-FR"/>
        </w:rPr>
        <w:t>H</w:t>
      </w:r>
      <w:r w:rsidRPr="001C00F5">
        <w:rPr>
          <w:b/>
          <w:vertAlign w:val="subscript"/>
          <w:lang w:val="fr-FR"/>
        </w:rPr>
        <w:t>AGL</w:t>
      </w:r>
      <w:r w:rsidRPr="001C00F5">
        <w:rPr>
          <w:lang w:val="fr-FR"/>
        </w:rPr>
        <w:t xml:space="preserve"> étant la hauteur par rapport au niveau du sol, exprimée en mètres.</w:t>
      </w:r>
    </w:p>
    <w:p w:rsidR="003A5252" w:rsidRPr="001C00F5" w:rsidRDefault="003A5252" w:rsidP="00FD23B9">
      <w:pPr>
        <w:bidi w:val="0"/>
        <w:spacing w:line="240" w:lineRule="auto"/>
        <w:ind w:left="1191" w:hanging="1191"/>
        <w:rPr>
          <w:lang w:val="fr-FR"/>
        </w:rPr>
      </w:pPr>
      <w:r w:rsidRPr="001C00F5">
        <w:rPr>
          <w:lang w:val="fr-FR"/>
        </w:rPr>
        <w:tab/>
      </w:r>
      <w:r>
        <w:rPr>
          <w:lang w:val="fr-FR"/>
        </w:rPr>
        <w:tab/>
      </w:r>
      <w:r w:rsidRPr="001C00F5">
        <w:rPr>
          <w:b/>
          <w:lang w:val="fr-FR"/>
        </w:rPr>
        <w:t xml:space="preserve">F = Coefficient de correction </w:t>
      </w:r>
      <w:r w:rsidRPr="001C00F5">
        <w:rPr>
          <w:lang w:val="fr-FR"/>
        </w:rPr>
        <w:t>exprimé comme suit:</w:t>
      </w:r>
    </w:p>
    <w:p w:rsidR="003A5252" w:rsidRPr="009774C4" w:rsidRDefault="003A5252" w:rsidP="00FD23B9">
      <w:pPr>
        <w:pStyle w:val="enumlev1"/>
        <w:bidi w:val="0"/>
        <w:spacing w:line="240" w:lineRule="auto"/>
        <w:ind w:left="1588" w:hanging="1588"/>
        <w:rPr>
          <w:rFonts w:asciiTheme="majorBidi" w:hAnsiTheme="majorBidi" w:cstheme="majorBidi"/>
          <w:szCs w:val="22"/>
        </w:rPr>
      </w:pPr>
      <w:r w:rsidRPr="009774C4">
        <w:rPr>
          <w:rFonts w:asciiTheme="majorBidi" w:hAnsiTheme="majorBidi" w:cstheme="majorBidi"/>
          <w:szCs w:val="22"/>
        </w:rPr>
        <w:tab/>
      </w:r>
      <w:r w:rsidRPr="009774C4">
        <w:rPr>
          <w:rFonts w:asciiTheme="majorBidi" w:hAnsiTheme="majorBidi" w:cstheme="majorBidi"/>
          <w:szCs w:val="22"/>
        </w:rPr>
        <w:tab/>
        <w:t>a)</w:t>
      </w:r>
      <w:r w:rsidRPr="009774C4">
        <w:rPr>
          <w:rFonts w:asciiTheme="majorBidi" w:hAnsiTheme="majorBidi" w:cstheme="majorBidi"/>
          <w:szCs w:val="22"/>
        </w:rPr>
        <w:tab/>
        <w:t>Pour les stations de radiodiffusion publique exploitées sur une base non commerciale, on applique un coefficient de correction (F) de 0,5.</w:t>
      </w:r>
    </w:p>
    <w:p w:rsidR="003A5252" w:rsidRPr="00043339" w:rsidRDefault="003A5252" w:rsidP="00FD23B9">
      <w:pPr>
        <w:pStyle w:val="enumlev1"/>
        <w:bidi w:val="0"/>
        <w:spacing w:line="240" w:lineRule="auto"/>
        <w:ind w:left="1588" w:hanging="1588"/>
        <w:rPr>
          <w:rFonts w:asciiTheme="majorBidi" w:hAnsiTheme="majorBidi" w:cstheme="majorBidi"/>
          <w:szCs w:val="22"/>
        </w:rPr>
      </w:pPr>
      <w:r>
        <w:rPr>
          <w:rFonts w:asciiTheme="majorBidi" w:hAnsiTheme="majorBidi" w:cstheme="majorBidi"/>
          <w:szCs w:val="22"/>
        </w:rPr>
        <w:lastRenderedPageBreak/>
        <w:tab/>
      </w:r>
      <w:r w:rsidRPr="00043339">
        <w:rPr>
          <w:rFonts w:asciiTheme="majorBidi" w:hAnsiTheme="majorBidi" w:cstheme="majorBidi"/>
          <w:szCs w:val="22"/>
        </w:rPr>
        <w:tab/>
        <w:t>b)</w:t>
      </w:r>
      <w:r w:rsidRPr="00043339">
        <w:rPr>
          <w:rFonts w:asciiTheme="majorBidi" w:hAnsiTheme="majorBidi" w:cstheme="majorBidi"/>
          <w:szCs w:val="22"/>
        </w:rPr>
        <w:tab/>
        <w:t>Pour encourager les nouvelles technologies de radiodiffusion audio et vidéo numérique de Terre, on applique jusqu'à 2015 une réduction de 25% (soit un coefficient de correction de 0,75). Cette réduction ne vaut que pour la période indiquée et peut être accompagnée d'autres conditions énoncées par la TRA.</w:t>
      </w:r>
    </w:p>
    <w:p w:rsidR="003A5252" w:rsidRPr="00043339" w:rsidRDefault="003A5252" w:rsidP="00FD23B9">
      <w:pPr>
        <w:pStyle w:val="enumlev1"/>
        <w:bidi w:val="0"/>
        <w:spacing w:line="240" w:lineRule="auto"/>
        <w:ind w:left="1588" w:hanging="1588"/>
        <w:rPr>
          <w:rFonts w:asciiTheme="majorBidi" w:hAnsiTheme="majorBidi" w:cstheme="majorBidi"/>
          <w:szCs w:val="22"/>
        </w:rPr>
      </w:pPr>
      <w:r>
        <w:rPr>
          <w:rFonts w:asciiTheme="majorBidi" w:hAnsiTheme="majorBidi" w:cstheme="majorBidi"/>
          <w:szCs w:val="22"/>
        </w:rPr>
        <w:tab/>
      </w:r>
      <w:r w:rsidRPr="00043339">
        <w:rPr>
          <w:rFonts w:asciiTheme="majorBidi" w:hAnsiTheme="majorBidi" w:cstheme="majorBidi"/>
          <w:szCs w:val="22"/>
        </w:rPr>
        <w:tab/>
        <w:t>c)</w:t>
      </w:r>
      <w:r w:rsidRPr="00043339">
        <w:rPr>
          <w:rFonts w:asciiTheme="majorBidi" w:hAnsiTheme="majorBidi" w:cstheme="majorBidi"/>
          <w:szCs w:val="22"/>
        </w:rPr>
        <w:tab/>
        <w:t>Pour toutes les autres assignations, la valeur du coefficient de correction est de 1.</w:t>
      </w:r>
    </w:p>
    <w:p w:rsidR="003A5252" w:rsidRPr="00C3585C" w:rsidRDefault="003A5252" w:rsidP="00FD23B9">
      <w:pPr>
        <w:pStyle w:val="Heading2"/>
        <w:bidi w:val="0"/>
        <w:spacing w:line="240" w:lineRule="auto"/>
      </w:pPr>
      <w:bookmarkStart w:id="610" w:name="_Toc280260049"/>
      <w:bookmarkStart w:id="611" w:name="_Toc280272510"/>
      <w:bookmarkStart w:id="612" w:name="_Toc282768693"/>
      <w:r w:rsidRPr="00C3585C">
        <w:t>26.2</w:t>
      </w:r>
      <w:r w:rsidRPr="00C3585C">
        <w:tab/>
        <w:t>Service saisonnier de radiodiffusion sonore en ondes décamétriques</w:t>
      </w:r>
      <w:bookmarkEnd w:id="610"/>
      <w:bookmarkEnd w:id="611"/>
      <w:bookmarkEnd w:id="612"/>
    </w:p>
    <w:p w:rsidR="003A5252" w:rsidRPr="001C00F5" w:rsidRDefault="003A5252" w:rsidP="00FD23B9">
      <w:pPr>
        <w:bidi w:val="0"/>
        <w:spacing w:line="240" w:lineRule="auto"/>
        <w:rPr>
          <w:lang w:val="fr-FR"/>
        </w:rPr>
      </w:pPr>
      <w:r w:rsidRPr="001C00F5">
        <w:rPr>
          <w:lang w:val="fr-FR"/>
        </w:rPr>
        <w:t xml:space="preserve">Pour ce service, les droits à acquitter sont facturés en fonction du nombre d'émetteurs, le montant annuel pour chaque émetteur étant de 30 000 AED. </w:t>
      </w:r>
    </w:p>
    <w:p w:rsidR="003A5252" w:rsidRPr="00C3585C" w:rsidRDefault="003A5252" w:rsidP="00FD23B9">
      <w:pPr>
        <w:pStyle w:val="Heading2"/>
        <w:bidi w:val="0"/>
        <w:spacing w:line="240" w:lineRule="auto"/>
      </w:pPr>
      <w:bookmarkStart w:id="613" w:name="_Toc280260050"/>
      <w:bookmarkStart w:id="614" w:name="_Toc280272511"/>
      <w:bookmarkStart w:id="615" w:name="_Toc282768694"/>
      <w:r w:rsidRPr="00C3585C">
        <w:t>26.3</w:t>
      </w:r>
      <w:r w:rsidRPr="00C3585C">
        <w:tab/>
        <w:t>Radiodiffusion et télévision par satellite</w:t>
      </w:r>
      <w:bookmarkEnd w:id="613"/>
      <w:bookmarkEnd w:id="614"/>
      <w:bookmarkEnd w:id="615"/>
    </w:p>
    <w:p w:rsidR="003A5252" w:rsidRPr="001C00F5" w:rsidRDefault="003A5252" w:rsidP="00FD23B9">
      <w:pPr>
        <w:bidi w:val="0"/>
        <w:spacing w:line="240" w:lineRule="auto"/>
        <w:rPr>
          <w:lang w:val="fr-FR"/>
        </w:rPr>
      </w:pPr>
      <w:r w:rsidRPr="001C00F5">
        <w:rPr>
          <w:lang w:val="fr-FR"/>
        </w:rPr>
        <w:t>L'établissement de liaisons montantes de radiodiffusion DAB et DVB-SH est facturé à 200 000 AED par unité multiplex, et à 400 000 AED par unité multiplex pour la DVB</w:t>
      </w:r>
      <w:r w:rsidRPr="001C00F5">
        <w:rPr>
          <w:lang w:val="fr-FR"/>
        </w:rPr>
        <w:noBreakHyphen/>
        <w:t>S et la DVB-RCS.</w:t>
      </w:r>
    </w:p>
    <w:p w:rsidR="003A5252" w:rsidRPr="001C00F5" w:rsidRDefault="003A5252" w:rsidP="00FD23B9">
      <w:pPr>
        <w:bidi w:val="0"/>
        <w:spacing w:line="240" w:lineRule="auto"/>
        <w:rPr>
          <w:lang w:val="fr-FR"/>
        </w:rPr>
      </w:pPr>
      <w:r w:rsidRPr="001C00F5">
        <w:rPr>
          <w:lang w:val="fr-FR"/>
        </w:rPr>
        <w:t>On entend par unité multiplex un canal (signal) avec une largeur de bande appropriée contenant plusieurs programmes associés par multiplexage et compression numériques.</w:t>
      </w:r>
    </w:p>
    <w:p w:rsidR="003A5252" w:rsidRPr="00A86C2E" w:rsidRDefault="003A5252" w:rsidP="00FD23B9">
      <w:pPr>
        <w:pStyle w:val="Arttitle"/>
        <w:spacing w:before="400"/>
      </w:pPr>
      <w:bookmarkStart w:id="616" w:name="_Toc225739512"/>
      <w:bookmarkStart w:id="617" w:name="_Toc225739856"/>
      <w:bookmarkStart w:id="618" w:name="_Toc280262384"/>
      <w:bookmarkStart w:id="619" w:name="_Toc280272778"/>
      <w:bookmarkStart w:id="620" w:name="_Toc280272957"/>
      <w:r>
        <w:t xml:space="preserve">Article </w:t>
      </w:r>
      <w:r w:rsidRPr="00A86C2E">
        <w:t>27</w:t>
      </w:r>
      <w:bookmarkEnd w:id="616"/>
      <w:bookmarkEnd w:id="617"/>
      <w:r w:rsidRPr="00A86C2E">
        <w:br/>
      </w:r>
      <w:r w:rsidRPr="00A86C2E">
        <w:br/>
      </w:r>
      <w:bookmarkStart w:id="621" w:name="_Toc225739513"/>
      <w:bookmarkStart w:id="622" w:name="_Toc225739857"/>
      <w:r w:rsidRPr="00A86C2E">
        <w:t>Systèmes à courte portée</w:t>
      </w:r>
      <w:bookmarkEnd w:id="618"/>
      <w:bookmarkEnd w:id="619"/>
      <w:bookmarkEnd w:id="620"/>
      <w:bookmarkEnd w:id="621"/>
      <w:bookmarkEnd w:id="622"/>
    </w:p>
    <w:p w:rsidR="003A5252" w:rsidRPr="00A86C2E" w:rsidRDefault="003A5252" w:rsidP="00FD23B9">
      <w:pPr>
        <w:pStyle w:val="enumlev1"/>
        <w:bidi w:val="0"/>
        <w:spacing w:line="240" w:lineRule="auto"/>
        <w:rPr>
          <w:rFonts w:asciiTheme="majorBidi" w:hAnsiTheme="majorBidi" w:cstheme="majorBidi"/>
          <w:szCs w:val="22"/>
        </w:rPr>
      </w:pPr>
      <w:r w:rsidRPr="00A86C2E">
        <w:rPr>
          <w:rFonts w:asciiTheme="majorBidi" w:hAnsiTheme="majorBidi" w:cstheme="majorBidi"/>
          <w:szCs w:val="22"/>
        </w:rPr>
        <w:t>27.1</w:t>
      </w:r>
      <w:r w:rsidRPr="00A86C2E">
        <w:rPr>
          <w:rFonts w:asciiTheme="majorBidi" w:hAnsiTheme="majorBidi" w:cstheme="majorBidi"/>
          <w:szCs w:val="22"/>
        </w:rPr>
        <w:tab/>
        <w:t>Tous les équipements de transmission sans fil pouvant être considérés comme systèmes à courte portée, selon les critères définis par la TRA, sont exemptés du paiement de droits annuels. Ces équipements font l'objet d'une autorisation catégorielle.</w:t>
      </w:r>
    </w:p>
    <w:p w:rsidR="003A5252" w:rsidRDefault="003A5252" w:rsidP="00FD23B9">
      <w:pPr>
        <w:pStyle w:val="enumlev1"/>
        <w:bidi w:val="0"/>
        <w:spacing w:line="240" w:lineRule="auto"/>
        <w:rPr>
          <w:rFonts w:asciiTheme="majorBidi" w:hAnsiTheme="majorBidi" w:cstheme="majorBidi"/>
          <w:szCs w:val="22"/>
        </w:rPr>
      </w:pPr>
      <w:r w:rsidRPr="00A86C2E">
        <w:rPr>
          <w:rFonts w:asciiTheme="majorBidi" w:hAnsiTheme="majorBidi" w:cstheme="majorBidi"/>
          <w:szCs w:val="22"/>
        </w:rPr>
        <w:t>27.2</w:t>
      </w:r>
      <w:r w:rsidRPr="00A86C2E">
        <w:rPr>
          <w:rFonts w:asciiTheme="majorBidi" w:hAnsiTheme="majorBidi" w:cstheme="majorBidi"/>
          <w:szCs w:val="22"/>
        </w:rPr>
        <w:tab/>
        <w:t>Pour les équipements de transmission de faible puissance prévus pour être utilisés exclusivement à l'intérieur et ayant une puissance apparente rayonnée de moins de 1 W et n'étant pas classés comme systèmes à courte portée, les droits à acquitter sont les suivants:</w:t>
      </w:r>
    </w:p>
    <w:p w:rsidR="003A5252" w:rsidRDefault="003A5252" w:rsidP="00FD23B9">
      <w:pPr>
        <w:bidi w:val="0"/>
        <w:spacing w:line="240" w:lineRule="auto"/>
      </w:pPr>
    </w:p>
    <w:p w:rsidR="003A5252" w:rsidRDefault="003A5252" w:rsidP="00EE251B">
      <w:pPr>
        <w:pStyle w:val="FigureTitle"/>
        <w:pBdr>
          <w:top w:val="single" w:sz="12" w:space="10" w:color="000000"/>
        </w:pBdr>
      </w:pPr>
      <w:r w:rsidRPr="00F50942">
        <w:t>Table</w:t>
      </w:r>
      <w:r>
        <w:t>au</w:t>
      </w:r>
      <w:r w:rsidRPr="00F50942">
        <w:t xml:space="preserve"> </w:t>
      </w:r>
      <w:fldSimple w:instr=" SEQ Figure \* ARABIC ">
        <w:r>
          <w:rPr>
            <w:noProof/>
          </w:rPr>
          <w:t>4</w:t>
        </w:r>
      </w:fldSimple>
      <w:r w:rsidRPr="00F50942">
        <w:t xml:space="preserve"> – </w:t>
      </w:r>
      <w:r w:rsidRPr="001C00F5">
        <w:rPr>
          <w:lang w:val="fr-FR"/>
        </w:rPr>
        <w:t>Montant annuel des droits à acquitter pour les équipements à faible puissance</w:t>
      </w:r>
    </w:p>
    <w:p w:rsidR="003A5252" w:rsidRDefault="003A5252" w:rsidP="00FD23B9">
      <w:pPr>
        <w:bidi w:val="0"/>
        <w:spacing w:line="240" w:lineRule="auto"/>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2272"/>
      </w:tblGrid>
      <w:tr w:rsidR="003A5252" w:rsidRPr="00FC4F1B" w:rsidTr="00026C26">
        <w:trPr>
          <w:jc w:val="center"/>
        </w:trPr>
        <w:tc>
          <w:tcPr>
            <w:tcW w:w="2470" w:type="dxa"/>
            <w:shd w:val="clear" w:color="auto" w:fill="E6E6E6"/>
          </w:tcPr>
          <w:p w:rsidR="003A5252" w:rsidRPr="006671B1" w:rsidRDefault="003A5252" w:rsidP="00FD23B9">
            <w:pPr>
              <w:pStyle w:val="Tablehead"/>
              <w:spacing w:line="240" w:lineRule="auto"/>
              <w:rPr>
                <w:rFonts w:asciiTheme="majorBidi" w:hAnsiTheme="majorBidi" w:cstheme="majorBidi"/>
                <w:szCs w:val="22"/>
              </w:rPr>
            </w:pPr>
            <w:r w:rsidRPr="006671B1">
              <w:rPr>
                <w:rFonts w:asciiTheme="majorBidi" w:hAnsiTheme="majorBidi" w:cstheme="majorBidi"/>
                <w:szCs w:val="22"/>
              </w:rPr>
              <w:t>Puissance émise</w:t>
            </w:r>
          </w:p>
        </w:tc>
        <w:tc>
          <w:tcPr>
            <w:tcW w:w="2272" w:type="dxa"/>
            <w:shd w:val="clear" w:color="auto" w:fill="E6E6E6"/>
          </w:tcPr>
          <w:p w:rsidR="003A5252" w:rsidRPr="006671B1" w:rsidRDefault="003A5252" w:rsidP="00FD23B9">
            <w:pPr>
              <w:pStyle w:val="Tablehead"/>
              <w:spacing w:line="240" w:lineRule="auto"/>
              <w:rPr>
                <w:rFonts w:asciiTheme="majorBidi" w:hAnsiTheme="majorBidi" w:cstheme="majorBidi"/>
                <w:szCs w:val="22"/>
              </w:rPr>
            </w:pPr>
            <w:r w:rsidRPr="006671B1">
              <w:rPr>
                <w:rFonts w:asciiTheme="majorBidi" w:hAnsiTheme="majorBidi" w:cstheme="majorBidi"/>
                <w:szCs w:val="22"/>
              </w:rPr>
              <w:t>Droits annuels</w:t>
            </w:r>
          </w:p>
        </w:tc>
      </w:tr>
      <w:tr w:rsidR="003A5252" w:rsidRPr="00FC4F1B" w:rsidTr="00026C26">
        <w:trPr>
          <w:trHeight w:hRule="exact" w:val="340"/>
          <w:jc w:val="center"/>
        </w:trPr>
        <w:tc>
          <w:tcPr>
            <w:tcW w:w="2470" w:type="dxa"/>
            <w:vAlign w:val="center"/>
          </w:tcPr>
          <w:p w:rsidR="003A5252" w:rsidRPr="006671B1" w:rsidRDefault="003A5252" w:rsidP="00FD23B9">
            <w:pPr>
              <w:pStyle w:val="Tabletext"/>
              <w:spacing w:line="240" w:lineRule="auto"/>
              <w:rPr>
                <w:rFonts w:asciiTheme="majorBidi" w:hAnsiTheme="majorBidi" w:cstheme="majorBidi"/>
                <w:szCs w:val="22"/>
                <w:lang w:val="fr-FR"/>
              </w:rPr>
            </w:pPr>
            <w:r w:rsidRPr="006671B1">
              <w:rPr>
                <w:rFonts w:asciiTheme="majorBidi" w:hAnsiTheme="majorBidi" w:cstheme="majorBidi"/>
                <w:szCs w:val="22"/>
                <w:lang w:val="fr-FR"/>
              </w:rPr>
              <w:t>Jusqu'à 10 mW</w:t>
            </w:r>
          </w:p>
        </w:tc>
        <w:tc>
          <w:tcPr>
            <w:tcW w:w="2272" w:type="dxa"/>
            <w:vAlign w:val="center"/>
          </w:tcPr>
          <w:p w:rsidR="003A5252" w:rsidRPr="006671B1" w:rsidRDefault="003A5252" w:rsidP="00FD23B9">
            <w:pPr>
              <w:pStyle w:val="Tabletext"/>
              <w:spacing w:line="240" w:lineRule="auto"/>
              <w:rPr>
                <w:rFonts w:asciiTheme="majorBidi" w:hAnsiTheme="majorBidi" w:cstheme="majorBidi"/>
                <w:szCs w:val="22"/>
                <w:lang w:val="fr-FR"/>
              </w:rPr>
            </w:pPr>
            <w:r w:rsidRPr="006671B1">
              <w:rPr>
                <w:rFonts w:asciiTheme="majorBidi" w:hAnsiTheme="majorBidi" w:cstheme="majorBidi"/>
                <w:szCs w:val="22"/>
                <w:lang w:val="fr-FR"/>
              </w:rPr>
              <w:t>100 AED</w:t>
            </w:r>
          </w:p>
        </w:tc>
      </w:tr>
      <w:tr w:rsidR="003A5252" w:rsidRPr="00FC4F1B" w:rsidTr="00026C26">
        <w:trPr>
          <w:trHeight w:hRule="exact" w:val="340"/>
          <w:jc w:val="center"/>
        </w:trPr>
        <w:tc>
          <w:tcPr>
            <w:tcW w:w="2470" w:type="dxa"/>
            <w:vAlign w:val="center"/>
          </w:tcPr>
          <w:p w:rsidR="003A5252" w:rsidRPr="006671B1" w:rsidRDefault="003A5252" w:rsidP="00FD23B9">
            <w:pPr>
              <w:pStyle w:val="Tabletext"/>
              <w:spacing w:line="240" w:lineRule="auto"/>
              <w:rPr>
                <w:rFonts w:asciiTheme="majorBidi" w:hAnsiTheme="majorBidi" w:cstheme="majorBidi"/>
                <w:szCs w:val="22"/>
                <w:lang w:val="fr-FR"/>
              </w:rPr>
            </w:pPr>
            <w:r w:rsidRPr="006671B1">
              <w:rPr>
                <w:rFonts w:asciiTheme="majorBidi" w:hAnsiTheme="majorBidi" w:cstheme="majorBidi"/>
                <w:szCs w:val="22"/>
                <w:lang w:val="fr-FR"/>
              </w:rPr>
              <w:t>De 10 mW à 100 mW</w:t>
            </w:r>
          </w:p>
        </w:tc>
        <w:tc>
          <w:tcPr>
            <w:tcW w:w="2272" w:type="dxa"/>
            <w:vAlign w:val="center"/>
          </w:tcPr>
          <w:p w:rsidR="003A5252" w:rsidRPr="006671B1" w:rsidRDefault="003A5252" w:rsidP="00FD23B9">
            <w:pPr>
              <w:pStyle w:val="Tabletext"/>
              <w:spacing w:line="240" w:lineRule="auto"/>
              <w:rPr>
                <w:rFonts w:asciiTheme="majorBidi" w:hAnsiTheme="majorBidi" w:cstheme="majorBidi"/>
                <w:szCs w:val="22"/>
                <w:lang w:val="fr-FR"/>
              </w:rPr>
            </w:pPr>
            <w:r w:rsidRPr="006671B1">
              <w:rPr>
                <w:rFonts w:asciiTheme="majorBidi" w:hAnsiTheme="majorBidi" w:cstheme="majorBidi"/>
                <w:szCs w:val="22"/>
                <w:lang w:val="fr-FR"/>
              </w:rPr>
              <w:t>200 AED</w:t>
            </w:r>
          </w:p>
        </w:tc>
      </w:tr>
      <w:tr w:rsidR="003A5252" w:rsidRPr="00FC4F1B" w:rsidTr="00026C26">
        <w:trPr>
          <w:trHeight w:hRule="exact" w:val="340"/>
          <w:jc w:val="center"/>
        </w:trPr>
        <w:tc>
          <w:tcPr>
            <w:tcW w:w="2470" w:type="dxa"/>
            <w:vAlign w:val="center"/>
          </w:tcPr>
          <w:p w:rsidR="003A5252" w:rsidRPr="006671B1" w:rsidRDefault="003A5252" w:rsidP="00FD23B9">
            <w:pPr>
              <w:pStyle w:val="Tabletext"/>
              <w:spacing w:line="240" w:lineRule="auto"/>
              <w:rPr>
                <w:rFonts w:asciiTheme="majorBidi" w:hAnsiTheme="majorBidi" w:cstheme="majorBidi"/>
                <w:szCs w:val="22"/>
                <w:lang w:val="fr-FR"/>
              </w:rPr>
            </w:pPr>
            <w:r w:rsidRPr="006671B1">
              <w:rPr>
                <w:rFonts w:asciiTheme="majorBidi" w:hAnsiTheme="majorBidi" w:cstheme="majorBidi"/>
                <w:szCs w:val="22"/>
                <w:lang w:val="fr-FR"/>
              </w:rPr>
              <w:t>De 100 mW à 1 W</w:t>
            </w:r>
          </w:p>
        </w:tc>
        <w:tc>
          <w:tcPr>
            <w:tcW w:w="2272" w:type="dxa"/>
            <w:vAlign w:val="center"/>
          </w:tcPr>
          <w:p w:rsidR="003A5252" w:rsidRPr="006671B1" w:rsidRDefault="003A5252" w:rsidP="00FD23B9">
            <w:pPr>
              <w:pStyle w:val="Tabletext"/>
              <w:spacing w:line="240" w:lineRule="auto"/>
              <w:rPr>
                <w:rFonts w:asciiTheme="majorBidi" w:hAnsiTheme="majorBidi" w:cstheme="majorBidi"/>
                <w:szCs w:val="22"/>
                <w:lang w:val="fr-FR"/>
              </w:rPr>
            </w:pPr>
            <w:r w:rsidRPr="006671B1">
              <w:rPr>
                <w:rFonts w:asciiTheme="majorBidi" w:hAnsiTheme="majorBidi" w:cstheme="majorBidi"/>
                <w:szCs w:val="22"/>
                <w:lang w:val="fr-FR"/>
              </w:rPr>
              <w:t>400 AED</w:t>
            </w:r>
          </w:p>
        </w:tc>
      </w:tr>
    </w:tbl>
    <w:p w:rsidR="003A5252" w:rsidRDefault="003A5252" w:rsidP="00281920">
      <w:pPr>
        <w:pStyle w:val="FigureSource"/>
        <w:pBdr>
          <w:bottom w:val="single" w:sz="12" w:space="10" w:color="000000"/>
        </w:pBdr>
      </w:pPr>
    </w:p>
    <w:p w:rsidR="003A5252" w:rsidRPr="00A86C2E" w:rsidRDefault="003A5252" w:rsidP="00FD23B9">
      <w:pPr>
        <w:pStyle w:val="enumlev1"/>
        <w:bidi w:val="0"/>
        <w:spacing w:line="240" w:lineRule="auto"/>
        <w:rPr>
          <w:rFonts w:asciiTheme="majorBidi" w:hAnsiTheme="majorBidi" w:cstheme="majorBidi"/>
          <w:szCs w:val="22"/>
        </w:rPr>
      </w:pPr>
    </w:p>
    <w:p w:rsidR="003A5252" w:rsidRPr="00166549" w:rsidRDefault="003A5252" w:rsidP="00FD23B9">
      <w:pPr>
        <w:pStyle w:val="Arttitle"/>
        <w:spacing w:before="400"/>
      </w:pPr>
      <w:bookmarkStart w:id="623" w:name="_Toc280262385"/>
      <w:bookmarkStart w:id="624" w:name="_Toc280272779"/>
      <w:bookmarkStart w:id="625" w:name="_Toc280272958"/>
      <w:r>
        <w:t xml:space="preserve">Article </w:t>
      </w:r>
      <w:r w:rsidRPr="00166549">
        <w:t>28</w:t>
      </w:r>
      <w:r w:rsidRPr="00166549">
        <w:br/>
      </w:r>
      <w:r w:rsidRPr="00166549">
        <w:br/>
      </w:r>
      <w:bookmarkStart w:id="626" w:name="_Toc225739858"/>
      <w:r w:rsidRPr="00166549">
        <w:t>Fréquences à utiliser en cas d'urgence et de catastrophe</w:t>
      </w:r>
      <w:bookmarkEnd w:id="623"/>
      <w:bookmarkEnd w:id="624"/>
      <w:bookmarkEnd w:id="625"/>
      <w:bookmarkEnd w:id="626"/>
    </w:p>
    <w:p w:rsidR="003A5252" w:rsidRPr="001C00F5" w:rsidRDefault="003A5252" w:rsidP="00FD23B9">
      <w:pPr>
        <w:bidi w:val="0"/>
        <w:spacing w:line="240" w:lineRule="auto"/>
        <w:rPr>
          <w:lang w:val="fr-FR"/>
        </w:rPr>
      </w:pPr>
      <w:r w:rsidRPr="001C00F5">
        <w:rPr>
          <w:lang w:val="fr-FR"/>
        </w:rPr>
        <w:t xml:space="preserve">L'utilisation de toutes les fréquences identifiées dans le Plan national des fréquences et dans le Tableau national d'attribution des bandes de fréquences comme utilisées pour les secours d'urgence, les appels de détresse et la sécurité de la vie humaine est exempte de droits. Tous les équipements de transmission sans fil fabriqués exclusivement pour assurer la sécurité de la vie humaine et agréés par le </w:t>
      </w:r>
      <w:r w:rsidRPr="001C00F5">
        <w:rPr>
          <w:szCs w:val="24"/>
          <w:lang w:val="fr-FR"/>
        </w:rPr>
        <w:t>Directeur</w:t>
      </w:r>
      <w:r w:rsidRPr="001C00F5">
        <w:rPr>
          <w:lang w:val="fr-FR"/>
        </w:rPr>
        <w:t xml:space="preserve"> général de la TRA comme relevant de cette catégorie sont exempts de droits. </w:t>
      </w:r>
    </w:p>
    <w:p w:rsidR="003A5252" w:rsidRPr="00166549" w:rsidRDefault="003A5252" w:rsidP="00FD23B9">
      <w:pPr>
        <w:pStyle w:val="Arttitle"/>
        <w:spacing w:before="400"/>
      </w:pPr>
      <w:bookmarkStart w:id="627" w:name="_Toc225739514"/>
      <w:bookmarkStart w:id="628" w:name="_Toc225739859"/>
      <w:bookmarkStart w:id="629" w:name="_Toc280262386"/>
      <w:bookmarkStart w:id="630" w:name="_Toc280272780"/>
      <w:bookmarkStart w:id="631" w:name="_Toc280272959"/>
      <w:r>
        <w:lastRenderedPageBreak/>
        <w:t xml:space="preserve">Article </w:t>
      </w:r>
      <w:r w:rsidRPr="00166549">
        <w:t>29</w:t>
      </w:r>
      <w:bookmarkEnd w:id="627"/>
      <w:bookmarkEnd w:id="628"/>
      <w:r w:rsidRPr="00166549">
        <w:br/>
      </w:r>
      <w:r w:rsidRPr="00166549">
        <w:br/>
      </w:r>
      <w:bookmarkStart w:id="632" w:name="_Toc225739515"/>
      <w:bookmarkStart w:id="633" w:name="_Toc225739860"/>
      <w:r w:rsidRPr="00166549">
        <w:t>Autorisation temporaire</w:t>
      </w:r>
      <w:bookmarkEnd w:id="629"/>
      <w:bookmarkEnd w:id="630"/>
      <w:bookmarkEnd w:id="631"/>
      <w:bookmarkEnd w:id="632"/>
      <w:bookmarkEnd w:id="633"/>
    </w:p>
    <w:p w:rsidR="003A5252" w:rsidRPr="001C00F5" w:rsidRDefault="003A5252" w:rsidP="00FD23B9">
      <w:pPr>
        <w:bidi w:val="0"/>
        <w:spacing w:line="240" w:lineRule="auto"/>
        <w:rPr>
          <w:lang w:val="fr-FR"/>
        </w:rPr>
      </w:pPr>
      <w:r w:rsidRPr="001C00F5">
        <w:rPr>
          <w:lang w:val="fr-FR"/>
        </w:rPr>
        <w:t xml:space="preserve">Le montant des droits pour une autorisation temporaire est calculé au prorata du montant des droits annuels perçus pour les services de radiocommunication. Néanmoins, un montant minimal de 100 AED est perçu dans tous les cas. Les droits d'utilisation temporaire des fréquences radioélectriques s'ajoutent aux droits de traitement des demandes. </w:t>
      </w:r>
    </w:p>
    <w:p w:rsidR="003A5252" w:rsidRPr="00166549" w:rsidRDefault="003A5252" w:rsidP="00FB6A8B">
      <w:pPr>
        <w:pStyle w:val="Arttitle"/>
        <w:spacing w:before="360"/>
      </w:pPr>
      <w:bookmarkStart w:id="634" w:name="_Toc225739516"/>
      <w:bookmarkStart w:id="635" w:name="_Toc225739861"/>
      <w:bookmarkStart w:id="636" w:name="_Toc280262387"/>
      <w:bookmarkStart w:id="637" w:name="_Toc280272781"/>
      <w:bookmarkStart w:id="638" w:name="_Toc280272960"/>
      <w:r>
        <w:t xml:space="preserve">Article </w:t>
      </w:r>
      <w:r w:rsidRPr="00166549">
        <w:t>30</w:t>
      </w:r>
      <w:bookmarkEnd w:id="634"/>
      <w:bookmarkEnd w:id="635"/>
      <w:r w:rsidRPr="00166549">
        <w:br/>
      </w:r>
      <w:r w:rsidRPr="00166549">
        <w:br/>
      </w:r>
      <w:bookmarkStart w:id="639" w:name="_Toc225739517"/>
      <w:bookmarkStart w:id="640" w:name="_Toc225739862"/>
      <w:r w:rsidRPr="00166549">
        <w:t>Autres services de radiocommunication</w:t>
      </w:r>
      <w:bookmarkEnd w:id="636"/>
      <w:bookmarkEnd w:id="637"/>
      <w:bookmarkEnd w:id="638"/>
      <w:bookmarkEnd w:id="639"/>
      <w:bookmarkEnd w:id="640"/>
    </w:p>
    <w:p w:rsidR="003A5252" w:rsidRPr="00BB3B03" w:rsidRDefault="003A5252" w:rsidP="00FD23B9">
      <w:pPr>
        <w:bidi w:val="0"/>
        <w:spacing w:line="240" w:lineRule="auto"/>
      </w:pPr>
      <w:r w:rsidRPr="00BB3B03">
        <w:t>Le montant annuel des droits à acquitter pour l'autorisation d'utiliser d'autres services de radiocommunication non mentionnés ci</w:t>
      </w:r>
      <w:r w:rsidRPr="00BB3B03">
        <w:noBreakHyphen/>
        <w:t xml:space="preserve">dessus est déterminé par la TRA et son application prend effet dès approbation du Directeur général, avant même que soit publiée une version révisée de la présente directive. </w:t>
      </w:r>
    </w:p>
    <w:p w:rsidR="003A5252" w:rsidRPr="00166549" w:rsidRDefault="003A5252" w:rsidP="00FB6A8B">
      <w:pPr>
        <w:pStyle w:val="Arttitle"/>
        <w:spacing w:before="360"/>
      </w:pPr>
      <w:bookmarkStart w:id="641" w:name="_Toc225739518"/>
      <w:bookmarkStart w:id="642" w:name="_Toc225739863"/>
      <w:bookmarkStart w:id="643" w:name="_Toc280262388"/>
      <w:bookmarkStart w:id="644" w:name="_Toc280272782"/>
      <w:bookmarkStart w:id="645" w:name="_Toc280272961"/>
      <w:r>
        <w:t xml:space="preserve">Article </w:t>
      </w:r>
      <w:r w:rsidRPr="00166549">
        <w:t>31</w:t>
      </w:r>
      <w:bookmarkEnd w:id="641"/>
      <w:bookmarkEnd w:id="642"/>
      <w:r w:rsidRPr="00166549">
        <w:br/>
      </w:r>
      <w:r w:rsidRPr="00166549">
        <w:br/>
      </w:r>
      <w:bookmarkStart w:id="646" w:name="_Toc225739519"/>
      <w:bookmarkStart w:id="647" w:name="_Toc225739864"/>
      <w:r w:rsidRPr="00166549">
        <w:t>Traitement des plaintes pour brouillages et droits applicables</w:t>
      </w:r>
      <w:bookmarkEnd w:id="643"/>
      <w:bookmarkEnd w:id="644"/>
      <w:bookmarkEnd w:id="645"/>
      <w:bookmarkEnd w:id="646"/>
      <w:bookmarkEnd w:id="647"/>
    </w:p>
    <w:p w:rsidR="003A5252" w:rsidRPr="007D7851" w:rsidRDefault="003A5252" w:rsidP="00FD23B9">
      <w:pPr>
        <w:bidi w:val="0"/>
        <w:spacing w:line="240" w:lineRule="auto"/>
      </w:pPr>
      <w:r w:rsidRPr="007D7851">
        <w:t>La TRA détermine le montant des droits à acquitter en cas de plainte pour brouillages ainsi que le montant des droits applicables au cas par cas, sous réserve de l'approbation du Directeur général.</w:t>
      </w:r>
    </w:p>
    <w:p w:rsidR="003A5252" w:rsidRPr="00166549" w:rsidRDefault="003A5252" w:rsidP="00FB6A8B">
      <w:pPr>
        <w:pStyle w:val="Arttitle"/>
        <w:spacing w:before="360"/>
      </w:pPr>
      <w:bookmarkStart w:id="648" w:name="_Toc225739520"/>
      <w:bookmarkStart w:id="649" w:name="_Toc225739865"/>
      <w:bookmarkStart w:id="650" w:name="_Toc280262389"/>
      <w:bookmarkStart w:id="651" w:name="_Toc280272783"/>
      <w:bookmarkStart w:id="652" w:name="_Toc280272962"/>
      <w:r>
        <w:t xml:space="preserve">Article </w:t>
      </w:r>
      <w:r w:rsidRPr="00166549">
        <w:t>32</w:t>
      </w:r>
      <w:bookmarkEnd w:id="648"/>
      <w:bookmarkEnd w:id="649"/>
      <w:r w:rsidRPr="00166549">
        <w:br/>
      </w:r>
      <w:r w:rsidRPr="00166549">
        <w:br/>
      </w:r>
      <w:bookmarkStart w:id="653" w:name="_Toc225739521"/>
      <w:bookmarkStart w:id="654" w:name="_Toc225739866"/>
      <w:r w:rsidRPr="00166549">
        <w:t xml:space="preserve">Droits à acquitter par les ambassades et consulats de pays étrangers </w:t>
      </w:r>
      <w:r w:rsidRPr="00166549">
        <w:br/>
        <w:t>et par les missions diplomatiques</w:t>
      </w:r>
      <w:bookmarkEnd w:id="650"/>
      <w:bookmarkEnd w:id="651"/>
      <w:bookmarkEnd w:id="652"/>
      <w:bookmarkEnd w:id="653"/>
      <w:bookmarkEnd w:id="654"/>
    </w:p>
    <w:p w:rsidR="003A5252" w:rsidRPr="007D7851" w:rsidRDefault="003A5252" w:rsidP="00FD23B9">
      <w:pPr>
        <w:bidi w:val="0"/>
        <w:spacing w:line="240" w:lineRule="auto"/>
      </w:pPr>
      <w:r w:rsidRPr="007D7851">
        <w:t>Les ambassades et consulats de pays étrangers ainsi que les missions diplomatiques et les visites d'Etat de hautes personnalités sont exemptés du paiement des droits d'utilisation du spectre, pour autant que la même exemption s'applique aux ambassades, consulats et missions des Emirats arabes unis dans le pays d'origine. Cette exemption s'applique également à la correspondance officielle qui relève de la Convention de Vienne sur les relations diplomatiques et qui passe par le Ministère des affaires étrangères des Emirats arabes unis.</w:t>
      </w:r>
    </w:p>
    <w:p w:rsidR="003A5252" w:rsidRPr="00166549" w:rsidRDefault="003A5252" w:rsidP="00FB6A8B">
      <w:pPr>
        <w:pStyle w:val="Arttitle"/>
        <w:spacing w:before="360"/>
      </w:pPr>
      <w:bookmarkStart w:id="655" w:name="_Toc225739522"/>
      <w:bookmarkStart w:id="656" w:name="_Toc225739867"/>
      <w:bookmarkStart w:id="657" w:name="_Toc280262390"/>
      <w:bookmarkStart w:id="658" w:name="_Toc280272784"/>
      <w:bookmarkStart w:id="659" w:name="_Toc280272963"/>
      <w:r>
        <w:t xml:space="preserve">Article </w:t>
      </w:r>
      <w:r w:rsidRPr="00166549">
        <w:t>33</w:t>
      </w:r>
      <w:bookmarkEnd w:id="655"/>
      <w:bookmarkEnd w:id="656"/>
      <w:r w:rsidRPr="00166549">
        <w:br/>
      </w:r>
      <w:r w:rsidRPr="00166549">
        <w:br/>
      </w:r>
      <w:bookmarkStart w:id="660" w:name="_Toc225739523"/>
      <w:bookmarkStart w:id="661" w:name="_Toc225739868"/>
      <w:r w:rsidRPr="00166549">
        <w:t>Droits à acquitter pour la visite des emplacements</w:t>
      </w:r>
      <w:bookmarkEnd w:id="657"/>
      <w:bookmarkEnd w:id="658"/>
      <w:bookmarkEnd w:id="659"/>
      <w:bookmarkEnd w:id="660"/>
      <w:bookmarkEnd w:id="661"/>
    </w:p>
    <w:p w:rsidR="003A5252" w:rsidRPr="007D7851" w:rsidRDefault="003A5252" w:rsidP="00FD23B9">
      <w:pPr>
        <w:bidi w:val="0"/>
        <w:spacing w:line="240" w:lineRule="auto"/>
      </w:pPr>
      <w:r w:rsidRPr="007D7851">
        <w:t>Les droits suivants sont à acquitter pour la visite des emplacements sous la conduite de l'Autorité responsable, à la demande de l'utilisateur agréé et à des fins d'assistance technique:</w:t>
      </w:r>
    </w:p>
    <w:p w:rsidR="003A5252" w:rsidRPr="003E4442" w:rsidRDefault="003A5252" w:rsidP="00FD23B9">
      <w:pPr>
        <w:tabs>
          <w:tab w:val="left" w:pos="567"/>
        </w:tabs>
        <w:bidi w:val="0"/>
        <w:spacing w:line="240" w:lineRule="auto"/>
        <w:ind w:left="1191" w:hanging="1191"/>
        <w:rPr>
          <w:lang w:val="fr-FR"/>
        </w:rPr>
      </w:pPr>
      <w:r w:rsidRPr="003E4442">
        <w:rPr>
          <w:lang w:val="fr-FR"/>
        </w:rPr>
        <w:t xml:space="preserve">Droits à acquitter pour la visite des emplacements = 5 000 AED par jour et par visite </w:t>
      </w:r>
    </w:p>
    <w:p w:rsidR="003A5252" w:rsidRPr="00166549" w:rsidRDefault="003A5252" w:rsidP="00FB6A8B">
      <w:pPr>
        <w:pStyle w:val="Arttitle"/>
        <w:spacing w:before="360"/>
      </w:pPr>
      <w:bookmarkStart w:id="662" w:name="_Toc225739524"/>
      <w:bookmarkStart w:id="663" w:name="_Toc225739869"/>
      <w:bookmarkStart w:id="664" w:name="_Toc280262391"/>
      <w:bookmarkStart w:id="665" w:name="_Toc280272785"/>
      <w:bookmarkStart w:id="666" w:name="_Toc280272964"/>
      <w:r>
        <w:t xml:space="preserve">Article </w:t>
      </w:r>
      <w:r w:rsidRPr="00166549">
        <w:t>34</w:t>
      </w:r>
      <w:bookmarkEnd w:id="662"/>
      <w:bookmarkEnd w:id="663"/>
      <w:r w:rsidRPr="00166549">
        <w:br/>
      </w:r>
      <w:r w:rsidRPr="00166549">
        <w:br/>
      </w:r>
      <w:bookmarkStart w:id="667" w:name="_Toc225739525"/>
      <w:bookmarkStart w:id="668" w:name="_Toc225739870"/>
      <w:r w:rsidRPr="00166549">
        <w:t>Obligation de paiement</w:t>
      </w:r>
      <w:bookmarkEnd w:id="664"/>
      <w:bookmarkEnd w:id="665"/>
      <w:bookmarkEnd w:id="666"/>
      <w:bookmarkEnd w:id="667"/>
      <w:bookmarkEnd w:id="668"/>
    </w:p>
    <w:p w:rsidR="003A5252" w:rsidRPr="007D7851" w:rsidRDefault="003A5252" w:rsidP="00FD23B9">
      <w:pPr>
        <w:bidi w:val="0"/>
        <w:spacing w:line="240" w:lineRule="auto"/>
      </w:pPr>
      <w:r w:rsidRPr="007D7851">
        <w:t xml:space="preserve">Les droits à acquitter pour l'utilisation du spectre sont payables à l'avance, par tous, sans exception, sauf indication contraire dans la présente directive. Ces droits ne sont pas considérés comme constituant une </w:t>
      </w:r>
      <w:r w:rsidRPr="007D7851">
        <w:lastRenderedPageBreak/>
        <w:t xml:space="preserve">taxe fédérale ou locale mais comme une redevance perçue pour l'utilisation d'une ressource nationale limitée. Les utilisateurs agréés doivent s'acquitter de la totalité des droits dans les délais impartis, même dans les cas où ils contestent le montant, en totalité ou en partie. En cas de contestation du montant et si un remboursement est dû à l'utilisateur agréé, la somme est versée par la TRA dans un délai d'un mois après règlement du différend. </w:t>
      </w:r>
    </w:p>
    <w:p w:rsidR="00FB6A8B" w:rsidRDefault="00FB6A8B">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b/>
          <w:sz w:val="24"/>
          <w:szCs w:val="20"/>
        </w:rPr>
      </w:pPr>
      <w:bookmarkStart w:id="669" w:name="_Toc280262392"/>
      <w:bookmarkStart w:id="670" w:name="_Toc280272786"/>
      <w:bookmarkStart w:id="671" w:name="_Toc280272965"/>
    </w:p>
    <w:p w:rsidR="003A5252" w:rsidRPr="00166549" w:rsidRDefault="003A5252" w:rsidP="00FD23B9">
      <w:pPr>
        <w:pStyle w:val="Arttitle"/>
        <w:spacing w:before="400"/>
      </w:pPr>
      <w:r>
        <w:t xml:space="preserve">Article </w:t>
      </w:r>
      <w:r w:rsidRPr="00166549">
        <w:t>35</w:t>
      </w:r>
      <w:r w:rsidRPr="00166549">
        <w:br/>
      </w:r>
      <w:r w:rsidRPr="00166549">
        <w:br/>
      </w:r>
      <w:bookmarkStart w:id="672" w:name="_Toc225739871"/>
      <w:r w:rsidRPr="00166549">
        <w:t>Méthodes de paiement</w:t>
      </w:r>
      <w:bookmarkEnd w:id="669"/>
      <w:bookmarkEnd w:id="670"/>
      <w:bookmarkEnd w:id="671"/>
      <w:bookmarkEnd w:id="672"/>
    </w:p>
    <w:p w:rsidR="003A5252" w:rsidRPr="007D7851" w:rsidRDefault="003A5252" w:rsidP="00FD23B9">
      <w:pPr>
        <w:bidi w:val="0"/>
        <w:spacing w:line="240" w:lineRule="auto"/>
      </w:pPr>
      <w:r w:rsidRPr="007D7851">
        <w:t xml:space="preserve">La TRA ne peut accepter de paiements en espèces et les droits à acquitter pour l'utilisation du spectre et autres droits associés sont payables selon l'une des méthodes suivantes: </w:t>
      </w:r>
    </w:p>
    <w:p w:rsidR="003A5252" w:rsidRPr="001C00F5" w:rsidRDefault="003A5252" w:rsidP="00FD23B9">
      <w:pPr>
        <w:pStyle w:val="enumlev1"/>
        <w:bidi w:val="0"/>
        <w:spacing w:line="240" w:lineRule="auto"/>
      </w:pPr>
      <w:r>
        <w:t>–</w:t>
      </w:r>
      <w:r>
        <w:tab/>
      </w:r>
      <w:r w:rsidRPr="001C00F5">
        <w:t xml:space="preserve">Paiement électronique </w:t>
      </w:r>
    </w:p>
    <w:p w:rsidR="003A5252" w:rsidRPr="001C00F5" w:rsidRDefault="003A5252" w:rsidP="00FD23B9">
      <w:pPr>
        <w:pStyle w:val="enumlev1"/>
        <w:bidi w:val="0"/>
        <w:spacing w:line="240" w:lineRule="auto"/>
      </w:pPr>
      <w:r>
        <w:t>–</w:t>
      </w:r>
      <w:r>
        <w:tab/>
      </w:r>
      <w:r w:rsidRPr="001C00F5">
        <w:t>Chèque</w:t>
      </w:r>
    </w:p>
    <w:p w:rsidR="003A5252" w:rsidRPr="001C00F5" w:rsidRDefault="003A5252" w:rsidP="00FD23B9">
      <w:pPr>
        <w:pStyle w:val="enumlev1"/>
        <w:bidi w:val="0"/>
        <w:spacing w:line="240" w:lineRule="auto"/>
      </w:pPr>
      <w:r>
        <w:t>–</w:t>
      </w:r>
      <w:r>
        <w:tab/>
      </w:r>
      <w:r w:rsidRPr="001C00F5">
        <w:t xml:space="preserve">Virement sur le compte bancaire de la TRA </w:t>
      </w:r>
    </w:p>
    <w:p w:rsidR="003A5252" w:rsidRPr="009B52A0" w:rsidRDefault="003A5252" w:rsidP="00FD23B9">
      <w:pPr>
        <w:pStyle w:val="Arttitle"/>
        <w:spacing w:before="400"/>
      </w:pPr>
      <w:bookmarkStart w:id="673" w:name="_Toc225739526"/>
      <w:bookmarkStart w:id="674" w:name="_Toc225739872"/>
      <w:bookmarkStart w:id="675" w:name="_Toc280262393"/>
      <w:bookmarkStart w:id="676" w:name="_Toc280272787"/>
      <w:bookmarkStart w:id="677" w:name="_Toc280272966"/>
      <w:r>
        <w:t xml:space="preserve">Article </w:t>
      </w:r>
      <w:r w:rsidRPr="009B52A0">
        <w:t>36</w:t>
      </w:r>
      <w:bookmarkEnd w:id="673"/>
      <w:bookmarkEnd w:id="674"/>
      <w:r w:rsidRPr="009B52A0">
        <w:br/>
      </w:r>
      <w:r w:rsidRPr="009B52A0">
        <w:br/>
      </w:r>
      <w:bookmarkStart w:id="678" w:name="_Toc225739527"/>
      <w:bookmarkStart w:id="679" w:name="_Toc225739873"/>
      <w:r w:rsidRPr="009B52A0">
        <w:t>Sanctions</w:t>
      </w:r>
      <w:bookmarkEnd w:id="675"/>
      <w:bookmarkEnd w:id="676"/>
      <w:bookmarkEnd w:id="677"/>
      <w:bookmarkEnd w:id="678"/>
      <w:bookmarkEnd w:id="679"/>
    </w:p>
    <w:p w:rsidR="003A5252" w:rsidRPr="007D7851" w:rsidRDefault="003A5252" w:rsidP="00FD23B9">
      <w:pPr>
        <w:bidi w:val="0"/>
        <w:spacing w:line="240" w:lineRule="auto"/>
      </w:pPr>
      <w:r w:rsidRPr="007D7851">
        <w:t>La TRA est habilitée à sanctionner la non</w:t>
      </w:r>
      <w:r w:rsidRPr="007D7851">
        <w:noBreakHyphen/>
        <w:t xml:space="preserve">observation des modalités et conditions énoncées dans la présente directive et dans tout autre instrument réglementaire qu'elle publie. Les modalités et circonstances d'exécution de cette sanction, ainsi que son montant, sont précisées dans les articles de la Loi fédérale (Décret N° 3 de 2003), telle qu'elle a été modifiée. </w:t>
      </w:r>
    </w:p>
    <w:p w:rsidR="003A5252" w:rsidRPr="009B52A0" w:rsidRDefault="003A5252" w:rsidP="00FD23B9">
      <w:pPr>
        <w:pStyle w:val="Arttitle"/>
        <w:spacing w:before="400"/>
      </w:pPr>
      <w:bookmarkStart w:id="680" w:name="_Toc225739528"/>
      <w:bookmarkStart w:id="681" w:name="_Toc225739874"/>
      <w:bookmarkStart w:id="682" w:name="_Toc280262394"/>
      <w:bookmarkStart w:id="683" w:name="_Toc280272788"/>
      <w:bookmarkStart w:id="684" w:name="_Toc280272967"/>
      <w:r>
        <w:t xml:space="preserve">Article </w:t>
      </w:r>
      <w:r w:rsidRPr="009B52A0">
        <w:t>37</w:t>
      </w:r>
      <w:bookmarkStart w:id="685" w:name="_Toc225739529"/>
      <w:bookmarkStart w:id="686" w:name="_Toc225739875"/>
      <w:bookmarkEnd w:id="680"/>
      <w:bookmarkEnd w:id="681"/>
      <w:r w:rsidRPr="009B52A0">
        <w:br/>
      </w:r>
      <w:r w:rsidRPr="009B52A0">
        <w:br/>
        <w:t>Mise en application</w:t>
      </w:r>
      <w:bookmarkEnd w:id="682"/>
      <w:bookmarkEnd w:id="683"/>
      <w:bookmarkEnd w:id="684"/>
      <w:bookmarkEnd w:id="685"/>
      <w:bookmarkEnd w:id="686"/>
    </w:p>
    <w:p w:rsidR="003A5252" w:rsidRPr="007D7851" w:rsidRDefault="003A5252" w:rsidP="00FD23B9">
      <w:pPr>
        <w:bidi w:val="0"/>
        <w:spacing w:line="240" w:lineRule="auto"/>
      </w:pPr>
      <w:r w:rsidRPr="007D7851">
        <w:t>Toutes les factures portant sur la période débutant au 1</w:t>
      </w:r>
      <w:r w:rsidRPr="002854EE">
        <w:rPr>
          <w:vertAlign w:val="superscript"/>
        </w:rPr>
        <w:t>er</w:t>
      </w:r>
      <w:r w:rsidRPr="007D7851">
        <w:t> janvier 2009 doivent être conformes à la présente directive. Les factures portant sur une période qui débute avant le 1</w:t>
      </w:r>
      <w:r w:rsidRPr="002854EE">
        <w:rPr>
          <w:vertAlign w:val="superscript"/>
        </w:rPr>
        <w:t>er</w:t>
      </w:r>
      <w:r w:rsidRPr="007D7851">
        <w:t> janvier 2009 doivent être conformes à la version 1.0 de la directive sur les droits à acquitter pour l'utilisation du spectre.</w:t>
      </w:r>
    </w:p>
    <w:p w:rsidR="003A5252" w:rsidRDefault="003A5252" w:rsidP="00FD23B9">
      <w:pPr>
        <w:tabs>
          <w:tab w:val="clear" w:pos="794"/>
          <w:tab w:val="clear" w:pos="1191"/>
          <w:tab w:val="clear" w:pos="1588"/>
          <w:tab w:val="clear" w:pos="1985"/>
        </w:tabs>
        <w:overflowPunct/>
        <w:autoSpaceDE/>
        <w:autoSpaceDN/>
        <w:bidi w:val="0"/>
        <w:adjustRightInd/>
        <w:spacing w:before="0" w:line="240" w:lineRule="auto"/>
        <w:jc w:val="left"/>
        <w:textAlignment w:val="auto"/>
        <w:rPr>
          <w:b/>
        </w:rPr>
      </w:pPr>
      <w:r>
        <w:rPr>
          <w:b/>
        </w:rPr>
        <w:br w:type="page"/>
      </w:r>
    </w:p>
    <w:p w:rsidR="003A5252" w:rsidRPr="001C4644" w:rsidRDefault="003A5252" w:rsidP="0049484E">
      <w:pPr>
        <w:pStyle w:val="AppendixNotitle"/>
      </w:pPr>
      <w:bookmarkStart w:id="687" w:name="_Toc280260051"/>
      <w:bookmarkStart w:id="688" w:name="_Toc280260905"/>
      <w:bookmarkStart w:id="689" w:name="_Toc280272512"/>
      <w:bookmarkStart w:id="690" w:name="_Toc282768695"/>
      <w:r w:rsidRPr="006572F9">
        <w:lastRenderedPageBreak/>
        <w:t>Appendix 2.1</w:t>
      </w:r>
      <w:r>
        <w:t xml:space="preserve"> (English)</w:t>
      </w:r>
      <w:r>
        <w:br/>
      </w:r>
      <w:r>
        <w:br/>
        <w:t>Switzerland</w:t>
      </w:r>
      <w:r>
        <w:br/>
      </w:r>
      <w:r w:rsidRPr="001C4644">
        <w:t>Financing of spectrum management activities in Switzerland</w:t>
      </w:r>
      <w:r>
        <w:t>: Abstract</w:t>
      </w:r>
      <w:bookmarkEnd w:id="687"/>
      <w:bookmarkEnd w:id="688"/>
      <w:bookmarkEnd w:id="689"/>
      <w:bookmarkEnd w:id="690"/>
    </w:p>
    <w:p w:rsidR="003A5252" w:rsidRDefault="003A5252" w:rsidP="00FD23B9">
      <w:pPr>
        <w:bidi w:val="0"/>
        <w:spacing w:line="240" w:lineRule="auto"/>
      </w:pPr>
    </w:p>
    <w:p w:rsidR="003A5252" w:rsidRDefault="003A5252" w:rsidP="00FD23B9">
      <w:pPr>
        <w:bidi w:val="0"/>
        <w:spacing w:line="240" w:lineRule="auto"/>
      </w:pPr>
      <w:r>
        <w:t>The feature that probably sets apart the Swiss system for financing spectrum management from that of many other administrations is that the funding comes from mixed sources.</w:t>
      </w:r>
    </w:p>
    <w:p w:rsidR="003A5252" w:rsidRDefault="003A5252" w:rsidP="00FD23B9">
      <w:pPr>
        <w:bidi w:val="0"/>
        <w:spacing w:line="240" w:lineRule="auto"/>
      </w:pPr>
      <w:r>
        <w:t>The sources of financing for the state's spectrum management activity can be grouped into two main categories, namely: (i) taxes, which are set without reference to the individual benefit the taxpayer derives from the state's activities, and (ii) fees, whereby services provided to users are billed to the user on the basis of their cost.</w:t>
      </w:r>
    </w:p>
    <w:p w:rsidR="003A5252" w:rsidRDefault="003A5252" w:rsidP="00FD23B9">
      <w:pPr>
        <w:bidi w:val="0"/>
        <w:spacing w:line="240" w:lineRule="auto"/>
      </w:pPr>
      <w:smartTag w:uri="urn:schemas-microsoft-com:office:smarttags" w:element="place">
        <w:smartTag w:uri="urn:schemas-microsoft-com:office:smarttags" w:element="country-region">
          <w:r>
            <w:t>Switzerland</w:t>
          </w:r>
        </w:smartTag>
      </w:smartTag>
      <w:r>
        <w:t xml:space="preserve">'s approach to levies for spectrum management is to employ both these types of contributions to the state coffers. </w:t>
      </w:r>
    </w:p>
    <w:p w:rsidR="003A5252" w:rsidRDefault="003A5252" w:rsidP="00FD23B9">
      <w:pPr>
        <w:bidi w:val="0"/>
        <w:spacing w:line="240" w:lineRule="auto"/>
      </w:pPr>
      <w:r>
        <w:t>The first source, income from spectrum utilization charges (which are categorized as taxes, and not fees) is calculated so as to cover at least the balance of spectrum management costs which is not met through income from fees. This does not prevent us from using spectrum pricing as an incentive tool.</w:t>
      </w:r>
    </w:p>
    <w:p w:rsidR="003A5252" w:rsidRDefault="003A5252" w:rsidP="00FD23B9">
      <w:pPr>
        <w:bidi w:val="0"/>
        <w:spacing w:line="240" w:lineRule="auto"/>
      </w:pPr>
      <w:r>
        <w:t xml:space="preserve">The second source is fees. These may be one-time fees, such as, for example, for the award of radiocommunication licences, modification of licences, revocation of licences or detection of interference (costs caused by the interfering party when identified); or periodical fees levied to cover ongoing costs of spectrum management and monitoring activities which do not result from a specific action on the part of the various players but can nevertheless be clearly ascribed to them as immediate beneficiaries. </w:t>
      </w:r>
    </w:p>
    <w:p w:rsidR="003A5252" w:rsidRDefault="003A5252" w:rsidP="00FD23B9">
      <w:pPr>
        <w:bidi w:val="0"/>
        <w:spacing w:line="240" w:lineRule="auto"/>
      </w:pPr>
      <w:r>
        <w:t>With this mixed approach, we are able to cover all spectrum management costs equitably, in line with the law (principle of covering costs) and flexibly.</w:t>
      </w:r>
    </w:p>
    <w:p w:rsidR="003A5252" w:rsidRDefault="003A5252" w:rsidP="00FD23B9">
      <w:pPr>
        <w:tabs>
          <w:tab w:val="clear" w:pos="794"/>
          <w:tab w:val="clear" w:pos="1191"/>
          <w:tab w:val="clear" w:pos="1588"/>
          <w:tab w:val="clear" w:pos="1985"/>
        </w:tabs>
        <w:overflowPunct/>
        <w:autoSpaceDE/>
        <w:autoSpaceDN/>
        <w:bidi w:val="0"/>
        <w:adjustRightInd/>
        <w:spacing w:before="0" w:line="240" w:lineRule="auto"/>
        <w:jc w:val="left"/>
        <w:textAlignment w:val="auto"/>
      </w:pPr>
      <w:r>
        <w:br w:type="page"/>
      </w:r>
    </w:p>
    <w:p w:rsidR="003A5252" w:rsidRDefault="003A5252" w:rsidP="0049484E">
      <w:pPr>
        <w:pStyle w:val="AppendixNotitle"/>
      </w:pPr>
      <w:bookmarkStart w:id="691" w:name="_Toc280260052"/>
      <w:bookmarkStart w:id="692" w:name="_Toc280260906"/>
      <w:bookmarkStart w:id="693" w:name="_Toc280272513"/>
      <w:bookmarkStart w:id="694" w:name="_Toc282768696"/>
      <w:r w:rsidRPr="0048142C">
        <w:lastRenderedPageBreak/>
        <w:t>Appendice 2.1 (Français)</w:t>
      </w:r>
      <w:r>
        <w:br/>
      </w:r>
      <w:r>
        <w:br/>
      </w:r>
      <w:r w:rsidRPr="0048142C">
        <w:t>Suisse</w:t>
      </w:r>
      <w:r>
        <w:br/>
      </w:r>
      <w:r w:rsidRPr="0048142C">
        <w:t>Financement des activités de gestion du spectre en Suisse: Résumé</w:t>
      </w:r>
      <w:bookmarkEnd w:id="691"/>
      <w:bookmarkEnd w:id="692"/>
      <w:bookmarkEnd w:id="693"/>
      <w:bookmarkEnd w:id="694"/>
    </w:p>
    <w:p w:rsidR="003A5252" w:rsidRPr="001178FD" w:rsidRDefault="003A5252" w:rsidP="00FD23B9">
      <w:pPr>
        <w:bidi w:val="0"/>
        <w:spacing w:line="240" w:lineRule="auto"/>
      </w:pPr>
    </w:p>
    <w:p w:rsidR="003A5252" w:rsidRPr="00E50533" w:rsidRDefault="003A5252" w:rsidP="00FD23B9">
      <w:pPr>
        <w:bidi w:val="0"/>
        <w:spacing w:line="240" w:lineRule="auto"/>
        <w:rPr>
          <w:lang w:val="fr-FR"/>
        </w:rPr>
      </w:pPr>
      <w:r w:rsidRPr="00E50533">
        <w:rPr>
          <w:lang w:val="fr-FR"/>
        </w:rPr>
        <w:t>Le point qui distingue sans doute le système suisse de financement de la gestion du spectre de celui de beaucoup d’autres administrations est qu’il provient de sources mixtes.</w:t>
      </w:r>
    </w:p>
    <w:p w:rsidR="003A5252" w:rsidRPr="00E50533" w:rsidRDefault="003A5252" w:rsidP="00FD23B9">
      <w:pPr>
        <w:bidi w:val="0"/>
        <w:spacing w:line="240" w:lineRule="auto"/>
        <w:rPr>
          <w:lang w:val="fr-FR"/>
        </w:rPr>
      </w:pPr>
      <w:r w:rsidRPr="00E50533">
        <w:rPr>
          <w:lang w:val="fr-FR"/>
        </w:rPr>
        <w:t>Les sources de financement de l’activité étatique peuvent être regroupées dans deux groupes principaux que sont (i) les impôts (ou taxes) dont la fixation sans rapport avec le bénéfice individuel que le contribuable retire des activités de l’Etat et (ii) les redevances où les prestations fournies aux usagers leur sont facturés à hauteur de leur</w:t>
      </w:r>
      <w:r>
        <w:rPr>
          <w:lang w:val="fr-FR"/>
        </w:rPr>
        <w:t>s</w:t>
      </w:r>
      <w:r w:rsidRPr="00E50533">
        <w:rPr>
          <w:lang w:val="fr-FR"/>
        </w:rPr>
        <w:t xml:space="preserve"> coût</w:t>
      </w:r>
      <w:r>
        <w:rPr>
          <w:lang w:val="fr-FR"/>
        </w:rPr>
        <w:t>s</w:t>
      </w:r>
      <w:r w:rsidRPr="00E50533">
        <w:rPr>
          <w:lang w:val="fr-FR"/>
        </w:rPr>
        <w:t>.</w:t>
      </w:r>
    </w:p>
    <w:p w:rsidR="003A5252" w:rsidRDefault="003A5252" w:rsidP="00FD23B9">
      <w:pPr>
        <w:bidi w:val="0"/>
        <w:spacing w:line="240" w:lineRule="auto"/>
        <w:rPr>
          <w:lang w:val="fr-FR"/>
        </w:rPr>
      </w:pPr>
      <w:r w:rsidRPr="00E50533">
        <w:rPr>
          <w:lang w:val="fr-FR"/>
        </w:rPr>
        <w:t>L’approche de la Suisse concernant les prélèvements dans le domaine de la gestion du spectre</w:t>
      </w:r>
      <w:r>
        <w:rPr>
          <w:lang w:val="fr-FR"/>
        </w:rPr>
        <w:t xml:space="preserve"> est d’avoir recours à ces</w:t>
      </w:r>
      <w:r w:rsidRPr="00E50533">
        <w:rPr>
          <w:lang w:val="fr-FR"/>
        </w:rPr>
        <w:t xml:space="preserve"> deux types de contributions au profit de l’État</w:t>
      </w:r>
      <w:r>
        <w:rPr>
          <w:lang w:val="fr-FR"/>
        </w:rPr>
        <w:t xml:space="preserve">. </w:t>
      </w:r>
    </w:p>
    <w:p w:rsidR="003A5252" w:rsidRPr="00E50533" w:rsidRDefault="003A5252" w:rsidP="00FD23B9">
      <w:pPr>
        <w:bidi w:val="0"/>
        <w:spacing w:line="240" w:lineRule="auto"/>
        <w:rPr>
          <w:lang w:val="fr-FR"/>
        </w:rPr>
      </w:pPr>
      <w:r>
        <w:rPr>
          <w:lang w:val="fr-FR"/>
        </w:rPr>
        <w:t>Pour une part l</w:t>
      </w:r>
      <w:r w:rsidRPr="00E50533">
        <w:rPr>
          <w:lang w:val="fr-FR"/>
        </w:rPr>
        <w:t xml:space="preserve">es </w:t>
      </w:r>
      <w:r>
        <w:rPr>
          <w:lang w:val="fr-FR"/>
        </w:rPr>
        <w:t xml:space="preserve">revenus provenant de la perception des </w:t>
      </w:r>
      <w:r w:rsidRPr="00E50533">
        <w:rPr>
          <w:lang w:val="fr-FR"/>
        </w:rPr>
        <w:t>taxes d’utilisation du spectre</w:t>
      </w:r>
      <w:r>
        <w:rPr>
          <w:lang w:val="fr-FR"/>
        </w:rPr>
        <w:t xml:space="preserve"> (ces dernières sont à qualifier d’impôt – </w:t>
      </w:r>
      <w:r w:rsidRPr="00E50533">
        <w:rPr>
          <w:lang w:val="fr-FR"/>
        </w:rPr>
        <w:t>et non de redevances)</w:t>
      </w:r>
      <w:r>
        <w:rPr>
          <w:lang w:val="fr-FR"/>
        </w:rPr>
        <w:t xml:space="preserve"> </w:t>
      </w:r>
      <w:r w:rsidRPr="000F122C">
        <w:rPr>
          <w:lang w:val="fr-FR"/>
        </w:rPr>
        <w:t>couvre</w:t>
      </w:r>
      <w:r>
        <w:rPr>
          <w:lang w:val="fr-FR"/>
        </w:rPr>
        <w:t>nt</w:t>
      </w:r>
      <w:r w:rsidRPr="000F122C">
        <w:rPr>
          <w:lang w:val="fr-FR"/>
        </w:rPr>
        <w:t xml:space="preserve"> d’un point de vue calculatoire</w:t>
      </w:r>
      <w:r>
        <w:rPr>
          <w:lang w:val="fr-FR"/>
        </w:rPr>
        <w:t xml:space="preserve"> au moins le solde des coûts </w:t>
      </w:r>
      <w:r w:rsidRPr="00E50533">
        <w:rPr>
          <w:lang w:val="fr-FR"/>
        </w:rPr>
        <w:t>de la gestion du spectre</w:t>
      </w:r>
      <w:r>
        <w:rPr>
          <w:lang w:val="fr-FR"/>
        </w:rPr>
        <w:t xml:space="preserve"> qui ne sont pas couverts par les revenus provenant des redevances. Ceci n’empêche pas d’utiliser la f</w:t>
      </w:r>
      <w:r w:rsidRPr="00E50533">
        <w:rPr>
          <w:lang w:val="fr-FR"/>
        </w:rPr>
        <w:t>onction incitative de</w:t>
      </w:r>
      <w:r>
        <w:rPr>
          <w:lang w:val="fr-FR"/>
        </w:rPr>
        <w:t>s</w:t>
      </w:r>
      <w:r w:rsidRPr="00E50533">
        <w:rPr>
          <w:lang w:val="fr-FR"/>
        </w:rPr>
        <w:t xml:space="preserve"> taxe</w:t>
      </w:r>
      <w:r>
        <w:rPr>
          <w:lang w:val="fr-FR"/>
        </w:rPr>
        <w:t>s</w:t>
      </w:r>
      <w:r w:rsidRPr="00E50533">
        <w:rPr>
          <w:lang w:val="fr-FR"/>
        </w:rPr>
        <w:t xml:space="preserve"> d’utilisation du spectre (</w:t>
      </w:r>
      <w:r w:rsidRPr="000F122C">
        <w:rPr>
          <w:i/>
          <w:lang w:val="fr-FR"/>
        </w:rPr>
        <w:t>spectrum pricing</w:t>
      </w:r>
      <w:r w:rsidRPr="00E50533">
        <w:rPr>
          <w:lang w:val="fr-FR"/>
        </w:rPr>
        <w:t>)</w:t>
      </w:r>
      <w:r>
        <w:rPr>
          <w:lang w:val="fr-FR"/>
        </w:rPr>
        <w:t>.</w:t>
      </w:r>
    </w:p>
    <w:p w:rsidR="003A5252" w:rsidRPr="00190938" w:rsidRDefault="003A5252" w:rsidP="00FD23B9">
      <w:pPr>
        <w:bidi w:val="0"/>
        <w:spacing w:line="240" w:lineRule="auto"/>
        <w:rPr>
          <w:lang w:val="fr-FR"/>
        </w:rPr>
      </w:pPr>
      <w:r>
        <w:rPr>
          <w:lang w:val="fr-FR"/>
        </w:rPr>
        <w:t>D’autre part sont prélevées d</w:t>
      </w:r>
      <w:r w:rsidRPr="00E50533">
        <w:rPr>
          <w:lang w:val="fr-FR"/>
        </w:rPr>
        <w:t>e</w:t>
      </w:r>
      <w:r>
        <w:rPr>
          <w:lang w:val="fr-FR"/>
        </w:rPr>
        <w:t>s re</w:t>
      </w:r>
      <w:r w:rsidRPr="00E50533">
        <w:rPr>
          <w:lang w:val="fr-FR"/>
        </w:rPr>
        <w:t>devances</w:t>
      </w:r>
      <w:r>
        <w:rPr>
          <w:lang w:val="fr-FR"/>
        </w:rPr>
        <w:t>. Certaines sont des redevances</w:t>
      </w:r>
      <w:r w:rsidRPr="00E50533">
        <w:rPr>
          <w:lang w:val="fr-FR"/>
        </w:rPr>
        <w:t xml:space="preserve"> uniques</w:t>
      </w:r>
      <w:r>
        <w:rPr>
          <w:lang w:val="fr-FR"/>
        </w:rPr>
        <w:t xml:space="preserve">, comme par exemple pour </w:t>
      </w:r>
      <w:r w:rsidRPr="002F56A0">
        <w:rPr>
          <w:lang w:val="fr-FR"/>
        </w:rPr>
        <w:t xml:space="preserve">les prestations </w:t>
      </w:r>
      <w:r>
        <w:rPr>
          <w:lang w:val="fr-FR"/>
        </w:rPr>
        <w:t>d’o</w:t>
      </w:r>
      <w:r w:rsidRPr="00190938">
        <w:rPr>
          <w:lang w:val="fr-FR"/>
        </w:rPr>
        <w:t>ctroi de licences de radiocommunication</w:t>
      </w:r>
      <w:r>
        <w:rPr>
          <w:lang w:val="fr-FR"/>
        </w:rPr>
        <w:t>, de m</w:t>
      </w:r>
      <w:r w:rsidRPr="002F56A0">
        <w:rPr>
          <w:lang w:val="fr-FR"/>
        </w:rPr>
        <w:t>odification d</w:t>
      </w:r>
      <w:r>
        <w:rPr>
          <w:lang w:val="fr-FR"/>
        </w:rPr>
        <w:t xml:space="preserve">e </w:t>
      </w:r>
      <w:r w:rsidRPr="002F56A0">
        <w:rPr>
          <w:lang w:val="fr-FR"/>
        </w:rPr>
        <w:t>licence</w:t>
      </w:r>
      <w:r>
        <w:rPr>
          <w:lang w:val="fr-FR"/>
        </w:rPr>
        <w:t>s, de r</w:t>
      </w:r>
      <w:r w:rsidRPr="00190938">
        <w:rPr>
          <w:lang w:val="fr-FR"/>
        </w:rPr>
        <w:t>évocation</w:t>
      </w:r>
      <w:r>
        <w:rPr>
          <w:lang w:val="fr-FR"/>
        </w:rPr>
        <w:t xml:space="preserve"> </w:t>
      </w:r>
      <w:r w:rsidRPr="00190938">
        <w:rPr>
          <w:lang w:val="fr-FR"/>
        </w:rPr>
        <w:t>de licence</w:t>
      </w:r>
      <w:r>
        <w:rPr>
          <w:lang w:val="fr-FR"/>
        </w:rPr>
        <w:t>s ou de r</w:t>
      </w:r>
      <w:r w:rsidRPr="00190938">
        <w:rPr>
          <w:lang w:val="fr-FR"/>
        </w:rPr>
        <w:t>echerche de perturbations (coûts engendrés par le perturbateur lorsqu’il est identifié)</w:t>
      </w:r>
      <w:r>
        <w:rPr>
          <w:lang w:val="fr-FR"/>
        </w:rPr>
        <w:t>. D’autres sont des r</w:t>
      </w:r>
      <w:r w:rsidRPr="00E50533">
        <w:rPr>
          <w:lang w:val="fr-FR"/>
        </w:rPr>
        <w:t>edevances périodiques</w:t>
      </w:r>
      <w:r>
        <w:rPr>
          <w:lang w:val="fr-FR"/>
        </w:rPr>
        <w:t xml:space="preserve"> qui </w:t>
      </w:r>
      <w:r w:rsidRPr="00190938">
        <w:rPr>
          <w:lang w:val="fr-FR"/>
        </w:rPr>
        <w:t>sont perçues pour couvrir les frais courants relatifs aux activités de gestion et le contrôle technique du spectre des fréquences qui ne découlent pas d'une action concrète des différents acteurs mais qui peuvent néanmoins leur être clairement imputées en tant que bénéficiai</w:t>
      </w:r>
      <w:r>
        <w:rPr>
          <w:lang w:val="fr-FR"/>
        </w:rPr>
        <w:t>res médiats.</w:t>
      </w:r>
    </w:p>
    <w:p w:rsidR="003A5252" w:rsidRDefault="003A5252" w:rsidP="00FD23B9">
      <w:pPr>
        <w:bidi w:val="0"/>
        <w:spacing w:line="240" w:lineRule="auto"/>
        <w:rPr>
          <w:lang w:val="fr-FR"/>
        </w:rPr>
      </w:pPr>
      <w:r w:rsidRPr="00190938">
        <w:rPr>
          <w:lang w:val="fr-FR"/>
        </w:rPr>
        <w:t xml:space="preserve">Cette </w:t>
      </w:r>
      <w:r>
        <w:rPr>
          <w:lang w:val="fr-FR"/>
        </w:rPr>
        <w:t>mixité</w:t>
      </w:r>
      <w:r w:rsidRPr="00190938">
        <w:rPr>
          <w:lang w:val="fr-FR"/>
        </w:rPr>
        <w:t xml:space="preserve"> donne la faculté de couvrir la totalité des coûts afférant </w:t>
      </w:r>
      <w:r>
        <w:rPr>
          <w:lang w:val="fr-FR"/>
        </w:rPr>
        <w:t xml:space="preserve">à </w:t>
      </w:r>
      <w:r w:rsidRPr="00E50533">
        <w:rPr>
          <w:lang w:val="fr-FR"/>
        </w:rPr>
        <w:t xml:space="preserve">la gestion du spectre </w:t>
      </w:r>
      <w:r w:rsidRPr="00190938">
        <w:rPr>
          <w:lang w:val="fr-FR"/>
        </w:rPr>
        <w:t>avec équité, dans le respect du droit (principe de la couverture des coûts) et avec souplesse.</w:t>
      </w:r>
    </w:p>
    <w:p w:rsidR="003A5252" w:rsidRDefault="003A5252" w:rsidP="00FD23B9">
      <w:pPr>
        <w:tabs>
          <w:tab w:val="clear" w:pos="794"/>
          <w:tab w:val="clear" w:pos="1191"/>
          <w:tab w:val="clear" w:pos="1588"/>
          <w:tab w:val="clear" w:pos="1985"/>
        </w:tabs>
        <w:overflowPunct/>
        <w:autoSpaceDE/>
        <w:autoSpaceDN/>
        <w:bidi w:val="0"/>
        <w:adjustRightInd/>
        <w:spacing w:before="0" w:line="240" w:lineRule="auto"/>
        <w:jc w:val="left"/>
        <w:textAlignment w:val="auto"/>
      </w:pPr>
      <w:r>
        <w:br w:type="page"/>
      </w:r>
    </w:p>
    <w:p w:rsidR="003A5252" w:rsidRPr="0030198E" w:rsidRDefault="003A5252" w:rsidP="0049484E">
      <w:pPr>
        <w:pStyle w:val="AppendixNotitle"/>
      </w:pPr>
      <w:bookmarkStart w:id="695" w:name="_Toc280260053"/>
      <w:bookmarkStart w:id="696" w:name="_Toc280260907"/>
      <w:bookmarkStart w:id="697" w:name="_Toc280272514"/>
      <w:bookmarkStart w:id="698" w:name="_Toc282768697"/>
      <w:r w:rsidRPr="00BB3B03">
        <w:lastRenderedPageBreak/>
        <w:t>Appendice 2.2</w:t>
      </w:r>
      <w:r>
        <w:t xml:space="preserve"> (Français)</w:t>
      </w:r>
      <w:r>
        <w:br/>
      </w:r>
      <w:r>
        <w:br/>
      </w:r>
      <w:r w:rsidRPr="0030198E">
        <w:t>Financement des activités de gestion du spectre en Suisse</w:t>
      </w:r>
      <w:bookmarkEnd w:id="695"/>
      <w:bookmarkEnd w:id="696"/>
      <w:bookmarkEnd w:id="697"/>
      <w:bookmarkEnd w:id="698"/>
    </w:p>
    <w:p w:rsidR="003A5252" w:rsidRPr="003E4442" w:rsidRDefault="003A5252" w:rsidP="00FD23B9">
      <w:pPr>
        <w:pStyle w:val="Heading1"/>
        <w:bidi w:val="0"/>
        <w:spacing w:line="240" w:lineRule="auto"/>
      </w:pPr>
      <w:bookmarkStart w:id="699" w:name="_Toc280260054"/>
      <w:bookmarkStart w:id="700" w:name="_Toc280260908"/>
      <w:bookmarkStart w:id="701" w:name="_Toc280272515"/>
      <w:bookmarkStart w:id="702" w:name="_Toc282768698"/>
      <w:r>
        <w:t>1</w:t>
      </w:r>
      <w:r>
        <w:tab/>
      </w:r>
      <w:r w:rsidRPr="003E4442">
        <w:t>Introduction</w:t>
      </w:r>
      <w:bookmarkEnd w:id="699"/>
      <w:bookmarkEnd w:id="700"/>
      <w:bookmarkEnd w:id="701"/>
      <w:bookmarkEnd w:id="702"/>
    </w:p>
    <w:p w:rsidR="003A5252" w:rsidRPr="003E4442" w:rsidRDefault="003A5252" w:rsidP="00FD23B9">
      <w:pPr>
        <w:bidi w:val="0"/>
        <w:spacing w:line="240" w:lineRule="auto"/>
        <w:rPr>
          <w:lang w:val="fr-FR"/>
        </w:rPr>
      </w:pPr>
      <w:r w:rsidRPr="003E4442">
        <w:rPr>
          <w:lang w:val="fr-FR"/>
        </w:rPr>
        <w:t>Assurer une gestion durable et une utilisation efficace du spectre requiert la mise à disposition de moyens financiers conséquents par l’État. En particulier, la masse salariale du personnel employé par une autorité de gestion du spectre possède une très grande importance tant par sa montant total que par la nécessité d’assurer son attractivité pour un personnel compétent et engagé par le biais des salaires offerts. En outre, les outils de planification et les équipements destinés à la surveillance du spectre nécessitent de lourds investissements. Le mode de financement des activités étatiques de gestion du spectre ainsi que la hauteur de ce financement sont donc cruciaux.</w:t>
      </w:r>
    </w:p>
    <w:p w:rsidR="003A5252" w:rsidRPr="003E4442" w:rsidRDefault="003A5252" w:rsidP="00FD23B9">
      <w:pPr>
        <w:bidi w:val="0"/>
        <w:spacing w:line="240" w:lineRule="auto"/>
        <w:rPr>
          <w:lang w:val="fr-FR"/>
        </w:rPr>
      </w:pPr>
      <w:r w:rsidRPr="003E4442">
        <w:rPr>
          <w:lang w:val="fr-FR"/>
        </w:rPr>
        <w:t xml:space="preserve">Le présent document a pour objectif de présenter la méthodologie appliquée en Suisse afin de pourvoir aux besoins financiers de la gestion nationale du spectre. A première lecture le système présenté paraîtra complexe. Ceci est en bonne partie dû au cadre juridique très contraignant découlant du droit général des contributions publiques. Ce cadre a le but très louable d'assurer la transparence des contributions payées à l'Etat. En cas de litige le contrôle postérieur par le pouvoir judiciaire en est également facilité. Le point qui distingue sans doute le système suisse de financement de la gestion du spectre de celui de beaucoup d’autres administrations est qu’il provient de sources </w:t>
      </w:r>
      <w:r w:rsidRPr="003E4442">
        <w:rPr>
          <w:i/>
          <w:lang w:val="fr-FR"/>
        </w:rPr>
        <w:t>mixtes</w:t>
      </w:r>
      <w:r w:rsidRPr="003E4442">
        <w:rPr>
          <w:lang w:val="fr-FR"/>
        </w:rPr>
        <w:t>.</w:t>
      </w:r>
    </w:p>
    <w:p w:rsidR="003A5252" w:rsidRPr="003E4442" w:rsidRDefault="003A5252" w:rsidP="00FD23B9">
      <w:pPr>
        <w:pStyle w:val="Heading1"/>
        <w:bidi w:val="0"/>
        <w:spacing w:line="240" w:lineRule="auto"/>
        <w:rPr>
          <w:lang w:val="fr-FR"/>
        </w:rPr>
      </w:pPr>
      <w:bookmarkStart w:id="703" w:name="_Toc280260055"/>
      <w:bookmarkStart w:id="704" w:name="_Toc280260909"/>
      <w:bookmarkStart w:id="705" w:name="_Toc280272516"/>
      <w:bookmarkStart w:id="706" w:name="_Toc282768699"/>
      <w:r>
        <w:rPr>
          <w:lang w:val="fr-FR"/>
        </w:rPr>
        <w:t>2</w:t>
      </w:r>
      <w:r>
        <w:rPr>
          <w:lang w:val="fr-FR"/>
        </w:rPr>
        <w:tab/>
      </w:r>
      <w:r w:rsidRPr="003E4442">
        <w:rPr>
          <w:lang w:val="fr-FR"/>
        </w:rPr>
        <w:t xml:space="preserve">Considérations </w:t>
      </w:r>
      <w:r w:rsidRPr="001B1D06">
        <w:t>générales</w:t>
      </w:r>
      <w:r w:rsidRPr="003E4442">
        <w:rPr>
          <w:lang w:val="fr-FR"/>
        </w:rPr>
        <w:t xml:space="preserve"> sur le mode de financement de l’activité étatique</w:t>
      </w:r>
      <w:bookmarkEnd w:id="703"/>
      <w:bookmarkEnd w:id="704"/>
      <w:bookmarkEnd w:id="705"/>
      <w:bookmarkEnd w:id="706"/>
    </w:p>
    <w:p w:rsidR="003A5252" w:rsidRPr="003E4442" w:rsidRDefault="003A5252" w:rsidP="00FD23B9">
      <w:pPr>
        <w:bidi w:val="0"/>
        <w:spacing w:line="240" w:lineRule="auto"/>
        <w:rPr>
          <w:lang w:val="fr-FR"/>
        </w:rPr>
      </w:pPr>
      <w:r w:rsidRPr="003E4442">
        <w:rPr>
          <w:lang w:val="fr-FR"/>
        </w:rPr>
        <w:t>Il existe un nombre considérable de modèles pour assurer le financement d’une activité administrative. Cependant, sur le plan de la théorie juridique les sources de financement peuvent être regroupées dans deux groupes principaux : (i) l’</w:t>
      </w:r>
      <w:r w:rsidRPr="003E4442">
        <w:rPr>
          <w:b/>
          <w:lang w:val="fr-FR"/>
        </w:rPr>
        <w:t>impôt</w:t>
      </w:r>
      <w:r w:rsidRPr="00EB1601">
        <w:rPr>
          <w:rStyle w:val="FootnoteReference"/>
          <w:bCs/>
          <w:lang w:val="fr-FR"/>
        </w:rPr>
        <w:footnoteReference w:customMarkFollows="1" w:id="1"/>
        <w:t>1</w:t>
      </w:r>
      <w:r w:rsidRPr="003E4442">
        <w:rPr>
          <w:lang w:val="fr-FR"/>
        </w:rPr>
        <w:t xml:space="preserve"> qui fait supporter le poids de la dépense à l’ensemble ou à des groupes définis de contribuables et (ii) les </w:t>
      </w:r>
      <w:r w:rsidRPr="003E4442">
        <w:rPr>
          <w:b/>
          <w:lang w:val="fr-FR"/>
        </w:rPr>
        <w:t>redevances</w:t>
      </w:r>
      <w:r w:rsidRPr="0055248C">
        <w:rPr>
          <w:rStyle w:val="FootnoteReference"/>
          <w:bCs/>
          <w:lang w:val="fr-FR"/>
        </w:rPr>
        <w:footnoteReference w:customMarkFollows="1" w:id="2"/>
        <w:t>2</w:t>
      </w:r>
      <w:r w:rsidRPr="003E4442">
        <w:rPr>
          <w:lang w:val="fr-FR"/>
        </w:rPr>
        <w:t xml:space="preserve"> qui pèsent sur les seuls usagers d’un service de l’administration. Naturellement, ces deux instruments de financement font l’objet de nombreuses variantes dans la pratique. La qualification juridique du mode de financement par les administrés</w:t>
      </w:r>
      <w:r>
        <w:rPr>
          <w:rStyle w:val="FootnoteReference"/>
          <w:lang w:val="fr-FR"/>
        </w:rPr>
        <w:footnoteReference w:customMarkFollows="1" w:id="3"/>
        <w:t>3</w:t>
      </w:r>
      <w:r w:rsidRPr="003E4442">
        <w:rPr>
          <w:lang w:val="fr-FR"/>
        </w:rPr>
        <w:t xml:space="preserve"> des activités étatiques peut néanmoins toujours être ramenée aux deux sources que sont l’impôt et la redevance. D’une perspective un peu différente, la qualification du financement d’une activité étatique peut être faite en déterminant le mode de transfert des coûts de cette dernière aux bénéficiaires: la gratuité totale (par exemple pour certains services publics essentiels comme la police ou l’éducation) est généralement le signe d’un financement par le biais de l’impôt alors que l’imputation individuelle des coûts (par exemple pour l’eau ou l’électricité) va de pair avec le prélèvement d’une redevance. Dans la pratique une combinaison des deux assure le financement d’une activité.</w:t>
      </w:r>
    </w:p>
    <w:p w:rsidR="003A5252" w:rsidRPr="003E4442" w:rsidRDefault="003A5252" w:rsidP="00FD23B9">
      <w:pPr>
        <w:pStyle w:val="Heading2"/>
        <w:bidi w:val="0"/>
        <w:spacing w:line="240" w:lineRule="auto"/>
        <w:rPr>
          <w:lang w:val="fr-FR"/>
        </w:rPr>
      </w:pPr>
      <w:bookmarkStart w:id="707" w:name="_Toc280260056"/>
      <w:bookmarkStart w:id="708" w:name="_Toc280272517"/>
      <w:bookmarkStart w:id="709" w:name="_Toc282768700"/>
      <w:r w:rsidRPr="003E4442">
        <w:rPr>
          <w:lang w:val="fr-FR"/>
        </w:rPr>
        <w:t>2.1</w:t>
      </w:r>
      <w:r w:rsidRPr="003E4442">
        <w:rPr>
          <w:lang w:val="fr-FR"/>
        </w:rPr>
        <w:tab/>
      </w:r>
      <w:r w:rsidRPr="00902F94">
        <w:t>Impôt</w:t>
      </w:r>
      <w:r w:rsidRPr="003E4442">
        <w:rPr>
          <w:lang w:val="fr-FR"/>
        </w:rPr>
        <w:t xml:space="preserve"> (ou taxe): fixation sans rapport avec le bénéfice individuel que le contribuable retire des activités de l’Etat</w:t>
      </w:r>
      <w:bookmarkEnd w:id="707"/>
      <w:bookmarkEnd w:id="708"/>
      <w:bookmarkEnd w:id="709"/>
    </w:p>
    <w:p w:rsidR="003A5252" w:rsidRPr="003E4442" w:rsidRDefault="003A5252" w:rsidP="00FD23B9">
      <w:pPr>
        <w:bidi w:val="0"/>
        <w:spacing w:line="240" w:lineRule="auto"/>
        <w:rPr>
          <w:lang w:val="fr-FR"/>
        </w:rPr>
      </w:pPr>
      <w:r w:rsidRPr="003E4442">
        <w:rPr>
          <w:snapToGrid w:val="0"/>
          <w:lang w:val="fr-FR" w:eastAsia="de-DE"/>
        </w:rPr>
        <w:t xml:space="preserve">La taxe est une contribution publique due par l’administré sans qu’il ait droit à ce titre à aucune contre-prestation spécifique. La taxe est un prélèvement pécuniaire abstrait au profit de l’Etat sans contrepartie directe pour le contribuable. </w:t>
      </w:r>
      <w:r w:rsidRPr="003E4442">
        <w:rPr>
          <w:lang w:val="fr-FR"/>
        </w:rPr>
        <w:t xml:space="preserve">La taxe est la contribution de chacun à un projet collectif définit par les institutions politiques de l’Etat. En payant, le contribuable laisse ces institutions libres de décider de </w:t>
      </w:r>
      <w:r w:rsidRPr="003E4442">
        <w:rPr>
          <w:lang w:val="fr-FR"/>
        </w:rPr>
        <w:lastRenderedPageBreak/>
        <w:t>l’affectation optimale pour la collectivité des ressources financières ainsi mises à leur disposition. Les taxes alimentent le budget général et sont destinées à couvrir les dépenses générales de l’Etat.</w:t>
      </w:r>
    </w:p>
    <w:p w:rsidR="003A5252" w:rsidRPr="003E4442" w:rsidRDefault="003A5252" w:rsidP="00FD23B9">
      <w:pPr>
        <w:bidi w:val="0"/>
        <w:spacing w:line="240" w:lineRule="auto"/>
        <w:rPr>
          <w:lang w:val="fr-FR"/>
        </w:rPr>
      </w:pPr>
      <w:r w:rsidRPr="003E4442">
        <w:rPr>
          <w:lang w:val="fr-FR"/>
        </w:rPr>
        <w:t>L’instauration d’une taxe et la fixation de son régime (barème, périodicité, etc.) relèvent de la compétence et à la libre discrétion du législateur. En bref, il peut être dit que la législation fiscale est régie par des normes très strictes sur le plan formel, c’est-à-dire que les procédures d’adoption de celle-ci ne sont pas flexibles. Par contre, quant au contenu de cette législation, la liberté du pouvoir législatif est « totale », c’est-à-dire que matériellement le législateur peut agir à sa guise.</w:t>
      </w:r>
    </w:p>
    <w:p w:rsidR="003A5252" w:rsidRPr="003E4442" w:rsidRDefault="003A5252" w:rsidP="00FD23B9">
      <w:pPr>
        <w:pStyle w:val="Heading2"/>
        <w:bidi w:val="0"/>
        <w:spacing w:line="240" w:lineRule="auto"/>
        <w:rPr>
          <w:lang w:val="fr-FR"/>
        </w:rPr>
      </w:pPr>
      <w:bookmarkStart w:id="710" w:name="_Toc280260057"/>
      <w:bookmarkStart w:id="711" w:name="_Toc280272518"/>
      <w:bookmarkStart w:id="712" w:name="_Toc282768701"/>
      <w:r w:rsidRPr="003E4442">
        <w:rPr>
          <w:lang w:val="fr-FR"/>
        </w:rPr>
        <w:t>2.2</w:t>
      </w:r>
      <w:r w:rsidRPr="003E4442">
        <w:rPr>
          <w:lang w:val="fr-FR"/>
        </w:rPr>
        <w:tab/>
        <w:t>Redevance: tarification à l’usager de la prestation fournie à hauteur de son coût</w:t>
      </w:r>
      <w:bookmarkEnd w:id="710"/>
      <w:bookmarkEnd w:id="711"/>
      <w:bookmarkEnd w:id="712"/>
    </w:p>
    <w:p w:rsidR="003A5252" w:rsidRPr="003E4442" w:rsidRDefault="003A5252" w:rsidP="00FD23B9">
      <w:pPr>
        <w:bidi w:val="0"/>
        <w:spacing w:line="240" w:lineRule="auto"/>
        <w:rPr>
          <w:lang w:val="fr-FR"/>
        </w:rPr>
      </w:pPr>
      <w:r w:rsidRPr="003E4442">
        <w:rPr>
          <w:lang w:val="fr-FR"/>
        </w:rPr>
        <w:t>La redevance (qui est appelée "émolument" en Suisse) est due à raison d’une prestation que l’administration fournit au redevable, prestation qui a entraîné des coûts pour l’administration. La recette d’une redevance a une affectation précise, c’est-à-dire que l’administration doit en faire l’usage spécifique qui est de rendre le service requis par le redevable.</w:t>
      </w:r>
    </w:p>
    <w:p w:rsidR="003A5252" w:rsidRPr="003E4442" w:rsidRDefault="003A5252" w:rsidP="00FD23B9">
      <w:pPr>
        <w:bidi w:val="0"/>
        <w:spacing w:line="240" w:lineRule="auto"/>
        <w:rPr>
          <w:lang w:val="fr-FR"/>
        </w:rPr>
      </w:pPr>
      <w:r w:rsidRPr="003E4442">
        <w:rPr>
          <w:lang w:val="fr-FR"/>
        </w:rPr>
        <w:t>Ce lien direct – qui découle d’une requête de l’administré ou d’une action de l’administré ayant conduit l’administration à agir – implique que le montant du prélèvement auprès d’un administré et la valeur prestation qui lui est fournie par l’Etat doivent être corrélés. Premièrement, la redevance constitue une rémunération pour services rendus par l’administration couvrant au maximum les frais correspondant au coûts directs et indirects qui peuvent être mis à la charge du demandeur. Ainsi, le montant total des recettes est au plus égal au montant total des charges afférant à l’administration dans le secteur de l’administration concerné. C’est-à-dire que la hauteur de la redevance demandée aux usagers couvre en tout (au maximum) ou en partie les charges du service dont a bénéficié l’usager</w:t>
      </w:r>
      <w:r>
        <w:rPr>
          <w:rStyle w:val="FootnoteReference"/>
          <w:lang w:val="fr-FR"/>
        </w:rPr>
        <w:footnoteReference w:customMarkFollows="1" w:id="4"/>
        <w:t>4</w:t>
      </w:r>
      <w:r w:rsidRPr="003E4442">
        <w:rPr>
          <w:lang w:val="fr-FR"/>
        </w:rPr>
        <w:t>. Deuxièmement, la proportionnalité est exigée en matière de redevances. Ceci implique que le montant de la redevance doit être adaptée au bénéfice que le redevable retire du service obtenu de l’Etat</w:t>
      </w:r>
      <w:r>
        <w:rPr>
          <w:rStyle w:val="FootnoteReference"/>
          <w:lang w:val="fr-FR"/>
        </w:rPr>
        <w:footnoteReference w:customMarkFollows="1" w:id="5"/>
        <w:t>5</w:t>
      </w:r>
      <w:r w:rsidRPr="003E4442">
        <w:rPr>
          <w:lang w:val="fr-FR"/>
        </w:rPr>
        <w:t>.</w:t>
      </w:r>
    </w:p>
    <w:p w:rsidR="003A5252" w:rsidRPr="003E4442" w:rsidRDefault="003A5252" w:rsidP="00FD23B9">
      <w:pPr>
        <w:bidi w:val="0"/>
        <w:spacing w:line="240" w:lineRule="auto"/>
        <w:rPr>
          <w:lang w:val="fr-FR"/>
        </w:rPr>
      </w:pPr>
      <w:r w:rsidRPr="003E4442">
        <w:rPr>
          <w:lang w:val="fr-FR"/>
        </w:rPr>
        <w:t>La décision de financer une activité étatique partiellement ou complètement avec des redevances revient au législateur. En revanche, la fixation de la hauteur des redevances individuelles et leur mode de calcul (barème) devrait être du ressort d’instances inférieures car celles-ci sont plus informées sur les détails de leurs comptabilités. Une délégation du pouvoir réglementaire est également judicieuse du fait de la nécessité de réviser, adapter régulièrement les dispositions relatives aux redevances. Les processus d’adoption de la réglementation fixant le régime des redevances doivent donc être assez flexibles – ce qui n’est généralement pas donné au niveau parlementaire. Par contre, les principes juridiques applicables au contenu de cette réglementation forment des contraintes extrêmement strictes où l’autorité chargée de l’adopter n’a qu’une latitude très limitée (p.ex. la hauteur maximale des différentes redevances est plafonnée de par le droit).</w:t>
      </w:r>
    </w:p>
    <w:p w:rsidR="003A5252" w:rsidRPr="003E4442" w:rsidRDefault="003A5252" w:rsidP="00FD23B9">
      <w:pPr>
        <w:bidi w:val="0"/>
        <w:spacing w:line="240" w:lineRule="auto"/>
        <w:rPr>
          <w:lang w:val="fr-FR"/>
        </w:rPr>
      </w:pPr>
      <w:r w:rsidRPr="003E4442">
        <w:rPr>
          <w:lang w:val="fr-FR"/>
        </w:rPr>
        <w:t xml:space="preserve">Le principe de la couverture des coûts requiert un recensement et une évaluation des montants financiers employés pour faire fonctionner un secteur d’activité de l’administration afin de pouvoir soutenir un contrôle juridique (en cas de litige). Ceci ne peut être accompli que grâce à une comptabilité financière suffisamment précise – et, si possible, une comptabilité analytique. </w:t>
      </w:r>
    </w:p>
    <w:p w:rsidR="003A5252" w:rsidRPr="003E4442" w:rsidRDefault="003A5252" w:rsidP="00FD23B9">
      <w:pPr>
        <w:pStyle w:val="Heading1"/>
        <w:bidi w:val="0"/>
        <w:spacing w:line="240" w:lineRule="auto"/>
        <w:rPr>
          <w:lang w:val="fr-FR"/>
        </w:rPr>
      </w:pPr>
      <w:bookmarkStart w:id="713" w:name="_Toc280260058"/>
      <w:bookmarkStart w:id="714" w:name="_Toc280260910"/>
      <w:bookmarkStart w:id="715" w:name="_Toc280272519"/>
      <w:bookmarkStart w:id="716" w:name="_Toc282768702"/>
      <w:r>
        <w:rPr>
          <w:lang w:val="fr-FR"/>
        </w:rPr>
        <w:lastRenderedPageBreak/>
        <w:t>3</w:t>
      </w:r>
      <w:r>
        <w:rPr>
          <w:lang w:val="fr-FR"/>
        </w:rPr>
        <w:tab/>
      </w:r>
      <w:r w:rsidRPr="003E4442">
        <w:rPr>
          <w:lang w:val="fr-FR"/>
        </w:rPr>
        <w:t>L’approche de la Suisse concernant les prélèvements dans le domaine de la gestion du spectre</w:t>
      </w:r>
      <w:bookmarkEnd w:id="713"/>
      <w:bookmarkEnd w:id="714"/>
      <w:bookmarkEnd w:id="715"/>
      <w:bookmarkEnd w:id="716"/>
    </w:p>
    <w:p w:rsidR="003A5252" w:rsidRPr="003E4442" w:rsidRDefault="003A5252" w:rsidP="00FD23B9">
      <w:pPr>
        <w:pStyle w:val="Heading2"/>
        <w:bidi w:val="0"/>
        <w:spacing w:line="240" w:lineRule="auto"/>
        <w:rPr>
          <w:lang w:val="fr-FR"/>
        </w:rPr>
      </w:pPr>
      <w:bookmarkStart w:id="717" w:name="_Toc280260059"/>
      <w:bookmarkStart w:id="718" w:name="_Toc280272520"/>
      <w:bookmarkStart w:id="719" w:name="_Toc282768703"/>
      <w:r w:rsidRPr="003E4442">
        <w:rPr>
          <w:lang w:val="fr-FR"/>
        </w:rPr>
        <w:t>3.1</w:t>
      </w:r>
      <w:r w:rsidRPr="003E4442">
        <w:rPr>
          <w:lang w:val="fr-FR"/>
        </w:rPr>
        <w:tab/>
        <w:t>Recours aux deux types de contributions au profit de l’État</w:t>
      </w:r>
      <w:bookmarkEnd w:id="717"/>
      <w:bookmarkEnd w:id="718"/>
      <w:bookmarkEnd w:id="719"/>
    </w:p>
    <w:p w:rsidR="003A5252" w:rsidRPr="003E4442" w:rsidRDefault="003A5252" w:rsidP="00FD23B9">
      <w:pPr>
        <w:bidi w:val="0"/>
        <w:spacing w:line="240" w:lineRule="auto"/>
        <w:rPr>
          <w:lang w:val="fr-FR"/>
        </w:rPr>
      </w:pPr>
      <w:r w:rsidRPr="003E4442">
        <w:rPr>
          <w:lang w:val="fr-FR"/>
        </w:rPr>
        <w:t xml:space="preserve">Pour le financement de la gestion nationale du spectre, les institutions politiques suisses ont décidé de recourir à des redevances afin d’alléger la charge pour le budget général de l’État – et donc les contribuables. Dans ce domaine les bénéficiaires des prestations de l’administration peuvent en règle générale être aisément être identifiés car il s’agit des utilisateurs du spectre. Il est équitable que ceux-ci portent une bonne partie des coûts d’une activité étatique dont ils sont les bénéficiaires immédiats. Cependant, l’identification de tous les utilisateurs du spectre n’est pas possible. En outre, l’imputation de certains coûts découlant de l’exécution des tâches liées à la gestion du spectre à la charge des utilisateurs aurait été injuste, voire politiquement inopportune. Il en résulte que la totalité des coûts de la gestion du spectre des fréquences afférant à l’administration suisse n’est pas couverte par les revenus de redevances prélevées auprès des utilisateurs du spectre. Il a été décidé par lesdites institutions politiques que sur le plan calculatoire les revenus provenant des taxes d’utilisation du spectre assureraient au minimum le financement du solde. </w:t>
      </w:r>
    </w:p>
    <w:p w:rsidR="003A5252" w:rsidRPr="003E4442" w:rsidRDefault="003A5252" w:rsidP="00FD23B9">
      <w:pPr>
        <w:bidi w:val="0"/>
        <w:spacing w:line="240" w:lineRule="auto"/>
        <w:rPr>
          <w:lang w:val="fr-FR"/>
        </w:rPr>
      </w:pPr>
      <w:r w:rsidRPr="003E4442">
        <w:rPr>
          <w:lang w:val="fr-FR"/>
        </w:rPr>
        <w:t>La voie choisie en Suisse est donc d’avoir recours aux deux types de contributions au profit de l’Etat pour financer la gestion du spectre, soit des taxes et des redevances. Ont donc été édictées, au niveau gouvernemental, l’Ordonnance</w:t>
      </w:r>
      <w:r w:rsidRPr="003E4442">
        <w:rPr>
          <w:snapToGrid w:val="0"/>
          <w:lang w:val="fr-FR" w:eastAsia="de-DE"/>
        </w:rPr>
        <w:t xml:space="preserve"> du Conseil fédéral</w:t>
      </w:r>
      <w:r w:rsidRPr="003E4442">
        <w:rPr>
          <w:lang w:val="fr-FR"/>
        </w:rPr>
        <w:t xml:space="preserve"> du 7 décembre 2007 sur les redevances et émoluments dans le domaine des télécommunications (OREDT)</w:t>
      </w:r>
      <w:r>
        <w:rPr>
          <w:rStyle w:val="FootnoteReference"/>
          <w:lang w:val="fr-FR"/>
        </w:rPr>
        <w:footnoteReference w:customMarkFollows="1" w:id="6"/>
        <w:t>6</w:t>
      </w:r>
      <w:r w:rsidRPr="003E4442">
        <w:rPr>
          <w:snapToGrid w:val="0"/>
          <w:lang w:val="fr-FR" w:eastAsia="de-DE"/>
        </w:rPr>
        <w:t xml:space="preserve"> </w:t>
      </w:r>
      <w:r w:rsidRPr="003E4442">
        <w:rPr>
          <w:lang w:val="fr-FR"/>
        </w:rPr>
        <w:t xml:space="preserve">arrêtant les taxes d’utilisation du spectre et, au niveau ministériel, l’Ordonnance du </w:t>
      </w:r>
      <w:r w:rsidRPr="003E4442">
        <w:rPr>
          <w:snapToGrid w:val="0"/>
          <w:lang w:val="fr-FR" w:eastAsia="de-DE"/>
        </w:rPr>
        <w:t>Département fédéral de l’environnement, des transports, de l’énergie et de la communication</w:t>
      </w:r>
      <w:r w:rsidRPr="003E4442">
        <w:rPr>
          <w:lang w:val="fr-FR"/>
        </w:rPr>
        <w:t xml:space="preserve"> du 7 décembre 2007 sur les tarifs des émoluments dans le domaine des télécommunications</w:t>
      </w:r>
      <w:r>
        <w:rPr>
          <w:rStyle w:val="FootnoteReference"/>
          <w:lang w:val="fr-FR"/>
        </w:rPr>
        <w:footnoteReference w:customMarkFollows="1" w:id="7"/>
        <w:t>7</w:t>
      </w:r>
      <w:r w:rsidRPr="003E4442">
        <w:rPr>
          <w:lang w:val="fr-FR"/>
        </w:rPr>
        <w:t xml:space="preserve"> déterminant la hauteur des redevances pour les différentes prestations de l’autorité en charge de la gestion du spectre.</w:t>
      </w:r>
    </w:p>
    <w:p w:rsidR="003A5252" w:rsidRPr="003E4442" w:rsidRDefault="003A5252" w:rsidP="00FD23B9">
      <w:pPr>
        <w:pStyle w:val="Heading2"/>
        <w:bidi w:val="0"/>
        <w:spacing w:line="240" w:lineRule="auto"/>
        <w:rPr>
          <w:lang w:val="fr-FR"/>
        </w:rPr>
      </w:pPr>
      <w:bookmarkStart w:id="720" w:name="_Toc280260060"/>
      <w:bookmarkStart w:id="721" w:name="_Toc280272521"/>
      <w:bookmarkStart w:id="722" w:name="_Toc282768704"/>
      <w:r w:rsidRPr="003E4442">
        <w:rPr>
          <w:lang w:val="fr-FR"/>
        </w:rPr>
        <w:t>3.2</w:t>
      </w:r>
      <w:r w:rsidRPr="003E4442">
        <w:rPr>
          <w:lang w:val="fr-FR"/>
        </w:rPr>
        <w:tab/>
        <w:t>Les taxes d’utilisation du spectre</w:t>
      </w:r>
      <w:bookmarkEnd w:id="720"/>
      <w:bookmarkEnd w:id="721"/>
      <w:bookmarkEnd w:id="722"/>
    </w:p>
    <w:p w:rsidR="003A5252" w:rsidRPr="003E4442" w:rsidRDefault="003A5252" w:rsidP="00FD23B9">
      <w:pPr>
        <w:pStyle w:val="Heading3"/>
        <w:bidi w:val="0"/>
        <w:spacing w:line="240" w:lineRule="auto"/>
        <w:rPr>
          <w:lang w:val="fr-FR"/>
        </w:rPr>
      </w:pPr>
      <w:bookmarkStart w:id="723" w:name="_Toc282768705"/>
      <w:r w:rsidRPr="003E4442">
        <w:rPr>
          <w:lang w:val="fr-FR"/>
        </w:rPr>
        <w:t>3.2.1</w:t>
      </w:r>
      <w:r w:rsidRPr="003E4442">
        <w:rPr>
          <w:lang w:val="fr-FR"/>
        </w:rPr>
        <w:tab/>
        <w:t>Les taxes d’utilisation du spectre sont à qualifier d’impôt (et non de redevances)</w:t>
      </w:r>
      <w:bookmarkEnd w:id="723"/>
    </w:p>
    <w:p w:rsidR="003A5252" w:rsidRPr="003E4442" w:rsidRDefault="003A5252" w:rsidP="00FD23B9">
      <w:pPr>
        <w:bidi w:val="0"/>
        <w:spacing w:line="240" w:lineRule="auto"/>
        <w:rPr>
          <w:lang w:val="fr-FR"/>
        </w:rPr>
      </w:pPr>
      <w:r w:rsidRPr="003E4442">
        <w:rPr>
          <w:snapToGrid w:val="0"/>
          <w:lang w:val="fr-FR" w:eastAsia="de-DE"/>
        </w:rPr>
        <w:t xml:space="preserve">En Suisse, les droits d’utilisation dont s’acquittent les utilisateurs du spectre sont à qualifier de taxes. En effet, ils ont les caractéristiques des taxes en ce qu’ils sont dus par l’usager du spectre sans qu’il puisse prétendre à aucune contre-prestation spécifique de la part de l’administration si ce n’est le droit d’exercer le droit régalien d’utiliser le spectre. De plus, ils ne sont pas affectés à un usage défini mais versé au budget général de l’Etat. Le Parlement a fixé les conditions-cadre pour le prélèvement de cette taxe à l’article 39 de la </w:t>
      </w:r>
      <w:r w:rsidRPr="003E4442">
        <w:rPr>
          <w:lang w:val="fr-FR"/>
        </w:rPr>
        <w:t>Loi du 30 avril 1997 sur les télécommunications (LTC)</w:t>
      </w:r>
      <w:r>
        <w:rPr>
          <w:rStyle w:val="FootnoteReference"/>
          <w:lang w:val="fr-FR"/>
        </w:rPr>
        <w:footnoteReference w:customMarkFollows="1" w:id="8"/>
        <w:t>8</w:t>
      </w:r>
      <w:r w:rsidRPr="003E4442">
        <w:rPr>
          <w:snapToGrid w:val="0"/>
          <w:lang w:val="fr-FR" w:eastAsia="de-DE"/>
        </w:rPr>
        <w:t>. Dans cet article il a également délégué la fixation du montant et la spécification du mode de calcul de la taxe au gouvernement</w:t>
      </w:r>
      <w:r>
        <w:rPr>
          <w:rStyle w:val="FootnoteReference"/>
          <w:snapToGrid w:val="0"/>
          <w:lang w:val="fr-FR" w:eastAsia="de-DE"/>
        </w:rPr>
        <w:footnoteReference w:customMarkFollows="1" w:id="9"/>
        <w:t>9</w:t>
      </w:r>
      <w:r w:rsidRPr="003E4442">
        <w:rPr>
          <w:snapToGrid w:val="0"/>
          <w:lang w:val="fr-FR" w:eastAsia="de-DE"/>
        </w:rPr>
        <w:t>.</w:t>
      </w:r>
      <w:r w:rsidRPr="003E4442">
        <w:rPr>
          <w:lang w:val="fr-FR"/>
        </w:rPr>
        <w:t xml:space="preserve"> </w:t>
      </w:r>
    </w:p>
    <w:p w:rsidR="003A5252" w:rsidRPr="003E4442" w:rsidRDefault="003A5252" w:rsidP="00FD23B9">
      <w:pPr>
        <w:bidi w:val="0"/>
        <w:spacing w:line="240" w:lineRule="auto"/>
        <w:rPr>
          <w:lang w:val="fr-FR"/>
        </w:rPr>
      </w:pPr>
      <w:r w:rsidRPr="003E4442">
        <w:rPr>
          <w:lang w:val="fr-FR"/>
        </w:rPr>
        <w:t>Comme mentionnée ci-dessus, le montant demandé par l’Etat aux utilisateurs pour pouvoir accéder au spectre est une taxe car il n’y a pas de fourniture de prestations par l’Etat aux parties concernées par ces prélèvements. En effet, les ondes électromagnétiques sont présentes à l’état naturel, c’est-à-dire sans qu’aucun organe de l’Etat n’ait été actif dans une quelconque mesure. Ce montant est tout spécialement conforme aux particularités d’une taxe car le produit des droits d’utilisation du spectre ne fait pas l’objet d’une affectation et alimente le budget général.</w:t>
      </w:r>
    </w:p>
    <w:p w:rsidR="003A5252" w:rsidRPr="003E4442" w:rsidRDefault="003A5252" w:rsidP="00FD23B9">
      <w:pPr>
        <w:pStyle w:val="Heading3"/>
        <w:bidi w:val="0"/>
        <w:spacing w:line="240" w:lineRule="auto"/>
        <w:rPr>
          <w:lang w:val="fr-FR"/>
        </w:rPr>
      </w:pPr>
      <w:bookmarkStart w:id="724" w:name="_Toc282768706"/>
      <w:r w:rsidRPr="003E4442">
        <w:rPr>
          <w:lang w:val="fr-FR"/>
        </w:rPr>
        <w:lastRenderedPageBreak/>
        <w:t>3.2.2</w:t>
      </w:r>
      <w:r w:rsidRPr="003E4442">
        <w:rPr>
          <w:lang w:val="fr-FR"/>
        </w:rPr>
        <w:tab/>
        <w:t xml:space="preserve">Fonction incitative de </w:t>
      </w:r>
      <w:bookmarkStart w:id="725" w:name="OLE_LINK6"/>
      <w:r w:rsidRPr="003E4442">
        <w:rPr>
          <w:lang w:val="fr-FR"/>
        </w:rPr>
        <w:t xml:space="preserve">la taxe d’utilisation du spectre </w:t>
      </w:r>
      <w:bookmarkEnd w:id="725"/>
      <w:r w:rsidRPr="003E4442">
        <w:rPr>
          <w:lang w:val="fr-FR"/>
        </w:rPr>
        <w:t>(spectrum pricing)</w:t>
      </w:r>
      <w:bookmarkEnd w:id="724"/>
    </w:p>
    <w:p w:rsidR="003A5252" w:rsidRPr="003E4442" w:rsidRDefault="003A5252" w:rsidP="00FD23B9">
      <w:pPr>
        <w:bidi w:val="0"/>
        <w:spacing w:line="240" w:lineRule="auto"/>
        <w:rPr>
          <w:lang w:val="fr-FR"/>
        </w:rPr>
      </w:pPr>
      <w:r w:rsidRPr="003E4442">
        <w:rPr>
          <w:lang w:val="fr-FR"/>
        </w:rPr>
        <w:t xml:space="preserve">Pour les taxes d’utilisation du spectre, l’administration suisse a tenté d’appliquer certains principes découlant du </w:t>
      </w:r>
      <w:r w:rsidRPr="003E4442">
        <w:rPr>
          <w:i/>
          <w:lang w:val="fr-FR"/>
        </w:rPr>
        <w:t>spectrum pricing</w:t>
      </w:r>
      <w:r w:rsidRPr="003E4442">
        <w:rPr>
          <w:lang w:val="fr-FR"/>
        </w:rPr>
        <w:t>. Une telle politique ne serait juridiquement pas permissible si l’on avait été en présence de redevances. En effet, pour la fixation de la hauteur des redevances le respect des contraintes juridiques en la forme des principes de la couverture des coûts et d’équivalence est déterminant. Ces contraintes ne permettent pas à l’administration de disposer de la flexibilité qui est nécessaire pour donner un caractère incitatif à une contribution. Or une taxe incitative, qui est un instrument dans l’éventail des moyens d’une politique publique cherchant à infléchir, guider les comportements des administrés, requiert justement passablement de flexibilité.</w:t>
      </w:r>
    </w:p>
    <w:p w:rsidR="003A5252" w:rsidRPr="003E4442" w:rsidRDefault="003A5252" w:rsidP="00FD23B9">
      <w:pPr>
        <w:bidi w:val="0"/>
        <w:spacing w:line="240" w:lineRule="auto"/>
        <w:rPr>
          <w:lang w:val="fr-FR"/>
        </w:rPr>
      </w:pPr>
      <w:r w:rsidRPr="003E4442">
        <w:rPr>
          <w:lang w:val="fr-FR"/>
        </w:rPr>
        <w:t>Pour les bandes de fréquences où l'assignation se fait sur la base du principe du « premier venu, premier servi » ou par le biais de concours de beauté (en d’autres mots : l’allocation ne se fait pas par la voie d’enchères), l'administration suisse a développé un système de valorisation du spectre. Ce système se fonde sur une formule générale qui est applicable à toutes les applications de radiocommunication à condition de l'adapter aux spécificités de chacune d'entre elles.</w:t>
      </w:r>
    </w:p>
    <w:p w:rsidR="003A5252" w:rsidRPr="003E4442" w:rsidRDefault="003A5252" w:rsidP="00FD23B9">
      <w:pPr>
        <w:bidi w:val="0"/>
        <w:spacing w:line="240" w:lineRule="auto"/>
        <w:rPr>
          <w:lang w:val="fr-FR"/>
        </w:rPr>
      </w:pPr>
      <w:r w:rsidRPr="003E4442">
        <w:rPr>
          <w:lang w:val="fr-FR"/>
        </w:rPr>
        <w:t>La formule générale de calcul des taxes d’utilisation du spectre est:</w:t>
      </w:r>
    </w:p>
    <w:p w:rsidR="003A5252" w:rsidRPr="003E4442" w:rsidRDefault="003A5252" w:rsidP="00FD23B9">
      <w:pPr>
        <w:pBdr>
          <w:top w:val="single" w:sz="4" w:space="1" w:color="auto"/>
          <w:left w:val="single" w:sz="4" w:space="4" w:color="auto"/>
          <w:bottom w:val="single" w:sz="4" w:space="1" w:color="auto"/>
          <w:right w:val="single" w:sz="4" w:space="4" w:color="auto"/>
        </w:pBdr>
        <w:bidi w:val="0"/>
        <w:spacing w:line="240" w:lineRule="auto"/>
        <w:rPr>
          <w:lang w:val="fr-FR"/>
        </w:rPr>
      </w:pPr>
      <w:r w:rsidRPr="003E4442">
        <w:rPr>
          <w:lang w:val="fr-FR"/>
        </w:rPr>
        <w:t>Unité de compte * coefficient de largeur de bande * coefficient de réutilisation * coefficient de gamme de fréquences * coefficient d'exclusivité * coefficient de saturation/de zone * coefficient de temps</w:t>
      </w:r>
    </w:p>
    <w:p w:rsidR="003A5252" w:rsidRPr="003E4442" w:rsidRDefault="003A5252" w:rsidP="00FD23B9">
      <w:pPr>
        <w:bidi w:val="0"/>
        <w:spacing w:line="240" w:lineRule="auto"/>
        <w:rPr>
          <w:lang w:val="fr-FR"/>
        </w:rPr>
      </w:pPr>
      <w:r w:rsidRPr="003E4442">
        <w:rPr>
          <w:lang w:val="fr-FR"/>
        </w:rPr>
        <w:t>Les différents éléments de la formule requièrent quelques explicitations:</w:t>
      </w:r>
    </w:p>
    <w:p w:rsidR="003A5252" w:rsidRPr="003E4442" w:rsidRDefault="003A5252" w:rsidP="00FD23B9">
      <w:pPr>
        <w:pStyle w:val="enumlev1"/>
        <w:bidi w:val="0"/>
        <w:spacing w:line="240" w:lineRule="auto"/>
      </w:pPr>
      <w:r>
        <w:t>–</w:t>
      </w:r>
      <w:r>
        <w:tab/>
      </w:r>
      <w:r w:rsidRPr="003E4442">
        <w:t>L'</w:t>
      </w:r>
      <w:r w:rsidRPr="003E4442">
        <w:rPr>
          <w:i/>
        </w:rPr>
        <w:t>unité de compte</w:t>
      </w:r>
      <w:r w:rsidRPr="003E4442">
        <w:t xml:space="preserve"> reflète la valorisation économique de l'utilisation de la ressource spectre par une application de radiocommunication déterminée. Naturellement, elle variera d'une application à l'autre. </w:t>
      </w:r>
    </w:p>
    <w:p w:rsidR="003A5252" w:rsidRPr="003E4442" w:rsidRDefault="003A5252" w:rsidP="00FD23B9">
      <w:pPr>
        <w:pStyle w:val="enumlev1"/>
        <w:bidi w:val="0"/>
        <w:spacing w:line="240" w:lineRule="auto"/>
      </w:pPr>
      <w:r>
        <w:t>–</w:t>
      </w:r>
      <w:r>
        <w:tab/>
      </w:r>
      <w:r w:rsidRPr="003E4442">
        <w:t xml:space="preserve">Le </w:t>
      </w:r>
      <w:r w:rsidRPr="003E4442">
        <w:rPr>
          <w:i/>
        </w:rPr>
        <w:t xml:space="preserve">coefficient de largeur de bande </w:t>
      </w:r>
      <w:r w:rsidRPr="003E4442">
        <w:t xml:space="preserve">reflète combien d'unités de compte sont allouée du fait de la largeur de la bande assignée. Par exemple, si l'unité de compte est fixée pour 25 kHz et que la largeur de bande du système de radiocommunication est 2 MHz, alors ce coefficient de largeur de bande sera de 80. </w:t>
      </w:r>
    </w:p>
    <w:p w:rsidR="003A5252" w:rsidRPr="003E4442" w:rsidRDefault="003A5252" w:rsidP="00FD23B9">
      <w:pPr>
        <w:pStyle w:val="enumlev1"/>
        <w:bidi w:val="0"/>
        <w:spacing w:line="240" w:lineRule="auto"/>
      </w:pPr>
      <w:r>
        <w:t>–</w:t>
      </w:r>
      <w:r>
        <w:tab/>
      </w:r>
      <w:r w:rsidRPr="003E4442">
        <w:t xml:space="preserve">Le </w:t>
      </w:r>
      <w:r w:rsidRPr="003E4442">
        <w:rPr>
          <w:i/>
        </w:rPr>
        <w:t>coefficient de réutilisation</w:t>
      </w:r>
      <w:r w:rsidRPr="003E4442">
        <w:t xml:space="preserve"> (en Suisse il a été appelé « coefficient de territoire ») reflète le nombre de fois que la fréquence en cause pourrait être réemployée dans une zone donnée ou sur le territoire du pays. </w:t>
      </w:r>
    </w:p>
    <w:p w:rsidR="003A5252" w:rsidRPr="003E4442" w:rsidRDefault="003A5252" w:rsidP="00FD23B9">
      <w:pPr>
        <w:pStyle w:val="enumlev1"/>
        <w:bidi w:val="0"/>
        <w:spacing w:line="240" w:lineRule="auto"/>
      </w:pPr>
      <w:r>
        <w:t>–</w:t>
      </w:r>
      <w:r>
        <w:tab/>
      </w:r>
      <w:r w:rsidRPr="003E4442">
        <w:t xml:space="preserve">Le </w:t>
      </w:r>
      <w:r w:rsidRPr="003E4442">
        <w:rPr>
          <w:i/>
        </w:rPr>
        <w:t>coefficient de gamme de fréquences</w:t>
      </w:r>
      <w:r w:rsidRPr="003E4442">
        <w:t xml:space="preserve"> peut être utilisé pour les systèmes de radiocommunication qui disposent d'attributions de fréquences dans plusieurs parties du spectre des fréquences. Ce coefficient traduit les préférences de l'administration en charge de la gestion des fréquences concernant l'emploi de certaines bandes de fréquences par ces systèmes. Des tarifs préférentiels pourraient par exemple être appliqués aux bandes de fréquences élevées où la technologie est moins mûre et qui sont moins congestionnées. </w:t>
      </w:r>
    </w:p>
    <w:p w:rsidR="003A5252" w:rsidRPr="003E4442" w:rsidRDefault="003A5252" w:rsidP="00FD23B9">
      <w:pPr>
        <w:pStyle w:val="enumlev1"/>
        <w:bidi w:val="0"/>
        <w:spacing w:line="240" w:lineRule="auto"/>
      </w:pPr>
      <w:r>
        <w:t>–</w:t>
      </w:r>
      <w:r>
        <w:tab/>
      </w:r>
      <w:r w:rsidRPr="003E4442">
        <w:t xml:space="preserve">Le </w:t>
      </w:r>
      <w:r w:rsidRPr="003E4442">
        <w:rPr>
          <w:i/>
        </w:rPr>
        <w:t>coefficient d'exclusivité</w:t>
      </w:r>
      <w:r w:rsidRPr="003E4442">
        <w:t xml:space="preserve"> reflète le degré de partage et de disponibilité du spectre : Ce coefficient est élevé pour un usage exclusif et plus bas dans le cas d’un usage partagé. On peut également imaginer un système où, dans une bande à usage partagé, le facteur applicable aux utilisateurs opérant une flotte nombreuse d'équipements de radiocommunication serait plus élevé que celui applicable aux utilisateurs n'employant qu'un faible nombre d'appareils.</w:t>
      </w:r>
    </w:p>
    <w:p w:rsidR="003A5252" w:rsidRPr="003E4442" w:rsidRDefault="003A5252" w:rsidP="00FD23B9">
      <w:pPr>
        <w:pStyle w:val="enumlev1"/>
        <w:bidi w:val="0"/>
        <w:spacing w:line="240" w:lineRule="auto"/>
      </w:pPr>
      <w:r>
        <w:t>–</w:t>
      </w:r>
      <w:r>
        <w:tab/>
      </w:r>
      <w:r w:rsidRPr="003E4442">
        <w:t xml:space="preserve">Le </w:t>
      </w:r>
      <w:r w:rsidRPr="003E4442">
        <w:rPr>
          <w:i/>
        </w:rPr>
        <w:t>coefficient de saturation/de zone</w:t>
      </w:r>
      <w:r w:rsidRPr="003E4442">
        <w:t xml:space="preserve"> reflète la densité des utilisateurs potentiels dans différentes parties du territoire national. Il indique la pénurie de la ressource spectre, qui est généralement plus forte dans les zones urbaines que dans les zones rurales. On peut, par exemple, considérer 3 zones (grandes agglomérations, banlieues, zones rurales).</w:t>
      </w:r>
    </w:p>
    <w:p w:rsidR="003A5252" w:rsidRPr="003E4442" w:rsidRDefault="003A5252" w:rsidP="00FD23B9">
      <w:pPr>
        <w:pStyle w:val="enumlev1"/>
        <w:bidi w:val="0"/>
        <w:spacing w:line="240" w:lineRule="auto"/>
      </w:pPr>
      <w:r>
        <w:t>–</w:t>
      </w:r>
      <w:r>
        <w:tab/>
      </w:r>
      <w:r w:rsidRPr="003E4442">
        <w:t xml:space="preserve">Le </w:t>
      </w:r>
      <w:r w:rsidRPr="003E4442">
        <w:rPr>
          <w:i/>
        </w:rPr>
        <w:t>coefficient de temps</w:t>
      </w:r>
      <w:r w:rsidRPr="003E4442">
        <w:t xml:space="preserve"> reflète le nombre total d'unités de temps (qui sont à la base de l'unité de compte, p.ex. un mois ou un an) que couvre l'autorisation d'utiliser le spectre. Le cas échéant une adaptation de ce coefficient pourrait avoir lieu entre la phase d'introduction d'une nouvelle technologie (coefficient plus bas) et la phase de maturité de la technologie (coefficient plus élevé).</w:t>
      </w:r>
    </w:p>
    <w:p w:rsidR="003A5252" w:rsidRPr="003E4442" w:rsidRDefault="003A5252" w:rsidP="00FD23B9">
      <w:pPr>
        <w:bidi w:val="0"/>
        <w:spacing w:line="240" w:lineRule="auto"/>
        <w:rPr>
          <w:lang w:val="fr-FR"/>
        </w:rPr>
      </w:pPr>
      <w:r w:rsidRPr="003E4442">
        <w:rPr>
          <w:lang w:val="fr-FR"/>
        </w:rPr>
        <w:lastRenderedPageBreak/>
        <w:t>Il faut souligner que tous les coefficients ne sont pas pertinents pour toutes les applications de radiocommunication. Lorsqu’un coefficient n’est pas pertinent pour un type d'application de radiocommunication, il ne devrait pas être pris en considération pour le calcul de la taxe (ou alors toujours avoir la valeur 1 neutre dans une multiplication). De plus, la valorisation des coefficients demande des études économiques et techniques. Finalement, les proportions entre les valeurs d’un coefficient ne s'appliquent pas nécessairement de façon identique pour chacune des applications et requièrent donc également une réflexion approfondie.</w:t>
      </w:r>
    </w:p>
    <w:p w:rsidR="003A5252" w:rsidRPr="003E4442" w:rsidRDefault="003A5252" w:rsidP="00FD23B9">
      <w:pPr>
        <w:bidi w:val="0"/>
        <w:spacing w:line="240" w:lineRule="auto"/>
        <w:rPr>
          <w:lang w:val="fr-FR"/>
        </w:rPr>
      </w:pPr>
      <w:r w:rsidRPr="003E4442">
        <w:rPr>
          <w:lang w:val="fr-FR"/>
        </w:rPr>
        <w:t>Un système de tarification du spectre basé sur la formule générale doit permettre aux utilisateurs confrontés au choix entre plusieurs solutions techniques de facilement comparer les taxes et d’identifier, lorsqu'ils comparent des applications concurrentes, laquelle impliquerait le paiement de la taxe la moins lourde. Ils prendraient conscience que la ressource spectre est rare et que son prix varie selon l’efficacité spectrale des différents usages envisagés.</w:t>
      </w:r>
    </w:p>
    <w:p w:rsidR="003A5252" w:rsidRPr="003E4442" w:rsidRDefault="003A5252" w:rsidP="00FD23B9">
      <w:pPr>
        <w:pStyle w:val="Heading3"/>
        <w:bidi w:val="0"/>
        <w:spacing w:line="240" w:lineRule="auto"/>
        <w:rPr>
          <w:lang w:val="fr-FR"/>
        </w:rPr>
      </w:pPr>
      <w:bookmarkStart w:id="726" w:name="_Toc282768707"/>
      <w:r w:rsidRPr="003E4442">
        <w:rPr>
          <w:lang w:val="fr-FR"/>
        </w:rPr>
        <w:t>3.2.3</w:t>
      </w:r>
      <w:r w:rsidRPr="003E4442">
        <w:rPr>
          <w:lang w:val="fr-FR"/>
        </w:rPr>
        <w:tab/>
        <w:t>Observation concernant les adjudications publiques par voie d’enchères</w:t>
      </w:r>
      <w:bookmarkEnd w:id="726"/>
    </w:p>
    <w:p w:rsidR="003A5252" w:rsidRPr="003E4442" w:rsidRDefault="003A5252" w:rsidP="00FD23B9">
      <w:pPr>
        <w:bidi w:val="0"/>
        <w:spacing w:line="240" w:lineRule="auto"/>
        <w:rPr>
          <w:lang w:val="fr-FR"/>
        </w:rPr>
      </w:pPr>
      <w:r w:rsidRPr="003E4442">
        <w:rPr>
          <w:lang w:val="fr-FR"/>
        </w:rPr>
        <w:t>Dans les rares cas où les conditions pour l’emploi d’adjudications publiques par voie d’enchères comme méthode d’assignation de fréquences sont remplies (cela suppose, entre autres, qu'il y ait plus de demande pour des licences de radiocommunication que l'Etat n'a à en offrir à un moment bien spécifique), ces adjudications sont un moyen commode pour taxer l’utilisation du bien public qu’est le spectre des fréquences</w:t>
      </w:r>
      <w:r>
        <w:rPr>
          <w:rStyle w:val="FootnoteReference"/>
          <w:lang w:val="fr-FR"/>
        </w:rPr>
        <w:footnoteReference w:customMarkFollows="1" w:id="10"/>
        <w:t>10</w:t>
      </w:r>
      <w:r w:rsidRPr="003E4442">
        <w:rPr>
          <w:lang w:val="fr-FR"/>
        </w:rPr>
        <w:t>. En effet, c’est l’usager lui-même qui fixe le prix qu’il est prêt à payer à l’Etat pour avoir cette exclusivité. Le(s) gagnant(s) des enchères aura(ont) déterminé le montant de la taxe d'utilisation du spectre (qui sera équivalente à l'offre la plus élevée). Pour les applications de radiocommunication qui permettent l’organisation d’enchères, les complexes réflexions au sein de l'administration sur un système de taxation/valorisation du spectre sont dans une certaine mesure rendues redondantes – le secteur privé s'en charge lui-même.</w:t>
      </w:r>
    </w:p>
    <w:p w:rsidR="003A5252" w:rsidRPr="003E4442" w:rsidRDefault="003A5252" w:rsidP="00FD23B9">
      <w:pPr>
        <w:pStyle w:val="Heading2"/>
        <w:bidi w:val="0"/>
        <w:spacing w:line="240" w:lineRule="auto"/>
        <w:rPr>
          <w:lang w:val="fr-FR"/>
        </w:rPr>
      </w:pPr>
      <w:bookmarkStart w:id="727" w:name="_Toc280260061"/>
      <w:bookmarkStart w:id="728" w:name="_Toc280272522"/>
      <w:bookmarkStart w:id="729" w:name="_Toc282768708"/>
      <w:r w:rsidRPr="003E4442">
        <w:rPr>
          <w:lang w:val="fr-FR"/>
        </w:rPr>
        <w:t>3.3</w:t>
      </w:r>
      <w:r w:rsidRPr="003E4442">
        <w:rPr>
          <w:lang w:val="fr-FR"/>
        </w:rPr>
        <w:tab/>
        <w:t>Les redevances</w:t>
      </w:r>
      <w:bookmarkEnd w:id="727"/>
      <w:bookmarkEnd w:id="728"/>
      <w:bookmarkEnd w:id="729"/>
    </w:p>
    <w:p w:rsidR="003A5252" w:rsidRPr="003E4442" w:rsidRDefault="003A5252" w:rsidP="00FD23B9">
      <w:pPr>
        <w:bidi w:val="0"/>
        <w:spacing w:line="240" w:lineRule="auto"/>
        <w:rPr>
          <w:lang w:val="fr-FR"/>
        </w:rPr>
      </w:pPr>
      <w:r w:rsidRPr="003E4442">
        <w:rPr>
          <w:lang w:val="fr-FR"/>
        </w:rPr>
        <w:t xml:space="preserve">La redevance est due à raison d’une prestation que l’administration fournit au redevable ou d’une activité occasionnée par les agissements de celui-ci. La redevance est la conséquence directe du service requis ou occasionné par l’administré. </w:t>
      </w:r>
      <w:r w:rsidRPr="003E4442">
        <w:rPr>
          <w:snapToGrid w:val="0"/>
          <w:lang w:val="fr-FR" w:eastAsia="de-DE"/>
        </w:rPr>
        <w:t>Le parlement a fixé le principe du prélèvement de redevances à l’article 40 LTC. Il a délégué la fixation du montant des redevances à l’article 41 LTC à l’exécutif.</w:t>
      </w:r>
      <w:r w:rsidRPr="003E4442">
        <w:rPr>
          <w:lang w:val="fr-CH"/>
        </w:rPr>
        <w:t xml:space="preserve"> Les coûts afférant dans </w:t>
      </w:r>
      <w:r w:rsidRPr="003E4442">
        <w:rPr>
          <w:lang w:val="fr-FR"/>
        </w:rPr>
        <w:t>le cadre de poursuites pénales administratives sont mis à la charge des personnes sanctionnées sur la base de l’Ordonnance du 25 novembre 1974 sur les frais et indemnités en procédure pénale administrative</w:t>
      </w:r>
      <w:r>
        <w:rPr>
          <w:rStyle w:val="FootnoteReference"/>
          <w:lang w:val="fr-FR"/>
        </w:rPr>
        <w:footnoteReference w:customMarkFollows="1" w:id="11"/>
        <w:t>11</w:t>
      </w:r>
      <w:r w:rsidRPr="003E4442">
        <w:rPr>
          <w:lang w:val="fr-FR"/>
        </w:rPr>
        <w:t>, et non pas des ordonnances d’exécution de la LTC.</w:t>
      </w:r>
    </w:p>
    <w:p w:rsidR="003A5252" w:rsidRPr="003E4442" w:rsidRDefault="003A5252" w:rsidP="00FD23B9">
      <w:pPr>
        <w:bidi w:val="0"/>
        <w:spacing w:line="240" w:lineRule="auto"/>
        <w:rPr>
          <w:lang w:val="fr-FR"/>
        </w:rPr>
      </w:pPr>
      <w:r w:rsidRPr="003E4442">
        <w:rPr>
          <w:lang w:val="fr-FR"/>
        </w:rPr>
        <w:t>En Suisse, on distingue deux types de redevances en fonction de l’occurrence du moment du prélèvement.</w:t>
      </w:r>
    </w:p>
    <w:p w:rsidR="003A5252" w:rsidRPr="003E4442" w:rsidRDefault="003A5252" w:rsidP="00FD23B9">
      <w:pPr>
        <w:pStyle w:val="Heading3"/>
        <w:bidi w:val="0"/>
        <w:spacing w:line="240" w:lineRule="auto"/>
        <w:rPr>
          <w:lang w:val="fr-CH"/>
        </w:rPr>
      </w:pPr>
      <w:bookmarkStart w:id="730" w:name="_Toc282768709"/>
      <w:r w:rsidRPr="003E4442">
        <w:rPr>
          <w:lang w:val="fr-CH"/>
        </w:rPr>
        <w:t>3.3.1</w:t>
      </w:r>
      <w:r w:rsidRPr="003E4442">
        <w:rPr>
          <w:lang w:val="fr-CH"/>
        </w:rPr>
        <w:tab/>
        <w:t>Redevances uniques</w:t>
      </w:r>
      <w:bookmarkEnd w:id="730"/>
    </w:p>
    <w:p w:rsidR="003A5252" w:rsidRPr="003E4442" w:rsidRDefault="003A5252" w:rsidP="00FD23B9">
      <w:pPr>
        <w:bidi w:val="0"/>
        <w:spacing w:line="240" w:lineRule="auto"/>
      </w:pPr>
      <w:r w:rsidRPr="003E4442">
        <w:rPr>
          <w:lang w:val="fr-FR"/>
        </w:rPr>
        <w:t xml:space="preserve">Dans le domaine de la gestion du spectre des fréquences des redevance uniques peuvent être prélevées pour les prestations suivantes de l’autorité compétente et dont les utilisateurs du spectre sont les bénéficiaires immédiats. </w:t>
      </w:r>
      <w:r w:rsidRPr="003E4442">
        <w:t>Ces redevances couvrent par exemple les prestations suivantes :</w:t>
      </w:r>
    </w:p>
    <w:p w:rsidR="003A5252" w:rsidRPr="003E4442" w:rsidRDefault="003A5252" w:rsidP="00FD23B9">
      <w:pPr>
        <w:pStyle w:val="enumlev1"/>
        <w:bidi w:val="0"/>
        <w:spacing w:line="240" w:lineRule="auto"/>
      </w:pPr>
      <w:r>
        <w:t>–</w:t>
      </w:r>
      <w:r>
        <w:tab/>
      </w:r>
      <w:r w:rsidRPr="003E4442">
        <w:t>Octroi de licences de radiocommunication (autorisations d’accéder au spectre)</w:t>
      </w:r>
    </w:p>
    <w:p w:rsidR="003A5252" w:rsidRPr="003E4442" w:rsidRDefault="003A5252" w:rsidP="00FD23B9">
      <w:pPr>
        <w:pStyle w:val="enumlev1"/>
        <w:bidi w:val="0"/>
        <w:spacing w:line="240" w:lineRule="auto"/>
      </w:pPr>
      <w:r>
        <w:t>–</w:t>
      </w:r>
      <w:r>
        <w:tab/>
      </w:r>
      <w:r w:rsidRPr="003E4442">
        <w:t>Modification d’une licence de radiocommunication</w:t>
      </w:r>
    </w:p>
    <w:p w:rsidR="003A5252" w:rsidRPr="003E4442" w:rsidRDefault="003A5252" w:rsidP="00FD23B9">
      <w:pPr>
        <w:pStyle w:val="enumlev1"/>
        <w:bidi w:val="0"/>
        <w:spacing w:line="240" w:lineRule="auto"/>
      </w:pPr>
      <w:r>
        <w:t>–</w:t>
      </w:r>
      <w:r>
        <w:tab/>
      </w:r>
      <w:r w:rsidRPr="003E4442">
        <w:t>Révocation, respectivement annulation, de licence de radiocommunication</w:t>
      </w:r>
    </w:p>
    <w:p w:rsidR="003A5252" w:rsidRPr="003E4442" w:rsidRDefault="003A5252" w:rsidP="00FD23B9">
      <w:pPr>
        <w:pStyle w:val="enumlev1"/>
        <w:bidi w:val="0"/>
        <w:spacing w:line="240" w:lineRule="auto"/>
      </w:pPr>
      <w:r>
        <w:t>–</w:t>
      </w:r>
      <w:r>
        <w:tab/>
      </w:r>
      <w:r w:rsidRPr="003E4442">
        <w:t>Recherche de perturbations (coûts engendrés par le perturbateur lorsqu’il est identifié)</w:t>
      </w:r>
    </w:p>
    <w:p w:rsidR="003A5252" w:rsidRPr="003E4442" w:rsidRDefault="003A5252" w:rsidP="00FD23B9">
      <w:pPr>
        <w:pStyle w:val="Heading3"/>
        <w:bidi w:val="0"/>
        <w:spacing w:line="240" w:lineRule="auto"/>
        <w:rPr>
          <w:lang w:val="fr-CH"/>
        </w:rPr>
      </w:pPr>
      <w:bookmarkStart w:id="731" w:name="_Toc282768710"/>
      <w:r w:rsidRPr="003E4442">
        <w:rPr>
          <w:lang w:val="fr-CH"/>
        </w:rPr>
        <w:lastRenderedPageBreak/>
        <w:t>3.3.2</w:t>
      </w:r>
      <w:r w:rsidRPr="003E4442">
        <w:rPr>
          <w:lang w:val="fr-CH"/>
        </w:rPr>
        <w:tab/>
        <w:t>Redevances périodiques</w:t>
      </w:r>
      <w:bookmarkEnd w:id="731"/>
    </w:p>
    <w:p w:rsidR="003A5252" w:rsidRPr="003E4442" w:rsidRDefault="003A5252" w:rsidP="00FD23B9">
      <w:pPr>
        <w:bidi w:val="0"/>
        <w:spacing w:line="240" w:lineRule="auto"/>
        <w:rPr>
          <w:lang w:val="fr-FR"/>
        </w:rPr>
      </w:pPr>
      <w:r w:rsidRPr="003E4442">
        <w:rPr>
          <w:lang w:val="fr-FR"/>
        </w:rPr>
        <w:t xml:space="preserve">Cette redevance qui est appelée « émolument pour la gestion et le contrôle technique du spectre des fréquences » a un rôle central pour la couverture des coûts afférant dans le domaine de la gestion du spectre. Les utilisateurs du spectre sont appelés à participer au financement d’activités de l’autorité gérant le spectre dont ils sont les bénéficiaires médiats. </w:t>
      </w:r>
    </w:p>
    <w:p w:rsidR="003A5252" w:rsidRPr="003E4442" w:rsidRDefault="003A5252" w:rsidP="00FD23B9">
      <w:pPr>
        <w:bidi w:val="0"/>
        <w:spacing w:line="240" w:lineRule="auto"/>
        <w:rPr>
          <w:lang w:val="fr-FR"/>
        </w:rPr>
      </w:pPr>
      <w:r w:rsidRPr="003E4442">
        <w:rPr>
          <w:lang w:val="fr-FR"/>
        </w:rPr>
        <w:t>Les redevances périodiques sont perçues pour couvrir les frais courants relatifs aux activités de gestion et le contrôle technique du spectre des fréquences qui ne découlent pas d'une action concrète des différents acteurs mais qui peuvent néanmoins leur être clairement imputées en tant que bénéficiaires. Les coûts de ces prestations sont répercutés sur les membres du groupe concerné sous la forme d’émoluments forfaitaires périodiques.</w:t>
      </w:r>
    </w:p>
    <w:p w:rsidR="003A5252" w:rsidRPr="003E4442" w:rsidRDefault="003A5252" w:rsidP="00FD23B9">
      <w:pPr>
        <w:bidi w:val="0"/>
        <w:spacing w:line="240" w:lineRule="auto"/>
        <w:rPr>
          <w:lang w:val="fr-FR"/>
        </w:rPr>
      </w:pPr>
      <w:r w:rsidRPr="003E4442">
        <w:rPr>
          <w:lang w:val="fr-FR"/>
        </w:rPr>
        <w:t>Afin d’être légale et conforme au principe de la couverture des coûts, la mise en place d’une comptabilité analytique a été nécessaire.</w:t>
      </w:r>
    </w:p>
    <w:p w:rsidR="003A5252" w:rsidRPr="003E4442" w:rsidRDefault="003A5252" w:rsidP="00FD23B9">
      <w:pPr>
        <w:pStyle w:val="Heading3"/>
        <w:bidi w:val="0"/>
        <w:spacing w:line="240" w:lineRule="auto"/>
        <w:rPr>
          <w:lang w:val="fr-CH"/>
        </w:rPr>
      </w:pPr>
      <w:bookmarkStart w:id="732" w:name="_Toc282768711"/>
      <w:r w:rsidRPr="003E4442">
        <w:rPr>
          <w:lang w:val="fr-CH"/>
        </w:rPr>
        <w:t>3.3.3</w:t>
      </w:r>
      <w:r w:rsidRPr="003E4442">
        <w:rPr>
          <w:lang w:val="fr-CH"/>
        </w:rPr>
        <w:tab/>
        <w:t>Prestations fournies gratuitement</w:t>
      </w:r>
      <w:bookmarkEnd w:id="732"/>
    </w:p>
    <w:p w:rsidR="003A5252" w:rsidRPr="003E4442" w:rsidRDefault="003A5252" w:rsidP="00FD23B9">
      <w:pPr>
        <w:bidi w:val="0"/>
        <w:spacing w:line="240" w:lineRule="auto"/>
        <w:rPr>
          <w:lang w:val="fr-CH"/>
        </w:rPr>
      </w:pPr>
      <w:r w:rsidRPr="003E4442">
        <w:rPr>
          <w:lang w:val="fr-CH"/>
        </w:rPr>
        <w:t xml:space="preserve">Les prestations pour lesquelles il n’est pas procédé à l’encaissement d’une redevance – ou où le montant de la redevance est « soldé » – doivent explicitement figurer dans la loi ou dans l'ordonnance. </w:t>
      </w:r>
    </w:p>
    <w:p w:rsidR="003A5252" w:rsidRPr="003E4442" w:rsidRDefault="003A5252" w:rsidP="00FD23B9">
      <w:pPr>
        <w:bidi w:val="0"/>
        <w:spacing w:line="240" w:lineRule="auto"/>
        <w:rPr>
          <w:lang w:val="fr-FR"/>
        </w:rPr>
      </w:pPr>
      <w:r w:rsidRPr="003E4442">
        <w:rPr>
          <w:lang w:val="fr-CH"/>
        </w:rPr>
        <w:t xml:space="preserve">Il mérite d’être relevé que </w:t>
      </w:r>
      <w:r w:rsidRPr="003E4442">
        <w:rPr>
          <w:lang w:val="fr-FR"/>
        </w:rPr>
        <w:t>pour des raisons pratiques</w:t>
      </w:r>
      <w:r w:rsidRPr="003E4442">
        <w:rPr>
          <w:lang w:val="fr-CH"/>
        </w:rPr>
        <w:t xml:space="preserve"> la redevance périodique pour la </w:t>
      </w:r>
      <w:r w:rsidRPr="003E4442">
        <w:rPr>
          <w:lang w:val="fr-FR"/>
        </w:rPr>
        <w:t xml:space="preserve">gestion et contrôle technique du spectre des fréquences ne peut être prélevée auprès des utilisateurs qui sont exemptés de l’obtention d’une autorisation pour avoir accès au spectre. Comme ils ne sont pas connus individuellement de l’autorité, aucune facture ne peut leur être adressée. </w:t>
      </w:r>
    </w:p>
    <w:p w:rsidR="003A5252" w:rsidRPr="003E4442" w:rsidRDefault="003A5252" w:rsidP="00FD23B9">
      <w:pPr>
        <w:pStyle w:val="Heading1"/>
        <w:bidi w:val="0"/>
        <w:spacing w:line="240" w:lineRule="auto"/>
        <w:rPr>
          <w:lang w:val="fr-FR"/>
        </w:rPr>
      </w:pPr>
      <w:bookmarkStart w:id="733" w:name="_Toc280260062"/>
      <w:bookmarkStart w:id="734" w:name="_Toc280260911"/>
      <w:bookmarkStart w:id="735" w:name="_Toc280272523"/>
      <w:bookmarkStart w:id="736" w:name="_Toc282768712"/>
      <w:r>
        <w:rPr>
          <w:lang w:val="fr-FR"/>
        </w:rPr>
        <w:t>4</w:t>
      </w:r>
      <w:r>
        <w:rPr>
          <w:lang w:val="fr-FR"/>
        </w:rPr>
        <w:tab/>
      </w:r>
      <w:r w:rsidRPr="003E4442">
        <w:rPr>
          <w:lang w:val="fr-FR"/>
        </w:rPr>
        <w:t>Conclusion</w:t>
      </w:r>
      <w:bookmarkEnd w:id="733"/>
      <w:bookmarkEnd w:id="734"/>
      <w:bookmarkEnd w:id="735"/>
      <w:bookmarkEnd w:id="736"/>
    </w:p>
    <w:p w:rsidR="003A5252" w:rsidRPr="003E4442" w:rsidRDefault="003A5252" w:rsidP="00FD23B9">
      <w:pPr>
        <w:bidi w:val="0"/>
        <w:spacing w:line="240" w:lineRule="auto"/>
        <w:rPr>
          <w:lang w:val="fr-FR"/>
        </w:rPr>
      </w:pPr>
      <w:r w:rsidRPr="003E4442">
        <w:rPr>
          <w:lang w:val="fr-FR"/>
        </w:rPr>
        <w:t xml:space="preserve">Le système </w:t>
      </w:r>
      <w:r w:rsidRPr="003E4442">
        <w:rPr>
          <w:i/>
          <w:lang w:val="fr-FR"/>
        </w:rPr>
        <w:t>mixte</w:t>
      </w:r>
      <w:r w:rsidRPr="003E4442">
        <w:rPr>
          <w:lang w:val="fr-FR"/>
        </w:rPr>
        <w:t xml:space="preserve"> appliqué en Suisse permet à l’autorité de gestion des fréquences d’avoir recours aux deux types de contributions au profit de l’Etat (taxes et redevances) pour son financement. Cette combinaison donne la faculté de couvrir la totalité des coûts afférant avec équité, dans le respect du droit (principe de la couverture des coûts) et avec souplesse. </w:t>
      </w:r>
    </w:p>
    <w:p w:rsidR="003A5252" w:rsidRPr="00190938" w:rsidRDefault="003A5252" w:rsidP="00FD23B9">
      <w:pPr>
        <w:bidi w:val="0"/>
        <w:spacing w:line="240" w:lineRule="auto"/>
        <w:rPr>
          <w:lang w:val="fr-FR"/>
        </w:rPr>
      </w:pPr>
      <w:r w:rsidRPr="003E4442">
        <w:rPr>
          <w:lang w:val="fr-FR"/>
        </w:rPr>
        <w:t>Pour finir, voici un schéma décrivant l’approche mixte:</w:t>
      </w:r>
    </w:p>
    <w:p w:rsidR="00AA5C49" w:rsidRPr="00190938" w:rsidRDefault="00AA5C49" w:rsidP="00AA5C49">
      <w:pPr>
        <w:rPr>
          <w:lang w:val="fr-FR"/>
        </w:rPr>
      </w:pPr>
    </w:p>
    <w:p w:rsidR="00AA5C49" w:rsidRPr="00B97E80" w:rsidRDefault="00AA5C49" w:rsidP="00AA5C49">
      <w:pPr>
        <w:tabs>
          <w:tab w:val="clear" w:pos="794"/>
          <w:tab w:val="clear" w:pos="1191"/>
          <w:tab w:val="clear" w:pos="1588"/>
          <w:tab w:val="clear" w:pos="1985"/>
        </w:tabs>
        <w:overflowPunct/>
        <w:autoSpaceDE/>
        <w:autoSpaceDN/>
        <w:adjustRightInd/>
        <w:spacing w:before="0"/>
        <w:jc w:val="left"/>
        <w:textAlignment w:val="auto"/>
        <w:rPr>
          <w:lang w:val="fr-CH"/>
        </w:rPr>
      </w:pPr>
      <w:r w:rsidRPr="00C14B03">
        <w:rPr>
          <w:highlight w:val="yellow"/>
          <w:lang w:val="fr-FR"/>
        </w:rPr>
      </w:r>
      <w:r w:rsidRPr="00C14B03">
        <w:rPr>
          <w:highlight w:val="yellow"/>
          <w:lang w:val="fr-FR"/>
        </w:rPr>
        <w:pict>
          <v:group id="_x0000_s1071" editas="canvas" style="width:491.35pt;height:253.2pt;mso-position-horizontal-relative:char;mso-position-vertical-relative:line" coordorigin="1345,7776" coordsize="9827,5064">
            <o:lock v:ext="edit" aspectratio="t"/>
            <v:shape id="_x0000_s1072" type="#_x0000_t75" style="position:absolute;left:1345;top:7776;width:9827;height:5064" o:preferrelative="f">
              <v:fill o:detectmouseclick="t"/>
              <v:path o:extrusionok="t" o:connecttype="none"/>
              <o:lock v:ext="edit" text="t"/>
            </v:shape>
            <v:rect id="_x0000_s1073" style="position:absolute;left:7510;top:10502;width:3491;height:1543;mso-wrap-style:none;v-text-anchor:middle" fillcolor="silver" stroked="f">
              <v:fill r:id="rId25" o:title="Diagonal weit nach oben" type="pattern"/>
            </v:rect>
            <v:rect id="_x0000_s1074" style="position:absolute;left:3931;top:8958;width:3579;height:1544;mso-wrap-style:none;v-text-anchor:middle" fillcolor="silver" stroked="f">
              <v:fill r:id="rId25" o:title="Diagonal weit nach oben" type="pattern"/>
            </v:rect>
            <v:line id="_x0000_s1075" style="position:absolute;mso-wrap-style:none;v-text-anchor:middle" from="1461,10502" to="10991,10503"/>
            <v:line id="_x0000_s1076" style="position:absolute;mso-wrap-style:none;v-text-anchor:middle" from="1461,8958" to="10991,8959"/>
            <v:line id="_x0000_s1077" style="position:absolute;mso-wrap-style:none;v-text-anchor:middle" from="1521,12038" to="11001,12045"/>
            <v:line id="_x0000_s1078" style="position:absolute;flip:y;mso-wrap-style:none;v-text-anchor:middle" from="3931,7826" to="3932,12045"/>
            <v:line id="_x0000_s1079" style="position:absolute;flip:y;mso-wrap-style:none;v-text-anchor:middle" from="11001,7826" to="11002,12045"/>
            <v:line id="_x0000_s1080" style="position:absolute;flip:y;mso-wrap-style:none;v-text-anchor:middle" from="7510,8186" to="7511,12045"/>
            <v:shape id="_x0000_s1081" type="#_x0000_t202" style="position:absolute;left:1499;top:9228;width:2302;height:694" filled="f" fillcolor="silver" stroked="f">
              <v:textbox style="mso-next-textbox:#_x0000_s1081;mso-fit-shape-to-text:t">
                <w:txbxContent>
                  <w:p w:rsidR="00AA5C49" w:rsidRPr="008D5FB5" w:rsidRDefault="00AA5C49" w:rsidP="00AA5C49">
                    <w:pPr>
                      <w:jc w:val="left"/>
                      <w:rPr>
                        <w:bCs/>
                        <w:color w:val="000000"/>
                      </w:rPr>
                    </w:pPr>
                    <w:r w:rsidRPr="00671F66">
                      <w:rPr>
                        <w:b/>
                        <w:bCs/>
                        <w:color w:val="000000"/>
                      </w:rPr>
                      <w:t>Redevances</w:t>
                    </w:r>
                    <w:r w:rsidRPr="008D5FB5">
                      <w:rPr>
                        <w:bCs/>
                        <w:color w:val="000000"/>
                      </w:rPr>
                      <w:t xml:space="preserve"> – pleine couverture des coûts</w:t>
                    </w:r>
                  </w:p>
                </w:txbxContent>
              </v:textbox>
            </v:shape>
            <v:shape id="_x0000_s1082" type="#_x0000_t202" style="position:absolute;left:1461;top:10706;width:2385;height:821" filled="f" fillcolor="#bbe0e3" stroked="f">
              <v:textbox style="mso-next-textbox:#_x0000_s1082">
                <w:txbxContent>
                  <w:p w:rsidR="00AA5C49" w:rsidRPr="00573358" w:rsidRDefault="00AA5C49" w:rsidP="00AA5C49">
                    <w:pPr>
                      <w:jc w:val="left"/>
                      <w:rPr>
                        <w:bCs/>
                        <w:color w:val="000000"/>
                      </w:rPr>
                    </w:pPr>
                    <w:r w:rsidRPr="00573358">
                      <w:rPr>
                        <w:bCs/>
                        <w:color w:val="000000"/>
                      </w:rPr>
                      <w:t>Budget général de l’État</w:t>
                    </w:r>
                    <w:r>
                      <w:rPr>
                        <w:bCs/>
                        <w:color w:val="000000"/>
                      </w:rPr>
                      <w:t xml:space="preserve"> </w:t>
                    </w:r>
                    <w:r w:rsidRPr="00573358">
                      <w:rPr>
                        <w:bCs/>
                        <w:color w:val="000000"/>
                      </w:rPr>
                      <w:t>*</w:t>
                    </w:r>
                  </w:p>
                </w:txbxContent>
              </v:textbox>
            </v:shape>
            <v:line id="_x0000_s1083" style="position:absolute;mso-wrap-style:none;v-text-anchor:middle" from="3931,8185" to="11001,8186"/>
            <v:shape id="_x0000_s1084" type="#_x0000_t202" style="position:absolute;left:5781;top:7776;width:3954;height:408" filled="f" fillcolor="#bbe0e3" stroked="f">
              <v:textbox style="mso-next-textbox:#_x0000_s1084">
                <w:txbxContent>
                  <w:p w:rsidR="00AA5C49" w:rsidRPr="00C912C1" w:rsidRDefault="00AA5C49" w:rsidP="00AA5C49">
                    <w:pPr>
                      <w:spacing w:before="0"/>
                      <w:rPr>
                        <w:color w:val="000000"/>
                        <w:lang w:val="fr-CH"/>
                      </w:rPr>
                    </w:pPr>
                    <w:r w:rsidRPr="00C912C1">
                      <w:rPr>
                        <w:color w:val="000000"/>
                        <w:lang w:val="fr-CH"/>
                      </w:rPr>
                      <w:t>Nature du récipiendaire du “service”</w:t>
                    </w:r>
                  </w:p>
                </w:txbxContent>
              </v:textbox>
            </v:shape>
            <v:shape id="_x0000_s1085" type="#_x0000_t202" style="position:absolute;left:7476;top:8313;width:3505;height:823" filled="f" fillcolor="#bbe0e3" stroked="f">
              <v:textbox style="mso-next-textbox:#_x0000_s1085">
                <w:txbxContent>
                  <w:p w:rsidR="00AA5C49" w:rsidRPr="00190938" w:rsidRDefault="00AA5C49" w:rsidP="00AA5C49">
                    <w:pPr>
                      <w:spacing w:before="0"/>
                      <w:jc w:val="center"/>
                      <w:rPr>
                        <w:bCs/>
                        <w:color w:val="000000"/>
                        <w:lang w:val="fr-FR"/>
                      </w:rPr>
                    </w:pPr>
                    <w:r w:rsidRPr="00190938">
                      <w:rPr>
                        <w:bCs/>
                        <w:color w:val="000000"/>
                        <w:lang w:val="fr-FR"/>
                      </w:rPr>
                      <w:t>Parlement, gouvernement, autres entités de l’administration</w:t>
                    </w:r>
                  </w:p>
                </w:txbxContent>
              </v:textbox>
            </v:shape>
            <v:shape id="_x0000_s1086" type="#_x0000_t202" style="position:absolute;left:4506;top:8368;width:2535;height:598" filled="f" fillcolor="#bbe0e3" stroked="f">
              <v:textbox style="mso-next-textbox:#_x0000_s1086">
                <w:txbxContent>
                  <w:p w:rsidR="00AA5C49" w:rsidRPr="00573358" w:rsidRDefault="00AA5C49" w:rsidP="00AA5C49">
                    <w:pPr>
                      <w:spacing w:before="0"/>
                      <w:rPr>
                        <w:bCs/>
                        <w:color w:val="000000"/>
                      </w:rPr>
                    </w:pPr>
                    <w:r w:rsidRPr="00573358">
                      <w:rPr>
                        <w:bCs/>
                        <w:color w:val="000000"/>
                      </w:rPr>
                      <w:t>Partie tierce privée</w:t>
                    </w:r>
                  </w:p>
                </w:txbxContent>
              </v:textbox>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87" type="#_x0000_t172" style="position:absolute;left:4701;top:9266;width:2115;height:892" adj="7802" fillcolor="black">
              <v:shadow color="#868686"/>
              <v:textpath style="font-family:&quot;Verdana&quot;;font-size:12pt;v-text-kern:t" trim="t" fitpath="t" string="Précepte pour financer &#10;les &quot;services&quot;"/>
            </v:shape>
            <v:shape id="_x0000_s1088" type="#_x0000_t172" style="position:absolute;left:8166;top:10886;width:2115;height:892" adj="7802" fillcolor="black">
              <v:shadow color="#868686"/>
              <v:textpath style="font-family:&quot;Verdana&quot;;font-size:12pt;v-text-kern:t" trim="t" fitpath="t" string="Précepte pour financer &#10;les &quot;services&quot;"/>
            </v:shape>
            <v:shape id="_x0000_s1089" type="#_x0000_t202" style="position:absolute;left:7849;top:9086;width:2896;height:1080" filled="f" fillcolor="#bbe0e3" stroked="f">
              <v:textbox style="mso-next-textbox:#_x0000_s1089">
                <w:txbxContent>
                  <w:p w:rsidR="00AA5C49" w:rsidRPr="00190938" w:rsidRDefault="00AA5C49" w:rsidP="00AA5C49">
                    <w:pPr>
                      <w:spacing w:before="0"/>
                      <w:rPr>
                        <w:bCs/>
                        <w:color w:val="000000"/>
                        <w:lang w:val="fr-FR"/>
                      </w:rPr>
                    </w:pPr>
                    <w:r w:rsidRPr="00190938">
                      <w:rPr>
                        <w:bCs/>
                        <w:color w:val="000000"/>
                        <w:lang w:val="fr-FR"/>
                      </w:rPr>
                      <w:t>Lorsque le récipiendaire peut être considéré comme une partie tierce privée</w:t>
                    </w:r>
                  </w:p>
                </w:txbxContent>
              </v:textbox>
            </v:shape>
            <v:shape id="_x0000_s1090" type="#_x0000_t202" style="position:absolute;left:4016;top:10706;width:3408;height:899" filled="f" fillcolor="#bbe0e3" stroked="f">
              <v:textbox style="mso-next-textbox:#_x0000_s1090">
                <w:txbxContent>
                  <w:p w:rsidR="00AA5C49" w:rsidRPr="00190938" w:rsidRDefault="00AA5C49" w:rsidP="00AA5C49">
                    <w:pPr>
                      <w:jc w:val="center"/>
                      <w:rPr>
                        <w:bCs/>
                        <w:color w:val="000000"/>
                        <w:lang w:val="fr-FR"/>
                      </w:rPr>
                    </w:pPr>
                    <w:r w:rsidRPr="00190938">
                      <w:rPr>
                        <w:bCs/>
                        <w:color w:val="000000"/>
                        <w:lang w:val="fr-FR"/>
                      </w:rPr>
                      <w:t>Lorsque la loi prévoit qu’une facturation n’a pas lieu</w:t>
                    </w:r>
                  </w:p>
                </w:txbxContent>
              </v:textbox>
            </v:shape>
            <v:shape id="_x0000_s1091" type="#_x0000_t202" style="position:absolute;left:1812;top:12026;width:9360;height:814" filled="f" stroked="f">
              <v:textbox style="mso-next-textbox:#_x0000_s1091">
                <w:txbxContent>
                  <w:p w:rsidR="00AA5C49" w:rsidRPr="006012EE" w:rsidRDefault="00AA5C49" w:rsidP="00AA5C49">
                    <w:pPr>
                      <w:pStyle w:val="CEORevision2"/>
                      <w:tabs>
                        <w:tab w:val="left" w:pos="-5245"/>
                        <w:tab w:val="left" w:pos="284"/>
                      </w:tabs>
                      <w:ind w:left="284" w:hanging="284"/>
                      <w:rPr>
                        <w:lang w:val="fr-FR"/>
                      </w:rPr>
                    </w:pPr>
                    <w:r w:rsidRPr="006012EE">
                      <w:rPr>
                        <w:lang w:val="fr-FR"/>
                      </w:rPr>
                      <w:t>*</w:t>
                    </w:r>
                    <w:r w:rsidRPr="006012EE">
                      <w:rPr>
                        <w:lang w:val="fr-FR"/>
                      </w:rPr>
                      <w:tab/>
                      <w:t xml:space="preserve">En Suisse, la part requise du budget général est couverte d’un point de vue calculatoire par les revenus totaux provenant de la perception des </w:t>
                    </w:r>
                    <w:r w:rsidRPr="006012EE">
                      <w:rPr>
                        <w:b/>
                        <w:lang w:val="fr-FR"/>
                      </w:rPr>
                      <w:t>taxes d’utilisation du spectre</w:t>
                    </w:r>
                  </w:p>
                </w:txbxContent>
              </v:textbox>
            </v:shape>
            <w10:wrap type="none"/>
            <w10:anchorlock/>
          </v:group>
        </w:pict>
      </w:r>
    </w:p>
    <w:p w:rsidR="00AA5C49" w:rsidRDefault="00AA5C49" w:rsidP="00AA5C49">
      <w:pPr>
        <w:tabs>
          <w:tab w:val="clear" w:pos="794"/>
          <w:tab w:val="clear" w:pos="1191"/>
          <w:tab w:val="clear" w:pos="1588"/>
          <w:tab w:val="clear" w:pos="1985"/>
        </w:tabs>
        <w:overflowPunct/>
        <w:autoSpaceDE/>
        <w:autoSpaceDN/>
        <w:adjustRightInd/>
        <w:spacing w:before="0"/>
        <w:jc w:val="left"/>
        <w:textAlignment w:val="auto"/>
        <w:rPr>
          <w:lang w:val="fr-CH"/>
        </w:rPr>
      </w:pPr>
    </w:p>
    <w:p w:rsidR="003A5252" w:rsidRPr="00AA5C49" w:rsidRDefault="003A5252" w:rsidP="00FD23B9">
      <w:pPr>
        <w:tabs>
          <w:tab w:val="clear" w:pos="794"/>
          <w:tab w:val="clear" w:pos="1191"/>
          <w:tab w:val="clear" w:pos="1588"/>
          <w:tab w:val="clear" w:pos="1985"/>
        </w:tabs>
        <w:overflowPunct/>
        <w:autoSpaceDE/>
        <w:autoSpaceDN/>
        <w:bidi w:val="0"/>
        <w:adjustRightInd/>
        <w:spacing w:before="0" w:line="240" w:lineRule="auto"/>
        <w:jc w:val="left"/>
        <w:textAlignment w:val="auto"/>
        <w:rPr>
          <w:lang w:val="fr-CH"/>
        </w:rPr>
      </w:pPr>
      <w:r w:rsidRPr="00AA5C49">
        <w:rPr>
          <w:lang w:val="fr-CH"/>
        </w:rPr>
        <w:br w:type="page"/>
      </w:r>
    </w:p>
    <w:p w:rsidR="003A5252" w:rsidRPr="00BB3B03" w:rsidRDefault="003A5252" w:rsidP="0049484E">
      <w:pPr>
        <w:pStyle w:val="AppendixNotitle"/>
      </w:pPr>
      <w:bookmarkStart w:id="737" w:name="_Toc280260063"/>
      <w:bookmarkStart w:id="738" w:name="_Toc280260912"/>
      <w:bookmarkStart w:id="739" w:name="_Toc280272524"/>
      <w:bookmarkStart w:id="740" w:name="_Toc282768713"/>
      <w:r>
        <w:lastRenderedPageBreak/>
        <w:t>Appendix 3.1 (English)</w:t>
      </w:r>
      <w:r>
        <w:br/>
      </w:r>
      <w:r>
        <w:br/>
      </w:r>
      <w:r w:rsidRPr="00BB3B03">
        <w:t xml:space="preserve">Example of fee system for frequency utilization in </w:t>
      </w:r>
      <w:smartTag w:uri="urn:schemas-microsoft-com:office:smarttags" w:element="place">
        <w:smartTag w:uri="urn:schemas-microsoft-com:office:smarttags" w:element="country-region">
          <w:r w:rsidRPr="00BB3B03">
            <w:t>Côte d'Ivoire</w:t>
          </w:r>
        </w:smartTag>
      </w:smartTag>
      <w:bookmarkEnd w:id="737"/>
      <w:bookmarkEnd w:id="738"/>
      <w:bookmarkEnd w:id="739"/>
      <w:bookmarkEnd w:id="740"/>
    </w:p>
    <w:p w:rsidR="003A5252" w:rsidRDefault="003A5252" w:rsidP="00FD23B9">
      <w:pPr>
        <w:bidi w:val="0"/>
        <w:spacing w:line="240" w:lineRule="auto"/>
      </w:pPr>
    </w:p>
    <w:p w:rsidR="003A5252" w:rsidRDefault="003A5252" w:rsidP="00FD23B9">
      <w:pPr>
        <w:pStyle w:val="Heading1"/>
        <w:bidi w:val="0"/>
        <w:spacing w:line="240" w:lineRule="auto"/>
      </w:pPr>
      <w:bookmarkStart w:id="741" w:name="_Toc280260064"/>
      <w:bookmarkStart w:id="742" w:name="_Toc280260913"/>
      <w:bookmarkStart w:id="743" w:name="_Toc280272525"/>
      <w:bookmarkStart w:id="744" w:name="_Toc282768714"/>
      <w:r>
        <w:t>I</w:t>
      </w:r>
      <w:r>
        <w:rPr>
          <w:i/>
          <w:iCs/>
        </w:rPr>
        <w:tab/>
      </w:r>
      <w:r>
        <w:t>INTRODUCTION</w:t>
      </w:r>
      <w:bookmarkEnd w:id="741"/>
      <w:bookmarkEnd w:id="742"/>
      <w:bookmarkEnd w:id="743"/>
      <w:bookmarkEnd w:id="744"/>
    </w:p>
    <w:p w:rsidR="003A5252" w:rsidRPr="007E2B73" w:rsidRDefault="003A5252" w:rsidP="00FD23B9">
      <w:pPr>
        <w:bidi w:val="0"/>
        <w:spacing w:line="240" w:lineRule="auto"/>
        <w:rPr>
          <w:lang w:val="en-US"/>
        </w:rPr>
      </w:pPr>
      <w:r w:rsidRPr="00BF3EA1">
        <w:rPr>
          <w:lang w:val="en-US"/>
        </w:rPr>
        <w:t xml:space="preserve">It is important for the administration to </w:t>
      </w:r>
      <w:r w:rsidRPr="007E2B73">
        <w:rPr>
          <w:lang w:val="en-US"/>
        </w:rPr>
        <w:t xml:space="preserve">identify how to ensure that it receives sufficient income to cover the costs of an effective spectrum management programme. The sound financing of spectrum management may prove decisive in the successful introduction of new spectrum-using services, and their harmful interference-free operation. </w:t>
      </w:r>
    </w:p>
    <w:p w:rsidR="003A5252" w:rsidRPr="007E2B73" w:rsidRDefault="003A5252" w:rsidP="00FD23B9">
      <w:pPr>
        <w:bidi w:val="0"/>
        <w:spacing w:line="240" w:lineRule="auto"/>
        <w:rPr>
          <w:lang w:val="en-US"/>
        </w:rPr>
      </w:pPr>
      <w:r w:rsidRPr="007E2B73">
        <w:rPr>
          <w:lang w:val="en-US"/>
        </w:rPr>
        <w:t>In addition, a properly financed national spectrum management programme offers opportunities to service providers and equipment manufacturers, thus greatly contributing to economic growth.</w:t>
      </w:r>
    </w:p>
    <w:p w:rsidR="003A5252" w:rsidRPr="007E2B73" w:rsidRDefault="003A5252" w:rsidP="00FD23B9">
      <w:pPr>
        <w:bidi w:val="0"/>
        <w:spacing w:line="240" w:lineRule="auto"/>
        <w:rPr>
          <w:lang w:val="en-US"/>
        </w:rPr>
      </w:pPr>
      <w:r w:rsidRPr="007E2B73">
        <w:rPr>
          <w:lang w:val="en-US"/>
        </w:rPr>
        <w:t>On the contrary, poor financing can mean the failure or delayed implementation of important radiocommunication services.</w:t>
      </w:r>
    </w:p>
    <w:p w:rsidR="003A5252" w:rsidRPr="007E2B73" w:rsidRDefault="003A5252" w:rsidP="00FD23B9">
      <w:pPr>
        <w:bidi w:val="0"/>
        <w:spacing w:line="240" w:lineRule="auto"/>
        <w:rPr>
          <w:lang w:val="en-US"/>
        </w:rPr>
      </w:pPr>
      <w:r w:rsidRPr="007E2B73">
        <w:rPr>
          <w:lang w:val="en-US"/>
        </w:rPr>
        <w:t>To provide for this financing, charges and fees for licences are charged to spectrum users. The amount charged depends on the extent of spectrum utilization and the economic advantage deriving therefrom.</w:t>
      </w:r>
    </w:p>
    <w:p w:rsidR="003A5252" w:rsidRDefault="003A5252" w:rsidP="00FD23B9">
      <w:pPr>
        <w:pStyle w:val="Heading1"/>
        <w:bidi w:val="0"/>
        <w:spacing w:line="240" w:lineRule="auto"/>
      </w:pPr>
      <w:bookmarkStart w:id="745" w:name="_Toc280260065"/>
      <w:bookmarkStart w:id="746" w:name="_Toc280260914"/>
      <w:bookmarkStart w:id="747" w:name="_Toc280272526"/>
      <w:bookmarkStart w:id="748" w:name="_Toc282768715"/>
      <w:r>
        <w:t>II</w:t>
      </w:r>
      <w:r>
        <w:tab/>
        <w:t>RADIO NETWORK INVOICING SYSTEM</w:t>
      </w:r>
      <w:bookmarkEnd w:id="745"/>
      <w:bookmarkEnd w:id="746"/>
      <w:bookmarkEnd w:id="747"/>
      <w:bookmarkEnd w:id="748"/>
    </w:p>
    <w:p w:rsidR="003A5252" w:rsidRPr="007E2B73" w:rsidRDefault="003A5252" w:rsidP="00FD23B9">
      <w:pPr>
        <w:bidi w:val="0"/>
        <w:spacing w:line="240" w:lineRule="auto"/>
        <w:rPr>
          <w:lang w:val="en-US"/>
        </w:rPr>
      </w:pPr>
      <w:r w:rsidRPr="007E2B73">
        <w:rPr>
          <w:lang w:val="en-US"/>
        </w:rPr>
        <w:t>Charging in Côte d'Ivoire is based on the following:</w:t>
      </w:r>
    </w:p>
    <w:p w:rsidR="003A5252" w:rsidRPr="00AA5C49" w:rsidRDefault="003A5252" w:rsidP="00FD23B9">
      <w:pPr>
        <w:pStyle w:val="enumlev1"/>
        <w:bidi w:val="0"/>
        <w:spacing w:line="240" w:lineRule="auto"/>
        <w:rPr>
          <w:lang w:val="en-US"/>
        </w:rPr>
      </w:pPr>
      <w:r w:rsidRPr="00AA5C49">
        <w:rPr>
          <w:lang w:val="en-US"/>
        </w:rPr>
        <w:t>a)</w:t>
      </w:r>
      <w:r w:rsidRPr="00AA5C49">
        <w:rPr>
          <w:lang w:val="en-US"/>
        </w:rPr>
        <w:tab/>
        <w:t>the radio frequency;</w:t>
      </w:r>
    </w:p>
    <w:p w:rsidR="003A5252" w:rsidRPr="00AA5C49" w:rsidRDefault="003A5252" w:rsidP="00FD23B9">
      <w:pPr>
        <w:pStyle w:val="enumlev1"/>
        <w:bidi w:val="0"/>
        <w:spacing w:line="240" w:lineRule="auto"/>
        <w:rPr>
          <w:lang w:val="en-US"/>
        </w:rPr>
      </w:pPr>
      <w:r w:rsidRPr="00AA5C49">
        <w:rPr>
          <w:lang w:val="en-US"/>
        </w:rPr>
        <w:t>b)</w:t>
      </w:r>
      <w:r w:rsidRPr="00AA5C49">
        <w:rPr>
          <w:lang w:val="en-US"/>
        </w:rPr>
        <w:tab/>
        <w:t>the amount of spectrum assigned, e.g. bandwidth;</w:t>
      </w:r>
    </w:p>
    <w:p w:rsidR="003A5252" w:rsidRPr="00AA5C49" w:rsidRDefault="003A5252" w:rsidP="00FD23B9">
      <w:pPr>
        <w:pStyle w:val="enumlev1"/>
        <w:bidi w:val="0"/>
        <w:spacing w:line="240" w:lineRule="auto"/>
        <w:rPr>
          <w:lang w:val="en-US"/>
        </w:rPr>
      </w:pPr>
      <w:r w:rsidRPr="00AA5C49">
        <w:rPr>
          <w:lang w:val="en-US"/>
        </w:rPr>
        <w:t>c)</w:t>
      </w:r>
      <w:r w:rsidRPr="00AA5C49">
        <w:rPr>
          <w:lang w:val="en-US"/>
        </w:rPr>
        <w:tab/>
        <w:t>the channels or links;</w:t>
      </w:r>
    </w:p>
    <w:p w:rsidR="003A5252" w:rsidRPr="00AA5C49" w:rsidRDefault="003A5252" w:rsidP="00FD23B9">
      <w:pPr>
        <w:pStyle w:val="enumlev1"/>
        <w:bidi w:val="0"/>
        <w:spacing w:line="240" w:lineRule="auto"/>
        <w:rPr>
          <w:lang w:val="en-US"/>
        </w:rPr>
      </w:pPr>
      <w:r w:rsidRPr="00AA5C49">
        <w:rPr>
          <w:lang w:val="en-US"/>
        </w:rPr>
        <w:t>d)</w:t>
      </w:r>
      <w:r w:rsidRPr="00AA5C49">
        <w:rPr>
          <w:lang w:val="en-US"/>
        </w:rPr>
        <w:tab/>
        <w:t>the load level of the channels (or links) (bit rate, capacity);</w:t>
      </w:r>
    </w:p>
    <w:p w:rsidR="003A5252" w:rsidRPr="00AA5C49" w:rsidRDefault="003A5252" w:rsidP="00FD23B9">
      <w:pPr>
        <w:pStyle w:val="enumlev1"/>
        <w:bidi w:val="0"/>
        <w:spacing w:line="240" w:lineRule="auto"/>
        <w:rPr>
          <w:lang w:val="en-US"/>
        </w:rPr>
      </w:pPr>
      <w:r w:rsidRPr="00AA5C49">
        <w:rPr>
          <w:lang w:val="en-US"/>
        </w:rPr>
        <w:t>e)</w:t>
      </w:r>
      <w:r w:rsidRPr="00AA5C49">
        <w:rPr>
          <w:lang w:val="en-US"/>
        </w:rPr>
        <w:tab/>
        <w:t>the spectrum efficiency of equipment used;</w:t>
      </w:r>
    </w:p>
    <w:p w:rsidR="003A5252" w:rsidRPr="00AA5C49" w:rsidRDefault="003A5252" w:rsidP="00FD23B9">
      <w:pPr>
        <w:pStyle w:val="enumlev1"/>
        <w:bidi w:val="0"/>
        <w:spacing w:line="240" w:lineRule="auto"/>
        <w:rPr>
          <w:lang w:val="en-US"/>
        </w:rPr>
      </w:pPr>
      <w:r w:rsidRPr="00AA5C49">
        <w:rPr>
          <w:lang w:val="en-US"/>
        </w:rPr>
        <w:t>f)</w:t>
      </w:r>
      <w:r w:rsidRPr="00AA5C49">
        <w:rPr>
          <w:lang w:val="en-US"/>
        </w:rPr>
        <w:tab/>
        <w:t>power and coverage area;</w:t>
      </w:r>
    </w:p>
    <w:p w:rsidR="003A5252" w:rsidRPr="00AA5C49" w:rsidRDefault="003A5252" w:rsidP="00FD23B9">
      <w:pPr>
        <w:pStyle w:val="enumlev1"/>
        <w:bidi w:val="0"/>
        <w:spacing w:line="240" w:lineRule="auto"/>
        <w:rPr>
          <w:lang w:val="en-US"/>
        </w:rPr>
      </w:pPr>
      <w:r w:rsidRPr="00AA5C49">
        <w:rPr>
          <w:lang w:val="en-US"/>
        </w:rPr>
        <w:t>g)</w:t>
      </w:r>
      <w:r w:rsidRPr="00AA5C49">
        <w:rPr>
          <w:lang w:val="en-US"/>
        </w:rPr>
        <w:tab/>
        <w:t>nature of frequency utilization (private or commercial);</w:t>
      </w:r>
    </w:p>
    <w:p w:rsidR="003A5252" w:rsidRPr="00AA5C49" w:rsidRDefault="003A5252" w:rsidP="00FD23B9">
      <w:pPr>
        <w:pStyle w:val="enumlev1"/>
        <w:bidi w:val="0"/>
        <w:spacing w:line="240" w:lineRule="auto"/>
        <w:rPr>
          <w:lang w:val="en-US"/>
        </w:rPr>
      </w:pPr>
      <w:r w:rsidRPr="00AA5C49">
        <w:rPr>
          <w:lang w:val="en-US"/>
        </w:rPr>
        <w:t>h)</w:t>
      </w:r>
      <w:r w:rsidRPr="00AA5C49">
        <w:rPr>
          <w:lang w:val="en-US"/>
        </w:rPr>
        <w:tab/>
        <w:t>geographical location.</w:t>
      </w:r>
    </w:p>
    <w:p w:rsidR="003A5252" w:rsidRPr="003309ED" w:rsidRDefault="003A5252" w:rsidP="00FD23B9">
      <w:pPr>
        <w:pStyle w:val="CEONormal"/>
        <w:rPr>
          <w:rFonts w:asciiTheme="majorBidi" w:hAnsiTheme="majorBidi" w:cstheme="majorBidi"/>
          <w:sz w:val="22"/>
          <w:szCs w:val="22"/>
          <w:lang w:val="en-US"/>
        </w:rPr>
      </w:pPr>
      <w:r w:rsidRPr="003309ED">
        <w:rPr>
          <w:rFonts w:asciiTheme="majorBidi" w:hAnsiTheme="majorBidi" w:cstheme="majorBidi"/>
          <w:sz w:val="22"/>
          <w:szCs w:val="22"/>
          <w:lang w:val="en-US"/>
        </w:rPr>
        <w:t>Given the complexity of the frequency assignment operations, fees are calculated for each type of licence.</w:t>
      </w:r>
    </w:p>
    <w:p w:rsidR="003A5252" w:rsidRPr="003309ED" w:rsidRDefault="003A5252" w:rsidP="00FD23B9">
      <w:pPr>
        <w:pStyle w:val="CEONormal"/>
        <w:rPr>
          <w:rFonts w:asciiTheme="majorBidi" w:hAnsiTheme="majorBidi" w:cstheme="majorBidi"/>
          <w:sz w:val="22"/>
          <w:szCs w:val="22"/>
          <w:lang w:val="en-US"/>
        </w:rPr>
      </w:pPr>
      <w:r w:rsidRPr="003309ED">
        <w:rPr>
          <w:rFonts w:asciiTheme="majorBidi" w:hAnsiTheme="majorBidi" w:cstheme="majorBidi"/>
          <w:sz w:val="22"/>
          <w:szCs w:val="22"/>
          <w:lang w:val="en-US"/>
        </w:rPr>
        <w:t>Côte d'Ivoire legislation (decree 97-173 of 19 March 1997) thus establishes five (05) items for invoicing the various different networks, as follows:</w:t>
      </w:r>
    </w:p>
    <w:p w:rsidR="003A5252" w:rsidRPr="00AA5C49" w:rsidRDefault="003A5252" w:rsidP="00FD23B9">
      <w:pPr>
        <w:pStyle w:val="enumlev1"/>
        <w:bidi w:val="0"/>
        <w:spacing w:line="240" w:lineRule="auto"/>
        <w:rPr>
          <w:lang w:val="en-US"/>
        </w:rPr>
      </w:pPr>
      <w:r w:rsidRPr="00AA5C49">
        <w:rPr>
          <w:lang w:val="en-US"/>
        </w:rPr>
        <w:t>–</w:t>
      </w:r>
      <w:r w:rsidRPr="00AA5C49">
        <w:rPr>
          <w:lang w:val="en-US"/>
        </w:rPr>
        <w:tab/>
        <w:t>file fee;</w:t>
      </w:r>
    </w:p>
    <w:p w:rsidR="003A5252" w:rsidRPr="00AA5C49" w:rsidRDefault="003A5252" w:rsidP="00FD23B9">
      <w:pPr>
        <w:pStyle w:val="enumlev1"/>
        <w:bidi w:val="0"/>
        <w:spacing w:line="240" w:lineRule="auto"/>
        <w:rPr>
          <w:lang w:val="en-US"/>
        </w:rPr>
      </w:pPr>
      <w:r w:rsidRPr="00AA5C49">
        <w:rPr>
          <w:lang w:val="en-US"/>
        </w:rPr>
        <w:t>–</w:t>
      </w:r>
      <w:r w:rsidRPr="00AA5C49">
        <w:rPr>
          <w:lang w:val="en-US"/>
        </w:rPr>
        <w:tab/>
        <w:t>radio station control fee;</w:t>
      </w:r>
    </w:p>
    <w:p w:rsidR="003A5252" w:rsidRPr="007E2B73" w:rsidRDefault="003A5252" w:rsidP="00FD23B9">
      <w:pPr>
        <w:pStyle w:val="enumlev1"/>
        <w:bidi w:val="0"/>
        <w:spacing w:line="240" w:lineRule="auto"/>
        <w:rPr>
          <w:lang w:val="en-US"/>
        </w:rPr>
      </w:pPr>
      <w:r>
        <w:rPr>
          <w:lang w:val="en-US"/>
        </w:rPr>
        <w:t>–</w:t>
      </w:r>
      <w:r>
        <w:rPr>
          <w:lang w:val="en-US"/>
        </w:rPr>
        <w:tab/>
      </w:r>
      <w:r w:rsidRPr="007E2B73">
        <w:rPr>
          <w:lang w:val="en-US"/>
        </w:rPr>
        <w:t>contribution to offsetting management costs;</w:t>
      </w:r>
    </w:p>
    <w:p w:rsidR="003A5252" w:rsidRPr="00AA5C49" w:rsidRDefault="003A5252" w:rsidP="00FD23B9">
      <w:pPr>
        <w:pStyle w:val="enumlev1"/>
        <w:bidi w:val="0"/>
        <w:spacing w:line="240" w:lineRule="auto"/>
        <w:rPr>
          <w:lang w:val="en-US"/>
        </w:rPr>
      </w:pPr>
      <w:r w:rsidRPr="00AA5C49">
        <w:rPr>
          <w:lang w:val="en-US"/>
        </w:rPr>
        <w:t>–</w:t>
      </w:r>
      <w:r w:rsidRPr="00AA5C49">
        <w:rPr>
          <w:lang w:val="en-US"/>
        </w:rPr>
        <w:tab/>
        <w:t>radio frequency utilization fee;</w:t>
      </w:r>
    </w:p>
    <w:p w:rsidR="003A5252" w:rsidRPr="00AA5C49" w:rsidRDefault="003A5252" w:rsidP="00FD23B9">
      <w:pPr>
        <w:pStyle w:val="enumlev1"/>
        <w:bidi w:val="0"/>
        <w:spacing w:line="240" w:lineRule="auto"/>
        <w:rPr>
          <w:lang w:val="en-US"/>
        </w:rPr>
      </w:pPr>
      <w:r w:rsidRPr="00AA5C49">
        <w:rPr>
          <w:lang w:val="en-US"/>
        </w:rPr>
        <w:t>–</w:t>
      </w:r>
      <w:r w:rsidRPr="00AA5C49">
        <w:rPr>
          <w:lang w:val="en-US"/>
        </w:rPr>
        <w:tab/>
        <w:t>sticker fee.</w:t>
      </w:r>
    </w:p>
    <w:p w:rsidR="003A5252" w:rsidRPr="007E2B73" w:rsidRDefault="003A5252" w:rsidP="00FD23B9">
      <w:pPr>
        <w:bidi w:val="0"/>
        <w:spacing w:line="240" w:lineRule="auto"/>
        <w:rPr>
          <w:lang w:val="en-US"/>
        </w:rPr>
      </w:pPr>
      <w:r w:rsidRPr="007E2B73">
        <w:rPr>
          <w:lang w:val="en-US"/>
        </w:rPr>
        <w:t>All the amounts are established on a lump-sum basis.</w:t>
      </w:r>
    </w:p>
    <w:p w:rsidR="003A5252" w:rsidRPr="000D128F" w:rsidRDefault="003A5252" w:rsidP="00FD23B9">
      <w:pPr>
        <w:bidi w:val="0"/>
        <w:spacing w:line="240" w:lineRule="auto"/>
        <w:rPr>
          <w:b/>
          <w:bCs/>
        </w:rPr>
      </w:pPr>
      <w:r w:rsidRPr="000D128F">
        <w:rPr>
          <w:b/>
          <w:bCs/>
        </w:rPr>
        <w:t>File fee</w:t>
      </w:r>
    </w:p>
    <w:p w:rsidR="003A5252" w:rsidRPr="007E2B73" w:rsidRDefault="003A5252" w:rsidP="00FD23B9">
      <w:pPr>
        <w:bidi w:val="0"/>
        <w:spacing w:line="240" w:lineRule="auto"/>
        <w:rPr>
          <w:lang w:val="en-US"/>
        </w:rPr>
      </w:pPr>
      <w:r w:rsidRPr="007E2B73">
        <w:rPr>
          <w:lang w:val="en-US"/>
        </w:rPr>
        <w:t>The file fee covers the costs of studying and opening a file.</w:t>
      </w:r>
    </w:p>
    <w:p w:rsidR="003A5252" w:rsidRPr="007E2B73" w:rsidRDefault="003A5252" w:rsidP="00FD23B9">
      <w:pPr>
        <w:bidi w:val="0"/>
        <w:spacing w:line="240" w:lineRule="auto"/>
        <w:rPr>
          <w:lang w:val="en-US"/>
        </w:rPr>
      </w:pPr>
      <w:r w:rsidRPr="007E2B73">
        <w:rPr>
          <w:lang w:val="en-US"/>
        </w:rPr>
        <w:t>It is payable once only when files are submitted and is not refundable.</w:t>
      </w:r>
    </w:p>
    <w:p w:rsidR="00FB6A8B" w:rsidRDefault="00FB6A8B">
      <w:pPr>
        <w:tabs>
          <w:tab w:val="clear" w:pos="794"/>
          <w:tab w:val="clear" w:pos="1191"/>
          <w:tab w:val="clear" w:pos="1588"/>
          <w:tab w:val="clear" w:pos="1985"/>
        </w:tabs>
        <w:overflowPunct/>
        <w:autoSpaceDE/>
        <w:autoSpaceDN/>
        <w:bidi w:val="0"/>
        <w:adjustRightInd/>
        <w:spacing w:before="0" w:line="240" w:lineRule="auto"/>
        <w:jc w:val="left"/>
        <w:textAlignment w:val="auto"/>
        <w:rPr>
          <w:b/>
          <w:bCs/>
        </w:rPr>
      </w:pPr>
      <w:r>
        <w:rPr>
          <w:b/>
          <w:bCs/>
        </w:rPr>
        <w:br w:type="page"/>
      </w:r>
    </w:p>
    <w:p w:rsidR="003A5252" w:rsidRPr="000D128F" w:rsidRDefault="003A5252" w:rsidP="00FD23B9">
      <w:pPr>
        <w:bidi w:val="0"/>
        <w:spacing w:line="240" w:lineRule="auto"/>
        <w:rPr>
          <w:b/>
          <w:bCs/>
        </w:rPr>
      </w:pPr>
      <w:r w:rsidRPr="000D128F">
        <w:rPr>
          <w:b/>
          <w:bCs/>
        </w:rPr>
        <w:lastRenderedPageBreak/>
        <w:t>Control fee</w:t>
      </w:r>
    </w:p>
    <w:p w:rsidR="003A5252" w:rsidRPr="007E2B73" w:rsidRDefault="003A5252" w:rsidP="00FB6A8B">
      <w:pPr>
        <w:bidi w:val="0"/>
        <w:spacing w:before="60" w:line="240" w:lineRule="auto"/>
        <w:rPr>
          <w:lang w:val="en-US"/>
        </w:rPr>
      </w:pPr>
      <w:r w:rsidRPr="007E2B73">
        <w:rPr>
          <w:lang w:val="en-US"/>
        </w:rPr>
        <w:t>The control fee represents the cost of controlling the operator's or licensees' equipment.</w:t>
      </w:r>
    </w:p>
    <w:p w:rsidR="003A5252" w:rsidRPr="007E2B73" w:rsidRDefault="003A5252" w:rsidP="00FB6A8B">
      <w:pPr>
        <w:bidi w:val="0"/>
        <w:spacing w:before="60" w:line="240" w:lineRule="auto"/>
        <w:rPr>
          <w:lang w:val="en-US"/>
        </w:rPr>
      </w:pPr>
      <w:r w:rsidRPr="007E2B73">
        <w:rPr>
          <w:lang w:val="en-US"/>
        </w:rPr>
        <w:t>It takes account of transmitter power or station type (relay or terminal). It is payable for the entire year, regardless of the date of bringing into service of network.</w:t>
      </w:r>
    </w:p>
    <w:p w:rsidR="003A5252" w:rsidRPr="000D128F" w:rsidRDefault="003A5252" w:rsidP="00FD23B9">
      <w:pPr>
        <w:bidi w:val="0"/>
        <w:spacing w:line="240" w:lineRule="auto"/>
        <w:rPr>
          <w:b/>
          <w:bCs/>
        </w:rPr>
      </w:pPr>
      <w:r w:rsidRPr="000D128F">
        <w:rPr>
          <w:b/>
          <w:bCs/>
        </w:rPr>
        <w:t>Contribution to offsetting management costs</w:t>
      </w:r>
    </w:p>
    <w:p w:rsidR="003A5252" w:rsidRPr="007E2B73" w:rsidRDefault="003A5252" w:rsidP="00FB6A8B">
      <w:pPr>
        <w:bidi w:val="0"/>
        <w:spacing w:before="60" w:line="240" w:lineRule="auto"/>
        <w:rPr>
          <w:lang w:val="en-US"/>
        </w:rPr>
      </w:pPr>
      <w:r w:rsidRPr="007E2B73">
        <w:rPr>
          <w:lang w:val="en-US"/>
        </w:rPr>
        <w:t>The contribution to offsetting management costs represents the fees related to management of the licence or network, for example in the case of settlement of disputes between operators or between operators and the public, and licence renewal.</w:t>
      </w:r>
    </w:p>
    <w:p w:rsidR="003A5252" w:rsidRPr="007E2B73" w:rsidRDefault="003A5252" w:rsidP="00FB6A8B">
      <w:pPr>
        <w:bidi w:val="0"/>
        <w:spacing w:before="60" w:line="240" w:lineRule="auto"/>
        <w:rPr>
          <w:lang w:val="en-US"/>
        </w:rPr>
      </w:pPr>
      <w:r w:rsidRPr="007E2B73">
        <w:rPr>
          <w:lang w:val="en-US"/>
        </w:rPr>
        <w:t>It is payable for the entire year regardless of the date on which the network is established. It is not refundable, and is calculated based on network size and coverage area (local, regional or national).</w:t>
      </w:r>
    </w:p>
    <w:p w:rsidR="003A5252" w:rsidRPr="000D128F" w:rsidRDefault="003A5252" w:rsidP="00FD23B9">
      <w:pPr>
        <w:bidi w:val="0"/>
        <w:spacing w:line="240" w:lineRule="auto"/>
        <w:rPr>
          <w:b/>
          <w:bCs/>
        </w:rPr>
      </w:pPr>
      <w:r w:rsidRPr="000D128F">
        <w:rPr>
          <w:b/>
          <w:bCs/>
        </w:rPr>
        <w:t>Radio frequency utilization fee</w:t>
      </w:r>
    </w:p>
    <w:p w:rsidR="003A5252" w:rsidRPr="007E2B73" w:rsidRDefault="003A5252" w:rsidP="00FB6A8B">
      <w:pPr>
        <w:bidi w:val="0"/>
        <w:spacing w:before="60" w:line="240" w:lineRule="auto"/>
        <w:rPr>
          <w:lang w:val="en-US"/>
        </w:rPr>
      </w:pPr>
      <w:r w:rsidRPr="007E2B73">
        <w:rPr>
          <w:lang w:val="en-US"/>
        </w:rPr>
        <w:t>This depends:</w:t>
      </w:r>
    </w:p>
    <w:p w:rsidR="003A5252" w:rsidRPr="00AA5C49" w:rsidRDefault="003A5252" w:rsidP="00FB6A8B">
      <w:pPr>
        <w:pStyle w:val="enumlev1"/>
        <w:bidi w:val="0"/>
        <w:spacing w:before="60" w:line="240" w:lineRule="auto"/>
        <w:rPr>
          <w:lang w:val="en-US"/>
        </w:rPr>
      </w:pPr>
      <w:r w:rsidRPr="00AA5C49">
        <w:rPr>
          <w:rFonts w:eastAsia="SimSun"/>
          <w:lang w:val="en-US"/>
        </w:rPr>
        <w:t>–</w:t>
      </w:r>
      <w:r w:rsidRPr="00AA5C49">
        <w:rPr>
          <w:rFonts w:eastAsia="SimSun"/>
          <w:lang w:val="en-US"/>
        </w:rPr>
        <w:tab/>
        <w:t>on the number of links establishable in the network or the network size, as for example in the</w:t>
      </w:r>
      <w:r w:rsidRPr="00AA5C49">
        <w:rPr>
          <w:lang w:val="en-US"/>
        </w:rPr>
        <w:t xml:space="preserve"> case of conventional networks, or</w:t>
      </w:r>
    </w:p>
    <w:p w:rsidR="003A5252" w:rsidRPr="00AA5C49" w:rsidRDefault="003A5252" w:rsidP="00FB6A8B">
      <w:pPr>
        <w:pStyle w:val="enumlev1"/>
        <w:bidi w:val="0"/>
        <w:spacing w:before="60" w:line="240" w:lineRule="auto"/>
        <w:rPr>
          <w:lang w:val="en-US"/>
        </w:rPr>
      </w:pPr>
      <w:r w:rsidRPr="00AA5C49">
        <w:rPr>
          <w:lang w:val="en-US"/>
        </w:rPr>
        <w:t>–</w:t>
      </w:r>
      <w:r w:rsidRPr="00AA5C49">
        <w:rPr>
          <w:lang w:val="en-US"/>
        </w:rPr>
        <w:tab/>
        <w:t>on the coverage area of the network, amount of spectrum allocated, number of channels, capacity or rate of the link, or</w:t>
      </w:r>
    </w:p>
    <w:p w:rsidR="003A5252" w:rsidRPr="00AA5C49" w:rsidRDefault="003A5252" w:rsidP="00FB6A8B">
      <w:pPr>
        <w:pStyle w:val="enumlev1"/>
        <w:bidi w:val="0"/>
        <w:spacing w:before="60" w:line="240" w:lineRule="auto"/>
        <w:rPr>
          <w:lang w:val="en-US"/>
        </w:rPr>
      </w:pPr>
      <w:r w:rsidRPr="00AA5C49">
        <w:rPr>
          <w:lang w:val="en-US"/>
        </w:rPr>
        <w:t>–</w:t>
      </w:r>
      <w:r w:rsidRPr="00AA5C49">
        <w:rPr>
          <w:lang w:val="en-US"/>
        </w:rPr>
        <w:tab/>
        <w:t>on tonnage in the case of fishing vessels.</w:t>
      </w:r>
    </w:p>
    <w:p w:rsidR="003A5252" w:rsidRPr="00474C02" w:rsidRDefault="003A5252" w:rsidP="00FD23B9">
      <w:pPr>
        <w:bidi w:val="0"/>
        <w:spacing w:line="240" w:lineRule="auto"/>
        <w:rPr>
          <w:b/>
          <w:bCs/>
        </w:rPr>
      </w:pPr>
      <w:r w:rsidRPr="00474C02">
        <w:rPr>
          <w:b/>
          <w:bCs/>
        </w:rPr>
        <w:t>Radio sticker</w:t>
      </w:r>
    </w:p>
    <w:p w:rsidR="003A5252" w:rsidRPr="007E2B73" w:rsidRDefault="003A5252" w:rsidP="00FB6A8B">
      <w:pPr>
        <w:bidi w:val="0"/>
        <w:spacing w:before="60" w:line="240" w:lineRule="auto"/>
        <w:rPr>
          <w:lang w:val="en-US"/>
        </w:rPr>
      </w:pPr>
      <w:r w:rsidRPr="007E2B73">
        <w:rPr>
          <w:lang w:val="en-US"/>
        </w:rPr>
        <w:t>The sticker is a label affixed to radio equipment to identify stations authorized following controls.</w:t>
      </w:r>
    </w:p>
    <w:p w:rsidR="003A5252" w:rsidRPr="007E2B73" w:rsidRDefault="003A5252" w:rsidP="00FB6A8B">
      <w:pPr>
        <w:bidi w:val="0"/>
        <w:spacing w:before="60" w:line="240" w:lineRule="auto"/>
        <w:rPr>
          <w:lang w:val="en-US"/>
        </w:rPr>
      </w:pPr>
      <w:r w:rsidRPr="007E2B73">
        <w:rPr>
          <w:lang w:val="en-US"/>
        </w:rPr>
        <w:t>The cost of the sticker depends on the type of station (fixed, mobile, transportable).</w:t>
      </w:r>
    </w:p>
    <w:p w:rsidR="003A5252" w:rsidRDefault="003A5252" w:rsidP="00FD23B9">
      <w:pPr>
        <w:pStyle w:val="Heading1"/>
        <w:bidi w:val="0"/>
        <w:spacing w:line="240" w:lineRule="auto"/>
      </w:pPr>
      <w:bookmarkStart w:id="749" w:name="_Toc280260066"/>
      <w:bookmarkStart w:id="750" w:name="_Toc280260915"/>
      <w:bookmarkStart w:id="751" w:name="_Toc280272527"/>
      <w:bookmarkStart w:id="752" w:name="_Toc282768716"/>
      <w:r>
        <w:t>III</w:t>
      </w:r>
      <w:r>
        <w:tab/>
        <w:t>OTHER RADIO TAXES</w:t>
      </w:r>
      <w:bookmarkEnd w:id="749"/>
      <w:bookmarkEnd w:id="750"/>
      <w:bookmarkEnd w:id="751"/>
      <w:bookmarkEnd w:id="752"/>
    </w:p>
    <w:p w:rsidR="003A5252" w:rsidRPr="007E2B73" w:rsidRDefault="003A5252" w:rsidP="00FB6A8B">
      <w:pPr>
        <w:bidi w:val="0"/>
        <w:spacing w:before="60" w:line="240" w:lineRule="auto"/>
        <w:rPr>
          <w:lang w:val="en-US"/>
        </w:rPr>
      </w:pPr>
      <w:r w:rsidRPr="007E2B73">
        <w:rPr>
          <w:lang w:val="en-US"/>
        </w:rPr>
        <w:t>Over and above the radio fees charged every two months, the following charges are also levied:</w:t>
      </w:r>
    </w:p>
    <w:p w:rsidR="003A5252" w:rsidRPr="00D57F66" w:rsidRDefault="003A5252" w:rsidP="00FD23B9">
      <w:pPr>
        <w:bidi w:val="0"/>
        <w:spacing w:line="240" w:lineRule="auto"/>
        <w:rPr>
          <w:b/>
          <w:bCs/>
        </w:rPr>
      </w:pPr>
      <w:r w:rsidRPr="00D57F66">
        <w:rPr>
          <w:b/>
          <w:bCs/>
        </w:rPr>
        <w:t>Type approval or authorization fees</w:t>
      </w:r>
    </w:p>
    <w:p w:rsidR="003A5252" w:rsidRPr="007E2B73" w:rsidRDefault="003A5252" w:rsidP="00FB6A8B">
      <w:pPr>
        <w:bidi w:val="0"/>
        <w:spacing w:before="60" w:line="240" w:lineRule="auto"/>
        <w:rPr>
          <w:lang w:val="en-US"/>
        </w:rPr>
      </w:pPr>
      <w:r w:rsidRPr="007E2B73">
        <w:rPr>
          <w:lang w:val="en-US"/>
        </w:rPr>
        <w:t>This is a fee charged when radio equipment is tested for conformity. Authorizations issued to radio equipment installers constitute proof of their competence to install radio equipment.</w:t>
      </w:r>
    </w:p>
    <w:p w:rsidR="003A5252" w:rsidRPr="007E2B73" w:rsidRDefault="003A5252" w:rsidP="00FB6A8B">
      <w:pPr>
        <w:bidi w:val="0"/>
        <w:spacing w:before="60" w:line="240" w:lineRule="auto"/>
        <w:rPr>
          <w:lang w:val="en-US"/>
        </w:rPr>
      </w:pPr>
      <w:r w:rsidRPr="007E2B73">
        <w:rPr>
          <w:lang w:val="en-US"/>
        </w:rPr>
        <w:t>Terminal equipment authorization and the approval of radio equipment installers give rise to payment of the following lump-sum, non-refundable fees:</w:t>
      </w:r>
    </w:p>
    <w:p w:rsidR="003A5252" w:rsidRPr="00AA5C49" w:rsidRDefault="003A5252" w:rsidP="00FB6A8B">
      <w:pPr>
        <w:pStyle w:val="enumlev1"/>
        <w:bidi w:val="0"/>
        <w:spacing w:before="60" w:line="240" w:lineRule="auto"/>
        <w:rPr>
          <w:lang w:val="en-US"/>
        </w:rPr>
      </w:pPr>
      <w:r w:rsidRPr="00AA5C49">
        <w:rPr>
          <w:lang w:val="en-US"/>
        </w:rPr>
        <w:t>1)</w:t>
      </w:r>
      <w:r w:rsidRPr="00AA5C49">
        <w:rPr>
          <w:lang w:val="en-US"/>
        </w:rPr>
        <w:tab/>
        <w:t>For equipment: a file fee and technical control fee per item of equipment.</w:t>
      </w:r>
    </w:p>
    <w:p w:rsidR="003A5252" w:rsidRPr="00AA5C49" w:rsidRDefault="003A5252" w:rsidP="00FB6A8B">
      <w:pPr>
        <w:pStyle w:val="enumlev1"/>
        <w:bidi w:val="0"/>
        <w:spacing w:before="60" w:line="240" w:lineRule="auto"/>
        <w:rPr>
          <w:lang w:val="en-US"/>
        </w:rPr>
      </w:pPr>
      <w:r w:rsidRPr="00AA5C49">
        <w:rPr>
          <w:lang w:val="en-US"/>
        </w:rPr>
        <w:t>2)</w:t>
      </w:r>
      <w:r w:rsidRPr="00AA5C49">
        <w:rPr>
          <w:lang w:val="en-US"/>
        </w:rPr>
        <w:tab/>
        <w:t>For installers: a file fee and authorization fee are charged when the authorization is delivered or renewed</w:t>
      </w:r>
    </w:p>
    <w:p w:rsidR="003A5252" w:rsidRPr="00D57F66" w:rsidRDefault="003A5252" w:rsidP="00FD23B9">
      <w:pPr>
        <w:bidi w:val="0"/>
        <w:spacing w:line="240" w:lineRule="auto"/>
        <w:rPr>
          <w:b/>
          <w:bCs/>
        </w:rPr>
      </w:pPr>
      <w:r w:rsidRPr="00D57F66">
        <w:rPr>
          <w:b/>
          <w:bCs/>
        </w:rPr>
        <w:t>Fee for handling complaints of interference</w:t>
      </w:r>
    </w:p>
    <w:p w:rsidR="003A5252" w:rsidRPr="007E2B73" w:rsidRDefault="003A5252" w:rsidP="00FB6A8B">
      <w:pPr>
        <w:bidi w:val="0"/>
        <w:spacing w:before="60" w:line="240" w:lineRule="auto"/>
        <w:rPr>
          <w:lang w:val="en-US"/>
        </w:rPr>
      </w:pPr>
      <w:r w:rsidRPr="007E2B73">
        <w:rPr>
          <w:lang w:val="en-US"/>
        </w:rPr>
        <w:t>This fee is charged to and paid by the licensees or concession holders at fault, and covers administrative costs or costs related to the interventions effected by the Agency's staff.</w:t>
      </w:r>
    </w:p>
    <w:p w:rsidR="003A5252" w:rsidRPr="00D57F66" w:rsidRDefault="003A5252" w:rsidP="00FD23B9">
      <w:pPr>
        <w:bidi w:val="0"/>
        <w:spacing w:line="240" w:lineRule="auto"/>
        <w:rPr>
          <w:b/>
          <w:bCs/>
        </w:rPr>
      </w:pPr>
      <w:r w:rsidRPr="00D57F66">
        <w:rPr>
          <w:b/>
          <w:bCs/>
        </w:rPr>
        <w:t>Examination fees</w:t>
      </w:r>
    </w:p>
    <w:p w:rsidR="003A5252" w:rsidRPr="007E2B73" w:rsidRDefault="003A5252" w:rsidP="00FB6A8B">
      <w:pPr>
        <w:bidi w:val="0"/>
        <w:spacing w:before="60" w:line="240" w:lineRule="auto"/>
        <w:rPr>
          <w:lang w:val="en-US"/>
        </w:rPr>
      </w:pPr>
      <w:r w:rsidRPr="007E2B73">
        <w:rPr>
          <w:lang w:val="en-US"/>
        </w:rPr>
        <w:t>For the delivery of a radiotelegraph operator's certificate, radiotelephone operator's certificate or dual operator's certificate, examination fees are charged before the tests commence. Fees for the same amount are payable for the delivery of the certificate(s) to military operators.</w:t>
      </w:r>
    </w:p>
    <w:p w:rsidR="003A5252" w:rsidRPr="007E2B73" w:rsidRDefault="003A5252" w:rsidP="00FB6A8B">
      <w:pPr>
        <w:bidi w:val="0"/>
        <w:spacing w:before="60" w:line="240" w:lineRule="auto"/>
        <w:rPr>
          <w:lang w:val="en-US"/>
        </w:rPr>
      </w:pPr>
      <w:r w:rsidRPr="007E2B73">
        <w:rPr>
          <w:lang w:val="en-US"/>
        </w:rPr>
        <w:t xml:space="preserve">For the delivery, renewal or issue of a duplicate of an amateur, aircraft or ship station licence, and that of an operator's certificate, a lump-sum, non-refundable fee is charged. </w:t>
      </w:r>
    </w:p>
    <w:p w:rsidR="003A5252" w:rsidRPr="00D57F66" w:rsidRDefault="003A5252" w:rsidP="00FD23B9">
      <w:pPr>
        <w:bidi w:val="0"/>
        <w:spacing w:line="240" w:lineRule="auto"/>
        <w:rPr>
          <w:b/>
          <w:bCs/>
        </w:rPr>
      </w:pPr>
      <w:r w:rsidRPr="00D57F66">
        <w:rPr>
          <w:b/>
          <w:bCs/>
        </w:rPr>
        <w:t>Intervention fees</w:t>
      </w:r>
    </w:p>
    <w:p w:rsidR="003A5252" w:rsidRPr="007E2B73" w:rsidRDefault="003A5252" w:rsidP="00FB6A8B">
      <w:pPr>
        <w:bidi w:val="0"/>
        <w:spacing w:before="60" w:line="240" w:lineRule="auto"/>
        <w:rPr>
          <w:lang w:val="en-US"/>
        </w:rPr>
      </w:pPr>
      <w:r w:rsidRPr="007E2B73">
        <w:rPr>
          <w:lang w:val="en-US"/>
        </w:rPr>
        <w:t>Exceptional fees incurred for the investigating interference caused to a regularly used radio frequency or due to the non-conformity of installations give rise to the payment of a lump-sum fee per intervention. This fee is payable by the owner of the station causing interference or of the non-complying installations.</w:t>
      </w:r>
    </w:p>
    <w:p w:rsidR="003A5252" w:rsidRPr="00AA5C49" w:rsidRDefault="003A5252" w:rsidP="0049484E">
      <w:pPr>
        <w:pStyle w:val="AppendixNotitle"/>
        <w:rPr>
          <w:lang w:val="fr-CH"/>
        </w:rPr>
      </w:pPr>
      <w:bookmarkStart w:id="753" w:name="_Toc280260916"/>
      <w:bookmarkStart w:id="754" w:name="_Toc280272528"/>
      <w:bookmarkStart w:id="755" w:name="_Toc282768717"/>
      <w:r w:rsidRPr="00AA5C49">
        <w:rPr>
          <w:lang w:val="fr-CH"/>
        </w:rPr>
        <w:lastRenderedPageBreak/>
        <w:t>Appendice 3.1 (Français)</w:t>
      </w:r>
      <w:r w:rsidRPr="00AA5C49">
        <w:rPr>
          <w:lang w:val="fr-CH"/>
        </w:rPr>
        <w:br/>
      </w:r>
      <w:r w:rsidRPr="00AA5C49">
        <w:rPr>
          <w:lang w:val="fr-CH"/>
        </w:rPr>
        <w:br/>
        <w:t>Exemple de système de redevances liées à l'utilisation</w:t>
      </w:r>
      <w:r w:rsidRPr="00AA5C49">
        <w:rPr>
          <w:lang w:val="fr-CH"/>
        </w:rPr>
        <w:br/>
        <w:t>des fréquences en Côte d'Ivoire</w:t>
      </w:r>
      <w:bookmarkEnd w:id="753"/>
      <w:bookmarkEnd w:id="754"/>
      <w:bookmarkEnd w:id="755"/>
    </w:p>
    <w:p w:rsidR="003A5252" w:rsidRPr="009A06C3" w:rsidRDefault="003A5252" w:rsidP="00FD23B9">
      <w:pPr>
        <w:pStyle w:val="Heading1"/>
        <w:bidi w:val="0"/>
        <w:spacing w:line="240" w:lineRule="auto"/>
        <w:rPr>
          <w:lang w:val="fr-FR"/>
        </w:rPr>
      </w:pPr>
      <w:bookmarkStart w:id="756" w:name="_Toc280260917"/>
      <w:bookmarkStart w:id="757" w:name="_Toc280272529"/>
      <w:bookmarkStart w:id="758" w:name="_Toc282768718"/>
      <w:r w:rsidRPr="009A06C3">
        <w:rPr>
          <w:lang w:val="fr-FR"/>
        </w:rPr>
        <w:t>I</w:t>
      </w:r>
      <w:r w:rsidRPr="009A06C3">
        <w:rPr>
          <w:lang w:val="fr-FR"/>
        </w:rPr>
        <w:tab/>
        <w:t>INTRODUCTION</w:t>
      </w:r>
      <w:bookmarkEnd w:id="756"/>
      <w:bookmarkEnd w:id="757"/>
      <w:bookmarkEnd w:id="758"/>
    </w:p>
    <w:p w:rsidR="003A5252" w:rsidRPr="00AA5C49" w:rsidRDefault="003A5252" w:rsidP="00FD23B9">
      <w:pPr>
        <w:bidi w:val="0"/>
        <w:spacing w:line="240" w:lineRule="auto"/>
        <w:rPr>
          <w:lang w:val="fr-CH"/>
        </w:rPr>
      </w:pPr>
      <w:r w:rsidRPr="00AA5C49">
        <w:rPr>
          <w:lang w:val="fr-CH"/>
        </w:rPr>
        <w:t>Il importe que l’administration trouve le moyen de garantir l’obtention de recettes suffisantes pour couvrir les coûts d’un programme effectif de gestion du spectre. Un financement judicieux de la gestion du spectre peut s’avérer décisif pour le succès de la mise en œuvre de nouveaux services utilisateurs du spectre, comme pour leur exploitation en l’absence d’un niveau de brouillage préjudiciable.</w:t>
      </w:r>
    </w:p>
    <w:p w:rsidR="003A5252" w:rsidRPr="00AA5C49" w:rsidRDefault="003A5252" w:rsidP="00FD23B9">
      <w:pPr>
        <w:bidi w:val="0"/>
        <w:spacing w:line="240" w:lineRule="auto"/>
        <w:rPr>
          <w:lang w:val="fr-CH"/>
        </w:rPr>
      </w:pPr>
      <w:r w:rsidRPr="00AA5C49">
        <w:rPr>
          <w:lang w:val="fr-CH"/>
        </w:rPr>
        <w:t>De plus, un programme de gestion nationale du spectre correctement financé, offre des possibilités aux fournisseurs de services et aux constructeurs d’équipements, contribuant ainsi largement à la croissance de l’économie.</w:t>
      </w:r>
    </w:p>
    <w:p w:rsidR="003A5252" w:rsidRPr="00AA5C49" w:rsidRDefault="003A5252" w:rsidP="00FD23B9">
      <w:pPr>
        <w:bidi w:val="0"/>
        <w:spacing w:line="240" w:lineRule="auto"/>
        <w:rPr>
          <w:lang w:val="fr-CH"/>
        </w:rPr>
      </w:pPr>
      <w:r w:rsidRPr="00AA5C49">
        <w:rPr>
          <w:lang w:val="fr-CH"/>
        </w:rPr>
        <w:t>En revanche, un financement inadéquat risque de faire échouer ou de retarder la mise en œuvre de précieux services de radiocommunications.</w:t>
      </w:r>
    </w:p>
    <w:p w:rsidR="003A5252" w:rsidRPr="00AA5C49" w:rsidRDefault="003A5252" w:rsidP="00FD23B9">
      <w:pPr>
        <w:bidi w:val="0"/>
        <w:spacing w:line="240" w:lineRule="auto"/>
        <w:rPr>
          <w:lang w:val="fr-CH"/>
        </w:rPr>
      </w:pPr>
      <w:r w:rsidRPr="00AA5C49">
        <w:rPr>
          <w:lang w:val="fr-CH"/>
        </w:rPr>
        <w:t>Pour faire face à ce financement, des taxes et des redevances au titre des licences sont prélevées auprès des utilisateurs du spectre. Elles sont fonction du degré d’utilisation du spectre et de l’avantage économique retiré de cette utilisation.</w:t>
      </w:r>
    </w:p>
    <w:p w:rsidR="003A5252" w:rsidRPr="009A06C3" w:rsidRDefault="003A5252" w:rsidP="00FD23B9">
      <w:pPr>
        <w:pStyle w:val="Heading1"/>
        <w:bidi w:val="0"/>
        <w:spacing w:line="240" w:lineRule="auto"/>
        <w:rPr>
          <w:lang w:val="fr-FR"/>
        </w:rPr>
      </w:pPr>
      <w:bookmarkStart w:id="759" w:name="_Toc280260918"/>
      <w:bookmarkStart w:id="760" w:name="_Toc280272530"/>
      <w:bookmarkStart w:id="761" w:name="_Toc282768719"/>
      <w:r w:rsidRPr="009A06C3">
        <w:rPr>
          <w:lang w:val="fr-FR"/>
        </w:rPr>
        <w:t>II</w:t>
      </w:r>
      <w:r w:rsidRPr="009A06C3">
        <w:rPr>
          <w:lang w:val="fr-FR"/>
        </w:rPr>
        <w:tab/>
        <w:t>SYSTEME DE FACTURATION DES RESEAUX RADIOELCTRIQUES</w:t>
      </w:r>
      <w:bookmarkEnd w:id="759"/>
      <w:bookmarkEnd w:id="760"/>
      <w:bookmarkEnd w:id="761"/>
    </w:p>
    <w:p w:rsidR="003A5252" w:rsidRPr="00AA5C49" w:rsidRDefault="003A5252" w:rsidP="00FD23B9">
      <w:pPr>
        <w:bidi w:val="0"/>
        <w:spacing w:line="240" w:lineRule="auto"/>
        <w:rPr>
          <w:lang w:val="fr-CH"/>
        </w:rPr>
      </w:pPr>
      <w:r w:rsidRPr="00AA5C49">
        <w:rPr>
          <w:lang w:val="fr-CH"/>
        </w:rPr>
        <w:t>La taxation en Côte d’Ivoire est fonction des éléments suivants:</w:t>
      </w:r>
    </w:p>
    <w:p w:rsidR="003A5252" w:rsidRPr="00CF0AE3" w:rsidRDefault="003A5252" w:rsidP="00FD23B9">
      <w:pPr>
        <w:pStyle w:val="enumlev1"/>
        <w:bidi w:val="0"/>
        <w:spacing w:line="240" w:lineRule="auto"/>
      </w:pPr>
      <w:r>
        <w:t>a)</w:t>
      </w:r>
      <w:r>
        <w:tab/>
      </w:r>
      <w:r w:rsidRPr="00CF0AE3">
        <w:t>la fréquence radioélectrique;</w:t>
      </w:r>
    </w:p>
    <w:p w:rsidR="003A5252" w:rsidRPr="00CF0AE3" w:rsidRDefault="003A5252" w:rsidP="00FD23B9">
      <w:pPr>
        <w:pStyle w:val="enumlev1"/>
        <w:bidi w:val="0"/>
        <w:spacing w:line="240" w:lineRule="auto"/>
      </w:pPr>
      <w:r>
        <w:t>b)</w:t>
      </w:r>
      <w:r>
        <w:tab/>
      </w:r>
      <w:r w:rsidRPr="00CF0AE3">
        <w:t>la quantité du spectre assignée, par exemple la largeur de bande;</w:t>
      </w:r>
    </w:p>
    <w:p w:rsidR="003A5252" w:rsidRPr="00CF0AE3" w:rsidRDefault="003A5252" w:rsidP="00FD23B9">
      <w:pPr>
        <w:pStyle w:val="enumlev1"/>
        <w:bidi w:val="0"/>
        <w:spacing w:line="240" w:lineRule="auto"/>
      </w:pPr>
      <w:r>
        <w:t>c)</w:t>
      </w:r>
      <w:r>
        <w:tab/>
      </w:r>
      <w:r w:rsidRPr="00CF0AE3">
        <w:t>les canaux ou les liaisons;</w:t>
      </w:r>
    </w:p>
    <w:p w:rsidR="003A5252" w:rsidRPr="00CF0AE3" w:rsidRDefault="003A5252" w:rsidP="00FD23B9">
      <w:pPr>
        <w:pStyle w:val="enumlev1"/>
        <w:bidi w:val="0"/>
        <w:spacing w:line="240" w:lineRule="auto"/>
      </w:pPr>
      <w:r>
        <w:t>d)</w:t>
      </w:r>
      <w:r>
        <w:tab/>
      </w:r>
      <w:r w:rsidRPr="00CF0AE3">
        <w:t>le niveau de charge des canaux (ou des liaisons), (débit binaire, capacité);</w:t>
      </w:r>
    </w:p>
    <w:p w:rsidR="003A5252" w:rsidRPr="00CF0AE3" w:rsidRDefault="003A5252" w:rsidP="00FD23B9">
      <w:pPr>
        <w:pStyle w:val="enumlev1"/>
        <w:bidi w:val="0"/>
        <w:spacing w:line="240" w:lineRule="auto"/>
      </w:pPr>
      <w:r>
        <w:t>e)</w:t>
      </w:r>
      <w:r>
        <w:tab/>
      </w:r>
      <w:r w:rsidRPr="00CF0AE3">
        <w:t>l’efficacité spectrale des équipements utilisés;</w:t>
      </w:r>
    </w:p>
    <w:p w:rsidR="003A5252" w:rsidRPr="00CF0AE3" w:rsidRDefault="003A5252" w:rsidP="00FD23B9">
      <w:pPr>
        <w:pStyle w:val="enumlev1"/>
        <w:bidi w:val="0"/>
        <w:spacing w:line="240" w:lineRule="auto"/>
      </w:pPr>
      <w:r>
        <w:t>f)</w:t>
      </w:r>
      <w:r>
        <w:tab/>
      </w:r>
      <w:r w:rsidRPr="00CF0AE3">
        <w:t>la puissance et la zone de couverture;</w:t>
      </w:r>
    </w:p>
    <w:p w:rsidR="003A5252" w:rsidRPr="00CF0AE3" w:rsidRDefault="003A5252" w:rsidP="00FD23B9">
      <w:pPr>
        <w:pStyle w:val="enumlev1"/>
        <w:bidi w:val="0"/>
        <w:spacing w:line="240" w:lineRule="auto"/>
      </w:pPr>
      <w:r>
        <w:t>g)</w:t>
      </w:r>
      <w:r>
        <w:tab/>
      </w:r>
      <w:r w:rsidRPr="00CF0AE3">
        <w:t>la nature de l’utilisation des fréquences (usage privé ou à des fins commerciales);</w:t>
      </w:r>
    </w:p>
    <w:p w:rsidR="003A5252" w:rsidRPr="00CF0AE3" w:rsidRDefault="003A5252" w:rsidP="00FD23B9">
      <w:pPr>
        <w:pStyle w:val="enumlev1"/>
        <w:bidi w:val="0"/>
        <w:spacing w:line="240" w:lineRule="auto"/>
      </w:pPr>
      <w:r>
        <w:t>h)</w:t>
      </w:r>
      <w:r>
        <w:tab/>
      </w:r>
      <w:r w:rsidRPr="00CF0AE3">
        <w:t>l’emplacement géographique.</w:t>
      </w:r>
    </w:p>
    <w:p w:rsidR="003A5252" w:rsidRPr="00AA5C49" w:rsidRDefault="003A5252" w:rsidP="00FD23B9">
      <w:pPr>
        <w:bidi w:val="0"/>
        <w:spacing w:line="240" w:lineRule="auto"/>
        <w:rPr>
          <w:lang w:val="fr-CH"/>
        </w:rPr>
      </w:pPr>
      <w:r w:rsidRPr="00AA5C49">
        <w:rPr>
          <w:lang w:val="fr-CH"/>
        </w:rPr>
        <w:t>Pour tenir compte de la complexité des opérations d’assignation des fréquences, les redevances sont calculées pour chaque type de licences.</w:t>
      </w:r>
    </w:p>
    <w:p w:rsidR="003A5252" w:rsidRPr="00AA5C49" w:rsidRDefault="003A5252" w:rsidP="00FD23B9">
      <w:pPr>
        <w:bidi w:val="0"/>
        <w:spacing w:line="240" w:lineRule="auto"/>
        <w:rPr>
          <w:lang w:val="fr-CH"/>
        </w:rPr>
      </w:pPr>
      <w:r w:rsidRPr="00AA5C49">
        <w:rPr>
          <w:lang w:val="fr-CH"/>
        </w:rPr>
        <w:t>Ainsi, la réglementation en Côte d’Ivoire (ordonnance 97-173 du 19 mars 1997) prévoit cinq (05) rubriques de facturation des différents réseaux radioélectriques qui sont:</w:t>
      </w:r>
    </w:p>
    <w:p w:rsidR="003A5252" w:rsidRPr="009A06C3" w:rsidRDefault="003A5252" w:rsidP="00FD23B9">
      <w:pPr>
        <w:pStyle w:val="enumlev1"/>
        <w:bidi w:val="0"/>
        <w:spacing w:line="240" w:lineRule="auto"/>
      </w:pPr>
      <w:r>
        <w:t>–</w:t>
      </w:r>
      <w:r>
        <w:tab/>
      </w:r>
      <w:r w:rsidRPr="009A06C3">
        <w:t>la taxe de constitution de dossier;</w:t>
      </w:r>
    </w:p>
    <w:p w:rsidR="003A5252" w:rsidRPr="009A06C3" w:rsidRDefault="003A5252" w:rsidP="00FD23B9">
      <w:pPr>
        <w:pStyle w:val="enumlev1"/>
        <w:bidi w:val="0"/>
        <w:spacing w:line="240" w:lineRule="auto"/>
      </w:pPr>
      <w:r>
        <w:t>–</w:t>
      </w:r>
      <w:r>
        <w:tab/>
      </w:r>
      <w:r w:rsidRPr="009A06C3">
        <w:t>la taxe de contrôle des stations radioélectriques;</w:t>
      </w:r>
    </w:p>
    <w:p w:rsidR="003A5252" w:rsidRPr="009A06C3" w:rsidRDefault="003A5252" w:rsidP="00FD23B9">
      <w:pPr>
        <w:pStyle w:val="enumlev1"/>
        <w:bidi w:val="0"/>
        <w:spacing w:line="240" w:lineRule="auto"/>
      </w:pPr>
      <w:r>
        <w:t>–</w:t>
      </w:r>
      <w:r>
        <w:tab/>
      </w:r>
      <w:r w:rsidRPr="009A06C3">
        <w:t>la contribution pour frais de gestion;</w:t>
      </w:r>
    </w:p>
    <w:p w:rsidR="003A5252" w:rsidRPr="009A06C3" w:rsidRDefault="003A5252" w:rsidP="00FD23B9">
      <w:pPr>
        <w:pStyle w:val="enumlev1"/>
        <w:bidi w:val="0"/>
        <w:spacing w:line="240" w:lineRule="auto"/>
      </w:pPr>
      <w:r>
        <w:t>–</w:t>
      </w:r>
      <w:r>
        <w:tab/>
      </w:r>
      <w:r w:rsidRPr="009A06C3">
        <w:t>la redevance due pour l'utilisation de fréquences radioélectriques ;</w:t>
      </w:r>
    </w:p>
    <w:p w:rsidR="003A5252" w:rsidRPr="009A06C3" w:rsidRDefault="003A5252" w:rsidP="00FD23B9">
      <w:pPr>
        <w:pStyle w:val="enumlev1"/>
        <w:bidi w:val="0"/>
        <w:spacing w:line="240" w:lineRule="auto"/>
      </w:pPr>
      <w:r>
        <w:t>–</w:t>
      </w:r>
      <w:r>
        <w:tab/>
      </w:r>
      <w:r w:rsidRPr="009A06C3">
        <w:t>la</w:t>
      </w:r>
      <w:r w:rsidRPr="00CF0AE3">
        <w:t xml:space="preserve"> taxe</w:t>
      </w:r>
      <w:r w:rsidRPr="009A06C3">
        <w:t xml:space="preserve"> de vignette.</w:t>
      </w:r>
    </w:p>
    <w:p w:rsidR="003A5252" w:rsidRPr="00AA5C49" w:rsidRDefault="003A5252" w:rsidP="00FD23B9">
      <w:pPr>
        <w:bidi w:val="0"/>
        <w:spacing w:line="240" w:lineRule="auto"/>
        <w:rPr>
          <w:lang w:val="fr-CH"/>
        </w:rPr>
      </w:pPr>
      <w:r w:rsidRPr="00AA5C49">
        <w:rPr>
          <w:lang w:val="fr-CH"/>
        </w:rPr>
        <w:t>Tous les montants  sont fixés de façon forfaitaire.</w:t>
      </w:r>
    </w:p>
    <w:p w:rsidR="003A5252" w:rsidRPr="003A39BA" w:rsidRDefault="003A5252" w:rsidP="00FD23B9">
      <w:pPr>
        <w:bidi w:val="0"/>
        <w:spacing w:line="240" w:lineRule="auto"/>
        <w:rPr>
          <w:b/>
          <w:bCs/>
          <w:lang w:val="fr-FR"/>
        </w:rPr>
      </w:pPr>
      <w:r w:rsidRPr="003A39BA">
        <w:rPr>
          <w:b/>
          <w:bCs/>
          <w:lang w:val="fr-FR"/>
        </w:rPr>
        <w:t>La taxe de constitution de dossier</w:t>
      </w:r>
    </w:p>
    <w:p w:rsidR="003A5252" w:rsidRPr="00AA5C49" w:rsidRDefault="003A5252" w:rsidP="00FD23B9">
      <w:pPr>
        <w:bidi w:val="0"/>
        <w:spacing w:line="240" w:lineRule="auto"/>
        <w:rPr>
          <w:lang w:val="fr-CH"/>
        </w:rPr>
      </w:pPr>
      <w:r w:rsidRPr="00AA5C49">
        <w:rPr>
          <w:lang w:val="fr-CH"/>
        </w:rPr>
        <w:t>La taxe de constitution constitue les frais d’études d’un dossier ou d’ouverture de dossier.</w:t>
      </w:r>
    </w:p>
    <w:p w:rsidR="003A5252" w:rsidRPr="00AA5C49" w:rsidRDefault="003A5252" w:rsidP="00FD23B9">
      <w:pPr>
        <w:bidi w:val="0"/>
        <w:spacing w:line="240" w:lineRule="auto"/>
        <w:rPr>
          <w:lang w:val="fr-CH"/>
        </w:rPr>
      </w:pPr>
      <w:r w:rsidRPr="00AA5C49">
        <w:rPr>
          <w:lang w:val="fr-CH"/>
        </w:rPr>
        <w:t>Elle est payable une seule fois lors du dépôt des dossiers et est non remboursable.</w:t>
      </w:r>
    </w:p>
    <w:p w:rsidR="003A5252" w:rsidRPr="003A39BA" w:rsidRDefault="003A5252" w:rsidP="00FD23B9">
      <w:pPr>
        <w:bidi w:val="0"/>
        <w:spacing w:line="240" w:lineRule="auto"/>
        <w:rPr>
          <w:b/>
          <w:bCs/>
          <w:lang w:val="fr-FR"/>
        </w:rPr>
      </w:pPr>
      <w:r w:rsidRPr="003A39BA">
        <w:rPr>
          <w:b/>
          <w:bCs/>
          <w:lang w:val="fr-FR"/>
        </w:rPr>
        <w:lastRenderedPageBreak/>
        <w:t>La taxe de contrôle</w:t>
      </w:r>
    </w:p>
    <w:p w:rsidR="003A5252" w:rsidRPr="00AA5C49" w:rsidRDefault="003A5252" w:rsidP="00FD23B9">
      <w:pPr>
        <w:bidi w:val="0"/>
        <w:spacing w:line="240" w:lineRule="auto"/>
        <w:rPr>
          <w:lang w:val="fr-CH"/>
        </w:rPr>
      </w:pPr>
      <w:r w:rsidRPr="00AA5C49">
        <w:rPr>
          <w:lang w:val="fr-CH"/>
        </w:rPr>
        <w:t>La taxe de contrôle représente les frais de contrôle des équipements de l’opérateur ou des permissionnaires.</w:t>
      </w:r>
    </w:p>
    <w:p w:rsidR="003A5252" w:rsidRPr="00AA5C49" w:rsidRDefault="003A5252" w:rsidP="00FD23B9">
      <w:pPr>
        <w:bidi w:val="0"/>
        <w:spacing w:line="240" w:lineRule="auto"/>
        <w:rPr>
          <w:lang w:val="fr-CH"/>
        </w:rPr>
      </w:pPr>
      <w:r w:rsidRPr="00AA5C49">
        <w:rPr>
          <w:lang w:val="fr-CH"/>
        </w:rPr>
        <w:t>Elle tient compte de la puissance de l’émetteur ou du type de station (relais ou terminale). Elle est due pour l’année entière, quelque soit la date de mise en service du réseau.</w:t>
      </w:r>
    </w:p>
    <w:p w:rsidR="003A5252" w:rsidRPr="003A39BA" w:rsidRDefault="003A5252" w:rsidP="00FD23B9">
      <w:pPr>
        <w:bidi w:val="0"/>
        <w:spacing w:line="240" w:lineRule="auto"/>
        <w:rPr>
          <w:b/>
          <w:bCs/>
          <w:lang w:val="fr-FR"/>
        </w:rPr>
      </w:pPr>
      <w:r w:rsidRPr="003A39BA">
        <w:rPr>
          <w:b/>
          <w:bCs/>
          <w:lang w:val="fr-FR"/>
        </w:rPr>
        <w:t>La contribution pour frais de gestion</w:t>
      </w:r>
    </w:p>
    <w:p w:rsidR="003A5252" w:rsidRPr="00AA5C49" w:rsidRDefault="003A5252" w:rsidP="00FD23B9">
      <w:pPr>
        <w:bidi w:val="0"/>
        <w:spacing w:line="240" w:lineRule="auto"/>
        <w:rPr>
          <w:lang w:val="fr-CH"/>
        </w:rPr>
      </w:pPr>
      <w:r w:rsidRPr="00AA5C49">
        <w:rPr>
          <w:lang w:val="fr-CH"/>
        </w:rPr>
        <w:t>La contribution pour frais de gestion représente les redevances liées à la gestion de la licence ou du réseau tels que le règlement des litiges entre operateurs ou entre opérateurs et  population, et le renouvellement de la licence.</w:t>
      </w:r>
    </w:p>
    <w:p w:rsidR="003A5252" w:rsidRPr="00AA5C49" w:rsidRDefault="003A5252" w:rsidP="00FD23B9">
      <w:pPr>
        <w:bidi w:val="0"/>
        <w:spacing w:line="240" w:lineRule="auto"/>
        <w:rPr>
          <w:lang w:val="fr-CH"/>
        </w:rPr>
      </w:pPr>
      <w:r w:rsidRPr="00AA5C49">
        <w:rPr>
          <w:lang w:val="fr-CH"/>
        </w:rPr>
        <w:t>Elle est due pour l’année entière quelque soit la date d’établissement du réseau. Elle est non remboursable et calculée en fonction de la taille du réseau et de la zone de couverture (locale, régionale ou nationale).</w:t>
      </w:r>
    </w:p>
    <w:p w:rsidR="003A5252" w:rsidRPr="003A39BA" w:rsidRDefault="003A5252" w:rsidP="00FD23B9">
      <w:pPr>
        <w:bidi w:val="0"/>
        <w:spacing w:line="240" w:lineRule="auto"/>
        <w:rPr>
          <w:b/>
          <w:bCs/>
          <w:lang w:val="fr-FR"/>
        </w:rPr>
      </w:pPr>
      <w:r w:rsidRPr="003A39BA">
        <w:rPr>
          <w:b/>
          <w:bCs/>
          <w:lang w:val="fr-FR"/>
        </w:rPr>
        <w:t>La redevance due pour l’utilisation de fréquences radioélectriques</w:t>
      </w:r>
    </w:p>
    <w:p w:rsidR="003A5252" w:rsidRPr="00AA5C49" w:rsidRDefault="003A5252" w:rsidP="00FD23B9">
      <w:pPr>
        <w:bidi w:val="0"/>
        <w:spacing w:line="240" w:lineRule="auto"/>
        <w:rPr>
          <w:lang w:val="fr-CH"/>
        </w:rPr>
      </w:pPr>
      <w:r w:rsidRPr="00AA5C49">
        <w:rPr>
          <w:lang w:val="fr-CH"/>
        </w:rPr>
        <w:t>Elle dépend:</w:t>
      </w:r>
    </w:p>
    <w:p w:rsidR="003A5252" w:rsidRPr="00427223" w:rsidRDefault="003A5252" w:rsidP="00FD23B9">
      <w:pPr>
        <w:pStyle w:val="enumlev1"/>
        <w:bidi w:val="0"/>
        <w:spacing w:line="240" w:lineRule="auto"/>
      </w:pPr>
      <w:r>
        <w:t>–</w:t>
      </w:r>
      <w:r>
        <w:tab/>
      </w:r>
      <w:r w:rsidRPr="00427223">
        <w:t>soit du nombre de liaisons pouvant être établies dans le réseau ou de la taille du réseau, c’est le cas par exemple</w:t>
      </w:r>
      <w:r>
        <w:t xml:space="preserve"> des réseaux conventionnels,</w:t>
      </w:r>
    </w:p>
    <w:p w:rsidR="003A5252" w:rsidRPr="00427223" w:rsidRDefault="003A5252" w:rsidP="00FD23B9">
      <w:pPr>
        <w:pStyle w:val="enumlev1"/>
        <w:bidi w:val="0"/>
        <w:spacing w:line="240" w:lineRule="auto"/>
      </w:pPr>
      <w:r>
        <w:t>–</w:t>
      </w:r>
      <w:r>
        <w:tab/>
        <w:t>s</w:t>
      </w:r>
      <w:r w:rsidRPr="00427223">
        <w:t>oit de la zone de  couverture du réseau, de la quantité de spectre allouée ou du nombre de canaux ou de la capacité ou du dé</w:t>
      </w:r>
      <w:r>
        <w:t>bit de la liaison,</w:t>
      </w:r>
    </w:p>
    <w:p w:rsidR="003A5252" w:rsidRPr="009A06C3" w:rsidRDefault="003A5252" w:rsidP="00FD23B9">
      <w:pPr>
        <w:pStyle w:val="enumlev1"/>
        <w:bidi w:val="0"/>
        <w:spacing w:line="240" w:lineRule="auto"/>
      </w:pPr>
      <w:r>
        <w:t>–</w:t>
      </w:r>
      <w:r>
        <w:tab/>
        <w:t>s</w:t>
      </w:r>
      <w:r w:rsidRPr="009A06C3">
        <w:t>oit du tonnage pour les navires de pêche.</w:t>
      </w:r>
    </w:p>
    <w:p w:rsidR="003A5252" w:rsidRPr="003A39BA" w:rsidRDefault="003A5252" w:rsidP="00FD23B9">
      <w:pPr>
        <w:bidi w:val="0"/>
        <w:spacing w:line="240" w:lineRule="auto"/>
        <w:rPr>
          <w:b/>
          <w:bCs/>
          <w:lang w:val="fr-FR"/>
        </w:rPr>
      </w:pPr>
      <w:r w:rsidRPr="003A39BA">
        <w:rPr>
          <w:b/>
          <w:bCs/>
          <w:lang w:val="fr-FR"/>
        </w:rPr>
        <w:t xml:space="preserve">La vignette radioélectrique </w:t>
      </w:r>
    </w:p>
    <w:p w:rsidR="003A5252" w:rsidRPr="00AA5C49" w:rsidRDefault="003A5252" w:rsidP="00FD23B9">
      <w:pPr>
        <w:bidi w:val="0"/>
        <w:spacing w:line="240" w:lineRule="auto"/>
        <w:rPr>
          <w:lang w:val="fr-CH"/>
        </w:rPr>
      </w:pPr>
      <w:r w:rsidRPr="00AA5C49">
        <w:rPr>
          <w:lang w:val="fr-CH"/>
        </w:rPr>
        <w:t>La vignette est un macaron apposé sur les équipements radio, qui a pour objet d’identifier les stations autorisées lors des contrôles.</w:t>
      </w:r>
    </w:p>
    <w:p w:rsidR="003A5252" w:rsidRPr="00AA5C49" w:rsidRDefault="003A5252" w:rsidP="00FD23B9">
      <w:pPr>
        <w:bidi w:val="0"/>
        <w:spacing w:line="240" w:lineRule="auto"/>
        <w:rPr>
          <w:lang w:val="fr-CH"/>
        </w:rPr>
      </w:pPr>
      <w:r w:rsidRPr="00AA5C49">
        <w:rPr>
          <w:lang w:val="fr-CH"/>
        </w:rPr>
        <w:t>Le montant de cette vignette varie en fonction du type de stations (postes fixes, mobiles ou portatifs).</w:t>
      </w:r>
    </w:p>
    <w:p w:rsidR="003A5252" w:rsidRPr="002F019C" w:rsidRDefault="003A5252" w:rsidP="00FD23B9">
      <w:pPr>
        <w:pStyle w:val="Heading1"/>
        <w:bidi w:val="0"/>
        <w:spacing w:line="240" w:lineRule="auto"/>
        <w:rPr>
          <w:lang w:val="fr-FR"/>
        </w:rPr>
      </w:pPr>
      <w:bookmarkStart w:id="762" w:name="_Toc280260919"/>
      <w:bookmarkStart w:id="763" w:name="_Toc280272531"/>
      <w:bookmarkStart w:id="764" w:name="_Toc282768720"/>
      <w:r w:rsidRPr="002F019C">
        <w:rPr>
          <w:lang w:val="fr-FR"/>
        </w:rPr>
        <w:t>III</w:t>
      </w:r>
      <w:r w:rsidRPr="002F019C">
        <w:rPr>
          <w:lang w:val="fr-FR"/>
        </w:rPr>
        <w:tab/>
        <w:t>Autres taxes radioélectriques</w:t>
      </w:r>
      <w:bookmarkEnd w:id="762"/>
      <w:bookmarkEnd w:id="763"/>
      <w:bookmarkEnd w:id="764"/>
    </w:p>
    <w:p w:rsidR="003A5252" w:rsidRPr="00AA5C49" w:rsidRDefault="003A5252" w:rsidP="00FD23B9">
      <w:pPr>
        <w:bidi w:val="0"/>
        <w:spacing w:line="240" w:lineRule="auto"/>
        <w:rPr>
          <w:lang w:val="fr-CH"/>
        </w:rPr>
      </w:pPr>
      <w:r w:rsidRPr="00AA5C49">
        <w:rPr>
          <w:lang w:val="fr-CH"/>
        </w:rPr>
        <w:t>Outres les taxes radioélectriques perçues par bimestres, les impositions suivantes sont demandées:</w:t>
      </w:r>
    </w:p>
    <w:p w:rsidR="003A5252" w:rsidRPr="00EF4052" w:rsidRDefault="003A5252" w:rsidP="00FD23B9">
      <w:pPr>
        <w:bidi w:val="0"/>
        <w:spacing w:line="240" w:lineRule="auto"/>
        <w:rPr>
          <w:b/>
          <w:bCs/>
          <w:lang w:val="fr-CH"/>
        </w:rPr>
      </w:pPr>
      <w:r w:rsidRPr="00EF4052">
        <w:rPr>
          <w:b/>
          <w:bCs/>
          <w:lang w:val="fr-CH"/>
        </w:rPr>
        <w:t>Taxes</w:t>
      </w:r>
      <w:r w:rsidRPr="00EF4052">
        <w:rPr>
          <w:b/>
          <w:bCs/>
          <w:lang w:val="fr-FR"/>
        </w:rPr>
        <w:t xml:space="preserve"> d’homologation</w:t>
      </w:r>
      <w:r w:rsidRPr="00EF4052">
        <w:rPr>
          <w:b/>
          <w:bCs/>
          <w:lang w:val="fr-CH"/>
        </w:rPr>
        <w:t xml:space="preserve"> ou d’agreement</w:t>
      </w:r>
    </w:p>
    <w:p w:rsidR="003A5252" w:rsidRPr="00AA5C49" w:rsidRDefault="003A5252" w:rsidP="00FD23B9">
      <w:pPr>
        <w:bidi w:val="0"/>
        <w:spacing w:line="240" w:lineRule="auto"/>
        <w:rPr>
          <w:lang w:val="fr-CH"/>
        </w:rPr>
      </w:pPr>
      <w:r w:rsidRPr="00AA5C49">
        <w:rPr>
          <w:lang w:val="fr-CH"/>
        </w:rPr>
        <w:t xml:space="preserve">Il s’agit d’une taxe perçue lors des tests effectués sur les équipements  radioélectriques afin de s’assurer de leur conformité. L’agrément délivré aux installateurs radioélectriques est une preuve de leur capacité à installer des équipements radioélectriques. </w:t>
      </w:r>
    </w:p>
    <w:p w:rsidR="003A5252" w:rsidRPr="00AA5C49" w:rsidRDefault="003A5252" w:rsidP="00FD23B9">
      <w:pPr>
        <w:bidi w:val="0"/>
        <w:spacing w:line="240" w:lineRule="auto"/>
        <w:rPr>
          <w:lang w:val="fr-CH"/>
        </w:rPr>
      </w:pPr>
      <w:r w:rsidRPr="00AA5C49">
        <w:rPr>
          <w:lang w:val="fr-CH"/>
        </w:rPr>
        <w:t>L'agrément des équipements terminaux et l'admission des installateurs en radiocommunications donnent lieu à la perception des taxes forfaitaires et non remboursables suivantes:</w:t>
      </w:r>
    </w:p>
    <w:p w:rsidR="003A5252" w:rsidRPr="009A06C3" w:rsidRDefault="003A5252" w:rsidP="00FD23B9">
      <w:pPr>
        <w:pStyle w:val="enumlev1"/>
        <w:bidi w:val="0"/>
        <w:spacing w:line="240" w:lineRule="auto"/>
      </w:pPr>
      <w:r>
        <w:t>1)</w:t>
      </w:r>
      <w:r>
        <w:tab/>
      </w:r>
      <w:r w:rsidRPr="009A06C3">
        <w:t>Pour les équipements: une taxe de constitution de dossier et une taxe de contrôle technique par équipement.</w:t>
      </w:r>
    </w:p>
    <w:p w:rsidR="003A5252" w:rsidRPr="009A06C3" w:rsidRDefault="003A5252" w:rsidP="00FD23B9">
      <w:pPr>
        <w:pStyle w:val="enumlev1"/>
        <w:bidi w:val="0"/>
        <w:spacing w:line="240" w:lineRule="auto"/>
      </w:pPr>
      <w:r>
        <w:t>2)</w:t>
      </w:r>
      <w:r>
        <w:tab/>
      </w:r>
      <w:r w:rsidRPr="009A06C3">
        <w:t>Pour les installateurs: une taxe de constitution de dossier et une taxe d'agrément sont perçues à la délivrance ou au renouvellement de l'autorisation.</w:t>
      </w:r>
    </w:p>
    <w:p w:rsidR="003A5252" w:rsidRPr="00C047A7" w:rsidRDefault="003A5252" w:rsidP="00FD23B9">
      <w:pPr>
        <w:bidi w:val="0"/>
        <w:spacing w:line="240" w:lineRule="auto"/>
        <w:rPr>
          <w:b/>
          <w:bCs/>
          <w:lang w:val="fr-FR"/>
        </w:rPr>
      </w:pPr>
      <w:r w:rsidRPr="00C047A7">
        <w:rPr>
          <w:b/>
          <w:bCs/>
          <w:lang w:val="fr-FR"/>
        </w:rPr>
        <w:t>Taxe de traitement des plaintes pour brouillages</w:t>
      </w:r>
    </w:p>
    <w:p w:rsidR="003A5252" w:rsidRPr="00AA5C49" w:rsidRDefault="003A5252" w:rsidP="00FD23B9">
      <w:pPr>
        <w:bidi w:val="0"/>
        <w:spacing w:line="240" w:lineRule="auto"/>
        <w:rPr>
          <w:lang w:val="fr-CH"/>
        </w:rPr>
      </w:pPr>
      <w:r w:rsidRPr="00AA5C49">
        <w:rPr>
          <w:lang w:val="fr-CH"/>
        </w:rPr>
        <w:t xml:space="preserve">Il s’agit d’une taxe perçue et payée par les permissionnaires ou concessionnaires fautifs, qui couvre les frais administratifs ou liés au déplacement des agents de l’Agence. </w:t>
      </w:r>
    </w:p>
    <w:p w:rsidR="00FB6A8B" w:rsidRDefault="00FB6A8B">
      <w:pPr>
        <w:tabs>
          <w:tab w:val="clear" w:pos="794"/>
          <w:tab w:val="clear" w:pos="1191"/>
          <w:tab w:val="clear" w:pos="1588"/>
          <w:tab w:val="clear" w:pos="1985"/>
        </w:tabs>
        <w:overflowPunct/>
        <w:autoSpaceDE/>
        <w:autoSpaceDN/>
        <w:bidi w:val="0"/>
        <w:adjustRightInd/>
        <w:spacing w:before="0" w:line="240" w:lineRule="auto"/>
        <w:jc w:val="left"/>
        <w:textAlignment w:val="auto"/>
        <w:rPr>
          <w:b/>
          <w:bCs/>
          <w:lang w:val="fr-FR"/>
        </w:rPr>
      </w:pPr>
      <w:r>
        <w:rPr>
          <w:b/>
          <w:bCs/>
          <w:lang w:val="fr-FR"/>
        </w:rPr>
        <w:br w:type="page"/>
      </w:r>
    </w:p>
    <w:p w:rsidR="003A5252" w:rsidRPr="00C047A7" w:rsidRDefault="003A5252" w:rsidP="00FD23B9">
      <w:pPr>
        <w:bidi w:val="0"/>
        <w:spacing w:line="240" w:lineRule="auto"/>
        <w:rPr>
          <w:b/>
          <w:bCs/>
          <w:lang w:val="fr-FR"/>
        </w:rPr>
      </w:pPr>
      <w:r w:rsidRPr="00C047A7">
        <w:rPr>
          <w:b/>
          <w:bCs/>
          <w:lang w:val="fr-FR"/>
        </w:rPr>
        <w:lastRenderedPageBreak/>
        <w:t>Droits d'examen</w:t>
      </w:r>
    </w:p>
    <w:p w:rsidR="003A5252" w:rsidRPr="00AA5C49" w:rsidRDefault="003A5252" w:rsidP="00FD23B9">
      <w:pPr>
        <w:bidi w:val="0"/>
        <w:spacing w:line="240" w:lineRule="auto"/>
        <w:rPr>
          <w:lang w:val="fr-CH"/>
        </w:rPr>
      </w:pPr>
      <w:r w:rsidRPr="00AA5C49">
        <w:rPr>
          <w:lang w:val="fr-CH"/>
        </w:rPr>
        <w:t>Pour l'obtention du certificat d'opérateur radiotélégraphiste, du certificat d'opérateur radiotéléphoniste ou du certificat comportant la double mention, des droits d'examen sont perçus avant le début des épreuves. Des droits de même montant sont dus pour la délivrance du ou desdits certificats aux titulaires d'une attestation militaire de capacité d'opérateur.</w:t>
      </w:r>
    </w:p>
    <w:p w:rsidR="003A5252" w:rsidRPr="00AA5C49" w:rsidRDefault="003A5252" w:rsidP="00FD23B9">
      <w:pPr>
        <w:bidi w:val="0"/>
        <w:spacing w:line="240" w:lineRule="auto"/>
        <w:rPr>
          <w:lang w:val="fr-CH"/>
        </w:rPr>
      </w:pPr>
      <w:r w:rsidRPr="00AA5C49">
        <w:rPr>
          <w:lang w:val="fr-CH"/>
        </w:rPr>
        <w:t>Lors de la délivrance, du renouvellement ou de l'établissement d'un duplicata de licence de station d'amateur, d'aéronef ou de navire, et d'un certificat d'opérateur, il est perçu une taxe forfaitaire et non remboursable.</w:t>
      </w:r>
    </w:p>
    <w:p w:rsidR="003A5252" w:rsidRPr="00C047A7" w:rsidRDefault="003A5252" w:rsidP="00FD23B9">
      <w:pPr>
        <w:bidi w:val="0"/>
        <w:spacing w:line="240" w:lineRule="auto"/>
        <w:rPr>
          <w:b/>
          <w:bCs/>
          <w:lang w:val="fr-FR"/>
        </w:rPr>
      </w:pPr>
      <w:r w:rsidRPr="00C047A7">
        <w:rPr>
          <w:b/>
          <w:bCs/>
          <w:lang w:val="fr-FR"/>
        </w:rPr>
        <w:t>Taxes d'intervention</w:t>
      </w:r>
    </w:p>
    <w:p w:rsidR="003A5252" w:rsidRPr="00AA5C49" w:rsidRDefault="003A5252" w:rsidP="00FD23B9">
      <w:pPr>
        <w:bidi w:val="0"/>
        <w:spacing w:line="240" w:lineRule="auto"/>
        <w:rPr>
          <w:lang w:val="fr-CH"/>
        </w:rPr>
      </w:pPr>
      <w:r w:rsidRPr="00AA5C49">
        <w:rPr>
          <w:lang w:val="fr-CH"/>
        </w:rPr>
        <w:t>Les frais exceptionnels occasionnés pour le relevement du brouillage d'une fréquence radioélectrique régulièrement utilisée ou par la non conformité des installations donnent lieu au paiement d'une taxe forfaitaire par intervention. Cette taxe est due par le propriétaire de la station brouilleuse ou des Installations non conformes.</w:t>
      </w:r>
    </w:p>
    <w:p w:rsidR="003A5252" w:rsidRPr="00AA5C49" w:rsidRDefault="003A5252" w:rsidP="00FD23B9">
      <w:pPr>
        <w:tabs>
          <w:tab w:val="clear" w:pos="794"/>
          <w:tab w:val="clear" w:pos="1191"/>
          <w:tab w:val="clear" w:pos="1588"/>
          <w:tab w:val="clear" w:pos="1985"/>
        </w:tabs>
        <w:overflowPunct/>
        <w:autoSpaceDE/>
        <w:autoSpaceDN/>
        <w:bidi w:val="0"/>
        <w:adjustRightInd/>
        <w:spacing w:before="0" w:line="240" w:lineRule="auto"/>
        <w:jc w:val="left"/>
        <w:textAlignment w:val="auto"/>
        <w:rPr>
          <w:lang w:val="fr-CH"/>
        </w:rPr>
      </w:pPr>
      <w:r w:rsidRPr="00AA5C49">
        <w:rPr>
          <w:lang w:val="fr-CH"/>
        </w:rPr>
        <w:br w:type="page"/>
      </w:r>
    </w:p>
    <w:p w:rsidR="003A5252" w:rsidRPr="00AA5C49" w:rsidRDefault="003A5252" w:rsidP="0049484E">
      <w:pPr>
        <w:pStyle w:val="AppendixNotitle"/>
        <w:rPr>
          <w:lang w:val="fr-CH"/>
        </w:rPr>
      </w:pPr>
      <w:bookmarkStart w:id="765" w:name="_Toc280260067"/>
      <w:bookmarkStart w:id="766" w:name="_Toc280260920"/>
      <w:bookmarkStart w:id="767" w:name="_Toc280272532"/>
      <w:bookmarkStart w:id="768" w:name="_Toc282768721"/>
      <w:r w:rsidRPr="00AA5C49">
        <w:rPr>
          <w:lang w:val="fr-CH"/>
        </w:rPr>
        <w:lastRenderedPageBreak/>
        <w:t>Appendix 3.2</w:t>
      </w:r>
      <w:bookmarkEnd w:id="765"/>
      <w:bookmarkEnd w:id="766"/>
      <w:bookmarkEnd w:id="767"/>
      <w:bookmarkEnd w:id="768"/>
    </w:p>
    <w:p w:rsidR="003A5252" w:rsidRPr="00A64A09" w:rsidRDefault="003A5252" w:rsidP="00FD23B9">
      <w:pPr>
        <w:pStyle w:val="Normalaftertitle0"/>
      </w:pPr>
    </w:p>
    <w:p w:rsidR="003A5252" w:rsidRDefault="003A5252" w:rsidP="00FD23B9">
      <w:pPr>
        <w:bidi w:val="0"/>
        <w:spacing w:line="240" w:lineRule="auto"/>
        <w:rPr>
          <w:lang w:val="fr-CH"/>
        </w:rPr>
      </w:pPr>
      <w:r w:rsidRPr="00E21F0F">
        <w:rPr>
          <w:lang w:val="fr-CH"/>
        </w:rPr>
        <w:t xml:space="preserve">ORDONNANCE N° 97/173 du 19 mars 1997 </w:t>
      </w:r>
    </w:p>
    <w:p w:rsidR="003A5252" w:rsidRPr="00E21F0F" w:rsidRDefault="003A5252" w:rsidP="00FD23B9">
      <w:pPr>
        <w:bidi w:val="0"/>
        <w:spacing w:line="240" w:lineRule="auto"/>
        <w:rPr>
          <w:lang w:val="fr-CH"/>
        </w:rPr>
      </w:pPr>
    </w:p>
    <w:p w:rsidR="003A5252" w:rsidRPr="00E21F0F" w:rsidRDefault="003A5252" w:rsidP="00FD23B9">
      <w:pPr>
        <w:bidi w:val="0"/>
        <w:spacing w:line="240" w:lineRule="auto"/>
        <w:rPr>
          <w:lang w:val="fr-CH"/>
        </w:rPr>
      </w:pPr>
      <w:r w:rsidRPr="00E21F0F">
        <w:rPr>
          <w:lang w:val="fr-CH"/>
        </w:rPr>
        <w:t xml:space="preserve">Relative aux Droits, Taxe et Redevances Sur les Radiocommunications </w:t>
      </w:r>
    </w:p>
    <w:p w:rsidR="003A5252" w:rsidRPr="00E21F0F" w:rsidRDefault="003A5252" w:rsidP="00FD23B9">
      <w:pPr>
        <w:bidi w:val="0"/>
        <w:spacing w:line="240" w:lineRule="auto"/>
        <w:rPr>
          <w:lang w:val="fr-CH"/>
        </w:rPr>
      </w:pPr>
    </w:p>
    <w:p w:rsidR="003A5252" w:rsidRPr="00E21F0F" w:rsidRDefault="003A5252" w:rsidP="00FD23B9">
      <w:pPr>
        <w:pStyle w:val="CM10"/>
        <w:spacing w:after="300"/>
        <w:jc w:val="both"/>
        <w:rPr>
          <w:rFonts w:asciiTheme="majorBidi" w:hAnsiTheme="majorBidi" w:cstheme="majorBidi"/>
          <w:color w:val="000000"/>
          <w:lang w:val="fr-CH"/>
        </w:rPr>
      </w:pPr>
      <w:r w:rsidRPr="00E21F0F">
        <w:rPr>
          <w:rFonts w:asciiTheme="majorBidi" w:hAnsiTheme="majorBidi" w:cstheme="majorBidi"/>
          <w:b/>
          <w:bCs/>
          <w:color w:val="000000"/>
          <w:lang w:val="fr-CH"/>
        </w:rPr>
        <w:t xml:space="preserve">LE PRESIDENT DE LA REPUBLIQUE </w:t>
      </w:r>
    </w:p>
    <w:p w:rsidR="003A5252" w:rsidRPr="00E21F0F" w:rsidRDefault="003A5252" w:rsidP="00FD23B9">
      <w:pPr>
        <w:bidi w:val="0"/>
        <w:spacing w:line="240" w:lineRule="auto"/>
        <w:rPr>
          <w:lang w:val="fr-CH"/>
        </w:rPr>
      </w:pPr>
      <w:r w:rsidRPr="00E21F0F">
        <w:rPr>
          <w:lang w:val="fr-CH"/>
        </w:rPr>
        <w:t xml:space="preserve">Sur rapport conjoint du Ministre de L’ Economie et des Finances et du Ministre des Infrastructures Economiques ; </w:t>
      </w:r>
    </w:p>
    <w:p w:rsidR="003A5252" w:rsidRPr="00E21F0F" w:rsidRDefault="003A5252" w:rsidP="00FD23B9">
      <w:pPr>
        <w:bidi w:val="0"/>
        <w:spacing w:line="240" w:lineRule="auto"/>
        <w:rPr>
          <w:lang w:val="fr-CH"/>
        </w:rPr>
      </w:pPr>
      <w:r w:rsidRPr="00E21F0F">
        <w:rPr>
          <w:lang w:val="fr-CH"/>
        </w:rPr>
        <w:t xml:space="preserve">Vu la constitution </w:t>
      </w:r>
    </w:p>
    <w:p w:rsidR="003A5252" w:rsidRPr="00E21F0F" w:rsidRDefault="003A5252" w:rsidP="00FD23B9">
      <w:pPr>
        <w:bidi w:val="0"/>
        <w:spacing w:line="240" w:lineRule="auto"/>
        <w:rPr>
          <w:lang w:val="fr-CH"/>
        </w:rPr>
      </w:pPr>
      <w:r w:rsidRPr="00E21F0F">
        <w:rPr>
          <w:lang w:val="fr-CH"/>
        </w:rPr>
        <w:t xml:space="preserve">Vu la loi n° 95-526 du7 juillet 1995 portant Code des Télécommunications : </w:t>
      </w:r>
    </w:p>
    <w:p w:rsidR="003A5252" w:rsidRPr="00E21F0F" w:rsidRDefault="003A5252" w:rsidP="00FD23B9">
      <w:pPr>
        <w:bidi w:val="0"/>
        <w:spacing w:line="240" w:lineRule="auto"/>
        <w:rPr>
          <w:lang w:val="fr-CH"/>
        </w:rPr>
      </w:pPr>
      <w:r w:rsidRPr="00E21F0F">
        <w:rPr>
          <w:lang w:val="fr-CH"/>
        </w:rPr>
        <w:t xml:space="preserve">Vu le Décret n° 85-1089 du 16 Octobre 1985 portant réglementation de la Radioélectricité Privée en Côte d’Ivoire ; </w:t>
      </w:r>
    </w:p>
    <w:p w:rsidR="003A5252" w:rsidRPr="00E21F0F" w:rsidRDefault="003A5252" w:rsidP="00FD23B9">
      <w:pPr>
        <w:bidi w:val="0"/>
        <w:spacing w:line="240" w:lineRule="auto"/>
        <w:rPr>
          <w:lang w:val="fr-CH"/>
        </w:rPr>
      </w:pPr>
      <w:r w:rsidRPr="00E21F0F">
        <w:rPr>
          <w:lang w:val="fr-CH"/>
        </w:rPr>
        <w:t xml:space="preserve">Vu le Décret n° 95-554 du 19 juillet 1995 portant organisation et fonctionnement de l’Etablissement Public de catégorie particulière dénommé Agence des Télécommunications de côte d’Ivoire ; </w:t>
      </w:r>
    </w:p>
    <w:p w:rsidR="003A5252" w:rsidRPr="00E21F0F" w:rsidRDefault="003A5252" w:rsidP="00FD23B9">
      <w:pPr>
        <w:bidi w:val="0"/>
        <w:spacing w:line="240" w:lineRule="auto"/>
        <w:rPr>
          <w:lang w:val="fr-CH"/>
        </w:rPr>
      </w:pPr>
      <w:r w:rsidRPr="00E21F0F">
        <w:rPr>
          <w:lang w:val="fr-CH"/>
        </w:rPr>
        <w:t xml:space="preserve">Vu le Décret n° 96-PR/002 du 26 janvier portant nomination des membres du Gouvernement ; tel que modifié par le décret n° 96-PR/10 du 10 Août 1996 ; </w:t>
      </w:r>
    </w:p>
    <w:p w:rsidR="003A5252" w:rsidRPr="00E21F0F" w:rsidRDefault="003A5252" w:rsidP="00FD23B9">
      <w:pPr>
        <w:bidi w:val="0"/>
        <w:spacing w:line="240" w:lineRule="auto"/>
        <w:rPr>
          <w:lang w:val="fr-CH"/>
        </w:rPr>
      </w:pPr>
      <w:r w:rsidRPr="00E21F0F">
        <w:rPr>
          <w:lang w:val="fr-CH"/>
        </w:rPr>
        <w:t>Vu le Décret n° 96-179 du 1</w:t>
      </w:r>
      <w:r w:rsidRPr="007033AC">
        <w:rPr>
          <w:vertAlign w:val="superscript"/>
          <w:lang w:val="fr-CH"/>
        </w:rPr>
        <w:t>er</w:t>
      </w:r>
      <w:r w:rsidRPr="00E21F0F">
        <w:rPr>
          <w:lang w:val="fr-CH"/>
        </w:rPr>
        <w:t xml:space="preserve"> Mars 1996 portant attributions des membres du Gouvernement ; </w:t>
      </w:r>
    </w:p>
    <w:p w:rsidR="003A5252" w:rsidRPr="00E21F0F" w:rsidRDefault="003A5252" w:rsidP="00FD23B9">
      <w:pPr>
        <w:pStyle w:val="heading0"/>
        <w:spacing w:line="240" w:lineRule="auto"/>
        <w:rPr>
          <w:lang w:val="fr-CH"/>
        </w:rPr>
      </w:pPr>
      <w:r w:rsidRPr="00E21F0F">
        <w:rPr>
          <w:lang w:val="fr-CH"/>
        </w:rPr>
        <w:t xml:space="preserve">LE CONSEIL DES MINISTRES ENTENDU ORDONNE </w:t>
      </w:r>
    </w:p>
    <w:p w:rsidR="003A5252" w:rsidRPr="00E21F0F" w:rsidRDefault="003A5252" w:rsidP="00FD23B9">
      <w:pPr>
        <w:pStyle w:val="ChapNo0"/>
        <w:rPr>
          <w:rFonts w:hint="eastAsia"/>
          <w:lang w:val="fr-CH"/>
        </w:rPr>
      </w:pPr>
      <w:bookmarkStart w:id="769" w:name="_Toc280261074"/>
      <w:r w:rsidRPr="00E21F0F">
        <w:rPr>
          <w:lang w:val="fr-CH"/>
        </w:rPr>
        <w:t>CHAPITRE 1</w:t>
      </w:r>
      <w:r>
        <w:rPr>
          <w:lang w:val="fr-CH"/>
        </w:rPr>
        <w:br/>
      </w:r>
      <w:r>
        <w:rPr>
          <w:lang w:val="fr-CH"/>
        </w:rPr>
        <w:br/>
        <w:t>DISPOSITIONS GENERALES:</w:t>
      </w:r>
      <w:r>
        <w:rPr>
          <w:lang w:val="fr-CH"/>
        </w:rPr>
        <w:br/>
      </w:r>
      <w:r w:rsidRPr="00E21F0F">
        <w:rPr>
          <w:lang w:val="fr-CH"/>
        </w:rPr>
        <w:t>CHAMP D’APPLICATION</w:t>
      </w:r>
      <w:bookmarkEnd w:id="769"/>
      <w:r w:rsidRPr="00E21F0F">
        <w:rPr>
          <w:lang w:val="fr-CH"/>
        </w:rPr>
        <w:t xml:space="preserve"> </w:t>
      </w:r>
    </w:p>
    <w:p w:rsidR="003A5252" w:rsidRPr="00E21F0F" w:rsidRDefault="003A5252" w:rsidP="00FD23B9">
      <w:pPr>
        <w:bidi w:val="0"/>
        <w:spacing w:line="240" w:lineRule="auto"/>
        <w:rPr>
          <w:lang w:val="fr-CH"/>
        </w:rPr>
      </w:pPr>
      <w:r w:rsidRPr="00E21F0F">
        <w:rPr>
          <w:b/>
          <w:bCs/>
          <w:u w:val="single"/>
          <w:lang w:val="fr-CH"/>
        </w:rPr>
        <w:t>Article 1</w:t>
      </w:r>
      <w:r w:rsidRPr="009F06C9">
        <w:rPr>
          <w:b/>
          <w:bCs/>
          <w:u w:val="single"/>
          <w:vertAlign w:val="superscript"/>
          <w:lang w:val="fr-CH"/>
        </w:rPr>
        <w:t>er</w:t>
      </w:r>
      <w:r w:rsidRPr="00E21F0F">
        <w:rPr>
          <w:b/>
          <w:bCs/>
          <w:u w:val="single"/>
          <w:lang w:val="fr-CH"/>
        </w:rPr>
        <w:t>:</w:t>
      </w:r>
      <w:r w:rsidRPr="009F06C9">
        <w:rPr>
          <w:b/>
          <w:bCs/>
          <w:lang w:val="fr-CH"/>
        </w:rPr>
        <w:t xml:space="preserve"> </w:t>
      </w:r>
      <w:r w:rsidRPr="00E21F0F">
        <w:rPr>
          <w:lang w:val="fr-CH"/>
        </w:rPr>
        <w:t xml:space="preserve">Les dispositions qui vont suivre définissent les droits, taxes, redevances et contributions perçu par l’Agence des Télécommunications de Côte d’Ivoire(ATCI) et en fixent les montants. </w:t>
      </w:r>
    </w:p>
    <w:p w:rsidR="003A5252" w:rsidRPr="00E21F0F" w:rsidRDefault="003A5252" w:rsidP="00FD23B9">
      <w:pPr>
        <w:pStyle w:val="ChapNo0"/>
        <w:rPr>
          <w:rFonts w:hint="eastAsia"/>
          <w:lang w:val="fr-CH"/>
        </w:rPr>
      </w:pPr>
      <w:bookmarkStart w:id="770" w:name="_Toc280261075"/>
      <w:r w:rsidRPr="00E21F0F">
        <w:rPr>
          <w:lang w:val="fr-CH"/>
        </w:rPr>
        <w:lastRenderedPageBreak/>
        <w:t>CHAPITRE I</w:t>
      </w:r>
      <w:r>
        <w:rPr>
          <w:lang w:val="fr-CH"/>
        </w:rPr>
        <w:t>I</w:t>
      </w:r>
      <w:bookmarkEnd w:id="770"/>
    </w:p>
    <w:p w:rsidR="003A5252" w:rsidRPr="00E21F0F" w:rsidRDefault="003A5252" w:rsidP="00FD23B9">
      <w:pPr>
        <w:pStyle w:val="Chaptitle0"/>
        <w:rPr>
          <w:rFonts w:hint="eastAsia"/>
          <w:lang w:val="fr-CH"/>
        </w:rPr>
      </w:pPr>
      <w:r w:rsidRPr="00E21F0F">
        <w:rPr>
          <w:lang w:val="fr-CH"/>
        </w:rPr>
        <w:t xml:space="preserve">TAXES REDEVANCES ET CONTRIBUTIONS APPLICABLE AUX RESEAUX ET STATIONS RADIOELECTRIQUES </w:t>
      </w:r>
    </w:p>
    <w:p w:rsidR="003A5252" w:rsidRPr="00EB6A07" w:rsidRDefault="003A5252" w:rsidP="00FD23B9">
      <w:pPr>
        <w:pStyle w:val="SectionNo"/>
        <w:bidi w:val="0"/>
        <w:spacing w:line="240" w:lineRule="auto"/>
        <w:rPr>
          <w:b/>
          <w:bCs/>
          <w:lang w:val="fr-CH"/>
        </w:rPr>
      </w:pPr>
      <w:bookmarkStart w:id="771" w:name="_Toc280261076"/>
      <w:r>
        <w:rPr>
          <w:lang w:val="fr-CH"/>
        </w:rPr>
        <w:t>SECTION 1</w:t>
      </w:r>
      <w:r>
        <w:rPr>
          <w:lang w:val="fr-CH"/>
        </w:rPr>
        <w:br/>
      </w:r>
      <w:r>
        <w:rPr>
          <w:lang w:val="fr-CH"/>
        </w:rPr>
        <w:br/>
      </w:r>
      <w:r w:rsidRPr="00EB6A07">
        <w:rPr>
          <w:b/>
          <w:bCs/>
          <w:caps w:val="0"/>
          <w:lang w:val="fr-CH"/>
        </w:rPr>
        <w:t>Réseaux radioélectriques des services fixes et mobiles, réseaux et stations terriennes des services fixes par satellite et mobile par satellite</w:t>
      </w:r>
      <w:bookmarkEnd w:id="771"/>
    </w:p>
    <w:p w:rsidR="003A5252" w:rsidRPr="00E21F0F" w:rsidRDefault="003A5252" w:rsidP="00FD23B9">
      <w:pPr>
        <w:bidi w:val="0"/>
        <w:spacing w:line="240" w:lineRule="auto"/>
        <w:rPr>
          <w:lang w:val="fr-CH"/>
        </w:rPr>
      </w:pPr>
      <w:r w:rsidRPr="00E21F0F">
        <w:rPr>
          <w:b/>
          <w:bCs/>
          <w:u w:val="single"/>
          <w:lang w:val="fr-CH"/>
        </w:rPr>
        <w:t>Art.2</w:t>
      </w:r>
      <w:r w:rsidRPr="00E21F0F">
        <w:rPr>
          <w:lang w:val="fr-CH"/>
        </w:rPr>
        <w:t>:</w:t>
      </w:r>
      <w:r>
        <w:rPr>
          <w:lang w:val="fr-CH"/>
        </w:rPr>
        <w:t xml:space="preserve"> </w:t>
      </w:r>
      <w:r w:rsidRPr="00E21F0F">
        <w:rPr>
          <w:lang w:val="fr-CH"/>
        </w:rPr>
        <w:t>Les demandes ou les titulaires d’autorisation relatives à des réseaux radioélectriques des services fixes et mobiles de terre, ainsi qu’à des réseaux et stations terriennes des services fixes par satellite et mobiles par satellites sont assujettis au paiement des taxes, redevan</w:t>
      </w:r>
      <w:r>
        <w:rPr>
          <w:lang w:val="fr-CH"/>
        </w:rPr>
        <w:t>ces et contributions Ci-après:</w:t>
      </w:r>
    </w:p>
    <w:p w:rsidR="003A5252" w:rsidRPr="00E21F0F" w:rsidRDefault="003A5252" w:rsidP="00FD23B9">
      <w:pPr>
        <w:pStyle w:val="enumlev1"/>
        <w:bidi w:val="0"/>
        <w:spacing w:line="240" w:lineRule="auto"/>
        <w:rPr>
          <w:lang w:val="fr-CH"/>
        </w:rPr>
      </w:pPr>
      <w:r>
        <w:rPr>
          <w:lang w:val="fr-CH"/>
        </w:rPr>
        <w:t>–</w:t>
      </w:r>
      <w:r>
        <w:rPr>
          <w:lang w:val="fr-CH"/>
        </w:rPr>
        <w:tab/>
      </w:r>
      <w:r w:rsidRPr="00E21F0F">
        <w:rPr>
          <w:lang w:val="fr-CH"/>
        </w:rPr>
        <w:t xml:space="preserve">La taxe de contribution de dossier </w:t>
      </w:r>
    </w:p>
    <w:p w:rsidR="003A5252" w:rsidRPr="00E21F0F" w:rsidRDefault="003A5252" w:rsidP="00FD23B9">
      <w:pPr>
        <w:pStyle w:val="enumlev1"/>
        <w:bidi w:val="0"/>
        <w:spacing w:line="240" w:lineRule="auto"/>
        <w:rPr>
          <w:lang w:val="fr-CH"/>
        </w:rPr>
      </w:pPr>
      <w:r>
        <w:rPr>
          <w:lang w:val="fr-CH"/>
        </w:rPr>
        <w:t>–</w:t>
      </w:r>
      <w:r>
        <w:rPr>
          <w:lang w:val="fr-CH"/>
        </w:rPr>
        <w:tab/>
      </w:r>
      <w:r w:rsidRPr="00E21F0F">
        <w:rPr>
          <w:lang w:val="fr-CH"/>
        </w:rPr>
        <w:t xml:space="preserve">La taxe de contrôle des stations radioélectriques ; </w:t>
      </w:r>
    </w:p>
    <w:p w:rsidR="003A5252" w:rsidRPr="00E21F0F" w:rsidRDefault="003A5252" w:rsidP="00FD23B9">
      <w:pPr>
        <w:pStyle w:val="enumlev1"/>
        <w:bidi w:val="0"/>
        <w:spacing w:line="240" w:lineRule="auto"/>
        <w:rPr>
          <w:lang w:val="fr-CH"/>
        </w:rPr>
      </w:pPr>
      <w:r>
        <w:rPr>
          <w:lang w:val="fr-CH"/>
        </w:rPr>
        <w:t>–</w:t>
      </w:r>
      <w:r>
        <w:rPr>
          <w:lang w:val="fr-CH"/>
        </w:rPr>
        <w:tab/>
      </w:r>
      <w:r w:rsidRPr="00E21F0F">
        <w:rPr>
          <w:lang w:val="fr-CH"/>
        </w:rPr>
        <w:t xml:space="preserve">La contribution par frais de gestion </w:t>
      </w:r>
    </w:p>
    <w:p w:rsidR="003A5252" w:rsidRPr="00E21F0F" w:rsidRDefault="003A5252" w:rsidP="00FD23B9">
      <w:pPr>
        <w:pStyle w:val="enumlev1"/>
        <w:bidi w:val="0"/>
        <w:spacing w:line="240" w:lineRule="auto"/>
        <w:rPr>
          <w:lang w:val="fr-CH"/>
        </w:rPr>
      </w:pPr>
      <w:r>
        <w:rPr>
          <w:lang w:val="fr-CH"/>
        </w:rPr>
        <w:t>–</w:t>
      </w:r>
      <w:r>
        <w:rPr>
          <w:lang w:val="fr-CH"/>
        </w:rPr>
        <w:tab/>
      </w:r>
      <w:r w:rsidRPr="00E21F0F">
        <w:rPr>
          <w:lang w:val="fr-CH"/>
        </w:rPr>
        <w:t xml:space="preserve">La redevance due pour l’utilisation de fréquences radioélectriques </w:t>
      </w:r>
    </w:p>
    <w:p w:rsidR="003A5252" w:rsidRPr="00E21F0F" w:rsidRDefault="003A5252" w:rsidP="00FD23B9">
      <w:pPr>
        <w:pStyle w:val="SectionNo"/>
        <w:bidi w:val="0"/>
        <w:spacing w:line="240" w:lineRule="auto"/>
        <w:rPr>
          <w:lang w:val="fr-CH"/>
        </w:rPr>
      </w:pPr>
      <w:bookmarkStart w:id="772" w:name="_Toc280261077"/>
      <w:r>
        <w:rPr>
          <w:lang w:val="fr-CH"/>
        </w:rPr>
        <w:t>SECTION II</w:t>
      </w:r>
      <w:r>
        <w:rPr>
          <w:lang w:val="fr-CH"/>
        </w:rPr>
        <w:br/>
      </w:r>
      <w:r>
        <w:rPr>
          <w:lang w:val="fr-CH"/>
        </w:rPr>
        <w:br/>
      </w:r>
      <w:r>
        <w:rPr>
          <w:b/>
          <w:bCs/>
          <w:caps w:val="0"/>
          <w:lang w:val="fr-CH"/>
        </w:rPr>
        <w:t>S</w:t>
      </w:r>
      <w:r w:rsidRPr="00EB6A07">
        <w:rPr>
          <w:b/>
          <w:bCs/>
          <w:caps w:val="0"/>
          <w:lang w:val="fr-CH"/>
        </w:rPr>
        <w:t>stations terriennes de réception communautaire</w:t>
      </w:r>
      <w:bookmarkEnd w:id="772"/>
    </w:p>
    <w:p w:rsidR="003A5252" w:rsidRPr="00E21F0F" w:rsidRDefault="003A5252" w:rsidP="00FD23B9">
      <w:pPr>
        <w:bidi w:val="0"/>
        <w:spacing w:line="240" w:lineRule="auto"/>
        <w:rPr>
          <w:lang w:val="fr-CH"/>
        </w:rPr>
      </w:pPr>
      <w:r w:rsidRPr="00E21F0F">
        <w:rPr>
          <w:b/>
          <w:bCs/>
          <w:u w:val="single"/>
          <w:lang w:val="fr-CH"/>
        </w:rPr>
        <w:t>Art.3</w:t>
      </w:r>
      <w:r w:rsidRPr="00E21F0F">
        <w:rPr>
          <w:lang w:val="fr-CH"/>
        </w:rPr>
        <w:t>: Les demandeurs ou les titulaires d’autorisations relatives à des installations de radiodiffusion pour la réception collective ou de réception aux fins de redistribution conformément à l’article 20 de la loi n°</w:t>
      </w:r>
      <w:r>
        <w:rPr>
          <w:lang w:val="fr-CH"/>
        </w:rPr>
        <w:t> </w:t>
      </w:r>
      <w:r w:rsidRPr="00E21F0F">
        <w:rPr>
          <w:lang w:val="fr-CH"/>
        </w:rPr>
        <w:t>95-526 du 07 Juillet 1995 portant Code des Télécommunications, sont soumis au paiement des taxes, redevances et contributions p</w:t>
      </w:r>
      <w:r>
        <w:rPr>
          <w:lang w:val="fr-CH"/>
        </w:rPr>
        <w:t>révues à l’article 2 ci-dessus.</w:t>
      </w:r>
    </w:p>
    <w:p w:rsidR="003A5252" w:rsidRPr="00EB6A07" w:rsidRDefault="003A5252" w:rsidP="00FD23B9">
      <w:pPr>
        <w:pStyle w:val="SectionNo"/>
        <w:bidi w:val="0"/>
        <w:spacing w:line="240" w:lineRule="auto"/>
        <w:rPr>
          <w:b/>
          <w:bCs/>
          <w:lang w:val="fr-CH"/>
        </w:rPr>
      </w:pPr>
      <w:bookmarkStart w:id="773" w:name="_Toc280261078"/>
      <w:r>
        <w:rPr>
          <w:lang w:val="fr-CH"/>
        </w:rPr>
        <w:t>SECTION III</w:t>
      </w:r>
      <w:r>
        <w:rPr>
          <w:lang w:val="fr-CH"/>
        </w:rPr>
        <w:br/>
      </w:r>
      <w:r>
        <w:rPr>
          <w:lang w:val="fr-CH"/>
        </w:rPr>
        <w:br/>
      </w:r>
      <w:r>
        <w:rPr>
          <w:b/>
          <w:bCs/>
          <w:caps w:val="0"/>
          <w:lang w:val="fr-CH"/>
        </w:rPr>
        <w:t>S</w:t>
      </w:r>
      <w:r w:rsidRPr="00EB6A07">
        <w:rPr>
          <w:b/>
          <w:bCs/>
          <w:caps w:val="0"/>
          <w:lang w:val="fr-CH"/>
        </w:rPr>
        <w:t>tation d’animateur</w:t>
      </w:r>
      <w:bookmarkEnd w:id="773"/>
    </w:p>
    <w:p w:rsidR="003A5252" w:rsidRPr="00E21F0F" w:rsidRDefault="003A5252" w:rsidP="00FD23B9">
      <w:pPr>
        <w:bidi w:val="0"/>
        <w:spacing w:line="240" w:lineRule="auto"/>
        <w:rPr>
          <w:lang w:val="fr-CH"/>
        </w:rPr>
      </w:pPr>
      <w:r w:rsidRPr="00E21F0F">
        <w:rPr>
          <w:b/>
          <w:bCs/>
          <w:u w:val="single"/>
          <w:lang w:val="fr-CH"/>
        </w:rPr>
        <w:t>Art 4:</w:t>
      </w:r>
      <w:r w:rsidRPr="008057FF">
        <w:rPr>
          <w:b/>
          <w:bCs/>
          <w:lang w:val="fr-CH"/>
        </w:rPr>
        <w:t xml:space="preserve"> </w:t>
      </w:r>
      <w:r w:rsidRPr="00E21F0F">
        <w:rPr>
          <w:lang w:val="fr-CH"/>
        </w:rPr>
        <w:t xml:space="preserve">Les demandeurs ou les titulaires d’autorisation relatives à des stations d’animateurs sont soumis au paiement des taxes ci-après : </w:t>
      </w:r>
    </w:p>
    <w:p w:rsidR="003A5252" w:rsidRDefault="003A5252" w:rsidP="00FD23B9">
      <w:pPr>
        <w:pStyle w:val="enumlev1"/>
        <w:bidi w:val="0"/>
        <w:spacing w:line="240" w:lineRule="auto"/>
        <w:rPr>
          <w:lang w:val="fr-CH"/>
        </w:rPr>
      </w:pPr>
      <w:r>
        <w:rPr>
          <w:lang w:val="fr-CH"/>
        </w:rPr>
        <w:t>–</w:t>
      </w:r>
      <w:r>
        <w:rPr>
          <w:lang w:val="fr-CH"/>
        </w:rPr>
        <w:tab/>
      </w:r>
      <w:r w:rsidRPr="00E21F0F">
        <w:rPr>
          <w:lang w:val="fr-CH"/>
        </w:rPr>
        <w:t>la taxe de constitution des dossiers,</w:t>
      </w:r>
    </w:p>
    <w:p w:rsidR="003A5252" w:rsidRPr="00E21F0F" w:rsidRDefault="003A5252" w:rsidP="00FD23B9">
      <w:pPr>
        <w:pStyle w:val="enumlev1"/>
        <w:bidi w:val="0"/>
        <w:spacing w:line="240" w:lineRule="auto"/>
        <w:rPr>
          <w:lang w:val="fr-CH"/>
        </w:rPr>
      </w:pPr>
      <w:r>
        <w:rPr>
          <w:lang w:val="fr-CH"/>
        </w:rPr>
        <w:t>–</w:t>
      </w:r>
      <w:r>
        <w:rPr>
          <w:lang w:val="fr-CH"/>
        </w:rPr>
        <w:tab/>
      </w:r>
      <w:r w:rsidRPr="00E21F0F">
        <w:rPr>
          <w:lang w:val="fr-CH"/>
        </w:rPr>
        <w:t xml:space="preserve">la taxe de visite et de contrôle des stations </w:t>
      </w:r>
    </w:p>
    <w:p w:rsidR="003A5252" w:rsidRPr="00E21F0F" w:rsidRDefault="003A5252" w:rsidP="00FD23B9">
      <w:pPr>
        <w:pStyle w:val="SectionNo"/>
        <w:bidi w:val="0"/>
        <w:spacing w:line="240" w:lineRule="auto"/>
        <w:rPr>
          <w:lang w:val="fr-CH"/>
        </w:rPr>
      </w:pPr>
      <w:bookmarkStart w:id="774" w:name="_Toc280261079"/>
      <w:r>
        <w:rPr>
          <w:lang w:val="fr-CH"/>
        </w:rPr>
        <w:t>SECTION IV</w:t>
      </w:r>
      <w:bookmarkEnd w:id="774"/>
    </w:p>
    <w:p w:rsidR="003A5252" w:rsidRPr="00E21F0F" w:rsidRDefault="003A5252" w:rsidP="00FD23B9">
      <w:pPr>
        <w:bidi w:val="0"/>
        <w:spacing w:line="240" w:lineRule="auto"/>
        <w:rPr>
          <w:lang w:val="fr-CH"/>
        </w:rPr>
      </w:pPr>
      <w:r w:rsidRPr="00E21F0F">
        <w:rPr>
          <w:lang w:val="fr-CH"/>
        </w:rPr>
        <w:t xml:space="preserve">Utilisation radioélectrique des services de terre, ainsi que les relations terriennes des services spatiaux, temporairement utilisées, donnent lieu à la perception des taxes redevances et contribution ci-après : </w:t>
      </w:r>
    </w:p>
    <w:p w:rsidR="003A5252" w:rsidRPr="00E21F0F" w:rsidRDefault="003A5252" w:rsidP="00FD23B9">
      <w:pPr>
        <w:pStyle w:val="SectionNo"/>
        <w:bidi w:val="0"/>
        <w:spacing w:line="240" w:lineRule="auto"/>
        <w:rPr>
          <w:lang w:val="fr-CH"/>
        </w:rPr>
      </w:pPr>
      <w:bookmarkStart w:id="775" w:name="_Toc280261080"/>
      <w:r>
        <w:rPr>
          <w:lang w:val="fr-CH"/>
        </w:rPr>
        <w:lastRenderedPageBreak/>
        <w:t>SECTION V</w:t>
      </w:r>
      <w:r>
        <w:rPr>
          <w:lang w:val="fr-CH"/>
        </w:rPr>
        <w:br/>
      </w:r>
      <w:r>
        <w:rPr>
          <w:lang w:val="fr-CH"/>
        </w:rPr>
        <w:br/>
      </w:r>
      <w:r w:rsidRPr="00650A8B">
        <w:rPr>
          <w:b/>
          <w:bCs/>
          <w:caps w:val="0"/>
          <w:lang w:val="fr-CH"/>
        </w:rPr>
        <w:t>Emetteur-récepteur de faible puissance ou postes «CB»</w:t>
      </w:r>
      <w:bookmarkEnd w:id="775"/>
    </w:p>
    <w:p w:rsidR="003A5252" w:rsidRPr="00E21F0F" w:rsidRDefault="003A5252" w:rsidP="00FD23B9">
      <w:pPr>
        <w:bidi w:val="0"/>
        <w:spacing w:line="240" w:lineRule="auto"/>
        <w:rPr>
          <w:lang w:val="fr-CH"/>
        </w:rPr>
      </w:pPr>
      <w:r w:rsidRPr="00E21F0F">
        <w:rPr>
          <w:b/>
          <w:bCs/>
          <w:u w:val="single"/>
          <w:lang w:val="fr-CH"/>
        </w:rPr>
        <w:t>Art. 6:</w:t>
      </w:r>
      <w:r w:rsidRPr="007D57F9">
        <w:rPr>
          <w:b/>
          <w:bCs/>
          <w:lang w:val="fr-CH"/>
        </w:rPr>
        <w:t xml:space="preserve"> </w:t>
      </w:r>
      <w:r w:rsidRPr="00E21F0F">
        <w:rPr>
          <w:lang w:val="fr-CH"/>
        </w:rPr>
        <w:t xml:space="preserve">L’utilisation de poste émetteur-récepteur fonctionnant sur les canaux banalisés, dits postes CH, est soumise au paiement d’une redevance forfaitaire, non remboursable au moment de la délivrance de l’autorisation. </w:t>
      </w:r>
    </w:p>
    <w:p w:rsidR="003A5252" w:rsidRPr="00E21F0F" w:rsidRDefault="003A5252" w:rsidP="00FD23B9">
      <w:pPr>
        <w:pStyle w:val="CM10"/>
        <w:spacing w:after="300"/>
        <w:jc w:val="both"/>
        <w:rPr>
          <w:rFonts w:asciiTheme="majorBidi" w:hAnsiTheme="majorBidi" w:cstheme="majorBidi"/>
          <w:lang w:val="fr-CH"/>
        </w:rPr>
      </w:pPr>
      <w:r w:rsidRPr="00E21F0F">
        <w:rPr>
          <w:rFonts w:asciiTheme="majorBidi" w:hAnsiTheme="majorBidi" w:cstheme="majorBidi"/>
          <w:lang w:val="fr-CH"/>
        </w:rPr>
        <w:t xml:space="preserve">Ne sont pas assujettis à cette redevance, les postes CH ayant au maximum 40 canaux fonctionnant exclusivement en modulation angulaire avec une puissance en crête de modulation de 4 watts maxima. </w:t>
      </w:r>
    </w:p>
    <w:p w:rsidR="003A5252" w:rsidRPr="00650A8B" w:rsidRDefault="003A5252" w:rsidP="00FD23B9">
      <w:pPr>
        <w:pStyle w:val="SectionNo"/>
        <w:bidi w:val="0"/>
        <w:spacing w:line="240" w:lineRule="auto"/>
        <w:rPr>
          <w:b/>
          <w:bCs/>
          <w:lang w:val="fr-CH"/>
        </w:rPr>
      </w:pPr>
      <w:bookmarkStart w:id="776" w:name="_Toc280261081"/>
      <w:r w:rsidRPr="00E21F0F">
        <w:rPr>
          <w:lang w:val="fr-CH"/>
        </w:rPr>
        <w:t>SECTION VI</w:t>
      </w:r>
      <w:r>
        <w:rPr>
          <w:lang w:val="fr-CH"/>
        </w:rPr>
        <w:br/>
      </w:r>
      <w:r>
        <w:rPr>
          <w:lang w:val="fr-CH"/>
        </w:rPr>
        <w:br/>
      </w:r>
      <w:r w:rsidRPr="00650A8B">
        <w:rPr>
          <w:b/>
          <w:bCs/>
          <w:caps w:val="0"/>
          <w:lang w:val="fr-CH"/>
        </w:rPr>
        <w:t>Installation de radiocommunications de modèles réduits</w:t>
      </w:r>
      <w:bookmarkEnd w:id="776"/>
    </w:p>
    <w:p w:rsidR="003A5252" w:rsidRPr="00E21F0F" w:rsidRDefault="003A5252" w:rsidP="00FD23B9">
      <w:pPr>
        <w:bidi w:val="0"/>
        <w:spacing w:line="240" w:lineRule="auto"/>
        <w:rPr>
          <w:lang w:val="fr-CH"/>
        </w:rPr>
      </w:pPr>
      <w:r w:rsidRPr="00E21F0F">
        <w:rPr>
          <w:b/>
          <w:bCs/>
          <w:u w:val="single"/>
          <w:lang w:val="fr-CH"/>
        </w:rPr>
        <w:t>Art. 7:</w:t>
      </w:r>
      <w:r w:rsidRPr="007D57F9">
        <w:rPr>
          <w:b/>
          <w:bCs/>
          <w:lang w:val="fr-CH"/>
        </w:rPr>
        <w:t xml:space="preserve"> </w:t>
      </w:r>
      <w:r w:rsidRPr="00E21F0F">
        <w:rPr>
          <w:lang w:val="fr-CH"/>
        </w:rPr>
        <w:t xml:space="preserve">L’utilisation de postes émetteurs de modèles réduits et d’une puissance n’excédant pas cinq (5) watts, destinés à la radiocommande, à l’exception de deux autorisés de plein droit, est soumise au paiement d’une redevance et non remboursable </w:t>
      </w:r>
    </w:p>
    <w:p w:rsidR="003A5252" w:rsidRPr="00E21F0F" w:rsidRDefault="003A5252" w:rsidP="00FD23B9">
      <w:pPr>
        <w:pStyle w:val="SectionNo"/>
        <w:bidi w:val="0"/>
        <w:spacing w:line="240" w:lineRule="auto"/>
        <w:rPr>
          <w:lang w:val="fr-CH"/>
        </w:rPr>
      </w:pPr>
      <w:bookmarkStart w:id="777" w:name="_Toc280261082"/>
      <w:r w:rsidRPr="00E21F0F">
        <w:rPr>
          <w:lang w:val="fr-CH"/>
        </w:rPr>
        <w:t>SECTION VII</w:t>
      </w:r>
      <w:r>
        <w:rPr>
          <w:lang w:val="fr-CH"/>
        </w:rPr>
        <w:br/>
      </w:r>
      <w:r>
        <w:rPr>
          <w:lang w:val="fr-CH"/>
        </w:rPr>
        <w:br/>
      </w:r>
      <w:r>
        <w:rPr>
          <w:rFonts w:asciiTheme="majorBidi" w:hAnsiTheme="majorBidi" w:cstheme="majorBidi"/>
          <w:b/>
          <w:bCs/>
          <w:caps w:val="0"/>
          <w:lang w:val="fr-CH"/>
        </w:rPr>
        <w:t>T</w:t>
      </w:r>
      <w:r w:rsidRPr="00E21F0F">
        <w:rPr>
          <w:rFonts w:asciiTheme="majorBidi" w:hAnsiTheme="majorBidi" w:cstheme="majorBidi"/>
          <w:b/>
          <w:bCs/>
          <w:caps w:val="0"/>
          <w:lang w:val="fr-CH"/>
        </w:rPr>
        <w:t xml:space="preserve">aux et modalités de paiement des droits, taxes et </w:t>
      </w:r>
      <w:r>
        <w:rPr>
          <w:rFonts w:asciiTheme="majorBidi" w:hAnsiTheme="majorBidi" w:cstheme="majorBidi"/>
          <w:b/>
          <w:bCs/>
          <w:caps w:val="0"/>
          <w:lang w:val="fr-CH"/>
        </w:rPr>
        <w:t>R</w:t>
      </w:r>
      <w:r w:rsidRPr="00E21F0F">
        <w:rPr>
          <w:rFonts w:asciiTheme="majorBidi" w:hAnsiTheme="majorBidi" w:cstheme="majorBidi"/>
          <w:b/>
          <w:bCs/>
          <w:caps w:val="0"/>
          <w:lang w:val="fr-CH"/>
        </w:rPr>
        <w:t>edevances radioélectriques</w:t>
      </w:r>
      <w:bookmarkEnd w:id="777"/>
    </w:p>
    <w:p w:rsidR="003A5252" w:rsidRPr="00E21F0F" w:rsidRDefault="003A5252" w:rsidP="00FD23B9">
      <w:pPr>
        <w:bidi w:val="0"/>
        <w:spacing w:line="240" w:lineRule="auto"/>
        <w:rPr>
          <w:lang w:val="fr-CH"/>
        </w:rPr>
      </w:pPr>
      <w:r w:rsidRPr="00E21F0F">
        <w:rPr>
          <w:b/>
          <w:bCs/>
          <w:u w:val="single"/>
          <w:lang w:val="fr-CH"/>
        </w:rPr>
        <w:t xml:space="preserve">Art. 8: </w:t>
      </w:r>
      <w:r w:rsidRPr="00E21F0F">
        <w:rPr>
          <w:lang w:val="fr-CH"/>
        </w:rPr>
        <w:t xml:space="preserve">Les modalités de paiement des droits, taxes, redevances et contributions fixés dans les sections I à IV ci-dessus, sont les suivantes : </w:t>
      </w:r>
    </w:p>
    <w:p w:rsidR="003A5252" w:rsidRPr="00E21F0F" w:rsidRDefault="003A5252" w:rsidP="00FD23B9">
      <w:pPr>
        <w:pStyle w:val="enumlev1"/>
        <w:bidi w:val="0"/>
        <w:spacing w:line="240" w:lineRule="auto"/>
        <w:rPr>
          <w:lang w:val="fr-CH"/>
        </w:rPr>
      </w:pPr>
      <w:r>
        <w:rPr>
          <w:lang w:val="fr-CH"/>
        </w:rPr>
        <w:t>–</w:t>
      </w:r>
      <w:r>
        <w:rPr>
          <w:lang w:val="fr-CH"/>
        </w:rPr>
        <w:tab/>
      </w:r>
      <w:r w:rsidRPr="00E21F0F">
        <w:rPr>
          <w:lang w:val="fr-CH"/>
        </w:rPr>
        <w:t xml:space="preserve">la taxe de constitution de dossier, forfaitaire et non remboursable est due avant la délivrance de l’autorisation </w:t>
      </w:r>
    </w:p>
    <w:p w:rsidR="003A5252" w:rsidRPr="00E21F0F" w:rsidRDefault="003A5252" w:rsidP="00FD23B9">
      <w:pPr>
        <w:pStyle w:val="enumlev1"/>
        <w:bidi w:val="0"/>
        <w:spacing w:line="240" w:lineRule="auto"/>
        <w:rPr>
          <w:lang w:val="fr-CH"/>
        </w:rPr>
      </w:pPr>
      <w:r>
        <w:rPr>
          <w:lang w:val="fr-CH"/>
        </w:rPr>
        <w:t>–</w:t>
      </w:r>
      <w:r>
        <w:rPr>
          <w:lang w:val="fr-CH"/>
        </w:rPr>
        <w:tab/>
      </w:r>
      <w:r w:rsidRPr="00E21F0F">
        <w:rPr>
          <w:lang w:val="fr-CH"/>
        </w:rPr>
        <w:t xml:space="preserve">la taxe de contrôle des stations et la contribution pour frais de gestion, perçues d’avance, sont dues pour l’année en cours et ne sont pas remboursables. </w:t>
      </w:r>
    </w:p>
    <w:p w:rsidR="003A5252" w:rsidRPr="00E21F0F" w:rsidRDefault="003A5252" w:rsidP="00FD23B9">
      <w:pPr>
        <w:pStyle w:val="enumlev1"/>
        <w:bidi w:val="0"/>
        <w:spacing w:line="240" w:lineRule="auto"/>
        <w:rPr>
          <w:lang w:val="fr-CH"/>
        </w:rPr>
      </w:pPr>
      <w:r>
        <w:rPr>
          <w:lang w:val="fr-CH"/>
        </w:rPr>
        <w:t>–</w:t>
      </w:r>
      <w:r>
        <w:rPr>
          <w:lang w:val="fr-CH"/>
        </w:rPr>
        <w:tab/>
      </w:r>
      <w:r w:rsidRPr="00E21F0F">
        <w:rPr>
          <w:lang w:val="fr-CH"/>
        </w:rPr>
        <w:t>La redevance due pour l’utilisation de fréquence radioélectrique est annuelle ; la première année à partir de la date de mise en service des stations, et les années suivantes à partir du 1</w:t>
      </w:r>
      <w:r w:rsidRPr="003F001E">
        <w:rPr>
          <w:vertAlign w:val="superscript"/>
          <w:lang w:val="fr-CH"/>
        </w:rPr>
        <w:t>er</w:t>
      </w:r>
      <w:r w:rsidRPr="00E21F0F">
        <w:rPr>
          <w:position w:val="12"/>
          <w:vertAlign w:val="superscript"/>
          <w:lang w:val="fr-CH"/>
        </w:rPr>
        <w:t xml:space="preserve"> </w:t>
      </w:r>
      <w:r w:rsidRPr="00E21F0F">
        <w:rPr>
          <w:lang w:val="fr-CH"/>
        </w:rPr>
        <w:t xml:space="preserve">janvier </w:t>
      </w:r>
    </w:p>
    <w:p w:rsidR="003A5252" w:rsidRPr="00E21F0F" w:rsidRDefault="003A5252" w:rsidP="00FD23B9">
      <w:pPr>
        <w:bidi w:val="0"/>
        <w:spacing w:line="240" w:lineRule="auto"/>
        <w:rPr>
          <w:lang w:val="fr-CH"/>
        </w:rPr>
      </w:pPr>
      <w:r w:rsidRPr="00E21F0F">
        <w:rPr>
          <w:b/>
          <w:bCs/>
          <w:u w:val="single"/>
          <w:lang w:val="fr-CH"/>
        </w:rPr>
        <w:t xml:space="preserve">Art. 9: </w:t>
      </w:r>
      <w:r w:rsidRPr="00E21F0F">
        <w:rPr>
          <w:lang w:val="fr-CH"/>
        </w:rPr>
        <w:t xml:space="preserve">-Le paiement des taxes et redevances est constaté par la délivrance de vignettes obligatoirement apposés sur les appareils, les véhicules et les navires de plaisance dans le cas des stations mobiles. </w:t>
      </w:r>
    </w:p>
    <w:p w:rsidR="003A5252" w:rsidRPr="00E21F0F" w:rsidRDefault="003A5252" w:rsidP="00FD23B9">
      <w:pPr>
        <w:pStyle w:val="ChapNo0"/>
        <w:rPr>
          <w:rFonts w:hint="eastAsia"/>
          <w:lang w:val="fr-CH"/>
        </w:rPr>
      </w:pPr>
      <w:bookmarkStart w:id="778" w:name="_Toc280261083"/>
      <w:r w:rsidRPr="00E21F0F">
        <w:rPr>
          <w:lang w:val="fr-CH"/>
        </w:rPr>
        <w:t>CHAPITRE III</w:t>
      </w:r>
      <w:r>
        <w:rPr>
          <w:lang w:val="fr-CH"/>
        </w:rPr>
        <w:br/>
      </w:r>
      <w:r>
        <w:rPr>
          <w:lang w:val="fr-CH"/>
        </w:rPr>
        <w:br/>
      </w:r>
      <w:r w:rsidRPr="00E21F0F">
        <w:rPr>
          <w:lang w:val="fr-CH"/>
        </w:rPr>
        <w:t>DROITS ET TAXES DIVERS</w:t>
      </w:r>
      <w:bookmarkEnd w:id="778"/>
      <w:r w:rsidRPr="00E21F0F">
        <w:rPr>
          <w:lang w:val="fr-CH"/>
        </w:rPr>
        <w:t xml:space="preserve"> </w:t>
      </w:r>
    </w:p>
    <w:p w:rsidR="003A5252" w:rsidRPr="00E21F0F" w:rsidRDefault="003A5252" w:rsidP="00FD23B9">
      <w:pPr>
        <w:pStyle w:val="SectionNo"/>
        <w:bidi w:val="0"/>
        <w:spacing w:line="240" w:lineRule="auto"/>
        <w:rPr>
          <w:rFonts w:asciiTheme="majorBidi" w:hAnsiTheme="majorBidi" w:cstheme="majorBidi"/>
          <w:lang w:val="fr-CH"/>
        </w:rPr>
      </w:pPr>
      <w:bookmarkStart w:id="779" w:name="_Toc280261084"/>
      <w:r w:rsidRPr="00E21F0F">
        <w:rPr>
          <w:lang w:val="fr-CH"/>
        </w:rPr>
        <w:t>SECTION I</w:t>
      </w:r>
      <w:r>
        <w:rPr>
          <w:lang w:val="fr-CH"/>
        </w:rPr>
        <w:br/>
      </w:r>
      <w:r>
        <w:rPr>
          <w:lang w:val="fr-CH"/>
        </w:rPr>
        <w:br/>
      </w:r>
      <w:r>
        <w:rPr>
          <w:b/>
          <w:bCs/>
          <w:caps w:val="0"/>
          <w:lang w:val="fr-CH"/>
        </w:rPr>
        <w:t>D</w:t>
      </w:r>
      <w:r w:rsidRPr="00650A8B">
        <w:rPr>
          <w:b/>
          <w:bCs/>
          <w:caps w:val="0"/>
          <w:lang w:val="fr-CH"/>
        </w:rPr>
        <w:t>roits d’examen</w:t>
      </w:r>
      <w:bookmarkEnd w:id="779"/>
    </w:p>
    <w:p w:rsidR="003A5252" w:rsidRPr="00E21F0F" w:rsidRDefault="003A5252" w:rsidP="00FD23B9">
      <w:pPr>
        <w:bidi w:val="0"/>
        <w:spacing w:line="240" w:lineRule="auto"/>
        <w:rPr>
          <w:lang w:val="fr-CH"/>
        </w:rPr>
      </w:pPr>
      <w:r w:rsidRPr="00E21F0F">
        <w:rPr>
          <w:b/>
          <w:bCs/>
          <w:u w:val="single"/>
          <w:lang w:val="fr-CH"/>
        </w:rPr>
        <w:t>Art. 10</w:t>
      </w:r>
      <w:r w:rsidRPr="00E21F0F">
        <w:rPr>
          <w:lang w:val="fr-CH"/>
        </w:rPr>
        <w:t xml:space="preserve">: -Pour l’obtention du certificat d’opérateur radiotélégraphiste, du certificat d’opérateur radiotéléphonique ou du certificat comportant la double mention, des droits d’examen sont perçus avant le début des épreuves. Des droits de même montant sont dus pour la délivrance du ou desdits certificats aux titulaires d’une attestation militaire de capacité d’opérateur. </w:t>
      </w:r>
    </w:p>
    <w:p w:rsidR="003A5252" w:rsidRPr="00E21F0F" w:rsidRDefault="003A5252" w:rsidP="00FD23B9">
      <w:pPr>
        <w:bidi w:val="0"/>
        <w:spacing w:line="240" w:lineRule="auto"/>
        <w:rPr>
          <w:lang w:val="fr-CH"/>
        </w:rPr>
      </w:pPr>
      <w:r w:rsidRPr="00E21F0F">
        <w:rPr>
          <w:b/>
          <w:bCs/>
          <w:u w:val="single"/>
          <w:lang w:val="fr-CH"/>
        </w:rPr>
        <w:lastRenderedPageBreak/>
        <w:t>Art. 11</w:t>
      </w:r>
      <w:r w:rsidRPr="00E21F0F">
        <w:rPr>
          <w:lang w:val="fr-CH"/>
        </w:rPr>
        <w:t xml:space="preserve">: Lors de délivrance, du renouvellement ou de l’établissement d’un duplicata de licence de station d’amateur, d’aéronef ou de navire, et d’un certificat d’opérateur, il est perçu un droit forfaitaire et non remboursable. </w:t>
      </w:r>
    </w:p>
    <w:p w:rsidR="003A5252" w:rsidRPr="007260D4" w:rsidRDefault="003A5252" w:rsidP="00FD23B9">
      <w:pPr>
        <w:pStyle w:val="SectionNo"/>
        <w:bidi w:val="0"/>
        <w:spacing w:line="240" w:lineRule="auto"/>
        <w:rPr>
          <w:b/>
          <w:bCs/>
          <w:lang w:val="fr-CH"/>
        </w:rPr>
      </w:pPr>
      <w:bookmarkStart w:id="780" w:name="_Toc280261085"/>
      <w:r>
        <w:rPr>
          <w:lang w:val="fr-CH"/>
        </w:rPr>
        <w:t>SECTION II</w:t>
      </w:r>
      <w:r>
        <w:rPr>
          <w:lang w:val="fr-CH"/>
        </w:rPr>
        <w:br/>
      </w:r>
      <w:r>
        <w:rPr>
          <w:lang w:val="fr-CH"/>
        </w:rPr>
        <w:br/>
      </w:r>
      <w:r>
        <w:rPr>
          <w:b/>
          <w:bCs/>
          <w:caps w:val="0"/>
          <w:lang w:val="fr-CH"/>
        </w:rPr>
        <w:t>T</w:t>
      </w:r>
      <w:r w:rsidRPr="007260D4">
        <w:rPr>
          <w:b/>
          <w:bCs/>
          <w:caps w:val="0"/>
          <w:lang w:val="fr-CH"/>
        </w:rPr>
        <w:t>axe d’intervention</w:t>
      </w:r>
      <w:bookmarkEnd w:id="780"/>
      <w:r w:rsidRPr="007260D4">
        <w:rPr>
          <w:b/>
          <w:bCs/>
          <w:caps w:val="0"/>
          <w:lang w:val="fr-CH"/>
        </w:rPr>
        <w:t xml:space="preserve"> </w:t>
      </w:r>
    </w:p>
    <w:p w:rsidR="003A5252" w:rsidRPr="00E21F0F" w:rsidRDefault="003A5252" w:rsidP="00FD23B9">
      <w:pPr>
        <w:bidi w:val="0"/>
        <w:spacing w:line="240" w:lineRule="auto"/>
        <w:rPr>
          <w:lang w:val="fr-CH"/>
        </w:rPr>
      </w:pPr>
      <w:r>
        <w:rPr>
          <w:b/>
          <w:bCs/>
          <w:u w:val="single"/>
          <w:lang w:val="fr-CH"/>
        </w:rPr>
        <w:t>Art. 12</w:t>
      </w:r>
      <w:r w:rsidRPr="00E21F0F">
        <w:rPr>
          <w:b/>
          <w:bCs/>
          <w:u w:val="single"/>
          <w:lang w:val="fr-CH"/>
        </w:rPr>
        <w:t>:</w:t>
      </w:r>
      <w:r w:rsidRPr="003B7A9A">
        <w:rPr>
          <w:b/>
          <w:bCs/>
          <w:lang w:val="fr-CH"/>
        </w:rPr>
        <w:t xml:space="preserve"> </w:t>
      </w:r>
      <w:r w:rsidRPr="00E21F0F">
        <w:rPr>
          <w:lang w:val="fr-CH"/>
        </w:rPr>
        <w:t xml:space="preserve">Les frais exceptionnels occasionnés par le brouillage d’une fréquence radioélectrique régulièrement utilisée ou par la non-conformité des installations visées au chapitre II ci-dessus donnent lieu au paiement d’une contribution forfaitaire par intervention. Cette contribution est due par le propriétaire de la station brouille use ou des installations non conformes. </w:t>
      </w:r>
    </w:p>
    <w:p w:rsidR="003A5252" w:rsidRPr="007260D4" w:rsidRDefault="003A5252" w:rsidP="00FD23B9">
      <w:pPr>
        <w:pStyle w:val="SectionNo"/>
        <w:bidi w:val="0"/>
        <w:spacing w:line="240" w:lineRule="auto"/>
        <w:rPr>
          <w:b/>
          <w:bCs/>
          <w:lang w:val="fr-CH"/>
        </w:rPr>
      </w:pPr>
      <w:bookmarkStart w:id="781" w:name="_Toc280261086"/>
      <w:r w:rsidRPr="00E21F0F">
        <w:rPr>
          <w:lang w:val="fr-CH"/>
        </w:rPr>
        <w:t xml:space="preserve">SECTION III </w:t>
      </w:r>
      <w:r>
        <w:rPr>
          <w:lang w:val="fr-CH"/>
        </w:rPr>
        <w:br/>
      </w:r>
      <w:r>
        <w:rPr>
          <w:lang w:val="fr-CH"/>
        </w:rPr>
        <w:br/>
      </w:r>
      <w:r>
        <w:rPr>
          <w:b/>
          <w:bCs/>
          <w:caps w:val="0"/>
          <w:lang w:val="fr-CH"/>
        </w:rPr>
        <w:t>T</w:t>
      </w:r>
      <w:r w:rsidRPr="007260D4">
        <w:rPr>
          <w:b/>
          <w:bCs/>
          <w:caps w:val="0"/>
          <w:lang w:val="fr-CH"/>
        </w:rPr>
        <w:t>axe d’agrément</w:t>
      </w:r>
      <w:bookmarkEnd w:id="781"/>
      <w:r w:rsidRPr="007260D4">
        <w:rPr>
          <w:b/>
          <w:bCs/>
          <w:caps w:val="0"/>
          <w:lang w:val="fr-CH"/>
        </w:rPr>
        <w:t xml:space="preserve"> </w:t>
      </w:r>
    </w:p>
    <w:p w:rsidR="003A5252" w:rsidRPr="00E21F0F" w:rsidRDefault="003A5252" w:rsidP="00FD23B9">
      <w:pPr>
        <w:bidi w:val="0"/>
        <w:spacing w:line="240" w:lineRule="auto"/>
        <w:rPr>
          <w:lang w:val="fr-CH"/>
        </w:rPr>
      </w:pPr>
      <w:r w:rsidRPr="00E21F0F">
        <w:rPr>
          <w:b/>
          <w:bCs/>
          <w:u w:val="single"/>
          <w:lang w:val="fr-CH"/>
        </w:rPr>
        <w:t>Art. 13</w:t>
      </w:r>
      <w:r w:rsidRPr="00E21F0F">
        <w:rPr>
          <w:lang w:val="fr-CH"/>
        </w:rPr>
        <w:t xml:space="preserve">: L’agrément des équipements terminaux et l’admission des installateurs en radiocommunications donnent lieu à le perception des redevances forfaitaires et non remboursables suivantes: </w:t>
      </w:r>
    </w:p>
    <w:p w:rsidR="003A5252" w:rsidRPr="00E21F0F" w:rsidRDefault="003A5252" w:rsidP="00FD23B9">
      <w:pPr>
        <w:pStyle w:val="enumlev1"/>
        <w:bidi w:val="0"/>
        <w:spacing w:line="240" w:lineRule="auto"/>
        <w:rPr>
          <w:lang w:val="fr-CH"/>
        </w:rPr>
      </w:pPr>
      <w:r w:rsidRPr="00406C3E">
        <w:rPr>
          <w:lang w:val="fr-CH"/>
        </w:rPr>
        <w:t>1)</w:t>
      </w:r>
      <w:r w:rsidRPr="00406C3E">
        <w:rPr>
          <w:lang w:val="fr-CH"/>
        </w:rPr>
        <w:tab/>
      </w:r>
      <w:r w:rsidRPr="00E21F0F">
        <w:rPr>
          <w:b/>
          <w:bCs/>
          <w:lang w:val="fr-CH"/>
        </w:rPr>
        <w:t xml:space="preserve">Pour les équipements </w:t>
      </w:r>
      <w:r w:rsidRPr="00E21F0F">
        <w:rPr>
          <w:lang w:val="fr-CH"/>
        </w:rPr>
        <w:t xml:space="preserve">: une taxe de contribution de dossier et une taxe de dossier et une taxe contrôle technique par équipement. </w:t>
      </w:r>
    </w:p>
    <w:p w:rsidR="003A5252" w:rsidRPr="00E21F0F" w:rsidRDefault="003A5252" w:rsidP="00FD23B9">
      <w:pPr>
        <w:pStyle w:val="enumlev1"/>
        <w:bidi w:val="0"/>
        <w:spacing w:line="240" w:lineRule="auto"/>
        <w:rPr>
          <w:lang w:val="fr-CH"/>
        </w:rPr>
      </w:pPr>
      <w:r w:rsidRPr="00406C3E">
        <w:rPr>
          <w:lang w:val="fr-CH"/>
        </w:rPr>
        <w:t>2)</w:t>
      </w:r>
      <w:r w:rsidRPr="00406C3E">
        <w:rPr>
          <w:lang w:val="fr-CH"/>
        </w:rPr>
        <w:tab/>
      </w:r>
      <w:r w:rsidRPr="00E21F0F">
        <w:rPr>
          <w:b/>
          <w:bCs/>
          <w:lang w:val="fr-CH"/>
        </w:rPr>
        <w:t xml:space="preserve">Pour les installateurs </w:t>
      </w:r>
      <w:r w:rsidRPr="00E21F0F">
        <w:rPr>
          <w:lang w:val="fr-CH"/>
        </w:rPr>
        <w:t xml:space="preserve">: une taxe de constitution de dossier et une taxe d’agrément perçu à la délivrance ou au renouvellement de l’autorisation. </w:t>
      </w:r>
    </w:p>
    <w:p w:rsidR="003A5252" w:rsidRDefault="003A5252" w:rsidP="00497388">
      <w:pPr>
        <w:tabs>
          <w:tab w:val="clear" w:pos="794"/>
          <w:tab w:val="clear" w:pos="1191"/>
          <w:tab w:val="clear" w:pos="1588"/>
          <w:tab w:val="clear" w:pos="1985"/>
        </w:tabs>
        <w:overflowPunct/>
        <w:autoSpaceDE/>
        <w:autoSpaceDN/>
        <w:bidi w:val="0"/>
        <w:adjustRightInd/>
        <w:spacing w:before="0"/>
        <w:jc w:val="left"/>
        <w:textAlignment w:val="auto"/>
        <w:rPr>
          <w:b/>
          <w:caps/>
          <w:sz w:val="28"/>
          <w:lang w:val="fr-CH"/>
        </w:rPr>
      </w:pPr>
      <w:r>
        <w:rPr>
          <w:lang w:val="fr-CH"/>
        </w:rPr>
        <w:br w:type="page"/>
      </w:r>
    </w:p>
    <w:p w:rsidR="003A5252" w:rsidRPr="00E21F0F" w:rsidRDefault="003A5252" w:rsidP="00497388">
      <w:pPr>
        <w:pStyle w:val="ChapNo0"/>
        <w:rPr>
          <w:rFonts w:hint="eastAsia"/>
          <w:lang w:val="fr-CH"/>
        </w:rPr>
      </w:pPr>
      <w:bookmarkStart w:id="782" w:name="_Toc280261087"/>
      <w:r>
        <w:rPr>
          <w:lang w:val="fr-CH"/>
        </w:rPr>
        <w:lastRenderedPageBreak/>
        <w:t>CHAPITRE IV</w:t>
      </w:r>
      <w:bookmarkEnd w:id="782"/>
    </w:p>
    <w:p w:rsidR="003A5252" w:rsidRPr="00E21F0F" w:rsidRDefault="003A5252" w:rsidP="00497388">
      <w:pPr>
        <w:bidi w:val="0"/>
        <w:rPr>
          <w:lang w:val="fr-CH"/>
        </w:rPr>
      </w:pPr>
      <w:r w:rsidRPr="00E21F0F">
        <w:rPr>
          <w:b/>
          <w:bCs/>
          <w:u w:val="single"/>
          <w:lang w:val="fr-CH"/>
        </w:rPr>
        <w:t>Art. 14:</w:t>
      </w:r>
      <w:r w:rsidRPr="002F71C2">
        <w:rPr>
          <w:b/>
          <w:bCs/>
          <w:lang w:val="fr-CH"/>
        </w:rPr>
        <w:t xml:space="preserve"> </w:t>
      </w:r>
      <w:r w:rsidRPr="00E21F0F">
        <w:rPr>
          <w:lang w:val="fr-CH"/>
        </w:rPr>
        <w:t>Les montants des droits, taxes, redevances et contributions sont fixés comme suit :</w:t>
      </w:r>
    </w:p>
    <w:p w:rsidR="003A5252" w:rsidRPr="00E21F0F" w:rsidRDefault="003A5252" w:rsidP="00497388">
      <w:pPr>
        <w:pStyle w:val="Default"/>
        <w:rPr>
          <w:rFonts w:asciiTheme="majorBidi" w:hAnsiTheme="majorBidi" w:cstheme="majorBidi"/>
          <w:lang w:val="fr-CH"/>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36"/>
        <w:gridCol w:w="1230"/>
        <w:gridCol w:w="1134"/>
        <w:gridCol w:w="1276"/>
        <w:gridCol w:w="1264"/>
      </w:tblGrid>
      <w:tr w:rsidR="003A5252" w:rsidRPr="00E21F0F" w:rsidTr="00026C26">
        <w:trPr>
          <w:jc w:val="center"/>
        </w:trPr>
        <w:tc>
          <w:tcPr>
            <w:tcW w:w="4536" w:type="dxa"/>
          </w:tcPr>
          <w:p w:rsidR="003A5252" w:rsidRPr="00E21F0F"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B1. régional (moyenne de 100km)</w:t>
            </w:r>
          </w:p>
          <w:p w:rsidR="003A5252" w:rsidRPr="00E21F0F"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B2.</w:t>
            </w:r>
            <w:r>
              <w:rPr>
                <w:rFonts w:asciiTheme="majorBidi" w:hAnsiTheme="majorBidi" w:cstheme="majorBidi"/>
                <w:lang w:val="fr-CH"/>
              </w:rPr>
              <w:t xml:space="preserve"> </w:t>
            </w:r>
            <w:r w:rsidRPr="00E21F0F">
              <w:rPr>
                <w:rFonts w:asciiTheme="majorBidi" w:hAnsiTheme="majorBidi" w:cstheme="majorBidi"/>
                <w:lang w:val="fr-CH"/>
              </w:rPr>
              <w:t>réseau int</w:t>
            </w:r>
            <w:r>
              <w:rPr>
                <w:rFonts w:asciiTheme="majorBidi" w:hAnsiTheme="majorBidi" w:cstheme="majorBidi"/>
                <w:lang w:val="fr-CH"/>
              </w:rPr>
              <w:t>er-régional (moyenne</w:t>
            </w:r>
            <w:r>
              <w:rPr>
                <w:rFonts w:asciiTheme="majorBidi" w:hAnsiTheme="majorBidi" w:cstheme="majorBidi"/>
                <w:lang w:val="fr-CH"/>
              </w:rPr>
              <w:br/>
              <w:t>de 250 km)</w:t>
            </w:r>
          </w:p>
          <w:p w:rsidR="003A5252"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B3. rése</w:t>
            </w:r>
            <w:r>
              <w:rPr>
                <w:rFonts w:asciiTheme="majorBidi" w:hAnsiTheme="majorBidi" w:cstheme="majorBidi"/>
                <w:lang w:val="fr-CH"/>
              </w:rPr>
              <w:t>au national (moyenne de 500 km)</w:t>
            </w:r>
          </w:p>
          <w:p w:rsidR="003A5252" w:rsidRPr="00E21F0F" w:rsidRDefault="003A5252" w:rsidP="00497388">
            <w:pPr>
              <w:pStyle w:val="Default"/>
              <w:spacing w:before="60" w:after="60"/>
              <w:rPr>
                <w:rFonts w:asciiTheme="majorBidi" w:hAnsiTheme="majorBidi" w:cstheme="majorBidi"/>
                <w:lang w:val="fr-CH"/>
              </w:rPr>
            </w:pPr>
          </w:p>
          <w:p w:rsidR="003A5252" w:rsidRPr="00E21F0F"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C1.</w:t>
            </w:r>
            <w:r>
              <w:rPr>
                <w:rFonts w:asciiTheme="majorBidi" w:hAnsiTheme="majorBidi" w:cstheme="majorBidi"/>
                <w:lang w:val="fr-CH"/>
              </w:rPr>
              <w:t xml:space="preserve"> </w:t>
            </w:r>
            <w:r w:rsidRPr="00E21F0F">
              <w:rPr>
                <w:rFonts w:asciiTheme="majorBidi" w:hAnsiTheme="majorBidi" w:cstheme="majorBidi"/>
                <w:lang w:val="fr-CH"/>
              </w:rPr>
              <w:t>réseau</w:t>
            </w:r>
            <w:r>
              <w:rPr>
                <w:rFonts w:asciiTheme="majorBidi" w:hAnsiTheme="majorBidi" w:cstheme="majorBidi"/>
                <w:lang w:val="fr-CH"/>
              </w:rPr>
              <w:t xml:space="preserve"> comportant moins de 5 stations</w:t>
            </w:r>
          </w:p>
          <w:p w:rsidR="003A5252"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C2.</w:t>
            </w:r>
            <w:r>
              <w:rPr>
                <w:rFonts w:asciiTheme="majorBidi" w:hAnsiTheme="majorBidi" w:cstheme="majorBidi"/>
                <w:lang w:val="fr-CH"/>
              </w:rPr>
              <w:t xml:space="preserve"> réseau de 5 à 10 stations</w:t>
            </w:r>
          </w:p>
          <w:p w:rsidR="003A5252"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C3</w:t>
            </w:r>
            <w:r>
              <w:rPr>
                <w:rFonts w:asciiTheme="majorBidi" w:hAnsiTheme="majorBidi" w:cstheme="majorBidi"/>
                <w:lang w:val="fr-CH"/>
              </w:rPr>
              <w:t>. réseau de plus de 10 stations</w:t>
            </w:r>
          </w:p>
          <w:p w:rsidR="003A5252" w:rsidRDefault="003A5252" w:rsidP="00497388">
            <w:pPr>
              <w:pStyle w:val="Default"/>
              <w:spacing w:before="60" w:after="60"/>
              <w:rPr>
                <w:rFonts w:asciiTheme="majorBidi" w:hAnsiTheme="majorBidi" w:cstheme="majorBidi"/>
                <w:lang w:val="fr-CH"/>
              </w:rPr>
            </w:pPr>
          </w:p>
          <w:p w:rsidR="003A5252"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1.3-Réseau de radio recherche/ radiomessagerie (Pagi</w:t>
            </w:r>
            <w:r>
              <w:rPr>
                <w:rFonts w:asciiTheme="majorBidi" w:hAnsiTheme="majorBidi" w:cstheme="majorBidi"/>
                <w:lang w:val="fr-CH"/>
              </w:rPr>
              <w:t>ng) largeur du canal = 12,5 KHz</w:t>
            </w:r>
          </w:p>
          <w:p w:rsidR="003A5252" w:rsidRDefault="003A5252" w:rsidP="00497388">
            <w:pPr>
              <w:pStyle w:val="Default"/>
              <w:spacing w:before="60" w:after="60"/>
              <w:rPr>
                <w:rFonts w:asciiTheme="majorBidi" w:hAnsiTheme="majorBidi" w:cstheme="majorBidi"/>
                <w:lang w:val="fr-CH"/>
              </w:rPr>
            </w:pPr>
          </w:p>
          <w:p w:rsidR="003A5252"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A1. réseau local (urbain)</w:t>
            </w:r>
          </w:p>
          <w:p w:rsidR="003A5252"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A2</w:t>
            </w:r>
            <w:r>
              <w:rPr>
                <w:rFonts w:asciiTheme="majorBidi" w:hAnsiTheme="majorBidi" w:cstheme="majorBidi"/>
                <w:lang w:val="fr-CH"/>
              </w:rPr>
              <w:t>. réseau régional (interurbain)</w:t>
            </w:r>
          </w:p>
          <w:p w:rsidR="003A5252"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A3. réseau national</w:t>
            </w:r>
          </w:p>
          <w:p w:rsidR="003A5252" w:rsidRDefault="003A5252" w:rsidP="00497388">
            <w:pPr>
              <w:pStyle w:val="Default"/>
              <w:spacing w:before="60" w:after="60"/>
              <w:rPr>
                <w:rFonts w:asciiTheme="majorBidi" w:hAnsiTheme="majorBidi" w:cstheme="majorBidi"/>
                <w:lang w:val="fr-CH"/>
              </w:rPr>
            </w:pPr>
          </w:p>
          <w:p w:rsidR="003A5252"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B1. Station de base</w:t>
            </w:r>
          </w:p>
          <w:p w:rsidR="003A5252"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C1. fréqu</w:t>
            </w:r>
            <w:r>
              <w:rPr>
                <w:rFonts w:asciiTheme="majorBidi" w:hAnsiTheme="majorBidi" w:cstheme="majorBidi"/>
                <w:lang w:val="fr-CH"/>
              </w:rPr>
              <w:t>ence disponible localement</w:t>
            </w:r>
          </w:p>
          <w:p w:rsidR="003A5252"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C2. fréque</w:t>
            </w:r>
            <w:r>
              <w:rPr>
                <w:rFonts w:asciiTheme="majorBidi" w:hAnsiTheme="majorBidi" w:cstheme="majorBidi"/>
                <w:lang w:val="fr-CH"/>
              </w:rPr>
              <w:t>nce disponible au plan régional</w:t>
            </w:r>
          </w:p>
          <w:p w:rsidR="003A5252" w:rsidRPr="00E21F0F"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C3. fréquence sur l’</w:t>
            </w:r>
            <w:r>
              <w:rPr>
                <w:rFonts w:asciiTheme="majorBidi" w:hAnsiTheme="majorBidi" w:cstheme="majorBidi"/>
                <w:lang w:val="fr-CH"/>
              </w:rPr>
              <w:t>ensemble du territoire national</w:t>
            </w:r>
          </w:p>
          <w:p w:rsidR="003A5252" w:rsidRPr="00E21F0F"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14.</w:t>
            </w:r>
            <w:r>
              <w:rPr>
                <w:rFonts w:asciiTheme="majorBidi" w:hAnsiTheme="majorBidi" w:cstheme="majorBidi"/>
                <w:lang w:val="fr-CH"/>
              </w:rPr>
              <w:t xml:space="preserve"> </w:t>
            </w:r>
            <w:r w:rsidRPr="00E21F0F">
              <w:rPr>
                <w:rFonts w:asciiTheme="majorBidi" w:hAnsiTheme="majorBidi" w:cstheme="majorBidi"/>
                <w:lang w:val="fr-CH"/>
              </w:rPr>
              <w:t xml:space="preserve">réseau à </w:t>
            </w:r>
            <w:r>
              <w:rPr>
                <w:rFonts w:asciiTheme="majorBidi" w:hAnsiTheme="majorBidi" w:cstheme="majorBidi"/>
                <w:lang w:val="fr-CH"/>
              </w:rPr>
              <w:t>ressources partagées (Trunking)</w:t>
            </w:r>
          </w:p>
          <w:p w:rsidR="003A5252" w:rsidRPr="00AA5C49" w:rsidRDefault="003A5252" w:rsidP="00497388">
            <w:pPr>
              <w:pStyle w:val="Default"/>
              <w:spacing w:before="60" w:after="60"/>
              <w:rPr>
                <w:rFonts w:asciiTheme="majorBidi" w:hAnsiTheme="majorBidi" w:cstheme="majorBidi"/>
                <w:lang w:val="fr-CH"/>
              </w:rPr>
            </w:pPr>
            <w:r w:rsidRPr="00AA5C49">
              <w:rPr>
                <w:rFonts w:asciiTheme="majorBidi" w:hAnsiTheme="majorBidi" w:cstheme="majorBidi"/>
                <w:lang w:val="fr-CH"/>
              </w:rPr>
              <w:t>(largeur du canal = 12,5 KHZ)</w:t>
            </w:r>
          </w:p>
          <w:p w:rsidR="003A5252" w:rsidRPr="00AA5C49" w:rsidRDefault="003A5252" w:rsidP="00497388">
            <w:pPr>
              <w:pStyle w:val="Default"/>
              <w:spacing w:before="60" w:after="60"/>
              <w:rPr>
                <w:rFonts w:asciiTheme="majorBidi" w:hAnsiTheme="majorBidi" w:cstheme="majorBidi"/>
                <w:lang w:val="fr-CH"/>
              </w:rPr>
            </w:pPr>
          </w:p>
          <w:p w:rsidR="003A5252" w:rsidRPr="00AA5C49" w:rsidRDefault="003A5252" w:rsidP="00497388">
            <w:pPr>
              <w:pStyle w:val="Default"/>
              <w:spacing w:before="60" w:after="60"/>
              <w:rPr>
                <w:rFonts w:asciiTheme="majorBidi" w:hAnsiTheme="majorBidi" w:cstheme="majorBidi"/>
                <w:lang w:val="fr-CH"/>
              </w:rPr>
            </w:pPr>
            <w:r w:rsidRPr="00AA5C49">
              <w:rPr>
                <w:rFonts w:asciiTheme="majorBidi" w:hAnsiTheme="majorBidi" w:cstheme="majorBidi"/>
                <w:lang w:val="fr-CH"/>
              </w:rPr>
              <w:t>A1. réseau local (urbain)</w:t>
            </w:r>
          </w:p>
          <w:p w:rsidR="003A5252" w:rsidRPr="00AA5C49" w:rsidRDefault="003A5252" w:rsidP="00497388">
            <w:pPr>
              <w:pStyle w:val="Default"/>
              <w:spacing w:before="60" w:after="60"/>
              <w:rPr>
                <w:rFonts w:asciiTheme="majorBidi" w:hAnsiTheme="majorBidi" w:cstheme="majorBidi"/>
                <w:lang w:val="fr-CH"/>
              </w:rPr>
            </w:pPr>
            <w:r w:rsidRPr="00AA5C49">
              <w:rPr>
                <w:rFonts w:asciiTheme="majorBidi" w:hAnsiTheme="majorBidi" w:cstheme="majorBidi"/>
                <w:lang w:val="fr-CH"/>
              </w:rPr>
              <w:t>A2. réseau interurbain)</w:t>
            </w:r>
          </w:p>
          <w:p w:rsidR="003A5252" w:rsidRDefault="003A5252" w:rsidP="00497388">
            <w:pPr>
              <w:pStyle w:val="Default"/>
              <w:spacing w:before="60" w:after="60"/>
              <w:rPr>
                <w:rFonts w:asciiTheme="majorBidi" w:hAnsiTheme="majorBidi" w:cstheme="majorBidi"/>
                <w:lang w:val="fr-CH"/>
              </w:rPr>
            </w:pPr>
            <w:r>
              <w:rPr>
                <w:rFonts w:asciiTheme="majorBidi" w:hAnsiTheme="majorBidi" w:cstheme="majorBidi"/>
                <w:lang w:val="fr-CH"/>
              </w:rPr>
              <w:t>A3. réseau national</w:t>
            </w:r>
          </w:p>
          <w:p w:rsidR="003A5252" w:rsidRDefault="003A5252" w:rsidP="00497388">
            <w:pPr>
              <w:pStyle w:val="Default"/>
              <w:spacing w:before="60" w:after="60"/>
              <w:rPr>
                <w:rFonts w:asciiTheme="majorBidi" w:hAnsiTheme="majorBidi" w:cstheme="majorBidi"/>
                <w:lang w:val="fr-CH"/>
              </w:rPr>
            </w:pPr>
          </w:p>
          <w:p w:rsidR="003A5252" w:rsidRDefault="003A5252" w:rsidP="00497388">
            <w:pPr>
              <w:pStyle w:val="Default"/>
              <w:spacing w:before="60" w:after="60"/>
              <w:rPr>
                <w:rFonts w:asciiTheme="majorBidi" w:hAnsiTheme="majorBidi" w:cstheme="majorBidi"/>
                <w:lang w:val="fr-CH"/>
              </w:rPr>
            </w:pPr>
            <w:r>
              <w:rPr>
                <w:rFonts w:asciiTheme="majorBidi" w:hAnsiTheme="majorBidi" w:cstheme="majorBidi"/>
                <w:lang w:val="fr-CH"/>
              </w:rPr>
              <w:t>B1. station de base</w:t>
            </w:r>
          </w:p>
          <w:p w:rsidR="003A5252" w:rsidRDefault="003A5252" w:rsidP="00497388">
            <w:pPr>
              <w:pStyle w:val="Default"/>
              <w:spacing w:before="60" w:after="60"/>
              <w:rPr>
                <w:rFonts w:asciiTheme="majorBidi" w:hAnsiTheme="majorBidi" w:cstheme="majorBidi"/>
                <w:lang w:val="fr-CH"/>
              </w:rPr>
            </w:pPr>
          </w:p>
          <w:p w:rsidR="003A5252"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C1. can</w:t>
            </w:r>
            <w:r>
              <w:rPr>
                <w:rFonts w:asciiTheme="majorBidi" w:hAnsiTheme="majorBidi" w:cstheme="majorBidi"/>
                <w:lang w:val="fr-CH"/>
              </w:rPr>
              <w:t>al duplex disponible localement</w:t>
            </w:r>
          </w:p>
          <w:p w:rsidR="003A5252" w:rsidRDefault="003A5252" w:rsidP="00497388">
            <w:pPr>
              <w:pStyle w:val="Default"/>
              <w:spacing w:before="60" w:after="60"/>
              <w:rPr>
                <w:rFonts w:asciiTheme="majorBidi" w:hAnsiTheme="majorBidi" w:cstheme="majorBidi"/>
                <w:lang w:val="fr-CH"/>
              </w:rPr>
            </w:pPr>
            <w:r>
              <w:rPr>
                <w:rFonts w:asciiTheme="majorBidi" w:hAnsiTheme="majorBidi" w:cstheme="majorBidi"/>
                <w:lang w:val="fr-CH"/>
              </w:rPr>
              <w:t>C2. canal duplex disponible</w:t>
            </w:r>
          </w:p>
          <w:p w:rsidR="003A5252" w:rsidRPr="00E21F0F" w:rsidRDefault="003A5252" w:rsidP="00497388">
            <w:pPr>
              <w:pStyle w:val="Default"/>
              <w:spacing w:before="60" w:after="60"/>
              <w:rPr>
                <w:rFonts w:asciiTheme="majorBidi" w:hAnsiTheme="majorBidi" w:cstheme="majorBidi"/>
                <w:lang w:val="fr-CH"/>
              </w:rPr>
            </w:pPr>
            <w:r w:rsidRPr="00E21F0F">
              <w:rPr>
                <w:rFonts w:asciiTheme="majorBidi" w:hAnsiTheme="majorBidi" w:cstheme="majorBidi"/>
                <w:lang w:val="fr-CH"/>
              </w:rPr>
              <w:t xml:space="preserve">C3. canal duplex disponible sur l’ensemble du territoire national </w:t>
            </w:r>
          </w:p>
        </w:tc>
        <w:tc>
          <w:tcPr>
            <w:tcW w:w="1230" w:type="dxa"/>
          </w:tcPr>
          <w:p w:rsidR="003A5252" w:rsidRPr="00AA5C49" w:rsidRDefault="003A5252" w:rsidP="00497388">
            <w:pPr>
              <w:pStyle w:val="Default"/>
              <w:spacing w:before="60" w:after="60"/>
              <w:jc w:val="center"/>
              <w:rPr>
                <w:rFonts w:asciiTheme="majorBidi" w:hAnsiTheme="majorBidi" w:cstheme="majorBidi"/>
                <w:lang w:val="fr-CH"/>
              </w:rPr>
            </w:pPr>
          </w:p>
          <w:p w:rsidR="003A5252" w:rsidRPr="00AA5C49" w:rsidRDefault="003A5252" w:rsidP="00497388">
            <w:pPr>
              <w:pStyle w:val="Default"/>
              <w:spacing w:before="60" w:after="60"/>
              <w:jc w:val="center"/>
              <w:rPr>
                <w:rFonts w:asciiTheme="majorBidi" w:hAnsiTheme="majorBidi" w:cstheme="majorBidi"/>
                <w:lang w:val="fr-CH"/>
              </w:rPr>
            </w:pPr>
            <w:r w:rsidRPr="00AA5C49">
              <w:rPr>
                <w:rFonts w:asciiTheme="majorBidi" w:hAnsiTheme="majorBidi" w:cstheme="majorBidi"/>
                <w:lang w:val="fr-CH"/>
              </w:rPr>
              <w:br/>
            </w:r>
          </w:p>
          <w:p w:rsidR="003A5252" w:rsidRPr="00AA5C49" w:rsidRDefault="003A5252" w:rsidP="00497388">
            <w:pPr>
              <w:pStyle w:val="Default"/>
              <w:spacing w:before="60" w:after="60"/>
              <w:jc w:val="center"/>
              <w:rPr>
                <w:rFonts w:asciiTheme="majorBidi" w:hAnsiTheme="majorBidi" w:cstheme="majorBidi"/>
                <w:lang w:val="fr-CH"/>
              </w:rPr>
            </w:pPr>
          </w:p>
          <w:p w:rsidR="003A5252" w:rsidRPr="00AA5C49" w:rsidRDefault="003A5252" w:rsidP="00497388">
            <w:pPr>
              <w:pStyle w:val="Default"/>
              <w:spacing w:before="60" w:after="60"/>
              <w:jc w:val="center"/>
              <w:rPr>
                <w:rFonts w:asciiTheme="majorBidi" w:hAnsiTheme="majorBidi" w:cstheme="majorBidi"/>
                <w:lang w:val="fr-CH"/>
              </w:rPr>
            </w:pPr>
          </w:p>
          <w:p w:rsidR="003A5252" w:rsidRPr="00AA5C49" w:rsidRDefault="003A5252" w:rsidP="00497388">
            <w:pPr>
              <w:pStyle w:val="Default"/>
              <w:spacing w:before="60" w:after="60"/>
              <w:jc w:val="center"/>
              <w:rPr>
                <w:rFonts w:asciiTheme="majorBidi" w:hAnsiTheme="majorBidi" w:cstheme="majorBidi"/>
                <w:lang w:val="fr-CH"/>
              </w:rPr>
            </w:pPr>
          </w:p>
          <w:p w:rsidR="003A5252" w:rsidRPr="00AA5C49" w:rsidRDefault="003A5252" w:rsidP="00497388">
            <w:pPr>
              <w:pStyle w:val="Default"/>
              <w:spacing w:before="60" w:after="60"/>
              <w:jc w:val="center"/>
              <w:rPr>
                <w:rFonts w:asciiTheme="majorBidi" w:hAnsiTheme="majorBidi" w:cstheme="majorBidi"/>
                <w:lang w:val="fr-CH"/>
              </w:rPr>
            </w:pPr>
          </w:p>
          <w:p w:rsidR="003A5252" w:rsidRPr="00AA5C49" w:rsidRDefault="003A5252" w:rsidP="00497388">
            <w:pPr>
              <w:pStyle w:val="Default"/>
              <w:spacing w:before="60" w:after="60"/>
              <w:jc w:val="center"/>
              <w:rPr>
                <w:rFonts w:asciiTheme="majorBidi" w:hAnsiTheme="majorBidi" w:cstheme="majorBidi"/>
                <w:lang w:val="fr-CH"/>
              </w:rPr>
            </w:pPr>
          </w:p>
          <w:p w:rsidR="003A5252" w:rsidRPr="00AA5C49" w:rsidRDefault="003A5252" w:rsidP="00497388">
            <w:pPr>
              <w:pStyle w:val="Default"/>
              <w:spacing w:before="60" w:after="60"/>
              <w:jc w:val="center"/>
              <w:rPr>
                <w:rFonts w:asciiTheme="majorBidi" w:hAnsiTheme="majorBidi" w:cstheme="majorBidi"/>
                <w:lang w:val="fr-CH"/>
              </w:rPr>
            </w:pPr>
          </w:p>
          <w:p w:rsidR="003A5252" w:rsidRPr="00AA5C49" w:rsidRDefault="003A5252" w:rsidP="00497388">
            <w:pPr>
              <w:pStyle w:val="Default"/>
              <w:spacing w:before="60" w:after="60"/>
              <w:jc w:val="center"/>
              <w:rPr>
                <w:rFonts w:asciiTheme="majorBidi" w:hAnsiTheme="majorBidi" w:cstheme="majorBidi"/>
                <w:lang w:val="fr-CH"/>
              </w:rPr>
            </w:pPr>
            <w:r w:rsidRPr="00AA5C49">
              <w:rPr>
                <w:rFonts w:asciiTheme="majorBidi" w:hAnsiTheme="majorBidi" w:cstheme="majorBidi"/>
                <w:lang w:val="fr-CH"/>
              </w:rPr>
              <w:br/>
            </w:r>
            <w:r w:rsidRPr="00AA5C49">
              <w:rPr>
                <w:rFonts w:asciiTheme="majorBidi" w:hAnsiTheme="majorBidi" w:cstheme="majorBidi"/>
                <w:lang w:val="fr-CH"/>
              </w:rPr>
              <w:br/>
            </w:r>
          </w:p>
          <w:p w:rsidR="003A5252" w:rsidRPr="00AA5C49" w:rsidRDefault="003A5252" w:rsidP="00497388">
            <w:pPr>
              <w:pStyle w:val="Default"/>
              <w:spacing w:before="60" w:after="60"/>
              <w:jc w:val="center"/>
              <w:rPr>
                <w:rFonts w:asciiTheme="majorBidi" w:hAnsiTheme="majorBidi" w:cstheme="majorBidi"/>
                <w:lang w:val="fr-CH"/>
              </w:rPr>
            </w:pPr>
          </w:p>
          <w:p w:rsidR="003A5252"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116 000</w:t>
            </w:r>
          </w:p>
          <w:p w:rsidR="003A5252"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290 000</w:t>
            </w:r>
          </w:p>
          <w:p w:rsidR="003A5252"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580 000</w:t>
            </w: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t>–</w:t>
            </w: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t>–</w:t>
            </w: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t>–</w:t>
            </w: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Pr="00E21F0F"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116 000</w:t>
            </w:r>
          </w:p>
          <w:p w:rsidR="003A5252"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290 000</w:t>
            </w:r>
          </w:p>
          <w:p w:rsidR="003A5252" w:rsidRPr="00E21F0F" w:rsidRDefault="003A5252" w:rsidP="00497388">
            <w:pPr>
              <w:pStyle w:val="Default"/>
              <w:spacing w:before="60" w:after="60"/>
              <w:jc w:val="center"/>
              <w:rPr>
                <w:rFonts w:asciiTheme="majorBidi" w:hAnsiTheme="majorBidi" w:cstheme="majorBidi"/>
                <w:lang w:val="fr-CH"/>
              </w:rPr>
            </w:pPr>
            <w:r w:rsidRPr="00E21F0F">
              <w:rPr>
                <w:rFonts w:asciiTheme="majorBidi" w:hAnsiTheme="majorBidi" w:cstheme="majorBidi"/>
              </w:rPr>
              <w:t>580 000</w:t>
            </w:r>
          </w:p>
        </w:tc>
        <w:tc>
          <w:tcPr>
            <w:tcW w:w="1134" w:type="dxa"/>
          </w:tcPr>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br/>
            </w: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t>–</w:t>
            </w: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t>–</w:t>
            </w: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t>–</w:t>
            </w:r>
            <w:r>
              <w:rPr>
                <w:rFonts w:asciiTheme="majorBidi" w:hAnsiTheme="majorBidi" w:cstheme="majorBidi"/>
              </w:rPr>
              <w:br/>
            </w:r>
            <w:r>
              <w:rPr>
                <w:rFonts w:asciiTheme="majorBidi" w:hAnsiTheme="majorBidi" w:cstheme="majorBidi"/>
              </w:rPr>
              <w:br/>
            </w: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Pr="00E21F0F"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34 800</w:t>
            </w: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br/>
            </w: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34 800</w:t>
            </w: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t>–</w:t>
            </w: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t>–</w:t>
            </w:r>
          </w:p>
          <w:p w:rsidR="003A5252" w:rsidRPr="00E21F0F" w:rsidRDefault="003A5252" w:rsidP="00497388">
            <w:pPr>
              <w:pStyle w:val="Default"/>
              <w:spacing w:before="60" w:after="60"/>
              <w:jc w:val="center"/>
              <w:rPr>
                <w:rFonts w:asciiTheme="majorBidi" w:hAnsiTheme="majorBidi" w:cstheme="majorBidi"/>
                <w:lang w:val="fr-CH"/>
              </w:rPr>
            </w:pPr>
            <w:r>
              <w:rPr>
                <w:rFonts w:asciiTheme="majorBidi" w:hAnsiTheme="majorBidi" w:cstheme="majorBidi"/>
              </w:rPr>
              <w:t>–</w:t>
            </w:r>
          </w:p>
        </w:tc>
        <w:tc>
          <w:tcPr>
            <w:tcW w:w="1276" w:type="dxa"/>
          </w:tcPr>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br/>
            </w: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Pr="00E21F0F" w:rsidRDefault="003A5252" w:rsidP="00497388">
            <w:pPr>
              <w:pStyle w:val="Default"/>
              <w:spacing w:before="60" w:after="60"/>
              <w:jc w:val="center"/>
              <w:rPr>
                <w:rFonts w:asciiTheme="majorBidi" w:hAnsiTheme="majorBidi" w:cstheme="majorBidi"/>
              </w:rPr>
            </w:pPr>
            <w:r>
              <w:rPr>
                <w:rFonts w:asciiTheme="majorBidi" w:hAnsiTheme="majorBidi" w:cstheme="majorBidi"/>
              </w:rPr>
              <w:t>58 000</w:t>
            </w:r>
          </w:p>
          <w:p w:rsidR="003A5252"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87 000</w:t>
            </w: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t>145 000</w:t>
            </w: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br/>
            </w:r>
            <w:r>
              <w:rPr>
                <w:rFonts w:asciiTheme="majorBidi" w:hAnsiTheme="majorBidi" w:cstheme="majorBidi"/>
              </w:rPr>
              <w:br/>
            </w: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t>580 000</w:t>
            </w:r>
          </w:p>
          <w:p w:rsidR="003A5252"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870 000</w:t>
            </w: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t>1 450 000</w:t>
            </w: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Pr="00E21F0F" w:rsidRDefault="003A5252" w:rsidP="00497388">
            <w:pPr>
              <w:pStyle w:val="Default"/>
              <w:spacing w:before="60" w:after="60"/>
              <w:jc w:val="center"/>
              <w:rPr>
                <w:rFonts w:asciiTheme="majorBidi" w:hAnsiTheme="majorBidi" w:cstheme="majorBidi"/>
              </w:rPr>
            </w:pPr>
            <w:r>
              <w:rPr>
                <w:rFonts w:asciiTheme="majorBidi" w:hAnsiTheme="majorBidi" w:cstheme="majorBidi"/>
              </w:rPr>
              <w:t>580 000</w:t>
            </w:r>
          </w:p>
          <w:p w:rsidR="003A5252" w:rsidRPr="00E21F0F"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870 000</w:t>
            </w:r>
          </w:p>
          <w:p w:rsidR="003A5252"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1 450 000</w:t>
            </w:r>
            <w:r>
              <w:rPr>
                <w:rFonts w:asciiTheme="majorBidi" w:hAnsiTheme="majorBidi" w:cstheme="majorBidi"/>
              </w:rPr>
              <w:br/>
            </w: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t>–</w:t>
            </w:r>
          </w:p>
          <w:p w:rsidR="003A5252" w:rsidRPr="00E21F0F" w:rsidRDefault="003A5252" w:rsidP="00497388">
            <w:pPr>
              <w:pStyle w:val="Default"/>
              <w:spacing w:before="60" w:after="60"/>
              <w:jc w:val="center"/>
              <w:rPr>
                <w:rFonts w:asciiTheme="majorBidi" w:hAnsiTheme="majorBidi" w:cstheme="majorBidi"/>
              </w:rPr>
            </w:pPr>
            <w:r>
              <w:rPr>
                <w:rFonts w:asciiTheme="majorBidi" w:hAnsiTheme="majorBidi" w:cstheme="majorBidi"/>
              </w:rPr>
              <w:t>–</w:t>
            </w:r>
          </w:p>
          <w:p w:rsidR="003A5252" w:rsidRPr="00E21F0F" w:rsidRDefault="003A5252" w:rsidP="00497388">
            <w:pPr>
              <w:pStyle w:val="Default"/>
              <w:spacing w:before="60" w:after="60"/>
              <w:jc w:val="center"/>
              <w:rPr>
                <w:rFonts w:asciiTheme="majorBidi" w:hAnsiTheme="majorBidi" w:cstheme="majorBidi"/>
                <w:lang w:val="fr-CH"/>
              </w:rPr>
            </w:pPr>
            <w:r>
              <w:rPr>
                <w:rFonts w:asciiTheme="majorBidi" w:hAnsiTheme="majorBidi" w:cstheme="majorBidi"/>
              </w:rPr>
              <w:t>–</w:t>
            </w:r>
          </w:p>
        </w:tc>
        <w:tc>
          <w:tcPr>
            <w:tcW w:w="1264" w:type="dxa"/>
          </w:tcPr>
          <w:p w:rsidR="003A5252" w:rsidRPr="00E21F0F"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348 000</w:t>
            </w:r>
          </w:p>
          <w:p w:rsidR="003A5252" w:rsidRPr="00E21F0F"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870 000</w:t>
            </w:r>
            <w:r>
              <w:rPr>
                <w:rFonts w:asciiTheme="majorBidi" w:hAnsiTheme="majorBidi" w:cstheme="majorBidi"/>
              </w:rPr>
              <w:br/>
            </w:r>
          </w:p>
          <w:p w:rsidR="003A5252" w:rsidRPr="00E21F0F"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1 740</w:t>
            </w:r>
            <w:r>
              <w:rPr>
                <w:rFonts w:asciiTheme="majorBidi" w:hAnsiTheme="majorBidi" w:cstheme="majorBidi"/>
              </w:rPr>
              <w:t xml:space="preserve"> </w:t>
            </w:r>
            <w:r w:rsidRPr="00E21F0F">
              <w:rPr>
                <w:rFonts w:asciiTheme="majorBidi" w:hAnsiTheme="majorBidi" w:cstheme="majorBidi"/>
              </w:rPr>
              <w:t>000</w:t>
            </w: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r>
              <w:rPr>
                <w:rFonts w:asciiTheme="majorBidi" w:hAnsiTheme="majorBidi" w:cstheme="majorBidi"/>
              </w:rPr>
              <w:br/>
            </w:r>
            <w:r>
              <w:rPr>
                <w:rFonts w:asciiTheme="majorBidi" w:hAnsiTheme="majorBidi" w:cstheme="majorBidi"/>
              </w:rPr>
              <w:br/>
            </w: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Pr="00E21F0F"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1 004 000</w:t>
            </w:r>
          </w:p>
          <w:p w:rsidR="003A5252" w:rsidRPr="00E21F0F"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 xml:space="preserve">3 480 </w:t>
            </w:r>
            <w:r>
              <w:rPr>
                <w:rFonts w:asciiTheme="majorBidi" w:hAnsiTheme="majorBidi" w:cstheme="majorBidi"/>
              </w:rPr>
              <w:t>000</w:t>
            </w:r>
          </w:p>
          <w:p w:rsidR="003A5252"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 xml:space="preserve">5 800 </w:t>
            </w:r>
            <w:r>
              <w:rPr>
                <w:rFonts w:asciiTheme="majorBidi" w:hAnsiTheme="majorBidi" w:cstheme="majorBidi"/>
              </w:rPr>
              <w:t>000</w:t>
            </w:r>
            <w:r>
              <w:rPr>
                <w:rFonts w:asciiTheme="majorBidi" w:hAnsiTheme="majorBidi" w:cstheme="majorBidi"/>
              </w:rPr>
              <w:br/>
            </w: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after="60"/>
              <w:jc w:val="center"/>
              <w:rPr>
                <w:rFonts w:asciiTheme="majorBidi" w:hAnsiTheme="majorBidi" w:cstheme="majorBidi"/>
              </w:rPr>
            </w:pPr>
          </w:p>
          <w:p w:rsidR="003A5252" w:rsidRPr="00E21F0F"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 xml:space="preserve">1 740 000 </w:t>
            </w:r>
          </w:p>
          <w:p w:rsidR="003A5252" w:rsidRPr="00E21F0F"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 xml:space="preserve">5 800 000 </w:t>
            </w:r>
          </w:p>
          <w:p w:rsidR="003A5252" w:rsidRPr="00E21F0F" w:rsidRDefault="003A5252" w:rsidP="00497388">
            <w:pPr>
              <w:pStyle w:val="Default"/>
              <w:spacing w:before="60" w:after="60"/>
              <w:jc w:val="center"/>
              <w:rPr>
                <w:rFonts w:asciiTheme="majorBidi" w:hAnsiTheme="majorBidi" w:cstheme="majorBidi"/>
              </w:rPr>
            </w:pPr>
            <w:r w:rsidRPr="00E21F0F">
              <w:rPr>
                <w:rFonts w:asciiTheme="majorBidi" w:hAnsiTheme="majorBidi" w:cstheme="majorBidi"/>
              </w:rPr>
              <w:t xml:space="preserve">8 700 000 </w:t>
            </w:r>
          </w:p>
        </w:tc>
      </w:tr>
    </w:tbl>
    <w:p w:rsidR="003A5252" w:rsidRDefault="003A5252" w:rsidP="00497388">
      <w:pPr>
        <w:bidi w:val="0"/>
        <w:rPr>
          <w:lang w:val="fr-CH"/>
        </w:rPr>
      </w:pPr>
    </w:p>
    <w:p w:rsidR="003A5252" w:rsidRDefault="003A5252" w:rsidP="00497388">
      <w:pPr>
        <w:bidi w:val="0"/>
        <w:rPr>
          <w:lang w:val="fr-CH"/>
        </w:rPr>
      </w:pPr>
    </w:p>
    <w:p w:rsidR="003A5252" w:rsidRDefault="003A5252" w:rsidP="00497388">
      <w:pPr>
        <w:tabs>
          <w:tab w:val="clear" w:pos="794"/>
          <w:tab w:val="clear" w:pos="1191"/>
          <w:tab w:val="clear" w:pos="1588"/>
          <w:tab w:val="clear" w:pos="1985"/>
        </w:tabs>
        <w:overflowPunct/>
        <w:autoSpaceDE/>
        <w:autoSpaceDN/>
        <w:bidi w:val="0"/>
        <w:adjustRightInd/>
        <w:spacing w:before="0"/>
        <w:jc w:val="left"/>
        <w:textAlignment w:val="auto"/>
        <w:rPr>
          <w:lang w:val="fr-CH"/>
        </w:rPr>
      </w:pPr>
      <w:r>
        <w:rPr>
          <w:lang w:val="fr-CH"/>
        </w:rPr>
        <w:br w:type="page"/>
      </w:r>
    </w:p>
    <w:p w:rsidR="003A5252" w:rsidRDefault="003A5252" w:rsidP="00497388">
      <w:pPr>
        <w:pStyle w:val="AnnexNotitle"/>
        <w:rPr>
          <w:rFonts w:asciiTheme="majorBidi" w:hAnsiTheme="majorBidi" w:cstheme="majorBidi"/>
          <w:bCs/>
          <w:lang w:val="fr-CH"/>
        </w:rPr>
      </w:pPr>
      <w:bookmarkStart w:id="783" w:name="_Toc280260068"/>
      <w:bookmarkStart w:id="784" w:name="_Toc280272533"/>
      <w:r>
        <w:rPr>
          <w:lang w:val="fr-CH"/>
        </w:rPr>
        <w:lastRenderedPageBreak/>
        <w:t>ANNEXE</w:t>
      </w:r>
      <w:r>
        <w:rPr>
          <w:lang w:val="fr-CH"/>
        </w:rPr>
        <w:br/>
      </w:r>
      <w:r>
        <w:rPr>
          <w:lang w:val="fr-CH"/>
        </w:rPr>
        <w:br/>
      </w:r>
      <w:r w:rsidRPr="002A0DFA">
        <w:rPr>
          <w:rFonts w:asciiTheme="majorBidi" w:hAnsiTheme="majorBidi" w:cstheme="majorBidi"/>
          <w:bCs/>
          <w:lang w:val="fr-CH"/>
        </w:rPr>
        <w:t>ORDONNANCE N° 97-173 DU 19 MARS 1997 MONTANT DES DROITS, TAXES ET REDEVANCES RADIOELECTRIQUES</w:t>
      </w:r>
      <w:bookmarkEnd w:id="783"/>
      <w:bookmarkEnd w:id="784"/>
    </w:p>
    <w:p w:rsidR="003A5252" w:rsidRDefault="003A5252" w:rsidP="00497388">
      <w:pPr>
        <w:pStyle w:val="Heading1"/>
        <w:bidi w:val="0"/>
        <w:rPr>
          <w:lang w:val="fr-CH"/>
        </w:rPr>
      </w:pPr>
      <w:bookmarkStart w:id="785" w:name="_Toc280260069"/>
      <w:bookmarkStart w:id="786" w:name="_Toc280260921"/>
      <w:bookmarkStart w:id="787" w:name="_Toc280272534"/>
      <w:bookmarkStart w:id="788" w:name="_Toc282768722"/>
      <w:r w:rsidRPr="002A0DFA">
        <w:rPr>
          <w:lang w:val="fr-CH"/>
        </w:rPr>
        <w:t>A</w:t>
      </w:r>
      <w:r>
        <w:rPr>
          <w:lang w:val="fr-CH"/>
        </w:rPr>
        <w:t>-</w:t>
      </w:r>
      <w:r w:rsidRPr="002A0DFA">
        <w:rPr>
          <w:lang w:val="fr-CH"/>
        </w:rPr>
        <w:t>SERVICES DE RADIOCOMMUNICATION DE TERRE</w:t>
      </w:r>
      <w:bookmarkEnd w:id="785"/>
      <w:bookmarkEnd w:id="786"/>
      <w:bookmarkEnd w:id="787"/>
      <w:bookmarkEnd w:id="788"/>
    </w:p>
    <w:p w:rsidR="003A5252" w:rsidRPr="00B80466" w:rsidRDefault="003A5252" w:rsidP="00497388">
      <w:pPr>
        <w:bidi w:val="0"/>
        <w:spacing w:before="0"/>
        <w:rPr>
          <w:lang w:val="fr-CH"/>
        </w:rPr>
      </w:pPr>
    </w:p>
    <w:tbl>
      <w:tblPr>
        <w:tblW w:w="0" w:type="auto"/>
        <w:jc w:val="center"/>
        <w:tblBorders>
          <w:top w:val="nil"/>
          <w:left w:val="nil"/>
          <w:bottom w:val="nil"/>
          <w:right w:val="nil"/>
        </w:tblBorders>
        <w:tblLayout w:type="fixed"/>
        <w:tblLook w:val="0000"/>
      </w:tblPr>
      <w:tblGrid>
        <w:gridCol w:w="3969"/>
        <w:gridCol w:w="1418"/>
        <w:gridCol w:w="1418"/>
        <w:gridCol w:w="1276"/>
        <w:gridCol w:w="1560"/>
      </w:tblGrid>
      <w:tr w:rsidR="003A5252" w:rsidRPr="00AA5C49"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1C1DEC" w:rsidRDefault="003A5252" w:rsidP="00497388">
            <w:pPr>
              <w:pStyle w:val="TableNotitle"/>
              <w:spacing w:before="120"/>
              <w:rPr>
                <w:sz w:val="20"/>
              </w:rPr>
            </w:pPr>
            <w:r w:rsidRPr="001C1DEC">
              <w:rPr>
                <w:sz w:val="20"/>
              </w:rPr>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Notitle"/>
              <w:spacing w:before="120"/>
              <w:rPr>
                <w:sz w:val="20"/>
                <w:lang w:val="fr-CH"/>
              </w:rPr>
            </w:pPr>
            <w:r w:rsidRPr="00AA5C49">
              <w:rPr>
                <w:sz w:val="20"/>
                <w:lang w:val="fr-CH"/>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1C1DEC" w:rsidRDefault="003A5252" w:rsidP="00497388">
            <w:pPr>
              <w:pStyle w:val="TableNotitle"/>
              <w:spacing w:before="120"/>
              <w:rPr>
                <w:sz w:val="20"/>
                <w:lang w:val="fr-CH"/>
              </w:rPr>
            </w:pPr>
            <w:r w:rsidRPr="001C1DEC">
              <w:rPr>
                <w:sz w:val="20"/>
                <w:lang w:val="fr-CH"/>
              </w:rPr>
              <w:t>Taxe de visite ou de controle des stations</w:t>
            </w:r>
          </w:p>
        </w:tc>
        <w:tc>
          <w:tcPr>
            <w:tcW w:w="1276" w:type="dxa"/>
            <w:tcBorders>
              <w:top w:val="single" w:sz="6" w:space="0" w:color="000000"/>
              <w:left w:val="single" w:sz="4" w:space="0" w:color="000000"/>
              <w:bottom w:val="single" w:sz="6" w:space="0" w:color="000000"/>
              <w:right w:val="single" w:sz="4" w:space="0" w:color="000000"/>
            </w:tcBorders>
            <w:vAlign w:val="center"/>
          </w:tcPr>
          <w:p w:rsidR="003A5252" w:rsidRPr="001C1DEC" w:rsidRDefault="003A5252" w:rsidP="00497388">
            <w:pPr>
              <w:pStyle w:val="TableNotitle"/>
              <w:spacing w:before="120"/>
              <w:ind w:leftChars="-50" w:left="-110" w:rightChars="-50" w:right="-110"/>
              <w:rPr>
                <w:sz w:val="20"/>
                <w:lang w:val="fr-CH"/>
              </w:rPr>
            </w:pPr>
            <w:r w:rsidRPr="001C1DEC">
              <w:rPr>
                <w:sz w:val="20"/>
                <w:lang w:val="fr-CH"/>
              </w:rPr>
              <w:t xml:space="preserve">Contribution pour frais de gestion </w:t>
            </w:r>
          </w:p>
        </w:tc>
        <w:tc>
          <w:tcPr>
            <w:tcW w:w="1560" w:type="dxa"/>
            <w:tcBorders>
              <w:top w:val="single" w:sz="6" w:space="0" w:color="000000"/>
              <w:left w:val="single" w:sz="4" w:space="0" w:color="000000"/>
              <w:bottom w:val="single" w:sz="6" w:space="0" w:color="000000"/>
              <w:right w:val="single" w:sz="4" w:space="0" w:color="000000"/>
            </w:tcBorders>
            <w:vAlign w:val="center"/>
          </w:tcPr>
          <w:p w:rsidR="003A5252" w:rsidRPr="001C1DEC" w:rsidRDefault="003A5252" w:rsidP="00497388">
            <w:pPr>
              <w:pStyle w:val="TableNotitle"/>
              <w:spacing w:before="120"/>
              <w:ind w:leftChars="-50" w:left="-110" w:rightChars="-50" w:right="-110"/>
              <w:rPr>
                <w:sz w:val="20"/>
                <w:lang w:val="fr-CH"/>
              </w:rPr>
            </w:pPr>
            <w:r w:rsidRPr="001C1DEC">
              <w:rPr>
                <w:sz w:val="20"/>
                <w:lang w:val="fr-CH"/>
              </w:rPr>
              <w:t xml:space="preserve">Redevence pour l’utilisation d’une freqence ou d’un canal radioelectrique </w:t>
            </w:r>
          </w:p>
        </w:tc>
      </w:tr>
      <w:tr w:rsidR="003A5252" w:rsidRPr="00AA5C49"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ind w:left="284" w:hanging="284"/>
              <w:rPr>
                <w:sz w:val="20"/>
                <w:lang w:val="fr-CH"/>
              </w:rPr>
            </w:pPr>
            <w:r w:rsidRPr="00B728CD">
              <w:rPr>
                <w:sz w:val="20"/>
                <w:lang w:val="fr-CH"/>
              </w:rPr>
              <w:t>I</w:t>
            </w:r>
            <w:r w:rsidRPr="00B728CD">
              <w:rPr>
                <w:rFonts w:asciiTheme="majorBidi" w:hAnsiTheme="majorBidi" w:cstheme="majorBidi"/>
                <w:sz w:val="20"/>
                <w:lang w:val="fr-CH"/>
              </w:rPr>
              <w:t>–</w:t>
            </w:r>
            <w:r w:rsidRPr="00B728CD">
              <w:rPr>
                <w:sz w:val="20"/>
                <w:lang w:val="fr-CH"/>
              </w:rPr>
              <w:t xml:space="preserve">RESEAU FIXE ET MOBILES TERRESTRES INDEPENDANTS A USAGE PRIVEE (Service non commercial)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ind w:left="851" w:hanging="851"/>
              <w:rPr>
                <w:sz w:val="20"/>
                <w:lang w:val="fr-CH"/>
              </w:rPr>
            </w:pPr>
            <w:r w:rsidRPr="00B728CD">
              <w:rPr>
                <w:sz w:val="20"/>
                <w:lang w:val="fr-CH"/>
              </w:rPr>
              <w:tab/>
              <w:t>I.1</w:t>
            </w:r>
            <w:r w:rsidRPr="00B728CD">
              <w:rPr>
                <w:sz w:val="20"/>
                <w:lang w:val="fr-CH"/>
              </w:rPr>
              <w:tab/>
            </w:r>
            <w:r w:rsidRPr="00B728CD">
              <w:rPr>
                <w:sz w:val="20"/>
                <w:lang w:val="fr-CH"/>
              </w:rPr>
              <w:tab/>
              <w:t xml:space="preserve">Réseau de radiotéléphonie VHF/UHF (largeur du canal= 12,5 kHz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r w:rsidRPr="00B728CD">
              <w:rPr>
                <w:b/>
                <w:bCs/>
                <w:sz w:val="20"/>
              </w:rPr>
              <w:t>11 600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clear" w:pos="851"/>
                <w:tab w:val="left" w:pos="444"/>
                <w:tab w:val="left" w:pos="833"/>
              </w:tabs>
              <w:ind w:left="851" w:hanging="851"/>
              <w:rPr>
                <w:sz w:val="20"/>
                <w:lang w:val="fr-CH"/>
              </w:rPr>
            </w:pPr>
            <w:r w:rsidRPr="00B728CD">
              <w:rPr>
                <w:sz w:val="20"/>
                <w:lang w:val="fr-CH"/>
              </w:rPr>
              <w:tab/>
            </w:r>
            <w:r w:rsidRPr="00B728CD">
              <w:rPr>
                <w:sz w:val="20"/>
                <w:lang w:val="fr-CH"/>
              </w:rPr>
              <w:tab/>
              <w:t>A1</w:t>
            </w:r>
            <w:r w:rsidRPr="00B728CD">
              <w:rPr>
                <w:sz w:val="20"/>
                <w:lang w:val="fr-CH"/>
              </w:rPr>
              <w:tab/>
              <w:t xml:space="preserve">Puissance de l’émetteur inférieur ou égal à 10 w </w:t>
            </w:r>
          </w:p>
        </w:tc>
        <w:tc>
          <w:tcPr>
            <w:tcW w:w="1418" w:type="dxa"/>
            <w:tcBorders>
              <w:top w:val="single" w:sz="6" w:space="0" w:color="000000"/>
              <w:left w:val="single" w:sz="4" w:space="0" w:color="000000"/>
              <w:bottom w:val="single" w:sz="6" w:space="0" w:color="000000"/>
              <w:right w:val="single" w:sz="4" w:space="0" w:color="000000"/>
            </w:tcBorders>
            <w:vAlign w:val="bottom"/>
          </w:tcPr>
          <w:p w:rsidR="003A5252" w:rsidRPr="00B728CD" w:rsidRDefault="003A5252" w:rsidP="00497388">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r w:rsidRPr="00B728CD">
              <w:rPr>
                <w:b/>
                <w:bCs/>
                <w:sz w:val="20"/>
              </w:rPr>
              <w:t>8 700</w:t>
            </w:r>
          </w:p>
        </w:tc>
        <w:tc>
          <w:tcPr>
            <w:tcW w:w="1276" w:type="dxa"/>
            <w:tcBorders>
              <w:top w:val="single" w:sz="6" w:space="0" w:color="000000"/>
              <w:left w:val="single" w:sz="4" w:space="0" w:color="000000"/>
              <w:bottom w:val="single" w:sz="6" w:space="0" w:color="000000"/>
              <w:right w:val="single" w:sz="4" w:space="0" w:color="000000"/>
            </w:tcBorders>
            <w:vAlign w:val="bottom"/>
          </w:tcPr>
          <w:p w:rsidR="003A5252" w:rsidRPr="00B728CD" w:rsidRDefault="003A5252" w:rsidP="00497388">
            <w:pPr>
              <w:pStyle w:val="TableText0"/>
              <w:jc w:val="center"/>
              <w:rPr>
                <w:sz w:val="20"/>
              </w:rPr>
            </w:pPr>
            <w:r w:rsidRPr="00B728CD">
              <w:rPr>
                <w:sz w:val="20"/>
              </w:rPr>
              <w:t>–</w:t>
            </w:r>
          </w:p>
        </w:tc>
        <w:tc>
          <w:tcPr>
            <w:tcW w:w="1560" w:type="dxa"/>
            <w:tcBorders>
              <w:top w:val="single" w:sz="6" w:space="0" w:color="000000"/>
              <w:left w:val="single" w:sz="4" w:space="0" w:color="000000"/>
              <w:bottom w:val="single" w:sz="6" w:space="0" w:color="000000"/>
              <w:right w:val="single" w:sz="4" w:space="0" w:color="000000"/>
            </w:tcBorders>
            <w:vAlign w:val="bottom"/>
          </w:tcPr>
          <w:p w:rsidR="003A5252" w:rsidRPr="00B728CD" w:rsidRDefault="003A5252" w:rsidP="00497388">
            <w:pPr>
              <w:pStyle w:val="TableText0"/>
              <w:jc w:val="center"/>
              <w:rPr>
                <w:sz w:val="20"/>
              </w:rPr>
            </w:pPr>
            <w:r w:rsidRPr="00B728CD">
              <w:rPr>
                <w:sz w:val="20"/>
              </w:rPr>
              <w:t>–</w:t>
            </w:r>
          </w:p>
        </w:tc>
      </w:tr>
      <w:tr w:rsidR="003A5252" w:rsidRPr="00E21F0F" w:rsidTr="00CF48C0">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tabs>
                <w:tab w:val="clear" w:pos="567"/>
                <w:tab w:val="clear" w:pos="851"/>
                <w:tab w:val="left" w:pos="444"/>
                <w:tab w:val="left" w:pos="833"/>
              </w:tabs>
              <w:ind w:left="851" w:hanging="851"/>
              <w:rPr>
                <w:sz w:val="20"/>
                <w:lang w:val="fr-CH"/>
              </w:rPr>
            </w:pPr>
            <w:r w:rsidRPr="00B728CD">
              <w:rPr>
                <w:sz w:val="20"/>
                <w:lang w:val="fr-CH"/>
              </w:rPr>
              <w:tab/>
            </w:r>
            <w:r w:rsidRPr="00B728CD">
              <w:rPr>
                <w:sz w:val="20"/>
                <w:lang w:val="fr-CH"/>
              </w:rPr>
              <w:tab/>
              <w:t>A2</w:t>
            </w:r>
            <w:r w:rsidRPr="00B728CD">
              <w:rPr>
                <w:sz w:val="20"/>
                <w:lang w:val="fr-CH"/>
              </w:rPr>
              <w:tab/>
              <w:t xml:space="preserve">Puissance de l’émetteur comprise entre 10 et 25 w </w:t>
            </w:r>
          </w:p>
        </w:tc>
        <w:tc>
          <w:tcPr>
            <w:tcW w:w="1418" w:type="dxa"/>
            <w:tcBorders>
              <w:top w:val="single" w:sz="6"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tcPr>
          <w:p w:rsidR="003A5252" w:rsidRPr="00B728CD" w:rsidRDefault="003A5252" w:rsidP="00497388">
            <w:pPr>
              <w:pStyle w:val="TableText0"/>
              <w:jc w:val="center"/>
              <w:rPr>
                <w:sz w:val="20"/>
              </w:rPr>
            </w:pPr>
            <w:r w:rsidRPr="00B728CD">
              <w:rPr>
                <w:b/>
                <w:bCs/>
                <w:sz w:val="20"/>
              </w:rPr>
              <w:t>145 000</w:t>
            </w:r>
          </w:p>
        </w:tc>
        <w:tc>
          <w:tcPr>
            <w:tcW w:w="1276" w:type="dxa"/>
            <w:tcBorders>
              <w:top w:val="single" w:sz="6"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560" w:type="dxa"/>
            <w:tcBorders>
              <w:top w:val="single" w:sz="6"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r>
      <w:tr w:rsidR="003A5252" w:rsidRPr="00E21F0F" w:rsidTr="00CF48C0">
        <w:trPr>
          <w:jc w:val="center"/>
        </w:trPr>
        <w:tc>
          <w:tcPr>
            <w:tcW w:w="3969" w:type="dxa"/>
            <w:tcBorders>
              <w:top w:val="single" w:sz="4"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clear" w:pos="851"/>
                <w:tab w:val="left" w:pos="444"/>
                <w:tab w:val="left" w:pos="833"/>
              </w:tabs>
              <w:ind w:left="851" w:hanging="851"/>
              <w:rPr>
                <w:sz w:val="20"/>
                <w:lang w:val="fr-CH"/>
              </w:rPr>
            </w:pPr>
            <w:r w:rsidRPr="00B728CD">
              <w:rPr>
                <w:sz w:val="20"/>
                <w:lang w:val="fr-CH"/>
              </w:rPr>
              <w:tab/>
            </w:r>
            <w:r w:rsidRPr="00B728CD">
              <w:rPr>
                <w:sz w:val="20"/>
                <w:lang w:val="fr-CH"/>
              </w:rPr>
              <w:tab/>
              <w:t>A3</w:t>
            </w:r>
            <w:r w:rsidRPr="00B728CD">
              <w:rPr>
                <w:sz w:val="20"/>
                <w:lang w:val="fr-CH"/>
              </w:rPr>
              <w:tab/>
              <w:t xml:space="preserve">Puissance de l’émetteur supérieur à 25 km </w:t>
            </w:r>
          </w:p>
        </w:tc>
        <w:tc>
          <w:tcPr>
            <w:tcW w:w="1418" w:type="dxa"/>
            <w:tcBorders>
              <w:top w:val="single" w:sz="4" w:space="0" w:color="000000"/>
              <w:left w:val="single" w:sz="4" w:space="0" w:color="000000"/>
              <w:bottom w:val="single" w:sz="6" w:space="0" w:color="000000"/>
              <w:right w:val="single" w:sz="4" w:space="0" w:color="000000"/>
            </w:tcBorders>
            <w:vAlign w:val="bottom"/>
          </w:tcPr>
          <w:p w:rsidR="003A5252" w:rsidRPr="00B728CD" w:rsidRDefault="003A5252" w:rsidP="00497388">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r w:rsidRPr="00B728CD">
              <w:rPr>
                <w:b/>
                <w:bCs/>
                <w:sz w:val="20"/>
              </w:rPr>
              <w:t>58 000</w:t>
            </w:r>
          </w:p>
        </w:tc>
        <w:tc>
          <w:tcPr>
            <w:tcW w:w="1276" w:type="dxa"/>
            <w:tcBorders>
              <w:top w:val="single" w:sz="4" w:space="0" w:color="000000"/>
              <w:left w:val="single" w:sz="4" w:space="0" w:color="000000"/>
              <w:bottom w:val="single" w:sz="6" w:space="0" w:color="000000"/>
              <w:right w:val="single" w:sz="4" w:space="0" w:color="000000"/>
            </w:tcBorders>
            <w:vAlign w:val="bottom"/>
          </w:tcPr>
          <w:p w:rsidR="003A5252" w:rsidRPr="00B728CD" w:rsidRDefault="003A5252" w:rsidP="00497388">
            <w:pPr>
              <w:pStyle w:val="TableText0"/>
              <w:jc w:val="center"/>
              <w:rPr>
                <w:sz w:val="20"/>
              </w:rPr>
            </w:pPr>
            <w:r w:rsidRPr="00B728CD">
              <w:rPr>
                <w:sz w:val="20"/>
              </w:rPr>
              <w:t>–</w:t>
            </w:r>
          </w:p>
        </w:tc>
        <w:tc>
          <w:tcPr>
            <w:tcW w:w="1560" w:type="dxa"/>
            <w:tcBorders>
              <w:top w:val="single" w:sz="4" w:space="0" w:color="000000"/>
              <w:left w:val="single" w:sz="4" w:space="0" w:color="000000"/>
              <w:bottom w:val="single" w:sz="6" w:space="0" w:color="000000"/>
              <w:right w:val="single" w:sz="4" w:space="0" w:color="000000"/>
            </w:tcBorders>
            <w:vAlign w:val="bottom"/>
          </w:tcPr>
          <w:p w:rsidR="003A5252" w:rsidRPr="00B728CD" w:rsidRDefault="003A5252" w:rsidP="00497388">
            <w:pPr>
              <w:pStyle w:val="TableText0"/>
              <w:jc w:val="center"/>
              <w:rPr>
                <w:sz w:val="20"/>
              </w:rPr>
            </w:pPr>
            <w:r w:rsidRPr="00B728CD">
              <w:rPr>
                <w:sz w:val="20"/>
              </w:rPr>
              <w:t>–</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clear" w:pos="851"/>
                <w:tab w:val="left" w:pos="444"/>
                <w:tab w:val="left" w:pos="833"/>
              </w:tabs>
              <w:ind w:left="851" w:hanging="851"/>
              <w:rPr>
                <w:sz w:val="20"/>
                <w:lang w:val="fr-CH"/>
              </w:rPr>
            </w:pPr>
            <w:r w:rsidRPr="00B728CD">
              <w:rPr>
                <w:sz w:val="20"/>
                <w:lang w:val="fr-CH"/>
              </w:rPr>
              <w:tab/>
            </w:r>
            <w:r w:rsidRPr="00B728CD">
              <w:rPr>
                <w:sz w:val="20"/>
                <w:lang w:val="fr-CH"/>
              </w:rPr>
              <w:tab/>
              <w:t>B1</w:t>
            </w:r>
            <w:r w:rsidRPr="00B728CD">
              <w:rPr>
                <w:sz w:val="20"/>
                <w:lang w:val="fr-CH"/>
              </w:rPr>
              <w:tab/>
              <w:t xml:space="preserve">Réseau local sans relais (moyenne de 10 km) </w:t>
            </w:r>
          </w:p>
        </w:tc>
        <w:tc>
          <w:tcPr>
            <w:tcW w:w="1418" w:type="dxa"/>
            <w:tcBorders>
              <w:top w:val="single" w:sz="6" w:space="0" w:color="000000"/>
              <w:left w:val="single" w:sz="4" w:space="0" w:color="000000"/>
              <w:bottom w:val="single" w:sz="6" w:space="0" w:color="000000"/>
              <w:right w:val="single" w:sz="4" w:space="0" w:color="000000"/>
            </w:tcBorders>
            <w:vAlign w:val="bottom"/>
          </w:tcPr>
          <w:p w:rsidR="003A5252" w:rsidRPr="00B728CD" w:rsidRDefault="003A5252" w:rsidP="00497388">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276" w:type="dxa"/>
            <w:tcBorders>
              <w:top w:val="single" w:sz="6" w:space="0" w:color="000000"/>
              <w:left w:val="single" w:sz="4" w:space="0" w:color="000000"/>
              <w:bottom w:val="single" w:sz="6" w:space="0" w:color="000000"/>
              <w:right w:val="single" w:sz="4" w:space="0" w:color="000000"/>
            </w:tcBorders>
            <w:vAlign w:val="bottom"/>
          </w:tcPr>
          <w:p w:rsidR="003A5252" w:rsidRPr="00B728CD" w:rsidRDefault="003A5252" w:rsidP="00497388">
            <w:pPr>
              <w:pStyle w:val="TableText0"/>
              <w:jc w:val="center"/>
              <w:rPr>
                <w:sz w:val="20"/>
              </w:rPr>
            </w:pPr>
            <w:r w:rsidRPr="00B728CD">
              <w:rPr>
                <w:sz w:val="20"/>
              </w:rPr>
              <w:t>–</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r w:rsidRPr="00B728CD">
              <w:rPr>
                <w:b/>
                <w:bCs/>
                <w:sz w:val="20"/>
              </w:rPr>
              <w:t>145 000</w:t>
            </w:r>
          </w:p>
        </w:tc>
      </w:tr>
      <w:tr w:rsidR="003A5252" w:rsidRPr="00E21F0F" w:rsidTr="00CF48C0">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tabs>
                <w:tab w:val="clear" w:pos="567"/>
                <w:tab w:val="clear" w:pos="851"/>
                <w:tab w:val="left" w:pos="444"/>
                <w:tab w:val="left" w:pos="833"/>
              </w:tabs>
              <w:ind w:left="851" w:hanging="851"/>
              <w:rPr>
                <w:sz w:val="20"/>
                <w:lang w:val="fr-CH"/>
              </w:rPr>
            </w:pPr>
            <w:r w:rsidRPr="00B728CD">
              <w:rPr>
                <w:sz w:val="20"/>
                <w:lang w:val="fr-CH"/>
              </w:rPr>
              <w:tab/>
            </w:r>
            <w:r w:rsidRPr="00B728CD">
              <w:rPr>
                <w:sz w:val="20"/>
                <w:lang w:val="fr-CH"/>
              </w:rPr>
              <w:tab/>
              <w:t>B2</w:t>
            </w:r>
            <w:r w:rsidRPr="00B728CD">
              <w:rPr>
                <w:sz w:val="20"/>
                <w:lang w:val="fr-CH"/>
              </w:rPr>
              <w:tab/>
              <w:t xml:space="preserve">Réseau local sans relais (moyenne de 25 km) </w:t>
            </w:r>
          </w:p>
        </w:tc>
        <w:tc>
          <w:tcPr>
            <w:tcW w:w="1418" w:type="dxa"/>
            <w:tcBorders>
              <w:top w:val="single" w:sz="6"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276" w:type="dxa"/>
            <w:tcBorders>
              <w:top w:val="single" w:sz="6"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560" w:type="dxa"/>
            <w:tcBorders>
              <w:top w:val="single" w:sz="6" w:space="0" w:color="000000"/>
              <w:left w:val="single" w:sz="4" w:space="0" w:color="000000"/>
              <w:bottom w:val="single" w:sz="4" w:space="0" w:color="000000"/>
              <w:right w:val="single" w:sz="4" w:space="0" w:color="000000"/>
            </w:tcBorders>
          </w:tcPr>
          <w:p w:rsidR="003A5252" w:rsidRPr="00B728CD" w:rsidRDefault="003A5252" w:rsidP="00497388">
            <w:pPr>
              <w:pStyle w:val="TableText0"/>
              <w:jc w:val="center"/>
              <w:rPr>
                <w:sz w:val="20"/>
              </w:rPr>
            </w:pPr>
            <w:r w:rsidRPr="00B728CD">
              <w:rPr>
                <w:b/>
                <w:bCs/>
                <w:sz w:val="20"/>
              </w:rPr>
              <w:t>362 500</w:t>
            </w:r>
          </w:p>
        </w:tc>
      </w:tr>
      <w:tr w:rsidR="003A5252" w:rsidRPr="00AA5C49" w:rsidTr="00CF48C0">
        <w:trPr>
          <w:jc w:val="center"/>
        </w:trPr>
        <w:tc>
          <w:tcPr>
            <w:tcW w:w="3969" w:type="dxa"/>
            <w:tcBorders>
              <w:top w:val="single" w:sz="4" w:space="0" w:color="000000"/>
              <w:left w:val="single" w:sz="4" w:space="0" w:color="000000"/>
              <w:bottom w:val="single" w:sz="6" w:space="0" w:color="000000"/>
              <w:right w:val="single" w:sz="4" w:space="0" w:color="000000"/>
            </w:tcBorders>
          </w:tcPr>
          <w:p w:rsidR="003A5252" w:rsidRPr="00B728CD" w:rsidRDefault="003A5252" w:rsidP="00497388">
            <w:pPr>
              <w:pStyle w:val="TableText0"/>
              <w:tabs>
                <w:tab w:val="clear" w:pos="567"/>
                <w:tab w:val="clear" w:pos="851"/>
                <w:tab w:val="left" w:pos="444"/>
                <w:tab w:val="left" w:pos="833"/>
              </w:tabs>
              <w:rPr>
                <w:sz w:val="20"/>
                <w:lang w:val="fr-CH"/>
              </w:rPr>
            </w:pPr>
            <w:r w:rsidRPr="00B728CD">
              <w:rPr>
                <w:sz w:val="20"/>
                <w:lang w:val="fr-CH"/>
              </w:rPr>
              <w:tab/>
            </w:r>
            <w:r w:rsidRPr="00B728CD">
              <w:rPr>
                <w:sz w:val="20"/>
                <w:lang w:val="fr-CH"/>
              </w:rPr>
              <w:tab/>
              <w:t>B3</w:t>
            </w:r>
            <w:r w:rsidRPr="00B728CD">
              <w:rPr>
                <w:sz w:val="20"/>
                <w:lang w:val="fr-CH"/>
              </w:rPr>
              <w:tab/>
              <w:t xml:space="preserve">Réseau local à Abidjan </w:t>
            </w:r>
          </w:p>
        </w:tc>
        <w:tc>
          <w:tcPr>
            <w:tcW w:w="1418" w:type="dxa"/>
            <w:tcBorders>
              <w:top w:val="single" w:sz="4"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276" w:type="dxa"/>
            <w:tcBorders>
              <w:top w:val="single" w:sz="4"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560" w:type="dxa"/>
            <w:tcBorders>
              <w:top w:val="single" w:sz="4"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r w:rsidRPr="00B728CD">
              <w:rPr>
                <w:b/>
                <w:bCs/>
                <w:sz w:val="20"/>
                <w:lang w:val="fr-CH"/>
              </w:rPr>
              <w:t>Double des tarifs ci dessus</w:t>
            </w:r>
          </w:p>
        </w:tc>
      </w:tr>
      <w:tr w:rsidR="003A5252" w:rsidRPr="00E21F0F" w:rsidTr="00CF48C0">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sz w:val="20"/>
                <w:lang w:val="fr-CH"/>
              </w:rPr>
            </w:pPr>
            <w:r w:rsidRPr="00B728CD">
              <w:rPr>
                <w:sz w:val="20"/>
                <w:lang w:val="fr-CH"/>
              </w:rPr>
              <w:tab/>
            </w:r>
            <w:r w:rsidRPr="00B728CD">
              <w:rPr>
                <w:sz w:val="20"/>
                <w:lang w:val="fr-CH"/>
              </w:rPr>
              <w:tab/>
              <w:t>C1</w:t>
            </w:r>
            <w:r w:rsidRPr="00B728CD">
              <w:rPr>
                <w:sz w:val="20"/>
                <w:lang w:val="fr-CH"/>
              </w:rPr>
              <w:tab/>
              <w:t xml:space="preserve">Réseau comportant moins de 10 postes à Abidjan </w:t>
            </w:r>
          </w:p>
        </w:tc>
        <w:tc>
          <w:tcPr>
            <w:tcW w:w="1418" w:type="dxa"/>
            <w:tcBorders>
              <w:top w:val="single" w:sz="6"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276" w:type="dxa"/>
            <w:tcBorders>
              <w:top w:val="single" w:sz="6" w:space="0" w:color="000000"/>
              <w:left w:val="single" w:sz="4" w:space="0" w:color="000000"/>
              <w:bottom w:val="single" w:sz="4" w:space="0" w:color="000000"/>
              <w:right w:val="single" w:sz="4" w:space="0" w:color="000000"/>
            </w:tcBorders>
          </w:tcPr>
          <w:p w:rsidR="003A5252" w:rsidRPr="00B728CD" w:rsidRDefault="003A5252" w:rsidP="00497388">
            <w:pPr>
              <w:pStyle w:val="TableText0"/>
              <w:jc w:val="center"/>
              <w:rPr>
                <w:sz w:val="20"/>
              </w:rPr>
            </w:pPr>
            <w:r w:rsidRPr="00B728CD">
              <w:rPr>
                <w:b/>
                <w:bCs/>
                <w:sz w:val="20"/>
              </w:rPr>
              <w:t>290 000</w:t>
            </w:r>
          </w:p>
        </w:tc>
        <w:tc>
          <w:tcPr>
            <w:tcW w:w="1560" w:type="dxa"/>
            <w:tcBorders>
              <w:top w:val="single" w:sz="6" w:space="0" w:color="000000"/>
              <w:left w:val="single" w:sz="4" w:space="0" w:color="000000"/>
              <w:bottom w:val="single" w:sz="4"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4"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sz w:val="20"/>
                <w:lang w:val="fr-CH"/>
              </w:rPr>
            </w:pPr>
            <w:r w:rsidRPr="00B728CD">
              <w:rPr>
                <w:sz w:val="20"/>
                <w:lang w:val="fr-CH"/>
              </w:rPr>
              <w:tab/>
            </w:r>
            <w:r w:rsidRPr="00B728CD">
              <w:rPr>
                <w:sz w:val="20"/>
                <w:lang w:val="fr-CH"/>
              </w:rPr>
              <w:tab/>
              <w:t>C2</w:t>
            </w:r>
            <w:r w:rsidRPr="00B728CD">
              <w:rPr>
                <w:sz w:val="20"/>
                <w:lang w:val="fr-CH"/>
              </w:rPr>
              <w:tab/>
              <w:t xml:space="preserve">Réseau de 10 à 50 postes à Abidjan </w:t>
            </w:r>
          </w:p>
        </w:tc>
        <w:tc>
          <w:tcPr>
            <w:tcW w:w="1418" w:type="dxa"/>
            <w:tcBorders>
              <w:top w:val="single" w:sz="4"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276" w:type="dxa"/>
            <w:tcBorders>
              <w:top w:val="single" w:sz="4"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r w:rsidRPr="00B728CD">
              <w:rPr>
                <w:b/>
                <w:bCs/>
                <w:sz w:val="20"/>
              </w:rPr>
              <w:t>145 000</w:t>
            </w:r>
          </w:p>
        </w:tc>
        <w:tc>
          <w:tcPr>
            <w:tcW w:w="1560" w:type="dxa"/>
            <w:tcBorders>
              <w:top w:val="single" w:sz="4"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sz w:val="20"/>
                <w:lang w:val="fr-CH"/>
              </w:rPr>
            </w:pPr>
            <w:r w:rsidRPr="00B728CD">
              <w:rPr>
                <w:sz w:val="20"/>
                <w:lang w:val="fr-CH"/>
              </w:rPr>
              <w:tab/>
            </w:r>
            <w:r w:rsidRPr="00B728CD">
              <w:rPr>
                <w:sz w:val="20"/>
                <w:lang w:val="fr-CH"/>
              </w:rPr>
              <w:tab/>
              <w:t>C3</w:t>
            </w:r>
            <w:r w:rsidRPr="00B728CD">
              <w:rPr>
                <w:sz w:val="20"/>
                <w:lang w:val="fr-CH"/>
              </w:rPr>
              <w:tab/>
              <w:t xml:space="preserve">Réseau de plus de 50 postes à Abidjan </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r w:rsidRPr="00B728CD">
              <w:rPr>
                <w:b/>
                <w:bCs/>
                <w:sz w:val="20"/>
              </w:rPr>
              <w:t>58 000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tabs>
                <w:tab w:val="clear" w:pos="567"/>
                <w:tab w:val="left" w:pos="444"/>
              </w:tabs>
              <w:rPr>
                <w:sz w:val="20"/>
                <w:lang w:val="fr-CH"/>
              </w:rPr>
            </w:pPr>
            <w:r w:rsidRPr="00B728CD">
              <w:rPr>
                <w:sz w:val="20"/>
                <w:lang w:val="fr-CH"/>
              </w:rPr>
              <w:tab/>
            </w:r>
            <w:r w:rsidRPr="00B728CD">
              <w:rPr>
                <w:sz w:val="20"/>
                <w:lang w:val="fr-CH"/>
              </w:rPr>
              <w:tab/>
              <w:t>C4</w:t>
            </w:r>
            <w:r w:rsidRPr="00B728CD">
              <w:rPr>
                <w:sz w:val="20"/>
                <w:lang w:val="fr-CH"/>
              </w:rPr>
              <w:tab/>
              <w:t xml:space="preserve">Réseau situé hors Abidjan </w:t>
            </w:r>
          </w:p>
        </w:tc>
        <w:tc>
          <w:tcPr>
            <w:tcW w:w="1418" w:type="dxa"/>
            <w:tcBorders>
              <w:top w:val="single" w:sz="6"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jc w:val="center"/>
              <w:rPr>
                <w:sz w:val="20"/>
              </w:rPr>
            </w:pPr>
            <w:r w:rsidRPr="00B728CD">
              <w:rPr>
                <w:sz w:val="20"/>
              </w:rPr>
              <w:t>–</w:t>
            </w:r>
          </w:p>
        </w:tc>
        <w:tc>
          <w:tcPr>
            <w:tcW w:w="1276" w:type="dxa"/>
            <w:tcBorders>
              <w:top w:val="single" w:sz="6" w:space="0" w:color="000000"/>
              <w:left w:val="single" w:sz="4" w:space="0" w:color="000000"/>
              <w:bottom w:val="single" w:sz="4" w:space="0" w:color="000000"/>
              <w:right w:val="single" w:sz="4" w:space="0" w:color="000000"/>
            </w:tcBorders>
          </w:tcPr>
          <w:p w:rsidR="003A5252" w:rsidRPr="00B728CD" w:rsidRDefault="003A5252" w:rsidP="00497388">
            <w:pPr>
              <w:pStyle w:val="TableText0"/>
              <w:jc w:val="center"/>
              <w:rPr>
                <w:sz w:val="20"/>
              </w:rPr>
            </w:pPr>
            <w:r w:rsidRPr="00B728CD">
              <w:rPr>
                <w:b/>
                <w:bCs/>
                <w:sz w:val="20"/>
              </w:rPr>
              <w:t>58 000</w:t>
            </w:r>
          </w:p>
        </w:tc>
        <w:tc>
          <w:tcPr>
            <w:tcW w:w="1560" w:type="dxa"/>
            <w:tcBorders>
              <w:top w:val="single" w:sz="6" w:space="0" w:color="000000"/>
              <w:left w:val="single" w:sz="4" w:space="0" w:color="000000"/>
              <w:bottom w:val="single" w:sz="4"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4"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ind w:left="851" w:hanging="851"/>
              <w:rPr>
                <w:sz w:val="20"/>
                <w:lang w:val="fr-CH"/>
              </w:rPr>
            </w:pPr>
            <w:r w:rsidRPr="00B728CD">
              <w:rPr>
                <w:sz w:val="20"/>
                <w:lang w:val="fr-CH"/>
              </w:rPr>
              <w:tab/>
              <w:t>I.2</w:t>
            </w:r>
            <w:r w:rsidRPr="00B728CD">
              <w:rPr>
                <w:sz w:val="20"/>
                <w:lang w:val="fr-CH"/>
              </w:rPr>
              <w:tab/>
            </w:r>
            <w:r w:rsidRPr="00B728CD">
              <w:rPr>
                <w:sz w:val="20"/>
                <w:lang w:val="fr-CH"/>
              </w:rPr>
              <w:tab/>
              <w:t xml:space="preserve">Réseau de radiotéléphonie MF/HF (largeur du canal = 3 khz) </w:t>
            </w:r>
          </w:p>
        </w:tc>
        <w:tc>
          <w:tcPr>
            <w:tcW w:w="1418" w:type="dxa"/>
            <w:tcBorders>
              <w:top w:val="single" w:sz="4" w:space="0" w:color="000000"/>
              <w:left w:val="single" w:sz="4" w:space="0" w:color="000000"/>
              <w:bottom w:val="single" w:sz="4" w:space="0" w:color="000000"/>
              <w:right w:val="single" w:sz="4" w:space="0" w:color="000000"/>
            </w:tcBorders>
          </w:tcPr>
          <w:p w:rsidR="003A5252" w:rsidRPr="00B728CD" w:rsidRDefault="003A5252" w:rsidP="00497388">
            <w:pPr>
              <w:pStyle w:val="TableText0"/>
              <w:jc w:val="center"/>
              <w:rPr>
                <w:sz w:val="20"/>
              </w:rPr>
            </w:pPr>
            <w:r w:rsidRPr="00B728CD">
              <w:rPr>
                <w:b/>
                <w:bCs/>
                <w:sz w:val="20"/>
              </w:rPr>
              <w:t>11 600</w:t>
            </w:r>
          </w:p>
        </w:tc>
        <w:tc>
          <w:tcPr>
            <w:tcW w:w="1418" w:type="dxa"/>
            <w:tcBorders>
              <w:top w:val="single" w:sz="4" w:space="0" w:color="000000"/>
              <w:left w:val="single" w:sz="4" w:space="0" w:color="000000"/>
              <w:bottom w:val="single" w:sz="4" w:space="0" w:color="000000"/>
              <w:right w:val="single" w:sz="4" w:space="0" w:color="000000"/>
            </w:tcBorders>
          </w:tcPr>
          <w:p w:rsidR="003A5252" w:rsidRPr="00B728CD" w:rsidRDefault="003A5252" w:rsidP="00497388">
            <w:pPr>
              <w:pStyle w:val="TableText0"/>
              <w:jc w:val="center"/>
              <w:rPr>
                <w:sz w:val="20"/>
              </w:rPr>
            </w:pPr>
          </w:p>
        </w:tc>
        <w:tc>
          <w:tcPr>
            <w:tcW w:w="1276" w:type="dxa"/>
            <w:tcBorders>
              <w:top w:val="single" w:sz="4" w:space="0" w:color="000000"/>
              <w:left w:val="single" w:sz="4" w:space="0" w:color="000000"/>
              <w:bottom w:val="single" w:sz="4" w:space="0" w:color="000000"/>
              <w:right w:val="single" w:sz="4" w:space="0" w:color="000000"/>
            </w:tcBorders>
          </w:tcPr>
          <w:p w:rsidR="003A5252" w:rsidRPr="00B728CD" w:rsidRDefault="003A5252" w:rsidP="00497388">
            <w:pPr>
              <w:pStyle w:val="TableText0"/>
              <w:jc w:val="center"/>
              <w:rPr>
                <w:sz w:val="20"/>
              </w:rPr>
            </w:pPr>
          </w:p>
        </w:tc>
        <w:tc>
          <w:tcPr>
            <w:tcW w:w="1560" w:type="dxa"/>
            <w:tcBorders>
              <w:top w:val="single" w:sz="4" w:space="0" w:color="000000"/>
              <w:left w:val="single" w:sz="4" w:space="0" w:color="000000"/>
              <w:bottom w:val="single" w:sz="4"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4"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sz w:val="20"/>
                <w:lang w:val="fr-CH"/>
              </w:rPr>
            </w:pPr>
            <w:r w:rsidRPr="00B728CD">
              <w:rPr>
                <w:sz w:val="20"/>
                <w:lang w:val="fr-CH"/>
              </w:rPr>
              <w:tab/>
            </w:r>
            <w:r w:rsidRPr="00B728CD">
              <w:rPr>
                <w:sz w:val="20"/>
                <w:lang w:val="fr-CH"/>
              </w:rPr>
              <w:tab/>
              <w:t>A1</w:t>
            </w:r>
            <w:r w:rsidRPr="00B728CD">
              <w:rPr>
                <w:sz w:val="20"/>
                <w:lang w:val="fr-CH"/>
              </w:rPr>
              <w:tab/>
              <w:t xml:space="preserve">Puissance de l’émetteur inférieur à 50 w </w:t>
            </w:r>
          </w:p>
        </w:tc>
        <w:tc>
          <w:tcPr>
            <w:tcW w:w="1418" w:type="dxa"/>
            <w:tcBorders>
              <w:top w:val="single" w:sz="4"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4"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r w:rsidRPr="00B728CD">
              <w:rPr>
                <w:b/>
                <w:bCs/>
                <w:sz w:val="20"/>
              </w:rPr>
              <w:t>14 500</w:t>
            </w:r>
          </w:p>
        </w:tc>
        <w:tc>
          <w:tcPr>
            <w:tcW w:w="1276" w:type="dxa"/>
            <w:tcBorders>
              <w:top w:val="single" w:sz="4"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c>
          <w:tcPr>
            <w:tcW w:w="1560" w:type="dxa"/>
            <w:tcBorders>
              <w:top w:val="single" w:sz="4"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sz w:val="20"/>
                <w:lang w:val="fr-CH"/>
              </w:rPr>
            </w:pPr>
            <w:r w:rsidRPr="00B728CD">
              <w:rPr>
                <w:sz w:val="20"/>
                <w:lang w:val="fr-CH"/>
              </w:rPr>
              <w:tab/>
            </w:r>
            <w:r w:rsidRPr="00B728CD">
              <w:rPr>
                <w:sz w:val="20"/>
                <w:lang w:val="fr-CH"/>
              </w:rPr>
              <w:tab/>
              <w:t>A2</w:t>
            </w:r>
            <w:r w:rsidRPr="00B728CD">
              <w:rPr>
                <w:sz w:val="20"/>
                <w:lang w:val="fr-CH"/>
              </w:rPr>
              <w:tab/>
              <w:t xml:space="preserve">Puissance de l’émetteur comprise entre 50 et 150 w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r w:rsidRPr="00B728CD">
              <w:rPr>
                <w:b/>
                <w:bCs/>
                <w:sz w:val="20"/>
              </w:rPr>
              <w:t>17 400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sz w:val="20"/>
                <w:lang w:val="fr-CH"/>
              </w:rPr>
            </w:pPr>
            <w:r w:rsidRPr="00B728CD">
              <w:rPr>
                <w:sz w:val="20"/>
                <w:lang w:val="fr-CH"/>
              </w:rPr>
              <w:tab/>
            </w:r>
            <w:r w:rsidRPr="00B728CD">
              <w:rPr>
                <w:sz w:val="20"/>
                <w:lang w:val="fr-CH"/>
              </w:rPr>
              <w:tab/>
              <w:t>A3</w:t>
            </w:r>
            <w:r w:rsidRPr="00B728CD">
              <w:rPr>
                <w:sz w:val="20"/>
                <w:lang w:val="fr-CH"/>
              </w:rPr>
              <w:tab/>
              <w:t xml:space="preserve">Puissance de l’émetteur supérieur à 150 w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r w:rsidRPr="00B728CD">
              <w:rPr>
                <w:b/>
                <w:bCs/>
                <w:sz w:val="20"/>
              </w:rPr>
              <w:t>58 000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r>
      <w:tr w:rsidR="003A5252" w:rsidRPr="00AA5C49"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t>I.3</w:t>
            </w:r>
            <w:r w:rsidRPr="00B728CD">
              <w:rPr>
                <w:rFonts w:asciiTheme="majorBidi" w:hAnsiTheme="majorBidi" w:cstheme="majorBidi"/>
                <w:sz w:val="20"/>
                <w:lang w:val="fr-CH"/>
              </w:rPr>
              <w:tab/>
              <w:t>Faisceau Hertziens au dessus de 1 GHz</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t>Artère ou réseau local</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116 000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580 000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r>
      <w:tr w:rsidR="003A5252" w:rsidRPr="00AA5C49"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1C1DEC" w:rsidRDefault="003A5252" w:rsidP="00497388">
            <w:pPr>
              <w:pStyle w:val="TableNotitle"/>
              <w:spacing w:before="120"/>
              <w:rPr>
                <w:sz w:val="20"/>
              </w:rPr>
            </w:pPr>
            <w:r w:rsidRPr="001C1DEC">
              <w:rPr>
                <w:sz w:val="20"/>
              </w:rPr>
              <w:lastRenderedPageBreak/>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Notitle"/>
              <w:spacing w:before="120"/>
              <w:rPr>
                <w:sz w:val="20"/>
                <w:lang w:val="fr-CH"/>
              </w:rPr>
            </w:pPr>
            <w:r w:rsidRPr="00AA5C49">
              <w:rPr>
                <w:sz w:val="20"/>
                <w:lang w:val="fr-CH"/>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1C1DEC" w:rsidRDefault="003A5252" w:rsidP="00497388">
            <w:pPr>
              <w:pStyle w:val="TableNotitle"/>
              <w:spacing w:before="120"/>
              <w:rPr>
                <w:sz w:val="20"/>
                <w:lang w:val="fr-CH"/>
              </w:rPr>
            </w:pPr>
            <w:r w:rsidRPr="001C1DEC">
              <w:rPr>
                <w:sz w:val="20"/>
                <w:lang w:val="fr-CH"/>
              </w:rPr>
              <w:t>Taxe de visite ou de controle des stations</w:t>
            </w:r>
          </w:p>
        </w:tc>
        <w:tc>
          <w:tcPr>
            <w:tcW w:w="1276" w:type="dxa"/>
            <w:tcBorders>
              <w:top w:val="single" w:sz="6" w:space="0" w:color="000000"/>
              <w:left w:val="single" w:sz="4" w:space="0" w:color="000000"/>
              <w:bottom w:val="single" w:sz="6" w:space="0" w:color="000000"/>
              <w:right w:val="single" w:sz="4" w:space="0" w:color="000000"/>
            </w:tcBorders>
            <w:vAlign w:val="center"/>
          </w:tcPr>
          <w:p w:rsidR="003A5252" w:rsidRPr="001C1DEC" w:rsidRDefault="003A5252" w:rsidP="00497388">
            <w:pPr>
              <w:pStyle w:val="TableNotitle"/>
              <w:spacing w:before="120"/>
              <w:ind w:leftChars="-50" w:left="-110" w:rightChars="-50" w:right="-110"/>
              <w:rPr>
                <w:sz w:val="20"/>
                <w:lang w:val="fr-CH"/>
              </w:rPr>
            </w:pPr>
            <w:r w:rsidRPr="001C1DEC">
              <w:rPr>
                <w:sz w:val="20"/>
                <w:lang w:val="fr-CH"/>
              </w:rPr>
              <w:t xml:space="preserve">Contribution pour frais de gestion </w:t>
            </w:r>
          </w:p>
        </w:tc>
        <w:tc>
          <w:tcPr>
            <w:tcW w:w="1560" w:type="dxa"/>
            <w:tcBorders>
              <w:top w:val="single" w:sz="6" w:space="0" w:color="000000"/>
              <w:left w:val="single" w:sz="4" w:space="0" w:color="000000"/>
              <w:bottom w:val="single" w:sz="6" w:space="0" w:color="000000"/>
              <w:right w:val="single" w:sz="4" w:space="0" w:color="000000"/>
            </w:tcBorders>
            <w:vAlign w:val="center"/>
          </w:tcPr>
          <w:p w:rsidR="003A5252" w:rsidRPr="001C1DEC" w:rsidRDefault="003A5252" w:rsidP="00497388">
            <w:pPr>
              <w:pStyle w:val="TableNotitle"/>
              <w:spacing w:before="120"/>
              <w:ind w:leftChars="-50" w:left="-110" w:rightChars="-50" w:right="-110"/>
              <w:rPr>
                <w:sz w:val="20"/>
                <w:lang w:val="fr-CH"/>
              </w:rPr>
            </w:pPr>
            <w:r w:rsidRPr="001C1DEC">
              <w:rPr>
                <w:sz w:val="20"/>
                <w:lang w:val="fr-CH"/>
              </w:rPr>
              <w:t xml:space="preserve">Redevence pour l’utilisation d’une freqence ou d’un canal radioelectrique </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sz w:val="20"/>
                <w:lang w:val="fr-CH"/>
              </w:rPr>
            </w:pPr>
            <w:r w:rsidRPr="00AA5C49">
              <w:rPr>
                <w:rFonts w:asciiTheme="majorBidi" w:hAnsiTheme="majorBidi" w:cstheme="majorBidi"/>
                <w:sz w:val="20"/>
                <w:lang w:val="fr-CH"/>
              </w:rPr>
              <w:tab/>
            </w:r>
            <w:r w:rsidRPr="00AA5C49">
              <w:rPr>
                <w:rFonts w:asciiTheme="majorBidi" w:hAnsiTheme="majorBidi" w:cstheme="majorBidi"/>
                <w:sz w:val="20"/>
                <w:lang w:val="fr-CH"/>
              </w:rPr>
              <w:tab/>
            </w:r>
            <w:r w:rsidRPr="00B728CD">
              <w:rPr>
                <w:rFonts w:asciiTheme="majorBidi" w:hAnsiTheme="majorBidi" w:cstheme="majorBidi"/>
                <w:sz w:val="20"/>
              </w:rPr>
              <w:t>B1</w:t>
            </w:r>
            <w:r w:rsidRPr="00B728CD">
              <w:rPr>
                <w:rFonts w:asciiTheme="majorBidi" w:hAnsiTheme="majorBidi" w:cstheme="majorBidi"/>
                <w:sz w:val="20"/>
              </w:rPr>
              <w:tab/>
              <w:t>Station terminale</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580 000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1 450 000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r w:rsidRPr="00B728CD">
              <w:rPr>
                <w:sz w:val="20"/>
              </w:rPr>
              <w:t>–</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sz w:val="20"/>
                <w:lang w:val="fr-CH"/>
              </w:rPr>
            </w:pPr>
            <w:r w:rsidRPr="00B728CD">
              <w:rPr>
                <w:rFonts w:asciiTheme="majorBidi" w:hAnsiTheme="majorBidi" w:cstheme="majorBidi"/>
                <w:sz w:val="20"/>
              </w:rPr>
              <w:tab/>
            </w:r>
            <w:r w:rsidRPr="00B728CD">
              <w:rPr>
                <w:rFonts w:asciiTheme="majorBidi" w:hAnsiTheme="majorBidi" w:cstheme="majorBidi"/>
                <w:sz w:val="20"/>
              </w:rPr>
              <w:tab/>
              <w:t>B2</w:t>
            </w:r>
            <w:r w:rsidRPr="00B728CD">
              <w:rPr>
                <w:rFonts w:asciiTheme="majorBidi" w:hAnsiTheme="majorBidi" w:cstheme="majorBidi"/>
                <w:sz w:val="20"/>
              </w:rPr>
              <w:tab/>
              <w:t>Station relais</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r w:rsidRPr="00B728CD">
              <w:rPr>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34 800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r w:rsidRPr="00B728CD">
              <w:rPr>
                <w:sz w:val="20"/>
              </w:rPr>
              <w:t>–</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r w:rsidRPr="00B728CD">
              <w:rPr>
                <w:sz w:val="20"/>
              </w:rPr>
              <w:t>–</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C1</w:t>
            </w:r>
            <w:r w:rsidRPr="00B728CD">
              <w:rPr>
                <w:rFonts w:asciiTheme="majorBidi" w:hAnsiTheme="majorBidi" w:cstheme="majorBidi"/>
                <w:sz w:val="20"/>
                <w:lang w:val="fr-CH"/>
              </w:rPr>
              <w:tab/>
              <w:t>Liaison de 1 à 24 voies téléphoniques ou 2,Mbits/S</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r w:rsidRPr="00B728CD">
              <w:rPr>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29 000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r w:rsidRPr="00B728CD">
              <w:rPr>
                <w:sz w:val="20"/>
              </w:rPr>
              <w:t>–</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1 160 000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C2</w:t>
            </w:r>
            <w:r w:rsidRPr="00B728CD">
              <w:rPr>
                <w:rFonts w:asciiTheme="majorBidi" w:hAnsiTheme="majorBidi" w:cstheme="majorBidi"/>
                <w:sz w:val="20"/>
                <w:lang w:val="fr-CH"/>
              </w:rPr>
              <w:tab/>
              <w:t>Liaison de 25 à 120 voies téléphonique de 2,1 à 8 Mbits/S</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r w:rsidRPr="00B728CD">
              <w:rPr>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r w:rsidRPr="00B728CD">
              <w:rPr>
                <w:sz w:val="20"/>
              </w:rPr>
              <w:t>–</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1 450 000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C3</w:t>
            </w:r>
            <w:r w:rsidRPr="00B728CD">
              <w:rPr>
                <w:rFonts w:asciiTheme="majorBidi" w:hAnsiTheme="majorBidi" w:cstheme="majorBidi"/>
                <w:sz w:val="20"/>
                <w:lang w:val="fr-CH"/>
              </w:rPr>
              <w:tab/>
              <w:t>Liaison de 121 à 600 voies téléphoniques ou 8 à 34 Mbits/S</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r w:rsidRPr="00B728CD">
              <w:rPr>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r w:rsidRPr="00B728CD">
              <w:rPr>
                <w:sz w:val="20"/>
              </w:rPr>
              <w:t>–</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1 740 000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C4</w:t>
            </w:r>
            <w:r w:rsidRPr="00B728CD">
              <w:rPr>
                <w:rFonts w:asciiTheme="majorBidi" w:hAnsiTheme="majorBidi" w:cstheme="majorBidi"/>
                <w:sz w:val="20"/>
                <w:lang w:val="fr-CH"/>
              </w:rPr>
              <w:tab/>
              <w:t>Liaison de plus de 600 voies téléphoniques ou plus de 34 Mbits/S</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r w:rsidRPr="00B728CD">
              <w:rPr>
                <w:sz w:val="20"/>
              </w:rPr>
              <w:t>–</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2 900 000</w:t>
            </w:r>
          </w:p>
        </w:tc>
      </w:tr>
      <w:tr w:rsidR="003A5252" w:rsidRPr="00AA5C49"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284" w:hanging="284"/>
              <w:rPr>
                <w:rFonts w:asciiTheme="majorBidi" w:hAnsiTheme="majorBidi" w:cstheme="majorBidi"/>
                <w:sz w:val="20"/>
                <w:lang w:val="fr-CH"/>
              </w:rPr>
            </w:pPr>
            <w:r w:rsidRPr="00B728CD">
              <w:rPr>
                <w:rFonts w:asciiTheme="majorBidi" w:hAnsiTheme="majorBidi" w:cstheme="majorBidi"/>
                <w:sz w:val="20"/>
                <w:lang w:val="fr-CH"/>
              </w:rPr>
              <w:t>II–RESEAU FIXES ET MOBILES TERRESTRE OUVERTES AU PUBLIC (service commercial)</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r>
      <w:tr w:rsidR="003A5252" w:rsidRPr="00AA5C49"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II.1</w:t>
            </w:r>
            <w:r w:rsidRPr="00B728CD">
              <w:rPr>
                <w:rFonts w:asciiTheme="majorBidi" w:hAnsiTheme="majorBidi" w:cstheme="majorBidi"/>
                <w:sz w:val="20"/>
                <w:lang w:val="fr-CH"/>
              </w:rPr>
              <w:tab/>
              <w:t>Réseau de recherche et de messagerie (Paging)</w:t>
            </w:r>
            <w:r w:rsidRPr="00B728CD">
              <w:rPr>
                <w:rFonts w:asciiTheme="majorBidi" w:hAnsiTheme="majorBidi" w:cstheme="majorBidi"/>
                <w:sz w:val="20"/>
                <w:lang w:val="fr-CH"/>
              </w:rPr>
              <w:br/>
              <w:t>(Largeur du canal = 12,5 KHz)</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r>
            <w:r w:rsidRPr="00B728CD">
              <w:rPr>
                <w:rFonts w:asciiTheme="majorBidi" w:hAnsiTheme="majorBidi" w:cstheme="majorBidi"/>
                <w:sz w:val="20"/>
              </w:rPr>
              <w:t>Réseau local (urbain)</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A2</w:t>
            </w:r>
            <w:r w:rsidRPr="00B728CD">
              <w:rPr>
                <w:rFonts w:asciiTheme="majorBidi" w:hAnsiTheme="majorBidi" w:cstheme="majorBidi"/>
                <w:sz w:val="20"/>
              </w:rPr>
              <w:tab/>
              <w:t>Réseau régional (interurbain)</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1 160 000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5 500 000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A3</w:t>
            </w:r>
            <w:r w:rsidRPr="00B728CD">
              <w:rPr>
                <w:rFonts w:asciiTheme="majorBidi" w:hAnsiTheme="majorBidi" w:cstheme="majorBidi"/>
                <w:sz w:val="20"/>
              </w:rPr>
              <w:tab/>
              <w:t>Réseau national</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1 740 000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14 500 000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B1</w:t>
            </w:r>
            <w:r w:rsidRPr="00B728CD">
              <w:rPr>
                <w:rFonts w:asciiTheme="majorBidi" w:hAnsiTheme="majorBidi" w:cstheme="majorBidi"/>
                <w:sz w:val="20"/>
              </w:rPr>
              <w:tab/>
              <w:t>Station de base</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3 770 000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29 000 000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C1</w:t>
            </w:r>
            <w:r w:rsidRPr="00B728CD">
              <w:rPr>
                <w:rFonts w:asciiTheme="majorBidi" w:hAnsiTheme="majorBidi" w:cstheme="majorBidi"/>
                <w:sz w:val="20"/>
              </w:rPr>
              <w:tab/>
              <w:t>Fréquence disponible localement</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34 800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C2</w:t>
            </w:r>
            <w:r w:rsidRPr="00B728CD">
              <w:rPr>
                <w:rFonts w:asciiTheme="majorBidi" w:hAnsiTheme="majorBidi" w:cstheme="majorBidi"/>
                <w:sz w:val="20"/>
                <w:lang w:val="fr-CH"/>
              </w:rPr>
              <w:tab/>
              <w:t>Fréquence disponible au plan régional</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3 480 000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C3</w:t>
            </w:r>
            <w:r w:rsidRPr="00B728CD">
              <w:rPr>
                <w:rFonts w:asciiTheme="majorBidi" w:hAnsiTheme="majorBidi" w:cstheme="majorBidi"/>
                <w:sz w:val="20"/>
                <w:lang w:val="fr-CH"/>
              </w:rPr>
              <w:tab/>
              <w:t>Fréquence disponible sur l’ensemble du territoire national</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5 800 000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II.2</w:t>
            </w:r>
            <w:r w:rsidRPr="00B728CD">
              <w:rPr>
                <w:rFonts w:asciiTheme="majorBidi" w:hAnsiTheme="majorBidi" w:cstheme="majorBidi"/>
                <w:sz w:val="20"/>
                <w:lang w:val="fr-CH"/>
              </w:rPr>
              <w:tab/>
              <w:t>Réseau à ressources partagées (Trun King)</w:t>
            </w:r>
            <w:r w:rsidRPr="00B728CD">
              <w:rPr>
                <w:rFonts w:asciiTheme="majorBidi" w:hAnsiTheme="majorBidi" w:cstheme="majorBidi"/>
                <w:sz w:val="20"/>
                <w:lang w:val="fr-CH"/>
              </w:rPr>
              <w:br/>
              <w:t xml:space="preserve">(Largeur du local = 12,5 KHz)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8 700 000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r>
            <w:r w:rsidRPr="00B728CD">
              <w:rPr>
                <w:rFonts w:asciiTheme="majorBidi" w:hAnsiTheme="majorBidi" w:cstheme="majorBidi"/>
                <w:sz w:val="20"/>
              </w:rPr>
              <w:t>Réseau local (urbain)</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1 160 000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5 500 000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A2</w:t>
            </w:r>
            <w:r w:rsidRPr="00B728CD">
              <w:rPr>
                <w:rFonts w:asciiTheme="majorBidi" w:hAnsiTheme="majorBidi" w:cstheme="majorBidi"/>
                <w:sz w:val="20"/>
              </w:rPr>
              <w:tab/>
              <w:t>Réseau régional (interurbain)</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1 740 000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14 500 000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A3</w:t>
            </w:r>
            <w:r w:rsidRPr="00B728CD">
              <w:rPr>
                <w:rFonts w:asciiTheme="majorBidi" w:hAnsiTheme="majorBidi" w:cstheme="majorBidi"/>
                <w:sz w:val="20"/>
              </w:rPr>
              <w:tab/>
              <w:t>Réseau national</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3 770 000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29 000 000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B1</w:t>
            </w:r>
            <w:r w:rsidRPr="00B728CD">
              <w:rPr>
                <w:rFonts w:asciiTheme="majorBidi" w:hAnsiTheme="majorBidi" w:cstheme="majorBidi"/>
                <w:sz w:val="20"/>
              </w:rPr>
              <w:tab/>
              <w:t>Station de base</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34 800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r>
      <w:tr w:rsidR="003A5252" w:rsidRPr="00E21F0F" w:rsidTr="00CF48C0">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C1</w:t>
            </w:r>
            <w:r w:rsidRPr="00B728CD">
              <w:rPr>
                <w:rFonts w:asciiTheme="majorBidi" w:hAnsiTheme="majorBidi" w:cstheme="majorBidi"/>
                <w:sz w:val="20"/>
                <w:lang w:val="fr-CH"/>
              </w:rPr>
              <w:tab/>
              <w:t>Canal duplex disponible localement</w:t>
            </w:r>
          </w:p>
        </w:tc>
        <w:tc>
          <w:tcPr>
            <w:tcW w:w="1418" w:type="dxa"/>
            <w:tcBorders>
              <w:top w:val="single" w:sz="6" w:space="0" w:color="000000"/>
              <w:left w:val="single" w:sz="4" w:space="0" w:color="000000"/>
              <w:bottom w:val="single" w:sz="4"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4"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4" w:space="0" w:color="000000"/>
              <w:right w:val="single" w:sz="4" w:space="0" w:color="000000"/>
            </w:tcBorders>
          </w:tcPr>
          <w:p w:rsidR="003A5252" w:rsidRPr="00AA5C49" w:rsidRDefault="003A5252" w:rsidP="00497388">
            <w:pPr>
              <w:pStyle w:val="TableText0"/>
              <w:jc w:val="center"/>
              <w:rPr>
                <w:sz w:val="20"/>
                <w:lang w:val="fr-CH"/>
              </w:rPr>
            </w:pPr>
          </w:p>
        </w:tc>
        <w:tc>
          <w:tcPr>
            <w:tcW w:w="1560" w:type="dxa"/>
            <w:tcBorders>
              <w:top w:val="single" w:sz="6" w:space="0" w:color="000000"/>
              <w:left w:val="single" w:sz="4" w:space="0" w:color="000000"/>
              <w:bottom w:val="single" w:sz="4"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5 800 000</w:t>
            </w:r>
          </w:p>
        </w:tc>
      </w:tr>
      <w:tr w:rsidR="003A5252" w:rsidRPr="00E21F0F" w:rsidTr="00CF48C0">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C2</w:t>
            </w:r>
            <w:r w:rsidRPr="00B728CD">
              <w:rPr>
                <w:rFonts w:asciiTheme="majorBidi" w:hAnsiTheme="majorBidi" w:cstheme="majorBidi"/>
                <w:sz w:val="20"/>
                <w:lang w:val="fr-CH"/>
              </w:rPr>
              <w:tab/>
              <w:t>Canal duplex disponible au plan régional</w:t>
            </w:r>
          </w:p>
        </w:tc>
        <w:tc>
          <w:tcPr>
            <w:tcW w:w="1418" w:type="dxa"/>
            <w:tcBorders>
              <w:top w:val="single" w:sz="6" w:space="0" w:color="000000"/>
              <w:left w:val="single" w:sz="4" w:space="0" w:color="000000"/>
              <w:bottom w:val="single" w:sz="4"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4"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4" w:space="0" w:color="000000"/>
              <w:right w:val="single" w:sz="4" w:space="0" w:color="000000"/>
            </w:tcBorders>
          </w:tcPr>
          <w:p w:rsidR="003A5252" w:rsidRPr="00AA5C49" w:rsidRDefault="003A5252" w:rsidP="00497388">
            <w:pPr>
              <w:pStyle w:val="TableText0"/>
              <w:jc w:val="center"/>
              <w:rPr>
                <w:sz w:val="20"/>
                <w:lang w:val="fr-CH"/>
              </w:rPr>
            </w:pPr>
          </w:p>
        </w:tc>
        <w:tc>
          <w:tcPr>
            <w:tcW w:w="1560" w:type="dxa"/>
            <w:tcBorders>
              <w:top w:val="single" w:sz="6" w:space="0" w:color="000000"/>
              <w:left w:val="single" w:sz="4" w:space="0" w:color="000000"/>
              <w:bottom w:val="single" w:sz="4"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8 700 000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C3</w:t>
            </w:r>
            <w:r w:rsidRPr="00B728CD">
              <w:rPr>
                <w:rFonts w:asciiTheme="majorBidi" w:hAnsiTheme="majorBidi" w:cstheme="majorBidi"/>
                <w:sz w:val="20"/>
                <w:lang w:val="fr-CH"/>
              </w:rPr>
              <w:tab/>
              <w:t>Canal duplex disponible sur l’ensemble du territoire national</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10 440 000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t>II.3</w:t>
            </w:r>
            <w:r w:rsidRPr="00B728CD">
              <w:rPr>
                <w:rFonts w:asciiTheme="majorBidi" w:hAnsiTheme="majorBidi" w:cstheme="majorBidi"/>
                <w:sz w:val="20"/>
              </w:rPr>
              <w:tab/>
              <w:t>Réseau cellulaire</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A1</w:t>
            </w:r>
            <w:r w:rsidRPr="00B728CD">
              <w:rPr>
                <w:rFonts w:asciiTheme="majorBidi" w:hAnsiTheme="majorBidi" w:cstheme="majorBidi"/>
                <w:sz w:val="20"/>
              </w:rPr>
              <w:tab/>
              <w:t>Station de base</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3 770 000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B1</w:t>
            </w:r>
            <w:r w:rsidRPr="00B728CD">
              <w:rPr>
                <w:rFonts w:asciiTheme="majorBidi" w:hAnsiTheme="majorBidi" w:cstheme="majorBidi"/>
                <w:sz w:val="20"/>
                <w:lang w:val="fr-CH"/>
              </w:rPr>
              <w:tab/>
              <w:t>Par canal duplexe disponible sur l’ensemble de territoire national</w:t>
            </w:r>
            <w:r w:rsidRPr="00B728CD">
              <w:rPr>
                <w:rFonts w:asciiTheme="majorBidi" w:hAnsiTheme="majorBidi" w:cstheme="majorBidi"/>
                <w:sz w:val="20"/>
                <w:lang w:val="fr-CH"/>
              </w:rPr>
              <w:br/>
              <w:t>(Largeur du canal) = 200 KHz</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34 800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10 440 000</w:t>
            </w:r>
          </w:p>
        </w:tc>
      </w:tr>
      <w:tr w:rsidR="003A5252" w:rsidRPr="00AA5C49"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1C1DEC" w:rsidRDefault="003A5252" w:rsidP="00497388">
            <w:pPr>
              <w:pStyle w:val="TableNotitle"/>
              <w:spacing w:before="120"/>
              <w:rPr>
                <w:sz w:val="20"/>
              </w:rPr>
            </w:pPr>
            <w:r w:rsidRPr="001C1DEC">
              <w:rPr>
                <w:sz w:val="20"/>
              </w:rPr>
              <w:lastRenderedPageBreak/>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Notitle"/>
              <w:spacing w:before="120"/>
              <w:rPr>
                <w:sz w:val="20"/>
                <w:lang w:val="fr-CH"/>
              </w:rPr>
            </w:pPr>
            <w:r w:rsidRPr="00AA5C49">
              <w:rPr>
                <w:sz w:val="20"/>
                <w:lang w:val="fr-CH"/>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1C1DEC" w:rsidRDefault="003A5252" w:rsidP="00497388">
            <w:pPr>
              <w:pStyle w:val="TableNotitle"/>
              <w:spacing w:before="120"/>
              <w:rPr>
                <w:sz w:val="20"/>
                <w:lang w:val="fr-CH"/>
              </w:rPr>
            </w:pPr>
            <w:r w:rsidRPr="001C1DEC">
              <w:rPr>
                <w:sz w:val="20"/>
                <w:lang w:val="fr-CH"/>
              </w:rPr>
              <w:t>Taxe de visite ou de controle des stations</w:t>
            </w:r>
          </w:p>
        </w:tc>
        <w:tc>
          <w:tcPr>
            <w:tcW w:w="1276" w:type="dxa"/>
            <w:tcBorders>
              <w:top w:val="single" w:sz="6" w:space="0" w:color="000000"/>
              <w:left w:val="single" w:sz="4" w:space="0" w:color="000000"/>
              <w:bottom w:val="single" w:sz="6" w:space="0" w:color="000000"/>
              <w:right w:val="single" w:sz="4" w:space="0" w:color="000000"/>
            </w:tcBorders>
            <w:vAlign w:val="center"/>
          </w:tcPr>
          <w:p w:rsidR="003A5252" w:rsidRPr="001C1DEC" w:rsidRDefault="003A5252" w:rsidP="00497388">
            <w:pPr>
              <w:pStyle w:val="TableNotitle"/>
              <w:spacing w:before="120"/>
              <w:ind w:leftChars="-50" w:left="-110" w:rightChars="-50" w:right="-110"/>
              <w:rPr>
                <w:sz w:val="20"/>
                <w:lang w:val="fr-CH"/>
              </w:rPr>
            </w:pPr>
            <w:r w:rsidRPr="001C1DEC">
              <w:rPr>
                <w:sz w:val="20"/>
                <w:lang w:val="fr-CH"/>
              </w:rPr>
              <w:t xml:space="preserve">Contribution pour frais de gestion </w:t>
            </w:r>
          </w:p>
        </w:tc>
        <w:tc>
          <w:tcPr>
            <w:tcW w:w="1560" w:type="dxa"/>
            <w:tcBorders>
              <w:top w:val="single" w:sz="6" w:space="0" w:color="000000"/>
              <w:left w:val="single" w:sz="4" w:space="0" w:color="000000"/>
              <w:bottom w:val="single" w:sz="6" w:space="0" w:color="000000"/>
              <w:right w:val="single" w:sz="4" w:space="0" w:color="000000"/>
            </w:tcBorders>
            <w:vAlign w:val="center"/>
          </w:tcPr>
          <w:p w:rsidR="003A5252" w:rsidRPr="001C1DEC" w:rsidRDefault="003A5252" w:rsidP="00497388">
            <w:pPr>
              <w:pStyle w:val="TableNotitle"/>
              <w:spacing w:before="120"/>
              <w:ind w:leftChars="-50" w:left="-110" w:rightChars="-50" w:right="-110"/>
              <w:rPr>
                <w:sz w:val="20"/>
                <w:lang w:val="fr-CH"/>
              </w:rPr>
            </w:pPr>
            <w:r w:rsidRPr="001C1DEC">
              <w:rPr>
                <w:sz w:val="20"/>
                <w:lang w:val="fr-CH"/>
              </w:rPr>
              <w:t xml:space="preserve">Redevence pour l’utilisation d’une freqence ou d’un canal radioelectrique </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Text0"/>
              <w:tabs>
                <w:tab w:val="clear" w:pos="567"/>
                <w:tab w:val="left" w:pos="444"/>
              </w:tabs>
              <w:ind w:left="851" w:hanging="851"/>
              <w:rPr>
                <w:rFonts w:asciiTheme="majorBidi" w:hAnsiTheme="majorBidi" w:cstheme="majorBidi"/>
                <w:sz w:val="20"/>
                <w:lang w:val="fr-CH"/>
              </w:rPr>
            </w:pPr>
            <w:r w:rsidRPr="00AA5C49">
              <w:rPr>
                <w:rFonts w:asciiTheme="majorBidi" w:hAnsiTheme="majorBidi" w:cstheme="majorBidi"/>
                <w:sz w:val="20"/>
                <w:lang w:val="fr-CH"/>
              </w:rPr>
              <w:tab/>
            </w:r>
            <w:r w:rsidRPr="00AA5C49">
              <w:rPr>
                <w:rFonts w:asciiTheme="majorBidi" w:hAnsiTheme="majorBidi" w:cstheme="majorBidi"/>
                <w:sz w:val="20"/>
                <w:lang w:val="fr-CH"/>
              </w:rPr>
              <w:tab/>
              <w:t>A1</w:t>
            </w:r>
            <w:r w:rsidRPr="00AA5C49">
              <w:rPr>
                <w:rFonts w:asciiTheme="majorBidi" w:hAnsiTheme="majorBidi" w:cstheme="majorBidi"/>
                <w:sz w:val="20"/>
                <w:lang w:val="fr-CH"/>
              </w:rPr>
              <w:tab/>
              <w:t>Artère ou réseau local</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1 160 000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5 800 000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Text0"/>
              <w:tabs>
                <w:tab w:val="clear" w:pos="567"/>
                <w:tab w:val="left" w:pos="444"/>
              </w:tabs>
              <w:ind w:left="851" w:hanging="851"/>
              <w:rPr>
                <w:rFonts w:asciiTheme="majorBidi" w:hAnsiTheme="majorBidi" w:cstheme="majorBidi"/>
                <w:sz w:val="20"/>
                <w:lang w:val="fr-CH"/>
              </w:rPr>
            </w:pPr>
            <w:r w:rsidRPr="00AA5C49">
              <w:rPr>
                <w:rFonts w:asciiTheme="majorBidi" w:hAnsiTheme="majorBidi" w:cstheme="majorBidi"/>
                <w:sz w:val="20"/>
                <w:lang w:val="fr-CH"/>
              </w:rPr>
              <w:tab/>
            </w:r>
            <w:r w:rsidRPr="00AA5C49">
              <w:rPr>
                <w:rFonts w:asciiTheme="majorBidi" w:hAnsiTheme="majorBidi" w:cstheme="majorBidi"/>
                <w:sz w:val="20"/>
                <w:lang w:val="fr-CH"/>
              </w:rPr>
              <w:tab/>
              <w:t>A2</w:t>
            </w:r>
            <w:r w:rsidRPr="00AA5C49">
              <w:rPr>
                <w:rFonts w:asciiTheme="majorBidi" w:hAnsiTheme="majorBidi" w:cstheme="majorBidi"/>
                <w:sz w:val="20"/>
                <w:lang w:val="fr-CH"/>
              </w:rPr>
              <w:tab/>
              <w:t>Artère ou réseau régional</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1 740 000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14 500 000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Text0"/>
              <w:tabs>
                <w:tab w:val="clear" w:pos="567"/>
                <w:tab w:val="left" w:pos="444"/>
              </w:tabs>
              <w:ind w:left="851" w:hanging="851"/>
              <w:rPr>
                <w:rFonts w:asciiTheme="majorBidi" w:hAnsiTheme="majorBidi" w:cstheme="majorBidi"/>
                <w:sz w:val="20"/>
                <w:lang w:val="fr-CH"/>
              </w:rPr>
            </w:pPr>
            <w:r w:rsidRPr="00AA5C49">
              <w:rPr>
                <w:rFonts w:asciiTheme="majorBidi" w:hAnsiTheme="majorBidi" w:cstheme="majorBidi"/>
                <w:sz w:val="20"/>
                <w:lang w:val="fr-CH"/>
              </w:rPr>
              <w:tab/>
            </w:r>
            <w:r w:rsidRPr="00AA5C49">
              <w:rPr>
                <w:rFonts w:asciiTheme="majorBidi" w:hAnsiTheme="majorBidi" w:cstheme="majorBidi"/>
                <w:sz w:val="20"/>
                <w:lang w:val="fr-CH"/>
              </w:rPr>
              <w:tab/>
              <w:t>A3 Artère ou réseau national</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3 770 000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29 000 000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rPr>
              <w:tab/>
            </w:r>
            <w:r w:rsidRPr="00B728CD">
              <w:rPr>
                <w:rFonts w:asciiTheme="majorBidi" w:hAnsiTheme="majorBidi" w:cstheme="majorBidi"/>
                <w:sz w:val="20"/>
              </w:rPr>
              <w:tab/>
              <w:t>B1</w:t>
            </w:r>
            <w:r w:rsidRPr="00B728CD">
              <w:rPr>
                <w:rFonts w:asciiTheme="majorBidi" w:hAnsiTheme="majorBidi" w:cstheme="majorBidi"/>
                <w:sz w:val="20"/>
              </w:rPr>
              <w:tab/>
              <w:t>Station terminale</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34 800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rPr>
              <w:tab/>
            </w:r>
            <w:r w:rsidRPr="00B728CD">
              <w:rPr>
                <w:rFonts w:asciiTheme="majorBidi" w:hAnsiTheme="majorBidi" w:cstheme="majorBidi"/>
                <w:sz w:val="20"/>
              </w:rPr>
              <w:tab/>
              <w:t>B2</w:t>
            </w:r>
            <w:r w:rsidRPr="00B728CD">
              <w:rPr>
                <w:rFonts w:asciiTheme="majorBidi" w:hAnsiTheme="majorBidi" w:cstheme="majorBidi"/>
                <w:sz w:val="20"/>
              </w:rPr>
              <w:tab/>
              <w:t>Station terminale</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29 000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C1</w:t>
            </w:r>
            <w:r w:rsidRPr="00B728CD">
              <w:rPr>
                <w:rFonts w:asciiTheme="majorBidi" w:hAnsiTheme="majorBidi" w:cstheme="majorBidi"/>
                <w:sz w:val="20"/>
                <w:lang w:val="fr-CH"/>
              </w:rPr>
              <w:tab/>
              <w:t>Liaison de 120 voies téléphoniques ou de 8 mbits/s</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5 800 000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C2</w:t>
            </w:r>
            <w:r w:rsidRPr="00B728CD">
              <w:rPr>
                <w:rFonts w:asciiTheme="majorBidi" w:hAnsiTheme="majorBidi" w:cstheme="majorBidi"/>
                <w:sz w:val="20"/>
                <w:lang w:val="fr-CH"/>
              </w:rPr>
              <w:tab/>
              <w:t>Liaison de121 voies téléphoniques ou de 2 ,1 a 8 mbits/s</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10 440 000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C3</w:t>
            </w:r>
            <w:r w:rsidRPr="00B728CD">
              <w:rPr>
                <w:rFonts w:asciiTheme="majorBidi" w:hAnsiTheme="majorBidi" w:cstheme="majorBidi"/>
                <w:sz w:val="20"/>
                <w:lang w:val="fr-CH"/>
              </w:rPr>
              <w:tab/>
              <w:t>Liaison de 601 a 1 200 voies téléphoniques ou de 34 a 70 mbits/s</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14 500 000</w:t>
            </w:r>
          </w:p>
        </w:tc>
      </w:tr>
      <w:tr w:rsidR="003A5252" w:rsidRPr="00AA5C49"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C4</w:t>
            </w:r>
            <w:r w:rsidRPr="00B728CD">
              <w:rPr>
                <w:rFonts w:asciiTheme="majorBidi" w:hAnsiTheme="majorBidi" w:cstheme="majorBidi"/>
                <w:sz w:val="20"/>
                <w:lang w:val="fr-CH"/>
              </w:rPr>
              <w:tab/>
              <w:t>Liaison plus de 1 200 voies téléphoniques ou de plus de 70 mbits/s</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284" w:hanging="284"/>
              <w:rPr>
                <w:rFonts w:asciiTheme="majorBidi" w:hAnsiTheme="majorBidi" w:cstheme="majorBidi"/>
                <w:sz w:val="20"/>
                <w:lang w:val="fr-CH"/>
              </w:rPr>
            </w:pPr>
            <w:r w:rsidRPr="00B728CD">
              <w:rPr>
                <w:rFonts w:asciiTheme="majorBidi" w:hAnsiTheme="majorBidi" w:cstheme="majorBidi"/>
                <w:sz w:val="20"/>
                <w:lang w:val="fr-CH"/>
              </w:rPr>
              <w:t>III–SERVICE RADIOMARITIME TERRESTRE</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b/>
                <w:bCs/>
                <w:sz w:val="20"/>
                <w:lang w:val="fr-CH"/>
              </w:rPr>
              <w:tab/>
            </w:r>
            <w:r w:rsidRPr="00B728CD">
              <w:rPr>
                <w:rFonts w:asciiTheme="majorBidi" w:hAnsiTheme="majorBidi" w:cstheme="majorBidi"/>
                <w:sz w:val="20"/>
                <w:lang w:val="fr-CH"/>
              </w:rPr>
              <w:t>III.1</w:t>
            </w:r>
            <w:r w:rsidRPr="00B728CD">
              <w:rPr>
                <w:rFonts w:asciiTheme="majorBidi" w:hAnsiTheme="majorBidi" w:cstheme="majorBidi"/>
                <w:sz w:val="20"/>
                <w:lang w:val="fr-CH"/>
              </w:rPr>
              <w:tab/>
              <w:t xml:space="preserve">Station côtière privée (service non commercial)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580 000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87 000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3 480 000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t xml:space="preserve">liaison radio téléphonique VHF (25 KHz)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174 000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A2</w:t>
            </w:r>
            <w:r w:rsidRPr="00B728CD">
              <w:rPr>
                <w:rFonts w:asciiTheme="majorBidi" w:hAnsiTheme="majorBidi" w:cstheme="majorBidi"/>
                <w:sz w:val="20"/>
                <w:lang w:val="fr-CH"/>
              </w:rPr>
              <w:tab/>
              <w:t xml:space="preserve">liaison radio téléphonique MF/HF (moins de 1 KHz)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139 200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A3</w:t>
            </w:r>
            <w:r w:rsidRPr="00B728CD">
              <w:rPr>
                <w:rFonts w:asciiTheme="majorBidi" w:hAnsiTheme="majorBidi" w:cstheme="majorBidi"/>
                <w:sz w:val="20"/>
                <w:lang w:val="fr-CH"/>
              </w:rPr>
              <w:tab/>
              <w:t>liaison radiotéléphonique MH/HF (3 KHz)</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417 600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III.2</w:t>
            </w:r>
            <w:r w:rsidRPr="00B728CD">
              <w:rPr>
                <w:rFonts w:asciiTheme="majorBidi" w:hAnsiTheme="majorBidi" w:cstheme="majorBidi"/>
                <w:sz w:val="20"/>
                <w:lang w:val="fr-CH"/>
              </w:rPr>
              <w:tab/>
              <w:t xml:space="preserve">Station côtière ouverte à la correspondance publique (service commercial)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1 450 000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580 000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8 700 000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t xml:space="preserve">liaison radio téléphonique VHF (25 KHz)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174 000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A2</w:t>
            </w:r>
            <w:r w:rsidRPr="00B728CD">
              <w:rPr>
                <w:rFonts w:asciiTheme="majorBidi" w:hAnsiTheme="majorBidi" w:cstheme="majorBidi"/>
                <w:sz w:val="20"/>
                <w:lang w:val="fr-CH"/>
              </w:rPr>
              <w:tab/>
              <w:t xml:space="preserve">liaison radio téléphonique MF/HF (moins de 1 KHz)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139 000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A3</w:t>
            </w:r>
            <w:r w:rsidRPr="00B728CD">
              <w:rPr>
                <w:rFonts w:asciiTheme="majorBidi" w:hAnsiTheme="majorBidi" w:cstheme="majorBidi"/>
                <w:sz w:val="20"/>
                <w:lang w:val="fr-CH"/>
              </w:rPr>
              <w:tab/>
              <w:t xml:space="preserve">liaison radiotéléphonique MH/HF (3 KHz)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417 600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III.3</w:t>
            </w:r>
            <w:r w:rsidRPr="00B728CD">
              <w:rPr>
                <w:rFonts w:asciiTheme="majorBidi" w:hAnsiTheme="majorBidi" w:cstheme="majorBidi"/>
                <w:sz w:val="20"/>
                <w:lang w:val="fr-CH"/>
              </w:rPr>
              <w:tab/>
              <w:t xml:space="preserve">Station de navire de commerce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17 400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290 000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t>Opérations portuaires</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174 000</w:t>
            </w:r>
          </w:p>
        </w:tc>
      </w:tr>
      <w:tr w:rsidR="003A5252" w:rsidRPr="00AA5C49"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III.4</w:t>
            </w:r>
            <w:r w:rsidRPr="00B728CD">
              <w:rPr>
                <w:rFonts w:asciiTheme="majorBidi" w:hAnsiTheme="majorBidi" w:cstheme="majorBidi"/>
                <w:sz w:val="20"/>
                <w:lang w:val="fr-CH"/>
              </w:rPr>
              <w:tab/>
              <w:t>Station de navire de pêche</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AA5C49">
              <w:rPr>
                <w:rFonts w:asciiTheme="majorBidi" w:hAnsiTheme="majorBidi" w:cstheme="majorBidi"/>
                <w:sz w:val="20"/>
                <w:lang w:val="fr-CH"/>
              </w:rPr>
              <w:tab/>
            </w:r>
            <w:r w:rsidRPr="00AA5C49">
              <w:rPr>
                <w:rFonts w:asciiTheme="majorBidi" w:hAnsiTheme="majorBidi" w:cstheme="majorBidi"/>
                <w:sz w:val="20"/>
                <w:lang w:val="fr-CH"/>
              </w:rPr>
              <w:tab/>
            </w:r>
            <w:r w:rsidRPr="00B728CD">
              <w:rPr>
                <w:rFonts w:asciiTheme="majorBidi" w:hAnsiTheme="majorBidi" w:cstheme="majorBidi"/>
                <w:sz w:val="20"/>
              </w:rPr>
              <w:t>A1</w:t>
            </w:r>
            <w:r w:rsidRPr="00B728CD">
              <w:rPr>
                <w:rFonts w:asciiTheme="majorBidi" w:hAnsiTheme="majorBidi" w:cstheme="majorBidi"/>
                <w:sz w:val="20"/>
              </w:rPr>
              <w:tab/>
              <w:t>Moins de 150 tonneaux</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34 800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116 000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A2</w:t>
            </w:r>
            <w:r w:rsidRPr="00B728CD">
              <w:rPr>
                <w:rFonts w:asciiTheme="majorBidi" w:hAnsiTheme="majorBidi" w:cstheme="majorBidi"/>
                <w:sz w:val="20"/>
              </w:rPr>
              <w:tab/>
              <w:t>Plus de 150 tonneaux</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34 000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174 000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lang w:val="fr-CH"/>
              </w:rPr>
              <w:tab/>
            </w:r>
            <w:r w:rsidRPr="00B728CD">
              <w:rPr>
                <w:rFonts w:asciiTheme="majorBidi" w:hAnsiTheme="majorBidi" w:cstheme="majorBidi"/>
                <w:sz w:val="20"/>
                <w:lang w:val="fr-CH"/>
              </w:rPr>
              <w:tab/>
              <w:t>B1</w:t>
            </w:r>
            <w:r w:rsidRPr="00B728CD">
              <w:rPr>
                <w:rFonts w:asciiTheme="majorBidi" w:hAnsiTheme="majorBidi" w:cstheme="majorBidi"/>
                <w:sz w:val="20"/>
                <w:lang w:val="fr-CH"/>
              </w:rPr>
              <w:tab/>
              <w:t xml:space="preserve">Opérations portuaires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174 000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lang w:val="fr-CH"/>
              </w:rPr>
              <w:tab/>
              <w:t>III.5</w:t>
            </w:r>
            <w:r w:rsidRPr="00B728CD">
              <w:rPr>
                <w:rFonts w:asciiTheme="majorBidi" w:hAnsiTheme="majorBidi" w:cstheme="majorBidi"/>
                <w:sz w:val="20"/>
                <w:lang w:val="fr-CH"/>
              </w:rPr>
              <w:tab/>
              <w:t xml:space="preserve">Navire de plaisance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34 800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58 000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NEANT</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III.6</w:t>
            </w:r>
            <w:r w:rsidRPr="00B728CD">
              <w:rPr>
                <w:rFonts w:asciiTheme="majorBidi" w:hAnsiTheme="majorBidi" w:cstheme="majorBidi"/>
                <w:sz w:val="20"/>
                <w:lang w:val="fr-CH"/>
              </w:rPr>
              <w:tab/>
              <w:t>Emetteur-récepteur gamme marine 55 canaux</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11 600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58 000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CF48C0">
            <w:pPr>
              <w:pStyle w:val="TableText0"/>
              <w:ind w:left="-57" w:right="-57"/>
              <w:jc w:val="center"/>
              <w:rPr>
                <w:b/>
                <w:bCs/>
                <w:sz w:val="20"/>
              </w:rPr>
            </w:pPr>
            <w:r w:rsidRPr="00B728CD">
              <w:rPr>
                <w:b/>
                <w:bCs/>
                <w:sz w:val="20"/>
              </w:rPr>
              <w:t>Forfait = 696 000</w:t>
            </w:r>
          </w:p>
        </w:tc>
      </w:tr>
      <w:tr w:rsidR="003A5252" w:rsidRPr="00AA5C49"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1C1DEC" w:rsidRDefault="003A5252" w:rsidP="00497388">
            <w:pPr>
              <w:pStyle w:val="TableNotitle"/>
              <w:spacing w:before="120"/>
              <w:rPr>
                <w:sz w:val="20"/>
              </w:rPr>
            </w:pPr>
            <w:r w:rsidRPr="001C1DEC">
              <w:rPr>
                <w:sz w:val="20"/>
              </w:rPr>
              <w:lastRenderedPageBreak/>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Notitle"/>
              <w:spacing w:before="120"/>
              <w:rPr>
                <w:sz w:val="20"/>
                <w:lang w:val="fr-CH"/>
              </w:rPr>
            </w:pPr>
            <w:r w:rsidRPr="00AA5C49">
              <w:rPr>
                <w:sz w:val="20"/>
                <w:lang w:val="fr-CH"/>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1C1DEC" w:rsidRDefault="003A5252" w:rsidP="00497388">
            <w:pPr>
              <w:pStyle w:val="TableNotitle"/>
              <w:spacing w:before="120"/>
              <w:rPr>
                <w:sz w:val="20"/>
                <w:lang w:val="fr-CH"/>
              </w:rPr>
            </w:pPr>
            <w:r w:rsidRPr="001C1DEC">
              <w:rPr>
                <w:sz w:val="20"/>
                <w:lang w:val="fr-CH"/>
              </w:rPr>
              <w:t>Taxe de visite ou de controle des stations</w:t>
            </w:r>
          </w:p>
        </w:tc>
        <w:tc>
          <w:tcPr>
            <w:tcW w:w="1276" w:type="dxa"/>
            <w:tcBorders>
              <w:top w:val="single" w:sz="6" w:space="0" w:color="000000"/>
              <w:left w:val="single" w:sz="4" w:space="0" w:color="000000"/>
              <w:bottom w:val="single" w:sz="6" w:space="0" w:color="000000"/>
              <w:right w:val="single" w:sz="4" w:space="0" w:color="000000"/>
            </w:tcBorders>
            <w:vAlign w:val="center"/>
          </w:tcPr>
          <w:p w:rsidR="003A5252" w:rsidRPr="001C1DEC" w:rsidRDefault="003A5252" w:rsidP="00497388">
            <w:pPr>
              <w:pStyle w:val="TableNotitle"/>
              <w:spacing w:before="120"/>
              <w:ind w:leftChars="-50" w:left="-110" w:rightChars="-50" w:right="-110"/>
              <w:rPr>
                <w:sz w:val="20"/>
                <w:lang w:val="fr-CH"/>
              </w:rPr>
            </w:pPr>
            <w:r w:rsidRPr="001C1DEC">
              <w:rPr>
                <w:sz w:val="20"/>
                <w:lang w:val="fr-CH"/>
              </w:rPr>
              <w:t xml:space="preserve">Contribution pour frais de gestion </w:t>
            </w:r>
          </w:p>
        </w:tc>
        <w:tc>
          <w:tcPr>
            <w:tcW w:w="1560" w:type="dxa"/>
            <w:tcBorders>
              <w:top w:val="single" w:sz="6" w:space="0" w:color="000000"/>
              <w:left w:val="single" w:sz="4" w:space="0" w:color="000000"/>
              <w:bottom w:val="single" w:sz="6" w:space="0" w:color="000000"/>
              <w:right w:val="single" w:sz="4" w:space="0" w:color="000000"/>
            </w:tcBorders>
            <w:vAlign w:val="center"/>
          </w:tcPr>
          <w:p w:rsidR="003A5252" w:rsidRPr="001C1DEC" w:rsidRDefault="003A5252" w:rsidP="00497388">
            <w:pPr>
              <w:pStyle w:val="TableNotitle"/>
              <w:spacing w:before="120"/>
              <w:ind w:leftChars="-50" w:left="-110" w:rightChars="-50" w:right="-110"/>
              <w:rPr>
                <w:sz w:val="20"/>
                <w:lang w:val="fr-CH"/>
              </w:rPr>
            </w:pPr>
            <w:r w:rsidRPr="001C1DEC">
              <w:rPr>
                <w:sz w:val="20"/>
                <w:lang w:val="fr-CH"/>
              </w:rPr>
              <w:t xml:space="preserve">Redevence pour l’utilisation d’une freqence ou d’un canal radioelectrique </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1.</w:t>
            </w:r>
            <w:r w:rsidRPr="00B728CD">
              <w:rPr>
                <w:rFonts w:asciiTheme="majorBidi" w:hAnsiTheme="majorBidi" w:cstheme="majorBidi"/>
                <w:sz w:val="20"/>
                <w:lang w:val="fr-CH"/>
              </w:rPr>
              <w:tab/>
              <w:t>Station aéronautique privée (service non officiel)</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116 000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87 000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580 000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116 000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lang w:val="fr-CH"/>
              </w:rPr>
              <w:tab/>
            </w: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r>
            <w:r w:rsidRPr="00B728CD">
              <w:rPr>
                <w:rFonts w:asciiTheme="majorBidi" w:hAnsiTheme="majorBidi" w:cstheme="majorBidi"/>
                <w:sz w:val="20"/>
                <w:lang w:val="fr-CH"/>
              </w:rPr>
              <w:tab/>
              <w:t>liaison sol-air</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145 000</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b/>
                <w:bCs/>
                <w:sz w:val="20"/>
                <w:lang w:val="fr-CH"/>
              </w:rPr>
              <w:tab/>
            </w:r>
            <w:r w:rsidRPr="00B728CD">
              <w:rPr>
                <w:rFonts w:asciiTheme="majorBidi" w:hAnsiTheme="majorBidi" w:cstheme="majorBidi"/>
                <w:b/>
                <w:bCs/>
                <w:sz w:val="20"/>
                <w:lang w:val="fr-CH"/>
              </w:rPr>
              <w:tab/>
            </w:r>
            <w:r w:rsidRPr="00B728CD">
              <w:rPr>
                <w:rFonts w:asciiTheme="majorBidi" w:hAnsiTheme="majorBidi" w:cstheme="majorBidi"/>
                <w:b/>
                <w:bCs/>
                <w:sz w:val="20"/>
                <w:lang w:val="fr-CH"/>
              </w:rPr>
              <w:tab/>
            </w:r>
            <w:r w:rsidRPr="00B728CD">
              <w:rPr>
                <w:rFonts w:asciiTheme="majorBidi" w:hAnsiTheme="majorBidi" w:cstheme="majorBidi"/>
                <w:sz w:val="20"/>
                <w:lang w:val="fr-CH"/>
              </w:rPr>
              <w:t>A2</w:t>
            </w:r>
            <w:r w:rsidRPr="00B728CD">
              <w:rPr>
                <w:rFonts w:asciiTheme="majorBidi" w:hAnsiTheme="majorBidi" w:cstheme="majorBidi"/>
                <w:sz w:val="20"/>
                <w:lang w:val="fr-CH"/>
              </w:rPr>
              <w:tab/>
            </w:r>
            <w:r w:rsidRPr="00B728CD">
              <w:rPr>
                <w:rFonts w:asciiTheme="majorBidi" w:hAnsiTheme="majorBidi" w:cstheme="majorBidi"/>
                <w:sz w:val="20"/>
                <w:lang w:val="fr-CH"/>
              </w:rPr>
              <w:tab/>
              <w:t xml:space="preserve">liaison sol-sol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2.</w:t>
            </w:r>
            <w:r w:rsidRPr="00B728CD">
              <w:rPr>
                <w:rFonts w:asciiTheme="majorBidi" w:hAnsiTheme="majorBidi" w:cstheme="majorBidi"/>
                <w:sz w:val="20"/>
                <w:lang w:val="fr-CH"/>
              </w:rPr>
              <w:tab/>
              <w:t>Station d’aéronef civil de transport public</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17 400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58 000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290 000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Néant</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3.</w:t>
            </w:r>
            <w:r w:rsidRPr="00B728CD">
              <w:rPr>
                <w:rFonts w:asciiTheme="majorBidi" w:hAnsiTheme="majorBidi" w:cstheme="majorBidi"/>
                <w:sz w:val="20"/>
                <w:lang w:val="fr-CH"/>
              </w:rPr>
              <w:tab/>
              <w:t>Station d’aéronef privée</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34 800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58 000</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Néant</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284" w:hanging="284"/>
              <w:rPr>
                <w:rFonts w:asciiTheme="majorBidi" w:hAnsiTheme="majorBidi" w:cstheme="majorBidi"/>
                <w:sz w:val="20"/>
                <w:lang w:val="fr-CH"/>
              </w:rPr>
            </w:pPr>
            <w:r w:rsidRPr="00B728CD">
              <w:rPr>
                <w:rFonts w:asciiTheme="majorBidi" w:hAnsiTheme="majorBidi" w:cstheme="majorBidi"/>
                <w:sz w:val="20"/>
                <w:lang w:val="fr-CH"/>
              </w:rPr>
              <w:t>V–STATIONS DE SERVICE AMATEUR</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276"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Néant</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t>Station de radiotéléphonie VHF/UMF .</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5 800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8 700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Néant</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Néant</w:t>
            </w:r>
          </w:p>
        </w:tc>
      </w:tr>
      <w:tr w:rsidR="003A5252" w:rsidRPr="00E21F0F" w:rsidTr="00CF48C0">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B728CD" w:rsidRDefault="003A5252" w:rsidP="00497388">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A2</w:t>
            </w:r>
            <w:r w:rsidRPr="00B728CD">
              <w:rPr>
                <w:rFonts w:asciiTheme="majorBidi" w:hAnsiTheme="majorBidi" w:cstheme="majorBidi"/>
                <w:sz w:val="20"/>
                <w:lang w:val="fr-CH"/>
              </w:rPr>
              <w:tab/>
              <w:t>Station de radiotéléphonie et radiotélégraphie MF/HF</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lang w:val="fr-CH"/>
              </w:rPr>
            </w:pPr>
            <w:r w:rsidRPr="00B728CD">
              <w:rPr>
                <w:b/>
                <w:bCs/>
                <w:sz w:val="20"/>
                <w:lang w:val="fr-CH"/>
              </w:rPr>
              <w:t>5 800</w:t>
            </w:r>
          </w:p>
        </w:tc>
        <w:tc>
          <w:tcPr>
            <w:tcW w:w="1418"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17 400</w:t>
            </w:r>
          </w:p>
        </w:tc>
        <w:tc>
          <w:tcPr>
            <w:tcW w:w="1276"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Néant</w:t>
            </w:r>
          </w:p>
        </w:tc>
        <w:tc>
          <w:tcPr>
            <w:tcW w:w="1560" w:type="dxa"/>
            <w:tcBorders>
              <w:top w:val="single" w:sz="6" w:space="0" w:color="000000"/>
              <w:left w:val="single" w:sz="4" w:space="0" w:color="000000"/>
              <w:bottom w:val="single" w:sz="6" w:space="0" w:color="000000"/>
              <w:right w:val="single" w:sz="4" w:space="0" w:color="000000"/>
            </w:tcBorders>
          </w:tcPr>
          <w:p w:rsidR="003A5252" w:rsidRPr="00B728CD" w:rsidRDefault="003A5252" w:rsidP="00497388">
            <w:pPr>
              <w:pStyle w:val="TableText0"/>
              <w:jc w:val="center"/>
              <w:rPr>
                <w:b/>
                <w:bCs/>
                <w:sz w:val="20"/>
              </w:rPr>
            </w:pPr>
            <w:r w:rsidRPr="00B728CD">
              <w:rPr>
                <w:b/>
                <w:bCs/>
                <w:sz w:val="20"/>
              </w:rPr>
              <w:t>Néant</w:t>
            </w:r>
          </w:p>
        </w:tc>
      </w:tr>
    </w:tbl>
    <w:p w:rsidR="003A5252" w:rsidRDefault="003A5252" w:rsidP="00497388">
      <w:pPr>
        <w:bidi w:val="0"/>
        <w:rPr>
          <w:lang w:val="fr-CH"/>
        </w:rPr>
      </w:pPr>
    </w:p>
    <w:p w:rsidR="003A5252" w:rsidRDefault="003A5252" w:rsidP="00497388">
      <w:pPr>
        <w:pStyle w:val="Heading1"/>
        <w:bidi w:val="0"/>
        <w:rPr>
          <w:lang w:val="fr-CH"/>
        </w:rPr>
      </w:pPr>
      <w:bookmarkStart w:id="789" w:name="_Toc280260070"/>
      <w:bookmarkStart w:id="790" w:name="_Toc280260922"/>
      <w:bookmarkStart w:id="791" w:name="_Toc280272535"/>
      <w:bookmarkStart w:id="792" w:name="_Toc282768723"/>
      <w:r w:rsidRPr="00E21F0F">
        <w:rPr>
          <w:lang w:val="fr-CH"/>
        </w:rPr>
        <w:t>B-SERVICE DE RADIOCOMMUNICATION PAR SATELITE</w:t>
      </w:r>
      <w:bookmarkEnd w:id="789"/>
      <w:bookmarkEnd w:id="790"/>
      <w:bookmarkEnd w:id="791"/>
      <w:bookmarkEnd w:id="792"/>
    </w:p>
    <w:p w:rsidR="003A5252" w:rsidRDefault="003A5252" w:rsidP="00497388">
      <w:pPr>
        <w:bidi w:val="0"/>
        <w:spacing w:before="0"/>
        <w:rPr>
          <w:lang w:val="fr-CH"/>
        </w:rPr>
      </w:pPr>
    </w:p>
    <w:tbl>
      <w:tblPr>
        <w:tblW w:w="0" w:type="auto"/>
        <w:jc w:val="center"/>
        <w:tblBorders>
          <w:top w:val="nil"/>
          <w:left w:val="nil"/>
          <w:bottom w:val="nil"/>
          <w:right w:val="nil"/>
        </w:tblBorders>
        <w:tblLayout w:type="fixed"/>
        <w:tblLook w:val="0000"/>
      </w:tblPr>
      <w:tblGrid>
        <w:gridCol w:w="3969"/>
        <w:gridCol w:w="1418"/>
        <w:gridCol w:w="1418"/>
        <w:gridCol w:w="1418"/>
        <w:gridCol w:w="1418"/>
      </w:tblGrid>
      <w:tr w:rsidR="003A5252" w:rsidRPr="00AA5C49"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Notitle"/>
              <w:spacing w:before="120"/>
              <w:rPr>
                <w:sz w:val="20"/>
              </w:rPr>
            </w:pPr>
            <w:r w:rsidRPr="00860521">
              <w:rPr>
                <w:sz w:val="20"/>
              </w:rPr>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Notitle"/>
              <w:spacing w:before="120"/>
              <w:rPr>
                <w:sz w:val="20"/>
                <w:lang w:val="fr-CH"/>
              </w:rPr>
            </w:pPr>
            <w:r w:rsidRPr="00AA5C49">
              <w:rPr>
                <w:sz w:val="20"/>
                <w:lang w:val="fr-CH"/>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Notitle"/>
              <w:spacing w:before="120"/>
              <w:rPr>
                <w:sz w:val="20"/>
                <w:lang w:val="fr-CH"/>
              </w:rPr>
            </w:pPr>
            <w:r w:rsidRPr="00AA5C49">
              <w:rPr>
                <w:sz w:val="20"/>
                <w:lang w:val="fr-CH"/>
              </w:rPr>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Notitle"/>
              <w:spacing w:before="120"/>
              <w:ind w:leftChars="-50" w:left="-110" w:rightChars="-50" w:right="-110"/>
              <w:rPr>
                <w:sz w:val="20"/>
                <w:lang w:val="fr-CH"/>
              </w:rPr>
            </w:pPr>
            <w:r w:rsidRPr="00AA5C49">
              <w:rPr>
                <w:sz w:val="20"/>
                <w:lang w:val="fr-CH"/>
              </w:rPr>
              <w:t>Redeverance pour frais de gestion</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Notitle"/>
              <w:spacing w:before="120"/>
              <w:rPr>
                <w:sz w:val="20"/>
                <w:lang w:val="fr-CH"/>
              </w:rPr>
            </w:pPr>
            <w:r w:rsidRPr="00AA5C49">
              <w:rPr>
                <w:sz w:val="20"/>
                <w:lang w:val="fr-CH"/>
              </w:rPr>
              <w:t xml:space="preserve">Redevence pour l’utilisation d’un canal radioelectrique </w:t>
            </w:r>
          </w:p>
        </w:tc>
      </w:tr>
      <w:tr w:rsidR="003A5252" w:rsidRPr="00AA5C49"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284" w:hanging="284"/>
              <w:rPr>
                <w:rFonts w:asciiTheme="majorBidi" w:hAnsiTheme="majorBidi" w:cstheme="majorBidi"/>
                <w:sz w:val="20"/>
                <w:lang w:val="fr-CH"/>
              </w:rPr>
            </w:pPr>
            <w:r w:rsidRPr="00860521">
              <w:rPr>
                <w:rFonts w:asciiTheme="majorBidi" w:hAnsiTheme="majorBidi" w:cstheme="majorBidi"/>
                <w:sz w:val="20"/>
                <w:lang w:val="fr-CH"/>
              </w:rPr>
              <w:t xml:space="preserve">I–RESEAU ET STATION TERRIENNES A USAGE PRIVEE (Service non commercial)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I.1</w:t>
            </w:r>
            <w:r w:rsidRPr="00860521">
              <w:rPr>
                <w:rFonts w:asciiTheme="majorBidi" w:hAnsiTheme="majorBidi" w:cstheme="majorBidi"/>
                <w:sz w:val="20"/>
                <w:lang w:val="fr-CH"/>
              </w:rPr>
              <w:tab/>
              <w:t xml:space="preserve">Réseau national (fixe ou mobile)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1 044 000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8 700 000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A1</w:t>
            </w:r>
            <w:r w:rsidRPr="00860521">
              <w:rPr>
                <w:rFonts w:asciiTheme="majorBidi" w:hAnsiTheme="majorBidi" w:cstheme="majorBidi"/>
                <w:sz w:val="20"/>
                <w:lang w:val="fr-CH"/>
              </w:rPr>
              <w:tab/>
              <w:t xml:space="preserve">Station maîtresse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87 000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A2</w:t>
            </w:r>
            <w:r w:rsidRPr="00860521">
              <w:rPr>
                <w:rFonts w:asciiTheme="majorBidi" w:hAnsiTheme="majorBidi" w:cstheme="majorBidi"/>
                <w:sz w:val="20"/>
                <w:lang w:val="fr-CH"/>
              </w:rPr>
              <w:tab/>
              <w:t xml:space="preserve">Station dépendante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B1</w:t>
            </w:r>
            <w:r w:rsidRPr="00860521">
              <w:rPr>
                <w:rFonts w:asciiTheme="majorBidi" w:hAnsiTheme="majorBidi" w:cstheme="majorBidi"/>
                <w:sz w:val="20"/>
                <w:lang w:val="fr-CH"/>
              </w:rPr>
              <w:tab/>
              <w:t xml:space="preserve">Liaison de 1 à 24 voies téléphoniques ou moins de 2, 1 Mbits/s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1 160 000</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B2</w:t>
            </w:r>
            <w:r w:rsidRPr="00860521">
              <w:rPr>
                <w:rFonts w:asciiTheme="majorBidi" w:hAnsiTheme="majorBidi" w:cstheme="majorBidi"/>
                <w:sz w:val="20"/>
                <w:lang w:val="fr-CH"/>
              </w:rPr>
              <w:tab/>
              <w:t xml:space="preserve">Liaison de 25à 120 voies téléphoniques ou moins de 2,1 à 8 Mbits/s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1 450 000</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B3</w:t>
            </w:r>
            <w:r w:rsidRPr="00860521">
              <w:rPr>
                <w:rFonts w:asciiTheme="majorBidi" w:hAnsiTheme="majorBidi" w:cstheme="majorBidi"/>
                <w:sz w:val="20"/>
                <w:lang w:val="fr-CH"/>
              </w:rPr>
              <w:tab/>
              <w:t xml:space="preserve">Liaison de 121 à 600 voies téléphoniques ou moins de 8 à 34 Mbits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1 740 000</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B4</w:t>
            </w:r>
            <w:r w:rsidRPr="00860521">
              <w:rPr>
                <w:rFonts w:asciiTheme="majorBidi" w:hAnsiTheme="majorBidi" w:cstheme="majorBidi"/>
                <w:sz w:val="20"/>
                <w:lang w:val="fr-CH"/>
              </w:rPr>
              <w:tab/>
              <w:t>Liaison de plus de 600 voies téléphoniques ou de plus de 34 Mbits</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2 900 000</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I.2</w:t>
            </w:r>
            <w:r w:rsidRPr="00860521">
              <w:rPr>
                <w:rFonts w:asciiTheme="majorBidi" w:hAnsiTheme="majorBidi" w:cstheme="majorBidi"/>
                <w:sz w:val="20"/>
                <w:lang w:val="fr-CH"/>
              </w:rPr>
              <w:tab/>
              <w:t xml:space="preserve">d’un réseau international indépendant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116 000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580 000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348 000</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I.3</w:t>
            </w:r>
            <w:r w:rsidRPr="00860521">
              <w:rPr>
                <w:rFonts w:asciiTheme="majorBidi" w:hAnsiTheme="majorBidi" w:cstheme="majorBidi"/>
                <w:sz w:val="20"/>
                <w:lang w:val="fr-CH"/>
              </w:rPr>
              <w:tab/>
              <w:t xml:space="preserve">Micro station terrienne (VSAT) internationale dépendant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58 000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174 000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145 000</w:t>
            </w:r>
          </w:p>
        </w:tc>
      </w:tr>
      <w:tr w:rsidR="003A5252" w:rsidRPr="00AA5C49"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Notitle"/>
              <w:spacing w:before="120"/>
              <w:rPr>
                <w:sz w:val="20"/>
              </w:rPr>
            </w:pPr>
            <w:r w:rsidRPr="00860521">
              <w:rPr>
                <w:sz w:val="20"/>
              </w:rPr>
              <w:lastRenderedPageBreak/>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Notitle"/>
              <w:spacing w:before="120"/>
              <w:rPr>
                <w:sz w:val="20"/>
                <w:lang w:val="fr-CH"/>
              </w:rPr>
            </w:pPr>
            <w:r w:rsidRPr="00AA5C49">
              <w:rPr>
                <w:sz w:val="20"/>
                <w:lang w:val="fr-CH"/>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Notitle"/>
              <w:spacing w:before="120"/>
              <w:rPr>
                <w:sz w:val="20"/>
                <w:lang w:val="fr-CH"/>
              </w:rPr>
            </w:pPr>
            <w:r w:rsidRPr="00AA5C49">
              <w:rPr>
                <w:sz w:val="20"/>
                <w:lang w:val="fr-CH"/>
              </w:rPr>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Notitle"/>
              <w:spacing w:before="120"/>
              <w:ind w:leftChars="-50" w:left="-110" w:rightChars="-50" w:right="-110"/>
              <w:rPr>
                <w:sz w:val="20"/>
                <w:lang w:val="fr-CH"/>
              </w:rPr>
            </w:pPr>
            <w:r w:rsidRPr="00AA5C49">
              <w:rPr>
                <w:sz w:val="20"/>
                <w:lang w:val="fr-CH"/>
              </w:rPr>
              <w:t>Redeverance pour frais de gestion</w:t>
            </w:r>
          </w:p>
        </w:tc>
        <w:tc>
          <w:tcPr>
            <w:tcW w:w="1418" w:type="dxa"/>
            <w:tcBorders>
              <w:top w:val="single" w:sz="6" w:space="0" w:color="000000"/>
              <w:left w:val="single" w:sz="4" w:space="0" w:color="000000"/>
              <w:bottom w:val="single" w:sz="6" w:space="0" w:color="000000"/>
              <w:right w:val="single" w:sz="4" w:space="0" w:color="000000"/>
            </w:tcBorders>
            <w:vAlign w:val="center"/>
          </w:tcPr>
          <w:p w:rsidR="003A5252" w:rsidRPr="00AA5C49" w:rsidRDefault="003A5252" w:rsidP="00497388">
            <w:pPr>
              <w:pStyle w:val="TableNotitle"/>
              <w:spacing w:before="120"/>
              <w:rPr>
                <w:sz w:val="20"/>
                <w:lang w:val="fr-CH"/>
              </w:rPr>
            </w:pPr>
            <w:r w:rsidRPr="00AA5C49">
              <w:rPr>
                <w:sz w:val="20"/>
                <w:lang w:val="fr-CH"/>
              </w:rPr>
              <w:t xml:space="preserve">Redevence pour l’utilisation d’un canal radioelectrique </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I.4</w:t>
            </w:r>
            <w:r w:rsidRPr="00860521">
              <w:rPr>
                <w:rFonts w:asciiTheme="majorBidi" w:hAnsiTheme="majorBidi" w:cstheme="majorBidi"/>
                <w:sz w:val="20"/>
                <w:lang w:val="fr-CH"/>
              </w:rPr>
              <w:tab/>
              <w:t xml:space="preserve">Station terrienne portable ou mobile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58 000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29 000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145 000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116 000</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I.5</w:t>
            </w:r>
            <w:r w:rsidRPr="00860521">
              <w:rPr>
                <w:rFonts w:asciiTheme="majorBidi" w:hAnsiTheme="majorBidi" w:cstheme="majorBidi"/>
                <w:sz w:val="20"/>
                <w:lang w:val="fr-CH"/>
              </w:rPr>
              <w:tab/>
              <w:t>Station terrienne de réception individuelle</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14 500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Néant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Néant</w:t>
            </w:r>
          </w:p>
        </w:tc>
      </w:tr>
      <w:tr w:rsidR="003A5252" w:rsidRPr="00AA5C49"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284" w:hanging="284"/>
              <w:rPr>
                <w:rFonts w:asciiTheme="majorBidi" w:hAnsiTheme="majorBidi" w:cstheme="majorBidi"/>
                <w:sz w:val="20"/>
                <w:lang w:val="fr-CH"/>
              </w:rPr>
            </w:pPr>
            <w:r w:rsidRPr="00860521">
              <w:rPr>
                <w:rFonts w:asciiTheme="majorBidi" w:hAnsiTheme="majorBidi" w:cstheme="majorBidi"/>
                <w:sz w:val="20"/>
                <w:lang w:val="fr-CH"/>
              </w:rPr>
              <w:t xml:space="preserve">II–RESEAU ET STATIONS TERRIENNES OUVERTS AU PUBLIC (service commercial)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Text0"/>
              <w:jc w:val="center"/>
              <w:rPr>
                <w:b/>
                <w:bCs/>
                <w:sz w:val="20"/>
                <w:lang w:val="fr-CH"/>
              </w:rPr>
            </w:pP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II.1</w:t>
            </w:r>
            <w:r w:rsidRPr="00860521">
              <w:rPr>
                <w:rFonts w:asciiTheme="majorBidi" w:hAnsiTheme="majorBidi" w:cstheme="majorBidi"/>
                <w:sz w:val="20"/>
                <w:lang w:val="fr-CH"/>
              </w:rPr>
              <w:tab/>
              <w:t>Réseau national ouvert au public</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3 770 000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29 000 000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A1</w:t>
            </w:r>
            <w:r w:rsidRPr="00860521">
              <w:rPr>
                <w:rFonts w:asciiTheme="majorBidi" w:hAnsiTheme="majorBidi" w:cstheme="majorBidi"/>
                <w:sz w:val="20"/>
                <w:lang w:val="fr-CH"/>
              </w:rPr>
              <w:tab/>
              <w:t xml:space="preserve">Station terrienne aéronautique côtière ou terrestre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A2</w:t>
            </w:r>
            <w:r w:rsidRPr="00860521">
              <w:rPr>
                <w:rFonts w:asciiTheme="majorBidi" w:hAnsiTheme="majorBidi" w:cstheme="majorBidi"/>
                <w:sz w:val="20"/>
                <w:lang w:val="fr-CH"/>
              </w:rPr>
              <w:tab/>
              <w:t xml:space="preserve">Station terrienne d’aéronef de navire et terrestre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87 000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B1</w:t>
            </w:r>
            <w:r w:rsidRPr="00860521">
              <w:rPr>
                <w:rFonts w:asciiTheme="majorBidi" w:hAnsiTheme="majorBidi" w:cstheme="majorBidi"/>
                <w:sz w:val="20"/>
                <w:lang w:val="fr-CH"/>
              </w:rPr>
              <w:tab/>
              <w:t xml:space="preserve">Liaison de 1 à 120 voies téléphoniques ou de 2 à 8 Mbits/s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B2</w:t>
            </w:r>
            <w:r w:rsidRPr="00860521">
              <w:rPr>
                <w:rFonts w:asciiTheme="majorBidi" w:hAnsiTheme="majorBidi" w:cstheme="majorBidi"/>
                <w:sz w:val="20"/>
                <w:lang w:val="fr-CH"/>
              </w:rPr>
              <w:tab/>
              <w:t xml:space="preserve">Liaison de 121 à 600 voies téléphoniques ou de 8 à 34 Mbits/s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5 800 000</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B3</w:t>
            </w:r>
            <w:r w:rsidRPr="00860521">
              <w:rPr>
                <w:rFonts w:asciiTheme="majorBidi" w:hAnsiTheme="majorBidi" w:cstheme="majorBidi"/>
                <w:sz w:val="20"/>
                <w:lang w:val="fr-CH"/>
              </w:rPr>
              <w:tab/>
              <w:t xml:space="preserve">Liaison de 601 à 1200 voies téléphoniques ou de 34 à 70 Mbits/s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10 440 000</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B4</w:t>
            </w:r>
            <w:r w:rsidRPr="00860521">
              <w:rPr>
                <w:rFonts w:asciiTheme="majorBidi" w:hAnsiTheme="majorBidi" w:cstheme="majorBidi"/>
                <w:sz w:val="20"/>
                <w:lang w:val="fr-CH"/>
              </w:rPr>
              <w:tab/>
              <w:t xml:space="preserve">Liaison de plus de 1 200 voies téléphoniques ou plus de 70 Mbits/s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14 500 000</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II.2</w:t>
            </w:r>
            <w:r w:rsidRPr="00860521">
              <w:rPr>
                <w:rFonts w:asciiTheme="majorBidi" w:hAnsiTheme="majorBidi" w:cstheme="majorBidi"/>
                <w:sz w:val="20"/>
                <w:lang w:val="fr-CH"/>
              </w:rPr>
              <w:tab/>
              <w:t>Station terrienne reliée au réseau public international</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17 400 000</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II.3</w:t>
            </w:r>
            <w:r w:rsidRPr="00860521">
              <w:rPr>
                <w:rFonts w:asciiTheme="majorBidi" w:hAnsiTheme="majorBidi" w:cstheme="majorBidi"/>
                <w:sz w:val="20"/>
                <w:lang w:val="fr-CH"/>
              </w:rPr>
              <w:tab/>
              <w:t xml:space="preserve">Station terrienne d’un réseau international indépendant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1 740 000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87 000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11 600 000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3 480 000</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II.4</w:t>
            </w:r>
            <w:r w:rsidRPr="00860521">
              <w:rPr>
                <w:rFonts w:asciiTheme="majorBidi" w:hAnsiTheme="majorBidi" w:cstheme="majorBidi"/>
                <w:sz w:val="20"/>
                <w:lang w:val="fr-CH"/>
              </w:rPr>
              <w:tab/>
              <w:t xml:space="preserve">Station VSAT Internationale indépendant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870 000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5 800 000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1 740 000</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II.5</w:t>
            </w:r>
            <w:r w:rsidRPr="00860521">
              <w:rPr>
                <w:rFonts w:asciiTheme="majorBidi" w:hAnsiTheme="majorBidi" w:cstheme="majorBidi"/>
                <w:sz w:val="20"/>
                <w:lang w:val="fr-CH"/>
              </w:rPr>
              <w:tab/>
              <w:t xml:space="preserve">Station terrienne de réception communautaire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580 000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34 000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2 900 000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580 000</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A1</w:t>
            </w:r>
            <w:r w:rsidRPr="00860521">
              <w:rPr>
                <w:rFonts w:asciiTheme="majorBidi" w:hAnsiTheme="majorBidi" w:cstheme="majorBidi"/>
                <w:sz w:val="20"/>
                <w:lang w:val="fr-CH"/>
              </w:rPr>
              <w:tab/>
              <w:t xml:space="preserve">Réception de moins de 5 programmes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29 000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14 500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290 000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1 450 000</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A2</w:t>
            </w:r>
            <w:r w:rsidRPr="00860521">
              <w:rPr>
                <w:rFonts w:asciiTheme="majorBidi" w:hAnsiTheme="majorBidi" w:cstheme="majorBidi"/>
                <w:sz w:val="20"/>
                <w:lang w:val="fr-CH"/>
              </w:rPr>
              <w:tab/>
              <w:t xml:space="preserve">Réception de moins de 5 à 10 programmes </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58 000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29 000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580 000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5 800 000</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860521" w:rsidRDefault="003A5252" w:rsidP="00497388">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A3</w:t>
            </w:r>
            <w:r w:rsidRPr="00860521">
              <w:rPr>
                <w:rFonts w:asciiTheme="majorBidi" w:hAnsiTheme="majorBidi" w:cstheme="majorBidi"/>
                <w:sz w:val="20"/>
                <w:lang w:val="fr-CH"/>
              </w:rPr>
              <w:tab/>
            </w:r>
            <w:r w:rsidRPr="00AA5C49">
              <w:rPr>
                <w:rFonts w:asciiTheme="majorBidi" w:hAnsiTheme="majorBidi" w:cstheme="majorBidi"/>
                <w:sz w:val="20"/>
                <w:lang w:val="fr-CH"/>
              </w:rPr>
              <w:t>Réception de plus de 10 programmes</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lang w:val="fr-CH"/>
              </w:rPr>
            </w:pPr>
            <w:r w:rsidRPr="00860521">
              <w:rPr>
                <w:b/>
                <w:bCs/>
                <w:sz w:val="20"/>
                <w:lang w:val="fr-CH"/>
              </w:rPr>
              <w:t>145 000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1 160 000</w:t>
            </w:r>
          </w:p>
        </w:tc>
        <w:tc>
          <w:tcPr>
            <w:tcW w:w="1418" w:type="dxa"/>
            <w:tcBorders>
              <w:top w:val="single" w:sz="6" w:space="0" w:color="000000"/>
              <w:left w:val="single" w:sz="4" w:space="0" w:color="000000"/>
              <w:bottom w:val="single" w:sz="6" w:space="0" w:color="000000"/>
              <w:right w:val="single" w:sz="4" w:space="0" w:color="000000"/>
            </w:tcBorders>
          </w:tcPr>
          <w:p w:rsidR="003A5252" w:rsidRPr="00860521" w:rsidRDefault="003A5252" w:rsidP="00497388">
            <w:pPr>
              <w:pStyle w:val="TableText0"/>
              <w:jc w:val="center"/>
              <w:rPr>
                <w:b/>
                <w:bCs/>
                <w:sz w:val="20"/>
              </w:rPr>
            </w:pPr>
            <w:r w:rsidRPr="00860521">
              <w:rPr>
                <w:b/>
                <w:bCs/>
                <w:sz w:val="20"/>
              </w:rPr>
              <w:t>11 600 000</w:t>
            </w:r>
          </w:p>
        </w:tc>
      </w:tr>
    </w:tbl>
    <w:p w:rsidR="003A5252" w:rsidRDefault="003A5252" w:rsidP="00497388">
      <w:pPr>
        <w:bidi w:val="0"/>
        <w:rPr>
          <w:lang w:val="fr-CH"/>
        </w:rPr>
      </w:pPr>
    </w:p>
    <w:p w:rsidR="003A5252" w:rsidRDefault="003A5252" w:rsidP="00497388">
      <w:pPr>
        <w:tabs>
          <w:tab w:val="clear" w:pos="794"/>
          <w:tab w:val="clear" w:pos="1191"/>
          <w:tab w:val="clear" w:pos="1588"/>
          <w:tab w:val="clear" w:pos="1985"/>
        </w:tabs>
        <w:overflowPunct/>
        <w:autoSpaceDE/>
        <w:autoSpaceDN/>
        <w:bidi w:val="0"/>
        <w:adjustRightInd/>
        <w:spacing w:before="0"/>
        <w:jc w:val="left"/>
        <w:textAlignment w:val="auto"/>
        <w:rPr>
          <w:b/>
          <w:lang w:val="fr-CH"/>
        </w:rPr>
      </w:pPr>
      <w:bookmarkStart w:id="793" w:name="_Toc280260071"/>
      <w:bookmarkStart w:id="794" w:name="_Toc280260923"/>
      <w:r>
        <w:rPr>
          <w:lang w:val="fr-CH"/>
        </w:rPr>
        <w:br w:type="page"/>
      </w:r>
    </w:p>
    <w:p w:rsidR="003A5252" w:rsidRPr="00336471" w:rsidRDefault="003A5252" w:rsidP="00497388">
      <w:pPr>
        <w:pStyle w:val="Heading1"/>
        <w:bidi w:val="0"/>
        <w:rPr>
          <w:lang w:val="fr-CH"/>
        </w:rPr>
      </w:pPr>
      <w:bookmarkStart w:id="795" w:name="_Toc280272536"/>
      <w:bookmarkStart w:id="796" w:name="_Toc282768724"/>
      <w:r w:rsidRPr="00336471">
        <w:rPr>
          <w:lang w:val="fr-CH"/>
        </w:rPr>
        <w:lastRenderedPageBreak/>
        <w:t>C</w:t>
      </w:r>
      <w:r>
        <w:rPr>
          <w:lang w:val="fr-CH"/>
        </w:rPr>
        <w:t>-</w:t>
      </w:r>
      <w:r w:rsidRPr="00336471">
        <w:rPr>
          <w:lang w:val="fr-CH"/>
        </w:rPr>
        <w:t>UTILISATION TEMPORAIRE DE STATIONS RADIOELESTRIQUES</w:t>
      </w:r>
      <w:bookmarkEnd w:id="793"/>
      <w:bookmarkEnd w:id="794"/>
      <w:bookmarkEnd w:id="795"/>
      <w:bookmarkEnd w:id="796"/>
      <w:r w:rsidRPr="00336471">
        <w:rPr>
          <w:lang w:val="fr-CH"/>
        </w:rPr>
        <w:t xml:space="preserve"> </w:t>
      </w:r>
    </w:p>
    <w:p w:rsidR="003A5252" w:rsidRDefault="003A5252" w:rsidP="00497388">
      <w:pPr>
        <w:bidi w:val="0"/>
        <w:spacing w:before="0"/>
        <w:rPr>
          <w:lang w:val="fr-CH"/>
        </w:rPr>
      </w:pPr>
    </w:p>
    <w:tbl>
      <w:tblPr>
        <w:tblW w:w="0" w:type="auto"/>
        <w:jc w:val="center"/>
        <w:tblBorders>
          <w:top w:val="nil"/>
          <w:left w:val="nil"/>
          <w:bottom w:val="nil"/>
          <w:right w:val="nil"/>
        </w:tblBorders>
        <w:tblLayout w:type="fixed"/>
        <w:tblLook w:val="0000"/>
      </w:tblPr>
      <w:tblGrid>
        <w:gridCol w:w="3969"/>
        <w:gridCol w:w="1418"/>
        <w:gridCol w:w="1418"/>
        <w:gridCol w:w="1418"/>
        <w:gridCol w:w="1418"/>
      </w:tblGrid>
      <w:tr w:rsidR="003A5252" w:rsidRPr="00AA5C49" w:rsidTr="00026C26">
        <w:trPr>
          <w:jc w:val="center"/>
        </w:trPr>
        <w:tc>
          <w:tcPr>
            <w:tcW w:w="3969" w:type="dxa"/>
            <w:tcBorders>
              <w:top w:val="single" w:sz="6" w:space="0" w:color="000000"/>
              <w:left w:val="single" w:sz="4" w:space="0" w:color="000000"/>
              <w:bottom w:val="single" w:sz="6" w:space="0" w:color="000000"/>
              <w:right w:val="single" w:sz="4" w:space="0" w:color="000000"/>
            </w:tcBorders>
          </w:tcPr>
          <w:p w:rsidR="003A5252" w:rsidRPr="00E21F0F" w:rsidRDefault="003A5252" w:rsidP="00497388">
            <w:pPr>
              <w:pStyle w:val="TableNotitle"/>
              <w:spacing w:before="120"/>
            </w:pPr>
            <w:r>
              <w:t>Ré</w:t>
            </w:r>
            <w:r w:rsidRPr="00E21F0F">
              <w:t>seaux ou stations</w:t>
            </w: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Notitle"/>
              <w:spacing w:before="120"/>
              <w:rPr>
                <w:lang w:val="fr-CH"/>
              </w:rPr>
            </w:pPr>
            <w:r w:rsidRPr="00AA5C49">
              <w:rPr>
                <w:lang w:val="fr-CH"/>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Notitle"/>
              <w:spacing w:before="120"/>
              <w:rPr>
                <w:lang w:val="fr-CH"/>
              </w:rPr>
            </w:pPr>
            <w:r w:rsidRPr="00AA5C49">
              <w:rPr>
                <w:lang w:val="fr-CH"/>
              </w:rPr>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Notitle"/>
              <w:spacing w:before="120"/>
              <w:ind w:leftChars="-50" w:left="-110" w:rightChars="-50" w:right="-110"/>
              <w:rPr>
                <w:lang w:val="fr-CH"/>
              </w:rPr>
            </w:pPr>
            <w:r w:rsidRPr="00AA5C49">
              <w:rPr>
                <w:lang w:val="fr-CH"/>
              </w:rPr>
              <w:t>Redeverance pour frais de gestion</w:t>
            </w:r>
          </w:p>
        </w:tc>
        <w:tc>
          <w:tcPr>
            <w:tcW w:w="1418" w:type="dxa"/>
            <w:tcBorders>
              <w:top w:val="single" w:sz="6" w:space="0" w:color="000000"/>
              <w:left w:val="single" w:sz="4" w:space="0" w:color="000000"/>
              <w:bottom w:val="single" w:sz="6" w:space="0" w:color="000000"/>
              <w:right w:val="single" w:sz="4" w:space="0" w:color="000000"/>
            </w:tcBorders>
          </w:tcPr>
          <w:p w:rsidR="003A5252" w:rsidRPr="00AA5C49" w:rsidRDefault="003A5252" w:rsidP="00497388">
            <w:pPr>
              <w:pStyle w:val="TableNotitle"/>
              <w:spacing w:before="120"/>
              <w:rPr>
                <w:lang w:val="fr-CH"/>
              </w:rPr>
            </w:pPr>
            <w:r w:rsidRPr="00AA5C49">
              <w:rPr>
                <w:lang w:val="fr-CH"/>
              </w:rPr>
              <w:t>Redevence pour utilisation de fréquence</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6C00B9" w:rsidRDefault="003A5252" w:rsidP="00497388">
            <w:pPr>
              <w:pStyle w:val="TableText0"/>
              <w:tabs>
                <w:tab w:val="clear" w:pos="567"/>
                <w:tab w:val="left" w:pos="444"/>
              </w:tabs>
              <w:ind w:left="284" w:hanging="284"/>
              <w:rPr>
                <w:rFonts w:asciiTheme="majorBidi" w:hAnsiTheme="majorBidi" w:cstheme="majorBidi"/>
                <w:lang w:val="fr-CH"/>
              </w:rPr>
            </w:pPr>
            <w:r w:rsidRPr="00E21F0F">
              <w:rPr>
                <w:rFonts w:asciiTheme="majorBidi" w:hAnsiTheme="majorBidi" w:cstheme="majorBidi"/>
                <w:b/>
                <w:bCs/>
                <w:lang w:val="fr-CH"/>
              </w:rPr>
              <w:t xml:space="preserve">1 – Services de terre </w:t>
            </w:r>
          </w:p>
        </w:tc>
        <w:tc>
          <w:tcPr>
            <w:tcW w:w="1418" w:type="dxa"/>
            <w:tcBorders>
              <w:top w:val="single" w:sz="6" w:space="0" w:color="000000"/>
              <w:left w:val="single" w:sz="4" w:space="0" w:color="000000"/>
              <w:bottom w:val="single" w:sz="6" w:space="0" w:color="000000"/>
              <w:right w:val="single" w:sz="4" w:space="0" w:color="000000"/>
            </w:tcBorders>
          </w:tcPr>
          <w:p w:rsidR="003A5252" w:rsidRPr="0047055F" w:rsidRDefault="003A5252" w:rsidP="00497388">
            <w:pPr>
              <w:pStyle w:val="TableText0"/>
              <w:jc w:val="center"/>
              <w:rPr>
                <w:b/>
                <w:bCs/>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Default="003A5252" w:rsidP="00497388">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3A5252" w:rsidRPr="0047055F" w:rsidRDefault="003A5252" w:rsidP="00497388">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3A5252" w:rsidRPr="00203296" w:rsidRDefault="003A5252" w:rsidP="00497388">
            <w:pPr>
              <w:pStyle w:val="TableText0"/>
              <w:jc w:val="center"/>
              <w:rPr>
                <w:b/>
                <w:bCs/>
              </w:rPr>
            </w:pPr>
          </w:p>
        </w:tc>
      </w:tr>
      <w:tr w:rsidR="003A5252" w:rsidRPr="00AA5C49"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6C00B9" w:rsidRDefault="003A5252" w:rsidP="00497388">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t>A</w:t>
            </w:r>
            <w:r w:rsidRPr="00E21F0F">
              <w:rPr>
                <w:rFonts w:asciiTheme="majorBidi" w:hAnsiTheme="majorBidi" w:cstheme="majorBidi"/>
                <w:lang w:val="fr-CH"/>
              </w:rPr>
              <w:t>1</w:t>
            </w:r>
            <w:r>
              <w:rPr>
                <w:rFonts w:asciiTheme="majorBidi" w:hAnsiTheme="majorBidi" w:cstheme="majorBidi"/>
                <w:lang w:val="fr-CH"/>
              </w:rPr>
              <w:tab/>
            </w:r>
            <w:r w:rsidRPr="00E21F0F">
              <w:rPr>
                <w:rFonts w:asciiTheme="majorBidi" w:hAnsiTheme="majorBidi" w:cstheme="majorBidi"/>
                <w:lang w:val="fr-CH"/>
              </w:rPr>
              <w:t xml:space="preserve">Station fixe ou de base </w:t>
            </w:r>
          </w:p>
        </w:tc>
        <w:tc>
          <w:tcPr>
            <w:tcW w:w="1418" w:type="dxa"/>
            <w:tcBorders>
              <w:top w:val="single" w:sz="6" w:space="0" w:color="000000"/>
              <w:left w:val="single" w:sz="4" w:space="0" w:color="000000"/>
              <w:bottom w:val="single" w:sz="6" w:space="0" w:color="000000"/>
              <w:right w:val="single" w:sz="4" w:space="0" w:color="000000"/>
            </w:tcBorders>
          </w:tcPr>
          <w:p w:rsidR="003A5252" w:rsidRPr="0047055F" w:rsidRDefault="003A5252" w:rsidP="00497388">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3A5252" w:rsidRDefault="003A5252" w:rsidP="00497388">
            <w:pPr>
              <w:pStyle w:val="TableText0"/>
              <w:jc w:val="center"/>
              <w:rPr>
                <w:b/>
                <w:bCs/>
              </w:rPr>
            </w:pPr>
            <w:r>
              <w:rPr>
                <w:b/>
                <w:bCs/>
              </w:rPr>
              <w:t>11 600</w:t>
            </w:r>
          </w:p>
        </w:tc>
        <w:tc>
          <w:tcPr>
            <w:tcW w:w="1418" w:type="dxa"/>
            <w:vMerge w:val="restart"/>
            <w:tcBorders>
              <w:top w:val="single" w:sz="6" w:space="0" w:color="000000"/>
              <w:left w:val="single" w:sz="4" w:space="0" w:color="000000"/>
              <w:right w:val="single" w:sz="4" w:space="0" w:color="000000"/>
            </w:tcBorders>
          </w:tcPr>
          <w:p w:rsidR="003A5252" w:rsidRPr="00AA5C49" w:rsidRDefault="003A5252" w:rsidP="00497388">
            <w:pPr>
              <w:pStyle w:val="TableText0"/>
              <w:jc w:val="center"/>
              <w:rPr>
                <w:b/>
                <w:bCs/>
                <w:lang w:val="fr-CH"/>
              </w:rPr>
            </w:pPr>
            <w:r w:rsidRPr="00AA5C49">
              <w:rPr>
                <w:b/>
                <w:bCs/>
                <w:lang w:val="fr-CH"/>
              </w:rPr>
              <w:t>Calculée au mois entier, au prorata du temps d’utilisation</w:t>
            </w:r>
          </w:p>
        </w:tc>
        <w:tc>
          <w:tcPr>
            <w:tcW w:w="1418" w:type="dxa"/>
            <w:vMerge w:val="restart"/>
            <w:tcBorders>
              <w:top w:val="single" w:sz="6" w:space="0" w:color="000000"/>
              <w:left w:val="single" w:sz="4" w:space="0" w:color="000000"/>
              <w:right w:val="single" w:sz="4" w:space="0" w:color="000000"/>
            </w:tcBorders>
          </w:tcPr>
          <w:p w:rsidR="003A5252" w:rsidRPr="00AA5C49" w:rsidRDefault="003A5252" w:rsidP="00497388">
            <w:pPr>
              <w:pStyle w:val="TableText0"/>
              <w:jc w:val="center"/>
              <w:rPr>
                <w:b/>
                <w:bCs/>
                <w:lang w:val="fr-CH"/>
              </w:rPr>
            </w:pPr>
            <w:r w:rsidRPr="00AA5C49">
              <w:rPr>
                <w:b/>
                <w:bCs/>
                <w:lang w:val="fr-CH"/>
              </w:rPr>
              <w:t>Calculée au mois entier, au prorata du temps d’utilisation</w:t>
            </w: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6C00B9" w:rsidRDefault="003A5252" w:rsidP="00497388">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r>
            <w:r w:rsidRPr="00E21F0F">
              <w:rPr>
                <w:rFonts w:asciiTheme="majorBidi" w:hAnsiTheme="majorBidi" w:cstheme="majorBidi"/>
                <w:lang w:val="fr-CH"/>
              </w:rPr>
              <w:t>A2</w:t>
            </w:r>
            <w:r>
              <w:rPr>
                <w:rFonts w:asciiTheme="majorBidi" w:hAnsiTheme="majorBidi" w:cstheme="majorBidi"/>
                <w:lang w:val="fr-CH"/>
              </w:rPr>
              <w:tab/>
            </w:r>
            <w:r w:rsidRPr="00E21F0F">
              <w:rPr>
                <w:rFonts w:asciiTheme="majorBidi" w:hAnsiTheme="majorBidi" w:cstheme="majorBidi"/>
                <w:lang w:val="fr-CH"/>
              </w:rPr>
              <w:t xml:space="preserve">Station mobile </w:t>
            </w:r>
          </w:p>
        </w:tc>
        <w:tc>
          <w:tcPr>
            <w:tcW w:w="1418" w:type="dxa"/>
            <w:tcBorders>
              <w:top w:val="single" w:sz="6" w:space="0" w:color="000000"/>
              <w:left w:val="single" w:sz="4" w:space="0" w:color="000000"/>
              <w:bottom w:val="single" w:sz="6" w:space="0" w:color="000000"/>
              <w:right w:val="single" w:sz="4" w:space="0" w:color="000000"/>
            </w:tcBorders>
          </w:tcPr>
          <w:p w:rsidR="003A5252" w:rsidRPr="0047055F" w:rsidRDefault="003A5252" w:rsidP="00497388">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3A5252" w:rsidRDefault="003A5252" w:rsidP="00497388">
            <w:pPr>
              <w:pStyle w:val="TableText0"/>
              <w:jc w:val="center"/>
              <w:rPr>
                <w:b/>
                <w:bCs/>
              </w:rPr>
            </w:pPr>
            <w:r>
              <w:rPr>
                <w:b/>
                <w:bCs/>
              </w:rPr>
              <w:t>8 700</w:t>
            </w:r>
          </w:p>
        </w:tc>
        <w:tc>
          <w:tcPr>
            <w:tcW w:w="1418" w:type="dxa"/>
            <w:vMerge/>
            <w:tcBorders>
              <w:left w:val="single" w:sz="4" w:space="0" w:color="000000"/>
              <w:right w:val="single" w:sz="4" w:space="0" w:color="000000"/>
            </w:tcBorders>
          </w:tcPr>
          <w:p w:rsidR="003A5252" w:rsidRPr="0047055F" w:rsidRDefault="003A5252" w:rsidP="00497388">
            <w:pPr>
              <w:pStyle w:val="TableText0"/>
              <w:jc w:val="center"/>
              <w:rPr>
                <w:b/>
                <w:bCs/>
              </w:rPr>
            </w:pPr>
          </w:p>
        </w:tc>
        <w:tc>
          <w:tcPr>
            <w:tcW w:w="1418" w:type="dxa"/>
            <w:vMerge/>
            <w:tcBorders>
              <w:left w:val="single" w:sz="4" w:space="0" w:color="000000"/>
              <w:right w:val="single" w:sz="4" w:space="0" w:color="000000"/>
            </w:tcBorders>
          </w:tcPr>
          <w:p w:rsidR="003A5252" w:rsidRPr="00203296" w:rsidRDefault="003A5252" w:rsidP="00497388">
            <w:pPr>
              <w:pStyle w:val="TableText0"/>
              <w:jc w:val="center"/>
              <w:rPr>
                <w:b/>
                <w:bCs/>
              </w:rPr>
            </w:pP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tcPr>
          <w:p w:rsidR="003A5252" w:rsidRDefault="003A5252" w:rsidP="00497388">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r>
            <w:r w:rsidRPr="00E21F0F">
              <w:rPr>
                <w:rFonts w:asciiTheme="majorBidi" w:hAnsiTheme="majorBidi" w:cstheme="majorBidi"/>
                <w:lang w:val="fr-CH"/>
              </w:rPr>
              <w:t>A3</w:t>
            </w:r>
            <w:r>
              <w:rPr>
                <w:rFonts w:asciiTheme="majorBidi" w:hAnsiTheme="majorBidi" w:cstheme="majorBidi"/>
                <w:lang w:val="fr-CH"/>
              </w:rPr>
              <w:tab/>
            </w:r>
            <w:r w:rsidRPr="00E21F0F">
              <w:rPr>
                <w:rFonts w:asciiTheme="majorBidi" w:hAnsiTheme="majorBidi" w:cstheme="majorBidi"/>
                <w:lang w:val="fr-CH"/>
              </w:rPr>
              <w:t>Station portable ou portative</w:t>
            </w:r>
          </w:p>
        </w:tc>
        <w:tc>
          <w:tcPr>
            <w:tcW w:w="1418" w:type="dxa"/>
            <w:tcBorders>
              <w:top w:val="single" w:sz="6" w:space="0" w:color="000000"/>
              <w:left w:val="single" w:sz="4" w:space="0" w:color="000000"/>
              <w:bottom w:val="single" w:sz="6" w:space="0" w:color="000000"/>
              <w:right w:val="single" w:sz="4" w:space="0" w:color="000000"/>
            </w:tcBorders>
          </w:tcPr>
          <w:p w:rsidR="003A5252" w:rsidRDefault="003A5252" w:rsidP="00497388">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3A5252" w:rsidRDefault="003A5252" w:rsidP="00497388">
            <w:pPr>
              <w:pStyle w:val="TableText0"/>
              <w:jc w:val="center"/>
              <w:rPr>
                <w:b/>
                <w:bCs/>
              </w:rPr>
            </w:pPr>
            <w:r>
              <w:rPr>
                <w:b/>
                <w:bCs/>
              </w:rPr>
              <w:t>5 800</w:t>
            </w:r>
          </w:p>
        </w:tc>
        <w:tc>
          <w:tcPr>
            <w:tcW w:w="1418" w:type="dxa"/>
            <w:vMerge/>
            <w:tcBorders>
              <w:left w:val="single" w:sz="4" w:space="0" w:color="000000"/>
              <w:bottom w:val="single" w:sz="6" w:space="0" w:color="000000"/>
              <w:right w:val="single" w:sz="4" w:space="0" w:color="000000"/>
            </w:tcBorders>
          </w:tcPr>
          <w:p w:rsidR="003A5252" w:rsidRPr="0047055F" w:rsidRDefault="003A5252" w:rsidP="00497388">
            <w:pPr>
              <w:pStyle w:val="TableText0"/>
              <w:jc w:val="center"/>
              <w:rPr>
                <w:b/>
                <w:bCs/>
              </w:rPr>
            </w:pPr>
          </w:p>
        </w:tc>
        <w:tc>
          <w:tcPr>
            <w:tcW w:w="1418" w:type="dxa"/>
            <w:vMerge/>
            <w:tcBorders>
              <w:left w:val="single" w:sz="4" w:space="0" w:color="000000"/>
              <w:bottom w:val="single" w:sz="6" w:space="0" w:color="000000"/>
              <w:right w:val="single" w:sz="4" w:space="0" w:color="000000"/>
            </w:tcBorders>
          </w:tcPr>
          <w:p w:rsidR="003A5252" w:rsidRPr="00203296" w:rsidRDefault="003A5252" w:rsidP="00497388">
            <w:pPr>
              <w:pStyle w:val="TableText0"/>
              <w:jc w:val="center"/>
              <w:rPr>
                <w:b/>
                <w:bCs/>
              </w:rPr>
            </w:pP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6C00B9" w:rsidRDefault="003A5252" w:rsidP="00497388">
            <w:pPr>
              <w:pStyle w:val="TableText0"/>
              <w:tabs>
                <w:tab w:val="clear" w:pos="567"/>
                <w:tab w:val="left" w:pos="444"/>
              </w:tabs>
              <w:ind w:left="851" w:hanging="851"/>
              <w:rPr>
                <w:rFonts w:asciiTheme="majorBidi" w:hAnsiTheme="majorBidi" w:cstheme="majorBidi"/>
                <w:lang w:val="fr-CH"/>
              </w:rPr>
            </w:pPr>
            <w:r w:rsidRPr="00E21F0F">
              <w:rPr>
                <w:rFonts w:asciiTheme="majorBidi" w:hAnsiTheme="majorBidi" w:cstheme="majorBidi"/>
                <w:b/>
                <w:bCs/>
                <w:lang w:val="fr-CH"/>
              </w:rPr>
              <w:t xml:space="preserve">2 – Service spatiaux </w:t>
            </w:r>
          </w:p>
        </w:tc>
        <w:tc>
          <w:tcPr>
            <w:tcW w:w="1418" w:type="dxa"/>
            <w:tcBorders>
              <w:top w:val="single" w:sz="6" w:space="0" w:color="000000"/>
              <w:left w:val="single" w:sz="4" w:space="0" w:color="000000"/>
              <w:bottom w:val="single" w:sz="6" w:space="0" w:color="000000"/>
              <w:right w:val="single" w:sz="4" w:space="0" w:color="000000"/>
            </w:tcBorders>
          </w:tcPr>
          <w:p w:rsidR="003A5252" w:rsidRPr="0047055F" w:rsidRDefault="003A5252" w:rsidP="00497388">
            <w:pPr>
              <w:pStyle w:val="TableText0"/>
              <w:jc w:val="center"/>
              <w:rPr>
                <w:b/>
                <w:bCs/>
                <w:lang w:val="fr-CH"/>
              </w:rPr>
            </w:pPr>
          </w:p>
        </w:tc>
        <w:tc>
          <w:tcPr>
            <w:tcW w:w="1418" w:type="dxa"/>
            <w:tcBorders>
              <w:top w:val="single" w:sz="6" w:space="0" w:color="000000"/>
              <w:left w:val="single" w:sz="4" w:space="0" w:color="000000"/>
              <w:bottom w:val="single" w:sz="6" w:space="0" w:color="000000"/>
              <w:right w:val="single" w:sz="4" w:space="0" w:color="000000"/>
            </w:tcBorders>
          </w:tcPr>
          <w:p w:rsidR="003A5252" w:rsidRDefault="003A5252" w:rsidP="00497388">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3A5252" w:rsidRPr="0047055F" w:rsidRDefault="003A5252" w:rsidP="00497388">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3A5252" w:rsidRPr="00203296" w:rsidRDefault="003A5252" w:rsidP="00497388">
            <w:pPr>
              <w:pStyle w:val="TableText0"/>
              <w:jc w:val="center"/>
              <w:rPr>
                <w:b/>
                <w:bCs/>
              </w:rPr>
            </w:pP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6C00B9" w:rsidRDefault="003A5252" w:rsidP="00497388">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r>
            <w:r w:rsidRPr="00E21F0F">
              <w:rPr>
                <w:rFonts w:asciiTheme="majorBidi" w:hAnsiTheme="majorBidi" w:cstheme="majorBidi"/>
                <w:lang w:val="fr-CH"/>
              </w:rPr>
              <w:t>A1</w:t>
            </w:r>
            <w:r>
              <w:rPr>
                <w:rFonts w:asciiTheme="majorBidi" w:hAnsiTheme="majorBidi" w:cstheme="majorBidi"/>
                <w:lang w:val="fr-CH"/>
              </w:rPr>
              <w:tab/>
            </w:r>
            <w:r w:rsidRPr="00E21F0F">
              <w:rPr>
                <w:rFonts w:asciiTheme="majorBidi" w:hAnsiTheme="majorBidi" w:cstheme="majorBidi"/>
                <w:lang w:val="fr-CH"/>
              </w:rPr>
              <w:t xml:space="preserve">Station terrienne aéronautique, côtière ou terrestre </w:t>
            </w:r>
          </w:p>
        </w:tc>
        <w:tc>
          <w:tcPr>
            <w:tcW w:w="1418" w:type="dxa"/>
            <w:tcBorders>
              <w:top w:val="single" w:sz="6" w:space="0" w:color="000000"/>
              <w:left w:val="single" w:sz="4" w:space="0" w:color="000000"/>
              <w:bottom w:val="single" w:sz="6" w:space="0" w:color="000000"/>
              <w:right w:val="single" w:sz="4" w:space="0" w:color="000000"/>
            </w:tcBorders>
          </w:tcPr>
          <w:p w:rsidR="003A5252" w:rsidRPr="0047055F" w:rsidRDefault="003A5252" w:rsidP="00497388">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3A5252" w:rsidRDefault="003A5252" w:rsidP="00497388">
            <w:pPr>
              <w:pStyle w:val="TableText0"/>
              <w:jc w:val="center"/>
              <w:rPr>
                <w:b/>
                <w:bCs/>
              </w:rPr>
            </w:pPr>
            <w:r>
              <w:rPr>
                <w:b/>
                <w:bCs/>
              </w:rPr>
              <w:t>29 000</w:t>
            </w:r>
          </w:p>
        </w:tc>
        <w:tc>
          <w:tcPr>
            <w:tcW w:w="1418" w:type="dxa"/>
            <w:tcBorders>
              <w:top w:val="single" w:sz="6" w:space="0" w:color="000000"/>
              <w:left w:val="single" w:sz="4" w:space="0" w:color="000000"/>
              <w:bottom w:val="single" w:sz="6" w:space="0" w:color="000000"/>
              <w:right w:val="single" w:sz="4" w:space="0" w:color="000000"/>
            </w:tcBorders>
          </w:tcPr>
          <w:p w:rsidR="003A5252" w:rsidRPr="0047055F" w:rsidRDefault="003A5252" w:rsidP="00497388">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3A5252" w:rsidRPr="00203296" w:rsidRDefault="003A5252" w:rsidP="00497388">
            <w:pPr>
              <w:pStyle w:val="TableText0"/>
              <w:jc w:val="center"/>
              <w:rPr>
                <w:b/>
                <w:bCs/>
              </w:rPr>
            </w:pP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6C00B9" w:rsidRDefault="003A5252" w:rsidP="00497388">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r>
            <w:r w:rsidRPr="00E21F0F">
              <w:rPr>
                <w:rFonts w:asciiTheme="majorBidi" w:hAnsiTheme="majorBidi" w:cstheme="majorBidi"/>
                <w:lang w:val="fr-CH"/>
              </w:rPr>
              <w:t>A2</w:t>
            </w:r>
            <w:r>
              <w:rPr>
                <w:rFonts w:asciiTheme="majorBidi" w:hAnsiTheme="majorBidi" w:cstheme="majorBidi"/>
                <w:lang w:val="fr-CH"/>
              </w:rPr>
              <w:tab/>
            </w:r>
            <w:r w:rsidRPr="00E21F0F">
              <w:rPr>
                <w:rFonts w:asciiTheme="majorBidi" w:hAnsiTheme="majorBidi" w:cstheme="majorBidi"/>
                <w:lang w:val="fr-CH"/>
              </w:rPr>
              <w:t xml:space="preserve">Station terrienne mobile </w:t>
            </w:r>
          </w:p>
        </w:tc>
        <w:tc>
          <w:tcPr>
            <w:tcW w:w="1418" w:type="dxa"/>
            <w:tcBorders>
              <w:top w:val="single" w:sz="6" w:space="0" w:color="000000"/>
              <w:left w:val="single" w:sz="4" w:space="0" w:color="000000"/>
              <w:bottom w:val="single" w:sz="6" w:space="0" w:color="000000"/>
              <w:right w:val="single" w:sz="4" w:space="0" w:color="000000"/>
            </w:tcBorders>
          </w:tcPr>
          <w:p w:rsidR="003A5252" w:rsidRPr="0047055F" w:rsidRDefault="003A5252" w:rsidP="00497388">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3A5252" w:rsidRDefault="003A5252" w:rsidP="00497388">
            <w:pPr>
              <w:pStyle w:val="TableText0"/>
              <w:jc w:val="center"/>
              <w:rPr>
                <w:b/>
                <w:bCs/>
              </w:rPr>
            </w:pPr>
            <w:r>
              <w:rPr>
                <w:b/>
                <w:bCs/>
              </w:rPr>
              <w:t>17 400</w:t>
            </w:r>
          </w:p>
        </w:tc>
        <w:tc>
          <w:tcPr>
            <w:tcW w:w="1418" w:type="dxa"/>
            <w:tcBorders>
              <w:top w:val="single" w:sz="6" w:space="0" w:color="000000"/>
              <w:left w:val="single" w:sz="4" w:space="0" w:color="000000"/>
              <w:bottom w:val="single" w:sz="6" w:space="0" w:color="000000"/>
              <w:right w:val="single" w:sz="4" w:space="0" w:color="000000"/>
            </w:tcBorders>
          </w:tcPr>
          <w:p w:rsidR="003A5252" w:rsidRPr="0047055F" w:rsidRDefault="003A5252" w:rsidP="00497388">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3A5252" w:rsidRPr="00203296" w:rsidRDefault="003A5252" w:rsidP="00497388">
            <w:pPr>
              <w:pStyle w:val="TableText0"/>
              <w:jc w:val="center"/>
              <w:rPr>
                <w:b/>
                <w:bCs/>
              </w:rPr>
            </w:pPr>
          </w:p>
        </w:tc>
      </w:tr>
      <w:tr w:rsidR="003A5252" w:rsidRPr="00203296" w:rsidTr="00026C26">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A5252" w:rsidRPr="006C00B9" w:rsidRDefault="003A5252" w:rsidP="00497388">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r>
            <w:r w:rsidRPr="00E21F0F">
              <w:rPr>
                <w:rFonts w:asciiTheme="majorBidi" w:hAnsiTheme="majorBidi" w:cstheme="majorBidi"/>
                <w:lang w:val="fr-CH"/>
              </w:rPr>
              <w:t>A3</w:t>
            </w:r>
            <w:r>
              <w:rPr>
                <w:rFonts w:asciiTheme="majorBidi" w:hAnsiTheme="majorBidi" w:cstheme="majorBidi"/>
                <w:lang w:val="fr-CH"/>
              </w:rPr>
              <w:tab/>
            </w:r>
            <w:r w:rsidRPr="00AA5C49">
              <w:rPr>
                <w:rFonts w:asciiTheme="majorBidi" w:hAnsiTheme="majorBidi" w:cstheme="majorBidi"/>
                <w:lang w:val="fr-CH"/>
              </w:rPr>
              <w:t>Station terrienne portable ou portative</w:t>
            </w:r>
          </w:p>
        </w:tc>
        <w:tc>
          <w:tcPr>
            <w:tcW w:w="1418" w:type="dxa"/>
            <w:tcBorders>
              <w:top w:val="single" w:sz="6" w:space="0" w:color="000000"/>
              <w:left w:val="single" w:sz="4" w:space="0" w:color="000000"/>
              <w:bottom w:val="single" w:sz="6" w:space="0" w:color="000000"/>
              <w:right w:val="single" w:sz="4" w:space="0" w:color="000000"/>
            </w:tcBorders>
          </w:tcPr>
          <w:p w:rsidR="003A5252" w:rsidRPr="0047055F" w:rsidRDefault="003A5252" w:rsidP="00497388">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3A5252" w:rsidRDefault="003A5252" w:rsidP="00497388">
            <w:pPr>
              <w:pStyle w:val="TableText0"/>
              <w:jc w:val="center"/>
              <w:rPr>
                <w:b/>
                <w:bCs/>
              </w:rPr>
            </w:pPr>
            <w:r>
              <w:rPr>
                <w:b/>
                <w:bCs/>
              </w:rPr>
              <w:t>11 600</w:t>
            </w:r>
          </w:p>
        </w:tc>
        <w:tc>
          <w:tcPr>
            <w:tcW w:w="1418" w:type="dxa"/>
            <w:tcBorders>
              <w:top w:val="single" w:sz="6" w:space="0" w:color="000000"/>
              <w:left w:val="single" w:sz="4" w:space="0" w:color="000000"/>
              <w:bottom w:val="single" w:sz="6" w:space="0" w:color="000000"/>
              <w:right w:val="single" w:sz="4" w:space="0" w:color="000000"/>
            </w:tcBorders>
          </w:tcPr>
          <w:p w:rsidR="003A5252" w:rsidRPr="0047055F" w:rsidRDefault="003A5252" w:rsidP="00497388">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3A5252" w:rsidRPr="00203296" w:rsidRDefault="003A5252" w:rsidP="00497388">
            <w:pPr>
              <w:pStyle w:val="TableText0"/>
              <w:jc w:val="center"/>
              <w:rPr>
                <w:b/>
                <w:bCs/>
              </w:rPr>
            </w:pPr>
          </w:p>
        </w:tc>
      </w:tr>
    </w:tbl>
    <w:p w:rsidR="003A5252" w:rsidRDefault="003A5252" w:rsidP="00497388">
      <w:pPr>
        <w:bidi w:val="0"/>
        <w:rPr>
          <w:lang w:val="fr-CH"/>
        </w:rPr>
      </w:pPr>
    </w:p>
    <w:p w:rsidR="003A5252" w:rsidRPr="001E0BE9" w:rsidRDefault="003A5252" w:rsidP="00497388">
      <w:pPr>
        <w:pStyle w:val="Heading1"/>
        <w:bidi w:val="0"/>
        <w:spacing w:line="240" w:lineRule="auto"/>
        <w:rPr>
          <w:lang w:val="fr-CH"/>
        </w:rPr>
      </w:pPr>
      <w:bookmarkStart w:id="797" w:name="_Toc280260072"/>
      <w:bookmarkStart w:id="798" w:name="_Toc280260924"/>
      <w:bookmarkStart w:id="799" w:name="_Toc280272537"/>
      <w:bookmarkStart w:id="800" w:name="_Toc282768725"/>
      <w:r w:rsidRPr="001E0BE9">
        <w:rPr>
          <w:lang w:val="fr-CH"/>
        </w:rPr>
        <w:t>DROITS ET TAXES DIVERS EQUIPEMENTS SPECIAUX</w:t>
      </w:r>
      <w:bookmarkEnd w:id="797"/>
      <w:bookmarkEnd w:id="798"/>
      <w:bookmarkEnd w:id="799"/>
      <w:bookmarkEnd w:id="800"/>
      <w:r w:rsidRPr="001E0BE9">
        <w:rPr>
          <w:lang w:val="fr-CH"/>
        </w:rPr>
        <w:t xml:space="preserve"> </w:t>
      </w:r>
    </w:p>
    <w:p w:rsidR="003A5252" w:rsidRPr="00E21F0F" w:rsidRDefault="003A5252" w:rsidP="00497388">
      <w:pPr>
        <w:pStyle w:val="enumlev1"/>
        <w:bidi w:val="0"/>
        <w:spacing w:line="240" w:lineRule="auto"/>
        <w:rPr>
          <w:lang w:val="fr-CH"/>
        </w:rPr>
      </w:pPr>
      <w:r>
        <w:rPr>
          <w:lang w:val="fr-CH"/>
        </w:rPr>
        <w:t>1.</w:t>
      </w:r>
      <w:r>
        <w:rPr>
          <w:lang w:val="fr-CH"/>
        </w:rPr>
        <w:tab/>
      </w:r>
      <w:r w:rsidRPr="00E21F0F">
        <w:rPr>
          <w:lang w:val="fr-CH"/>
        </w:rPr>
        <w:t xml:space="preserve">Emetteurs – Récepteur de faible puissance ou poste « CB » Taxes annuelles forfaitaires </w:t>
      </w:r>
      <w:r w:rsidRPr="00E21F0F">
        <w:rPr>
          <w:b/>
          <w:bCs/>
          <w:lang w:val="fr-CH"/>
        </w:rPr>
        <w:t xml:space="preserve">23 200 F </w:t>
      </w:r>
    </w:p>
    <w:p w:rsidR="003A5252" w:rsidRPr="00E21F0F" w:rsidRDefault="003A5252" w:rsidP="00497388">
      <w:pPr>
        <w:pStyle w:val="enumlev1"/>
        <w:bidi w:val="0"/>
        <w:spacing w:line="240" w:lineRule="auto"/>
        <w:rPr>
          <w:lang w:val="fr-CH"/>
        </w:rPr>
      </w:pPr>
      <w:r>
        <w:rPr>
          <w:lang w:val="fr-CH"/>
        </w:rPr>
        <w:t>2.</w:t>
      </w:r>
      <w:r>
        <w:rPr>
          <w:lang w:val="fr-CH"/>
        </w:rPr>
        <w:tab/>
      </w:r>
      <w:r w:rsidRPr="00E21F0F">
        <w:rPr>
          <w:lang w:val="fr-CH"/>
        </w:rPr>
        <w:t xml:space="preserve">Installations de radiocommande de modèle réduit </w:t>
      </w:r>
    </w:p>
    <w:p w:rsidR="003A5252" w:rsidRDefault="003A5252" w:rsidP="00497388">
      <w:pPr>
        <w:bidi w:val="0"/>
        <w:spacing w:line="240" w:lineRule="auto"/>
        <w:rPr>
          <w:lang w:val="fr-CH"/>
        </w:rPr>
      </w:pPr>
      <w:r w:rsidRPr="00E21F0F">
        <w:rPr>
          <w:lang w:val="fr-CH"/>
        </w:rPr>
        <w:t xml:space="preserve">Taxes spéciale ( 5 ans ) </w:t>
      </w:r>
      <w:r w:rsidRPr="00F86594">
        <w:rPr>
          <w:b/>
          <w:bCs/>
          <w:lang w:val="fr-CH"/>
        </w:rPr>
        <w:t>29 000 F</w:t>
      </w:r>
    </w:p>
    <w:p w:rsidR="003A5252" w:rsidRPr="008458E3" w:rsidRDefault="003A5252" w:rsidP="00497388">
      <w:pPr>
        <w:pStyle w:val="Heading1"/>
        <w:bidi w:val="0"/>
        <w:spacing w:line="240" w:lineRule="auto"/>
        <w:rPr>
          <w:lang w:val="fr-CH"/>
        </w:rPr>
      </w:pPr>
      <w:bookmarkStart w:id="801" w:name="_Toc280260073"/>
      <w:bookmarkStart w:id="802" w:name="_Toc280260925"/>
      <w:bookmarkStart w:id="803" w:name="_Toc280272538"/>
      <w:bookmarkStart w:id="804" w:name="_Toc282768726"/>
      <w:r>
        <w:rPr>
          <w:lang w:val="fr-CH"/>
        </w:rPr>
        <w:t>II – DROIT DE LICENCE/</w:t>
      </w:r>
      <w:r w:rsidRPr="008458E3">
        <w:rPr>
          <w:lang w:val="fr-CH"/>
        </w:rPr>
        <w:t>CERTIFICAT</w:t>
      </w:r>
      <w:bookmarkEnd w:id="801"/>
      <w:bookmarkEnd w:id="802"/>
      <w:bookmarkEnd w:id="803"/>
      <w:bookmarkEnd w:id="804"/>
    </w:p>
    <w:p w:rsidR="003A5252" w:rsidRDefault="003A5252" w:rsidP="00497388">
      <w:pPr>
        <w:bidi w:val="0"/>
        <w:rPr>
          <w:lang w:val="fr-CH"/>
        </w:rPr>
      </w:pPr>
    </w:p>
    <w:tbl>
      <w:tblPr>
        <w:tblW w:w="0" w:type="auto"/>
        <w:jc w:val="center"/>
        <w:tblBorders>
          <w:top w:val="nil"/>
          <w:left w:val="nil"/>
          <w:bottom w:val="nil"/>
          <w:right w:val="nil"/>
        </w:tblBorders>
        <w:tblLayout w:type="fixed"/>
        <w:tblLook w:val="0000"/>
      </w:tblPr>
      <w:tblGrid>
        <w:gridCol w:w="3686"/>
        <w:gridCol w:w="1985"/>
        <w:gridCol w:w="1985"/>
        <w:gridCol w:w="1985"/>
      </w:tblGrid>
      <w:tr w:rsidR="003A5252" w:rsidRPr="00E21F0F" w:rsidTr="00026C26">
        <w:trPr>
          <w:jc w:val="center"/>
        </w:trPr>
        <w:tc>
          <w:tcPr>
            <w:tcW w:w="3686" w:type="dxa"/>
            <w:tcBorders>
              <w:top w:val="single" w:sz="4" w:space="0" w:color="000000"/>
              <w:left w:val="single" w:sz="4" w:space="0" w:color="000000"/>
              <w:right w:val="single" w:sz="4" w:space="0" w:color="000000"/>
            </w:tcBorders>
          </w:tcPr>
          <w:p w:rsidR="003A5252" w:rsidRPr="00AA5C49" w:rsidRDefault="003A5252" w:rsidP="00497388">
            <w:pPr>
              <w:pStyle w:val="TableNotitle"/>
              <w:spacing w:before="120"/>
              <w:rPr>
                <w:lang w:val="fr-CH"/>
              </w:rPr>
            </w:pPr>
          </w:p>
        </w:tc>
        <w:tc>
          <w:tcPr>
            <w:tcW w:w="1985" w:type="dxa"/>
            <w:tcBorders>
              <w:top w:val="single" w:sz="4" w:space="0" w:color="000000"/>
              <w:left w:val="single" w:sz="4" w:space="0" w:color="000000"/>
              <w:right w:val="single" w:sz="4" w:space="0" w:color="000000"/>
            </w:tcBorders>
            <w:vAlign w:val="bottom"/>
          </w:tcPr>
          <w:p w:rsidR="003A5252" w:rsidRPr="00E21F0F" w:rsidRDefault="003A5252" w:rsidP="00497388">
            <w:pPr>
              <w:pStyle w:val="TableNotitle"/>
              <w:spacing w:before="120"/>
            </w:pPr>
            <w:r w:rsidRPr="00E21F0F">
              <w:t xml:space="preserve">Etablissement </w:t>
            </w:r>
          </w:p>
        </w:tc>
        <w:tc>
          <w:tcPr>
            <w:tcW w:w="1985" w:type="dxa"/>
            <w:tcBorders>
              <w:top w:val="single" w:sz="4" w:space="0" w:color="000000"/>
              <w:left w:val="single" w:sz="4" w:space="0" w:color="000000"/>
              <w:right w:val="single" w:sz="4" w:space="0" w:color="000000"/>
            </w:tcBorders>
            <w:vAlign w:val="bottom"/>
          </w:tcPr>
          <w:p w:rsidR="003A5252" w:rsidRPr="00E21F0F" w:rsidRDefault="003A5252" w:rsidP="00497388">
            <w:pPr>
              <w:pStyle w:val="TableNotitle"/>
              <w:spacing w:before="120"/>
            </w:pPr>
            <w:r w:rsidRPr="00E21F0F">
              <w:t xml:space="preserve">Renouvellement </w:t>
            </w:r>
          </w:p>
        </w:tc>
        <w:tc>
          <w:tcPr>
            <w:tcW w:w="1985" w:type="dxa"/>
            <w:tcBorders>
              <w:top w:val="single" w:sz="4" w:space="0" w:color="000000"/>
              <w:left w:val="single" w:sz="4" w:space="0" w:color="000000"/>
              <w:right w:val="single" w:sz="4" w:space="0" w:color="000000"/>
            </w:tcBorders>
            <w:vAlign w:val="bottom"/>
          </w:tcPr>
          <w:p w:rsidR="003A5252" w:rsidRPr="00E21F0F" w:rsidRDefault="003A5252" w:rsidP="00497388">
            <w:pPr>
              <w:pStyle w:val="TableNotitle"/>
              <w:spacing w:before="120"/>
            </w:pPr>
            <w:r w:rsidRPr="00E21F0F">
              <w:t xml:space="preserve">DUPLICATA </w:t>
            </w:r>
          </w:p>
        </w:tc>
      </w:tr>
      <w:tr w:rsidR="003A5252" w:rsidRPr="00E21F0F" w:rsidTr="00026C26">
        <w:trPr>
          <w:jc w:val="center"/>
        </w:trPr>
        <w:tc>
          <w:tcPr>
            <w:tcW w:w="3686" w:type="dxa"/>
            <w:tcBorders>
              <w:left w:val="single" w:sz="4" w:space="0" w:color="000000"/>
              <w:right w:val="single" w:sz="4" w:space="0" w:color="000000"/>
            </w:tcBorders>
          </w:tcPr>
          <w:p w:rsidR="003A5252" w:rsidRPr="00E21F0F" w:rsidRDefault="003A5252" w:rsidP="00497388">
            <w:pPr>
              <w:pStyle w:val="Default"/>
              <w:tabs>
                <w:tab w:val="left" w:pos="420"/>
              </w:tabs>
              <w:ind w:left="420" w:hanging="420"/>
              <w:rPr>
                <w:rFonts w:asciiTheme="majorBidi" w:hAnsiTheme="majorBidi" w:cstheme="majorBidi"/>
                <w:lang w:val="fr-CH"/>
              </w:rPr>
            </w:pPr>
            <w:r w:rsidRPr="00E21F0F">
              <w:rPr>
                <w:rFonts w:asciiTheme="majorBidi" w:hAnsiTheme="majorBidi" w:cstheme="majorBidi"/>
                <w:b/>
                <w:bCs/>
                <w:lang w:val="fr-CH"/>
              </w:rPr>
              <w:t>1</w:t>
            </w:r>
            <w:r>
              <w:rPr>
                <w:rFonts w:asciiTheme="majorBidi" w:hAnsiTheme="majorBidi" w:cstheme="majorBidi"/>
                <w:b/>
                <w:bCs/>
                <w:lang w:val="fr-CH"/>
              </w:rPr>
              <w:tab/>
            </w:r>
            <w:r w:rsidRPr="00E21F0F">
              <w:rPr>
                <w:rFonts w:asciiTheme="majorBidi" w:hAnsiTheme="majorBidi" w:cstheme="majorBidi"/>
                <w:lang w:val="fr-CH"/>
              </w:rPr>
              <w:t xml:space="preserve">Station d’amateur d’aéronef ou de navire </w:t>
            </w:r>
          </w:p>
        </w:tc>
        <w:tc>
          <w:tcPr>
            <w:tcW w:w="1985" w:type="dxa"/>
            <w:tcBorders>
              <w:left w:val="single" w:sz="4" w:space="0" w:color="000000"/>
              <w:right w:val="single" w:sz="4" w:space="0" w:color="000000"/>
            </w:tcBorders>
            <w:vAlign w:val="center"/>
          </w:tcPr>
          <w:p w:rsidR="003A5252" w:rsidRPr="00E21F0F" w:rsidRDefault="003A5252" w:rsidP="00497388">
            <w:pPr>
              <w:pStyle w:val="Default"/>
              <w:jc w:val="center"/>
              <w:rPr>
                <w:rFonts w:asciiTheme="majorBidi" w:hAnsiTheme="majorBidi" w:cstheme="majorBidi"/>
              </w:rPr>
            </w:pPr>
            <w:r w:rsidRPr="00E21F0F">
              <w:rPr>
                <w:rFonts w:asciiTheme="majorBidi" w:hAnsiTheme="majorBidi" w:cstheme="majorBidi"/>
              </w:rPr>
              <w:t>5 800</w:t>
            </w:r>
          </w:p>
        </w:tc>
        <w:tc>
          <w:tcPr>
            <w:tcW w:w="1985" w:type="dxa"/>
            <w:tcBorders>
              <w:left w:val="single" w:sz="4" w:space="0" w:color="000000"/>
              <w:right w:val="single" w:sz="4" w:space="0" w:color="000000"/>
            </w:tcBorders>
            <w:vAlign w:val="center"/>
          </w:tcPr>
          <w:p w:rsidR="003A5252" w:rsidRPr="00E21F0F" w:rsidRDefault="003A5252" w:rsidP="00497388">
            <w:pPr>
              <w:pStyle w:val="Default"/>
              <w:jc w:val="center"/>
              <w:rPr>
                <w:rFonts w:asciiTheme="majorBidi" w:hAnsiTheme="majorBidi" w:cstheme="majorBidi"/>
              </w:rPr>
            </w:pPr>
            <w:r w:rsidRPr="00E21F0F">
              <w:rPr>
                <w:rFonts w:asciiTheme="majorBidi" w:hAnsiTheme="majorBidi" w:cstheme="majorBidi"/>
              </w:rPr>
              <w:t>5 800</w:t>
            </w:r>
          </w:p>
        </w:tc>
        <w:tc>
          <w:tcPr>
            <w:tcW w:w="1985" w:type="dxa"/>
            <w:tcBorders>
              <w:left w:val="single" w:sz="4" w:space="0" w:color="000000"/>
              <w:right w:val="single" w:sz="4" w:space="0" w:color="000000"/>
            </w:tcBorders>
            <w:vAlign w:val="center"/>
          </w:tcPr>
          <w:p w:rsidR="003A5252" w:rsidRPr="00E21F0F" w:rsidRDefault="003A5252" w:rsidP="00497388">
            <w:pPr>
              <w:pStyle w:val="Default"/>
              <w:jc w:val="center"/>
              <w:rPr>
                <w:rFonts w:asciiTheme="majorBidi" w:hAnsiTheme="majorBidi" w:cstheme="majorBidi"/>
              </w:rPr>
            </w:pPr>
            <w:r w:rsidRPr="00E21F0F">
              <w:rPr>
                <w:rFonts w:asciiTheme="majorBidi" w:hAnsiTheme="majorBidi" w:cstheme="majorBidi"/>
              </w:rPr>
              <w:t>11 600</w:t>
            </w:r>
          </w:p>
        </w:tc>
      </w:tr>
      <w:tr w:rsidR="003A5252" w:rsidRPr="00E21F0F" w:rsidTr="00026C26">
        <w:trPr>
          <w:jc w:val="center"/>
        </w:trPr>
        <w:tc>
          <w:tcPr>
            <w:tcW w:w="3686" w:type="dxa"/>
            <w:tcBorders>
              <w:left w:val="single" w:sz="4" w:space="0" w:color="000000"/>
              <w:right w:val="single" w:sz="4" w:space="0" w:color="000000"/>
            </w:tcBorders>
          </w:tcPr>
          <w:p w:rsidR="003A5252" w:rsidRPr="00E21F0F" w:rsidRDefault="003A5252" w:rsidP="00497388">
            <w:pPr>
              <w:pStyle w:val="Default"/>
              <w:tabs>
                <w:tab w:val="left" w:pos="420"/>
              </w:tabs>
              <w:ind w:left="420" w:hanging="420"/>
              <w:rPr>
                <w:rFonts w:asciiTheme="majorBidi" w:hAnsiTheme="majorBidi" w:cstheme="majorBidi"/>
                <w:lang w:val="fr-CH"/>
              </w:rPr>
            </w:pPr>
            <w:r w:rsidRPr="00E21F0F">
              <w:rPr>
                <w:rFonts w:asciiTheme="majorBidi" w:hAnsiTheme="majorBidi" w:cstheme="majorBidi"/>
                <w:lang w:val="fr-CH"/>
              </w:rPr>
              <w:t>2</w:t>
            </w:r>
            <w:r>
              <w:rPr>
                <w:rFonts w:asciiTheme="majorBidi" w:hAnsiTheme="majorBidi" w:cstheme="majorBidi"/>
                <w:lang w:val="fr-CH"/>
              </w:rPr>
              <w:tab/>
            </w:r>
            <w:r w:rsidRPr="00E21F0F">
              <w:rPr>
                <w:rFonts w:asciiTheme="majorBidi" w:hAnsiTheme="majorBidi" w:cstheme="majorBidi"/>
                <w:lang w:val="fr-CH"/>
              </w:rPr>
              <w:t xml:space="preserve">Station terrienne d’amateur, d’aéronef ou de navire </w:t>
            </w:r>
          </w:p>
        </w:tc>
        <w:tc>
          <w:tcPr>
            <w:tcW w:w="1985" w:type="dxa"/>
            <w:tcBorders>
              <w:left w:val="single" w:sz="4" w:space="0" w:color="000000"/>
              <w:right w:val="single" w:sz="4" w:space="0" w:color="000000"/>
            </w:tcBorders>
            <w:vAlign w:val="center"/>
          </w:tcPr>
          <w:p w:rsidR="003A5252" w:rsidRPr="00E21F0F" w:rsidRDefault="003A5252" w:rsidP="00497388">
            <w:pPr>
              <w:pStyle w:val="Default"/>
              <w:jc w:val="center"/>
              <w:rPr>
                <w:rFonts w:asciiTheme="majorBidi" w:hAnsiTheme="majorBidi" w:cstheme="majorBidi"/>
              </w:rPr>
            </w:pPr>
            <w:r w:rsidRPr="00E21F0F">
              <w:rPr>
                <w:rFonts w:asciiTheme="majorBidi" w:hAnsiTheme="majorBidi" w:cstheme="majorBidi"/>
              </w:rPr>
              <w:t>11 600</w:t>
            </w:r>
          </w:p>
        </w:tc>
        <w:tc>
          <w:tcPr>
            <w:tcW w:w="1985" w:type="dxa"/>
            <w:tcBorders>
              <w:left w:val="single" w:sz="4" w:space="0" w:color="000000"/>
              <w:right w:val="single" w:sz="4" w:space="0" w:color="000000"/>
            </w:tcBorders>
            <w:vAlign w:val="center"/>
          </w:tcPr>
          <w:p w:rsidR="003A5252" w:rsidRPr="00E21F0F" w:rsidRDefault="003A5252" w:rsidP="00497388">
            <w:pPr>
              <w:pStyle w:val="Default"/>
              <w:jc w:val="center"/>
              <w:rPr>
                <w:rFonts w:asciiTheme="majorBidi" w:hAnsiTheme="majorBidi" w:cstheme="majorBidi"/>
              </w:rPr>
            </w:pPr>
            <w:r w:rsidRPr="00E21F0F">
              <w:rPr>
                <w:rFonts w:asciiTheme="majorBidi" w:hAnsiTheme="majorBidi" w:cstheme="majorBidi"/>
              </w:rPr>
              <w:t>11 600</w:t>
            </w:r>
          </w:p>
        </w:tc>
        <w:tc>
          <w:tcPr>
            <w:tcW w:w="1985" w:type="dxa"/>
            <w:tcBorders>
              <w:left w:val="single" w:sz="4" w:space="0" w:color="000000"/>
              <w:right w:val="single" w:sz="4" w:space="0" w:color="000000"/>
            </w:tcBorders>
            <w:vAlign w:val="center"/>
          </w:tcPr>
          <w:p w:rsidR="003A5252" w:rsidRPr="00E21F0F" w:rsidRDefault="003A5252" w:rsidP="00497388">
            <w:pPr>
              <w:pStyle w:val="Default"/>
              <w:jc w:val="center"/>
              <w:rPr>
                <w:rFonts w:asciiTheme="majorBidi" w:hAnsiTheme="majorBidi" w:cstheme="majorBidi"/>
              </w:rPr>
            </w:pPr>
            <w:r w:rsidRPr="00E21F0F">
              <w:rPr>
                <w:rFonts w:asciiTheme="majorBidi" w:hAnsiTheme="majorBidi" w:cstheme="majorBidi"/>
              </w:rPr>
              <w:t>23 200</w:t>
            </w:r>
          </w:p>
        </w:tc>
      </w:tr>
      <w:tr w:rsidR="003A5252" w:rsidRPr="00E21F0F" w:rsidTr="00026C26">
        <w:trPr>
          <w:jc w:val="center"/>
        </w:trPr>
        <w:tc>
          <w:tcPr>
            <w:tcW w:w="3686" w:type="dxa"/>
            <w:tcBorders>
              <w:left w:val="single" w:sz="4" w:space="0" w:color="000000"/>
              <w:bottom w:val="single" w:sz="6" w:space="0" w:color="000000"/>
              <w:right w:val="single" w:sz="4" w:space="0" w:color="000000"/>
            </w:tcBorders>
          </w:tcPr>
          <w:p w:rsidR="003A5252" w:rsidRPr="00E21F0F" w:rsidRDefault="003A5252" w:rsidP="00497388">
            <w:pPr>
              <w:pStyle w:val="Default"/>
              <w:tabs>
                <w:tab w:val="left" w:pos="420"/>
              </w:tabs>
              <w:spacing w:after="60"/>
              <w:ind w:left="420" w:hanging="420"/>
              <w:rPr>
                <w:rFonts w:asciiTheme="majorBidi" w:hAnsiTheme="majorBidi" w:cstheme="majorBidi"/>
              </w:rPr>
            </w:pPr>
            <w:r>
              <w:rPr>
                <w:rFonts w:asciiTheme="majorBidi" w:hAnsiTheme="majorBidi" w:cstheme="majorBidi"/>
              </w:rPr>
              <w:t>3</w:t>
            </w:r>
            <w:r>
              <w:rPr>
                <w:rFonts w:asciiTheme="majorBidi" w:hAnsiTheme="majorBidi" w:cstheme="majorBidi"/>
              </w:rPr>
              <w:tab/>
            </w:r>
            <w:r w:rsidRPr="00E21F0F">
              <w:rPr>
                <w:rFonts w:asciiTheme="majorBidi" w:hAnsiTheme="majorBidi" w:cstheme="majorBidi"/>
              </w:rPr>
              <w:t xml:space="preserve">Certificat d’opérateur </w:t>
            </w:r>
          </w:p>
        </w:tc>
        <w:tc>
          <w:tcPr>
            <w:tcW w:w="1985" w:type="dxa"/>
            <w:tcBorders>
              <w:left w:val="single" w:sz="4" w:space="0" w:color="000000"/>
              <w:bottom w:val="single" w:sz="6" w:space="0" w:color="000000"/>
              <w:right w:val="single" w:sz="4" w:space="0" w:color="000000"/>
            </w:tcBorders>
          </w:tcPr>
          <w:p w:rsidR="003A5252" w:rsidRPr="00E21F0F" w:rsidRDefault="003A5252" w:rsidP="00497388">
            <w:pPr>
              <w:pStyle w:val="Default"/>
              <w:spacing w:after="60"/>
              <w:jc w:val="center"/>
              <w:rPr>
                <w:rFonts w:asciiTheme="majorBidi" w:hAnsiTheme="majorBidi" w:cstheme="majorBidi"/>
              </w:rPr>
            </w:pPr>
            <w:r w:rsidRPr="00E21F0F">
              <w:rPr>
                <w:rFonts w:asciiTheme="majorBidi" w:hAnsiTheme="majorBidi" w:cstheme="majorBidi"/>
              </w:rPr>
              <w:t>5 800</w:t>
            </w:r>
          </w:p>
        </w:tc>
        <w:tc>
          <w:tcPr>
            <w:tcW w:w="1985" w:type="dxa"/>
            <w:tcBorders>
              <w:left w:val="single" w:sz="4" w:space="0" w:color="000000"/>
              <w:bottom w:val="single" w:sz="6" w:space="0" w:color="000000"/>
              <w:right w:val="single" w:sz="4" w:space="0" w:color="000000"/>
            </w:tcBorders>
          </w:tcPr>
          <w:p w:rsidR="003A5252" w:rsidRPr="00E21F0F" w:rsidRDefault="003A5252" w:rsidP="00497388">
            <w:pPr>
              <w:pStyle w:val="Default"/>
              <w:spacing w:after="60"/>
              <w:jc w:val="center"/>
              <w:rPr>
                <w:rFonts w:asciiTheme="majorBidi" w:hAnsiTheme="majorBidi" w:cstheme="majorBidi"/>
              </w:rPr>
            </w:pPr>
          </w:p>
        </w:tc>
        <w:tc>
          <w:tcPr>
            <w:tcW w:w="1985" w:type="dxa"/>
            <w:tcBorders>
              <w:left w:val="single" w:sz="4" w:space="0" w:color="000000"/>
              <w:bottom w:val="single" w:sz="6" w:space="0" w:color="000000"/>
              <w:right w:val="single" w:sz="4" w:space="0" w:color="000000"/>
            </w:tcBorders>
          </w:tcPr>
          <w:p w:rsidR="003A5252" w:rsidRPr="00E21F0F" w:rsidRDefault="003A5252" w:rsidP="00497388">
            <w:pPr>
              <w:pStyle w:val="Default"/>
              <w:spacing w:after="60"/>
              <w:jc w:val="center"/>
              <w:rPr>
                <w:rFonts w:asciiTheme="majorBidi" w:hAnsiTheme="majorBidi" w:cstheme="majorBidi"/>
              </w:rPr>
            </w:pPr>
            <w:r w:rsidRPr="00E21F0F">
              <w:rPr>
                <w:rFonts w:asciiTheme="majorBidi" w:hAnsiTheme="majorBidi" w:cstheme="majorBidi"/>
              </w:rPr>
              <w:t>11 600</w:t>
            </w:r>
          </w:p>
        </w:tc>
      </w:tr>
    </w:tbl>
    <w:p w:rsidR="003A5252" w:rsidRDefault="003A5252" w:rsidP="00497388">
      <w:pPr>
        <w:bidi w:val="0"/>
        <w:rPr>
          <w:lang w:val="fr-CH"/>
        </w:rPr>
      </w:pPr>
    </w:p>
    <w:tbl>
      <w:tblPr>
        <w:tblW w:w="0" w:type="auto"/>
        <w:jc w:val="center"/>
        <w:tblBorders>
          <w:top w:val="nil"/>
          <w:left w:val="nil"/>
          <w:bottom w:val="nil"/>
          <w:right w:val="nil"/>
        </w:tblBorders>
        <w:tblLayout w:type="fixed"/>
        <w:tblLook w:val="0000"/>
      </w:tblPr>
      <w:tblGrid>
        <w:gridCol w:w="5670"/>
        <w:gridCol w:w="3969"/>
      </w:tblGrid>
      <w:tr w:rsidR="003A5252" w:rsidRPr="00E21F0F" w:rsidTr="00026C26">
        <w:trPr>
          <w:jc w:val="center"/>
        </w:trPr>
        <w:tc>
          <w:tcPr>
            <w:tcW w:w="5670" w:type="dxa"/>
            <w:tcBorders>
              <w:top w:val="single" w:sz="4" w:space="0" w:color="000000"/>
              <w:left w:val="single" w:sz="4" w:space="0" w:color="000000"/>
              <w:bottom w:val="single" w:sz="6" w:space="0" w:color="000000"/>
              <w:right w:val="single" w:sz="4" w:space="0" w:color="000000"/>
            </w:tcBorders>
          </w:tcPr>
          <w:p w:rsidR="003A5252" w:rsidRDefault="003A5252" w:rsidP="00497388">
            <w:pPr>
              <w:pStyle w:val="Default"/>
              <w:tabs>
                <w:tab w:val="left" w:pos="390"/>
              </w:tabs>
              <w:spacing w:before="60" w:after="60"/>
              <w:rPr>
                <w:rFonts w:asciiTheme="majorBidi" w:hAnsiTheme="majorBidi" w:cstheme="majorBidi"/>
                <w:b/>
                <w:bCs/>
                <w:lang w:val="fr-CH"/>
              </w:rPr>
            </w:pPr>
            <w:r w:rsidRPr="00AA5C49">
              <w:rPr>
                <w:rFonts w:asciiTheme="majorBidi" w:hAnsiTheme="majorBidi" w:cstheme="majorBidi"/>
                <w:b/>
                <w:bCs/>
                <w:lang w:val="fr-CH"/>
              </w:rPr>
              <w:t>1</w:t>
            </w:r>
            <w:r w:rsidRPr="00AA5C49">
              <w:rPr>
                <w:rFonts w:asciiTheme="majorBidi" w:hAnsiTheme="majorBidi" w:cstheme="majorBidi"/>
                <w:b/>
                <w:bCs/>
                <w:lang w:val="fr-CH"/>
              </w:rPr>
              <w:tab/>
              <w:t>Cert</w:t>
            </w:r>
            <w:r w:rsidRPr="00E21F0F">
              <w:rPr>
                <w:rFonts w:asciiTheme="majorBidi" w:hAnsiTheme="majorBidi" w:cstheme="majorBidi"/>
                <w:b/>
                <w:bCs/>
                <w:lang w:val="fr-CH"/>
              </w:rPr>
              <w:t>ificat d’opérateur radiotélégraphique de station de navire</w:t>
            </w:r>
          </w:p>
          <w:p w:rsidR="003A5252" w:rsidRDefault="003A5252" w:rsidP="00497388">
            <w:pPr>
              <w:pStyle w:val="Default"/>
              <w:tabs>
                <w:tab w:val="left" w:pos="390"/>
              </w:tabs>
              <w:ind w:left="720" w:hanging="720"/>
              <w:rPr>
                <w:rFonts w:asciiTheme="majorBidi" w:hAnsiTheme="majorBidi" w:cstheme="majorBidi"/>
                <w:lang w:val="fr-CH"/>
              </w:rPr>
            </w:pPr>
            <w:r>
              <w:rPr>
                <w:rFonts w:asciiTheme="majorBidi" w:hAnsiTheme="majorBidi" w:cstheme="majorBidi"/>
                <w:lang w:val="fr-CH"/>
              </w:rPr>
              <w:tab/>
              <w:t>a.</w:t>
            </w:r>
            <w:r>
              <w:rPr>
                <w:rFonts w:asciiTheme="majorBidi" w:hAnsiTheme="majorBidi" w:cstheme="majorBidi"/>
                <w:lang w:val="fr-CH"/>
              </w:rPr>
              <w:tab/>
            </w:r>
            <w:r w:rsidRPr="00E21F0F">
              <w:rPr>
                <w:rFonts w:asciiTheme="majorBidi" w:hAnsiTheme="majorBidi" w:cstheme="majorBidi"/>
                <w:lang w:val="fr-CH"/>
              </w:rPr>
              <w:t>Certificat général d’opérateur des radiocommunications</w:t>
            </w:r>
          </w:p>
          <w:p w:rsidR="003A5252" w:rsidRDefault="003A5252" w:rsidP="00497388">
            <w:pPr>
              <w:pStyle w:val="Default"/>
              <w:tabs>
                <w:tab w:val="left" w:pos="390"/>
              </w:tabs>
              <w:ind w:left="720" w:hanging="720"/>
              <w:rPr>
                <w:rFonts w:asciiTheme="majorBidi" w:hAnsiTheme="majorBidi" w:cstheme="majorBidi"/>
                <w:lang w:val="fr-CH"/>
              </w:rPr>
            </w:pPr>
            <w:r>
              <w:rPr>
                <w:rFonts w:asciiTheme="majorBidi" w:hAnsiTheme="majorBidi" w:cstheme="majorBidi"/>
                <w:lang w:val="fr-CH"/>
              </w:rPr>
              <w:tab/>
              <w:t>b.</w:t>
            </w:r>
            <w:r>
              <w:rPr>
                <w:rFonts w:asciiTheme="majorBidi" w:hAnsiTheme="majorBidi" w:cstheme="majorBidi"/>
                <w:lang w:val="fr-CH"/>
              </w:rPr>
              <w:tab/>
            </w:r>
            <w:r w:rsidRPr="00E21F0F">
              <w:rPr>
                <w:rFonts w:asciiTheme="majorBidi" w:hAnsiTheme="majorBidi" w:cstheme="majorBidi"/>
                <w:lang w:val="fr-CH"/>
              </w:rPr>
              <w:t>Certificat d’opérateur radiotélégraphiste de première classe</w:t>
            </w:r>
          </w:p>
          <w:p w:rsidR="003A5252" w:rsidRDefault="003A5252" w:rsidP="00497388">
            <w:pPr>
              <w:pStyle w:val="Default"/>
              <w:tabs>
                <w:tab w:val="left" w:pos="390"/>
              </w:tabs>
              <w:ind w:left="720" w:hanging="720"/>
              <w:rPr>
                <w:rFonts w:asciiTheme="majorBidi" w:hAnsiTheme="majorBidi" w:cstheme="majorBidi"/>
                <w:lang w:val="fr-CH"/>
              </w:rPr>
            </w:pPr>
            <w:r>
              <w:rPr>
                <w:rFonts w:asciiTheme="majorBidi" w:hAnsiTheme="majorBidi" w:cstheme="majorBidi"/>
                <w:lang w:val="fr-CH"/>
              </w:rPr>
              <w:tab/>
              <w:t>c.</w:t>
            </w:r>
            <w:r>
              <w:rPr>
                <w:rFonts w:asciiTheme="majorBidi" w:hAnsiTheme="majorBidi" w:cstheme="majorBidi"/>
                <w:lang w:val="fr-CH"/>
              </w:rPr>
              <w:tab/>
            </w:r>
            <w:r w:rsidRPr="00E21F0F">
              <w:rPr>
                <w:rFonts w:asciiTheme="majorBidi" w:hAnsiTheme="majorBidi" w:cstheme="majorBidi"/>
                <w:lang w:val="fr-CH"/>
              </w:rPr>
              <w:t>Certificat d’opérateur radiotélégraphiste de deuxième classe</w:t>
            </w:r>
          </w:p>
          <w:p w:rsidR="003A5252" w:rsidRPr="00E21F0F" w:rsidRDefault="003A5252" w:rsidP="00497388">
            <w:pPr>
              <w:pStyle w:val="Default"/>
              <w:tabs>
                <w:tab w:val="left" w:pos="390"/>
              </w:tabs>
              <w:spacing w:after="60"/>
              <w:rPr>
                <w:rFonts w:asciiTheme="majorBidi" w:hAnsiTheme="majorBidi" w:cstheme="majorBidi"/>
                <w:lang w:val="fr-CH"/>
              </w:rPr>
            </w:pPr>
            <w:r>
              <w:rPr>
                <w:rFonts w:asciiTheme="majorBidi" w:hAnsiTheme="majorBidi" w:cstheme="majorBidi"/>
                <w:lang w:val="fr-CH"/>
              </w:rPr>
              <w:tab/>
              <w:t>d.</w:t>
            </w:r>
            <w:r>
              <w:rPr>
                <w:rFonts w:asciiTheme="majorBidi" w:hAnsiTheme="majorBidi" w:cstheme="majorBidi"/>
                <w:lang w:val="fr-CH"/>
              </w:rPr>
              <w:tab/>
            </w:r>
            <w:r w:rsidRPr="00E21F0F">
              <w:rPr>
                <w:rFonts w:asciiTheme="majorBidi" w:hAnsiTheme="majorBidi" w:cstheme="majorBidi"/>
                <w:lang w:val="fr-CH"/>
              </w:rPr>
              <w:t xml:space="preserve">Certificat spécial d’opérateur radiotélégraphiste </w:t>
            </w:r>
          </w:p>
        </w:tc>
        <w:tc>
          <w:tcPr>
            <w:tcW w:w="3969" w:type="dxa"/>
            <w:tcBorders>
              <w:top w:val="single" w:sz="4" w:space="0" w:color="000000"/>
              <w:left w:val="single" w:sz="4" w:space="0" w:color="000000"/>
              <w:bottom w:val="single" w:sz="6" w:space="0" w:color="000000"/>
              <w:right w:val="single" w:sz="4" w:space="0" w:color="000000"/>
            </w:tcBorders>
          </w:tcPr>
          <w:p w:rsidR="003A5252" w:rsidRPr="00AA5C49" w:rsidRDefault="003A5252" w:rsidP="00497388">
            <w:pPr>
              <w:pStyle w:val="Default"/>
              <w:jc w:val="center"/>
              <w:rPr>
                <w:rFonts w:asciiTheme="majorBidi" w:hAnsiTheme="majorBidi" w:cstheme="majorBidi"/>
                <w:lang w:val="fr-CH"/>
              </w:rPr>
            </w:pPr>
            <w:r w:rsidRPr="00AA5C49">
              <w:rPr>
                <w:rFonts w:asciiTheme="majorBidi" w:hAnsiTheme="majorBidi" w:cstheme="majorBidi"/>
                <w:lang w:val="fr-CH"/>
              </w:rPr>
              <w:br/>
            </w:r>
          </w:p>
          <w:p w:rsidR="003A5252" w:rsidRDefault="003A5252" w:rsidP="00497388">
            <w:pPr>
              <w:pStyle w:val="Default"/>
              <w:jc w:val="center"/>
              <w:rPr>
                <w:rFonts w:asciiTheme="majorBidi" w:hAnsiTheme="majorBidi" w:cstheme="majorBidi"/>
              </w:rPr>
            </w:pPr>
            <w:r w:rsidRPr="00E21F0F">
              <w:rPr>
                <w:rFonts w:asciiTheme="majorBidi" w:hAnsiTheme="majorBidi" w:cstheme="majorBidi"/>
              </w:rPr>
              <w:t>58 000 F</w:t>
            </w:r>
          </w:p>
          <w:p w:rsidR="003A5252" w:rsidRDefault="003A5252" w:rsidP="00497388">
            <w:pPr>
              <w:pStyle w:val="Default"/>
              <w:jc w:val="center"/>
              <w:rPr>
                <w:rFonts w:asciiTheme="majorBidi" w:hAnsiTheme="majorBidi" w:cstheme="majorBidi"/>
              </w:rPr>
            </w:pPr>
            <w:r>
              <w:rPr>
                <w:rFonts w:asciiTheme="majorBidi" w:hAnsiTheme="majorBidi" w:cstheme="majorBidi"/>
              </w:rPr>
              <w:br/>
              <w:t>29 000 F</w:t>
            </w:r>
          </w:p>
          <w:p w:rsidR="003A5252" w:rsidRDefault="003A5252" w:rsidP="00497388">
            <w:pPr>
              <w:pStyle w:val="Default"/>
              <w:jc w:val="center"/>
              <w:rPr>
                <w:rFonts w:asciiTheme="majorBidi" w:hAnsiTheme="majorBidi" w:cstheme="majorBidi"/>
              </w:rPr>
            </w:pPr>
            <w:r>
              <w:rPr>
                <w:rFonts w:asciiTheme="majorBidi" w:hAnsiTheme="majorBidi" w:cstheme="majorBidi"/>
              </w:rPr>
              <w:br/>
              <w:t>29 000 F</w:t>
            </w:r>
          </w:p>
          <w:p w:rsidR="003A5252" w:rsidRPr="00E21F0F" w:rsidRDefault="003A5252" w:rsidP="00497388">
            <w:pPr>
              <w:pStyle w:val="Default"/>
              <w:spacing w:after="60"/>
              <w:jc w:val="center"/>
              <w:rPr>
                <w:rFonts w:asciiTheme="majorBidi" w:hAnsiTheme="majorBidi" w:cstheme="majorBidi"/>
              </w:rPr>
            </w:pPr>
            <w:r>
              <w:rPr>
                <w:rFonts w:asciiTheme="majorBidi" w:hAnsiTheme="majorBidi" w:cstheme="majorBidi"/>
              </w:rPr>
              <w:br/>
            </w:r>
            <w:r w:rsidRPr="00E21F0F">
              <w:rPr>
                <w:rFonts w:asciiTheme="majorBidi" w:hAnsiTheme="majorBidi" w:cstheme="majorBidi"/>
              </w:rPr>
              <w:t>29 000 F</w:t>
            </w:r>
          </w:p>
        </w:tc>
      </w:tr>
    </w:tbl>
    <w:p w:rsidR="00CF48C0" w:rsidRDefault="00CF48C0">
      <w:pPr>
        <w:bidi w:val="0"/>
      </w:pPr>
      <w:r>
        <w:br w:type="page"/>
      </w:r>
    </w:p>
    <w:tbl>
      <w:tblPr>
        <w:tblW w:w="0" w:type="auto"/>
        <w:jc w:val="center"/>
        <w:tblBorders>
          <w:top w:val="nil"/>
          <w:left w:val="nil"/>
          <w:bottom w:val="nil"/>
          <w:right w:val="nil"/>
        </w:tblBorders>
        <w:tblLayout w:type="fixed"/>
        <w:tblLook w:val="0000"/>
      </w:tblPr>
      <w:tblGrid>
        <w:gridCol w:w="5670"/>
        <w:gridCol w:w="3969"/>
      </w:tblGrid>
      <w:tr w:rsidR="003A5252" w:rsidRPr="00E21F0F" w:rsidTr="00026C26">
        <w:trPr>
          <w:jc w:val="center"/>
        </w:trPr>
        <w:tc>
          <w:tcPr>
            <w:tcW w:w="5670" w:type="dxa"/>
            <w:tcBorders>
              <w:top w:val="single" w:sz="6" w:space="0" w:color="000000"/>
              <w:left w:val="single" w:sz="4" w:space="0" w:color="000000"/>
              <w:bottom w:val="single" w:sz="6" w:space="0" w:color="000000"/>
              <w:right w:val="single" w:sz="4" w:space="0" w:color="000000"/>
            </w:tcBorders>
          </w:tcPr>
          <w:p w:rsidR="003A5252" w:rsidRDefault="003A5252" w:rsidP="00497388">
            <w:pPr>
              <w:pStyle w:val="Default"/>
              <w:tabs>
                <w:tab w:val="left" w:pos="390"/>
              </w:tabs>
              <w:spacing w:before="60" w:after="60"/>
              <w:rPr>
                <w:rFonts w:asciiTheme="majorBidi" w:hAnsiTheme="majorBidi" w:cstheme="majorBidi"/>
                <w:b/>
                <w:bCs/>
                <w:lang w:val="fr-CH"/>
              </w:rPr>
            </w:pPr>
            <w:r>
              <w:rPr>
                <w:rFonts w:asciiTheme="majorBidi" w:hAnsiTheme="majorBidi" w:cstheme="majorBidi"/>
                <w:b/>
                <w:bCs/>
                <w:lang w:val="fr-CH"/>
              </w:rPr>
              <w:lastRenderedPageBreak/>
              <w:t>2</w:t>
            </w:r>
            <w:r>
              <w:rPr>
                <w:rFonts w:asciiTheme="majorBidi" w:hAnsiTheme="majorBidi" w:cstheme="majorBidi"/>
                <w:b/>
                <w:bCs/>
                <w:lang w:val="fr-CH"/>
              </w:rPr>
              <w:tab/>
            </w:r>
            <w:r w:rsidRPr="00E21F0F">
              <w:rPr>
                <w:rFonts w:asciiTheme="majorBidi" w:hAnsiTheme="majorBidi" w:cstheme="majorBidi"/>
                <w:b/>
                <w:bCs/>
                <w:lang w:val="fr-CH"/>
              </w:rPr>
              <w:t>Certificat d’opérateur radiotélégraphiste de station d’aéronef ou de navire</w:t>
            </w:r>
          </w:p>
          <w:p w:rsidR="003A5252" w:rsidRPr="00AC0F92" w:rsidRDefault="003A5252" w:rsidP="00497388">
            <w:pPr>
              <w:pStyle w:val="Default"/>
              <w:tabs>
                <w:tab w:val="left" w:pos="390"/>
              </w:tabs>
              <w:ind w:left="720" w:hanging="720"/>
              <w:rPr>
                <w:rFonts w:asciiTheme="majorBidi" w:hAnsiTheme="majorBidi" w:cstheme="majorBidi"/>
                <w:lang w:val="fr-CH"/>
              </w:rPr>
            </w:pPr>
            <w:r w:rsidRPr="00AC0F92">
              <w:rPr>
                <w:rFonts w:asciiTheme="majorBidi" w:hAnsiTheme="majorBidi" w:cstheme="majorBidi"/>
                <w:lang w:val="fr-CH"/>
              </w:rPr>
              <w:tab/>
              <w:t>a.</w:t>
            </w:r>
            <w:r w:rsidRPr="00AC0F92">
              <w:rPr>
                <w:rFonts w:asciiTheme="majorBidi" w:hAnsiTheme="majorBidi" w:cstheme="majorBidi"/>
                <w:lang w:val="fr-CH"/>
              </w:rPr>
              <w:tab/>
              <w:t>Certificat général</w:t>
            </w:r>
          </w:p>
          <w:p w:rsidR="003A5252" w:rsidRPr="00AC0F92" w:rsidRDefault="003A5252" w:rsidP="00497388">
            <w:pPr>
              <w:pStyle w:val="Default"/>
              <w:tabs>
                <w:tab w:val="left" w:pos="390"/>
              </w:tabs>
              <w:spacing w:after="60"/>
              <w:ind w:left="720" w:hanging="720"/>
              <w:rPr>
                <w:rFonts w:asciiTheme="majorBidi" w:hAnsiTheme="majorBidi" w:cstheme="majorBidi"/>
                <w:b/>
                <w:bCs/>
                <w:lang w:val="fr-CH"/>
              </w:rPr>
            </w:pPr>
            <w:r w:rsidRPr="00AC0F92">
              <w:rPr>
                <w:rFonts w:asciiTheme="majorBidi" w:hAnsiTheme="majorBidi" w:cstheme="majorBidi"/>
                <w:lang w:val="fr-CH"/>
              </w:rPr>
              <w:tab/>
              <w:t>b.</w:t>
            </w:r>
            <w:r w:rsidRPr="00AC0F92">
              <w:rPr>
                <w:rFonts w:asciiTheme="majorBidi" w:hAnsiTheme="majorBidi" w:cstheme="majorBidi"/>
                <w:lang w:val="fr-CH"/>
              </w:rPr>
              <w:tab/>
              <w:t>Certificat restreint</w:t>
            </w:r>
          </w:p>
        </w:tc>
        <w:tc>
          <w:tcPr>
            <w:tcW w:w="3969" w:type="dxa"/>
            <w:tcBorders>
              <w:top w:val="single" w:sz="6" w:space="0" w:color="000000"/>
              <w:left w:val="single" w:sz="4" w:space="0" w:color="000000"/>
              <w:bottom w:val="single" w:sz="6" w:space="0" w:color="000000"/>
              <w:right w:val="single" w:sz="4" w:space="0" w:color="000000"/>
            </w:tcBorders>
            <w:vAlign w:val="bottom"/>
          </w:tcPr>
          <w:p w:rsidR="003A5252" w:rsidRPr="00AA5C49" w:rsidRDefault="003A5252" w:rsidP="00497388">
            <w:pPr>
              <w:pStyle w:val="Default"/>
              <w:spacing w:before="60" w:after="60"/>
              <w:jc w:val="center"/>
              <w:rPr>
                <w:rFonts w:asciiTheme="majorBidi" w:hAnsiTheme="majorBidi" w:cstheme="majorBidi"/>
                <w:lang w:val="fr-CH"/>
              </w:rPr>
            </w:pPr>
            <w:r w:rsidRPr="00AA5C49">
              <w:rPr>
                <w:rFonts w:asciiTheme="majorBidi" w:hAnsiTheme="majorBidi" w:cstheme="majorBidi"/>
                <w:lang w:val="fr-CH"/>
              </w:rPr>
              <w:br/>
            </w:r>
          </w:p>
          <w:p w:rsidR="003A5252" w:rsidRDefault="003A5252" w:rsidP="00497388">
            <w:pPr>
              <w:pStyle w:val="Default"/>
              <w:jc w:val="center"/>
              <w:rPr>
                <w:rFonts w:asciiTheme="majorBidi" w:hAnsiTheme="majorBidi" w:cstheme="majorBidi"/>
              </w:rPr>
            </w:pPr>
            <w:r w:rsidRPr="00E21F0F">
              <w:rPr>
                <w:rFonts w:asciiTheme="majorBidi" w:hAnsiTheme="majorBidi" w:cstheme="majorBidi"/>
              </w:rPr>
              <w:t>14 500 F</w:t>
            </w:r>
          </w:p>
          <w:p w:rsidR="003A5252" w:rsidRPr="00E21F0F" w:rsidRDefault="003A5252" w:rsidP="00497388">
            <w:pPr>
              <w:pStyle w:val="Default"/>
              <w:spacing w:after="60"/>
              <w:jc w:val="center"/>
              <w:rPr>
                <w:rFonts w:asciiTheme="majorBidi" w:hAnsiTheme="majorBidi" w:cstheme="majorBidi"/>
              </w:rPr>
            </w:pPr>
            <w:r w:rsidRPr="00E21F0F">
              <w:rPr>
                <w:rFonts w:asciiTheme="majorBidi" w:hAnsiTheme="majorBidi" w:cstheme="majorBidi"/>
              </w:rPr>
              <w:t>14 500 F</w:t>
            </w:r>
          </w:p>
        </w:tc>
      </w:tr>
      <w:tr w:rsidR="003A5252" w:rsidRPr="00E21F0F" w:rsidTr="00026C26">
        <w:trPr>
          <w:jc w:val="center"/>
        </w:trPr>
        <w:tc>
          <w:tcPr>
            <w:tcW w:w="5670" w:type="dxa"/>
            <w:tcBorders>
              <w:top w:val="single" w:sz="6" w:space="0" w:color="000000"/>
              <w:left w:val="single" w:sz="4" w:space="0" w:color="000000"/>
              <w:bottom w:val="single" w:sz="4" w:space="0" w:color="000000"/>
              <w:right w:val="single" w:sz="4" w:space="0" w:color="000000"/>
            </w:tcBorders>
          </w:tcPr>
          <w:p w:rsidR="003A5252" w:rsidRDefault="003A5252" w:rsidP="00497388">
            <w:pPr>
              <w:pStyle w:val="Default"/>
              <w:tabs>
                <w:tab w:val="left" w:pos="390"/>
              </w:tabs>
              <w:spacing w:before="60" w:after="60"/>
              <w:rPr>
                <w:rFonts w:asciiTheme="majorBidi" w:hAnsiTheme="majorBidi" w:cstheme="majorBidi"/>
                <w:b/>
                <w:bCs/>
                <w:lang w:val="fr-CH"/>
              </w:rPr>
            </w:pPr>
            <w:r>
              <w:rPr>
                <w:rFonts w:asciiTheme="majorBidi" w:hAnsiTheme="majorBidi" w:cstheme="majorBidi"/>
                <w:b/>
                <w:bCs/>
                <w:lang w:val="fr-CH"/>
              </w:rPr>
              <w:t>3</w:t>
            </w:r>
            <w:r>
              <w:rPr>
                <w:rFonts w:asciiTheme="majorBidi" w:hAnsiTheme="majorBidi" w:cstheme="majorBidi"/>
                <w:b/>
                <w:bCs/>
                <w:lang w:val="fr-CH"/>
              </w:rPr>
              <w:tab/>
            </w:r>
            <w:r w:rsidRPr="00E21F0F">
              <w:rPr>
                <w:rFonts w:asciiTheme="majorBidi" w:hAnsiTheme="majorBidi" w:cstheme="majorBidi"/>
                <w:b/>
                <w:bCs/>
                <w:lang w:val="fr-CH"/>
              </w:rPr>
              <w:t>Certificat d</w:t>
            </w:r>
            <w:r>
              <w:rPr>
                <w:rFonts w:asciiTheme="majorBidi" w:hAnsiTheme="majorBidi" w:cstheme="majorBidi"/>
                <w:b/>
                <w:bCs/>
                <w:lang w:val="fr-CH"/>
              </w:rPr>
              <w:t>’opérateur de station d’amateur</w:t>
            </w:r>
          </w:p>
          <w:p w:rsidR="003A5252" w:rsidRPr="00D936F2" w:rsidRDefault="003A5252" w:rsidP="00497388">
            <w:pPr>
              <w:pStyle w:val="Default"/>
              <w:tabs>
                <w:tab w:val="left" w:pos="390"/>
              </w:tabs>
              <w:ind w:left="720" w:hanging="720"/>
              <w:rPr>
                <w:rFonts w:asciiTheme="majorBidi" w:hAnsiTheme="majorBidi" w:cstheme="majorBidi"/>
                <w:lang w:val="fr-CH"/>
              </w:rPr>
            </w:pPr>
            <w:r w:rsidRPr="00D936F2">
              <w:rPr>
                <w:rFonts w:asciiTheme="majorBidi" w:hAnsiTheme="majorBidi" w:cstheme="majorBidi"/>
                <w:lang w:val="fr-CH"/>
              </w:rPr>
              <w:tab/>
              <w:t>a.</w:t>
            </w:r>
            <w:r w:rsidRPr="00D936F2">
              <w:rPr>
                <w:rFonts w:asciiTheme="majorBidi" w:hAnsiTheme="majorBidi" w:cstheme="majorBidi"/>
                <w:lang w:val="fr-CH"/>
              </w:rPr>
              <w:tab/>
              <w:t>Radiotélégraphiste</w:t>
            </w:r>
          </w:p>
          <w:p w:rsidR="003A5252" w:rsidRPr="00AC0F92" w:rsidRDefault="003A5252" w:rsidP="00497388">
            <w:pPr>
              <w:pStyle w:val="Default"/>
              <w:tabs>
                <w:tab w:val="left" w:pos="390"/>
              </w:tabs>
              <w:spacing w:after="60"/>
              <w:ind w:left="720" w:hanging="720"/>
              <w:rPr>
                <w:rFonts w:asciiTheme="majorBidi" w:hAnsiTheme="majorBidi" w:cstheme="majorBidi"/>
                <w:b/>
                <w:bCs/>
                <w:lang w:val="fr-CH"/>
              </w:rPr>
            </w:pPr>
            <w:r w:rsidRPr="00D936F2">
              <w:rPr>
                <w:rFonts w:asciiTheme="majorBidi" w:hAnsiTheme="majorBidi" w:cstheme="majorBidi"/>
                <w:lang w:val="fr-CH"/>
              </w:rPr>
              <w:tab/>
              <w:t>b.</w:t>
            </w:r>
            <w:r w:rsidRPr="00D936F2">
              <w:rPr>
                <w:rFonts w:asciiTheme="majorBidi" w:hAnsiTheme="majorBidi" w:cstheme="majorBidi"/>
                <w:lang w:val="fr-CH"/>
              </w:rPr>
              <w:tab/>
              <w:t xml:space="preserve">Radiotélégraphiste </w:t>
            </w:r>
          </w:p>
        </w:tc>
        <w:tc>
          <w:tcPr>
            <w:tcW w:w="3969" w:type="dxa"/>
            <w:tcBorders>
              <w:top w:val="single" w:sz="6" w:space="0" w:color="000000"/>
              <w:left w:val="single" w:sz="4" w:space="0" w:color="000000"/>
              <w:bottom w:val="single" w:sz="4" w:space="0" w:color="000000"/>
              <w:right w:val="single" w:sz="4" w:space="0" w:color="000000"/>
            </w:tcBorders>
          </w:tcPr>
          <w:p w:rsidR="003A5252" w:rsidRDefault="003A5252" w:rsidP="00497388">
            <w:pPr>
              <w:pStyle w:val="Default"/>
              <w:spacing w:before="60"/>
              <w:jc w:val="center"/>
              <w:rPr>
                <w:rFonts w:asciiTheme="majorBidi" w:hAnsiTheme="majorBidi" w:cstheme="majorBidi"/>
              </w:rPr>
            </w:pPr>
          </w:p>
          <w:p w:rsidR="003A5252" w:rsidRDefault="003A5252" w:rsidP="00497388">
            <w:pPr>
              <w:pStyle w:val="Default"/>
              <w:spacing w:before="60"/>
              <w:jc w:val="center"/>
              <w:rPr>
                <w:rFonts w:asciiTheme="majorBidi" w:hAnsiTheme="majorBidi" w:cstheme="majorBidi"/>
              </w:rPr>
            </w:pPr>
            <w:r w:rsidRPr="00E21F0F">
              <w:rPr>
                <w:rFonts w:asciiTheme="majorBidi" w:hAnsiTheme="majorBidi" w:cstheme="majorBidi"/>
              </w:rPr>
              <w:t>14 500 F</w:t>
            </w:r>
          </w:p>
          <w:p w:rsidR="003A5252" w:rsidRPr="00E21F0F" w:rsidRDefault="003A5252" w:rsidP="00497388">
            <w:pPr>
              <w:pStyle w:val="Default"/>
              <w:spacing w:after="60"/>
              <w:jc w:val="center"/>
              <w:rPr>
                <w:rFonts w:asciiTheme="majorBidi" w:hAnsiTheme="majorBidi" w:cstheme="majorBidi"/>
              </w:rPr>
            </w:pPr>
            <w:r w:rsidRPr="00E21F0F">
              <w:rPr>
                <w:rFonts w:asciiTheme="majorBidi" w:hAnsiTheme="majorBidi" w:cstheme="majorBidi"/>
              </w:rPr>
              <w:t>14 500 F</w:t>
            </w:r>
          </w:p>
        </w:tc>
      </w:tr>
    </w:tbl>
    <w:p w:rsidR="003A5252" w:rsidRPr="00E21F0F" w:rsidRDefault="003A5252" w:rsidP="00497388">
      <w:pPr>
        <w:pStyle w:val="Default"/>
        <w:rPr>
          <w:rFonts w:asciiTheme="majorBidi" w:hAnsiTheme="majorBidi" w:cstheme="majorBidi"/>
          <w:lang w:val="fr-CH"/>
        </w:rPr>
      </w:pPr>
    </w:p>
    <w:p w:rsidR="003A5252" w:rsidRDefault="003A5252" w:rsidP="00497388">
      <w:pPr>
        <w:pStyle w:val="Heading1"/>
        <w:bidi w:val="0"/>
        <w:rPr>
          <w:lang w:val="fr-CH"/>
        </w:rPr>
      </w:pPr>
      <w:bookmarkStart w:id="805" w:name="_Toc280260074"/>
      <w:bookmarkStart w:id="806" w:name="_Toc280260926"/>
      <w:bookmarkStart w:id="807" w:name="_Toc280272539"/>
      <w:bookmarkStart w:id="808" w:name="_Toc282768727"/>
      <w:r w:rsidRPr="007C5653">
        <w:rPr>
          <w:lang w:val="fr-CH"/>
        </w:rPr>
        <w:t>IV</w:t>
      </w:r>
      <w:r>
        <w:rPr>
          <w:lang w:val="fr-CH"/>
        </w:rPr>
        <w:t xml:space="preserve"> – </w:t>
      </w:r>
      <w:r w:rsidRPr="007C5653">
        <w:rPr>
          <w:lang w:val="fr-CH"/>
        </w:rPr>
        <w:t>DR</w:t>
      </w:r>
      <w:r>
        <w:rPr>
          <w:lang w:val="fr-CH"/>
        </w:rPr>
        <w:t>OIT DE DELIVRANCE DES AGREMENTS</w:t>
      </w:r>
      <w:bookmarkEnd w:id="805"/>
      <w:bookmarkEnd w:id="806"/>
      <w:bookmarkEnd w:id="807"/>
      <w:bookmarkEnd w:id="808"/>
    </w:p>
    <w:p w:rsidR="003A5252" w:rsidRPr="007C5653" w:rsidRDefault="003A5252" w:rsidP="00497388">
      <w:pPr>
        <w:bidi w:val="0"/>
        <w:spacing w:before="0"/>
        <w:rPr>
          <w:b/>
          <w:bCs/>
          <w:lang w:val="fr-CH"/>
        </w:rPr>
      </w:pPr>
    </w:p>
    <w:tbl>
      <w:tblPr>
        <w:tblW w:w="0" w:type="auto"/>
        <w:jc w:val="center"/>
        <w:tblBorders>
          <w:top w:val="nil"/>
          <w:left w:val="nil"/>
          <w:bottom w:val="nil"/>
          <w:right w:val="nil"/>
        </w:tblBorders>
        <w:tblLayout w:type="fixed"/>
        <w:tblLook w:val="0000"/>
      </w:tblPr>
      <w:tblGrid>
        <w:gridCol w:w="3969"/>
        <w:gridCol w:w="2835"/>
        <w:gridCol w:w="2835"/>
      </w:tblGrid>
      <w:tr w:rsidR="003A5252" w:rsidRPr="00E21F0F" w:rsidTr="00026C26">
        <w:trPr>
          <w:jc w:val="center"/>
        </w:trPr>
        <w:tc>
          <w:tcPr>
            <w:tcW w:w="3969" w:type="dxa"/>
            <w:gridSpan w:val="2"/>
            <w:tcBorders>
              <w:top w:val="single" w:sz="4" w:space="0" w:color="000000"/>
              <w:left w:val="single" w:sz="4" w:space="0" w:color="000000"/>
              <w:bottom w:val="single" w:sz="6" w:space="0" w:color="000000"/>
              <w:right w:val="single" w:sz="4" w:space="0" w:color="000000"/>
            </w:tcBorders>
          </w:tcPr>
          <w:p w:rsidR="003A5252" w:rsidRPr="00E21F0F" w:rsidRDefault="003A5252" w:rsidP="00497388">
            <w:pPr>
              <w:pStyle w:val="TableNotitle"/>
              <w:spacing w:before="120"/>
              <w:rPr>
                <w:lang w:val="fr-CH"/>
              </w:rPr>
            </w:pPr>
            <w:r w:rsidRPr="00E21F0F">
              <w:rPr>
                <w:lang w:val="fr-CH"/>
              </w:rPr>
              <w:t xml:space="preserve">Taxe de constitution de dossier </w:t>
            </w:r>
          </w:p>
        </w:tc>
        <w:tc>
          <w:tcPr>
            <w:tcW w:w="2835" w:type="dxa"/>
            <w:tcBorders>
              <w:top w:val="single" w:sz="4" w:space="0" w:color="000000"/>
              <w:left w:val="single" w:sz="4" w:space="0" w:color="000000"/>
              <w:bottom w:val="single" w:sz="6" w:space="0" w:color="000000"/>
              <w:right w:val="single" w:sz="4" w:space="0" w:color="000000"/>
            </w:tcBorders>
          </w:tcPr>
          <w:p w:rsidR="003A5252" w:rsidRPr="00E21F0F" w:rsidRDefault="003A5252" w:rsidP="00497388">
            <w:pPr>
              <w:pStyle w:val="TableNotitle"/>
              <w:spacing w:before="120"/>
            </w:pPr>
            <w:r w:rsidRPr="00E21F0F">
              <w:t xml:space="preserve">Agrément </w:t>
            </w:r>
          </w:p>
        </w:tc>
      </w:tr>
      <w:tr w:rsidR="003A5252" w:rsidRPr="00E21F0F" w:rsidTr="00026C26">
        <w:trPr>
          <w:jc w:val="center"/>
        </w:trPr>
        <w:tc>
          <w:tcPr>
            <w:tcW w:w="3969" w:type="dxa"/>
            <w:tcBorders>
              <w:top w:val="single" w:sz="6" w:space="0" w:color="000000"/>
              <w:left w:val="single" w:sz="4" w:space="0" w:color="000000"/>
              <w:bottom w:val="single" w:sz="6" w:space="0" w:color="000000"/>
              <w:right w:val="single" w:sz="4" w:space="0" w:color="000000"/>
            </w:tcBorders>
          </w:tcPr>
          <w:p w:rsidR="003A5252" w:rsidRDefault="003A5252" w:rsidP="00497388">
            <w:pPr>
              <w:pStyle w:val="Default"/>
              <w:spacing w:before="60"/>
              <w:rPr>
                <w:rFonts w:asciiTheme="majorBidi" w:hAnsiTheme="majorBidi" w:cstheme="majorBidi"/>
                <w:lang w:val="fr-CH"/>
              </w:rPr>
            </w:pPr>
            <w:r w:rsidRPr="00E21F0F">
              <w:rPr>
                <w:rFonts w:asciiTheme="majorBidi" w:hAnsiTheme="majorBidi" w:cstheme="majorBidi"/>
                <w:lang w:val="fr-CH"/>
              </w:rPr>
              <w:t>1 – Installateur</w:t>
            </w:r>
          </w:p>
          <w:p w:rsidR="003A5252" w:rsidRDefault="003A5252" w:rsidP="00497388">
            <w:pPr>
              <w:pStyle w:val="Default"/>
              <w:rPr>
                <w:rFonts w:asciiTheme="majorBidi" w:hAnsiTheme="majorBidi" w:cstheme="majorBidi"/>
                <w:lang w:val="fr-CH"/>
              </w:rPr>
            </w:pPr>
            <w:r w:rsidRPr="00E21F0F">
              <w:rPr>
                <w:rFonts w:asciiTheme="majorBidi" w:hAnsiTheme="majorBidi" w:cstheme="majorBidi"/>
                <w:lang w:val="fr-CH"/>
              </w:rPr>
              <w:t>2 – Vendeur</w:t>
            </w:r>
          </w:p>
          <w:p w:rsidR="003A5252" w:rsidRDefault="003A5252" w:rsidP="00497388">
            <w:pPr>
              <w:pStyle w:val="Default"/>
              <w:rPr>
                <w:rFonts w:asciiTheme="majorBidi" w:hAnsiTheme="majorBidi" w:cstheme="majorBidi"/>
                <w:lang w:val="fr-CH"/>
              </w:rPr>
            </w:pPr>
            <w:r>
              <w:rPr>
                <w:rFonts w:asciiTheme="majorBidi" w:hAnsiTheme="majorBidi" w:cstheme="majorBidi"/>
                <w:lang w:val="fr-CH"/>
              </w:rPr>
              <w:t>3 – Equipement terminal simple</w:t>
            </w:r>
          </w:p>
          <w:p w:rsidR="003A5252" w:rsidRPr="00E21F0F" w:rsidRDefault="003A5252" w:rsidP="00497388">
            <w:pPr>
              <w:pStyle w:val="Default"/>
              <w:spacing w:after="60"/>
              <w:rPr>
                <w:rFonts w:asciiTheme="majorBidi" w:hAnsiTheme="majorBidi" w:cstheme="majorBidi"/>
                <w:lang w:val="fr-CH"/>
              </w:rPr>
            </w:pPr>
            <w:r w:rsidRPr="00E21F0F">
              <w:rPr>
                <w:rFonts w:asciiTheme="majorBidi" w:hAnsiTheme="majorBidi" w:cstheme="majorBidi"/>
                <w:lang w:val="fr-CH"/>
              </w:rPr>
              <w:t xml:space="preserve">4 – Equipement terminal complexe </w:t>
            </w:r>
          </w:p>
        </w:tc>
        <w:tc>
          <w:tcPr>
            <w:tcW w:w="2835" w:type="dxa"/>
            <w:tcBorders>
              <w:top w:val="single" w:sz="6" w:space="0" w:color="000000"/>
              <w:left w:val="single" w:sz="4" w:space="0" w:color="000000"/>
              <w:bottom w:val="single" w:sz="6" w:space="0" w:color="000000"/>
              <w:right w:val="single" w:sz="4" w:space="0" w:color="000000"/>
            </w:tcBorders>
          </w:tcPr>
          <w:p w:rsidR="003A5252" w:rsidRDefault="003A5252" w:rsidP="00497388">
            <w:pPr>
              <w:pStyle w:val="Default"/>
              <w:spacing w:before="60"/>
              <w:jc w:val="center"/>
              <w:rPr>
                <w:rFonts w:asciiTheme="majorBidi" w:hAnsiTheme="majorBidi" w:cstheme="majorBidi"/>
              </w:rPr>
            </w:pPr>
            <w:r w:rsidRPr="00E21F0F">
              <w:rPr>
                <w:rFonts w:asciiTheme="majorBidi" w:hAnsiTheme="majorBidi" w:cstheme="majorBidi"/>
              </w:rPr>
              <w:t>58 000</w:t>
            </w:r>
          </w:p>
          <w:p w:rsidR="003A5252" w:rsidRDefault="003A5252" w:rsidP="00497388">
            <w:pPr>
              <w:pStyle w:val="Default"/>
              <w:jc w:val="center"/>
              <w:rPr>
                <w:rFonts w:asciiTheme="majorBidi" w:hAnsiTheme="majorBidi" w:cstheme="majorBidi"/>
              </w:rPr>
            </w:pPr>
            <w:r w:rsidRPr="00E21F0F">
              <w:rPr>
                <w:rFonts w:asciiTheme="majorBidi" w:hAnsiTheme="majorBidi" w:cstheme="majorBidi"/>
              </w:rPr>
              <w:t>58 000</w:t>
            </w:r>
          </w:p>
          <w:p w:rsidR="003A5252" w:rsidRDefault="003A5252" w:rsidP="00497388">
            <w:pPr>
              <w:pStyle w:val="Default"/>
              <w:jc w:val="center"/>
              <w:rPr>
                <w:rFonts w:asciiTheme="majorBidi" w:hAnsiTheme="majorBidi" w:cstheme="majorBidi"/>
              </w:rPr>
            </w:pPr>
            <w:r>
              <w:rPr>
                <w:rFonts w:asciiTheme="majorBidi" w:hAnsiTheme="majorBidi" w:cstheme="majorBidi"/>
              </w:rPr>
              <w:t>5 800</w:t>
            </w:r>
          </w:p>
          <w:p w:rsidR="003A5252" w:rsidRPr="00E21F0F" w:rsidRDefault="003A5252" w:rsidP="00497388">
            <w:pPr>
              <w:pStyle w:val="Default"/>
              <w:spacing w:after="60"/>
              <w:jc w:val="center"/>
              <w:rPr>
                <w:rFonts w:asciiTheme="majorBidi" w:hAnsiTheme="majorBidi" w:cstheme="majorBidi"/>
              </w:rPr>
            </w:pPr>
            <w:r w:rsidRPr="00E21F0F">
              <w:rPr>
                <w:rFonts w:asciiTheme="majorBidi" w:hAnsiTheme="majorBidi" w:cstheme="majorBidi"/>
              </w:rPr>
              <w:t>11 600</w:t>
            </w:r>
          </w:p>
        </w:tc>
        <w:tc>
          <w:tcPr>
            <w:tcW w:w="2835" w:type="dxa"/>
            <w:tcBorders>
              <w:top w:val="single" w:sz="6" w:space="0" w:color="000000"/>
              <w:left w:val="single" w:sz="4" w:space="0" w:color="000000"/>
              <w:bottom w:val="single" w:sz="4" w:space="0" w:color="000000"/>
              <w:right w:val="single" w:sz="4" w:space="0" w:color="000000"/>
            </w:tcBorders>
          </w:tcPr>
          <w:p w:rsidR="003A5252" w:rsidRDefault="003A5252" w:rsidP="00497388">
            <w:pPr>
              <w:pStyle w:val="Default"/>
              <w:spacing w:before="60"/>
              <w:jc w:val="center"/>
              <w:rPr>
                <w:rFonts w:asciiTheme="majorBidi" w:hAnsiTheme="majorBidi" w:cstheme="majorBidi"/>
              </w:rPr>
            </w:pPr>
            <w:r w:rsidRPr="00E21F0F">
              <w:rPr>
                <w:rFonts w:asciiTheme="majorBidi" w:hAnsiTheme="majorBidi" w:cstheme="majorBidi"/>
              </w:rPr>
              <w:t>348 000 F</w:t>
            </w:r>
          </w:p>
          <w:p w:rsidR="003A5252" w:rsidRDefault="003A5252" w:rsidP="00497388">
            <w:pPr>
              <w:pStyle w:val="Default"/>
              <w:jc w:val="center"/>
              <w:rPr>
                <w:rFonts w:asciiTheme="majorBidi" w:hAnsiTheme="majorBidi" w:cstheme="majorBidi"/>
              </w:rPr>
            </w:pPr>
            <w:r w:rsidRPr="00E21F0F">
              <w:rPr>
                <w:rFonts w:asciiTheme="majorBidi" w:hAnsiTheme="majorBidi" w:cstheme="majorBidi"/>
              </w:rPr>
              <w:t>145 000 F</w:t>
            </w:r>
          </w:p>
          <w:p w:rsidR="003A5252" w:rsidRDefault="003A5252" w:rsidP="00497388">
            <w:pPr>
              <w:pStyle w:val="Default"/>
              <w:jc w:val="center"/>
              <w:rPr>
                <w:rFonts w:asciiTheme="majorBidi" w:hAnsiTheme="majorBidi" w:cstheme="majorBidi"/>
              </w:rPr>
            </w:pPr>
            <w:r>
              <w:rPr>
                <w:rFonts w:asciiTheme="majorBidi" w:hAnsiTheme="majorBidi" w:cstheme="majorBidi"/>
              </w:rPr>
              <w:t>58 500 F</w:t>
            </w:r>
          </w:p>
          <w:p w:rsidR="003A5252" w:rsidRPr="00E21F0F" w:rsidRDefault="003A5252" w:rsidP="00497388">
            <w:pPr>
              <w:pStyle w:val="Default"/>
              <w:spacing w:after="60"/>
              <w:jc w:val="center"/>
              <w:rPr>
                <w:rFonts w:asciiTheme="majorBidi" w:hAnsiTheme="majorBidi" w:cstheme="majorBidi"/>
              </w:rPr>
            </w:pPr>
            <w:r w:rsidRPr="00E21F0F">
              <w:rPr>
                <w:rFonts w:asciiTheme="majorBidi" w:hAnsiTheme="majorBidi" w:cstheme="majorBidi"/>
              </w:rPr>
              <w:t>116 000 F</w:t>
            </w:r>
          </w:p>
        </w:tc>
      </w:tr>
      <w:tr w:rsidR="003A5252" w:rsidRPr="00E21F0F" w:rsidTr="00026C26">
        <w:trPr>
          <w:jc w:val="center"/>
        </w:trPr>
        <w:tc>
          <w:tcPr>
            <w:tcW w:w="3969" w:type="dxa"/>
            <w:tcBorders>
              <w:top w:val="single" w:sz="6" w:space="0" w:color="000000"/>
              <w:left w:val="single" w:sz="4" w:space="0" w:color="000000"/>
              <w:bottom w:val="single" w:sz="4" w:space="0" w:color="000000"/>
              <w:right w:val="single" w:sz="4" w:space="0" w:color="000000"/>
            </w:tcBorders>
          </w:tcPr>
          <w:p w:rsidR="003A5252" w:rsidRDefault="003A5252" w:rsidP="00497388">
            <w:pPr>
              <w:pStyle w:val="Default"/>
              <w:spacing w:before="60" w:after="60"/>
              <w:rPr>
                <w:rFonts w:asciiTheme="majorBidi" w:hAnsiTheme="majorBidi" w:cstheme="majorBidi"/>
                <w:b/>
                <w:bCs/>
                <w:lang w:val="fr-CH"/>
              </w:rPr>
            </w:pPr>
            <w:r w:rsidRPr="00E21F0F">
              <w:rPr>
                <w:rFonts w:asciiTheme="majorBidi" w:hAnsiTheme="majorBidi" w:cstheme="majorBidi"/>
                <w:b/>
                <w:bCs/>
                <w:lang w:val="fr-CH"/>
              </w:rPr>
              <w:t>V – TAXES D’INTERVENTIONS</w:t>
            </w:r>
          </w:p>
          <w:p w:rsidR="003A5252" w:rsidRDefault="003A5252" w:rsidP="00497388">
            <w:pPr>
              <w:pStyle w:val="Default"/>
              <w:spacing w:before="60"/>
              <w:rPr>
                <w:rFonts w:asciiTheme="majorBidi" w:hAnsiTheme="majorBidi" w:cstheme="majorBidi"/>
                <w:lang w:val="fr-CH"/>
              </w:rPr>
            </w:pPr>
            <w:r>
              <w:rPr>
                <w:rFonts w:asciiTheme="majorBidi" w:hAnsiTheme="majorBidi" w:cstheme="majorBidi"/>
                <w:lang w:val="fr-CH"/>
              </w:rPr>
              <w:t>1 – Cas de brouillages</w:t>
            </w:r>
          </w:p>
          <w:p w:rsidR="003A5252" w:rsidRDefault="003A5252" w:rsidP="00497388">
            <w:pPr>
              <w:pStyle w:val="Default"/>
              <w:rPr>
                <w:rFonts w:asciiTheme="majorBidi" w:hAnsiTheme="majorBidi" w:cstheme="majorBidi"/>
                <w:lang w:val="fr-CH"/>
              </w:rPr>
            </w:pPr>
            <w:r w:rsidRPr="00E21F0F">
              <w:rPr>
                <w:rFonts w:asciiTheme="majorBidi" w:hAnsiTheme="majorBidi" w:cstheme="majorBidi"/>
                <w:lang w:val="fr-CH"/>
              </w:rPr>
              <w:t>2 – Cas de n</w:t>
            </w:r>
            <w:r>
              <w:rPr>
                <w:rFonts w:asciiTheme="majorBidi" w:hAnsiTheme="majorBidi" w:cstheme="majorBidi"/>
                <w:lang w:val="fr-CH"/>
              </w:rPr>
              <w:t>on-conformité des installations</w:t>
            </w:r>
          </w:p>
          <w:p w:rsidR="003A5252" w:rsidRPr="00E21F0F" w:rsidRDefault="003A5252" w:rsidP="00497388">
            <w:pPr>
              <w:pStyle w:val="Default"/>
              <w:spacing w:after="60"/>
              <w:rPr>
                <w:rFonts w:asciiTheme="majorBidi" w:hAnsiTheme="majorBidi" w:cstheme="majorBidi"/>
                <w:lang w:val="fr-CH"/>
              </w:rPr>
            </w:pPr>
            <w:r w:rsidRPr="00E21F0F">
              <w:rPr>
                <w:rFonts w:asciiTheme="majorBidi" w:hAnsiTheme="majorBidi" w:cstheme="majorBidi"/>
                <w:lang w:val="fr-CH"/>
              </w:rPr>
              <w:t xml:space="preserve">3 </w:t>
            </w:r>
            <w:r>
              <w:rPr>
                <w:rFonts w:asciiTheme="majorBidi" w:hAnsiTheme="majorBidi" w:cstheme="majorBidi"/>
                <w:lang w:val="fr-CH"/>
              </w:rPr>
              <w:t xml:space="preserve">– </w:t>
            </w:r>
            <w:r w:rsidRPr="00E21F0F">
              <w:rPr>
                <w:rFonts w:asciiTheme="majorBidi" w:hAnsiTheme="majorBidi" w:cstheme="majorBidi"/>
                <w:lang w:val="fr-CH"/>
              </w:rPr>
              <w:t>Divers</w:t>
            </w:r>
          </w:p>
        </w:tc>
        <w:tc>
          <w:tcPr>
            <w:tcW w:w="2835" w:type="dxa"/>
            <w:tcBorders>
              <w:top w:val="single" w:sz="6" w:space="0" w:color="000000"/>
              <w:left w:val="single" w:sz="4" w:space="0" w:color="000000"/>
              <w:bottom w:val="single" w:sz="4" w:space="0" w:color="000000"/>
              <w:right w:val="single" w:sz="4" w:space="0" w:color="000000"/>
            </w:tcBorders>
          </w:tcPr>
          <w:p w:rsidR="003A5252" w:rsidRPr="00E21F0F" w:rsidRDefault="003A5252" w:rsidP="00497388">
            <w:pPr>
              <w:pStyle w:val="Default"/>
              <w:jc w:val="center"/>
              <w:rPr>
                <w:rFonts w:asciiTheme="majorBidi" w:hAnsiTheme="majorBidi" w:cstheme="majorBidi"/>
                <w:lang w:val="fr-CH"/>
              </w:rPr>
            </w:pPr>
          </w:p>
        </w:tc>
        <w:tc>
          <w:tcPr>
            <w:tcW w:w="2835" w:type="dxa"/>
            <w:tcBorders>
              <w:top w:val="single" w:sz="4" w:space="0" w:color="000000"/>
              <w:left w:val="single" w:sz="4" w:space="0" w:color="000000"/>
              <w:bottom w:val="single" w:sz="4" w:space="0" w:color="000000"/>
              <w:right w:val="single" w:sz="4" w:space="0" w:color="000000"/>
            </w:tcBorders>
          </w:tcPr>
          <w:p w:rsidR="003A5252" w:rsidRDefault="003A5252" w:rsidP="00497388">
            <w:pPr>
              <w:pStyle w:val="Default"/>
              <w:spacing w:before="60"/>
              <w:jc w:val="center"/>
              <w:rPr>
                <w:rFonts w:asciiTheme="majorBidi" w:hAnsiTheme="majorBidi" w:cstheme="majorBidi"/>
              </w:rPr>
            </w:pPr>
          </w:p>
          <w:p w:rsidR="003A5252" w:rsidRDefault="003A5252" w:rsidP="00497388">
            <w:pPr>
              <w:pStyle w:val="Default"/>
              <w:spacing w:before="60"/>
              <w:jc w:val="center"/>
              <w:rPr>
                <w:rFonts w:asciiTheme="majorBidi" w:hAnsiTheme="majorBidi" w:cstheme="majorBidi"/>
              </w:rPr>
            </w:pPr>
            <w:r w:rsidRPr="00E21F0F">
              <w:rPr>
                <w:rFonts w:asciiTheme="majorBidi" w:hAnsiTheme="majorBidi" w:cstheme="majorBidi"/>
              </w:rPr>
              <w:t>116 000 F</w:t>
            </w:r>
          </w:p>
          <w:p w:rsidR="003A5252" w:rsidRDefault="003A5252" w:rsidP="00497388">
            <w:pPr>
              <w:pStyle w:val="Default"/>
              <w:jc w:val="center"/>
              <w:rPr>
                <w:rFonts w:asciiTheme="majorBidi" w:hAnsiTheme="majorBidi" w:cstheme="majorBidi"/>
              </w:rPr>
            </w:pPr>
            <w:r>
              <w:rPr>
                <w:rFonts w:asciiTheme="majorBidi" w:hAnsiTheme="majorBidi" w:cstheme="majorBidi"/>
              </w:rPr>
              <w:t>145 000 F</w:t>
            </w:r>
          </w:p>
          <w:p w:rsidR="003A5252" w:rsidRPr="00E21F0F" w:rsidRDefault="003A5252" w:rsidP="00497388">
            <w:pPr>
              <w:pStyle w:val="Default"/>
              <w:jc w:val="center"/>
              <w:rPr>
                <w:rFonts w:asciiTheme="majorBidi" w:hAnsiTheme="majorBidi" w:cstheme="majorBidi"/>
              </w:rPr>
            </w:pPr>
            <w:r>
              <w:rPr>
                <w:rFonts w:asciiTheme="majorBidi" w:hAnsiTheme="majorBidi" w:cstheme="majorBidi"/>
              </w:rPr>
              <w:br/>
            </w:r>
            <w:r w:rsidRPr="00E21F0F">
              <w:rPr>
                <w:rFonts w:asciiTheme="majorBidi" w:hAnsiTheme="majorBidi" w:cstheme="majorBidi"/>
              </w:rPr>
              <w:t>58 000 F</w:t>
            </w:r>
          </w:p>
        </w:tc>
      </w:tr>
      <w:tr w:rsidR="003A5252" w:rsidRPr="00E21F0F" w:rsidTr="00026C26">
        <w:trPr>
          <w:jc w:val="center"/>
        </w:trPr>
        <w:tc>
          <w:tcPr>
            <w:tcW w:w="3969" w:type="dxa"/>
            <w:tcBorders>
              <w:top w:val="single" w:sz="4" w:space="0" w:color="000000"/>
              <w:left w:val="single" w:sz="4" w:space="0" w:color="000000"/>
              <w:bottom w:val="single" w:sz="4" w:space="0" w:color="000000"/>
              <w:right w:val="single" w:sz="4" w:space="0" w:color="000000"/>
            </w:tcBorders>
            <w:vAlign w:val="bottom"/>
          </w:tcPr>
          <w:p w:rsidR="003A5252" w:rsidRPr="00F60598" w:rsidRDefault="003A5252" w:rsidP="00497388">
            <w:pPr>
              <w:pStyle w:val="Default"/>
              <w:spacing w:before="60" w:after="60"/>
              <w:rPr>
                <w:rFonts w:asciiTheme="majorBidi" w:hAnsiTheme="majorBidi" w:cstheme="majorBidi"/>
                <w:b/>
                <w:bCs/>
                <w:lang w:val="fr-CH"/>
              </w:rPr>
            </w:pPr>
            <w:r w:rsidRPr="00F60598">
              <w:rPr>
                <w:rFonts w:asciiTheme="majorBidi" w:hAnsiTheme="majorBidi" w:cstheme="majorBidi"/>
                <w:b/>
                <w:bCs/>
                <w:lang w:val="fr-CH"/>
              </w:rPr>
              <w:t>VI – VIGNETTES</w:t>
            </w:r>
          </w:p>
          <w:p w:rsidR="003A5252" w:rsidRDefault="003A5252" w:rsidP="00497388">
            <w:pPr>
              <w:pStyle w:val="Default"/>
              <w:spacing w:before="60"/>
              <w:rPr>
                <w:rFonts w:asciiTheme="majorBidi" w:hAnsiTheme="majorBidi" w:cstheme="majorBidi"/>
                <w:lang w:val="fr-CH"/>
              </w:rPr>
            </w:pPr>
            <w:r>
              <w:rPr>
                <w:rFonts w:asciiTheme="majorBidi" w:hAnsiTheme="majorBidi" w:cstheme="majorBidi"/>
                <w:lang w:val="fr-CH"/>
              </w:rPr>
              <w:t>1 – Poste fixe</w:t>
            </w:r>
          </w:p>
          <w:p w:rsidR="003A5252" w:rsidRDefault="003A5252" w:rsidP="00497388">
            <w:pPr>
              <w:pStyle w:val="Default"/>
              <w:rPr>
                <w:rFonts w:asciiTheme="majorBidi" w:hAnsiTheme="majorBidi" w:cstheme="majorBidi"/>
                <w:lang w:val="fr-CH"/>
              </w:rPr>
            </w:pPr>
            <w:r>
              <w:rPr>
                <w:rFonts w:asciiTheme="majorBidi" w:hAnsiTheme="majorBidi" w:cstheme="majorBidi"/>
                <w:lang w:val="fr-CH"/>
              </w:rPr>
              <w:t>2 – Poste mobile</w:t>
            </w:r>
          </w:p>
          <w:p w:rsidR="003A5252" w:rsidRPr="00E21F0F" w:rsidRDefault="003A5252" w:rsidP="00497388">
            <w:pPr>
              <w:pStyle w:val="Default"/>
              <w:spacing w:after="60"/>
              <w:rPr>
                <w:rFonts w:asciiTheme="majorBidi" w:hAnsiTheme="majorBidi" w:cstheme="majorBidi"/>
                <w:lang w:val="fr-CH"/>
              </w:rPr>
            </w:pPr>
            <w:r w:rsidRPr="00E21F0F">
              <w:rPr>
                <w:rFonts w:asciiTheme="majorBidi" w:hAnsiTheme="majorBidi" w:cstheme="majorBidi"/>
                <w:lang w:val="fr-CH"/>
              </w:rPr>
              <w:t xml:space="preserve">3 </w:t>
            </w:r>
            <w:r>
              <w:rPr>
                <w:rFonts w:asciiTheme="majorBidi" w:hAnsiTheme="majorBidi" w:cstheme="majorBidi"/>
                <w:lang w:val="fr-CH"/>
              </w:rPr>
              <w:t xml:space="preserve">– </w:t>
            </w:r>
            <w:r w:rsidRPr="00E21F0F">
              <w:rPr>
                <w:rFonts w:asciiTheme="majorBidi" w:hAnsiTheme="majorBidi" w:cstheme="majorBidi"/>
                <w:lang w:val="fr-CH"/>
              </w:rPr>
              <w:t xml:space="preserve">Portatif </w:t>
            </w:r>
          </w:p>
        </w:tc>
        <w:tc>
          <w:tcPr>
            <w:tcW w:w="2835" w:type="dxa"/>
            <w:tcBorders>
              <w:top w:val="single" w:sz="4" w:space="0" w:color="000000"/>
              <w:left w:val="single" w:sz="4" w:space="0" w:color="000000"/>
              <w:bottom w:val="single" w:sz="4" w:space="0" w:color="000000"/>
              <w:right w:val="single" w:sz="4" w:space="0" w:color="000000"/>
            </w:tcBorders>
          </w:tcPr>
          <w:p w:rsidR="003A5252" w:rsidRPr="00E21F0F" w:rsidRDefault="003A5252" w:rsidP="00497388">
            <w:pPr>
              <w:pStyle w:val="Default"/>
              <w:jc w:val="center"/>
              <w:rPr>
                <w:rFonts w:asciiTheme="majorBidi" w:hAnsiTheme="majorBidi" w:cstheme="majorBidi"/>
                <w:lang w:val="fr-CH"/>
              </w:rPr>
            </w:pPr>
          </w:p>
        </w:tc>
        <w:tc>
          <w:tcPr>
            <w:tcW w:w="2835" w:type="dxa"/>
            <w:tcBorders>
              <w:top w:val="single" w:sz="4" w:space="0" w:color="000000"/>
              <w:left w:val="single" w:sz="4" w:space="0" w:color="000000"/>
              <w:bottom w:val="single" w:sz="4" w:space="0" w:color="000000"/>
              <w:right w:val="single" w:sz="4" w:space="0" w:color="000000"/>
            </w:tcBorders>
          </w:tcPr>
          <w:p w:rsidR="003A5252" w:rsidRDefault="003A5252" w:rsidP="00497388">
            <w:pPr>
              <w:pStyle w:val="Default"/>
              <w:spacing w:before="60" w:after="60"/>
              <w:jc w:val="center"/>
              <w:rPr>
                <w:rFonts w:asciiTheme="majorBidi" w:hAnsiTheme="majorBidi" w:cstheme="majorBidi"/>
              </w:rPr>
            </w:pPr>
          </w:p>
          <w:p w:rsidR="003A5252" w:rsidRDefault="003A5252" w:rsidP="00497388">
            <w:pPr>
              <w:pStyle w:val="Default"/>
              <w:spacing w:before="60"/>
              <w:jc w:val="center"/>
              <w:rPr>
                <w:rFonts w:asciiTheme="majorBidi" w:hAnsiTheme="majorBidi" w:cstheme="majorBidi"/>
              </w:rPr>
            </w:pPr>
            <w:r w:rsidRPr="00E21F0F">
              <w:rPr>
                <w:rFonts w:asciiTheme="majorBidi" w:hAnsiTheme="majorBidi" w:cstheme="majorBidi"/>
              </w:rPr>
              <w:t>2 900 F</w:t>
            </w:r>
          </w:p>
          <w:p w:rsidR="003A5252" w:rsidRDefault="003A5252" w:rsidP="00497388">
            <w:pPr>
              <w:pStyle w:val="Default"/>
              <w:jc w:val="center"/>
              <w:rPr>
                <w:rFonts w:asciiTheme="majorBidi" w:hAnsiTheme="majorBidi" w:cstheme="majorBidi"/>
              </w:rPr>
            </w:pPr>
            <w:r w:rsidRPr="00E21F0F">
              <w:rPr>
                <w:rFonts w:asciiTheme="majorBidi" w:hAnsiTheme="majorBidi" w:cstheme="majorBidi"/>
              </w:rPr>
              <w:t>1 740 F</w:t>
            </w:r>
          </w:p>
          <w:p w:rsidR="003A5252" w:rsidRPr="00E21F0F" w:rsidRDefault="003A5252" w:rsidP="00497388">
            <w:pPr>
              <w:pStyle w:val="Default"/>
              <w:spacing w:after="60"/>
              <w:jc w:val="center"/>
              <w:rPr>
                <w:rFonts w:asciiTheme="majorBidi" w:hAnsiTheme="majorBidi" w:cstheme="majorBidi"/>
              </w:rPr>
            </w:pPr>
            <w:r w:rsidRPr="00E21F0F">
              <w:rPr>
                <w:rFonts w:asciiTheme="majorBidi" w:hAnsiTheme="majorBidi" w:cstheme="majorBidi"/>
              </w:rPr>
              <w:t>1 160 F</w:t>
            </w:r>
          </w:p>
        </w:tc>
      </w:tr>
    </w:tbl>
    <w:p w:rsidR="003A5252" w:rsidRDefault="003A5252" w:rsidP="00497388">
      <w:pPr>
        <w:bidi w:val="0"/>
        <w:rPr>
          <w:lang w:val="fr-CH"/>
        </w:rPr>
      </w:pPr>
    </w:p>
    <w:p w:rsidR="003A5252" w:rsidRPr="00E21F0F" w:rsidRDefault="003A5252" w:rsidP="00497388">
      <w:pPr>
        <w:pStyle w:val="ChapNo0"/>
        <w:rPr>
          <w:rFonts w:asciiTheme="majorBidi" w:hAnsiTheme="majorBidi" w:cstheme="majorBidi"/>
          <w:color w:val="000000"/>
          <w:lang w:val="fr-CH"/>
        </w:rPr>
      </w:pPr>
      <w:bookmarkStart w:id="809" w:name="_Toc280261088"/>
      <w:r w:rsidRPr="00E21F0F">
        <w:rPr>
          <w:lang w:val="fr-CH"/>
        </w:rPr>
        <w:t>CHAPITRE V</w:t>
      </w:r>
      <w:r>
        <w:rPr>
          <w:lang w:val="fr-CH"/>
        </w:rPr>
        <w:br/>
      </w:r>
      <w:r>
        <w:rPr>
          <w:lang w:val="fr-CH"/>
        </w:rPr>
        <w:br/>
      </w:r>
      <w:r w:rsidRPr="00E21F0F">
        <w:rPr>
          <w:rFonts w:asciiTheme="majorBidi" w:hAnsiTheme="majorBidi" w:cstheme="majorBidi"/>
          <w:bCs/>
          <w:color w:val="000000"/>
          <w:lang w:val="fr-CH"/>
        </w:rPr>
        <w:t>DISPOSITION PENALES</w:t>
      </w:r>
      <w:bookmarkEnd w:id="809"/>
    </w:p>
    <w:p w:rsidR="003A5252" w:rsidRPr="00E21F0F" w:rsidRDefault="003A5252" w:rsidP="00497388">
      <w:pPr>
        <w:bidi w:val="0"/>
        <w:spacing w:line="240" w:lineRule="auto"/>
        <w:rPr>
          <w:rFonts w:asciiTheme="majorBidi" w:hAnsiTheme="majorBidi" w:cstheme="majorBidi"/>
          <w:color w:val="000000"/>
          <w:lang w:val="fr-CH"/>
        </w:rPr>
      </w:pPr>
      <w:r w:rsidRPr="0044719B">
        <w:rPr>
          <w:rFonts w:asciiTheme="majorBidi" w:hAnsiTheme="majorBidi" w:cstheme="majorBidi"/>
          <w:b/>
          <w:bCs/>
          <w:color w:val="000000"/>
          <w:u w:val="single"/>
          <w:lang w:val="fr-CH"/>
        </w:rPr>
        <w:t>Art. 15</w:t>
      </w:r>
      <w:r w:rsidRPr="0044719B">
        <w:rPr>
          <w:rFonts w:asciiTheme="majorBidi" w:hAnsiTheme="majorBidi" w:cstheme="majorBidi"/>
          <w:color w:val="000000"/>
          <w:lang w:val="fr-CH"/>
        </w:rPr>
        <w:t xml:space="preserve">: </w:t>
      </w:r>
      <w:r w:rsidRPr="00E21F0F">
        <w:rPr>
          <w:rFonts w:asciiTheme="majorBidi" w:hAnsiTheme="majorBidi" w:cstheme="majorBidi"/>
          <w:color w:val="000000"/>
          <w:lang w:val="fr-CH"/>
        </w:rPr>
        <w:t xml:space="preserve">Les </w:t>
      </w:r>
      <w:r w:rsidRPr="0044719B">
        <w:rPr>
          <w:lang w:val="fr-CH"/>
        </w:rPr>
        <w:t>infractions</w:t>
      </w:r>
      <w:r w:rsidRPr="00E21F0F">
        <w:rPr>
          <w:rFonts w:asciiTheme="majorBidi" w:hAnsiTheme="majorBidi" w:cstheme="majorBidi"/>
          <w:color w:val="000000"/>
          <w:lang w:val="fr-CH"/>
        </w:rPr>
        <w:t xml:space="preserve"> aux dispositions de la présente ordonnance sont sanctionnées par les articles 14 et 35de la loi </w:t>
      </w:r>
    </w:p>
    <w:p w:rsidR="003A5252" w:rsidRPr="00E21F0F" w:rsidRDefault="003A5252" w:rsidP="00497388">
      <w:pPr>
        <w:bidi w:val="0"/>
        <w:spacing w:line="240" w:lineRule="auto"/>
        <w:rPr>
          <w:rFonts w:asciiTheme="majorBidi" w:hAnsiTheme="majorBidi" w:cstheme="majorBidi"/>
          <w:color w:val="000000"/>
          <w:lang w:val="fr-CH"/>
        </w:rPr>
      </w:pPr>
      <w:r w:rsidRPr="00E21F0F">
        <w:rPr>
          <w:rFonts w:asciiTheme="majorBidi" w:hAnsiTheme="majorBidi" w:cstheme="majorBidi"/>
          <w:color w:val="000000"/>
          <w:lang w:val="fr-CH"/>
        </w:rPr>
        <w:t>N°95-526 du 7 juillet 1995, porta</w:t>
      </w:r>
      <w:r>
        <w:rPr>
          <w:rFonts w:asciiTheme="majorBidi" w:hAnsiTheme="majorBidi" w:cstheme="majorBidi"/>
          <w:color w:val="000000"/>
          <w:lang w:val="fr-CH"/>
        </w:rPr>
        <w:t>nt code des télécommunications.</w:t>
      </w:r>
    </w:p>
    <w:p w:rsidR="003A5252" w:rsidRPr="00E21F0F" w:rsidRDefault="003A5252" w:rsidP="00497388">
      <w:pPr>
        <w:bidi w:val="0"/>
        <w:spacing w:line="240" w:lineRule="auto"/>
        <w:rPr>
          <w:rFonts w:asciiTheme="majorBidi" w:hAnsiTheme="majorBidi" w:cstheme="majorBidi"/>
          <w:color w:val="000000"/>
          <w:lang w:val="fr-CH"/>
        </w:rPr>
      </w:pPr>
      <w:r w:rsidRPr="0044719B">
        <w:rPr>
          <w:rFonts w:asciiTheme="majorBidi" w:hAnsiTheme="majorBidi" w:cstheme="majorBidi"/>
          <w:b/>
          <w:bCs/>
          <w:color w:val="000000"/>
          <w:u w:val="single"/>
          <w:lang w:val="fr-CH"/>
        </w:rPr>
        <w:t>Art.</w:t>
      </w:r>
      <w:r>
        <w:rPr>
          <w:rFonts w:asciiTheme="majorBidi" w:hAnsiTheme="majorBidi" w:cstheme="majorBidi"/>
          <w:b/>
          <w:bCs/>
          <w:color w:val="000000"/>
          <w:u w:val="single"/>
          <w:lang w:val="fr-CH"/>
        </w:rPr>
        <w:t xml:space="preserve"> </w:t>
      </w:r>
      <w:r w:rsidRPr="0044719B">
        <w:rPr>
          <w:rFonts w:asciiTheme="majorBidi" w:hAnsiTheme="majorBidi" w:cstheme="majorBidi"/>
          <w:b/>
          <w:bCs/>
          <w:color w:val="000000"/>
          <w:u w:val="single"/>
          <w:lang w:val="fr-CH"/>
        </w:rPr>
        <w:t>16</w:t>
      </w:r>
      <w:r w:rsidRPr="0044719B">
        <w:rPr>
          <w:rFonts w:asciiTheme="majorBidi" w:hAnsiTheme="majorBidi" w:cstheme="majorBidi"/>
          <w:color w:val="000000"/>
          <w:lang w:val="fr-CH"/>
        </w:rPr>
        <w:t xml:space="preserve">: </w:t>
      </w:r>
      <w:r w:rsidRPr="00E21F0F">
        <w:rPr>
          <w:rFonts w:asciiTheme="majorBidi" w:hAnsiTheme="majorBidi" w:cstheme="majorBidi"/>
          <w:color w:val="000000"/>
          <w:lang w:val="fr-CH"/>
        </w:rPr>
        <w:t xml:space="preserve">en outre, le non-paiement des taxes, redevances et contributions entraîne la suspension des autorisation et la </w:t>
      </w:r>
    </w:p>
    <w:p w:rsidR="003A5252" w:rsidRPr="00E21F0F" w:rsidRDefault="003A5252" w:rsidP="00497388">
      <w:pPr>
        <w:bidi w:val="0"/>
        <w:spacing w:line="240" w:lineRule="auto"/>
        <w:rPr>
          <w:rFonts w:asciiTheme="majorBidi" w:hAnsiTheme="majorBidi" w:cstheme="majorBidi"/>
          <w:color w:val="000000"/>
          <w:lang w:val="fr-CH"/>
        </w:rPr>
      </w:pPr>
      <w:r w:rsidRPr="00E21F0F">
        <w:rPr>
          <w:rFonts w:asciiTheme="majorBidi" w:hAnsiTheme="majorBidi" w:cstheme="majorBidi"/>
          <w:color w:val="000000"/>
          <w:lang w:val="fr-CH"/>
        </w:rPr>
        <w:t xml:space="preserve">Mise sous scellés du matériel radioélectrique. </w:t>
      </w:r>
    </w:p>
    <w:p w:rsidR="00CF48C0" w:rsidRDefault="00CF48C0">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Bold" w:eastAsia="SimSun" w:hAnsi="Times New Roman Bold" w:hint="eastAsia"/>
          <w:b/>
          <w:caps/>
          <w:sz w:val="26"/>
          <w:szCs w:val="36"/>
          <w:lang w:val="fr-CH" w:eastAsia="zh-CN"/>
        </w:rPr>
      </w:pPr>
      <w:bookmarkStart w:id="810" w:name="_Toc280261089"/>
      <w:r>
        <w:rPr>
          <w:rFonts w:hint="eastAsia"/>
          <w:lang w:val="fr-CH"/>
        </w:rPr>
        <w:br w:type="page"/>
      </w:r>
    </w:p>
    <w:p w:rsidR="003A5252" w:rsidRPr="00E21F0F" w:rsidRDefault="003A5252" w:rsidP="00497388">
      <w:pPr>
        <w:pStyle w:val="ChapNo0"/>
        <w:rPr>
          <w:rFonts w:asciiTheme="majorBidi" w:hAnsiTheme="majorBidi" w:cstheme="majorBidi"/>
          <w:lang w:val="fr-CH"/>
        </w:rPr>
      </w:pPr>
      <w:r>
        <w:rPr>
          <w:lang w:val="fr-CH"/>
        </w:rPr>
        <w:lastRenderedPageBreak/>
        <w:t>CHAPITRE VI</w:t>
      </w:r>
      <w:r>
        <w:rPr>
          <w:lang w:val="fr-CH"/>
        </w:rPr>
        <w:br/>
      </w:r>
      <w:r>
        <w:rPr>
          <w:lang w:val="fr-CH"/>
        </w:rPr>
        <w:br/>
      </w:r>
      <w:r w:rsidRPr="00E21F0F">
        <w:rPr>
          <w:rFonts w:asciiTheme="majorBidi" w:hAnsiTheme="majorBidi" w:cstheme="majorBidi"/>
          <w:bCs/>
          <w:lang w:val="fr-CH"/>
        </w:rPr>
        <w:t>DISPOSITION FINALES</w:t>
      </w:r>
      <w:bookmarkEnd w:id="810"/>
      <w:r w:rsidRPr="00E21F0F">
        <w:rPr>
          <w:rFonts w:asciiTheme="majorBidi" w:hAnsiTheme="majorBidi" w:cstheme="majorBidi"/>
          <w:bCs/>
          <w:lang w:val="fr-CH"/>
        </w:rPr>
        <w:t xml:space="preserve"> </w:t>
      </w:r>
    </w:p>
    <w:p w:rsidR="003A5252" w:rsidRPr="00E21F0F" w:rsidRDefault="003A5252" w:rsidP="00497388">
      <w:pPr>
        <w:bidi w:val="0"/>
        <w:spacing w:line="240" w:lineRule="auto"/>
        <w:rPr>
          <w:rFonts w:asciiTheme="majorBidi" w:hAnsiTheme="majorBidi" w:cstheme="majorBidi"/>
          <w:lang w:val="fr-CH"/>
        </w:rPr>
      </w:pPr>
      <w:r w:rsidRPr="000B259F">
        <w:rPr>
          <w:rFonts w:asciiTheme="majorBidi" w:hAnsiTheme="majorBidi" w:cstheme="majorBidi"/>
          <w:b/>
          <w:bCs/>
          <w:u w:val="single"/>
          <w:lang w:val="fr-CH"/>
        </w:rPr>
        <w:t>Art.</w:t>
      </w:r>
      <w:r>
        <w:rPr>
          <w:rFonts w:asciiTheme="majorBidi" w:hAnsiTheme="majorBidi" w:cstheme="majorBidi"/>
          <w:b/>
          <w:bCs/>
          <w:u w:val="single"/>
          <w:lang w:val="fr-CH"/>
        </w:rPr>
        <w:t xml:space="preserve"> </w:t>
      </w:r>
      <w:r w:rsidRPr="000B259F">
        <w:rPr>
          <w:rFonts w:asciiTheme="majorBidi" w:hAnsiTheme="majorBidi" w:cstheme="majorBidi"/>
          <w:b/>
          <w:bCs/>
          <w:u w:val="single"/>
          <w:lang w:val="fr-CH"/>
        </w:rPr>
        <w:t>17</w:t>
      </w:r>
      <w:r w:rsidRPr="000B259F">
        <w:rPr>
          <w:rFonts w:asciiTheme="majorBidi" w:hAnsiTheme="majorBidi" w:cstheme="majorBidi"/>
          <w:lang w:val="fr-CH"/>
        </w:rPr>
        <w:t>:</w:t>
      </w:r>
      <w:r w:rsidRPr="00E21F0F">
        <w:rPr>
          <w:rFonts w:asciiTheme="majorBidi" w:hAnsiTheme="majorBidi" w:cstheme="majorBidi"/>
          <w:lang w:val="fr-CH"/>
        </w:rPr>
        <w:t xml:space="preserve"> </w:t>
      </w:r>
      <w:r w:rsidRPr="000B259F">
        <w:rPr>
          <w:rFonts w:asciiTheme="majorBidi" w:hAnsiTheme="majorBidi" w:cstheme="majorBidi"/>
          <w:color w:val="000000"/>
          <w:lang w:val="fr-CH"/>
        </w:rPr>
        <w:t>sont</w:t>
      </w:r>
      <w:r w:rsidRPr="00E21F0F">
        <w:rPr>
          <w:rFonts w:asciiTheme="majorBidi" w:hAnsiTheme="majorBidi" w:cstheme="majorBidi"/>
          <w:lang w:val="fr-CH"/>
        </w:rPr>
        <w:t xml:space="preserve"> abrogées toutes les dispositions antérieures contraires a celles de la présente ordonnance </w:t>
      </w:r>
    </w:p>
    <w:p w:rsidR="003A5252" w:rsidRPr="00E21F0F" w:rsidRDefault="003A5252" w:rsidP="00497388">
      <w:pPr>
        <w:bidi w:val="0"/>
        <w:spacing w:line="240" w:lineRule="auto"/>
        <w:rPr>
          <w:rFonts w:asciiTheme="majorBidi" w:hAnsiTheme="majorBidi" w:cstheme="majorBidi"/>
          <w:lang w:val="fr-CH"/>
        </w:rPr>
      </w:pPr>
      <w:r w:rsidRPr="000B259F">
        <w:rPr>
          <w:rFonts w:asciiTheme="majorBidi" w:hAnsiTheme="majorBidi" w:cstheme="majorBidi"/>
          <w:b/>
          <w:bCs/>
          <w:u w:val="single"/>
          <w:lang w:val="fr-CH"/>
        </w:rPr>
        <w:t>Art.18</w:t>
      </w:r>
      <w:r w:rsidRPr="00E21F0F">
        <w:rPr>
          <w:rFonts w:asciiTheme="majorBidi" w:hAnsiTheme="majorBidi" w:cstheme="majorBidi"/>
          <w:lang w:val="fr-CH"/>
        </w:rPr>
        <w:t>:</w:t>
      </w:r>
      <w:r>
        <w:rPr>
          <w:rFonts w:asciiTheme="majorBidi" w:hAnsiTheme="majorBidi" w:cstheme="majorBidi"/>
          <w:lang w:val="fr-CH"/>
        </w:rPr>
        <w:t xml:space="preserve"> </w:t>
      </w:r>
      <w:r w:rsidRPr="00E21F0F">
        <w:rPr>
          <w:rFonts w:asciiTheme="majorBidi" w:hAnsiTheme="majorBidi" w:cstheme="majorBidi"/>
          <w:lang w:val="fr-CH"/>
        </w:rPr>
        <w:t xml:space="preserve">le ministre de l’Economie et des Finances et le Ministre des infrastructures Economiques </w:t>
      </w:r>
      <w:r w:rsidRPr="000B259F">
        <w:rPr>
          <w:rFonts w:asciiTheme="majorBidi" w:hAnsiTheme="majorBidi" w:cstheme="majorBidi"/>
          <w:color w:val="000000"/>
          <w:lang w:val="fr-CH"/>
        </w:rPr>
        <w:t>sont</w:t>
      </w:r>
      <w:r w:rsidRPr="00E21F0F">
        <w:rPr>
          <w:rFonts w:asciiTheme="majorBidi" w:hAnsiTheme="majorBidi" w:cstheme="majorBidi"/>
          <w:lang w:val="fr-CH"/>
        </w:rPr>
        <w:t xml:space="preserve"> chargés, en ce qui le concerne, de l’application de la présente ordonnance qui sera exécutée comme loi de l’Etat, publiée selon la procédure d’urgence et au journal Officiel de la République de Côte d’Ivoire. </w:t>
      </w:r>
    </w:p>
    <w:p w:rsidR="003A5252" w:rsidRDefault="003A5252" w:rsidP="00497388">
      <w:pPr>
        <w:bidi w:val="0"/>
        <w:spacing w:line="240" w:lineRule="auto"/>
        <w:rPr>
          <w:lang w:val="fr-CH"/>
        </w:rPr>
      </w:pPr>
    </w:p>
    <w:p w:rsidR="003A5252" w:rsidRDefault="003A5252" w:rsidP="00497388">
      <w:pPr>
        <w:bidi w:val="0"/>
        <w:spacing w:line="240" w:lineRule="auto"/>
        <w:rPr>
          <w:lang w:val="fr-CH"/>
        </w:rPr>
      </w:pPr>
    </w:p>
    <w:p w:rsidR="003A5252" w:rsidRPr="00E21F0F" w:rsidRDefault="003A5252" w:rsidP="00497388">
      <w:pPr>
        <w:pStyle w:val="Default"/>
        <w:ind w:left="5367"/>
        <w:jc w:val="both"/>
        <w:rPr>
          <w:rFonts w:asciiTheme="majorBidi" w:hAnsiTheme="majorBidi" w:cstheme="majorBidi"/>
          <w:lang w:val="fr-CH"/>
        </w:rPr>
      </w:pPr>
      <w:r w:rsidRPr="00E21F0F">
        <w:rPr>
          <w:rFonts w:asciiTheme="majorBidi" w:hAnsiTheme="majorBidi" w:cstheme="majorBidi"/>
          <w:lang w:val="fr-CH"/>
        </w:rPr>
        <w:t xml:space="preserve">Fait à Abidjan, le 19 mars 1997 </w:t>
      </w:r>
    </w:p>
    <w:p w:rsidR="003A5252" w:rsidRPr="00E21F0F" w:rsidRDefault="003A5252" w:rsidP="00497388">
      <w:pPr>
        <w:pStyle w:val="Default"/>
        <w:rPr>
          <w:rFonts w:asciiTheme="majorBidi" w:hAnsiTheme="majorBidi" w:cstheme="majorBidi"/>
          <w:lang w:val="fr-CH"/>
        </w:rPr>
      </w:pPr>
    </w:p>
    <w:p w:rsidR="00E32561" w:rsidRPr="00E32561" w:rsidRDefault="00E32561" w:rsidP="00497388">
      <w:pPr>
        <w:bidi w:val="0"/>
        <w:spacing w:before="0"/>
        <w:jc w:val="center"/>
        <w:rPr>
          <w:rtl/>
        </w:rPr>
      </w:pPr>
    </w:p>
    <w:sectPr w:rsidR="00E32561" w:rsidRPr="00E32561" w:rsidSect="006E09AC">
      <w:pgSz w:w="11907" w:h="16834" w:code="9"/>
      <w:pgMar w:top="1418" w:right="1134" w:bottom="1418" w:left="1134" w:header="720" w:footer="72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98A" w:rsidRDefault="0098598A">
      <w:r>
        <w:separator/>
      </w:r>
    </w:p>
  </w:endnote>
  <w:endnote w:type="continuationSeparator" w:id="0">
    <w:p w:rsidR="0098598A" w:rsidRDefault="009859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00000000" w:usb2="00000000" w:usb3="00000000" w:csb0="000001FF"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Hei">
    <w:altName w:val="黑体"/>
    <w:panose1 w:val="02010600030101010101"/>
    <w:charset w:val="86"/>
    <w:family w:val="auto"/>
    <w:pitch w:val="variable"/>
    <w:sig w:usb0="00000001" w:usb1="080E0000" w:usb2="00000010" w:usb3="00000000" w:csb0="00040000" w:csb1="00000000"/>
  </w:font>
  <w:font w:name="StarSymbol">
    <w:altName w:val="MS Mincho"/>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Zurich Ex BT">
    <w:panose1 w:val="020B0505020202020204"/>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0" w:usb1="00000000" w:usb2="00000000" w:usb3="00000000" w:csb0="00000000"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8A" w:rsidRDefault="0098598A" w:rsidP="00587FFB">
    <w:pPr>
      <w:pStyle w:val="Footer"/>
      <w:tabs>
        <w:tab w:val="clear" w:pos="5954"/>
        <w:tab w:val="clear" w:pos="9639"/>
        <w:tab w:val="right" w:pos="7371"/>
      </w:tabs>
      <w:jc w:val="left"/>
    </w:pPr>
    <w:r>
      <w:rPr>
        <w:rFonts w:hint="cs"/>
        <w:rtl/>
      </w:rPr>
      <w:tab/>
    </w:r>
    <w:r w:rsidRPr="0099607C">
      <w:rPr>
        <w:rtl/>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Ind w:w="27" w:type="dxa"/>
      <w:tblLook w:val="01E0"/>
    </w:tblPr>
    <w:tblGrid>
      <w:gridCol w:w="1260"/>
      <w:gridCol w:w="1710"/>
      <w:gridCol w:w="6858"/>
    </w:tblGrid>
    <w:tr w:rsidR="0098598A" w:rsidRPr="0091725A" w:rsidTr="009F76E1">
      <w:trPr>
        <w:trHeight w:val="432"/>
      </w:trPr>
      <w:tc>
        <w:tcPr>
          <w:tcW w:w="1260" w:type="dxa"/>
          <w:tcBorders>
            <w:top w:val="single" w:sz="4" w:space="0" w:color="auto"/>
          </w:tcBorders>
        </w:tcPr>
        <w:p w:rsidR="0098598A" w:rsidRPr="00C03E26" w:rsidRDefault="0098598A" w:rsidP="00A01A4B">
          <w:pPr>
            <w:tabs>
              <w:tab w:val="clear" w:pos="794"/>
              <w:tab w:val="clear" w:pos="1191"/>
              <w:tab w:val="clear" w:pos="1588"/>
              <w:tab w:val="clear" w:pos="1985"/>
            </w:tabs>
            <w:spacing w:before="80" w:line="240" w:lineRule="exact"/>
            <w:jc w:val="left"/>
            <w:rPr>
              <w:sz w:val="16"/>
              <w:szCs w:val="22"/>
              <w:rtl/>
              <w:lang w:val="en-US" w:bidi="ar-EG"/>
            </w:rPr>
          </w:pPr>
          <w:r w:rsidRPr="00C03E26">
            <w:rPr>
              <w:rFonts w:hint="cs"/>
              <w:sz w:val="16"/>
              <w:szCs w:val="22"/>
              <w:rtl/>
              <w:lang w:val="en-US" w:bidi="ar-EG"/>
            </w:rPr>
            <w:t>جهة الاتصال:</w:t>
          </w:r>
        </w:p>
      </w:tc>
      <w:tc>
        <w:tcPr>
          <w:tcW w:w="1710" w:type="dxa"/>
          <w:tcBorders>
            <w:top w:val="single" w:sz="4" w:space="0" w:color="auto"/>
          </w:tcBorders>
        </w:tcPr>
        <w:p w:rsidR="0098598A" w:rsidRPr="00C03E26" w:rsidRDefault="0098598A" w:rsidP="00C03E26">
          <w:pPr>
            <w:spacing w:before="80" w:line="240" w:lineRule="exact"/>
            <w:jc w:val="left"/>
            <w:rPr>
              <w:sz w:val="16"/>
              <w:szCs w:val="22"/>
              <w:rtl/>
              <w:lang w:val="en-US" w:bidi="ar-EG"/>
            </w:rPr>
          </w:pPr>
          <w:r w:rsidRPr="00C03E26">
            <w:rPr>
              <w:rFonts w:hint="cs"/>
              <w:sz w:val="16"/>
              <w:szCs w:val="22"/>
              <w:rtl/>
              <w:lang w:val="en-US"/>
            </w:rPr>
            <w:t>الاسم/المنظمة/الكيان:</w:t>
          </w:r>
          <w:r w:rsidRPr="00C03E26">
            <w:rPr>
              <w:sz w:val="16"/>
              <w:szCs w:val="22"/>
              <w:rtl/>
              <w:lang w:val="en-US"/>
            </w:rPr>
            <w:br/>
          </w:r>
          <w:r w:rsidRPr="00C03E26">
            <w:rPr>
              <w:rFonts w:hint="cs"/>
              <w:sz w:val="16"/>
              <w:szCs w:val="22"/>
              <w:rtl/>
              <w:lang w:val="en-US"/>
            </w:rPr>
            <w:t>رقم الهاتف:</w:t>
          </w:r>
        </w:p>
        <w:p w:rsidR="0098598A" w:rsidRPr="00C03E26" w:rsidRDefault="0098598A" w:rsidP="007D1C9C">
          <w:pPr>
            <w:spacing w:before="30" w:after="120" w:line="240" w:lineRule="exact"/>
            <w:jc w:val="left"/>
            <w:rPr>
              <w:sz w:val="16"/>
              <w:szCs w:val="22"/>
              <w:rtl/>
              <w:lang w:val="en-US"/>
            </w:rPr>
          </w:pPr>
          <w:r w:rsidRPr="00C03E26">
            <w:rPr>
              <w:rFonts w:hint="cs"/>
              <w:sz w:val="16"/>
              <w:szCs w:val="22"/>
              <w:rtl/>
              <w:lang w:val="en-US"/>
            </w:rPr>
            <w:t>البريد الإلكتروني:</w:t>
          </w:r>
        </w:p>
      </w:tc>
      <w:tc>
        <w:tcPr>
          <w:tcW w:w="6858" w:type="dxa"/>
          <w:tcBorders>
            <w:top w:val="single" w:sz="4" w:space="0" w:color="auto"/>
          </w:tcBorders>
        </w:tcPr>
        <w:p w:rsidR="0098598A" w:rsidRPr="00D35A22" w:rsidRDefault="0098598A" w:rsidP="00337118">
          <w:pPr>
            <w:spacing w:before="80" w:line="240" w:lineRule="exact"/>
            <w:jc w:val="left"/>
            <w:rPr>
              <w:sz w:val="16"/>
              <w:szCs w:val="16"/>
              <w:rtl/>
              <w:lang w:val="en-US"/>
            </w:rPr>
          </w:pPr>
          <w:r w:rsidRPr="00D35A22">
            <w:rPr>
              <w:sz w:val="16"/>
              <w:szCs w:val="16"/>
              <w:lang w:val="en-US"/>
            </w:rPr>
            <w:t>Amy L. Sanders, Acting Rapporteur for Question 18-1/22</w:t>
          </w:r>
          <w:r w:rsidRPr="00D35A22">
            <w:rPr>
              <w:rFonts w:hint="cs"/>
              <w:sz w:val="16"/>
              <w:szCs w:val="16"/>
              <w:rtl/>
              <w:lang w:val="en-US"/>
            </w:rPr>
            <w:br/>
          </w:r>
          <w:r w:rsidRPr="00D35A22">
            <w:rPr>
              <w:sz w:val="16"/>
              <w:szCs w:val="16"/>
              <w:lang w:val="en-US"/>
            </w:rPr>
            <w:t>+1 973 884 3950</w:t>
          </w:r>
        </w:p>
        <w:p w:rsidR="0098598A" w:rsidRPr="005A582B" w:rsidRDefault="0098598A" w:rsidP="00DF426B">
          <w:pPr>
            <w:spacing w:before="30" w:line="240" w:lineRule="exact"/>
            <w:jc w:val="left"/>
            <w:rPr>
              <w:sz w:val="16"/>
              <w:szCs w:val="16"/>
              <w:rtl/>
              <w:lang w:val="en-US" w:bidi="ar-EG"/>
            </w:rPr>
          </w:pPr>
          <w:r w:rsidRPr="005A582B">
            <w:rPr>
              <w:rStyle w:val="Hyperlink"/>
              <w:sz w:val="16"/>
              <w:lang w:val="en-US"/>
            </w:rPr>
            <w:t>amy</w:t>
          </w:r>
          <w:hyperlink r:id="rId1" w:history="1">
            <w:r w:rsidRPr="005A582B">
              <w:rPr>
                <w:rStyle w:val="Hyperlink"/>
                <w:sz w:val="16"/>
                <w:lang w:val="en-US"/>
              </w:rPr>
              <w:t>.sanders@alcatel-lucent.com</w:t>
            </w:r>
          </w:hyperlink>
        </w:p>
      </w:tc>
    </w:tr>
  </w:tbl>
  <w:p w:rsidR="0098598A" w:rsidRPr="000C3E16" w:rsidRDefault="0098598A" w:rsidP="000C3E16">
    <w:pPr>
      <w:pStyle w:val="Footer"/>
      <w:bidi w:val="0"/>
      <w:spacing w:line="240" w:lineRule="auto"/>
      <w:rPr>
        <w:sz w:val="2"/>
        <w:szCs w:val="2"/>
        <w:rtl/>
        <w:lang w:val="en-US"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8A" w:rsidRPr="000A70C0" w:rsidRDefault="0098598A" w:rsidP="00C56EAC">
    <w:pPr>
      <w:pStyle w:val="Footer"/>
      <w:tabs>
        <w:tab w:val="clear" w:pos="5954"/>
        <w:tab w:val="left" w:pos="6663"/>
      </w:tabs>
      <w:spacing w:before="120" w:line="240" w:lineRule="auto"/>
      <w:rPr>
        <w:caps w:val="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8A" w:rsidRPr="000A70C0" w:rsidRDefault="0098598A" w:rsidP="00C56EAC">
    <w:pPr>
      <w:pStyle w:val="Footer"/>
      <w:tabs>
        <w:tab w:val="clear" w:pos="5954"/>
        <w:tab w:val="left" w:pos="6379"/>
        <w:tab w:val="right" w:pos="14034"/>
      </w:tabs>
      <w:spacing w:before="120" w:line="240" w:lineRule="auto"/>
      <w:rPr>
        <w:caps w:val="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8A" w:rsidRPr="000A70C0" w:rsidRDefault="002401F9" w:rsidP="00C56EAC">
    <w:pPr>
      <w:pStyle w:val="Footer"/>
      <w:tabs>
        <w:tab w:val="left" w:pos="5670"/>
      </w:tabs>
      <w:spacing w:before="120" w:line="240" w:lineRule="auto"/>
      <w:rPr>
        <w:caps w:val="0"/>
      </w:rPr>
    </w:pPr>
    <w:fldSimple w:instr=" FILENAME \p \* MERGEFORMAT ">
      <w:r w:rsidR="0098598A" w:rsidRPr="009E7287">
        <w:rPr>
          <w:caps w:val="0"/>
        </w:rPr>
        <w:t>P:\ARA\ITU-D\SG-D\SG02\JGRES09\DIV\011A.docx</w:t>
      </w:r>
    </w:fldSimple>
    <w:r w:rsidR="0098598A" w:rsidRPr="000A70C0">
      <w:rPr>
        <w:caps w:val="0"/>
      </w:rPr>
      <w:t xml:space="preserve">   (</w:t>
    </w:r>
    <w:r w:rsidR="0098598A">
      <w:rPr>
        <w:caps w:val="0"/>
      </w:rPr>
      <w:t>298300</w:t>
    </w:r>
    <w:r w:rsidR="0098598A" w:rsidRPr="000A70C0">
      <w:rPr>
        <w:caps w:val="0"/>
      </w:rPr>
      <w:t>)</w:t>
    </w:r>
    <w:r w:rsidR="0098598A" w:rsidRPr="000A70C0">
      <w:rPr>
        <w:caps w:val="0"/>
      </w:rPr>
      <w:tab/>
    </w:r>
    <w:r w:rsidRPr="000A70C0">
      <w:rPr>
        <w:caps w:val="0"/>
      </w:rPr>
      <w:fldChar w:fldCharType="begin"/>
    </w:r>
    <w:r w:rsidR="0098598A" w:rsidRPr="000A70C0">
      <w:rPr>
        <w:caps w:val="0"/>
      </w:rPr>
      <w:instrText xml:space="preserve"> savedate \@ dd.MM.yy </w:instrText>
    </w:r>
    <w:r w:rsidRPr="000A70C0">
      <w:rPr>
        <w:caps w:val="0"/>
      </w:rPr>
      <w:fldChar w:fldCharType="separate"/>
    </w:r>
    <w:r w:rsidR="00AA5C49">
      <w:rPr>
        <w:caps w:val="0"/>
      </w:rPr>
      <w:t>17.01.11</w:t>
    </w:r>
    <w:r w:rsidRPr="000A70C0">
      <w:rPr>
        <w:caps w:val="0"/>
      </w:rPr>
      <w:fldChar w:fldCharType="end"/>
    </w:r>
    <w:r w:rsidR="0098598A" w:rsidRPr="000A70C0">
      <w:rPr>
        <w:caps w:val="0"/>
      </w:rPr>
      <w:tab/>
    </w:r>
    <w:r w:rsidRPr="000A70C0">
      <w:rPr>
        <w:caps w:val="0"/>
      </w:rPr>
      <w:fldChar w:fldCharType="begin"/>
    </w:r>
    <w:r w:rsidR="0098598A" w:rsidRPr="000A70C0">
      <w:rPr>
        <w:caps w:val="0"/>
      </w:rPr>
      <w:instrText xml:space="preserve"> printdate \@ dd.MM.yy </w:instrText>
    </w:r>
    <w:r w:rsidRPr="000A70C0">
      <w:rPr>
        <w:caps w:val="0"/>
      </w:rPr>
      <w:fldChar w:fldCharType="separate"/>
    </w:r>
    <w:r w:rsidR="0098598A">
      <w:rPr>
        <w:caps w:val="0"/>
      </w:rPr>
      <w:t>26.11.10</w:t>
    </w:r>
    <w:r w:rsidRPr="000A70C0">
      <w:rPr>
        <w:caps w:val="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8A" w:rsidRPr="000A70C0" w:rsidRDefault="0098598A" w:rsidP="00C56EAC">
    <w:pPr>
      <w:pStyle w:val="Footer"/>
      <w:tabs>
        <w:tab w:val="clear" w:pos="5954"/>
        <w:tab w:val="left" w:pos="6663"/>
      </w:tabs>
      <w:spacing w:before="120" w:line="240" w:lineRule="auto"/>
      <w:rPr>
        <w:caps w:val="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8A" w:rsidRPr="00270362" w:rsidRDefault="0098598A" w:rsidP="002703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98A" w:rsidRDefault="0098598A" w:rsidP="00FB6A8B">
      <w:pPr>
        <w:bidi w:val="0"/>
      </w:pPr>
      <w:r>
        <w:separator/>
      </w:r>
    </w:p>
  </w:footnote>
  <w:footnote w:type="continuationSeparator" w:id="0">
    <w:p w:rsidR="0098598A" w:rsidRDefault="0098598A">
      <w:r>
        <w:continuationSeparator/>
      </w:r>
    </w:p>
  </w:footnote>
  <w:footnote w:id="1">
    <w:p w:rsidR="0098598A" w:rsidRDefault="0098598A" w:rsidP="00FB6A8B">
      <w:pPr>
        <w:pStyle w:val="FootnoteText"/>
        <w:bidi w:val="0"/>
      </w:pPr>
      <w:r>
        <w:rPr>
          <w:rStyle w:val="FootnoteReference"/>
        </w:rPr>
        <w:t>1</w:t>
      </w:r>
      <w:r>
        <w:tab/>
      </w:r>
      <w:r w:rsidRPr="001C4644">
        <w:rPr>
          <w:lang w:val="fr-FR"/>
        </w:rPr>
        <w:t xml:space="preserve">Le terme de « taxe » (ou « impôt ») employé dans ce document est à comprendre dans le sens en usage dans la lange </w:t>
      </w:r>
      <w:r w:rsidRPr="001C4644">
        <w:rPr>
          <w:i/>
          <w:lang w:val="fr-FR"/>
        </w:rPr>
        <w:t>juridique</w:t>
      </w:r>
      <w:r w:rsidRPr="001C4644">
        <w:rPr>
          <w:lang w:val="fr-FR"/>
        </w:rPr>
        <w:t xml:space="preserve"> française. Voir également Chapitre 2.1 ci-dessous. Le Rapport UIT-R SM.2012-1 sur les aspects économiques de la gestion du spectre emploie le terme « taxes d’utilisation du spectre » (Chapitre 2.2.1.2).</w:t>
      </w:r>
    </w:p>
  </w:footnote>
  <w:footnote w:id="2">
    <w:p w:rsidR="0098598A" w:rsidRDefault="0098598A" w:rsidP="00FB6A8B">
      <w:pPr>
        <w:pStyle w:val="FootnoteText"/>
        <w:bidi w:val="0"/>
      </w:pPr>
      <w:r>
        <w:rPr>
          <w:rStyle w:val="FootnoteReference"/>
        </w:rPr>
        <w:t>2</w:t>
      </w:r>
      <w:r>
        <w:tab/>
      </w:r>
      <w:r w:rsidRPr="001C4644">
        <w:rPr>
          <w:lang w:val="fr-FR"/>
        </w:rPr>
        <w:t xml:space="preserve">Le terme de « redevance » employé dans ce document est à comprendre dans le sens en usage dans la lange </w:t>
      </w:r>
      <w:r w:rsidRPr="001C4644">
        <w:rPr>
          <w:i/>
          <w:lang w:val="fr-FR"/>
        </w:rPr>
        <w:t>juridique</w:t>
      </w:r>
      <w:r w:rsidRPr="001C4644">
        <w:rPr>
          <w:lang w:val="fr-FR"/>
        </w:rPr>
        <w:t xml:space="preserve"> française. Voir également Chapitre 2.2 ci-dessous. Le terme employé dans le Rapport UIT-R SM.2012-1 sur les aspects économiques de la gestion du spectre est « taxes calculées en fonction des coûts de gestion du spectre » (Chapitre 2.3.4.1).</w:t>
      </w:r>
    </w:p>
  </w:footnote>
  <w:footnote w:id="3">
    <w:p w:rsidR="0098598A" w:rsidRDefault="0098598A" w:rsidP="00FB6A8B">
      <w:pPr>
        <w:pStyle w:val="FootnoteText"/>
        <w:bidi w:val="0"/>
      </w:pPr>
      <w:r>
        <w:rPr>
          <w:rStyle w:val="FootnoteReference"/>
        </w:rPr>
        <w:t>3</w:t>
      </w:r>
      <w:r>
        <w:tab/>
      </w:r>
      <w:r w:rsidRPr="001C4644">
        <w:rPr>
          <w:lang w:val="fr-FR"/>
        </w:rPr>
        <w:t>L’administré est défini comme toute personne physique ou morale (société) qui est dans un rapport de dépendance vis-à-vis de l’administration.</w:t>
      </w:r>
    </w:p>
  </w:footnote>
  <w:footnote w:id="4">
    <w:p w:rsidR="0098598A" w:rsidRDefault="0098598A" w:rsidP="00FB6A8B">
      <w:pPr>
        <w:pStyle w:val="FootnoteText"/>
        <w:bidi w:val="0"/>
      </w:pPr>
      <w:r>
        <w:rPr>
          <w:rStyle w:val="FootnoteReference"/>
        </w:rPr>
        <w:t>4</w:t>
      </w:r>
      <w:r>
        <w:tab/>
      </w:r>
      <w:r w:rsidRPr="001C4644">
        <w:rPr>
          <w:lang w:val="fr-FR"/>
        </w:rPr>
        <w:t xml:space="preserve">Principe appelé dans le jargon juridique </w:t>
      </w:r>
      <w:r w:rsidRPr="001C4644">
        <w:rPr>
          <w:i/>
          <w:lang w:val="fr-FR"/>
        </w:rPr>
        <w:t>principe de la couverture des coûts</w:t>
      </w:r>
      <w:r w:rsidRPr="001C4644">
        <w:rPr>
          <w:lang w:val="fr-FR"/>
        </w:rPr>
        <w:t>. Celui-ci arrête que le produit total des redevances ne doit pas dépasser la charge financière de la branche de l’administration concernée. Dans le cas où l’usager ne supporte qu’une partie des coûts, le reste est pris en charge par les budgets publics financés par les impôts ou d’autres revenus de l’État. Même si une participation est demandée pour le service obtenu, la part que supporte en fin de compte l’usager ne couvre pas nécessairement l’ensemble des coûts engendrés.</w:t>
      </w:r>
    </w:p>
  </w:footnote>
  <w:footnote w:id="5">
    <w:p w:rsidR="0098598A" w:rsidRDefault="0098598A" w:rsidP="00FB6A8B">
      <w:pPr>
        <w:pStyle w:val="FootnoteText"/>
        <w:bidi w:val="0"/>
      </w:pPr>
      <w:r>
        <w:rPr>
          <w:rStyle w:val="FootnoteReference"/>
        </w:rPr>
        <w:t>5</w:t>
      </w:r>
      <w:r>
        <w:tab/>
      </w:r>
      <w:r w:rsidRPr="001C4644">
        <w:rPr>
          <w:lang w:val="fr-FR"/>
        </w:rPr>
        <w:t xml:space="preserve">Appelé dans le jargon juridique le </w:t>
      </w:r>
      <w:r w:rsidRPr="001C4644">
        <w:rPr>
          <w:i/>
          <w:lang w:val="fr-FR"/>
        </w:rPr>
        <w:t>principe de l’équivalence</w:t>
      </w:r>
      <w:r w:rsidRPr="001C4644">
        <w:rPr>
          <w:lang w:val="fr-FR"/>
        </w:rPr>
        <w:t>. Celui-ci dispose que le montant d’une redevance ne doit pas être en disproportion manifeste avec la valeur objective de la prestation. Cette valeur peut se déterminer par référence à l’utilité qu’en retire l’administré.</w:t>
      </w:r>
    </w:p>
  </w:footnote>
  <w:footnote w:id="6">
    <w:p w:rsidR="0098598A" w:rsidRDefault="0098598A" w:rsidP="00FB6A8B">
      <w:pPr>
        <w:pStyle w:val="FootnoteText"/>
        <w:bidi w:val="0"/>
      </w:pPr>
      <w:r>
        <w:rPr>
          <w:rStyle w:val="FootnoteReference"/>
        </w:rPr>
        <w:t>6</w:t>
      </w:r>
      <w:r>
        <w:tab/>
      </w:r>
      <w:r w:rsidRPr="00BD6343">
        <w:rPr>
          <w:lang w:val="fr-FR"/>
        </w:rPr>
        <w:t>V</w:t>
      </w:r>
      <w:r w:rsidRPr="00BD6343">
        <w:rPr>
          <w:snapToGrid w:val="0"/>
          <w:lang w:val="fr-FR" w:eastAsia="de-DE"/>
        </w:rPr>
        <w:t>oir</w:t>
      </w:r>
      <w:r w:rsidRPr="00BD6343">
        <w:rPr>
          <w:lang w:val="fr-FR"/>
        </w:rPr>
        <w:t xml:space="preserve"> </w:t>
      </w:r>
      <w:hyperlink r:id="rId1" w:history="1">
        <w:r w:rsidRPr="00190938">
          <w:rPr>
            <w:rStyle w:val="Hyperlink"/>
            <w:lang w:val="fr-FR"/>
          </w:rPr>
          <w:t>http://www.admin.ch/ch/f/rs/7/784.106.fr.pdf</w:t>
        </w:r>
      </w:hyperlink>
    </w:p>
  </w:footnote>
  <w:footnote w:id="7">
    <w:p w:rsidR="0098598A" w:rsidRDefault="0098598A" w:rsidP="00FB6A8B">
      <w:pPr>
        <w:pStyle w:val="FootnoteText"/>
        <w:bidi w:val="0"/>
      </w:pPr>
      <w:r>
        <w:rPr>
          <w:rStyle w:val="FootnoteReference"/>
        </w:rPr>
        <w:t>7</w:t>
      </w:r>
      <w:r>
        <w:tab/>
      </w:r>
      <w:r w:rsidRPr="00BD6343">
        <w:rPr>
          <w:lang w:val="fr-FR"/>
        </w:rPr>
        <w:t xml:space="preserve">Voir </w:t>
      </w:r>
      <w:hyperlink r:id="rId2" w:history="1">
        <w:r w:rsidRPr="00190938">
          <w:rPr>
            <w:rStyle w:val="Hyperlink"/>
            <w:lang w:val="fr-FR"/>
          </w:rPr>
          <w:t>http://www.admin.ch/ch/f/rs/7/784.106.12.fr.pdf</w:t>
        </w:r>
      </w:hyperlink>
    </w:p>
  </w:footnote>
  <w:footnote w:id="8">
    <w:p w:rsidR="0098598A" w:rsidRDefault="0098598A" w:rsidP="00FB6A8B">
      <w:pPr>
        <w:pStyle w:val="FootnoteText"/>
        <w:bidi w:val="0"/>
      </w:pPr>
      <w:r>
        <w:rPr>
          <w:rStyle w:val="FootnoteReference"/>
        </w:rPr>
        <w:t>8</w:t>
      </w:r>
      <w:r>
        <w:tab/>
      </w:r>
      <w:r w:rsidRPr="001C4644">
        <w:rPr>
          <w:lang w:val="fr-FR"/>
        </w:rPr>
        <w:t xml:space="preserve">Voir </w:t>
      </w:r>
      <w:hyperlink r:id="rId3" w:history="1">
        <w:r w:rsidRPr="00190938">
          <w:rPr>
            <w:rStyle w:val="Hyperlink"/>
            <w:lang w:val="fr-FR"/>
          </w:rPr>
          <w:t>http://www.admin.ch/ch/f/rs/7/784.10.fr.pdf</w:t>
        </w:r>
      </w:hyperlink>
    </w:p>
  </w:footnote>
  <w:footnote w:id="9">
    <w:p w:rsidR="0098598A" w:rsidRDefault="0098598A" w:rsidP="00FB6A8B">
      <w:pPr>
        <w:pStyle w:val="FootnoteText"/>
        <w:bidi w:val="0"/>
      </w:pPr>
      <w:r>
        <w:rPr>
          <w:rStyle w:val="FootnoteReference"/>
        </w:rPr>
        <w:t>9</w:t>
      </w:r>
      <w:r>
        <w:tab/>
      </w:r>
      <w:r w:rsidRPr="001C4644">
        <w:rPr>
          <w:lang w:val="fr-FR"/>
        </w:rPr>
        <w:t>En Suisse le gouvernement porte le nom de Conseil fédéral. Sur la base de ce pouvoir réglementaire, il a édicté l’OREDT mentionnée ci-dessus.</w:t>
      </w:r>
    </w:p>
  </w:footnote>
  <w:footnote w:id="10">
    <w:p w:rsidR="0098598A" w:rsidRDefault="0098598A" w:rsidP="00FB6A8B">
      <w:pPr>
        <w:pStyle w:val="FootnoteText"/>
        <w:bidi w:val="0"/>
      </w:pPr>
      <w:r>
        <w:rPr>
          <w:rStyle w:val="FootnoteReference"/>
        </w:rPr>
        <w:t>10</w:t>
      </w:r>
      <w:r>
        <w:tab/>
      </w:r>
      <w:r w:rsidRPr="001C4644">
        <w:rPr>
          <w:lang w:val="fr-FR"/>
        </w:rPr>
        <w:t>Voir également le Chapitre 2.2.1.3 du Rapport UIT-R SM.2012-1 sur les aspects économiques de la gestion du spectre.</w:t>
      </w:r>
    </w:p>
  </w:footnote>
  <w:footnote w:id="11">
    <w:p w:rsidR="0098598A" w:rsidRDefault="0098598A" w:rsidP="00FB6A8B">
      <w:pPr>
        <w:pStyle w:val="FootnoteText"/>
        <w:bidi w:val="0"/>
      </w:pPr>
      <w:r>
        <w:rPr>
          <w:rStyle w:val="FootnoteReference"/>
        </w:rPr>
        <w:t>11</w:t>
      </w:r>
      <w:r>
        <w:tab/>
      </w:r>
      <w:r w:rsidRPr="00190938">
        <w:rPr>
          <w:rStyle w:val="FooterChar"/>
          <w:lang w:val="fr-FR"/>
        </w:rPr>
        <w:t>V</w:t>
      </w:r>
      <w:r w:rsidRPr="001C4644">
        <w:rPr>
          <w:lang w:val="fr-FR"/>
        </w:rPr>
        <w:t>oir</w:t>
      </w:r>
      <w:r w:rsidRPr="00190938">
        <w:rPr>
          <w:rStyle w:val="FooterChar"/>
          <w:lang w:val="fr-FR"/>
        </w:rPr>
        <w:t xml:space="preserve"> </w:t>
      </w:r>
      <w:hyperlink r:id="rId4" w:history="1">
        <w:r w:rsidRPr="00FD744E">
          <w:rPr>
            <w:rStyle w:val="Hyperlink"/>
            <w:lang w:val="fr-FR"/>
          </w:rPr>
          <w:t>http://www.admin.ch/ch/f/rs/3/313.32.fr.pd</w:t>
        </w:r>
        <w:r w:rsidRPr="00BD6343">
          <w:rPr>
            <w:rStyle w:val="Hyperlink"/>
            <w:lang w:val="fr-FR"/>
          </w:rPr>
          <w:t>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8A" w:rsidRPr="00C55454" w:rsidRDefault="0098598A" w:rsidP="00C55454">
    <w:pPr>
      <w:pStyle w:val="Header"/>
      <w:tabs>
        <w:tab w:val="center" w:pos="4819"/>
      </w:tabs>
      <w:jc w:val="left"/>
      <w:rPr>
        <w:sz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8A" w:rsidRPr="0099607C" w:rsidRDefault="0098598A" w:rsidP="0099607C">
    <w:pPr>
      <w:pStyle w:val="Header"/>
      <w:rPr>
        <w:rFonts w:cs="Simplified Arabic"/>
        <w:color w:val="808080"/>
        <w:sz w:val="40"/>
        <w:szCs w:val="40"/>
        <w:lang w:val="en-US"/>
      </w:rPr>
    </w:pPr>
    <w:r w:rsidRPr="0099607C">
      <w:rPr>
        <w:rFonts w:cs="Simplified Arabic"/>
        <w:color w:val="808080"/>
        <w:sz w:val="40"/>
        <w:szCs w:val="40"/>
        <w:rtl/>
      </w:rPr>
      <w:t>الاتح</w:t>
    </w:r>
    <w:r w:rsidRPr="0099607C">
      <w:rPr>
        <w:rFonts w:cs="Simplified Arabic" w:hint="cs"/>
        <w:color w:val="808080"/>
        <w:sz w:val="40"/>
        <w:szCs w:val="40"/>
        <w:rtl/>
        <w:lang w:bidi="ar-EG"/>
      </w:rPr>
      <w:t>ـ</w:t>
    </w:r>
    <w:r w:rsidRPr="0099607C">
      <w:rPr>
        <w:rFonts w:cs="Simplified Arabic"/>
        <w:color w:val="808080"/>
        <w:sz w:val="40"/>
        <w:szCs w:val="40"/>
        <w:rtl/>
      </w:rPr>
      <w:t>اد الدول</w:t>
    </w:r>
    <w:r w:rsidRPr="0099607C">
      <w:rPr>
        <w:rFonts w:cs="Simplified Arabic" w:hint="cs"/>
        <w:color w:val="808080"/>
        <w:sz w:val="40"/>
        <w:szCs w:val="40"/>
        <w:rtl/>
      </w:rPr>
      <w:t>ـ</w:t>
    </w:r>
    <w:r w:rsidRPr="0099607C">
      <w:rPr>
        <w:rFonts w:cs="Simplified Arabic"/>
        <w:color w:val="808080"/>
        <w:sz w:val="40"/>
        <w:szCs w:val="40"/>
        <w:rtl/>
      </w:rPr>
      <w:t>ي للاتص</w:t>
    </w:r>
    <w:r w:rsidRPr="0099607C">
      <w:rPr>
        <w:rFonts w:cs="Simplified Arabic" w:hint="cs"/>
        <w:color w:val="808080"/>
        <w:sz w:val="40"/>
        <w:szCs w:val="40"/>
        <w:rtl/>
      </w:rPr>
      <w:t>ـ</w:t>
    </w:r>
    <w:r w:rsidRPr="0099607C">
      <w:rPr>
        <w:rFonts w:cs="Simplified Arabic"/>
        <w:color w:val="808080"/>
        <w:sz w:val="40"/>
        <w:szCs w:val="40"/>
        <w:rtl/>
      </w:rPr>
      <w:t>الات</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8A" w:rsidRPr="00E72812" w:rsidRDefault="0098598A" w:rsidP="00AF4DEE">
    <w:pPr>
      <w:tabs>
        <w:tab w:val="clear" w:pos="794"/>
        <w:tab w:val="clear" w:pos="1191"/>
        <w:tab w:val="clear" w:pos="1588"/>
        <w:tab w:val="clear" w:pos="1985"/>
        <w:tab w:val="center" w:pos="4820"/>
        <w:tab w:val="right" w:pos="9639"/>
      </w:tabs>
      <w:spacing w:before="0"/>
      <w:jc w:val="left"/>
      <w:rPr>
        <w:rFonts w:eastAsia="SimHei"/>
        <w:bCs/>
        <w:w w:val="110"/>
        <w:szCs w:val="18"/>
        <w:lang w:val="en-US" w:bidi="ar-EG"/>
      </w:rPr>
    </w:pPr>
  </w:p>
  <w:p w:rsidR="0098598A" w:rsidRPr="00AF4DEE" w:rsidRDefault="0098598A" w:rsidP="00AF4DEE">
    <w:pPr>
      <w:pStyle w:val="Header"/>
      <w:bidi w:val="0"/>
      <w:jc w:val="right"/>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val="0"/>
        <w:rtl/>
      </w:rPr>
      <w:id w:val="56893699"/>
      <w:docPartObj>
        <w:docPartGallery w:val="Page Numbers (Top of Page)"/>
        <w:docPartUnique/>
      </w:docPartObj>
    </w:sdtPr>
    <w:sdtContent>
      <w:p w:rsidR="0098598A" w:rsidRPr="00C55454" w:rsidRDefault="002401F9" w:rsidP="009B1376">
        <w:pPr>
          <w:pStyle w:val="Header"/>
          <w:tabs>
            <w:tab w:val="center" w:pos="4819"/>
            <w:tab w:val="right" w:pos="9639"/>
          </w:tabs>
          <w:jc w:val="left"/>
          <w:rPr>
            <w:b w:val="0"/>
            <w:bCs w:val="0"/>
          </w:rPr>
        </w:pPr>
        <w:r w:rsidRPr="00DD3657">
          <w:rPr>
            <w:rFonts w:cs="Calibri"/>
            <w:szCs w:val="22"/>
          </w:rPr>
          <w:fldChar w:fldCharType="begin"/>
        </w:r>
        <w:r w:rsidR="0098598A" w:rsidRPr="00DD3657">
          <w:rPr>
            <w:rFonts w:cs="Calibri"/>
            <w:szCs w:val="22"/>
          </w:rPr>
          <w:instrText xml:space="preserve"> PAGE   \* MERGEFORMAT </w:instrText>
        </w:r>
        <w:r w:rsidRPr="00DD3657">
          <w:rPr>
            <w:rFonts w:cs="Calibri"/>
            <w:szCs w:val="22"/>
          </w:rPr>
          <w:fldChar w:fldCharType="separate"/>
        </w:r>
        <w:r w:rsidR="00AA5C49">
          <w:rPr>
            <w:rFonts w:cs="Calibri"/>
            <w:noProof/>
            <w:szCs w:val="22"/>
          </w:rPr>
          <w:t>ii</w:t>
        </w:r>
        <w:r w:rsidRPr="00DD3657">
          <w:rPr>
            <w:rFonts w:cs="Calibri"/>
            <w:szCs w:val="22"/>
          </w:rPr>
          <w:fldChar w:fldCharType="end"/>
        </w:r>
        <w:r w:rsidR="0098598A" w:rsidRPr="00C55454">
          <w:rPr>
            <w:b w:val="0"/>
            <w:bCs w:val="0"/>
          </w:rPr>
          <w:tab/>
        </w:r>
        <w:r w:rsidR="0098598A">
          <w:rPr>
            <w:rFonts w:hint="cs"/>
            <w:rtl/>
          </w:rPr>
          <w:t xml:space="preserve">القرار </w:t>
        </w:r>
        <w:r w:rsidR="0098598A">
          <w:rPr>
            <w:lang w:val="en-US"/>
          </w:rPr>
          <w:t>9</w:t>
        </w:r>
        <w:r w:rsidR="0098598A">
          <w:rPr>
            <w:rFonts w:hint="cs"/>
            <w:rtl/>
            <w:lang w:val="en-US" w:bidi="ar-EG"/>
          </w:rPr>
          <w:t xml:space="preserve"> - الخطوط التوجيهية</w:t>
        </w:r>
        <w:r w:rsidR="0098598A" w:rsidRPr="00C55454">
          <w:rPr>
            <w:b w:val="0"/>
            <w:bCs w:val="0"/>
          </w:rPr>
          <w:tab/>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val="0"/>
        <w:rtl/>
      </w:rPr>
      <w:id w:val="56893700"/>
      <w:docPartObj>
        <w:docPartGallery w:val="Page Numbers (Top of Page)"/>
        <w:docPartUnique/>
      </w:docPartObj>
    </w:sdtPr>
    <w:sdtEndPr>
      <w:rPr>
        <w:rFonts w:cs="Calibri"/>
        <w:b/>
        <w:bCs/>
        <w:szCs w:val="22"/>
      </w:rPr>
    </w:sdtEndPr>
    <w:sdtContent>
      <w:p w:rsidR="0098598A" w:rsidRPr="00DD3657" w:rsidRDefault="0098598A" w:rsidP="009B1376">
        <w:pPr>
          <w:pStyle w:val="Header"/>
          <w:tabs>
            <w:tab w:val="center" w:pos="4819"/>
            <w:tab w:val="right" w:pos="9639"/>
          </w:tabs>
          <w:jc w:val="left"/>
          <w:rPr>
            <w:b w:val="0"/>
            <w:bCs w:val="0"/>
          </w:rPr>
        </w:pPr>
        <w:r w:rsidRPr="00C55454">
          <w:rPr>
            <w:b w:val="0"/>
            <w:bCs w:val="0"/>
          </w:rPr>
          <w:tab/>
        </w:r>
        <w:r>
          <w:rPr>
            <w:rFonts w:hint="cs"/>
            <w:rtl/>
          </w:rPr>
          <w:t xml:space="preserve">القرار </w:t>
        </w:r>
        <w:r>
          <w:rPr>
            <w:lang w:val="en-US"/>
          </w:rPr>
          <w:t>9</w:t>
        </w:r>
        <w:r>
          <w:rPr>
            <w:rFonts w:hint="cs"/>
            <w:rtl/>
            <w:lang w:val="en-US" w:bidi="ar-EG"/>
          </w:rPr>
          <w:t xml:space="preserve"> - الخطوط التوجيهية</w:t>
        </w:r>
        <w:r w:rsidRPr="00C55454">
          <w:rPr>
            <w:b w:val="0"/>
            <w:bCs w:val="0"/>
          </w:rPr>
          <w:tab/>
        </w:r>
        <w:r w:rsidR="002401F9" w:rsidRPr="00DD3657">
          <w:rPr>
            <w:rFonts w:cs="Calibri"/>
            <w:szCs w:val="22"/>
          </w:rPr>
          <w:fldChar w:fldCharType="begin"/>
        </w:r>
        <w:r w:rsidRPr="00DD3657">
          <w:rPr>
            <w:rFonts w:cs="Calibri"/>
            <w:szCs w:val="22"/>
          </w:rPr>
          <w:instrText xml:space="preserve"> PAGE   \* MERGEFORMAT </w:instrText>
        </w:r>
        <w:r w:rsidR="002401F9" w:rsidRPr="00DD3657">
          <w:rPr>
            <w:rFonts w:cs="Calibri"/>
            <w:szCs w:val="22"/>
          </w:rPr>
          <w:fldChar w:fldCharType="separate"/>
        </w:r>
        <w:r w:rsidR="00AA5C49">
          <w:rPr>
            <w:rFonts w:cs="Calibri"/>
            <w:noProof/>
            <w:szCs w:val="22"/>
          </w:rPr>
          <w:t>i</w:t>
        </w:r>
        <w:r w:rsidR="002401F9" w:rsidRPr="00DD3657">
          <w:rPr>
            <w:rFonts w:cs="Calibri"/>
            <w:szCs w:val="22"/>
          </w:rP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val="0"/>
        <w:rtl/>
      </w:rPr>
      <w:id w:val="56893701"/>
      <w:docPartObj>
        <w:docPartGallery w:val="Page Numbers (Top of Page)"/>
        <w:docPartUnique/>
      </w:docPartObj>
    </w:sdtPr>
    <w:sdtContent>
      <w:p w:rsidR="0098598A" w:rsidRPr="00270362" w:rsidRDefault="002401F9" w:rsidP="00270362">
        <w:pPr>
          <w:pStyle w:val="Header"/>
          <w:tabs>
            <w:tab w:val="center" w:pos="4819"/>
            <w:tab w:val="right" w:pos="9639"/>
          </w:tabs>
          <w:jc w:val="left"/>
          <w:rPr>
            <w:b w:val="0"/>
            <w:bCs w:val="0"/>
            <w:rtl/>
          </w:rPr>
        </w:pPr>
        <w:r w:rsidRPr="00DD3657">
          <w:rPr>
            <w:rFonts w:cs="Calibri"/>
            <w:szCs w:val="22"/>
          </w:rPr>
          <w:fldChar w:fldCharType="begin"/>
        </w:r>
        <w:r w:rsidR="0098598A" w:rsidRPr="00DD3657">
          <w:rPr>
            <w:rFonts w:cs="Calibri"/>
            <w:szCs w:val="22"/>
          </w:rPr>
          <w:instrText xml:space="preserve"> PAGE   \* MERGEFORMAT </w:instrText>
        </w:r>
        <w:r w:rsidRPr="00DD3657">
          <w:rPr>
            <w:rFonts w:cs="Calibri"/>
            <w:szCs w:val="22"/>
          </w:rPr>
          <w:fldChar w:fldCharType="separate"/>
        </w:r>
        <w:r w:rsidR="00AA5C49" w:rsidRPr="00AA5C49">
          <w:rPr>
            <w:rFonts w:cs="Calibri"/>
            <w:noProof/>
            <w:szCs w:val="22"/>
            <w:rtl/>
          </w:rPr>
          <w:t>18</w:t>
        </w:r>
        <w:r w:rsidRPr="00DD3657">
          <w:rPr>
            <w:rFonts w:cs="Calibri"/>
            <w:szCs w:val="22"/>
          </w:rPr>
          <w:fldChar w:fldCharType="end"/>
        </w:r>
        <w:r w:rsidR="0098598A" w:rsidRPr="00C55454">
          <w:rPr>
            <w:b w:val="0"/>
            <w:bCs w:val="0"/>
          </w:rPr>
          <w:tab/>
        </w:r>
        <w:r w:rsidR="0098598A">
          <w:rPr>
            <w:rFonts w:hint="cs"/>
            <w:rtl/>
          </w:rPr>
          <w:t xml:space="preserve">القرار </w:t>
        </w:r>
        <w:r w:rsidR="0098598A">
          <w:rPr>
            <w:lang w:val="en-US"/>
          </w:rPr>
          <w:t>9</w:t>
        </w:r>
        <w:r w:rsidR="0098598A">
          <w:rPr>
            <w:rFonts w:hint="cs"/>
            <w:rtl/>
            <w:lang w:val="en-US" w:bidi="ar-EG"/>
          </w:rPr>
          <w:t xml:space="preserve"> - الخطوط التوجيهية</w:t>
        </w:r>
        <w:r w:rsidR="0098598A" w:rsidRPr="00C55454">
          <w:rPr>
            <w:b w:val="0"/>
            <w:bCs w:val="0"/>
          </w:rPr>
          <w:tab/>
        </w: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val="0"/>
        <w:rtl/>
      </w:rPr>
      <w:id w:val="56893702"/>
      <w:docPartObj>
        <w:docPartGallery w:val="Page Numbers (Top of Page)"/>
        <w:docPartUnique/>
      </w:docPartObj>
    </w:sdtPr>
    <w:sdtEndPr>
      <w:rPr>
        <w:rFonts w:cs="Calibri"/>
        <w:b/>
        <w:bCs/>
        <w:szCs w:val="22"/>
      </w:rPr>
    </w:sdtEndPr>
    <w:sdtContent>
      <w:p w:rsidR="0098598A" w:rsidRPr="00270362" w:rsidRDefault="0098598A" w:rsidP="00270362">
        <w:pPr>
          <w:pStyle w:val="Header"/>
          <w:tabs>
            <w:tab w:val="center" w:pos="4819"/>
            <w:tab w:val="right" w:pos="9639"/>
          </w:tabs>
          <w:jc w:val="left"/>
          <w:rPr>
            <w:b w:val="0"/>
            <w:bCs w:val="0"/>
          </w:rPr>
        </w:pPr>
        <w:r w:rsidRPr="00C55454">
          <w:rPr>
            <w:b w:val="0"/>
            <w:bCs w:val="0"/>
          </w:rPr>
          <w:tab/>
        </w:r>
        <w:r>
          <w:rPr>
            <w:rFonts w:hint="cs"/>
            <w:rtl/>
          </w:rPr>
          <w:t xml:space="preserve">القرار </w:t>
        </w:r>
        <w:r>
          <w:rPr>
            <w:lang w:val="en-US"/>
          </w:rPr>
          <w:t>9</w:t>
        </w:r>
        <w:r>
          <w:rPr>
            <w:rFonts w:hint="cs"/>
            <w:rtl/>
            <w:lang w:val="en-US" w:bidi="ar-EG"/>
          </w:rPr>
          <w:t xml:space="preserve"> - الخطوط التوجيهية</w:t>
        </w:r>
        <w:r w:rsidRPr="00C55454">
          <w:rPr>
            <w:b w:val="0"/>
            <w:bCs w:val="0"/>
          </w:rPr>
          <w:tab/>
        </w:r>
        <w:r w:rsidR="002401F9" w:rsidRPr="00DD3657">
          <w:rPr>
            <w:rFonts w:cs="Calibri"/>
            <w:szCs w:val="22"/>
          </w:rPr>
          <w:fldChar w:fldCharType="begin"/>
        </w:r>
        <w:r w:rsidRPr="00DD3657">
          <w:rPr>
            <w:rFonts w:cs="Calibri"/>
            <w:szCs w:val="22"/>
          </w:rPr>
          <w:instrText xml:space="preserve"> PAGE   \* MERGEFORMAT </w:instrText>
        </w:r>
        <w:r w:rsidR="002401F9" w:rsidRPr="00DD3657">
          <w:rPr>
            <w:rFonts w:cs="Calibri"/>
            <w:szCs w:val="22"/>
          </w:rPr>
          <w:fldChar w:fldCharType="separate"/>
        </w:r>
        <w:r w:rsidR="00AA5C49" w:rsidRPr="00AA5C49">
          <w:rPr>
            <w:rFonts w:cs="Calibri"/>
            <w:noProof/>
            <w:szCs w:val="22"/>
            <w:rtl/>
          </w:rPr>
          <w:t>69</w:t>
        </w:r>
        <w:r w:rsidR="002401F9" w:rsidRPr="00DD3657">
          <w:rPr>
            <w:rFonts w:cs="Calibri"/>
            <w:szCs w:val="22"/>
          </w:rPr>
          <w:fldChar w:fldCharType="end"/>
        </w:r>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8A" w:rsidRPr="00026C26" w:rsidRDefault="002401F9" w:rsidP="00026C26">
    <w:pPr>
      <w:pStyle w:val="Header"/>
      <w:tabs>
        <w:tab w:val="center" w:pos="4819"/>
        <w:tab w:val="right" w:pos="9639"/>
      </w:tabs>
      <w:jc w:val="left"/>
      <w:rPr>
        <w:b w:val="0"/>
        <w:bCs w:val="0"/>
      </w:rPr>
    </w:pPr>
    <w:sdt>
      <w:sdtPr>
        <w:rPr>
          <w:b w:val="0"/>
          <w:bCs w:val="0"/>
          <w:rtl/>
        </w:rPr>
        <w:id w:val="56893703"/>
        <w:docPartObj>
          <w:docPartGallery w:val="Page Numbers (Top of Page)"/>
          <w:docPartUnique/>
        </w:docPartObj>
      </w:sdtPr>
      <w:sdtEndPr>
        <w:rPr>
          <w:rFonts w:cs="Calibri"/>
          <w:b/>
          <w:bCs/>
          <w:szCs w:val="22"/>
        </w:rPr>
      </w:sdtEndPr>
      <w:sdtContent>
        <w:r w:rsidRPr="00DD3657">
          <w:rPr>
            <w:rFonts w:cs="Calibri"/>
            <w:szCs w:val="22"/>
          </w:rPr>
          <w:fldChar w:fldCharType="begin"/>
        </w:r>
        <w:r w:rsidR="0098598A" w:rsidRPr="00DD3657">
          <w:rPr>
            <w:rFonts w:cs="Calibri"/>
            <w:szCs w:val="22"/>
          </w:rPr>
          <w:instrText xml:space="preserve"> PAGE   \* MERGEFORMAT </w:instrText>
        </w:r>
        <w:r w:rsidRPr="00DD3657">
          <w:rPr>
            <w:rFonts w:cs="Calibri"/>
            <w:szCs w:val="22"/>
          </w:rPr>
          <w:fldChar w:fldCharType="separate"/>
        </w:r>
        <w:r w:rsidR="00AA5C49" w:rsidRPr="00AA5C49">
          <w:rPr>
            <w:rFonts w:cs="Calibri"/>
            <w:noProof/>
            <w:szCs w:val="22"/>
            <w:rtl/>
          </w:rPr>
          <w:t>70</w:t>
        </w:r>
        <w:r w:rsidRPr="00DD3657">
          <w:rPr>
            <w:rFonts w:cs="Calibri"/>
            <w:szCs w:val="22"/>
          </w:rPr>
          <w:fldChar w:fldCharType="end"/>
        </w:r>
        <w:r w:rsidR="0098598A" w:rsidRPr="00C55454">
          <w:rPr>
            <w:b w:val="0"/>
            <w:bCs w:val="0"/>
          </w:rPr>
          <w:tab/>
        </w:r>
        <w:r w:rsidR="0098598A">
          <w:rPr>
            <w:rFonts w:hint="cs"/>
            <w:rtl/>
          </w:rPr>
          <w:t xml:space="preserve">القرار </w:t>
        </w:r>
        <w:r w:rsidR="0098598A">
          <w:rPr>
            <w:lang w:val="en-US"/>
          </w:rPr>
          <w:t>9</w:t>
        </w:r>
        <w:r w:rsidR="0098598A">
          <w:rPr>
            <w:rFonts w:hint="cs"/>
            <w:rtl/>
            <w:lang w:val="en-US" w:bidi="ar-EG"/>
          </w:rPr>
          <w:t xml:space="preserve"> - الخطوط التوجيهية</w:t>
        </w:r>
        <w:r w:rsidR="0098598A" w:rsidRPr="00C55454">
          <w:rPr>
            <w:b w:val="0"/>
            <w:bCs w:val="0"/>
          </w:rPr>
          <w:tab/>
        </w:r>
      </w:sdtContent>
    </w:sdt>
    <w:r w:rsidRPr="002401F9">
      <w:rPr>
        <w:noProof/>
        <w:lang w:val="en-US" w:eastAsia="zh-CN"/>
      </w:rPr>
      <w:pict>
        <v:shapetype id="_x0000_t202" coordsize="21600,21600" o:spt="202" path="m,l,21600r21600,l21600,xe">
          <v:stroke joinstyle="miter"/>
          <v:path gradientshapeok="t" o:connecttype="rect"/>
        </v:shapetype>
        <v:shape id="_x0000_s37890" type="#_x0000_t202" style="position:absolute;left:0;text-align:left;margin-left:721.1pt;margin-top:20.25pt;width:30pt;height:482.25pt;z-index:251661312;mso-position-horizontal-relative:text;mso-position-vertical-relative:text" stroked="f">
          <v:textbox style="layout-flow:vertical;mso-next-textbox:#_x0000_s37890">
            <w:txbxContent>
              <w:p w:rsidR="0098598A" w:rsidRPr="00761109" w:rsidRDefault="002401F9" w:rsidP="00026C26">
                <w:pPr>
                  <w:spacing w:before="0"/>
                  <w:rPr>
                    <w:b/>
                    <w:bCs/>
                  </w:rPr>
                </w:pPr>
                <w:r w:rsidRPr="00761109">
                  <w:rPr>
                    <w:rStyle w:val="PageNumber"/>
                    <w:b/>
                    <w:bCs/>
                  </w:rPr>
                  <w:fldChar w:fldCharType="begin"/>
                </w:r>
                <w:r w:rsidR="0098598A" w:rsidRPr="00761109">
                  <w:rPr>
                    <w:rStyle w:val="PageNumber"/>
                    <w:b/>
                    <w:bCs/>
                  </w:rPr>
                  <w:instrText xml:space="preserve"> PAGE </w:instrText>
                </w:r>
                <w:r w:rsidRPr="00761109">
                  <w:rPr>
                    <w:rStyle w:val="PageNumber"/>
                    <w:b/>
                    <w:bCs/>
                  </w:rPr>
                  <w:fldChar w:fldCharType="separate"/>
                </w:r>
                <w:r w:rsidR="00AA5C49">
                  <w:rPr>
                    <w:rStyle w:val="PageNumber"/>
                    <w:b/>
                    <w:bCs/>
                    <w:noProof/>
                    <w:rtl/>
                  </w:rPr>
                  <w:t>70</w:t>
                </w:r>
                <w:r w:rsidRPr="00761109">
                  <w:rPr>
                    <w:rStyle w:val="PageNumber"/>
                    <w:b/>
                    <w:bCs/>
                  </w:rPr>
                  <w:fldChar w:fldCharType="end"/>
                </w:r>
                <w:r w:rsidR="0098598A" w:rsidRPr="00761109">
                  <w:rPr>
                    <w:rStyle w:val="PageNumber"/>
                    <w:b/>
                    <w:bCs/>
                    <w:lang w:val="fr-CH"/>
                  </w:rPr>
                  <w:tab/>
                </w:r>
                <w:r w:rsidR="0098598A" w:rsidRPr="00761109">
                  <w:rPr>
                    <w:rStyle w:val="PageNumber"/>
                    <w:b/>
                    <w:bCs/>
                    <w:lang w:val="fr-CH"/>
                  </w:rPr>
                  <w:tab/>
                </w:r>
                <w:r w:rsidR="0098598A">
                  <w:rPr>
                    <w:rStyle w:val="PageNumber"/>
                    <w:b/>
                    <w:bCs/>
                    <w:lang w:val="fr-CH"/>
                  </w:rPr>
                  <w:tab/>
                </w:r>
                <w:r w:rsidR="0098598A">
                  <w:rPr>
                    <w:rStyle w:val="PageNumber"/>
                    <w:b/>
                    <w:bCs/>
                    <w:lang w:val="fr-CH"/>
                  </w:rPr>
                  <w:tab/>
                </w:r>
                <w:r w:rsidR="0098598A">
                  <w:rPr>
                    <w:rStyle w:val="PageNumber"/>
                    <w:b/>
                    <w:bCs/>
                    <w:lang w:val="fr-CH"/>
                  </w:rPr>
                  <w:tab/>
                </w:r>
                <w:r w:rsidR="0098598A">
                  <w:rPr>
                    <w:rStyle w:val="PageNumber"/>
                    <w:b/>
                    <w:bCs/>
                    <w:lang w:val="fr-CH"/>
                  </w:rPr>
                  <w:tab/>
                </w:r>
                <w:r w:rsidR="0098598A">
                  <w:rPr>
                    <w:rStyle w:val="PageNumber"/>
                    <w:b/>
                    <w:bCs/>
                    <w:lang w:val="fr-CH"/>
                  </w:rPr>
                  <w:tab/>
                </w:r>
                <w:r w:rsidR="0098598A" w:rsidRPr="00761109">
                  <w:rPr>
                    <w:rStyle w:val="PageNumber"/>
                    <w:b/>
                    <w:bCs/>
                    <w:lang w:val="fr-CH"/>
                  </w:rPr>
                  <w:t>Report on Resolution 9</w:t>
                </w:r>
              </w:p>
            </w:txbxContent>
          </v:textbox>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8A" w:rsidRPr="00761109" w:rsidRDefault="002401F9" w:rsidP="00026C26">
    <w:pPr>
      <w:pStyle w:val="Header"/>
    </w:pPr>
    <w:r>
      <w:rPr>
        <w:noProof/>
        <w:lang w:val="en-US" w:eastAsia="zh-CN"/>
      </w:rPr>
      <w:pict>
        <v:shapetype id="_x0000_t202" coordsize="21600,21600" o:spt="202" path="m,l,21600r21600,l21600,xe">
          <v:stroke joinstyle="miter"/>
          <v:path gradientshapeok="t" o:connecttype="rect"/>
        </v:shapetype>
        <v:shape id="_x0000_s37889" type="#_x0000_t202" style="position:absolute;left:0;text-align:left;margin-left:727.1pt;margin-top:20.25pt;width:30pt;height:495.75pt;z-index:251660288" stroked="f">
          <v:textbox style="layout-flow:vertical;mso-next-textbox:#_x0000_s37889">
            <w:txbxContent>
              <w:p w:rsidR="0098598A" w:rsidRPr="00761109" w:rsidRDefault="0098598A" w:rsidP="00026C26">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Report on Resolution 9</w:t>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2401F9" w:rsidRPr="00761109">
                  <w:rPr>
                    <w:rStyle w:val="PageNumber"/>
                    <w:b/>
                    <w:bCs/>
                  </w:rPr>
                  <w:fldChar w:fldCharType="begin"/>
                </w:r>
                <w:r w:rsidRPr="00761109">
                  <w:rPr>
                    <w:rStyle w:val="PageNumber"/>
                    <w:b/>
                    <w:bCs/>
                  </w:rPr>
                  <w:instrText xml:space="preserve"> PAGE </w:instrText>
                </w:r>
                <w:r w:rsidR="002401F9" w:rsidRPr="00761109">
                  <w:rPr>
                    <w:rStyle w:val="PageNumber"/>
                    <w:b/>
                    <w:bCs/>
                  </w:rPr>
                  <w:fldChar w:fldCharType="separate"/>
                </w:r>
                <w:r>
                  <w:rPr>
                    <w:rStyle w:val="PageNumber"/>
                    <w:b/>
                    <w:bCs/>
                    <w:noProof/>
                  </w:rPr>
                  <w:t>57</w:t>
                </w:r>
                <w:r w:rsidR="002401F9"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2401F9" w:rsidRPr="00761109">
                  <w:rPr>
                    <w:rStyle w:val="PageNumber"/>
                    <w:b/>
                    <w:bCs/>
                  </w:rPr>
                  <w:fldChar w:fldCharType="begin"/>
                </w:r>
                <w:r w:rsidRPr="00761109">
                  <w:rPr>
                    <w:rStyle w:val="PageNumber"/>
                    <w:b/>
                    <w:bCs/>
                  </w:rPr>
                  <w:instrText xml:space="preserve"> PAGE </w:instrText>
                </w:r>
                <w:r w:rsidR="002401F9" w:rsidRPr="00761109">
                  <w:rPr>
                    <w:rStyle w:val="PageNumber"/>
                    <w:b/>
                    <w:bCs/>
                  </w:rPr>
                  <w:fldChar w:fldCharType="separate"/>
                </w:r>
                <w:r>
                  <w:rPr>
                    <w:rStyle w:val="PageNumber"/>
                    <w:b/>
                    <w:bCs/>
                    <w:noProof/>
                  </w:rPr>
                  <w:t>57</w:t>
                </w:r>
                <w:r w:rsidR="002401F9" w:rsidRPr="00761109">
                  <w:rPr>
                    <w:rStyle w:val="PageNumber"/>
                    <w:b/>
                    <w:bCs/>
                  </w:rPr>
                  <w:fldChar w:fldCharType="end"/>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0267_"/>
      </v:shape>
    </w:pict>
  </w:numPicBullet>
  <w:abstractNum w:abstractNumId="0">
    <w:nsid w:val="FFFFFF82"/>
    <w:multiLevelType w:val="singleLevel"/>
    <w:tmpl w:val="BF862572"/>
    <w:lvl w:ilvl="0">
      <w:start w:val="1"/>
      <w:numFmt w:val="bullet"/>
      <w:pStyle w:val="Style3"/>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pStyle w:val="CEOHeade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9271E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28FF7C6E"/>
    <w:multiLevelType w:val="hybridMultilevel"/>
    <w:tmpl w:val="D1DA13B6"/>
    <w:lvl w:ilvl="0" w:tplc="1E286AD8">
      <w:start w:val="1"/>
      <w:numFmt w:val="decimal"/>
      <w:pStyle w:val="CEOHeading1-Numbered"/>
      <w:lvlText w:val="%1."/>
      <w:lvlJc w:val="left"/>
      <w:pPr>
        <w:tabs>
          <w:tab w:val="num" w:pos="360"/>
        </w:tabs>
        <w:ind w:left="360" w:hanging="360"/>
      </w:pPr>
      <w:rPr>
        <w:rFonts w:hint="default"/>
      </w:rPr>
    </w:lvl>
    <w:lvl w:ilvl="1" w:tplc="594E7094" w:tentative="1">
      <w:start w:val="1"/>
      <w:numFmt w:val="lowerLetter"/>
      <w:lvlText w:val="%2."/>
      <w:lvlJc w:val="left"/>
      <w:pPr>
        <w:tabs>
          <w:tab w:val="num" w:pos="1440"/>
        </w:tabs>
        <w:ind w:left="1440" w:hanging="360"/>
      </w:pPr>
    </w:lvl>
    <w:lvl w:ilvl="2" w:tplc="379248F4" w:tentative="1">
      <w:start w:val="1"/>
      <w:numFmt w:val="lowerRoman"/>
      <w:lvlText w:val="%3."/>
      <w:lvlJc w:val="right"/>
      <w:pPr>
        <w:tabs>
          <w:tab w:val="num" w:pos="2160"/>
        </w:tabs>
        <w:ind w:left="2160" w:hanging="180"/>
      </w:pPr>
    </w:lvl>
    <w:lvl w:ilvl="3" w:tplc="2E828B66" w:tentative="1">
      <w:start w:val="1"/>
      <w:numFmt w:val="decimal"/>
      <w:lvlText w:val="%4."/>
      <w:lvlJc w:val="left"/>
      <w:pPr>
        <w:tabs>
          <w:tab w:val="num" w:pos="2880"/>
        </w:tabs>
        <w:ind w:left="2880" w:hanging="360"/>
      </w:pPr>
    </w:lvl>
    <w:lvl w:ilvl="4" w:tplc="5C549498" w:tentative="1">
      <w:start w:val="1"/>
      <w:numFmt w:val="lowerLetter"/>
      <w:lvlText w:val="%5."/>
      <w:lvlJc w:val="left"/>
      <w:pPr>
        <w:tabs>
          <w:tab w:val="num" w:pos="3600"/>
        </w:tabs>
        <w:ind w:left="3600" w:hanging="360"/>
      </w:pPr>
    </w:lvl>
    <w:lvl w:ilvl="5" w:tplc="194024DC" w:tentative="1">
      <w:start w:val="1"/>
      <w:numFmt w:val="lowerRoman"/>
      <w:lvlText w:val="%6."/>
      <w:lvlJc w:val="right"/>
      <w:pPr>
        <w:tabs>
          <w:tab w:val="num" w:pos="4320"/>
        </w:tabs>
        <w:ind w:left="4320" w:hanging="180"/>
      </w:pPr>
    </w:lvl>
    <w:lvl w:ilvl="6" w:tplc="6B66CA3C" w:tentative="1">
      <w:start w:val="1"/>
      <w:numFmt w:val="decimal"/>
      <w:lvlText w:val="%7."/>
      <w:lvlJc w:val="left"/>
      <w:pPr>
        <w:tabs>
          <w:tab w:val="num" w:pos="5040"/>
        </w:tabs>
        <w:ind w:left="5040" w:hanging="360"/>
      </w:pPr>
    </w:lvl>
    <w:lvl w:ilvl="7" w:tplc="0D9A1FE2" w:tentative="1">
      <w:start w:val="1"/>
      <w:numFmt w:val="lowerLetter"/>
      <w:lvlText w:val="%8."/>
      <w:lvlJc w:val="left"/>
      <w:pPr>
        <w:tabs>
          <w:tab w:val="num" w:pos="5760"/>
        </w:tabs>
        <w:ind w:left="5760" w:hanging="360"/>
      </w:pPr>
    </w:lvl>
    <w:lvl w:ilvl="8" w:tplc="6B72817C" w:tentative="1">
      <w:start w:val="1"/>
      <w:numFmt w:val="lowerRoman"/>
      <w:lvlText w:val="%9."/>
      <w:lvlJc w:val="right"/>
      <w:pPr>
        <w:tabs>
          <w:tab w:val="num" w:pos="6480"/>
        </w:tabs>
        <w:ind w:left="6480" w:hanging="180"/>
      </w:pPr>
    </w:lvl>
  </w:abstractNum>
  <w:abstractNum w:abstractNumId="7">
    <w:nsid w:val="2B966085"/>
    <w:multiLevelType w:val="hybridMultilevel"/>
    <w:tmpl w:val="30382790"/>
    <w:lvl w:ilvl="0" w:tplc="CEF075B2">
      <w:start w:val="1"/>
      <w:numFmt w:val="bullet"/>
      <w:pStyle w:val="ssRestartNumber"/>
      <w:lvlText w:val=""/>
      <w:lvlJc w:val="left"/>
      <w:pPr>
        <w:tabs>
          <w:tab w:val="num" w:pos="720"/>
        </w:tabs>
        <w:ind w:left="720" w:hanging="360"/>
      </w:pPr>
      <w:rPr>
        <w:rFonts w:ascii="Symbol" w:hAnsi="Symbol" w:hint="default"/>
        <w:sz w:val="20"/>
      </w:rPr>
    </w:lvl>
    <w:lvl w:ilvl="1" w:tplc="CF268238" w:tentative="1">
      <w:start w:val="1"/>
      <w:numFmt w:val="bullet"/>
      <w:lvlText w:val="o"/>
      <w:lvlJc w:val="left"/>
      <w:pPr>
        <w:tabs>
          <w:tab w:val="num" w:pos="1440"/>
        </w:tabs>
        <w:ind w:left="1440" w:hanging="360"/>
      </w:pPr>
      <w:rPr>
        <w:rFonts w:ascii="Courier New" w:hAnsi="Courier New" w:hint="default"/>
        <w:sz w:val="20"/>
      </w:rPr>
    </w:lvl>
    <w:lvl w:ilvl="2" w:tplc="330CA04A" w:tentative="1">
      <w:start w:val="1"/>
      <w:numFmt w:val="bullet"/>
      <w:lvlText w:val=""/>
      <w:lvlJc w:val="left"/>
      <w:pPr>
        <w:tabs>
          <w:tab w:val="num" w:pos="2160"/>
        </w:tabs>
        <w:ind w:left="2160" w:hanging="360"/>
      </w:pPr>
      <w:rPr>
        <w:rFonts w:ascii="Wingdings" w:hAnsi="Wingdings" w:hint="default"/>
        <w:sz w:val="20"/>
      </w:rPr>
    </w:lvl>
    <w:lvl w:ilvl="3" w:tplc="E1BCA5E2" w:tentative="1">
      <w:start w:val="1"/>
      <w:numFmt w:val="bullet"/>
      <w:lvlText w:val=""/>
      <w:lvlJc w:val="left"/>
      <w:pPr>
        <w:tabs>
          <w:tab w:val="num" w:pos="2880"/>
        </w:tabs>
        <w:ind w:left="2880" w:hanging="360"/>
      </w:pPr>
      <w:rPr>
        <w:rFonts w:ascii="Wingdings" w:hAnsi="Wingdings" w:hint="default"/>
        <w:sz w:val="20"/>
      </w:rPr>
    </w:lvl>
    <w:lvl w:ilvl="4" w:tplc="7D2677BE" w:tentative="1">
      <w:start w:val="1"/>
      <w:numFmt w:val="bullet"/>
      <w:lvlText w:val=""/>
      <w:lvlJc w:val="left"/>
      <w:pPr>
        <w:tabs>
          <w:tab w:val="num" w:pos="3600"/>
        </w:tabs>
        <w:ind w:left="3600" w:hanging="360"/>
      </w:pPr>
      <w:rPr>
        <w:rFonts w:ascii="Wingdings" w:hAnsi="Wingdings" w:hint="default"/>
        <w:sz w:val="20"/>
      </w:rPr>
    </w:lvl>
    <w:lvl w:ilvl="5" w:tplc="13062196" w:tentative="1">
      <w:start w:val="1"/>
      <w:numFmt w:val="bullet"/>
      <w:lvlText w:val=""/>
      <w:lvlJc w:val="left"/>
      <w:pPr>
        <w:tabs>
          <w:tab w:val="num" w:pos="4320"/>
        </w:tabs>
        <w:ind w:left="4320" w:hanging="360"/>
      </w:pPr>
      <w:rPr>
        <w:rFonts w:ascii="Wingdings" w:hAnsi="Wingdings" w:hint="default"/>
        <w:sz w:val="20"/>
      </w:rPr>
    </w:lvl>
    <w:lvl w:ilvl="6" w:tplc="01A4706C" w:tentative="1">
      <w:start w:val="1"/>
      <w:numFmt w:val="bullet"/>
      <w:lvlText w:val=""/>
      <w:lvlJc w:val="left"/>
      <w:pPr>
        <w:tabs>
          <w:tab w:val="num" w:pos="5040"/>
        </w:tabs>
        <w:ind w:left="5040" w:hanging="360"/>
      </w:pPr>
      <w:rPr>
        <w:rFonts w:ascii="Wingdings" w:hAnsi="Wingdings" w:hint="default"/>
        <w:sz w:val="20"/>
      </w:rPr>
    </w:lvl>
    <w:lvl w:ilvl="7" w:tplc="711CC242" w:tentative="1">
      <w:start w:val="1"/>
      <w:numFmt w:val="bullet"/>
      <w:lvlText w:val=""/>
      <w:lvlJc w:val="left"/>
      <w:pPr>
        <w:tabs>
          <w:tab w:val="num" w:pos="5760"/>
        </w:tabs>
        <w:ind w:left="5760" w:hanging="360"/>
      </w:pPr>
      <w:rPr>
        <w:rFonts w:ascii="Wingdings" w:hAnsi="Wingdings" w:hint="default"/>
        <w:sz w:val="20"/>
      </w:rPr>
    </w:lvl>
    <w:lvl w:ilvl="8" w:tplc="D9CADD62" w:tentative="1">
      <w:start w:val="1"/>
      <w:numFmt w:val="bullet"/>
      <w:lvlText w:val=""/>
      <w:lvlJc w:val="left"/>
      <w:pPr>
        <w:tabs>
          <w:tab w:val="num" w:pos="6480"/>
        </w:tabs>
        <w:ind w:left="6480" w:hanging="360"/>
      </w:pPr>
      <w:rPr>
        <w:rFonts w:ascii="Wingdings" w:hAnsi="Wingdings" w:hint="default"/>
        <w:sz w:val="20"/>
      </w:rPr>
    </w:lvl>
  </w:abstractNum>
  <w:abstractNum w:abstractNumId="8">
    <w:nsid w:val="35D1554C"/>
    <w:multiLevelType w:val="hybridMultilevel"/>
    <w:tmpl w:val="F62469F4"/>
    <w:lvl w:ilvl="0" w:tplc="3E20D9A0">
      <w:start w:val="1"/>
      <w:numFmt w:val="bullet"/>
      <w:pStyle w:val="CEOindent-endash"/>
      <w:lvlText w:val="–"/>
      <w:lvlJc w:val="left"/>
      <w:pPr>
        <w:tabs>
          <w:tab w:val="num" w:pos="1134"/>
        </w:tabs>
        <w:ind w:left="1134" w:hanging="360"/>
      </w:pPr>
      <w:rPr>
        <w:rFonts w:ascii="Verdana" w:hAnsi="Verdana" w:hint="default"/>
        <w:color w:val="auto"/>
      </w:rPr>
    </w:lvl>
    <w:lvl w:ilvl="1" w:tplc="4CBAFFF4" w:tentative="1">
      <w:start w:val="1"/>
      <w:numFmt w:val="bullet"/>
      <w:lvlText w:val="o"/>
      <w:lvlJc w:val="left"/>
      <w:pPr>
        <w:tabs>
          <w:tab w:val="num" w:pos="1865"/>
        </w:tabs>
        <w:ind w:left="1865" w:hanging="360"/>
      </w:pPr>
      <w:rPr>
        <w:rFonts w:ascii="Courier New" w:hAnsi="Courier New" w:cs="Courier New" w:hint="default"/>
      </w:rPr>
    </w:lvl>
    <w:lvl w:ilvl="2" w:tplc="CCEE556E" w:tentative="1">
      <w:start w:val="1"/>
      <w:numFmt w:val="bullet"/>
      <w:lvlText w:val=""/>
      <w:lvlJc w:val="left"/>
      <w:pPr>
        <w:tabs>
          <w:tab w:val="num" w:pos="2585"/>
        </w:tabs>
        <w:ind w:left="2585" w:hanging="360"/>
      </w:pPr>
      <w:rPr>
        <w:rFonts w:ascii="Wingdings" w:hAnsi="Wingdings" w:hint="default"/>
      </w:rPr>
    </w:lvl>
    <w:lvl w:ilvl="3" w:tplc="F31E5C4C" w:tentative="1">
      <w:start w:val="1"/>
      <w:numFmt w:val="bullet"/>
      <w:lvlText w:val=""/>
      <w:lvlJc w:val="left"/>
      <w:pPr>
        <w:tabs>
          <w:tab w:val="num" w:pos="3305"/>
        </w:tabs>
        <w:ind w:left="3305" w:hanging="360"/>
      </w:pPr>
      <w:rPr>
        <w:rFonts w:ascii="Symbol" w:hAnsi="Symbol" w:hint="default"/>
      </w:rPr>
    </w:lvl>
    <w:lvl w:ilvl="4" w:tplc="4F4A5394" w:tentative="1">
      <w:start w:val="1"/>
      <w:numFmt w:val="bullet"/>
      <w:lvlText w:val="o"/>
      <w:lvlJc w:val="left"/>
      <w:pPr>
        <w:tabs>
          <w:tab w:val="num" w:pos="4025"/>
        </w:tabs>
        <w:ind w:left="4025" w:hanging="360"/>
      </w:pPr>
      <w:rPr>
        <w:rFonts w:ascii="Courier New" w:hAnsi="Courier New" w:cs="Courier New" w:hint="default"/>
      </w:rPr>
    </w:lvl>
    <w:lvl w:ilvl="5" w:tplc="B5B459EC" w:tentative="1">
      <w:start w:val="1"/>
      <w:numFmt w:val="bullet"/>
      <w:lvlText w:val=""/>
      <w:lvlJc w:val="left"/>
      <w:pPr>
        <w:tabs>
          <w:tab w:val="num" w:pos="4745"/>
        </w:tabs>
        <w:ind w:left="4745" w:hanging="360"/>
      </w:pPr>
      <w:rPr>
        <w:rFonts w:ascii="Wingdings" w:hAnsi="Wingdings" w:hint="default"/>
      </w:rPr>
    </w:lvl>
    <w:lvl w:ilvl="6" w:tplc="178A82C6" w:tentative="1">
      <w:start w:val="1"/>
      <w:numFmt w:val="bullet"/>
      <w:lvlText w:val=""/>
      <w:lvlJc w:val="left"/>
      <w:pPr>
        <w:tabs>
          <w:tab w:val="num" w:pos="5465"/>
        </w:tabs>
        <w:ind w:left="5465" w:hanging="360"/>
      </w:pPr>
      <w:rPr>
        <w:rFonts w:ascii="Symbol" w:hAnsi="Symbol" w:hint="default"/>
      </w:rPr>
    </w:lvl>
    <w:lvl w:ilvl="7" w:tplc="5CBC3256" w:tentative="1">
      <w:start w:val="1"/>
      <w:numFmt w:val="bullet"/>
      <w:lvlText w:val="o"/>
      <w:lvlJc w:val="left"/>
      <w:pPr>
        <w:tabs>
          <w:tab w:val="num" w:pos="6185"/>
        </w:tabs>
        <w:ind w:left="6185" w:hanging="360"/>
      </w:pPr>
      <w:rPr>
        <w:rFonts w:ascii="Courier New" w:hAnsi="Courier New" w:cs="Courier New" w:hint="default"/>
      </w:rPr>
    </w:lvl>
    <w:lvl w:ilvl="8" w:tplc="9D3692DE" w:tentative="1">
      <w:start w:val="1"/>
      <w:numFmt w:val="bullet"/>
      <w:lvlText w:val=""/>
      <w:lvlJc w:val="left"/>
      <w:pPr>
        <w:tabs>
          <w:tab w:val="num" w:pos="6905"/>
        </w:tabs>
        <w:ind w:left="6905" w:hanging="360"/>
      </w:pPr>
      <w:rPr>
        <w:rFonts w:ascii="Wingdings" w:hAnsi="Wingdings" w:hint="default"/>
      </w:rPr>
    </w:lvl>
  </w:abstractNum>
  <w:abstractNum w:abstractNumId="9">
    <w:nsid w:val="37ED3CC0"/>
    <w:multiLevelType w:val="hybridMultilevel"/>
    <w:tmpl w:val="1A881D94"/>
    <w:lvl w:ilvl="0" w:tplc="287A33FE">
      <w:start w:val="1"/>
      <w:numFmt w:val="bullet"/>
      <w:pStyle w:val="CEO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1775F4"/>
    <w:multiLevelType w:val="hybridMultilevel"/>
    <w:tmpl w:val="6762B042"/>
    <w:lvl w:ilvl="0" w:tplc="3FDADA78">
      <w:start w:val="1"/>
      <w:numFmt w:val="decimal"/>
      <w:pStyle w:val="CEOcontribution-H123"/>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5B505F91"/>
    <w:multiLevelType w:val="hybridMultilevel"/>
    <w:tmpl w:val="7EC83216"/>
    <w:lvl w:ilvl="0" w:tplc="4D8078BC">
      <w:numFmt w:val="bullet"/>
      <w:pStyle w:val="CEOIndent-bulletsblackdot"/>
      <w:lvlText w:val=""/>
      <w:lvlJc w:val="left"/>
      <w:pPr>
        <w:tabs>
          <w:tab w:val="num" w:pos="284"/>
        </w:tabs>
        <w:ind w:left="284" w:hanging="284"/>
      </w:pPr>
      <w:rPr>
        <w:rFonts w:ascii="Symbol" w:hAnsi="Symbol" w:hint="default"/>
      </w:rPr>
    </w:lvl>
    <w:lvl w:ilvl="1" w:tplc="600644C6" w:tentative="1">
      <w:start w:val="1"/>
      <w:numFmt w:val="bullet"/>
      <w:lvlText w:val="o"/>
      <w:lvlJc w:val="left"/>
      <w:pPr>
        <w:tabs>
          <w:tab w:val="num" w:pos="1440"/>
        </w:tabs>
        <w:ind w:left="1440" w:hanging="360"/>
      </w:pPr>
      <w:rPr>
        <w:rFonts w:ascii="Courier New" w:hAnsi="Courier New" w:cs="Courier New" w:hint="default"/>
      </w:rPr>
    </w:lvl>
    <w:lvl w:ilvl="2" w:tplc="D8001712" w:tentative="1">
      <w:start w:val="1"/>
      <w:numFmt w:val="bullet"/>
      <w:lvlText w:val=""/>
      <w:lvlJc w:val="left"/>
      <w:pPr>
        <w:tabs>
          <w:tab w:val="num" w:pos="2160"/>
        </w:tabs>
        <w:ind w:left="2160" w:hanging="360"/>
      </w:pPr>
      <w:rPr>
        <w:rFonts w:ascii="Wingdings" w:hAnsi="Wingdings" w:hint="default"/>
      </w:rPr>
    </w:lvl>
    <w:lvl w:ilvl="3" w:tplc="5C582540" w:tentative="1">
      <w:start w:val="1"/>
      <w:numFmt w:val="bullet"/>
      <w:lvlText w:val=""/>
      <w:lvlJc w:val="left"/>
      <w:pPr>
        <w:tabs>
          <w:tab w:val="num" w:pos="2880"/>
        </w:tabs>
        <w:ind w:left="2880" w:hanging="360"/>
      </w:pPr>
      <w:rPr>
        <w:rFonts w:ascii="Symbol" w:hAnsi="Symbol" w:hint="default"/>
      </w:rPr>
    </w:lvl>
    <w:lvl w:ilvl="4" w:tplc="96269338" w:tentative="1">
      <w:start w:val="1"/>
      <w:numFmt w:val="bullet"/>
      <w:lvlText w:val="o"/>
      <w:lvlJc w:val="left"/>
      <w:pPr>
        <w:tabs>
          <w:tab w:val="num" w:pos="3600"/>
        </w:tabs>
        <w:ind w:left="3600" w:hanging="360"/>
      </w:pPr>
      <w:rPr>
        <w:rFonts w:ascii="Courier New" w:hAnsi="Courier New" w:cs="Courier New" w:hint="default"/>
      </w:rPr>
    </w:lvl>
    <w:lvl w:ilvl="5" w:tplc="3018983C" w:tentative="1">
      <w:start w:val="1"/>
      <w:numFmt w:val="bullet"/>
      <w:lvlText w:val=""/>
      <w:lvlJc w:val="left"/>
      <w:pPr>
        <w:tabs>
          <w:tab w:val="num" w:pos="4320"/>
        </w:tabs>
        <w:ind w:left="4320" w:hanging="360"/>
      </w:pPr>
      <w:rPr>
        <w:rFonts w:ascii="Wingdings" w:hAnsi="Wingdings" w:hint="default"/>
      </w:rPr>
    </w:lvl>
    <w:lvl w:ilvl="6" w:tplc="C6AC6B6C" w:tentative="1">
      <w:start w:val="1"/>
      <w:numFmt w:val="bullet"/>
      <w:lvlText w:val=""/>
      <w:lvlJc w:val="left"/>
      <w:pPr>
        <w:tabs>
          <w:tab w:val="num" w:pos="5040"/>
        </w:tabs>
        <w:ind w:left="5040" w:hanging="360"/>
      </w:pPr>
      <w:rPr>
        <w:rFonts w:ascii="Symbol" w:hAnsi="Symbol" w:hint="default"/>
      </w:rPr>
    </w:lvl>
    <w:lvl w:ilvl="7" w:tplc="7448728A" w:tentative="1">
      <w:start w:val="1"/>
      <w:numFmt w:val="bullet"/>
      <w:lvlText w:val="o"/>
      <w:lvlJc w:val="left"/>
      <w:pPr>
        <w:tabs>
          <w:tab w:val="num" w:pos="5760"/>
        </w:tabs>
        <w:ind w:left="5760" w:hanging="360"/>
      </w:pPr>
      <w:rPr>
        <w:rFonts w:ascii="Courier New" w:hAnsi="Courier New" w:cs="Courier New" w:hint="default"/>
      </w:rPr>
    </w:lvl>
    <w:lvl w:ilvl="8" w:tplc="BB0EA334" w:tentative="1">
      <w:start w:val="1"/>
      <w:numFmt w:val="bullet"/>
      <w:lvlText w:val=""/>
      <w:lvlJc w:val="left"/>
      <w:pPr>
        <w:tabs>
          <w:tab w:val="num" w:pos="6480"/>
        </w:tabs>
        <w:ind w:left="6480" w:hanging="360"/>
      </w:pPr>
      <w:rPr>
        <w:rFonts w:ascii="Wingdings" w:hAnsi="Wingdings" w:hint="default"/>
      </w:rPr>
    </w:lvl>
  </w:abstractNum>
  <w:abstractNum w:abstractNumId="12">
    <w:nsid w:val="66D96243"/>
    <w:multiLevelType w:val="hybridMultilevel"/>
    <w:tmpl w:val="68D4E2BE"/>
    <w:name w:val="SEQ1"/>
    <w:lvl w:ilvl="0" w:tplc="D8B2D8E0">
      <w:start w:val="1"/>
      <w:numFmt w:val="lowerLetter"/>
      <w:pStyle w:val="CEOIndent1-abc"/>
      <w:lvlText w:val="%1."/>
      <w:lvlJc w:val="left"/>
      <w:pPr>
        <w:tabs>
          <w:tab w:val="num" w:pos="1494"/>
        </w:tabs>
        <w:ind w:left="1494" w:hanging="360"/>
      </w:pPr>
      <w:rPr>
        <w:rFonts w:ascii="Verdana" w:hAnsi="Verdana" w:hint="default"/>
        <w:b w:val="0"/>
        <w:i w:val="0"/>
        <w:sz w:val="18"/>
      </w:rPr>
    </w:lvl>
    <w:lvl w:ilvl="1" w:tplc="A3DE2208" w:tentative="1">
      <w:start w:val="1"/>
      <w:numFmt w:val="lowerLetter"/>
      <w:lvlText w:val="%2."/>
      <w:lvlJc w:val="left"/>
      <w:pPr>
        <w:tabs>
          <w:tab w:val="num" w:pos="1440"/>
        </w:tabs>
        <w:ind w:left="1440" w:hanging="360"/>
      </w:pPr>
    </w:lvl>
    <w:lvl w:ilvl="2" w:tplc="135E4A4C" w:tentative="1">
      <w:start w:val="1"/>
      <w:numFmt w:val="lowerRoman"/>
      <w:lvlText w:val="%3."/>
      <w:lvlJc w:val="right"/>
      <w:pPr>
        <w:tabs>
          <w:tab w:val="num" w:pos="2160"/>
        </w:tabs>
        <w:ind w:left="2160" w:hanging="180"/>
      </w:pPr>
    </w:lvl>
    <w:lvl w:ilvl="3" w:tplc="AC280402" w:tentative="1">
      <w:start w:val="1"/>
      <w:numFmt w:val="decimal"/>
      <w:lvlText w:val="%4."/>
      <w:lvlJc w:val="left"/>
      <w:pPr>
        <w:tabs>
          <w:tab w:val="num" w:pos="2880"/>
        </w:tabs>
        <w:ind w:left="2880" w:hanging="360"/>
      </w:pPr>
    </w:lvl>
    <w:lvl w:ilvl="4" w:tplc="2DB4B32C" w:tentative="1">
      <w:start w:val="1"/>
      <w:numFmt w:val="lowerLetter"/>
      <w:lvlText w:val="%5."/>
      <w:lvlJc w:val="left"/>
      <w:pPr>
        <w:tabs>
          <w:tab w:val="num" w:pos="3600"/>
        </w:tabs>
        <w:ind w:left="3600" w:hanging="360"/>
      </w:pPr>
    </w:lvl>
    <w:lvl w:ilvl="5" w:tplc="191A6EB4" w:tentative="1">
      <w:start w:val="1"/>
      <w:numFmt w:val="lowerRoman"/>
      <w:lvlText w:val="%6."/>
      <w:lvlJc w:val="right"/>
      <w:pPr>
        <w:tabs>
          <w:tab w:val="num" w:pos="4320"/>
        </w:tabs>
        <w:ind w:left="4320" w:hanging="180"/>
      </w:pPr>
    </w:lvl>
    <w:lvl w:ilvl="6" w:tplc="5B24F7D4" w:tentative="1">
      <w:start w:val="1"/>
      <w:numFmt w:val="decimal"/>
      <w:lvlText w:val="%7."/>
      <w:lvlJc w:val="left"/>
      <w:pPr>
        <w:tabs>
          <w:tab w:val="num" w:pos="5040"/>
        </w:tabs>
        <w:ind w:left="5040" w:hanging="360"/>
      </w:pPr>
    </w:lvl>
    <w:lvl w:ilvl="7" w:tplc="12A8FF70" w:tentative="1">
      <w:start w:val="1"/>
      <w:numFmt w:val="lowerLetter"/>
      <w:lvlText w:val="%8."/>
      <w:lvlJc w:val="left"/>
      <w:pPr>
        <w:tabs>
          <w:tab w:val="num" w:pos="5760"/>
        </w:tabs>
        <w:ind w:left="5760" w:hanging="360"/>
      </w:pPr>
    </w:lvl>
    <w:lvl w:ilvl="8" w:tplc="048242DE" w:tentative="1">
      <w:start w:val="1"/>
      <w:numFmt w:val="lowerRoman"/>
      <w:lvlText w:val="%9."/>
      <w:lvlJc w:val="right"/>
      <w:pPr>
        <w:tabs>
          <w:tab w:val="num" w:pos="6480"/>
        </w:tabs>
        <w:ind w:left="6480" w:hanging="180"/>
      </w:pPr>
    </w:lvl>
  </w:abstractNum>
  <w:abstractNum w:abstractNumId="13">
    <w:nsid w:val="730D028F"/>
    <w:multiLevelType w:val="multilevel"/>
    <w:tmpl w:val="85E41DA4"/>
    <w:lvl w:ilvl="0">
      <w:start w:val="5"/>
      <w:numFmt w:val="decimal"/>
      <w:suff w:val="nothing"/>
      <w:lvlText w:val="ARTICLE %1 - "/>
      <w:lvlJc w:val="center"/>
      <w:pPr>
        <w:ind w:left="4320" w:hanging="4320"/>
      </w:pPr>
      <w:rPr>
        <w:rFonts w:ascii="Times New Roman Bold" w:hAnsi="Times New Roman Bold" w:hint="default"/>
        <w:b/>
        <w:i w:val="0"/>
        <w:caps/>
        <w:sz w:val="24"/>
        <w:szCs w:val="24"/>
        <w:u w:val="none"/>
      </w:rPr>
    </w:lvl>
    <w:lvl w:ilvl="1">
      <w:start w:val="1"/>
      <w:numFmt w:val="decimal"/>
      <w:pStyle w:val="MTLN1"/>
      <w:isLgl/>
      <w:lvlText w:val="%1.%2"/>
      <w:lvlJc w:val="left"/>
      <w:pPr>
        <w:tabs>
          <w:tab w:val="num" w:pos="1008"/>
        </w:tabs>
        <w:ind w:left="1008" w:hanging="1008"/>
      </w:pPr>
      <w:rPr>
        <w:rFonts w:ascii="Times New Roman Bold" w:hAnsi="Times New Roman Bold" w:hint="default"/>
        <w:b/>
        <w:i w:val="0"/>
        <w:sz w:val="24"/>
        <w:szCs w:val="24"/>
        <w:u w:val="none"/>
      </w:rPr>
    </w:lvl>
    <w:lvl w:ilvl="2">
      <w:start w:val="1"/>
      <w:numFmt w:val="decimal"/>
      <w:pStyle w:val="MTLN2"/>
      <w:lvlText w:val="%1.%2.%3."/>
      <w:lvlJc w:val="left"/>
      <w:pPr>
        <w:tabs>
          <w:tab w:val="num" w:pos="1008"/>
        </w:tabs>
        <w:ind w:left="1008" w:hanging="1008"/>
      </w:pPr>
      <w:rPr>
        <w:rFonts w:ascii="Times New Roman" w:hAnsi="Times New Roman" w:hint="default"/>
        <w:b w:val="0"/>
        <w:i w:val="0"/>
        <w:sz w:val="24"/>
        <w:szCs w:val="24"/>
        <w:u w:val="none"/>
      </w:rPr>
    </w:lvl>
    <w:lvl w:ilvl="3">
      <w:start w:val="1"/>
      <w:numFmt w:val="lowerLetter"/>
      <w:pStyle w:val="MTLN3"/>
      <w:lvlText w:val="(%4)"/>
      <w:lvlJc w:val="left"/>
      <w:pPr>
        <w:tabs>
          <w:tab w:val="num" w:pos="1728"/>
        </w:tabs>
        <w:ind w:left="1728" w:hanging="720"/>
      </w:pPr>
      <w:rPr>
        <w:rFonts w:ascii="Times New Roman" w:hAnsi="Times New Roman" w:hint="default"/>
        <w:b w:val="0"/>
        <w:i w:val="0"/>
        <w:sz w:val="24"/>
        <w:szCs w:val="24"/>
        <w:u w:val="none"/>
      </w:rPr>
    </w:lvl>
    <w:lvl w:ilvl="4">
      <w:start w:val="1"/>
      <w:numFmt w:val="lowerRoman"/>
      <w:lvlText w:val="(%5)"/>
      <w:lvlJc w:val="left"/>
      <w:pPr>
        <w:tabs>
          <w:tab w:val="num" w:pos="2448"/>
        </w:tabs>
        <w:ind w:left="2448" w:hanging="720"/>
      </w:pPr>
      <w:rPr>
        <w:rFonts w:ascii="Times New Roman" w:hAnsi="Times New Roman" w:hint="default"/>
        <w:b w:val="0"/>
        <w:i w:val="0"/>
        <w:sz w:val="24"/>
        <w:szCs w:val="24"/>
        <w:u w:val="none"/>
      </w:rPr>
    </w:lvl>
    <w:lvl w:ilvl="5">
      <w:start w:val="1"/>
      <w:numFmt w:val="decimal"/>
      <w:pStyle w:val="MTLN6"/>
      <w:lvlText w:val="(%6)"/>
      <w:lvlJc w:val="left"/>
      <w:pPr>
        <w:tabs>
          <w:tab w:val="num" w:pos="3600"/>
        </w:tabs>
        <w:ind w:left="3600" w:hanging="720"/>
      </w:pPr>
      <w:rPr>
        <w:rFonts w:hint="default"/>
      </w:rPr>
    </w:lvl>
    <w:lvl w:ilvl="6">
      <w:start w:val="1"/>
      <w:numFmt w:val="lowerLetter"/>
      <w:pStyle w:val="MTLN7"/>
      <w:lvlText w:val="%7)"/>
      <w:lvlJc w:val="left"/>
      <w:pPr>
        <w:tabs>
          <w:tab w:val="num" w:pos="4320"/>
        </w:tabs>
        <w:ind w:left="4320" w:hanging="720"/>
      </w:pPr>
      <w:rPr>
        <w:rFonts w:hint="default"/>
      </w:rPr>
    </w:lvl>
    <w:lvl w:ilvl="7">
      <w:start w:val="1"/>
      <w:numFmt w:val="lowerRoman"/>
      <w:pStyle w:val="MTLN8"/>
      <w:lvlText w:val="%8)"/>
      <w:lvlJc w:val="left"/>
      <w:pPr>
        <w:tabs>
          <w:tab w:val="num" w:pos="4320"/>
        </w:tabs>
        <w:ind w:left="4320" w:hanging="720"/>
      </w:pPr>
      <w:rPr>
        <w:rFonts w:hint="default"/>
      </w:rPr>
    </w:lvl>
    <w:lvl w:ilvl="8">
      <w:start w:val="1"/>
      <w:numFmt w:val="upperLetter"/>
      <w:pStyle w:val="MTLN9"/>
      <w:lvlText w:val="%9)"/>
      <w:lvlJc w:val="left"/>
      <w:pPr>
        <w:tabs>
          <w:tab w:val="num" w:pos="4320"/>
        </w:tabs>
        <w:ind w:left="4320" w:hanging="720"/>
      </w:pPr>
      <w:rPr>
        <w:rFonts w:hint="default"/>
      </w:rPr>
    </w:lvl>
  </w:abstractNum>
  <w:abstractNum w:abstractNumId="14">
    <w:nsid w:val="797F57B2"/>
    <w:multiLevelType w:val="multilevel"/>
    <w:tmpl w:val="1996DA9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pStyle w:val="Style2"/>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7B803F8C"/>
    <w:multiLevelType w:val="hybridMultilevel"/>
    <w:tmpl w:val="29843874"/>
    <w:lvl w:ilvl="0" w:tplc="32740FE0">
      <w:start w:val="1"/>
      <w:numFmt w:val="lowerLetter"/>
      <w:lvlText w:val="%1."/>
      <w:lvlJc w:val="left"/>
      <w:pPr>
        <w:tabs>
          <w:tab w:val="num" w:pos="1440"/>
        </w:tabs>
        <w:ind w:left="1440" w:hanging="360"/>
      </w:pPr>
      <w:rPr>
        <w:rFonts w:hint="default"/>
      </w:rPr>
    </w:lvl>
    <w:lvl w:ilvl="1" w:tplc="540CD8B4">
      <w:start w:val="1"/>
      <w:numFmt w:val="lowerLetter"/>
      <w:pStyle w:val="CEOindent-abc"/>
      <w:lvlText w:val="%2."/>
      <w:lvlJc w:val="left"/>
      <w:pPr>
        <w:tabs>
          <w:tab w:val="num" w:pos="1440"/>
        </w:tabs>
        <w:ind w:left="1440" w:hanging="360"/>
      </w:pPr>
      <w:rPr>
        <w:rFonts w:hint="default"/>
      </w:rPr>
    </w:lvl>
    <w:lvl w:ilvl="2" w:tplc="171E3A20" w:tentative="1">
      <w:start w:val="1"/>
      <w:numFmt w:val="lowerRoman"/>
      <w:lvlText w:val="%3."/>
      <w:lvlJc w:val="right"/>
      <w:pPr>
        <w:tabs>
          <w:tab w:val="num" w:pos="2160"/>
        </w:tabs>
        <w:ind w:left="2160" w:hanging="180"/>
      </w:pPr>
    </w:lvl>
    <w:lvl w:ilvl="3" w:tplc="286AF382" w:tentative="1">
      <w:start w:val="1"/>
      <w:numFmt w:val="decimal"/>
      <w:lvlText w:val="%4."/>
      <w:lvlJc w:val="left"/>
      <w:pPr>
        <w:tabs>
          <w:tab w:val="num" w:pos="2880"/>
        </w:tabs>
        <w:ind w:left="2880" w:hanging="360"/>
      </w:pPr>
    </w:lvl>
    <w:lvl w:ilvl="4" w:tplc="66984C3A" w:tentative="1">
      <w:start w:val="1"/>
      <w:numFmt w:val="lowerLetter"/>
      <w:lvlText w:val="%5."/>
      <w:lvlJc w:val="left"/>
      <w:pPr>
        <w:tabs>
          <w:tab w:val="num" w:pos="3600"/>
        </w:tabs>
        <w:ind w:left="3600" w:hanging="360"/>
      </w:pPr>
    </w:lvl>
    <w:lvl w:ilvl="5" w:tplc="9C784ED2" w:tentative="1">
      <w:start w:val="1"/>
      <w:numFmt w:val="lowerRoman"/>
      <w:lvlText w:val="%6."/>
      <w:lvlJc w:val="right"/>
      <w:pPr>
        <w:tabs>
          <w:tab w:val="num" w:pos="4320"/>
        </w:tabs>
        <w:ind w:left="4320" w:hanging="180"/>
      </w:pPr>
    </w:lvl>
    <w:lvl w:ilvl="6" w:tplc="4AFCF776" w:tentative="1">
      <w:start w:val="1"/>
      <w:numFmt w:val="decimal"/>
      <w:lvlText w:val="%7."/>
      <w:lvlJc w:val="left"/>
      <w:pPr>
        <w:tabs>
          <w:tab w:val="num" w:pos="5040"/>
        </w:tabs>
        <w:ind w:left="5040" w:hanging="360"/>
      </w:pPr>
    </w:lvl>
    <w:lvl w:ilvl="7" w:tplc="01487A70" w:tentative="1">
      <w:start w:val="1"/>
      <w:numFmt w:val="lowerLetter"/>
      <w:lvlText w:val="%8."/>
      <w:lvlJc w:val="left"/>
      <w:pPr>
        <w:tabs>
          <w:tab w:val="num" w:pos="5760"/>
        </w:tabs>
        <w:ind w:left="5760" w:hanging="360"/>
      </w:pPr>
    </w:lvl>
    <w:lvl w:ilvl="8" w:tplc="A3F8EF58"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9"/>
  </w:num>
  <w:num w:numId="5">
    <w:abstractNumId w:val="6"/>
  </w:num>
  <w:num w:numId="6">
    <w:abstractNumId w:val="12"/>
  </w:num>
  <w:num w:numId="7">
    <w:abstractNumId w:val="10"/>
  </w:num>
  <w:num w:numId="8">
    <w:abstractNumId w:val="15"/>
  </w:num>
  <w:num w:numId="9">
    <w:abstractNumId w:val="11"/>
  </w:num>
  <w:num w:numId="10">
    <w:abstractNumId w:val="5"/>
  </w:num>
  <w:num w:numId="11">
    <w:abstractNumId w:val="8"/>
  </w:num>
  <w:num w:numId="12">
    <w:abstractNumId w:val="1"/>
  </w:num>
  <w:num w:numId="13">
    <w:abstractNumId w:val="3"/>
  </w:num>
  <w:num w:numId="14">
    <w:abstractNumId w:val="14"/>
  </w:num>
  <w:num w:numId="15">
    <w:abstractNumId w:val="13"/>
  </w:num>
  <w:num w:numId="16">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ar-SA" w:vendorID="4" w:dllVersion="512" w:checkStyle="0"/>
  <w:activeWritingStyle w:appName="MSWord" w:lang="ru-RU" w:vendorID="1" w:dllVersion="512" w:checkStyle="1"/>
  <w:activeWritingStyle w:appName="MSWord" w:lang="ar-EG" w:vendorID="4" w:dllVersion="512" w:checkStyle="1"/>
  <w:attachedTemplate r:id="rId1"/>
  <w:stylePaneFormatFilter w:val="3F01"/>
  <w:defaultTabStop w:val="720"/>
  <w:evenAndOddHeaders/>
  <w:characterSpacingControl w:val="doNotCompress"/>
  <w:hdrShapeDefaults>
    <o:shapedefaults v:ext="edit" spidmax="37893"/>
    <o:shapelayout v:ext="edit">
      <o:idmap v:ext="edit" data="37"/>
    </o:shapelayout>
  </w:hdrShapeDefaults>
  <w:footnotePr>
    <w:footnote w:id="-1"/>
    <w:footnote w:id="0"/>
  </w:footnotePr>
  <w:endnotePr>
    <w:endnote w:id="-1"/>
    <w:endnote w:id="0"/>
  </w:endnotePr>
  <w:compat>
    <w:applyBreakingRules/>
    <w:useFELayout/>
  </w:compat>
  <w:rsids>
    <w:rsidRoot w:val="0091725A"/>
    <w:rsid w:val="0000364A"/>
    <w:rsid w:val="00007694"/>
    <w:rsid w:val="00026C26"/>
    <w:rsid w:val="00031C8C"/>
    <w:rsid w:val="00031F88"/>
    <w:rsid w:val="000336AE"/>
    <w:rsid w:val="000369F8"/>
    <w:rsid w:val="00036DAF"/>
    <w:rsid w:val="000424E1"/>
    <w:rsid w:val="00047D94"/>
    <w:rsid w:val="000507E7"/>
    <w:rsid w:val="00054FCC"/>
    <w:rsid w:val="00057946"/>
    <w:rsid w:val="0006169D"/>
    <w:rsid w:val="00063E07"/>
    <w:rsid w:val="00067EC5"/>
    <w:rsid w:val="00072BB1"/>
    <w:rsid w:val="00085FEA"/>
    <w:rsid w:val="000A2916"/>
    <w:rsid w:val="000A3F1E"/>
    <w:rsid w:val="000A7F2C"/>
    <w:rsid w:val="000B13FD"/>
    <w:rsid w:val="000B46AA"/>
    <w:rsid w:val="000C19D3"/>
    <w:rsid w:val="000C3E16"/>
    <w:rsid w:val="000C42B1"/>
    <w:rsid w:val="000C61A2"/>
    <w:rsid w:val="000C7B70"/>
    <w:rsid w:val="000D1259"/>
    <w:rsid w:val="000D66B8"/>
    <w:rsid w:val="000E0958"/>
    <w:rsid w:val="000E3A7D"/>
    <w:rsid w:val="000E3FAD"/>
    <w:rsid w:val="000F5717"/>
    <w:rsid w:val="000F7BC3"/>
    <w:rsid w:val="001065B0"/>
    <w:rsid w:val="00107A91"/>
    <w:rsid w:val="001111D7"/>
    <w:rsid w:val="00112A0C"/>
    <w:rsid w:val="00114EA6"/>
    <w:rsid w:val="00116943"/>
    <w:rsid w:val="00116DB0"/>
    <w:rsid w:val="00120671"/>
    <w:rsid w:val="0012102A"/>
    <w:rsid w:val="00130168"/>
    <w:rsid w:val="001305EE"/>
    <w:rsid w:val="00133191"/>
    <w:rsid w:val="0014104D"/>
    <w:rsid w:val="00145D02"/>
    <w:rsid w:val="00146183"/>
    <w:rsid w:val="001479EA"/>
    <w:rsid w:val="00156517"/>
    <w:rsid w:val="00161205"/>
    <w:rsid w:val="00165875"/>
    <w:rsid w:val="00167FE8"/>
    <w:rsid w:val="00170260"/>
    <w:rsid w:val="00172D80"/>
    <w:rsid w:val="00175E2D"/>
    <w:rsid w:val="00177D17"/>
    <w:rsid w:val="00177FDE"/>
    <w:rsid w:val="00186EDD"/>
    <w:rsid w:val="00192BEB"/>
    <w:rsid w:val="001A5B9D"/>
    <w:rsid w:val="001B287E"/>
    <w:rsid w:val="001B634B"/>
    <w:rsid w:val="001C6444"/>
    <w:rsid w:val="001D0300"/>
    <w:rsid w:val="001D0E29"/>
    <w:rsid w:val="001D57BD"/>
    <w:rsid w:val="001E419A"/>
    <w:rsid w:val="001E61FB"/>
    <w:rsid w:val="001E6E43"/>
    <w:rsid w:val="001F1B23"/>
    <w:rsid w:val="001F39CA"/>
    <w:rsid w:val="001F5EF4"/>
    <w:rsid w:val="001F6B33"/>
    <w:rsid w:val="001F72DE"/>
    <w:rsid w:val="0020375C"/>
    <w:rsid w:val="00203EBA"/>
    <w:rsid w:val="0020423C"/>
    <w:rsid w:val="0020445C"/>
    <w:rsid w:val="0020603A"/>
    <w:rsid w:val="00207849"/>
    <w:rsid w:val="002104F6"/>
    <w:rsid w:val="002161AF"/>
    <w:rsid w:val="002164C3"/>
    <w:rsid w:val="00220D9C"/>
    <w:rsid w:val="002211E3"/>
    <w:rsid w:val="00223BEC"/>
    <w:rsid w:val="00224893"/>
    <w:rsid w:val="00226B53"/>
    <w:rsid w:val="002324DB"/>
    <w:rsid w:val="00233732"/>
    <w:rsid w:val="00234CD7"/>
    <w:rsid w:val="00235A42"/>
    <w:rsid w:val="002401F9"/>
    <w:rsid w:val="002515DC"/>
    <w:rsid w:val="002518A0"/>
    <w:rsid w:val="00251AFF"/>
    <w:rsid w:val="00253B72"/>
    <w:rsid w:val="00260C34"/>
    <w:rsid w:val="00260CB9"/>
    <w:rsid w:val="00261CC4"/>
    <w:rsid w:val="0026228A"/>
    <w:rsid w:val="002653F3"/>
    <w:rsid w:val="00270362"/>
    <w:rsid w:val="00272BBF"/>
    <w:rsid w:val="00272D73"/>
    <w:rsid w:val="00276DF9"/>
    <w:rsid w:val="002779FA"/>
    <w:rsid w:val="002801B6"/>
    <w:rsid w:val="00281920"/>
    <w:rsid w:val="0028579C"/>
    <w:rsid w:val="00286B15"/>
    <w:rsid w:val="00287F39"/>
    <w:rsid w:val="002930C4"/>
    <w:rsid w:val="00294888"/>
    <w:rsid w:val="00296AD7"/>
    <w:rsid w:val="002978F4"/>
    <w:rsid w:val="002A6D23"/>
    <w:rsid w:val="002A74E2"/>
    <w:rsid w:val="002B1346"/>
    <w:rsid w:val="002B304B"/>
    <w:rsid w:val="002B57B0"/>
    <w:rsid w:val="002B7597"/>
    <w:rsid w:val="002C0105"/>
    <w:rsid w:val="002C1A3D"/>
    <w:rsid w:val="002C4CAF"/>
    <w:rsid w:val="002C5734"/>
    <w:rsid w:val="002C7A28"/>
    <w:rsid w:val="002D0786"/>
    <w:rsid w:val="002D0CE0"/>
    <w:rsid w:val="002D1A59"/>
    <w:rsid w:val="002D39F0"/>
    <w:rsid w:val="002E056C"/>
    <w:rsid w:val="002E1456"/>
    <w:rsid w:val="002E2B16"/>
    <w:rsid w:val="002E5D45"/>
    <w:rsid w:val="002E7443"/>
    <w:rsid w:val="002F0B50"/>
    <w:rsid w:val="002F0E47"/>
    <w:rsid w:val="002F0EB0"/>
    <w:rsid w:val="002F7B6C"/>
    <w:rsid w:val="00301BD6"/>
    <w:rsid w:val="003024A9"/>
    <w:rsid w:val="00310D67"/>
    <w:rsid w:val="00310DA6"/>
    <w:rsid w:val="0031236D"/>
    <w:rsid w:val="0031379B"/>
    <w:rsid w:val="00324ADB"/>
    <w:rsid w:val="00333A02"/>
    <w:rsid w:val="00334CCD"/>
    <w:rsid w:val="0033606C"/>
    <w:rsid w:val="00337118"/>
    <w:rsid w:val="00340D19"/>
    <w:rsid w:val="003417FA"/>
    <w:rsid w:val="003646DE"/>
    <w:rsid w:val="00365657"/>
    <w:rsid w:val="00370474"/>
    <w:rsid w:val="003709B0"/>
    <w:rsid w:val="003715BD"/>
    <w:rsid w:val="00373CA2"/>
    <w:rsid w:val="00375AF9"/>
    <w:rsid w:val="00375D3A"/>
    <w:rsid w:val="003768D7"/>
    <w:rsid w:val="00380790"/>
    <w:rsid w:val="00380BD2"/>
    <w:rsid w:val="00384807"/>
    <w:rsid w:val="003864C1"/>
    <w:rsid w:val="0038792C"/>
    <w:rsid w:val="00390CC6"/>
    <w:rsid w:val="00392983"/>
    <w:rsid w:val="00393D86"/>
    <w:rsid w:val="003A0414"/>
    <w:rsid w:val="003A5252"/>
    <w:rsid w:val="003A556A"/>
    <w:rsid w:val="003A5BC8"/>
    <w:rsid w:val="003B1B2F"/>
    <w:rsid w:val="003B3349"/>
    <w:rsid w:val="003C0595"/>
    <w:rsid w:val="003C2C70"/>
    <w:rsid w:val="003C54C7"/>
    <w:rsid w:val="003C6A8D"/>
    <w:rsid w:val="003D364E"/>
    <w:rsid w:val="003E022F"/>
    <w:rsid w:val="003E0FB9"/>
    <w:rsid w:val="003E4937"/>
    <w:rsid w:val="003E74A0"/>
    <w:rsid w:val="003F18AE"/>
    <w:rsid w:val="004045FB"/>
    <w:rsid w:val="00410C43"/>
    <w:rsid w:val="00412634"/>
    <w:rsid w:val="004141CF"/>
    <w:rsid w:val="00416886"/>
    <w:rsid w:val="00417A0C"/>
    <w:rsid w:val="004200A2"/>
    <w:rsid w:val="0042191E"/>
    <w:rsid w:val="0042223D"/>
    <w:rsid w:val="004253EC"/>
    <w:rsid w:val="00432150"/>
    <w:rsid w:val="00440D37"/>
    <w:rsid w:val="00441ADF"/>
    <w:rsid w:val="0044325B"/>
    <w:rsid w:val="004462A8"/>
    <w:rsid w:val="004469E2"/>
    <w:rsid w:val="00447146"/>
    <w:rsid w:val="004519A7"/>
    <w:rsid w:val="0045547A"/>
    <w:rsid w:val="004609E9"/>
    <w:rsid w:val="004659B6"/>
    <w:rsid w:val="0046651C"/>
    <w:rsid w:val="00470B2C"/>
    <w:rsid w:val="004859C4"/>
    <w:rsid w:val="00491656"/>
    <w:rsid w:val="0049484E"/>
    <w:rsid w:val="00497388"/>
    <w:rsid w:val="004A1D51"/>
    <w:rsid w:val="004A395B"/>
    <w:rsid w:val="004A4A74"/>
    <w:rsid w:val="004B126A"/>
    <w:rsid w:val="004B2F13"/>
    <w:rsid w:val="004B43D0"/>
    <w:rsid w:val="004B56F9"/>
    <w:rsid w:val="004C3506"/>
    <w:rsid w:val="004C4A60"/>
    <w:rsid w:val="004C6DD7"/>
    <w:rsid w:val="004D0FDB"/>
    <w:rsid w:val="004D1756"/>
    <w:rsid w:val="004D50EA"/>
    <w:rsid w:val="004E3637"/>
    <w:rsid w:val="004E497F"/>
    <w:rsid w:val="004E59E6"/>
    <w:rsid w:val="004E6B1D"/>
    <w:rsid w:val="004F0E09"/>
    <w:rsid w:val="004F14FD"/>
    <w:rsid w:val="004F22B1"/>
    <w:rsid w:val="004F6908"/>
    <w:rsid w:val="00502007"/>
    <w:rsid w:val="005035E1"/>
    <w:rsid w:val="00505E09"/>
    <w:rsid w:val="005065BF"/>
    <w:rsid w:val="0051090F"/>
    <w:rsid w:val="00521687"/>
    <w:rsid w:val="00521796"/>
    <w:rsid w:val="0052456C"/>
    <w:rsid w:val="0052522C"/>
    <w:rsid w:val="00530E78"/>
    <w:rsid w:val="005336F0"/>
    <w:rsid w:val="00534904"/>
    <w:rsid w:val="0054396B"/>
    <w:rsid w:val="005443EE"/>
    <w:rsid w:val="00546A05"/>
    <w:rsid w:val="00550A1D"/>
    <w:rsid w:val="00555FB3"/>
    <w:rsid w:val="005620D1"/>
    <w:rsid w:val="00567AD5"/>
    <w:rsid w:val="0057004A"/>
    <w:rsid w:val="00576813"/>
    <w:rsid w:val="0057783E"/>
    <w:rsid w:val="00581236"/>
    <w:rsid w:val="00587FFB"/>
    <w:rsid w:val="005976CF"/>
    <w:rsid w:val="005A0D9C"/>
    <w:rsid w:val="005A5089"/>
    <w:rsid w:val="005A582B"/>
    <w:rsid w:val="005A7053"/>
    <w:rsid w:val="005B0C66"/>
    <w:rsid w:val="005B2D51"/>
    <w:rsid w:val="005B397F"/>
    <w:rsid w:val="005C53AE"/>
    <w:rsid w:val="005C585A"/>
    <w:rsid w:val="005D23B3"/>
    <w:rsid w:val="005D3BF1"/>
    <w:rsid w:val="005E3A2B"/>
    <w:rsid w:val="005E3A8C"/>
    <w:rsid w:val="005E432A"/>
    <w:rsid w:val="005F0D14"/>
    <w:rsid w:val="005F1B08"/>
    <w:rsid w:val="005F323E"/>
    <w:rsid w:val="005F328C"/>
    <w:rsid w:val="005F53BC"/>
    <w:rsid w:val="005F77CE"/>
    <w:rsid w:val="00610239"/>
    <w:rsid w:val="0061097D"/>
    <w:rsid w:val="00611785"/>
    <w:rsid w:val="00612327"/>
    <w:rsid w:val="0061571B"/>
    <w:rsid w:val="00616C9C"/>
    <w:rsid w:val="0061716F"/>
    <w:rsid w:val="00620CCB"/>
    <w:rsid w:val="0062234E"/>
    <w:rsid w:val="00623E55"/>
    <w:rsid w:val="006274E8"/>
    <w:rsid w:val="0063237C"/>
    <w:rsid w:val="006342C2"/>
    <w:rsid w:val="006361CC"/>
    <w:rsid w:val="006400C6"/>
    <w:rsid w:val="00641052"/>
    <w:rsid w:val="006435CD"/>
    <w:rsid w:val="00643EE4"/>
    <w:rsid w:val="0064658F"/>
    <w:rsid w:val="0064702E"/>
    <w:rsid w:val="0064775E"/>
    <w:rsid w:val="006511B6"/>
    <w:rsid w:val="00655EC9"/>
    <w:rsid w:val="00662810"/>
    <w:rsid w:val="006647B2"/>
    <w:rsid w:val="0067295E"/>
    <w:rsid w:val="00672E0B"/>
    <w:rsid w:val="00682F10"/>
    <w:rsid w:val="00685670"/>
    <w:rsid w:val="0069533E"/>
    <w:rsid w:val="006A16DC"/>
    <w:rsid w:val="006A7E1C"/>
    <w:rsid w:val="006B2AC1"/>
    <w:rsid w:val="006B35D3"/>
    <w:rsid w:val="006B394E"/>
    <w:rsid w:val="006B4A0C"/>
    <w:rsid w:val="006B4B07"/>
    <w:rsid w:val="006B74FE"/>
    <w:rsid w:val="006B795E"/>
    <w:rsid w:val="006C0102"/>
    <w:rsid w:val="006C11E2"/>
    <w:rsid w:val="006C36BD"/>
    <w:rsid w:val="006C50F2"/>
    <w:rsid w:val="006C734C"/>
    <w:rsid w:val="006C7A9C"/>
    <w:rsid w:val="006C7E82"/>
    <w:rsid w:val="006C7F49"/>
    <w:rsid w:val="006E09AC"/>
    <w:rsid w:val="006E36E3"/>
    <w:rsid w:val="0070267E"/>
    <w:rsid w:val="00703ED7"/>
    <w:rsid w:val="0070558E"/>
    <w:rsid w:val="007114BE"/>
    <w:rsid w:val="00714FDF"/>
    <w:rsid w:val="00717861"/>
    <w:rsid w:val="00721821"/>
    <w:rsid w:val="00725F3F"/>
    <w:rsid w:val="007300B5"/>
    <w:rsid w:val="0073188E"/>
    <w:rsid w:val="007354B6"/>
    <w:rsid w:val="00735A51"/>
    <w:rsid w:val="00735AC2"/>
    <w:rsid w:val="007419FF"/>
    <w:rsid w:val="00741EA3"/>
    <w:rsid w:val="00746018"/>
    <w:rsid w:val="0074745C"/>
    <w:rsid w:val="00750165"/>
    <w:rsid w:val="00753B3A"/>
    <w:rsid w:val="0076263B"/>
    <w:rsid w:val="00764E45"/>
    <w:rsid w:val="007670BD"/>
    <w:rsid w:val="00767931"/>
    <w:rsid w:val="00771E0D"/>
    <w:rsid w:val="00773DA1"/>
    <w:rsid w:val="00777E3D"/>
    <w:rsid w:val="00782248"/>
    <w:rsid w:val="00782B61"/>
    <w:rsid w:val="007865C3"/>
    <w:rsid w:val="00787503"/>
    <w:rsid w:val="007A0158"/>
    <w:rsid w:val="007A1E37"/>
    <w:rsid w:val="007A2423"/>
    <w:rsid w:val="007A787F"/>
    <w:rsid w:val="007B100C"/>
    <w:rsid w:val="007B4196"/>
    <w:rsid w:val="007B59EF"/>
    <w:rsid w:val="007C3C52"/>
    <w:rsid w:val="007C4AAE"/>
    <w:rsid w:val="007C6E71"/>
    <w:rsid w:val="007D1C9C"/>
    <w:rsid w:val="007D49B8"/>
    <w:rsid w:val="007D7F54"/>
    <w:rsid w:val="007E0706"/>
    <w:rsid w:val="007E07F2"/>
    <w:rsid w:val="007E446A"/>
    <w:rsid w:val="007E59EB"/>
    <w:rsid w:val="007E6E5A"/>
    <w:rsid w:val="007E7732"/>
    <w:rsid w:val="007F171A"/>
    <w:rsid w:val="00806AB1"/>
    <w:rsid w:val="00812173"/>
    <w:rsid w:val="00817CD6"/>
    <w:rsid w:val="00821D66"/>
    <w:rsid w:val="00822BB7"/>
    <w:rsid w:val="00835AB5"/>
    <w:rsid w:val="00847D28"/>
    <w:rsid w:val="0085130F"/>
    <w:rsid w:val="00856798"/>
    <w:rsid w:val="00860933"/>
    <w:rsid w:val="008622BE"/>
    <w:rsid w:val="00875FB3"/>
    <w:rsid w:val="0088361B"/>
    <w:rsid w:val="008877F1"/>
    <w:rsid w:val="00890DD5"/>
    <w:rsid w:val="00891AC6"/>
    <w:rsid w:val="008945E9"/>
    <w:rsid w:val="00895EA6"/>
    <w:rsid w:val="00896013"/>
    <w:rsid w:val="008A2DE0"/>
    <w:rsid w:val="008A65AB"/>
    <w:rsid w:val="008B139A"/>
    <w:rsid w:val="008B17AA"/>
    <w:rsid w:val="008B5EF7"/>
    <w:rsid w:val="008B6BF9"/>
    <w:rsid w:val="008C008B"/>
    <w:rsid w:val="008C2C62"/>
    <w:rsid w:val="008C3D8F"/>
    <w:rsid w:val="008C6298"/>
    <w:rsid w:val="008C75F4"/>
    <w:rsid w:val="008D189B"/>
    <w:rsid w:val="008F0881"/>
    <w:rsid w:val="00900EB3"/>
    <w:rsid w:val="00905302"/>
    <w:rsid w:val="00905A76"/>
    <w:rsid w:val="00905AEC"/>
    <w:rsid w:val="009075A2"/>
    <w:rsid w:val="00914C36"/>
    <w:rsid w:val="0091725A"/>
    <w:rsid w:val="00930688"/>
    <w:rsid w:val="00930719"/>
    <w:rsid w:val="00931E20"/>
    <w:rsid w:val="0093332F"/>
    <w:rsid w:val="00933A33"/>
    <w:rsid w:val="00934794"/>
    <w:rsid w:val="00943111"/>
    <w:rsid w:val="00944FC4"/>
    <w:rsid w:val="0095336C"/>
    <w:rsid w:val="00955201"/>
    <w:rsid w:val="00960B7D"/>
    <w:rsid w:val="00961F60"/>
    <w:rsid w:val="009625F7"/>
    <w:rsid w:val="00962910"/>
    <w:rsid w:val="00967743"/>
    <w:rsid w:val="00971A23"/>
    <w:rsid w:val="00973E24"/>
    <w:rsid w:val="00973E2F"/>
    <w:rsid w:val="00975AEA"/>
    <w:rsid w:val="009767D9"/>
    <w:rsid w:val="0097744E"/>
    <w:rsid w:val="0098598A"/>
    <w:rsid w:val="00987D46"/>
    <w:rsid w:val="00991DBB"/>
    <w:rsid w:val="0099607C"/>
    <w:rsid w:val="009968EE"/>
    <w:rsid w:val="009A7029"/>
    <w:rsid w:val="009B0B78"/>
    <w:rsid w:val="009B1376"/>
    <w:rsid w:val="009B568F"/>
    <w:rsid w:val="009B5A75"/>
    <w:rsid w:val="009B689C"/>
    <w:rsid w:val="009C1592"/>
    <w:rsid w:val="009C1E16"/>
    <w:rsid w:val="009C3C9C"/>
    <w:rsid w:val="009C3DC3"/>
    <w:rsid w:val="009C485F"/>
    <w:rsid w:val="009C664A"/>
    <w:rsid w:val="009D0CB4"/>
    <w:rsid w:val="009D2554"/>
    <w:rsid w:val="009D26C2"/>
    <w:rsid w:val="009D3A20"/>
    <w:rsid w:val="009D47AA"/>
    <w:rsid w:val="009D5FA1"/>
    <w:rsid w:val="009E233E"/>
    <w:rsid w:val="009E4492"/>
    <w:rsid w:val="009E7440"/>
    <w:rsid w:val="009F1A88"/>
    <w:rsid w:val="009F300B"/>
    <w:rsid w:val="009F4D77"/>
    <w:rsid w:val="009F4E55"/>
    <w:rsid w:val="009F76E1"/>
    <w:rsid w:val="009F7976"/>
    <w:rsid w:val="00A017A0"/>
    <w:rsid w:val="00A01A4B"/>
    <w:rsid w:val="00A0271E"/>
    <w:rsid w:val="00A032B0"/>
    <w:rsid w:val="00A05CFF"/>
    <w:rsid w:val="00A07782"/>
    <w:rsid w:val="00A10105"/>
    <w:rsid w:val="00A1036B"/>
    <w:rsid w:val="00A11648"/>
    <w:rsid w:val="00A12017"/>
    <w:rsid w:val="00A13D06"/>
    <w:rsid w:val="00A163D9"/>
    <w:rsid w:val="00A2073C"/>
    <w:rsid w:val="00A20F4F"/>
    <w:rsid w:val="00A23412"/>
    <w:rsid w:val="00A23AF6"/>
    <w:rsid w:val="00A25200"/>
    <w:rsid w:val="00A401E2"/>
    <w:rsid w:val="00A42178"/>
    <w:rsid w:val="00A45220"/>
    <w:rsid w:val="00A53481"/>
    <w:rsid w:val="00A54E6F"/>
    <w:rsid w:val="00A558A7"/>
    <w:rsid w:val="00A55947"/>
    <w:rsid w:val="00A56963"/>
    <w:rsid w:val="00A6399C"/>
    <w:rsid w:val="00A71143"/>
    <w:rsid w:val="00A826DB"/>
    <w:rsid w:val="00A83404"/>
    <w:rsid w:val="00A83B47"/>
    <w:rsid w:val="00A86ED5"/>
    <w:rsid w:val="00A87E91"/>
    <w:rsid w:val="00A93F25"/>
    <w:rsid w:val="00AA1D61"/>
    <w:rsid w:val="00AA4257"/>
    <w:rsid w:val="00AA4F99"/>
    <w:rsid w:val="00AA5C49"/>
    <w:rsid w:val="00AA5E5F"/>
    <w:rsid w:val="00AB5715"/>
    <w:rsid w:val="00AC074A"/>
    <w:rsid w:val="00AC1F61"/>
    <w:rsid w:val="00AD1637"/>
    <w:rsid w:val="00AE3163"/>
    <w:rsid w:val="00AE360A"/>
    <w:rsid w:val="00AE492C"/>
    <w:rsid w:val="00AE5522"/>
    <w:rsid w:val="00AE600A"/>
    <w:rsid w:val="00AF1C2E"/>
    <w:rsid w:val="00AF3223"/>
    <w:rsid w:val="00AF4DEE"/>
    <w:rsid w:val="00AF55CC"/>
    <w:rsid w:val="00B0014D"/>
    <w:rsid w:val="00B1506A"/>
    <w:rsid w:val="00B16C9A"/>
    <w:rsid w:val="00B16F71"/>
    <w:rsid w:val="00B21F17"/>
    <w:rsid w:val="00B2777E"/>
    <w:rsid w:val="00B3006C"/>
    <w:rsid w:val="00B34FD7"/>
    <w:rsid w:val="00B35FF9"/>
    <w:rsid w:val="00B554AB"/>
    <w:rsid w:val="00B57941"/>
    <w:rsid w:val="00B60317"/>
    <w:rsid w:val="00B63240"/>
    <w:rsid w:val="00B641BA"/>
    <w:rsid w:val="00B64CD2"/>
    <w:rsid w:val="00B66962"/>
    <w:rsid w:val="00B67A94"/>
    <w:rsid w:val="00B71ECA"/>
    <w:rsid w:val="00B72257"/>
    <w:rsid w:val="00B762ED"/>
    <w:rsid w:val="00B777E2"/>
    <w:rsid w:val="00B8417E"/>
    <w:rsid w:val="00B87880"/>
    <w:rsid w:val="00B90D70"/>
    <w:rsid w:val="00B942E0"/>
    <w:rsid w:val="00B947DD"/>
    <w:rsid w:val="00B97E2A"/>
    <w:rsid w:val="00BA15BC"/>
    <w:rsid w:val="00BB0C37"/>
    <w:rsid w:val="00BB195D"/>
    <w:rsid w:val="00BC4900"/>
    <w:rsid w:val="00BC50AB"/>
    <w:rsid w:val="00BC6AFB"/>
    <w:rsid w:val="00BD14B6"/>
    <w:rsid w:val="00BD439C"/>
    <w:rsid w:val="00BD6234"/>
    <w:rsid w:val="00BD77B3"/>
    <w:rsid w:val="00BE0E4D"/>
    <w:rsid w:val="00BE1F36"/>
    <w:rsid w:val="00BE2675"/>
    <w:rsid w:val="00BE31C9"/>
    <w:rsid w:val="00BE5FDD"/>
    <w:rsid w:val="00BE6FFF"/>
    <w:rsid w:val="00BE74A4"/>
    <w:rsid w:val="00BF0835"/>
    <w:rsid w:val="00BF6557"/>
    <w:rsid w:val="00C00899"/>
    <w:rsid w:val="00C03E26"/>
    <w:rsid w:val="00C0482E"/>
    <w:rsid w:val="00C05FF2"/>
    <w:rsid w:val="00C078D0"/>
    <w:rsid w:val="00C105B4"/>
    <w:rsid w:val="00C13BFE"/>
    <w:rsid w:val="00C1440E"/>
    <w:rsid w:val="00C162CE"/>
    <w:rsid w:val="00C1754E"/>
    <w:rsid w:val="00C22CA5"/>
    <w:rsid w:val="00C23573"/>
    <w:rsid w:val="00C23EEC"/>
    <w:rsid w:val="00C251F9"/>
    <w:rsid w:val="00C25FFA"/>
    <w:rsid w:val="00C30F21"/>
    <w:rsid w:val="00C4270A"/>
    <w:rsid w:val="00C440B7"/>
    <w:rsid w:val="00C44690"/>
    <w:rsid w:val="00C4582D"/>
    <w:rsid w:val="00C47784"/>
    <w:rsid w:val="00C50F78"/>
    <w:rsid w:val="00C51AA8"/>
    <w:rsid w:val="00C53ABD"/>
    <w:rsid w:val="00C53EBE"/>
    <w:rsid w:val="00C53F22"/>
    <w:rsid w:val="00C55454"/>
    <w:rsid w:val="00C5618A"/>
    <w:rsid w:val="00C56EAC"/>
    <w:rsid w:val="00C62E6C"/>
    <w:rsid w:val="00C63E70"/>
    <w:rsid w:val="00C6478B"/>
    <w:rsid w:val="00C70763"/>
    <w:rsid w:val="00C81C24"/>
    <w:rsid w:val="00C921B1"/>
    <w:rsid w:val="00C922BC"/>
    <w:rsid w:val="00C94452"/>
    <w:rsid w:val="00C94FD6"/>
    <w:rsid w:val="00C975A8"/>
    <w:rsid w:val="00CA7F5A"/>
    <w:rsid w:val="00CB14BE"/>
    <w:rsid w:val="00CB3692"/>
    <w:rsid w:val="00CB46CA"/>
    <w:rsid w:val="00CC0069"/>
    <w:rsid w:val="00CC20D1"/>
    <w:rsid w:val="00CC3F6B"/>
    <w:rsid w:val="00CC6475"/>
    <w:rsid w:val="00CD225D"/>
    <w:rsid w:val="00CD4398"/>
    <w:rsid w:val="00CD69DA"/>
    <w:rsid w:val="00CE05B8"/>
    <w:rsid w:val="00CE1114"/>
    <w:rsid w:val="00CE1388"/>
    <w:rsid w:val="00CE17C3"/>
    <w:rsid w:val="00CE2192"/>
    <w:rsid w:val="00CE2997"/>
    <w:rsid w:val="00CF48C0"/>
    <w:rsid w:val="00CF7816"/>
    <w:rsid w:val="00D05608"/>
    <w:rsid w:val="00D06D22"/>
    <w:rsid w:val="00D1124B"/>
    <w:rsid w:val="00D13DAD"/>
    <w:rsid w:val="00D1491B"/>
    <w:rsid w:val="00D179DB"/>
    <w:rsid w:val="00D201E2"/>
    <w:rsid w:val="00D21952"/>
    <w:rsid w:val="00D23208"/>
    <w:rsid w:val="00D26ECA"/>
    <w:rsid w:val="00D30087"/>
    <w:rsid w:val="00D30F92"/>
    <w:rsid w:val="00D35A22"/>
    <w:rsid w:val="00D4469C"/>
    <w:rsid w:val="00D45327"/>
    <w:rsid w:val="00D64CE1"/>
    <w:rsid w:val="00D67A22"/>
    <w:rsid w:val="00D755D5"/>
    <w:rsid w:val="00D8335C"/>
    <w:rsid w:val="00D84DCE"/>
    <w:rsid w:val="00D918CE"/>
    <w:rsid w:val="00D95762"/>
    <w:rsid w:val="00D96EE2"/>
    <w:rsid w:val="00DA0A23"/>
    <w:rsid w:val="00DB1065"/>
    <w:rsid w:val="00DC1E34"/>
    <w:rsid w:val="00DD3657"/>
    <w:rsid w:val="00DE0F08"/>
    <w:rsid w:val="00DE1950"/>
    <w:rsid w:val="00DE4343"/>
    <w:rsid w:val="00DF1122"/>
    <w:rsid w:val="00DF396C"/>
    <w:rsid w:val="00DF426B"/>
    <w:rsid w:val="00DF7DC2"/>
    <w:rsid w:val="00E019D8"/>
    <w:rsid w:val="00E04817"/>
    <w:rsid w:val="00E051E5"/>
    <w:rsid w:val="00E076AB"/>
    <w:rsid w:val="00E1789F"/>
    <w:rsid w:val="00E233CE"/>
    <w:rsid w:val="00E23D61"/>
    <w:rsid w:val="00E25FEC"/>
    <w:rsid w:val="00E32561"/>
    <w:rsid w:val="00E34E12"/>
    <w:rsid w:val="00E354A4"/>
    <w:rsid w:val="00E37783"/>
    <w:rsid w:val="00E51048"/>
    <w:rsid w:val="00E573BA"/>
    <w:rsid w:val="00E60699"/>
    <w:rsid w:val="00E647F1"/>
    <w:rsid w:val="00E72120"/>
    <w:rsid w:val="00E72812"/>
    <w:rsid w:val="00E73436"/>
    <w:rsid w:val="00E74128"/>
    <w:rsid w:val="00E80C06"/>
    <w:rsid w:val="00E82D05"/>
    <w:rsid w:val="00E8422C"/>
    <w:rsid w:val="00E842BB"/>
    <w:rsid w:val="00E9045F"/>
    <w:rsid w:val="00E92484"/>
    <w:rsid w:val="00E96486"/>
    <w:rsid w:val="00E979EF"/>
    <w:rsid w:val="00EA218A"/>
    <w:rsid w:val="00EA43DC"/>
    <w:rsid w:val="00EC3E44"/>
    <w:rsid w:val="00EC788C"/>
    <w:rsid w:val="00EC7E79"/>
    <w:rsid w:val="00EC7EC3"/>
    <w:rsid w:val="00ED779C"/>
    <w:rsid w:val="00EE2018"/>
    <w:rsid w:val="00EE240C"/>
    <w:rsid w:val="00EE251B"/>
    <w:rsid w:val="00EE69B8"/>
    <w:rsid w:val="00EF2C22"/>
    <w:rsid w:val="00F02FCE"/>
    <w:rsid w:val="00F03186"/>
    <w:rsid w:val="00F13336"/>
    <w:rsid w:val="00F152DC"/>
    <w:rsid w:val="00F16677"/>
    <w:rsid w:val="00F2322A"/>
    <w:rsid w:val="00F26912"/>
    <w:rsid w:val="00F301CF"/>
    <w:rsid w:val="00F31F34"/>
    <w:rsid w:val="00F35596"/>
    <w:rsid w:val="00F368F6"/>
    <w:rsid w:val="00F37EEF"/>
    <w:rsid w:val="00F41485"/>
    <w:rsid w:val="00F4561E"/>
    <w:rsid w:val="00F45BAD"/>
    <w:rsid w:val="00F535BE"/>
    <w:rsid w:val="00F561BD"/>
    <w:rsid w:val="00F61836"/>
    <w:rsid w:val="00F62BE6"/>
    <w:rsid w:val="00F64FAD"/>
    <w:rsid w:val="00F655AE"/>
    <w:rsid w:val="00F72389"/>
    <w:rsid w:val="00F728EA"/>
    <w:rsid w:val="00F73E7C"/>
    <w:rsid w:val="00F74D96"/>
    <w:rsid w:val="00F76179"/>
    <w:rsid w:val="00F7713A"/>
    <w:rsid w:val="00F77C15"/>
    <w:rsid w:val="00F83B4D"/>
    <w:rsid w:val="00F87D9A"/>
    <w:rsid w:val="00F90F09"/>
    <w:rsid w:val="00F9586C"/>
    <w:rsid w:val="00F9709E"/>
    <w:rsid w:val="00FA3218"/>
    <w:rsid w:val="00FA3B8C"/>
    <w:rsid w:val="00FA53E4"/>
    <w:rsid w:val="00FB5AE8"/>
    <w:rsid w:val="00FB6A8B"/>
    <w:rsid w:val="00FC4B0F"/>
    <w:rsid w:val="00FC7C83"/>
    <w:rsid w:val="00FC7E99"/>
    <w:rsid w:val="00FD02A7"/>
    <w:rsid w:val="00FD23B9"/>
    <w:rsid w:val="00FD26DC"/>
    <w:rsid w:val="00FD3D41"/>
    <w:rsid w:val="00FD7E44"/>
    <w:rsid w:val="00FE496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7893"/>
    <o:shapelayout v:ext="edit">
      <o:idmap v:ext="edit" data="1"/>
      <o:regrouptable v:ext="edit">
        <o:entry new="1" old="0"/>
        <o:entry new="2" old="1"/>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600A"/>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eastAsia="Times New Roman" w:hAnsi="Calibri" w:cs="Traditional Arabic"/>
      <w:sz w:val="22"/>
      <w:szCs w:val="30"/>
      <w:lang w:val="en-GB" w:eastAsia="en-US"/>
    </w:rPr>
  </w:style>
  <w:style w:type="paragraph" w:styleId="Heading1">
    <w:name w:val="heading 1"/>
    <w:basedOn w:val="Normal"/>
    <w:next w:val="Normal"/>
    <w:link w:val="Heading1Char"/>
    <w:qFormat/>
    <w:rsid w:val="00AE600A"/>
    <w:pPr>
      <w:keepNext/>
      <w:spacing w:before="240"/>
      <w:ind w:left="794" w:hanging="794"/>
      <w:outlineLvl w:val="0"/>
    </w:pPr>
    <w:rPr>
      <w:b/>
      <w:bCs/>
      <w:kern w:val="32"/>
      <w:sz w:val="24"/>
      <w:szCs w:val="32"/>
      <w:lang w:bidi="ar-EG"/>
    </w:rPr>
  </w:style>
  <w:style w:type="paragraph" w:styleId="Heading2">
    <w:name w:val="heading 2"/>
    <w:basedOn w:val="Normal"/>
    <w:next w:val="Normal"/>
    <w:link w:val="Heading2Char"/>
    <w:qFormat/>
    <w:rsid w:val="00E8422C"/>
    <w:pPr>
      <w:keepNext/>
      <w:spacing w:before="240"/>
      <w:ind w:left="794" w:hanging="794"/>
      <w:outlineLvl w:val="1"/>
    </w:pPr>
    <w:rPr>
      <w:b/>
      <w:bCs/>
    </w:rPr>
  </w:style>
  <w:style w:type="paragraph" w:styleId="Heading3">
    <w:name w:val="heading 3"/>
    <w:basedOn w:val="Normal"/>
    <w:next w:val="Normal"/>
    <w:link w:val="Heading3Char"/>
    <w:qFormat/>
    <w:rsid w:val="00AE600A"/>
    <w:pPr>
      <w:keepNext/>
      <w:spacing w:before="180"/>
      <w:ind w:left="794" w:hanging="794"/>
      <w:outlineLvl w:val="2"/>
    </w:pPr>
    <w:rPr>
      <w:b/>
      <w:bCs/>
    </w:rPr>
  </w:style>
  <w:style w:type="paragraph" w:styleId="Heading4">
    <w:name w:val="heading 4"/>
    <w:basedOn w:val="Normal"/>
    <w:next w:val="Normal"/>
    <w:link w:val="Heading4Char"/>
    <w:qFormat/>
    <w:rsid w:val="00AE600A"/>
    <w:pPr>
      <w:keepNext/>
      <w:outlineLvl w:val="3"/>
    </w:pPr>
    <w:rPr>
      <w:b/>
      <w:bCs/>
    </w:rPr>
  </w:style>
  <w:style w:type="paragraph" w:styleId="Heading5">
    <w:name w:val="heading 5"/>
    <w:basedOn w:val="Normal"/>
    <w:next w:val="Normal"/>
    <w:link w:val="Heading5Char"/>
    <w:qFormat/>
    <w:rsid w:val="00546A05"/>
    <w:pPr>
      <w:outlineLvl w:val="4"/>
    </w:pPr>
    <w:rPr>
      <w:rFonts w:ascii="Times New Roman Bold" w:hAnsi="Times New Roman Bold"/>
      <w:b/>
      <w:bCs/>
    </w:rPr>
  </w:style>
  <w:style w:type="paragraph" w:styleId="Heading6">
    <w:name w:val="heading 6"/>
    <w:basedOn w:val="Normal"/>
    <w:next w:val="Normal"/>
    <w:link w:val="Heading6Char"/>
    <w:qFormat/>
    <w:rsid w:val="009625F7"/>
    <w:pPr>
      <w:spacing w:before="240" w:after="60"/>
      <w:outlineLvl w:val="5"/>
    </w:pPr>
    <w:rPr>
      <w:rFonts w:cs="Times New Roman"/>
      <w:b/>
      <w:bCs/>
      <w:szCs w:val="22"/>
    </w:rPr>
  </w:style>
  <w:style w:type="paragraph" w:styleId="Heading7">
    <w:name w:val="heading 7"/>
    <w:basedOn w:val="Normal"/>
    <w:next w:val="Normal"/>
    <w:link w:val="Heading7Char"/>
    <w:qFormat/>
    <w:rsid w:val="009625F7"/>
    <w:pPr>
      <w:spacing w:before="240" w:after="60"/>
      <w:outlineLvl w:val="6"/>
    </w:pPr>
    <w:rPr>
      <w:rFonts w:cs="Times New Roman"/>
      <w:szCs w:val="24"/>
    </w:rPr>
  </w:style>
  <w:style w:type="paragraph" w:styleId="Heading8">
    <w:name w:val="heading 8"/>
    <w:basedOn w:val="Normal"/>
    <w:next w:val="Normal"/>
    <w:link w:val="Heading8Char"/>
    <w:qFormat/>
    <w:rsid w:val="009625F7"/>
    <w:pPr>
      <w:spacing w:before="240" w:after="60"/>
      <w:outlineLvl w:val="7"/>
    </w:pPr>
    <w:rPr>
      <w:rFonts w:cs="Times New Roman"/>
      <w:iCs/>
      <w:szCs w:val="24"/>
    </w:rPr>
  </w:style>
  <w:style w:type="paragraph" w:styleId="Heading9">
    <w:name w:val="heading 9"/>
    <w:basedOn w:val="Normal"/>
    <w:next w:val="Normal"/>
    <w:link w:val="Heading9Char"/>
    <w:qFormat/>
    <w:rsid w:val="009625F7"/>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00A"/>
    <w:rPr>
      <w:rFonts w:ascii="Calibri" w:eastAsia="Times New Roman" w:hAnsi="Calibri" w:cs="Traditional Arabic"/>
      <w:b/>
      <w:bCs/>
      <w:kern w:val="32"/>
      <w:sz w:val="24"/>
      <w:szCs w:val="32"/>
      <w:lang w:val="en-GB" w:eastAsia="en-US" w:bidi="ar-EG"/>
    </w:rPr>
  </w:style>
  <w:style w:type="paragraph" w:styleId="Footer">
    <w:name w:val="footer"/>
    <w:basedOn w:val="Normal"/>
    <w:link w:val="FooterChar"/>
    <w:rsid w:val="009625F7"/>
    <w:pPr>
      <w:tabs>
        <w:tab w:val="clear" w:pos="794"/>
        <w:tab w:val="clear" w:pos="1191"/>
        <w:tab w:val="clear" w:pos="1588"/>
        <w:tab w:val="clear" w:pos="1985"/>
        <w:tab w:val="left" w:pos="5954"/>
        <w:tab w:val="right" w:pos="9639"/>
      </w:tabs>
      <w:spacing w:before="0"/>
    </w:pPr>
    <w:rPr>
      <w:caps/>
      <w:noProof/>
      <w:sz w:val="14"/>
    </w:rPr>
  </w:style>
  <w:style w:type="paragraph" w:styleId="Header">
    <w:name w:val="header"/>
    <w:basedOn w:val="Normal"/>
    <w:link w:val="HeaderChar"/>
    <w:rsid w:val="00DD3657"/>
    <w:pPr>
      <w:tabs>
        <w:tab w:val="clear" w:pos="794"/>
        <w:tab w:val="clear" w:pos="1191"/>
        <w:tab w:val="clear" w:pos="1588"/>
        <w:tab w:val="clear" w:pos="1985"/>
      </w:tabs>
      <w:spacing w:before="0"/>
      <w:jc w:val="center"/>
    </w:pPr>
    <w:rPr>
      <w:b/>
      <w:bCs/>
    </w:rPr>
  </w:style>
  <w:style w:type="character" w:customStyle="1" w:styleId="HeaderChar">
    <w:name w:val="Header Char"/>
    <w:basedOn w:val="DefaultParagraphFont"/>
    <w:link w:val="Header"/>
    <w:rsid w:val="00DD3657"/>
    <w:rPr>
      <w:rFonts w:ascii="Calibri" w:eastAsia="Times New Roman" w:hAnsi="Calibri" w:cs="Traditional Arabic"/>
      <w:b/>
      <w:bCs/>
      <w:sz w:val="22"/>
      <w:szCs w:val="30"/>
      <w:lang w:val="en-GB" w:eastAsia="en-US"/>
    </w:rPr>
  </w:style>
  <w:style w:type="paragraph" w:customStyle="1" w:styleId="Headingb">
    <w:name w:val="Heading_b"/>
    <w:basedOn w:val="Normal"/>
    <w:next w:val="Normal"/>
    <w:rsid w:val="00860933"/>
    <w:pPr>
      <w:keepNext/>
      <w:spacing w:before="240"/>
    </w:pPr>
    <w:rPr>
      <w:b/>
      <w:bCs/>
    </w:rPr>
  </w:style>
  <w:style w:type="paragraph" w:customStyle="1" w:styleId="Source">
    <w:name w:val="Source"/>
    <w:basedOn w:val="Normal"/>
    <w:next w:val="Normal"/>
    <w:rsid w:val="009625F7"/>
    <w:pPr>
      <w:spacing w:before="600"/>
      <w:jc w:val="center"/>
    </w:pPr>
    <w:rPr>
      <w:rFonts w:ascii="Times New Roman Bold" w:hAnsi="Times New Roman Bold"/>
      <w:b/>
      <w:bCs/>
      <w:sz w:val="26"/>
      <w:szCs w:val="36"/>
    </w:rPr>
  </w:style>
  <w:style w:type="character" w:styleId="Hyperlink">
    <w:name w:val="Hyperlink"/>
    <w:aliases w:val="CEO_Hyperlink"/>
    <w:basedOn w:val="DefaultParagraphFont"/>
    <w:uiPriority w:val="99"/>
    <w:rsid w:val="009625F7"/>
    <w:rPr>
      <w:color w:val="0000FF"/>
      <w:u w:val="single"/>
    </w:rPr>
  </w:style>
  <w:style w:type="table" w:styleId="TableGrid">
    <w:name w:val="Table Grid"/>
    <w:basedOn w:val="TableNormal"/>
    <w:rsid w:val="009625F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link w:val="enumlev1Char"/>
    <w:qFormat/>
    <w:rsid w:val="00A13D06"/>
    <w:pPr>
      <w:spacing w:before="80"/>
      <w:ind w:left="794" w:hanging="794"/>
    </w:pPr>
    <w:rPr>
      <w:lang w:val="fr-FR"/>
    </w:rPr>
  </w:style>
  <w:style w:type="character" w:customStyle="1" w:styleId="enumlev1Char">
    <w:name w:val="enumlev1 Char"/>
    <w:basedOn w:val="DefaultParagraphFont"/>
    <w:link w:val="enumlev1"/>
    <w:rsid w:val="00860933"/>
    <w:rPr>
      <w:rFonts w:ascii="Verdana" w:hAnsi="Verdana" w:cs="Simplified Arabic"/>
      <w:sz w:val="19"/>
      <w:szCs w:val="26"/>
      <w:lang w:val="fr-FR" w:eastAsia="en-US" w:bidi="ar-SA"/>
    </w:rPr>
  </w:style>
  <w:style w:type="character" w:styleId="PageNumber">
    <w:name w:val="page number"/>
    <w:basedOn w:val="DefaultParagraphFont"/>
    <w:rsid w:val="009625F7"/>
  </w:style>
  <w:style w:type="paragraph" w:styleId="NormalWeb">
    <w:name w:val="Normal (Web)"/>
    <w:basedOn w:val="Normal"/>
    <w:link w:val="NormalWebChar"/>
    <w:rsid w:val="009625F7"/>
    <w:rPr>
      <w:rFonts w:cs="Times New Roman"/>
      <w:szCs w:val="24"/>
    </w:rPr>
  </w:style>
  <w:style w:type="paragraph" w:styleId="NormalIndent">
    <w:name w:val="Normal Indent"/>
    <w:basedOn w:val="Normal"/>
    <w:rsid w:val="009625F7"/>
    <w:pPr>
      <w:ind w:left="720"/>
    </w:pPr>
  </w:style>
  <w:style w:type="paragraph" w:styleId="NoteHeading">
    <w:name w:val="Note Heading"/>
    <w:basedOn w:val="Normal"/>
    <w:next w:val="Normal"/>
    <w:rsid w:val="009625F7"/>
  </w:style>
  <w:style w:type="paragraph" w:styleId="Subtitle">
    <w:name w:val="Subtitle"/>
    <w:basedOn w:val="Normal"/>
    <w:qFormat/>
    <w:rsid w:val="009625F7"/>
    <w:pPr>
      <w:spacing w:after="60"/>
      <w:jc w:val="center"/>
      <w:outlineLvl w:val="1"/>
    </w:pPr>
    <w:rPr>
      <w:rFonts w:cs="Arial"/>
      <w:szCs w:val="24"/>
    </w:rPr>
  </w:style>
  <w:style w:type="paragraph" w:styleId="Title">
    <w:name w:val="Title"/>
    <w:basedOn w:val="Normal"/>
    <w:link w:val="TitleChar"/>
    <w:qFormat/>
    <w:rsid w:val="00CE1114"/>
    <w:pPr>
      <w:spacing w:before="0"/>
      <w:jc w:val="center"/>
      <w:outlineLvl w:val="0"/>
    </w:pPr>
    <w:rPr>
      <w:rFonts w:ascii="Times New Roman Bold" w:hAnsi="Times New Roman Bold"/>
      <w:b/>
      <w:bCs/>
      <w:kern w:val="28"/>
      <w:sz w:val="32"/>
      <w:szCs w:val="40"/>
    </w:rPr>
  </w:style>
  <w:style w:type="paragraph" w:customStyle="1" w:styleId="enumlev2">
    <w:name w:val="enumlev2"/>
    <w:basedOn w:val="enumlev1"/>
    <w:rsid w:val="00EC3E44"/>
    <w:pPr>
      <w:ind w:left="1191" w:hanging="397"/>
    </w:pPr>
    <w:rPr>
      <w:lang w:val="en-GB"/>
    </w:rPr>
  </w:style>
  <w:style w:type="paragraph" w:customStyle="1" w:styleId="enumlev3">
    <w:name w:val="enumlev3"/>
    <w:basedOn w:val="enumlev2"/>
    <w:rsid w:val="009625F7"/>
    <w:pPr>
      <w:ind w:left="1588"/>
    </w:pPr>
  </w:style>
  <w:style w:type="paragraph" w:customStyle="1" w:styleId="Recdate">
    <w:name w:val="Rec_date"/>
    <w:basedOn w:val="Normal"/>
    <w:next w:val="Normal"/>
    <w:rsid w:val="009625F7"/>
    <w:pPr>
      <w:keepNext/>
      <w:keepLines/>
      <w:tabs>
        <w:tab w:val="clear" w:pos="794"/>
        <w:tab w:val="clear" w:pos="1191"/>
        <w:tab w:val="clear" w:pos="1588"/>
        <w:tab w:val="clear" w:pos="1985"/>
      </w:tabs>
      <w:bidi w:val="0"/>
      <w:spacing w:line="240" w:lineRule="auto"/>
      <w:jc w:val="right"/>
    </w:pPr>
    <w:rPr>
      <w:rFonts w:cs="Times New Roman"/>
      <w:i/>
      <w:sz w:val="18"/>
      <w:szCs w:val="20"/>
    </w:rPr>
  </w:style>
  <w:style w:type="character" w:customStyle="1" w:styleId="Recdef">
    <w:name w:val="Rec_def"/>
    <w:basedOn w:val="DefaultParagraphFont"/>
    <w:rsid w:val="009625F7"/>
    <w:rPr>
      <w:b/>
    </w:rPr>
  </w:style>
  <w:style w:type="paragraph" w:customStyle="1" w:styleId="RecN">
    <w:name w:val="Rec_N°"/>
    <w:basedOn w:val="Normal"/>
    <w:rsid w:val="009625F7"/>
    <w:pPr>
      <w:tabs>
        <w:tab w:val="clear" w:pos="794"/>
        <w:tab w:val="clear" w:pos="1191"/>
        <w:tab w:val="clear" w:pos="1588"/>
        <w:tab w:val="clear" w:pos="1985"/>
      </w:tabs>
      <w:spacing w:before="240"/>
    </w:pPr>
    <w:rPr>
      <w:rFonts w:ascii="Times New Roman Bold" w:hAnsi="Times New Roman Bold"/>
      <w:b/>
      <w:bCs/>
      <w:sz w:val="26"/>
      <w:szCs w:val="36"/>
    </w:rPr>
  </w:style>
  <w:style w:type="paragraph" w:customStyle="1" w:styleId="Recref">
    <w:name w:val="Rec_ref"/>
    <w:basedOn w:val="Normal"/>
    <w:rsid w:val="009625F7"/>
    <w:pPr>
      <w:tabs>
        <w:tab w:val="clear" w:pos="794"/>
        <w:tab w:val="clear" w:pos="1191"/>
        <w:tab w:val="clear" w:pos="1588"/>
        <w:tab w:val="clear" w:pos="1985"/>
      </w:tabs>
      <w:jc w:val="center"/>
    </w:pPr>
    <w:rPr>
      <w:i/>
      <w:iCs/>
    </w:rPr>
  </w:style>
  <w:style w:type="paragraph" w:customStyle="1" w:styleId="RepTitle">
    <w:name w:val="Rep_Title"/>
    <w:basedOn w:val="Normal"/>
    <w:rsid w:val="009625F7"/>
    <w:pPr>
      <w:tabs>
        <w:tab w:val="clear" w:pos="794"/>
        <w:tab w:val="clear" w:pos="1191"/>
        <w:tab w:val="clear" w:pos="1588"/>
        <w:tab w:val="clear" w:pos="1985"/>
      </w:tabs>
      <w:spacing w:before="240"/>
      <w:jc w:val="center"/>
    </w:pPr>
    <w:rPr>
      <w:rFonts w:ascii="Times New Roman Bold" w:hAnsi="Times New Roman Bold"/>
      <w:b/>
      <w:bCs/>
      <w:sz w:val="26"/>
      <w:szCs w:val="36"/>
      <w:lang w:val="en-US" w:bidi="ar-EG"/>
    </w:rPr>
  </w:style>
  <w:style w:type="paragraph" w:customStyle="1" w:styleId="Reftext">
    <w:name w:val="Ref_text"/>
    <w:basedOn w:val="Normal"/>
    <w:rsid w:val="009625F7"/>
    <w:pPr>
      <w:bidi w:val="0"/>
      <w:spacing w:line="240" w:lineRule="auto"/>
      <w:ind w:left="794" w:hanging="794"/>
      <w:jc w:val="left"/>
    </w:pPr>
    <w:rPr>
      <w:rFonts w:cs="Times New Roman"/>
      <w:sz w:val="16"/>
      <w:szCs w:val="20"/>
    </w:rPr>
  </w:style>
  <w:style w:type="paragraph" w:customStyle="1" w:styleId="Reftitle">
    <w:name w:val="Ref_title"/>
    <w:basedOn w:val="Normal"/>
    <w:next w:val="Reftext"/>
    <w:rsid w:val="009625F7"/>
    <w:pPr>
      <w:bidi w:val="0"/>
      <w:spacing w:before="480" w:line="240" w:lineRule="auto"/>
      <w:jc w:val="center"/>
    </w:pPr>
    <w:rPr>
      <w:rFonts w:cs="Times New Roman"/>
      <w:b/>
      <w:sz w:val="16"/>
      <w:szCs w:val="20"/>
    </w:rPr>
  </w:style>
  <w:style w:type="paragraph" w:customStyle="1" w:styleId="RecTitle">
    <w:name w:val="Rec_Title"/>
    <w:basedOn w:val="Normal"/>
    <w:rsid w:val="009625F7"/>
    <w:pPr>
      <w:tabs>
        <w:tab w:val="clear" w:pos="794"/>
        <w:tab w:val="clear" w:pos="1191"/>
        <w:tab w:val="clear" w:pos="1588"/>
        <w:tab w:val="clear" w:pos="1985"/>
      </w:tabs>
      <w:spacing w:before="240"/>
      <w:jc w:val="center"/>
    </w:pPr>
    <w:rPr>
      <w:rFonts w:ascii="Times New Roman Bold" w:hAnsi="Times New Roman Bold"/>
      <w:b/>
      <w:bCs/>
      <w:sz w:val="26"/>
      <w:szCs w:val="36"/>
    </w:rPr>
  </w:style>
  <w:style w:type="paragraph" w:customStyle="1" w:styleId="Figure">
    <w:name w:val="Figure"/>
    <w:basedOn w:val="Normal"/>
    <w:next w:val="Normal"/>
    <w:rsid w:val="009625F7"/>
    <w:pPr>
      <w:keepNext/>
      <w:keepLines/>
      <w:bidi w:val="0"/>
      <w:spacing w:before="240" w:after="120" w:line="240" w:lineRule="auto"/>
      <w:jc w:val="center"/>
    </w:pPr>
    <w:rPr>
      <w:rFonts w:cs="Times New Roman"/>
      <w:szCs w:val="20"/>
    </w:rPr>
  </w:style>
  <w:style w:type="paragraph" w:customStyle="1" w:styleId="Figurelegend">
    <w:name w:val="Figure_legend"/>
    <w:basedOn w:val="Normal"/>
    <w:rsid w:val="009625F7"/>
    <w:pPr>
      <w:keepNext/>
      <w:keepLines/>
      <w:tabs>
        <w:tab w:val="clear" w:pos="794"/>
        <w:tab w:val="clear" w:pos="1191"/>
        <w:tab w:val="clear" w:pos="1588"/>
        <w:tab w:val="clear" w:pos="1985"/>
      </w:tabs>
      <w:bidi w:val="0"/>
      <w:spacing w:before="20" w:after="20" w:line="240" w:lineRule="auto"/>
      <w:jc w:val="left"/>
    </w:pPr>
    <w:rPr>
      <w:rFonts w:cs="Times New Roman"/>
      <w:sz w:val="18"/>
      <w:szCs w:val="20"/>
    </w:rPr>
  </w:style>
  <w:style w:type="paragraph" w:customStyle="1" w:styleId="FigureNotitle">
    <w:name w:val="Figure_No &amp; title"/>
    <w:basedOn w:val="Normal"/>
    <w:next w:val="Normal"/>
    <w:rsid w:val="009625F7"/>
    <w:pPr>
      <w:keepLines/>
      <w:bidi w:val="0"/>
      <w:spacing w:before="240" w:after="120"/>
      <w:jc w:val="center"/>
    </w:pPr>
    <w:rPr>
      <w:rFonts w:ascii="Times New Roman Bold" w:hAnsi="Times New Roman Bold"/>
      <w:b/>
      <w:bCs/>
    </w:rPr>
  </w:style>
  <w:style w:type="paragraph" w:customStyle="1" w:styleId="Figurewithouttitle">
    <w:name w:val="Figure_without_title"/>
    <w:basedOn w:val="Normal"/>
    <w:next w:val="Normal"/>
    <w:rsid w:val="009625F7"/>
    <w:pPr>
      <w:keepLines/>
      <w:bidi w:val="0"/>
      <w:spacing w:before="240" w:after="120" w:line="240" w:lineRule="auto"/>
      <w:jc w:val="center"/>
    </w:pPr>
    <w:rPr>
      <w:rFonts w:cs="Times New Roman"/>
      <w:szCs w:val="20"/>
    </w:rPr>
  </w:style>
  <w:style w:type="paragraph" w:customStyle="1" w:styleId="Headingi">
    <w:name w:val="Heading_i"/>
    <w:basedOn w:val="Normal"/>
    <w:next w:val="Normal"/>
    <w:qFormat/>
    <w:rsid w:val="003417FA"/>
    <w:pPr>
      <w:keepNext/>
      <w:bidi w:val="0"/>
    </w:pPr>
    <w:rPr>
      <w:i/>
      <w:iCs/>
    </w:rPr>
  </w:style>
  <w:style w:type="paragraph" w:customStyle="1" w:styleId="PartN">
    <w:name w:val="Part_N°"/>
    <w:basedOn w:val="Normal"/>
    <w:next w:val="Normal"/>
    <w:qFormat/>
    <w:rsid w:val="009625F7"/>
    <w:pPr>
      <w:tabs>
        <w:tab w:val="clear" w:pos="794"/>
        <w:tab w:val="clear" w:pos="1191"/>
        <w:tab w:val="clear" w:pos="1588"/>
        <w:tab w:val="clear" w:pos="1985"/>
      </w:tabs>
      <w:spacing w:before="240"/>
      <w:jc w:val="center"/>
    </w:pPr>
    <w:rPr>
      <w:sz w:val="28"/>
      <w:szCs w:val="40"/>
      <w:lang w:bidi="ar-EG"/>
    </w:rPr>
  </w:style>
  <w:style w:type="paragraph" w:customStyle="1" w:styleId="Partref">
    <w:name w:val="Part_ref"/>
    <w:basedOn w:val="Normal"/>
    <w:next w:val="Normal"/>
    <w:rsid w:val="009625F7"/>
    <w:pPr>
      <w:keepNext/>
      <w:keepLines/>
      <w:bidi w:val="0"/>
      <w:spacing w:before="280" w:line="240" w:lineRule="auto"/>
      <w:jc w:val="center"/>
    </w:pPr>
    <w:rPr>
      <w:rFonts w:cs="Times New Roman"/>
      <w:szCs w:val="20"/>
    </w:rPr>
  </w:style>
  <w:style w:type="paragraph" w:customStyle="1" w:styleId="PartTitle">
    <w:name w:val="Part_Title"/>
    <w:basedOn w:val="Normal"/>
    <w:rsid w:val="009625F7"/>
    <w:pPr>
      <w:tabs>
        <w:tab w:val="clear" w:pos="794"/>
        <w:tab w:val="clear" w:pos="1191"/>
        <w:tab w:val="clear" w:pos="1588"/>
        <w:tab w:val="clear" w:pos="1985"/>
      </w:tabs>
      <w:spacing w:before="240"/>
      <w:jc w:val="center"/>
    </w:pPr>
    <w:rPr>
      <w:rFonts w:ascii="Times New Roman Bold" w:hAnsi="Times New Roman Bold"/>
      <w:b/>
      <w:bCs/>
      <w:sz w:val="26"/>
      <w:szCs w:val="36"/>
    </w:rPr>
  </w:style>
  <w:style w:type="paragraph" w:customStyle="1" w:styleId="Questiondate">
    <w:name w:val="Question_date"/>
    <w:basedOn w:val="Recdate"/>
    <w:next w:val="Normal"/>
    <w:rsid w:val="009625F7"/>
  </w:style>
  <w:style w:type="paragraph" w:customStyle="1" w:styleId="QuestionNo">
    <w:name w:val="Question_No"/>
    <w:basedOn w:val="Normal"/>
    <w:next w:val="Normal"/>
    <w:rsid w:val="009625F7"/>
    <w:pPr>
      <w:keepNext/>
      <w:keepLines/>
      <w:bidi w:val="0"/>
      <w:spacing w:before="0" w:line="240" w:lineRule="auto"/>
      <w:jc w:val="left"/>
    </w:pPr>
    <w:rPr>
      <w:rFonts w:cs="Times New Roman"/>
      <w:b/>
      <w:sz w:val="24"/>
      <w:szCs w:val="20"/>
    </w:rPr>
  </w:style>
  <w:style w:type="paragraph" w:customStyle="1" w:styleId="Questionref">
    <w:name w:val="Question_ref"/>
    <w:basedOn w:val="Normal"/>
    <w:next w:val="Questiondate"/>
    <w:rsid w:val="009625F7"/>
    <w:pPr>
      <w:keepNext/>
      <w:keepLines/>
      <w:tabs>
        <w:tab w:val="clear" w:pos="794"/>
        <w:tab w:val="clear" w:pos="1191"/>
        <w:tab w:val="clear" w:pos="1588"/>
        <w:tab w:val="clear" w:pos="1985"/>
      </w:tabs>
      <w:bidi w:val="0"/>
      <w:spacing w:line="240" w:lineRule="auto"/>
      <w:jc w:val="center"/>
    </w:pPr>
    <w:rPr>
      <w:rFonts w:cs="Times New Roman"/>
      <w:i/>
      <w:sz w:val="16"/>
      <w:szCs w:val="20"/>
    </w:rPr>
  </w:style>
  <w:style w:type="paragraph" w:customStyle="1" w:styleId="Questiontitle">
    <w:name w:val="Question_title"/>
    <w:basedOn w:val="Normal"/>
    <w:next w:val="Questionref"/>
    <w:rsid w:val="009625F7"/>
    <w:pPr>
      <w:keepNext/>
      <w:keepLines/>
      <w:bidi w:val="0"/>
      <w:spacing w:before="360" w:line="240" w:lineRule="auto"/>
      <w:jc w:val="center"/>
    </w:pPr>
    <w:rPr>
      <w:rFonts w:cs="Times New Roman"/>
      <w:b/>
      <w:sz w:val="24"/>
      <w:szCs w:val="20"/>
    </w:rPr>
  </w:style>
  <w:style w:type="paragraph" w:customStyle="1" w:styleId="Repdate">
    <w:name w:val="Rep_date"/>
    <w:basedOn w:val="Recdate"/>
    <w:next w:val="Normal"/>
    <w:rsid w:val="009625F7"/>
  </w:style>
  <w:style w:type="paragraph" w:customStyle="1" w:styleId="RepNo">
    <w:name w:val="Rep_No"/>
    <w:basedOn w:val="Normal"/>
    <w:next w:val="Normal"/>
    <w:qFormat/>
    <w:rsid w:val="009625F7"/>
    <w:pPr>
      <w:keepNext/>
      <w:keepLines/>
      <w:bidi w:val="0"/>
      <w:spacing w:before="0" w:line="240" w:lineRule="auto"/>
      <w:jc w:val="left"/>
    </w:pPr>
    <w:rPr>
      <w:rFonts w:cs="Times New Roman"/>
      <w:b/>
      <w:sz w:val="24"/>
      <w:szCs w:val="20"/>
    </w:rPr>
  </w:style>
  <w:style w:type="paragraph" w:customStyle="1" w:styleId="Repref">
    <w:name w:val="Rep_ref"/>
    <w:basedOn w:val="Normal"/>
    <w:next w:val="Repdate"/>
    <w:rsid w:val="009625F7"/>
    <w:pPr>
      <w:keepNext/>
      <w:keepLines/>
      <w:tabs>
        <w:tab w:val="clear" w:pos="794"/>
        <w:tab w:val="clear" w:pos="1191"/>
        <w:tab w:val="clear" w:pos="1588"/>
        <w:tab w:val="clear" w:pos="1985"/>
      </w:tabs>
      <w:bidi w:val="0"/>
      <w:spacing w:line="240" w:lineRule="auto"/>
      <w:jc w:val="center"/>
    </w:pPr>
    <w:rPr>
      <w:rFonts w:cs="Times New Roman"/>
      <w:i/>
      <w:sz w:val="16"/>
      <w:szCs w:val="20"/>
    </w:rPr>
  </w:style>
  <w:style w:type="paragraph" w:customStyle="1" w:styleId="Resdate">
    <w:name w:val="Res_date"/>
    <w:basedOn w:val="Recdate"/>
    <w:next w:val="Normal"/>
    <w:rsid w:val="009625F7"/>
  </w:style>
  <w:style w:type="character" w:customStyle="1" w:styleId="Resdef">
    <w:name w:val="Res_def"/>
    <w:basedOn w:val="DefaultParagraphFont"/>
    <w:rsid w:val="009625F7"/>
    <w:rPr>
      <w:rFonts w:ascii="Times New Roman" w:hAnsi="Times New Roman"/>
      <w:b/>
    </w:rPr>
  </w:style>
  <w:style w:type="paragraph" w:customStyle="1" w:styleId="ResNo">
    <w:name w:val="Res_No"/>
    <w:basedOn w:val="Normal"/>
    <w:next w:val="Normal"/>
    <w:rsid w:val="009625F7"/>
    <w:pPr>
      <w:keepNext/>
      <w:keepLines/>
      <w:bidi w:val="0"/>
      <w:spacing w:before="0" w:line="240" w:lineRule="auto"/>
      <w:jc w:val="left"/>
    </w:pPr>
    <w:rPr>
      <w:rFonts w:cs="Times New Roman"/>
      <w:b/>
      <w:sz w:val="24"/>
      <w:szCs w:val="20"/>
    </w:rPr>
  </w:style>
  <w:style w:type="paragraph" w:customStyle="1" w:styleId="Resref">
    <w:name w:val="Res_ref"/>
    <w:basedOn w:val="Normal"/>
    <w:next w:val="Resdate"/>
    <w:rsid w:val="009625F7"/>
    <w:pPr>
      <w:keepNext/>
      <w:keepLines/>
      <w:tabs>
        <w:tab w:val="clear" w:pos="794"/>
        <w:tab w:val="clear" w:pos="1191"/>
        <w:tab w:val="clear" w:pos="1588"/>
        <w:tab w:val="clear" w:pos="1985"/>
      </w:tabs>
      <w:bidi w:val="0"/>
      <w:spacing w:line="240" w:lineRule="auto"/>
      <w:jc w:val="center"/>
    </w:pPr>
    <w:rPr>
      <w:rFonts w:cs="Times New Roman"/>
      <w:i/>
      <w:sz w:val="16"/>
      <w:szCs w:val="20"/>
    </w:rPr>
  </w:style>
  <w:style w:type="paragraph" w:customStyle="1" w:styleId="Restitle">
    <w:name w:val="Res_title"/>
    <w:basedOn w:val="Normal"/>
    <w:next w:val="Resref"/>
    <w:rsid w:val="009625F7"/>
    <w:pPr>
      <w:keepNext/>
      <w:keepLines/>
      <w:bidi w:val="0"/>
      <w:spacing w:before="360" w:line="240" w:lineRule="auto"/>
      <w:jc w:val="center"/>
    </w:pPr>
    <w:rPr>
      <w:rFonts w:cs="Times New Roman"/>
      <w:b/>
      <w:sz w:val="24"/>
      <w:szCs w:val="20"/>
    </w:rPr>
  </w:style>
  <w:style w:type="paragraph" w:customStyle="1" w:styleId="Tablehead">
    <w:name w:val="Table_head"/>
    <w:basedOn w:val="Normal"/>
    <w:next w:val="Normal"/>
    <w:rsid w:val="0095336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after="120" w:line="280" w:lineRule="exact"/>
      <w:jc w:val="center"/>
    </w:pPr>
    <w:rPr>
      <w:rFonts w:ascii="Times New Roman Bold" w:hAnsi="Times New Roman Bold"/>
      <w:b/>
    </w:rPr>
  </w:style>
  <w:style w:type="paragraph" w:customStyle="1" w:styleId="Tablelegend">
    <w:name w:val="Table_legend"/>
    <w:basedOn w:val="Normal"/>
    <w:rsid w:val="009625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after="40" w:line="240" w:lineRule="auto"/>
      <w:jc w:val="left"/>
    </w:pPr>
    <w:rPr>
      <w:rFonts w:cs="Times New Roman"/>
      <w:sz w:val="18"/>
      <w:szCs w:val="20"/>
    </w:rPr>
  </w:style>
  <w:style w:type="paragraph" w:customStyle="1" w:styleId="TableNotitle">
    <w:name w:val="Table_No &amp; title"/>
    <w:basedOn w:val="Normal"/>
    <w:next w:val="Tablehead"/>
    <w:link w:val="TableNotitleChar"/>
    <w:rsid w:val="009625F7"/>
    <w:pPr>
      <w:keepNext/>
      <w:keepLines/>
      <w:bidi w:val="0"/>
      <w:spacing w:before="240" w:after="120"/>
      <w:jc w:val="center"/>
    </w:pPr>
    <w:rPr>
      <w:rFonts w:ascii="Times New Roman Bold" w:hAnsi="Times New Roman Bold"/>
      <w:b/>
      <w:bCs/>
    </w:rPr>
  </w:style>
  <w:style w:type="paragraph" w:customStyle="1" w:styleId="Tableref">
    <w:name w:val="Table_ref"/>
    <w:basedOn w:val="Normal"/>
    <w:next w:val="Normal"/>
    <w:rsid w:val="009625F7"/>
    <w:pPr>
      <w:keepNext/>
      <w:bidi w:val="0"/>
      <w:spacing w:before="0" w:after="120" w:line="240" w:lineRule="auto"/>
      <w:jc w:val="center"/>
    </w:pPr>
    <w:rPr>
      <w:rFonts w:cs="Times New Roman"/>
      <w:szCs w:val="20"/>
    </w:rPr>
  </w:style>
  <w:style w:type="paragraph" w:customStyle="1" w:styleId="Tabletext">
    <w:name w:val="Table_text"/>
    <w:basedOn w:val="Normal"/>
    <w:rsid w:val="009533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80" w:lineRule="exact"/>
      <w:jc w:val="center"/>
    </w:pPr>
  </w:style>
  <w:style w:type="character" w:styleId="FootnoteReference">
    <w:name w:val="footnote reference"/>
    <w:aliases w:val="Appel note de bas de p,Footnote Reference/"/>
    <w:basedOn w:val="DefaultParagraphFont"/>
    <w:qFormat/>
    <w:rsid w:val="00393D86"/>
    <w:rPr>
      <w:rFonts w:ascii="Times New Roman" w:hAnsi="Times New Roman" w:cs="Times New Roman"/>
      <w:dstrike w:val="0"/>
      <w:spacing w:val="0"/>
      <w:w w:val="100"/>
      <w:position w:val="0"/>
      <w:sz w:val="22"/>
      <w:szCs w:val="22"/>
      <w:effect w:val="none"/>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C94FD6"/>
    <w:pPr>
      <w:keepLines/>
      <w:tabs>
        <w:tab w:val="clear" w:pos="794"/>
        <w:tab w:val="clear" w:pos="1191"/>
        <w:tab w:val="clear" w:pos="1588"/>
        <w:tab w:val="clear" w:pos="1985"/>
      </w:tabs>
      <w:spacing w:before="80" w:line="180" w:lineRule="auto"/>
      <w:ind w:left="284" w:right="255" w:hanging="284"/>
    </w:pPr>
    <w:rPr>
      <w:sz w:val="18"/>
      <w:szCs w:val="24"/>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94FD6"/>
    <w:rPr>
      <w:rFonts w:eastAsia="Times New Roman" w:cs="Traditional Arabic"/>
      <w:sz w:val="18"/>
      <w:szCs w:val="24"/>
      <w:lang w:val="en-GB" w:eastAsia="en-US"/>
    </w:rPr>
  </w:style>
  <w:style w:type="paragraph" w:customStyle="1" w:styleId="Normalaftertitle">
    <w:name w:val="Normal after title"/>
    <w:basedOn w:val="Normal"/>
    <w:next w:val="Normal"/>
    <w:rsid w:val="009625F7"/>
    <w:pPr>
      <w:spacing w:before="240"/>
    </w:pPr>
  </w:style>
  <w:style w:type="paragraph" w:customStyle="1" w:styleId="StyleRepref">
    <w:name w:val="Style Rep_ref +"/>
    <w:basedOn w:val="Repref"/>
    <w:rsid w:val="009625F7"/>
    <w:pPr>
      <w:bidi/>
      <w:spacing w:line="192" w:lineRule="auto"/>
    </w:pPr>
    <w:rPr>
      <w:rFonts w:cs="Traditional Arabic"/>
      <w:iCs/>
      <w:sz w:val="22"/>
      <w:szCs w:val="30"/>
    </w:rPr>
  </w:style>
  <w:style w:type="table" w:customStyle="1" w:styleId="TableGrid1">
    <w:name w:val="Table Grid1"/>
    <w:basedOn w:val="TableNormal"/>
    <w:next w:val="TableGrid"/>
    <w:rsid w:val="00F02FCE"/>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A421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eastAsia="SimSun" w:cs="Times New Roman"/>
      <w:szCs w:val="20"/>
    </w:rPr>
  </w:style>
  <w:style w:type="paragraph" w:customStyle="1" w:styleId="TableHead0">
    <w:name w:val="Table_Head"/>
    <w:basedOn w:val="TableText0"/>
    <w:rsid w:val="00A42178"/>
    <w:pPr>
      <w:keepNext/>
      <w:spacing w:before="80" w:after="80"/>
      <w:jc w:val="center"/>
    </w:pPr>
    <w:rPr>
      <w:b/>
    </w:rPr>
  </w:style>
  <w:style w:type="paragraph" w:customStyle="1" w:styleId="FOOTNOTE">
    <w:name w:val="FOOTNOTE"/>
    <w:basedOn w:val="FootnoteText"/>
    <w:rsid w:val="00432150"/>
    <w:pPr>
      <w:ind w:right="0"/>
    </w:pPr>
  </w:style>
  <w:style w:type="paragraph" w:customStyle="1" w:styleId="a">
    <w:name w:val="Знак Знак"/>
    <w:basedOn w:val="Normal"/>
    <w:rsid w:val="00EC3E44"/>
    <w:pPr>
      <w:widowControl w:val="0"/>
      <w:tabs>
        <w:tab w:val="clear" w:pos="794"/>
        <w:tab w:val="clear" w:pos="1191"/>
        <w:tab w:val="clear" w:pos="1588"/>
        <w:tab w:val="clear" w:pos="1985"/>
      </w:tabs>
      <w:overflowPunct/>
      <w:autoSpaceDE/>
      <w:autoSpaceDN/>
      <w:bidi w:val="0"/>
      <w:adjustRightInd/>
      <w:spacing w:before="0" w:line="240" w:lineRule="auto"/>
      <w:textAlignment w:val="auto"/>
    </w:pPr>
    <w:rPr>
      <w:rFonts w:ascii="Trebuchet MS" w:hAnsi="Trebuchet MS" w:cs="Times New Roman"/>
      <w:sz w:val="20"/>
      <w:szCs w:val="20"/>
      <w:lang w:eastAsia="zh-CN"/>
    </w:rPr>
  </w:style>
  <w:style w:type="paragraph" w:styleId="TOC4">
    <w:name w:val="toc 4"/>
    <w:basedOn w:val="Normal"/>
    <w:next w:val="Normal"/>
    <w:autoRedefine/>
    <w:uiPriority w:val="39"/>
    <w:rsid w:val="006C11E2"/>
    <w:pPr>
      <w:tabs>
        <w:tab w:val="clear" w:pos="794"/>
        <w:tab w:val="clear" w:pos="1191"/>
        <w:tab w:val="clear" w:pos="1588"/>
        <w:tab w:val="clear" w:pos="1985"/>
      </w:tabs>
      <w:spacing w:after="100"/>
      <w:ind w:left="570"/>
    </w:pPr>
  </w:style>
  <w:style w:type="paragraph" w:styleId="TOC1">
    <w:name w:val="toc 1"/>
    <w:basedOn w:val="Normal"/>
    <w:next w:val="Normal"/>
    <w:autoRedefine/>
    <w:uiPriority w:val="39"/>
    <w:rsid w:val="002A74E2"/>
    <w:pPr>
      <w:tabs>
        <w:tab w:val="clear" w:pos="794"/>
        <w:tab w:val="clear" w:pos="1191"/>
        <w:tab w:val="clear" w:pos="1588"/>
        <w:tab w:val="clear" w:pos="1985"/>
        <w:tab w:val="left" w:pos="1275"/>
        <w:tab w:val="right" w:leader="dot" w:pos="8788"/>
        <w:tab w:val="right" w:pos="9639"/>
      </w:tabs>
      <w:bidi w:val="0"/>
      <w:spacing w:before="60" w:line="240" w:lineRule="auto"/>
      <w:ind w:left="567" w:right="851" w:hanging="567"/>
    </w:pPr>
    <w:rPr>
      <w:noProof/>
    </w:rPr>
  </w:style>
  <w:style w:type="paragraph" w:styleId="TOC2">
    <w:name w:val="toc 2"/>
    <w:basedOn w:val="Normal"/>
    <w:next w:val="Normal"/>
    <w:autoRedefine/>
    <w:uiPriority w:val="39"/>
    <w:rsid w:val="00F83B4D"/>
    <w:pPr>
      <w:tabs>
        <w:tab w:val="clear" w:pos="794"/>
        <w:tab w:val="clear" w:pos="1191"/>
        <w:tab w:val="clear" w:pos="1588"/>
        <w:tab w:val="clear" w:pos="1985"/>
        <w:tab w:val="left" w:pos="1134"/>
        <w:tab w:val="left" w:leader="dot" w:pos="9628"/>
      </w:tabs>
      <w:spacing w:after="100"/>
      <w:ind w:left="567"/>
    </w:pPr>
  </w:style>
  <w:style w:type="paragraph" w:styleId="TOC3">
    <w:name w:val="toc 3"/>
    <w:basedOn w:val="Normal"/>
    <w:next w:val="Normal"/>
    <w:autoRedefine/>
    <w:uiPriority w:val="39"/>
    <w:rsid w:val="009D26C2"/>
    <w:pPr>
      <w:tabs>
        <w:tab w:val="clear" w:pos="794"/>
        <w:tab w:val="clear" w:pos="1191"/>
        <w:tab w:val="clear" w:pos="1588"/>
        <w:tab w:val="clear" w:pos="1985"/>
        <w:tab w:val="left" w:pos="1701"/>
        <w:tab w:val="right" w:leader="dot" w:pos="8788"/>
        <w:tab w:val="right" w:pos="9639"/>
      </w:tabs>
      <w:spacing w:after="100"/>
      <w:ind w:left="1134" w:right="851"/>
    </w:pPr>
    <w:rPr>
      <w:noProof/>
      <w:lang w:bidi="ar-EG"/>
    </w:rPr>
  </w:style>
  <w:style w:type="paragraph" w:customStyle="1" w:styleId="HeadingB0">
    <w:name w:val="Heading_B"/>
    <w:basedOn w:val="Normal"/>
    <w:rsid w:val="00116943"/>
    <w:pPr>
      <w:tabs>
        <w:tab w:val="clear" w:pos="794"/>
        <w:tab w:val="clear" w:pos="1191"/>
        <w:tab w:val="clear" w:pos="1588"/>
        <w:tab w:val="clear" w:pos="1985"/>
      </w:tabs>
    </w:pPr>
    <w:rPr>
      <w:rFonts w:ascii="Times New Roman Bold" w:hAnsi="Times New Roman Bold"/>
      <w:b/>
      <w:bCs/>
      <w:lang w:val="en-US" w:bidi="ar-EG"/>
    </w:rPr>
  </w:style>
  <w:style w:type="paragraph" w:customStyle="1" w:styleId="Annex">
    <w:name w:val="Annex"/>
    <w:basedOn w:val="Normal"/>
    <w:autoRedefine/>
    <w:qFormat/>
    <w:rsid w:val="00E32561"/>
    <w:pPr>
      <w:spacing w:before="360"/>
      <w:jc w:val="center"/>
    </w:pPr>
    <w:rPr>
      <w:rFonts w:ascii="Verdana" w:hAnsi="Verdana" w:cs="Simplified Arabic"/>
      <w:b/>
      <w:bCs/>
      <w:sz w:val="28"/>
      <w:szCs w:val="40"/>
      <w:lang w:val="en-US"/>
    </w:rPr>
  </w:style>
  <w:style w:type="paragraph" w:customStyle="1" w:styleId="ChapTitle">
    <w:name w:val="Chap_Title"/>
    <w:basedOn w:val="Normal"/>
    <w:rsid w:val="00E32561"/>
    <w:pPr>
      <w:tabs>
        <w:tab w:val="clear" w:pos="794"/>
        <w:tab w:val="clear" w:pos="1191"/>
        <w:tab w:val="clear" w:pos="1588"/>
        <w:tab w:val="clear" w:pos="1985"/>
      </w:tabs>
      <w:spacing w:before="240"/>
      <w:jc w:val="center"/>
    </w:pPr>
    <w:rPr>
      <w:rFonts w:ascii="Times New Roman Bold" w:hAnsi="Times New Roman Bold"/>
      <w:b/>
      <w:bCs/>
      <w:sz w:val="26"/>
      <w:szCs w:val="36"/>
      <w:lang w:bidi="ar-EG"/>
    </w:rPr>
  </w:style>
  <w:style w:type="paragraph" w:customStyle="1" w:styleId="CHAPNO">
    <w:name w:val="CHAP_NO"/>
    <w:basedOn w:val="Normal"/>
    <w:next w:val="ChapTitle"/>
    <w:rsid w:val="00E32561"/>
    <w:pPr>
      <w:tabs>
        <w:tab w:val="clear" w:pos="794"/>
        <w:tab w:val="clear" w:pos="1191"/>
        <w:tab w:val="clear" w:pos="1588"/>
        <w:tab w:val="clear" w:pos="1985"/>
      </w:tabs>
      <w:spacing w:before="240"/>
      <w:jc w:val="center"/>
    </w:pPr>
    <w:rPr>
      <w:rFonts w:ascii="Times New Roman Bold" w:hAnsi="Times New Roman Bold"/>
      <w:b/>
      <w:bCs/>
      <w:sz w:val="28"/>
      <w:szCs w:val="40"/>
      <w:lang w:bidi="ar-EG"/>
    </w:rPr>
  </w:style>
  <w:style w:type="paragraph" w:customStyle="1" w:styleId="RecNo">
    <w:name w:val="Rec_No"/>
    <w:basedOn w:val="Normal"/>
    <w:next w:val="Normal"/>
    <w:rsid w:val="00E32561"/>
    <w:pPr>
      <w:keepNext/>
      <w:tabs>
        <w:tab w:val="clear" w:pos="794"/>
        <w:tab w:val="clear" w:pos="1191"/>
        <w:tab w:val="clear" w:pos="1588"/>
        <w:tab w:val="clear" w:pos="1985"/>
      </w:tabs>
      <w:bidi w:val="0"/>
      <w:spacing w:before="240"/>
      <w:jc w:val="left"/>
    </w:pPr>
    <w:rPr>
      <w:rFonts w:ascii="Times New Roman Bold" w:hAnsi="Times New Roman Bold"/>
      <w:b/>
      <w:sz w:val="26"/>
      <w:szCs w:val="36"/>
    </w:rPr>
  </w:style>
  <w:style w:type="paragraph" w:customStyle="1" w:styleId="RecRef0">
    <w:name w:val="Rec_Ref"/>
    <w:basedOn w:val="Normal"/>
    <w:rsid w:val="00E32561"/>
    <w:pPr>
      <w:tabs>
        <w:tab w:val="clear" w:pos="794"/>
        <w:tab w:val="clear" w:pos="1191"/>
        <w:tab w:val="clear" w:pos="1588"/>
        <w:tab w:val="clear" w:pos="1985"/>
      </w:tabs>
      <w:jc w:val="center"/>
    </w:pPr>
    <w:rPr>
      <w:i/>
      <w:iCs/>
      <w:lang w:val="fr-FR" w:bidi="ar-EG"/>
    </w:rPr>
  </w:style>
  <w:style w:type="paragraph" w:customStyle="1" w:styleId="AnnexNTitle">
    <w:name w:val="Annex N° &amp; Title"/>
    <w:basedOn w:val="Normal"/>
    <w:rsid w:val="00E32561"/>
    <w:pPr>
      <w:tabs>
        <w:tab w:val="clear" w:pos="794"/>
        <w:tab w:val="clear" w:pos="1191"/>
        <w:tab w:val="clear" w:pos="1588"/>
        <w:tab w:val="clear" w:pos="1985"/>
      </w:tabs>
      <w:spacing w:before="360"/>
      <w:jc w:val="center"/>
    </w:pPr>
    <w:rPr>
      <w:rFonts w:ascii="Times New Roman Bold" w:hAnsi="Times New Roman Bold"/>
      <w:b/>
      <w:bCs/>
      <w:sz w:val="26"/>
      <w:szCs w:val="36"/>
      <w:lang w:val="en-US" w:bidi="ar-EG"/>
    </w:rPr>
  </w:style>
  <w:style w:type="character" w:customStyle="1" w:styleId="Appdef">
    <w:name w:val="App_def"/>
    <w:basedOn w:val="DefaultParagraphFont"/>
    <w:rsid w:val="00E32561"/>
    <w:rPr>
      <w:rFonts w:ascii="Verdana" w:hAnsi="Verdana"/>
      <w:b/>
    </w:rPr>
  </w:style>
  <w:style w:type="character" w:customStyle="1" w:styleId="Appref">
    <w:name w:val="App_ref"/>
    <w:basedOn w:val="DefaultParagraphFont"/>
    <w:rsid w:val="00E32561"/>
  </w:style>
  <w:style w:type="paragraph" w:customStyle="1" w:styleId="AppendixNotitle">
    <w:name w:val="Appendix_No &amp; title"/>
    <w:basedOn w:val="Normal"/>
    <w:next w:val="Normal"/>
    <w:autoRedefine/>
    <w:qFormat/>
    <w:rsid w:val="0049484E"/>
    <w:pPr>
      <w:keepNext/>
      <w:keepLines/>
      <w:bidi w:val="0"/>
      <w:spacing w:before="360" w:line="240" w:lineRule="auto"/>
      <w:jc w:val="center"/>
    </w:pPr>
    <w:rPr>
      <w:rFonts w:cs="Simplified Arabic"/>
      <w:b/>
      <w:bCs/>
      <w:sz w:val="28"/>
      <w:szCs w:val="40"/>
    </w:rPr>
  </w:style>
  <w:style w:type="character" w:customStyle="1" w:styleId="Artdef">
    <w:name w:val="Art_def"/>
    <w:basedOn w:val="DefaultParagraphFont"/>
    <w:rsid w:val="00E32561"/>
    <w:rPr>
      <w:rFonts w:ascii="Verdana" w:hAnsi="Verdana"/>
      <w:b/>
    </w:rPr>
  </w:style>
  <w:style w:type="paragraph" w:customStyle="1" w:styleId="Artheading">
    <w:name w:val="Art_heading"/>
    <w:basedOn w:val="Normal"/>
    <w:next w:val="Normal"/>
    <w:rsid w:val="00E32561"/>
    <w:pPr>
      <w:bidi w:val="0"/>
      <w:spacing w:before="360"/>
      <w:jc w:val="center"/>
    </w:pPr>
    <w:rPr>
      <w:rFonts w:ascii="Times New Roman Bold" w:hAnsi="Times New Roman Bold"/>
      <w:b/>
      <w:bCs/>
      <w:sz w:val="24"/>
      <w:szCs w:val="32"/>
    </w:rPr>
  </w:style>
  <w:style w:type="paragraph" w:customStyle="1" w:styleId="ArtNo">
    <w:name w:val="Art_No"/>
    <w:basedOn w:val="Normal"/>
    <w:next w:val="Normal"/>
    <w:rsid w:val="00E32561"/>
    <w:pPr>
      <w:keepNext/>
      <w:keepLines/>
      <w:bidi w:val="0"/>
      <w:spacing w:before="480" w:line="240" w:lineRule="auto"/>
      <w:jc w:val="center"/>
    </w:pPr>
    <w:rPr>
      <w:rFonts w:cs="Times New Roman"/>
      <w:caps/>
      <w:sz w:val="24"/>
      <w:szCs w:val="20"/>
    </w:rPr>
  </w:style>
  <w:style w:type="character" w:customStyle="1" w:styleId="Artref">
    <w:name w:val="Art_ref"/>
    <w:basedOn w:val="DefaultParagraphFont"/>
    <w:rsid w:val="00E32561"/>
  </w:style>
  <w:style w:type="paragraph" w:customStyle="1" w:styleId="Arttitle">
    <w:name w:val="Art_title"/>
    <w:basedOn w:val="Normal"/>
    <w:next w:val="Normal"/>
    <w:rsid w:val="00E32561"/>
    <w:pPr>
      <w:keepNext/>
      <w:keepLines/>
      <w:bidi w:val="0"/>
      <w:spacing w:before="240" w:line="240" w:lineRule="auto"/>
      <w:jc w:val="center"/>
    </w:pPr>
    <w:rPr>
      <w:rFonts w:cs="Times New Roman"/>
      <w:b/>
      <w:sz w:val="24"/>
      <w:szCs w:val="20"/>
    </w:rPr>
  </w:style>
  <w:style w:type="numbering" w:customStyle="1" w:styleId="NoList1">
    <w:name w:val="No List1"/>
    <w:next w:val="NoList"/>
    <w:rsid w:val="00E32561"/>
  </w:style>
  <w:style w:type="paragraph" w:customStyle="1" w:styleId="ASN1">
    <w:name w:val="ASN.1"/>
    <w:basedOn w:val="Normal"/>
    <w:rsid w:val="00E3256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32561"/>
    <w:pPr>
      <w:keepNext/>
      <w:keepLines/>
      <w:spacing w:before="160"/>
      <w:ind w:left="794"/>
    </w:pPr>
    <w:rPr>
      <w:i/>
    </w:rPr>
  </w:style>
  <w:style w:type="character" w:styleId="EndnoteReference">
    <w:name w:val="endnote reference"/>
    <w:basedOn w:val="DefaultParagraphFont"/>
    <w:rsid w:val="00E32561"/>
    <w:rPr>
      <w:vertAlign w:val="superscript"/>
    </w:rPr>
  </w:style>
  <w:style w:type="paragraph" w:customStyle="1" w:styleId="Equation">
    <w:name w:val="Equation"/>
    <w:basedOn w:val="Normal"/>
    <w:rsid w:val="00E32561"/>
    <w:pPr>
      <w:tabs>
        <w:tab w:val="clear" w:pos="1191"/>
        <w:tab w:val="clear" w:pos="1588"/>
        <w:tab w:val="clear" w:pos="1985"/>
        <w:tab w:val="center" w:pos="4820"/>
        <w:tab w:val="right" w:pos="9639"/>
      </w:tabs>
    </w:pPr>
  </w:style>
  <w:style w:type="paragraph" w:customStyle="1" w:styleId="Equationlegend">
    <w:name w:val="Equation_legend"/>
    <w:basedOn w:val="Normal"/>
    <w:rsid w:val="00E32561"/>
    <w:pPr>
      <w:tabs>
        <w:tab w:val="clear" w:pos="794"/>
        <w:tab w:val="clear" w:pos="1191"/>
        <w:tab w:val="clear" w:pos="1588"/>
        <w:tab w:val="right" w:pos="1814"/>
      </w:tabs>
      <w:spacing w:before="80"/>
      <w:ind w:left="1985" w:hanging="1985"/>
    </w:pPr>
  </w:style>
  <w:style w:type="paragraph" w:customStyle="1" w:styleId="FirstFooter">
    <w:name w:val="FirstFooter"/>
    <w:basedOn w:val="Footer"/>
    <w:rsid w:val="00E32561"/>
    <w:pPr>
      <w:tabs>
        <w:tab w:val="clear" w:pos="5954"/>
        <w:tab w:val="clear" w:pos="9639"/>
      </w:tabs>
      <w:overflowPunct/>
      <w:autoSpaceDE/>
      <w:autoSpaceDN/>
      <w:adjustRightInd/>
      <w:spacing w:before="40"/>
      <w:textAlignment w:val="auto"/>
    </w:pPr>
    <w:rPr>
      <w:caps w:val="0"/>
      <w:noProof w:val="0"/>
      <w:sz w:val="16"/>
    </w:rPr>
  </w:style>
  <w:style w:type="paragraph" w:customStyle="1" w:styleId="FooterQP">
    <w:name w:val="Footer_QP"/>
    <w:basedOn w:val="Normal"/>
    <w:rsid w:val="00E32561"/>
    <w:pPr>
      <w:tabs>
        <w:tab w:val="clear" w:pos="794"/>
        <w:tab w:val="clear" w:pos="1191"/>
        <w:tab w:val="clear" w:pos="1588"/>
        <w:tab w:val="clear" w:pos="1985"/>
        <w:tab w:val="left" w:pos="907"/>
        <w:tab w:val="right" w:pos="8789"/>
        <w:tab w:val="right" w:pos="9639"/>
      </w:tabs>
      <w:spacing w:before="0"/>
    </w:pPr>
    <w:rPr>
      <w:b/>
    </w:rPr>
  </w:style>
  <w:style w:type="paragraph" w:customStyle="1" w:styleId="Note">
    <w:name w:val="Note"/>
    <w:basedOn w:val="Normal"/>
    <w:rsid w:val="00E32561"/>
    <w:pPr>
      <w:spacing w:before="80"/>
    </w:pPr>
  </w:style>
  <w:style w:type="paragraph" w:customStyle="1" w:styleId="Formal">
    <w:name w:val="Formal"/>
    <w:basedOn w:val="ASN1"/>
    <w:rsid w:val="00E32561"/>
    <w:rPr>
      <w:b w:val="0"/>
    </w:rPr>
  </w:style>
  <w:style w:type="paragraph" w:styleId="Index1">
    <w:name w:val="index 1"/>
    <w:basedOn w:val="Normal"/>
    <w:next w:val="Normal"/>
    <w:rsid w:val="00E32561"/>
  </w:style>
  <w:style w:type="paragraph" w:styleId="Index2">
    <w:name w:val="index 2"/>
    <w:basedOn w:val="Normal"/>
    <w:next w:val="Normal"/>
    <w:rsid w:val="00E32561"/>
    <w:pPr>
      <w:ind w:left="283"/>
    </w:pPr>
  </w:style>
  <w:style w:type="paragraph" w:styleId="Index3">
    <w:name w:val="index 3"/>
    <w:basedOn w:val="Normal"/>
    <w:next w:val="Normal"/>
    <w:rsid w:val="00E32561"/>
    <w:pPr>
      <w:ind w:left="566"/>
    </w:pPr>
  </w:style>
  <w:style w:type="paragraph" w:customStyle="1" w:styleId="RecNoBR">
    <w:name w:val="Rec_No_BR"/>
    <w:basedOn w:val="Normal"/>
    <w:next w:val="Normal"/>
    <w:rsid w:val="00E32561"/>
    <w:pPr>
      <w:keepNext/>
      <w:keepLines/>
      <w:spacing w:before="480"/>
      <w:jc w:val="center"/>
    </w:pPr>
    <w:rPr>
      <w:caps/>
      <w:sz w:val="28"/>
    </w:rPr>
  </w:style>
  <w:style w:type="paragraph" w:customStyle="1" w:styleId="QuestionNoBR">
    <w:name w:val="Question_No_BR"/>
    <w:basedOn w:val="RecNoBR"/>
    <w:next w:val="Questiontitle"/>
    <w:rsid w:val="00E32561"/>
  </w:style>
  <w:style w:type="paragraph" w:customStyle="1" w:styleId="RepNoBR">
    <w:name w:val="Rep_No_BR"/>
    <w:basedOn w:val="RecNoBR"/>
    <w:next w:val="Reptitle0"/>
    <w:rsid w:val="00E32561"/>
  </w:style>
  <w:style w:type="paragraph" w:customStyle="1" w:styleId="Reptitle0">
    <w:name w:val="Rep_title"/>
    <w:basedOn w:val="Normal"/>
    <w:next w:val="Repref"/>
    <w:rsid w:val="00E32561"/>
    <w:pPr>
      <w:keepNext/>
      <w:keepLines/>
      <w:spacing w:before="360"/>
      <w:jc w:val="center"/>
    </w:pPr>
    <w:rPr>
      <w:b/>
      <w:sz w:val="28"/>
    </w:rPr>
  </w:style>
  <w:style w:type="paragraph" w:customStyle="1" w:styleId="ResNoBR">
    <w:name w:val="Res_No_BR"/>
    <w:basedOn w:val="RecNoBR"/>
    <w:next w:val="Restitle"/>
    <w:rsid w:val="00E32561"/>
  </w:style>
  <w:style w:type="paragraph" w:customStyle="1" w:styleId="Section1">
    <w:name w:val="Section_1"/>
    <w:basedOn w:val="Normal"/>
    <w:next w:val="Normal"/>
    <w:rsid w:val="00E3256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32561"/>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E32561"/>
    <w:pPr>
      <w:keepNext/>
      <w:keepLines/>
      <w:spacing w:before="480" w:after="80"/>
      <w:jc w:val="center"/>
    </w:pPr>
    <w:rPr>
      <w:caps/>
      <w:sz w:val="28"/>
    </w:rPr>
  </w:style>
  <w:style w:type="paragraph" w:customStyle="1" w:styleId="Sectiontitle">
    <w:name w:val="Section_title"/>
    <w:basedOn w:val="Normal"/>
    <w:next w:val="Normal"/>
    <w:rsid w:val="00E32561"/>
    <w:pPr>
      <w:keepNext/>
      <w:keepLines/>
      <w:spacing w:before="480" w:after="280"/>
      <w:jc w:val="center"/>
    </w:pPr>
    <w:rPr>
      <w:b/>
      <w:sz w:val="28"/>
    </w:rPr>
  </w:style>
  <w:style w:type="paragraph" w:customStyle="1" w:styleId="SpecialFooter">
    <w:name w:val="Special Footer"/>
    <w:basedOn w:val="Footer"/>
    <w:rsid w:val="00E32561"/>
    <w:pPr>
      <w:tabs>
        <w:tab w:val="left" w:pos="567"/>
        <w:tab w:val="left" w:pos="1134"/>
        <w:tab w:val="left" w:pos="1701"/>
        <w:tab w:val="left" w:pos="2268"/>
        <w:tab w:val="left" w:pos="2835"/>
      </w:tabs>
    </w:pPr>
    <w:rPr>
      <w:caps w:val="0"/>
      <w:noProof w:val="0"/>
      <w:sz w:val="16"/>
    </w:rPr>
  </w:style>
  <w:style w:type="character" w:customStyle="1" w:styleId="Tablefreq">
    <w:name w:val="Table_freq"/>
    <w:basedOn w:val="DefaultParagraphFont"/>
    <w:rsid w:val="00E32561"/>
    <w:rPr>
      <w:b/>
      <w:color w:val="auto"/>
    </w:rPr>
  </w:style>
  <w:style w:type="paragraph" w:customStyle="1" w:styleId="TableNoBR">
    <w:name w:val="Table_No_BR"/>
    <w:basedOn w:val="Normal"/>
    <w:next w:val="TabletitleBR"/>
    <w:rsid w:val="00E32561"/>
    <w:pPr>
      <w:keepNext/>
      <w:spacing w:before="560" w:after="120"/>
      <w:jc w:val="center"/>
    </w:pPr>
    <w:rPr>
      <w:caps/>
    </w:rPr>
  </w:style>
  <w:style w:type="paragraph" w:customStyle="1" w:styleId="TabletitleBR">
    <w:name w:val="Table_title_BR"/>
    <w:basedOn w:val="Normal"/>
    <w:next w:val="Tablehead"/>
    <w:rsid w:val="00E32561"/>
    <w:pPr>
      <w:keepNext/>
      <w:keepLines/>
      <w:spacing w:before="0" w:after="120"/>
      <w:jc w:val="center"/>
    </w:pPr>
    <w:rPr>
      <w:b/>
    </w:rPr>
  </w:style>
  <w:style w:type="paragraph" w:customStyle="1" w:styleId="Title1">
    <w:name w:val="Title 1"/>
    <w:basedOn w:val="Source"/>
    <w:next w:val="Title2"/>
    <w:rsid w:val="003715BD"/>
    <w:pPr>
      <w:tabs>
        <w:tab w:val="clear" w:pos="794"/>
        <w:tab w:val="clear" w:pos="1191"/>
        <w:tab w:val="clear" w:pos="1588"/>
        <w:tab w:val="clear" w:pos="1985"/>
        <w:tab w:val="left" w:pos="567"/>
        <w:tab w:val="left" w:pos="1134"/>
        <w:tab w:val="left" w:pos="1701"/>
        <w:tab w:val="left" w:pos="2268"/>
        <w:tab w:val="left" w:pos="2835"/>
      </w:tabs>
      <w:spacing w:before="240"/>
    </w:pPr>
    <w:rPr>
      <w:rFonts w:ascii="Verdana" w:hAnsi="Verdana"/>
      <w:caps/>
    </w:rPr>
  </w:style>
  <w:style w:type="paragraph" w:customStyle="1" w:styleId="Title2">
    <w:name w:val="Title 2"/>
    <w:basedOn w:val="Title1"/>
    <w:next w:val="Title3"/>
    <w:rsid w:val="00E32561"/>
  </w:style>
  <w:style w:type="paragraph" w:customStyle="1" w:styleId="Title3">
    <w:name w:val="Title 3"/>
    <w:basedOn w:val="Title2"/>
    <w:next w:val="Title4"/>
    <w:rsid w:val="00E32561"/>
    <w:rPr>
      <w:caps w:val="0"/>
    </w:rPr>
  </w:style>
  <w:style w:type="paragraph" w:customStyle="1" w:styleId="Title4">
    <w:name w:val="Title 4"/>
    <w:basedOn w:val="Title3"/>
    <w:next w:val="Heading1"/>
    <w:rsid w:val="00E32561"/>
  </w:style>
  <w:style w:type="paragraph" w:customStyle="1" w:styleId="toc0">
    <w:name w:val="toc 0"/>
    <w:basedOn w:val="Normal"/>
    <w:next w:val="TOC1"/>
    <w:rsid w:val="00E32561"/>
    <w:pPr>
      <w:tabs>
        <w:tab w:val="clear" w:pos="794"/>
        <w:tab w:val="clear" w:pos="1191"/>
        <w:tab w:val="clear" w:pos="1588"/>
        <w:tab w:val="clear" w:pos="1985"/>
        <w:tab w:val="right" w:pos="9639"/>
      </w:tabs>
    </w:pPr>
    <w:rPr>
      <w:b/>
    </w:rPr>
  </w:style>
  <w:style w:type="paragraph" w:styleId="TOC5">
    <w:name w:val="toc 5"/>
    <w:basedOn w:val="TOC4"/>
    <w:uiPriority w:val="39"/>
    <w:rsid w:val="00E32561"/>
    <w:pPr>
      <w:keepLines/>
      <w:tabs>
        <w:tab w:val="left" w:pos="964"/>
        <w:tab w:val="left" w:leader="dot" w:pos="8789"/>
        <w:tab w:val="right" w:pos="9639"/>
      </w:tabs>
      <w:spacing w:before="80" w:after="0"/>
      <w:ind w:left="1531" w:right="851" w:hanging="851"/>
    </w:pPr>
  </w:style>
  <w:style w:type="paragraph" w:styleId="TOC6">
    <w:name w:val="toc 6"/>
    <w:basedOn w:val="TOC4"/>
    <w:uiPriority w:val="39"/>
    <w:rsid w:val="00E32561"/>
    <w:pPr>
      <w:keepLines/>
      <w:tabs>
        <w:tab w:val="left" w:pos="964"/>
        <w:tab w:val="left" w:leader="dot" w:pos="8789"/>
        <w:tab w:val="right" w:pos="9639"/>
      </w:tabs>
      <w:spacing w:before="80" w:after="0"/>
      <w:ind w:left="1531" w:right="851" w:hanging="851"/>
    </w:pPr>
  </w:style>
  <w:style w:type="paragraph" w:styleId="TOC7">
    <w:name w:val="toc 7"/>
    <w:basedOn w:val="TOC4"/>
    <w:uiPriority w:val="39"/>
    <w:rsid w:val="00E32561"/>
    <w:pPr>
      <w:keepLines/>
      <w:tabs>
        <w:tab w:val="left" w:pos="964"/>
        <w:tab w:val="left" w:leader="dot" w:pos="8789"/>
        <w:tab w:val="right" w:pos="9639"/>
      </w:tabs>
      <w:spacing w:before="80" w:after="0"/>
      <w:ind w:left="1531" w:right="851" w:hanging="851"/>
    </w:pPr>
  </w:style>
  <w:style w:type="paragraph" w:styleId="TOC8">
    <w:name w:val="toc 8"/>
    <w:basedOn w:val="TOC4"/>
    <w:uiPriority w:val="39"/>
    <w:rsid w:val="00E32561"/>
    <w:pPr>
      <w:keepLines/>
      <w:tabs>
        <w:tab w:val="left" w:pos="964"/>
        <w:tab w:val="left" w:leader="dot" w:pos="8789"/>
        <w:tab w:val="right" w:pos="9639"/>
      </w:tabs>
      <w:spacing w:before="80" w:after="0"/>
      <w:ind w:left="1531" w:right="851" w:hanging="851"/>
    </w:pPr>
  </w:style>
  <w:style w:type="paragraph" w:customStyle="1" w:styleId="FiguretitleBR">
    <w:name w:val="Figure_title_BR"/>
    <w:basedOn w:val="TabletitleBR"/>
    <w:next w:val="Figurewithouttitle"/>
    <w:rsid w:val="00E32561"/>
    <w:pPr>
      <w:keepNext w:val="0"/>
      <w:spacing w:after="480"/>
    </w:pPr>
  </w:style>
  <w:style w:type="paragraph" w:customStyle="1" w:styleId="FigureNoBR">
    <w:name w:val="Figure_No_BR"/>
    <w:basedOn w:val="Normal"/>
    <w:next w:val="FiguretitleBR"/>
    <w:rsid w:val="00E32561"/>
    <w:pPr>
      <w:keepNext/>
      <w:keepLines/>
      <w:spacing w:before="480" w:after="120"/>
      <w:jc w:val="center"/>
    </w:pPr>
    <w:rPr>
      <w:caps/>
    </w:rPr>
  </w:style>
  <w:style w:type="paragraph" w:customStyle="1" w:styleId="Infodoc">
    <w:name w:val="Infodoc"/>
    <w:basedOn w:val="Normal"/>
    <w:rsid w:val="00E32561"/>
    <w:pPr>
      <w:tabs>
        <w:tab w:val="clear" w:pos="794"/>
        <w:tab w:val="clear" w:pos="1191"/>
        <w:tab w:val="clear" w:pos="1588"/>
        <w:tab w:val="clear" w:pos="1985"/>
        <w:tab w:val="left" w:pos="1418"/>
      </w:tabs>
      <w:overflowPunct/>
      <w:autoSpaceDE/>
      <w:autoSpaceDN/>
      <w:bidi w:val="0"/>
      <w:adjustRightInd/>
      <w:spacing w:before="0" w:line="240" w:lineRule="auto"/>
      <w:ind w:left="1418" w:hanging="1418"/>
      <w:jc w:val="left"/>
      <w:textAlignment w:val="auto"/>
    </w:pPr>
    <w:rPr>
      <w:rFonts w:cs="Times New Roman"/>
      <w:sz w:val="24"/>
      <w:szCs w:val="20"/>
    </w:rPr>
  </w:style>
  <w:style w:type="paragraph" w:customStyle="1" w:styleId="Tabletitle">
    <w:name w:val="Table_title"/>
    <w:basedOn w:val="Normal"/>
    <w:next w:val="Normal"/>
    <w:rsid w:val="00E32561"/>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styleId="Strong">
    <w:name w:val="Strong"/>
    <w:basedOn w:val="DefaultParagraphFont"/>
    <w:qFormat/>
    <w:rsid w:val="00E32561"/>
    <w:rPr>
      <w:b/>
      <w:bCs/>
    </w:rPr>
  </w:style>
  <w:style w:type="paragraph" w:styleId="BodyText">
    <w:name w:val="Body Text"/>
    <w:basedOn w:val="Normal"/>
    <w:link w:val="BodyTextChar"/>
    <w:rsid w:val="00E32561"/>
  </w:style>
  <w:style w:type="character" w:customStyle="1" w:styleId="BodyTextChar">
    <w:name w:val="Body Text Char"/>
    <w:basedOn w:val="DefaultParagraphFont"/>
    <w:link w:val="BodyText"/>
    <w:rsid w:val="00E32561"/>
    <w:rPr>
      <w:rFonts w:eastAsia="Times New Roman" w:cs="Traditional Arabic"/>
      <w:sz w:val="22"/>
      <w:szCs w:val="30"/>
      <w:lang w:val="en-GB" w:eastAsia="en-US"/>
    </w:rPr>
  </w:style>
  <w:style w:type="paragraph" w:customStyle="1" w:styleId="MOS-Normal">
    <w:name w:val="MOS-Normal"/>
    <w:link w:val="MOS-NormalChar"/>
    <w:rsid w:val="00E32561"/>
    <w:pPr>
      <w:spacing w:before="120" w:after="120"/>
    </w:pPr>
    <w:rPr>
      <w:rFonts w:ascii="Verdana" w:hAnsi="Verdana" w:cs="Traditional Arabic"/>
      <w:sz w:val="18"/>
      <w:szCs w:val="28"/>
      <w:lang w:val="en-GB" w:eastAsia="en-US"/>
    </w:rPr>
  </w:style>
  <w:style w:type="character" w:customStyle="1" w:styleId="MOS-NormalChar">
    <w:name w:val="MOS-Normal Char"/>
    <w:basedOn w:val="DefaultParagraphFont"/>
    <w:link w:val="MOS-Normal"/>
    <w:rsid w:val="00E32561"/>
    <w:rPr>
      <w:rFonts w:ascii="Verdana" w:hAnsi="Verdana" w:cs="Traditional Arabic"/>
      <w:sz w:val="18"/>
      <w:szCs w:val="28"/>
      <w:lang w:val="en-GB" w:eastAsia="en-US"/>
    </w:rPr>
  </w:style>
  <w:style w:type="paragraph" w:customStyle="1" w:styleId="MOSQuestionName">
    <w:name w:val="MOSQuestionName"/>
    <w:basedOn w:val="MOS-Normal"/>
    <w:link w:val="MOSQuestionNameChar"/>
    <w:rsid w:val="00E32561"/>
    <w:rPr>
      <w:b/>
      <w:bCs/>
    </w:rPr>
  </w:style>
  <w:style w:type="character" w:customStyle="1" w:styleId="MOSQuestionNameChar">
    <w:name w:val="MOSQuestionName Char"/>
    <w:basedOn w:val="MOS-NormalChar"/>
    <w:link w:val="MOSQuestionName"/>
    <w:rsid w:val="00E32561"/>
    <w:rPr>
      <w:b/>
      <w:bCs/>
    </w:rPr>
  </w:style>
  <w:style w:type="paragraph" w:customStyle="1" w:styleId="Mos-NormalBold">
    <w:name w:val="Mos-NormalBold"/>
    <w:basedOn w:val="MOS-Normal"/>
    <w:link w:val="Mos-NormalBoldChar"/>
    <w:rsid w:val="00E32561"/>
    <w:pPr>
      <w:tabs>
        <w:tab w:val="left" w:pos="3660"/>
        <w:tab w:val="left" w:pos="4253"/>
        <w:tab w:val="left" w:pos="5529"/>
      </w:tabs>
      <w:adjustRightInd w:val="0"/>
      <w:snapToGrid w:val="0"/>
    </w:pPr>
    <w:rPr>
      <w:b/>
    </w:rPr>
  </w:style>
  <w:style w:type="character" w:customStyle="1" w:styleId="Mos-NormalBoldChar">
    <w:name w:val="Mos-NormalBold Char"/>
    <w:basedOn w:val="MOS-NormalChar"/>
    <w:link w:val="Mos-NormalBold"/>
    <w:rsid w:val="00E32561"/>
    <w:rPr>
      <w:b/>
    </w:rPr>
  </w:style>
  <w:style w:type="paragraph" w:styleId="Date">
    <w:name w:val="Date"/>
    <w:basedOn w:val="Normal"/>
    <w:next w:val="Normal"/>
    <w:link w:val="DateChar"/>
    <w:rsid w:val="00E32561"/>
  </w:style>
  <w:style w:type="character" w:customStyle="1" w:styleId="DateChar">
    <w:name w:val="Date Char"/>
    <w:basedOn w:val="DefaultParagraphFont"/>
    <w:link w:val="Date"/>
    <w:rsid w:val="00E32561"/>
    <w:rPr>
      <w:rFonts w:eastAsia="Times New Roman" w:cs="Traditional Arabic"/>
      <w:sz w:val="22"/>
      <w:szCs w:val="30"/>
      <w:lang w:val="en-GB" w:eastAsia="en-US"/>
    </w:rPr>
  </w:style>
  <w:style w:type="paragraph" w:customStyle="1" w:styleId="Annextitle">
    <w:name w:val="Annex_title"/>
    <w:basedOn w:val="Normal"/>
    <w:next w:val="Normal"/>
    <w:link w:val="AnnextitleChar"/>
    <w:autoRedefine/>
    <w:qFormat/>
    <w:rsid w:val="00175E2D"/>
    <w:pPr>
      <w:keepNext/>
      <w:keepLines/>
      <w:spacing w:before="240"/>
      <w:jc w:val="center"/>
    </w:pPr>
    <w:rPr>
      <w:b/>
      <w:bCs/>
      <w:sz w:val="26"/>
      <w:szCs w:val="36"/>
    </w:rPr>
  </w:style>
  <w:style w:type="character" w:customStyle="1" w:styleId="AnnextitleChar">
    <w:name w:val="Annex_title Char"/>
    <w:basedOn w:val="DefaultParagraphFont"/>
    <w:link w:val="Annextitle"/>
    <w:locked/>
    <w:rsid w:val="00175E2D"/>
    <w:rPr>
      <w:rFonts w:ascii="Calibri" w:eastAsia="Times New Roman" w:hAnsi="Calibri" w:cs="Traditional Arabic"/>
      <w:b/>
      <w:bCs/>
      <w:sz w:val="26"/>
      <w:szCs w:val="36"/>
      <w:lang w:val="en-GB" w:eastAsia="en-US"/>
    </w:rPr>
  </w:style>
  <w:style w:type="paragraph" w:styleId="TOCHeading">
    <w:name w:val="TOC Heading"/>
    <w:basedOn w:val="Heading1"/>
    <w:next w:val="Normal"/>
    <w:uiPriority w:val="39"/>
    <w:semiHidden/>
    <w:unhideWhenUsed/>
    <w:qFormat/>
    <w:rsid w:val="00E32561"/>
    <w:pPr>
      <w:keepLines/>
      <w:tabs>
        <w:tab w:val="clear" w:pos="794"/>
        <w:tab w:val="clear" w:pos="1191"/>
        <w:tab w:val="clear" w:pos="1588"/>
        <w:tab w:val="clear" w:pos="1985"/>
      </w:tabs>
      <w:overflowPunct/>
      <w:autoSpaceDE/>
      <w:autoSpaceDN/>
      <w:bidi w:val="0"/>
      <w:adjustRightInd/>
      <w:spacing w:before="480" w:line="276" w:lineRule="auto"/>
      <w:ind w:left="0" w:firstLine="0"/>
      <w:jc w:val="left"/>
      <w:textAlignment w:val="auto"/>
      <w:outlineLvl w:val="9"/>
    </w:pPr>
    <w:rPr>
      <w:rFonts w:ascii="Cambria" w:eastAsia="SimSun" w:hAnsi="Cambria" w:cs="Times New Roman"/>
      <w:bCs w:val="0"/>
      <w:color w:val="365F91"/>
      <w:kern w:val="0"/>
      <w:sz w:val="28"/>
      <w:szCs w:val="28"/>
      <w:lang w:val="en-US" w:bidi="ar-SA"/>
    </w:rPr>
  </w:style>
  <w:style w:type="paragraph" w:styleId="TOC9">
    <w:name w:val="toc 9"/>
    <w:basedOn w:val="Normal"/>
    <w:next w:val="Normal"/>
    <w:autoRedefine/>
    <w:uiPriority w:val="39"/>
    <w:unhideWhenUsed/>
    <w:rsid w:val="00E32561"/>
    <w:pPr>
      <w:tabs>
        <w:tab w:val="clear" w:pos="794"/>
        <w:tab w:val="clear" w:pos="1191"/>
        <w:tab w:val="clear" w:pos="1588"/>
        <w:tab w:val="clear" w:pos="1985"/>
      </w:tabs>
      <w:overflowPunct/>
      <w:autoSpaceDE/>
      <w:autoSpaceDN/>
      <w:bidi w:val="0"/>
      <w:adjustRightInd/>
      <w:spacing w:before="0" w:after="100" w:line="276" w:lineRule="auto"/>
      <w:ind w:left="1760"/>
      <w:jc w:val="left"/>
      <w:textAlignment w:val="auto"/>
    </w:pPr>
    <w:rPr>
      <w:rFonts w:eastAsia="SimSun" w:cs="Arial"/>
      <w:szCs w:val="22"/>
      <w:lang w:val="en-US" w:eastAsia="zh-CN"/>
    </w:rPr>
  </w:style>
  <w:style w:type="paragraph" w:customStyle="1" w:styleId="Adress1">
    <w:name w:val="Adress_1"/>
    <w:basedOn w:val="Normal"/>
    <w:autoRedefine/>
    <w:qFormat/>
    <w:rsid w:val="00E32561"/>
    <w:pPr>
      <w:framePr w:hSpace="180" w:wrap="around" w:hAnchor="margin" w:xAlign="center" w:y="-810"/>
      <w:tabs>
        <w:tab w:val="clear" w:pos="794"/>
        <w:tab w:val="clear" w:pos="1191"/>
        <w:tab w:val="clear" w:pos="1588"/>
        <w:tab w:val="clear" w:pos="1985"/>
      </w:tabs>
      <w:overflowPunct/>
      <w:autoSpaceDE/>
      <w:autoSpaceDN/>
      <w:adjustRightInd/>
      <w:textAlignment w:val="auto"/>
    </w:pPr>
    <w:rPr>
      <w:rFonts w:ascii="Verdana" w:eastAsia="SimSun" w:hAnsi="Verdana" w:cs="Simplified Arabic"/>
      <w:b/>
      <w:bCs/>
      <w:w w:val="120"/>
      <w:sz w:val="32"/>
      <w:szCs w:val="44"/>
      <w:lang w:val="en-US"/>
    </w:rPr>
  </w:style>
  <w:style w:type="paragraph" w:customStyle="1" w:styleId="Address2">
    <w:name w:val="Address_2"/>
    <w:basedOn w:val="Normal"/>
    <w:qFormat/>
    <w:rsid w:val="00E32561"/>
    <w:pPr>
      <w:tabs>
        <w:tab w:val="clear" w:pos="794"/>
        <w:tab w:val="clear" w:pos="1191"/>
        <w:tab w:val="clear" w:pos="1588"/>
        <w:tab w:val="clear" w:pos="1985"/>
      </w:tabs>
      <w:overflowPunct/>
      <w:autoSpaceDE/>
      <w:autoSpaceDN/>
      <w:adjustRightInd/>
      <w:textAlignment w:val="auto"/>
    </w:pPr>
    <w:rPr>
      <w:rFonts w:ascii="Verdana" w:eastAsia="SimSun" w:hAnsi="Verdana" w:cs="Simplified Arabic"/>
      <w:b/>
      <w:bCs/>
      <w:noProof/>
      <w:sz w:val="20"/>
      <w:szCs w:val="27"/>
      <w:lang w:val="en-US" w:bidi="ar-EG"/>
    </w:rPr>
  </w:style>
  <w:style w:type="character" w:styleId="FollowedHyperlink">
    <w:name w:val="FollowedHyperlink"/>
    <w:aliases w:val="CEO_FollowedHyperlink"/>
    <w:basedOn w:val="DefaultParagraphFont"/>
    <w:rsid w:val="008B5EF7"/>
    <w:rPr>
      <w:color w:val="800080" w:themeColor="followedHyperlink"/>
      <w:u w:val="single"/>
    </w:rPr>
  </w:style>
  <w:style w:type="paragraph" w:customStyle="1" w:styleId="StyleTOC2After15cm">
    <w:name w:val="Style TOC 2 + After:  1.5 cm"/>
    <w:basedOn w:val="TOC2"/>
    <w:rsid w:val="00F83B4D"/>
    <w:pPr>
      <w:tabs>
        <w:tab w:val="clear" w:pos="9628"/>
        <w:tab w:val="left" w:leader="dot" w:pos="8789"/>
        <w:tab w:val="left" w:pos="9639"/>
      </w:tabs>
      <w:ind w:right="851"/>
    </w:pPr>
  </w:style>
  <w:style w:type="paragraph" w:customStyle="1" w:styleId="Normalaftertitle0">
    <w:name w:val="Normal_after_title"/>
    <w:basedOn w:val="Normal"/>
    <w:next w:val="Normal"/>
    <w:rsid w:val="00DD3657"/>
    <w:pPr>
      <w:tabs>
        <w:tab w:val="clear" w:pos="794"/>
        <w:tab w:val="clear" w:pos="1191"/>
        <w:tab w:val="clear" w:pos="1588"/>
        <w:tab w:val="clear" w:pos="1985"/>
      </w:tabs>
      <w:overflowPunct/>
      <w:autoSpaceDE/>
      <w:autoSpaceDN/>
      <w:bidi w:val="0"/>
      <w:adjustRightInd/>
      <w:spacing w:before="360" w:after="120" w:line="240" w:lineRule="auto"/>
      <w:jc w:val="left"/>
      <w:textAlignment w:val="auto"/>
    </w:pPr>
    <w:rPr>
      <w:rFonts w:ascii="Verdana" w:eastAsia="SimSun" w:hAnsi="Verdana"/>
      <w:sz w:val="18"/>
      <w:szCs w:val="20"/>
      <w:lang w:val="fr-FR" w:eastAsia="zh-CN"/>
    </w:rPr>
  </w:style>
  <w:style w:type="paragraph" w:customStyle="1" w:styleId="ChapNo0">
    <w:name w:val="Chap_No"/>
    <w:basedOn w:val="Normal"/>
    <w:next w:val="Chaptitle0"/>
    <w:rsid w:val="00DD3657"/>
    <w:pPr>
      <w:keepNext/>
      <w:keepLines/>
      <w:overflowPunct/>
      <w:autoSpaceDE/>
      <w:autoSpaceDN/>
      <w:bidi w:val="0"/>
      <w:adjustRightInd/>
      <w:spacing w:before="480" w:after="120" w:line="240" w:lineRule="auto"/>
      <w:jc w:val="center"/>
      <w:textAlignment w:val="auto"/>
    </w:pPr>
    <w:rPr>
      <w:rFonts w:ascii="Times New Roman Bold" w:eastAsia="SimSun" w:hAnsi="Times New Roman Bold"/>
      <w:b/>
      <w:caps/>
      <w:sz w:val="26"/>
      <w:szCs w:val="36"/>
      <w:lang w:val="fr-FR" w:eastAsia="zh-CN"/>
    </w:rPr>
  </w:style>
  <w:style w:type="paragraph" w:customStyle="1" w:styleId="Chaptitle0">
    <w:name w:val="Chap_title"/>
    <w:basedOn w:val="Normal"/>
    <w:next w:val="Normalaftertitle0"/>
    <w:rsid w:val="00DD3657"/>
    <w:pPr>
      <w:keepNext/>
      <w:keepLines/>
      <w:tabs>
        <w:tab w:val="clear" w:pos="794"/>
        <w:tab w:val="clear" w:pos="1191"/>
        <w:tab w:val="clear" w:pos="1588"/>
        <w:tab w:val="clear" w:pos="1985"/>
      </w:tabs>
      <w:overflowPunct/>
      <w:autoSpaceDE/>
      <w:autoSpaceDN/>
      <w:bidi w:val="0"/>
      <w:adjustRightInd/>
      <w:spacing w:before="240" w:after="120" w:line="240" w:lineRule="auto"/>
      <w:jc w:val="center"/>
      <w:textAlignment w:val="auto"/>
    </w:pPr>
    <w:rPr>
      <w:rFonts w:ascii="Times New Roman Bold" w:eastAsia="SimSun" w:hAnsi="Times New Roman Bold"/>
      <w:b/>
      <w:sz w:val="26"/>
      <w:szCs w:val="36"/>
      <w:lang w:val="fr-FR" w:eastAsia="zh-CN"/>
    </w:rPr>
  </w:style>
  <w:style w:type="paragraph" w:customStyle="1" w:styleId="AnnexNotitle">
    <w:name w:val="Annex_No &amp; title"/>
    <w:basedOn w:val="Normal"/>
    <w:next w:val="Normalaftertitle0"/>
    <w:rsid w:val="00DD3657"/>
    <w:pPr>
      <w:keepNext/>
      <w:keepLines/>
      <w:tabs>
        <w:tab w:val="clear" w:pos="794"/>
        <w:tab w:val="clear" w:pos="1191"/>
        <w:tab w:val="clear" w:pos="1588"/>
        <w:tab w:val="clear" w:pos="1985"/>
      </w:tabs>
      <w:overflowPunct/>
      <w:autoSpaceDE/>
      <w:autoSpaceDN/>
      <w:bidi w:val="0"/>
      <w:adjustRightInd/>
      <w:spacing w:before="480" w:after="120" w:line="240" w:lineRule="auto"/>
      <w:jc w:val="center"/>
      <w:textAlignment w:val="auto"/>
    </w:pPr>
    <w:rPr>
      <w:rFonts w:ascii="Times New Roman Bold" w:eastAsia="SimSun" w:hAnsi="Times New Roman Bold"/>
      <w:b/>
      <w:sz w:val="26"/>
      <w:szCs w:val="36"/>
      <w:lang w:val="fr-FR" w:eastAsia="zh-CN"/>
    </w:rPr>
  </w:style>
  <w:style w:type="paragraph" w:customStyle="1" w:styleId="PartNo">
    <w:name w:val="Part_No"/>
    <w:basedOn w:val="Normal"/>
    <w:next w:val="Partref"/>
    <w:rsid w:val="00DD3657"/>
    <w:pPr>
      <w:keepNext/>
      <w:keepLines/>
      <w:tabs>
        <w:tab w:val="clear" w:pos="794"/>
        <w:tab w:val="clear" w:pos="1191"/>
        <w:tab w:val="clear" w:pos="1588"/>
        <w:tab w:val="clear" w:pos="1985"/>
      </w:tabs>
      <w:overflowPunct/>
      <w:autoSpaceDE/>
      <w:autoSpaceDN/>
      <w:bidi w:val="0"/>
      <w:adjustRightInd/>
      <w:spacing w:before="480" w:after="80" w:line="240" w:lineRule="auto"/>
      <w:jc w:val="center"/>
      <w:textAlignment w:val="auto"/>
    </w:pPr>
    <w:rPr>
      <w:rFonts w:ascii="Verdana" w:eastAsia="SimSun" w:hAnsi="Verdana"/>
      <w:caps/>
      <w:sz w:val="28"/>
      <w:szCs w:val="40"/>
      <w:lang w:val="fr-FR" w:eastAsia="zh-CN"/>
    </w:rPr>
  </w:style>
  <w:style w:type="paragraph" w:customStyle="1" w:styleId="Parttitle0">
    <w:name w:val="Part_title"/>
    <w:basedOn w:val="Normal"/>
    <w:next w:val="Normalaftertitle0"/>
    <w:rsid w:val="00DD3657"/>
    <w:pPr>
      <w:keepNext/>
      <w:keepLines/>
      <w:tabs>
        <w:tab w:val="clear" w:pos="794"/>
        <w:tab w:val="clear" w:pos="1191"/>
        <w:tab w:val="clear" w:pos="1588"/>
        <w:tab w:val="clear" w:pos="1985"/>
      </w:tabs>
      <w:overflowPunct/>
      <w:autoSpaceDE/>
      <w:autoSpaceDN/>
      <w:bidi w:val="0"/>
      <w:adjustRightInd/>
      <w:spacing w:before="240" w:after="280" w:line="240" w:lineRule="auto"/>
      <w:jc w:val="center"/>
      <w:textAlignment w:val="auto"/>
    </w:pPr>
    <w:rPr>
      <w:rFonts w:ascii="Times New Roman Bold" w:eastAsia="SimSun" w:hAnsi="Times New Roman Bold"/>
      <w:b/>
      <w:sz w:val="28"/>
      <w:szCs w:val="40"/>
      <w:lang w:val="fr-FR" w:eastAsia="zh-CN"/>
    </w:rPr>
  </w:style>
  <w:style w:type="paragraph" w:customStyle="1" w:styleId="Rectitle0">
    <w:name w:val="Rec_title"/>
    <w:basedOn w:val="Normal"/>
    <w:next w:val="Normalaftertitle0"/>
    <w:rsid w:val="00DD3657"/>
    <w:pPr>
      <w:keepNext/>
      <w:keepLines/>
      <w:tabs>
        <w:tab w:val="clear" w:pos="794"/>
        <w:tab w:val="clear" w:pos="1191"/>
        <w:tab w:val="clear" w:pos="1588"/>
        <w:tab w:val="clear" w:pos="1985"/>
      </w:tabs>
      <w:overflowPunct/>
      <w:autoSpaceDE/>
      <w:autoSpaceDN/>
      <w:bidi w:val="0"/>
      <w:adjustRightInd/>
      <w:spacing w:before="360" w:after="120" w:line="240" w:lineRule="auto"/>
      <w:jc w:val="center"/>
      <w:textAlignment w:val="auto"/>
    </w:pPr>
    <w:rPr>
      <w:rFonts w:ascii="Times New Roman Bold" w:eastAsia="SimSun" w:hAnsi="Times New Roman Bold"/>
      <w:b/>
      <w:sz w:val="28"/>
      <w:szCs w:val="40"/>
      <w:lang w:val="fr-FR" w:eastAsia="zh-CN"/>
    </w:rPr>
  </w:style>
  <w:style w:type="paragraph" w:customStyle="1" w:styleId="CEONormal">
    <w:name w:val="CEO_Normal"/>
    <w:link w:val="CEONormalChar"/>
    <w:rsid w:val="00DD3657"/>
    <w:pPr>
      <w:spacing w:before="120" w:after="120"/>
    </w:pPr>
    <w:rPr>
      <w:rFonts w:ascii="Verdana" w:hAnsi="Verdana"/>
      <w:sz w:val="18"/>
      <w:lang w:val="en-GB" w:eastAsia="en-US"/>
    </w:rPr>
  </w:style>
  <w:style w:type="paragraph" w:customStyle="1" w:styleId="CEOIndent1-123">
    <w:name w:val="CEO_Indent1-123"/>
    <w:basedOn w:val="Normal"/>
    <w:rsid w:val="00DD3657"/>
    <w:pPr>
      <w:numPr>
        <w:numId w:val="3"/>
      </w:numPr>
      <w:tabs>
        <w:tab w:val="clear" w:pos="794"/>
        <w:tab w:val="clear" w:pos="1191"/>
        <w:tab w:val="clear" w:pos="1588"/>
        <w:tab w:val="clear" w:pos="1985"/>
      </w:tabs>
      <w:overflowPunct/>
      <w:autoSpaceDE/>
      <w:autoSpaceDN/>
      <w:bidi w:val="0"/>
      <w:adjustRightInd/>
      <w:spacing w:before="60" w:after="60" w:line="240" w:lineRule="auto"/>
      <w:ind w:right="709"/>
      <w:jc w:val="left"/>
      <w:textAlignment w:val="auto"/>
    </w:pPr>
    <w:rPr>
      <w:rFonts w:ascii="Verdana" w:eastAsia="SimSun" w:hAnsi="Verdana" w:cs="Times New Roman"/>
      <w:sz w:val="18"/>
      <w:szCs w:val="20"/>
      <w:lang w:val="en-US"/>
    </w:rPr>
  </w:style>
  <w:style w:type="paragraph" w:customStyle="1" w:styleId="CEOSectorName">
    <w:name w:val="CEO_SectorName"/>
    <w:basedOn w:val="CEONormal"/>
    <w:rsid w:val="00DD3657"/>
    <w:rPr>
      <w:b/>
      <w:bCs/>
      <w:sz w:val="26"/>
      <w:szCs w:val="28"/>
    </w:rPr>
  </w:style>
  <w:style w:type="paragraph" w:customStyle="1" w:styleId="CEOMeetingDates">
    <w:name w:val="CEO_MeetingDates"/>
    <w:basedOn w:val="Normal"/>
    <w:rsid w:val="00DD3657"/>
    <w:pPr>
      <w:tabs>
        <w:tab w:val="clear" w:pos="794"/>
        <w:tab w:val="clear" w:pos="1191"/>
        <w:tab w:val="clear" w:pos="1588"/>
        <w:tab w:val="clear" w:pos="1985"/>
      </w:tabs>
      <w:overflowPunct/>
      <w:autoSpaceDE/>
      <w:autoSpaceDN/>
      <w:bidi w:val="0"/>
      <w:adjustRightInd/>
      <w:spacing w:before="0" w:after="40" w:line="240" w:lineRule="auto"/>
      <w:jc w:val="left"/>
      <w:textAlignment w:val="auto"/>
    </w:pPr>
    <w:rPr>
      <w:rFonts w:ascii="Verdana" w:eastAsia="SimSun" w:hAnsi="Verdana" w:cs="Times New Roman"/>
      <w:b/>
      <w:bCs/>
      <w:sz w:val="19"/>
      <w:szCs w:val="19"/>
    </w:rPr>
  </w:style>
  <w:style w:type="paragraph" w:customStyle="1" w:styleId="CEODocNo">
    <w:name w:val="CEO_DocNo"/>
    <w:basedOn w:val="CEONormal"/>
    <w:next w:val="CEONormal"/>
    <w:rsid w:val="00DD3657"/>
    <w:pPr>
      <w:spacing w:before="0" w:after="0"/>
    </w:pPr>
    <w:rPr>
      <w:b/>
      <w:bCs/>
      <w:sz w:val="20"/>
    </w:rPr>
  </w:style>
  <w:style w:type="paragraph" w:customStyle="1" w:styleId="CEODocDates">
    <w:name w:val="CEO_DocDates"/>
    <w:basedOn w:val="CEONormal"/>
    <w:next w:val="CEONormal"/>
    <w:rsid w:val="00DD3657"/>
    <w:pPr>
      <w:spacing w:before="0" w:after="0"/>
    </w:pPr>
    <w:rPr>
      <w:b/>
      <w:bCs/>
      <w:sz w:val="20"/>
    </w:rPr>
  </w:style>
  <w:style w:type="paragraph" w:customStyle="1" w:styleId="CEOOriginalLanguage">
    <w:name w:val="CEO_OriginalLanguage"/>
    <w:basedOn w:val="CEONormal"/>
    <w:next w:val="CEONormal"/>
    <w:rsid w:val="00DD3657"/>
    <w:pPr>
      <w:spacing w:before="0" w:after="0"/>
    </w:pPr>
    <w:rPr>
      <w:b/>
      <w:bCs/>
      <w:sz w:val="20"/>
    </w:rPr>
  </w:style>
  <w:style w:type="paragraph" w:customStyle="1" w:styleId="CEOSourceTitle">
    <w:name w:val="CEO_Source_Title"/>
    <w:basedOn w:val="CEONormal"/>
    <w:rsid w:val="00DD3657"/>
    <w:rPr>
      <w:b/>
      <w:bCs/>
      <w:sz w:val="20"/>
    </w:rPr>
  </w:style>
  <w:style w:type="paragraph" w:customStyle="1" w:styleId="CEONormalCells">
    <w:name w:val="CEO_NormalCells"/>
    <w:basedOn w:val="CEONormal"/>
    <w:rsid w:val="00DD3657"/>
    <w:pPr>
      <w:spacing w:before="0" w:after="0"/>
    </w:pPr>
  </w:style>
  <w:style w:type="paragraph" w:customStyle="1" w:styleId="CEOMeetingName">
    <w:name w:val="CEO_MeetingName"/>
    <w:basedOn w:val="CEONormal"/>
    <w:next w:val="CEONormal"/>
    <w:link w:val="CEOMeetingNameChar"/>
    <w:rsid w:val="00DD3657"/>
    <w:pPr>
      <w:spacing w:after="0"/>
    </w:pPr>
    <w:rPr>
      <w:b/>
      <w:bCs/>
      <w:sz w:val="19"/>
      <w:szCs w:val="19"/>
    </w:rPr>
  </w:style>
  <w:style w:type="paragraph" w:customStyle="1" w:styleId="CEODocNoDetails">
    <w:name w:val="CEO_DocNoDetails"/>
    <w:basedOn w:val="CEONormal"/>
    <w:rsid w:val="00DD3657"/>
    <w:pPr>
      <w:spacing w:before="80" w:after="80"/>
      <w:jc w:val="center"/>
    </w:pPr>
  </w:style>
  <w:style w:type="paragraph" w:customStyle="1" w:styleId="11CEOAgendaItemIndent">
    <w:name w:val="1.1 CEO_AgendaItemIndent"/>
    <w:basedOn w:val="CEOAgendaItem"/>
    <w:rsid w:val="00DD3657"/>
    <w:pPr>
      <w:tabs>
        <w:tab w:val="left" w:pos="459"/>
      </w:tabs>
      <w:ind w:left="34"/>
    </w:pPr>
  </w:style>
  <w:style w:type="paragraph" w:customStyle="1" w:styleId="CEOSTG">
    <w:name w:val="CEO_STG"/>
    <w:basedOn w:val="CEOOriginalLanguage"/>
    <w:rsid w:val="00DD3657"/>
    <w:pPr>
      <w:spacing w:before="120" w:after="120"/>
      <w:jc w:val="center"/>
    </w:pPr>
  </w:style>
  <w:style w:type="character" w:customStyle="1" w:styleId="CEONormalChar">
    <w:name w:val="CEO_Normal Char"/>
    <w:basedOn w:val="DefaultParagraphFont"/>
    <w:link w:val="CEONormal"/>
    <w:rsid w:val="00DD3657"/>
    <w:rPr>
      <w:rFonts w:ascii="Verdana" w:hAnsi="Verdana"/>
      <w:sz w:val="18"/>
      <w:lang w:val="en-GB" w:eastAsia="en-US"/>
    </w:rPr>
  </w:style>
  <w:style w:type="character" w:customStyle="1" w:styleId="CEOMeetingNameChar">
    <w:name w:val="CEO_MeetingName Char"/>
    <w:basedOn w:val="CEONormalChar"/>
    <w:link w:val="CEOMeetingName"/>
    <w:rsid w:val="00DD3657"/>
    <w:rPr>
      <w:b/>
      <w:bCs/>
      <w:sz w:val="19"/>
      <w:szCs w:val="19"/>
    </w:rPr>
  </w:style>
  <w:style w:type="paragraph" w:customStyle="1" w:styleId="CEOAgendaItemN">
    <w:name w:val="CEO_AgendaItemN°"/>
    <w:basedOn w:val="CEOIndent1-123"/>
    <w:rsid w:val="00DD3657"/>
    <w:pPr>
      <w:numPr>
        <w:numId w:val="0"/>
      </w:numPr>
      <w:ind w:right="12"/>
    </w:pPr>
    <w:rPr>
      <w:sz w:val="19"/>
      <w:szCs w:val="19"/>
      <w:lang w:val="fr-FR"/>
    </w:rPr>
  </w:style>
  <w:style w:type="paragraph" w:customStyle="1" w:styleId="CEOQuestion">
    <w:name w:val="CEO_Question"/>
    <w:basedOn w:val="CEOOriginalLanguage"/>
    <w:rsid w:val="00DD3657"/>
    <w:rPr>
      <w:lang w:val="fr-CH"/>
    </w:rPr>
  </w:style>
  <w:style w:type="paragraph" w:customStyle="1" w:styleId="CEOQuestionDetails">
    <w:name w:val="CEO_QuestionDetails"/>
    <w:basedOn w:val="CEOOriginalLanguage"/>
    <w:rsid w:val="00DD3657"/>
    <w:rPr>
      <w:b w:val="0"/>
      <w:bCs w:val="0"/>
      <w:sz w:val="19"/>
      <w:szCs w:val="19"/>
    </w:rPr>
  </w:style>
  <w:style w:type="paragraph" w:customStyle="1" w:styleId="CEOSourceTitleDetails">
    <w:name w:val="CEO_SourceTitleDetails"/>
    <w:basedOn w:val="CEONormal"/>
    <w:link w:val="CEOSourceTitleDetailsChar"/>
    <w:rsid w:val="00DD3657"/>
    <w:rPr>
      <w:sz w:val="19"/>
      <w:szCs w:val="19"/>
    </w:rPr>
  </w:style>
  <w:style w:type="character" w:customStyle="1" w:styleId="CEOSourceTitleDetailsChar">
    <w:name w:val="CEO_SourceTitleDetails Char"/>
    <w:basedOn w:val="CEONormalChar"/>
    <w:link w:val="CEOSourceTitleDetails"/>
    <w:rsid w:val="00DD3657"/>
    <w:rPr>
      <w:sz w:val="19"/>
      <w:szCs w:val="19"/>
    </w:rPr>
  </w:style>
  <w:style w:type="paragraph" w:customStyle="1" w:styleId="CEOAgendaItem">
    <w:name w:val="CEO_AgendaItem"/>
    <w:basedOn w:val="CEOAgendaItemN"/>
    <w:rsid w:val="00DD3657"/>
  </w:style>
  <w:style w:type="character" w:customStyle="1" w:styleId="StyleLatin9pt">
    <w:name w:val="Style (Latin) 9 pt"/>
    <w:basedOn w:val="DefaultParagraphFont"/>
    <w:rsid w:val="00DD3657"/>
    <w:rPr>
      <w:rFonts w:ascii="Verdana" w:hAnsi="Verdana" w:cs="Traditional Arabic"/>
      <w:sz w:val="18"/>
      <w:szCs w:val="30"/>
    </w:rPr>
  </w:style>
  <w:style w:type="paragraph" w:styleId="ListParagraph">
    <w:name w:val="List Paragraph"/>
    <w:basedOn w:val="Normal"/>
    <w:uiPriority w:val="34"/>
    <w:qFormat/>
    <w:rsid w:val="00DD3657"/>
    <w:pPr>
      <w:ind w:left="720"/>
    </w:pPr>
  </w:style>
  <w:style w:type="character" w:customStyle="1" w:styleId="FooterChar">
    <w:name w:val="Footer Char"/>
    <w:basedOn w:val="DefaultParagraphFont"/>
    <w:link w:val="Footer"/>
    <w:locked/>
    <w:rsid w:val="00DD3657"/>
    <w:rPr>
      <w:rFonts w:eastAsia="Times New Roman" w:cs="Traditional Arabic"/>
      <w:caps/>
      <w:noProof/>
      <w:sz w:val="14"/>
      <w:szCs w:val="30"/>
      <w:lang w:val="en-GB" w:eastAsia="en-US"/>
    </w:rPr>
  </w:style>
  <w:style w:type="paragraph" w:customStyle="1" w:styleId="TextBox">
    <w:name w:val="Text_Box"/>
    <w:basedOn w:val="Normal"/>
    <w:autoRedefine/>
    <w:qFormat/>
    <w:rsid w:val="00DD3657"/>
    <w:pPr>
      <w:spacing w:before="40" w:after="40" w:line="240" w:lineRule="exact"/>
      <w:jc w:val="center"/>
    </w:pPr>
    <w:rPr>
      <w:szCs w:val="22"/>
      <w:lang w:val="en-US" w:bidi="ar-EG"/>
    </w:rPr>
  </w:style>
  <w:style w:type="paragraph" w:customStyle="1" w:styleId="CEOForAction">
    <w:name w:val="CEO_ForAction"/>
    <w:basedOn w:val="CEONormal"/>
    <w:next w:val="CEOSourceTitle"/>
    <w:rsid w:val="00DD3657"/>
    <w:pPr>
      <w:ind w:left="743"/>
    </w:pPr>
    <w:rPr>
      <w:rFonts w:eastAsia="SimHei" w:cs="Simplified Arabic"/>
      <w:b/>
      <w:iCs/>
      <w:sz w:val="19"/>
      <w:szCs w:val="28"/>
      <w:lang w:val="fr-FR" w:eastAsia="zh-CN"/>
    </w:rPr>
  </w:style>
  <w:style w:type="paragraph" w:customStyle="1" w:styleId="CEOLogo">
    <w:name w:val="CEO_Logo"/>
    <w:basedOn w:val="CEONormal"/>
    <w:rsid w:val="00DD3657"/>
    <w:pPr>
      <w:spacing w:before="0" w:after="0"/>
      <w:jc w:val="right"/>
    </w:pPr>
    <w:rPr>
      <w:rFonts w:eastAsia="SimHei" w:cs="Simplified Arabic"/>
      <w:bCs/>
      <w:sz w:val="19"/>
      <w:szCs w:val="28"/>
      <w:lang w:val="fr-FR" w:eastAsia="zh-CN"/>
    </w:rPr>
  </w:style>
  <w:style w:type="paragraph" w:customStyle="1" w:styleId="CEORevision">
    <w:name w:val="CEO_Revision"/>
    <w:basedOn w:val="CEONormal"/>
    <w:autoRedefine/>
    <w:rsid w:val="00DD3657"/>
    <w:pPr>
      <w:tabs>
        <w:tab w:val="left" w:pos="1928"/>
      </w:tabs>
      <w:spacing w:after="0"/>
    </w:pPr>
    <w:rPr>
      <w:rFonts w:eastAsia="SimHei" w:cs="Simplified Arabic"/>
      <w:b/>
      <w:bCs/>
      <w:szCs w:val="18"/>
      <w:lang w:val="fr-FR" w:eastAsia="zh-CN"/>
    </w:rPr>
  </w:style>
  <w:style w:type="paragraph" w:customStyle="1" w:styleId="CEOActionRequired">
    <w:name w:val="CEO_ActionRequired"/>
    <w:basedOn w:val="CEONormal"/>
    <w:rsid w:val="00DD3657"/>
    <w:pPr>
      <w:tabs>
        <w:tab w:val="left" w:pos="1928"/>
      </w:tabs>
      <w:spacing w:after="0"/>
    </w:pPr>
    <w:rPr>
      <w:rFonts w:eastAsia="SimHei" w:cs="Simplified Arabic"/>
      <w:b/>
      <w:bCs/>
      <w:sz w:val="19"/>
      <w:szCs w:val="28"/>
      <w:lang w:val="fr-FR" w:eastAsia="zh-CN"/>
    </w:rPr>
  </w:style>
  <w:style w:type="paragraph" w:customStyle="1" w:styleId="CEOFooterContact2-3">
    <w:name w:val="CEO_FooterContact2-3"/>
    <w:basedOn w:val="Normal"/>
    <w:rsid w:val="00DD3657"/>
    <w:pPr>
      <w:tabs>
        <w:tab w:val="clear" w:pos="794"/>
        <w:tab w:val="clear" w:pos="1191"/>
        <w:tab w:val="clear" w:pos="1588"/>
        <w:tab w:val="clear" w:pos="1985"/>
      </w:tabs>
      <w:overflowPunct/>
      <w:autoSpaceDE/>
      <w:autoSpaceDN/>
      <w:bidi w:val="0"/>
      <w:adjustRightInd/>
      <w:spacing w:before="0" w:line="240" w:lineRule="auto"/>
      <w:ind w:left="3827" w:hanging="2268"/>
      <w:jc w:val="left"/>
      <w:textAlignment w:val="auto"/>
    </w:pPr>
    <w:rPr>
      <w:rFonts w:ascii="Verdana" w:eastAsia="SimSun" w:hAnsi="Verdana" w:cs="Times New Roman"/>
      <w:sz w:val="16"/>
      <w:szCs w:val="16"/>
    </w:rPr>
  </w:style>
  <w:style w:type="paragraph" w:customStyle="1" w:styleId="CEOFooterContact1">
    <w:name w:val="CEO_FooterContact1"/>
    <w:basedOn w:val="Normal"/>
    <w:next w:val="CEOFooterContact2-3"/>
    <w:rsid w:val="00DD3657"/>
    <w:pPr>
      <w:pBdr>
        <w:top w:val="single" w:sz="4" w:space="5" w:color="auto"/>
      </w:pBdr>
      <w:tabs>
        <w:tab w:val="clear" w:pos="794"/>
        <w:tab w:val="clear" w:pos="1191"/>
        <w:tab w:val="clear" w:pos="1588"/>
        <w:tab w:val="clear" w:pos="1985"/>
        <w:tab w:val="left" w:pos="1560"/>
      </w:tabs>
      <w:overflowPunct/>
      <w:autoSpaceDE/>
      <w:autoSpaceDN/>
      <w:bidi w:val="0"/>
      <w:adjustRightInd/>
      <w:spacing w:line="240" w:lineRule="auto"/>
      <w:ind w:left="3827" w:hanging="3827"/>
      <w:jc w:val="left"/>
      <w:textAlignment w:val="auto"/>
    </w:pPr>
    <w:rPr>
      <w:rFonts w:ascii="Verdana" w:eastAsia="SimSun" w:hAnsi="Verdana" w:cs="Times New Roman"/>
      <w:sz w:val="16"/>
      <w:szCs w:val="16"/>
    </w:rPr>
  </w:style>
  <w:style w:type="paragraph" w:customStyle="1" w:styleId="CEODocTitle2lines-Second">
    <w:name w:val="CEO_DocTitle2lines-Second"/>
    <w:basedOn w:val="CEODocTitle2lines-First"/>
    <w:rsid w:val="00DD3657"/>
    <w:pPr>
      <w:spacing w:before="0" w:after="480"/>
    </w:pPr>
  </w:style>
  <w:style w:type="paragraph" w:customStyle="1" w:styleId="CEODocTitle2lines-First">
    <w:name w:val="CEO_DocTitle2lines-First"/>
    <w:basedOn w:val="CEODocTitle-1line"/>
    <w:next w:val="Normal"/>
    <w:link w:val="CEODocTitle2lines-FirstChar"/>
    <w:rsid w:val="00DD3657"/>
    <w:pPr>
      <w:spacing w:after="0"/>
    </w:pPr>
  </w:style>
  <w:style w:type="paragraph" w:customStyle="1" w:styleId="CEODocTitle-1line">
    <w:name w:val="CEO_DocTitle-1line"/>
    <w:basedOn w:val="Normal"/>
    <w:next w:val="Normal"/>
    <w:link w:val="CEODocTitle-1lineChar"/>
    <w:rsid w:val="00DD3657"/>
    <w:pPr>
      <w:tabs>
        <w:tab w:val="clear" w:pos="794"/>
        <w:tab w:val="clear" w:pos="1191"/>
        <w:tab w:val="clear" w:pos="1588"/>
        <w:tab w:val="clear" w:pos="1985"/>
      </w:tabs>
      <w:overflowPunct/>
      <w:autoSpaceDE/>
      <w:autoSpaceDN/>
      <w:bidi w:val="0"/>
      <w:adjustRightInd/>
      <w:spacing w:before="480" w:after="480" w:line="240" w:lineRule="auto"/>
      <w:jc w:val="center"/>
      <w:textAlignment w:val="auto"/>
    </w:pPr>
    <w:rPr>
      <w:rFonts w:ascii="Verdana" w:eastAsia="SimHei" w:hAnsi="Verdana" w:cs="Simplified Arabic"/>
      <w:b/>
      <w:bCs/>
      <w:sz w:val="28"/>
      <w:szCs w:val="28"/>
      <w:lang w:val="en-US"/>
    </w:rPr>
  </w:style>
  <w:style w:type="paragraph" w:customStyle="1" w:styleId="CEOcontributionH1">
    <w:name w:val="CEO_contributionH1"/>
    <w:basedOn w:val="CEOcontribution-H123"/>
    <w:next w:val="CEONormal"/>
    <w:rsid w:val="00DD3657"/>
    <w:pPr>
      <w:keepNext/>
      <w:keepLines/>
      <w:numPr>
        <w:numId w:val="0"/>
      </w:numPr>
      <w:spacing w:before="480"/>
    </w:pPr>
  </w:style>
  <w:style w:type="paragraph" w:customStyle="1" w:styleId="CEOcontribution-H123">
    <w:name w:val="CEO_contribution-H123"/>
    <w:basedOn w:val="Normal"/>
    <w:rsid w:val="00DD3657"/>
    <w:pPr>
      <w:numPr>
        <w:numId w:val="7"/>
      </w:numPr>
      <w:tabs>
        <w:tab w:val="clear" w:pos="794"/>
        <w:tab w:val="clear" w:pos="1191"/>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19"/>
      <w:szCs w:val="19"/>
    </w:rPr>
  </w:style>
  <w:style w:type="paragraph" w:customStyle="1" w:styleId="CEOParagraph11">
    <w:name w:val="CEO_Paragraph 1.1"/>
    <w:basedOn w:val="Heading2"/>
    <w:rsid w:val="00DD3657"/>
    <w:pPr>
      <w:keepNext w:val="0"/>
      <w:tabs>
        <w:tab w:val="clear" w:pos="794"/>
        <w:tab w:val="clear" w:pos="1191"/>
        <w:tab w:val="clear" w:pos="1588"/>
        <w:tab w:val="clear" w:pos="1985"/>
      </w:tabs>
      <w:overflowPunct/>
      <w:autoSpaceDE/>
      <w:autoSpaceDN/>
      <w:bidi w:val="0"/>
      <w:adjustRightInd/>
      <w:spacing w:before="120" w:after="120" w:line="240" w:lineRule="auto"/>
      <w:ind w:left="0" w:firstLine="0"/>
      <w:jc w:val="left"/>
      <w:textAlignment w:val="auto"/>
    </w:pPr>
    <w:rPr>
      <w:rFonts w:ascii="Verdana" w:eastAsia="SimHei" w:hAnsi="Verdana" w:cs="Simplified Arabic"/>
      <w:b w:val="0"/>
      <w:bCs w:val="0"/>
      <w:sz w:val="18"/>
      <w:szCs w:val="28"/>
      <w:lang w:eastAsia="zh-CN"/>
    </w:rPr>
  </w:style>
  <w:style w:type="paragraph" w:customStyle="1" w:styleId="CEOFooter">
    <w:name w:val="CEO_Footer"/>
    <w:basedOn w:val="Normal"/>
    <w:rsid w:val="00DD3657"/>
    <w:pPr>
      <w:tabs>
        <w:tab w:val="clear" w:pos="794"/>
        <w:tab w:val="clear" w:pos="1191"/>
        <w:tab w:val="clear" w:pos="1588"/>
        <w:tab w:val="clear" w:pos="1985"/>
        <w:tab w:val="right" w:pos="9072"/>
      </w:tabs>
      <w:overflowPunct/>
      <w:autoSpaceDE/>
      <w:autoSpaceDN/>
      <w:bidi w:val="0"/>
      <w:adjustRightInd/>
      <w:spacing w:before="0" w:line="240" w:lineRule="auto"/>
      <w:jc w:val="left"/>
      <w:textAlignment w:val="auto"/>
    </w:pPr>
    <w:rPr>
      <w:rFonts w:ascii="Verdana" w:eastAsia="SimHei" w:hAnsi="Verdana" w:cs="Simplified Arabic"/>
      <w:bCs/>
      <w:sz w:val="16"/>
      <w:szCs w:val="19"/>
    </w:rPr>
  </w:style>
  <w:style w:type="paragraph" w:customStyle="1" w:styleId="CEOHeader1">
    <w:name w:val="CEO_Header1"/>
    <w:basedOn w:val="Normal"/>
    <w:rsid w:val="00DD3657"/>
    <w:pPr>
      <w:numPr>
        <w:numId w:val="12"/>
      </w:num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DD3657"/>
    <w:pPr>
      <w:tabs>
        <w:tab w:val="clear" w:pos="794"/>
        <w:tab w:val="clear" w:pos="1191"/>
        <w:tab w:val="clear" w:pos="1588"/>
        <w:tab w:val="clear" w:pos="1985"/>
      </w:tabs>
      <w:overflowPunct/>
      <w:autoSpaceDE/>
      <w:autoSpaceDN/>
      <w:bidi w:val="0"/>
      <w:adjustRightInd/>
      <w:spacing w:before="720" w:line="240" w:lineRule="auto"/>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DD3657"/>
    <w:pPr>
      <w:tabs>
        <w:tab w:val="clear" w:pos="794"/>
        <w:tab w:val="clear" w:pos="1191"/>
        <w:tab w:val="clear" w:pos="1588"/>
        <w:tab w:val="clear" w:pos="1985"/>
        <w:tab w:val="center" w:pos="4536"/>
        <w:tab w:val="right" w:pos="9072"/>
      </w:tabs>
      <w:overflowPunct/>
      <w:autoSpaceDE/>
      <w:autoSpaceDN/>
      <w:bidi w:val="0"/>
      <w:adjustRightInd/>
      <w:spacing w:before="0" w:line="240" w:lineRule="auto"/>
      <w:jc w:val="right"/>
      <w:textAlignment w:val="auto"/>
    </w:pPr>
    <w:rPr>
      <w:rFonts w:ascii="Verdana" w:eastAsia="SimHei" w:hAnsi="Verdana" w:cs="Simplified Arabic"/>
      <w:bCs/>
      <w:smallCaps/>
      <w:sz w:val="19"/>
      <w:szCs w:val="19"/>
      <w:lang w:val="en-US"/>
    </w:rPr>
  </w:style>
  <w:style w:type="paragraph" w:customStyle="1" w:styleId="CEOcontributionStart">
    <w:name w:val="CEO_contributionStart"/>
    <w:basedOn w:val="CEOcontribution-H123"/>
    <w:rsid w:val="00DD3657"/>
    <w:pPr>
      <w:numPr>
        <w:numId w:val="0"/>
      </w:numPr>
      <w:spacing w:before="360"/>
    </w:pPr>
    <w:rPr>
      <w:b w:val="0"/>
    </w:rPr>
  </w:style>
  <w:style w:type="paragraph" w:customStyle="1" w:styleId="CEOParagraph111">
    <w:name w:val="CEO_Paragraph1.1.1"/>
    <w:basedOn w:val="Heading3"/>
    <w:rsid w:val="00DD3657"/>
    <w:pPr>
      <w:keepNext w:val="0"/>
      <w:tabs>
        <w:tab w:val="clear" w:pos="794"/>
        <w:tab w:val="clear" w:pos="1191"/>
        <w:tab w:val="clear" w:pos="1588"/>
        <w:tab w:val="clear" w:pos="1985"/>
      </w:tabs>
      <w:overflowPunct/>
      <w:autoSpaceDE/>
      <w:autoSpaceDN/>
      <w:bidi w:val="0"/>
      <w:adjustRightInd/>
      <w:spacing w:before="0" w:line="240" w:lineRule="auto"/>
      <w:ind w:left="0" w:firstLine="0"/>
      <w:jc w:val="left"/>
      <w:textAlignment w:val="auto"/>
    </w:pPr>
    <w:rPr>
      <w:rFonts w:ascii="Verdana" w:eastAsia="SimHei" w:hAnsi="Verdana" w:cs="Simplified Arabic"/>
      <w:b w:val="0"/>
      <w:bCs w:val="0"/>
      <w:sz w:val="19"/>
      <w:szCs w:val="28"/>
      <w:lang w:eastAsia="zh-CN"/>
    </w:rPr>
  </w:style>
  <w:style w:type="paragraph" w:customStyle="1" w:styleId="CEOindent-abc">
    <w:name w:val="CEO_indent-abc"/>
    <w:basedOn w:val="Normal"/>
    <w:rsid w:val="00DD3657"/>
    <w:pPr>
      <w:numPr>
        <w:ilvl w:val="1"/>
        <w:numId w:val="8"/>
      </w:num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Verdana" w:eastAsia="SimHei" w:hAnsi="Verdana"/>
      <w:bCs/>
      <w:sz w:val="18"/>
      <w:szCs w:val="28"/>
    </w:rPr>
  </w:style>
  <w:style w:type="paragraph" w:customStyle="1" w:styleId="CEOIndent-bulletsblackdot">
    <w:name w:val="CEO_Indent-bulletsblackdot"/>
    <w:basedOn w:val="Normal"/>
    <w:rsid w:val="00DD3657"/>
    <w:pPr>
      <w:numPr>
        <w:numId w:val="9"/>
      </w:numPr>
      <w:tabs>
        <w:tab w:val="clear" w:pos="794"/>
        <w:tab w:val="clear" w:pos="1191"/>
        <w:tab w:val="clear" w:pos="1588"/>
        <w:tab w:val="clear" w:pos="1985"/>
      </w:tabs>
      <w:overflowPunct/>
      <w:autoSpaceDE/>
      <w:autoSpaceDN/>
      <w:bidi w:val="0"/>
      <w:adjustRightInd/>
      <w:spacing w:before="60" w:after="60" w:line="240" w:lineRule="auto"/>
      <w:jc w:val="left"/>
      <w:textAlignment w:val="auto"/>
    </w:pPr>
    <w:rPr>
      <w:rFonts w:ascii="Verdana" w:eastAsia="SimHei" w:hAnsi="Verdana" w:cs="Simplified Arabic"/>
      <w:bCs/>
      <w:sz w:val="19"/>
      <w:szCs w:val="19"/>
    </w:rPr>
  </w:style>
  <w:style w:type="paragraph" w:customStyle="1" w:styleId="CEOIndent-bulletsBlueSquare">
    <w:name w:val="CEO_Indent-bulletsBlueSquare"/>
    <w:basedOn w:val="CEOIndent-bulletsblackdot"/>
    <w:rsid w:val="00DD3657"/>
    <w:pPr>
      <w:numPr>
        <w:numId w:val="10"/>
      </w:numPr>
    </w:pPr>
  </w:style>
  <w:style w:type="paragraph" w:customStyle="1" w:styleId="CEOSignatureName">
    <w:name w:val="CEO_SignatureName"/>
    <w:basedOn w:val="Normal"/>
    <w:rsid w:val="00DD3657"/>
    <w:pPr>
      <w:tabs>
        <w:tab w:val="clear" w:pos="794"/>
        <w:tab w:val="clear" w:pos="1191"/>
        <w:tab w:val="clear" w:pos="1588"/>
        <w:tab w:val="clear" w:pos="1985"/>
      </w:tabs>
      <w:overflowPunct/>
      <w:autoSpaceDE/>
      <w:autoSpaceDN/>
      <w:bidi w:val="0"/>
      <w:adjustRightInd/>
      <w:spacing w:before="720" w:line="240" w:lineRule="auto"/>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DD3657"/>
    <w:pPr>
      <w:spacing w:before="0"/>
    </w:pPr>
  </w:style>
  <w:style w:type="paragraph" w:customStyle="1" w:styleId="CEOindent-endash">
    <w:name w:val="CEO_indent-endash"/>
    <w:basedOn w:val="CEOEmdashList"/>
    <w:rsid w:val="00DD3657"/>
    <w:pPr>
      <w:numPr>
        <w:numId w:val="11"/>
      </w:numPr>
      <w:tabs>
        <w:tab w:val="clear" w:pos="1134"/>
        <w:tab w:val="num" w:pos="2880"/>
      </w:tabs>
      <w:ind w:left="2880"/>
    </w:pPr>
  </w:style>
  <w:style w:type="paragraph" w:customStyle="1" w:styleId="CEOEmdashList">
    <w:name w:val="CEO_EmdashList"/>
    <w:basedOn w:val="CEONormal"/>
    <w:rsid w:val="00DD3657"/>
    <w:pPr>
      <w:spacing w:after="0"/>
    </w:pPr>
    <w:rPr>
      <w:rFonts w:eastAsia="SimHei" w:cs="Simplified Arabic"/>
      <w:bCs/>
      <w:sz w:val="19"/>
      <w:szCs w:val="28"/>
      <w:lang w:val="fr-FR" w:eastAsia="zh-CN"/>
    </w:rPr>
  </w:style>
  <w:style w:type="paragraph" w:customStyle="1" w:styleId="CEOConsidering">
    <w:name w:val="CEO_Considering"/>
    <w:basedOn w:val="CEONormal"/>
    <w:rsid w:val="00DD3657"/>
    <w:pPr>
      <w:keepNext/>
      <w:keepLines/>
      <w:ind w:left="851"/>
    </w:pPr>
    <w:rPr>
      <w:rFonts w:eastAsia="SimHei" w:cs="Simplified Arabic"/>
      <w:bCs/>
      <w:i/>
      <w:iCs/>
      <w:sz w:val="19"/>
      <w:szCs w:val="28"/>
      <w:lang w:val="fr-FR" w:eastAsia="zh-CN"/>
    </w:rPr>
  </w:style>
  <w:style w:type="paragraph" w:customStyle="1" w:styleId="CEOEndBar">
    <w:name w:val="CEO_EndBar"/>
    <w:basedOn w:val="CEONormal"/>
    <w:rsid w:val="00DD3657"/>
    <w:pPr>
      <w:jc w:val="center"/>
    </w:pPr>
    <w:rPr>
      <w:rFonts w:eastAsia="SimHei" w:cs="Simplified Arabic"/>
      <w:bCs/>
      <w:sz w:val="19"/>
      <w:szCs w:val="28"/>
      <w:lang w:val="fr-FR" w:eastAsia="zh-CN"/>
    </w:rPr>
  </w:style>
  <w:style w:type="paragraph" w:customStyle="1" w:styleId="CEOExtract">
    <w:name w:val="CEO_Extract"/>
    <w:basedOn w:val="CEONormal"/>
    <w:rsid w:val="00DD3657"/>
    <w:pPr>
      <w:keepNext/>
      <w:keepLines/>
    </w:pPr>
    <w:rPr>
      <w:rFonts w:eastAsia="SimHei" w:cs="Simplified Arabic"/>
      <w:bCs/>
      <w:sz w:val="19"/>
      <w:szCs w:val="28"/>
      <w:lang w:val="fr-FR" w:eastAsia="zh-CN"/>
    </w:rPr>
  </w:style>
  <w:style w:type="paragraph" w:customStyle="1" w:styleId="CEOHeader">
    <w:name w:val="CEO_Header"/>
    <w:basedOn w:val="Normal"/>
    <w:rsid w:val="00DD3657"/>
    <w:pPr>
      <w:tabs>
        <w:tab w:val="clear" w:pos="794"/>
        <w:tab w:val="clear" w:pos="1191"/>
        <w:tab w:val="clear" w:pos="1588"/>
        <w:tab w:val="clear" w:pos="1985"/>
        <w:tab w:val="center" w:pos="5103"/>
        <w:tab w:val="right" w:pos="10206"/>
      </w:tabs>
      <w:overflowPunct/>
      <w:autoSpaceDE/>
      <w:autoSpaceDN/>
      <w:bidi w:val="0"/>
      <w:adjustRightInd/>
      <w:spacing w:after="480" w:line="240" w:lineRule="auto"/>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DD3657"/>
    <w:pPr>
      <w:ind w:left="426"/>
    </w:pPr>
    <w:rPr>
      <w:rFonts w:eastAsia="SimHei" w:cs="Simplified Arabic"/>
      <w:bCs/>
      <w:sz w:val="19"/>
      <w:szCs w:val="28"/>
      <w:lang w:val="fr-FR" w:eastAsia="zh-CN"/>
    </w:rPr>
  </w:style>
  <w:style w:type="paragraph" w:customStyle="1" w:styleId="CEOMeetingSTG">
    <w:name w:val="CEO_MeetingSTG"/>
    <w:basedOn w:val="CEOMeetingName"/>
    <w:rsid w:val="00DD3657"/>
    <w:pPr>
      <w:spacing w:after="120"/>
    </w:pPr>
    <w:rPr>
      <w:rFonts w:eastAsia="SimHei" w:cs="Simplified Arabic"/>
      <w:bCs w:val="0"/>
    </w:rPr>
  </w:style>
  <w:style w:type="paragraph" w:customStyle="1" w:styleId="CEORevisionNote">
    <w:name w:val="CEO_RevisionNote"/>
    <w:basedOn w:val="CEORevision"/>
    <w:autoRedefine/>
    <w:rsid w:val="00DD3657"/>
    <w:pPr>
      <w:spacing w:after="120"/>
    </w:pPr>
    <w:rPr>
      <w:b w:val="0"/>
      <w:i/>
      <w:iCs/>
      <w:lang w:val="en-US"/>
    </w:rPr>
  </w:style>
  <w:style w:type="paragraph" w:customStyle="1" w:styleId="CEORequiredAction">
    <w:name w:val="CEO_RequiredAction"/>
    <w:basedOn w:val="CEONormal"/>
    <w:rsid w:val="00DD3657"/>
    <w:pPr>
      <w:tabs>
        <w:tab w:val="left" w:pos="1928"/>
      </w:tabs>
      <w:spacing w:after="0"/>
    </w:pPr>
    <w:rPr>
      <w:rFonts w:eastAsia="SimHei" w:cs="Simplified Arabic"/>
      <w:b/>
      <w:bCs/>
      <w:sz w:val="19"/>
      <w:szCs w:val="28"/>
      <w:lang w:val="fr-FR" w:eastAsia="zh-CN"/>
    </w:rPr>
  </w:style>
  <w:style w:type="paragraph" w:customStyle="1" w:styleId="CEOAnnex">
    <w:name w:val="CEO_Annex"/>
    <w:basedOn w:val="CEOSignatureTitle"/>
    <w:rsid w:val="00DD3657"/>
    <w:pPr>
      <w:spacing w:before="1000"/>
    </w:pPr>
  </w:style>
  <w:style w:type="paragraph" w:customStyle="1" w:styleId="CEOEndashListNoIndent">
    <w:name w:val="CEO_EndashListNoIndent"/>
    <w:basedOn w:val="CEONormal"/>
    <w:rsid w:val="00DD3657"/>
    <w:pPr>
      <w:numPr>
        <w:numId w:val="4"/>
      </w:numPr>
      <w:tabs>
        <w:tab w:val="clear" w:pos="2237"/>
        <w:tab w:val="num" w:pos="360"/>
      </w:tabs>
      <w:spacing w:after="0"/>
      <w:ind w:left="360"/>
    </w:pPr>
    <w:rPr>
      <w:rFonts w:eastAsia="SimHei" w:cs="Simplified Arabic"/>
      <w:bCs/>
      <w:sz w:val="19"/>
      <w:szCs w:val="28"/>
      <w:lang w:val="fr-FR" w:eastAsia="zh-CN"/>
    </w:rPr>
  </w:style>
  <w:style w:type="paragraph" w:customStyle="1" w:styleId="CEOFootnoteText">
    <w:name w:val="CEO_Footnote Text"/>
    <w:basedOn w:val="CEONormal"/>
    <w:rsid w:val="00DD3657"/>
    <w:pPr>
      <w:tabs>
        <w:tab w:val="left" w:pos="357"/>
      </w:tabs>
      <w:spacing w:before="0" w:after="0"/>
    </w:pPr>
    <w:rPr>
      <w:rFonts w:eastAsia="SimHei" w:cs="Simplified Arabic"/>
      <w:bCs/>
      <w:sz w:val="19"/>
      <w:szCs w:val="28"/>
      <w:lang w:val="fr-FR" w:eastAsia="zh-CN"/>
    </w:rPr>
  </w:style>
  <w:style w:type="paragraph" w:customStyle="1" w:styleId="CEOHeading1-Numbered">
    <w:name w:val="CEO_Heading1-Numbered"/>
    <w:basedOn w:val="CEONormal"/>
    <w:rsid w:val="00DD3657"/>
    <w:pPr>
      <w:numPr>
        <w:numId w:val="5"/>
      </w:numPr>
      <w:pBdr>
        <w:bottom w:val="single" w:sz="12" w:space="1" w:color="808080"/>
      </w:pBdr>
      <w:tabs>
        <w:tab w:val="clear" w:pos="360"/>
        <w:tab w:val="num" w:pos="720"/>
      </w:tabs>
      <w:spacing w:after="0"/>
      <w:ind w:left="720"/>
    </w:pPr>
    <w:rPr>
      <w:rFonts w:eastAsia="SimHei" w:cs="Simplified Arabic"/>
      <w:b/>
      <w:color w:val="808080"/>
      <w:sz w:val="20"/>
      <w:szCs w:val="28"/>
      <w:lang w:val="fr-FR" w:eastAsia="zh-CN"/>
    </w:rPr>
  </w:style>
  <w:style w:type="paragraph" w:customStyle="1" w:styleId="CEOHeading1">
    <w:name w:val="CEO_Heading1"/>
    <w:basedOn w:val="CEOHeading1-Numbered"/>
    <w:next w:val="CEONormal"/>
    <w:rsid w:val="00DD3657"/>
    <w:pPr>
      <w:numPr>
        <w:numId w:val="0"/>
      </w:numPr>
    </w:pPr>
    <w:rPr>
      <w:lang w:val="fr-CH"/>
    </w:rPr>
  </w:style>
  <w:style w:type="paragraph" w:customStyle="1" w:styleId="CEOIndent1-abc">
    <w:name w:val="CEO_Indent1-abc"/>
    <w:basedOn w:val="CEONormal"/>
    <w:rsid w:val="00DD3657"/>
    <w:pPr>
      <w:numPr>
        <w:numId w:val="6"/>
      </w:numPr>
      <w:tabs>
        <w:tab w:val="clear" w:pos="1494"/>
        <w:tab w:val="num" w:pos="2880"/>
      </w:tabs>
      <w:spacing w:before="60" w:after="60"/>
      <w:ind w:left="2880" w:right="709"/>
    </w:pPr>
    <w:rPr>
      <w:rFonts w:eastAsia="SimHei" w:cs="Simplified Arabic"/>
      <w:bCs/>
      <w:sz w:val="19"/>
      <w:szCs w:val="28"/>
      <w:lang w:val="fr-FR" w:eastAsia="zh-CN"/>
    </w:rPr>
  </w:style>
  <w:style w:type="paragraph" w:customStyle="1" w:styleId="CEOAbstract">
    <w:name w:val="CEOAbstract"/>
    <w:rsid w:val="00DD3657"/>
    <w:pPr>
      <w:tabs>
        <w:tab w:val="left" w:pos="2127"/>
      </w:tabs>
    </w:pPr>
    <w:rPr>
      <w:rFonts w:ascii="Verdana" w:eastAsia="SimHei" w:hAnsi="Verdana" w:cs="Simplified Arabic"/>
      <w:b/>
      <w:sz w:val="19"/>
      <w:szCs w:val="22"/>
      <w:lang w:val="fr-CA"/>
    </w:rPr>
  </w:style>
  <w:style w:type="paragraph" w:customStyle="1" w:styleId="CEOSignature">
    <w:name w:val="CEO_Signature"/>
    <w:basedOn w:val="CEONormal"/>
    <w:rsid w:val="00DD3657"/>
    <w:pPr>
      <w:spacing w:before="720" w:after="0"/>
    </w:pPr>
    <w:rPr>
      <w:rFonts w:eastAsia="SimHei" w:cs="Simplified Arabic"/>
      <w:bCs/>
      <w:sz w:val="19"/>
      <w:szCs w:val="28"/>
      <w:lang w:val="fr-FR" w:eastAsia="zh-CN"/>
    </w:rPr>
  </w:style>
  <w:style w:type="paragraph" w:customStyle="1" w:styleId="CEOSmall">
    <w:name w:val="CEO_Small"/>
    <w:basedOn w:val="CEONormal"/>
    <w:rsid w:val="00DD3657"/>
    <w:pPr>
      <w:spacing w:after="0"/>
    </w:pPr>
    <w:rPr>
      <w:rFonts w:eastAsia="SimHei" w:cs="Simplified Arabic"/>
      <w:bCs/>
      <w:sz w:val="19"/>
      <w:szCs w:val="28"/>
      <w:lang w:val="fr-FR" w:eastAsia="zh-CN"/>
    </w:rPr>
  </w:style>
  <w:style w:type="paragraph" w:customStyle="1" w:styleId="CEOStartNextPage">
    <w:name w:val="CEO_StartNextPage"/>
    <w:next w:val="CEONormal"/>
    <w:rsid w:val="00DD3657"/>
    <w:pPr>
      <w:spacing w:before="120"/>
      <w:jc w:val="center"/>
    </w:pPr>
    <w:rPr>
      <w:rFonts w:ascii="Verdana" w:eastAsia="SimHei" w:hAnsi="Verdana" w:cs="Simplified Arabic"/>
      <w:sz w:val="16"/>
      <w:szCs w:val="24"/>
      <w:lang w:val="en-GB" w:eastAsia="en-US"/>
    </w:rPr>
  </w:style>
  <w:style w:type="paragraph" w:customStyle="1" w:styleId="CEOSummaryStartHere">
    <w:name w:val="CEO_Summary_StartHere"/>
    <w:rsid w:val="00DD3657"/>
    <w:pPr>
      <w:spacing w:before="120" w:after="120"/>
      <w:jc w:val="center"/>
    </w:pPr>
    <w:rPr>
      <w:rFonts w:ascii="Verdana" w:eastAsia="SimHei" w:hAnsi="Verdana" w:cs="Simplified Arabic"/>
      <w:bCs/>
      <w:sz w:val="16"/>
      <w:szCs w:val="16"/>
      <w:lang w:val="fr-FR"/>
    </w:rPr>
  </w:style>
  <w:style w:type="paragraph" w:customStyle="1" w:styleId="CEOAbstract0">
    <w:name w:val="CEO_Abstract"/>
    <w:rsid w:val="00DD3657"/>
    <w:pPr>
      <w:tabs>
        <w:tab w:val="left" w:pos="2127"/>
      </w:tabs>
      <w:spacing w:before="360" w:after="120"/>
    </w:pPr>
    <w:rPr>
      <w:rFonts w:ascii="Verdana" w:eastAsia="SimHei" w:hAnsi="Verdana" w:cs="Simplified Arabic"/>
      <w:b/>
      <w:sz w:val="19"/>
      <w:szCs w:val="22"/>
      <w:lang w:val="fr-CA"/>
    </w:rPr>
  </w:style>
  <w:style w:type="paragraph" w:customStyle="1" w:styleId="CEOActionRequiredDetails">
    <w:name w:val="CEO_ActionRequiredDetails"/>
    <w:rsid w:val="00DD3657"/>
    <w:pPr>
      <w:spacing w:before="120"/>
    </w:pPr>
    <w:rPr>
      <w:rFonts w:ascii="Verdana" w:hAnsi="Verdana"/>
      <w:bCs/>
      <w:sz w:val="19"/>
      <w:szCs w:val="19"/>
      <w:lang w:val="en-GB" w:eastAsia="en-US"/>
    </w:rPr>
  </w:style>
  <w:style w:type="character" w:customStyle="1" w:styleId="Absatz-Standardschriftart">
    <w:name w:val="Absatz-Standardschriftart"/>
    <w:rsid w:val="00DD3657"/>
  </w:style>
  <w:style w:type="character" w:customStyle="1" w:styleId="WW-Absatz-Standardschriftart">
    <w:name w:val="WW-Absatz-Standardschriftart"/>
    <w:rsid w:val="00DD3657"/>
  </w:style>
  <w:style w:type="character" w:customStyle="1" w:styleId="WW-Absatz-Standardschriftart1">
    <w:name w:val="WW-Absatz-Standardschriftart1"/>
    <w:rsid w:val="00DD3657"/>
  </w:style>
  <w:style w:type="character" w:customStyle="1" w:styleId="WW-Absatz-Standardschriftart11">
    <w:name w:val="WW-Absatz-Standardschriftart11"/>
    <w:rsid w:val="00DD3657"/>
  </w:style>
  <w:style w:type="character" w:customStyle="1" w:styleId="WW-Absatz-Standardschriftart111">
    <w:name w:val="WW-Absatz-Standardschriftart111"/>
    <w:rsid w:val="00DD3657"/>
  </w:style>
  <w:style w:type="character" w:customStyle="1" w:styleId="WW-Absatz-Standardschriftart1111">
    <w:name w:val="WW-Absatz-Standardschriftart1111"/>
    <w:rsid w:val="00DD3657"/>
  </w:style>
  <w:style w:type="character" w:customStyle="1" w:styleId="WW-Absatz-Standardschriftart11111">
    <w:name w:val="WW-Absatz-Standardschriftart11111"/>
    <w:rsid w:val="00DD3657"/>
  </w:style>
  <w:style w:type="character" w:customStyle="1" w:styleId="WW-Absatz-Standardschriftart111111">
    <w:name w:val="WW-Absatz-Standardschriftart111111"/>
    <w:rsid w:val="00DD3657"/>
  </w:style>
  <w:style w:type="character" w:customStyle="1" w:styleId="WW-Absatz-Standardschriftart1111111">
    <w:name w:val="WW-Absatz-Standardschriftart1111111"/>
    <w:rsid w:val="00DD3657"/>
  </w:style>
  <w:style w:type="character" w:customStyle="1" w:styleId="WW-Absatz-Standardschriftart11111111">
    <w:name w:val="WW-Absatz-Standardschriftart11111111"/>
    <w:rsid w:val="00DD3657"/>
  </w:style>
  <w:style w:type="character" w:customStyle="1" w:styleId="WW-Absatz-Standardschriftart111111111">
    <w:name w:val="WW-Absatz-Standardschriftart111111111"/>
    <w:rsid w:val="00DD3657"/>
  </w:style>
  <w:style w:type="character" w:customStyle="1" w:styleId="WW-Absatz-Standardschriftart1111111111">
    <w:name w:val="WW-Absatz-Standardschriftart1111111111"/>
    <w:rsid w:val="00DD3657"/>
  </w:style>
  <w:style w:type="character" w:customStyle="1" w:styleId="WW-Absatz-Standardschriftart11111111111">
    <w:name w:val="WW-Absatz-Standardschriftart11111111111"/>
    <w:rsid w:val="00DD3657"/>
  </w:style>
  <w:style w:type="character" w:customStyle="1" w:styleId="WW-Absatz-Standardschriftart111111111111">
    <w:name w:val="WW-Absatz-Standardschriftart111111111111"/>
    <w:rsid w:val="00DD3657"/>
  </w:style>
  <w:style w:type="character" w:customStyle="1" w:styleId="WW-Absatz-Standardschriftart1111111111111">
    <w:name w:val="WW-Absatz-Standardschriftart1111111111111"/>
    <w:rsid w:val="00DD3657"/>
  </w:style>
  <w:style w:type="character" w:customStyle="1" w:styleId="WW-Absatz-Standardschriftart11111111111111">
    <w:name w:val="WW-Absatz-Standardschriftart11111111111111"/>
    <w:rsid w:val="00DD3657"/>
  </w:style>
  <w:style w:type="character" w:customStyle="1" w:styleId="WW-Absatz-Standardschriftart111111111111111">
    <w:name w:val="WW-Absatz-Standardschriftart111111111111111"/>
    <w:rsid w:val="00DD3657"/>
  </w:style>
  <w:style w:type="character" w:customStyle="1" w:styleId="WW-Absatz-Standardschriftart1111111111111111">
    <w:name w:val="WW-Absatz-Standardschriftart1111111111111111"/>
    <w:rsid w:val="00DD3657"/>
  </w:style>
  <w:style w:type="character" w:customStyle="1" w:styleId="Policepardfaut">
    <w:name w:val="Police par défaut"/>
    <w:rsid w:val="00DD3657"/>
  </w:style>
  <w:style w:type="character" w:customStyle="1" w:styleId="WW-Absatz-Standardschriftart11111111111111111">
    <w:name w:val="WW-Absatz-Standardschriftart11111111111111111"/>
    <w:rsid w:val="00DD3657"/>
  </w:style>
  <w:style w:type="character" w:customStyle="1" w:styleId="WW-Absatz-Standardschriftart111111111111111111">
    <w:name w:val="WW-Absatz-Standardschriftart111111111111111111"/>
    <w:rsid w:val="00DD3657"/>
  </w:style>
  <w:style w:type="character" w:customStyle="1" w:styleId="WW-Absatz-Standardschriftart1111111111111111111">
    <w:name w:val="WW-Absatz-Standardschriftart1111111111111111111"/>
    <w:rsid w:val="00DD3657"/>
  </w:style>
  <w:style w:type="character" w:customStyle="1" w:styleId="WW-Absatz-Standardschriftart11111111111111111111">
    <w:name w:val="WW-Absatz-Standardschriftart11111111111111111111"/>
    <w:rsid w:val="00DD3657"/>
  </w:style>
  <w:style w:type="character" w:customStyle="1" w:styleId="WW8Num5z0">
    <w:name w:val="WW8Num5z0"/>
    <w:rsid w:val="00DD3657"/>
    <w:rPr>
      <w:rFonts w:ascii="Symbol" w:hAnsi="Symbol"/>
    </w:rPr>
  </w:style>
  <w:style w:type="character" w:customStyle="1" w:styleId="WW8Num6z0">
    <w:name w:val="WW8Num6z0"/>
    <w:rsid w:val="00DD3657"/>
    <w:rPr>
      <w:rFonts w:ascii="Symbol" w:hAnsi="Symbol"/>
    </w:rPr>
  </w:style>
  <w:style w:type="character" w:customStyle="1" w:styleId="WW8Num7z0">
    <w:name w:val="WW8Num7z0"/>
    <w:rsid w:val="00DD3657"/>
    <w:rPr>
      <w:rFonts w:ascii="Symbol" w:hAnsi="Symbol"/>
    </w:rPr>
  </w:style>
  <w:style w:type="character" w:customStyle="1" w:styleId="WW8Num8z0">
    <w:name w:val="WW8Num8z0"/>
    <w:rsid w:val="00DD3657"/>
    <w:rPr>
      <w:rFonts w:ascii="Symbol" w:hAnsi="Symbol"/>
    </w:rPr>
  </w:style>
  <w:style w:type="character" w:customStyle="1" w:styleId="WW8Num10z0">
    <w:name w:val="WW8Num10z0"/>
    <w:rsid w:val="00DD3657"/>
    <w:rPr>
      <w:rFonts w:ascii="Symbol" w:hAnsi="Symbol"/>
    </w:rPr>
  </w:style>
  <w:style w:type="character" w:customStyle="1" w:styleId="WW8Num13z0">
    <w:name w:val="WW8Num13z0"/>
    <w:rsid w:val="00DD3657"/>
    <w:rPr>
      <w:rFonts w:ascii="Verdana" w:hAnsi="Verdana"/>
      <w:b w:val="0"/>
      <w:i w:val="0"/>
      <w:color w:val="auto"/>
      <w:sz w:val="18"/>
    </w:rPr>
  </w:style>
  <w:style w:type="character" w:customStyle="1" w:styleId="WW8NumSt11z0">
    <w:name w:val="WW8NumSt11z0"/>
    <w:rsid w:val="00DD3657"/>
    <w:rPr>
      <w:rFonts w:ascii="Symbol" w:hAnsi="Symbol"/>
    </w:rPr>
  </w:style>
  <w:style w:type="character" w:customStyle="1" w:styleId="MOSForActionCharChar">
    <w:name w:val="MOSForAction Char Char"/>
    <w:basedOn w:val="MOSQuestionNameChar"/>
    <w:rsid w:val="00DD3657"/>
    <w:rPr>
      <w:rFonts w:eastAsia="SimSun"/>
      <w:noProof w:val="0"/>
      <w:lang w:eastAsia="ar-SA" w:bidi="ar-SA"/>
    </w:rPr>
  </w:style>
  <w:style w:type="character" w:customStyle="1" w:styleId="MOSForInfoChar">
    <w:name w:val="MOSForInfo Char"/>
    <w:basedOn w:val="MOSQuestionNameChar"/>
    <w:rsid w:val="00DD3657"/>
    <w:rPr>
      <w:rFonts w:eastAsia="SimSun"/>
      <w:noProof w:val="0"/>
      <w:lang w:eastAsia="ar-SA" w:bidi="ar-SA"/>
    </w:rPr>
  </w:style>
  <w:style w:type="character" w:customStyle="1" w:styleId="Puces">
    <w:name w:val="Puces"/>
    <w:rsid w:val="00DD3657"/>
    <w:rPr>
      <w:rFonts w:ascii="StarSymbol" w:eastAsia="StarSymbol" w:hAnsi="StarSymbol" w:cs="StarSymbol"/>
      <w:sz w:val="18"/>
      <w:szCs w:val="18"/>
    </w:rPr>
  </w:style>
  <w:style w:type="character" w:customStyle="1" w:styleId="Caractresdenumrotation">
    <w:name w:val="Caractères de numérotation"/>
    <w:rsid w:val="00DD3657"/>
  </w:style>
  <w:style w:type="paragraph" w:customStyle="1" w:styleId="Titre">
    <w:name w:val="Titre"/>
    <w:basedOn w:val="Normal"/>
    <w:next w:val="BodyText"/>
    <w:rsid w:val="00DD3657"/>
    <w:pPr>
      <w:keepNext/>
      <w:tabs>
        <w:tab w:val="clear" w:pos="794"/>
        <w:tab w:val="clear" w:pos="1191"/>
        <w:tab w:val="clear" w:pos="1588"/>
        <w:tab w:val="clear" w:pos="1985"/>
      </w:tabs>
      <w:suppressAutoHyphens/>
      <w:overflowPunct/>
      <w:autoSpaceDE/>
      <w:autoSpaceDN/>
      <w:bidi w:val="0"/>
      <w:adjustRightInd/>
      <w:spacing w:before="240" w:after="120" w:line="240" w:lineRule="auto"/>
      <w:jc w:val="left"/>
      <w:textAlignment w:val="auto"/>
    </w:pPr>
    <w:rPr>
      <w:rFonts w:ascii="Arial" w:eastAsia="MS Mincho" w:hAnsi="Arial" w:cs="Tahoma"/>
      <w:sz w:val="28"/>
      <w:szCs w:val="28"/>
      <w:lang w:val="en-US" w:eastAsia="ar-SA"/>
    </w:rPr>
  </w:style>
  <w:style w:type="paragraph" w:styleId="List">
    <w:name w:val="List"/>
    <w:basedOn w:val="BodyText"/>
    <w:rsid w:val="00DD3657"/>
    <w:pPr>
      <w:tabs>
        <w:tab w:val="clear" w:pos="794"/>
        <w:tab w:val="clear" w:pos="1191"/>
        <w:tab w:val="clear" w:pos="1588"/>
        <w:tab w:val="clear" w:pos="1985"/>
      </w:tabs>
      <w:suppressAutoHyphens/>
      <w:overflowPunct/>
      <w:autoSpaceDE/>
      <w:autoSpaceDN/>
      <w:bidi w:val="0"/>
      <w:adjustRightInd/>
      <w:spacing w:before="0" w:after="120" w:line="240" w:lineRule="auto"/>
      <w:jc w:val="left"/>
      <w:textAlignment w:val="auto"/>
    </w:pPr>
    <w:rPr>
      <w:rFonts w:ascii="Trebuchet MS" w:eastAsia="SimSun" w:hAnsi="Trebuchet MS" w:cs="Tahoma"/>
      <w:sz w:val="20"/>
      <w:szCs w:val="20"/>
      <w:lang w:val="en-US" w:eastAsia="ar-SA"/>
    </w:rPr>
  </w:style>
  <w:style w:type="paragraph" w:customStyle="1" w:styleId="Lgende">
    <w:name w:val="Légende"/>
    <w:basedOn w:val="Normal"/>
    <w:rsid w:val="00DD3657"/>
    <w:pPr>
      <w:suppressLineNumbers/>
      <w:tabs>
        <w:tab w:val="clear" w:pos="794"/>
        <w:tab w:val="clear" w:pos="1191"/>
        <w:tab w:val="clear" w:pos="1588"/>
        <w:tab w:val="clear" w:pos="1985"/>
      </w:tabs>
      <w:suppressAutoHyphens/>
      <w:overflowPunct/>
      <w:autoSpaceDE/>
      <w:autoSpaceDN/>
      <w:bidi w:val="0"/>
      <w:adjustRightInd/>
      <w:spacing w:after="120" w:line="240" w:lineRule="auto"/>
      <w:jc w:val="left"/>
      <w:textAlignment w:val="auto"/>
    </w:pPr>
    <w:rPr>
      <w:rFonts w:ascii="Trebuchet MS" w:eastAsia="SimSun" w:hAnsi="Trebuchet MS" w:cs="Tahoma"/>
      <w:i/>
      <w:iCs/>
      <w:sz w:val="24"/>
      <w:szCs w:val="24"/>
      <w:lang w:val="en-US" w:eastAsia="ar-SA"/>
    </w:rPr>
  </w:style>
  <w:style w:type="paragraph" w:customStyle="1" w:styleId="Rpertoire">
    <w:name w:val="Répertoire"/>
    <w:basedOn w:val="Normal"/>
    <w:rsid w:val="00DD3657"/>
    <w:pPr>
      <w:suppressLineNumbers/>
      <w:tabs>
        <w:tab w:val="clear" w:pos="794"/>
        <w:tab w:val="clear" w:pos="1191"/>
        <w:tab w:val="clear" w:pos="1588"/>
        <w:tab w:val="clear" w:pos="1985"/>
      </w:tabs>
      <w:suppressAutoHyphens/>
      <w:overflowPunct/>
      <w:autoSpaceDE/>
      <w:autoSpaceDN/>
      <w:bidi w:val="0"/>
      <w:adjustRightInd/>
      <w:spacing w:after="120" w:line="240" w:lineRule="auto"/>
      <w:jc w:val="left"/>
      <w:textAlignment w:val="auto"/>
    </w:pPr>
    <w:rPr>
      <w:rFonts w:ascii="Trebuchet MS" w:eastAsia="SimSun" w:hAnsi="Trebuchet MS" w:cs="Tahoma"/>
      <w:sz w:val="20"/>
      <w:szCs w:val="20"/>
      <w:lang w:val="en-US" w:eastAsia="ar-SA"/>
    </w:rPr>
  </w:style>
  <w:style w:type="paragraph" w:customStyle="1" w:styleId="Titre1">
    <w:name w:val="Titre1"/>
    <w:basedOn w:val="Normal"/>
    <w:next w:val="BodyText"/>
    <w:rsid w:val="00DD3657"/>
    <w:pPr>
      <w:keepNext/>
      <w:tabs>
        <w:tab w:val="clear" w:pos="794"/>
        <w:tab w:val="clear" w:pos="1191"/>
        <w:tab w:val="clear" w:pos="1588"/>
        <w:tab w:val="clear" w:pos="1985"/>
      </w:tabs>
      <w:suppressAutoHyphens/>
      <w:overflowPunct/>
      <w:autoSpaceDE/>
      <w:autoSpaceDN/>
      <w:bidi w:val="0"/>
      <w:adjustRightInd/>
      <w:spacing w:before="240" w:after="120" w:line="240" w:lineRule="auto"/>
      <w:jc w:val="left"/>
      <w:textAlignment w:val="auto"/>
    </w:pPr>
    <w:rPr>
      <w:rFonts w:ascii="Arial" w:eastAsia="MS Mincho" w:hAnsi="Arial" w:cs="Tahoma"/>
      <w:sz w:val="28"/>
      <w:szCs w:val="28"/>
      <w:lang w:val="en-US" w:eastAsia="ar-SA"/>
    </w:rPr>
  </w:style>
  <w:style w:type="paragraph" w:customStyle="1" w:styleId="Lgende1">
    <w:name w:val="Légende1"/>
    <w:basedOn w:val="Normal"/>
    <w:rsid w:val="00DD3657"/>
    <w:pPr>
      <w:suppressLineNumbers/>
      <w:tabs>
        <w:tab w:val="clear" w:pos="794"/>
        <w:tab w:val="clear" w:pos="1191"/>
        <w:tab w:val="clear" w:pos="1588"/>
        <w:tab w:val="clear" w:pos="1985"/>
      </w:tabs>
      <w:suppressAutoHyphens/>
      <w:overflowPunct/>
      <w:autoSpaceDE/>
      <w:autoSpaceDN/>
      <w:bidi w:val="0"/>
      <w:adjustRightInd/>
      <w:spacing w:after="120" w:line="240" w:lineRule="auto"/>
      <w:jc w:val="left"/>
      <w:textAlignment w:val="auto"/>
    </w:pPr>
    <w:rPr>
      <w:rFonts w:ascii="Trebuchet MS" w:eastAsia="SimSun" w:hAnsi="Trebuchet MS" w:cs="Tahoma"/>
      <w:i/>
      <w:iCs/>
      <w:sz w:val="24"/>
      <w:szCs w:val="24"/>
      <w:lang w:val="en-US" w:eastAsia="ar-SA"/>
    </w:rPr>
  </w:style>
  <w:style w:type="paragraph" w:customStyle="1" w:styleId="MOS-SGHeader">
    <w:name w:val="MOS-SGHeader"/>
    <w:basedOn w:val="Normal"/>
    <w:rsid w:val="00DD3657"/>
    <w:pPr>
      <w:tabs>
        <w:tab w:val="clear" w:pos="794"/>
        <w:tab w:val="clear" w:pos="1191"/>
        <w:tab w:val="clear" w:pos="1588"/>
        <w:tab w:val="clear" w:pos="1985"/>
      </w:tabs>
      <w:suppressAutoHyphens/>
      <w:overflowPunct/>
      <w:autoSpaceDE/>
      <w:autoSpaceDN/>
      <w:bidi w:val="0"/>
      <w:adjustRightInd/>
      <w:spacing w:before="360" w:after="48" w:line="240" w:lineRule="atLeast"/>
      <w:jc w:val="left"/>
      <w:textAlignment w:val="auto"/>
    </w:pPr>
    <w:rPr>
      <w:rFonts w:ascii="Verdana" w:eastAsia="SimSun" w:hAnsi="Verdana" w:cs="Times"/>
      <w:b/>
      <w:position w:val="26"/>
      <w:sz w:val="26"/>
      <w:szCs w:val="26"/>
      <w:lang w:val="en-US" w:eastAsia="ar-SA"/>
    </w:rPr>
  </w:style>
  <w:style w:type="paragraph" w:styleId="EnvelopeAddress">
    <w:name w:val="envelope address"/>
    <w:basedOn w:val="Normal"/>
    <w:rsid w:val="00DD3657"/>
    <w:pPr>
      <w:tabs>
        <w:tab w:val="clear" w:pos="794"/>
        <w:tab w:val="clear" w:pos="1191"/>
        <w:tab w:val="clear" w:pos="1588"/>
        <w:tab w:val="clear" w:pos="1985"/>
      </w:tabs>
      <w:suppressAutoHyphens/>
      <w:overflowPunct/>
      <w:autoSpaceDE/>
      <w:autoSpaceDN/>
      <w:bidi w:val="0"/>
      <w:adjustRightInd/>
      <w:spacing w:after="120" w:line="240" w:lineRule="auto"/>
      <w:ind w:left="2880"/>
      <w:jc w:val="left"/>
      <w:textAlignment w:val="auto"/>
    </w:pPr>
    <w:rPr>
      <w:rFonts w:ascii="Trebuchet MS" w:eastAsia="SimSun" w:hAnsi="Trebuchet MS" w:cs="Arial"/>
      <w:sz w:val="24"/>
      <w:szCs w:val="24"/>
      <w:lang w:val="en-US" w:eastAsia="ar-SA"/>
    </w:rPr>
  </w:style>
  <w:style w:type="paragraph" w:styleId="EnvelopeReturn">
    <w:name w:val="envelope return"/>
    <w:basedOn w:val="Normal"/>
    <w:rsid w:val="00DD3657"/>
    <w:pPr>
      <w:tabs>
        <w:tab w:val="clear" w:pos="794"/>
        <w:tab w:val="clear" w:pos="1191"/>
        <w:tab w:val="clear" w:pos="1588"/>
        <w:tab w:val="clear" w:pos="1985"/>
      </w:tabs>
      <w:suppressAutoHyphens/>
      <w:overflowPunct/>
      <w:autoSpaceDE/>
      <w:autoSpaceDN/>
      <w:bidi w:val="0"/>
      <w:adjustRightInd/>
      <w:spacing w:after="120" w:line="240" w:lineRule="auto"/>
      <w:jc w:val="left"/>
      <w:textAlignment w:val="auto"/>
    </w:pPr>
    <w:rPr>
      <w:rFonts w:ascii="Verdana" w:eastAsia="SimSun" w:hAnsi="Verdana" w:cs="Arial"/>
      <w:sz w:val="20"/>
      <w:szCs w:val="20"/>
      <w:lang w:val="en-US" w:eastAsia="ar-SA"/>
    </w:rPr>
  </w:style>
  <w:style w:type="paragraph" w:customStyle="1" w:styleId="MOSSignature">
    <w:name w:val="MOSSignature"/>
    <w:basedOn w:val="Normal"/>
    <w:rsid w:val="00DD3657"/>
    <w:pPr>
      <w:tabs>
        <w:tab w:val="clear" w:pos="794"/>
        <w:tab w:val="clear" w:pos="1191"/>
        <w:tab w:val="clear" w:pos="1588"/>
        <w:tab w:val="clear" w:pos="1985"/>
      </w:tabs>
      <w:suppressAutoHyphens/>
      <w:overflowPunct/>
      <w:autoSpaceDE/>
      <w:autoSpaceDN/>
      <w:bidi w:val="0"/>
      <w:adjustRightInd/>
      <w:spacing w:before="720" w:line="240" w:lineRule="auto"/>
      <w:jc w:val="left"/>
      <w:textAlignment w:val="auto"/>
    </w:pPr>
    <w:rPr>
      <w:rFonts w:ascii="Verdana" w:eastAsia="SimSun" w:hAnsi="Verdana" w:cs="Times New Roman"/>
      <w:sz w:val="18"/>
      <w:szCs w:val="20"/>
      <w:lang w:eastAsia="ar-SA"/>
    </w:rPr>
  </w:style>
  <w:style w:type="paragraph" w:customStyle="1" w:styleId="MOS-SignatureTitle">
    <w:name w:val="MOS-SignatureTitle"/>
    <w:basedOn w:val="MOSSignature"/>
    <w:rsid w:val="00DD3657"/>
    <w:pPr>
      <w:spacing w:before="0"/>
    </w:pPr>
  </w:style>
  <w:style w:type="paragraph" w:customStyle="1" w:styleId="MOSFooter">
    <w:name w:val="MOSFooter"/>
    <w:basedOn w:val="Normal"/>
    <w:rsid w:val="00DD3657"/>
    <w:pPr>
      <w:tabs>
        <w:tab w:val="clear" w:pos="794"/>
        <w:tab w:val="clear" w:pos="1191"/>
        <w:tab w:val="clear" w:pos="1588"/>
        <w:tab w:val="clear" w:pos="1985"/>
        <w:tab w:val="right" w:pos="9072"/>
      </w:tabs>
      <w:suppressAutoHyphens/>
      <w:overflowPunct/>
      <w:autoSpaceDE/>
      <w:autoSpaceDN/>
      <w:bidi w:val="0"/>
      <w:adjustRightInd/>
      <w:spacing w:before="0" w:line="240" w:lineRule="auto"/>
      <w:jc w:val="left"/>
      <w:textAlignment w:val="auto"/>
    </w:pPr>
    <w:rPr>
      <w:rFonts w:ascii="Verdana" w:eastAsia="SimSun" w:hAnsi="Verdana" w:cs="Times New Roman"/>
      <w:sz w:val="16"/>
      <w:szCs w:val="20"/>
      <w:lang w:eastAsia="ar-SA"/>
    </w:rPr>
  </w:style>
  <w:style w:type="paragraph" w:customStyle="1" w:styleId="MOSAnnex">
    <w:name w:val="MOSAnnex"/>
    <w:basedOn w:val="MOS-SignatureTitle"/>
    <w:rsid w:val="00DD3657"/>
    <w:pPr>
      <w:spacing w:before="1000"/>
    </w:pPr>
  </w:style>
  <w:style w:type="paragraph" w:customStyle="1" w:styleId="MOSBureau">
    <w:name w:val="MOSBureau"/>
    <w:basedOn w:val="Normal"/>
    <w:rsid w:val="00DD3657"/>
    <w:pPr>
      <w:tabs>
        <w:tab w:val="clear" w:pos="794"/>
        <w:tab w:val="clear" w:pos="1191"/>
        <w:tab w:val="clear" w:pos="1588"/>
        <w:tab w:val="clear" w:pos="1985"/>
        <w:tab w:val="right" w:pos="8732"/>
      </w:tabs>
      <w:suppressAutoHyphens/>
      <w:overflowPunct/>
      <w:autoSpaceDE/>
      <w:autoSpaceDN/>
      <w:bidi w:val="0"/>
      <w:adjustRightInd/>
      <w:spacing w:line="240" w:lineRule="auto"/>
      <w:jc w:val="left"/>
      <w:textAlignment w:val="auto"/>
    </w:pPr>
    <w:rPr>
      <w:rFonts w:ascii="Futura Lt BT" w:hAnsi="Futura Lt BT" w:cs="Times New Roman"/>
      <w:sz w:val="28"/>
      <w:szCs w:val="20"/>
      <w:lang w:val="en-US" w:eastAsia="he-IL" w:bidi="he-IL"/>
    </w:rPr>
  </w:style>
  <w:style w:type="paragraph" w:customStyle="1" w:styleId="MOSLetterHead-Contacts">
    <w:name w:val="MOSLetterHead-Contacts"/>
    <w:basedOn w:val="Normal"/>
    <w:next w:val="Normal"/>
    <w:rsid w:val="00DD3657"/>
    <w:pPr>
      <w:tabs>
        <w:tab w:val="clear" w:pos="794"/>
        <w:tab w:val="clear" w:pos="1191"/>
        <w:tab w:val="clear" w:pos="1588"/>
        <w:tab w:val="clear" w:pos="1985"/>
        <w:tab w:val="left" w:pos="8364"/>
      </w:tabs>
      <w:suppressAutoHyphens/>
      <w:overflowPunct/>
      <w:autoSpaceDE/>
      <w:autoSpaceDN/>
      <w:bidi w:val="0"/>
      <w:adjustRightInd/>
      <w:snapToGrid w:val="0"/>
      <w:spacing w:before="20" w:after="20" w:line="240" w:lineRule="auto"/>
      <w:jc w:val="left"/>
      <w:textAlignment w:val="auto"/>
    </w:pPr>
    <w:rPr>
      <w:rFonts w:ascii="Futura Lt BT" w:eastAsia="SimSun" w:hAnsi="Futura Lt BT" w:cs="Times New Roman"/>
      <w:spacing w:val="20"/>
      <w:sz w:val="20"/>
      <w:szCs w:val="20"/>
      <w:lang w:val="de-DE" w:eastAsia="ar-SA"/>
    </w:rPr>
  </w:style>
  <w:style w:type="paragraph" w:customStyle="1" w:styleId="MOS-Date">
    <w:name w:val="MOS-Date"/>
    <w:basedOn w:val="Normal"/>
    <w:rsid w:val="00DD3657"/>
    <w:pPr>
      <w:tabs>
        <w:tab w:val="clear" w:pos="794"/>
        <w:tab w:val="clear" w:pos="1191"/>
        <w:tab w:val="clear" w:pos="1588"/>
        <w:tab w:val="clear" w:pos="1985"/>
      </w:tabs>
      <w:suppressAutoHyphens/>
      <w:overflowPunct/>
      <w:autoSpaceDE/>
      <w:autoSpaceDN/>
      <w:bidi w:val="0"/>
      <w:adjustRightInd/>
      <w:spacing w:after="120" w:line="240" w:lineRule="auto"/>
      <w:ind w:left="34" w:right="317"/>
      <w:jc w:val="right"/>
      <w:textAlignment w:val="auto"/>
    </w:pPr>
    <w:rPr>
      <w:rFonts w:ascii="Verdana" w:eastAsia="SimSun" w:hAnsi="Verdana" w:cs="Times New Roman"/>
      <w:sz w:val="18"/>
      <w:szCs w:val="20"/>
      <w:lang w:eastAsia="ar-SA"/>
    </w:rPr>
  </w:style>
  <w:style w:type="paragraph" w:customStyle="1" w:styleId="MOSAPContacts">
    <w:name w:val="MOSAPContacts"/>
    <w:basedOn w:val="Normal"/>
    <w:rsid w:val="00DD3657"/>
    <w:pPr>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Verdana" w:eastAsia="SimSun" w:hAnsi="Verdana" w:cs="Times New Roman"/>
      <w:sz w:val="18"/>
      <w:szCs w:val="20"/>
      <w:lang w:eastAsia="ar-SA"/>
    </w:rPr>
  </w:style>
  <w:style w:type="paragraph" w:customStyle="1" w:styleId="MOSLetterHead-AddLine12">
    <w:name w:val="MOSLetterHead-AddLine1_2"/>
    <w:basedOn w:val="Normal"/>
    <w:rsid w:val="00DD3657"/>
    <w:pPr>
      <w:tabs>
        <w:tab w:val="clear" w:pos="794"/>
        <w:tab w:val="clear" w:pos="1191"/>
        <w:tab w:val="clear" w:pos="1588"/>
        <w:tab w:val="clear" w:pos="1985"/>
      </w:tabs>
      <w:suppressAutoHyphens/>
      <w:overflowPunct/>
      <w:autoSpaceDE/>
      <w:autoSpaceDN/>
      <w:bidi w:val="0"/>
      <w:adjustRightInd/>
      <w:spacing w:before="0" w:line="240" w:lineRule="auto"/>
      <w:ind w:left="34" w:right="318"/>
      <w:jc w:val="left"/>
      <w:textAlignment w:val="auto"/>
    </w:pPr>
    <w:rPr>
      <w:rFonts w:ascii="Futura Lt BT" w:eastAsia="SimSun" w:hAnsi="Futura Lt BT" w:cs="Times New Roman"/>
      <w:b/>
      <w:sz w:val="18"/>
      <w:szCs w:val="20"/>
      <w:lang w:eastAsia="ar-SA"/>
    </w:rPr>
  </w:style>
  <w:style w:type="paragraph" w:customStyle="1" w:styleId="MOSLetterHead-AddLine3">
    <w:name w:val="MOSLetterHead-AddLine3"/>
    <w:basedOn w:val="Normal"/>
    <w:rsid w:val="00DD3657"/>
    <w:pPr>
      <w:tabs>
        <w:tab w:val="clear" w:pos="794"/>
        <w:tab w:val="clear" w:pos="1191"/>
        <w:tab w:val="clear" w:pos="1588"/>
        <w:tab w:val="clear" w:pos="1985"/>
      </w:tabs>
      <w:suppressAutoHyphens/>
      <w:overflowPunct/>
      <w:autoSpaceDE/>
      <w:autoSpaceDN/>
      <w:bidi w:val="0"/>
      <w:adjustRightInd/>
      <w:spacing w:before="0" w:after="120" w:line="240" w:lineRule="auto"/>
      <w:ind w:left="34" w:right="318"/>
      <w:jc w:val="left"/>
      <w:textAlignment w:val="auto"/>
    </w:pPr>
    <w:rPr>
      <w:rFonts w:ascii="Futura Lt BT" w:eastAsia="SimSun" w:hAnsi="Futura Lt BT" w:cs="Times New Roman"/>
      <w:b/>
      <w:sz w:val="18"/>
      <w:szCs w:val="20"/>
      <w:lang w:eastAsia="ar-SA"/>
    </w:rPr>
  </w:style>
  <w:style w:type="paragraph" w:customStyle="1" w:styleId="MOSLetterHead-Addline12Right">
    <w:name w:val="MOSLetterHead-Addline1_2Right"/>
    <w:basedOn w:val="Normal"/>
    <w:rsid w:val="00DD3657"/>
    <w:pPr>
      <w:tabs>
        <w:tab w:val="clear" w:pos="794"/>
        <w:tab w:val="clear" w:pos="1191"/>
        <w:tab w:val="clear" w:pos="1588"/>
        <w:tab w:val="clear" w:pos="1985"/>
      </w:tabs>
      <w:suppressAutoHyphens/>
      <w:overflowPunct/>
      <w:autoSpaceDE/>
      <w:autoSpaceDN/>
      <w:bidi w:val="0"/>
      <w:adjustRightInd/>
      <w:spacing w:before="0" w:line="240" w:lineRule="auto"/>
      <w:ind w:left="34"/>
      <w:jc w:val="right"/>
      <w:textAlignment w:val="auto"/>
    </w:pPr>
    <w:rPr>
      <w:rFonts w:ascii="Futura Lt BT" w:eastAsia="SimSun" w:hAnsi="Futura Lt BT" w:cs="Times New Roman"/>
      <w:b/>
      <w:sz w:val="18"/>
      <w:szCs w:val="20"/>
      <w:lang w:eastAsia="ar-SA"/>
    </w:rPr>
  </w:style>
  <w:style w:type="paragraph" w:customStyle="1" w:styleId="MOSLetterHead-AddLine3Right">
    <w:name w:val="MOSLetterHead-AddLine3Right"/>
    <w:basedOn w:val="MOSLetterHead-Addline12Right"/>
    <w:rsid w:val="00DD3657"/>
  </w:style>
  <w:style w:type="paragraph" w:customStyle="1" w:styleId="MOSSectionBreauCircular">
    <w:name w:val="MOSSectionBreauCircular"/>
    <w:basedOn w:val="Normal"/>
    <w:rsid w:val="00DD3657"/>
    <w:pPr>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Trebuchet MS" w:eastAsia="SimSun" w:hAnsi="Trebuchet MS" w:cs="Times New Roman"/>
      <w:b/>
      <w:bCs/>
      <w:sz w:val="8"/>
      <w:szCs w:val="8"/>
      <w:lang w:eastAsia="ar-SA"/>
    </w:rPr>
  </w:style>
  <w:style w:type="paragraph" w:customStyle="1" w:styleId="MOSEmdashList">
    <w:name w:val="MOSEmdashList"/>
    <w:basedOn w:val="Normal"/>
    <w:rsid w:val="00DD3657"/>
    <w:pPr>
      <w:tabs>
        <w:tab w:val="clear" w:pos="794"/>
        <w:tab w:val="clear" w:pos="1191"/>
        <w:tab w:val="clear" w:pos="1588"/>
        <w:tab w:val="clear" w:pos="1985"/>
        <w:tab w:val="left" w:pos="459"/>
      </w:tabs>
      <w:suppressAutoHyphens/>
      <w:overflowPunct/>
      <w:autoSpaceDE/>
      <w:autoSpaceDN/>
      <w:bidi w:val="0"/>
      <w:adjustRightInd/>
      <w:spacing w:before="0" w:line="240" w:lineRule="auto"/>
      <w:ind w:left="-1100"/>
      <w:jc w:val="left"/>
      <w:textAlignment w:val="auto"/>
    </w:pPr>
    <w:rPr>
      <w:rFonts w:ascii="Verdana" w:eastAsia="SimSun" w:hAnsi="Verdana" w:cs="Times New Roman"/>
      <w:sz w:val="20"/>
      <w:szCs w:val="20"/>
      <w:lang w:val="en-US" w:eastAsia="ar-SA"/>
    </w:rPr>
  </w:style>
  <w:style w:type="paragraph" w:customStyle="1" w:styleId="MOSPage">
    <w:name w:val="MOSPage"/>
    <w:basedOn w:val="MOSFooter"/>
    <w:rsid w:val="00DD3657"/>
    <w:pPr>
      <w:jc w:val="right"/>
    </w:pPr>
    <w:rPr>
      <w:smallCaps/>
      <w:spacing w:val="24"/>
      <w:szCs w:val="18"/>
      <w:lang w:val="fr-CH"/>
    </w:rPr>
  </w:style>
  <w:style w:type="paragraph" w:customStyle="1" w:styleId="MOSSourceTitle">
    <w:name w:val="MOSSource_Title"/>
    <w:basedOn w:val="Normal"/>
    <w:rsid w:val="00DD3657"/>
    <w:pPr>
      <w:tabs>
        <w:tab w:val="clear" w:pos="794"/>
        <w:tab w:val="clear" w:pos="1191"/>
        <w:tab w:val="clear" w:pos="1588"/>
        <w:tab w:val="clear" w:pos="1985"/>
      </w:tabs>
      <w:suppressAutoHyphens/>
      <w:overflowPunct/>
      <w:autoSpaceDE/>
      <w:autoSpaceDN/>
      <w:bidi w:val="0"/>
      <w:adjustRightInd/>
      <w:spacing w:before="60" w:after="60" w:line="240" w:lineRule="auto"/>
      <w:jc w:val="left"/>
      <w:textAlignment w:val="auto"/>
    </w:pPr>
    <w:rPr>
      <w:rFonts w:ascii="Verdana" w:eastAsia="SimSun" w:hAnsi="Verdana" w:cs="Times New Roman"/>
      <w:b/>
      <w:bCs/>
      <w:sz w:val="18"/>
      <w:szCs w:val="20"/>
      <w:lang w:eastAsia="ar-SA"/>
    </w:rPr>
  </w:style>
  <w:style w:type="paragraph" w:customStyle="1" w:styleId="MOSMeetingName">
    <w:name w:val="MOSMeetingName"/>
    <w:basedOn w:val="Normal"/>
    <w:rsid w:val="00DD3657"/>
    <w:pPr>
      <w:tabs>
        <w:tab w:val="clear" w:pos="794"/>
        <w:tab w:val="clear" w:pos="1191"/>
        <w:tab w:val="clear" w:pos="1588"/>
        <w:tab w:val="clear" w:pos="1985"/>
        <w:tab w:val="left" w:pos="851"/>
      </w:tabs>
      <w:suppressAutoHyphens/>
      <w:overflowPunct/>
      <w:autoSpaceDE/>
      <w:autoSpaceDN/>
      <w:bidi w:val="0"/>
      <w:adjustRightInd/>
      <w:spacing w:after="120" w:line="240" w:lineRule="atLeast"/>
      <w:jc w:val="left"/>
      <w:textAlignment w:val="auto"/>
    </w:pPr>
    <w:rPr>
      <w:rFonts w:ascii="Verdana" w:eastAsia="SimSun" w:hAnsi="Verdana" w:cs="Times New Roman"/>
      <w:b/>
      <w:sz w:val="20"/>
      <w:szCs w:val="20"/>
      <w:lang w:val="en-US" w:eastAsia="ar-SA"/>
    </w:rPr>
  </w:style>
  <w:style w:type="paragraph" w:customStyle="1" w:styleId="MOSDocInfo">
    <w:name w:val="MOSDocInfo"/>
    <w:basedOn w:val="Normal"/>
    <w:rsid w:val="00DD3657"/>
    <w:pPr>
      <w:tabs>
        <w:tab w:val="clear" w:pos="794"/>
        <w:tab w:val="clear" w:pos="1191"/>
        <w:tab w:val="clear" w:pos="1588"/>
        <w:tab w:val="clear" w:pos="1985"/>
        <w:tab w:val="left" w:pos="851"/>
      </w:tabs>
      <w:suppressAutoHyphens/>
      <w:overflowPunct/>
      <w:autoSpaceDE/>
      <w:autoSpaceDN/>
      <w:bidi w:val="0"/>
      <w:adjustRightInd/>
      <w:spacing w:before="0" w:line="240" w:lineRule="atLeast"/>
      <w:ind w:left="97"/>
      <w:jc w:val="left"/>
      <w:textAlignment w:val="auto"/>
    </w:pPr>
    <w:rPr>
      <w:rFonts w:ascii="Verdana" w:eastAsia="SimSun" w:hAnsi="Verdana" w:cs="Times New Roman"/>
      <w:b/>
      <w:sz w:val="20"/>
      <w:szCs w:val="20"/>
      <w:lang w:eastAsia="ar-SA"/>
    </w:rPr>
  </w:style>
  <w:style w:type="paragraph" w:customStyle="1" w:styleId="MOSTableDocs">
    <w:name w:val="MOSTableDocs"/>
    <w:basedOn w:val="Normal"/>
    <w:rsid w:val="00DD3657"/>
    <w:pPr>
      <w:tabs>
        <w:tab w:val="clear" w:pos="794"/>
        <w:tab w:val="clear" w:pos="1191"/>
        <w:tab w:val="clear" w:pos="1588"/>
        <w:tab w:val="clear" w:pos="1985"/>
      </w:tabs>
      <w:suppressAutoHyphens/>
      <w:overflowPunct/>
      <w:autoSpaceDE/>
      <w:autoSpaceDN/>
      <w:bidi w:val="0"/>
      <w:adjustRightInd/>
      <w:spacing w:after="120" w:line="240" w:lineRule="auto"/>
      <w:jc w:val="center"/>
      <w:textAlignment w:val="auto"/>
    </w:pPr>
    <w:rPr>
      <w:rFonts w:ascii="Verdana" w:eastAsia="SimSun" w:hAnsi="Verdana" w:cs="Times New Roman"/>
      <w:b/>
      <w:bCs/>
      <w:sz w:val="18"/>
      <w:szCs w:val="20"/>
      <w:lang w:eastAsia="ar-SA"/>
    </w:rPr>
  </w:style>
  <w:style w:type="paragraph" w:customStyle="1" w:styleId="MOS-SGFooterAdd">
    <w:name w:val="MOS-SGFooterAdd"/>
    <w:basedOn w:val="Footer"/>
    <w:rsid w:val="00DD3657"/>
    <w:pPr>
      <w:tabs>
        <w:tab w:val="clear" w:pos="5954"/>
        <w:tab w:val="clear" w:pos="9639"/>
        <w:tab w:val="center" w:pos="4320"/>
        <w:tab w:val="right" w:pos="8640"/>
      </w:tabs>
      <w:suppressAutoHyphens/>
      <w:overflowPunct/>
      <w:autoSpaceDE/>
      <w:autoSpaceDN/>
      <w:bidi w:val="0"/>
      <w:adjustRightInd/>
      <w:spacing w:before="120" w:line="240" w:lineRule="auto"/>
      <w:jc w:val="center"/>
      <w:textAlignment w:val="auto"/>
    </w:pPr>
    <w:rPr>
      <w:rFonts w:ascii="Zurich Ex BT" w:eastAsia="SimSun" w:hAnsi="Zurich Ex BT" w:cs="Univers Extended"/>
      <w:caps w:val="0"/>
      <w:noProof w:val="0"/>
      <w:sz w:val="16"/>
      <w:szCs w:val="16"/>
      <w:lang w:val="fr-CH" w:eastAsia="ar-SA"/>
    </w:rPr>
  </w:style>
  <w:style w:type="paragraph" w:customStyle="1" w:styleId="MOSNormalCentered">
    <w:name w:val="MOSNormalCentered"/>
    <w:basedOn w:val="MOS-Normal"/>
    <w:rsid w:val="00DD3657"/>
    <w:pPr>
      <w:suppressAutoHyphens/>
      <w:jc w:val="center"/>
    </w:pPr>
    <w:rPr>
      <w:lang w:eastAsia="ar-SA"/>
    </w:rPr>
  </w:style>
  <w:style w:type="paragraph" w:customStyle="1" w:styleId="MOSFooterAddress">
    <w:name w:val="MOSFooterAddress"/>
    <w:basedOn w:val="Footer"/>
    <w:rsid w:val="00DD3657"/>
    <w:pPr>
      <w:tabs>
        <w:tab w:val="clear" w:pos="5954"/>
        <w:tab w:val="clear" w:pos="9639"/>
        <w:tab w:val="center" w:pos="4320"/>
        <w:tab w:val="right" w:pos="8640"/>
      </w:tabs>
      <w:suppressAutoHyphens/>
      <w:overflowPunct/>
      <w:autoSpaceDE/>
      <w:autoSpaceDN/>
      <w:bidi w:val="0"/>
      <w:adjustRightInd/>
      <w:spacing w:before="120" w:line="240" w:lineRule="auto"/>
      <w:jc w:val="center"/>
      <w:textAlignment w:val="auto"/>
    </w:pPr>
    <w:rPr>
      <w:rFonts w:ascii="Zurich Ex BT" w:eastAsia="SimSun" w:hAnsi="Zurich Ex BT" w:cs="Wingdings"/>
      <w:bCs/>
      <w:caps w:val="0"/>
      <w:noProof w:val="0"/>
      <w:spacing w:val="22"/>
      <w:szCs w:val="14"/>
      <w:lang w:val="fr-CH" w:eastAsia="ar-SA"/>
    </w:rPr>
  </w:style>
  <w:style w:type="paragraph" w:customStyle="1" w:styleId="MOS-TickBox">
    <w:name w:val="MOS-TickBox"/>
    <w:basedOn w:val="MOSQuestionName"/>
    <w:rsid w:val="00DD3657"/>
    <w:pPr>
      <w:suppressAutoHyphens/>
      <w:spacing w:before="40"/>
      <w:ind w:left="51" w:right="851"/>
      <w:jc w:val="right"/>
    </w:pPr>
    <w:rPr>
      <w:bCs w:val="0"/>
      <w:iCs/>
      <w:sz w:val="16"/>
      <w:szCs w:val="16"/>
      <w:lang w:eastAsia="ar-SA"/>
    </w:rPr>
  </w:style>
  <w:style w:type="paragraph" w:customStyle="1" w:styleId="MOSForAction">
    <w:name w:val="MOSForAction"/>
    <w:basedOn w:val="MOSQuestionName"/>
    <w:rsid w:val="00DD3657"/>
    <w:pPr>
      <w:tabs>
        <w:tab w:val="right" w:pos="2596"/>
        <w:tab w:val="right" w:pos="3736"/>
      </w:tabs>
      <w:suppressAutoHyphens/>
      <w:spacing w:before="200"/>
      <w:ind w:left="193" w:right="142"/>
    </w:pPr>
    <w:rPr>
      <w:lang w:eastAsia="ar-SA"/>
    </w:rPr>
  </w:style>
  <w:style w:type="paragraph" w:customStyle="1" w:styleId="MOSForInfo">
    <w:name w:val="MOSForInfo"/>
    <w:basedOn w:val="MOSQuestionName"/>
    <w:rsid w:val="00DD3657"/>
    <w:pPr>
      <w:tabs>
        <w:tab w:val="right" w:pos="2596"/>
        <w:tab w:val="right" w:pos="3877"/>
      </w:tabs>
      <w:suppressAutoHyphens/>
      <w:spacing w:after="0"/>
      <w:ind w:left="193"/>
    </w:pPr>
    <w:rPr>
      <w:lang w:eastAsia="ar-SA"/>
    </w:rPr>
  </w:style>
  <w:style w:type="paragraph" w:customStyle="1" w:styleId="MOSAbstract">
    <w:name w:val="MOSAbstract"/>
    <w:basedOn w:val="Mos-NormalBold"/>
    <w:rsid w:val="00DD3657"/>
    <w:pPr>
      <w:suppressAutoHyphens/>
      <w:adjustRightInd/>
      <w:jc w:val="center"/>
    </w:pPr>
    <w:rPr>
      <w:sz w:val="22"/>
      <w:szCs w:val="22"/>
      <w:lang w:eastAsia="ar-SA"/>
    </w:rPr>
  </w:style>
  <w:style w:type="paragraph" w:customStyle="1" w:styleId="MOSAbstractNoteStartDoc">
    <w:name w:val="MOSAbstractNote_StartDoc"/>
    <w:basedOn w:val="MOSFooterAddress"/>
    <w:rsid w:val="00DD3657"/>
    <w:pPr>
      <w:spacing w:before="0"/>
    </w:pPr>
    <w:rPr>
      <w:rFonts w:ascii="Arial" w:hAnsi="Arial" w:cs="Arial"/>
      <w:sz w:val="16"/>
      <w:szCs w:val="16"/>
    </w:rPr>
  </w:style>
  <w:style w:type="paragraph" w:customStyle="1" w:styleId="MOSAbstractText">
    <w:name w:val="MOSAbstractText"/>
    <w:basedOn w:val="MOS-Normal"/>
    <w:rsid w:val="00DD3657"/>
    <w:pPr>
      <w:suppressAutoHyphens/>
      <w:ind w:left="142" w:right="284"/>
    </w:pPr>
    <w:rPr>
      <w:lang w:eastAsia="ar-SA"/>
    </w:rPr>
  </w:style>
  <w:style w:type="paragraph" w:customStyle="1" w:styleId="MOS-BoxText">
    <w:name w:val="MOS-BoxText"/>
    <w:basedOn w:val="MOS-Normal"/>
    <w:rsid w:val="00DD3657"/>
    <w:pPr>
      <w:suppressAutoHyphens/>
      <w:spacing w:before="0" w:after="0"/>
      <w:jc w:val="center"/>
    </w:pPr>
    <w:rPr>
      <w:lang w:eastAsia="ar-SA"/>
    </w:rPr>
  </w:style>
  <w:style w:type="paragraph" w:customStyle="1" w:styleId="MOS-SquareBox">
    <w:name w:val="MOS-SquareBox"/>
    <w:basedOn w:val="Normal"/>
    <w:rsid w:val="00DD3657"/>
    <w:pPr>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Verdana" w:eastAsia="SimSun" w:hAnsi="Verdana"/>
      <w:sz w:val="18"/>
      <w:szCs w:val="28"/>
      <w:lang w:eastAsia="ar-SA"/>
    </w:rPr>
  </w:style>
  <w:style w:type="paragraph" w:styleId="BalloonText">
    <w:name w:val="Balloon Text"/>
    <w:basedOn w:val="Normal"/>
    <w:link w:val="BalloonTextChar"/>
    <w:rsid w:val="00DD3657"/>
    <w:pPr>
      <w:tabs>
        <w:tab w:val="clear" w:pos="794"/>
        <w:tab w:val="clear" w:pos="1191"/>
        <w:tab w:val="clear" w:pos="1588"/>
        <w:tab w:val="clear" w:pos="1985"/>
      </w:tabs>
      <w:suppressAutoHyphens/>
      <w:overflowPunct/>
      <w:autoSpaceDE/>
      <w:autoSpaceDN/>
      <w:bidi w:val="0"/>
      <w:adjustRightInd/>
      <w:spacing w:after="120" w:line="240" w:lineRule="auto"/>
      <w:jc w:val="left"/>
      <w:textAlignment w:val="auto"/>
    </w:pPr>
    <w:rPr>
      <w:rFonts w:ascii="Tahoma" w:eastAsia="SimSun" w:hAnsi="Tahoma" w:cs="Tahoma"/>
      <w:sz w:val="16"/>
      <w:szCs w:val="16"/>
      <w:lang w:val="en-US" w:eastAsia="ar-SA"/>
    </w:rPr>
  </w:style>
  <w:style w:type="character" w:customStyle="1" w:styleId="BalloonTextChar">
    <w:name w:val="Balloon Text Char"/>
    <w:basedOn w:val="DefaultParagraphFont"/>
    <w:link w:val="BalloonText"/>
    <w:rsid w:val="00DD3657"/>
    <w:rPr>
      <w:rFonts w:ascii="Tahoma" w:hAnsi="Tahoma" w:cs="Tahoma"/>
      <w:sz w:val="16"/>
      <w:szCs w:val="16"/>
      <w:lang w:eastAsia="ar-SA"/>
    </w:rPr>
  </w:style>
  <w:style w:type="paragraph" w:customStyle="1" w:styleId="Contenudetableau">
    <w:name w:val="Contenu de tableau"/>
    <w:basedOn w:val="Normal"/>
    <w:rsid w:val="00DD3657"/>
    <w:pPr>
      <w:suppressLineNumbers/>
      <w:suppressAutoHyphens/>
      <w:autoSpaceDN/>
      <w:bidi w:val="0"/>
      <w:adjustRightInd/>
      <w:spacing w:line="240" w:lineRule="auto"/>
      <w:jc w:val="left"/>
    </w:pPr>
    <w:rPr>
      <w:rFonts w:cs="CG Times"/>
      <w:sz w:val="24"/>
      <w:szCs w:val="20"/>
      <w:lang w:val="fr-FR" w:eastAsia="ar-SA"/>
    </w:rPr>
  </w:style>
  <w:style w:type="paragraph" w:customStyle="1" w:styleId="Contenuducadre">
    <w:name w:val="Contenu du cadre"/>
    <w:basedOn w:val="BodyText"/>
    <w:rsid w:val="00DD3657"/>
    <w:pPr>
      <w:tabs>
        <w:tab w:val="clear" w:pos="794"/>
        <w:tab w:val="clear" w:pos="1191"/>
        <w:tab w:val="clear" w:pos="1588"/>
        <w:tab w:val="clear" w:pos="1985"/>
      </w:tabs>
      <w:suppressAutoHyphens/>
      <w:overflowPunct/>
      <w:autoSpaceDE/>
      <w:autoSpaceDN/>
      <w:bidi w:val="0"/>
      <w:adjustRightInd/>
      <w:spacing w:before="0" w:after="120" w:line="240" w:lineRule="auto"/>
      <w:jc w:val="left"/>
      <w:textAlignment w:val="auto"/>
    </w:pPr>
    <w:rPr>
      <w:rFonts w:ascii="Trebuchet MS" w:eastAsia="SimSun" w:hAnsi="Trebuchet MS" w:cs="Times New Roman"/>
      <w:sz w:val="20"/>
      <w:szCs w:val="20"/>
      <w:lang w:val="en-US" w:eastAsia="ar-SA"/>
    </w:rPr>
  </w:style>
  <w:style w:type="paragraph" w:customStyle="1" w:styleId="Titredetableau">
    <w:name w:val="Titre de tableau"/>
    <w:basedOn w:val="Contenudetableau"/>
    <w:rsid w:val="00DD3657"/>
    <w:pPr>
      <w:jc w:val="center"/>
    </w:pPr>
    <w:rPr>
      <w:b/>
      <w:bCs/>
    </w:rPr>
  </w:style>
  <w:style w:type="paragraph" w:customStyle="1" w:styleId="FigureSource">
    <w:name w:val="Figure Source"/>
    <w:basedOn w:val="Normal"/>
    <w:next w:val="Normal"/>
    <w:rsid w:val="00DD3657"/>
    <w:pPr>
      <w:keepNext/>
      <w:pBdr>
        <w:bottom w:val="single" w:sz="8" w:space="10" w:color="000000"/>
      </w:pBdr>
      <w:tabs>
        <w:tab w:val="clear" w:pos="794"/>
        <w:tab w:val="clear" w:pos="1191"/>
        <w:tab w:val="clear" w:pos="1588"/>
        <w:tab w:val="clear" w:pos="1985"/>
        <w:tab w:val="left" w:pos="567"/>
      </w:tabs>
      <w:suppressAutoHyphens/>
      <w:overflowPunct/>
      <w:autoSpaceDE/>
      <w:autoSpaceDN/>
      <w:bidi w:val="0"/>
      <w:adjustRightInd/>
      <w:spacing w:before="0" w:line="240" w:lineRule="auto"/>
      <w:ind w:left="568" w:hanging="568"/>
      <w:jc w:val="left"/>
      <w:textAlignment w:val="auto"/>
    </w:pPr>
    <w:rPr>
      <w:rFonts w:ascii="Times" w:eastAsia="SimSun" w:hAnsi="Times" w:cs="Times New Roman"/>
      <w:sz w:val="16"/>
      <w:szCs w:val="20"/>
      <w:lang w:val="en-US" w:eastAsia="ar-SA"/>
    </w:rPr>
  </w:style>
  <w:style w:type="paragraph" w:customStyle="1" w:styleId="FigureTitle">
    <w:name w:val="Figure Title"/>
    <w:basedOn w:val="Normal"/>
    <w:next w:val="Normal"/>
    <w:rsid w:val="00DD3657"/>
    <w:pPr>
      <w:keepNext/>
      <w:keepLines/>
      <w:pBdr>
        <w:top w:val="single" w:sz="8" w:space="10" w:color="000000"/>
      </w:pBdr>
      <w:tabs>
        <w:tab w:val="clear" w:pos="794"/>
        <w:tab w:val="clear" w:pos="1191"/>
        <w:tab w:val="clear" w:pos="1588"/>
        <w:tab w:val="clear" w:pos="1985"/>
        <w:tab w:val="left" w:pos="170"/>
      </w:tabs>
      <w:suppressAutoHyphens/>
      <w:overflowPunct/>
      <w:autoSpaceDE/>
      <w:autoSpaceDN/>
      <w:bidi w:val="0"/>
      <w:adjustRightInd/>
      <w:spacing w:before="0" w:line="240" w:lineRule="auto"/>
      <w:jc w:val="left"/>
      <w:textAlignment w:val="auto"/>
    </w:pPr>
    <w:rPr>
      <w:rFonts w:ascii="Times" w:eastAsia="SimSun" w:hAnsi="Times" w:cs="Times New Roman"/>
      <w:b/>
      <w:sz w:val="20"/>
      <w:szCs w:val="20"/>
      <w:lang w:val="en-US" w:eastAsia="ar-SA"/>
    </w:rPr>
  </w:style>
  <w:style w:type="paragraph" w:customStyle="1" w:styleId="CEORevision2">
    <w:name w:val="CEO_Revision2"/>
    <w:basedOn w:val="CEONormal"/>
    <w:next w:val="Normal"/>
    <w:rsid w:val="00DD3657"/>
    <w:pPr>
      <w:spacing w:before="0" w:after="0"/>
    </w:pPr>
    <w:rPr>
      <w:rFonts w:eastAsia="SimHei" w:cs="Simplified Arabic"/>
      <w:bCs/>
      <w:sz w:val="16"/>
      <w:szCs w:val="16"/>
      <w:lang w:val="es-ES" w:eastAsia="zh-CN"/>
    </w:rPr>
  </w:style>
  <w:style w:type="character" w:customStyle="1" w:styleId="TitleChar">
    <w:name w:val="Title Char"/>
    <w:basedOn w:val="DefaultParagraphFont"/>
    <w:link w:val="Title"/>
    <w:rsid w:val="00DD3657"/>
    <w:rPr>
      <w:rFonts w:ascii="Times New Roman Bold" w:eastAsia="Times New Roman" w:hAnsi="Times New Roman Bold" w:cs="Traditional Arabic"/>
      <w:b/>
      <w:bCs/>
      <w:kern w:val="28"/>
      <w:sz w:val="32"/>
      <w:szCs w:val="40"/>
      <w:lang w:val="en-GB" w:eastAsia="en-US"/>
    </w:rPr>
  </w:style>
  <w:style w:type="paragraph" w:styleId="PlainText">
    <w:name w:val="Plain Text"/>
    <w:basedOn w:val="Normal"/>
    <w:link w:val="PlainTextChar"/>
    <w:rsid w:val="00DD3657"/>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DD3657"/>
    <w:rPr>
      <w:rFonts w:ascii="Courier New" w:eastAsia="Times New Roman" w:hAnsi="Courier New" w:cs="Courier New"/>
      <w:lang w:eastAsia="en-US"/>
    </w:rPr>
  </w:style>
  <w:style w:type="paragraph" w:customStyle="1" w:styleId="heading10">
    <w:name w:val="heading1"/>
    <w:basedOn w:val="BodyTextIndent"/>
    <w:rsid w:val="00DD3657"/>
    <w:pPr>
      <w:spacing w:after="0"/>
      <w:ind w:left="0"/>
      <w:jc w:val="both"/>
    </w:pPr>
    <w:rPr>
      <w:lang w:val="en-US"/>
    </w:rPr>
  </w:style>
  <w:style w:type="paragraph" w:styleId="BodyTextIndent">
    <w:name w:val="Body Text Indent"/>
    <w:basedOn w:val="Normal"/>
    <w:link w:val="BodyTextIndentChar"/>
    <w:rsid w:val="00DD3657"/>
    <w:pPr>
      <w:tabs>
        <w:tab w:val="clear" w:pos="794"/>
        <w:tab w:val="clear" w:pos="1191"/>
        <w:tab w:val="clear" w:pos="1588"/>
        <w:tab w:val="clear" w:pos="1985"/>
      </w:tabs>
      <w:overflowPunct/>
      <w:autoSpaceDE/>
      <w:autoSpaceDN/>
      <w:bidi w:val="0"/>
      <w:adjustRightInd/>
      <w:spacing w:before="0" w:after="120" w:line="240" w:lineRule="auto"/>
      <w:ind w:left="283"/>
      <w:jc w:val="left"/>
      <w:textAlignment w:val="auto"/>
    </w:pPr>
    <w:rPr>
      <w:rFonts w:ascii="Arial" w:hAnsi="Arial" w:cs="Arial"/>
      <w:sz w:val="24"/>
      <w:szCs w:val="24"/>
    </w:rPr>
  </w:style>
  <w:style w:type="character" w:customStyle="1" w:styleId="BodyTextIndentChar">
    <w:name w:val="Body Text Indent Char"/>
    <w:basedOn w:val="DefaultParagraphFont"/>
    <w:link w:val="BodyTextIndent"/>
    <w:rsid w:val="00DD3657"/>
    <w:rPr>
      <w:rFonts w:ascii="Arial" w:eastAsia="Times New Roman" w:hAnsi="Arial" w:cs="Arial"/>
      <w:sz w:val="24"/>
      <w:szCs w:val="24"/>
      <w:lang w:val="en-GB" w:eastAsia="en-US"/>
    </w:rPr>
  </w:style>
  <w:style w:type="paragraph" w:customStyle="1" w:styleId="ssPara1">
    <w:name w:val="ssPara1"/>
    <w:basedOn w:val="Normal"/>
    <w:rsid w:val="00DD3657"/>
    <w:pPr>
      <w:tabs>
        <w:tab w:val="clear" w:pos="794"/>
        <w:tab w:val="clear" w:pos="1191"/>
        <w:tab w:val="clear" w:pos="1588"/>
        <w:tab w:val="clear" w:pos="1985"/>
      </w:tabs>
      <w:overflowPunct/>
      <w:autoSpaceDE/>
      <w:autoSpaceDN/>
      <w:bidi w:val="0"/>
      <w:adjustRightInd/>
      <w:spacing w:before="0" w:after="260" w:line="260" w:lineRule="atLeast"/>
      <w:textAlignment w:val="auto"/>
    </w:pPr>
    <w:rPr>
      <w:rFonts w:ascii="Arial" w:hAnsi="Arial" w:cs="Arial"/>
      <w:szCs w:val="22"/>
      <w:lang w:eastAsia="en-GB"/>
    </w:rPr>
  </w:style>
  <w:style w:type="paragraph" w:customStyle="1" w:styleId="ssRestartNumber">
    <w:name w:val="ssRestartNumber"/>
    <w:basedOn w:val="Normal"/>
    <w:next w:val="ssPara1"/>
    <w:rsid w:val="00DD3657"/>
    <w:pPr>
      <w:numPr>
        <w:numId w:val="2"/>
      </w:numPr>
      <w:tabs>
        <w:tab w:val="clear" w:pos="794"/>
        <w:tab w:val="clear" w:pos="1191"/>
        <w:tab w:val="clear" w:pos="1588"/>
        <w:tab w:val="clear" w:pos="1985"/>
      </w:tabs>
      <w:overflowPunct/>
      <w:autoSpaceDE/>
      <w:autoSpaceDN/>
      <w:bidi w:val="0"/>
      <w:adjustRightInd/>
      <w:spacing w:before="0" w:line="260" w:lineRule="atLeast"/>
      <w:textAlignment w:val="auto"/>
    </w:pPr>
    <w:rPr>
      <w:rFonts w:ascii="Arial" w:hAnsi="Arial" w:cs="Arial"/>
      <w:color w:val="FF0000"/>
      <w:szCs w:val="22"/>
    </w:rPr>
  </w:style>
  <w:style w:type="paragraph" w:customStyle="1" w:styleId="ssNoHeading1">
    <w:name w:val="ssNoHeading1"/>
    <w:basedOn w:val="Heading1"/>
    <w:rsid w:val="00DD3657"/>
    <w:pPr>
      <w:keepNext w:val="0"/>
      <w:numPr>
        <w:ilvl w:val="1"/>
      </w:numPr>
      <w:tabs>
        <w:tab w:val="clear" w:pos="794"/>
        <w:tab w:val="clear" w:pos="1191"/>
        <w:tab w:val="clear" w:pos="1588"/>
        <w:tab w:val="clear" w:pos="1985"/>
        <w:tab w:val="num" w:pos="709"/>
      </w:tabs>
      <w:overflowPunct/>
      <w:autoSpaceDE/>
      <w:autoSpaceDN/>
      <w:bidi w:val="0"/>
      <w:adjustRightInd/>
      <w:spacing w:before="0" w:after="260" w:line="260" w:lineRule="atLeast"/>
      <w:ind w:left="709" w:hanging="709"/>
      <w:textAlignment w:val="auto"/>
    </w:pPr>
    <w:rPr>
      <w:rFonts w:ascii="Arial" w:hAnsi="Arial" w:cs="Arial"/>
      <w:b w:val="0"/>
      <w:bCs w:val="0"/>
      <w:kern w:val="0"/>
      <w:sz w:val="22"/>
      <w:szCs w:val="22"/>
      <w:lang w:bidi="ar-SA"/>
    </w:rPr>
  </w:style>
  <w:style w:type="paragraph" w:styleId="Index4">
    <w:name w:val="index 4"/>
    <w:basedOn w:val="Normal"/>
    <w:next w:val="Normal"/>
    <w:autoRedefine/>
    <w:rsid w:val="00DD3657"/>
    <w:pPr>
      <w:tabs>
        <w:tab w:val="clear" w:pos="794"/>
        <w:tab w:val="clear" w:pos="1191"/>
        <w:tab w:val="clear" w:pos="1588"/>
        <w:tab w:val="clear" w:pos="1985"/>
      </w:tabs>
      <w:overflowPunct/>
      <w:autoSpaceDE/>
      <w:autoSpaceDN/>
      <w:bidi w:val="0"/>
      <w:adjustRightInd/>
      <w:spacing w:before="0" w:line="240" w:lineRule="auto"/>
      <w:ind w:left="960" w:hanging="240"/>
      <w:jc w:val="left"/>
      <w:textAlignment w:val="auto"/>
    </w:pPr>
    <w:rPr>
      <w:rFonts w:ascii="Arial" w:hAnsi="Arial" w:cs="Arial"/>
      <w:sz w:val="18"/>
      <w:szCs w:val="18"/>
    </w:rPr>
  </w:style>
  <w:style w:type="paragraph" w:styleId="Index5">
    <w:name w:val="index 5"/>
    <w:basedOn w:val="Normal"/>
    <w:next w:val="Normal"/>
    <w:autoRedefine/>
    <w:rsid w:val="00DD3657"/>
    <w:pPr>
      <w:tabs>
        <w:tab w:val="clear" w:pos="794"/>
        <w:tab w:val="clear" w:pos="1191"/>
        <w:tab w:val="clear" w:pos="1588"/>
        <w:tab w:val="clear" w:pos="1985"/>
      </w:tabs>
      <w:overflowPunct/>
      <w:autoSpaceDE/>
      <w:autoSpaceDN/>
      <w:bidi w:val="0"/>
      <w:adjustRightInd/>
      <w:spacing w:before="0" w:line="240" w:lineRule="auto"/>
      <w:ind w:left="1200" w:hanging="240"/>
      <w:jc w:val="left"/>
      <w:textAlignment w:val="auto"/>
    </w:pPr>
    <w:rPr>
      <w:rFonts w:ascii="Arial" w:hAnsi="Arial" w:cs="Arial"/>
      <w:sz w:val="18"/>
      <w:szCs w:val="18"/>
    </w:rPr>
  </w:style>
  <w:style w:type="paragraph" w:styleId="Index6">
    <w:name w:val="index 6"/>
    <w:basedOn w:val="Normal"/>
    <w:next w:val="Normal"/>
    <w:autoRedefine/>
    <w:rsid w:val="00DD3657"/>
    <w:pPr>
      <w:tabs>
        <w:tab w:val="clear" w:pos="794"/>
        <w:tab w:val="clear" w:pos="1191"/>
        <w:tab w:val="clear" w:pos="1588"/>
        <w:tab w:val="clear" w:pos="1985"/>
      </w:tabs>
      <w:overflowPunct/>
      <w:autoSpaceDE/>
      <w:autoSpaceDN/>
      <w:bidi w:val="0"/>
      <w:adjustRightInd/>
      <w:spacing w:before="0" w:line="240" w:lineRule="auto"/>
      <w:ind w:left="1440" w:hanging="240"/>
      <w:jc w:val="left"/>
      <w:textAlignment w:val="auto"/>
    </w:pPr>
    <w:rPr>
      <w:rFonts w:ascii="Arial" w:hAnsi="Arial" w:cs="Arial"/>
      <w:sz w:val="18"/>
      <w:szCs w:val="18"/>
    </w:rPr>
  </w:style>
  <w:style w:type="paragraph" w:styleId="Index7">
    <w:name w:val="index 7"/>
    <w:basedOn w:val="Normal"/>
    <w:next w:val="Normal"/>
    <w:autoRedefine/>
    <w:rsid w:val="00DD3657"/>
    <w:pPr>
      <w:tabs>
        <w:tab w:val="clear" w:pos="794"/>
        <w:tab w:val="clear" w:pos="1191"/>
        <w:tab w:val="clear" w:pos="1588"/>
        <w:tab w:val="clear" w:pos="1985"/>
      </w:tabs>
      <w:overflowPunct/>
      <w:autoSpaceDE/>
      <w:autoSpaceDN/>
      <w:bidi w:val="0"/>
      <w:adjustRightInd/>
      <w:spacing w:before="0" w:line="240" w:lineRule="auto"/>
      <w:ind w:left="1680" w:hanging="240"/>
      <w:jc w:val="left"/>
      <w:textAlignment w:val="auto"/>
    </w:pPr>
    <w:rPr>
      <w:rFonts w:ascii="Arial" w:hAnsi="Arial" w:cs="Arial"/>
      <w:sz w:val="18"/>
      <w:szCs w:val="18"/>
    </w:rPr>
  </w:style>
  <w:style w:type="paragraph" w:styleId="Index8">
    <w:name w:val="index 8"/>
    <w:basedOn w:val="Normal"/>
    <w:next w:val="Normal"/>
    <w:autoRedefine/>
    <w:rsid w:val="00DD3657"/>
    <w:pPr>
      <w:tabs>
        <w:tab w:val="clear" w:pos="794"/>
        <w:tab w:val="clear" w:pos="1191"/>
        <w:tab w:val="clear" w:pos="1588"/>
        <w:tab w:val="clear" w:pos="1985"/>
      </w:tabs>
      <w:overflowPunct/>
      <w:autoSpaceDE/>
      <w:autoSpaceDN/>
      <w:bidi w:val="0"/>
      <w:adjustRightInd/>
      <w:spacing w:before="0" w:line="240" w:lineRule="auto"/>
      <w:ind w:left="1920" w:hanging="240"/>
      <w:jc w:val="left"/>
      <w:textAlignment w:val="auto"/>
    </w:pPr>
    <w:rPr>
      <w:rFonts w:ascii="Arial" w:hAnsi="Arial" w:cs="Arial"/>
      <w:sz w:val="18"/>
      <w:szCs w:val="18"/>
    </w:rPr>
  </w:style>
  <w:style w:type="paragraph" w:styleId="Index9">
    <w:name w:val="index 9"/>
    <w:basedOn w:val="Normal"/>
    <w:next w:val="Normal"/>
    <w:autoRedefine/>
    <w:rsid w:val="00DD3657"/>
    <w:pPr>
      <w:tabs>
        <w:tab w:val="clear" w:pos="794"/>
        <w:tab w:val="clear" w:pos="1191"/>
        <w:tab w:val="clear" w:pos="1588"/>
        <w:tab w:val="clear" w:pos="1985"/>
      </w:tabs>
      <w:overflowPunct/>
      <w:autoSpaceDE/>
      <w:autoSpaceDN/>
      <w:bidi w:val="0"/>
      <w:adjustRightInd/>
      <w:spacing w:before="0" w:line="240" w:lineRule="auto"/>
      <w:ind w:left="2160" w:hanging="240"/>
      <w:jc w:val="left"/>
      <w:textAlignment w:val="auto"/>
    </w:pPr>
    <w:rPr>
      <w:rFonts w:ascii="Arial" w:hAnsi="Arial" w:cs="Arial"/>
      <w:sz w:val="18"/>
      <w:szCs w:val="18"/>
    </w:rPr>
  </w:style>
  <w:style w:type="paragraph" w:styleId="IndexHeading">
    <w:name w:val="index heading"/>
    <w:basedOn w:val="Normal"/>
    <w:next w:val="Index1"/>
    <w:rsid w:val="00DD3657"/>
    <w:pPr>
      <w:tabs>
        <w:tab w:val="clear" w:pos="794"/>
        <w:tab w:val="clear" w:pos="1191"/>
        <w:tab w:val="clear" w:pos="1588"/>
        <w:tab w:val="clear" w:pos="1985"/>
      </w:tabs>
      <w:overflowPunct/>
      <w:autoSpaceDE/>
      <w:autoSpaceDN/>
      <w:bidi w:val="0"/>
      <w:adjustRightInd/>
      <w:spacing w:before="240" w:after="120" w:line="240" w:lineRule="auto"/>
      <w:jc w:val="center"/>
      <w:textAlignment w:val="auto"/>
    </w:pPr>
    <w:rPr>
      <w:rFonts w:ascii="Arial" w:hAnsi="Arial" w:cs="Arial"/>
      <w:b/>
      <w:bCs/>
      <w:sz w:val="26"/>
      <w:szCs w:val="26"/>
    </w:rPr>
  </w:style>
  <w:style w:type="paragraph" w:customStyle="1" w:styleId="Style1">
    <w:name w:val="Style1"/>
    <w:basedOn w:val="Index1"/>
    <w:next w:val="Normal"/>
    <w:rsid w:val="00DD3657"/>
    <w:pPr>
      <w:tabs>
        <w:tab w:val="clear" w:pos="794"/>
        <w:tab w:val="clear" w:pos="1191"/>
        <w:tab w:val="clear" w:pos="1588"/>
        <w:tab w:val="clear" w:pos="1985"/>
      </w:tabs>
      <w:overflowPunct/>
      <w:autoSpaceDE/>
      <w:autoSpaceDN/>
      <w:bidi w:val="0"/>
      <w:adjustRightInd/>
      <w:spacing w:before="0" w:line="240" w:lineRule="auto"/>
      <w:ind w:left="240" w:hanging="240"/>
      <w:jc w:val="left"/>
      <w:textAlignment w:val="auto"/>
    </w:pPr>
    <w:rPr>
      <w:rFonts w:ascii="Arial" w:hAnsi="Arial" w:cs="Arial"/>
      <w:sz w:val="24"/>
      <w:szCs w:val="24"/>
    </w:rPr>
  </w:style>
  <w:style w:type="paragraph" w:customStyle="1" w:styleId="Header1">
    <w:name w:val="Header 1."/>
    <w:basedOn w:val="Heading1"/>
    <w:next w:val="ListNumber"/>
    <w:link w:val="Header1Char"/>
    <w:rsid w:val="00AE600A"/>
    <w:pPr>
      <w:tabs>
        <w:tab w:val="clear" w:pos="794"/>
        <w:tab w:val="clear" w:pos="1191"/>
        <w:tab w:val="clear" w:pos="1588"/>
        <w:tab w:val="clear" w:pos="1985"/>
        <w:tab w:val="num" w:pos="720"/>
      </w:tabs>
      <w:overflowPunct/>
      <w:autoSpaceDE/>
      <w:autoSpaceDN/>
      <w:bidi w:val="0"/>
      <w:adjustRightInd/>
      <w:spacing w:before="0" w:line="240" w:lineRule="auto"/>
      <w:ind w:left="720" w:hanging="720"/>
      <w:jc w:val="left"/>
      <w:textAlignment w:val="auto"/>
    </w:pPr>
    <w:rPr>
      <w:rFonts w:eastAsia="SimSun"/>
      <w:bCs w:val="0"/>
      <w:kern w:val="0"/>
      <w:sz w:val="26"/>
      <w:szCs w:val="36"/>
      <w:lang w:val="fr-FR" w:eastAsia="zh-CN" w:bidi="ar-SA"/>
    </w:rPr>
  </w:style>
  <w:style w:type="numbering" w:styleId="111111">
    <w:name w:val="Outline List 2"/>
    <w:basedOn w:val="NoList"/>
    <w:rsid w:val="00DD3657"/>
    <w:pPr>
      <w:numPr>
        <w:numId w:val="13"/>
      </w:numPr>
    </w:pPr>
  </w:style>
  <w:style w:type="paragraph" w:styleId="ListNumber">
    <w:name w:val="List Number"/>
    <w:basedOn w:val="Header1"/>
    <w:rsid w:val="00DD3657"/>
    <w:rPr>
      <w:b w:val="0"/>
    </w:rPr>
  </w:style>
  <w:style w:type="paragraph" w:styleId="BodyTextFirstIndent2">
    <w:name w:val="Body Text First Indent 2"/>
    <w:basedOn w:val="BodyTextIndent"/>
    <w:link w:val="BodyTextFirstIndent2Char"/>
    <w:rsid w:val="00DD3657"/>
    <w:pPr>
      <w:ind w:left="360" w:firstLine="210"/>
    </w:pPr>
  </w:style>
  <w:style w:type="character" w:customStyle="1" w:styleId="BodyTextFirstIndent2Char">
    <w:name w:val="Body Text First Indent 2 Char"/>
    <w:basedOn w:val="BodyTextIndentChar"/>
    <w:link w:val="BodyTextFirstIndent2"/>
    <w:rsid w:val="00DD3657"/>
  </w:style>
  <w:style w:type="character" w:styleId="LineNumber">
    <w:name w:val="line number"/>
    <w:basedOn w:val="DefaultParagraphFont"/>
    <w:rsid w:val="00DD3657"/>
  </w:style>
  <w:style w:type="paragraph" w:styleId="ListNumber2">
    <w:name w:val="List Number 2"/>
    <w:basedOn w:val="Normal"/>
    <w:rsid w:val="00DD3657"/>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Arial" w:hAnsi="Arial" w:cs="Arial"/>
      <w:sz w:val="24"/>
      <w:szCs w:val="24"/>
    </w:rPr>
  </w:style>
  <w:style w:type="paragraph" w:styleId="List2">
    <w:name w:val="List 2"/>
    <w:basedOn w:val="Normal"/>
    <w:rsid w:val="00DD3657"/>
    <w:pPr>
      <w:tabs>
        <w:tab w:val="clear" w:pos="794"/>
        <w:tab w:val="clear" w:pos="1191"/>
        <w:tab w:val="clear" w:pos="1588"/>
        <w:tab w:val="clear" w:pos="1985"/>
      </w:tabs>
      <w:overflowPunct/>
      <w:autoSpaceDE/>
      <w:autoSpaceDN/>
      <w:bidi w:val="0"/>
      <w:adjustRightInd/>
      <w:spacing w:before="0" w:line="240" w:lineRule="auto"/>
      <w:ind w:left="720" w:hanging="360"/>
      <w:jc w:val="left"/>
      <w:textAlignment w:val="auto"/>
    </w:pPr>
    <w:rPr>
      <w:rFonts w:ascii="Arial" w:hAnsi="Arial" w:cs="Arial"/>
      <w:sz w:val="24"/>
      <w:szCs w:val="24"/>
    </w:rPr>
  </w:style>
  <w:style w:type="character" w:styleId="CommentReference">
    <w:name w:val="annotation reference"/>
    <w:basedOn w:val="DefaultParagraphFont"/>
    <w:rsid w:val="00DD3657"/>
    <w:rPr>
      <w:sz w:val="16"/>
      <w:szCs w:val="16"/>
    </w:rPr>
  </w:style>
  <w:style w:type="paragraph" w:styleId="CommentText">
    <w:name w:val="annotation text"/>
    <w:basedOn w:val="Normal"/>
    <w:link w:val="CommentTextChar"/>
    <w:rsid w:val="00DD3657"/>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Arial" w:hAnsi="Arial" w:cs="Arial"/>
      <w:sz w:val="20"/>
      <w:szCs w:val="20"/>
    </w:rPr>
  </w:style>
  <w:style w:type="character" w:customStyle="1" w:styleId="CommentTextChar">
    <w:name w:val="Comment Text Char"/>
    <w:basedOn w:val="DefaultParagraphFont"/>
    <w:link w:val="CommentText"/>
    <w:rsid w:val="00DD3657"/>
    <w:rPr>
      <w:rFonts w:ascii="Arial" w:eastAsia="Times New Roman" w:hAnsi="Arial" w:cs="Arial"/>
      <w:lang w:val="en-GB" w:eastAsia="en-US"/>
    </w:rPr>
  </w:style>
  <w:style w:type="paragraph" w:styleId="CommentSubject">
    <w:name w:val="annotation subject"/>
    <w:basedOn w:val="CommentText"/>
    <w:next w:val="CommentText"/>
    <w:link w:val="CommentSubjectChar"/>
    <w:rsid w:val="00DD3657"/>
    <w:rPr>
      <w:b/>
      <w:bCs/>
    </w:rPr>
  </w:style>
  <w:style w:type="character" w:customStyle="1" w:styleId="CommentSubjectChar">
    <w:name w:val="Comment Subject Char"/>
    <w:basedOn w:val="CommentTextChar"/>
    <w:link w:val="CommentSubject"/>
    <w:rsid w:val="00DD3657"/>
    <w:rPr>
      <w:b/>
      <w:bCs/>
    </w:rPr>
  </w:style>
  <w:style w:type="paragraph" w:customStyle="1" w:styleId="sspara10">
    <w:name w:val="sspara1"/>
    <w:basedOn w:val="Normal"/>
    <w:rsid w:val="00DD3657"/>
    <w:pPr>
      <w:tabs>
        <w:tab w:val="clear" w:pos="794"/>
        <w:tab w:val="clear" w:pos="1191"/>
        <w:tab w:val="clear" w:pos="1588"/>
        <w:tab w:val="clear" w:pos="1985"/>
      </w:tabs>
      <w:overflowPunct/>
      <w:autoSpaceDE/>
      <w:autoSpaceDN/>
      <w:bidi w:val="0"/>
      <w:adjustRightInd/>
      <w:spacing w:before="0" w:after="260" w:line="260" w:lineRule="atLeast"/>
      <w:textAlignment w:val="auto"/>
    </w:pPr>
    <w:rPr>
      <w:rFonts w:ascii="Arial" w:hAnsi="Arial" w:cs="Arial"/>
      <w:szCs w:val="22"/>
      <w:lang w:val="en-US"/>
    </w:rPr>
  </w:style>
  <w:style w:type="paragraph" w:customStyle="1" w:styleId="Style2">
    <w:name w:val="Style2"/>
    <w:basedOn w:val="Heading1"/>
    <w:rsid w:val="00DD3657"/>
    <w:pPr>
      <w:numPr>
        <w:ilvl w:val="2"/>
        <w:numId w:val="14"/>
      </w:numPr>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Arial" w:hAnsi="Arial" w:cs="Arial"/>
      <w:kern w:val="0"/>
      <w:sz w:val="28"/>
      <w:szCs w:val="28"/>
      <w:lang w:val="en-US" w:bidi="ar-SA"/>
    </w:rPr>
  </w:style>
  <w:style w:type="paragraph" w:customStyle="1" w:styleId="Style3">
    <w:name w:val="Style3"/>
    <w:basedOn w:val="Heading1"/>
    <w:rsid w:val="00DD3657"/>
    <w:pPr>
      <w:numPr>
        <w:ilvl w:val="1"/>
        <w:numId w:val="1"/>
      </w:numPr>
      <w:tabs>
        <w:tab w:val="clear" w:pos="794"/>
        <w:tab w:val="clear" w:pos="1588"/>
        <w:tab w:val="clear" w:pos="1985"/>
        <w:tab w:val="num" w:pos="900"/>
      </w:tabs>
      <w:suppressAutoHyphens/>
      <w:overflowPunct/>
      <w:autoSpaceDE/>
      <w:autoSpaceDN/>
      <w:bidi w:val="0"/>
      <w:adjustRightInd/>
      <w:spacing w:before="0" w:line="240" w:lineRule="auto"/>
      <w:ind w:left="900" w:hanging="540"/>
      <w:jc w:val="left"/>
      <w:textAlignment w:val="auto"/>
    </w:pPr>
    <w:rPr>
      <w:rFonts w:ascii="Arial" w:hAnsi="Arial" w:cs="Arial"/>
      <w:kern w:val="0"/>
      <w:sz w:val="28"/>
      <w:szCs w:val="24"/>
      <w:lang w:val="en-US" w:bidi="ar-SA"/>
    </w:rPr>
  </w:style>
  <w:style w:type="paragraph" w:customStyle="1" w:styleId="Style4">
    <w:name w:val="Style4"/>
    <w:basedOn w:val="Heading1"/>
    <w:rsid w:val="00DD3657"/>
    <w:pPr>
      <w:tabs>
        <w:tab w:val="clear" w:pos="794"/>
        <w:tab w:val="clear" w:pos="1191"/>
        <w:tab w:val="clear" w:pos="1588"/>
        <w:tab w:val="clear" w:pos="1985"/>
        <w:tab w:val="num" w:pos="900"/>
        <w:tab w:val="num" w:pos="1209"/>
      </w:tabs>
      <w:suppressAutoHyphens/>
      <w:overflowPunct/>
      <w:autoSpaceDE/>
      <w:autoSpaceDN/>
      <w:bidi w:val="0"/>
      <w:adjustRightInd/>
      <w:spacing w:before="0" w:line="240" w:lineRule="auto"/>
      <w:ind w:left="900" w:hanging="540"/>
      <w:jc w:val="left"/>
      <w:textAlignment w:val="auto"/>
    </w:pPr>
    <w:rPr>
      <w:rFonts w:ascii="Arial" w:hAnsi="Arial" w:cs="Arial"/>
      <w:kern w:val="0"/>
      <w:sz w:val="28"/>
      <w:szCs w:val="24"/>
      <w:lang w:val="en-US" w:bidi="ar-SA"/>
    </w:rPr>
  </w:style>
  <w:style w:type="paragraph" w:customStyle="1" w:styleId="StylessPara112ptLeft025Firstline025">
    <w:name w:val="Style ssPara1 + 12 pt Left:  0.25&quot; First line:  0.25&quot;"/>
    <w:basedOn w:val="ssPara1"/>
    <w:rsid w:val="00DD3657"/>
    <w:pPr>
      <w:ind w:left="720"/>
    </w:pPr>
    <w:rPr>
      <w:rFonts w:cs="Times New Roman"/>
      <w:sz w:val="24"/>
      <w:szCs w:val="20"/>
    </w:rPr>
  </w:style>
  <w:style w:type="paragraph" w:customStyle="1" w:styleId="Default">
    <w:name w:val="Default"/>
    <w:rsid w:val="00DD3657"/>
    <w:pPr>
      <w:autoSpaceDE w:val="0"/>
      <w:autoSpaceDN w:val="0"/>
      <w:adjustRightInd w:val="0"/>
    </w:pPr>
    <w:rPr>
      <w:rFonts w:ascii="TimesNewRoman" w:eastAsia="Times New Roman" w:hAnsi="TimesNewRoman"/>
      <w:lang w:eastAsia="en-US"/>
    </w:rPr>
  </w:style>
  <w:style w:type="paragraph" w:styleId="DocumentMap">
    <w:name w:val="Document Map"/>
    <w:basedOn w:val="Normal"/>
    <w:link w:val="DocumentMapChar"/>
    <w:rsid w:val="00DD3657"/>
    <w:pPr>
      <w:shd w:val="clear" w:color="auto" w:fill="000080"/>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ahoma" w:hAnsi="Tahoma" w:cs="Tahoma"/>
      <w:sz w:val="20"/>
      <w:szCs w:val="20"/>
    </w:rPr>
  </w:style>
  <w:style w:type="character" w:customStyle="1" w:styleId="DocumentMapChar">
    <w:name w:val="Document Map Char"/>
    <w:basedOn w:val="DefaultParagraphFont"/>
    <w:link w:val="DocumentMap"/>
    <w:rsid w:val="00DD3657"/>
    <w:rPr>
      <w:rFonts w:ascii="Tahoma" w:eastAsia="Times New Roman" w:hAnsi="Tahoma" w:cs="Tahoma"/>
      <w:shd w:val="clear" w:color="auto" w:fill="000080"/>
      <w:lang w:val="en-GB" w:eastAsia="en-US"/>
    </w:rPr>
  </w:style>
  <w:style w:type="paragraph" w:customStyle="1" w:styleId="Heading-1">
    <w:name w:val="Heading-1"/>
    <w:basedOn w:val="Normal"/>
    <w:link w:val="Heading-1Char"/>
    <w:rsid w:val="00DD3657"/>
    <w:pPr>
      <w:tabs>
        <w:tab w:val="clear" w:pos="794"/>
        <w:tab w:val="clear" w:pos="1191"/>
        <w:tab w:val="clear" w:pos="1588"/>
        <w:tab w:val="clear" w:pos="1985"/>
        <w:tab w:val="num" w:pos="360"/>
      </w:tabs>
      <w:overflowPunct/>
      <w:autoSpaceDE/>
      <w:autoSpaceDN/>
      <w:bidi w:val="0"/>
      <w:adjustRightInd/>
      <w:spacing w:before="360" w:after="120" w:line="240" w:lineRule="auto"/>
      <w:ind w:left="360" w:hanging="360"/>
      <w:jc w:val="left"/>
      <w:textAlignment w:val="auto"/>
      <w:outlineLvl w:val="0"/>
    </w:pPr>
    <w:rPr>
      <w:rFonts w:ascii="Arial Bold" w:hAnsi="Arial Bold" w:cs="Arial"/>
      <w:b/>
      <w:bCs/>
      <w:kern w:val="24"/>
      <w:sz w:val="24"/>
      <w:szCs w:val="32"/>
      <w:lang w:val="en-US"/>
    </w:rPr>
  </w:style>
  <w:style w:type="paragraph" w:customStyle="1" w:styleId="Heading-2">
    <w:name w:val="Heading-2"/>
    <w:basedOn w:val="Heading-1"/>
    <w:rsid w:val="00DD3657"/>
    <w:pPr>
      <w:tabs>
        <w:tab w:val="clear" w:pos="360"/>
        <w:tab w:val="left" w:pos="1080"/>
      </w:tabs>
      <w:spacing w:before="120"/>
      <w:ind w:left="1080" w:hanging="720"/>
      <w:jc w:val="both"/>
    </w:pPr>
    <w:rPr>
      <w:rFonts w:ascii="Arial" w:hAnsi="Arial"/>
      <w:bCs w:val="0"/>
      <w:lang w:val="en-GB"/>
    </w:rPr>
  </w:style>
  <w:style w:type="paragraph" w:customStyle="1" w:styleId="StyleHeading3">
    <w:name w:val="Style Heading3"/>
    <w:basedOn w:val="Normal"/>
    <w:rsid w:val="00DD3657"/>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Arial" w:hAnsi="Arial" w:cs="Arial"/>
      <w:sz w:val="24"/>
      <w:szCs w:val="24"/>
    </w:rPr>
  </w:style>
  <w:style w:type="paragraph" w:customStyle="1" w:styleId="Heading-3">
    <w:name w:val="Heading-3"/>
    <w:basedOn w:val="Heading-2"/>
    <w:autoRedefine/>
    <w:rsid w:val="00DD3657"/>
    <w:pPr>
      <w:tabs>
        <w:tab w:val="clear" w:pos="1080"/>
        <w:tab w:val="num" w:pos="1800"/>
      </w:tabs>
      <w:suppressAutoHyphens/>
      <w:ind w:left="1800"/>
    </w:pPr>
    <w:rPr>
      <w:b w:val="0"/>
      <w:bCs/>
    </w:rPr>
  </w:style>
  <w:style w:type="paragraph" w:customStyle="1" w:styleId="StyleHeading2NotBold">
    <w:name w:val="Style Heading 2 + Not Bold"/>
    <w:basedOn w:val="Heading2"/>
    <w:rsid w:val="00DD3657"/>
    <w:pPr>
      <w:keepNext w:val="0"/>
      <w:numPr>
        <w:ilvl w:val="1"/>
      </w:numPr>
      <w:tabs>
        <w:tab w:val="clear" w:pos="794"/>
        <w:tab w:val="clear" w:pos="1191"/>
        <w:tab w:val="clear" w:pos="1588"/>
        <w:tab w:val="clear" w:pos="1985"/>
        <w:tab w:val="num" w:pos="1440"/>
      </w:tabs>
      <w:suppressAutoHyphens/>
      <w:overflowPunct/>
      <w:autoSpaceDE/>
      <w:autoSpaceDN/>
      <w:bidi w:val="0"/>
      <w:adjustRightInd/>
      <w:spacing w:before="0" w:line="240" w:lineRule="auto"/>
      <w:ind w:left="1440" w:hanging="720"/>
      <w:jc w:val="left"/>
      <w:textAlignment w:val="auto"/>
    </w:pPr>
    <w:rPr>
      <w:rFonts w:ascii="Arial" w:hAnsi="Arial" w:cs="Arial"/>
      <w:b w:val="0"/>
      <w:bCs w:val="0"/>
      <w:sz w:val="24"/>
      <w:szCs w:val="24"/>
      <w:lang w:val="en-US"/>
    </w:rPr>
  </w:style>
  <w:style w:type="paragraph" w:customStyle="1" w:styleId="StyleHeading1Justified">
    <w:name w:val="Style Heading 1 + Justified"/>
    <w:basedOn w:val="Heading1"/>
    <w:rsid w:val="00DD3657"/>
    <w:pPr>
      <w:keepNext w:val="0"/>
      <w:tabs>
        <w:tab w:val="clear" w:pos="794"/>
        <w:tab w:val="clear" w:pos="1191"/>
        <w:tab w:val="clear" w:pos="1588"/>
        <w:tab w:val="clear" w:pos="1985"/>
        <w:tab w:val="num" w:pos="720"/>
      </w:tabs>
      <w:suppressAutoHyphens/>
      <w:overflowPunct/>
      <w:autoSpaceDE/>
      <w:autoSpaceDN/>
      <w:bidi w:val="0"/>
      <w:adjustRightInd/>
      <w:spacing w:before="0" w:line="240" w:lineRule="auto"/>
      <w:ind w:left="720" w:hanging="720"/>
      <w:textAlignment w:val="auto"/>
    </w:pPr>
    <w:rPr>
      <w:rFonts w:ascii="Arial Bold" w:hAnsi="Arial Bold" w:cs="Arial"/>
      <w:kern w:val="0"/>
      <w:szCs w:val="24"/>
      <w:lang w:val="en-US" w:bidi="ar-SA"/>
    </w:rPr>
  </w:style>
  <w:style w:type="character" w:customStyle="1" w:styleId="Header1Char">
    <w:name w:val="Header 1. Char"/>
    <w:basedOn w:val="Heading1Char"/>
    <w:link w:val="Header1"/>
    <w:rsid w:val="00AE600A"/>
    <w:rPr>
      <w:rFonts w:ascii="Calibri" w:hAnsi="Calibri"/>
      <w:b/>
      <w:sz w:val="26"/>
      <w:szCs w:val="36"/>
      <w:lang w:val="fr-FR"/>
    </w:rPr>
  </w:style>
  <w:style w:type="character" w:customStyle="1" w:styleId="Heading-1Char">
    <w:name w:val="Heading-1 Char"/>
    <w:basedOn w:val="DefaultParagraphFont"/>
    <w:link w:val="Heading-1"/>
    <w:rsid w:val="00DD3657"/>
    <w:rPr>
      <w:rFonts w:ascii="Arial Bold" w:eastAsia="Times New Roman" w:hAnsi="Arial Bold" w:cs="Arial"/>
      <w:b/>
      <w:bCs/>
      <w:kern w:val="24"/>
      <w:sz w:val="24"/>
      <w:szCs w:val="32"/>
      <w:lang w:eastAsia="en-US"/>
    </w:rPr>
  </w:style>
  <w:style w:type="paragraph" w:customStyle="1" w:styleId="MTLN1">
    <w:name w:val="MTLN1"/>
    <w:basedOn w:val="Normal"/>
    <w:next w:val="MTLN2"/>
    <w:rsid w:val="00DD3657"/>
    <w:pPr>
      <w:keepNext/>
      <w:numPr>
        <w:ilvl w:val="1"/>
        <w:numId w:val="15"/>
      </w:numPr>
      <w:tabs>
        <w:tab w:val="clear" w:pos="794"/>
        <w:tab w:val="clear" w:pos="1191"/>
        <w:tab w:val="clear" w:pos="1588"/>
        <w:tab w:val="clear" w:pos="1985"/>
      </w:tabs>
      <w:overflowPunct/>
      <w:autoSpaceDE/>
      <w:autoSpaceDN/>
      <w:bidi w:val="0"/>
      <w:adjustRightInd/>
      <w:spacing w:before="240" w:after="240" w:line="240" w:lineRule="auto"/>
      <w:jc w:val="center"/>
      <w:textAlignment w:val="auto"/>
      <w:outlineLvl w:val="0"/>
    </w:pPr>
    <w:rPr>
      <w:rFonts w:cs="Times New Roman"/>
      <w:b/>
      <w:caps/>
      <w:sz w:val="24"/>
      <w:szCs w:val="24"/>
      <w:lang w:val="en-CA"/>
    </w:rPr>
  </w:style>
  <w:style w:type="paragraph" w:customStyle="1" w:styleId="MTLN2">
    <w:name w:val="MTLN2"/>
    <w:basedOn w:val="Normal"/>
    <w:rsid w:val="00DD3657"/>
    <w:pPr>
      <w:keepNext/>
      <w:numPr>
        <w:ilvl w:val="2"/>
        <w:numId w:val="15"/>
      </w:numPr>
      <w:tabs>
        <w:tab w:val="clear" w:pos="794"/>
        <w:tab w:val="clear" w:pos="1191"/>
        <w:tab w:val="clear" w:pos="1588"/>
        <w:tab w:val="clear" w:pos="1985"/>
      </w:tabs>
      <w:overflowPunct/>
      <w:autoSpaceDE/>
      <w:autoSpaceDN/>
      <w:bidi w:val="0"/>
      <w:adjustRightInd/>
      <w:spacing w:before="0" w:after="240" w:line="240" w:lineRule="auto"/>
      <w:textAlignment w:val="auto"/>
    </w:pPr>
    <w:rPr>
      <w:rFonts w:ascii="Times New Roman Bold" w:hAnsi="Times New Roman Bold" w:cs="Times New Roman"/>
      <w:b/>
      <w:sz w:val="24"/>
      <w:szCs w:val="24"/>
      <w:lang w:val="en-CA"/>
    </w:rPr>
  </w:style>
  <w:style w:type="paragraph" w:customStyle="1" w:styleId="MTLN3">
    <w:name w:val="MTLN3"/>
    <w:basedOn w:val="Normal"/>
    <w:rsid w:val="00DD3657"/>
    <w:pPr>
      <w:numPr>
        <w:ilvl w:val="3"/>
        <w:numId w:val="15"/>
      </w:numPr>
      <w:tabs>
        <w:tab w:val="clear" w:pos="794"/>
        <w:tab w:val="clear" w:pos="1191"/>
        <w:tab w:val="clear" w:pos="1588"/>
        <w:tab w:val="clear" w:pos="1985"/>
      </w:tabs>
      <w:overflowPunct/>
      <w:autoSpaceDE/>
      <w:autoSpaceDN/>
      <w:bidi w:val="0"/>
      <w:adjustRightInd/>
      <w:spacing w:before="0" w:after="240" w:line="240" w:lineRule="auto"/>
      <w:textAlignment w:val="auto"/>
    </w:pPr>
    <w:rPr>
      <w:rFonts w:cs="Times New Roman"/>
      <w:sz w:val="24"/>
      <w:szCs w:val="20"/>
      <w:lang w:val="en-CA"/>
    </w:rPr>
  </w:style>
  <w:style w:type="paragraph" w:customStyle="1" w:styleId="MTLN6">
    <w:name w:val="MTLN6"/>
    <w:basedOn w:val="Normal"/>
    <w:rsid w:val="00DD3657"/>
    <w:pPr>
      <w:numPr>
        <w:ilvl w:val="5"/>
        <w:numId w:val="15"/>
      </w:numPr>
      <w:tabs>
        <w:tab w:val="clear" w:pos="794"/>
        <w:tab w:val="clear" w:pos="1191"/>
        <w:tab w:val="clear" w:pos="1588"/>
        <w:tab w:val="clear" w:pos="1985"/>
      </w:tabs>
      <w:overflowPunct/>
      <w:autoSpaceDE/>
      <w:autoSpaceDN/>
      <w:bidi w:val="0"/>
      <w:adjustRightInd/>
      <w:spacing w:before="0" w:after="240" w:line="240" w:lineRule="auto"/>
      <w:textAlignment w:val="auto"/>
    </w:pPr>
    <w:rPr>
      <w:rFonts w:cs="Times New Roman"/>
      <w:sz w:val="24"/>
      <w:szCs w:val="20"/>
      <w:lang w:val="en-CA"/>
    </w:rPr>
  </w:style>
  <w:style w:type="paragraph" w:customStyle="1" w:styleId="MTLN7">
    <w:name w:val="MTLN7"/>
    <w:basedOn w:val="Normal"/>
    <w:rsid w:val="00DD3657"/>
    <w:pPr>
      <w:numPr>
        <w:ilvl w:val="6"/>
        <w:numId w:val="15"/>
      </w:numPr>
      <w:tabs>
        <w:tab w:val="clear" w:pos="794"/>
        <w:tab w:val="clear" w:pos="1191"/>
        <w:tab w:val="clear" w:pos="1588"/>
        <w:tab w:val="clear" w:pos="1985"/>
      </w:tabs>
      <w:overflowPunct/>
      <w:autoSpaceDE/>
      <w:autoSpaceDN/>
      <w:bidi w:val="0"/>
      <w:adjustRightInd/>
      <w:spacing w:before="0" w:after="240" w:line="240" w:lineRule="auto"/>
      <w:textAlignment w:val="auto"/>
    </w:pPr>
    <w:rPr>
      <w:rFonts w:cs="Times New Roman"/>
      <w:sz w:val="24"/>
      <w:szCs w:val="20"/>
      <w:lang w:val="en-CA"/>
    </w:rPr>
  </w:style>
  <w:style w:type="paragraph" w:customStyle="1" w:styleId="MTLN8">
    <w:name w:val="MTLN8"/>
    <w:basedOn w:val="Normal"/>
    <w:rsid w:val="00DD3657"/>
    <w:pPr>
      <w:numPr>
        <w:ilvl w:val="7"/>
        <w:numId w:val="15"/>
      </w:numPr>
      <w:tabs>
        <w:tab w:val="clear" w:pos="794"/>
        <w:tab w:val="clear" w:pos="1191"/>
        <w:tab w:val="clear" w:pos="1588"/>
        <w:tab w:val="clear" w:pos="1985"/>
      </w:tabs>
      <w:overflowPunct/>
      <w:autoSpaceDE/>
      <w:autoSpaceDN/>
      <w:bidi w:val="0"/>
      <w:adjustRightInd/>
      <w:spacing w:before="0" w:after="240" w:line="240" w:lineRule="auto"/>
      <w:textAlignment w:val="auto"/>
    </w:pPr>
    <w:rPr>
      <w:rFonts w:cs="Times New Roman"/>
      <w:sz w:val="24"/>
      <w:szCs w:val="20"/>
      <w:lang w:val="en-CA"/>
    </w:rPr>
  </w:style>
  <w:style w:type="paragraph" w:customStyle="1" w:styleId="MTLN9">
    <w:name w:val="MTLN9"/>
    <w:basedOn w:val="Normal"/>
    <w:rsid w:val="00DD3657"/>
    <w:pPr>
      <w:numPr>
        <w:ilvl w:val="8"/>
        <w:numId w:val="15"/>
      </w:numPr>
      <w:tabs>
        <w:tab w:val="clear" w:pos="794"/>
        <w:tab w:val="clear" w:pos="1191"/>
        <w:tab w:val="clear" w:pos="1588"/>
        <w:tab w:val="clear" w:pos="1985"/>
      </w:tabs>
      <w:overflowPunct/>
      <w:autoSpaceDE/>
      <w:autoSpaceDN/>
      <w:bidi w:val="0"/>
      <w:adjustRightInd/>
      <w:spacing w:before="0" w:after="240" w:line="240" w:lineRule="auto"/>
      <w:textAlignment w:val="auto"/>
    </w:pPr>
    <w:rPr>
      <w:rFonts w:cs="Times New Roman"/>
      <w:sz w:val="24"/>
      <w:szCs w:val="20"/>
      <w:lang w:val="en-CA"/>
    </w:rPr>
  </w:style>
  <w:style w:type="character" w:customStyle="1" w:styleId="TableNotitleChar">
    <w:name w:val="Table_No &amp; title Char"/>
    <w:basedOn w:val="DefaultParagraphFont"/>
    <w:link w:val="TableNotitle"/>
    <w:rsid w:val="00DD3657"/>
    <w:rPr>
      <w:rFonts w:ascii="Times New Roman Bold" w:eastAsia="Times New Roman" w:hAnsi="Times New Roman Bold" w:cs="Traditional Arabic"/>
      <w:b/>
      <w:bCs/>
      <w:sz w:val="22"/>
      <w:szCs w:val="30"/>
      <w:lang w:val="en-GB" w:eastAsia="en-US"/>
    </w:rPr>
  </w:style>
  <w:style w:type="paragraph" w:customStyle="1" w:styleId="AnnexNO">
    <w:name w:val="Annex_NO"/>
    <w:basedOn w:val="Normal"/>
    <w:qFormat/>
    <w:rsid w:val="00DD3657"/>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sz w:val="28"/>
      <w:szCs w:val="40"/>
      <w:lang w:bidi="ar-EG"/>
    </w:rPr>
  </w:style>
  <w:style w:type="paragraph" w:customStyle="1" w:styleId="toc10">
    <w:name w:val="toc1"/>
    <w:basedOn w:val="Headingb"/>
    <w:rsid w:val="00DD3657"/>
    <w:pPr>
      <w:bidi w:val="0"/>
      <w:spacing w:before="160" w:line="240" w:lineRule="auto"/>
      <w:jc w:val="left"/>
    </w:pPr>
    <w:rPr>
      <w:rFonts w:cs="Times New Roman"/>
      <w:b w:val="0"/>
      <w:sz w:val="24"/>
      <w:szCs w:val="24"/>
      <w:lang w:val="es-ES"/>
    </w:rPr>
  </w:style>
  <w:style w:type="paragraph" w:customStyle="1" w:styleId="Figure0">
    <w:name w:val="Figure_#"/>
    <w:basedOn w:val="Normal"/>
    <w:next w:val="Normal"/>
    <w:rsid w:val="003A5252"/>
    <w:pPr>
      <w:keepNext/>
      <w:bidi w:val="0"/>
      <w:spacing w:before="480" w:after="120" w:line="240" w:lineRule="auto"/>
      <w:jc w:val="center"/>
      <w:textAlignment w:val="auto"/>
    </w:pPr>
    <w:rPr>
      <w:rFonts w:ascii="Times New Roman" w:hAnsi="Times New Roman" w:cs="Times New Roman"/>
      <w:caps/>
      <w:szCs w:val="20"/>
    </w:rPr>
  </w:style>
  <w:style w:type="paragraph" w:customStyle="1" w:styleId="headingb1">
    <w:name w:val="heading_b"/>
    <w:basedOn w:val="Heading3"/>
    <w:next w:val="Normal"/>
    <w:rsid w:val="003A5252"/>
    <w:pPr>
      <w:keepLines/>
      <w:tabs>
        <w:tab w:val="clear" w:pos="1191"/>
        <w:tab w:val="clear" w:pos="1588"/>
        <w:tab w:val="clear" w:pos="1985"/>
        <w:tab w:val="left" w:pos="2127"/>
        <w:tab w:val="left" w:pos="2410"/>
        <w:tab w:val="left" w:pos="2921"/>
        <w:tab w:val="left" w:pos="3261"/>
      </w:tabs>
      <w:bidi w:val="0"/>
      <w:spacing w:before="160" w:line="240" w:lineRule="auto"/>
      <w:ind w:left="0" w:firstLine="0"/>
      <w:outlineLvl w:val="9"/>
    </w:pPr>
    <w:rPr>
      <w:rFonts w:ascii="Times New Roman" w:hAnsi="Times New Roman" w:cs="Times New Roman"/>
      <w:bCs w:val="0"/>
      <w:szCs w:val="20"/>
    </w:rPr>
  </w:style>
  <w:style w:type="paragraph" w:styleId="BodyText3">
    <w:name w:val="Body Text 3"/>
    <w:basedOn w:val="Normal"/>
    <w:link w:val="BodyText3Char"/>
    <w:rsid w:val="003A5252"/>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bidi w:val="0"/>
      <w:adjustRightInd/>
      <w:spacing w:before="0" w:line="240" w:lineRule="auto"/>
      <w:textAlignment w:val="auto"/>
    </w:pPr>
    <w:rPr>
      <w:rFonts w:ascii="Times New Roman" w:hAnsi="Times New Roman" w:cs="Times New Roman"/>
      <w:szCs w:val="24"/>
      <w:lang w:val="en-US"/>
    </w:rPr>
  </w:style>
  <w:style w:type="character" w:customStyle="1" w:styleId="BodyText3Char">
    <w:name w:val="Body Text 3 Char"/>
    <w:basedOn w:val="DefaultParagraphFont"/>
    <w:link w:val="BodyText3"/>
    <w:rsid w:val="003A5252"/>
    <w:rPr>
      <w:rFonts w:eastAsia="Times New Roman"/>
      <w:sz w:val="22"/>
      <w:szCs w:val="24"/>
      <w:shd w:val="pct12" w:color="auto" w:fill="auto"/>
      <w:lang w:eastAsia="en-US"/>
    </w:rPr>
  </w:style>
  <w:style w:type="paragraph" w:styleId="EndnoteText">
    <w:name w:val="endnote text"/>
    <w:basedOn w:val="Normal"/>
    <w:link w:val="EndnoteTextChar"/>
    <w:rsid w:val="003A5252"/>
    <w:pPr>
      <w:tabs>
        <w:tab w:val="clear" w:pos="794"/>
        <w:tab w:val="clear" w:pos="1191"/>
        <w:tab w:val="clear" w:pos="1588"/>
        <w:tab w:val="clear" w:pos="1985"/>
      </w:tabs>
      <w:overflowPunct/>
      <w:autoSpaceDE/>
      <w:autoSpaceDN/>
      <w:bidi w:val="0"/>
      <w:adjustRightInd/>
      <w:spacing w:before="0" w:line="240" w:lineRule="auto"/>
      <w:textAlignment w:val="auto"/>
    </w:pPr>
    <w:rPr>
      <w:rFonts w:ascii="Arial" w:hAnsi="Arial" w:cs="Times New Roman"/>
      <w:sz w:val="20"/>
      <w:szCs w:val="20"/>
      <w:lang w:val="en-US"/>
    </w:rPr>
  </w:style>
  <w:style w:type="character" w:customStyle="1" w:styleId="EndnoteTextChar">
    <w:name w:val="Endnote Text Char"/>
    <w:basedOn w:val="DefaultParagraphFont"/>
    <w:link w:val="EndnoteText"/>
    <w:rsid w:val="003A5252"/>
    <w:rPr>
      <w:rFonts w:ascii="Arial" w:eastAsia="Times New Roman" w:hAnsi="Arial"/>
      <w:lang w:eastAsia="en-US"/>
    </w:rPr>
  </w:style>
  <w:style w:type="paragraph" w:customStyle="1" w:styleId="heading0">
    <w:name w:val="heading 0"/>
    <w:basedOn w:val="Heading1"/>
    <w:next w:val="Normal"/>
    <w:rsid w:val="003A5252"/>
    <w:pPr>
      <w:keepNext w:val="0"/>
      <w:keepLines/>
      <w:numPr>
        <w:numId w:val="16"/>
      </w:numPr>
      <w:tabs>
        <w:tab w:val="clear" w:pos="1191"/>
        <w:tab w:val="clear" w:pos="1588"/>
        <w:tab w:val="clear" w:pos="1985"/>
        <w:tab w:val="left" w:pos="2127"/>
        <w:tab w:val="left" w:pos="2410"/>
        <w:tab w:val="left" w:pos="2921"/>
        <w:tab w:val="left" w:pos="3261"/>
      </w:tabs>
      <w:bidi w:val="0"/>
      <w:spacing w:before="1080" w:after="480" w:line="288" w:lineRule="auto"/>
      <w:ind w:left="360" w:hanging="360"/>
      <w:jc w:val="center"/>
      <w:outlineLvl w:val="9"/>
    </w:pPr>
    <w:rPr>
      <w:rFonts w:ascii="Times" w:hAnsi="Times" w:cs="Times New Roman"/>
      <w:bCs w:val="0"/>
      <w:caps/>
      <w:kern w:val="0"/>
      <w:sz w:val="28"/>
      <w:szCs w:val="20"/>
      <w:lang w:bidi="ar-SA"/>
    </w:rPr>
  </w:style>
  <w:style w:type="paragraph" w:styleId="ListBullet">
    <w:name w:val="List Bullet"/>
    <w:basedOn w:val="Normal"/>
    <w:autoRedefine/>
    <w:rsid w:val="003A5252"/>
    <w:pPr>
      <w:tabs>
        <w:tab w:val="num" w:pos="360"/>
      </w:tabs>
      <w:bidi w:val="0"/>
      <w:spacing w:line="240" w:lineRule="auto"/>
      <w:ind w:left="360" w:hanging="360"/>
    </w:pPr>
    <w:rPr>
      <w:rFonts w:ascii="Times New Roman" w:hAnsi="Times New Roman" w:cs="Times New Roman"/>
      <w:szCs w:val="20"/>
    </w:rPr>
  </w:style>
  <w:style w:type="paragraph" w:customStyle="1" w:styleId="Boulet1">
    <w:name w:val="Boulet1"/>
    <w:basedOn w:val="Normal"/>
    <w:rsid w:val="003A5252"/>
    <w:pPr>
      <w:widowControl w:val="0"/>
      <w:tabs>
        <w:tab w:val="clear" w:pos="794"/>
        <w:tab w:val="clear" w:pos="1191"/>
        <w:tab w:val="clear" w:pos="1588"/>
        <w:tab w:val="clear" w:pos="1985"/>
        <w:tab w:val="left" w:pos="360"/>
      </w:tabs>
      <w:bidi w:val="0"/>
      <w:spacing w:before="60" w:line="240" w:lineRule="atLeast"/>
      <w:ind w:left="360" w:hanging="360"/>
    </w:pPr>
    <w:rPr>
      <w:rFonts w:ascii="Aldine401 BT" w:hAnsi="Aldine401 BT" w:cs="Times New Roman"/>
      <w:color w:val="000000"/>
      <w:sz w:val="20"/>
      <w:szCs w:val="20"/>
      <w:lang w:val="fr-FR"/>
    </w:rPr>
  </w:style>
  <w:style w:type="paragraph" w:customStyle="1" w:styleId="TableSource">
    <w:name w:val="Table Source"/>
    <w:basedOn w:val="Normal"/>
    <w:next w:val="Normal"/>
    <w:rsid w:val="003A5252"/>
    <w:pPr>
      <w:keepNext/>
      <w:tabs>
        <w:tab w:val="clear" w:pos="794"/>
        <w:tab w:val="clear" w:pos="1191"/>
        <w:tab w:val="clear" w:pos="1588"/>
        <w:tab w:val="clear" w:pos="1985"/>
        <w:tab w:val="left" w:pos="851"/>
      </w:tabs>
      <w:bidi w:val="0"/>
      <w:spacing w:before="80" w:line="240" w:lineRule="auto"/>
    </w:pPr>
    <w:rPr>
      <w:rFonts w:ascii="Times New Roman" w:hAnsi="Times New Roman" w:cs="Times New Roman"/>
      <w:sz w:val="16"/>
      <w:szCs w:val="20"/>
      <w:lang w:val="en-US"/>
    </w:rPr>
  </w:style>
  <w:style w:type="paragraph" w:customStyle="1" w:styleId="headfoot">
    <w:name w:val="head_foot"/>
    <w:basedOn w:val="Normal"/>
    <w:next w:val="Normal"/>
    <w:rsid w:val="003A5252"/>
    <w:pPr>
      <w:tabs>
        <w:tab w:val="clear" w:pos="794"/>
        <w:tab w:val="clear" w:pos="1191"/>
        <w:tab w:val="clear" w:pos="1588"/>
        <w:tab w:val="clear" w:pos="1985"/>
      </w:tabs>
      <w:bidi w:val="0"/>
      <w:spacing w:before="0" w:line="240" w:lineRule="auto"/>
    </w:pPr>
    <w:rPr>
      <w:rFonts w:ascii="Times New Roman" w:hAnsi="Times New Roman" w:cs="Times New Roman"/>
      <w:color w:val="FF0000"/>
      <w:sz w:val="8"/>
      <w:szCs w:val="20"/>
      <w:lang w:val="en-US"/>
    </w:rPr>
  </w:style>
  <w:style w:type="paragraph" w:styleId="TableofFigures">
    <w:name w:val="table of figures"/>
    <w:basedOn w:val="Normal"/>
    <w:next w:val="Normal"/>
    <w:rsid w:val="003A5252"/>
    <w:pPr>
      <w:tabs>
        <w:tab w:val="clear" w:pos="794"/>
        <w:tab w:val="clear" w:pos="1191"/>
        <w:tab w:val="clear" w:pos="1588"/>
        <w:tab w:val="clear" w:pos="1985"/>
        <w:tab w:val="left" w:pos="1560"/>
        <w:tab w:val="left" w:leader="dot" w:pos="8789"/>
        <w:tab w:val="right" w:pos="9214"/>
      </w:tabs>
      <w:bidi w:val="0"/>
      <w:spacing w:line="240" w:lineRule="auto"/>
      <w:ind w:left="440" w:right="1275" w:hanging="440"/>
    </w:pPr>
    <w:rPr>
      <w:rFonts w:ascii="Times New Roman" w:hAnsi="Times New Roman" w:cs="Times New Roman"/>
      <w:szCs w:val="20"/>
      <w:lang w:val="en-US"/>
    </w:rPr>
  </w:style>
  <w:style w:type="paragraph" w:styleId="BodyText2">
    <w:name w:val="Body Text 2"/>
    <w:basedOn w:val="Normal"/>
    <w:link w:val="BodyText2Char"/>
    <w:rsid w:val="003A5252"/>
    <w:pPr>
      <w:bidi w:val="0"/>
      <w:spacing w:before="0" w:line="240" w:lineRule="auto"/>
    </w:pPr>
    <w:rPr>
      <w:rFonts w:ascii="Times New Roman" w:hAnsi="Times New Roman" w:cs="Times New Roman"/>
      <w:b/>
      <w:sz w:val="16"/>
      <w:szCs w:val="20"/>
    </w:rPr>
  </w:style>
  <w:style w:type="character" w:customStyle="1" w:styleId="BodyText2Char">
    <w:name w:val="Body Text 2 Char"/>
    <w:basedOn w:val="DefaultParagraphFont"/>
    <w:link w:val="BodyText2"/>
    <w:rsid w:val="003A5252"/>
    <w:rPr>
      <w:rFonts w:eastAsia="Times New Roman"/>
      <w:b/>
      <w:sz w:val="16"/>
      <w:lang w:val="en-GB" w:eastAsia="en-US"/>
    </w:rPr>
  </w:style>
  <w:style w:type="paragraph" w:customStyle="1" w:styleId="heading">
    <w:name w:val="heading"/>
    <w:basedOn w:val="Normal"/>
    <w:rsid w:val="003A5252"/>
    <w:pPr>
      <w:tabs>
        <w:tab w:val="clear" w:pos="794"/>
        <w:tab w:val="clear" w:pos="1191"/>
        <w:tab w:val="clear" w:pos="1588"/>
        <w:tab w:val="clear" w:pos="1985"/>
      </w:tabs>
      <w:overflowPunct/>
      <w:autoSpaceDE/>
      <w:autoSpaceDN/>
      <w:bidi w:val="0"/>
      <w:adjustRightInd/>
      <w:spacing w:after="120" w:line="240" w:lineRule="auto"/>
      <w:jc w:val="left"/>
      <w:textAlignment w:val="auto"/>
    </w:pPr>
    <w:rPr>
      <w:rFonts w:ascii="Univers (W1)" w:hAnsi="Univers (W1)" w:cs="Times New Roman"/>
      <w:b/>
      <w:sz w:val="20"/>
      <w:szCs w:val="20"/>
      <w:lang w:val="en-US"/>
    </w:rPr>
  </w:style>
  <w:style w:type="character" w:customStyle="1" w:styleId="Alloc">
    <w:name w:val="Alloc"/>
    <w:basedOn w:val="DefaultParagraphFont"/>
    <w:rsid w:val="003A5252"/>
    <w:rPr>
      <w:rFonts w:ascii="Arial" w:hAnsi="Arial"/>
      <w:sz w:val="16"/>
    </w:rPr>
  </w:style>
  <w:style w:type="character" w:customStyle="1" w:styleId="Notes">
    <w:name w:val="Notes"/>
    <w:basedOn w:val="DefaultParagraphFont"/>
    <w:rsid w:val="003A5252"/>
    <w:rPr>
      <w:rFonts w:ascii="Arial" w:hAnsi="Arial"/>
      <w:sz w:val="16"/>
    </w:rPr>
  </w:style>
  <w:style w:type="character" w:customStyle="1" w:styleId="Remarks">
    <w:name w:val="Remarks"/>
    <w:basedOn w:val="DefaultParagraphFont"/>
    <w:rsid w:val="003A5252"/>
    <w:rPr>
      <w:sz w:val="24"/>
    </w:rPr>
  </w:style>
  <w:style w:type="paragraph" w:customStyle="1" w:styleId="FigureLegend0">
    <w:name w:val="Figure_Legend"/>
    <w:basedOn w:val="Normal"/>
    <w:next w:val="Normal"/>
    <w:rsid w:val="003A5252"/>
    <w:pPr>
      <w:keepNext/>
      <w:bidi w:val="0"/>
      <w:spacing w:before="113" w:line="240" w:lineRule="auto"/>
      <w:jc w:val="left"/>
    </w:pPr>
    <w:rPr>
      <w:rFonts w:ascii="Times New Roman" w:hAnsi="Times New Roman" w:cs="Times New Roman"/>
      <w:sz w:val="18"/>
      <w:szCs w:val="20"/>
      <w:lang w:val="en-US"/>
    </w:rPr>
  </w:style>
  <w:style w:type="character" w:styleId="Emphasis">
    <w:name w:val="Emphasis"/>
    <w:basedOn w:val="DefaultParagraphFont"/>
    <w:rsid w:val="003A5252"/>
    <w:rPr>
      <w:i/>
      <w:iCs/>
    </w:rPr>
  </w:style>
  <w:style w:type="character" w:customStyle="1" w:styleId="NormalWebChar">
    <w:name w:val="Normal (Web) Char"/>
    <w:basedOn w:val="DefaultParagraphFont"/>
    <w:link w:val="NormalWeb"/>
    <w:rsid w:val="003A5252"/>
    <w:rPr>
      <w:rFonts w:ascii="Calibri" w:eastAsia="Times New Roman" w:hAnsi="Calibri"/>
      <w:sz w:val="22"/>
      <w:szCs w:val="24"/>
      <w:lang w:val="en-GB" w:eastAsia="en-US"/>
    </w:rPr>
  </w:style>
  <w:style w:type="character" w:customStyle="1" w:styleId="Heading2Char">
    <w:name w:val="Heading 2 Char"/>
    <w:basedOn w:val="DefaultParagraphFont"/>
    <w:link w:val="Heading2"/>
    <w:rsid w:val="003A5252"/>
    <w:rPr>
      <w:rFonts w:ascii="Calibri" w:eastAsia="Times New Roman" w:hAnsi="Calibri" w:cs="Traditional Arabic"/>
      <w:b/>
      <w:bCs/>
      <w:sz w:val="22"/>
      <w:szCs w:val="30"/>
      <w:lang w:val="en-GB" w:eastAsia="en-US"/>
    </w:rPr>
  </w:style>
  <w:style w:type="character" w:customStyle="1" w:styleId="Heading3Char">
    <w:name w:val="Heading 3 Char"/>
    <w:basedOn w:val="DefaultParagraphFont"/>
    <w:link w:val="Heading3"/>
    <w:rsid w:val="003A5252"/>
    <w:rPr>
      <w:rFonts w:ascii="Calibri" w:eastAsia="Times New Roman" w:hAnsi="Calibri" w:cs="Traditional Arabic"/>
      <w:b/>
      <w:bCs/>
      <w:sz w:val="22"/>
      <w:szCs w:val="30"/>
      <w:lang w:val="en-GB" w:eastAsia="en-US"/>
    </w:rPr>
  </w:style>
  <w:style w:type="character" w:customStyle="1" w:styleId="Heading4Char">
    <w:name w:val="Heading 4 Char"/>
    <w:basedOn w:val="DefaultParagraphFont"/>
    <w:link w:val="Heading4"/>
    <w:rsid w:val="003A5252"/>
    <w:rPr>
      <w:rFonts w:ascii="Calibri" w:eastAsia="Times New Roman" w:hAnsi="Calibri" w:cs="Traditional Arabic"/>
      <w:b/>
      <w:bCs/>
      <w:sz w:val="22"/>
      <w:szCs w:val="30"/>
      <w:lang w:val="en-GB" w:eastAsia="en-US"/>
    </w:rPr>
  </w:style>
  <w:style w:type="character" w:customStyle="1" w:styleId="Heading5Char">
    <w:name w:val="Heading 5 Char"/>
    <w:basedOn w:val="DefaultParagraphFont"/>
    <w:link w:val="Heading5"/>
    <w:rsid w:val="003A5252"/>
    <w:rPr>
      <w:rFonts w:ascii="Times New Roman Bold" w:eastAsia="Times New Roman" w:hAnsi="Times New Roman Bold" w:cs="Traditional Arabic"/>
      <w:b/>
      <w:bCs/>
      <w:sz w:val="22"/>
      <w:szCs w:val="30"/>
      <w:lang w:val="en-GB" w:eastAsia="en-US"/>
    </w:rPr>
  </w:style>
  <w:style w:type="character" w:customStyle="1" w:styleId="Heading6Char">
    <w:name w:val="Heading 6 Char"/>
    <w:basedOn w:val="DefaultParagraphFont"/>
    <w:link w:val="Heading6"/>
    <w:rsid w:val="003A5252"/>
    <w:rPr>
      <w:rFonts w:ascii="Calibri" w:eastAsia="Times New Roman" w:hAnsi="Calibri"/>
      <w:b/>
      <w:bCs/>
      <w:sz w:val="22"/>
      <w:szCs w:val="22"/>
      <w:lang w:val="en-GB" w:eastAsia="en-US"/>
    </w:rPr>
  </w:style>
  <w:style w:type="character" w:customStyle="1" w:styleId="Heading7Char">
    <w:name w:val="Heading 7 Char"/>
    <w:basedOn w:val="DefaultParagraphFont"/>
    <w:link w:val="Heading7"/>
    <w:rsid w:val="003A5252"/>
    <w:rPr>
      <w:rFonts w:ascii="Calibri" w:eastAsia="Times New Roman" w:hAnsi="Calibri"/>
      <w:sz w:val="22"/>
      <w:szCs w:val="24"/>
      <w:lang w:val="en-GB" w:eastAsia="en-US"/>
    </w:rPr>
  </w:style>
  <w:style w:type="character" w:customStyle="1" w:styleId="Heading8Char">
    <w:name w:val="Heading 8 Char"/>
    <w:basedOn w:val="DefaultParagraphFont"/>
    <w:link w:val="Heading8"/>
    <w:rsid w:val="003A5252"/>
    <w:rPr>
      <w:rFonts w:ascii="Calibri" w:eastAsia="Times New Roman" w:hAnsi="Calibri"/>
      <w:iCs/>
      <w:sz w:val="22"/>
      <w:szCs w:val="24"/>
      <w:lang w:val="en-GB" w:eastAsia="en-US"/>
    </w:rPr>
  </w:style>
  <w:style w:type="character" w:customStyle="1" w:styleId="Heading9Char">
    <w:name w:val="Heading 9 Char"/>
    <w:basedOn w:val="DefaultParagraphFont"/>
    <w:link w:val="Heading9"/>
    <w:rsid w:val="003A5252"/>
    <w:rPr>
      <w:rFonts w:ascii="Calibri" w:eastAsia="Times New Roman" w:hAnsi="Calibri" w:cs="Arial"/>
      <w:sz w:val="22"/>
      <w:szCs w:val="22"/>
      <w:lang w:val="en-GB" w:eastAsia="en-US"/>
    </w:rPr>
  </w:style>
  <w:style w:type="paragraph" w:customStyle="1" w:styleId="Band">
    <w:name w:val="Band"/>
    <w:basedOn w:val="ECA"/>
    <w:rsid w:val="003A5252"/>
  </w:style>
  <w:style w:type="character" w:customStyle="1" w:styleId="CEODocTitle-1lineChar">
    <w:name w:val="CEO_DocTitle-1line Char"/>
    <w:basedOn w:val="DefaultParagraphFont"/>
    <w:link w:val="CEODocTitle-1line"/>
    <w:rsid w:val="003A5252"/>
    <w:rPr>
      <w:rFonts w:ascii="Verdana" w:eastAsia="SimHei" w:hAnsi="Verdana" w:cs="Simplified Arabic"/>
      <w:b/>
      <w:bCs/>
      <w:sz w:val="28"/>
      <w:szCs w:val="28"/>
      <w:lang w:eastAsia="en-US"/>
    </w:rPr>
  </w:style>
  <w:style w:type="character" w:customStyle="1" w:styleId="CEODocTitle2lines-FirstChar">
    <w:name w:val="CEO_DocTitle2lines-First Char"/>
    <w:basedOn w:val="CEODocTitle-1lineChar"/>
    <w:link w:val="CEODocTitle2lines-First"/>
    <w:rsid w:val="003A5252"/>
  </w:style>
  <w:style w:type="character" w:customStyle="1" w:styleId="StyleLienhypertextesuivi">
    <w:name w:val="Style Lien hypertexte suivi"/>
    <w:basedOn w:val="FollowedHyperlink"/>
    <w:rsid w:val="003A5252"/>
    <w:rPr>
      <w:rFonts w:ascii="Arial" w:hAnsi="Arial" w:cs="Arial"/>
      <w:noProof w:val="0"/>
      <w:color w:val="800080"/>
      <w:sz w:val="20"/>
      <w:szCs w:val="20"/>
      <w:lang w:val="en-GB"/>
    </w:rPr>
  </w:style>
  <w:style w:type="character" w:styleId="HTMLCite">
    <w:name w:val="HTML Cite"/>
    <w:basedOn w:val="DefaultParagraphFont"/>
    <w:rsid w:val="003A5252"/>
    <w:rPr>
      <w:rFonts w:ascii="Trebuchet MS" w:hAnsi="Trebuchet MS" w:cs="Times New Roman"/>
      <w:i/>
      <w:iCs/>
      <w:noProof w:val="0"/>
      <w:lang w:val="en-GB"/>
    </w:rPr>
  </w:style>
  <w:style w:type="paragraph" w:customStyle="1" w:styleId="ECA">
    <w:name w:val="ECA"/>
    <w:basedOn w:val="Normal"/>
    <w:rsid w:val="003A5252"/>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bidi w:val="0"/>
      <w:adjustRightInd/>
      <w:spacing w:before="60" w:after="40" w:line="240" w:lineRule="auto"/>
      <w:ind w:left="-23"/>
      <w:jc w:val="left"/>
      <w:textAlignment w:val="auto"/>
    </w:pPr>
    <w:rPr>
      <w:rFonts w:ascii="Arial" w:hAnsi="Arial" w:cs="Times New Roman"/>
      <w:spacing w:val="-2"/>
      <w:sz w:val="20"/>
      <w:szCs w:val="20"/>
      <w:lang w:val="en-US"/>
    </w:rPr>
  </w:style>
  <w:style w:type="character" w:customStyle="1" w:styleId="Freq">
    <w:name w:val="Freq"/>
    <w:basedOn w:val="DefaultParagraphFont"/>
    <w:rsid w:val="003A5252"/>
    <w:rPr>
      <w:rFonts w:ascii="Trebuchet MS" w:hAnsi="Trebuchet MS"/>
      <w:noProof w:val="0"/>
      <w:sz w:val="24"/>
      <w:lang w:val="en-GB"/>
    </w:rPr>
  </w:style>
  <w:style w:type="character" w:styleId="PlaceholderText">
    <w:name w:val="Placeholder Text"/>
    <w:basedOn w:val="DefaultParagraphFont"/>
    <w:uiPriority w:val="99"/>
    <w:semiHidden/>
    <w:rsid w:val="003A5252"/>
    <w:rPr>
      <w:color w:val="808080"/>
    </w:rPr>
  </w:style>
  <w:style w:type="paragraph" w:customStyle="1" w:styleId="CM10">
    <w:name w:val="CM10"/>
    <w:basedOn w:val="Default"/>
    <w:next w:val="Default"/>
    <w:uiPriority w:val="99"/>
    <w:rsid w:val="003A5252"/>
    <w:pPr>
      <w:widowControl w:val="0"/>
    </w:pPr>
    <w:rPr>
      <w:rFonts w:ascii="Times" w:eastAsiaTheme="minorEastAsia" w:hAnsi="Times" w:cstheme="minorBidi"/>
      <w:sz w:val="24"/>
      <w:szCs w:val="24"/>
      <w:lang w:eastAsia="zh-CN"/>
    </w:rPr>
  </w:style>
  <w:style w:type="paragraph" w:customStyle="1" w:styleId="CM1">
    <w:name w:val="CM1"/>
    <w:basedOn w:val="Default"/>
    <w:next w:val="Default"/>
    <w:uiPriority w:val="99"/>
    <w:rsid w:val="003A5252"/>
    <w:pPr>
      <w:widowControl w:val="0"/>
      <w:spacing w:line="303" w:lineRule="atLeast"/>
    </w:pPr>
    <w:rPr>
      <w:rFonts w:ascii="Times" w:eastAsiaTheme="minorEastAsia" w:hAnsi="Times" w:cstheme="minorBidi"/>
      <w:sz w:val="24"/>
      <w:szCs w:val="24"/>
      <w:lang w:eastAsia="zh-CN"/>
    </w:rPr>
  </w:style>
  <w:style w:type="paragraph" w:customStyle="1" w:styleId="CM11">
    <w:name w:val="CM11"/>
    <w:basedOn w:val="Default"/>
    <w:next w:val="Default"/>
    <w:uiPriority w:val="99"/>
    <w:rsid w:val="003A5252"/>
    <w:pPr>
      <w:widowControl w:val="0"/>
    </w:pPr>
    <w:rPr>
      <w:rFonts w:ascii="Times" w:eastAsiaTheme="minorEastAsia" w:hAnsi="Times" w:cstheme="minorBidi"/>
      <w:sz w:val="24"/>
      <w:szCs w:val="24"/>
      <w:lang w:eastAsia="zh-CN"/>
    </w:rPr>
  </w:style>
  <w:style w:type="paragraph" w:customStyle="1" w:styleId="CM2">
    <w:name w:val="CM2"/>
    <w:basedOn w:val="Default"/>
    <w:next w:val="Default"/>
    <w:uiPriority w:val="99"/>
    <w:rsid w:val="003A5252"/>
    <w:pPr>
      <w:widowControl w:val="0"/>
      <w:spacing w:line="303" w:lineRule="atLeast"/>
    </w:pPr>
    <w:rPr>
      <w:rFonts w:ascii="Times" w:eastAsiaTheme="minorEastAsia" w:hAnsi="Times" w:cstheme="minorBidi"/>
      <w:sz w:val="24"/>
      <w:szCs w:val="24"/>
      <w:lang w:eastAsia="zh-CN"/>
    </w:rPr>
  </w:style>
  <w:style w:type="paragraph" w:customStyle="1" w:styleId="CM3">
    <w:name w:val="CM3"/>
    <w:basedOn w:val="Default"/>
    <w:next w:val="Default"/>
    <w:uiPriority w:val="99"/>
    <w:rsid w:val="003A5252"/>
    <w:pPr>
      <w:widowControl w:val="0"/>
      <w:spacing w:line="303" w:lineRule="atLeast"/>
    </w:pPr>
    <w:rPr>
      <w:rFonts w:ascii="Times" w:eastAsiaTheme="minorEastAsia" w:hAnsi="Times" w:cstheme="minorBidi"/>
      <w:sz w:val="24"/>
      <w:szCs w:val="24"/>
      <w:lang w:eastAsia="zh-CN"/>
    </w:rPr>
  </w:style>
  <w:style w:type="paragraph" w:customStyle="1" w:styleId="CM5">
    <w:name w:val="CM5"/>
    <w:basedOn w:val="Default"/>
    <w:next w:val="Default"/>
    <w:uiPriority w:val="99"/>
    <w:rsid w:val="003A5252"/>
    <w:pPr>
      <w:widowControl w:val="0"/>
      <w:spacing w:line="303" w:lineRule="atLeast"/>
    </w:pPr>
    <w:rPr>
      <w:rFonts w:ascii="Times" w:eastAsiaTheme="minorEastAsia" w:hAnsi="Times" w:cstheme="minorBidi"/>
      <w:sz w:val="24"/>
      <w:szCs w:val="24"/>
      <w:lang w:eastAsia="zh-CN"/>
    </w:rPr>
  </w:style>
  <w:style w:type="paragraph" w:customStyle="1" w:styleId="CM8">
    <w:name w:val="CM8"/>
    <w:basedOn w:val="Default"/>
    <w:next w:val="Default"/>
    <w:uiPriority w:val="99"/>
    <w:rsid w:val="003A5252"/>
    <w:pPr>
      <w:widowControl w:val="0"/>
      <w:spacing w:line="303" w:lineRule="atLeast"/>
    </w:pPr>
    <w:rPr>
      <w:rFonts w:ascii="Times" w:eastAsiaTheme="minorEastAsia" w:hAnsi="Times" w:cstheme="minorBidi"/>
      <w:sz w:val="24"/>
      <w:szCs w:val="24"/>
      <w:lang w:eastAsia="zh-CN"/>
    </w:rPr>
  </w:style>
  <w:style w:type="paragraph" w:customStyle="1" w:styleId="CM4">
    <w:name w:val="CM4"/>
    <w:basedOn w:val="Default"/>
    <w:next w:val="Default"/>
    <w:uiPriority w:val="99"/>
    <w:rsid w:val="003A5252"/>
    <w:pPr>
      <w:widowControl w:val="0"/>
      <w:spacing w:line="303" w:lineRule="atLeast"/>
    </w:pPr>
    <w:rPr>
      <w:rFonts w:ascii="Times" w:eastAsiaTheme="minorEastAsia" w:hAnsi="Times" w:cstheme="minorBidi"/>
      <w:sz w:val="24"/>
      <w:szCs w:val="24"/>
      <w:lang w:eastAsia="zh-CN"/>
    </w:rPr>
  </w:style>
</w:styles>
</file>

<file path=word/webSettings.xml><?xml version="1.0" encoding="utf-8"?>
<w:webSettings xmlns:r="http://schemas.openxmlformats.org/officeDocument/2006/relationships" xmlns:w="http://schemas.openxmlformats.org/wordprocessingml/2006/main">
  <w:divs>
    <w:div w:id="19402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mailto:.sanders@alcatel-lucent.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dmin.ch/ch/f/rs/7/784.10.fr.pdf" TargetMode="External"/><Relationship Id="rId2" Type="http://schemas.openxmlformats.org/officeDocument/2006/relationships/hyperlink" Target="http://www.admin.ch/ch/f/rs/7/784.106.12.fr.pdf" TargetMode="External"/><Relationship Id="rId1" Type="http://schemas.openxmlformats.org/officeDocument/2006/relationships/hyperlink" Target="http://www.admin.ch/ch/f/rs/7/784.106.fr.pdf" TargetMode="External"/><Relationship Id="rId4" Type="http://schemas.openxmlformats.org/officeDocument/2006/relationships/hyperlink" Target="http://www.admin.ch/ch/f/rs/3/313.32.fr.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bahnas\Desktop\PA_BDTst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8B64A-BB4A-4D12-BEA6-D97CCB9FA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PA_BDTstg.dot</Template>
  <TotalTime>430</TotalTime>
  <Pages>91</Pages>
  <Words>26264</Words>
  <Characters>140029</Characters>
  <Application>Microsoft Office Word</Application>
  <DocSecurity>0</DocSecurity>
  <Lines>1166</Lines>
  <Paragraphs>331</Paragraphs>
  <ScaleCrop>false</ScaleCrop>
  <HeadingPairs>
    <vt:vector size="2" baseType="variant">
      <vt:variant>
        <vt:lpstr>Title</vt:lpstr>
      </vt:variant>
      <vt:variant>
        <vt:i4>1</vt:i4>
      </vt:variant>
    </vt:vector>
  </HeadingPairs>
  <TitlesOfParts>
    <vt:vector size="1" baseType="lpstr">
      <vt:lpstr> </vt:lpstr>
    </vt:vector>
  </TitlesOfParts>
  <Company>ITU</Company>
  <LinksUpToDate>false</LinksUpToDate>
  <CharactersWithSpaces>165962</CharactersWithSpaces>
  <SharedDoc>false</SharedDoc>
  <HLinks>
    <vt:vector size="66" baseType="variant">
      <vt:variant>
        <vt:i4>1638473</vt:i4>
      </vt:variant>
      <vt:variant>
        <vt:i4>6</vt:i4>
      </vt:variant>
      <vt:variant>
        <vt:i4>0</vt:i4>
      </vt:variant>
      <vt:variant>
        <vt:i4>5</vt:i4>
      </vt:variant>
      <vt:variant>
        <vt:lpwstr>http://www.wimaxforum.org/resources/documents</vt:lpwstr>
      </vt:variant>
      <vt:variant>
        <vt:lpwstr/>
      </vt:variant>
      <vt:variant>
        <vt:i4>6225944</vt:i4>
      </vt:variant>
      <vt:variant>
        <vt:i4>24</vt:i4>
      </vt:variant>
      <vt:variant>
        <vt:i4>0</vt:i4>
      </vt:variant>
      <vt:variant>
        <vt:i4>5</vt:i4>
      </vt:variant>
      <vt:variant>
        <vt:lpwstr>http://212.100.246.162/health/index.shtml</vt:lpwstr>
      </vt:variant>
      <vt:variant>
        <vt:lpwstr/>
      </vt:variant>
      <vt:variant>
        <vt:i4>917576</vt:i4>
      </vt:variant>
      <vt:variant>
        <vt:i4>21</vt:i4>
      </vt:variant>
      <vt:variant>
        <vt:i4>0</vt:i4>
      </vt:variant>
      <vt:variant>
        <vt:i4>5</vt:i4>
      </vt:variant>
      <vt:variant>
        <vt:lpwstr>http://gsmworld.com/our-work/development-fund/energy/overview.htm</vt:lpwstr>
      </vt:variant>
      <vt:variant>
        <vt:lpwstr/>
      </vt:variant>
      <vt:variant>
        <vt:i4>6160465</vt:i4>
      </vt:variant>
      <vt:variant>
        <vt:i4>18</vt:i4>
      </vt:variant>
      <vt:variant>
        <vt:i4>0</vt:i4>
      </vt:variant>
      <vt:variant>
        <vt:i4>5</vt:i4>
      </vt:variant>
      <vt:variant>
        <vt:lpwstr>http://www.telecommons.com/villagephone/surplus.html</vt:lpwstr>
      </vt:variant>
      <vt:variant>
        <vt:lpwstr/>
      </vt:variant>
      <vt:variant>
        <vt:i4>2621502</vt:i4>
      </vt:variant>
      <vt:variant>
        <vt:i4>15</vt:i4>
      </vt:variant>
      <vt:variant>
        <vt:i4>0</vt:i4>
      </vt:variant>
      <vt:variant>
        <vt:i4>5</vt:i4>
      </vt:variant>
      <vt:variant>
        <vt:lpwstr>http://www.wimaxforum.org/node/426</vt:lpwstr>
      </vt:variant>
      <vt:variant>
        <vt:lpwstr/>
      </vt:variant>
      <vt:variant>
        <vt:i4>5046377</vt:i4>
      </vt:variant>
      <vt:variant>
        <vt:i4>12</vt:i4>
      </vt:variant>
      <vt:variant>
        <vt:i4>0</vt:i4>
      </vt:variant>
      <vt:variant>
        <vt:i4>5</vt:i4>
      </vt:variant>
      <vt:variant>
        <vt:lpwstr>http://www.gsmworld.com/documents/gsma_case_study_mhealth.pdf</vt:lpwstr>
      </vt:variant>
      <vt:variant>
        <vt:lpwstr/>
      </vt:variant>
      <vt:variant>
        <vt:i4>4915203</vt:i4>
      </vt:variant>
      <vt:variant>
        <vt:i4>9</vt:i4>
      </vt:variant>
      <vt:variant>
        <vt:i4>0</vt:i4>
      </vt:variant>
      <vt:variant>
        <vt:i4>5</vt:i4>
      </vt:variant>
      <vt:variant>
        <vt:lpwstr>http://www.gsmworld.com/our-work/programmes-and-initiatives/mobile-money/mobile-money-transfer/index.htm</vt:lpwstr>
      </vt:variant>
      <vt:variant>
        <vt:lpwstr/>
      </vt:variant>
      <vt:variant>
        <vt:i4>5570573</vt:i4>
      </vt:variant>
      <vt:variant>
        <vt:i4>6</vt:i4>
      </vt:variant>
      <vt:variant>
        <vt:i4>0</vt:i4>
      </vt:variant>
      <vt:variant>
        <vt:i4>5</vt:i4>
      </vt:variant>
      <vt:variant>
        <vt:lpwstr>http://www.gsmworld.com/our-work/programmes-and-initiatives/mobile-money/pay-buy-mobile/index.htm</vt:lpwstr>
      </vt:variant>
      <vt:variant>
        <vt:lpwstr/>
      </vt:variant>
      <vt:variant>
        <vt:i4>72417334</vt:i4>
      </vt:variant>
      <vt:variant>
        <vt:i4>3</vt:i4>
      </vt:variant>
      <vt:variant>
        <vt:i4>0</vt:i4>
      </vt:variant>
      <vt:variant>
        <vt:i4>5</vt:i4>
      </vt:variant>
      <vt:variant>
        <vt:lpwstr>C:\Documents and Settings\Администратор\Мои документы\ITU\www.itu.int\ITU-D\ICTEYE\Indicators\Indicators.aspx</vt:lpwstr>
      </vt:variant>
      <vt:variant>
        <vt:lpwstr/>
      </vt:variant>
      <vt:variant>
        <vt:i4>4653154</vt:i4>
      </vt:variant>
      <vt:variant>
        <vt:i4>0</vt:i4>
      </vt:variant>
      <vt:variant>
        <vt:i4>0</vt:i4>
      </vt:variant>
      <vt:variant>
        <vt:i4>5</vt:i4>
      </vt:variant>
      <vt:variant>
        <vt:lpwstr>http://www.itu.int/newsroom/press_releases/2007/30.html</vt:lpwstr>
      </vt:variant>
      <vt:variant>
        <vt:lpwstr/>
      </vt:variant>
      <vt:variant>
        <vt:i4>3276883</vt:i4>
      </vt:variant>
      <vt:variant>
        <vt:i4>24</vt:i4>
      </vt:variant>
      <vt:variant>
        <vt:i4>0</vt:i4>
      </vt:variant>
      <vt:variant>
        <vt:i4>5</vt:i4>
      </vt:variant>
      <vt:variant>
        <vt:lpwstr>mailto:alsanders@alcatel-lucent.com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elbahnas</dc:creator>
  <cp:keywords/>
  <dc:description/>
  <cp:lastModifiedBy>lucasi</cp:lastModifiedBy>
  <cp:revision>35</cp:revision>
  <cp:lastPrinted>2010-03-19T14:02:00Z</cp:lastPrinted>
  <dcterms:created xsi:type="dcterms:W3CDTF">2011-01-14T08:00:00Z</dcterms:created>
  <dcterms:modified xsi:type="dcterms:W3CDTF">2011-03-25T13:49:00Z</dcterms:modified>
</cp:coreProperties>
</file>