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71D3" w:rsidRPr="00CD5563" w:rsidRDefault="000A71D3" w:rsidP="000A71D3">
      <w:pPr>
        <w:rPr>
          <w:lang w:val="en-GB"/>
        </w:rPr>
      </w:pPr>
      <w:bookmarkStart w:id="0" w:name="_Toc299639153"/>
      <w:bookmarkStart w:id="1" w:name="_GoBack"/>
      <w:bookmarkEnd w:id="1"/>
    </w:p>
    <w:p w:rsidR="0008639C" w:rsidRPr="00CD5563" w:rsidRDefault="0008639C" w:rsidP="0008639C">
      <w:pPr>
        <w:pStyle w:val="Heading1"/>
        <w:rPr>
          <w:lang w:val="en-GB" w:eastAsia="en-US"/>
        </w:rPr>
      </w:pPr>
      <w:bookmarkStart w:id="2" w:name="_Toc381024985"/>
      <w:r w:rsidRPr="00CD5563">
        <w:rPr>
          <w:lang w:val="en-GB" w:eastAsia="en-US"/>
        </w:rPr>
        <w:t>Annexes</w:t>
      </w:r>
      <w:bookmarkEnd w:id="2"/>
    </w:p>
    <w:p w:rsidR="008B6B07" w:rsidRPr="00CD5563" w:rsidRDefault="008B6B07" w:rsidP="008B6B07">
      <w:pPr>
        <w:keepNext/>
        <w:keepLines/>
        <w:tabs>
          <w:tab w:val="left" w:pos="794"/>
          <w:tab w:val="left" w:pos="1191"/>
          <w:tab w:val="left" w:pos="1588"/>
          <w:tab w:val="left" w:pos="1985"/>
        </w:tabs>
        <w:overflowPunct w:val="0"/>
        <w:autoSpaceDE w:val="0"/>
        <w:autoSpaceDN w:val="0"/>
        <w:adjustRightInd w:val="0"/>
        <w:ind w:left="794" w:hanging="794"/>
        <w:textAlignment w:val="baseline"/>
        <w:outlineLvl w:val="0"/>
        <w:rPr>
          <w:b/>
          <w:bCs/>
          <w:szCs w:val="19"/>
          <w:lang w:val="en-GB" w:eastAsia="en-US"/>
        </w:rPr>
      </w:pPr>
      <w:bookmarkStart w:id="3" w:name="_Toc381024986"/>
      <w:r w:rsidRPr="00CD5563">
        <w:rPr>
          <w:b/>
          <w:szCs w:val="19"/>
          <w:lang w:val="en-GB" w:eastAsia="en-US"/>
        </w:rPr>
        <w:t>Annex 1: Trends in Telecommunications</w:t>
      </w:r>
      <w:bookmarkEnd w:id="3"/>
    </w:p>
    <w:p w:rsidR="008B6B07" w:rsidRPr="00CD5563" w:rsidRDefault="008B6B07" w:rsidP="008B6B07">
      <w:pPr>
        <w:keepNext/>
        <w:keepLines/>
        <w:tabs>
          <w:tab w:val="left" w:pos="794"/>
          <w:tab w:val="left" w:pos="1191"/>
          <w:tab w:val="left" w:pos="1588"/>
          <w:tab w:val="left" w:pos="1985"/>
        </w:tabs>
        <w:overflowPunct w:val="0"/>
        <w:autoSpaceDE w:val="0"/>
        <w:autoSpaceDN w:val="0"/>
        <w:adjustRightInd w:val="0"/>
        <w:ind w:left="794" w:hanging="794"/>
        <w:textAlignment w:val="baseline"/>
        <w:outlineLvl w:val="0"/>
        <w:rPr>
          <w:b/>
          <w:bCs/>
          <w:szCs w:val="19"/>
          <w:lang w:val="en-GB" w:eastAsia="en-US"/>
        </w:rPr>
      </w:pPr>
      <w:bookmarkStart w:id="4" w:name="_Toc381024987"/>
      <w:r w:rsidRPr="00CD5563">
        <w:rPr>
          <w:b/>
          <w:szCs w:val="19"/>
          <w:lang w:val="en-GB" w:eastAsia="en-US"/>
        </w:rPr>
        <w:t>Annex 2: Tariff Considerations for Data Services including NGN</w:t>
      </w:r>
      <w:bookmarkEnd w:id="4"/>
    </w:p>
    <w:p w:rsidR="008B6B07" w:rsidRPr="00CD5563" w:rsidRDefault="008B6B07" w:rsidP="008B6B07">
      <w:pPr>
        <w:keepNext/>
        <w:keepLines/>
        <w:tabs>
          <w:tab w:val="left" w:pos="794"/>
          <w:tab w:val="left" w:pos="1191"/>
          <w:tab w:val="left" w:pos="1588"/>
          <w:tab w:val="left" w:pos="1985"/>
        </w:tabs>
        <w:overflowPunct w:val="0"/>
        <w:autoSpaceDE w:val="0"/>
        <w:autoSpaceDN w:val="0"/>
        <w:adjustRightInd w:val="0"/>
        <w:ind w:left="794" w:hanging="794"/>
        <w:textAlignment w:val="baseline"/>
        <w:outlineLvl w:val="0"/>
        <w:rPr>
          <w:b/>
          <w:bCs/>
          <w:szCs w:val="19"/>
          <w:lang w:val="en-GB" w:eastAsia="en-US"/>
        </w:rPr>
      </w:pPr>
      <w:bookmarkStart w:id="5" w:name="_Toc381024988"/>
      <w:r w:rsidRPr="00CD5563">
        <w:rPr>
          <w:b/>
          <w:szCs w:val="19"/>
          <w:lang w:val="en-GB" w:eastAsia="en-US"/>
        </w:rPr>
        <w:t>Annex 3: NGN Functional Architecture/Security</w:t>
      </w:r>
      <w:bookmarkEnd w:id="5"/>
    </w:p>
    <w:p w:rsidR="008B6B07" w:rsidRPr="00CD5563" w:rsidRDefault="008B6B07" w:rsidP="008B6B07">
      <w:pPr>
        <w:keepNext/>
        <w:keepLines/>
        <w:tabs>
          <w:tab w:val="left" w:pos="794"/>
          <w:tab w:val="left" w:pos="1191"/>
          <w:tab w:val="left" w:pos="1588"/>
          <w:tab w:val="left" w:pos="1985"/>
        </w:tabs>
        <w:overflowPunct w:val="0"/>
        <w:autoSpaceDE w:val="0"/>
        <w:autoSpaceDN w:val="0"/>
        <w:adjustRightInd w:val="0"/>
        <w:ind w:left="794" w:hanging="794"/>
        <w:textAlignment w:val="baseline"/>
        <w:outlineLvl w:val="0"/>
        <w:rPr>
          <w:b/>
          <w:bCs/>
          <w:szCs w:val="19"/>
          <w:lang w:val="en-GB" w:eastAsia="en-US"/>
        </w:rPr>
      </w:pPr>
      <w:bookmarkStart w:id="6" w:name="_Toc381024989"/>
      <w:r w:rsidRPr="00CD5563">
        <w:rPr>
          <w:b/>
          <w:szCs w:val="19"/>
          <w:lang w:val="en-GB" w:eastAsia="en-US"/>
        </w:rPr>
        <w:t>Annex 4: Quality of Service in NGN</w:t>
      </w:r>
      <w:bookmarkEnd w:id="6"/>
    </w:p>
    <w:p w:rsidR="008B6B07" w:rsidRPr="00CD5563" w:rsidRDefault="008B6B07" w:rsidP="008B6B07">
      <w:pPr>
        <w:keepNext/>
        <w:keepLines/>
        <w:tabs>
          <w:tab w:val="left" w:pos="794"/>
          <w:tab w:val="left" w:pos="1191"/>
          <w:tab w:val="left" w:pos="1588"/>
          <w:tab w:val="left" w:pos="1985"/>
        </w:tabs>
        <w:overflowPunct w:val="0"/>
        <w:autoSpaceDE w:val="0"/>
        <w:autoSpaceDN w:val="0"/>
        <w:adjustRightInd w:val="0"/>
        <w:ind w:left="794" w:hanging="794"/>
        <w:textAlignment w:val="baseline"/>
        <w:outlineLvl w:val="0"/>
        <w:rPr>
          <w:b/>
          <w:bCs/>
          <w:szCs w:val="19"/>
          <w:lang w:val="en-GB" w:eastAsia="en-US"/>
        </w:rPr>
      </w:pPr>
      <w:bookmarkStart w:id="7" w:name="_Toc381024990"/>
      <w:r w:rsidRPr="00CD5563">
        <w:rPr>
          <w:b/>
          <w:szCs w:val="19"/>
          <w:lang w:val="en-GB" w:eastAsia="en-US"/>
        </w:rPr>
        <w:t>Annex 5: NGN Management</w:t>
      </w:r>
      <w:bookmarkEnd w:id="7"/>
    </w:p>
    <w:p w:rsidR="008B6B07" w:rsidRPr="00CD5563" w:rsidRDefault="008B6B07" w:rsidP="008B6B07">
      <w:pPr>
        <w:keepNext/>
        <w:keepLines/>
        <w:tabs>
          <w:tab w:val="left" w:pos="794"/>
          <w:tab w:val="left" w:pos="1191"/>
          <w:tab w:val="left" w:pos="1588"/>
          <w:tab w:val="left" w:pos="1985"/>
        </w:tabs>
        <w:overflowPunct w:val="0"/>
        <w:autoSpaceDE w:val="0"/>
        <w:autoSpaceDN w:val="0"/>
        <w:adjustRightInd w:val="0"/>
        <w:ind w:left="794" w:hanging="794"/>
        <w:textAlignment w:val="baseline"/>
        <w:outlineLvl w:val="0"/>
        <w:rPr>
          <w:b/>
          <w:bCs/>
          <w:szCs w:val="19"/>
          <w:lang w:val="en-GB" w:eastAsia="en-US"/>
        </w:rPr>
      </w:pPr>
      <w:bookmarkStart w:id="8" w:name="_Toc381024991"/>
      <w:r w:rsidRPr="00CD5563">
        <w:rPr>
          <w:b/>
          <w:szCs w:val="19"/>
          <w:lang w:val="en-GB" w:eastAsia="en-US"/>
        </w:rPr>
        <w:t>Annex 6: NGN Testing</w:t>
      </w:r>
      <w:bookmarkEnd w:id="8"/>
    </w:p>
    <w:p w:rsidR="008B6B07" w:rsidRPr="00CD5563" w:rsidRDefault="008B6B07" w:rsidP="008B6B07">
      <w:pPr>
        <w:keepNext/>
        <w:keepLines/>
        <w:tabs>
          <w:tab w:val="left" w:pos="794"/>
          <w:tab w:val="left" w:pos="1191"/>
          <w:tab w:val="left" w:pos="1588"/>
          <w:tab w:val="left" w:pos="1985"/>
        </w:tabs>
        <w:overflowPunct w:val="0"/>
        <w:autoSpaceDE w:val="0"/>
        <w:autoSpaceDN w:val="0"/>
        <w:adjustRightInd w:val="0"/>
        <w:ind w:left="794" w:hanging="794"/>
        <w:textAlignment w:val="baseline"/>
        <w:outlineLvl w:val="0"/>
        <w:rPr>
          <w:b/>
          <w:bCs/>
          <w:szCs w:val="19"/>
          <w:lang w:val="en-GB" w:eastAsia="en-US"/>
        </w:rPr>
      </w:pPr>
      <w:bookmarkStart w:id="9" w:name="_Toc381024992"/>
      <w:r w:rsidRPr="00CD5563">
        <w:rPr>
          <w:b/>
          <w:szCs w:val="19"/>
          <w:lang w:val="en-GB" w:eastAsia="en-US"/>
        </w:rPr>
        <w:t>Annex 7: Examples of Migration Scenarios</w:t>
      </w:r>
      <w:bookmarkEnd w:id="9"/>
    </w:p>
    <w:p w:rsidR="008B6B07" w:rsidRPr="00CD5563" w:rsidRDefault="008B6B07" w:rsidP="008B6B07">
      <w:pPr>
        <w:keepNext/>
        <w:keepLines/>
        <w:tabs>
          <w:tab w:val="left" w:pos="794"/>
          <w:tab w:val="left" w:pos="1191"/>
          <w:tab w:val="left" w:pos="1588"/>
          <w:tab w:val="left" w:pos="1985"/>
        </w:tabs>
        <w:overflowPunct w:val="0"/>
        <w:autoSpaceDE w:val="0"/>
        <w:autoSpaceDN w:val="0"/>
        <w:adjustRightInd w:val="0"/>
        <w:ind w:left="794" w:hanging="794"/>
        <w:textAlignment w:val="baseline"/>
        <w:outlineLvl w:val="0"/>
        <w:rPr>
          <w:b/>
          <w:bCs/>
          <w:szCs w:val="19"/>
          <w:lang w:val="en-GB" w:eastAsia="en-US"/>
        </w:rPr>
      </w:pPr>
      <w:bookmarkStart w:id="10" w:name="_Toc381024993"/>
      <w:r w:rsidRPr="00CD5563">
        <w:rPr>
          <w:b/>
          <w:szCs w:val="19"/>
          <w:lang w:val="en-GB" w:eastAsia="en-US"/>
        </w:rPr>
        <w:t>Annex 8: NGN Issues</w:t>
      </w:r>
      <w:bookmarkEnd w:id="10"/>
    </w:p>
    <w:p w:rsidR="008B6B07" w:rsidRPr="00CD5563" w:rsidRDefault="008B6B07" w:rsidP="008B6B07">
      <w:pPr>
        <w:keepNext/>
        <w:keepLines/>
        <w:tabs>
          <w:tab w:val="left" w:pos="794"/>
          <w:tab w:val="left" w:pos="1191"/>
          <w:tab w:val="left" w:pos="1588"/>
          <w:tab w:val="left" w:pos="1985"/>
        </w:tabs>
        <w:overflowPunct w:val="0"/>
        <w:autoSpaceDE w:val="0"/>
        <w:autoSpaceDN w:val="0"/>
        <w:adjustRightInd w:val="0"/>
        <w:ind w:left="794" w:hanging="794"/>
        <w:textAlignment w:val="baseline"/>
        <w:outlineLvl w:val="0"/>
        <w:rPr>
          <w:szCs w:val="19"/>
          <w:lang w:val="en-GB"/>
        </w:rPr>
      </w:pPr>
      <w:bookmarkStart w:id="11" w:name="_Toc381024994"/>
      <w:r w:rsidRPr="00CD5563">
        <w:rPr>
          <w:b/>
          <w:szCs w:val="19"/>
          <w:lang w:val="en-GB" w:eastAsia="en-US"/>
        </w:rPr>
        <w:t>Annex 9: ITU NGN Standards</w:t>
      </w:r>
      <w:bookmarkEnd w:id="11"/>
      <w:r w:rsidRPr="00CD5563">
        <w:rPr>
          <w:szCs w:val="19"/>
          <w:lang w:val="en-GB"/>
        </w:rPr>
        <w:t xml:space="preserve"> </w:t>
      </w:r>
    </w:p>
    <w:p w:rsidR="00581532" w:rsidRPr="00CD5563" w:rsidRDefault="00581532" w:rsidP="00133CDA">
      <w:pPr>
        <w:rPr>
          <w:lang w:val="en-GB"/>
        </w:rPr>
      </w:pPr>
    </w:p>
    <w:p w:rsidR="00BA2B62" w:rsidRPr="00CD5563" w:rsidRDefault="00BA2B62" w:rsidP="000A71D3">
      <w:pPr>
        <w:pStyle w:val="Heading1"/>
        <w:rPr>
          <w:lang w:val="en-GB"/>
        </w:rPr>
        <w:sectPr w:rsidR="00BA2B62" w:rsidRPr="00CD5563" w:rsidSect="00BA2B62">
          <w:headerReference w:type="even" r:id="rId9"/>
          <w:headerReference w:type="default" r:id="rId10"/>
          <w:footerReference w:type="default" r:id="rId11"/>
          <w:endnotePr>
            <w:numFmt w:val="decimal"/>
          </w:endnotePr>
          <w:type w:val="oddPage"/>
          <w:pgSz w:w="11907" w:h="16840" w:code="9"/>
          <w:pgMar w:top="1418" w:right="1418" w:bottom="1418" w:left="1418" w:header="709" w:footer="709" w:gutter="0"/>
          <w:cols w:space="708"/>
          <w:docGrid w:linePitch="360"/>
        </w:sectPr>
      </w:pPr>
    </w:p>
    <w:p w:rsidR="000A71D3" w:rsidRPr="00CD5563" w:rsidRDefault="000A71D3" w:rsidP="00412927">
      <w:pPr>
        <w:pStyle w:val="Heading1"/>
        <w:rPr>
          <w:lang w:val="en-GB"/>
        </w:rPr>
      </w:pPr>
      <w:bookmarkStart w:id="12" w:name="_Toc380487676"/>
      <w:bookmarkStart w:id="13" w:name="_Toc381024995"/>
      <w:r w:rsidRPr="00CD5563">
        <w:rPr>
          <w:lang w:val="en-GB"/>
        </w:rPr>
        <w:lastRenderedPageBreak/>
        <w:t xml:space="preserve">Annex </w:t>
      </w:r>
      <w:r w:rsidR="00412927" w:rsidRPr="00CD5563">
        <w:rPr>
          <w:lang w:val="en-GB"/>
        </w:rPr>
        <w:t>1: Trends in Telecommunications</w:t>
      </w:r>
      <w:bookmarkEnd w:id="12"/>
      <w:bookmarkEnd w:id="13"/>
    </w:p>
    <w:p w:rsidR="0008639C" w:rsidRPr="00CD5563" w:rsidRDefault="00412927" w:rsidP="00412927">
      <w:pPr>
        <w:pStyle w:val="Heading1"/>
        <w:rPr>
          <w:lang w:val="en-GB"/>
        </w:rPr>
      </w:pPr>
      <w:bookmarkStart w:id="14" w:name="_Toc380487677"/>
      <w:bookmarkStart w:id="15" w:name="_Toc381024996"/>
      <w:r w:rsidRPr="00CD5563">
        <w:rPr>
          <w:lang w:val="en-GB"/>
        </w:rPr>
        <w:t>1</w:t>
      </w:r>
      <w:r w:rsidR="0008639C" w:rsidRPr="00CD5563">
        <w:rPr>
          <w:lang w:val="en-GB"/>
        </w:rPr>
        <w:tab/>
        <w:t>Market Trends</w:t>
      </w:r>
      <w:bookmarkEnd w:id="14"/>
      <w:bookmarkEnd w:id="15"/>
    </w:p>
    <w:p w:rsidR="0008639C" w:rsidRPr="00CD5563" w:rsidRDefault="00412927" w:rsidP="00412927">
      <w:pPr>
        <w:pStyle w:val="Heading2"/>
        <w:rPr>
          <w:lang w:val="en-GB"/>
        </w:rPr>
      </w:pPr>
      <w:bookmarkStart w:id="16" w:name="_Toc380487678"/>
      <w:bookmarkStart w:id="17" w:name="_Toc381024997"/>
      <w:r w:rsidRPr="00CD5563">
        <w:rPr>
          <w:lang w:val="en-GB"/>
        </w:rPr>
        <w:t>1.1</w:t>
      </w:r>
      <w:r w:rsidRPr="00CD5563">
        <w:rPr>
          <w:lang w:val="en-GB"/>
        </w:rPr>
        <w:tab/>
      </w:r>
      <w:r w:rsidR="0008639C" w:rsidRPr="00CD5563">
        <w:rPr>
          <w:lang w:val="en-GB"/>
        </w:rPr>
        <w:t>Overall Telecom Market Trends</w:t>
      </w:r>
      <w:bookmarkEnd w:id="16"/>
      <w:bookmarkEnd w:id="17"/>
    </w:p>
    <w:p w:rsidR="0008639C" w:rsidRPr="00CD5563" w:rsidRDefault="0008639C" w:rsidP="0008639C">
      <w:pPr>
        <w:rPr>
          <w:szCs w:val="19"/>
          <w:lang w:val="en-GB"/>
        </w:rPr>
      </w:pPr>
      <w:r w:rsidRPr="00CD5563">
        <w:rPr>
          <w:szCs w:val="19"/>
          <w:lang w:val="en-GB"/>
        </w:rPr>
        <w:t>General analysis of telecom market trend is rather positive in many of countries. Many of reports informed their last year analysis results. This report makes reference</w:t>
      </w:r>
      <w:r w:rsidRPr="00CD5563">
        <w:rPr>
          <w:rFonts w:eastAsia="Malgun Gothic"/>
          <w:szCs w:val="19"/>
          <w:lang w:val="en-GB" w:eastAsia="ko-KR"/>
        </w:rPr>
        <w:t>s to various reports:</w:t>
      </w:r>
      <w:r w:rsidRPr="00CD5563">
        <w:rPr>
          <w:szCs w:val="19"/>
          <w:lang w:val="en-GB"/>
        </w:rPr>
        <w:t xml:space="preserve"> the analysis from Ofcom, United Kingdom published as “The International Communications Market 20</w:t>
      </w:r>
      <w:r w:rsidRPr="00CD5563">
        <w:rPr>
          <w:rFonts w:eastAsia="Malgun Gothic"/>
          <w:szCs w:val="19"/>
          <w:lang w:val="en-GB" w:eastAsia="ko-KR"/>
        </w:rPr>
        <w:t>12</w:t>
      </w:r>
      <w:r w:rsidRPr="00CD5563">
        <w:rPr>
          <w:szCs w:val="19"/>
          <w:lang w:val="en-GB"/>
        </w:rPr>
        <w:t>”</w:t>
      </w:r>
      <w:r w:rsidRPr="00CD5563">
        <w:rPr>
          <w:rFonts w:eastAsia="Malgun Gothic"/>
          <w:szCs w:val="19"/>
          <w:lang w:val="en-GB" w:eastAsia="ko-KR"/>
        </w:rPr>
        <w:t>, ITU reports on “Measuring the information society: 2012” and “ICT Facts and Figures: 2011 and 2013” .</w:t>
      </w:r>
      <w:r w:rsidRPr="00CD5563">
        <w:rPr>
          <w:szCs w:val="19"/>
          <w:lang w:val="en-GB"/>
        </w:rPr>
        <w:t xml:space="preserve"> Th</w:t>
      </w:r>
      <w:r w:rsidRPr="00CD5563">
        <w:rPr>
          <w:rFonts w:eastAsia="Malgun Gothic"/>
          <w:szCs w:val="19"/>
          <w:lang w:val="en-GB" w:eastAsia="ko-KR"/>
        </w:rPr>
        <w:t>ese</w:t>
      </w:r>
      <w:r w:rsidRPr="00CD5563">
        <w:rPr>
          <w:szCs w:val="19"/>
          <w:lang w:val="en-GB"/>
        </w:rPr>
        <w:t xml:space="preserve"> report</w:t>
      </w:r>
      <w:r w:rsidRPr="00CD5563">
        <w:rPr>
          <w:rFonts w:eastAsia="Malgun Gothic"/>
          <w:szCs w:val="19"/>
          <w:lang w:val="en-GB" w:eastAsia="ko-KR"/>
        </w:rPr>
        <w:t>s</w:t>
      </w:r>
      <w:r w:rsidRPr="00CD5563">
        <w:rPr>
          <w:szCs w:val="19"/>
          <w:lang w:val="en-GB"/>
        </w:rPr>
        <w:t xml:space="preserve"> do not cover all areas on the world but give certain information to look at overall trend of telecom businesses.</w:t>
      </w:r>
    </w:p>
    <w:p w:rsidR="0008639C" w:rsidRPr="00CD5563" w:rsidRDefault="0008639C" w:rsidP="0008639C">
      <w:pPr>
        <w:rPr>
          <w:rFonts w:eastAsia="Malgun Gothic"/>
          <w:szCs w:val="19"/>
          <w:lang w:val="en-GB" w:eastAsia="ko-KR"/>
        </w:rPr>
      </w:pPr>
      <w:r w:rsidRPr="00CD5563">
        <w:rPr>
          <w:szCs w:val="19"/>
          <w:lang w:val="en-GB"/>
        </w:rPr>
        <w:t>Figures from the ITU show that by the end of 2011 2.3 billion people (around a third of the world’s population) accessed the internet globally, almost double the 1.2 billion figures recorded in 2006. Over this period growth in internet use was fastest among developing countries, and by 2011 62% of internet users were located in developing countries, an increase from 44% in 2006.</w:t>
      </w:r>
      <w:r w:rsidRPr="00CD5563">
        <w:rPr>
          <w:rFonts w:eastAsia="Malgun Gothic"/>
          <w:szCs w:val="19"/>
          <w:lang w:val="en-GB" w:eastAsia="ko-KR"/>
        </w:rPr>
        <w:t xml:space="preserve"> This trend is lead by expansion in mobile and broadband services for data and internet as the key telecommunication market while fixed voice oriented services are continuously diminishing as shown in Figure 1-1.</w:t>
      </w:r>
    </w:p>
    <w:p w:rsidR="00412927" w:rsidRPr="00CD5563" w:rsidRDefault="00412927" w:rsidP="00412927">
      <w:pPr>
        <w:pStyle w:val="Figuretitle"/>
        <w:rPr>
          <w:lang w:val="en-GB"/>
        </w:rPr>
      </w:pPr>
      <w:bookmarkStart w:id="18" w:name="_Toc380497358"/>
      <w:r w:rsidRPr="00CD5563">
        <w:rPr>
          <w:lang w:val="en-GB"/>
        </w:rPr>
        <w:t>Figure 1-1: Global telecom services market growth by segment (IDATE)</w:t>
      </w:r>
      <w:bookmarkEnd w:id="18"/>
    </w:p>
    <w:p w:rsidR="0008639C" w:rsidRPr="00CD5563" w:rsidRDefault="0008639C" w:rsidP="00412927">
      <w:pPr>
        <w:pStyle w:val="Figure"/>
        <w:rPr>
          <w:lang w:val="en-GB" w:eastAsia="ko-KR"/>
        </w:rPr>
      </w:pPr>
      <w:r w:rsidRPr="00CD5563">
        <w:rPr>
          <w:noProof/>
          <w:lang w:val="ru-RU" w:eastAsia="zh-CN"/>
        </w:rPr>
        <w:drawing>
          <wp:inline distT="0" distB="0" distL="0" distR="0" wp14:anchorId="10467737" wp14:editId="7A583598">
            <wp:extent cx="3520482" cy="2567635"/>
            <wp:effectExtent l="19050" t="0" r="3768" b="0"/>
            <wp:docPr id="1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3526096" cy="2571729"/>
                    </a:xfrm>
                    <a:prstGeom prst="rect">
                      <a:avLst/>
                    </a:prstGeom>
                    <a:noFill/>
                    <a:ln w="9525">
                      <a:noFill/>
                      <a:miter lim="800000"/>
                      <a:headEnd/>
                      <a:tailEnd/>
                    </a:ln>
                  </pic:spPr>
                </pic:pic>
              </a:graphicData>
            </a:graphic>
          </wp:inline>
        </w:drawing>
      </w:r>
    </w:p>
    <w:p w:rsidR="00412927" w:rsidRPr="00CD5563" w:rsidRDefault="00412927" w:rsidP="00412927">
      <w:pPr>
        <w:pStyle w:val="Figure"/>
        <w:rPr>
          <w:lang w:val="en-GB" w:eastAsia="ko-KR"/>
        </w:rPr>
      </w:pPr>
    </w:p>
    <w:p w:rsidR="00412927" w:rsidRPr="00CD5563" w:rsidRDefault="00412927" w:rsidP="00412927">
      <w:pPr>
        <w:rPr>
          <w:lang w:val="en-GB" w:eastAsia="ko-KR"/>
        </w:rPr>
      </w:pPr>
    </w:p>
    <w:p w:rsidR="0008639C" w:rsidRPr="00CD5563" w:rsidRDefault="0008639C" w:rsidP="00412927">
      <w:pPr>
        <w:rPr>
          <w:rFonts w:eastAsia="Malgun Gothic"/>
          <w:lang w:val="en-GB" w:eastAsia="ko-KR"/>
        </w:rPr>
      </w:pPr>
      <w:r w:rsidRPr="00CD5563">
        <w:rPr>
          <w:rFonts w:eastAsia="Malgun Gothic"/>
          <w:lang w:val="en-GB" w:eastAsia="ko-KR"/>
        </w:rPr>
        <w:t>The report by Ofcom, United Kingdom indicated that t</w:t>
      </w:r>
      <w:r w:rsidRPr="00CD5563">
        <w:rPr>
          <w:lang w:val="en-GB"/>
        </w:rPr>
        <w:t>here was rapid growth in the take-up of fixed broadband services across the 17 countries in the five years to 2011, during which time fixed broadband take-up almost doubled to reach 42 connections per 100 homes. Increasing take-up of fixed broadband and mobile voice and data services have contributed to an accelerating decline in the use of traditional fixed telephony services in most of the countries.</w:t>
      </w:r>
      <w:r w:rsidRPr="00CD5563">
        <w:rPr>
          <w:rFonts w:eastAsia="Malgun Gothic"/>
          <w:lang w:val="en-GB" w:eastAsia="ko-KR"/>
        </w:rPr>
        <w:t xml:space="preserve"> </w:t>
      </w:r>
      <w:r w:rsidRPr="00CD5563">
        <w:rPr>
          <w:lang w:val="en-GB"/>
        </w:rPr>
        <w:t xml:space="preserve">Despite significant growth in fixed broadband take-up, revenues from mobile data services exceeded those from fixed broadband connections for the first time among </w:t>
      </w:r>
      <w:r w:rsidRPr="00CD5563">
        <w:rPr>
          <w:rFonts w:eastAsia="Malgun Gothic"/>
          <w:lang w:val="en-GB" w:eastAsia="ko-KR"/>
        </w:rPr>
        <w:t>surveyed</w:t>
      </w:r>
      <w:r w:rsidRPr="00CD5563">
        <w:rPr>
          <w:lang w:val="en-GB"/>
        </w:rPr>
        <w:t xml:space="preserve"> 17 countries in 2011</w:t>
      </w:r>
      <w:r w:rsidRPr="00CD5563">
        <w:rPr>
          <w:rFonts w:eastAsia="Malgun Gothic"/>
          <w:lang w:val="en-GB" w:eastAsia="ko-KR"/>
        </w:rPr>
        <w:t xml:space="preserve"> as shown in Figure 1-2</w:t>
      </w:r>
      <w:r w:rsidRPr="00CD5563">
        <w:rPr>
          <w:lang w:val="en-GB"/>
        </w:rPr>
        <w:t>.</w:t>
      </w:r>
      <w:r w:rsidRPr="00CD5563">
        <w:rPr>
          <w:rFonts w:eastAsia="Malgun Gothic"/>
          <w:lang w:val="en-GB" w:eastAsia="ko-KR"/>
        </w:rPr>
        <w:t xml:space="preserve"> </w:t>
      </w:r>
    </w:p>
    <w:p w:rsidR="00412927" w:rsidRPr="00CD5563" w:rsidRDefault="00412927" w:rsidP="00412927">
      <w:pPr>
        <w:pStyle w:val="Figuretitle"/>
        <w:rPr>
          <w:lang w:val="en-GB"/>
        </w:rPr>
      </w:pPr>
      <w:bookmarkStart w:id="19" w:name="_Toc380497359"/>
      <w:r w:rsidRPr="00CD5563">
        <w:rPr>
          <w:lang w:val="en-GB"/>
        </w:rPr>
        <w:t>Figure 1-</w:t>
      </w:r>
      <w:r w:rsidRPr="00CD5563">
        <w:rPr>
          <w:rFonts w:eastAsia="Malgun Gothic"/>
          <w:lang w:val="en-GB" w:eastAsia="ko-KR"/>
        </w:rPr>
        <w:t xml:space="preserve">2: </w:t>
      </w:r>
      <w:r w:rsidRPr="00CD5563">
        <w:rPr>
          <w:lang w:val="en-GB"/>
        </w:rPr>
        <w:t xml:space="preserve">Fixed broadband and mobile data revenues </w:t>
      </w:r>
      <w:r w:rsidRPr="00CD5563">
        <w:rPr>
          <w:rFonts w:eastAsia="Malgun Gothic"/>
          <w:lang w:val="en-GB" w:eastAsia="ko-KR"/>
        </w:rPr>
        <w:t>(</w:t>
      </w:r>
      <w:r w:rsidRPr="00CD5563">
        <w:rPr>
          <w:lang w:val="en-GB"/>
        </w:rPr>
        <w:t xml:space="preserve">2006 </w:t>
      </w:r>
      <w:r w:rsidRPr="00CD5563">
        <w:rPr>
          <w:rFonts w:eastAsia="Malgun Gothic"/>
          <w:lang w:val="en-GB" w:eastAsia="ko-KR"/>
        </w:rPr>
        <w:t>~</w:t>
      </w:r>
      <w:r w:rsidRPr="00CD5563">
        <w:rPr>
          <w:lang w:val="en-GB"/>
        </w:rPr>
        <w:t xml:space="preserve"> 2011</w:t>
      </w:r>
      <w:r w:rsidRPr="00CD5563">
        <w:rPr>
          <w:rFonts w:eastAsia="Malgun Gothic"/>
          <w:lang w:val="en-GB" w:eastAsia="ko-KR"/>
        </w:rPr>
        <w:t>)</w:t>
      </w:r>
      <w:r w:rsidRPr="00CD5563">
        <w:rPr>
          <w:lang w:val="en-GB"/>
        </w:rPr>
        <w:t xml:space="preserve"> (IDATE)</w:t>
      </w:r>
      <w:bookmarkEnd w:id="19"/>
    </w:p>
    <w:p w:rsidR="0008639C" w:rsidRPr="00CD5563" w:rsidRDefault="0008639C" w:rsidP="00412927">
      <w:pPr>
        <w:pStyle w:val="Figure"/>
        <w:rPr>
          <w:lang w:val="en-GB" w:eastAsia="ko-KR"/>
        </w:rPr>
      </w:pPr>
      <w:r w:rsidRPr="00CD5563">
        <w:rPr>
          <w:noProof/>
          <w:lang w:val="ru-RU" w:eastAsia="zh-CN"/>
        </w:rPr>
        <w:drawing>
          <wp:inline distT="0" distB="0" distL="0" distR="0" wp14:anchorId="250D0666" wp14:editId="7FBB4C65">
            <wp:extent cx="5613654" cy="2571410"/>
            <wp:effectExtent l="19050" t="0" r="6096"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 cstate="print"/>
                    <a:srcRect/>
                    <a:stretch>
                      <a:fillRect/>
                    </a:stretch>
                  </pic:blipFill>
                  <pic:spPr bwMode="auto">
                    <a:xfrm>
                      <a:off x="0" y="0"/>
                      <a:ext cx="5611301" cy="2570332"/>
                    </a:xfrm>
                    <a:prstGeom prst="rect">
                      <a:avLst/>
                    </a:prstGeom>
                    <a:noFill/>
                    <a:ln w="9525">
                      <a:noFill/>
                      <a:miter lim="800000"/>
                      <a:headEnd/>
                      <a:tailEnd/>
                    </a:ln>
                  </pic:spPr>
                </pic:pic>
              </a:graphicData>
            </a:graphic>
          </wp:inline>
        </w:drawing>
      </w:r>
    </w:p>
    <w:p w:rsidR="00412927" w:rsidRPr="00CD5563" w:rsidRDefault="00412927" w:rsidP="00412927">
      <w:pPr>
        <w:pStyle w:val="Figure"/>
        <w:rPr>
          <w:lang w:val="en-GB" w:eastAsia="ko-KR"/>
        </w:rPr>
      </w:pPr>
    </w:p>
    <w:p w:rsidR="0008639C" w:rsidRPr="00CD5563" w:rsidRDefault="0008639C" w:rsidP="00412927">
      <w:pPr>
        <w:spacing w:before="240"/>
        <w:rPr>
          <w:rFonts w:eastAsia="Malgun Gothic"/>
          <w:szCs w:val="19"/>
          <w:lang w:val="en-GB" w:eastAsia="ko-KR"/>
        </w:rPr>
      </w:pPr>
      <w:r w:rsidRPr="00CD5563">
        <w:rPr>
          <w:rFonts w:eastAsia="Malgun Gothic"/>
          <w:szCs w:val="19"/>
          <w:lang w:val="en-GB" w:eastAsia="ko-KR"/>
        </w:rPr>
        <w:t>As a total in the survey of Ofcom, mobile data has seen the fastest growth rate (CAGR) of 25.4% between 2006 and</w:t>
      </w:r>
      <w:r w:rsidR="00412927" w:rsidRPr="00CD5563">
        <w:rPr>
          <w:rFonts w:eastAsia="Malgun Gothic"/>
          <w:szCs w:val="19"/>
          <w:lang w:val="en-GB" w:eastAsia="ko-KR"/>
        </w:rPr>
        <w:t> </w:t>
      </w:r>
      <w:r w:rsidRPr="00CD5563">
        <w:rPr>
          <w:rFonts w:eastAsia="Malgun Gothic"/>
          <w:szCs w:val="19"/>
          <w:lang w:val="en-GB" w:eastAsia="ko-KR"/>
        </w:rPr>
        <w:t>2011 meaning that, for the first time in 2011, mobile data revenues (£82bn) exceeded fixed broadband revenues (£81bn, CAGR of 11.1%). The report analyzed that this growth in mobile data revenue has been driven by a rapid increase in the adoption of smartphones, from which it is much easier and quicker to access the internet. SMS revenues increased at a slower CAGR of 8.7% between 2006 and 2011. Although SMS volumes are still growing but revenues have failed to keep pace as operators have started to offer large bundles of SMS messages as part of subscription packages; this has stimulated use but caused revenue pressure for SMS in many markets. However, much of the revenue growth in fixed broadband in developed countries was realised towards the start of the five-year period when take-up was growing rapidly. Fixed broadband may now be approaching market saturation in many European countries, as the majority of households subscribe to fixed broadband services – limiting revenue growth for the year 2011.The Ofcome report identified</w:t>
      </w:r>
      <w:r w:rsidRPr="00CD5563">
        <w:rPr>
          <w:szCs w:val="19"/>
          <w:lang w:val="en-GB"/>
        </w:rPr>
        <w:t xml:space="preserve"> three of the key developments which are transforming the global telecoms market, both in terms of industry structures and consumer behaviour:</w:t>
      </w:r>
    </w:p>
    <w:p w:rsidR="0008639C" w:rsidRPr="00CD5563" w:rsidRDefault="00412927" w:rsidP="00AB21CF">
      <w:pPr>
        <w:pStyle w:val="Enumlevel1"/>
      </w:pPr>
      <w:r w:rsidRPr="00CD5563">
        <w:t>•</w:t>
      </w:r>
      <w:r w:rsidRPr="00CD5563">
        <w:tab/>
      </w:r>
      <w:r w:rsidR="0008639C" w:rsidRPr="00CD5563">
        <w:t xml:space="preserve">The mobile data explosion: the growth in mobile data, with key volume, subscriber and revenue statistics, and sheds some light on the transition from large-screen PCs to small screen smartphone mobile data use. </w:t>
      </w:r>
    </w:p>
    <w:p w:rsidR="0008639C" w:rsidRPr="00CD5563" w:rsidRDefault="00412927" w:rsidP="00AB21CF">
      <w:pPr>
        <w:pStyle w:val="Enumlevel1"/>
      </w:pPr>
      <w:r w:rsidRPr="00CD5563">
        <w:t>•</w:t>
      </w:r>
      <w:r w:rsidRPr="00CD5563">
        <w:tab/>
      </w:r>
      <w:r w:rsidR="0008639C" w:rsidRPr="00CD5563">
        <w:t xml:space="preserve">Continued growth in superfast broadband networks: the deployment of superfast technologies across countries, and the extent to which consumers are migrating to these services. </w:t>
      </w:r>
    </w:p>
    <w:p w:rsidR="0008639C" w:rsidRPr="00CD5563" w:rsidRDefault="00412927" w:rsidP="00AB21CF">
      <w:pPr>
        <w:pStyle w:val="Enumlevel1"/>
      </w:pPr>
      <w:r w:rsidRPr="00CD5563">
        <w:t>•</w:t>
      </w:r>
      <w:r w:rsidRPr="00CD5563">
        <w:tab/>
      </w:r>
      <w:r w:rsidR="0008639C" w:rsidRPr="00CD5563">
        <w:t>Increased use of text messaging: the contrasting levels of use and expenditure related to texting, and examine attitudes towards texting.</w:t>
      </w:r>
    </w:p>
    <w:p w:rsidR="0008639C" w:rsidRPr="00CD5563" w:rsidRDefault="00412927" w:rsidP="00CC28F9">
      <w:pPr>
        <w:pStyle w:val="Heading2"/>
        <w:keepLines/>
        <w:rPr>
          <w:lang w:val="en-GB"/>
        </w:rPr>
      </w:pPr>
      <w:bookmarkStart w:id="20" w:name="_Toc380487679"/>
      <w:bookmarkStart w:id="21" w:name="_Toc381024998"/>
      <w:r w:rsidRPr="00CD5563">
        <w:rPr>
          <w:lang w:val="en-GB"/>
        </w:rPr>
        <w:t>1.2</w:t>
      </w:r>
      <w:r w:rsidRPr="00CD5563">
        <w:rPr>
          <w:lang w:val="en-GB"/>
        </w:rPr>
        <w:tab/>
      </w:r>
      <w:r w:rsidR="0008639C" w:rsidRPr="00CD5563">
        <w:rPr>
          <w:lang w:val="en-GB"/>
        </w:rPr>
        <w:t>Trends in the Voice Service Market</w:t>
      </w:r>
      <w:bookmarkEnd w:id="20"/>
      <w:bookmarkEnd w:id="21"/>
    </w:p>
    <w:p w:rsidR="0008639C" w:rsidRPr="00CD5563" w:rsidRDefault="0008639C" w:rsidP="00CC28F9">
      <w:pPr>
        <w:keepNext/>
        <w:keepLines/>
        <w:adjustRightInd w:val="0"/>
        <w:spacing w:line="240" w:lineRule="atLeast"/>
        <w:rPr>
          <w:color w:val="000000"/>
          <w:szCs w:val="19"/>
          <w:lang w:val="en-GB"/>
        </w:rPr>
      </w:pPr>
      <w:r w:rsidRPr="00CD5563">
        <w:rPr>
          <w:rFonts w:eastAsiaTheme="minorEastAsia"/>
          <w:color w:val="000000"/>
          <w:szCs w:val="19"/>
          <w:lang w:val="en-GB" w:eastAsia="ko-KR"/>
        </w:rPr>
        <w:t>The Ofcom report indicated that the f</w:t>
      </w:r>
      <w:r w:rsidRPr="00CD5563">
        <w:rPr>
          <w:color w:val="000000"/>
          <w:szCs w:val="19"/>
          <w:lang w:val="en-GB"/>
        </w:rPr>
        <w:t xml:space="preserve">ixed voice call volumes continuously fell in </w:t>
      </w:r>
      <w:r w:rsidRPr="00CD5563">
        <w:rPr>
          <w:rFonts w:eastAsiaTheme="minorEastAsia"/>
          <w:color w:val="000000"/>
          <w:szCs w:val="19"/>
          <w:lang w:val="en-GB" w:eastAsia="ko-KR"/>
        </w:rPr>
        <w:t>most of</w:t>
      </w:r>
      <w:r w:rsidRPr="00CD5563">
        <w:rPr>
          <w:color w:val="000000"/>
          <w:szCs w:val="19"/>
          <w:lang w:val="en-GB"/>
        </w:rPr>
        <w:t xml:space="preserve"> countries for which figures were available in 2011 except France, where they increased by 0.6% to 113 billion minutes during the year (Figure 1-3). The resilience of the fixed voice market in France is largely as result of high take-up of managed VoIP services, often provided as part of a triple-play bundle of fixed broadband and IPTV services over naked DSL. Naked-DSL-based broadband services do not require a standard fixed line, so VoIP over naked-DSL provides a low-cost alternative to voice calls made over traditional fixed networks, as no line rental is paid. It is this which is the primary driver of the 13.1% fall in fixed voice revenues in France in 2011, despite call volumes increasing during the year. In the UK, fixed voice call volumes fell by 10.0% to 116 billion minutes in 2011, this rate of decline being the fourth highest among 15 countries. </w:t>
      </w:r>
    </w:p>
    <w:p w:rsidR="0008639C" w:rsidRPr="00CD5563" w:rsidRDefault="0008639C" w:rsidP="0008639C">
      <w:pPr>
        <w:adjustRightInd w:val="0"/>
        <w:spacing w:after="240" w:line="240" w:lineRule="atLeast"/>
        <w:rPr>
          <w:rFonts w:eastAsia="Malgun Gothic"/>
          <w:color w:val="000000"/>
          <w:szCs w:val="19"/>
          <w:lang w:val="en-GB" w:eastAsia="ko-KR"/>
        </w:rPr>
      </w:pPr>
      <w:r w:rsidRPr="00CD5563">
        <w:rPr>
          <w:rFonts w:eastAsia="Malgun Gothic"/>
          <w:color w:val="000000"/>
          <w:szCs w:val="19"/>
          <w:lang w:val="en-GB" w:eastAsia="ko-KR"/>
        </w:rPr>
        <w:t xml:space="preserve">It is noted that </w:t>
      </w:r>
      <w:r w:rsidRPr="00CD5563">
        <w:rPr>
          <w:color w:val="000000"/>
          <w:szCs w:val="19"/>
          <w:lang w:val="en-GB"/>
        </w:rPr>
        <w:t>the major drivers behind declining fixed call volumes are the low cost of mobile voice and text services and high smartphone take-up, which has contributed to the increasing use of alternative forms of communication such as email and instant messaging. France and the Netherlands (where VoIP use is widespread) were the only countries compared where fixed call volumes increased in the five years to 2011 (up by 1.8% and 0.4% a year on average, respectively). Conversely, the highest average annual rate of decline over the period (13.0%) was in Australia, where fixed call volumes halved over the period, largely due to the increasing use of mobile voice services.</w:t>
      </w:r>
      <w:r w:rsidRPr="00CD5563">
        <w:rPr>
          <w:rFonts w:eastAsia="Malgun Gothic"/>
          <w:color w:val="000000"/>
          <w:szCs w:val="19"/>
          <w:lang w:val="en-GB" w:eastAsia="ko-KR"/>
        </w:rPr>
        <w:t xml:space="preserve"> As a consequence, f</w:t>
      </w:r>
      <w:r w:rsidRPr="00CD5563">
        <w:rPr>
          <w:color w:val="000000"/>
          <w:szCs w:val="19"/>
          <w:lang w:val="en-GB"/>
        </w:rPr>
        <w:t xml:space="preserve">ixed voice revenues </w:t>
      </w:r>
      <w:r w:rsidRPr="00CD5563">
        <w:rPr>
          <w:rFonts w:eastAsia="Malgun Gothic"/>
          <w:color w:val="000000"/>
          <w:szCs w:val="19"/>
          <w:lang w:val="en-GB" w:eastAsia="ko-KR"/>
        </w:rPr>
        <w:t xml:space="preserve">continuously </w:t>
      </w:r>
      <w:r w:rsidRPr="00CD5563">
        <w:rPr>
          <w:color w:val="000000"/>
          <w:szCs w:val="19"/>
          <w:lang w:val="en-GB"/>
        </w:rPr>
        <w:t>fell in 2011, the fastest rates of decline, with revenues falling by 17.8% in China and 15.3% in India during the year.</w:t>
      </w:r>
    </w:p>
    <w:p w:rsidR="00412927" w:rsidRPr="00CD5563" w:rsidRDefault="00412927" w:rsidP="00412927">
      <w:pPr>
        <w:pStyle w:val="Figuretitle"/>
        <w:rPr>
          <w:rFonts w:eastAsia="Malgun Gothic"/>
          <w:lang w:val="en-GB" w:eastAsia="ko-KR"/>
        </w:rPr>
      </w:pPr>
      <w:bookmarkStart w:id="22" w:name="_Toc380497360"/>
      <w:r w:rsidRPr="00CD5563">
        <w:rPr>
          <w:lang w:val="en-GB"/>
        </w:rPr>
        <w:t>Figure 1-</w:t>
      </w:r>
      <w:r w:rsidRPr="00CD5563">
        <w:rPr>
          <w:rFonts w:eastAsia="Malgun Gothic"/>
          <w:lang w:val="en-GB" w:eastAsia="ko-KR"/>
        </w:rPr>
        <w:t>3:</w:t>
      </w:r>
      <w:r w:rsidRPr="00CD5563">
        <w:rPr>
          <w:lang w:val="en-GB"/>
        </w:rPr>
        <w:t xml:space="preserve"> Fixed </w:t>
      </w:r>
      <w:r w:rsidRPr="00CD5563">
        <w:rPr>
          <w:rFonts w:eastAsia="Malgun Gothic"/>
          <w:lang w:val="en-GB" w:eastAsia="ko-KR"/>
        </w:rPr>
        <w:t xml:space="preserve">line </w:t>
      </w:r>
      <w:r w:rsidRPr="00CD5563">
        <w:rPr>
          <w:lang w:val="en-GB"/>
        </w:rPr>
        <w:t xml:space="preserve">call volumes </w:t>
      </w:r>
      <w:r w:rsidRPr="00CD5563">
        <w:rPr>
          <w:rFonts w:eastAsia="Malgun Gothic"/>
          <w:lang w:val="en-GB" w:eastAsia="ko-KR"/>
        </w:rPr>
        <w:t>and revenue</w:t>
      </w:r>
      <w:r w:rsidRPr="00CD5563">
        <w:rPr>
          <w:lang w:val="en-GB"/>
        </w:rPr>
        <w:t>, 2006 and 20</w:t>
      </w:r>
      <w:r w:rsidRPr="00CD5563">
        <w:rPr>
          <w:rFonts w:eastAsia="Malgun Gothic"/>
          <w:lang w:val="en-GB" w:eastAsia="ko-KR"/>
        </w:rPr>
        <w:t>11</w:t>
      </w:r>
      <w:bookmarkEnd w:id="22"/>
    </w:p>
    <w:p w:rsidR="0008639C" w:rsidRPr="00CD5563" w:rsidRDefault="0008639C" w:rsidP="00412927">
      <w:pPr>
        <w:pStyle w:val="Figure"/>
        <w:rPr>
          <w:rFonts w:eastAsia="Malgun Gothic"/>
          <w:szCs w:val="19"/>
          <w:lang w:val="en-GB" w:eastAsia="ko-KR"/>
        </w:rPr>
      </w:pPr>
      <w:r w:rsidRPr="00CD5563">
        <w:rPr>
          <w:noProof/>
          <w:lang w:val="ru-RU" w:eastAsia="zh-CN"/>
        </w:rPr>
        <w:drawing>
          <wp:inline distT="0" distB="0" distL="0" distR="0" wp14:anchorId="4F6EBA9F" wp14:editId="65FA503C">
            <wp:extent cx="5737741" cy="3352800"/>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 cstate="print"/>
                    <a:srcRect/>
                    <a:stretch>
                      <a:fillRect/>
                    </a:stretch>
                  </pic:blipFill>
                  <pic:spPr bwMode="auto">
                    <a:xfrm>
                      <a:off x="0" y="0"/>
                      <a:ext cx="5741679" cy="3355101"/>
                    </a:xfrm>
                    <a:prstGeom prst="rect">
                      <a:avLst/>
                    </a:prstGeom>
                    <a:noFill/>
                    <a:ln w="9525">
                      <a:noFill/>
                      <a:miter lim="800000"/>
                      <a:headEnd/>
                      <a:tailEnd/>
                    </a:ln>
                  </pic:spPr>
                </pic:pic>
              </a:graphicData>
            </a:graphic>
          </wp:inline>
        </w:drawing>
      </w:r>
    </w:p>
    <w:p w:rsidR="00412927" w:rsidRPr="00CD5563" w:rsidRDefault="00412927" w:rsidP="00412927">
      <w:pPr>
        <w:pStyle w:val="Figure"/>
        <w:rPr>
          <w:rFonts w:eastAsia="Malgun Gothic"/>
          <w:szCs w:val="19"/>
          <w:lang w:val="en-GB" w:eastAsia="ko-KR"/>
        </w:rPr>
      </w:pPr>
    </w:p>
    <w:p w:rsidR="0008639C" w:rsidRPr="00CD5563" w:rsidRDefault="0008639C" w:rsidP="00412927">
      <w:pPr>
        <w:rPr>
          <w:lang w:val="en-GB" w:eastAsia="ko-KR"/>
        </w:rPr>
      </w:pPr>
    </w:p>
    <w:p w:rsidR="0008639C" w:rsidRPr="00CD5563" w:rsidRDefault="0008639C" w:rsidP="00CC28F9">
      <w:pPr>
        <w:keepNext/>
        <w:keepLines/>
        <w:rPr>
          <w:color w:val="000000"/>
          <w:lang w:val="en-GB" w:eastAsia="ko-KR"/>
        </w:rPr>
      </w:pPr>
      <w:r w:rsidRPr="00CD5563">
        <w:rPr>
          <w:color w:val="000000"/>
          <w:lang w:val="en-GB"/>
        </w:rPr>
        <w:t>Figure</w:t>
      </w:r>
      <w:r w:rsidRPr="00CD5563">
        <w:rPr>
          <w:color w:val="000000"/>
          <w:lang w:val="en-GB" w:eastAsia="ko-KR"/>
        </w:rPr>
        <w:t xml:space="preserve"> 1-4</w:t>
      </w:r>
      <w:r w:rsidRPr="00CD5563">
        <w:rPr>
          <w:color w:val="000000"/>
          <w:lang w:val="en-GB"/>
        </w:rPr>
        <w:t xml:space="preserve"> shows the </w:t>
      </w:r>
      <w:r w:rsidRPr="00CD5563">
        <w:rPr>
          <w:color w:val="000000"/>
          <w:lang w:val="en-GB" w:eastAsia="ko-KR"/>
        </w:rPr>
        <w:t>status of mobile</w:t>
      </w:r>
      <w:r w:rsidRPr="00CD5563">
        <w:rPr>
          <w:color w:val="000000"/>
          <w:lang w:val="en-GB"/>
        </w:rPr>
        <w:t xml:space="preserve"> voice call minutes </w:t>
      </w:r>
      <w:r w:rsidRPr="00CD5563">
        <w:rPr>
          <w:color w:val="000000"/>
          <w:lang w:val="en-GB" w:eastAsia="ko-KR"/>
        </w:rPr>
        <w:t>and revenues by Ofcom report</w:t>
      </w:r>
      <w:r w:rsidRPr="00CD5563">
        <w:rPr>
          <w:color w:val="000000"/>
          <w:lang w:val="en-GB"/>
        </w:rPr>
        <w:t>. The countries where the highest proportion of calls originated on mobiles in 2011 were China (97%), the United States (82%) and Poland (81%). In China and Poland this is partly due to the limited availability of fixed telephony networks, while the proportion of calls that are mobile-originated will be overstated in China, the US and Canada as the mobile call volumes used in the calculation include incoming call minutes. Germany and France were the only comparator countries where less than half of voice call minutes originated on mobile networks in 2011 (36% of voice call minutes were mobile-originated in Germany in 2011, while the figure was 49% in France).</w:t>
      </w:r>
    </w:p>
    <w:p w:rsidR="00412927" w:rsidRPr="00CD5563" w:rsidRDefault="00412927" w:rsidP="00412927">
      <w:pPr>
        <w:pStyle w:val="Figuretitle"/>
        <w:rPr>
          <w:rFonts w:eastAsia="Malgun Gothic"/>
          <w:lang w:val="en-GB" w:eastAsia="ko-KR"/>
        </w:rPr>
      </w:pPr>
      <w:bookmarkStart w:id="23" w:name="_Toc380497361"/>
      <w:r w:rsidRPr="00CD5563">
        <w:rPr>
          <w:lang w:val="en-GB"/>
        </w:rPr>
        <w:t>Figure 1-</w:t>
      </w:r>
      <w:r w:rsidRPr="00CD5563">
        <w:rPr>
          <w:rFonts w:eastAsia="Malgun Gothic"/>
          <w:lang w:val="en-GB" w:eastAsia="ko-KR"/>
        </w:rPr>
        <w:t>4:</w:t>
      </w:r>
      <w:r w:rsidRPr="00CD5563">
        <w:rPr>
          <w:lang w:val="en-GB"/>
        </w:rPr>
        <w:t xml:space="preserve"> </w:t>
      </w:r>
      <w:r w:rsidRPr="00CD5563">
        <w:rPr>
          <w:rFonts w:eastAsia="Malgun Gothic"/>
          <w:lang w:val="en-GB" w:eastAsia="ko-KR"/>
        </w:rPr>
        <w:t xml:space="preserve">Mobile </w:t>
      </w:r>
      <w:r w:rsidRPr="00CD5563">
        <w:rPr>
          <w:lang w:val="en-GB"/>
        </w:rPr>
        <w:t xml:space="preserve">call volumes </w:t>
      </w:r>
      <w:r w:rsidRPr="00CD5563">
        <w:rPr>
          <w:rFonts w:eastAsia="Malgun Gothic"/>
          <w:lang w:val="en-GB" w:eastAsia="ko-KR"/>
        </w:rPr>
        <w:t>and revenue</w:t>
      </w:r>
      <w:r w:rsidRPr="00CD5563">
        <w:rPr>
          <w:lang w:val="en-GB"/>
        </w:rPr>
        <w:t>, 2006 and 20</w:t>
      </w:r>
      <w:r w:rsidRPr="00CD5563">
        <w:rPr>
          <w:rFonts w:eastAsia="Malgun Gothic"/>
          <w:lang w:val="en-GB" w:eastAsia="ko-KR"/>
        </w:rPr>
        <w:t>11</w:t>
      </w:r>
      <w:bookmarkEnd w:id="23"/>
    </w:p>
    <w:p w:rsidR="0008639C" w:rsidRPr="00CD5563" w:rsidRDefault="0008639C" w:rsidP="00A83937">
      <w:pPr>
        <w:pStyle w:val="Figure"/>
        <w:rPr>
          <w:rFonts w:eastAsia="Malgun Gothic"/>
          <w:lang w:val="en-GB" w:eastAsia="ko-KR"/>
        </w:rPr>
      </w:pPr>
      <w:bookmarkStart w:id="24" w:name="_Toc380497362"/>
      <w:r w:rsidRPr="00CD5563">
        <w:rPr>
          <w:noProof/>
          <w:lang w:val="ru-RU" w:eastAsia="zh-CN"/>
        </w:rPr>
        <w:drawing>
          <wp:inline distT="0" distB="0" distL="0" distR="0" wp14:anchorId="4EE4EBE8" wp14:editId="3F3B0284">
            <wp:extent cx="5759514" cy="3524250"/>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 cstate="print"/>
                    <a:srcRect/>
                    <a:stretch>
                      <a:fillRect/>
                    </a:stretch>
                  </pic:blipFill>
                  <pic:spPr bwMode="auto">
                    <a:xfrm>
                      <a:off x="0" y="0"/>
                      <a:ext cx="5764747" cy="3527452"/>
                    </a:xfrm>
                    <a:prstGeom prst="rect">
                      <a:avLst/>
                    </a:prstGeom>
                    <a:noFill/>
                    <a:ln w="9525">
                      <a:noFill/>
                      <a:miter lim="800000"/>
                      <a:headEnd/>
                      <a:tailEnd/>
                    </a:ln>
                  </pic:spPr>
                </pic:pic>
              </a:graphicData>
            </a:graphic>
          </wp:inline>
        </w:drawing>
      </w:r>
      <w:bookmarkEnd w:id="24"/>
    </w:p>
    <w:p w:rsidR="0008639C" w:rsidRPr="00CD5563" w:rsidRDefault="0008639C" w:rsidP="00A83937">
      <w:pPr>
        <w:pStyle w:val="Figure"/>
        <w:rPr>
          <w:lang w:eastAsia="ko-KR"/>
        </w:rPr>
      </w:pPr>
    </w:p>
    <w:p w:rsidR="0008639C" w:rsidRPr="00CD5563" w:rsidRDefault="00412927" w:rsidP="00412927">
      <w:pPr>
        <w:pStyle w:val="Heading2"/>
        <w:rPr>
          <w:lang w:val="en-GB"/>
        </w:rPr>
      </w:pPr>
      <w:bookmarkStart w:id="25" w:name="_Toc380487680"/>
      <w:bookmarkStart w:id="26" w:name="_Toc381024999"/>
      <w:r w:rsidRPr="00CD5563">
        <w:rPr>
          <w:lang w:val="en-GB"/>
        </w:rPr>
        <w:t>1.3</w:t>
      </w:r>
      <w:r w:rsidRPr="00CD5563">
        <w:rPr>
          <w:lang w:val="en-GB"/>
        </w:rPr>
        <w:tab/>
      </w:r>
      <w:r w:rsidR="0008639C" w:rsidRPr="00CD5563">
        <w:rPr>
          <w:lang w:val="en-GB"/>
        </w:rPr>
        <w:t>Broadband Market Trends</w:t>
      </w:r>
      <w:bookmarkEnd w:id="25"/>
      <w:bookmarkEnd w:id="26"/>
    </w:p>
    <w:p w:rsidR="0008639C" w:rsidRPr="00CD5563" w:rsidRDefault="0008639C" w:rsidP="0008639C">
      <w:pPr>
        <w:adjustRightInd w:val="0"/>
        <w:spacing w:line="240" w:lineRule="atLeast"/>
        <w:rPr>
          <w:rFonts w:eastAsiaTheme="minorEastAsia"/>
          <w:szCs w:val="19"/>
          <w:lang w:val="en-GB" w:eastAsia="ko-KR"/>
        </w:rPr>
      </w:pPr>
      <w:r w:rsidRPr="00CD5563">
        <w:rPr>
          <w:rFonts w:eastAsiaTheme="minorEastAsia"/>
          <w:szCs w:val="19"/>
          <w:lang w:val="en-GB" w:eastAsia="ko-KR"/>
        </w:rPr>
        <w:t>Benefitting fixed broadband and mobile, especially smartphones, internet users (use of more data including information) is increasing as shown in Figure 1-5 (by ITU, ICT facts and figures 2013).</w:t>
      </w:r>
    </w:p>
    <w:p w:rsidR="00412927" w:rsidRPr="00CD5563" w:rsidRDefault="00412927" w:rsidP="00412927">
      <w:pPr>
        <w:pStyle w:val="Figuretitle"/>
        <w:rPr>
          <w:rFonts w:eastAsiaTheme="minorEastAsia"/>
          <w:noProof/>
          <w:lang w:val="en-GB" w:eastAsia="zh-CN"/>
        </w:rPr>
      </w:pPr>
      <w:bookmarkStart w:id="27" w:name="_Toc380497363"/>
      <w:r w:rsidRPr="00CD5563">
        <w:rPr>
          <w:lang w:val="en-GB"/>
        </w:rPr>
        <w:t>Figure 1-</w:t>
      </w:r>
      <w:r w:rsidRPr="00CD5563">
        <w:rPr>
          <w:lang w:val="en-GB" w:eastAsia="ko-KR"/>
        </w:rPr>
        <w:t>5:</w:t>
      </w:r>
      <w:r w:rsidRPr="00CD5563">
        <w:rPr>
          <w:lang w:val="en-GB"/>
        </w:rPr>
        <w:t xml:space="preserve"> </w:t>
      </w:r>
      <w:r w:rsidRPr="00CD5563">
        <w:rPr>
          <w:rFonts w:eastAsiaTheme="minorEastAsia"/>
          <w:lang w:val="en-GB" w:eastAsia="ko-KR"/>
        </w:rPr>
        <w:t>I</w:t>
      </w:r>
      <w:r w:rsidRPr="00CD5563">
        <w:rPr>
          <w:lang w:val="en-GB" w:eastAsia="ko-KR"/>
        </w:rPr>
        <w:t>nternet users by development level and region</w:t>
      </w:r>
      <w:bookmarkEnd w:id="27"/>
      <w:r w:rsidRPr="00CD5563">
        <w:rPr>
          <w:rFonts w:eastAsiaTheme="minorEastAsia"/>
          <w:noProof/>
          <w:lang w:val="en-GB" w:eastAsia="zh-CN"/>
        </w:rPr>
        <w:t xml:space="preserve"> </w:t>
      </w:r>
    </w:p>
    <w:p w:rsidR="0008639C" w:rsidRPr="00CD5563" w:rsidRDefault="0008639C" w:rsidP="00412927">
      <w:pPr>
        <w:pStyle w:val="Figure"/>
        <w:rPr>
          <w:lang w:val="en-GB" w:eastAsia="ko-KR"/>
        </w:rPr>
      </w:pPr>
      <w:r w:rsidRPr="00CD5563">
        <w:rPr>
          <w:noProof/>
          <w:lang w:val="ru-RU" w:eastAsia="zh-CN"/>
        </w:rPr>
        <w:drawing>
          <wp:inline distT="0" distB="0" distL="0" distR="0" wp14:anchorId="55DC569F" wp14:editId="00F3F558">
            <wp:extent cx="5733409" cy="1905000"/>
            <wp:effectExtent l="0" t="0" r="127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srcRect/>
                    <a:stretch>
                      <a:fillRect/>
                    </a:stretch>
                  </pic:blipFill>
                  <pic:spPr bwMode="auto">
                    <a:xfrm>
                      <a:off x="0" y="0"/>
                      <a:ext cx="5744917" cy="1908824"/>
                    </a:xfrm>
                    <a:prstGeom prst="rect">
                      <a:avLst/>
                    </a:prstGeom>
                    <a:noFill/>
                    <a:ln w="9525">
                      <a:noFill/>
                      <a:miter lim="800000"/>
                      <a:headEnd/>
                      <a:tailEnd/>
                    </a:ln>
                  </pic:spPr>
                </pic:pic>
              </a:graphicData>
            </a:graphic>
          </wp:inline>
        </w:drawing>
      </w:r>
    </w:p>
    <w:p w:rsidR="00412927" w:rsidRPr="00CD5563" w:rsidRDefault="00412927" w:rsidP="00412927">
      <w:pPr>
        <w:pStyle w:val="Figure"/>
        <w:rPr>
          <w:lang w:val="en-GB" w:eastAsia="ko-KR"/>
        </w:rPr>
      </w:pPr>
    </w:p>
    <w:p w:rsidR="0008639C" w:rsidRPr="00CD5563" w:rsidRDefault="0008639C" w:rsidP="00FB56E3">
      <w:pPr>
        <w:rPr>
          <w:lang w:val="en-GB" w:eastAsia="ko-KR"/>
        </w:rPr>
      </w:pPr>
    </w:p>
    <w:p w:rsidR="0008639C" w:rsidRPr="00CD5563" w:rsidRDefault="0008639C" w:rsidP="00CC28F9">
      <w:pPr>
        <w:rPr>
          <w:lang w:val="en-GB" w:eastAsia="ko-KR"/>
        </w:rPr>
      </w:pPr>
      <w:r w:rsidRPr="00CD5563">
        <w:rPr>
          <w:lang w:val="en-GB" w:eastAsia="ko-KR"/>
        </w:rPr>
        <w:t xml:space="preserve">As a </w:t>
      </w:r>
      <w:r w:rsidR="00CD5563" w:rsidRPr="00CD5563">
        <w:rPr>
          <w:lang w:val="en-GB" w:eastAsia="ko-KR"/>
        </w:rPr>
        <w:t>consequence</w:t>
      </w:r>
      <w:r w:rsidRPr="00CD5563">
        <w:rPr>
          <w:lang w:val="en-GB" w:eastAsia="ko-KR"/>
        </w:rPr>
        <w:t>, bandwidth consumption of the world continuously increased as shown in the Figure</w:t>
      </w:r>
      <w:r w:rsidR="00CC28F9">
        <w:rPr>
          <w:lang w:val="en-GB" w:eastAsia="ko-KR"/>
        </w:rPr>
        <w:t> </w:t>
      </w:r>
      <w:r w:rsidRPr="00CD5563">
        <w:rPr>
          <w:lang w:val="en-GB" w:eastAsia="ko-KR"/>
        </w:rPr>
        <w:t>1</w:t>
      </w:r>
      <w:r w:rsidR="00CC28F9">
        <w:rPr>
          <w:lang w:val="en-GB" w:eastAsia="ko-KR"/>
        </w:rPr>
        <w:noBreakHyphen/>
      </w:r>
      <w:r w:rsidRPr="00CD5563">
        <w:rPr>
          <w:lang w:val="en-GB" w:eastAsia="ko-KR"/>
        </w:rPr>
        <w:t>6 below (by ITU, ICT facts and figures 2011).</w:t>
      </w:r>
    </w:p>
    <w:p w:rsidR="004310FE" w:rsidRPr="00CD5563" w:rsidRDefault="004310FE" w:rsidP="004310FE">
      <w:pPr>
        <w:pStyle w:val="Figuretitle"/>
        <w:rPr>
          <w:lang w:val="en-GB" w:eastAsia="ko-KR"/>
        </w:rPr>
      </w:pPr>
      <w:bookmarkStart w:id="28" w:name="_Toc380497364"/>
      <w:r w:rsidRPr="00CD5563">
        <w:rPr>
          <w:lang w:val="en-GB"/>
        </w:rPr>
        <w:t>Figure 1-</w:t>
      </w:r>
      <w:r w:rsidRPr="00CD5563">
        <w:rPr>
          <w:lang w:val="en-GB" w:eastAsia="ko-KR"/>
        </w:rPr>
        <w:t>6:</w:t>
      </w:r>
      <w:r w:rsidRPr="00CD5563">
        <w:rPr>
          <w:lang w:val="en-GB"/>
        </w:rPr>
        <w:t xml:space="preserve"> </w:t>
      </w:r>
      <w:r w:rsidRPr="00CD5563">
        <w:rPr>
          <w:lang w:val="en-GB" w:eastAsia="ko-KR"/>
        </w:rPr>
        <w:t>Growth of bandwidth</w:t>
      </w:r>
      <w:bookmarkEnd w:id="28"/>
    </w:p>
    <w:p w:rsidR="0008639C" w:rsidRPr="00CD5563" w:rsidRDefault="0008639C" w:rsidP="004310FE">
      <w:pPr>
        <w:pStyle w:val="Figure"/>
        <w:rPr>
          <w:lang w:val="en-GB" w:eastAsia="ko-KR"/>
        </w:rPr>
      </w:pPr>
      <w:r w:rsidRPr="00CD5563">
        <w:rPr>
          <w:noProof/>
          <w:lang w:val="ru-RU" w:eastAsia="zh-CN"/>
        </w:rPr>
        <w:drawing>
          <wp:inline distT="0" distB="0" distL="0" distR="0" wp14:anchorId="2A17F3CE" wp14:editId="73F10093">
            <wp:extent cx="5735341" cy="329565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 cstate="print"/>
                    <a:srcRect/>
                    <a:stretch>
                      <a:fillRect/>
                    </a:stretch>
                  </pic:blipFill>
                  <pic:spPr bwMode="auto">
                    <a:xfrm>
                      <a:off x="0" y="0"/>
                      <a:ext cx="5735995" cy="3296026"/>
                    </a:xfrm>
                    <a:prstGeom prst="rect">
                      <a:avLst/>
                    </a:prstGeom>
                    <a:noFill/>
                    <a:ln w="9525">
                      <a:noFill/>
                      <a:miter lim="800000"/>
                      <a:headEnd/>
                      <a:tailEnd/>
                    </a:ln>
                  </pic:spPr>
                </pic:pic>
              </a:graphicData>
            </a:graphic>
          </wp:inline>
        </w:drawing>
      </w:r>
    </w:p>
    <w:p w:rsidR="004310FE" w:rsidRPr="00CD5563" w:rsidRDefault="004310FE" w:rsidP="004310FE">
      <w:pPr>
        <w:pStyle w:val="Figure"/>
        <w:rPr>
          <w:lang w:val="en-GB" w:eastAsia="ko-KR"/>
        </w:rPr>
      </w:pPr>
    </w:p>
    <w:p w:rsidR="004310FE" w:rsidRPr="00CD5563" w:rsidRDefault="004310FE" w:rsidP="004310FE">
      <w:pPr>
        <w:rPr>
          <w:lang w:val="en-GB" w:eastAsia="ko-KR"/>
        </w:rPr>
      </w:pPr>
    </w:p>
    <w:p w:rsidR="0008639C" w:rsidRPr="00CD5563" w:rsidRDefault="0008639C" w:rsidP="0008639C">
      <w:pPr>
        <w:adjustRightInd w:val="0"/>
        <w:spacing w:line="240" w:lineRule="atLeast"/>
        <w:rPr>
          <w:rFonts w:eastAsia="Malgun Gothic"/>
          <w:szCs w:val="19"/>
          <w:lang w:val="en-GB" w:eastAsia="ko-KR"/>
        </w:rPr>
      </w:pPr>
      <w:r w:rsidRPr="00CD5563">
        <w:rPr>
          <w:rFonts w:eastAsia="Malgun Gothic"/>
          <w:szCs w:val="19"/>
          <w:lang w:val="en-GB" w:eastAsia="ko-KR"/>
        </w:rPr>
        <w:t>One interesting phenomena is that mobile broadband users are exceed fixed broadband users as shown in Figure 1-7 (ITU, ICT facts and figures 2013). This phenomena is apparent in all of the regions, in both developed or developing countries, which in turn means users enjoyed connectivity over mobile environments.</w:t>
      </w:r>
    </w:p>
    <w:p w:rsidR="004310FE" w:rsidRPr="00CD5563" w:rsidRDefault="004310FE" w:rsidP="004310FE">
      <w:pPr>
        <w:pStyle w:val="Figuretitle"/>
        <w:rPr>
          <w:lang w:val="en-GB" w:eastAsia="ko-KR"/>
        </w:rPr>
      </w:pPr>
      <w:bookmarkStart w:id="29" w:name="_Toc380497365"/>
      <w:r w:rsidRPr="00CD5563">
        <w:rPr>
          <w:lang w:val="en-GB"/>
        </w:rPr>
        <w:t>Figure 1-</w:t>
      </w:r>
      <w:r w:rsidRPr="00CD5563">
        <w:rPr>
          <w:lang w:val="en-GB" w:eastAsia="ko-KR"/>
        </w:rPr>
        <w:t>7:</w:t>
      </w:r>
      <w:r w:rsidRPr="00CD5563">
        <w:rPr>
          <w:lang w:val="en-GB"/>
        </w:rPr>
        <w:t xml:space="preserve"> </w:t>
      </w:r>
      <w:r w:rsidRPr="00CD5563">
        <w:rPr>
          <w:lang w:val="en-GB" w:eastAsia="ko-KR"/>
        </w:rPr>
        <w:t>Status of broadband in 2011</w:t>
      </w:r>
      <w:bookmarkEnd w:id="29"/>
    </w:p>
    <w:p w:rsidR="0008639C" w:rsidRPr="00CD5563" w:rsidRDefault="0008639C" w:rsidP="004310FE">
      <w:pPr>
        <w:pStyle w:val="Figure"/>
        <w:rPr>
          <w:lang w:val="en-GB" w:eastAsia="ko-KR"/>
        </w:rPr>
      </w:pPr>
      <w:r w:rsidRPr="00CD5563">
        <w:rPr>
          <w:noProof/>
          <w:lang w:val="ru-RU" w:eastAsia="zh-CN"/>
        </w:rPr>
        <w:drawing>
          <wp:inline distT="0" distB="0" distL="0" distR="0" wp14:anchorId="7FAFEB77" wp14:editId="1AE93795">
            <wp:extent cx="5496611" cy="2665879"/>
            <wp:effectExtent l="19050" t="0" r="8839"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 cstate="print"/>
                    <a:srcRect/>
                    <a:stretch>
                      <a:fillRect/>
                    </a:stretch>
                  </pic:blipFill>
                  <pic:spPr bwMode="auto">
                    <a:xfrm>
                      <a:off x="0" y="0"/>
                      <a:ext cx="5494307" cy="2664762"/>
                    </a:xfrm>
                    <a:prstGeom prst="rect">
                      <a:avLst/>
                    </a:prstGeom>
                    <a:noFill/>
                    <a:ln w="9525">
                      <a:noFill/>
                      <a:miter lim="800000"/>
                      <a:headEnd/>
                      <a:tailEnd/>
                    </a:ln>
                  </pic:spPr>
                </pic:pic>
              </a:graphicData>
            </a:graphic>
          </wp:inline>
        </w:drawing>
      </w:r>
    </w:p>
    <w:p w:rsidR="004310FE" w:rsidRPr="00CD5563" w:rsidRDefault="004310FE" w:rsidP="004310FE">
      <w:pPr>
        <w:pStyle w:val="Figure"/>
        <w:rPr>
          <w:lang w:val="en-GB" w:eastAsia="ko-KR"/>
        </w:rPr>
      </w:pPr>
    </w:p>
    <w:p w:rsidR="004310FE" w:rsidRPr="00CD5563" w:rsidRDefault="004310FE" w:rsidP="004310FE">
      <w:pPr>
        <w:rPr>
          <w:lang w:val="en-GB" w:eastAsia="ko-KR"/>
        </w:rPr>
      </w:pPr>
    </w:p>
    <w:p w:rsidR="0008639C" w:rsidRPr="00CD5563" w:rsidRDefault="0008639C" w:rsidP="004310FE">
      <w:pPr>
        <w:rPr>
          <w:lang w:val="en-GB" w:eastAsia="ko-KR"/>
        </w:rPr>
      </w:pPr>
      <w:r w:rsidRPr="00CD5563">
        <w:rPr>
          <w:lang w:val="en-GB" w:eastAsia="ko-KR"/>
        </w:rPr>
        <w:t xml:space="preserve">Following the analysis by ITU as shown in Figure 1-8, it is noted that mobile broadband is more expensive in developing countries but considerably cheaper than fixed broadband services. </w:t>
      </w:r>
      <w:r w:rsidRPr="00CD5563">
        <w:rPr>
          <w:lang w:val="en-GB"/>
        </w:rPr>
        <w:t>By early 2013, the price of an entry-level</w:t>
      </w:r>
      <w:r w:rsidRPr="00CD5563">
        <w:rPr>
          <w:lang w:val="en-GB" w:eastAsia="ko-KR"/>
        </w:rPr>
        <w:t xml:space="preserve"> </w:t>
      </w:r>
      <w:r w:rsidRPr="00CD5563">
        <w:rPr>
          <w:lang w:val="en-GB"/>
        </w:rPr>
        <w:t>mobile-broadband plan represents</w:t>
      </w:r>
      <w:r w:rsidRPr="00CD5563">
        <w:rPr>
          <w:lang w:val="en-GB" w:eastAsia="ko-KR"/>
        </w:rPr>
        <w:t xml:space="preserve"> </w:t>
      </w:r>
      <w:r w:rsidRPr="00CD5563">
        <w:rPr>
          <w:lang w:val="en-GB"/>
        </w:rPr>
        <w:t>between 1.2-2.2% of monthly GNI p.c. in</w:t>
      </w:r>
      <w:r w:rsidRPr="00CD5563">
        <w:rPr>
          <w:lang w:val="en-GB" w:eastAsia="ko-KR"/>
        </w:rPr>
        <w:t xml:space="preserve"> </w:t>
      </w:r>
      <w:r w:rsidRPr="00CD5563">
        <w:rPr>
          <w:lang w:val="en-GB"/>
        </w:rPr>
        <w:t>developed countries and between 11.3-24.7% in developing countries, depending</w:t>
      </w:r>
      <w:r w:rsidRPr="00CD5563">
        <w:rPr>
          <w:lang w:val="en-GB" w:eastAsia="ko-KR"/>
        </w:rPr>
        <w:t xml:space="preserve"> </w:t>
      </w:r>
      <w:r w:rsidRPr="00CD5563">
        <w:rPr>
          <w:lang w:val="en-GB"/>
        </w:rPr>
        <w:t>on the type of service.</w:t>
      </w:r>
      <w:r w:rsidRPr="00CD5563">
        <w:rPr>
          <w:lang w:val="en-GB" w:eastAsia="ko-KR"/>
        </w:rPr>
        <w:t xml:space="preserve"> </w:t>
      </w:r>
      <w:r w:rsidRPr="00CD5563">
        <w:rPr>
          <w:lang w:val="en-GB"/>
        </w:rPr>
        <w:t>However, in developing countries, mobile broadband</w:t>
      </w:r>
      <w:r w:rsidRPr="00CD5563">
        <w:rPr>
          <w:lang w:val="en-GB" w:eastAsia="ko-KR"/>
        </w:rPr>
        <w:t xml:space="preserve"> </w:t>
      </w:r>
      <w:r w:rsidRPr="00CD5563">
        <w:rPr>
          <w:lang w:val="en-GB"/>
        </w:rPr>
        <w:t>services costs are considerably lower</w:t>
      </w:r>
      <w:r w:rsidRPr="00CD5563">
        <w:rPr>
          <w:lang w:val="en-GB" w:eastAsia="ko-KR"/>
        </w:rPr>
        <w:t xml:space="preserve"> </w:t>
      </w:r>
      <w:r w:rsidRPr="00CD5563">
        <w:rPr>
          <w:lang w:val="en-GB"/>
        </w:rPr>
        <w:t>than fixed-broadband services costs: 18.8% of</w:t>
      </w:r>
      <w:r w:rsidRPr="00CD5563">
        <w:rPr>
          <w:lang w:val="en-GB" w:eastAsia="ko-KR"/>
        </w:rPr>
        <w:t xml:space="preserve"> </w:t>
      </w:r>
      <w:r w:rsidRPr="00CD5563">
        <w:rPr>
          <w:lang w:val="en-GB"/>
        </w:rPr>
        <w:t>monthly GNI p.c. for a 1 GB postpaid</w:t>
      </w:r>
      <w:r w:rsidRPr="00CD5563">
        <w:rPr>
          <w:lang w:val="en-GB" w:eastAsia="ko-KR"/>
        </w:rPr>
        <w:t xml:space="preserve"> </w:t>
      </w:r>
      <w:r w:rsidRPr="00CD5563">
        <w:rPr>
          <w:lang w:val="en-GB"/>
        </w:rPr>
        <w:t>computer-based mobile-broadband plan</w:t>
      </w:r>
      <w:r w:rsidRPr="00CD5563">
        <w:rPr>
          <w:lang w:val="en-GB" w:eastAsia="ko-KR"/>
        </w:rPr>
        <w:t xml:space="preserve"> </w:t>
      </w:r>
      <w:r w:rsidRPr="00CD5563">
        <w:rPr>
          <w:lang w:val="en-GB"/>
        </w:rPr>
        <w:t>compared to 30.1% of monthly GNI p.c.</w:t>
      </w:r>
      <w:r w:rsidRPr="00CD5563">
        <w:rPr>
          <w:lang w:val="en-GB" w:eastAsia="ko-KR"/>
        </w:rPr>
        <w:t xml:space="preserve"> </w:t>
      </w:r>
      <w:r w:rsidRPr="00CD5563">
        <w:rPr>
          <w:lang w:val="en-GB"/>
        </w:rPr>
        <w:t>for a postpaid fixed-broadband plan with</w:t>
      </w:r>
      <w:r w:rsidRPr="00CD5563">
        <w:rPr>
          <w:lang w:val="en-GB" w:eastAsia="ko-KR"/>
        </w:rPr>
        <w:t xml:space="preserve"> </w:t>
      </w:r>
      <w:r w:rsidRPr="00CD5563">
        <w:rPr>
          <w:lang w:val="en-GB"/>
        </w:rPr>
        <w:t>1 GB of data volume.</w:t>
      </w:r>
      <w:r w:rsidRPr="00CD5563">
        <w:rPr>
          <w:lang w:val="en-GB" w:eastAsia="ko-KR"/>
        </w:rPr>
        <w:t xml:space="preserve"> </w:t>
      </w:r>
      <w:r w:rsidRPr="00CD5563">
        <w:rPr>
          <w:lang w:val="en-GB"/>
        </w:rPr>
        <w:t>Among the four typical mobile-broadband</w:t>
      </w:r>
      <w:r w:rsidRPr="00CD5563">
        <w:rPr>
          <w:lang w:val="en-GB" w:eastAsia="ko-KR"/>
        </w:rPr>
        <w:t xml:space="preserve"> </w:t>
      </w:r>
      <w:r w:rsidRPr="00CD5563">
        <w:rPr>
          <w:lang w:val="en-GB"/>
        </w:rPr>
        <w:t>plans offered in the market, postpaid</w:t>
      </w:r>
      <w:r w:rsidRPr="00CD5563">
        <w:rPr>
          <w:lang w:val="en-GB" w:eastAsia="ko-KR"/>
        </w:rPr>
        <w:t xml:space="preserve"> </w:t>
      </w:r>
      <w:r w:rsidRPr="00CD5563">
        <w:rPr>
          <w:lang w:val="en-GB"/>
        </w:rPr>
        <w:t>handset-based services are the</w:t>
      </w:r>
      <w:r w:rsidRPr="00CD5563">
        <w:rPr>
          <w:lang w:val="en-GB" w:eastAsia="ko-KR"/>
        </w:rPr>
        <w:t xml:space="preserve"> </w:t>
      </w:r>
      <w:r w:rsidRPr="00CD5563">
        <w:rPr>
          <w:lang w:val="en-GB"/>
        </w:rPr>
        <w:t>cheapest and prepaid computer-based</w:t>
      </w:r>
      <w:r w:rsidRPr="00CD5563">
        <w:rPr>
          <w:lang w:val="en-GB" w:eastAsia="ko-KR"/>
        </w:rPr>
        <w:t xml:space="preserve"> </w:t>
      </w:r>
      <w:r w:rsidRPr="00CD5563">
        <w:rPr>
          <w:lang w:val="en-GB"/>
        </w:rPr>
        <w:t>services are the most expensive, across</w:t>
      </w:r>
      <w:r w:rsidRPr="00CD5563">
        <w:rPr>
          <w:lang w:val="en-GB" w:eastAsia="ko-KR"/>
        </w:rPr>
        <w:t xml:space="preserve"> </w:t>
      </w:r>
      <w:r w:rsidRPr="00CD5563">
        <w:rPr>
          <w:lang w:val="en-GB"/>
        </w:rPr>
        <w:t>all regions.</w:t>
      </w:r>
    </w:p>
    <w:p w:rsidR="004310FE" w:rsidRPr="00CD5563" w:rsidRDefault="004310FE" w:rsidP="004310FE">
      <w:pPr>
        <w:pStyle w:val="Figuretitle"/>
        <w:rPr>
          <w:bCs/>
          <w:lang w:val="en-GB"/>
        </w:rPr>
      </w:pPr>
      <w:bookmarkStart w:id="30" w:name="_Toc380497366"/>
      <w:r w:rsidRPr="00CD5563">
        <w:rPr>
          <w:lang w:val="en-GB"/>
        </w:rPr>
        <w:t>Figure 1-</w:t>
      </w:r>
      <w:r w:rsidRPr="00CD5563">
        <w:rPr>
          <w:rFonts w:eastAsiaTheme="minorEastAsia"/>
          <w:lang w:val="en-GB" w:eastAsia="ko-KR"/>
        </w:rPr>
        <w:t>8:</w:t>
      </w:r>
      <w:r w:rsidRPr="00CD5563">
        <w:rPr>
          <w:lang w:val="en-GB"/>
        </w:rPr>
        <w:t xml:space="preserve"> Price of mobile-broadband services, early 2013</w:t>
      </w:r>
      <w:bookmarkEnd w:id="30"/>
    </w:p>
    <w:p w:rsidR="0008639C" w:rsidRPr="00CD5563" w:rsidRDefault="0008639C" w:rsidP="004310FE">
      <w:pPr>
        <w:pStyle w:val="Figure"/>
        <w:rPr>
          <w:lang w:val="en-GB" w:eastAsia="ko-KR"/>
        </w:rPr>
      </w:pPr>
      <w:r w:rsidRPr="00CD5563">
        <w:rPr>
          <w:noProof/>
          <w:lang w:val="ru-RU" w:eastAsia="zh-CN"/>
        </w:rPr>
        <w:drawing>
          <wp:inline distT="0" distB="0" distL="0" distR="0" wp14:anchorId="000612A5" wp14:editId="0405EA4F">
            <wp:extent cx="4143299" cy="2744243"/>
            <wp:effectExtent l="19050" t="0" r="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srcRect/>
                    <a:stretch>
                      <a:fillRect/>
                    </a:stretch>
                  </pic:blipFill>
                  <pic:spPr bwMode="auto">
                    <a:xfrm>
                      <a:off x="0" y="0"/>
                      <a:ext cx="4142665" cy="2743823"/>
                    </a:xfrm>
                    <a:prstGeom prst="rect">
                      <a:avLst/>
                    </a:prstGeom>
                    <a:noFill/>
                    <a:ln w="9525">
                      <a:noFill/>
                      <a:miter lim="800000"/>
                      <a:headEnd/>
                      <a:tailEnd/>
                    </a:ln>
                  </pic:spPr>
                </pic:pic>
              </a:graphicData>
            </a:graphic>
          </wp:inline>
        </w:drawing>
      </w:r>
    </w:p>
    <w:p w:rsidR="004310FE" w:rsidRPr="00CD5563" w:rsidRDefault="004310FE" w:rsidP="004310FE">
      <w:pPr>
        <w:pStyle w:val="Figure"/>
        <w:rPr>
          <w:lang w:val="en-GB" w:eastAsia="ko-KR"/>
        </w:rPr>
      </w:pPr>
    </w:p>
    <w:p w:rsidR="0008639C" w:rsidRPr="00CD5563" w:rsidRDefault="004310FE" w:rsidP="004310FE">
      <w:pPr>
        <w:pStyle w:val="Heading1"/>
        <w:rPr>
          <w:lang w:val="en-GB"/>
        </w:rPr>
      </w:pPr>
      <w:bookmarkStart w:id="31" w:name="_Toc380487681"/>
      <w:bookmarkStart w:id="32" w:name="_Toc381025000"/>
      <w:r w:rsidRPr="00CD5563">
        <w:rPr>
          <w:lang w:val="en-GB"/>
        </w:rPr>
        <w:t>2</w:t>
      </w:r>
      <w:r w:rsidR="0008639C" w:rsidRPr="00CD5563">
        <w:rPr>
          <w:lang w:val="en-GB"/>
        </w:rPr>
        <w:tab/>
        <w:t>Overall Trends in Telecommunications</w:t>
      </w:r>
      <w:bookmarkEnd w:id="31"/>
      <w:bookmarkEnd w:id="32"/>
    </w:p>
    <w:p w:rsidR="0008639C" w:rsidRPr="00CD5563" w:rsidRDefault="0008639C" w:rsidP="004310FE">
      <w:pPr>
        <w:pStyle w:val="Heading2"/>
        <w:rPr>
          <w:lang w:val="en-GB"/>
        </w:rPr>
      </w:pPr>
      <w:bookmarkStart w:id="33" w:name="_Toc380487682"/>
      <w:bookmarkStart w:id="34" w:name="_Toc381025001"/>
      <w:r w:rsidRPr="00CD5563">
        <w:rPr>
          <w:lang w:val="en-GB"/>
        </w:rPr>
        <w:t>2.1</w:t>
      </w:r>
      <w:r w:rsidRPr="00CD5563">
        <w:rPr>
          <w:lang w:val="en-GB"/>
        </w:rPr>
        <w:tab/>
        <w:t>Overall Development Trends</w:t>
      </w:r>
      <w:bookmarkEnd w:id="33"/>
      <w:bookmarkEnd w:id="34"/>
    </w:p>
    <w:p w:rsidR="0008639C" w:rsidRPr="00CD5563" w:rsidRDefault="0008639C" w:rsidP="004310FE">
      <w:pPr>
        <w:rPr>
          <w:lang w:val="en-GB"/>
        </w:rPr>
      </w:pPr>
      <w:r w:rsidRPr="00CD5563">
        <w:rPr>
          <w:lang w:val="en-GB"/>
        </w:rPr>
        <w:t>There are various angles to look at trends of development in telecommunication such as users’ aspects, services/applications’ aspects, devices’ aspects and networks’ aspects etc. Because of the recent developments in telecommunication (should be included with the concept of ICT), this is not an easy task with short sentences like in this report. Therefore this report broadly looks at the development trend from these four different aspects.</w:t>
      </w:r>
    </w:p>
    <w:p w:rsidR="0008639C" w:rsidRPr="00CD5563" w:rsidRDefault="0008639C" w:rsidP="004310FE">
      <w:pPr>
        <w:rPr>
          <w:lang w:val="en-GB"/>
        </w:rPr>
      </w:pPr>
      <w:r w:rsidRPr="00CD5563">
        <w:rPr>
          <w:lang w:val="en-GB"/>
        </w:rPr>
        <w:t>In this regard, following Figure 2-1 provided an overview of technology development, taking into account the evolving trends related to users and services/applications.</w:t>
      </w:r>
    </w:p>
    <w:p w:rsidR="004310FE" w:rsidRPr="00CD5563" w:rsidRDefault="004310FE" w:rsidP="004310FE">
      <w:pPr>
        <w:pStyle w:val="Figuretitle"/>
        <w:rPr>
          <w:lang w:val="en-GB"/>
        </w:rPr>
      </w:pPr>
      <w:bookmarkStart w:id="35" w:name="_Toc380497367"/>
      <w:r w:rsidRPr="00CD5563">
        <w:rPr>
          <w:lang w:val="en-GB"/>
        </w:rPr>
        <w:t>Figure 2-1: Abstraction of development trends</w:t>
      </w:r>
      <w:bookmarkEnd w:id="35"/>
    </w:p>
    <w:p w:rsidR="0008639C" w:rsidRPr="00CD5563" w:rsidRDefault="0008639C" w:rsidP="004310FE">
      <w:pPr>
        <w:pStyle w:val="Figure"/>
        <w:rPr>
          <w:lang w:val="en-GB"/>
        </w:rPr>
      </w:pPr>
      <w:r w:rsidRPr="00CD5563">
        <w:rPr>
          <w:noProof/>
          <w:lang w:val="ru-RU" w:eastAsia="zh-CN"/>
        </w:rPr>
        <w:drawing>
          <wp:inline distT="0" distB="0" distL="0" distR="0" wp14:anchorId="71FA8C2C" wp14:editId="33E079AD">
            <wp:extent cx="5562600" cy="3209925"/>
            <wp:effectExtent l="19050" t="0" r="0" b="0"/>
            <wp:docPr id="47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20" cstate="print"/>
                    <a:srcRect/>
                    <a:stretch>
                      <a:fillRect/>
                    </a:stretch>
                  </pic:blipFill>
                  <pic:spPr bwMode="auto">
                    <a:xfrm>
                      <a:off x="0" y="0"/>
                      <a:ext cx="5562600" cy="3209925"/>
                    </a:xfrm>
                    <a:prstGeom prst="rect">
                      <a:avLst/>
                    </a:prstGeom>
                    <a:noFill/>
                    <a:ln w="9525">
                      <a:noFill/>
                      <a:miter lim="800000"/>
                      <a:headEnd/>
                      <a:tailEnd/>
                    </a:ln>
                  </pic:spPr>
                </pic:pic>
              </a:graphicData>
            </a:graphic>
          </wp:inline>
        </w:drawing>
      </w:r>
    </w:p>
    <w:p w:rsidR="004310FE" w:rsidRPr="00CD5563" w:rsidRDefault="004310FE" w:rsidP="004310FE">
      <w:pPr>
        <w:pStyle w:val="Figure"/>
        <w:rPr>
          <w:lang w:val="en-GB"/>
        </w:rPr>
      </w:pPr>
    </w:p>
    <w:p w:rsidR="0008639C" w:rsidRPr="00CD5563" w:rsidRDefault="004310FE" w:rsidP="004310FE">
      <w:pPr>
        <w:pStyle w:val="Enumlevel1"/>
      </w:pPr>
      <w:r w:rsidRPr="00CD5563">
        <w:rPr>
          <w:bCs/>
        </w:rPr>
        <w:t>•</w:t>
      </w:r>
      <w:r w:rsidRPr="00CD5563">
        <w:rPr>
          <w:bCs/>
        </w:rPr>
        <w:tab/>
      </w:r>
      <w:r w:rsidR="0008639C" w:rsidRPr="00CD5563">
        <w:rPr>
          <w:b/>
        </w:rPr>
        <w:t>User perspective:</w:t>
      </w:r>
      <w:r w:rsidR="0008639C" w:rsidRPr="00CD5563">
        <w:t xml:space="preserve"> Previous users were quite well-fitted with fixed types of services e.g. a black phone for voice service and a facsimile terminal for graphic service. So it featured as one size service fits all kinds of users. However, users today request more dynamic types of services depending on their lifestyle, and whether they are using the service as a consumer or for their business, etc. This is likely to continue developing in the future and as a result their usage of telecommunication services and applications with require services at anytime, anywhere and on any device.</w:t>
      </w:r>
    </w:p>
    <w:p w:rsidR="0008639C" w:rsidRPr="00CD5563" w:rsidRDefault="004310FE" w:rsidP="004310FE">
      <w:pPr>
        <w:pStyle w:val="Enumlevel1"/>
      </w:pPr>
      <w:r w:rsidRPr="00CD5563">
        <w:rPr>
          <w:bCs/>
        </w:rPr>
        <w:t>•</w:t>
      </w:r>
      <w:r w:rsidRPr="00CD5563">
        <w:rPr>
          <w:bCs/>
        </w:rPr>
        <w:tab/>
      </w:r>
      <w:r w:rsidR="0008639C" w:rsidRPr="00CD5563">
        <w:rPr>
          <w:b/>
        </w:rPr>
        <w:t xml:space="preserve">Service/Application perspective: </w:t>
      </w:r>
      <w:r w:rsidR="0008639C" w:rsidRPr="00CD5563">
        <w:t>Voice services have been the key service for telecommunication providers during more than 100 years. This has is now expanding to cover more other services than just voice, including multimedia services with broadband connectivity which are available today. It is further anticipated to expand to cover various services/applications mixed together, which sometimes is called convergence and other the provision of blending services.</w:t>
      </w:r>
    </w:p>
    <w:p w:rsidR="0008639C" w:rsidRPr="00CD5563" w:rsidRDefault="004310FE" w:rsidP="004310FE">
      <w:pPr>
        <w:pStyle w:val="Enumlevel1"/>
      </w:pPr>
      <w:r w:rsidRPr="00CD5563">
        <w:rPr>
          <w:bCs/>
        </w:rPr>
        <w:t>•</w:t>
      </w:r>
      <w:r w:rsidRPr="00CD5563">
        <w:rPr>
          <w:bCs/>
        </w:rPr>
        <w:tab/>
      </w:r>
      <w:r w:rsidR="0008639C" w:rsidRPr="00CD5563">
        <w:rPr>
          <w:b/>
        </w:rPr>
        <w:t>Network perspective:</w:t>
      </w:r>
      <w:r w:rsidR="0008639C" w:rsidRPr="00CD5563">
        <w:t xml:space="preserve"> Previous circuit oriented networks have evolved to the packet networks of today</w:t>
      </w:r>
      <w:r w:rsidR="0008639C" w:rsidRPr="00CD5563">
        <w:rPr>
          <w:rFonts w:eastAsiaTheme="minorEastAsia"/>
          <w:lang w:eastAsia="ko-KR"/>
        </w:rPr>
        <w:t xml:space="preserve"> </w:t>
      </w:r>
      <w:r w:rsidR="0008639C" w:rsidRPr="00CD5563">
        <w:t xml:space="preserve">(mainly using internet protocol (IP)), including continuously increasing bandwidth using xDSL and </w:t>
      </w:r>
      <w:r w:rsidR="00CD5563" w:rsidRPr="00CD5563">
        <w:t>fibre</w:t>
      </w:r>
      <w:r w:rsidR="0008639C" w:rsidRPr="00CD5563">
        <w:t xml:space="preserve"> optics and wireless technologies such as </w:t>
      </w:r>
      <w:r w:rsidR="0008639C" w:rsidRPr="00CD5563">
        <w:rPr>
          <w:rFonts w:eastAsiaTheme="minorEastAsia"/>
          <w:lang w:eastAsia="ko-KR"/>
        </w:rPr>
        <w:t xml:space="preserve">WiFi and </w:t>
      </w:r>
      <w:r w:rsidR="0008639C" w:rsidRPr="00CD5563">
        <w:t>WiMAX. This will be leveraged by common core networks in the near future, which will be IP-based but enhanced by other elements such as Quality of Service (QoS) and security.</w:t>
      </w:r>
    </w:p>
    <w:p w:rsidR="0008639C" w:rsidRPr="00CD5563" w:rsidRDefault="004310FE" w:rsidP="004310FE">
      <w:pPr>
        <w:pStyle w:val="Enumlevel1"/>
      </w:pPr>
      <w:r w:rsidRPr="00CD5563">
        <w:rPr>
          <w:bCs/>
        </w:rPr>
        <w:t>•</w:t>
      </w:r>
      <w:r w:rsidRPr="00CD5563">
        <w:rPr>
          <w:bCs/>
        </w:rPr>
        <w:tab/>
      </w:r>
      <w:r w:rsidR="0008639C" w:rsidRPr="00CD5563">
        <w:rPr>
          <w:b/>
        </w:rPr>
        <w:t>Device perspective:</w:t>
      </w:r>
      <w:r w:rsidR="0008639C" w:rsidRPr="00CD5563">
        <w:t xml:space="preserve"> The area which has seen the most remarkable development is the device area. The key themes in the development of devices include the need for them to be portable</w:t>
      </w:r>
      <w:r w:rsidR="0008639C" w:rsidRPr="00CD5563">
        <w:rPr>
          <w:rFonts w:eastAsiaTheme="minorEastAsia"/>
          <w:lang w:eastAsia="ko-KR"/>
        </w:rPr>
        <w:t>, multi-functional</w:t>
      </w:r>
      <w:r w:rsidR="0008639C" w:rsidRPr="00CD5563">
        <w:t xml:space="preserve"> and smart. Moreover, as the use and growth of IP is expected also for the near future, devices should be IP-enabled.</w:t>
      </w:r>
    </w:p>
    <w:p w:rsidR="0008639C" w:rsidRPr="00CD5563" w:rsidRDefault="0008639C" w:rsidP="00E235C3">
      <w:pPr>
        <w:pStyle w:val="Heading2"/>
        <w:keepLines/>
        <w:rPr>
          <w:lang w:val="en-GB"/>
        </w:rPr>
      </w:pPr>
      <w:bookmarkStart w:id="36" w:name="_Toc380487683"/>
      <w:bookmarkStart w:id="37" w:name="_Toc381025002"/>
      <w:r w:rsidRPr="00CD5563">
        <w:rPr>
          <w:lang w:val="en-GB"/>
        </w:rPr>
        <w:t>2.2</w:t>
      </w:r>
      <w:r w:rsidRPr="00CD5563">
        <w:rPr>
          <w:lang w:val="en-GB"/>
        </w:rPr>
        <w:tab/>
        <w:t>Convergences</w:t>
      </w:r>
      <w:bookmarkEnd w:id="36"/>
      <w:bookmarkEnd w:id="37"/>
    </w:p>
    <w:p w:rsidR="0008639C" w:rsidRPr="00CD5563" w:rsidRDefault="0008639C" w:rsidP="00E235C3">
      <w:pPr>
        <w:keepNext/>
        <w:keepLines/>
        <w:rPr>
          <w:szCs w:val="19"/>
          <w:lang w:val="en-GB"/>
        </w:rPr>
      </w:pPr>
      <w:r w:rsidRPr="00CD5563">
        <w:rPr>
          <w:rFonts w:eastAsiaTheme="minorEastAsia"/>
          <w:szCs w:val="19"/>
          <w:lang w:val="en-GB" w:eastAsia="ko-KR"/>
        </w:rPr>
        <w:t>During the past several years,</w:t>
      </w:r>
      <w:r w:rsidRPr="00CD5563">
        <w:rPr>
          <w:szCs w:val="19"/>
          <w:lang w:val="en-GB"/>
        </w:rPr>
        <w:t xml:space="preserve"> the ICT domain has </w:t>
      </w:r>
      <w:r w:rsidRPr="00CD5563">
        <w:rPr>
          <w:rFonts w:eastAsiaTheme="minorEastAsia"/>
          <w:szCs w:val="19"/>
          <w:lang w:val="en-GB" w:eastAsia="ko-KR"/>
        </w:rPr>
        <w:t xml:space="preserve">continuously developed to support various types of </w:t>
      </w:r>
      <w:r w:rsidRPr="00CD5563">
        <w:rPr>
          <w:szCs w:val="19"/>
          <w:lang w:val="en-GB"/>
        </w:rPr>
        <w:t>convergence</w:t>
      </w:r>
      <w:r w:rsidRPr="00CD5563">
        <w:rPr>
          <w:rFonts w:eastAsiaTheme="minorEastAsia"/>
          <w:szCs w:val="19"/>
          <w:lang w:val="en-GB" w:eastAsia="ko-KR"/>
        </w:rPr>
        <w:t>s</w:t>
      </w:r>
      <w:r w:rsidRPr="00CD5563">
        <w:rPr>
          <w:szCs w:val="19"/>
          <w:lang w:val="en-GB"/>
        </w:rPr>
        <w:t xml:space="preserve"> with a vision of “Any Time, Any Where, Any Services and Any Devices.” This trend has been </w:t>
      </w:r>
      <w:r w:rsidR="00CD5563" w:rsidRPr="00CD5563">
        <w:rPr>
          <w:szCs w:val="19"/>
          <w:lang w:val="en-GB"/>
        </w:rPr>
        <w:t>led</w:t>
      </w:r>
      <w:r w:rsidRPr="00CD5563">
        <w:rPr>
          <w:szCs w:val="19"/>
          <w:lang w:val="en-GB"/>
        </w:rPr>
        <w:t xml:space="preserve"> by the development of the associated technology and the notion of “any information/service over any transport infrastructure.” One </w:t>
      </w:r>
      <w:r w:rsidRPr="00CD5563">
        <w:rPr>
          <w:rFonts w:eastAsiaTheme="minorEastAsia"/>
          <w:szCs w:val="19"/>
          <w:lang w:val="en-GB" w:eastAsia="ko-KR"/>
        </w:rPr>
        <w:t xml:space="preserve">traditional </w:t>
      </w:r>
      <w:r w:rsidRPr="00CD5563">
        <w:rPr>
          <w:szCs w:val="19"/>
          <w:lang w:val="en-GB"/>
        </w:rPr>
        <w:t>example of this is VoDSL (Voice over DSL). DSL was developed to provide broadband connectivity but today this is used for voice services such as VoIP. Another example is TVoMobile (TV service over Mobile). Mobile was developed to provide voice services while users move around, but today mobile is also used for watching TV.</w:t>
      </w:r>
    </w:p>
    <w:p w:rsidR="0008639C" w:rsidRPr="00CD5563" w:rsidRDefault="0008639C" w:rsidP="0008639C">
      <w:pPr>
        <w:rPr>
          <w:rFonts w:eastAsiaTheme="minorEastAsia"/>
          <w:szCs w:val="19"/>
          <w:lang w:val="en-GB" w:eastAsia="ko-KR"/>
        </w:rPr>
      </w:pPr>
      <w:r w:rsidRPr="00CD5563">
        <w:rPr>
          <w:szCs w:val="19"/>
          <w:lang w:val="en-GB"/>
        </w:rPr>
        <w:t xml:space="preserve">Especially with development of NGN, fixed mobile convergence (FMC) </w:t>
      </w:r>
      <w:r w:rsidRPr="00CD5563">
        <w:rPr>
          <w:rFonts w:eastAsiaTheme="minorEastAsia"/>
          <w:szCs w:val="19"/>
          <w:lang w:val="en-GB" w:eastAsia="ko-KR"/>
        </w:rPr>
        <w:t>is now</w:t>
      </w:r>
      <w:r w:rsidRPr="00CD5563">
        <w:rPr>
          <w:szCs w:val="19"/>
          <w:lang w:val="en-GB"/>
        </w:rPr>
        <w:t xml:space="preserve"> be</w:t>
      </w:r>
      <w:r w:rsidRPr="00CD5563">
        <w:rPr>
          <w:rFonts w:eastAsiaTheme="minorEastAsia"/>
          <w:szCs w:val="19"/>
          <w:lang w:val="en-GB" w:eastAsia="ko-KR"/>
        </w:rPr>
        <w:t>coming</w:t>
      </w:r>
      <w:r w:rsidRPr="00CD5563">
        <w:rPr>
          <w:szCs w:val="19"/>
          <w:lang w:val="en-GB"/>
        </w:rPr>
        <w:t xml:space="preserve"> the first instance of converged fixed and mobile services, and IPTV </w:t>
      </w:r>
      <w:r w:rsidRPr="00CD5563">
        <w:rPr>
          <w:rFonts w:eastAsiaTheme="minorEastAsia"/>
          <w:szCs w:val="19"/>
          <w:lang w:val="en-GB" w:eastAsia="ko-KR"/>
        </w:rPr>
        <w:t>is also</w:t>
      </w:r>
      <w:r w:rsidRPr="00CD5563">
        <w:rPr>
          <w:szCs w:val="19"/>
          <w:lang w:val="en-GB"/>
        </w:rPr>
        <w:t xml:space="preserve"> follow</w:t>
      </w:r>
      <w:r w:rsidRPr="00CD5563">
        <w:rPr>
          <w:rFonts w:eastAsiaTheme="minorEastAsia"/>
          <w:szCs w:val="19"/>
          <w:lang w:val="en-GB" w:eastAsia="ko-KR"/>
        </w:rPr>
        <w:t>ing</w:t>
      </w:r>
      <w:r w:rsidRPr="00CD5563">
        <w:rPr>
          <w:szCs w:val="19"/>
          <w:lang w:val="en-GB"/>
        </w:rPr>
        <w:t xml:space="preserve"> with the convergence between telecom and broadcasting.</w:t>
      </w:r>
      <w:r w:rsidRPr="00CD5563">
        <w:rPr>
          <w:rFonts w:eastAsiaTheme="minorEastAsia"/>
          <w:szCs w:val="19"/>
          <w:lang w:val="en-GB" w:eastAsia="ko-KR"/>
        </w:rPr>
        <w:t xml:space="preserve"> Moreover, convergences using ICT are rapidly expanding to cover many of the industrial areas.</w:t>
      </w:r>
    </w:p>
    <w:p w:rsidR="004310FE" w:rsidRPr="00CD5563" w:rsidRDefault="004310FE" w:rsidP="004310FE">
      <w:pPr>
        <w:pStyle w:val="Figuretitle"/>
        <w:rPr>
          <w:lang w:val="en-GB"/>
        </w:rPr>
      </w:pPr>
      <w:bookmarkStart w:id="38" w:name="_Toc380497368"/>
      <w:r w:rsidRPr="00CD5563">
        <w:rPr>
          <w:lang w:val="en-GB"/>
        </w:rPr>
        <w:t>Figure 2-2: High level view of the converged environment</w:t>
      </w:r>
      <w:bookmarkEnd w:id="38"/>
    </w:p>
    <w:p w:rsidR="0008639C" w:rsidRPr="00CD5563" w:rsidRDefault="0008639C" w:rsidP="004310FE">
      <w:pPr>
        <w:pStyle w:val="Figure"/>
        <w:rPr>
          <w:lang w:val="en-GB"/>
        </w:rPr>
      </w:pPr>
      <w:r w:rsidRPr="00CD5563">
        <w:rPr>
          <w:noProof/>
          <w:lang w:val="ru-RU" w:eastAsia="zh-CN"/>
        </w:rPr>
        <w:drawing>
          <wp:inline distT="0" distB="0" distL="0" distR="0" wp14:anchorId="45A8B5B1" wp14:editId="744F2AF4">
            <wp:extent cx="4505325" cy="3162300"/>
            <wp:effectExtent l="19050" t="0" r="0" b="0"/>
            <wp:docPr id="47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srcRect/>
                    <a:stretch>
                      <a:fillRect/>
                    </a:stretch>
                  </pic:blipFill>
                  <pic:spPr bwMode="auto">
                    <a:xfrm>
                      <a:off x="0" y="0"/>
                      <a:ext cx="4505325" cy="3162300"/>
                    </a:xfrm>
                    <a:prstGeom prst="rect">
                      <a:avLst/>
                    </a:prstGeom>
                    <a:noFill/>
                    <a:ln w="9525">
                      <a:noFill/>
                      <a:miter lim="800000"/>
                      <a:headEnd/>
                      <a:tailEnd/>
                    </a:ln>
                  </pic:spPr>
                </pic:pic>
              </a:graphicData>
            </a:graphic>
          </wp:inline>
        </w:drawing>
      </w:r>
    </w:p>
    <w:p w:rsidR="004310FE" w:rsidRPr="00CD5563" w:rsidRDefault="004310FE" w:rsidP="004310FE">
      <w:pPr>
        <w:pStyle w:val="Figure"/>
        <w:rPr>
          <w:lang w:val="en-GB"/>
        </w:rPr>
      </w:pPr>
    </w:p>
    <w:p w:rsidR="004310FE" w:rsidRPr="00CD5563" w:rsidRDefault="004310FE" w:rsidP="004310FE">
      <w:pPr>
        <w:rPr>
          <w:lang w:val="en-GB"/>
        </w:rPr>
      </w:pPr>
    </w:p>
    <w:p w:rsidR="0008639C" w:rsidRPr="00CD5563" w:rsidRDefault="0008639C" w:rsidP="004310FE">
      <w:pPr>
        <w:rPr>
          <w:lang w:val="en-GB"/>
        </w:rPr>
      </w:pPr>
      <w:r w:rsidRPr="00CD5563">
        <w:rPr>
          <w:lang w:val="en-GB"/>
        </w:rPr>
        <w:t xml:space="preserve">Convergence can be classified into two main groups: </w:t>
      </w:r>
    </w:p>
    <w:p w:rsidR="0008639C" w:rsidRPr="00CD5563" w:rsidRDefault="004310FE" w:rsidP="004310FE">
      <w:pPr>
        <w:pStyle w:val="Enumlevel1"/>
      </w:pPr>
      <w:r w:rsidRPr="00CD5563">
        <w:rPr>
          <w:bCs/>
        </w:rPr>
        <w:t>•</w:t>
      </w:r>
      <w:r w:rsidRPr="00CD5563">
        <w:rPr>
          <w:bCs/>
        </w:rPr>
        <w:tab/>
      </w:r>
      <w:r w:rsidR="0008639C" w:rsidRPr="00CD5563">
        <w:rPr>
          <w:b/>
        </w:rPr>
        <w:t>Internal Convergence</w:t>
      </w:r>
      <w:r w:rsidR="0008639C" w:rsidRPr="00CD5563">
        <w:t xml:space="preserve"> (within the same industry): This means the convergence between different services and/or networks but within the same industries, such as FMC and IPTV. FMC is the convergence between fixed and mobile, but both two belong to the same industry, the telecom industry. IPTV is the convergence between telecom and broadcasting but they also belong to telecom industry in their wider interpretation.</w:t>
      </w:r>
    </w:p>
    <w:p w:rsidR="0008639C" w:rsidRPr="00CD5563" w:rsidRDefault="004310FE" w:rsidP="004310FE">
      <w:pPr>
        <w:pStyle w:val="Enumlevel1"/>
      </w:pPr>
      <w:r w:rsidRPr="00CD5563">
        <w:rPr>
          <w:bCs/>
        </w:rPr>
        <w:t>•</w:t>
      </w:r>
      <w:r w:rsidRPr="00CD5563">
        <w:rPr>
          <w:bCs/>
        </w:rPr>
        <w:tab/>
      </w:r>
      <w:r w:rsidR="0008639C" w:rsidRPr="00CD5563">
        <w:rPr>
          <w:b/>
        </w:rPr>
        <w:t>External Convergence</w:t>
      </w:r>
      <w:r w:rsidR="0008639C" w:rsidRPr="00CD5563">
        <w:t xml:space="preserve"> (between different industries): This means the convergence between/amongst different industries, e.g., Telematics/ITS, USN, e-Health, Networked Robotics and others. This type of convergence require</w:t>
      </w:r>
      <w:r w:rsidR="0008639C" w:rsidRPr="00CD5563">
        <w:rPr>
          <w:rFonts w:eastAsiaTheme="minorEastAsia"/>
          <w:lang w:eastAsia="ko-KR"/>
        </w:rPr>
        <w:t>s</w:t>
      </w:r>
      <w:r w:rsidR="0008639C" w:rsidRPr="00CD5563">
        <w:t xml:space="preserve"> more complicated processing not only from the technical aspect but also from regulatory and political aspects.</w:t>
      </w:r>
    </w:p>
    <w:p w:rsidR="0008639C" w:rsidRPr="00CD5563" w:rsidRDefault="0008639C" w:rsidP="00E235C3">
      <w:pPr>
        <w:keepNext/>
        <w:keepLines/>
        <w:rPr>
          <w:szCs w:val="19"/>
          <w:lang w:val="en-GB"/>
        </w:rPr>
      </w:pPr>
      <w:r w:rsidRPr="00CD5563">
        <w:rPr>
          <w:szCs w:val="19"/>
          <w:lang w:val="en-GB"/>
        </w:rPr>
        <w:t>Whether internal or external convergences, the high level view of how services are used in a converged environment can be show as in Figure 2-2 above. Networks will then look like a cloud which allows for the provision of connectivity to the devices anywhere, anytime and where any service can be delivered to any device. Consequently, end users can make use of the services they wish to use in close relation to their real life using handy smart terminal devices and sensors (e.g. USN), even while driving a vehicle.</w:t>
      </w:r>
    </w:p>
    <w:p w:rsidR="0008639C" w:rsidRPr="00CD5563" w:rsidRDefault="0008639C" w:rsidP="004310FE">
      <w:pPr>
        <w:pStyle w:val="Heading2"/>
        <w:keepLines/>
        <w:rPr>
          <w:lang w:val="en-GB"/>
        </w:rPr>
      </w:pPr>
      <w:bookmarkStart w:id="39" w:name="_Toc380487684"/>
      <w:bookmarkStart w:id="40" w:name="_Toc381025003"/>
      <w:r w:rsidRPr="00CD5563">
        <w:rPr>
          <w:lang w:val="en-GB"/>
        </w:rPr>
        <w:t>2.3</w:t>
      </w:r>
      <w:r w:rsidRPr="00CD5563">
        <w:rPr>
          <w:lang w:val="en-GB"/>
        </w:rPr>
        <w:tab/>
        <w:t>Trend of User Willingness</w:t>
      </w:r>
      <w:bookmarkEnd w:id="39"/>
      <w:bookmarkEnd w:id="40"/>
    </w:p>
    <w:p w:rsidR="0008639C" w:rsidRPr="00CD5563" w:rsidRDefault="0008639C" w:rsidP="004310FE">
      <w:pPr>
        <w:keepNext/>
        <w:keepLines/>
        <w:rPr>
          <w:szCs w:val="19"/>
          <w:lang w:val="en-GB"/>
        </w:rPr>
      </w:pPr>
      <w:r w:rsidRPr="00CD5563">
        <w:rPr>
          <w:szCs w:val="19"/>
          <w:lang w:val="en-GB"/>
        </w:rPr>
        <w:t>As technology develops further (or maybe even the other way round), end user willingness to pay for specific telecommunication services are also continuously changing. Actually it is better to say “expanding” or “increasing.”</w:t>
      </w:r>
    </w:p>
    <w:p w:rsidR="0008639C" w:rsidRPr="00CD5563" w:rsidRDefault="0008639C" w:rsidP="004310FE">
      <w:pPr>
        <w:keepNext/>
        <w:keepLines/>
        <w:rPr>
          <w:szCs w:val="19"/>
          <w:lang w:val="en-GB"/>
        </w:rPr>
      </w:pPr>
      <w:r w:rsidRPr="00CD5563">
        <w:rPr>
          <w:szCs w:val="19"/>
          <w:lang w:val="en-GB"/>
        </w:rPr>
        <w:t xml:space="preserve">Figure 2-3 shows some interesting results of users’ willingness to pay for services. All types of services shown in the figure (such as online shopping, accessing news online, etc.) have been identified as important activities for end users, which they are not willing to pay for, especially when they are using their mobile phones. However, there is a certain amount of willingness to use the services, even using the mobile phone, when advertisements cover the associated costs. Both these two cases show that there are potential customers who are willing to use such services if they are made available in an economically beneficial way, such as using flat-rates for the fixed-mobile convergence access. </w:t>
      </w:r>
    </w:p>
    <w:p w:rsidR="004310FE" w:rsidRPr="00CD5563" w:rsidRDefault="004310FE" w:rsidP="004310FE">
      <w:pPr>
        <w:pStyle w:val="Figuretitle"/>
        <w:rPr>
          <w:lang w:val="en-GB"/>
        </w:rPr>
      </w:pPr>
      <w:bookmarkStart w:id="41" w:name="_Toc380497369"/>
      <w:r w:rsidRPr="00CD5563">
        <w:rPr>
          <w:lang w:val="en-GB"/>
        </w:rPr>
        <w:t>Figure 2-3: Customers’ willingness to pay for services</w:t>
      </w:r>
      <w:bookmarkEnd w:id="41"/>
    </w:p>
    <w:p w:rsidR="0008639C" w:rsidRPr="00CD5563" w:rsidRDefault="0008639C" w:rsidP="004310FE">
      <w:pPr>
        <w:pStyle w:val="Figure"/>
        <w:rPr>
          <w:lang w:val="en-GB"/>
        </w:rPr>
      </w:pPr>
      <w:r w:rsidRPr="00CD5563">
        <w:rPr>
          <w:noProof/>
          <w:lang w:val="ru-RU" w:eastAsia="zh-CN"/>
        </w:rPr>
        <w:drawing>
          <wp:inline distT="0" distB="0" distL="0" distR="0" wp14:anchorId="1C2FC2D0" wp14:editId="6F5155E4">
            <wp:extent cx="4819650" cy="2524125"/>
            <wp:effectExtent l="19050" t="0" r="0" b="0"/>
            <wp:docPr id="4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4819650" cy="2524125"/>
                    </a:xfrm>
                    <a:prstGeom prst="rect">
                      <a:avLst/>
                    </a:prstGeom>
                    <a:noFill/>
                    <a:ln w="9525">
                      <a:noFill/>
                      <a:miter lim="800000"/>
                      <a:headEnd/>
                      <a:tailEnd/>
                    </a:ln>
                  </pic:spPr>
                </pic:pic>
              </a:graphicData>
            </a:graphic>
          </wp:inline>
        </w:drawing>
      </w:r>
    </w:p>
    <w:p w:rsidR="004310FE" w:rsidRPr="00CD5563" w:rsidRDefault="004310FE" w:rsidP="004310FE">
      <w:pPr>
        <w:pStyle w:val="Figure"/>
        <w:rPr>
          <w:lang w:val="en-GB"/>
        </w:rPr>
      </w:pPr>
    </w:p>
    <w:p w:rsidR="00695DBA" w:rsidRDefault="00695DBA" w:rsidP="0008639C">
      <w:pPr>
        <w:rPr>
          <w:szCs w:val="19"/>
          <w:lang w:val="en-GB"/>
        </w:rPr>
      </w:pPr>
    </w:p>
    <w:p w:rsidR="0008639C" w:rsidRPr="00CD5563" w:rsidRDefault="0008639C" w:rsidP="0008639C">
      <w:pPr>
        <w:rPr>
          <w:szCs w:val="19"/>
          <w:lang w:val="en-GB"/>
        </w:rPr>
      </w:pPr>
      <w:r w:rsidRPr="00CD5563">
        <w:rPr>
          <w:szCs w:val="19"/>
          <w:lang w:val="en-GB"/>
        </w:rPr>
        <w:t>Figure 2-4 shows the results of research done on end user willingness to pay for convergence services. One can see that people in Asia show more interest in converged services than those living in other regions.</w:t>
      </w:r>
    </w:p>
    <w:p w:rsidR="004310FE" w:rsidRPr="00CD5563" w:rsidRDefault="004310FE" w:rsidP="004310FE">
      <w:pPr>
        <w:pStyle w:val="Figuretitle"/>
        <w:rPr>
          <w:lang w:val="en-GB"/>
        </w:rPr>
      </w:pPr>
      <w:bookmarkStart w:id="42" w:name="_Toc380497370"/>
      <w:r w:rsidRPr="00CD5563">
        <w:rPr>
          <w:lang w:val="en-GB"/>
        </w:rPr>
        <w:t>Figure 2-4: Customers’ willingness to increase spending on converged services</w:t>
      </w:r>
      <w:bookmarkEnd w:id="42"/>
    </w:p>
    <w:p w:rsidR="0008639C" w:rsidRPr="00CD5563" w:rsidRDefault="004310FE" w:rsidP="004310FE">
      <w:pPr>
        <w:pStyle w:val="Figure"/>
        <w:rPr>
          <w:lang w:val="en-GB"/>
        </w:rPr>
      </w:pPr>
      <w:r w:rsidRPr="00CD5563">
        <w:rPr>
          <w:noProof/>
          <w:lang w:val="ru-RU" w:eastAsia="zh-CN"/>
        </w:rPr>
        <w:drawing>
          <wp:inline distT="0" distB="0" distL="0" distR="0" wp14:anchorId="1E58EBBD" wp14:editId="54587851">
            <wp:extent cx="4886325" cy="2057400"/>
            <wp:effectExtent l="0" t="0" r="9525" b="0"/>
            <wp:docPr id="47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4886325" cy="2057400"/>
                    </a:xfrm>
                    <a:prstGeom prst="rect">
                      <a:avLst/>
                    </a:prstGeom>
                    <a:noFill/>
                    <a:ln w="9525">
                      <a:noFill/>
                      <a:miter lim="800000"/>
                      <a:headEnd/>
                      <a:tailEnd/>
                    </a:ln>
                  </pic:spPr>
                </pic:pic>
              </a:graphicData>
            </a:graphic>
          </wp:inline>
        </w:drawing>
      </w:r>
    </w:p>
    <w:p w:rsidR="004310FE" w:rsidRPr="00CD5563" w:rsidRDefault="004310FE" w:rsidP="004310FE">
      <w:pPr>
        <w:pStyle w:val="Figure"/>
        <w:keepNext w:val="0"/>
        <w:rPr>
          <w:lang w:val="en-GB"/>
        </w:rPr>
      </w:pPr>
    </w:p>
    <w:p w:rsidR="00A85916" w:rsidRPr="00CD5563" w:rsidRDefault="00A85916">
      <w:pPr>
        <w:spacing w:before="0"/>
        <w:jc w:val="left"/>
        <w:rPr>
          <w:rFonts w:eastAsia="Times New Roman" w:cs="Helvetica"/>
          <w:b/>
          <w:bCs/>
          <w:color w:val="005173"/>
          <w:sz w:val="28"/>
          <w:szCs w:val="28"/>
          <w:lang w:val="en-GB"/>
        </w:rPr>
      </w:pPr>
      <w:r w:rsidRPr="00CD5563">
        <w:rPr>
          <w:lang w:val="en-GB"/>
        </w:rPr>
        <w:br w:type="page"/>
      </w:r>
    </w:p>
    <w:p w:rsidR="0008639C" w:rsidRPr="00CD5563" w:rsidRDefault="0008639C" w:rsidP="004310FE">
      <w:pPr>
        <w:pStyle w:val="Heading1"/>
        <w:rPr>
          <w:rFonts w:eastAsiaTheme="minorEastAsia"/>
          <w:lang w:val="en-GB" w:eastAsia="ko-KR"/>
        </w:rPr>
      </w:pPr>
      <w:bookmarkStart w:id="43" w:name="_Toc380487685"/>
      <w:bookmarkStart w:id="44" w:name="_Toc381025004"/>
      <w:r w:rsidRPr="00CD5563">
        <w:rPr>
          <w:lang w:val="en-GB"/>
        </w:rPr>
        <w:t xml:space="preserve">Annex 2: </w:t>
      </w:r>
      <w:r w:rsidRPr="00CD5563">
        <w:rPr>
          <w:rFonts w:eastAsiaTheme="minorEastAsia"/>
          <w:lang w:val="en-GB" w:eastAsia="ko-KR"/>
        </w:rPr>
        <w:t>Tariff Considerations for Data Services including NGN</w:t>
      </w:r>
      <w:bookmarkEnd w:id="43"/>
      <w:bookmarkEnd w:id="44"/>
    </w:p>
    <w:p w:rsidR="0008639C" w:rsidRPr="00E669B9" w:rsidRDefault="0008639C" w:rsidP="0008639C">
      <w:pPr>
        <w:tabs>
          <w:tab w:val="left" w:pos="794"/>
          <w:tab w:val="left" w:pos="1191"/>
          <w:tab w:val="left" w:pos="1588"/>
          <w:tab w:val="left" w:pos="1985"/>
        </w:tabs>
        <w:overflowPunct w:val="0"/>
        <w:adjustRightInd w:val="0"/>
        <w:textAlignment w:val="baseline"/>
        <w:rPr>
          <w:lang w:val="en-US"/>
        </w:rPr>
      </w:pPr>
      <w:r w:rsidRPr="00E669B9">
        <w:rPr>
          <w:lang w:val="en-US"/>
        </w:rPr>
        <w:t>In the voice market, the tariffs are determined by competition. The Regulator sets a uniform interconnection rate across all networks and allows the operators to come up with their own end user rates which are to a large extent determined by competition allowing price differences between the operators. However, tariffs for data services with the advent of NGN’s is different, since data services are, in general today, supported by internet interconnected through the gateway.</w:t>
      </w:r>
    </w:p>
    <w:p w:rsidR="0008639C" w:rsidRPr="00E669B9" w:rsidRDefault="0008639C" w:rsidP="0008639C">
      <w:pPr>
        <w:tabs>
          <w:tab w:val="left" w:pos="794"/>
          <w:tab w:val="left" w:pos="1191"/>
          <w:tab w:val="left" w:pos="1588"/>
          <w:tab w:val="left" w:pos="1985"/>
        </w:tabs>
        <w:overflowPunct w:val="0"/>
        <w:adjustRightInd w:val="0"/>
        <w:textAlignment w:val="baseline"/>
        <w:rPr>
          <w:lang w:val="en-US"/>
        </w:rPr>
      </w:pPr>
      <w:r w:rsidRPr="00E669B9">
        <w:rPr>
          <w:lang w:val="en-US"/>
        </w:rPr>
        <w:t>[Note: In some countries (for example The Gambia), the gateway is still in a monopoly under the incumbent, thus other providers such as mobile operators still need to go through an ISP to get connected to the gateway.]</w:t>
      </w:r>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rFonts w:eastAsiaTheme="minorEastAsia"/>
          <w:szCs w:val="19"/>
          <w:lang w:val="en-GB" w:eastAsia="ko-KR"/>
        </w:rPr>
      </w:pPr>
      <w:r w:rsidRPr="00E669B9">
        <w:rPr>
          <w:lang w:val="en-US"/>
        </w:rPr>
        <w:t>As regards voice services each operator has the liberty to charge as low as possible to be competitive in price without having to worry much about covering costs. In the case of data services it is not that easy. The extent to which data service prices can be lowered is constrained by the price of bandwidth from the incumbent to the ISP and from the ISP to the other operators, such as mobile operator, in addition to all other network operational costs. The following figure shows this relationship for pricing of data services.</w:t>
      </w:r>
    </w:p>
    <w:p w:rsidR="00A85916" w:rsidRPr="00CD5563" w:rsidRDefault="00A85916" w:rsidP="000F392A">
      <w:pPr>
        <w:rPr>
          <w:sz w:val="4"/>
          <w:szCs w:val="4"/>
          <w:lang w:val="en-GB"/>
        </w:rPr>
      </w:pPr>
    </w:p>
    <w:p w:rsidR="00A85916" w:rsidRPr="00CD5563" w:rsidRDefault="00A85916" w:rsidP="00A85916">
      <w:pPr>
        <w:pStyle w:val="Figuretitle"/>
        <w:rPr>
          <w:lang w:val="en-GB"/>
        </w:rPr>
      </w:pPr>
      <w:bookmarkStart w:id="45" w:name="_Toc380497371"/>
      <w:r w:rsidRPr="00CD5563">
        <w:rPr>
          <w:lang w:val="en-GB"/>
        </w:rPr>
        <w:t xml:space="preserve">Figure </w:t>
      </w:r>
      <w:r w:rsidRPr="00CD5563">
        <w:rPr>
          <w:rFonts w:eastAsiaTheme="minorEastAsia"/>
          <w:lang w:val="en-GB" w:eastAsia="ko-KR"/>
        </w:rPr>
        <w:t>2-1:</w:t>
      </w:r>
      <w:r w:rsidRPr="00CD5563">
        <w:rPr>
          <w:lang w:val="en-GB"/>
        </w:rPr>
        <w:t xml:space="preserve"> An example of pricing on data services</w:t>
      </w:r>
      <w:bookmarkEnd w:id="45"/>
    </w:p>
    <w:p w:rsidR="00695DBA" w:rsidRPr="00FB1D6D" w:rsidRDefault="00695DBA" w:rsidP="00695DBA">
      <w:pPr>
        <w:pStyle w:val="Figure"/>
      </w:pPr>
      <w:r>
        <w:rPr>
          <w:noProof/>
          <w:lang w:val="ru-RU" w:eastAsia="zh-CN"/>
        </w:rPr>
        <mc:AlternateContent>
          <mc:Choice Requires="wpg">
            <w:drawing>
              <wp:inline distT="0" distB="0" distL="0" distR="0" wp14:anchorId="610CA047" wp14:editId="3C6DB05D">
                <wp:extent cx="5092995" cy="1999364"/>
                <wp:effectExtent l="0" t="0" r="12700" b="20320"/>
                <wp:docPr id="934" name="Group 934"/>
                <wp:cNvGraphicFramePr/>
                <a:graphic xmlns:a="http://schemas.openxmlformats.org/drawingml/2006/main">
                  <a:graphicData uri="http://schemas.microsoft.com/office/word/2010/wordprocessingGroup">
                    <wpg:wgp>
                      <wpg:cNvGrpSpPr/>
                      <wpg:grpSpPr>
                        <a:xfrm>
                          <a:off x="0" y="0"/>
                          <a:ext cx="5092995" cy="1999364"/>
                          <a:chOff x="0" y="0"/>
                          <a:chExt cx="6175375" cy="2005965"/>
                        </a:xfrm>
                      </wpg:grpSpPr>
                      <wps:wsp>
                        <wps:cNvPr id="935" name="AutoShape 2"/>
                        <wps:cNvCnPr>
                          <a:cxnSpLocks noChangeShapeType="1"/>
                        </wps:cNvCnPr>
                        <wps:spPr bwMode="auto">
                          <a:xfrm>
                            <a:off x="3371850" y="190500"/>
                            <a:ext cx="9525" cy="8623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36" name="AutoShape 3"/>
                        <wps:cNvCnPr>
                          <a:cxnSpLocks noChangeShapeType="1"/>
                        </wps:cNvCnPr>
                        <wps:spPr bwMode="auto">
                          <a:xfrm flipH="1">
                            <a:off x="3533775" y="495300"/>
                            <a:ext cx="1063625" cy="6076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37" name="AutoShape 4"/>
                        <wps:cNvCnPr>
                          <a:cxnSpLocks noChangeShapeType="1"/>
                        </wps:cNvCnPr>
                        <wps:spPr bwMode="auto">
                          <a:xfrm>
                            <a:off x="2324100" y="1181100"/>
                            <a:ext cx="4476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38" name="AutoShape 5"/>
                        <wps:cNvCnPr>
                          <a:cxnSpLocks noChangeShapeType="1"/>
                        </wps:cNvCnPr>
                        <wps:spPr bwMode="auto">
                          <a:xfrm>
                            <a:off x="952500" y="1181100"/>
                            <a:ext cx="4381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39" name="AutoShape 6"/>
                        <wps:cNvSpPr>
                          <a:spLocks noChangeArrowheads="1"/>
                        </wps:cNvSpPr>
                        <wps:spPr bwMode="auto">
                          <a:xfrm>
                            <a:off x="0" y="1057275"/>
                            <a:ext cx="952500" cy="730250"/>
                          </a:xfrm>
                          <a:prstGeom prst="flowChartProcess">
                            <a:avLst/>
                          </a:prstGeom>
                          <a:solidFill>
                            <a:srgbClr val="FFFFFF"/>
                          </a:solidFill>
                          <a:ln w="9525">
                            <a:solidFill>
                              <a:srgbClr val="000000"/>
                            </a:solidFill>
                            <a:miter lim="800000"/>
                            <a:headEnd/>
                            <a:tailEnd/>
                          </a:ln>
                        </wps:spPr>
                        <wps:txbx>
                          <w:txbxContent>
                            <w:p w:rsidR="00602F11" w:rsidRPr="00695DBA" w:rsidRDefault="00602F11" w:rsidP="00695DBA">
                              <w:pPr>
                                <w:adjustRightInd w:val="0"/>
                                <w:snapToGrid w:val="0"/>
                                <w:jc w:val="center"/>
                                <w:rPr>
                                  <w:sz w:val="18"/>
                                  <w:szCs w:val="18"/>
                                </w:rPr>
                              </w:pPr>
                              <w:r w:rsidRPr="00695DBA">
                                <w:rPr>
                                  <w:b/>
                                  <w:sz w:val="18"/>
                                  <w:szCs w:val="18"/>
                                </w:rPr>
                                <w:t>Internet Gateway Operator</w:t>
                              </w:r>
                            </w:p>
                          </w:txbxContent>
                        </wps:txbx>
                        <wps:bodyPr rot="0" vert="horz" wrap="square" lIns="91440" tIns="45720" rIns="91440" bIns="45720" anchor="t" anchorCtr="0" upright="1">
                          <a:noAutofit/>
                        </wps:bodyPr>
                      </wps:wsp>
                      <wps:wsp>
                        <wps:cNvPr id="940" name="AutoShape 7"/>
                        <wps:cNvCnPr>
                          <a:cxnSpLocks noChangeShapeType="1"/>
                        </wps:cNvCnPr>
                        <wps:spPr bwMode="auto">
                          <a:xfrm flipH="1" flipV="1">
                            <a:off x="3533775" y="1095375"/>
                            <a:ext cx="1114425" cy="650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41" name="AutoShape 8"/>
                        <wps:cNvCnPr>
                          <a:cxnSpLocks noChangeShapeType="1"/>
                        </wps:cNvCnPr>
                        <wps:spPr bwMode="auto">
                          <a:xfrm flipH="1">
                            <a:off x="3533775" y="1123950"/>
                            <a:ext cx="106362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42" name="AutoShape 9"/>
                        <wps:cNvSpPr>
                          <a:spLocks noChangeArrowheads="1"/>
                        </wps:cNvSpPr>
                        <wps:spPr bwMode="auto">
                          <a:xfrm>
                            <a:off x="2762250" y="1057275"/>
                            <a:ext cx="771525" cy="601345"/>
                          </a:xfrm>
                          <a:prstGeom prst="flowChartProcess">
                            <a:avLst/>
                          </a:prstGeom>
                          <a:solidFill>
                            <a:srgbClr val="FFFFFF"/>
                          </a:solidFill>
                          <a:ln w="9525">
                            <a:solidFill>
                              <a:srgbClr val="000000"/>
                            </a:solidFill>
                            <a:miter lim="800000"/>
                            <a:headEnd/>
                            <a:tailEnd/>
                          </a:ln>
                        </wps:spPr>
                        <wps:txbx>
                          <w:txbxContent>
                            <w:p w:rsidR="00602F11" w:rsidRPr="00695DBA" w:rsidRDefault="00602F11" w:rsidP="00695DBA">
                              <w:pPr>
                                <w:jc w:val="center"/>
                                <w:rPr>
                                  <w:b/>
                                  <w:sz w:val="18"/>
                                  <w:szCs w:val="18"/>
                                </w:rPr>
                              </w:pPr>
                              <w:r w:rsidRPr="00695DBA">
                                <w:rPr>
                                  <w:b/>
                                  <w:sz w:val="18"/>
                                  <w:szCs w:val="18"/>
                                </w:rPr>
                                <w:t>COSTS</w:t>
                              </w:r>
                            </w:p>
                          </w:txbxContent>
                        </wps:txbx>
                        <wps:bodyPr rot="0" vert="horz" wrap="square" lIns="91440" tIns="45720" rIns="91440" bIns="45720" anchor="ctr" anchorCtr="0" upright="1">
                          <a:noAutofit/>
                        </wps:bodyPr>
                      </wps:wsp>
                      <wps:wsp>
                        <wps:cNvPr id="943" name="AutoShape 10"/>
                        <wps:cNvSpPr>
                          <a:spLocks noChangeArrowheads="1"/>
                        </wps:cNvSpPr>
                        <wps:spPr bwMode="auto">
                          <a:xfrm>
                            <a:off x="1390650" y="1057275"/>
                            <a:ext cx="933450" cy="571500"/>
                          </a:xfrm>
                          <a:prstGeom prst="flowChartProcess">
                            <a:avLst/>
                          </a:prstGeom>
                          <a:solidFill>
                            <a:srgbClr val="FFFFFF"/>
                          </a:solidFill>
                          <a:ln w="9525">
                            <a:solidFill>
                              <a:srgbClr val="000000"/>
                            </a:solidFill>
                            <a:miter lim="800000"/>
                            <a:headEnd/>
                            <a:tailEnd/>
                          </a:ln>
                        </wps:spPr>
                        <wps:txbx>
                          <w:txbxContent>
                            <w:p w:rsidR="00602F11" w:rsidRPr="00695DBA" w:rsidRDefault="00602F11" w:rsidP="00695DBA">
                              <w:pPr>
                                <w:jc w:val="center"/>
                                <w:rPr>
                                  <w:b/>
                                  <w:sz w:val="18"/>
                                  <w:szCs w:val="18"/>
                                </w:rPr>
                              </w:pPr>
                              <w:r w:rsidRPr="00695DBA">
                                <w:rPr>
                                  <w:b/>
                                  <w:sz w:val="18"/>
                                  <w:szCs w:val="18"/>
                                </w:rPr>
                                <w:t>ISP’s</w:t>
                              </w:r>
                            </w:p>
                          </w:txbxContent>
                        </wps:txbx>
                        <wps:bodyPr rot="0" vert="horz" wrap="square" lIns="91440" tIns="45720" rIns="91440" bIns="45720" anchor="ctr" anchorCtr="0" upright="1">
                          <a:noAutofit/>
                        </wps:bodyPr>
                      </wps:wsp>
                      <wps:wsp>
                        <wps:cNvPr id="944" name="AutoShape 11"/>
                        <wps:cNvSpPr>
                          <a:spLocks noChangeArrowheads="1"/>
                        </wps:cNvSpPr>
                        <wps:spPr bwMode="auto">
                          <a:xfrm>
                            <a:off x="4648200" y="1533525"/>
                            <a:ext cx="1485900" cy="472440"/>
                          </a:xfrm>
                          <a:prstGeom prst="flowChartAlternateProcess">
                            <a:avLst/>
                          </a:prstGeom>
                          <a:solidFill>
                            <a:srgbClr val="FFFFFF"/>
                          </a:solidFill>
                          <a:ln w="9525">
                            <a:solidFill>
                              <a:srgbClr val="000000"/>
                            </a:solidFill>
                            <a:miter lim="800000"/>
                            <a:headEnd/>
                            <a:tailEnd/>
                          </a:ln>
                        </wps:spPr>
                        <wps:txbx>
                          <w:txbxContent>
                            <w:p w:rsidR="00602F11" w:rsidRPr="00695DBA" w:rsidRDefault="00602F11" w:rsidP="00695DBA">
                              <w:pPr>
                                <w:jc w:val="center"/>
                                <w:rPr>
                                  <w:b/>
                                  <w:sz w:val="18"/>
                                  <w:szCs w:val="18"/>
                                </w:rPr>
                              </w:pPr>
                              <w:r w:rsidRPr="00695DBA">
                                <w:rPr>
                                  <w:b/>
                                  <w:sz w:val="18"/>
                                  <w:szCs w:val="18"/>
                                </w:rPr>
                                <w:t>Personnel</w:t>
                              </w:r>
                            </w:p>
                          </w:txbxContent>
                        </wps:txbx>
                        <wps:bodyPr rot="0" vert="horz" wrap="square" lIns="91440" tIns="45720" rIns="91440" bIns="45720" anchor="ctr" anchorCtr="0" upright="1">
                          <a:noAutofit/>
                        </wps:bodyPr>
                      </wps:wsp>
                      <wps:wsp>
                        <wps:cNvPr id="945" name="AutoShape 12"/>
                        <wps:cNvSpPr>
                          <a:spLocks noChangeArrowheads="1"/>
                        </wps:cNvSpPr>
                        <wps:spPr bwMode="auto">
                          <a:xfrm>
                            <a:off x="2466975" y="0"/>
                            <a:ext cx="1673733" cy="533400"/>
                          </a:xfrm>
                          <a:prstGeom prst="flowChartProcess">
                            <a:avLst/>
                          </a:prstGeom>
                          <a:solidFill>
                            <a:srgbClr val="FFFFFF"/>
                          </a:solidFill>
                          <a:ln w="9525">
                            <a:solidFill>
                              <a:srgbClr val="000000"/>
                            </a:solidFill>
                            <a:miter lim="800000"/>
                            <a:headEnd/>
                            <a:tailEnd/>
                          </a:ln>
                        </wps:spPr>
                        <wps:txbx>
                          <w:txbxContent>
                            <w:p w:rsidR="00602F11" w:rsidRPr="00695DBA" w:rsidRDefault="00602F11" w:rsidP="00695DBA">
                              <w:pPr>
                                <w:contextualSpacing/>
                                <w:jc w:val="center"/>
                                <w:rPr>
                                  <w:b/>
                                  <w:sz w:val="18"/>
                                  <w:szCs w:val="18"/>
                                </w:rPr>
                              </w:pPr>
                              <w:r w:rsidRPr="00695DBA">
                                <w:rPr>
                                  <w:rFonts w:hint="eastAsia"/>
                                  <w:b/>
                                  <w:sz w:val="18"/>
                                  <w:szCs w:val="18"/>
                                </w:rPr>
                                <w:t>Service</w:t>
                              </w:r>
                              <w:r w:rsidRPr="00695DBA">
                                <w:rPr>
                                  <w:b/>
                                  <w:sz w:val="18"/>
                                  <w:szCs w:val="18"/>
                                </w:rPr>
                                <w:t xml:space="preserve"> Tariff</w:t>
                              </w:r>
                              <w:r w:rsidRPr="00695DBA">
                                <w:rPr>
                                  <w:b/>
                                  <w:sz w:val="18"/>
                                  <w:szCs w:val="18"/>
                                  <w:vertAlign w:val="superscript"/>
                                </w:rPr>
                                <w:t>*</w:t>
                              </w:r>
                            </w:p>
                            <w:p w:rsidR="00602F11" w:rsidRPr="00695DBA" w:rsidRDefault="00602F11" w:rsidP="00695DBA">
                              <w:pPr>
                                <w:contextualSpacing/>
                                <w:jc w:val="center"/>
                                <w:rPr>
                                  <w:b/>
                                  <w:sz w:val="18"/>
                                  <w:szCs w:val="18"/>
                                </w:rPr>
                              </w:pPr>
                              <w:r w:rsidRPr="00695DBA">
                                <w:rPr>
                                  <w:rFonts w:hint="eastAsia"/>
                                  <w:b/>
                                  <w:sz w:val="18"/>
                                  <w:szCs w:val="18"/>
                                </w:rPr>
                                <w:t>(e.g., mobile, NGN)</w:t>
                              </w:r>
                            </w:p>
                          </w:txbxContent>
                        </wps:txbx>
                        <wps:bodyPr rot="0" vert="horz" wrap="square" lIns="91440" tIns="45720" rIns="91440" bIns="45720" anchor="ctr" anchorCtr="0" upright="1">
                          <a:noAutofit/>
                        </wps:bodyPr>
                      </wps:wsp>
                      <wps:wsp>
                        <wps:cNvPr id="946" name="AutoShape 13"/>
                        <wps:cNvSpPr>
                          <a:spLocks noChangeArrowheads="1"/>
                        </wps:cNvSpPr>
                        <wps:spPr bwMode="auto">
                          <a:xfrm>
                            <a:off x="4619625" y="161925"/>
                            <a:ext cx="1536700" cy="516255"/>
                          </a:xfrm>
                          <a:prstGeom prst="roundRect">
                            <a:avLst>
                              <a:gd name="adj" fmla="val 16667"/>
                            </a:avLst>
                          </a:prstGeom>
                          <a:solidFill>
                            <a:srgbClr val="FFFFFF"/>
                          </a:solidFill>
                          <a:ln w="9525">
                            <a:solidFill>
                              <a:srgbClr val="000000"/>
                            </a:solidFill>
                            <a:round/>
                            <a:headEnd/>
                            <a:tailEnd/>
                          </a:ln>
                        </wps:spPr>
                        <wps:txbx>
                          <w:txbxContent>
                            <w:p w:rsidR="00602F11" w:rsidRPr="00695DBA" w:rsidRDefault="00602F11" w:rsidP="00695DBA">
                              <w:pPr>
                                <w:jc w:val="center"/>
                                <w:rPr>
                                  <w:b/>
                                  <w:sz w:val="18"/>
                                  <w:szCs w:val="18"/>
                                </w:rPr>
                              </w:pPr>
                              <w:r w:rsidRPr="00695DBA">
                                <w:rPr>
                                  <w:b/>
                                  <w:sz w:val="18"/>
                                  <w:szCs w:val="18"/>
                                </w:rPr>
                                <w:t>Network Costs</w:t>
                              </w:r>
                            </w:p>
                          </w:txbxContent>
                        </wps:txbx>
                        <wps:bodyPr rot="0" vert="horz" wrap="square" lIns="91440" tIns="45720" rIns="91440" bIns="45720" anchor="ctr" anchorCtr="0" upright="1">
                          <a:noAutofit/>
                        </wps:bodyPr>
                      </wps:wsp>
                      <wps:wsp>
                        <wps:cNvPr id="947" name="AutoShape 14"/>
                        <wps:cNvSpPr>
                          <a:spLocks noChangeArrowheads="1"/>
                        </wps:cNvSpPr>
                        <wps:spPr bwMode="auto">
                          <a:xfrm>
                            <a:off x="4619625" y="819150"/>
                            <a:ext cx="1555750" cy="558800"/>
                          </a:xfrm>
                          <a:prstGeom prst="flowChartAlternateProcess">
                            <a:avLst/>
                          </a:prstGeom>
                          <a:solidFill>
                            <a:srgbClr val="FFFFFF"/>
                          </a:solidFill>
                          <a:ln w="9525">
                            <a:solidFill>
                              <a:srgbClr val="000000"/>
                            </a:solidFill>
                            <a:miter lim="800000"/>
                            <a:headEnd/>
                            <a:tailEnd/>
                          </a:ln>
                        </wps:spPr>
                        <wps:txbx>
                          <w:txbxContent>
                            <w:p w:rsidR="00602F11" w:rsidRPr="00695DBA" w:rsidRDefault="00602F11" w:rsidP="00695DBA">
                              <w:pPr>
                                <w:jc w:val="center"/>
                                <w:rPr>
                                  <w:b/>
                                  <w:sz w:val="18"/>
                                  <w:szCs w:val="18"/>
                                </w:rPr>
                              </w:pPr>
                              <w:r w:rsidRPr="00695DBA">
                                <w:rPr>
                                  <w:b/>
                                  <w:sz w:val="18"/>
                                  <w:szCs w:val="18"/>
                                </w:rPr>
                                <w:t>National Taxes</w:t>
                              </w:r>
                            </w:p>
                          </w:txbxContent>
                        </wps:txbx>
                        <wps:bodyPr rot="0" vert="horz" wrap="square" lIns="91440" tIns="45720" rIns="91440" bIns="45720" anchor="ctr" anchorCtr="0" upright="1">
                          <a:noAutofit/>
                        </wps:bodyPr>
                      </wps:wsp>
                    </wpg:wgp>
                  </a:graphicData>
                </a:graphic>
              </wp:inline>
            </w:drawing>
          </mc:Choice>
          <mc:Fallback>
            <w:pict>
              <v:group id="Group 934" o:spid="_x0000_s1026" style="width:401pt;height:157.45pt;mso-position-horizontal-relative:char;mso-position-vertical-relative:line" coordsize="61753,200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">
                <v:shapetype id="_x0000_t32" coordsize="21600,21600" o:spt="32" o:oned="t" path="m,l21600,21600e" filled="f">
                  <v:path arrowok="t" fillok="f" o:connecttype="none"/>
                  <o:lock v:ext="edit" shapetype="t"/>
                </v:shapetype>
                <v:shape id="AutoShape 2" o:spid="_x0000_s1027" type="#_x0000_t32" style="position:absolute;left:33718;top:1905;width:95;height:86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oegsYAAADcAAAADwAAAGRycy9kb3ducmV2LnhtbESPQWvCQBSE74X+h+UVvNWNFsVEVxHB&#10;IpYe1BLq7ZF9TUKzb8PuqtFf3y0IHoeZ+YaZLTrTiDM5X1tWMOgnIIgLq2suFXwd1q8TED4ga2ws&#10;k4IreVjMn59mmGl74R2d96EUEcI+QwVVCG0mpS8qMuj7tiWO3o91BkOUrpTa4SXCTSOHSTKWBmuO&#10;CxW2tKqo+N2fjILvj/SUX/NP2uaDdHtEZ/zt8K5U76VbTkEE6sIjfG9vtIL0bQT/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6HoLGAAAA3AAAAA8AAAAAAAAA&#10;AAAAAAAAoQIAAGRycy9kb3ducmV2LnhtbFBLBQYAAAAABAAEAPkAAACUAwAAAAA=&#10;">
                  <v:stroke endarrow="block"/>
                </v:shape>
                <v:shape id="AutoShape 3" o:spid="_x0000_s1028" type="#_x0000_t32" style="position:absolute;left:35337;top:4953;width:10637;height:607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LtsQAAADcAAAADwAAAGRycy9kb3ducmV2LnhtbESPzWrDMBCE74W8g9hAb42cloTEtRzS&#10;QCH0UvID6XGxtraotTKWajlvXwUKOQ4z8w1TbEbbioF6bxwrmM8yEMSV04ZrBefT+9MKhA/IGlvH&#10;pOBKHjbl5KHAXLvIBxqOoRYJwj5HBU0IXS6lrxqy6GeuI07et+sthiT7WuoeY4LbVj5n2VJaNJwW&#10;Guxo11D1c/y1Ckz8NEO338W3j8uX15HMdeGMUo/TcfsKItAY7uH/9l4rWL8s4XYmHQFZ/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cu2xAAAANwAAAAPAAAAAAAAAAAA&#10;AAAAAKECAABkcnMvZG93bnJldi54bWxQSwUGAAAAAAQABAD5AAAAkgMAAAAA&#10;">
                  <v:stroke endarrow="block"/>
                </v:shape>
                <v:shape id="AutoShape 4" o:spid="_x0000_s1029" type="#_x0000_t32" style="position:absolute;left:23241;top:11811;width:447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QlbsYAAADcAAAADwAAAGRycy9kb3ducmV2LnhtbESPQWvCQBSE74X+h+UVvNWNFtREVxHB&#10;IpYe1BLq7ZF9TUKzb8PuqtFf3y0IHoeZ+YaZLTrTiDM5X1tWMOgnIIgLq2suFXwd1q8TED4ga2ws&#10;k4IreVjMn59mmGl74R2d96EUEcI+QwVVCG0mpS8qMuj7tiWO3o91BkOUrpTa4SXCTSOHSTKSBmuO&#10;CxW2tKqo+N2fjILvj/SUX/NP2uaDdHtEZ/zt8K5U76VbTkEE6sIjfG9vtIL0bQz/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kJW7GAAAA3AAAAA8AAAAAAAAA&#10;AAAAAAAAoQIAAGRycy9kb3ducmV2LnhtbFBLBQYAAAAABAAEAPkAAACUAwAAAAA=&#10;">
                  <v:stroke endarrow="block"/>
                </v:shape>
                <v:shape id="AutoShape 5" o:spid="_x0000_s1030" type="#_x0000_t32" style="position:absolute;left:9525;top:11811;width:438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uxHMMAAADcAAAADwAAAGRycy9kb3ducmV2LnhtbERPz2vCMBS+D/wfwhN2m2kdDNsZiwiO&#10;4djBKsXdHs1bW9a8lCRq3V+/HAYeP77fy2I0vbiQ851lBeksAUFcW91xo+B42D4tQPiArLG3TApu&#10;5KFYTR6WmGt75T1dytCIGMI+RwVtCEMupa9bMuhndiCO3Ld1BkOErpHa4TWGm17Ok+RFGuw4NrQ4&#10;0Kal+qc8GwWnj+xc3apP2lVptvtCZ/zv4U2px+m4fgURaAx38b/7XSvInuPaeCYe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7sRzDAAAA3AAAAA8AAAAAAAAAAAAA&#10;AAAAoQIAAGRycy9kb3ducmV2LnhtbFBLBQYAAAAABAAEAPkAAACRAwAAAAA=&#10;">
                  <v:stroke endarrow="block"/>
                </v:shape>
                <v:shapetype id="_x0000_t109" coordsize="21600,21600" o:spt="109" path="m,l,21600r21600,l21600,xe">
                  <v:stroke joinstyle="miter"/>
                  <v:path gradientshapeok="t" o:connecttype="rect"/>
                </v:shapetype>
                <v:shape id="AutoShape 6" o:spid="_x0000_s1031" type="#_x0000_t109" style="position:absolute;top:10572;width:9525;height:7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AwMcYA&#10;AADcAAAADwAAAGRycy9kb3ducmV2LnhtbESPQWvCQBSE7wX/w/KEXkQ3apUYXaUUUvTgwejF2zP7&#10;TILZtyG7jem/7xYKPQ4z8w2z2fWmFh21rrKsYDqJQBDnVldcKLic03EMwnlkjbVlUvBNDnbbwcsG&#10;E22ffKIu84UIEHYJKii9bxIpXV6SQTexDXHw7rY16INsC6lbfAa4qeUsipbSYMVhocSGPkrKH9mX&#10;UTCLR9knH9P92+2gU1xMr91oflDqddi/r0F46v1/+K+91wpW8xX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AwMcYAAADcAAAADwAAAAAAAAAAAAAAAACYAgAAZHJz&#10;L2Rvd25yZXYueG1sUEsFBgAAAAAEAAQA9QAAAIsDAAAAAA==&#10;">
                  <v:textbox>
                    <w:txbxContent>
                      <w:p w:rsidR="00602F11" w:rsidRPr="00695DBA" w:rsidRDefault="00602F11" w:rsidP="00695DBA">
                        <w:pPr>
                          <w:adjustRightInd w:val="0"/>
                          <w:snapToGrid w:val="0"/>
                          <w:jc w:val="center"/>
                          <w:rPr>
                            <w:sz w:val="18"/>
                            <w:szCs w:val="18"/>
                          </w:rPr>
                        </w:pPr>
                        <w:r w:rsidRPr="00695DBA">
                          <w:rPr>
                            <w:b/>
                            <w:sz w:val="18"/>
                            <w:szCs w:val="18"/>
                          </w:rPr>
                          <w:t>Internet Gateway Operator</w:t>
                        </w:r>
                      </w:p>
                    </w:txbxContent>
                  </v:textbox>
                </v:shape>
                <v:shape id="AutoShape 7" o:spid="_x0000_s1032" type="#_x0000_t32" style="position:absolute;left:35337;top:10953;width:11145;height:650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GflMEAAADcAAAADwAAAGRycy9kb3ducmV2LnhtbERPO2vDMBDeC/kP4grZGrnGhMSJbEpK&#10;oZQueQwZD+sim1onY10T599XQyHjx/fe1pPv1ZXG2AU28LrIQBE3wXbsDJyOHy8rUFGQLfaBycCd&#10;ItTV7GmLpQ033tP1IE6lEI4lGmhFhlLr2LTkMS7CQJy4Sxg9SoKj03bEWwr3vc6zbKk9dpwaWhxo&#10;11Lzc/j1Bs4n/73Oi3fvCneUvdBXlxdLY+bP09sGlNAkD/G/+9MaWBdpfjqTjoC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UZ+UwQAAANwAAAAPAAAAAAAAAAAAAAAA&#10;AKECAABkcnMvZG93bnJldi54bWxQSwUGAAAAAAQABAD5AAAAjwMAAAAA&#10;">
                  <v:stroke endarrow="block"/>
                </v:shape>
                <v:shape id="AutoShape 8" o:spid="_x0000_s1033" type="#_x0000_t32" style="position:absolute;left:35337;top:11239;width:10637;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Ygv8MAAADcAAAADwAAAGRycy9kb3ducmV2LnhtbESPQWsCMRSE74X+h/AK3mpW0dKuRmkF&#10;QbxItVCPj81zN7h5WTZxs/57Iwgeh5n5hpkve1uLjlpvHCsYDTMQxIXThksFf4f1+ycIH5A11o5J&#10;wZU8LBevL3PMtYv8S90+lCJB2OeooAqhyaX0RUUW/dA1xMk7udZiSLItpW4xJrit5TjLPqRFw2mh&#10;woZWFRXn/cUqMHFnumazij/b/6PXkcx16oxSg7f+ewYiUB+e4Ud7oxV8TUZwP5OOgF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WIL/DAAAA3AAAAA8AAAAAAAAAAAAA&#10;AAAAoQIAAGRycy9kb3ducmV2LnhtbFBLBQYAAAAABAAEAPkAAACRAwAAAAA=&#10;">
                  <v:stroke endarrow="block"/>
                </v:shape>
                <v:shape id="AutoShape 9" o:spid="_x0000_s1034" type="#_x0000_t109" style="position:absolute;left:27622;top:10572;width:7715;height:60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oqOsUA&#10;AADcAAAADwAAAGRycy9kb3ducmV2LnhtbESPX2vCQBDE3wv9DscKfSl6qUi0qadUoVB8Kf6hz9vc&#10;mkSze2nu1PTb9wTBx2FmfsNM5x3X6kytr5wYeBkkoEhyZyspDOy2H/0JKB9QLNZOyMAfeZjPHh+m&#10;mFl3kTWdN6FQESI+QwNlCE2mtc9LYvQD15BEb+9axhBlW2jb4iXCudbDJEk1YyVxocSGliXlx82J&#10;DSz4xx2+q/U4HXH3LMVvyqevlTFPve79DVSgLtzDt/anNfA6GsL1TDwCev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mio6xQAAANwAAAAPAAAAAAAAAAAAAAAAAJgCAABkcnMv&#10;ZG93bnJldi54bWxQSwUGAAAAAAQABAD1AAAAigMAAAAA&#10;">
                  <v:textbox>
                    <w:txbxContent>
                      <w:p w:rsidR="00602F11" w:rsidRPr="00695DBA" w:rsidRDefault="00602F11" w:rsidP="00695DBA">
                        <w:pPr>
                          <w:jc w:val="center"/>
                          <w:rPr>
                            <w:b/>
                            <w:sz w:val="18"/>
                            <w:szCs w:val="18"/>
                          </w:rPr>
                        </w:pPr>
                        <w:r w:rsidRPr="00695DBA">
                          <w:rPr>
                            <w:b/>
                            <w:sz w:val="18"/>
                            <w:szCs w:val="18"/>
                          </w:rPr>
                          <w:t>COSTS</w:t>
                        </w:r>
                      </w:p>
                    </w:txbxContent>
                  </v:textbox>
                </v:shape>
                <v:shape id="AutoShape 10" o:spid="_x0000_s1035" type="#_x0000_t109" style="position:absolute;left:13906;top:10572;width:933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aPocUA&#10;AADcAAAADwAAAGRycy9kb3ducmV2LnhtbESPQWvCQBSE70L/w/KEXkQ3bSWt0VVqoVB6Ea30/Mw+&#10;k9i8tzG7avrvuwXB4zAz3zCzRce1OlPrKycGHkYJKJLc2UoKA9uv9+ELKB9QLNZOyMAveVjM73oz&#10;zKy7yJrOm1CoCBGfoYEyhCbT2uclMfqRa0iit3ctY4iyLbRt8RLhXOvHJEk1YyVxocSG3krKfzYn&#10;NrDknTt8V+vndMzdQIpjyqfVpzH3/e51CipQF27ha/vDGpiMn+D/TDwCe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1o+hxQAAANwAAAAPAAAAAAAAAAAAAAAAAJgCAABkcnMv&#10;ZG93bnJldi54bWxQSwUGAAAAAAQABAD1AAAAigMAAAAA&#10;">
                  <v:textbox>
                    <w:txbxContent>
                      <w:p w:rsidR="00602F11" w:rsidRPr="00695DBA" w:rsidRDefault="00602F11" w:rsidP="00695DBA">
                        <w:pPr>
                          <w:jc w:val="center"/>
                          <w:rPr>
                            <w:b/>
                            <w:sz w:val="18"/>
                            <w:szCs w:val="18"/>
                          </w:rPr>
                        </w:pPr>
                        <w:r w:rsidRPr="00695DBA">
                          <w:rPr>
                            <w:b/>
                            <w:sz w:val="18"/>
                            <w:szCs w:val="18"/>
                          </w:rPr>
                          <w:t>ISP’s</w:t>
                        </w:r>
                      </w:p>
                    </w:txbxContent>
                  </v:textbox>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1" o:spid="_x0000_s1036" type="#_x0000_t176" style="position:absolute;left:46482;top:15335;width:14859;height:47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cDdsUA&#10;AADcAAAADwAAAGRycy9kb3ducmV2LnhtbESP3WoCMRSE7wt9h3CE3tWsVsRujVIEoRSKaFe8PWzO&#10;/tDNyZKka9qnN4Lg5TAz3zDLdTSdGMj51rKCyTgDQVxa3XKtoPjePi9A+ICssbNMCv7Iw3r1+LDE&#10;XNsz72k4hFokCPscFTQh9LmUvmzIoB/bnjh5lXUGQ5KultrhOcFNJ6dZNpcGW04LDfa0aaj8Ofwa&#10;BcftS/GJp8L9292x+joNUS+qqNTTKL6/gQgUwz18a39oBa+zGVzPpCM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hwN2xQAAANwAAAAPAAAAAAAAAAAAAAAAAJgCAABkcnMv&#10;ZG93bnJldi54bWxQSwUGAAAAAAQABAD1AAAAigMAAAAA&#10;">
                  <v:textbox>
                    <w:txbxContent>
                      <w:p w:rsidR="00602F11" w:rsidRPr="00695DBA" w:rsidRDefault="00602F11" w:rsidP="00695DBA">
                        <w:pPr>
                          <w:jc w:val="center"/>
                          <w:rPr>
                            <w:b/>
                            <w:sz w:val="18"/>
                            <w:szCs w:val="18"/>
                          </w:rPr>
                        </w:pPr>
                        <w:r w:rsidRPr="00695DBA">
                          <w:rPr>
                            <w:b/>
                            <w:sz w:val="18"/>
                            <w:szCs w:val="18"/>
                          </w:rPr>
                          <w:t>Personnel</w:t>
                        </w:r>
                      </w:p>
                    </w:txbxContent>
                  </v:textbox>
                </v:shape>
                <v:shape id="AutoShape 12" o:spid="_x0000_s1037" type="#_x0000_t109" style="position:absolute;left:24669;width:16738;height:5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OyTsUA&#10;AADcAAAADwAAAGRycy9kb3ducmV2LnhtbESPQWvCQBSE74X+h+UJXopuKjat0VVqoVB6Ea30/Mw+&#10;k9i8tzG7avrvXaHQ4zAz3zCzRce1OlPrKycGHocJKJLc2UoKA9uv98ELKB9QLNZOyMAveVjM7+9m&#10;mFl3kTWdN6FQESI+QwNlCE2mtc9LYvRD15BEb+9axhBlW2jb4iXCudajJEk1YyVxocSG3krKfzYn&#10;NrDknTt8V+vndMzdgxTHlE+rT2P6ve51CipQF/7Df+0Pa2AyfoLbmXgE9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c7JOxQAAANwAAAAPAAAAAAAAAAAAAAAAAJgCAABkcnMv&#10;ZG93bnJldi54bWxQSwUGAAAAAAQABAD1AAAAigMAAAAA&#10;">
                  <v:textbox>
                    <w:txbxContent>
                      <w:p w:rsidR="00602F11" w:rsidRPr="00695DBA" w:rsidRDefault="00602F11" w:rsidP="00695DBA">
                        <w:pPr>
                          <w:contextualSpacing/>
                          <w:jc w:val="center"/>
                          <w:rPr>
                            <w:b/>
                            <w:sz w:val="18"/>
                            <w:szCs w:val="18"/>
                          </w:rPr>
                        </w:pPr>
                        <w:r w:rsidRPr="00695DBA">
                          <w:rPr>
                            <w:rFonts w:hint="eastAsia"/>
                            <w:b/>
                            <w:sz w:val="18"/>
                            <w:szCs w:val="18"/>
                          </w:rPr>
                          <w:t>Service</w:t>
                        </w:r>
                        <w:r w:rsidRPr="00695DBA">
                          <w:rPr>
                            <w:b/>
                            <w:sz w:val="18"/>
                            <w:szCs w:val="18"/>
                          </w:rPr>
                          <w:t xml:space="preserve"> Tariff</w:t>
                        </w:r>
                        <w:r w:rsidRPr="00695DBA">
                          <w:rPr>
                            <w:b/>
                            <w:sz w:val="18"/>
                            <w:szCs w:val="18"/>
                            <w:vertAlign w:val="superscript"/>
                          </w:rPr>
                          <w:t>*</w:t>
                        </w:r>
                      </w:p>
                      <w:p w:rsidR="00602F11" w:rsidRPr="00695DBA" w:rsidRDefault="00602F11" w:rsidP="00695DBA">
                        <w:pPr>
                          <w:contextualSpacing/>
                          <w:jc w:val="center"/>
                          <w:rPr>
                            <w:b/>
                            <w:sz w:val="18"/>
                            <w:szCs w:val="18"/>
                          </w:rPr>
                        </w:pPr>
                        <w:r w:rsidRPr="00695DBA">
                          <w:rPr>
                            <w:rFonts w:hint="eastAsia"/>
                            <w:b/>
                            <w:sz w:val="18"/>
                            <w:szCs w:val="18"/>
                          </w:rPr>
                          <w:t>(e.g., mobile, NGN)</w:t>
                        </w:r>
                      </w:p>
                    </w:txbxContent>
                  </v:textbox>
                </v:shape>
                <v:roundrect id="AutoShape 13" o:spid="_x0000_s1038" style="position:absolute;left:46196;top:1619;width:15367;height:516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eB7cUA&#10;AADcAAAADwAAAGRycy9kb3ducmV2LnhtbESP0WoCMRRE3wX/IVyhL6JZq9i6GqVYCkL1oeoHXDa3&#10;u4ubmzXJ6tavN0LBx2FmzjCLVWsqcSHnS8sKRsMEBHFmdcm5guPha/AOwgdkjZVlUvBHHlbLbmeB&#10;qbZX/qHLPuQiQtinqKAIoU6l9FlBBv3Q1sTR+7XOYIjS5VI7vEa4qeRrkkylwZLjQoE1rQvKTvvG&#10;KMh35zG/Hcbfs0kdnNza5rb+7Cv10ms/5iACteEZ/m9vtILZZAqP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p4HtxQAAANwAAAAPAAAAAAAAAAAAAAAAAJgCAABkcnMv&#10;ZG93bnJldi54bWxQSwUGAAAAAAQABAD1AAAAigMAAAAA&#10;">
                  <v:textbox>
                    <w:txbxContent>
                      <w:p w:rsidR="00602F11" w:rsidRPr="00695DBA" w:rsidRDefault="00602F11" w:rsidP="00695DBA">
                        <w:pPr>
                          <w:jc w:val="center"/>
                          <w:rPr>
                            <w:b/>
                            <w:sz w:val="18"/>
                            <w:szCs w:val="18"/>
                          </w:rPr>
                        </w:pPr>
                        <w:r w:rsidRPr="00695DBA">
                          <w:rPr>
                            <w:b/>
                            <w:sz w:val="18"/>
                            <w:szCs w:val="18"/>
                          </w:rPr>
                          <w:t>Network Costs</w:t>
                        </w:r>
                      </w:p>
                    </w:txbxContent>
                  </v:textbox>
                </v:roundrect>
                <v:shape id="AutoShape 14" o:spid="_x0000_s1039" type="#_x0000_t176" style="position:absolute;left:46196;top:8191;width:15557;height:55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WdAcUA&#10;AADcAAAADwAAAGRycy9kb3ducmV2LnhtbESP3UoDMRSE7wXfIRzBO5utllrXzRYRClKQ0rqlt4fN&#10;2R+6OVmSuI0+vREEL4eZ+YYp1tEMYiLne8sK5rMMBHFtdc+tgupjc7cC4QOyxsEyKfgiD+vy+qrA&#10;XNsL72k6hFYkCPscFXQhjLmUvu7IoJ/ZkTh5jXUGQ5KuldrhJcHNIO+zbCkN9pwWOhzptaP6fPg0&#10;Co6bh2qLp8p9292xeT9NUa+aqNTtTXx5BhEohv/wX/tNK3haPMLvmXQEZ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VZ0BxQAAANwAAAAPAAAAAAAAAAAAAAAAAJgCAABkcnMv&#10;ZG93bnJldi54bWxQSwUGAAAAAAQABAD1AAAAigMAAAAA&#10;">
                  <v:textbox>
                    <w:txbxContent>
                      <w:p w:rsidR="00602F11" w:rsidRPr="00695DBA" w:rsidRDefault="00602F11" w:rsidP="00695DBA">
                        <w:pPr>
                          <w:jc w:val="center"/>
                          <w:rPr>
                            <w:b/>
                            <w:sz w:val="18"/>
                            <w:szCs w:val="18"/>
                          </w:rPr>
                        </w:pPr>
                        <w:r w:rsidRPr="00695DBA">
                          <w:rPr>
                            <w:b/>
                            <w:sz w:val="18"/>
                            <w:szCs w:val="18"/>
                          </w:rPr>
                          <w:t>National Taxes</w:t>
                        </w:r>
                      </w:p>
                    </w:txbxContent>
                  </v:textbox>
                </v:shape>
                <w10:anchorlock/>
              </v:group>
            </w:pict>
          </mc:Fallback>
        </mc:AlternateContent>
      </w:r>
    </w:p>
    <w:p w:rsidR="00A85916" w:rsidRPr="00CD5563" w:rsidRDefault="00A85916" w:rsidP="000F392A">
      <w:pPr>
        <w:pStyle w:val="Figure"/>
        <w:rPr>
          <w:lang w:val="en-GB"/>
        </w:rPr>
      </w:pPr>
    </w:p>
    <w:p w:rsidR="0008639C" w:rsidRPr="00CD5563" w:rsidRDefault="0008639C" w:rsidP="00A85916">
      <w:pPr>
        <w:pStyle w:val="figuresource"/>
        <w:rPr>
          <w:lang w:val="en-GB"/>
        </w:rPr>
      </w:pPr>
      <w:r w:rsidRPr="00CD5563">
        <w:rPr>
          <w:lang w:val="en-GB"/>
        </w:rPr>
        <w:t>*</w:t>
      </w:r>
      <w:r w:rsidR="00A85916" w:rsidRPr="00CD5563">
        <w:rPr>
          <w:lang w:val="en-GB"/>
        </w:rPr>
        <w:tab/>
      </w:r>
      <w:r w:rsidRPr="00CD5563">
        <w:rPr>
          <w:lang w:val="en-GB"/>
        </w:rPr>
        <w:t>This block has been modified from “GSM/NGN tariff” to “service Tariff (e.g., mobile and NGN), because this block shows an input to the costs from other service aspects.</w:t>
      </w:r>
    </w:p>
    <w:p w:rsidR="00A85916" w:rsidRPr="00CD5563" w:rsidRDefault="00A85916">
      <w:pPr>
        <w:spacing w:before="0"/>
        <w:jc w:val="left"/>
        <w:rPr>
          <w:rFonts w:eastAsia="Times New Roman" w:cs="Helvetica"/>
          <w:b/>
          <w:bCs/>
          <w:color w:val="005173"/>
          <w:sz w:val="28"/>
          <w:szCs w:val="28"/>
          <w:lang w:val="en-GB"/>
        </w:rPr>
      </w:pPr>
      <w:r w:rsidRPr="00CD5563">
        <w:rPr>
          <w:lang w:val="en-GB"/>
        </w:rPr>
        <w:br w:type="page"/>
      </w:r>
    </w:p>
    <w:p w:rsidR="0008639C" w:rsidRPr="00CD5563" w:rsidRDefault="0008639C" w:rsidP="00A85916">
      <w:pPr>
        <w:pStyle w:val="Heading1"/>
        <w:rPr>
          <w:lang w:val="en-GB"/>
        </w:rPr>
      </w:pPr>
      <w:bookmarkStart w:id="46" w:name="_Toc380487686"/>
      <w:bookmarkStart w:id="47" w:name="_Toc381025005"/>
      <w:r w:rsidRPr="00CD5563">
        <w:rPr>
          <w:lang w:val="en-GB"/>
        </w:rPr>
        <w:t xml:space="preserve">Annex </w:t>
      </w:r>
      <w:r w:rsidRPr="00CD5563">
        <w:rPr>
          <w:rFonts w:eastAsiaTheme="minorEastAsia"/>
          <w:lang w:val="en-GB" w:eastAsia="ko-KR"/>
        </w:rPr>
        <w:t>3</w:t>
      </w:r>
      <w:r w:rsidRPr="00CD5563">
        <w:rPr>
          <w:lang w:val="en-GB"/>
        </w:rPr>
        <w:t>: NGN Functional Architecture/Security</w:t>
      </w:r>
      <w:bookmarkEnd w:id="46"/>
      <w:bookmarkEnd w:id="47"/>
    </w:p>
    <w:p w:rsidR="0008639C" w:rsidRPr="00CD5563" w:rsidRDefault="00A85916" w:rsidP="00A85916">
      <w:pPr>
        <w:pStyle w:val="Heading1"/>
        <w:rPr>
          <w:lang w:val="en-GB"/>
        </w:rPr>
      </w:pPr>
      <w:bookmarkStart w:id="48" w:name="_Toc380487687"/>
      <w:bookmarkStart w:id="49" w:name="_Toc381025006"/>
      <w:r w:rsidRPr="00CD5563">
        <w:rPr>
          <w:lang w:val="en-GB"/>
        </w:rPr>
        <w:t>1</w:t>
      </w:r>
      <w:r w:rsidR="0008639C" w:rsidRPr="00CD5563">
        <w:rPr>
          <w:lang w:val="en-GB"/>
        </w:rPr>
        <w:tab/>
        <w:t>NGN Functional Architecture</w:t>
      </w:r>
      <w:bookmarkEnd w:id="48"/>
      <w:bookmarkEnd w:id="49"/>
    </w:p>
    <w:p w:rsidR="0008639C" w:rsidRPr="00CD5563" w:rsidRDefault="0008639C" w:rsidP="00A85916">
      <w:pPr>
        <w:pStyle w:val="Heading2"/>
        <w:rPr>
          <w:lang w:val="en-GB"/>
        </w:rPr>
      </w:pPr>
      <w:bookmarkStart w:id="50" w:name="_Toc380487688"/>
      <w:bookmarkStart w:id="51" w:name="_Toc381025007"/>
      <w:bookmarkStart w:id="52" w:name="_Toc150021196"/>
      <w:r w:rsidRPr="00CD5563">
        <w:rPr>
          <w:lang w:val="en-GB"/>
        </w:rPr>
        <w:t>1.1</w:t>
      </w:r>
      <w:r w:rsidRPr="00CD5563">
        <w:rPr>
          <w:lang w:val="en-GB"/>
        </w:rPr>
        <w:tab/>
        <w:t>General Principles and Reference Architecture Model</w:t>
      </w:r>
      <w:bookmarkEnd w:id="50"/>
      <w:bookmarkEnd w:id="51"/>
    </w:p>
    <w:bookmarkEnd w:id="52"/>
    <w:p w:rsidR="0008639C" w:rsidRPr="00CD5563" w:rsidRDefault="0008639C" w:rsidP="00AB21CF">
      <w:pPr>
        <w:rPr>
          <w:lang w:val="en-GB"/>
        </w:rPr>
      </w:pPr>
      <w:r w:rsidRPr="00CD5563">
        <w:rPr>
          <w:lang w:val="en-GB"/>
        </w:rPr>
        <w:t>As far as NGN systems (non-OSI systems) are concerned, all or some of the following situations may be encountered when considering the OSI 7-layer basic reference model (OSI BRM):</w:t>
      </w:r>
    </w:p>
    <w:p w:rsidR="0008639C" w:rsidRPr="00CD5563" w:rsidRDefault="00A85916" w:rsidP="00AB21CF">
      <w:pPr>
        <w:pStyle w:val="Enumlevel1"/>
      </w:pPr>
      <w:r w:rsidRPr="00CD5563">
        <w:t>•</w:t>
      </w:r>
      <w:r w:rsidRPr="00CD5563">
        <w:tab/>
      </w:r>
      <w:r w:rsidR="0008639C" w:rsidRPr="00CD5563">
        <w:t>The number of layers may not equal seven;</w:t>
      </w:r>
    </w:p>
    <w:p w:rsidR="0008639C" w:rsidRPr="00CD5563" w:rsidRDefault="00A85916" w:rsidP="00AB21CF">
      <w:pPr>
        <w:pStyle w:val="Enumlevel1"/>
      </w:pPr>
      <w:r w:rsidRPr="00CD5563">
        <w:t>•</w:t>
      </w:r>
      <w:r w:rsidRPr="00CD5563">
        <w:tab/>
      </w:r>
      <w:r w:rsidR="0008639C" w:rsidRPr="00CD5563">
        <w:t>The functions of individual layers may not correspond to those of the OSI BRM;</w:t>
      </w:r>
    </w:p>
    <w:p w:rsidR="0008639C" w:rsidRPr="00CD5563" w:rsidRDefault="00A85916" w:rsidP="00AB21CF">
      <w:pPr>
        <w:pStyle w:val="Enumlevel1"/>
      </w:pPr>
      <w:r w:rsidRPr="00CD5563">
        <w:t>•</w:t>
      </w:r>
      <w:r w:rsidRPr="00CD5563">
        <w:tab/>
      </w:r>
      <w:r w:rsidR="0008639C" w:rsidRPr="00CD5563">
        <w:t>Certain prescribed or proscribed conditions/definitions of the OSI BRM may not be applicable;</w:t>
      </w:r>
    </w:p>
    <w:p w:rsidR="0008639C" w:rsidRPr="00CD5563" w:rsidRDefault="00A85916" w:rsidP="00AB21CF">
      <w:pPr>
        <w:pStyle w:val="Enumlevel1"/>
      </w:pPr>
      <w:r w:rsidRPr="00CD5563">
        <w:t>•</w:t>
      </w:r>
      <w:r w:rsidRPr="00CD5563">
        <w:tab/>
      </w:r>
      <w:r w:rsidR="0008639C" w:rsidRPr="00CD5563">
        <w:t>The protocols involved may be other than OSI protocols (one notable example being the IP);</w:t>
      </w:r>
    </w:p>
    <w:p w:rsidR="0008639C" w:rsidRPr="00CD5563" w:rsidRDefault="00A85916" w:rsidP="00AB21CF">
      <w:pPr>
        <w:pStyle w:val="Enumlevel1"/>
      </w:pPr>
      <w:r w:rsidRPr="00CD5563">
        <w:t>•</w:t>
      </w:r>
      <w:r w:rsidRPr="00CD5563">
        <w:tab/>
      </w:r>
      <w:r w:rsidR="0008639C" w:rsidRPr="00CD5563">
        <w:t>The compliance requirements of the OSI BRM may not be applicable.</w:t>
      </w:r>
    </w:p>
    <w:p w:rsidR="00A85916" w:rsidRPr="00CD5563" w:rsidRDefault="00A85916" w:rsidP="00A85916">
      <w:pPr>
        <w:pStyle w:val="Figuretitle"/>
        <w:rPr>
          <w:lang w:val="en-GB"/>
        </w:rPr>
      </w:pPr>
      <w:bookmarkStart w:id="53" w:name="_Toc150021227"/>
      <w:bookmarkStart w:id="54" w:name="_Toc380497372"/>
      <w:r w:rsidRPr="00CD5563">
        <w:rPr>
          <w:lang w:val="en-GB"/>
        </w:rPr>
        <w:t>Figure 1-1: General functional model of NGN</w:t>
      </w:r>
      <w:bookmarkEnd w:id="53"/>
      <w:bookmarkEnd w:id="54"/>
    </w:p>
    <w:p w:rsidR="0008639C" w:rsidRPr="00CD5563" w:rsidRDefault="0008639C" w:rsidP="00A85916">
      <w:pPr>
        <w:pStyle w:val="Figure"/>
        <w:rPr>
          <w:lang w:val="en-GB"/>
        </w:rPr>
      </w:pPr>
      <w:r w:rsidRPr="00CD5563">
        <w:rPr>
          <w:noProof/>
          <w:lang w:val="ru-RU" w:eastAsia="zh-CN"/>
        </w:rPr>
        <w:drawing>
          <wp:inline distT="0" distB="0" distL="0" distR="0" wp14:anchorId="5713C131" wp14:editId="2BE753BD">
            <wp:extent cx="3438525" cy="2247900"/>
            <wp:effectExtent l="19050" t="0" r="9525" b="0"/>
            <wp:docPr id="47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srcRect/>
                    <a:stretch>
                      <a:fillRect/>
                    </a:stretch>
                  </pic:blipFill>
                  <pic:spPr bwMode="auto">
                    <a:xfrm>
                      <a:off x="0" y="0"/>
                      <a:ext cx="3438525" cy="2247900"/>
                    </a:xfrm>
                    <a:prstGeom prst="rect">
                      <a:avLst/>
                    </a:prstGeom>
                    <a:noFill/>
                    <a:ln w="9525">
                      <a:noFill/>
                      <a:miter lim="800000"/>
                      <a:headEnd/>
                      <a:tailEnd/>
                    </a:ln>
                  </pic:spPr>
                </pic:pic>
              </a:graphicData>
            </a:graphic>
          </wp:inline>
        </w:drawing>
      </w:r>
    </w:p>
    <w:p w:rsidR="00A85916" w:rsidRPr="00CD5563" w:rsidRDefault="00A85916" w:rsidP="00A85916">
      <w:pPr>
        <w:pStyle w:val="Figure"/>
        <w:rPr>
          <w:lang w:val="en-GB"/>
        </w:rPr>
      </w:pPr>
    </w:p>
    <w:p w:rsidR="00A85916" w:rsidRPr="00CD5563" w:rsidRDefault="00A85916" w:rsidP="00AB21CF">
      <w:pPr>
        <w:rPr>
          <w:rFonts w:ascii="Verdana" w:hAnsi="Verdana"/>
          <w:sz w:val="19"/>
          <w:szCs w:val="19"/>
          <w:lang w:val="en-GB"/>
        </w:rPr>
      </w:pPr>
    </w:p>
    <w:p w:rsidR="0008639C" w:rsidRPr="00CD5563" w:rsidRDefault="0008639C" w:rsidP="00AB21CF">
      <w:pPr>
        <w:rPr>
          <w:lang w:val="en-GB"/>
        </w:rPr>
      </w:pPr>
      <w:r w:rsidRPr="00CD5563">
        <w:rPr>
          <w:lang w:val="en-GB"/>
        </w:rPr>
        <w:t>The services and functions are related to each other, since functions are used to build services. It is convenient to assemble functions into two distinct groups, or planes, one comprising all control functions and the other comprising all management functions. The grouping of functions of the same type (i.e., control or management) allows the functional inter-relationships within a given group to be defined, as well as the information flows between functions in the given group.</w:t>
      </w:r>
    </w:p>
    <w:p w:rsidR="0008639C" w:rsidRPr="00CD5563" w:rsidRDefault="0008639C" w:rsidP="00A85916">
      <w:pPr>
        <w:rPr>
          <w:lang w:val="en-GB"/>
        </w:rPr>
      </w:pPr>
      <w:r w:rsidRPr="00CD5563">
        <w:rPr>
          <w:lang w:val="en-GB"/>
        </w:rPr>
        <w:t>With this in mind, ITU-T Recommendation Y.2011 goes on to consider the functional aspects of systems implementation. In particular, it develops the following high-level model, which shows how functions may be grouped for the purposes of systems development. The functional blocks shown in Figure 1-1, can then be further decomposed in sub-groups to represent grouping convenient for implementation and distributed system depiction.</w:t>
      </w:r>
    </w:p>
    <w:p w:rsidR="0008639C" w:rsidRPr="00CD5563" w:rsidRDefault="0008639C" w:rsidP="00A85916">
      <w:pPr>
        <w:pStyle w:val="Heading2"/>
        <w:keepLines/>
        <w:rPr>
          <w:lang w:val="en-GB"/>
        </w:rPr>
      </w:pPr>
      <w:bookmarkStart w:id="55" w:name="_Toc380487689"/>
      <w:bookmarkStart w:id="56" w:name="_Toc381025008"/>
      <w:r w:rsidRPr="00CD5563">
        <w:rPr>
          <w:lang w:val="en-GB"/>
        </w:rPr>
        <w:t>1.2</w:t>
      </w:r>
      <w:r w:rsidRPr="00CD5563">
        <w:rPr>
          <w:lang w:val="en-GB"/>
        </w:rPr>
        <w:tab/>
        <w:t>NGN Functional Architecture</w:t>
      </w:r>
      <w:bookmarkEnd w:id="55"/>
      <w:bookmarkEnd w:id="56"/>
    </w:p>
    <w:p w:rsidR="0008639C" w:rsidRPr="00CD5563" w:rsidRDefault="0008639C" w:rsidP="00A85916">
      <w:pPr>
        <w:keepNext/>
        <w:keepLines/>
        <w:snapToGrid w:val="0"/>
        <w:spacing w:line="240" w:lineRule="atLeast"/>
        <w:rPr>
          <w:rFonts w:eastAsia="MS Mincho"/>
          <w:szCs w:val="19"/>
          <w:lang w:val="en-GB" w:eastAsia="ja-JP"/>
        </w:rPr>
      </w:pPr>
      <w:r w:rsidRPr="00CD5563">
        <w:rPr>
          <w:szCs w:val="19"/>
          <w:lang w:val="en-GB"/>
        </w:rPr>
        <w:t xml:space="preserve">NGN services include session-based services, such as </w:t>
      </w:r>
      <w:r w:rsidRPr="00CD5563">
        <w:rPr>
          <w:rFonts w:eastAsia="MS Mincho"/>
          <w:szCs w:val="19"/>
          <w:lang w:val="en-GB" w:eastAsia="ja-JP"/>
        </w:rPr>
        <w:t>IP telephony, video conferencing, and video chatting, and n</w:t>
      </w:r>
      <w:r w:rsidRPr="00CD5563">
        <w:rPr>
          <w:szCs w:val="19"/>
          <w:lang w:val="en-GB"/>
        </w:rPr>
        <w:t>on</w:t>
      </w:r>
      <w:r w:rsidRPr="00CD5563">
        <w:rPr>
          <w:rFonts w:eastAsia="MS Mincho"/>
          <w:szCs w:val="19"/>
          <w:lang w:val="en-GB" w:eastAsia="ja-JP"/>
        </w:rPr>
        <w:t xml:space="preserve"> </w:t>
      </w:r>
      <w:r w:rsidRPr="00CD5563">
        <w:rPr>
          <w:szCs w:val="19"/>
          <w:lang w:val="en-GB"/>
        </w:rPr>
        <w:t xml:space="preserve">session-based services, such as video streaming and broadcasting. Moreover, NGN supports </w:t>
      </w:r>
      <w:r w:rsidRPr="00CD5563">
        <w:rPr>
          <w:color w:val="000000"/>
          <w:szCs w:val="19"/>
          <w:lang w:val="en-GB"/>
        </w:rPr>
        <w:t>PSTN/ISDN</w:t>
      </w:r>
      <w:r w:rsidRPr="00CD5563">
        <w:rPr>
          <w:szCs w:val="19"/>
          <w:lang w:val="en-GB"/>
        </w:rPr>
        <w:t xml:space="preserve"> replacement.</w:t>
      </w:r>
    </w:p>
    <w:p w:rsidR="00A85916" w:rsidRPr="00CD5563" w:rsidRDefault="00A85916" w:rsidP="00A85916">
      <w:pPr>
        <w:pStyle w:val="Figuretitle"/>
        <w:rPr>
          <w:lang w:val="en-GB"/>
        </w:rPr>
      </w:pPr>
      <w:bookmarkStart w:id="57" w:name="_Toc380497373"/>
      <w:r w:rsidRPr="00CD5563">
        <w:rPr>
          <w:lang w:val="en-GB"/>
        </w:rPr>
        <w:t>Figure 1-2: Abstracted NGN functional architecture</w:t>
      </w:r>
      <w:bookmarkEnd w:id="57"/>
    </w:p>
    <w:p w:rsidR="0008639C" w:rsidRPr="00CD5563" w:rsidRDefault="0008639C" w:rsidP="00A85916">
      <w:pPr>
        <w:pStyle w:val="Figure"/>
        <w:rPr>
          <w:rFonts w:eastAsia="MS Mincho"/>
          <w:lang w:val="en-GB" w:eastAsia="ja-JP"/>
        </w:rPr>
      </w:pPr>
      <w:r w:rsidRPr="00CD5563">
        <w:rPr>
          <w:noProof/>
          <w:lang w:val="ru-RU" w:eastAsia="zh-CN"/>
        </w:rPr>
        <w:drawing>
          <wp:inline distT="0" distB="0" distL="0" distR="0" wp14:anchorId="64843274" wp14:editId="3E908034">
            <wp:extent cx="4508589" cy="3948305"/>
            <wp:effectExtent l="19050" t="0" r="6261" b="0"/>
            <wp:docPr id="1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a:stretch>
                      <a:fillRect/>
                    </a:stretch>
                  </pic:blipFill>
                  <pic:spPr bwMode="auto">
                    <a:xfrm>
                      <a:off x="0" y="0"/>
                      <a:ext cx="4507339" cy="3947210"/>
                    </a:xfrm>
                    <a:prstGeom prst="rect">
                      <a:avLst/>
                    </a:prstGeom>
                    <a:noFill/>
                    <a:ln w="9525">
                      <a:noFill/>
                      <a:miter lim="800000"/>
                      <a:headEnd/>
                      <a:tailEnd/>
                    </a:ln>
                  </pic:spPr>
                </pic:pic>
              </a:graphicData>
            </a:graphic>
          </wp:inline>
        </w:drawing>
      </w:r>
    </w:p>
    <w:p w:rsidR="00A85916" w:rsidRPr="00CD5563" w:rsidRDefault="00A85916" w:rsidP="00A85916">
      <w:pPr>
        <w:pStyle w:val="Figure"/>
        <w:rPr>
          <w:rFonts w:eastAsia="MS Mincho"/>
          <w:lang w:val="en-GB" w:eastAsia="ja-JP"/>
        </w:rPr>
      </w:pPr>
    </w:p>
    <w:p w:rsidR="0008639C" w:rsidRPr="00CD5563" w:rsidRDefault="0008639C" w:rsidP="00A85916">
      <w:pPr>
        <w:rPr>
          <w:lang w:val="en-GB"/>
        </w:rPr>
      </w:pPr>
      <w:bookmarkStart w:id="58" w:name="_Toc150021228"/>
    </w:p>
    <w:bookmarkEnd w:id="58"/>
    <w:p w:rsidR="0008639C" w:rsidRPr="00CD5563" w:rsidRDefault="0008639C" w:rsidP="00046509">
      <w:pPr>
        <w:rPr>
          <w:rFonts w:eastAsia="MS Mincho"/>
          <w:lang w:val="en-GB" w:eastAsia="ja-JP"/>
        </w:rPr>
      </w:pPr>
      <w:r w:rsidRPr="00CD5563">
        <w:rPr>
          <w:lang w:val="en-GB"/>
        </w:rPr>
        <w:t>The NGN architectural overview shown in Figure</w:t>
      </w:r>
      <w:r w:rsidRPr="00CD5563">
        <w:rPr>
          <w:rFonts w:eastAsia="MS Mincho"/>
          <w:lang w:val="en-GB" w:eastAsia="ja-JP"/>
        </w:rPr>
        <w:t xml:space="preserve"> </w:t>
      </w:r>
      <w:r w:rsidRPr="00CD5563">
        <w:rPr>
          <w:lang w:val="en-GB"/>
        </w:rPr>
        <w:t>1-2 comes from ITU-T Recommendation Y. 2012. The NGN functions are divided into service functions and transport functions</w:t>
      </w:r>
      <w:r w:rsidRPr="00CD5563">
        <w:rPr>
          <w:rFonts w:eastAsia="MS Mincho"/>
          <w:lang w:val="en-GB" w:eastAsia="ja-JP"/>
        </w:rPr>
        <w:t xml:space="preserve">. According to </w:t>
      </w:r>
      <w:r w:rsidR="00046509">
        <w:rPr>
          <w:rFonts w:eastAsia="MS Mincho"/>
          <w:lang w:val="en-GB" w:eastAsia="ja-JP"/>
        </w:rPr>
        <w:t>ITU</w:t>
      </w:r>
      <w:r w:rsidR="00046509">
        <w:rPr>
          <w:rFonts w:eastAsia="MS Mincho"/>
          <w:lang w:val="en-GB" w:eastAsia="ja-JP"/>
        </w:rPr>
        <w:noBreakHyphen/>
        <w:t>T </w:t>
      </w:r>
      <w:r w:rsidRPr="00CD5563">
        <w:rPr>
          <w:rFonts w:eastAsia="MS Mincho"/>
          <w:lang w:val="en-GB" w:eastAsia="ja-JP"/>
        </w:rPr>
        <w:t>Recommendation</w:t>
      </w:r>
      <w:r w:rsidR="00046509">
        <w:rPr>
          <w:rFonts w:eastAsia="MS Mincho"/>
          <w:lang w:val="en-GB" w:eastAsia="ja-JP"/>
        </w:rPr>
        <w:t> </w:t>
      </w:r>
      <w:r w:rsidRPr="00CD5563">
        <w:rPr>
          <w:rFonts w:eastAsia="MS Mincho"/>
          <w:lang w:val="en-GB" w:eastAsia="ja-JP"/>
        </w:rPr>
        <w:t xml:space="preserve">Y.2011, </w:t>
      </w:r>
      <w:r w:rsidRPr="00CD5563">
        <w:rPr>
          <w:lang w:val="en-GB"/>
        </w:rPr>
        <w:t>it is</w:t>
      </w:r>
      <w:r w:rsidRPr="00CD5563">
        <w:rPr>
          <w:rFonts w:eastAsia="MS Mincho"/>
          <w:lang w:val="en-GB" w:eastAsia="ja-JP"/>
        </w:rPr>
        <w:t xml:space="preserve"> call</w:t>
      </w:r>
      <w:r w:rsidRPr="00CD5563">
        <w:rPr>
          <w:lang w:val="en-GB"/>
        </w:rPr>
        <w:t>ed</w:t>
      </w:r>
      <w:r w:rsidRPr="00CD5563">
        <w:rPr>
          <w:rFonts w:eastAsia="MS Mincho"/>
          <w:lang w:val="en-GB" w:eastAsia="ja-JP"/>
        </w:rPr>
        <w:t xml:space="preserve"> the functional categories </w:t>
      </w:r>
      <w:r w:rsidRPr="00CD5563">
        <w:rPr>
          <w:rFonts w:eastAsia="MS Mincho"/>
          <w:color w:val="000000"/>
          <w:lang w:val="en-GB" w:eastAsia="ja-JP"/>
        </w:rPr>
        <w:t>strata</w:t>
      </w:r>
      <w:r w:rsidRPr="00CD5563">
        <w:rPr>
          <w:lang w:val="en-GB"/>
        </w:rPr>
        <w:t>.</w:t>
      </w:r>
    </w:p>
    <w:p w:rsidR="0008639C" w:rsidRPr="00CD5563" w:rsidRDefault="0008639C" w:rsidP="0008639C">
      <w:pPr>
        <w:snapToGrid w:val="0"/>
        <w:spacing w:line="240" w:lineRule="atLeast"/>
        <w:rPr>
          <w:szCs w:val="19"/>
          <w:lang w:val="en-GB"/>
        </w:rPr>
      </w:pPr>
      <w:r w:rsidRPr="00CD5563">
        <w:rPr>
          <w:szCs w:val="19"/>
          <w:lang w:val="en-GB" w:eastAsia="ja-JP"/>
        </w:rPr>
        <w:t xml:space="preserve">Customer networks </w:t>
      </w:r>
      <w:r w:rsidRPr="00CD5563">
        <w:rPr>
          <w:rFonts w:eastAsia="MS Mincho"/>
          <w:szCs w:val="19"/>
          <w:lang w:val="en-GB" w:eastAsia="ja-JP"/>
        </w:rPr>
        <w:t xml:space="preserve">and terminals </w:t>
      </w:r>
      <w:r w:rsidRPr="00CD5563">
        <w:rPr>
          <w:szCs w:val="19"/>
          <w:lang w:val="en-GB" w:eastAsia="ja-JP"/>
        </w:rPr>
        <w:t xml:space="preserve">are connected by </w:t>
      </w:r>
      <w:r w:rsidRPr="00CD5563">
        <w:rPr>
          <w:color w:val="000000"/>
          <w:szCs w:val="19"/>
          <w:lang w:val="en-GB" w:eastAsia="ja-JP"/>
        </w:rPr>
        <w:t>UNI</w:t>
      </w:r>
      <w:r w:rsidRPr="00CD5563">
        <w:rPr>
          <w:szCs w:val="19"/>
          <w:lang w:val="en-GB" w:eastAsia="ja-JP"/>
        </w:rPr>
        <w:t>.</w:t>
      </w:r>
      <w:r w:rsidRPr="00CD5563">
        <w:rPr>
          <w:rFonts w:eastAsia="MS Mincho"/>
          <w:szCs w:val="19"/>
          <w:lang w:val="en-GB" w:eastAsia="ja-JP"/>
        </w:rPr>
        <w:t xml:space="preserve"> </w:t>
      </w:r>
      <w:r w:rsidRPr="00CD5563">
        <w:rPr>
          <w:szCs w:val="19"/>
          <w:lang w:val="en-GB" w:eastAsia="ja-JP"/>
        </w:rPr>
        <w:t xml:space="preserve">Other networks are interconnected through </w:t>
      </w:r>
      <w:r w:rsidRPr="00CD5563">
        <w:rPr>
          <w:color w:val="000000"/>
          <w:szCs w:val="19"/>
          <w:lang w:val="en-GB" w:eastAsia="ja-JP"/>
        </w:rPr>
        <w:t>NNI</w:t>
      </w:r>
      <w:r w:rsidRPr="00CD5563">
        <w:rPr>
          <w:rFonts w:eastAsia="MS Mincho"/>
          <w:szCs w:val="19"/>
          <w:lang w:val="en-GB" w:eastAsia="ja-JP"/>
        </w:rPr>
        <w:t>. Clear identification of UNI and NNI is important to accommodate a wide variety of off-the-shelf customer equipment while maintaining business boundaries and demarcation points for the NGN environment.</w:t>
      </w:r>
    </w:p>
    <w:p w:rsidR="0008639C" w:rsidRPr="00CD5563" w:rsidRDefault="0008639C" w:rsidP="00A85916">
      <w:pPr>
        <w:pStyle w:val="Heading3"/>
        <w:rPr>
          <w:lang w:val="en-GB"/>
        </w:rPr>
      </w:pPr>
      <w:bookmarkStart w:id="59" w:name="_Toc380487690"/>
      <w:bookmarkStart w:id="60" w:name="_Toc381025009"/>
      <w:r w:rsidRPr="00CD5563">
        <w:rPr>
          <w:lang w:val="en-GB"/>
        </w:rPr>
        <w:t>1.2.1</w:t>
      </w:r>
      <w:r w:rsidRPr="00CD5563">
        <w:rPr>
          <w:lang w:val="en-GB"/>
        </w:rPr>
        <w:tab/>
        <w:t>Transport Stratum Functions</w:t>
      </w:r>
      <w:bookmarkEnd w:id="59"/>
      <w:bookmarkEnd w:id="60"/>
    </w:p>
    <w:p w:rsidR="0008639C" w:rsidRPr="00CD5563" w:rsidRDefault="0008639C" w:rsidP="00046509">
      <w:pPr>
        <w:snapToGrid w:val="0"/>
        <w:spacing w:line="240" w:lineRule="atLeast"/>
        <w:rPr>
          <w:szCs w:val="19"/>
          <w:lang w:val="en-GB"/>
        </w:rPr>
      </w:pPr>
      <w:r w:rsidRPr="00CD5563">
        <w:rPr>
          <w:szCs w:val="19"/>
          <w:lang w:val="en-GB"/>
        </w:rPr>
        <w:t xml:space="preserve">Transport stratum functions identified in </w:t>
      </w:r>
      <w:r w:rsidR="00046509">
        <w:rPr>
          <w:szCs w:val="19"/>
          <w:lang w:val="en-GB"/>
        </w:rPr>
        <w:t xml:space="preserve">ITU-T </w:t>
      </w:r>
      <w:r w:rsidRPr="00CD5563">
        <w:rPr>
          <w:szCs w:val="19"/>
          <w:lang w:val="en-GB"/>
        </w:rPr>
        <w:t>Rec</w:t>
      </w:r>
      <w:r w:rsidR="00046509">
        <w:rPr>
          <w:szCs w:val="19"/>
          <w:lang w:val="en-GB"/>
        </w:rPr>
        <w:t>ommendation</w:t>
      </w:r>
      <w:r w:rsidRPr="00CD5563">
        <w:rPr>
          <w:szCs w:val="19"/>
          <w:lang w:val="en-GB"/>
        </w:rPr>
        <w:t xml:space="preserve"> Y.2012 provide connectivity for all components and physically separated functions within the NGN.</w:t>
      </w:r>
      <w:r w:rsidRPr="00CD5563">
        <w:rPr>
          <w:rFonts w:eastAsia="MS Mincho"/>
          <w:szCs w:val="19"/>
          <w:lang w:val="en-GB" w:eastAsia="ja-JP"/>
        </w:rPr>
        <w:t xml:space="preserve"> IP is recognized as the most promising technology for NGN. Thus, the transport stratum provide</w:t>
      </w:r>
      <w:r w:rsidRPr="00CD5563">
        <w:rPr>
          <w:szCs w:val="19"/>
          <w:lang w:val="en-GB"/>
        </w:rPr>
        <w:t>s</w:t>
      </w:r>
      <w:r w:rsidRPr="00CD5563">
        <w:rPr>
          <w:rFonts w:eastAsia="MS Mincho"/>
          <w:szCs w:val="19"/>
          <w:lang w:val="en-GB" w:eastAsia="ja-JP"/>
        </w:rPr>
        <w:t xml:space="preserve"> IP connectivity for both end-user equipment outside the NGN and controllers and enablers, which usually reside on the servers inside the NGN. The transport stratum is responsible for providing end-to-end QoS, which is a desirable feature of the NGN.  The t</w:t>
      </w:r>
      <w:r w:rsidRPr="00CD5563">
        <w:rPr>
          <w:szCs w:val="19"/>
          <w:lang w:val="en-GB"/>
        </w:rPr>
        <w:t xml:space="preserve">ransport stratum is divided into access networks and the core network, with a function linking the two transport </w:t>
      </w:r>
      <w:r w:rsidRPr="00CD5563">
        <w:rPr>
          <w:color w:val="000000"/>
          <w:szCs w:val="19"/>
          <w:lang w:val="en-GB"/>
        </w:rPr>
        <w:t xml:space="preserve">network </w:t>
      </w:r>
      <w:r w:rsidRPr="00CD5563">
        <w:rPr>
          <w:rFonts w:eastAsia="MS Mincho"/>
          <w:color w:val="000000"/>
          <w:szCs w:val="19"/>
          <w:lang w:val="en-GB" w:eastAsia="ja-JP"/>
        </w:rPr>
        <w:t>portions</w:t>
      </w:r>
      <w:r w:rsidRPr="00CD5563">
        <w:rPr>
          <w:szCs w:val="19"/>
          <w:lang w:val="en-GB"/>
        </w:rPr>
        <w:t>.</w:t>
      </w:r>
    </w:p>
    <w:p w:rsidR="0008639C" w:rsidRPr="00CD5563" w:rsidRDefault="00A85916" w:rsidP="00A85916">
      <w:pPr>
        <w:pStyle w:val="Enumlevel1"/>
        <w:keepNext/>
        <w:keepLines/>
      </w:pPr>
      <w:bookmarkStart w:id="61" w:name="_Toc99259956"/>
      <w:r w:rsidRPr="00CD5563">
        <w:t>•</w:t>
      </w:r>
      <w:r w:rsidRPr="00CD5563">
        <w:tab/>
      </w:r>
      <w:r w:rsidR="0008639C" w:rsidRPr="00046509">
        <w:rPr>
          <w:b/>
          <w:bCs/>
        </w:rPr>
        <w:t>Transport functions</w:t>
      </w:r>
      <w:bookmarkEnd w:id="61"/>
      <w:r w:rsidR="0008639C" w:rsidRPr="00CD5563">
        <w:t>: The transport functions provide the connectivity for all components and physically separated functions within the NGN. These functions provide support for the transfer of media information, as well as the transfer of control and management information. Transport functions include access network functions, edge functions, core transport functions, and gateway functions.</w:t>
      </w:r>
    </w:p>
    <w:p w:rsidR="0008639C" w:rsidRPr="00CD5563" w:rsidRDefault="00A85916" w:rsidP="00A85916">
      <w:pPr>
        <w:pStyle w:val="Enumlevel1"/>
      </w:pPr>
      <w:bookmarkStart w:id="62" w:name="_Toc99259962"/>
      <w:bookmarkStart w:id="63" w:name="_Toc99259959"/>
      <w:r w:rsidRPr="00CD5563">
        <w:t>•</w:t>
      </w:r>
      <w:r w:rsidRPr="00CD5563">
        <w:tab/>
      </w:r>
      <w:r w:rsidR="0008639C" w:rsidRPr="00046509">
        <w:rPr>
          <w:b/>
          <w:bCs/>
        </w:rPr>
        <w:t>Transport control functions</w:t>
      </w:r>
      <w:bookmarkEnd w:id="62"/>
      <w:r w:rsidR="0008639C" w:rsidRPr="00CD5563">
        <w:t>: The transport control functions include Resource and Admission Control Functions, Network Attachment Control Functions and Mobility management and Control Functions.</w:t>
      </w:r>
    </w:p>
    <w:p w:rsidR="0008639C" w:rsidRPr="00CD5563" w:rsidRDefault="00A85916" w:rsidP="00A85916">
      <w:pPr>
        <w:pStyle w:val="Enumlevel2"/>
        <w:rPr>
          <w:lang w:val="en-GB"/>
        </w:rPr>
      </w:pPr>
      <w:r w:rsidRPr="00CD5563">
        <w:rPr>
          <w:lang w:val="en-GB"/>
        </w:rPr>
        <w:t>a)</w:t>
      </w:r>
      <w:r w:rsidRPr="00CD5563">
        <w:rPr>
          <w:lang w:val="en-GB"/>
        </w:rPr>
        <w:tab/>
      </w:r>
      <w:r w:rsidR="0008639C" w:rsidRPr="00CD5563">
        <w:rPr>
          <w:lang w:val="en-GB"/>
        </w:rPr>
        <w:t>Network attachment control functions</w:t>
      </w:r>
      <w:bookmarkEnd w:id="63"/>
      <w:r w:rsidR="0008639C" w:rsidRPr="00CD5563">
        <w:rPr>
          <w:lang w:val="en-GB"/>
        </w:rPr>
        <w:t xml:space="preserve"> (NACF): The network attachment control functions provide registration at the access level and initialization of end-user functions for accessing NGN services. The functions provide network level identification/authentication, manage the IP address space of the access network, and authenticate access sessions. The functions also announce the contact point of the NGN Service/Application functions to the end user. That is, the functions assist end-user equipment to register and start the use of the NGN.</w:t>
      </w:r>
      <w:bookmarkStart w:id="64" w:name="_Toc99120196"/>
      <w:bookmarkStart w:id="65" w:name="_Toc99120564"/>
      <w:bookmarkStart w:id="66" w:name="_Toc99120197"/>
      <w:bookmarkStart w:id="67" w:name="_Toc99120565"/>
      <w:bookmarkStart w:id="68" w:name="_Toc99120200"/>
      <w:bookmarkStart w:id="69" w:name="_Toc99120568"/>
      <w:bookmarkStart w:id="70" w:name="_Toc99120202"/>
      <w:bookmarkStart w:id="71" w:name="_Toc99120570"/>
      <w:bookmarkEnd w:id="64"/>
      <w:bookmarkEnd w:id="65"/>
      <w:bookmarkEnd w:id="66"/>
      <w:bookmarkEnd w:id="67"/>
      <w:bookmarkEnd w:id="68"/>
      <w:bookmarkEnd w:id="69"/>
      <w:bookmarkEnd w:id="70"/>
      <w:bookmarkEnd w:id="71"/>
    </w:p>
    <w:p w:rsidR="0008639C" w:rsidRPr="00CD5563" w:rsidRDefault="00A85916" w:rsidP="00A85916">
      <w:pPr>
        <w:pStyle w:val="Enumlevel2"/>
        <w:rPr>
          <w:lang w:val="en-GB"/>
        </w:rPr>
      </w:pPr>
      <w:r w:rsidRPr="00CD5563">
        <w:rPr>
          <w:lang w:val="en-GB"/>
        </w:rPr>
        <w:t>b)</w:t>
      </w:r>
      <w:r w:rsidRPr="00CD5563">
        <w:rPr>
          <w:lang w:val="en-GB"/>
        </w:rPr>
        <w:tab/>
      </w:r>
      <w:r w:rsidR="0008639C" w:rsidRPr="00CD5563">
        <w:rPr>
          <w:lang w:val="en-GB"/>
        </w:rPr>
        <w:t>Resource and Admission Control Functions (RACF): In the NGN Architecture, the RACF provides QoS control (including resource reservation, admission control and gate control), NAPT and/or FW traversal control Functions over access and core transport networks. Admission control involves checking authorization based on user profiles, SLAs, operator specific policy rules, service priority, and resource availability within access and core transport. Within the NGN architecture, the RACF act as the arbitrator for resource negotiation and allocation between Service Control Functions and Transport Functions.</w:t>
      </w:r>
    </w:p>
    <w:p w:rsidR="0008639C" w:rsidRPr="00CD5563" w:rsidRDefault="00A85916" w:rsidP="00A85916">
      <w:pPr>
        <w:pStyle w:val="Enumlevel2"/>
        <w:rPr>
          <w:lang w:val="en-GB"/>
        </w:rPr>
      </w:pPr>
      <w:bookmarkStart w:id="72" w:name="_Toc99259964"/>
      <w:r w:rsidRPr="00CD5563">
        <w:rPr>
          <w:lang w:val="en-GB"/>
        </w:rPr>
        <w:t>c)</w:t>
      </w:r>
      <w:r w:rsidRPr="00CD5563">
        <w:rPr>
          <w:lang w:val="en-GB"/>
        </w:rPr>
        <w:tab/>
      </w:r>
      <w:r w:rsidR="0008639C" w:rsidRPr="00CD5563">
        <w:rPr>
          <w:lang w:val="en-GB"/>
        </w:rPr>
        <w:t>Transport User Profile functions</w:t>
      </w:r>
      <w:bookmarkEnd w:id="72"/>
      <w:r w:rsidR="0008639C" w:rsidRPr="00CD5563">
        <w:rPr>
          <w:lang w:val="en-GB"/>
        </w:rPr>
        <w:t>: These functions take the form of a functional database representing the combination of a user’s information and other control data into a single "user profile" function in the transport stratum. This functional database may be specified and implemented as a set of cooperating databases with functionalities residing in any part of the NGN.</w:t>
      </w:r>
    </w:p>
    <w:p w:rsidR="0008639C" w:rsidRPr="00CD5563" w:rsidRDefault="00A85916" w:rsidP="00A85916">
      <w:pPr>
        <w:pStyle w:val="Enumlevel2"/>
        <w:rPr>
          <w:lang w:val="en-GB"/>
        </w:rPr>
      </w:pPr>
      <w:r w:rsidRPr="00CD5563">
        <w:rPr>
          <w:lang w:val="en-GB"/>
        </w:rPr>
        <w:t>d)</w:t>
      </w:r>
      <w:r w:rsidRPr="00CD5563">
        <w:rPr>
          <w:lang w:val="en-GB"/>
        </w:rPr>
        <w:tab/>
      </w:r>
      <w:r w:rsidR="0008639C" w:rsidRPr="00CD5563">
        <w:rPr>
          <w:lang w:val="en-GB"/>
        </w:rPr>
        <w:t>Mobility Management and Control Functions (MMCF): The MMCF provide functions for the support of IPbased mobility in the transport stratum. These functions allow the support of mobility of a single device. The MMCF provides mechanisms to achieve seamless mobility if network conditions permit, but does not provide any mechanism to deal with service adaptation if the post-handover quality of service is degraded from the quality of service before handover. The MMCF assumes that mobility is a service, explicitly specified by parameters in the user service profile. The MMCF is not dependent on specific access technologies, and supports handover across different technologies.</w:t>
      </w:r>
    </w:p>
    <w:p w:rsidR="0008639C" w:rsidRPr="00CD5563" w:rsidRDefault="0008639C" w:rsidP="00046509">
      <w:pPr>
        <w:pStyle w:val="Heading3"/>
        <w:keepLines/>
        <w:spacing w:before="120" w:after="120"/>
        <w:ind w:left="720" w:hanging="720"/>
        <w:rPr>
          <w:lang w:val="en-GB"/>
        </w:rPr>
      </w:pPr>
      <w:bookmarkStart w:id="73" w:name="_Toc380487691"/>
      <w:bookmarkStart w:id="74" w:name="_Toc381025010"/>
      <w:r w:rsidRPr="00CD5563">
        <w:rPr>
          <w:lang w:val="en-GB"/>
        </w:rPr>
        <w:t>1.2.2</w:t>
      </w:r>
      <w:r w:rsidRPr="00CD5563">
        <w:rPr>
          <w:lang w:val="en-GB"/>
        </w:rPr>
        <w:tab/>
        <w:t>Service Stratum Functions</w:t>
      </w:r>
      <w:bookmarkEnd w:id="73"/>
      <w:bookmarkEnd w:id="74"/>
    </w:p>
    <w:p w:rsidR="0008639C" w:rsidRPr="00CD5563" w:rsidRDefault="0008639C" w:rsidP="00046509">
      <w:pPr>
        <w:keepNext/>
        <w:keepLines/>
        <w:snapToGrid w:val="0"/>
        <w:spacing w:line="240" w:lineRule="atLeast"/>
        <w:rPr>
          <w:lang w:val="en-GB"/>
        </w:rPr>
      </w:pPr>
      <w:r w:rsidRPr="00CD5563">
        <w:rPr>
          <w:lang w:val="en-GB"/>
        </w:rPr>
        <w:t>The service stratum functions provide session-based and non session-based services including subscribe/notify for presence information and the message method for instant message exchange.</w:t>
      </w:r>
    </w:p>
    <w:p w:rsidR="0008639C" w:rsidRPr="00CD5563" w:rsidRDefault="00A85916" w:rsidP="00046509">
      <w:pPr>
        <w:pStyle w:val="Enumlevel1"/>
        <w:keepNext/>
        <w:keepLines/>
      </w:pPr>
      <w:bookmarkStart w:id="75" w:name="_Toc99259966"/>
      <w:r w:rsidRPr="00CD5563">
        <w:t>•</w:t>
      </w:r>
      <w:r w:rsidRPr="00CD5563">
        <w:tab/>
      </w:r>
      <w:r w:rsidR="0008639C" w:rsidRPr="00046509">
        <w:rPr>
          <w:b/>
          <w:bCs/>
        </w:rPr>
        <w:t xml:space="preserve">Service control and content delivery functions </w:t>
      </w:r>
      <w:r w:rsidR="0008639C" w:rsidRPr="00046509">
        <w:t>(SC&amp;CDF):</w:t>
      </w:r>
      <w:r w:rsidR="0008639C" w:rsidRPr="00CD5563">
        <w:t xml:space="preserve"> The SC&amp;CDF includes service control functions and content delivery functions</w:t>
      </w:r>
    </w:p>
    <w:p w:rsidR="0008639C" w:rsidRPr="00CD5563" w:rsidRDefault="00A85916" w:rsidP="002453EE">
      <w:pPr>
        <w:pStyle w:val="Enumlevel2"/>
        <w:keepNext/>
        <w:keepLines/>
        <w:rPr>
          <w:lang w:val="en-GB"/>
        </w:rPr>
      </w:pPr>
      <w:r w:rsidRPr="00CD5563">
        <w:rPr>
          <w:lang w:val="en-GB"/>
        </w:rPr>
        <w:t>a)</w:t>
      </w:r>
      <w:r w:rsidRPr="00CD5563">
        <w:rPr>
          <w:lang w:val="en-GB"/>
        </w:rPr>
        <w:tab/>
      </w:r>
      <w:r w:rsidR="0008639C" w:rsidRPr="00CD5563">
        <w:rPr>
          <w:lang w:val="en-GB"/>
        </w:rPr>
        <w:t>Service Control Functions</w:t>
      </w:r>
      <w:bookmarkEnd w:id="75"/>
      <w:r w:rsidR="0008639C" w:rsidRPr="00CD5563">
        <w:rPr>
          <w:lang w:val="en-GB"/>
        </w:rPr>
        <w:t xml:space="preserve"> (SCF): The SCF includes resource control, registration, and authentication and authorization functions at the service level for both mediated and non-mediated services.. They can also include functions for controlling media resources, i.e., specialized resources and gateways at the service-</w:t>
      </w:r>
      <w:r w:rsidR="00CD5563" w:rsidRPr="00CD5563">
        <w:rPr>
          <w:lang w:val="en-GB"/>
        </w:rPr>
        <w:t>signalling</w:t>
      </w:r>
      <w:r w:rsidR="0008639C" w:rsidRPr="00CD5563">
        <w:rPr>
          <w:lang w:val="en-GB"/>
        </w:rPr>
        <w:t xml:space="preserve"> level. Regarding the authentication, mutual authentication between end user and the service is performed. The service control functions accommodate service user profiles which represent the combination of user information and other control data into a single user profile function in the service stratum, in the form of functional databases. These functional databases may be specified and implemented as a set of cooperating databases with functionalities residing in any part of the NGN.</w:t>
      </w:r>
    </w:p>
    <w:p w:rsidR="0008639C" w:rsidRPr="00CD5563" w:rsidRDefault="00A85916" w:rsidP="00A85916">
      <w:pPr>
        <w:pStyle w:val="Enumlevel2"/>
        <w:rPr>
          <w:lang w:val="en-GB"/>
        </w:rPr>
      </w:pPr>
      <w:bookmarkStart w:id="76" w:name="_Toc99259967"/>
      <w:r w:rsidRPr="00CD5563">
        <w:rPr>
          <w:lang w:val="en-GB"/>
        </w:rPr>
        <w:t>b)</w:t>
      </w:r>
      <w:r w:rsidRPr="00CD5563">
        <w:rPr>
          <w:lang w:val="en-GB"/>
        </w:rPr>
        <w:tab/>
      </w:r>
      <w:r w:rsidR="0008639C" w:rsidRPr="00CD5563">
        <w:rPr>
          <w:lang w:val="en-GB"/>
        </w:rPr>
        <w:t>Service user profile functions</w:t>
      </w:r>
      <w:bookmarkEnd w:id="76"/>
      <w:r w:rsidR="0008639C" w:rsidRPr="00CD5563">
        <w:rPr>
          <w:lang w:val="en-GB"/>
        </w:rPr>
        <w:t>: The service user profile functions represent the combination of user information and other control data into a single user profile function in the service stratum, in the form of a functional database. This functional database may be specified and implemented as a set of cooperating databases with functionalities residing in any part of the NGN.</w:t>
      </w:r>
    </w:p>
    <w:p w:rsidR="0008639C" w:rsidRPr="00CD5563" w:rsidRDefault="00A85916" w:rsidP="00A85916">
      <w:pPr>
        <w:pStyle w:val="Enumlevel2"/>
        <w:rPr>
          <w:lang w:val="en-GB"/>
        </w:rPr>
      </w:pPr>
      <w:r w:rsidRPr="00CD5563">
        <w:rPr>
          <w:lang w:val="en-GB"/>
        </w:rPr>
        <w:t>c)</w:t>
      </w:r>
      <w:r w:rsidRPr="00CD5563">
        <w:rPr>
          <w:lang w:val="en-GB"/>
        </w:rPr>
        <w:tab/>
      </w:r>
      <w:r w:rsidR="0008639C" w:rsidRPr="00CD5563">
        <w:rPr>
          <w:lang w:val="en-GB"/>
        </w:rPr>
        <w:t>Content Delivery Functions (CDF): The CDF receives content from the application support functions and service support functions, store, process, and deliver it to the end-user functions using the capabilities of the transport functions, under control of the service control functions.</w:t>
      </w:r>
    </w:p>
    <w:p w:rsidR="0008639C" w:rsidRPr="00CD5563" w:rsidRDefault="00A85916" w:rsidP="00A85916">
      <w:pPr>
        <w:pStyle w:val="Enumlevel1"/>
      </w:pPr>
      <w:bookmarkStart w:id="77" w:name="_Toc99259968"/>
      <w:r w:rsidRPr="00CD5563">
        <w:t>•</w:t>
      </w:r>
      <w:r w:rsidRPr="00CD5563">
        <w:tab/>
      </w:r>
      <w:r w:rsidR="0008639C" w:rsidRPr="00046509">
        <w:rPr>
          <w:b/>
          <w:bCs/>
        </w:rPr>
        <w:t>Application/Service support functions</w:t>
      </w:r>
      <w:bookmarkEnd w:id="77"/>
      <w:r w:rsidR="0008639C" w:rsidRPr="00CD5563">
        <w:t>: The application/service support functions include functions such as the gateway, registration, authentication and authorization functions at the application level. These functions are available to the “Third-Party Applications” and “End-User” functional groups. The Application/Service support functions work in conjunction with the SCF to provide end-users and third party application providers with the value added services they request. Through the UNI, the Application/Service support functions provide a reference point to the end-user functions. The Third-party applications’ interactions with the Application/Service support functions are handled through the ANI reference point.</w:t>
      </w:r>
    </w:p>
    <w:p w:rsidR="0008639C" w:rsidRPr="00CD5563" w:rsidRDefault="0008639C" w:rsidP="00A85916">
      <w:pPr>
        <w:pStyle w:val="Heading3"/>
        <w:rPr>
          <w:lang w:val="en-GB"/>
        </w:rPr>
      </w:pPr>
      <w:bookmarkStart w:id="78" w:name="_Toc380487692"/>
      <w:bookmarkStart w:id="79" w:name="_Toc381025011"/>
      <w:r w:rsidRPr="00CD5563">
        <w:rPr>
          <w:lang w:val="en-GB"/>
        </w:rPr>
        <w:t>1.2.3</w:t>
      </w:r>
      <w:r w:rsidRPr="00CD5563">
        <w:rPr>
          <w:lang w:val="en-GB"/>
        </w:rPr>
        <w:tab/>
        <w:t>End User Functions</w:t>
      </w:r>
      <w:bookmarkEnd w:id="78"/>
      <w:bookmarkEnd w:id="79"/>
    </w:p>
    <w:p w:rsidR="0008639C" w:rsidRPr="00CD5563" w:rsidRDefault="0008639C" w:rsidP="0008639C">
      <w:pPr>
        <w:snapToGrid w:val="0"/>
        <w:spacing w:line="240" w:lineRule="atLeast"/>
        <w:rPr>
          <w:szCs w:val="19"/>
          <w:lang w:val="en-GB"/>
        </w:rPr>
      </w:pPr>
      <w:bookmarkStart w:id="80" w:name="_Toc99259969"/>
      <w:r w:rsidRPr="00CD5563">
        <w:rPr>
          <w:szCs w:val="19"/>
          <w:lang w:val="en-GB" w:eastAsia="ja-JP"/>
        </w:rPr>
        <w:t xml:space="preserve">No assumptions are made about the diverse end-user interfaces and end-user networks that may be connected to the NGN access network. </w:t>
      </w:r>
      <w:r w:rsidRPr="00CD5563">
        <w:rPr>
          <w:rFonts w:eastAsia="MS Mincho"/>
          <w:szCs w:val="19"/>
          <w:lang w:val="en-GB" w:eastAsia="ja-JP"/>
        </w:rPr>
        <w:t>Different</w:t>
      </w:r>
      <w:r w:rsidRPr="00CD5563">
        <w:rPr>
          <w:szCs w:val="19"/>
          <w:lang w:val="en-GB" w:eastAsia="ja-JP"/>
        </w:rPr>
        <w:t xml:space="preserve"> categories of end-user equipment are supported in the NGN, from single-line legacy telephones to complex corporate networks. End-user equipment may be either mobile or fixed.</w:t>
      </w:r>
    </w:p>
    <w:p w:rsidR="00A85916" w:rsidRPr="00CD5563" w:rsidRDefault="00A85916" w:rsidP="00A85916">
      <w:pPr>
        <w:pStyle w:val="Figuretitle"/>
        <w:rPr>
          <w:lang w:val="en-GB"/>
        </w:rPr>
      </w:pPr>
      <w:bookmarkStart w:id="81" w:name="_Toc380497374"/>
      <w:r w:rsidRPr="00CD5563">
        <w:rPr>
          <w:lang w:val="en-GB"/>
        </w:rPr>
        <w:t>Figure 1-3: Overall configuration</w:t>
      </w:r>
      <w:r w:rsidRPr="00CD5563">
        <w:rPr>
          <w:rFonts w:eastAsiaTheme="minorEastAsia"/>
          <w:lang w:val="en-GB"/>
        </w:rPr>
        <w:t>s</w:t>
      </w:r>
      <w:r w:rsidRPr="00CD5563">
        <w:rPr>
          <w:lang w:val="en-GB"/>
        </w:rPr>
        <w:t xml:space="preserve"> of end systems in NGN</w:t>
      </w:r>
      <w:bookmarkEnd w:id="81"/>
    </w:p>
    <w:p w:rsidR="0008639C" w:rsidRPr="00CD5563" w:rsidRDefault="0008639C" w:rsidP="00A85916">
      <w:pPr>
        <w:pStyle w:val="Figure"/>
        <w:rPr>
          <w:lang w:val="en-GB"/>
        </w:rPr>
      </w:pPr>
      <w:r w:rsidRPr="00CD5563">
        <w:rPr>
          <w:noProof/>
          <w:lang w:val="ru-RU" w:eastAsia="zh-CN"/>
        </w:rPr>
        <w:drawing>
          <wp:inline distT="0" distB="0" distL="0" distR="0" wp14:anchorId="48933297" wp14:editId="5208B3AE">
            <wp:extent cx="3314700" cy="1990725"/>
            <wp:effectExtent l="0" t="0" r="0" b="0"/>
            <wp:docPr id="47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srcRect/>
                    <a:stretch>
                      <a:fillRect/>
                    </a:stretch>
                  </pic:blipFill>
                  <pic:spPr bwMode="auto">
                    <a:xfrm>
                      <a:off x="0" y="0"/>
                      <a:ext cx="3314700" cy="1990725"/>
                    </a:xfrm>
                    <a:prstGeom prst="rect">
                      <a:avLst/>
                    </a:prstGeom>
                    <a:noFill/>
                    <a:ln w="9525">
                      <a:noFill/>
                      <a:miter lim="800000"/>
                      <a:headEnd/>
                      <a:tailEnd/>
                    </a:ln>
                  </pic:spPr>
                </pic:pic>
              </a:graphicData>
            </a:graphic>
          </wp:inline>
        </w:drawing>
      </w:r>
    </w:p>
    <w:p w:rsidR="00A85916" w:rsidRPr="00CD5563" w:rsidRDefault="00A85916" w:rsidP="00A85916">
      <w:pPr>
        <w:pStyle w:val="Figure"/>
        <w:rPr>
          <w:lang w:val="en-GB"/>
        </w:rPr>
      </w:pPr>
    </w:p>
    <w:p w:rsidR="0008639C" w:rsidRPr="00CD5563" w:rsidRDefault="0008639C" w:rsidP="00A85916">
      <w:pPr>
        <w:pStyle w:val="Heading3"/>
        <w:rPr>
          <w:lang w:val="en-GB"/>
        </w:rPr>
      </w:pPr>
      <w:bookmarkStart w:id="82" w:name="_Toc380487693"/>
      <w:bookmarkStart w:id="83" w:name="_Toc381025012"/>
      <w:r w:rsidRPr="00CD5563">
        <w:rPr>
          <w:lang w:val="en-GB"/>
        </w:rPr>
        <w:t>1.2.4</w:t>
      </w:r>
      <w:r w:rsidRPr="00CD5563">
        <w:rPr>
          <w:lang w:val="en-GB"/>
        </w:rPr>
        <w:tab/>
        <w:t>Management Functions</w:t>
      </w:r>
      <w:bookmarkEnd w:id="82"/>
      <w:bookmarkEnd w:id="83"/>
    </w:p>
    <w:bookmarkEnd w:id="80"/>
    <w:p w:rsidR="0008639C" w:rsidRPr="00CD5563" w:rsidRDefault="0008639C" w:rsidP="0008639C">
      <w:pPr>
        <w:snapToGrid w:val="0"/>
        <w:spacing w:line="240" w:lineRule="atLeast"/>
        <w:rPr>
          <w:szCs w:val="19"/>
          <w:lang w:val="en-GB"/>
        </w:rPr>
      </w:pPr>
      <w:r w:rsidRPr="00CD5563">
        <w:rPr>
          <w:szCs w:val="19"/>
          <w:lang w:val="en-GB"/>
        </w:rPr>
        <w:t>Support for management is fundamental to the operation of the NGN. These functions</w:t>
      </w:r>
      <w:r w:rsidRPr="00CD5563">
        <w:rPr>
          <w:szCs w:val="19"/>
          <w:lang w:val="en-GB" w:eastAsia="ja-JP"/>
        </w:rPr>
        <w:t xml:space="preserve"> </w:t>
      </w:r>
      <w:r w:rsidRPr="00CD5563">
        <w:rPr>
          <w:szCs w:val="19"/>
          <w:lang w:val="en-GB"/>
        </w:rPr>
        <w:t xml:space="preserve">provide the ability to manage the </w:t>
      </w:r>
      <w:r w:rsidRPr="00CD5563">
        <w:rPr>
          <w:rFonts w:eastAsia="MS Mincho"/>
          <w:szCs w:val="19"/>
          <w:lang w:val="en-GB" w:eastAsia="ja-JP"/>
        </w:rPr>
        <w:t xml:space="preserve">NGN </w:t>
      </w:r>
      <w:r w:rsidRPr="00CD5563">
        <w:rPr>
          <w:szCs w:val="19"/>
          <w:lang w:val="en-GB"/>
        </w:rPr>
        <w:t>in order to provide NGN services with the expected quality, security, and reliability. These functions are allocated in a distributed manner to each functional entity (FE), and they interact with network element (NE) management, network management, and service management FEs.</w:t>
      </w:r>
      <w:r w:rsidRPr="00CD5563">
        <w:rPr>
          <w:rFonts w:eastAsia="MS Mincho"/>
          <w:szCs w:val="19"/>
          <w:lang w:val="en-GB" w:eastAsia="ja-JP"/>
        </w:rPr>
        <w:t xml:space="preserve"> </w:t>
      </w:r>
      <w:r w:rsidRPr="00CD5563">
        <w:rPr>
          <w:szCs w:val="19"/>
          <w:lang w:val="en-GB"/>
        </w:rPr>
        <w:t xml:space="preserve">Further details of the management functions, including their division into administrative domains, can be found in ITU-T recommendation </w:t>
      </w:r>
      <w:r w:rsidRPr="00CD5563">
        <w:rPr>
          <w:rFonts w:eastAsia="MS Mincho"/>
          <w:szCs w:val="19"/>
          <w:lang w:val="en-GB" w:eastAsia="ja-JP"/>
        </w:rPr>
        <w:t>M.3060</w:t>
      </w:r>
      <w:r w:rsidRPr="00CD5563">
        <w:rPr>
          <w:szCs w:val="19"/>
          <w:lang w:val="en-GB"/>
        </w:rPr>
        <w:t xml:space="preserve">. </w:t>
      </w:r>
      <w:bookmarkStart w:id="84" w:name="_Toc99120214"/>
      <w:bookmarkStart w:id="85" w:name="_Toc99120582"/>
      <w:bookmarkStart w:id="86" w:name="_Toc89827090"/>
      <w:bookmarkStart w:id="87" w:name="_Toc89830119"/>
      <w:bookmarkStart w:id="88" w:name="_Toc89830483"/>
      <w:bookmarkStart w:id="89" w:name="_Toc89832046"/>
      <w:bookmarkStart w:id="90" w:name="_Toc89833168"/>
      <w:bookmarkStart w:id="91" w:name="_Toc89827092"/>
      <w:bookmarkStart w:id="92" w:name="_Toc89830121"/>
      <w:bookmarkStart w:id="93" w:name="_Toc89830485"/>
      <w:bookmarkStart w:id="94" w:name="_Toc89832048"/>
      <w:bookmarkStart w:id="95" w:name="_Toc89833170"/>
      <w:bookmarkStart w:id="96" w:name="_Toc89827094"/>
      <w:bookmarkStart w:id="97" w:name="_Toc89830123"/>
      <w:bookmarkStart w:id="98" w:name="_Toc89830487"/>
      <w:bookmarkStart w:id="99" w:name="_Toc89832050"/>
      <w:bookmarkStart w:id="100" w:name="_Toc89833172"/>
      <w:bookmarkStart w:id="101" w:name="_Toc89827096"/>
      <w:bookmarkStart w:id="102" w:name="_Toc89830125"/>
      <w:bookmarkStart w:id="103" w:name="_Toc89830489"/>
      <w:bookmarkStart w:id="104" w:name="_Toc89832052"/>
      <w:bookmarkStart w:id="105" w:name="_Toc89833174"/>
      <w:bookmarkStart w:id="106" w:name="_Toc89827098"/>
      <w:bookmarkStart w:id="107" w:name="_Toc89830127"/>
      <w:bookmarkStart w:id="108" w:name="_Toc89830491"/>
      <w:bookmarkStart w:id="109" w:name="_Toc89832054"/>
      <w:bookmarkStart w:id="110" w:name="_Toc89833176"/>
      <w:bookmarkStart w:id="111" w:name="_Toc89827099"/>
      <w:bookmarkStart w:id="112" w:name="_Toc89830128"/>
      <w:bookmarkStart w:id="113" w:name="_Toc89830492"/>
      <w:bookmarkStart w:id="114" w:name="_Toc89832055"/>
      <w:bookmarkStart w:id="115" w:name="_Toc89833177"/>
      <w:bookmarkStart w:id="116" w:name="_Toc89827100"/>
      <w:bookmarkStart w:id="117" w:name="_Toc89830129"/>
      <w:bookmarkStart w:id="118" w:name="_Toc89830493"/>
      <w:bookmarkStart w:id="119" w:name="_Toc89832056"/>
      <w:bookmarkStart w:id="120" w:name="_Toc89833178"/>
      <w:bookmarkStart w:id="121" w:name="_Toc89827103"/>
      <w:bookmarkStart w:id="122" w:name="_Toc89830132"/>
      <w:bookmarkStart w:id="123" w:name="_Toc89830496"/>
      <w:bookmarkStart w:id="124" w:name="_Toc89832059"/>
      <w:bookmarkStart w:id="125" w:name="_Toc89833181"/>
      <w:bookmarkStart w:id="126" w:name="_Toc89827105"/>
      <w:bookmarkStart w:id="127" w:name="_Toc89830134"/>
      <w:bookmarkStart w:id="128" w:name="_Toc89830498"/>
      <w:bookmarkStart w:id="129" w:name="_Toc89832061"/>
      <w:bookmarkStart w:id="130" w:name="_Toc89833183"/>
      <w:bookmarkStart w:id="131" w:name="_Toc89827106"/>
      <w:bookmarkStart w:id="132" w:name="_Toc89830135"/>
      <w:bookmarkStart w:id="133" w:name="_Toc89830499"/>
      <w:bookmarkStart w:id="134" w:name="_Toc89832062"/>
      <w:bookmarkStart w:id="135" w:name="_Toc89833184"/>
      <w:bookmarkStart w:id="136" w:name="_Toc89827112"/>
      <w:bookmarkStart w:id="137" w:name="_Toc89830141"/>
      <w:bookmarkStart w:id="138" w:name="_Toc89830505"/>
      <w:bookmarkStart w:id="139" w:name="_Toc89832068"/>
      <w:bookmarkStart w:id="140" w:name="_Toc89833190"/>
      <w:bookmarkStart w:id="141" w:name="_Toc89827115"/>
      <w:bookmarkStart w:id="142" w:name="_Toc89830144"/>
      <w:bookmarkStart w:id="143" w:name="_Toc89830508"/>
      <w:bookmarkStart w:id="144" w:name="_Toc89832071"/>
      <w:bookmarkStart w:id="145" w:name="_Toc89833193"/>
      <w:bookmarkStart w:id="146" w:name="_Toc89827116"/>
      <w:bookmarkStart w:id="147" w:name="_Toc89830145"/>
      <w:bookmarkStart w:id="148" w:name="_Toc89830509"/>
      <w:bookmarkStart w:id="149" w:name="_Toc89832072"/>
      <w:bookmarkStart w:id="150" w:name="_Toc89833194"/>
      <w:bookmarkStart w:id="151" w:name="_Toc89827124"/>
      <w:bookmarkStart w:id="152" w:name="_Toc89830153"/>
      <w:bookmarkStart w:id="153" w:name="_Toc89830517"/>
      <w:bookmarkStart w:id="154" w:name="_Toc89832080"/>
      <w:bookmarkStart w:id="155" w:name="_Toc89833202"/>
      <w:bookmarkStart w:id="156" w:name="_Toc89827126"/>
      <w:bookmarkStart w:id="157" w:name="_Toc89830155"/>
      <w:bookmarkStart w:id="158" w:name="_Toc89830519"/>
      <w:bookmarkStart w:id="159" w:name="_Toc89832082"/>
      <w:bookmarkStart w:id="160" w:name="_Toc89833204"/>
      <w:bookmarkStart w:id="161" w:name="_Toc89827127"/>
      <w:bookmarkStart w:id="162" w:name="_Toc89830156"/>
      <w:bookmarkStart w:id="163" w:name="_Toc89830520"/>
      <w:bookmarkStart w:id="164" w:name="_Toc89832083"/>
      <w:bookmarkStart w:id="165" w:name="_Toc89833205"/>
      <w:bookmarkStart w:id="166" w:name="_Toc89827128"/>
      <w:bookmarkStart w:id="167" w:name="_Toc89830157"/>
      <w:bookmarkStart w:id="168" w:name="_Toc89830521"/>
      <w:bookmarkStart w:id="169" w:name="_Toc89832084"/>
      <w:bookmarkStart w:id="170" w:name="_Toc89833206"/>
      <w:bookmarkStart w:id="171" w:name="_Toc89827129"/>
      <w:bookmarkStart w:id="172" w:name="_Toc89830158"/>
      <w:bookmarkStart w:id="173" w:name="_Toc89830522"/>
      <w:bookmarkStart w:id="174" w:name="_Toc89832085"/>
      <w:bookmarkStart w:id="175" w:name="_Toc89833207"/>
      <w:bookmarkStart w:id="176" w:name="_Toc89827130"/>
      <w:bookmarkStart w:id="177" w:name="_Toc89830159"/>
      <w:bookmarkStart w:id="178" w:name="_Toc89830523"/>
      <w:bookmarkStart w:id="179" w:name="_Toc89832086"/>
      <w:bookmarkStart w:id="180" w:name="_Toc89833208"/>
      <w:bookmarkStart w:id="181" w:name="_Toc89827131"/>
      <w:bookmarkStart w:id="182" w:name="_Toc89830160"/>
      <w:bookmarkStart w:id="183" w:name="_Toc89830524"/>
      <w:bookmarkStart w:id="184" w:name="_Toc89832087"/>
      <w:bookmarkStart w:id="185" w:name="_Toc89833209"/>
      <w:bookmarkStart w:id="186" w:name="_Toc89827132"/>
      <w:bookmarkStart w:id="187" w:name="_Toc89830161"/>
      <w:bookmarkStart w:id="188" w:name="_Toc89830525"/>
      <w:bookmarkStart w:id="189" w:name="_Toc89832088"/>
      <w:bookmarkStart w:id="190" w:name="_Toc89833210"/>
      <w:bookmarkStart w:id="191" w:name="_Toc89827138"/>
      <w:bookmarkStart w:id="192" w:name="_Toc89830167"/>
      <w:bookmarkStart w:id="193" w:name="_Toc89830531"/>
      <w:bookmarkStart w:id="194" w:name="_Toc89832094"/>
      <w:bookmarkStart w:id="195" w:name="_Toc89833216"/>
      <w:bookmarkStart w:id="196" w:name="_Toc89827139"/>
      <w:bookmarkStart w:id="197" w:name="_Toc89830168"/>
      <w:bookmarkStart w:id="198" w:name="_Toc89830532"/>
      <w:bookmarkStart w:id="199" w:name="_Toc89832095"/>
      <w:bookmarkStart w:id="200" w:name="_Toc89833217"/>
      <w:bookmarkStart w:id="201" w:name="_Toc89827140"/>
      <w:bookmarkStart w:id="202" w:name="_Toc89830169"/>
      <w:bookmarkStart w:id="203" w:name="_Toc89830533"/>
      <w:bookmarkStart w:id="204" w:name="_Toc89832096"/>
      <w:bookmarkStart w:id="205" w:name="_Toc89833218"/>
      <w:bookmarkStart w:id="206" w:name="_Toc89827141"/>
      <w:bookmarkStart w:id="207" w:name="_Toc89830170"/>
      <w:bookmarkStart w:id="208" w:name="_Toc89830534"/>
      <w:bookmarkStart w:id="209" w:name="_Toc89832097"/>
      <w:bookmarkStart w:id="210" w:name="_Toc89833219"/>
      <w:bookmarkStart w:id="211" w:name="_Toc89827146"/>
      <w:bookmarkStart w:id="212" w:name="_Toc89830175"/>
      <w:bookmarkStart w:id="213" w:name="_Toc89830539"/>
      <w:bookmarkStart w:id="214" w:name="_Toc89832102"/>
      <w:bookmarkStart w:id="215" w:name="_Toc89833224"/>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r w:rsidRPr="00CD5563">
        <w:rPr>
          <w:szCs w:val="19"/>
          <w:lang w:val="en-GB"/>
        </w:rPr>
        <w:t>Management functions apply to the NGN service and transport strata. For each of these strata, they cover the FCAPS.</w:t>
      </w:r>
    </w:p>
    <w:p w:rsidR="0008639C" w:rsidRPr="00CD5563" w:rsidRDefault="0008639C" w:rsidP="0008639C">
      <w:pPr>
        <w:snapToGrid w:val="0"/>
        <w:spacing w:line="240" w:lineRule="atLeast"/>
        <w:rPr>
          <w:szCs w:val="19"/>
          <w:lang w:val="en-GB"/>
        </w:rPr>
      </w:pPr>
      <w:r w:rsidRPr="00CD5563">
        <w:rPr>
          <w:szCs w:val="19"/>
          <w:lang w:val="en-GB"/>
        </w:rPr>
        <w:t>The accounting management functions also include charging and billing functions (CBF). These interact with each other in the NGN to collect accounting information, in order to provide the NGN service provider with appropriate resource utilization data, enabling the service provider to properly bill the users of the system.</w:t>
      </w:r>
    </w:p>
    <w:p w:rsidR="0008639C" w:rsidRPr="00CD5563" w:rsidRDefault="0008639C" w:rsidP="00A85916">
      <w:pPr>
        <w:pStyle w:val="Heading2"/>
        <w:keepLines/>
        <w:rPr>
          <w:lang w:val="en-GB"/>
        </w:rPr>
      </w:pPr>
      <w:bookmarkStart w:id="216" w:name="_Toc380487694"/>
      <w:bookmarkStart w:id="217" w:name="_Toc381025013"/>
      <w:r w:rsidRPr="00CD5563">
        <w:rPr>
          <w:rFonts w:eastAsiaTheme="minorEastAsia"/>
          <w:lang w:val="en-GB"/>
        </w:rPr>
        <w:t>2</w:t>
      </w:r>
      <w:r w:rsidRPr="00CD5563">
        <w:rPr>
          <w:lang w:val="en-GB"/>
        </w:rPr>
        <w:tab/>
        <w:t>Security in NGN</w:t>
      </w:r>
      <w:bookmarkEnd w:id="216"/>
      <w:bookmarkEnd w:id="217"/>
    </w:p>
    <w:p w:rsidR="0008639C" w:rsidRPr="00CD5563" w:rsidRDefault="0008639C" w:rsidP="00A85916">
      <w:pPr>
        <w:pStyle w:val="Heading2"/>
        <w:keepLines/>
        <w:rPr>
          <w:lang w:val="en-GB"/>
        </w:rPr>
      </w:pPr>
      <w:bookmarkStart w:id="218" w:name="_Toc380487695"/>
      <w:bookmarkStart w:id="219" w:name="_Toc381025014"/>
      <w:r w:rsidRPr="00CD5563">
        <w:rPr>
          <w:rFonts w:eastAsiaTheme="minorEastAsia"/>
          <w:lang w:val="en-GB" w:eastAsia="ko-KR"/>
        </w:rPr>
        <w:t>2</w:t>
      </w:r>
      <w:r w:rsidRPr="00CD5563">
        <w:rPr>
          <w:lang w:val="en-GB"/>
        </w:rPr>
        <w:t>.1</w:t>
      </w:r>
      <w:r w:rsidRPr="00CD5563">
        <w:rPr>
          <w:lang w:val="en-GB"/>
        </w:rPr>
        <w:tab/>
        <w:t>Security threats and risks</w:t>
      </w:r>
      <w:bookmarkEnd w:id="218"/>
      <w:bookmarkEnd w:id="219"/>
    </w:p>
    <w:p w:rsidR="0008639C" w:rsidRPr="00CD5563" w:rsidRDefault="0008639C" w:rsidP="00A85916">
      <w:pPr>
        <w:keepNext/>
        <w:keepLines/>
        <w:rPr>
          <w:szCs w:val="19"/>
          <w:lang w:val="en-GB"/>
        </w:rPr>
      </w:pPr>
      <w:r w:rsidRPr="00CD5563">
        <w:rPr>
          <w:szCs w:val="19"/>
          <w:lang w:val="en-GB"/>
        </w:rPr>
        <w:t xml:space="preserve">The systems, components, interfaces, information, resources, communications (i.e., signalling, management and data/bearer traffic) and services that make up an NGN will be exposed to a variety of security threats and risks. Those threats and risks will depend on a variety of factors. In addition, end users will also be exposed to certain threats (e.g., unauthorized access to private information). Figure </w:t>
      </w:r>
      <w:r w:rsidRPr="00CD5563">
        <w:rPr>
          <w:rFonts w:eastAsiaTheme="minorEastAsia"/>
          <w:szCs w:val="19"/>
          <w:lang w:val="en-GB" w:eastAsia="ko-KR"/>
        </w:rPr>
        <w:t>2</w:t>
      </w:r>
      <w:r w:rsidRPr="00CD5563">
        <w:rPr>
          <w:szCs w:val="19"/>
          <w:lang w:val="en-GB"/>
        </w:rPr>
        <w:t>-1 illustrates threat model based on Rec. X.800.</w:t>
      </w:r>
    </w:p>
    <w:p w:rsidR="0008639C" w:rsidRPr="00CD5563" w:rsidRDefault="0008639C" w:rsidP="0008639C">
      <w:pPr>
        <w:rPr>
          <w:szCs w:val="19"/>
          <w:lang w:val="en-GB"/>
        </w:rPr>
      </w:pPr>
      <w:r w:rsidRPr="00CD5563">
        <w:rPr>
          <w:szCs w:val="19"/>
          <w:lang w:val="en-GB"/>
        </w:rPr>
        <w:t>Threats to the NGN:</w:t>
      </w:r>
    </w:p>
    <w:p w:rsidR="0008639C" w:rsidRPr="00CD5563" w:rsidRDefault="00FB56E3" w:rsidP="00FB56E3">
      <w:pPr>
        <w:pStyle w:val="Enumlevel1"/>
      </w:pPr>
      <w:r w:rsidRPr="00CD5563">
        <w:t>•</w:t>
      </w:r>
      <w:r w:rsidRPr="00CD5563">
        <w:tab/>
      </w:r>
      <w:r w:rsidR="0008639C" w:rsidRPr="00CD5563">
        <w:t>unauthorized reconnaissance, such as the remote analysis of the system to determine points of weakness (these may include scans, sweeps, port interrogation, route tables, etc.);</w:t>
      </w:r>
    </w:p>
    <w:p w:rsidR="0008639C" w:rsidRPr="00CD5563" w:rsidRDefault="00FB56E3" w:rsidP="00FB56E3">
      <w:pPr>
        <w:pStyle w:val="Enumlevel1"/>
      </w:pPr>
      <w:r w:rsidRPr="00CD5563">
        <w:t>•</w:t>
      </w:r>
      <w:r w:rsidRPr="00CD5563">
        <w:tab/>
      </w:r>
      <w:r w:rsidR="0008639C" w:rsidRPr="00CD5563">
        <w:t>break-in/device takeover resulting in loss of control of the device, anomalies and errors in the configuration audits;</w:t>
      </w:r>
    </w:p>
    <w:p w:rsidR="0008639C" w:rsidRPr="00CD5563" w:rsidRDefault="00FB56E3" w:rsidP="00FB56E3">
      <w:pPr>
        <w:pStyle w:val="Enumlevel1"/>
      </w:pPr>
      <w:r w:rsidRPr="00CD5563">
        <w:t>•</w:t>
      </w:r>
      <w:r w:rsidRPr="00CD5563">
        <w:tab/>
      </w:r>
      <w:r w:rsidR="0008639C" w:rsidRPr="00CD5563">
        <w:t>destruction of information and/or other resources;</w:t>
      </w:r>
    </w:p>
    <w:p w:rsidR="0008639C" w:rsidRPr="00CD5563" w:rsidRDefault="00FB56E3" w:rsidP="00FB56E3">
      <w:pPr>
        <w:pStyle w:val="Enumlevel1"/>
      </w:pPr>
      <w:r w:rsidRPr="00CD5563">
        <w:t>•</w:t>
      </w:r>
      <w:r w:rsidRPr="00CD5563">
        <w:tab/>
      </w:r>
      <w:r w:rsidR="0008639C" w:rsidRPr="00CD5563">
        <w:t>corruption or modification of information;</w:t>
      </w:r>
    </w:p>
    <w:p w:rsidR="0008639C" w:rsidRPr="00CD5563" w:rsidRDefault="00FB56E3" w:rsidP="00FB56E3">
      <w:pPr>
        <w:pStyle w:val="Enumlevel1"/>
      </w:pPr>
      <w:r w:rsidRPr="00CD5563">
        <w:t>•</w:t>
      </w:r>
      <w:r w:rsidRPr="00CD5563">
        <w:tab/>
      </w:r>
      <w:r w:rsidR="0008639C" w:rsidRPr="00CD5563">
        <w:t>theft, removal or loss of information and/or other resources;</w:t>
      </w:r>
    </w:p>
    <w:p w:rsidR="0008639C" w:rsidRPr="00CD5563" w:rsidRDefault="00FB56E3" w:rsidP="00FB56E3">
      <w:pPr>
        <w:pStyle w:val="Enumlevel1"/>
      </w:pPr>
      <w:r w:rsidRPr="00CD5563">
        <w:t>•</w:t>
      </w:r>
      <w:r w:rsidRPr="00CD5563">
        <w:tab/>
      </w:r>
      <w:r w:rsidR="0008639C" w:rsidRPr="00CD5563">
        <w:t>disclosure of information; and</w:t>
      </w:r>
    </w:p>
    <w:p w:rsidR="0008639C" w:rsidRPr="00CD5563" w:rsidRDefault="00FB56E3" w:rsidP="00FB56E3">
      <w:pPr>
        <w:pStyle w:val="Enumlevel1"/>
      </w:pPr>
      <w:r w:rsidRPr="00CD5563">
        <w:t>•</w:t>
      </w:r>
      <w:r w:rsidRPr="00CD5563">
        <w:tab/>
      </w:r>
      <w:r w:rsidR="0008639C" w:rsidRPr="00CD5563">
        <w:t>interruption of services and denial of services.</w:t>
      </w:r>
    </w:p>
    <w:p w:rsidR="00FB56E3" w:rsidRPr="00CD5563" w:rsidRDefault="00FB56E3" w:rsidP="00FB56E3">
      <w:pPr>
        <w:pStyle w:val="Figuretitle"/>
        <w:rPr>
          <w:lang w:val="en-GB"/>
        </w:rPr>
      </w:pPr>
      <w:bookmarkStart w:id="220" w:name="_Toc380497375"/>
      <w:r w:rsidRPr="00CD5563">
        <w:rPr>
          <w:lang w:val="en-GB"/>
        </w:rPr>
        <w:t xml:space="preserve">Figure </w:t>
      </w:r>
      <w:r w:rsidRPr="00CD5563">
        <w:rPr>
          <w:rFonts w:eastAsiaTheme="minorEastAsia"/>
          <w:lang w:val="en-GB" w:eastAsia="ko-KR"/>
        </w:rPr>
        <w:t>2</w:t>
      </w:r>
      <w:r w:rsidRPr="00CD5563">
        <w:rPr>
          <w:lang w:val="en-GB"/>
        </w:rPr>
        <w:t>-1: X.800 threat model</w:t>
      </w:r>
      <w:bookmarkEnd w:id="220"/>
    </w:p>
    <w:p w:rsidR="0008639C" w:rsidRPr="00CD5563" w:rsidRDefault="0008639C" w:rsidP="00FB56E3">
      <w:pPr>
        <w:pStyle w:val="Figure"/>
        <w:rPr>
          <w:lang w:val="en-GB"/>
        </w:rPr>
      </w:pPr>
      <w:r w:rsidRPr="00CD5563">
        <w:rPr>
          <w:noProof/>
          <w:lang w:val="ru-RU" w:eastAsia="zh-CN"/>
        </w:rPr>
        <w:drawing>
          <wp:inline distT="0" distB="0" distL="0" distR="0" wp14:anchorId="32E1F879" wp14:editId="220600C4">
            <wp:extent cx="4352925" cy="1781175"/>
            <wp:effectExtent l="19050" t="0" r="9525" b="0"/>
            <wp:docPr id="48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srcRect/>
                    <a:stretch>
                      <a:fillRect/>
                    </a:stretch>
                  </pic:blipFill>
                  <pic:spPr bwMode="auto">
                    <a:xfrm>
                      <a:off x="0" y="0"/>
                      <a:ext cx="4352925" cy="1781175"/>
                    </a:xfrm>
                    <a:prstGeom prst="rect">
                      <a:avLst/>
                    </a:prstGeom>
                    <a:noFill/>
                    <a:ln w="9525">
                      <a:noFill/>
                      <a:miter lim="800000"/>
                      <a:headEnd/>
                      <a:tailEnd/>
                    </a:ln>
                  </pic:spPr>
                </pic:pic>
              </a:graphicData>
            </a:graphic>
          </wp:inline>
        </w:drawing>
      </w:r>
    </w:p>
    <w:p w:rsidR="00FB56E3" w:rsidRPr="00CD5563" w:rsidRDefault="00FB56E3" w:rsidP="00FB56E3">
      <w:pPr>
        <w:pStyle w:val="Figure"/>
        <w:rPr>
          <w:lang w:val="en-GB"/>
        </w:rPr>
      </w:pPr>
    </w:p>
    <w:p w:rsidR="00FB56E3" w:rsidRPr="00CD5563" w:rsidRDefault="00FB56E3" w:rsidP="00FB56E3">
      <w:pPr>
        <w:rPr>
          <w:lang w:val="en-GB"/>
        </w:rPr>
      </w:pPr>
    </w:p>
    <w:p w:rsidR="0008639C" w:rsidRPr="00CD5563" w:rsidRDefault="0008639C" w:rsidP="00FB56E3">
      <w:pPr>
        <w:rPr>
          <w:lang w:val="en-GB"/>
        </w:rPr>
      </w:pPr>
      <w:r w:rsidRPr="00CD5563">
        <w:rPr>
          <w:lang w:val="en-GB"/>
        </w:rPr>
        <w:t xml:space="preserve">Further, it is clear that NGNs will be operating in an environment different from the PSTN environment and may therefore be exposed to different types of threats and attacks from within or externally. NGNs will have direct or indirect connectivity to un-trusted and trusted networks and terminal equipment, and therefore will be exposed to security risks and threats associated with connectivity to un-secure networks and customer premises equipment. For example, a provider's NGN may have direct or indirect (i.e., through another network) connectivity to the following as shown in Figure </w:t>
      </w:r>
      <w:r w:rsidRPr="00CD5563">
        <w:rPr>
          <w:rFonts w:eastAsiaTheme="minorEastAsia"/>
          <w:lang w:val="en-GB" w:eastAsia="ko-KR"/>
        </w:rPr>
        <w:t>2</w:t>
      </w:r>
      <w:r w:rsidRPr="00CD5563">
        <w:rPr>
          <w:lang w:val="en-GB"/>
        </w:rPr>
        <w:t>-2.</w:t>
      </w:r>
    </w:p>
    <w:p w:rsidR="0008639C" w:rsidRPr="00CD5563" w:rsidRDefault="00FB56E3" w:rsidP="00FB56E3">
      <w:pPr>
        <w:pStyle w:val="Enumlevel1"/>
      </w:pPr>
      <w:r w:rsidRPr="00CD5563">
        <w:t>•</w:t>
      </w:r>
      <w:r w:rsidRPr="00CD5563">
        <w:tab/>
      </w:r>
      <w:r w:rsidR="0008639C" w:rsidRPr="00CD5563">
        <w:t>other service providers, and their applications;</w:t>
      </w:r>
    </w:p>
    <w:p w:rsidR="0008639C" w:rsidRPr="00CD5563" w:rsidRDefault="00FB56E3" w:rsidP="00FB56E3">
      <w:pPr>
        <w:pStyle w:val="Enumlevel1"/>
      </w:pPr>
      <w:r w:rsidRPr="00CD5563">
        <w:t>•</w:t>
      </w:r>
      <w:r w:rsidRPr="00CD5563">
        <w:tab/>
      </w:r>
      <w:r w:rsidR="0008639C" w:rsidRPr="00CD5563">
        <w:t>other NGNs;</w:t>
      </w:r>
    </w:p>
    <w:p w:rsidR="0008639C" w:rsidRPr="00CD5563" w:rsidRDefault="00FB56E3" w:rsidP="00FB56E3">
      <w:pPr>
        <w:pStyle w:val="Enumlevel1"/>
      </w:pPr>
      <w:r w:rsidRPr="00CD5563">
        <w:t>•</w:t>
      </w:r>
      <w:r w:rsidRPr="00CD5563">
        <w:tab/>
      </w:r>
      <w:r w:rsidR="0008639C" w:rsidRPr="00CD5563">
        <w:t>other IP-based networks;</w:t>
      </w:r>
    </w:p>
    <w:p w:rsidR="0008639C" w:rsidRPr="00CD5563" w:rsidRDefault="00FB56E3" w:rsidP="00FB56E3">
      <w:pPr>
        <w:pStyle w:val="Enumlevel1"/>
      </w:pPr>
      <w:r w:rsidRPr="00CD5563">
        <w:t>•</w:t>
      </w:r>
      <w:r w:rsidRPr="00CD5563">
        <w:tab/>
      </w:r>
      <w:r w:rsidR="0008639C" w:rsidRPr="00CD5563">
        <w:t>public switched telephone network (PSTN);</w:t>
      </w:r>
    </w:p>
    <w:p w:rsidR="0008639C" w:rsidRPr="00CD5563" w:rsidRDefault="00FB56E3" w:rsidP="00FB56E3">
      <w:pPr>
        <w:pStyle w:val="Enumlevel1"/>
      </w:pPr>
      <w:r w:rsidRPr="00CD5563">
        <w:t>•</w:t>
      </w:r>
      <w:r w:rsidRPr="00CD5563">
        <w:tab/>
      </w:r>
      <w:r w:rsidR="0008639C" w:rsidRPr="00CD5563">
        <w:t>corporate networks;</w:t>
      </w:r>
    </w:p>
    <w:p w:rsidR="0008639C" w:rsidRPr="00CD5563" w:rsidRDefault="00FB56E3" w:rsidP="00FB56E3">
      <w:pPr>
        <w:pStyle w:val="Enumlevel1"/>
      </w:pPr>
      <w:r w:rsidRPr="00CD5563">
        <w:t>•</w:t>
      </w:r>
      <w:r w:rsidRPr="00CD5563">
        <w:tab/>
      </w:r>
      <w:r w:rsidR="0008639C" w:rsidRPr="00CD5563">
        <w:t>user networks;</w:t>
      </w:r>
    </w:p>
    <w:p w:rsidR="0008639C" w:rsidRPr="00CD5563" w:rsidRDefault="00FB56E3" w:rsidP="00FB56E3">
      <w:pPr>
        <w:pStyle w:val="Enumlevel1"/>
      </w:pPr>
      <w:r w:rsidRPr="00CD5563">
        <w:t>•</w:t>
      </w:r>
      <w:r w:rsidRPr="00CD5563">
        <w:tab/>
      </w:r>
      <w:r w:rsidR="0008639C" w:rsidRPr="00CD5563">
        <w:t>terminal equipment;</w:t>
      </w:r>
    </w:p>
    <w:p w:rsidR="0008639C" w:rsidRPr="00CD5563" w:rsidRDefault="00FB56E3" w:rsidP="00FB56E3">
      <w:pPr>
        <w:pStyle w:val="Enumlevel1"/>
      </w:pPr>
      <w:r w:rsidRPr="00CD5563">
        <w:t>•</w:t>
      </w:r>
      <w:r w:rsidRPr="00CD5563">
        <w:tab/>
      </w:r>
      <w:r w:rsidR="0008639C" w:rsidRPr="00CD5563">
        <w:t>other NGN transport domains.</w:t>
      </w:r>
    </w:p>
    <w:p w:rsidR="00046509" w:rsidRDefault="00046509" w:rsidP="00046509">
      <w:pPr>
        <w:pStyle w:val="Figuretitle"/>
      </w:pPr>
      <w:bookmarkStart w:id="221" w:name="_Toc380497376"/>
      <w:r w:rsidRPr="00CD5563">
        <w:t xml:space="preserve">Figure </w:t>
      </w:r>
      <w:r w:rsidRPr="00CD5563">
        <w:rPr>
          <w:rFonts w:eastAsiaTheme="minorEastAsia"/>
          <w:lang w:eastAsia="ko-KR"/>
        </w:rPr>
        <w:t>2</w:t>
      </w:r>
      <w:r w:rsidRPr="00CD5563">
        <w:t>-2: Connectivity to networks and users</w:t>
      </w:r>
      <w:bookmarkEnd w:id="221"/>
    </w:p>
    <w:p w:rsidR="0008639C" w:rsidRDefault="00046509" w:rsidP="00FB56E3">
      <w:pPr>
        <w:pStyle w:val="Figure"/>
        <w:rPr>
          <w:lang w:val="en-GB"/>
        </w:rPr>
      </w:pPr>
      <w:r w:rsidRPr="00CD5563">
        <w:rPr>
          <w:lang w:val="en-GB"/>
        </w:rPr>
        <w:t xml:space="preserve"> </w:t>
      </w:r>
      <w:r w:rsidR="0008639C" w:rsidRPr="00CD5563">
        <w:rPr>
          <w:lang w:val="en-GB"/>
        </w:rPr>
        <w:object w:dxaOrig="7065" w:dyaOrig="53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35pt;height:206.9pt" o:ole="">
            <v:imagedata r:id="rId28" o:title=""/>
          </v:shape>
          <o:OLEObject Type="Embed" ProgID="PowerPoint.Slide.8" ShapeID="_x0000_i1025" DrawAspect="Content" ObjectID="_1455465126" r:id="rId29"/>
        </w:object>
      </w:r>
    </w:p>
    <w:p w:rsidR="00046509" w:rsidRPr="00CD5563" w:rsidRDefault="00046509" w:rsidP="00FB56E3">
      <w:pPr>
        <w:pStyle w:val="Figure"/>
        <w:rPr>
          <w:lang w:val="en-GB"/>
        </w:rPr>
      </w:pPr>
    </w:p>
    <w:p w:rsidR="0008639C" w:rsidRPr="00CD5563" w:rsidRDefault="0008639C" w:rsidP="00046509">
      <w:pPr>
        <w:rPr>
          <w:lang w:val="en-GB"/>
        </w:rPr>
      </w:pPr>
    </w:p>
    <w:p w:rsidR="0008639C" w:rsidRPr="00CD5563" w:rsidRDefault="0008639C" w:rsidP="00FB56E3">
      <w:pPr>
        <w:rPr>
          <w:lang w:val="en-GB"/>
        </w:rPr>
      </w:pPr>
      <w:r w:rsidRPr="00CD5563">
        <w:rPr>
          <w:lang w:val="en-GB"/>
        </w:rPr>
        <w:t>In the evolving environment, security across multiple network provider domains relies on the aggregation of what all providers elect to do for securing their networks. Unauthorized network access into one provider's network can easily lead to exploitation of an interconnected network and its associated services. This is an example of the exploitation of the weakest link that can threaten a provider network's integrity and service continuity along with a host of various types of attacks.</w:t>
      </w:r>
    </w:p>
    <w:p w:rsidR="0008639C" w:rsidRPr="00CD5563" w:rsidRDefault="0008639C" w:rsidP="0008639C">
      <w:pPr>
        <w:rPr>
          <w:szCs w:val="19"/>
          <w:lang w:val="en-GB"/>
        </w:rPr>
      </w:pPr>
      <w:r w:rsidRPr="00CD5563">
        <w:rPr>
          <w:szCs w:val="19"/>
          <w:lang w:val="en-GB"/>
        </w:rPr>
        <w:t>Each NGN provider is responsible for security within its domain. Each NGN provider is responsible for designing and implementing security solutions using network specific policy for trust relations, to meet its own network-specific needs and to support global end-to-end security objectives across multiple network provider domains.</w:t>
      </w:r>
    </w:p>
    <w:p w:rsidR="0008639C" w:rsidRPr="00CD5563" w:rsidRDefault="0008639C" w:rsidP="00FB56E3">
      <w:pPr>
        <w:pStyle w:val="Heading2"/>
        <w:rPr>
          <w:rFonts w:eastAsiaTheme="minorEastAsia"/>
          <w:lang w:val="en-GB" w:eastAsia="ko-KR"/>
        </w:rPr>
      </w:pPr>
      <w:bookmarkStart w:id="222" w:name="_Toc164865319"/>
      <w:bookmarkStart w:id="223" w:name="_Toc167874416"/>
      <w:bookmarkStart w:id="224" w:name="_Toc191184798"/>
      <w:bookmarkStart w:id="225" w:name="_Toc193532205"/>
      <w:bookmarkStart w:id="226" w:name="_Toc195348839"/>
      <w:bookmarkStart w:id="227" w:name="_Toc380487696"/>
      <w:bookmarkStart w:id="228" w:name="_Toc381025015"/>
      <w:r w:rsidRPr="00CD5563">
        <w:rPr>
          <w:rFonts w:eastAsiaTheme="minorEastAsia"/>
          <w:lang w:val="en-GB" w:eastAsia="ko-KR"/>
        </w:rPr>
        <w:t>2.2</w:t>
      </w:r>
      <w:r w:rsidRPr="00CD5563">
        <w:rPr>
          <w:rFonts w:eastAsiaTheme="minorEastAsia"/>
          <w:lang w:val="en-GB" w:eastAsia="ko-KR"/>
        </w:rPr>
        <w:tab/>
        <w:t>Security trust model</w:t>
      </w:r>
      <w:bookmarkEnd w:id="222"/>
      <w:bookmarkEnd w:id="223"/>
      <w:bookmarkEnd w:id="224"/>
      <w:bookmarkEnd w:id="225"/>
      <w:bookmarkEnd w:id="226"/>
      <w:bookmarkEnd w:id="227"/>
      <w:bookmarkEnd w:id="228"/>
    </w:p>
    <w:p w:rsidR="0008639C" w:rsidRPr="00CD5563" w:rsidRDefault="0008639C" w:rsidP="0008639C">
      <w:pPr>
        <w:rPr>
          <w:szCs w:val="19"/>
          <w:lang w:val="en-GB"/>
        </w:rPr>
      </w:pPr>
      <w:r w:rsidRPr="00CD5563">
        <w:rPr>
          <w:szCs w:val="19"/>
          <w:lang w:val="en-GB"/>
        </w:rPr>
        <w:t>The NGN functional reference architecture defines functional entities (FEs). However, since network security aspects depend heavily on the way that FEs are bundled together, the NGN security architecture is based on physical network elements (NEs), i.e., tangible boxes that contain one or more FEs. The way these FEs are bundled into NEs will vary, depending on the vendor.</w:t>
      </w:r>
    </w:p>
    <w:p w:rsidR="0008639C" w:rsidRPr="00CD5563" w:rsidRDefault="00FB56E3" w:rsidP="00FB56E3">
      <w:pPr>
        <w:pStyle w:val="Enumlevel1"/>
      </w:pPr>
      <w:bookmarkStart w:id="229" w:name="_Toc164865320"/>
      <w:bookmarkStart w:id="230" w:name="_Toc191184799"/>
      <w:bookmarkStart w:id="231" w:name="_Toc193532206"/>
      <w:bookmarkStart w:id="232" w:name="_Toc195348840"/>
      <w:r w:rsidRPr="00CD5563">
        <w:t>•</w:t>
      </w:r>
      <w:r w:rsidRPr="00CD5563">
        <w:tab/>
      </w:r>
      <w:r w:rsidR="0008639C" w:rsidRPr="00CD5563">
        <w:rPr>
          <w:b/>
          <w:bCs/>
        </w:rPr>
        <w:t>Single network trust model</w:t>
      </w:r>
      <w:bookmarkEnd w:id="229"/>
      <w:bookmarkEnd w:id="230"/>
      <w:bookmarkEnd w:id="231"/>
      <w:bookmarkEnd w:id="232"/>
      <w:r w:rsidR="0008639C" w:rsidRPr="00CD5563">
        <w:t xml:space="preserve">: Three security zones (trusted, trusted but vulnerable, and un-trusted) are dependent on operational control, location, and connectivity to other device/network elements. These three zones are illustrated in the security trust model shown in Figure </w:t>
      </w:r>
      <w:r w:rsidR="0008639C" w:rsidRPr="00CD5563">
        <w:rPr>
          <w:rFonts w:eastAsiaTheme="minorEastAsia"/>
        </w:rPr>
        <w:t>2</w:t>
      </w:r>
      <w:r w:rsidR="0008639C" w:rsidRPr="00CD5563">
        <w:t>-3.</w:t>
      </w:r>
    </w:p>
    <w:p w:rsidR="00FB56E3" w:rsidRPr="00CD5563" w:rsidRDefault="00FB56E3" w:rsidP="00FB56E3">
      <w:pPr>
        <w:pStyle w:val="Figuretitle"/>
        <w:rPr>
          <w:lang w:val="en-GB"/>
        </w:rPr>
      </w:pPr>
      <w:bookmarkStart w:id="233" w:name="_Toc380497377"/>
      <w:r w:rsidRPr="00CD5563">
        <w:rPr>
          <w:lang w:val="en-GB"/>
        </w:rPr>
        <w:t xml:space="preserve">Figure </w:t>
      </w:r>
      <w:r w:rsidRPr="00CD5563">
        <w:rPr>
          <w:rFonts w:eastAsiaTheme="minorEastAsia"/>
          <w:lang w:val="en-GB" w:eastAsia="ko-KR"/>
        </w:rPr>
        <w:t>2</w:t>
      </w:r>
      <w:r w:rsidRPr="00CD5563">
        <w:rPr>
          <w:lang w:val="en-GB"/>
        </w:rPr>
        <w:t>-3: Security trust model</w:t>
      </w:r>
      <w:bookmarkEnd w:id="233"/>
    </w:p>
    <w:p w:rsidR="0008639C" w:rsidRPr="00CD5563" w:rsidRDefault="0008639C" w:rsidP="00FB56E3">
      <w:pPr>
        <w:pStyle w:val="Figure"/>
        <w:rPr>
          <w:lang w:val="en-GB"/>
        </w:rPr>
      </w:pPr>
      <w:r w:rsidRPr="00CD5563">
        <w:rPr>
          <w:lang w:val="en-GB"/>
        </w:rPr>
        <w:object w:dxaOrig="7036" w:dyaOrig="5287">
          <v:shape id="_x0000_i1026" type="#_x0000_t75" style="width:312.9pt;height:180pt" o:ole="">
            <v:imagedata r:id="rId30" o:title="" croptop="15718f"/>
          </v:shape>
          <o:OLEObject Type="Embed" ProgID="PowerPoint.Slide.8" ShapeID="_x0000_i1026" DrawAspect="Content" ObjectID="_1455465127" r:id="rId31"/>
        </w:object>
      </w:r>
    </w:p>
    <w:p w:rsidR="00FB56E3" w:rsidRPr="00CD5563" w:rsidRDefault="00FB56E3" w:rsidP="00FB56E3">
      <w:pPr>
        <w:pStyle w:val="Figure"/>
        <w:rPr>
          <w:lang w:val="en-GB"/>
        </w:rPr>
      </w:pPr>
    </w:p>
    <w:p w:rsidR="0008639C" w:rsidRPr="00CD5563" w:rsidRDefault="00FB56E3" w:rsidP="00FB56E3">
      <w:pPr>
        <w:pStyle w:val="Enumlevel2"/>
        <w:rPr>
          <w:lang w:val="en-GB"/>
        </w:rPr>
      </w:pPr>
      <w:r w:rsidRPr="00CD5563">
        <w:rPr>
          <w:lang w:val="en-GB"/>
        </w:rPr>
        <w:t>a)</w:t>
      </w:r>
      <w:r w:rsidRPr="00CD5563">
        <w:rPr>
          <w:lang w:val="en-GB"/>
        </w:rPr>
        <w:tab/>
      </w:r>
      <w:r w:rsidR="0008639C" w:rsidRPr="00CD5563">
        <w:rPr>
          <w:lang w:val="en-GB"/>
        </w:rPr>
        <w:t>"trusted network security zone" or "trusted zone": It is a zone where a NGN provider's network elements and systems reside and never communicate directly with customer equipment or other domains. The "trusted zone" will be protected by a combination of various methods. Some examples are physical security of the NGN network elements, general hardening of the systems, use of secure signalling, security for OAMP messages separate VPN within the (MPLS/)IP network for communication within the "trusted" zone and with NGN network elements in the "trusted</w:t>
      </w:r>
      <w:r w:rsidR="0008639C" w:rsidRPr="00CD5563">
        <w:rPr>
          <w:lang w:val="en-GB"/>
        </w:rPr>
        <w:noBreakHyphen/>
        <w:t>but</w:t>
      </w:r>
      <w:r w:rsidR="0008639C" w:rsidRPr="00CD5563">
        <w:rPr>
          <w:lang w:val="en-GB"/>
        </w:rPr>
        <w:noBreakHyphen/>
        <w:t>vulnerable" zone.</w:t>
      </w:r>
    </w:p>
    <w:p w:rsidR="0008639C" w:rsidRPr="00CD5563" w:rsidRDefault="00FB56E3" w:rsidP="00FB56E3">
      <w:pPr>
        <w:pStyle w:val="Enumlevel2"/>
        <w:rPr>
          <w:lang w:val="en-GB"/>
        </w:rPr>
      </w:pPr>
      <w:r w:rsidRPr="00CD5563">
        <w:rPr>
          <w:lang w:val="en-GB"/>
        </w:rPr>
        <w:t>b)</w:t>
      </w:r>
      <w:r w:rsidRPr="00CD5563">
        <w:rPr>
          <w:lang w:val="en-GB"/>
        </w:rPr>
        <w:tab/>
      </w:r>
      <w:r w:rsidR="0008639C" w:rsidRPr="00CD5563">
        <w:rPr>
          <w:lang w:val="en-GB"/>
        </w:rPr>
        <w:t>"trusted but vulnerable network security zone", or "trusted but vulnerable zone": It is a zone where the network elements/devices are operated (provisioned and maintained) by the NGN provider. The equipment may be under the control by either the customer/subscriber or the NGN provider. In addition, the equipment may be located within or outside the NGN provider's premises. Their major security function is to protect the NEs in the trusted zone from the security attacks originated in the un-trusted zone.</w:t>
      </w:r>
    </w:p>
    <w:p w:rsidR="0008639C" w:rsidRPr="00CD5563" w:rsidRDefault="00FB56E3" w:rsidP="00FB56E3">
      <w:pPr>
        <w:pStyle w:val="Enumlevel2"/>
        <w:rPr>
          <w:lang w:val="en-GB"/>
        </w:rPr>
      </w:pPr>
      <w:r w:rsidRPr="00CD5563">
        <w:rPr>
          <w:lang w:val="en-GB"/>
        </w:rPr>
        <w:t>c)</w:t>
      </w:r>
      <w:r w:rsidRPr="00CD5563">
        <w:rPr>
          <w:lang w:val="en-GB"/>
        </w:rPr>
        <w:tab/>
      </w:r>
      <w:r w:rsidR="0008639C" w:rsidRPr="00CD5563">
        <w:rPr>
          <w:lang w:val="en-GB"/>
        </w:rPr>
        <w:t xml:space="preserve">"un-trusted zone": It includes all network elements of customer networks or possibly peer networks or other NGN provider domains outside of the original domain, which are connected to the NGN provider's network border elements. In the "un-trusted zone", comprised of terminal equipment, equipment may not be under the control of NGN providers and it may be impossible to enforce provider's security policy on user. </w:t>
      </w:r>
    </w:p>
    <w:p w:rsidR="0008639C" w:rsidRPr="00CD5563" w:rsidRDefault="00FB56E3" w:rsidP="00FB56E3">
      <w:pPr>
        <w:pStyle w:val="Enumlevel1"/>
      </w:pPr>
      <w:bookmarkStart w:id="234" w:name="_Toc164865321"/>
      <w:bookmarkStart w:id="235" w:name="_Toc191184800"/>
      <w:bookmarkStart w:id="236" w:name="_Toc193532207"/>
      <w:bookmarkStart w:id="237" w:name="_Toc195348841"/>
      <w:r w:rsidRPr="00CD5563">
        <w:t>•</w:t>
      </w:r>
      <w:r w:rsidRPr="00CD5563">
        <w:tab/>
      </w:r>
      <w:r w:rsidR="0008639C" w:rsidRPr="00CD5563">
        <w:rPr>
          <w:b/>
          <w:bCs/>
        </w:rPr>
        <w:t>Peering network trust model</w:t>
      </w:r>
      <w:bookmarkEnd w:id="234"/>
      <w:bookmarkEnd w:id="235"/>
      <w:bookmarkEnd w:id="236"/>
      <w:bookmarkEnd w:id="237"/>
      <w:r w:rsidR="0008639C" w:rsidRPr="00CD5563">
        <w:t>: When an NGN is connected to another network, the trust depends on:</w:t>
      </w:r>
    </w:p>
    <w:p w:rsidR="0008639C" w:rsidRPr="00CD5563" w:rsidRDefault="00FB56E3" w:rsidP="00FB56E3">
      <w:pPr>
        <w:pStyle w:val="Enumlevel2"/>
        <w:rPr>
          <w:lang w:val="en-GB"/>
        </w:rPr>
      </w:pPr>
      <w:r w:rsidRPr="00CD5563">
        <w:rPr>
          <w:lang w:val="en-GB"/>
        </w:rPr>
        <w:t>a)</w:t>
      </w:r>
      <w:r w:rsidRPr="00CD5563">
        <w:rPr>
          <w:lang w:val="en-GB"/>
        </w:rPr>
        <w:tab/>
      </w:r>
      <w:r w:rsidR="0008639C" w:rsidRPr="00CD5563">
        <w:rPr>
          <w:lang w:val="en-GB"/>
        </w:rPr>
        <w:t>physical interconnection, where the interconnection can range from a direct connection in a secure building to via shared facilities;</w:t>
      </w:r>
    </w:p>
    <w:p w:rsidR="0008639C" w:rsidRPr="00CD5563" w:rsidRDefault="00FB56E3" w:rsidP="00FB56E3">
      <w:pPr>
        <w:pStyle w:val="Enumlevel2"/>
        <w:rPr>
          <w:lang w:val="en-GB"/>
        </w:rPr>
      </w:pPr>
      <w:r w:rsidRPr="00CD5563">
        <w:rPr>
          <w:lang w:val="en-GB"/>
        </w:rPr>
        <w:t>b)</w:t>
      </w:r>
      <w:r w:rsidRPr="00CD5563">
        <w:rPr>
          <w:lang w:val="en-GB"/>
        </w:rPr>
        <w:tab/>
      </w:r>
      <w:r w:rsidR="0008639C" w:rsidRPr="00CD5563">
        <w:rPr>
          <w:lang w:val="en-GB"/>
        </w:rPr>
        <w:t>peering model, where the traffic can be exchanged directly between the two NGN service providers, or via one or more NGN transport providers;</w:t>
      </w:r>
    </w:p>
    <w:p w:rsidR="0008639C" w:rsidRPr="00CD5563" w:rsidRDefault="00FB56E3" w:rsidP="00FB56E3">
      <w:pPr>
        <w:pStyle w:val="Enumlevel2"/>
        <w:rPr>
          <w:lang w:val="en-GB"/>
        </w:rPr>
      </w:pPr>
      <w:r w:rsidRPr="00CD5563">
        <w:rPr>
          <w:lang w:val="en-GB"/>
        </w:rPr>
        <w:t>c)</w:t>
      </w:r>
      <w:r w:rsidRPr="00CD5563">
        <w:rPr>
          <w:lang w:val="en-GB"/>
        </w:rPr>
        <w:tab/>
      </w:r>
      <w:r w:rsidR="0008639C" w:rsidRPr="00CD5563">
        <w:rPr>
          <w:lang w:val="en-GB"/>
        </w:rPr>
        <w:t>business relationships, where there may be penalty clauses in the SLA agreements, and/or a trust in the other NGN provider's security policy;</w:t>
      </w:r>
    </w:p>
    <w:p w:rsidR="0008639C" w:rsidRPr="00CD5563" w:rsidRDefault="00FB56E3" w:rsidP="00FB56E3">
      <w:pPr>
        <w:pStyle w:val="Enumlevel2"/>
        <w:rPr>
          <w:lang w:val="en-GB"/>
        </w:rPr>
      </w:pPr>
      <w:r w:rsidRPr="00CD5563">
        <w:rPr>
          <w:lang w:val="en-GB"/>
        </w:rPr>
        <w:t>d)</w:t>
      </w:r>
      <w:r w:rsidRPr="00CD5563">
        <w:rPr>
          <w:lang w:val="en-GB"/>
        </w:rPr>
        <w:tab/>
      </w:r>
      <w:r w:rsidR="0008639C" w:rsidRPr="00CD5563">
        <w:rPr>
          <w:lang w:val="en-GB"/>
        </w:rPr>
        <w:t>in general, NGN providers should view other providers as un-trusted.</w:t>
      </w:r>
    </w:p>
    <w:p w:rsidR="0008639C" w:rsidRPr="00CD5563" w:rsidRDefault="0008639C" w:rsidP="00FB56E3">
      <w:pPr>
        <w:pStyle w:val="Heading2"/>
        <w:rPr>
          <w:rFonts w:eastAsiaTheme="minorEastAsia"/>
          <w:lang w:val="en-GB" w:eastAsia="ko-KR"/>
        </w:rPr>
      </w:pPr>
      <w:bookmarkStart w:id="238" w:name="_Toc380487697"/>
      <w:bookmarkStart w:id="239" w:name="_Toc381025016"/>
      <w:r w:rsidRPr="00CD5563">
        <w:rPr>
          <w:rFonts w:eastAsiaTheme="minorEastAsia"/>
          <w:lang w:val="en-GB" w:eastAsia="ko-KR"/>
        </w:rPr>
        <w:t>2.3</w:t>
      </w:r>
      <w:r w:rsidRPr="00CD5563">
        <w:rPr>
          <w:rFonts w:eastAsiaTheme="minorEastAsia"/>
          <w:lang w:val="en-GB" w:eastAsia="ko-KR"/>
        </w:rPr>
        <w:tab/>
        <w:t>Design Principles for NGN Security</w:t>
      </w:r>
      <w:bookmarkEnd w:id="238"/>
      <w:bookmarkEnd w:id="239"/>
    </w:p>
    <w:p w:rsidR="0008639C" w:rsidRPr="00CD5563" w:rsidRDefault="00FB56E3" w:rsidP="00FB56E3">
      <w:pPr>
        <w:pStyle w:val="Heading3"/>
        <w:rPr>
          <w:lang w:val="en-GB"/>
        </w:rPr>
      </w:pPr>
      <w:bookmarkStart w:id="240" w:name="_Toc164865326"/>
      <w:bookmarkStart w:id="241" w:name="_Toc167874421"/>
      <w:bookmarkStart w:id="242" w:name="_Toc191184805"/>
      <w:bookmarkStart w:id="243" w:name="_Toc193532212"/>
      <w:bookmarkStart w:id="244" w:name="_Toc195348846"/>
      <w:bookmarkStart w:id="245" w:name="_Toc380487698"/>
      <w:bookmarkStart w:id="246" w:name="_Toc381025017"/>
      <w:r w:rsidRPr="00CD5563">
        <w:rPr>
          <w:lang w:val="en-GB"/>
        </w:rPr>
        <w:t>2.3.1</w:t>
      </w:r>
      <w:r w:rsidRPr="00CD5563">
        <w:rPr>
          <w:lang w:val="en-GB"/>
        </w:rPr>
        <w:tab/>
      </w:r>
      <w:r w:rsidR="0008639C" w:rsidRPr="00CD5563">
        <w:rPr>
          <w:lang w:val="en-GB"/>
        </w:rPr>
        <w:t>Objectives and requirements</w:t>
      </w:r>
      <w:bookmarkEnd w:id="240"/>
      <w:bookmarkEnd w:id="241"/>
      <w:bookmarkEnd w:id="242"/>
      <w:bookmarkEnd w:id="243"/>
      <w:bookmarkEnd w:id="244"/>
      <w:bookmarkEnd w:id="245"/>
      <w:bookmarkEnd w:id="246"/>
    </w:p>
    <w:p w:rsidR="0008639C" w:rsidRPr="00CD5563" w:rsidRDefault="001E7711" w:rsidP="001E7711">
      <w:pPr>
        <w:pStyle w:val="Enumlevel1"/>
      </w:pPr>
      <w:bookmarkStart w:id="247" w:name="_Toc164865327"/>
      <w:bookmarkStart w:id="248" w:name="_Toc167874422"/>
      <w:bookmarkStart w:id="249" w:name="_Toc191184806"/>
      <w:bookmarkStart w:id="250" w:name="_Toc193532213"/>
      <w:bookmarkStart w:id="251" w:name="_Toc195348847"/>
      <w:r w:rsidRPr="00CD5563">
        <w:t>•</w:t>
      </w:r>
      <w:r w:rsidRPr="00CD5563">
        <w:tab/>
      </w:r>
      <w:r w:rsidR="0008639C" w:rsidRPr="00CD5563">
        <w:rPr>
          <w:b/>
          <w:bCs/>
        </w:rPr>
        <w:t>General security objectives</w:t>
      </w:r>
      <w:bookmarkEnd w:id="247"/>
      <w:bookmarkEnd w:id="248"/>
      <w:bookmarkEnd w:id="249"/>
      <w:bookmarkEnd w:id="250"/>
      <w:bookmarkEnd w:id="251"/>
      <w:r w:rsidR="0008639C" w:rsidRPr="00CD5563">
        <w:t>: The following is a list of general security objectives used to guide the requirements in this Recommendation.</w:t>
      </w:r>
    </w:p>
    <w:p w:rsidR="0008639C" w:rsidRPr="00CD5563" w:rsidRDefault="001E7711" w:rsidP="001E7711">
      <w:pPr>
        <w:pStyle w:val="Enumlevel2"/>
        <w:rPr>
          <w:lang w:val="en-GB"/>
        </w:rPr>
      </w:pPr>
      <w:r w:rsidRPr="00CD5563">
        <w:rPr>
          <w:lang w:val="en-GB"/>
        </w:rPr>
        <w:t>a)</w:t>
      </w:r>
      <w:r w:rsidRPr="00CD5563">
        <w:rPr>
          <w:lang w:val="en-GB"/>
        </w:rPr>
        <w:tab/>
      </w:r>
      <w:r w:rsidR="0008639C" w:rsidRPr="00CD5563">
        <w:rPr>
          <w:lang w:val="en-GB"/>
        </w:rPr>
        <w:t xml:space="preserve">NGN security features should be extensible, and flexible enough to satisfy various needs. </w:t>
      </w:r>
    </w:p>
    <w:p w:rsidR="0008639C" w:rsidRPr="00CD5563" w:rsidRDefault="001E7711" w:rsidP="001E7711">
      <w:pPr>
        <w:pStyle w:val="Enumlevel2"/>
        <w:rPr>
          <w:lang w:val="en-GB"/>
        </w:rPr>
      </w:pPr>
      <w:r w:rsidRPr="00CD5563">
        <w:rPr>
          <w:lang w:val="en-GB"/>
        </w:rPr>
        <w:t>b)</w:t>
      </w:r>
      <w:r w:rsidRPr="00CD5563">
        <w:rPr>
          <w:lang w:val="en-GB"/>
        </w:rPr>
        <w:tab/>
      </w:r>
      <w:r w:rsidR="0008639C" w:rsidRPr="00CD5563">
        <w:rPr>
          <w:lang w:val="en-GB"/>
        </w:rPr>
        <w:t>Security requirements should take the performance, usability, scalability and cost constraints of NGN into account.</w:t>
      </w:r>
    </w:p>
    <w:p w:rsidR="0008639C" w:rsidRPr="00CD5563" w:rsidRDefault="001E7711" w:rsidP="001E7711">
      <w:pPr>
        <w:pStyle w:val="Enumlevel2"/>
        <w:rPr>
          <w:lang w:val="en-GB"/>
        </w:rPr>
      </w:pPr>
      <w:r w:rsidRPr="00CD5563">
        <w:rPr>
          <w:lang w:val="en-GB"/>
        </w:rPr>
        <w:t>c)</w:t>
      </w:r>
      <w:r w:rsidRPr="00CD5563">
        <w:rPr>
          <w:lang w:val="en-GB"/>
        </w:rPr>
        <w:tab/>
      </w:r>
      <w:r w:rsidR="0008639C" w:rsidRPr="00CD5563">
        <w:rPr>
          <w:lang w:val="en-GB"/>
        </w:rPr>
        <w:t>Security methods should be based on existing and well-understood security standards as appropriate.</w:t>
      </w:r>
    </w:p>
    <w:p w:rsidR="0008639C" w:rsidRPr="00CD5563" w:rsidRDefault="001E7711" w:rsidP="001E7711">
      <w:pPr>
        <w:pStyle w:val="Enumlevel2"/>
        <w:rPr>
          <w:lang w:val="en-GB"/>
        </w:rPr>
      </w:pPr>
      <w:r w:rsidRPr="00CD5563">
        <w:rPr>
          <w:lang w:val="en-GB"/>
        </w:rPr>
        <w:t>d)</w:t>
      </w:r>
      <w:r w:rsidRPr="00CD5563">
        <w:rPr>
          <w:lang w:val="en-GB"/>
        </w:rPr>
        <w:tab/>
      </w:r>
      <w:r w:rsidR="0008639C" w:rsidRPr="00CD5563">
        <w:rPr>
          <w:lang w:val="en-GB"/>
        </w:rPr>
        <w:t>The NGN security architecture should be globally scalable (within network provider domains, across multiple network provider domains, in security provisioning).</w:t>
      </w:r>
    </w:p>
    <w:p w:rsidR="0008639C" w:rsidRPr="00CD5563" w:rsidRDefault="001E7711" w:rsidP="001E7711">
      <w:pPr>
        <w:pStyle w:val="Enumlevel2"/>
        <w:rPr>
          <w:lang w:val="en-GB"/>
        </w:rPr>
      </w:pPr>
      <w:r w:rsidRPr="00CD5563">
        <w:rPr>
          <w:lang w:val="en-GB"/>
        </w:rPr>
        <w:t>e)</w:t>
      </w:r>
      <w:r w:rsidRPr="00CD5563">
        <w:rPr>
          <w:lang w:val="en-GB"/>
        </w:rPr>
        <w:tab/>
      </w:r>
      <w:r w:rsidR="0008639C" w:rsidRPr="00CD5563">
        <w:rPr>
          <w:lang w:val="en-GB"/>
        </w:rPr>
        <w:t>The NGN security architecture should respect the logical or physical separation of signalling and control traffic, user traffic, and management traffic.</w:t>
      </w:r>
    </w:p>
    <w:p w:rsidR="0008639C" w:rsidRPr="00CD5563" w:rsidRDefault="001E7711" w:rsidP="001E7711">
      <w:pPr>
        <w:pStyle w:val="Enumlevel2"/>
        <w:rPr>
          <w:lang w:val="en-GB"/>
        </w:rPr>
      </w:pPr>
      <w:r w:rsidRPr="00CD5563">
        <w:rPr>
          <w:lang w:val="en-GB"/>
        </w:rPr>
        <w:t>f)</w:t>
      </w:r>
      <w:r w:rsidRPr="00CD5563">
        <w:rPr>
          <w:lang w:val="en-GB"/>
        </w:rPr>
        <w:tab/>
      </w:r>
      <w:r w:rsidR="0008639C" w:rsidRPr="00CD5563">
        <w:rPr>
          <w:lang w:val="en-GB"/>
        </w:rPr>
        <w:t>NGN security should be securely provisioned and securely managed.</w:t>
      </w:r>
    </w:p>
    <w:p w:rsidR="0008639C" w:rsidRPr="00CD5563" w:rsidRDefault="001E7711" w:rsidP="001E7711">
      <w:pPr>
        <w:pStyle w:val="Enumlevel2"/>
        <w:rPr>
          <w:lang w:val="en-GB"/>
        </w:rPr>
      </w:pPr>
      <w:r w:rsidRPr="00CD5563">
        <w:rPr>
          <w:lang w:val="en-GB"/>
        </w:rPr>
        <w:t>g)</w:t>
      </w:r>
      <w:r w:rsidRPr="00CD5563">
        <w:rPr>
          <w:lang w:val="en-GB"/>
        </w:rPr>
        <w:tab/>
      </w:r>
      <w:r w:rsidR="0008639C" w:rsidRPr="00CD5563">
        <w:rPr>
          <w:lang w:val="en-GB"/>
        </w:rPr>
        <w:t>An NGN should provide security from all perspectives: service, network provider and subscriber.</w:t>
      </w:r>
    </w:p>
    <w:p w:rsidR="0008639C" w:rsidRPr="00CD5563" w:rsidRDefault="001E7711" w:rsidP="001E7711">
      <w:pPr>
        <w:pStyle w:val="Enumlevel2"/>
        <w:rPr>
          <w:lang w:val="en-GB"/>
        </w:rPr>
      </w:pPr>
      <w:r w:rsidRPr="00CD5563">
        <w:rPr>
          <w:lang w:val="en-GB"/>
        </w:rPr>
        <w:t>h)</w:t>
      </w:r>
      <w:r w:rsidRPr="00CD5563">
        <w:rPr>
          <w:lang w:val="en-GB"/>
        </w:rPr>
        <w:tab/>
      </w:r>
      <w:r w:rsidR="0008639C" w:rsidRPr="00CD5563">
        <w:rPr>
          <w:lang w:val="en-GB"/>
        </w:rPr>
        <w:t xml:space="preserve">Security methods should not generally affect the quality of provided services. </w:t>
      </w:r>
    </w:p>
    <w:p w:rsidR="0008639C" w:rsidRPr="00CD5563" w:rsidRDefault="001E7711" w:rsidP="001E7711">
      <w:pPr>
        <w:pStyle w:val="Enumlevel2"/>
        <w:rPr>
          <w:lang w:val="en-GB"/>
        </w:rPr>
      </w:pPr>
      <w:r w:rsidRPr="00CD5563">
        <w:rPr>
          <w:lang w:val="en-GB"/>
        </w:rPr>
        <w:t>i)</w:t>
      </w:r>
      <w:r w:rsidRPr="00CD5563">
        <w:rPr>
          <w:lang w:val="en-GB"/>
        </w:rPr>
        <w:tab/>
      </w:r>
      <w:r w:rsidR="0008639C" w:rsidRPr="00CD5563">
        <w:rPr>
          <w:lang w:val="en-GB"/>
        </w:rPr>
        <w:t>Security should provide simple, secure provisioning and configuration for subscribers and providers (plug &amp; play).</w:t>
      </w:r>
    </w:p>
    <w:p w:rsidR="0008639C" w:rsidRPr="00CD5563" w:rsidRDefault="001E7711" w:rsidP="001E7711">
      <w:pPr>
        <w:pStyle w:val="Enumlevel2"/>
        <w:rPr>
          <w:lang w:val="en-GB"/>
        </w:rPr>
      </w:pPr>
      <w:r w:rsidRPr="00CD5563">
        <w:rPr>
          <w:lang w:val="en-GB"/>
        </w:rPr>
        <w:t>j)</w:t>
      </w:r>
      <w:r w:rsidRPr="00CD5563">
        <w:rPr>
          <w:lang w:val="en-GB"/>
        </w:rPr>
        <w:tab/>
      </w:r>
      <w:r w:rsidR="0008639C" w:rsidRPr="00CD5563">
        <w:rPr>
          <w:lang w:val="en-GB"/>
        </w:rPr>
        <w:t xml:space="preserve">Appropriate security levels should be maintained even when multicast functionality is used. </w:t>
      </w:r>
    </w:p>
    <w:p w:rsidR="0008639C" w:rsidRPr="00CD5563" w:rsidRDefault="001E7711" w:rsidP="001E7711">
      <w:pPr>
        <w:pStyle w:val="Enumlevel2"/>
        <w:rPr>
          <w:lang w:val="en-GB"/>
        </w:rPr>
      </w:pPr>
      <w:r w:rsidRPr="00CD5563">
        <w:rPr>
          <w:lang w:val="en-GB"/>
        </w:rPr>
        <w:t>k)</w:t>
      </w:r>
      <w:r w:rsidRPr="00CD5563">
        <w:rPr>
          <w:lang w:val="en-GB"/>
        </w:rPr>
        <w:tab/>
      </w:r>
      <w:r w:rsidR="0008639C" w:rsidRPr="00CD5563">
        <w:rPr>
          <w:lang w:val="en-GB"/>
        </w:rPr>
        <w:t>The service discovery capabilities should support a variety of scoping criteria (e.g., location, cost, etc.) to provide appropriate scaling, with appropriate mechanisms to ensure security and privacy.</w:t>
      </w:r>
    </w:p>
    <w:p w:rsidR="0008639C" w:rsidRPr="00CD5563" w:rsidRDefault="001E7711" w:rsidP="001E7711">
      <w:pPr>
        <w:pStyle w:val="Enumlevel2"/>
        <w:rPr>
          <w:lang w:val="en-GB"/>
        </w:rPr>
      </w:pPr>
      <w:r w:rsidRPr="00CD5563">
        <w:rPr>
          <w:lang w:val="en-GB"/>
        </w:rPr>
        <w:t>l)</w:t>
      </w:r>
      <w:r w:rsidRPr="00CD5563">
        <w:rPr>
          <w:lang w:val="en-GB"/>
        </w:rPr>
        <w:tab/>
      </w:r>
      <w:r w:rsidR="0008639C" w:rsidRPr="00CD5563">
        <w:rPr>
          <w:lang w:val="en-GB"/>
        </w:rPr>
        <w:t>The address resolution system should be a special system used only by this network, and certain security measures are required to be in place. This system may use databases that are internal or external of a domain.</w:t>
      </w:r>
    </w:p>
    <w:p w:rsidR="0008639C" w:rsidRPr="00CD5563" w:rsidRDefault="001E7711" w:rsidP="001E7711">
      <w:pPr>
        <w:pStyle w:val="Enumlevel2"/>
        <w:rPr>
          <w:lang w:val="en-GB"/>
        </w:rPr>
      </w:pPr>
      <w:r w:rsidRPr="00CD5563">
        <w:rPr>
          <w:lang w:val="en-GB"/>
        </w:rPr>
        <w:t>m)</w:t>
      </w:r>
      <w:r w:rsidRPr="00CD5563">
        <w:rPr>
          <w:lang w:val="en-GB"/>
        </w:rPr>
        <w:tab/>
      </w:r>
      <w:r w:rsidR="0008639C" w:rsidRPr="00CD5563">
        <w:rPr>
          <w:lang w:val="en-GB"/>
        </w:rPr>
        <w:t>The principles and general security objectives for secure TMN management should be followed.</w:t>
      </w:r>
    </w:p>
    <w:p w:rsidR="0008639C" w:rsidRPr="00CD5563" w:rsidRDefault="001E7711" w:rsidP="001E7711">
      <w:pPr>
        <w:pStyle w:val="Enumlevel1"/>
      </w:pPr>
      <w:bookmarkStart w:id="252" w:name="_Toc164865328"/>
      <w:bookmarkStart w:id="253" w:name="_Toc167874423"/>
      <w:bookmarkStart w:id="254" w:name="_Toc191184807"/>
      <w:bookmarkStart w:id="255" w:name="_Toc193532214"/>
      <w:bookmarkStart w:id="256" w:name="_Toc195348848"/>
      <w:r w:rsidRPr="00CD5563">
        <w:t>•</w:t>
      </w:r>
      <w:r w:rsidRPr="00CD5563">
        <w:tab/>
      </w:r>
      <w:r w:rsidR="0008639C" w:rsidRPr="00CD5563">
        <w:rPr>
          <w:b/>
          <w:bCs/>
        </w:rPr>
        <w:t>Objectives for security across multiple network provider domains</w:t>
      </w:r>
      <w:bookmarkEnd w:id="252"/>
      <w:bookmarkEnd w:id="253"/>
      <w:bookmarkEnd w:id="254"/>
      <w:bookmarkEnd w:id="255"/>
      <w:bookmarkEnd w:id="256"/>
      <w:r w:rsidR="0008639C" w:rsidRPr="00CD5563">
        <w:t xml:space="preserve">: The general objective is to provide network-based security for end-to-end communications across multiple provider domains. This is achieved by providing security of the end-to-end communication on a hop-by-hop basis across the different provider's domains. Figure </w:t>
      </w:r>
      <w:r w:rsidR="0008639C" w:rsidRPr="00CD5563">
        <w:rPr>
          <w:rFonts w:eastAsiaTheme="minorEastAsia"/>
        </w:rPr>
        <w:t>2</w:t>
      </w:r>
      <w:r w:rsidR="0008639C" w:rsidRPr="00CD5563">
        <w:t>-4 shows the general concept of network provided security for end-to-end communications between end users. Each network segment has specific security responsibilities within its security zone to facilitate security and availability of NGN communications across multiple networks.</w:t>
      </w:r>
    </w:p>
    <w:p w:rsidR="001E7711" w:rsidRPr="00CD5563" w:rsidRDefault="001E7711" w:rsidP="001E7711">
      <w:pPr>
        <w:pStyle w:val="Figuretitle"/>
        <w:rPr>
          <w:lang w:val="en-GB"/>
        </w:rPr>
      </w:pPr>
      <w:bookmarkStart w:id="257" w:name="_Toc380497378"/>
      <w:r w:rsidRPr="00CD5563">
        <w:rPr>
          <w:lang w:val="en-GB"/>
        </w:rPr>
        <w:t xml:space="preserve">Figure </w:t>
      </w:r>
      <w:r w:rsidRPr="00CD5563">
        <w:rPr>
          <w:rFonts w:eastAsiaTheme="minorEastAsia"/>
          <w:lang w:val="en-GB" w:eastAsia="ko-KR"/>
        </w:rPr>
        <w:t>2</w:t>
      </w:r>
      <w:r w:rsidRPr="00CD5563">
        <w:rPr>
          <w:lang w:val="en-GB"/>
        </w:rPr>
        <w:t>-4: Security of communications across multiple networks</w:t>
      </w:r>
      <w:bookmarkEnd w:id="257"/>
    </w:p>
    <w:p w:rsidR="0008639C" w:rsidRPr="00CD5563" w:rsidRDefault="0008639C" w:rsidP="001E7711">
      <w:pPr>
        <w:pStyle w:val="Figure"/>
        <w:rPr>
          <w:lang w:val="en-GB"/>
        </w:rPr>
      </w:pPr>
      <w:r w:rsidRPr="00CD5563">
        <w:rPr>
          <w:noProof/>
          <w:lang w:val="ru-RU" w:eastAsia="zh-CN"/>
        </w:rPr>
        <w:drawing>
          <wp:inline distT="0" distB="0" distL="0" distR="0" wp14:anchorId="5B582BA1" wp14:editId="608EA3D1">
            <wp:extent cx="4029075" cy="3009900"/>
            <wp:effectExtent l="19050" t="0" r="9525" b="0"/>
            <wp:docPr id="48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cstate="print"/>
                    <a:srcRect/>
                    <a:stretch>
                      <a:fillRect/>
                    </a:stretch>
                  </pic:blipFill>
                  <pic:spPr bwMode="auto">
                    <a:xfrm>
                      <a:off x="0" y="0"/>
                      <a:ext cx="4029075" cy="3009900"/>
                    </a:xfrm>
                    <a:prstGeom prst="rect">
                      <a:avLst/>
                    </a:prstGeom>
                    <a:noFill/>
                    <a:ln w="9525">
                      <a:noFill/>
                      <a:miter lim="800000"/>
                      <a:headEnd/>
                      <a:tailEnd/>
                    </a:ln>
                  </pic:spPr>
                </pic:pic>
              </a:graphicData>
            </a:graphic>
          </wp:inline>
        </w:drawing>
      </w:r>
    </w:p>
    <w:p w:rsidR="001E7711" w:rsidRPr="00CD5563" w:rsidRDefault="001E7711" w:rsidP="001E7711">
      <w:pPr>
        <w:pStyle w:val="Figure"/>
        <w:rPr>
          <w:lang w:val="en-GB"/>
        </w:rPr>
      </w:pPr>
    </w:p>
    <w:p w:rsidR="0008639C" w:rsidRPr="00CD5563" w:rsidRDefault="001E7711" w:rsidP="001E7711">
      <w:pPr>
        <w:pStyle w:val="Enumlevel1"/>
      </w:pPr>
      <w:bookmarkStart w:id="258" w:name="_Toc164865329"/>
      <w:bookmarkStart w:id="259" w:name="_Toc167874424"/>
      <w:bookmarkStart w:id="260" w:name="_Toc191184808"/>
      <w:bookmarkStart w:id="261" w:name="_Toc193532215"/>
      <w:bookmarkStart w:id="262" w:name="_Toc195348849"/>
      <w:r w:rsidRPr="00CD5563">
        <w:t>•</w:t>
      </w:r>
      <w:r w:rsidRPr="00CD5563">
        <w:tab/>
      </w:r>
      <w:r w:rsidR="0008639C" w:rsidRPr="00046509">
        <w:rPr>
          <w:b/>
          <w:bCs/>
        </w:rPr>
        <w:t>Requirements specific for security dimensions</w:t>
      </w:r>
      <w:bookmarkEnd w:id="258"/>
      <w:bookmarkEnd w:id="259"/>
      <w:bookmarkEnd w:id="260"/>
      <w:bookmarkEnd w:id="261"/>
      <w:bookmarkEnd w:id="262"/>
      <w:r w:rsidR="0008639C" w:rsidRPr="00CD5563">
        <w:t>: The objectives described here are specific to particular security dimensions, such as authentication. They are common to all interfaces.</w:t>
      </w:r>
    </w:p>
    <w:p w:rsidR="0008639C" w:rsidRPr="00CD5563" w:rsidRDefault="001E7711" w:rsidP="007E3A44">
      <w:pPr>
        <w:pStyle w:val="Enumlevel2"/>
        <w:rPr>
          <w:lang w:val="en-GB"/>
        </w:rPr>
      </w:pPr>
      <w:bookmarkStart w:id="263" w:name="_Toc164865330"/>
      <w:r w:rsidRPr="00CD5563">
        <w:rPr>
          <w:rFonts w:ascii="Verdana" w:eastAsia="MS Mincho" w:hAnsi="Verdana"/>
          <w:sz w:val="19"/>
          <w:szCs w:val="19"/>
          <w:lang w:val="en-GB" w:eastAsia="ja-JP"/>
        </w:rPr>
        <w:t>a)</w:t>
      </w:r>
      <w:r w:rsidRPr="00CD5563">
        <w:rPr>
          <w:rFonts w:ascii="Verdana" w:eastAsia="MS Mincho" w:hAnsi="Verdana"/>
          <w:sz w:val="19"/>
          <w:szCs w:val="19"/>
          <w:lang w:val="en-GB" w:eastAsia="ja-JP"/>
        </w:rPr>
        <w:tab/>
      </w:r>
      <w:r w:rsidR="0008639C" w:rsidRPr="007E3A44">
        <w:t>Access control</w:t>
      </w:r>
      <w:bookmarkEnd w:id="263"/>
      <w:r w:rsidR="0008639C" w:rsidRPr="007E3A44">
        <w:t>: NGN providers are required to restrict access to authorized subscribers. Authorization may be given by the provider providing the access or by other providers after validation by an authentication and access control processes. The NGN is required to prevent unauthorized access, such as by intruders masquerading as authorized users.</w:t>
      </w:r>
    </w:p>
    <w:p w:rsidR="0008639C" w:rsidRPr="00CD5563" w:rsidRDefault="001E7711" w:rsidP="001E7711">
      <w:pPr>
        <w:pStyle w:val="Enumlevel2"/>
        <w:rPr>
          <w:lang w:val="en-GB"/>
        </w:rPr>
      </w:pPr>
      <w:bookmarkStart w:id="264" w:name="_Toc164865331"/>
      <w:r w:rsidRPr="00CD5563">
        <w:rPr>
          <w:lang w:val="en-GB"/>
        </w:rPr>
        <w:t>b)</w:t>
      </w:r>
      <w:r w:rsidRPr="00CD5563">
        <w:rPr>
          <w:lang w:val="en-GB"/>
        </w:rPr>
        <w:tab/>
      </w:r>
      <w:r w:rsidR="0008639C" w:rsidRPr="00CD5563">
        <w:rPr>
          <w:lang w:val="en-GB"/>
        </w:rPr>
        <w:t>Authentication</w:t>
      </w:r>
      <w:bookmarkEnd w:id="264"/>
      <w:r w:rsidR="0008639C" w:rsidRPr="00CD5563">
        <w:rPr>
          <w:lang w:val="en-GB"/>
        </w:rPr>
        <w:t xml:space="preserve">: NGN providers are required to support capabilities for authenticating subscribers, equipment, network elements and other providers. </w:t>
      </w:r>
    </w:p>
    <w:p w:rsidR="0008639C" w:rsidRPr="00CD5563" w:rsidRDefault="001E7711" w:rsidP="001E7711">
      <w:pPr>
        <w:pStyle w:val="Enumlevel2"/>
        <w:rPr>
          <w:lang w:val="en-GB"/>
        </w:rPr>
      </w:pPr>
      <w:bookmarkStart w:id="265" w:name="_Toc164865332"/>
      <w:r w:rsidRPr="00CD5563">
        <w:rPr>
          <w:lang w:val="en-GB"/>
        </w:rPr>
        <w:t>c)</w:t>
      </w:r>
      <w:r w:rsidRPr="00CD5563">
        <w:rPr>
          <w:lang w:val="en-GB"/>
        </w:rPr>
        <w:tab/>
      </w:r>
      <w:r w:rsidR="0008639C" w:rsidRPr="00CD5563">
        <w:rPr>
          <w:lang w:val="en-GB"/>
        </w:rPr>
        <w:t>Non-repudiation</w:t>
      </w:r>
      <w:bookmarkEnd w:id="265"/>
      <w:r w:rsidR="0008639C" w:rsidRPr="00CD5563">
        <w:rPr>
          <w:lang w:val="en-GB"/>
        </w:rPr>
        <w:t xml:space="preserve">: </w:t>
      </w:r>
      <w:bookmarkStart w:id="266" w:name="_Toc164865333"/>
      <w:r w:rsidR="0008639C" w:rsidRPr="00CD5563">
        <w:rPr>
          <w:lang w:val="en-GB"/>
        </w:rPr>
        <w:t>This document does not specify any non-repudiation security requirements.</w:t>
      </w:r>
      <w:bookmarkEnd w:id="266"/>
      <w:r w:rsidR="0008639C" w:rsidRPr="00CD5563">
        <w:rPr>
          <w:lang w:val="en-GB"/>
        </w:rPr>
        <w:t xml:space="preserve"> </w:t>
      </w:r>
    </w:p>
    <w:p w:rsidR="0008639C" w:rsidRPr="00CD5563" w:rsidRDefault="001E7711" w:rsidP="001E7711">
      <w:pPr>
        <w:pStyle w:val="Enumlevel2"/>
        <w:rPr>
          <w:lang w:val="en-GB"/>
        </w:rPr>
      </w:pPr>
      <w:bookmarkStart w:id="267" w:name="_Toc164865334"/>
      <w:r w:rsidRPr="00CD5563">
        <w:rPr>
          <w:lang w:val="en-GB"/>
        </w:rPr>
        <w:t>d)</w:t>
      </w:r>
      <w:r w:rsidRPr="00CD5563">
        <w:rPr>
          <w:lang w:val="en-GB"/>
        </w:rPr>
        <w:tab/>
      </w:r>
      <w:r w:rsidR="0008639C" w:rsidRPr="00CD5563">
        <w:rPr>
          <w:lang w:val="en-GB"/>
        </w:rPr>
        <w:t>Data confidentiality</w:t>
      </w:r>
      <w:bookmarkEnd w:id="267"/>
      <w:r w:rsidR="0008639C" w:rsidRPr="00CD5563">
        <w:rPr>
          <w:lang w:val="en-GB"/>
        </w:rPr>
        <w:t>: NGN providers are required to protect the confidentiality of subscriber traffic by cryptographic or other means. NGN providers are required to protect confidentiality of control messages by cryptographic or other means if security policy requests it. NGN providers are required to protect the confidentiality of management traffic by cryptographic or other means.</w:t>
      </w:r>
    </w:p>
    <w:p w:rsidR="0008639C" w:rsidRPr="00CD5563" w:rsidRDefault="001E7711" w:rsidP="001E7711">
      <w:pPr>
        <w:pStyle w:val="Enumlevel2"/>
        <w:rPr>
          <w:lang w:val="en-GB"/>
        </w:rPr>
      </w:pPr>
      <w:bookmarkStart w:id="268" w:name="_Toc164865335"/>
      <w:r w:rsidRPr="00CD5563">
        <w:rPr>
          <w:lang w:val="en-GB"/>
        </w:rPr>
        <w:t>e)</w:t>
      </w:r>
      <w:r w:rsidRPr="00CD5563">
        <w:rPr>
          <w:lang w:val="en-GB"/>
        </w:rPr>
        <w:tab/>
      </w:r>
      <w:r w:rsidR="0008639C" w:rsidRPr="00CD5563">
        <w:rPr>
          <w:lang w:val="en-GB"/>
        </w:rPr>
        <w:t>Communication security</w:t>
      </w:r>
      <w:bookmarkEnd w:id="268"/>
      <w:r w:rsidR="0008639C" w:rsidRPr="00CD5563">
        <w:rPr>
          <w:lang w:val="en-GB"/>
        </w:rPr>
        <w:t>: NGN providers are required to provide mechanisms for ensuring that information is not unlawfully diverted or intercepted.</w:t>
      </w:r>
    </w:p>
    <w:p w:rsidR="0008639C" w:rsidRPr="00CD5563" w:rsidRDefault="001E7711" w:rsidP="001E7711">
      <w:pPr>
        <w:pStyle w:val="Enumlevel2"/>
        <w:rPr>
          <w:lang w:val="en-GB"/>
        </w:rPr>
      </w:pPr>
      <w:bookmarkStart w:id="269" w:name="_Toc164865336"/>
      <w:r w:rsidRPr="00CD5563">
        <w:rPr>
          <w:lang w:val="en-GB"/>
        </w:rPr>
        <w:t>f)</w:t>
      </w:r>
      <w:r w:rsidRPr="00CD5563">
        <w:rPr>
          <w:lang w:val="en-GB"/>
        </w:rPr>
        <w:tab/>
      </w:r>
      <w:r w:rsidR="0008639C" w:rsidRPr="00CD5563">
        <w:rPr>
          <w:lang w:val="en-GB"/>
        </w:rPr>
        <w:t>Data integrity</w:t>
      </w:r>
      <w:bookmarkEnd w:id="269"/>
      <w:r w:rsidR="0008639C" w:rsidRPr="00CD5563">
        <w:rPr>
          <w:lang w:val="en-GB"/>
        </w:rPr>
        <w:t>: NGN providers are required to protect the integrity of subscriber traffic by cryptographic or other means. NGN providers are required to protect integrity of control messages by cryptographic or other means if security policy requests it. NGN providers are required to protect the integrity of management traffic by cryptographic or other means.</w:t>
      </w:r>
    </w:p>
    <w:p w:rsidR="0008639C" w:rsidRPr="00CD5563" w:rsidRDefault="001E7711" w:rsidP="00046509">
      <w:pPr>
        <w:pStyle w:val="Enumlevel2"/>
        <w:keepNext/>
        <w:keepLines/>
        <w:rPr>
          <w:lang w:val="en-GB"/>
        </w:rPr>
      </w:pPr>
      <w:bookmarkStart w:id="270" w:name="_Toc164865337"/>
      <w:r w:rsidRPr="00CD5563">
        <w:rPr>
          <w:lang w:val="en-GB"/>
        </w:rPr>
        <w:t>g)</w:t>
      </w:r>
      <w:r w:rsidRPr="00CD5563">
        <w:rPr>
          <w:lang w:val="en-GB"/>
        </w:rPr>
        <w:tab/>
      </w:r>
      <w:r w:rsidR="0008639C" w:rsidRPr="00CD5563">
        <w:rPr>
          <w:lang w:val="en-GB"/>
        </w:rPr>
        <w:t>Availability</w:t>
      </w:r>
      <w:bookmarkEnd w:id="270"/>
      <w:r w:rsidR="0008639C" w:rsidRPr="00CD5563">
        <w:rPr>
          <w:lang w:val="en-GB"/>
        </w:rPr>
        <w:t xml:space="preserve">: NGN is required to provide security capabilities to enable NGN providers to prevent or terminate communications with the non-compliant end-user equipment. These capabilities may be suspended to allow emergency communications. NGN internal network elements may also be susceptible to viruses, worms and other attacks. Similar measures to quarantine network components are also required. An NGN should provide provision of security capabilities to enable a NGN provider to filter out packets and traffic that is considered harmful by the respective security policy. NGN is required to provide capabilities for the support of disaster recovery functions and procedures. </w:t>
      </w:r>
    </w:p>
    <w:p w:rsidR="0008639C" w:rsidRPr="00CD5563" w:rsidRDefault="001E7711" w:rsidP="001E7711">
      <w:pPr>
        <w:pStyle w:val="Enumlevel2"/>
        <w:rPr>
          <w:lang w:val="en-GB"/>
        </w:rPr>
      </w:pPr>
      <w:bookmarkStart w:id="271" w:name="_Toc164865338"/>
      <w:r w:rsidRPr="00CD5563">
        <w:rPr>
          <w:lang w:val="en-GB"/>
        </w:rPr>
        <w:t>h)</w:t>
      </w:r>
      <w:r w:rsidRPr="00CD5563">
        <w:rPr>
          <w:lang w:val="en-GB"/>
        </w:rPr>
        <w:tab/>
      </w:r>
      <w:r w:rsidR="0008639C" w:rsidRPr="00CD5563">
        <w:rPr>
          <w:lang w:val="en-GB"/>
        </w:rPr>
        <w:t>Privacy</w:t>
      </w:r>
      <w:bookmarkEnd w:id="271"/>
      <w:r w:rsidR="0008639C" w:rsidRPr="00CD5563">
        <w:rPr>
          <w:lang w:val="en-GB"/>
        </w:rPr>
        <w:t>: NGN is required to provide capabilities to protect the subscriber's private information such as location of data, identities, phone numbers, network addresses or call-accounting data according to national regulations and laws. Specific requirements for privacy are a national matter and are outside the scope of this Recommendation.</w:t>
      </w:r>
    </w:p>
    <w:p w:rsidR="0008639C" w:rsidRPr="00CD5563" w:rsidRDefault="001E7711" w:rsidP="001E7711">
      <w:pPr>
        <w:pStyle w:val="Heading3"/>
        <w:rPr>
          <w:lang w:val="en-GB"/>
        </w:rPr>
      </w:pPr>
      <w:bookmarkStart w:id="272" w:name="_Toc164865339"/>
      <w:bookmarkStart w:id="273" w:name="_Toc167874425"/>
      <w:bookmarkStart w:id="274" w:name="_Toc191184809"/>
      <w:bookmarkStart w:id="275" w:name="_Toc193532216"/>
      <w:bookmarkStart w:id="276" w:name="_Toc195348850"/>
      <w:bookmarkStart w:id="277" w:name="_Toc380487699"/>
      <w:bookmarkStart w:id="278" w:name="_Toc381025018"/>
      <w:r w:rsidRPr="00CD5563">
        <w:rPr>
          <w:lang w:val="en-GB"/>
        </w:rPr>
        <w:t>2.3.2</w:t>
      </w:r>
      <w:r w:rsidRPr="00CD5563">
        <w:rPr>
          <w:lang w:val="en-GB"/>
        </w:rPr>
        <w:tab/>
      </w:r>
      <w:r w:rsidR="0008639C" w:rsidRPr="00CD5563">
        <w:rPr>
          <w:lang w:val="en-GB"/>
        </w:rPr>
        <w:t>Specific security requirements</w:t>
      </w:r>
      <w:bookmarkEnd w:id="272"/>
      <w:bookmarkEnd w:id="273"/>
      <w:bookmarkEnd w:id="274"/>
      <w:bookmarkEnd w:id="275"/>
      <w:bookmarkEnd w:id="276"/>
      <w:bookmarkEnd w:id="277"/>
      <w:bookmarkEnd w:id="278"/>
    </w:p>
    <w:p w:rsidR="0008639C" w:rsidRPr="00CD5563" w:rsidRDefault="0008639C" w:rsidP="0008639C">
      <w:pPr>
        <w:spacing w:line="240" w:lineRule="atLeast"/>
        <w:rPr>
          <w:szCs w:val="19"/>
          <w:lang w:val="en-GB"/>
        </w:rPr>
      </w:pPr>
      <w:r w:rsidRPr="00CD5563">
        <w:rPr>
          <w:szCs w:val="19"/>
          <w:lang w:val="en-GB"/>
        </w:rPr>
        <w:t>This clause introduces the specific requirements for security for each of the network elements within the NGN infrastructure.</w:t>
      </w:r>
    </w:p>
    <w:p w:rsidR="0008639C" w:rsidRPr="00046509" w:rsidRDefault="001E7711" w:rsidP="001E7711">
      <w:pPr>
        <w:pStyle w:val="Enumlevel1"/>
        <w:rPr>
          <w:b/>
          <w:bCs/>
        </w:rPr>
      </w:pPr>
      <w:bookmarkStart w:id="279" w:name="_Ref47072586"/>
      <w:bookmarkStart w:id="280" w:name="_Toc101173935"/>
      <w:bookmarkStart w:id="281" w:name="_Toc164865340"/>
      <w:bookmarkStart w:id="282" w:name="_Toc167874426"/>
      <w:bookmarkStart w:id="283" w:name="_Toc191184810"/>
      <w:bookmarkStart w:id="284" w:name="_Toc193532217"/>
      <w:bookmarkStart w:id="285" w:name="_Toc195348851"/>
      <w:r w:rsidRPr="00046509">
        <w:t>•</w:t>
      </w:r>
      <w:r w:rsidRPr="00046509">
        <w:rPr>
          <w:b/>
          <w:bCs/>
        </w:rPr>
        <w:tab/>
      </w:r>
      <w:r w:rsidR="0008639C" w:rsidRPr="00046509">
        <w:rPr>
          <w:b/>
          <w:bCs/>
        </w:rPr>
        <w:t>Common security requirements for NGN elements</w:t>
      </w:r>
      <w:bookmarkEnd w:id="279"/>
      <w:bookmarkEnd w:id="280"/>
      <w:bookmarkEnd w:id="281"/>
      <w:bookmarkEnd w:id="282"/>
      <w:bookmarkEnd w:id="283"/>
      <w:bookmarkEnd w:id="284"/>
      <w:bookmarkEnd w:id="285"/>
    </w:p>
    <w:p w:rsidR="0008639C" w:rsidRPr="00CD5563" w:rsidRDefault="001E7711" w:rsidP="001E7711">
      <w:pPr>
        <w:pStyle w:val="Enumlevel2"/>
        <w:rPr>
          <w:lang w:val="en-GB"/>
        </w:rPr>
      </w:pPr>
      <w:bookmarkStart w:id="286" w:name="_Toc101173936"/>
      <w:bookmarkStart w:id="287" w:name="_Toc164865341"/>
      <w:r w:rsidRPr="00CD5563">
        <w:rPr>
          <w:lang w:val="en-GB"/>
        </w:rPr>
        <w:t>a)</w:t>
      </w:r>
      <w:r w:rsidRPr="00CD5563">
        <w:rPr>
          <w:lang w:val="en-GB"/>
        </w:rPr>
        <w:tab/>
      </w:r>
      <w:r w:rsidR="0008639C" w:rsidRPr="00CD5563">
        <w:rPr>
          <w:lang w:val="en-GB"/>
        </w:rPr>
        <w:t>Security policy</w:t>
      </w:r>
      <w:bookmarkEnd w:id="286"/>
      <w:bookmarkEnd w:id="287"/>
      <w:r w:rsidR="0008639C" w:rsidRPr="00CD5563">
        <w:rPr>
          <w:lang w:val="en-GB"/>
        </w:rPr>
        <w:t>: NGN providers shall prepare appropriate security policy and shall be responsible for applying it to all NEs and devices under its control.</w:t>
      </w:r>
    </w:p>
    <w:p w:rsidR="0008639C" w:rsidRPr="00CD5563" w:rsidRDefault="001E7711" w:rsidP="001E7711">
      <w:pPr>
        <w:pStyle w:val="Enumlevel2"/>
        <w:rPr>
          <w:lang w:val="en-GB"/>
        </w:rPr>
      </w:pPr>
      <w:bookmarkStart w:id="288" w:name="_Toc101173937"/>
      <w:bookmarkStart w:id="289" w:name="_Toc164865342"/>
      <w:r w:rsidRPr="00CD5563">
        <w:rPr>
          <w:lang w:val="en-GB"/>
        </w:rPr>
        <w:t>b)</w:t>
      </w:r>
      <w:r w:rsidRPr="00CD5563">
        <w:rPr>
          <w:lang w:val="en-GB"/>
        </w:rPr>
        <w:tab/>
      </w:r>
      <w:r w:rsidR="0008639C" w:rsidRPr="00CD5563">
        <w:rPr>
          <w:lang w:val="en-GB"/>
        </w:rPr>
        <w:t>Hardening and service disablement</w:t>
      </w:r>
      <w:bookmarkEnd w:id="288"/>
      <w:bookmarkEnd w:id="289"/>
      <w:r w:rsidR="0008639C" w:rsidRPr="00CD5563">
        <w:rPr>
          <w:lang w:val="en-GB"/>
        </w:rPr>
        <w:t>: All NGN elements are required to be capable of being configured to support the minimum services needed to support the NGN provider NGN infrastructure. Any service or transport layer port that is not required for the correct operation of the NGN element is required to be disabled on all systems and network elements. In addition, applications are required to run under minimum privileges (e.g., on "UNIX/Linux" platforms applications should not run as root if root privileges are not indispensable). The base operating system (OS) supporting any NGN element is required to be capable of being specifically configured for security and appropriately hardened. No "backdoors" are permitted (software access which would circumvent usual access control mechanisms) into any NGN element. In addition to hardening, physical and logical access controls are required to be put in place to meet industry best-practices.</w:t>
      </w:r>
    </w:p>
    <w:p w:rsidR="0008639C" w:rsidRPr="00CD5563" w:rsidRDefault="001E7711" w:rsidP="001E7711">
      <w:pPr>
        <w:pStyle w:val="Enumlevel2"/>
        <w:rPr>
          <w:lang w:val="en-GB"/>
        </w:rPr>
      </w:pPr>
      <w:bookmarkStart w:id="290" w:name="_Ref86128361"/>
      <w:bookmarkStart w:id="291" w:name="_Toc101173938"/>
      <w:bookmarkStart w:id="292" w:name="_Toc164865343"/>
      <w:r w:rsidRPr="00CD5563">
        <w:rPr>
          <w:lang w:val="en-GB"/>
        </w:rPr>
        <w:t>c)</w:t>
      </w:r>
      <w:r w:rsidRPr="00CD5563">
        <w:rPr>
          <w:lang w:val="en-GB"/>
        </w:rPr>
        <w:tab/>
      </w:r>
      <w:r w:rsidR="0008639C" w:rsidRPr="00CD5563">
        <w:rPr>
          <w:lang w:val="en-GB"/>
        </w:rPr>
        <w:t>Audit trail, trapping and logging</w:t>
      </w:r>
      <w:bookmarkEnd w:id="290"/>
      <w:bookmarkEnd w:id="291"/>
      <w:bookmarkEnd w:id="292"/>
      <w:r w:rsidR="0008639C" w:rsidRPr="00CD5563">
        <w:rPr>
          <w:lang w:val="en-GB"/>
        </w:rPr>
        <w:t>: All NGN elements are required to be capable of creating an audit trail that maintains a record of security related events in accordance with NGN provider's security policy. Mechanisms to prevent unauthorized or undetected modification are required. The audit trail is required to be capable of being managed and is required to allow old data in the audit trail to be placed on other media, e.g., removable media, for long-term storage. This interface is required to allow authorized administrators to move old data out of the audit trail onto removable media. This ability is required to be protected by a specific authorization to manage the audit trail.</w:t>
      </w:r>
    </w:p>
    <w:p w:rsidR="0008639C" w:rsidRPr="00CD5563" w:rsidRDefault="001E7711" w:rsidP="001E7711">
      <w:pPr>
        <w:pStyle w:val="Enumlevel2"/>
        <w:rPr>
          <w:lang w:val="en-GB"/>
        </w:rPr>
      </w:pPr>
      <w:bookmarkStart w:id="293" w:name="_Toc101173939"/>
      <w:bookmarkStart w:id="294" w:name="_Toc164865344"/>
      <w:r w:rsidRPr="00CD5563">
        <w:rPr>
          <w:lang w:val="en-GB"/>
        </w:rPr>
        <w:t>d)</w:t>
      </w:r>
      <w:r w:rsidRPr="00CD5563">
        <w:rPr>
          <w:lang w:val="en-GB"/>
        </w:rPr>
        <w:tab/>
      </w:r>
      <w:r w:rsidR="0008639C" w:rsidRPr="00CD5563">
        <w:rPr>
          <w:lang w:val="en-GB"/>
        </w:rPr>
        <w:t>Time stamping and time source</w:t>
      </w:r>
      <w:bookmarkEnd w:id="293"/>
      <w:bookmarkEnd w:id="294"/>
      <w:r w:rsidR="0008639C" w:rsidRPr="00CD5563">
        <w:rPr>
          <w:lang w:val="en-GB"/>
        </w:rPr>
        <w:t xml:space="preserve">: The NGN element is required to support the use of a trusted time source for both system clock and audit trail item stamping. A trusted time source in this case means a time source that can be verified to be resistant to unauthorized modification. Transitive trust is acceptable, i.e., a time source that relies on a trusted time source is itself an acceptable trusted time source. </w:t>
      </w:r>
    </w:p>
    <w:p w:rsidR="0008639C" w:rsidRPr="00CD5563" w:rsidRDefault="001E7711" w:rsidP="001E7711">
      <w:pPr>
        <w:pStyle w:val="Enumlevel2"/>
        <w:rPr>
          <w:lang w:val="en-GB"/>
        </w:rPr>
      </w:pPr>
      <w:bookmarkStart w:id="295" w:name="_Toc101173940"/>
      <w:bookmarkStart w:id="296" w:name="_Toc164865345"/>
      <w:r w:rsidRPr="00CD5563">
        <w:rPr>
          <w:lang w:val="en-GB"/>
        </w:rPr>
        <w:t>e)</w:t>
      </w:r>
      <w:r w:rsidRPr="00CD5563">
        <w:rPr>
          <w:lang w:val="en-GB"/>
        </w:rPr>
        <w:tab/>
      </w:r>
      <w:r w:rsidR="0008639C" w:rsidRPr="00CD5563">
        <w:rPr>
          <w:lang w:val="en-GB"/>
        </w:rPr>
        <w:t>Resource allocation and exception handling</w:t>
      </w:r>
      <w:bookmarkEnd w:id="295"/>
      <w:bookmarkEnd w:id="296"/>
      <w:r w:rsidR="0008639C" w:rsidRPr="00CD5563">
        <w:rPr>
          <w:lang w:val="en-GB"/>
        </w:rPr>
        <w:t>: Each NGN element is required to provide the capability to limit the amount of its own important resources (e.g., memory allocation) it allocates to servicing requests. Such limits can minimize negative effects of denial of service attacks. Resources used to service requests compete with other resource utilization requests on the system. In addition, each specific NGN application is required to have the ability to limit its own usage of important resources that it allocates for satisfying requests.</w:t>
      </w:r>
    </w:p>
    <w:p w:rsidR="0008639C" w:rsidRPr="00CD5563" w:rsidRDefault="001E7711" w:rsidP="001E7711">
      <w:pPr>
        <w:pStyle w:val="Enumlevel2"/>
        <w:rPr>
          <w:lang w:val="en-GB"/>
        </w:rPr>
      </w:pPr>
      <w:bookmarkStart w:id="297" w:name="_Toc101173941"/>
      <w:bookmarkStart w:id="298" w:name="_Toc164865346"/>
      <w:r w:rsidRPr="00CD5563">
        <w:rPr>
          <w:lang w:val="en-GB"/>
        </w:rPr>
        <w:t>f)</w:t>
      </w:r>
      <w:r w:rsidRPr="00CD5563">
        <w:rPr>
          <w:lang w:val="en-GB"/>
        </w:rPr>
        <w:tab/>
      </w:r>
      <w:r w:rsidR="0008639C" w:rsidRPr="00CD5563">
        <w:rPr>
          <w:lang w:val="en-GB"/>
        </w:rPr>
        <w:t>Code and system integrity and monitoring</w:t>
      </w:r>
      <w:bookmarkEnd w:id="297"/>
      <w:bookmarkEnd w:id="298"/>
      <w:r w:rsidR="0008639C" w:rsidRPr="00CD5563">
        <w:rPr>
          <w:lang w:val="en-GB"/>
        </w:rPr>
        <w:t>: The network element is required to be capable of monitoring 1) its configuration and software and 2) any changes to detect unauthorized changes, both based on the security policy. Any unauthorized changes are required to create a log entry and cause an alarm to be generated. Based on the security policy, the network element is required to do the following. The element is required to be capable of periodically scanning its resources and software for malicious software, e.g., a virus. The element is required to generate an alarm if malicious software is discovered during a scan.</w:t>
      </w:r>
    </w:p>
    <w:p w:rsidR="0008639C" w:rsidRPr="00CD5563" w:rsidRDefault="001E7711" w:rsidP="001E7711">
      <w:pPr>
        <w:pStyle w:val="Enumlevel2"/>
        <w:rPr>
          <w:lang w:val="en-GB"/>
        </w:rPr>
      </w:pPr>
      <w:bookmarkStart w:id="299" w:name="_Toc101173942"/>
      <w:bookmarkStart w:id="300" w:name="_Toc164865347"/>
      <w:r w:rsidRPr="00CD5563">
        <w:rPr>
          <w:lang w:val="en-GB"/>
        </w:rPr>
        <w:t>g)</w:t>
      </w:r>
      <w:r w:rsidRPr="00CD5563">
        <w:rPr>
          <w:lang w:val="en-GB"/>
        </w:rPr>
        <w:tab/>
      </w:r>
      <w:r w:rsidR="0008639C" w:rsidRPr="00CD5563">
        <w:rPr>
          <w:lang w:val="en-GB"/>
        </w:rPr>
        <w:t>Patches, hotfixes and supplementary code</w:t>
      </w:r>
      <w:bookmarkEnd w:id="299"/>
      <w:bookmarkEnd w:id="300"/>
      <w:r w:rsidR="0008639C" w:rsidRPr="00CD5563">
        <w:rPr>
          <w:lang w:val="en-GB"/>
        </w:rPr>
        <w:t>: To trust signals generated by NGN provider NGN elements within un-trusted networks, say terminal. It is a requirement that software on the system is not compromised. NGN provider network elements and systems are required to provide a capability to verify and audit all their software. The audit results are to be accessible to an OSS. This would allow for an analysis of the security posture of the NGN provider NGN infrastructure and provide guidance to administrators and providers with respect to where mitigation is necessary.</w:t>
      </w:r>
      <w:bookmarkStart w:id="301" w:name="_Toc101173943"/>
      <w:bookmarkStart w:id="302" w:name="_Toc164865348"/>
    </w:p>
    <w:p w:rsidR="0008639C" w:rsidRPr="00CD5563" w:rsidRDefault="001E7711" w:rsidP="001E7711">
      <w:pPr>
        <w:pStyle w:val="Enumlevel2"/>
        <w:rPr>
          <w:lang w:val="en-GB"/>
        </w:rPr>
      </w:pPr>
      <w:r w:rsidRPr="00CD5563">
        <w:rPr>
          <w:lang w:val="en-GB"/>
        </w:rPr>
        <w:t>h)</w:t>
      </w:r>
      <w:r w:rsidRPr="00CD5563">
        <w:rPr>
          <w:lang w:val="en-GB"/>
        </w:rPr>
        <w:tab/>
      </w:r>
      <w:r w:rsidR="0008639C" w:rsidRPr="00CD5563">
        <w:rPr>
          <w:lang w:val="en-GB"/>
        </w:rPr>
        <w:t>Access to OAMP functions in devices</w:t>
      </w:r>
      <w:bookmarkEnd w:id="301"/>
      <w:bookmarkEnd w:id="302"/>
      <w:r w:rsidR="0008639C" w:rsidRPr="00CD5563">
        <w:rPr>
          <w:lang w:val="en-GB"/>
        </w:rPr>
        <w:t>: In order to safeguard the OAMP infrastructure, each internal NGN network element is required to be managed through a separate IP address allocated from a separate address block. The NGN network element is required to silently discard all packets received over the non-OAMP interface with source addresses assigned to OAMP traffic. Access to OAMP functions is required to be capable of being controlled by authentication. OAMP traffic is required to be securely protected.</w:t>
      </w:r>
    </w:p>
    <w:p w:rsidR="0008639C" w:rsidRPr="00CD5563" w:rsidRDefault="001E7711" w:rsidP="001E7711">
      <w:pPr>
        <w:pStyle w:val="Enumlevel1"/>
      </w:pPr>
      <w:bookmarkStart w:id="303" w:name="_Ref45967643"/>
      <w:bookmarkStart w:id="304" w:name="_Ref45967671"/>
      <w:bookmarkStart w:id="305" w:name="_Ref45967698"/>
      <w:bookmarkStart w:id="306" w:name="_Ref45967714"/>
      <w:bookmarkStart w:id="307" w:name="_Ref45967754"/>
      <w:bookmarkStart w:id="308" w:name="_Toc101173944"/>
      <w:bookmarkStart w:id="309" w:name="_Toc164865349"/>
      <w:bookmarkStart w:id="310" w:name="_Toc167874427"/>
      <w:bookmarkStart w:id="311" w:name="_Toc191184811"/>
      <w:bookmarkStart w:id="312" w:name="_Toc193532218"/>
      <w:bookmarkStart w:id="313" w:name="_Toc195348852"/>
      <w:r w:rsidRPr="00CD5563">
        <w:t>•</w:t>
      </w:r>
      <w:r w:rsidRPr="00CD5563">
        <w:tab/>
      </w:r>
      <w:r w:rsidR="0008639C" w:rsidRPr="00CD5563">
        <w:rPr>
          <w:b/>
          <w:bCs/>
        </w:rPr>
        <w:t>Requirements for NGN elements</w:t>
      </w:r>
      <w:bookmarkEnd w:id="303"/>
      <w:bookmarkEnd w:id="304"/>
      <w:bookmarkEnd w:id="305"/>
      <w:bookmarkEnd w:id="306"/>
      <w:bookmarkEnd w:id="307"/>
      <w:r w:rsidR="0008639C" w:rsidRPr="00CD5563">
        <w:rPr>
          <w:b/>
          <w:bCs/>
        </w:rPr>
        <w:t xml:space="preserve"> in the trusted </w:t>
      </w:r>
      <w:bookmarkEnd w:id="308"/>
      <w:r w:rsidR="0008639C" w:rsidRPr="00CD5563">
        <w:rPr>
          <w:b/>
          <w:bCs/>
        </w:rPr>
        <w:t>zone</w:t>
      </w:r>
      <w:bookmarkEnd w:id="309"/>
      <w:bookmarkEnd w:id="310"/>
      <w:bookmarkEnd w:id="311"/>
      <w:bookmarkEnd w:id="312"/>
      <w:bookmarkEnd w:id="313"/>
      <w:r w:rsidR="0008639C" w:rsidRPr="00CD5563">
        <w:t>: The NGN Release 1 element in the "trusted" zone is to be assigned an IP address in the block reserved for internal NGN elements. All signalling is required to use this address. The NGN Release 1 element is also required to be assigned an IP address in the block reserved for OAMP, and all OAMPs are required to use this address.</w:t>
      </w:r>
    </w:p>
    <w:p w:rsidR="0008639C" w:rsidRPr="00CD5563" w:rsidRDefault="001E7711" w:rsidP="001E7711">
      <w:pPr>
        <w:pStyle w:val="Enumlevel1"/>
      </w:pPr>
      <w:bookmarkStart w:id="314" w:name="_Ref93215238"/>
      <w:bookmarkStart w:id="315" w:name="_Toc101173951"/>
      <w:bookmarkStart w:id="316" w:name="_Toc164865350"/>
      <w:bookmarkStart w:id="317" w:name="_Toc167874428"/>
      <w:bookmarkStart w:id="318" w:name="_Toc191184812"/>
      <w:bookmarkStart w:id="319" w:name="_Toc193532219"/>
      <w:bookmarkStart w:id="320" w:name="_Toc195348853"/>
      <w:bookmarkStart w:id="321" w:name="_Ref43289219"/>
      <w:bookmarkStart w:id="322" w:name="_Ref43524218"/>
      <w:r w:rsidRPr="00CD5563">
        <w:t>•</w:t>
      </w:r>
      <w:r w:rsidRPr="00CD5563">
        <w:tab/>
      </w:r>
      <w:r w:rsidR="0008639C" w:rsidRPr="00CD5563">
        <w:rPr>
          <w:b/>
          <w:bCs/>
        </w:rPr>
        <w:t>Requirements for NGN border elements in the "trusted-but-vulnerable" domain</w:t>
      </w:r>
      <w:bookmarkEnd w:id="314"/>
      <w:bookmarkEnd w:id="315"/>
      <w:bookmarkEnd w:id="316"/>
      <w:bookmarkEnd w:id="317"/>
      <w:bookmarkEnd w:id="318"/>
      <w:bookmarkEnd w:id="319"/>
      <w:bookmarkEnd w:id="320"/>
      <w:r w:rsidR="0008639C" w:rsidRPr="00CD5563">
        <w:t xml:space="preserve">: The network border element is required to support multiple IP addresses, or multiple network interfaces. The NBE is required to silently discard any media packets received that do not correspond to an active session. The NBE is also required to verify that the packet rate is consistent with the negotiated session parameters. The NBE is required to authenticate all requests if required by the service agreement with the customer. </w:t>
      </w:r>
    </w:p>
    <w:p w:rsidR="0008639C" w:rsidRPr="00CD5563" w:rsidRDefault="001E7711" w:rsidP="001E7711">
      <w:pPr>
        <w:pStyle w:val="Enumlevel1"/>
      </w:pPr>
      <w:bookmarkStart w:id="323" w:name="_Toc101173961"/>
      <w:bookmarkStart w:id="324" w:name="_Toc164865351"/>
      <w:bookmarkStart w:id="325" w:name="_Toc167874429"/>
      <w:bookmarkStart w:id="326" w:name="_Toc191184813"/>
      <w:bookmarkStart w:id="327" w:name="_Toc193532220"/>
      <w:bookmarkStart w:id="328" w:name="_Toc195348854"/>
      <w:bookmarkEnd w:id="321"/>
      <w:bookmarkEnd w:id="322"/>
      <w:r w:rsidRPr="00CD5563">
        <w:t>•</w:t>
      </w:r>
      <w:r w:rsidRPr="00CD5563">
        <w:tab/>
      </w:r>
      <w:r w:rsidR="0008639C" w:rsidRPr="00CD5563">
        <w:rPr>
          <w:b/>
          <w:bCs/>
        </w:rPr>
        <w:t>Requirements for TE border elements in the "un-trusted" domain</w:t>
      </w:r>
      <w:bookmarkEnd w:id="323"/>
      <w:bookmarkEnd w:id="324"/>
      <w:bookmarkEnd w:id="325"/>
      <w:bookmarkEnd w:id="326"/>
      <w:bookmarkEnd w:id="327"/>
      <w:bookmarkEnd w:id="328"/>
      <w:r w:rsidR="0008639C" w:rsidRPr="00CD5563">
        <w:t>: Physical security is a challenge for equipment placed on customer site. Ultimately, it must be accepted that, to a large extent, the security of these devices is dependent on the customer. In order to preserve the confidentiality of customer communication against eavesdropping on the signalling traffic, signalling messages are required to use a secure signalling connection between the TE-BE and the NBE.</w:t>
      </w:r>
    </w:p>
    <w:p w:rsidR="0008639C" w:rsidRPr="00CD5563" w:rsidRDefault="001E7711" w:rsidP="001E7711">
      <w:pPr>
        <w:pStyle w:val="Enumlevel1"/>
      </w:pPr>
      <w:bookmarkStart w:id="329" w:name="_Toc101173963"/>
      <w:bookmarkStart w:id="330" w:name="_Toc164865353"/>
      <w:bookmarkStart w:id="331" w:name="_Toc167874430"/>
      <w:bookmarkStart w:id="332" w:name="_Toc191184814"/>
      <w:bookmarkStart w:id="333" w:name="_Toc193532221"/>
      <w:bookmarkStart w:id="334" w:name="_Toc195348855"/>
      <w:r w:rsidRPr="00CD5563">
        <w:t>•</w:t>
      </w:r>
      <w:r w:rsidRPr="00CD5563">
        <w:tab/>
      </w:r>
      <w:r w:rsidR="0008639C" w:rsidRPr="00CD5563">
        <w:rPr>
          <w:b/>
          <w:bCs/>
        </w:rPr>
        <w:t>Security recommendations for terminal equipment in the "un-trusted" domain</w:t>
      </w:r>
      <w:bookmarkEnd w:id="329"/>
      <w:bookmarkEnd w:id="330"/>
      <w:bookmarkEnd w:id="331"/>
      <w:bookmarkEnd w:id="332"/>
      <w:bookmarkEnd w:id="333"/>
      <w:bookmarkEnd w:id="334"/>
      <w:r w:rsidR="0008639C" w:rsidRPr="00CD5563">
        <w:t xml:space="preserve">: The terminal equipment (TE) is often outside the control of the NGN provider. Therefore it is not required for the NGN provider to place requirements on its security features or policies, rather it is the function of the various network border elements to adapt to whatever policies are chosen by the customer and to provide the best service under those conditions. Media traffic should be protected from eavesdropping or modification. </w:t>
      </w:r>
    </w:p>
    <w:p w:rsidR="0008639C" w:rsidRPr="00CD5563" w:rsidRDefault="001E7711" w:rsidP="00046509">
      <w:pPr>
        <w:pStyle w:val="Heading3"/>
        <w:keepLines/>
        <w:rPr>
          <w:lang w:val="en-GB"/>
        </w:rPr>
      </w:pPr>
      <w:bookmarkStart w:id="335" w:name="_Toc380487700"/>
      <w:bookmarkStart w:id="336" w:name="_Toc381025019"/>
      <w:r w:rsidRPr="00CD5563">
        <w:rPr>
          <w:lang w:val="en-GB"/>
        </w:rPr>
        <w:t>2.3.3</w:t>
      </w:r>
      <w:r w:rsidRPr="00CD5563">
        <w:rPr>
          <w:lang w:val="en-GB"/>
        </w:rPr>
        <w:tab/>
      </w:r>
      <w:r w:rsidR="0008639C" w:rsidRPr="00CD5563">
        <w:rPr>
          <w:lang w:val="en-GB"/>
        </w:rPr>
        <w:t>NGN security mechanisms and procedures</w:t>
      </w:r>
      <w:bookmarkEnd w:id="335"/>
      <w:bookmarkEnd w:id="336"/>
    </w:p>
    <w:p w:rsidR="0008639C" w:rsidRPr="00CD5563" w:rsidRDefault="0008639C" w:rsidP="00046509">
      <w:pPr>
        <w:keepNext/>
        <w:keepLines/>
        <w:rPr>
          <w:szCs w:val="19"/>
          <w:lang w:val="en-GB"/>
        </w:rPr>
      </w:pPr>
      <w:r w:rsidRPr="00CD5563">
        <w:rPr>
          <w:szCs w:val="19"/>
          <w:lang w:val="en-GB"/>
        </w:rPr>
        <w:t xml:space="preserve">This clause highlights some important security mechanisms that can be used to realize the requirements in ITU-T Recommendation Y.2701 in each NGN Network Element, and specifies a suite of options to be used for the mechanisms to avoid the mismatch of options. </w:t>
      </w:r>
    </w:p>
    <w:p w:rsidR="0008639C" w:rsidRPr="00CD5563" w:rsidRDefault="001E7711" w:rsidP="00046509">
      <w:pPr>
        <w:pStyle w:val="Enumlevel1"/>
        <w:keepNext/>
        <w:keepLines/>
      </w:pPr>
      <w:r w:rsidRPr="00CD5563">
        <w:t>•</w:t>
      </w:r>
      <w:r w:rsidRPr="00CD5563">
        <w:tab/>
      </w:r>
      <w:r w:rsidR="0008639C" w:rsidRPr="00046509">
        <w:rPr>
          <w:b/>
          <w:bCs/>
        </w:rPr>
        <w:t>Identification, Authentication and Authorization</w:t>
      </w:r>
      <w:r w:rsidR="0008639C" w:rsidRPr="00CD5563">
        <w:t xml:space="preserve">: There are identification, authentication and authorization mechanisms, in particular, those concerning SIP-based services. </w:t>
      </w:r>
    </w:p>
    <w:p w:rsidR="0008639C" w:rsidRPr="00CD5563" w:rsidRDefault="001E7711" w:rsidP="001E7711">
      <w:pPr>
        <w:pStyle w:val="Enumlevel1"/>
      </w:pPr>
      <w:r w:rsidRPr="00CD5563">
        <w:t>•</w:t>
      </w:r>
      <w:r w:rsidRPr="00CD5563">
        <w:tab/>
      </w:r>
      <w:r w:rsidR="0008639C" w:rsidRPr="00046509">
        <w:rPr>
          <w:b/>
          <w:bCs/>
        </w:rPr>
        <w:t>Transport Security for Signaling and OAMP</w:t>
      </w:r>
      <w:r w:rsidR="0008639C" w:rsidRPr="00CD5563">
        <w:t xml:space="preserve">: Transport security is used in the NGN infrastructure to achieve confidentiality and integrity guarantees of the </w:t>
      </w:r>
      <w:r w:rsidR="00CD5563" w:rsidRPr="00CD5563">
        <w:t>signalling</w:t>
      </w:r>
      <w:r w:rsidR="0008639C" w:rsidRPr="00CD5563">
        <w:t xml:space="preserve"> data and the OAMP messages. It is required to specify profile of TLS and IPsec to be used by the NGN infrastructure network elements as two of the important mechanisms. </w:t>
      </w:r>
    </w:p>
    <w:p w:rsidR="0008639C" w:rsidRPr="00CD5563" w:rsidRDefault="001E7711" w:rsidP="001E7711">
      <w:pPr>
        <w:pStyle w:val="Enumlevel1"/>
      </w:pPr>
      <w:r w:rsidRPr="00CD5563">
        <w:t>•</w:t>
      </w:r>
      <w:r w:rsidRPr="00CD5563">
        <w:tab/>
      </w:r>
      <w:r w:rsidR="0008639C" w:rsidRPr="00046509">
        <w:rPr>
          <w:b/>
          <w:bCs/>
        </w:rPr>
        <w:t>Media Security</w:t>
      </w:r>
      <w:r w:rsidR="0008639C" w:rsidRPr="00CD5563">
        <w:t>: Media encryption is not required within the NGN infrastructure, but it may be required to be supported for customers that desire its use.  Such support may include the support of media encryption protocols, SRTP [RFC3711]. Network Border Elements (i.e., the edge of the network provider’s domain) are assumed to implement encryption/decryption although it is possible to do the same in a separate platform shared among NBEs. In either case, the encryption and decryption is required to be collocated with other media processing capabilities such as Dual-Tone Multi-Frequency (DTMF) detection and transcoding.</w:t>
      </w:r>
    </w:p>
    <w:p w:rsidR="0008639C" w:rsidRPr="00CD5563" w:rsidRDefault="001E7711" w:rsidP="001E7711">
      <w:pPr>
        <w:pStyle w:val="Enumlevel1"/>
      </w:pPr>
      <w:r w:rsidRPr="00CD5563">
        <w:t>•</w:t>
      </w:r>
      <w:r w:rsidRPr="00046509">
        <w:rPr>
          <w:b/>
          <w:bCs/>
        </w:rPr>
        <w:tab/>
      </w:r>
      <w:r w:rsidR="0008639C" w:rsidRPr="00046509">
        <w:rPr>
          <w:b/>
          <w:bCs/>
        </w:rPr>
        <w:t>Audit Trail, Trapping, and Logging Systems</w:t>
      </w:r>
      <w:r w:rsidR="0008639C" w:rsidRPr="00CD5563">
        <w:t>: An audit trail is taken all OAMP access attempts (whether successful or not), all OAMP changes made, and all OAMP signoffs. In addition events considered significant by the NGN provider’s policy are logged.</w:t>
      </w:r>
    </w:p>
    <w:p w:rsidR="0008639C" w:rsidRPr="00CD5563" w:rsidRDefault="001E7711" w:rsidP="001E7711">
      <w:pPr>
        <w:pStyle w:val="Enumlevel1"/>
      </w:pPr>
      <w:r w:rsidRPr="00CD5563">
        <w:t>•</w:t>
      </w:r>
      <w:r w:rsidRPr="00CD5563">
        <w:tab/>
      </w:r>
      <w:r w:rsidR="0008639C" w:rsidRPr="00046509">
        <w:rPr>
          <w:b/>
          <w:bCs/>
        </w:rPr>
        <w:t>Provisioning of equipment in untrusted zone</w:t>
      </w:r>
      <w:r w:rsidR="0008639C" w:rsidRPr="00CD5563">
        <w:t>: All customer premise equipments are configured by the TE Provisioning Element. TE Provisioning Element resides in the trusted zone and may only communicate with the TEs via the Network Border Element (NBE). A TE or TE-BE may authenticate and establish a security association with the NBE before it can obtain configuration file from TE Provisioning Element. NBE may support both TLS and IPsec for establishing SA with the TEs (including TE-BE).</w:t>
      </w:r>
    </w:p>
    <w:p w:rsidR="0008639C" w:rsidRPr="00CD5563" w:rsidRDefault="001E7711" w:rsidP="001E7711">
      <w:pPr>
        <w:pStyle w:val="Heading3"/>
        <w:rPr>
          <w:lang w:val="en-GB"/>
        </w:rPr>
      </w:pPr>
      <w:bookmarkStart w:id="337" w:name="_Toc380487701"/>
      <w:bookmarkStart w:id="338" w:name="_Toc381025020"/>
      <w:r w:rsidRPr="00CD5563">
        <w:rPr>
          <w:lang w:val="en-GB"/>
        </w:rPr>
        <w:t>2.3.4</w:t>
      </w:r>
      <w:r w:rsidRPr="00CD5563">
        <w:rPr>
          <w:lang w:val="en-GB"/>
        </w:rPr>
        <w:tab/>
      </w:r>
      <w:r w:rsidR="0008639C" w:rsidRPr="00CD5563">
        <w:rPr>
          <w:lang w:val="en-GB"/>
        </w:rPr>
        <w:t>Application model for AAA in NGN</w:t>
      </w:r>
      <w:bookmarkEnd w:id="337"/>
      <w:bookmarkEnd w:id="338"/>
    </w:p>
    <w:p w:rsidR="0008639C" w:rsidRPr="00CD5563" w:rsidRDefault="0008639C" w:rsidP="001E7711">
      <w:pPr>
        <w:rPr>
          <w:lang w:val="en-GB"/>
        </w:rPr>
      </w:pPr>
      <w:r w:rsidRPr="00CD5563">
        <w:rPr>
          <w:lang w:val="en-GB"/>
        </w:rPr>
        <w:t>Based on security requirements for NGN in Y.2701 and the NGN au</w:t>
      </w:r>
      <w:r w:rsidR="00046509">
        <w:rPr>
          <w:lang w:val="en-GB"/>
        </w:rPr>
        <w:t>thentication reference model in </w:t>
      </w:r>
      <w:r w:rsidRPr="00CD5563">
        <w:rPr>
          <w:lang w:val="en-GB"/>
        </w:rPr>
        <w:t xml:space="preserve">Y.2702, the NGN authentication reference model (Figure </w:t>
      </w:r>
      <w:r w:rsidRPr="00CD5563">
        <w:rPr>
          <w:rFonts w:eastAsiaTheme="minorEastAsia"/>
          <w:lang w:val="en-GB" w:eastAsia="ko-KR"/>
        </w:rPr>
        <w:t>2</w:t>
      </w:r>
      <w:r w:rsidRPr="00CD5563">
        <w:rPr>
          <w:lang w:val="en-GB"/>
        </w:rPr>
        <w:t xml:space="preserve">-5) depicts eight authentication reference points. Reference points (1) and (4) refer to transport of user traffic and may be viewed as depending on “horizontal” access control at the transport control level, whereas reference points (2) and (8) may be viewed as depending on control data between the transport and service control layers and therefore as being “vertical.” This relationship is displayed in Figure </w:t>
      </w:r>
      <w:r w:rsidRPr="00CD5563">
        <w:rPr>
          <w:rFonts w:eastAsiaTheme="minorEastAsia"/>
          <w:lang w:val="en-GB" w:eastAsia="ko-KR"/>
        </w:rPr>
        <w:t>2</w:t>
      </w:r>
      <w:r w:rsidRPr="00CD5563">
        <w:rPr>
          <w:lang w:val="en-GB"/>
        </w:rPr>
        <w:t>-6.</w:t>
      </w:r>
    </w:p>
    <w:p w:rsidR="001E7711" w:rsidRPr="00CD5563" w:rsidRDefault="001E7711" w:rsidP="001E7711">
      <w:pPr>
        <w:pStyle w:val="Figuretitle"/>
        <w:rPr>
          <w:lang w:val="en-GB"/>
        </w:rPr>
      </w:pPr>
      <w:bookmarkStart w:id="339" w:name="_Toc380497379"/>
      <w:r w:rsidRPr="00CD5563">
        <w:rPr>
          <w:lang w:val="en-GB"/>
        </w:rPr>
        <w:t xml:space="preserve">Figure </w:t>
      </w:r>
      <w:r w:rsidRPr="00CD5563">
        <w:rPr>
          <w:rFonts w:eastAsiaTheme="minorEastAsia"/>
          <w:lang w:val="en-GB" w:eastAsia="ko-KR"/>
        </w:rPr>
        <w:t>2</w:t>
      </w:r>
      <w:r w:rsidRPr="00CD5563">
        <w:rPr>
          <w:lang w:val="en-GB"/>
        </w:rPr>
        <w:t>-5: End-to-end Reference Architectural Model (Y.2702 NGN Authentication)</w:t>
      </w:r>
      <w:bookmarkEnd w:id="339"/>
    </w:p>
    <w:p w:rsidR="0008639C" w:rsidRPr="00CD5563" w:rsidRDefault="0008639C" w:rsidP="00574938">
      <w:pPr>
        <w:pStyle w:val="Figure"/>
        <w:spacing w:before="120"/>
        <w:rPr>
          <w:lang w:val="en-GB"/>
        </w:rPr>
      </w:pPr>
      <w:r w:rsidRPr="00CD5563">
        <w:rPr>
          <w:lang w:val="en-GB"/>
        </w:rPr>
        <w:object w:dxaOrig="7092" w:dyaOrig="5309">
          <v:shape id="_x0000_i1027" type="#_x0000_t75" style="width:371.1pt;height:248.85pt" o:ole="" o:bordertopcolor="this" o:borderleftcolor="this" o:borderbottomcolor="this" o:borderrightcolor="this">
            <v:imagedata r:id="rId33" o:title=""/>
            <w10:bordertop type="single" width="18"/>
            <w10:borderleft type="single" width="18"/>
            <w10:borderbottom type="single" width="18"/>
            <w10:borderright type="single" width="18"/>
          </v:shape>
          <o:OLEObject Type="Embed" ProgID="PowerPoint.Slide.8" ShapeID="_x0000_i1027" DrawAspect="Content" ObjectID="_1455465128" r:id="rId34"/>
        </w:object>
      </w:r>
    </w:p>
    <w:p w:rsidR="001E7711" w:rsidRPr="00CD5563" w:rsidRDefault="001E7711" w:rsidP="00574938">
      <w:pPr>
        <w:pStyle w:val="Figure"/>
        <w:spacing w:before="120"/>
        <w:rPr>
          <w:lang w:val="en-GB"/>
        </w:rPr>
      </w:pPr>
    </w:p>
    <w:p w:rsidR="0008639C" w:rsidRPr="00CD5563" w:rsidRDefault="0008639C" w:rsidP="0008639C">
      <w:pPr>
        <w:jc w:val="center"/>
        <w:rPr>
          <w:szCs w:val="19"/>
          <w:lang w:val="en-GB"/>
        </w:rPr>
      </w:pPr>
    </w:p>
    <w:p w:rsidR="007E5056" w:rsidRPr="00CD5563" w:rsidRDefault="007E5056" w:rsidP="007E5056">
      <w:pPr>
        <w:pStyle w:val="Figuretitle"/>
        <w:rPr>
          <w:lang w:val="en-GB"/>
        </w:rPr>
      </w:pPr>
      <w:bookmarkStart w:id="340" w:name="_Toc380497380"/>
      <w:r w:rsidRPr="00CD5563">
        <w:rPr>
          <w:lang w:val="en-GB"/>
        </w:rPr>
        <w:t xml:space="preserve">Figure </w:t>
      </w:r>
      <w:r w:rsidRPr="00CD5563">
        <w:rPr>
          <w:rFonts w:eastAsiaTheme="minorEastAsia"/>
          <w:lang w:val="en-GB" w:eastAsia="ko-KR"/>
        </w:rPr>
        <w:t>2</w:t>
      </w:r>
      <w:r w:rsidRPr="00CD5563">
        <w:rPr>
          <w:lang w:val="en-GB"/>
        </w:rPr>
        <w:t>-6: NGN Architecture and AAA related domains (Y.2702 NGN Authentication)</w:t>
      </w:r>
      <w:bookmarkEnd w:id="340"/>
    </w:p>
    <w:p w:rsidR="0008639C" w:rsidRPr="00CD5563" w:rsidRDefault="0008639C" w:rsidP="007E5056">
      <w:pPr>
        <w:pStyle w:val="Figure"/>
        <w:rPr>
          <w:lang w:val="en-GB"/>
        </w:rPr>
      </w:pPr>
      <w:r w:rsidRPr="00CD5563">
        <w:rPr>
          <w:noProof/>
          <w:lang w:val="ru-RU" w:eastAsia="zh-CN"/>
        </w:rPr>
        <w:drawing>
          <wp:inline distT="0" distB="0" distL="0" distR="0" wp14:anchorId="5B2F6B15" wp14:editId="452BDC85">
            <wp:extent cx="4657725" cy="3495675"/>
            <wp:effectExtent l="19050" t="0" r="9525" b="0"/>
            <wp:docPr id="487"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1"/>
                    <pic:cNvPicPr>
                      <a:picLocks noChangeAspect="1" noChangeArrowheads="1"/>
                    </pic:cNvPicPr>
                  </pic:nvPicPr>
                  <pic:blipFill>
                    <a:blip r:embed="rId35" cstate="print"/>
                    <a:srcRect/>
                    <a:stretch>
                      <a:fillRect/>
                    </a:stretch>
                  </pic:blipFill>
                  <pic:spPr bwMode="auto">
                    <a:xfrm>
                      <a:off x="0" y="0"/>
                      <a:ext cx="4657725" cy="3495675"/>
                    </a:xfrm>
                    <a:prstGeom prst="rect">
                      <a:avLst/>
                    </a:prstGeom>
                    <a:noFill/>
                    <a:ln w="9525">
                      <a:noFill/>
                      <a:miter lim="800000"/>
                      <a:headEnd/>
                      <a:tailEnd/>
                    </a:ln>
                  </pic:spPr>
                </pic:pic>
              </a:graphicData>
            </a:graphic>
          </wp:inline>
        </w:drawing>
      </w:r>
    </w:p>
    <w:p w:rsidR="007E5056" w:rsidRPr="00CD5563" w:rsidRDefault="007E5056" w:rsidP="00574938">
      <w:pPr>
        <w:pStyle w:val="Figure"/>
        <w:spacing w:before="120"/>
        <w:rPr>
          <w:lang w:val="en-GB"/>
        </w:rPr>
      </w:pPr>
    </w:p>
    <w:p w:rsidR="0008639C" w:rsidRPr="00CD5563" w:rsidRDefault="0008639C" w:rsidP="0008639C">
      <w:pPr>
        <w:spacing w:before="0"/>
        <w:rPr>
          <w:b/>
          <w:szCs w:val="19"/>
          <w:lang w:val="en-GB"/>
        </w:rPr>
      </w:pPr>
      <w:r w:rsidRPr="00CD5563">
        <w:rPr>
          <w:b/>
          <w:szCs w:val="19"/>
          <w:lang w:val="en-GB"/>
        </w:rPr>
        <w:br w:type="page"/>
      </w:r>
    </w:p>
    <w:p w:rsidR="0008639C" w:rsidRPr="00CD5563" w:rsidRDefault="0008639C" w:rsidP="00272C2B">
      <w:pPr>
        <w:pStyle w:val="Heading1"/>
        <w:rPr>
          <w:lang w:val="en-GB"/>
        </w:rPr>
      </w:pPr>
      <w:bookmarkStart w:id="341" w:name="_Toc380487702"/>
      <w:bookmarkStart w:id="342" w:name="_Toc381025021"/>
      <w:r w:rsidRPr="00CD5563">
        <w:rPr>
          <w:lang w:val="en-GB"/>
        </w:rPr>
        <w:t>Annex 4: Quality of Service in NGN</w:t>
      </w:r>
      <w:bookmarkEnd w:id="341"/>
      <w:bookmarkEnd w:id="342"/>
    </w:p>
    <w:p w:rsidR="0008639C" w:rsidRPr="00CD5563" w:rsidRDefault="0008639C" w:rsidP="00272C2B">
      <w:pPr>
        <w:pStyle w:val="Heading1"/>
        <w:rPr>
          <w:rFonts w:eastAsiaTheme="minorEastAsia"/>
          <w:lang w:val="en-GB" w:eastAsia="ko-KR"/>
        </w:rPr>
      </w:pPr>
      <w:bookmarkStart w:id="343" w:name="_Toc380487703"/>
      <w:bookmarkStart w:id="344" w:name="_Toc381025022"/>
      <w:r w:rsidRPr="00CD5563">
        <w:rPr>
          <w:rFonts w:eastAsiaTheme="minorEastAsia"/>
          <w:lang w:val="en-GB" w:eastAsia="ko-KR"/>
        </w:rPr>
        <w:t>1</w:t>
      </w:r>
      <w:r w:rsidRPr="00CD5563">
        <w:rPr>
          <w:rFonts w:eastAsiaTheme="minorEastAsia"/>
          <w:lang w:val="en-GB" w:eastAsia="ko-KR"/>
        </w:rPr>
        <w:tab/>
        <w:t>Overview of QoS and NP in NGN</w:t>
      </w:r>
      <w:bookmarkEnd w:id="343"/>
      <w:bookmarkEnd w:id="344"/>
    </w:p>
    <w:p w:rsidR="0008639C" w:rsidRPr="00CD5563" w:rsidRDefault="0008639C" w:rsidP="0008639C">
      <w:pPr>
        <w:snapToGrid w:val="0"/>
        <w:spacing w:line="240" w:lineRule="atLeast"/>
        <w:rPr>
          <w:szCs w:val="19"/>
          <w:lang w:val="en-GB"/>
        </w:rPr>
      </w:pPr>
      <w:r w:rsidRPr="00CD5563">
        <w:rPr>
          <w:szCs w:val="19"/>
          <w:lang w:val="en-GB"/>
        </w:rPr>
        <w:t xml:space="preserve">One of the key elements of NGN, which should be based on IP, is the guaranteeing of requested Quality of Services (QoS). The NGN have access and transport agnostic features which should be assumed in heterogeneous environments, so complexity of supporting the QoS is much more complicated. </w:t>
      </w:r>
      <w:r w:rsidR="00CD5563" w:rsidRPr="00CD5563">
        <w:rPr>
          <w:szCs w:val="19"/>
          <w:lang w:val="en-GB"/>
        </w:rPr>
        <w:t>Figure</w:t>
      </w:r>
      <w:r w:rsidRPr="00CD5563">
        <w:rPr>
          <w:szCs w:val="19"/>
          <w:lang w:val="en-GB"/>
        </w:rPr>
        <w:t xml:space="preserve"> </w:t>
      </w:r>
      <w:r w:rsidRPr="00CD5563">
        <w:rPr>
          <w:rFonts w:eastAsiaTheme="minorEastAsia"/>
          <w:szCs w:val="19"/>
          <w:lang w:val="en-GB" w:eastAsia="ko-KR"/>
        </w:rPr>
        <w:t>1</w:t>
      </w:r>
      <w:r w:rsidRPr="00CD5563">
        <w:rPr>
          <w:szCs w:val="19"/>
          <w:lang w:val="en-GB"/>
        </w:rPr>
        <w:t>-1 shows an example of this complexity.</w:t>
      </w:r>
    </w:p>
    <w:p w:rsidR="00272C2B" w:rsidRPr="00CD5563" w:rsidRDefault="00272C2B" w:rsidP="00272C2B">
      <w:pPr>
        <w:pStyle w:val="Figuretitle"/>
        <w:rPr>
          <w:lang w:val="en-GB"/>
        </w:rPr>
      </w:pPr>
      <w:bookmarkStart w:id="345" w:name="_Toc380497381"/>
      <w:r w:rsidRPr="00CD5563">
        <w:rPr>
          <w:lang w:val="en-GB"/>
        </w:rPr>
        <w:t xml:space="preserve">Figure </w:t>
      </w:r>
      <w:r w:rsidRPr="00CD5563">
        <w:rPr>
          <w:rFonts w:eastAsiaTheme="minorEastAsia"/>
          <w:lang w:val="en-GB"/>
        </w:rPr>
        <w:t>1</w:t>
      </w:r>
      <w:r w:rsidRPr="00CD5563">
        <w:rPr>
          <w:lang w:val="en-GB"/>
        </w:rPr>
        <w:t>-1: QoS Complexity in Heterogeneous Network Environment</w:t>
      </w:r>
      <w:bookmarkEnd w:id="345"/>
    </w:p>
    <w:p w:rsidR="0008639C" w:rsidRPr="00CD5563" w:rsidRDefault="0008639C" w:rsidP="00272C2B">
      <w:pPr>
        <w:pStyle w:val="Figure"/>
        <w:rPr>
          <w:lang w:val="en-GB"/>
        </w:rPr>
      </w:pPr>
      <w:r w:rsidRPr="00CD5563">
        <w:rPr>
          <w:noProof/>
          <w:lang w:val="ru-RU" w:eastAsia="zh-CN"/>
        </w:rPr>
        <w:drawing>
          <wp:inline distT="0" distB="0" distL="0" distR="0" wp14:anchorId="3EB7B6A1" wp14:editId="28E60FF0">
            <wp:extent cx="4800600" cy="923925"/>
            <wp:effectExtent l="19050" t="0" r="0" b="0"/>
            <wp:docPr id="2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srcRect/>
                    <a:stretch>
                      <a:fillRect/>
                    </a:stretch>
                  </pic:blipFill>
                  <pic:spPr bwMode="auto">
                    <a:xfrm>
                      <a:off x="0" y="0"/>
                      <a:ext cx="4800600" cy="923925"/>
                    </a:xfrm>
                    <a:prstGeom prst="rect">
                      <a:avLst/>
                    </a:prstGeom>
                    <a:noFill/>
                    <a:ln w="9525">
                      <a:noFill/>
                      <a:miter lim="800000"/>
                      <a:headEnd/>
                      <a:tailEnd/>
                    </a:ln>
                  </pic:spPr>
                </pic:pic>
              </a:graphicData>
            </a:graphic>
          </wp:inline>
        </w:drawing>
      </w:r>
    </w:p>
    <w:p w:rsidR="00272C2B" w:rsidRPr="00CD5563" w:rsidRDefault="00272C2B" w:rsidP="00272C2B">
      <w:pPr>
        <w:pStyle w:val="Figure"/>
        <w:rPr>
          <w:lang w:val="en-GB"/>
        </w:rPr>
      </w:pPr>
    </w:p>
    <w:p w:rsidR="00272C2B" w:rsidRPr="00CD5563" w:rsidRDefault="00272C2B" w:rsidP="0008639C">
      <w:pPr>
        <w:snapToGrid w:val="0"/>
        <w:spacing w:line="240" w:lineRule="atLeast"/>
        <w:rPr>
          <w:szCs w:val="19"/>
          <w:lang w:val="en-GB"/>
        </w:rPr>
      </w:pPr>
    </w:p>
    <w:p w:rsidR="0008639C" w:rsidRPr="00CD5563" w:rsidRDefault="0008639C" w:rsidP="00272C2B">
      <w:pPr>
        <w:rPr>
          <w:lang w:val="en-GB"/>
        </w:rPr>
      </w:pPr>
      <w:r w:rsidRPr="00CD5563">
        <w:rPr>
          <w:lang w:val="en-GB"/>
        </w:rPr>
        <w:t xml:space="preserve">The general aspects of Quality of Service and network performance in NGN are developed to provide descriptions of NGN Quality of Service, Network Performance and Quality of Experience. Figure </w:t>
      </w:r>
      <w:r w:rsidRPr="00CD5563">
        <w:rPr>
          <w:rFonts w:eastAsiaTheme="minorEastAsia"/>
          <w:lang w:val="en-GB" w:eastAsia="ko-KR"/>
        </w:rPr>
        <w:t>1</w:t>
      </w:r>
      <w:r w:rsidRPr="00CD5563">
        <w:rPr>
          <w:lang w:val="en-GB"/>
        </w:rPr>
        <w:t>-2 shows the meaning and scope of QoS, QoE and NP with brief explanation about their features.</w:t>
      </w:r>
    </w:p>
    <w:p w:rsidR="00272C2B" w:rsidRPr="00CD5563" w:rsidRDefault="00272C2B" w:rsidP="00272C2B">
      <w:pPr>
        <w:pStyle w:val="Figuretitle"/>
        <w:rPr>
          <w:lang w:val="en-GB"/>
        </w:rPr>
      </w:pPr>
      <w:bookmarkStart w:id="346" w:name="_Toc380497382"/>
      <w:r w:rsidRPr="00CD5563">
        <w:rPr>
          <w:lang w:val="en-GB"/>
        </w:rPr>
        <w:t xml:space="preserve">Figure </w:t>
      </w:r>
      <w:r w:rsidRPr="00CD5563">
        <w:rPr>
          <w:rFonts w:eastAsiaTheme="minorEastAsia"/>
          <w:lang w:val="en-GB"/>
        </w:rPr>
        <w:t>1</w:t>
      </w:r>
      <w:r w:rsidRPr="00CD5563">
        <w:rPr>
          <w:lang w:val="en-GB"/>
        </w:rPr>
        <w:t>-2: QoE, QoS and NP in NGN environment</w:t>
      </w:r>
      <w:bookmarkEnd w:id="346"/>
    </w:p>
    <w:p w:rsidR="0008639C" w:rsidRPr="00CD5563" w:rsidRDefault="0008639C" w:rsidP="00272C2B">
      <w:pPr>
        <w:pStyle w:val="Figure"/>
        <w:rPr>
          <w:lang w:val="en-GB"/>
        </w:rPr>
      </w:pPr>
      <w:r w:rsidRPr="00CD5563">
        <w:rPr>
          <w:noProof/>
          <w:lang w:val="ru-RU" w:eastAsia="zh-CN"/>
        </w:rPr>
        <w:drawing>
          <wp:inline distT="0" distB="0" distL="0" distR="0" wp14:anchorId="1CFE2EAD" wp14:editId="5E515712">
            <wp:extent cx="3981450" cy="2466975"/>
            <wp:effectExtent l="0" t="0" r="0" b="0"/>
            <wp:docPr id="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srcRect/>
                    <a:stretch>
                      <a:fillRect/>
                    </a:stretch>
                  </pic:blipFill>
                  <pic:spPr bwMode="auto">
                    <a:xfrm>
                      <a:off x="0" y="0"/>
                      <a:ext cx="3981450" cy="2466975"/>
                    </a:xfrm>
                    <a:prstGeom prst="rect">
                      <a:avLst/>
                    </a:prstGeom>
                    <a:noFill/>
                    <a:ln w="9525">
                      <a:noFill/>
                      <a:miter lim="800000"/>
                      <a:headEnd/>
                      <a:tailEnd/>
                    </a:ln>
                  </pic:spPr>
                </pic:pic>
              </a:graphicData>
            </a:graphic>
          </wp:inline>
        </w:drawing>
      </w:r>
    </w:p>
    <w:p w:rsidR="00272C2B" w:rsidRPr="00CD5563" w:rsidRDefault="00272C2B" w:rsidP="00272C2B">
      <w:pPr>
        <w:pStyle w:val="Figure"/>
        <w:rPr>
          <w:lang w:val="en-GB"/>
        </w:rPr>
      </w:pPr>
    </w:p>
    <w:p w:rsidR="00272C2B" w:rsidRPr="00CD5563" w:rsidRDefault="00272C2B" w:rsidP="00272C2B">
      <w:pPr>
        <w:rPr>
          <w:lang w:val="en-GB"/>
        </w:rPr>
      </w:pPr>
    </w:p>
    <w:p w:rsidR="0008639C" w:rsidRPr="00CD5563" w:rsidRDefault="0008639C" w:rsidP="00046509">
      <w:pPr>
        <w:snapToGrid w:val="0"/>
        <w:spacing w:line="240" w:lineRule="atLeast"/>
        <w:rPr>
          <w:szCs w:val="19"/>
          <w:lang w:val="en-GB"/>
        </w:rPr>
      </w:pPr>
      <w:r w:rsidRPr="00CD5563">
        <w:rPr>
          <w:szCs w:val="19"/>
          <w:lang w:val="en-GB"/>
        </w:rPr>
        <w:t xml:space="preserve">The NGN illustrates how these descriptions are applied in an NGN environment, describe performance aspects of NGN (including performance of service and transport stratum) and provide a basis for common understanding of performance concepts (useful to users and to the industries that compose the NGN </w:t>
      </w:r>
      <w:r w:rsidR="00046509">
        <w:rPr>
          <w:szCs w:val="19"/>
          <w:lang w:val="en-GB"/>
        </w:rPr>
        <w:t>–</w:t>
      </w:r>
      <w:r w:rsidRPr="00CD5563">
        <w:rPr>
          <w:szCs w:val="19"/>
          <w:lang w:val="en-GB"/>
        </w:rPr>
        <w:t>e.g., Fixed &amp; mobile telecommunications, broadcasting, etc.). NGN defines the application QoS classes of the NGN.</w:t>
      </w:r>
    </w:p>
    <w:p w:rsidR="0008639C" w:rsidRPr="00CD5563" w:rsidRDefault="0008639C" w:rsidP="004C7B74">
      <w:pPr>
        <w:keepNext/>
        <w:keepLines/>
        <w:snapToGrid w:val="0"/>
        <w:spacing w:line="240" w:lineRule="atLeast"/>
        <w:rPr>
          <w:szCs w:val="19"/>
          <w:lang w:val="en-GB"/>
        </w:rPr>
      </w:pPr>
      <w:r w:rsidRPr="00CD5563">
        <w:rPr>
          <w:szCs w:val="19"/>
          <w:lang w:val="en-GB"/>
        </w:rPr>
        <w:t xml:space="preserve">The NGN determines the requirements to support QoS across multiple heterogeneous service providers. Existing standards specify several metrics and measurement methods for point to point performance. Notable are ITU-T Recommendations, Y.1540 and Y.1541 standards and the IETF IP Performance Metrics (IPPM) Working Group standards. The NGN considers the options and parameters left unspecified, taking into account the concatenation of performance over multiple network segments, allocation of impairment budgets, mapping between IP and non-IP metrics, accuracy, and data handling. </w:t>
      </w:r>
    </w:p>
    <w:p w:rsidR="0008639C" w:rsidRPr="00CD5563" w:rsidRDefault="0008639C" w:rsidP="0008639C">
      <w:pPr>
        <w:snapToGrid w:val="0"/>
        <w:spacing w:line="240" w:lineRule="atLeast"/>
        <w:rPr>
          <w:szCs w:val="19"/>
          <w:lang w:val="en-GB"/>
        </w:rPr>
      </w:pPr>
      <w:r w:rsidRPr="00CD5563">
        <w:rPr>
          <w:szCs w:val="19"/>
          <w:lang w:val="en-GB"/>
        </w:rPr>
        <w:t>The network performance parameters of non-homogeneous networks in NGN are developed through the description of performance aspects of the transport layer in NGN. The NGN identifies general performance principles and frameworks that can be applied to the development of specific performance descriptions to support continuing evolution of the NGN. NGN defines the relationship among individual networks’ performance which may be observed at physical interfaces between a specific network and associated terminal equipment, and at physical interfaces between specific networks.</w:t>
      </w:r>
    </w:p>
    <w:p w:rsidR="0008639C" w:rsidRPr="00CD5563" w:rsidRDefault="0008639C" w:rsidP="0008639C">
      <w:pPr>
        <w:snapToGrid w:val="0"/>
        <w:spacing w:line="240" w:lineRule="atLeast"/>
        <w:rPr>
          <w:szCs w:val="19"/>
          <w:lang w:val="en-GB"/>
        </w:rPr>
      </w:pPr>
      <w:r w:rsidRPr="00CD5563">
        <w:rPr>
          <w:szCs w:val="19"/>
          <w:lang w:val="en-GB"/>
        </w:rPr>
        <w:t>A QoS Framework for IP based access networks is also developed in ITU-T through NGN-GSI. Reference architecture for IP access networks for QoS support is provided as well as detailed QoS requirements and validation procedures. The reference model would be part of the overall NGN framework with the service and transport layers, functional entities in each layer, and interfaces between the functional entities, in particular, the functional entities to facilitate interworking with the QoS functionality in the core network as well as that specific to each type of access networks.</w:t>
      </w:r>
    </w:p>
    <w:p w:rsidR="004C7B74" w:rsidRPr="00CD5563" w:rsidRDefault="004C7B74" w:rsidP="004C7B74">
      <w:pPr>
        <w:pStyle w:val="Figuretitle"/>
        <w:rPr>
          <w:lang w:val="en-GB"/>
        </w:rPr>
      </w:pPr>
      <w:bookmarkStart w:id="347" w:name="_Toc380497383"/>
      <w:r w:rsidRPr="00CD5563">
        <w:rPr>
          <w:lang w:val="en-GB"/>
        </w:rPr>
        <w:t xml:space="preserve">Figure </w:t>
      </w:r>
      <w:r w:rsidRPr="00CD5563">
        <w:rPr>
          <w:rFonts w:eastAsiaTheme="minorEastAsia"/>
          <w:lang w:val="en-GB"/>
        </w:rPr>
        <w:t>1</w:t>
      </w:r>
      <w:r w:rsidRPr="00CD5563">
        <w:rPr>
          <w:lang w:val="en-GB"/>
        </w:rPr>
        <w:t>-3: ITU-T NGN QoS related standards</w:t>
      </w:r>
      <w:bookmarkEnd w:id="347"/>
    </w:p>
    <w:p w:rsidR="0008639C" w:rsidRPr="00CD5563" w:rsidRDefault="0008639C" w:rsidP="004C7B74">
      <w:pPr>
        <w:pStyle w:val="Figure"/>
        <w:rPr>
          <w:szCs w:val="19"/>
          <w:lang w:val="en-GB"/>
        </w:rPr>
      </w:pPr>
      <w:r w:rsidRPr="00CD5563">
        <w:rPr>
          <w:noProof/>
          <w:lang w:val="ru-RU" w:eastAsia="zh-CN"/>
        </w:rPr>
        <w:drawing>
          <wp:inline distT="0" distB="0" distL="0" distR="0" wp14:anchorId="71863E87" wp14:editId="4619BDF3">
            <wp:extent cx="3425036" cy="2173897"/>
            <wp:effectExtent l="0" t="0" r="3964" b="0"/>
            <wp:docPr id="31"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srcRect/>
                    <a:stretch>
                      <a:fillRect/>
                    </a:stretch>
                  </pic:blipFill>
                  <pic:spPr bwMode="auto">
                    <a:xfrm>
                      <a:off x="0" y="0"/>
                      <a:ext cx="3425705" cy="2174322"/>
                    </a:xfrm>
                    <a:prstGeom prst="rect">
                      <a:avLst/>
                    </a:prstGeom>
                    <a:noFill/>
                    <a:ln w="9525">
                      <a:noFill/>
                      <a:miter lim="800000"/>
                      <a:headEnd/>
                      <a:tailEnd/>
                    </a:ln>
                  </pic:spPr>
                </pic:pic>
              </a:graphicData>
            </a:graphic>
          </wp:inline>
        </w:drawing>
      </w:r>
    </w:p>
    <w:p w:rsidR="004C7B74" w:rsidRPr="00CD5563" w:rsidRDefault="004C7B74" w:rsidP="004C7B74">
      <w:pPr>
        <w:pStyle w:val="Figure"/>
        <w:rPr>
          <w:szCs w:val="19"/>
          <w:lang w:val="en-GB"/>
        </w:rPr>
      </w:pPr>
    </w:p>
    <w:p w:rsidR="0008639C" w:rsidRPr="00CD5563" w:rsidRDefault="004C7B74" w:rsidP="004C7B74">
      <w:pPr>
        <w:pStyle w:val="Heading1"/>
        <w:rPr>
          <w:rFonts w:eastAsiaTheme="minorEastAsia"/>
          <w:lang w:val="en-GB" w:eastAsia="ko-KR"/>
        </w:rPr>
      </w:pPr>
      <w:bookmarkStart w:id="348" w:name="_Toc380487704"/>
      <w:bookmarkStart w:id="349" w:name="_Toc381025023"/>
      <w:r w:rsidRPr="00CD5563">
        <w:rPr>
          <w:rFonts w:eastAsiaTheme="minorEastAsia"/>
          <w:lang w:val="en-GB" w:eastAsia="ko-KR"/>
        </w:rPr>
        <w:t>2</w:t>
      </w:r>
      <w:r w:rsidR="0008639C" w:rsidRPr="00CD5563">
        <w:rPr>
          <w:rFonts w:eastAsiaTheme="minorEastAsia"/>
          <w:lang w:val="en-GB" w:eastAsia="ko-KR"/>
        </w:rPr>
        <w:tab/>
        <w:t>Resource and Admission Control in NGN</w:t>
      </w:r>
      <w:bookmarkEnd w:id="348"/>
      <w:bookmarkEnd w:id="349"/>
    </w:p>
    <w:p w:rsidR="0008639C" w:rsidRPr="00CD5563" w:rsidRDefault="0008639C" w:rsidP="0008639C">
      <w:pPr>
        <w:snapToGrid w:val="0"/>
        <w:spacing w:line="240" w:lineRule="atLeast"/>
        <w:rPr>
          <w:szCs w:val="19"/>
          <w:lang w:val="en-GB"/>
        </w:rPr>
      </w:pPr>
      <w:r w:rsidRPr="00CD5563">
        <w:rPr>
          <w:szCs w:val="19"/>
          <w:lang w:val="en-GB"/>
        </w:rPr>
        <w:t>Functional requirements and architecture for resource and admission control in NGN are developed to provide high-level requirements, scenarios and functional architecture. The decomposition to functional entities is specified to provide reference points and interfaces for the control of Quality of Service (QoS), Network Address and Port Translator (NAPT) and/or Firewall (FW) traversal are described.</w:t>
      </w:r>
    </w:p>
    <w:p w:rsidR="004C7B74" w:rsidRPr="00CD5563" w:rsidRDefault="004C7B74" w:rsidP="004C7B74">
      <w:pPr>
        <w:pStyle w:val="Figuretitle"/>
        <w:rPr>
          <w:lang w:val="en-GB"/>
        </w:rPr>
      </w:pPr>
      <w:bookmarkStart w:id="350" w:name="_Toc380497384"/>
      <w:r w:rsidRPr="00CD5563">
        <w:rPr>
          <w:lang w:val="en-GB"/>
        </w:rPr>
        <w:t>Figure 2-</w:t>
      </w:r>
      <w:r w:rsidRPr="00CD5563">
        <w:rPr>
          <w:rFonts w:eastAsiaTheme="minorEastAsia"/>
          <w:lang w:val="en-GB"/>
        </w:rPr>
        <w:t>1:</w:t>
      </w:r>
      <w:r w:rsidRPr="00CD5563">
        <w:rPr>
          <w:lang w:val="en-GB"/>
        </w:rPr>
        <w:t xml:space="preserve"> Resource and Admission Control architecture model of NGN</w:t>
      </w:r>
      <w:bookmarkEnd w:id="350"/>
    </w:p>
    <w:p w:rsidR="0008639C" w:rsidRPr="00CD5563" w:rsidRDefault="0008639C" w:rsidP="004C7B74">
      <w:pPr>
        <w:pStyle w:val="Figure"/>
        <w:rPr>
          <w:lang w:val="en-GB"/>
        </w:rPr>
      </w:pPr>
      <w:r w:rsidRPr="00CD5563">
        <w:rPr>
          <w:noProof/>
          <w:lang w:val="ru-RU" w:eastAsia="zh-CN"/>
        </w:rPr>
        <w:drawing>
          <wp:inline distT="0" distB="0" distL="0" distR="0" wp14:anchorId="6498E552" wp14:editId="58A27705">
            <wp:extent cx="4362450" cy="1695450"/>
            <wp:effectExtent l="19050" t="0" r="0" b="0"/>
            <wp:docPr id="44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cstate="print"/>
                    <a:srcRect/>
                    <a:stretch>
                      <a:fillRect/>
                    </a:stretch>
                  </pic:blipFill>
                  <pic:spPr bwMode="auto">
                    <a:xfrm>
                      <a:off x="0" y="0"/>
                      <a:ext cx="4362450" cy="1695450"/>
                    </a:xfrm>
                    <a:prstGeom prst="rect">
                      <a:avLst/>
                    </a:prstGeom>
                    <a:noFill/>
                    <a:ln w="9525">
                      <a:noFill/>
                      <a:miter lim="800000"/>
                      <a:headEnd/>
                      <a:tailEnd/>
                    </a:ln>
                  </pic:spPr>
                </pic:pic>
              </a:graphicData>
            </a:graphic>
          </wp:inline>
        </w:drawing>
      </w:r>
    </w:p>
    <w:p w:rsidR="004C7B74" w:rsidRPr="00CD5563" w:rsidRDefault="004C7B74" w:rsidP="004C7B74">
      <w:pPr>
        <w:pStyle w:val="Figure"/>
        <w:rPr>
          <w:lang w:val="en-GB"/>
        </w:rPr>
      </w:pPr>
    </w:p>
    <w:p w:rsidR="00DD5C7D" w:rsidRPr="00CD5563" w:rsidRDefault="00DD5C7D" w:rsidP="00DD5C7D">
      <w:pPr>
        <w:pStyle w:val="Enumlevel1"/>
      </w:pPr>
    </w:p>
    <w:p w:rsidR="0008639C" w:rsidRPr="00CD5563" w:rsidRDefault="00DD5C7D" w:rsidP="00DD5C7D">
      <w:pPr>
        <w:pStyle w:val="Enumlevel1"/>
      </w:pPr>
      <w:r w:rsidRPr="00CD5563">
        <w:t>•</w:t>
      </w:r>
      <w:r w:rsidRPr="00CD5563">
        <w:tab/>
      </w:r>
      <w:r w:rsidR="0008639C" w:rsidRPr="00046509">
        <w:rPr>
          <w:b/>
          <w:bCs/>
        </w:rPr>
        <w:t>QoS capability of CPE</w:t>
      </w:r>
      <w:r w:rsidR="0008639C" w:rsidRPr="00CD5563">
        <w:t>: According to the capability of QoS negotiation, the CPE can be categorized as follows:</w:t>
      </w:r>
    </w:p>
    <w:p w:rsidR="0008639C" w:rsidRPr="00CD5563" w:rsidRDefault="00DD5C7D" w:rsidP="00DD5C7D">
      <w:pPr>
        <w:pStyle w:val="Enumlevel2"/>
        <w:rPr>
          <w:lang w:val="en-GB"/>
        </w:rPr>
      </w:pPr>
      <w:r w:rsidRPr="00CD5563">
        <w:rPr>
          <w:lang w:val="en-GB"/>
        </w:rPr>
        <w:t>a)</w:t>
      </w:r>
      <w:r w:rsidRPr="00CD5563">
        <w:rPr>
          <w:lang w:val="en-GB"/>
        </w:rPr>
        <w:tab/>
      </w:r>
      <w:r w:rsidR="0008639C" w:rsidRPr="00CD5563">
        <w:rPr>
          <w:lang w:val="en-GB"/>
        </w:rPr>
        <w:t>Type 1 – CPE without QoS negotiation capability (e.g., vanilla soft phone, gaming consoles)</w:t>
      </w:r>
    </w:p>
    <w:p w:rsidR="0008639C" w:rsidRPr="00CD5563" w:rsidRDefault="00DD5C7D" w:rsidP="00DD5C7D">
      <w:pPr>
        <w:pStyle w:val="Enumlevel2"/>
        <w:rPr>
          <w:lang w:val="en-GB"/>
        </w:rPr>
      </w:pPr>
      <w:r w:rsidRPr="00CD5563">
        <w:rPr>
          <w:lang w:val="en-GB"/>
        </w:rPr>
        <w:tab/>
      </w:r>
      <w:r w:rsidR="0008639C" w:rsidRPr="00CD5563">
        <w:rPr>
          <w:lang w:val="en-GB"/>
        </w:rPr>
        <w:t>The CPE does not have any QoS negotiation capability at either the transport or the service stratum. It can communicate with the SCF for service initiation and negotiation, but cannot request QoS resources directly.</w:t>
      </w:r>
    </w:p>
    <w:p w:rsidR="0008639C" w:rsidRPr="00CD5563" w:rsidRDefault="00DD5C7D" w:rsidP="00DD5C7D">
      <w:pPr>
        <w:pStyle w:val="Enumlevel2"/>
        <w:rPr>
          <w:lang w:val="en-GB"/>
        </w:rPr>
      </w:pPr>
      <w:r w:rsidRPr="00CD5563">
        <w:rPr>
          <w:lang w:val="en-GB"/>
        </w:rPr>
        <w:t>b)</w:t>
      </w:r>
      <w:r w:rsidRPr="00CD5563">
        <w:rPr>
          <w:lang w:val="en-GB"/>
        </w:rPr>
        <w:tab/>
      </w:r>
      <w:r w:rsidR="0008639C" w:rsidRPr="00CD5563">
        <w:rPr>
          <w:lang w:val="en-GB"/>
        </w:rPr>
        <w:t>Type 2 – CPE with QoS negotiation capability at the service stratum (e.g. SIP phone with SDP/SIP QoS extensions)</w:t>
      </w:r>
    </w:p>
    <w:p w:rsidR="0008639C" w:rsidRPr="00CD5563" w:rsidRDefault="00DD5C7D" w:rsidP="00DD5C7D">
      <w:pPr>
        <w:pStyle w:val="Enumlevel2"/>
        <w:rPr>
          <w:lang w:val="en-GB"/>
        </w:rPr>
      </w:pPr>
      <w:r w:rsidRPr="00CD5563">
        <w:rPr>
          <w:lang w:val="en-GB"/>
        </w:rPr>
        <w:tab/>
      </w:r>
      <w:r w:rsidR="0008639C" w:rsidRPr="00CD5563">
        <w:rPr>
          <w:lang w:val="en-GB"/>
        </w:rPr>
        <w:t>The CPE can perform service QoS negotiation (such as bandwidth) through service signalling, but is unaware of QoS attributes specific to the transport. The service QoS concerns characteristics pertinent to the application.</w:t>
      </w:r>
    </w:p>
    <w:p w:rsidR="0008639C" w:rsidRPr="00CD5563" w:rsidRDefault="00DD5C7D" w:rsidP="00DD5C7D">
      <w:pPr>
        <w:pStyle w:val="Enumlevel2"/>
        <w:rPr>
          <w:lang w:val="en-GB"/>
        </w:rPr>
      </w:pPr>
      <w:r w:rsidRPr="00CD5563">
        <w:rPr>
          <w:lang w:val="en-GB"/>
        </w:rPr>
        <w:t>c)</w:t>
      </w:r>
      <w:r w:rsidRPr="00CD5563">
        <w:rPr>
          <w:lang w:val="en-GB"/>
        </w:rPr>
        <w:tab/>
      </w:r>
      <w:r w:rsidR="0008639C" w:rsidRPr="00CD5563">
        <w:rPr>
          <w:lang w:val="en-GB"/>
        </w:rPr>
        <w:t>Type 3 – CPE with QoS negotiation capability at the transport stratum (e.g. UMTS UE)</w:t>
      </w:r>
    </w:p>
    <w:p w:rsidR="0008639C" w:rsidRPr="00CD5563" w:rsidRDefault="00DD5C7D" w:rsidP="00DD5C7D">
      <w:pPr>
        <w:pStyle w:val="Enumlevel2"/>
        <w:rPr>
          <w:lang w:val="en-GB"/>
        </w:rPr>
      </w:pPr>
      <w:r w:rsidRPr="00CD5563">
        <w:rPr>
          <w:lang w:val="en-GB"/>
        </w:rPr>
        <w:tab/>
      </w:r>
      <w:r w:rsidR="0008639C" w:rsidRPr="00CD5563">
        <w:rPr>
          <w:lang w:val="en-GB"/>
        </w:rPr>
        <w:t>The CPE supports RSVP-like or other transport signalling (e.g. GPRS session management signalling, ATM PNNI/Q.931). It is able to directly perform transport QoS negotiation throughout the transport facilities (e.g. DSLAM, CMTS, SGSN/GGSN).</w:t>
      </w:r>
    </w:p>
    <w:p w:rsidR="0008639C" w:rsidRPr="00CD5563" w:rsidRDefault="0008639C" w:rsidP="00DD5C7D">
      <w:pPr>
        <w:pStyle w:val="Enumlevel2"/>
        <w:rPr>
          <w:lang w:val="en-GB"/>
        </w:rPr>
      </w:pPr>
      <w:r w:rsidRPr="00CD5563">
        <w:rPr>
          <w:lang w:val="en-GB"/>
        </w:rPr>
        <w:t>Note that the SCF shall be able to invoke the resource control process for all types of CPE.</w:t>
      </w:r>
    </w:p>
    <w:p w:rsidR="0008639C" w:rsidRPr="00CD5563" w:rsidRDefault="00DD5C7D" w:rsidP="00DD5C7D">
      <w:pPr>
        <w:pStyle w:val="Enumlevel1"/>
      </w:pPr>
      <w:r w:rsidRPr="00CD5563">
        <w:t>•</w:t>
      </w:r>
      <w:r w:rsidRPr="00CD5563">
        <w:tab/>
      </w:r>
      <w:r w:rsidR="0008639C" w:rsidRPr="00046509">
        <w:rPr>
          <w:b/>
          <w:bCs/>
        </w:rPr>
        <w:t>Resource control modes</w:t>
      </w:r>
      <w:r w:rsidR="0008639C" w:rsidRPr="00CD5563">
        <w:t>: In order to handle different types of CPE and transport QoS capabilities, the RACF shall support the following QoS resource control modes as part of its handling of a resource request from the SCF:</w:t>
      </w:r>
    </w:p>
    <w:p w:rsidR="0008639C" w:rsidRPr="00CD5563" w:rsidRDefault="00DD5C7D" w:rsidP="00DD5C7D">
      <w:pPr>
        <w:pStyle w:val="Enumlevel2"/>
        <w:rPr>
          <w:lang w:val="en-GB"/>
        </w:rPr>
      </w:pPr>
      <w:r w:rsidRPr="00CD5563">
        <w:rPr>
          <w:lang w:val="en-GB"/>
        </w:rPr>
        <w:t>a)</w:t>
      </w:r>
      <w:r w:rsidRPr="00CD5563">
        <w:rPr>
          <w:lang w:val="en-GB"/>
        </w:rPr>
        <w:tab/>
      </w:r>
      <w:r w:rsidR="0008639C" w:rsidRPr="00CD5563">
        <w:rPr>
          <w:lang w:val="en-GB"/>
        </w:rPr>
        <w:t>Push Mode: The RACF makes the authorization and resource control decision based on policy rules and autonomously instructs the transport functions to enforce the policy decision.</w:t>
      </w:r>
    </w:p>
    <w:p w:rsidR="0008639C" w:rsidRPr="00CD5563" w:rsidRDefault="00DD5C7D" w:rsidP="00DD5C7D">
      <w:pPr>
        <w:pStyle w:val="Enumlevel2"/>
        <w:rPr>
          <w:lang w:val="en-GB"/>
        </w:rPr>
      </w:pPr>
      <w:r w:rsidRPr="00CD5563">
        <w:rPr>
          <w:lang w:val="en-GB"/>
        </w:rPr>
        <w:t>b)</w:t>
      </w:r>
      <w:r w:rsidRPr="00CD5563">
        <w:rPr>
          <w:lang w:val="en-GB"/>
        </w:rPr>
        <w:tab/>
      </w:r>
      <w:r w:rsidR="0008639C" w:rsidRPr="00CD5563">
        <w:rPr>
          <w:lang w:val="en-GB"/>
        </w:rPr>
        <w:t>Pull Mode: The RACF makes the authorization decision based on policy rules and, upon the request of the transport functions, re-authorizes the resource request and responds with the final policy decision for enforcement.</w:t>
      </w:r>
    </w:p>
    <w:p w:rsidR="0008639C" w:rsidRPr="00CD5563" w:rsidRDefault="0008639C" w:rsidP="00DD5C7D">
      <w:pPr>
        <w:rPr>
          <w:lang w:val="en-GB"/>
        </w:rPr>
      </w:pPr>
      <w:r w:rsidRPr="00CD5563">
        <w:rPr>
          <w:lang w:val="en-GB"/>
        </w:rPr>
        <w:t>The Push mode is suitable for the first two types of CPE. For type 1 CPE, the SCF determines the QoS requirements of the requested service on behalf of the CPE; for type 2 CPE, the SCF extracts the QoS requirements from service signalling. The Pull mode is suitable for type 3 CPE, which can explicitly request QoS resource reservation through transport QoS signalling.</w:t>
      </w:r>
    </w:p>
    <w:p w:rsidR="00DD5C7D" w:rsidRPr="00CD5563" w:rsidRDefault="0008639C" w:rsidP="00DD5C7D">
      <w:pPr>
        <w:pStyle w:val="Figuretitle"/>
        <w:rPr>
          <w:lang w:val="en-GB"/>
        </w:rPr>
      </w:pPr>
      <w:bookmarkStart w:id="351" w:name="_Toc380497385"/>
      <w:r w:rsidRPr="00CD5563">
        <w:rPr>
          <w:lang w:val="en-GB"/>
        </w:rPr>
        <w:t>Figure 2-</w:t>
      </w:r>
      <w:r w:rsidRPr="00CD5563">
        <w:rPr>
          <w:rFonts w:eastAsiaTheme="minorEastAsia"/>
          <w:lang w:val="en-GB"/>
        </w:rPr>
        <w:t>2</w:t>
      </w:r>
      <w:r w:rsidR="00DD5C7D" w:rsidRPr="00CD5563">
        <w:rPr>
          <w:rFonts w:eastAsiaTheme="minorEastAsia"/>
          <w:lang w:val="en-GB"/>
        </w:rPr>
        <w:t>:</w:t>
      </w:r>
      <w:r w:rsidRPr="00CD5563">
        <w:rPr>
          <w:lang w:val="en-GB"/>
        </w:rPr>
        <w:t xml:space="preserve"> Pull and Push mode of RACF operation</w:t>
      </w:r>
      <w:bookmarkEnd w:id="351"/>
    </w:p>
    <w:p w:rsidR="0008639C" w:rsidRPr="00CD5563" w:rsidRDefault="00DD5C7D" w:rsidP="00DD5C7D">
      <w:pPr>
        <w:pStyle w:val="Figure"/>
        <w:rPr>
          <w:lang w:val="en-GB"/>
        </w:rPr>
      </w:pPr>
      <w:r w:rsidRPr="00CD5563">
        <w:rPr>
          <w:noProof/>
          <w:lang w:val="ru-RU" w:eastAsia="zh-CN"/>
        </w:rPr>
        <w:drawing>
          <wp:inline distT="0" distB="0" distL="0" distR="0" wp14:anchorId="6BBCDACC" wp14:editId="4722B819">
            <wp:extent cx="3905250" cy="2124075"/>
            <wp:effectExtent l="19050" t="0" r="0" b="0"/>
            <wp:docPr id="45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srcRect/>
                    <a:stretch>
                      <a:fillRect/>
                    </a:stretch>
                  </pic:blipFill>
                  <pic:spPr bwMode="auto">
                    <a:xfrm>
                      <a:off x="0" y="0"/>
                      <a:ext cx="3905250" cy="2124075"/>
                    </a:xfrm>
                    <a:prstGeom prst="rect">
                      <a:avLst/>
                    </a:prstGeom>
                    <a:noFill/>
                    <a:ln w="9525">
                      <a:noFill/>
                      <a:miter lim="800000"/>
                      <a:headEnd/>
                      <a:tailEnd/>
                    </a:ln>
                  </pic:spPr>
                </pic:pic>
              </a:graphicData>
            </a:graphic>
          </wp:inline>
        </w:drawing>
      </w:r>
    </w:p>
    <w:p w:rsidR="00DD5C7D" w:rsidRPr="00CD5563" w:rsidRDefault="00DD5C7D" w:rsidP="00DD5C7D">
      <w:pPr>
        <w:pStyle w:val="Figure"/>
        <w:rPr>
          <w:lang w:val="en-GB"/>
        </w:rPr>
      </w:pPr>
    </w:p>
    <w:p w:rsidR="00046509" w:rsidRDefault="00046509" w:rsidP="00DD5C7D">
      <w:pPr>
        <w:pStyle w:val="Enumlevel1"/>
      </w:pPr>
    </w:p>
    <w:p w:rsidR="0008639C" w:rsidRPr="00CD5563" w:rsidRDefault="00DD5C7D" w:rsidP="00DD5C7D">
      <w:pPr>
        <w:pStyle w:val="Enumlevel1"/>
      </w:pPr>
      <w:r w:rsidRPr="00CD5563">
        <w:t>•</w:t>
      </w:r>
      <w:r w:rsidRPr="00CD5563">
        <w:tab/>
      </w:r>
      <w:r w:rsidR="0008639C" w:rsidRPr="00046509">
        <w:rPr>
          <w:b/>
          <w:bCs/>
        </w:rPr>
        <w:t>Resource control states</w:t>
      </w:r>
      <w:r w:rsidR="0008639C" w:rsidRPr="00CD5563">
        <w:t>: Regardless of the QoS negotiation capability of a particular CPE and the use of a particular resource control mode, the QoS resource control process consists of three logical states:</w:t>
      </w:r>
    </w:p>
    <w:p w:rsidR="0008639C" w:rsidRPr="00CD5563" w:rsidRDefault="00DD5C7D" w:rsidP="00DD5C7D">
      <w:pPr>
        <w:pStyle w:val="Enumlevel2"/>
        <w:rPr>
          <w:lang w:val="en-GB"/>
        </w:rPr>
      </w:pPr>
      <w:r w:rsidRPr="00CD5563">
        <w:rPr>
          <w:lang w:val="en-GB"/>
        </w:rPr>
        <w:t>a)</w:t>
      </w:r>
      <w:r w:rsidRPr="00CD5563">
        <w:rPr>
          <w:lang w:val="en-GB"/>
        </w:rPr>
        <w:tab/>
      </w:r>
      <w:r w:rsidR="0008639C" w:rsidRPr="00CD5563">
        <w:rPr>
          <w:lang w:val="en-GB"/>
        </w:rPr>
        <w:t>Authorization (Authorized): The QoS resource is authorized based on policy rules. The authorized QoS bounds the maximum amount of resource for the resource reservation.</w:t>
      </w:r>
    </w:p>
    <w:p w:rsidR="0008639C" w:rsidRPr="00CD5563" w:rsidRDefault="00DD5C7D" w:rsidP="00DD5C7D">
      <w:pPr>
        <w:pStyle w:val="Enumlevel2"/>
        <w:rPr>
          <w:lang w:val="en-GB"/>
        </w:rPr>
      </w:pPr>
      <w:r w:rsidRPr="00CD5563">
        <w:rPr>
          <w:lang w:val="en-GB"/>
        </w:rPr>
        <w:t>b)</w:t>
      </w:r>
      <w:r w:rsidRPr="00CD5563">
        <w:rPr>
          <w:lang w:val="en-GB"/>
        </w:rPr>
        <w:tab/>
      </w:r>
      <w:r w:rsidR="0008639C" w:rsidRPr="00CD5563">
        <w:rPr>
          <w:lang w:val="en-GB"/>
        </w:rPr>
        <w:t>Reservation (Reserved): The QoS resource is reserved based on the authorized resource and resource availability. The reserved resource can be used by best effort media flows when the resource has not yet committed in the transport functions.</w:t>
      </w:r>
    </w:p>
    <w:p w:rsidR="0008639C" w:rsidRPr="00CD5563" w:rsidRDefault="00DD5C7D" w:rsidP="00DD5C7D">
      <w:pPr>
        <w:pStyle w:val="Enumlevel2"/>
        <w:rPr>
          <w:lang w:val="en-GB"/>
        </w:rPr>
      </w:pPr>
      <w:r w:rsidRPr="00CD5563">
        <w:rPr>
          <w:lang w:val="en-GB"/>
        </w:rPr>
        <w:t>c)</w:t>
      </w:r>
      <w:r w:rsidRPr="00CD5563">
        <w:rPr>
          <w:lang w:val="en-GB"/>
        </w:rPr>
        <w:tab/>
      </w:r>
      <w:r w:rsidR="0008639C" w:rsidRPr="00CD5563">
        <w:rPr>
          <w:lang w:val="en-GB"/>
        </w:rPr>
        <w:t>Commitment (Committed): The QoS resource is committed for the requested media flows when the gate is opened and other admission decisions (e.g. bandwidth allocation) are enforced in the transport functions.</w:t>
      </w:r>
    </w:p>
    <w:p w:rsidR="0008639C" w:rsidRPr="00CD5563" w:rsidRDefault="00DD5C7D" w:rsidP="00DD5C7D">
      <w:pPr>
        <w:pStyle w:val="Enumlevel2"/>
        <w:rPr>
          <w:lang w:val="en-GB"/>
        </w:rPr>
      </w:pPr>
      <w:r w:rsidRPr="00CD5563">
        <w:rPr>
          <w:lang w:val="en-GB"/>
        </w:rPr>
        <w:t>d)</w:t>
      </w:r>
      <w:r w:rsidRPr="00CD5563">
        <w:rPr>
          <w:lang w:val="en-GB"/>
        </w:rPr>
        <w:tab/>
      </w:r>
      <w:r w:rsidR="0008639C" w:rsidRPr="00CD5563">
        <w:rPr>
          <w:lang w:val="en-GB"/>
        </w:rPr>
        <w:t>The general resource control criteria shall be:</w:t>
      </w:r>
    </w:p>
    <w:p w:rsidR="0008639C" w:rsidRPr="00CD5563" w:rsidRDefault="00DD5C7D" w:rsidP="00DD5C7D">
      <w:pPr>
        <w:pStyle w:val="Enumlevel2"/>
        <w:rPr>
          <w:lang w:val="en-GB"/>
        </w:rPr>
      </w:pPr>
      <w:r w:rsidRPr="00CD5563">
        <w:rPr>
          <w:lang w:val="en-GB"/>
        </w:rPr>
        <w:t>e)</w:t>
      </w:r>
      <w:r w:rsidRPr="00CD5563">
        <w:rPr>
          <w:lang w:val="en-GB"/>
        </w:rPr>
        <w:tab/>
      </w:r>
      <w:r w:rsidR="0008639C" w:rsidRPr="00CD5563">
        <w:rPr>
          <w:lang w:val="en-GB"/>
        </w:rPr>
        <w:t>The amount of committed resources is not greater than the amount of reserved resources.</w:t>
      </w:r>
    </w:p>
    <w:p w:rsidR="0008639C" w:rsidRPr="00CD5563" w:rsidRDefault="00DD5C7D" w:rsidP="00DD5C7D">
      <w:pPr>
        <w:pStyle w:val="Enumlevel2"/>
        <w:rPr>
          <w:lang w:val="en-GB"/>
        </w:rPr>
      </w:pPr>
      <w:r w:rsidRPr="00CD5563">
        <w:rPr>
          <w:lang w:val="en-GB"/>
        </w:rPr>
        <w:t>f)</w:t>
      </w:r>
      <w:r w:rsidRPr="00CD5563">
        <w:rPr>
          <w:lang w:val="en-GB"/>
        </w:rPr>
        <w:tab/>
      </w:r>
      <w:r w:rsidR="0008639C" w:rsidRPr="00CD5563">
        <w:rPr>
          <w:lang w:val="en-GB"/>
        </w:rPr>
        <w:t>The amount of reserved resources is not greater than the amount of authorized resources.</w:t>
      </w:r>
    </w:p>
    <w:p w:rsidR="0008639C" w:rsidRPr="00CD5563" w:rsidRDefault="0008639C" w:rsidP="00046509">
      <w:pPr>
        <w:rPr>
          <w:lang w:val="en-GB"/>
        </w:rPr>
      </w:pPr>
      <w:r w:rsidRPr="00CD5563">
        <w:rPr>
          <w:lang w:val="en-GB"/>
        </w:rPr>
        <w:t>Note that the amount of committed resources typically equals the amount of reserved resources.</w:t>
      </w:r>
    </w:p>
    <w:p w:rsidR="0008639C" w:rsidRPr="00CD5563" w:rsidRDefault="00DD5C7D" w:rsidP="00DD5C7D">
      <w:pPr>
        <w:pStyle w:val="Enumlevel1"/>
      </w:pPr>
      <w:r w:rsidRPr="00CD5563">
        <w:t>•</w:t>
      </w:r>
      <w:r w:rsidRPr="00CD5563">
        <w:tab/>
      </w:r>
      <w:r w:rsidR="0008639C" w:rsidRPr="00046509">
        <w:rPr>
          <w:b/>
          <w:bCs/>
        </w:rPr>
        <w:t>Resource control schemes</w:t>
      </w:r>
      <w:r w:rsidR="0008639C" w:rsidRPr="00CD5563">
        <w:t>: Given the variety of application characteristics and performance requirements, the RACF supports three resource control schemes:</w:t>
      </w:r>
    </w:p>
    <w:p w:rsidR="0008639C" w:rsidRPr="00CD5563" w:rsidRDefault="00DD5C7D" w:rsidP="00DD5C7D">
      <w:pPr>
        <w:pStyle w:val="Enumlevel2"/>
        <w:rPr>
          <w:lang w:val="en-GB"/>
        </w:rPr>
      </w:pPr>
      <w:r w:rsidRPr="00CD5563">
        <w:rPr>
          <w:lang w:val="en-GB"/>
        </w:rPr>
        <w:t>a)</w:t>
      </w:r>
      <w:r w:rsidRPr="00CD5563">
        <w:rPr>
          <w:lang w:val="en-GB"/>
        </w:rPr>
        <w:tab/>
      </w:r>
      <w:r w:rsidR="0008639C" w:rsidRPr="00CD5563">
        <w:rPr>
          <w:lang w:val="en-GB"/>
        </w:rPr>
        <w:t>Single-Phase Scheme: Authorization, reservation and commitment are performed in a single step. The requested resource is immediately committed upon successful authorization and reservation. The Single-Phase Scheme is suitable for client-server-like applications to minimize the delay between the service request and the ensuing reception of content.</w:t>
      </w:r>
    </w:p>
    <w:p w:rsidR="0008639C" w:rsidRPr="00CD5563" w:rsidRDefault="00DD5C7D" w:rsidP="00DD5C7D">
      <w:pPr>
        <w:pStyle w:val="Enumlevel2"/>
        <w:rPr>
          <w:lang w:val="en-GB"/>
        </w:rPr>
      </w:pPr>
      <w:r w:rsidRPr="00CD5563">
        <w:rPr>
          <w:lang w:val="en-GB"/>
        </w:rPr>
        <w:t>b)</w:t>
      </w:r>
      <w:r w:rsidRPr="00CD5563">
        <w:rPr>
          <w:lang w:val="en-GB"/>
        </w:rPr>
        <w:tab/>
      </w:r>
      <w:r w:rsidR="0008639C" w:rsidRPr="00CD5563">
        <w:rPr>
          <w:lang w:val="en-GB"/>
        </w:rPr>
        <w:t>Two-Phase Scheme: Authorization and reservation are performed in one step, followed by commitment in another step. Alternatively authorization is performed in one step, followed by reservation and commitment in another step. The Two-Phase Scheme is suitable for interactive applications, which have stringent performance requirements and need to have sufficient transport resources available.</w:t>
      </w:r>
    </w:p>
    <w:p w:rsidR="0008639C" w:rsidRPr="00CD5563" w:rsidRDefault="00DD5C7D" w:rsidP="00DD5C7D">
      <w:pPr>
        <w:pStyle w:val="Enumlevel2"/>
        <w:rPr>
          <w:lang w:val="en-GB"/>
        </w:rPr>
      </w:pPr>
      <w:r w:rsidRPr="00CD5563">
        <w:rPr>
          <w:lang w:val="en-GB"/>
        </w:rPr>
        <w:t>c)</w:t>
      </w:r>
      <w:r w:rsidRPr="00CD5563">
        <w:rPr>
          <w:lang w:val="en-GB"/>
        </w:rPr>
        <w:tab/>
      </w:r>
      <w:r w:rsidR="0008639C" w:rsidRPr="00CD5563">
        <w:rPr>
          <w:lang w:val="en-GB"/>
        </w:rPr>
        <w:t>Three-Phase Scheme: Authorization, reservation and commitment are performed in three steps sequentially. The Three-Phase Scheme is suitable for network-hosted services in an environment where transport resources are scarce.</w:t>
      </w:r>
    </w:p>
    <w:p w:rsidR="0008639C" w:rsidRPr="00CD5563" w:rsidRDefault="00DD5C7D" w:rsidP="00DD5C7D">
      <w:pPr>
        <w:pStyle w:val="Enumlevel1"/>
        <w:keepNext/>
        <w:keepLines/>
      </w:pPr>
      <w:r w:rsidRPr="00CD5563">
        <w:t>•</w:t>
      </w:r>
      <w:r w:rsidRPr="00CD5563">
        <w:tab/>
      </w:r>
      <w:r w:rsidR="0008639C" w:rsidRPr="00046509">
        <w:rPr>
          <w:b/>
          <w:bCs/>
        </w:rPr>
        <w:t>Information for resource control</w:t>
      </w:r>
      <w:r w:rsidR="0008639C" w:rsidRPr="00CD5563">
        <w:t>: The RACF shall perform the resource control based on the following information:</w:t>
      </w:r>
    </w:p>
    <w:p w:rsidR="0008639C" w:rsidRPr="00CD5563" w:rsidRDefault="00DD5C7D" w:rsidP="00DD5C7D">
      <w:pPr>
        <w:pStyle w:val="Enumlevel2"/>
        <w:rPr>
          <w:lang w:val="en-GB"/>
        </w:rPr>
      </w:pPr>
      <w:r w:rsidRPr="00CD5563">
        <w:rPr>
          <w:lang w:val="en-GB"/>
        </w:rPr>
        <w:t>a)</w:t>
      </w:r>
      <w:r w:rsidRPr="00CD5563">
        <w:rPr>
          <w:lang w:val="en-GB"/>
        </w:rPr>
        <w:tab/>
      </w:r>
      <w:r w:rsidR="0008639C" w:rsidRPr="00CD5563">
        <w:rPr>
          <w:lang w:val="en-GB"/>
        </w:rPr>
        <w:t>Service Information: A set of data provided by the SCF for a resource control request, derived from service subscription information, service QoS requirement and service policy rules.</w:t>
      </w:r>
    </w:p>
    <w:p w:rsidR="0008639C" w:rsidRPr="00CD5563" w:rsidRDefault="00DD5C7D" w:rsidP="00DD5C7D">
      <w:pPr>
        <w:pStyle w:val="Enumlevel2"/>
        <w:rPr>
          <w:lang w:val="en-GB"/>
        </w:rPr>
      </w:pPr>
      <w:r w:rsidRPr="00CD5563">
        <w:rPr>
          <w:lang w:val="en-GB"/>
        </w:rPr>
        <w:t>b)</w:t>
      </w:r>
      <w:r w:rsidRPr="00CD5563">
        <w:rPr>
          <w:lang w:val="en-GB"/>
        </w:rPr>
        <w:tab/>
      </w:r>
      <w:r w:rsidR="0008639C" w:rsidRPr="00CD5563">
        <w:rPr>
          <w:lang w:val="en-GB"/>
        </w:rPr>
        <w:t>Transport Network Information: A set of data collected from the transport networks, which may consist of transport resource admission decisions and network policy rules.</w:t>
      </w:r>
    </w:p>
    <w:p w:rsidR="0008639C" w:rsidRPr="00CD5563" w:rsidRDefault="00DD5C7D" w:rsidP="00DD5C7D">
      <w:pPr>
        <w:pStyle w:val="Enumlevel2"/>
        <w:rPr>
          <w:lang w:val="en-GB"/>
        </w:rPr>
      </w:pPr>
      <w:r w:rsidRPr="00CD5563">
        <w:rPr>
          <w:lang w:val="en-GB"/>
        </w:rPr>
        <w:t>c)</w:t>
      </w:r>
      <w:r w:rsidRPr="00CD5563">
        <w:rPr>
          <w:lang w:val="en-GB"/>
        </w:rPr>
        <w:tab/>
      </w:r>
      <w:r w:rsidR="0008639C" w:rsidRPr="00CD5563">
        <w:rPr>
          <w:lang w:val="en-GB"/>
        </w:rPr>
        <w:t>Transport Subscription Information: A set of data for the transport subscription profile such as the maximum transport capacity per subscriber.</w:t>
      </w:r>
    </w:p>
    <w:p w:rsidR="0008639C" w:rsidRPr="00CD5563" w:rsidRDefault="00DD5C7D" w:rsidP="00DD5C7D">
      <w:pPr>
        <w:pStyle w:val="Enumlevel1"/>
      </w:pPr>
      <w:r w:rsidRPr="00CD5563">
        <w:t>•</w:t>
      </w:r>
      <w:r w:rsidRPr="00CD5563">
        <w:tab/>
      </w:r>
      <w:r w:rsidR="0008639C" w:rsidRPr="00046509">
        <w:rPr>
          <w:b/>
          <w:bCs/>
        </w:rPr>
        <w:t>Policy rules for the enforcement of resource control results</w:t>
      </w:r>
      <w:r w:rsidR="0008639C" w:rsidRPr="00CD5563">
        <w:t>: The RACF may assist the installation of two types of policy rules related to the enforcement of resource control results:</w:t>
      </w:r>
    </w:p>
    <w:p w:rsidR="0008639C" w:rsidRPr="00CD5563" w:rsidRDefault="00DD5C7D" w:rsidP="00DD5C7D">
      <w:pPr>
        <w:pStyle w:val="Enumlevel2"/>
        <w:rPr>
          <w:lang w:val="en-GB"/>
        </w:rPr>
      </w:pPr>
      <w:r w:rsidRPr="00CD5563">
        <w:rPr>
          <w:lang w:val="en-GB"/>
        </w:rPr>
        <w:t>a)</w:t>
      </w:r>
      <w:r w:rsidRPr="00CD5563">
        <w:rPr>
          <w:lang w:val="en-GB"/>
        </w:rPr>
        <w:tab/>
      </w:r>
      <w:r w:rsidR="0008639C" w:rsidRPr="00CD5563">
        <w:rPr>
          <w:lang w:val="en-GB"/>
        </w:rPr>
        <w:t xml:space="preserve">Policy Decision: A set of policy conditions and actions for the enforcement of resource control results on a per flow basis, which is produced dynamically upon the individual resource request from the SCF. The RACF shall make policy decisions based on the information for resource control described in above paragraph and install the policy decisions to the transport functions autonomously or upon the request of the transport functions. The policy decision can be modified and updated within the lifetime of a resource control session. </w:t>
      </w:r>
    </w:p>
    <w:p w:rsidR="0008639C" w:rsidRPr="00CD5563" w:rsidRDefault="00DD5C7D" w:rsidP="00DD5C7D">
      <w:pPr>
        <w:pStyle w:val="Enumlevel2"/>
        <w:rPr>
          <w:lang w:val="en-GB"/>
        </w:rPr>
      </w:pPr>
      <w:r w:rsidRPr="00CD5563">
        <w:rPr>
          <w:lang w:val="en-GB"/>
        </w:rPr>
        <w:t>b)</w:t>
      </w:r>
      <w:r w:rsidRPr="00CD5563">
        <w:rPr>
          <w:lang w:val="en-GB"/>
        </w:rPr>
        <w:tab/>
      </w:r>
      <w:r w:rsidR="0008639C" w:rsidRPr="00CD5563">
        <w:rPr>
          <w:lang w:val="en-GB"/>
        </w:rPr>
        <w:t>Policy Configuration: A set of static policy rules for default network resource configuration. The policy configuration is pre-defined by network operators and does not vary from the individual resource request. The policy configuration can be pre-provisioned statically in transport functions, e.g. mapping rules of the IP layer QoS to link layer QoS. In some cases, the RACF may help install the initial policy configuration for resource control, such as default resource control configuration (e.g. default gate setting).</w:t>
      </w:r>
    </w:p>
    <w:p w:rsidR="0008639C" w:rsidRPr="00046509" w:rsidRDefault="0008639C" w:rsidP="00046509">
      <w:pPr>
        <w:rPr>
          <w:lang w:val="en-US"/>
        </w:rPr>
      </w:pPr>
      <w:r w:rsidRPr="00046509">
        <w:rPr>
          <w:lang w:val="en-US"/>
        </w:rPr>
        <w:t>Note that the RACF may use the soft-state (state that has a lifetime and requires renewal to keep alive) or hard-state (state that is persistent until explicitly removed) approach in support of transport resource control.</w:t>
      </w:r>
    </w:p>
    <w:p w:rsidR="002453EE" w:rsidRPr="00CD5563" w:rsidRDefault="002453EE">
      <w:pPr>
        <w:spacing w:before="0"/>
        <w:jc w:val="left"/>
        <w:rPr>
          <w:rFonts w:eastAsia="Times New Roman" w:cs="Helvetica"/>
          <w:b/>
          <w:bCs/>
          <w:color w:val="005173"/>
          <w:sz w:val="28"/>
          <w:szCs w:val="28"/>
          <w:lang w:val="en-GB"/>
        </w:rPr>
      </w:pPr>
      <w:r w:rsidRPr="00CD5563">
        <w:rPr>
          <w:lang w:val="en-GB"/>
        </w:rPr>
        <w:br w:type="page"/>
      </w:r>
    </w:p>
    <w:p w:rsidR="0008639C" w:rsidRPr="00CD5563" w:rsidRDefault="0008639C" w:rsidP="00DD5C7D">
      <w:pPr>
        <w:pStyle w:val="Heading1"/>
        <w:rPr>
          <w:rFonts w:eastAsiaTheme="minorEastAsia"/>
          <w:lang w:val="en-GB" w:eastAsia="ko-KR"/>
        </w:rPr>
      </w:pPr>
      <w:bookmarkStart w:id="352" w:name="_Toc380487705"/>
      <w:bookmarkStart w:id="353" w:name="_Toc381025024"/>
      <w:r w:rsidRPr="00CD5563">
        <w:rPr>
          <w:lang w:val="en-GB"/>
        </w:rPr>
        <w:t xml:space="preserve">Annex </w:t>
      </w:r>
      <w:r w:rsidRPr="00CD5563">
        <w:rPr>
          <w:rFonts w:eastAsiaTheme="minorEastAsia"/>
          <w:lang w:val="en-GB" w:eastAsia="ko-KR"/>
        </w:rPr>
        <w:t>5</w:t>
      </w:r>
      <w:r w:rsidRPr="00CD5563">
        <w:rPr>
          <w:lang w:val="en-GB"/>
        </w:rPr>
        <w:t xml:space="preserve">: </w:t>
      </w:r>
      <w:r w:rsidRPr="00CD5563">
        <w:rPr>
          <w:rFonts w:eastAsiaTheme="minorEastAsia"/>
          <w:lang w:val="en-GB" w:eastAsia="ko-KR"/>
        </w:rPr>
        <w:t>NGN Management</w:t>
      </w:r>
      <w:bookmarkEnd w:id="352"/>
      <w:bookmarkEnd w:id="353"/>
    </w:p>
    <w:p w:rsidR="0008639C" w:rsidRPr="00CD5563" w:rsidRDefault="00DD5C7D" w:rsidP="00DD5C7D">
      <w:pPr>
        <w:pStyle w:val="Heading1"/>
        <w:rPr>
          <w:rFonts w:eastAsiaTheme="minorEastAsia"/>
          <w:lang w:val="en-GB" w:eastAsia="ko-KR"/>
        </w:rPr>
      </w:pPr>
      <w:bookmarkStart w:id="354" w:name="_Toc380487706"/>
      <w:bookmarkStart w:id="355" w:name="_Toc381025025"/>
      <w:r w:rsidRPr="00CD5563">
        <w:rPr>
          <w:rFonts w:eastAsiaTheme="minorEastAsia"/>
          <w:lang w:val="en-GB" w:eastAsia="ko-KR"/>
        </w:rPr>
        <w:t>1</w:t>
      </w:r>
      <w:r w:rsidR="0008639C" w:rsidRPr="00CD5563">
        <w:rPr>
          <w:rFonts w:eastAsiaTheme="minorEastAsia"/>
          <w:lang w:val="en-GB" w:eastAsia="ko-KR"/>
        </w:rPr>
        <w:tab/>
        <w:t>Objectives of NGN Management</w:t>
      </w:r>
      <w:bookmarkEnd w:id="354"/>
      <w:bookmarkEnd w:id="355"/>
    </w:p>
    <w:p w:rsidR="0008639C" w:rsidRPr="00CD5563" w:rsidRDefault="0008639C" w:rsidP="00DD5C7D">
      <w:pPr>
        <w:rPr>
          <w:lang w:val="en-GB" w:eastAsia="ko-KR"/>
        </w:rPr>
      </w:pPr>
      <w:r w:rsidRPr="00CD5563">
        <w:rPr>
          <w:lang w:val="en-GB" w:eastAsia="ko-KR"/>
        </w:rPr>
        <w:t xml:space="preserve">The objectives of the management is to facilitate the effective interconnection between various types of Operations Systems (OSs) and/or resources for the exchange of management information using an agreed architecture with standardized interfaces including protocols and messages. Many network operators and service providers have a large infrastructure of OSs, telecommunications networks and equipment already in place, and which must be accommodated within the architecture in </w:t>
      </w:r>
      <w:r w:rsidR="00CD5563" w:rsidRPr="00CD5563">
        <w:rPr>
          <w:lang w:val="en-GB" w:eastAsia="ko-KR"/>
        </w:rPr>
        <w:t>terms</w:t>
      </w:r>
      <w:r w:rsidRPr="00CD5563">
        <w:rPr>
          <w:lang w:val="en-GB" w:eastAsia="ko-KR"/>
        </w:rPr>
        <w:t xml:space="preserve"> of managements. Management also provides capabilities for end-users with access to, and display of, management information, and end-user-initiated business processes. By considering these, it is noted that a management framework contributes to increase customer satisfaction and at the same time underpins a significant reduction in operating costs through new technologies and operational methods.</w:t>
      </w:r>
    </w:p>
    <w:p w:rsidR="0008639C" w:rsidRPr="00CD5563" w:rsidRDefault="0008639C" w:rsidP="00AB21CF">
      <w:pPr>
        <w:rPr>
          <w:lang w:val="en-GB" w:eastAsia="ko-KR"/>
        </w:rPr>
      </w:pPr>
      <w:r w:rsidRPr="00CD5563">
        <w:rPr>
          <w:lang w:val="en-GB" w:eastAsia="ko-KR"/>
        </w:rPr>
        <w:t>Within the context of NGN, management functionality refers to a set of management functions to allow for exchanging and processing of management information to assist network operators and service providers in conducting their business efficiently. NGN management (NGNM) provides management functions for NGN resources and services, and offers communications between the management plane and the NGN resources or services and other management planes.</w:t>
      </w:r>
    </w:p>
    <w:p w:rsidR="0008639C" w:rsidRPr="00CD5563" w:rsidRDefault="0008639C" w:rsidP="00772407">
      <w:pPr>
        <w:rPr>
          <w:lang w:val="en-GB" w:eastAsia="ko-KR"/>
        </w:rPr>
      </w:pPr>
      <w:r w:rsidRPr="00CD5563">
        <w:rPr>
          <w:lang w:val="en-GB" w:eastAsia="ko-KR"/>
        </w:rPr>
        <w:t>This document introduces summary information about the NGN management based on Recommendation ITU</w:t>
      </w:r>
      <w:r w:rsidR="00772407" w:rsidRPr="00CD5563">
        <w:rPr>
          <w:lang w:val="en-GB" w:eastAsia="ko-KR"/>
        </w:rPr>
        <w:noBreakHyphen/>
      </w:r>
      <w:r w:rsidRPr="00CD5563">
        <w:rPr>
          <w:lang w:val="en-GB" w:eastAsia="ko-KR"/>
        </w:rPr>
        <w:t>T</w:t>
      </w:r>
      <w:r w:rsidR="00772407" w:rsidRPr="00CD5563">
        <w:rPr>
          <w:lang w:val="en-GB" w:eastAsia="ko-KR"/>
        </w:rPr>
        <w:t> </w:t>
      </w:r>
      <w:r w:rsidRPr="00CD5563">
        <w:rPr>
          <w:lang w:val="en-GB" w:eastAsia="ko-KR"/>
        </w:rPr>
        <w:t>M.3060 developed by SG2. M.3060 identifies the management architecture needs to address followings:</w:t>
      </w:r>
    </w:p>
    <w:p w:rsidR="0008639C" w:rsidRPr="00CD5563" w:rsidRDefault="00772407" w:rsidP="00772407">
      <w:pPr>
        <w:pStyle w:val="Enumlevel1"/>
      </w:pPr>
      <w:r w:rsidRPr="00CD5563">
        <w:t>•</w:t>
      </w:r>
      <w:r w:rsidRPr="00CD5563">
        <w:tab/>
      </w:r>
      <w:r w:rsidR="0008639C" w:rsidRPr="00CD5563">
        <w:t>Administrative boundaries amongst operator domains;</w:t>
      </w:r>
    </w:p>
    <w:p w:rsidR="0008639C" w:rsidRPr="00CD5563" w:rsidRDefault="00772407" w:rsidP="00772407">
      <w:pPr>
        <w:pStyle w:val="Enumlevel1"/>
      </w:pPr>
      <w:r w:rsidRPr="00CD5563">
        <w:t>•</w:t>
      </w:r>
      <w:r w:rsidRPr="00CD5563">
        <w:tab/>
      </w:r>
      <w:r w:rsidR="0008639C" w:rsidRPr="00CD5563">
        <w:t>Processes amongst operators across the domain boundaries;</w:t>
      </w:r>
    </w:p>
    <w:p w:rsidR="0008639C" w:rsidRPr="00CD5563" w:rsidRDefault="00772407" w:rsidP="00772407">
      <w:pPr>
        <w:pStyle w:val="Enumlevel1"/>
      </w:pPr>
      <w:r w:rsidRPr="00CD5563">
        <w:t>•</w:t>
      </w:r>
      <w:r w:rsidRPr="00CD5563">
        <w:tab/>
      </w:r>
      <w:r w:rsidR="0008639C" w:rsidRPr="00CD5563">
        <w:t>Processes between Operators and their suppliers' equipments;</w:t>
      </w:r>
    </w:p>
    <w:p w:rsidR="0008639C" w:rsidRPr="00CD5563" w:rsidRDefault="00772407" w:rsidP="00772407">
      <w:pPr>
        <w:pStyle w:val="Enumlevel1"/>
      </w:pPr>
      <w:r w:rsidRPr="00CD5563">
        <w:t>•</w:t>
      </w:r>
      <w:r w:rsidRPr="00CD5563">
        <w:tab/>
      </w:r>
      <w:r w:rsidR="0008639C" w:rsidRPr="00CD5563">
        <w:t>Reference points between the logical functions for Provider and Consumer;</w:t>
      </w:r>
    </w:p>
    <w:p w:rsidR="0008639C" w:rsidRPr="00CD5563" w:rsidRDefault="00772407" w:rsidP="00772407">
      <w:pPr>
        <w:pStyle w:val="Enumlevel1"/>
      </w:pPr>
      <w:r w:rsidRPr="00CD5563">
        <w:t>•</w:t>
      </w:r>
      <w:r w:rsidRPr="00CD5563">
        <w:tab/>
      </w:r>
      <w:r w:rsidR="0008639C" w:rsidRPr="00CD5563">
        <w:t>Provider and Consumer Interfaces between the physical entities used to realize the provider and consumer reference points;</w:t>
      </w:r>
    </w:p>
    <w:p w:rsidR="0008639C" w:rsidRPr="00CD5563" w:rsidRDefault="00772407" w:rsidP="00772407">
      <w:pPr>
        <w:pStyle w:val="Enumlevel1"/>
      </w:pPr>
      <w:r w:rsidRPr="00CD5563">
        <w:t>•</w:t>
      </w:r>
      <w:r w:rsidRPr="00CD5563">
        <w:tab/>
      </w:r>
      <w:r w:rsidR="0008639C" w:rsidRPr="00CD5563">
        <w:t>Information model concepts used to support logical functions.</w:t>
      </w:r>
    </w:p>
    <w:p w:rsidR="0008639C" w:rsidRPr="00CD5563" w:rsidRDefault="0008639C" w:rsidP="00772407">
      <w:pPr>
        <w:rPr>
          <w:lang w:val="en-GB" w:eastAsia="ko-KR"/>
        </w:rPr>
      </w:pPr>
      <w:r w:rsidRPr="00CD5563">
        <w:rPr>
          <w:lang w:val="en-GB" w:eastAsia="ko-KR"/>
        </w:rPr>
        <w:t>In addition to this, M.3060 also identifies objectives of NGN management as following:</w:t>
      </w:r>
    </w:p>
    <w:p w:rsidR="0008639C" w:rsidRPr="00CD5563" w:rsidRDefault="00772407" w:rsidP="00772407">
      <w:pPr>
        <w:pStyle w:val="Enumlevel1"/>
      </w:pPr>
      <w:r w:rsidRPr="00CD5563">
        <w:t>•</w:t>
      </w:r>
      <w:r w:rsidRPr="00CD5563">
        <w:tab/>
      </w:r>
      <w:r w:rsidR="0008639C" w:rsidRPr="00CD5563">
        <w:t>minimize mediation work between different network technologies through management convergence and intelligent reporting;</w:t>
      </w:r>
    </w:p>
    <w:p w:rsidR="0008639C" w:rsidRPr="00CD5563" w:rsidRDefault="00772407" w:rsidP="00772407">
      <w:pPr>
        <w:pStyle w:val="Enumlevel1"/>
      </w:pPr>
      <w:r w:rsidRPr="00CD5563">
        <w:t>•</w:t>
      </w:r>
      <w:r w:rsidRPr="00CD5563">
        <w:tab/>
      </w:r>
      <w:r w:rsidR="0008639C" w:rsidRPr="00CD5563">
        <w:t>minimize management reaction times to network events;</w:t>
      </w:r>
    </w:p>
    <w:p w:rsidR="0008639C" w:rsidRPr="00CD5563" w:rsidRDefault="00772407" w:rsidP="00772407">
      <w:pPr>
        <w:pStyle w:val="Enumlevel1"/>
      </w:pPr>
      <w:r w:rsidRPr="00CD5563">
        <w:t>•</w:t>
      </w:r>
      <w:r w:rsidRPr="00CD5563">
        <w:tab/>
      </w:r>
      <w:r w:rsidR="0008639C" w:rsidRPr="00CD5563">
        <w:t>minimize load caused by management traffic;</w:t>
      </w:r>
    </w:p>
    <w:p w:rsidR="0008639C" w:rsidRPr="00CD5563" w:rsidRDefault="00772407" w:rsidP="00772407">
      <w:pPr>
        <w:pStyle w:val="Enumlevel1"/>
      </w:pPr>
      <w:r w:rsidRPr="00CD5563">
        <w:t>•</w:t>
      </w:r>
      <w:r w:rsidRPr="00CD5563">
        <w:tab/>
      </w:r>
      <w:r w:rsidR="0008639C" w:rsidRPr="00CD5563">
        <w:t>allow for geographic dispersion of control over aspects of the network operation;</w:t>
      </w:r>
    </w:p>
    <w:p w:rsidR="0008639C" w:rsidRPr="00CD5563" w:rsidRDefault="00772407" w:rsidP="00772407">
      <w:pPr>
        <w:pStyle w:val="Enumlevel1"/>
      </w:pPr>
      <w:r w:rsidRPr="00CD5563">
        <w:t>•</w:t>
      </w:r>
      <w:r w:rsidRPr="00CD5563">
        <w:tab/>
      </w:r>
      <w:r w:rsidR="0008639C" w:rsidRPr="00CD5563">
        <w:t>provide isolation mechanisms to minimize security risks;</w:t>
      </w:r>
    </w:p>
    <w:p w:rsidR="0008639C" w:rsidRPr="00CD5563" w:rsidRDefault="00772407" w:rsidP="00772407">
      <w:pPr>
        <w:pStyle w:val="Enumlevel1"/>
      </w:pPr>
      <w:r w:rsidRPr="00CD5563">
        <w:t>•</w:t>
      </w:r>
      <w:r w:rsidRPr="00CD5563">
        <w:tab/>
      </w:r>
      <w:r w:rsidR="0008639C" w:rsidRPr="00CD5563">
        <w:t>provide isolation mechanisms to locate and contain network faults;</w:t>
      </w:r>
    </w:p>
    <w:p w:rsidR="0008639C" w:rsidRPr="00CD5563" w:rsidRDefault="00772407" w:rsidP="00772407">
      <w:pPr>
        <w:pStyle w:val="Enumlevel1"/>
      </w:pPr>
      <w:r w:rsidRPr="00CD5563">
        <w:t>•</w:t>
      </w:r>
      <w:r w:rsidRPr="00CD5563">
        <w:tab/>
      </w:r>
      <w:r w:rsidR="0008639C" w:rsidRPr="00CD5563">
        <w:t>improve service assistance and interaction with customers;</w:t>
      </w:r>
    </w:p>
    <w:p w:rsidR="0008639C" w:rsidRPr="00CD5563" w:rsidRDefault="00772407" w:rsidP="00772407">
      <w:pPr>
        <w:pStyle w:val="Enumlevel1"/>
      </w:pPr>
      <w:r w:rsidRPr="00CD5563">
        <w:t>•</w:t>
      </w:r>
      <w:r w:rsidRPr="00CD5563">
        <w:tab/>
      </w:r>
      <w:r w:rsidR="0008639C" w:rsidRPr="00CD5563">
        <w:t>layering of services to enable a provider to provide the building blocks for services and others to bundle the services and its implications on the management architecture;</w:t>
      </w:r>
    </w:p>
    <w:p w:rsidR="0008639C" w:rsidRPr="00CD5563" w:rsidRDefault="00772407" w:rsidP="00772407">
      <w:pPr>
        <w:pStyle w:val="Enumlevel1"/>
      </w:pPr>
      <w:r w:rsidRPr="00CD5563">
        <w:t>•</w:t>
      </w:r>
      <w:r w:rsidRPr="00CD5563">
        <w:tab/>
      </w:r>
      <w:r w:rsidR="0008639C" w:rsidRPr="00CD5563">
        <w:t>business processes as defined in the M.3050.x series and how they would be used in NGN;</w:t>
      </w:r>
    </w:p>
    <w:p w:rsidR="0008639C" w:rsidRPr="00CD5563" w:rsidRDefault="00772407" w:rsidP="00772407">
      <w:pPr>
        <w:pStyle w:val="Enumlevel1"/>
      </w:pPr>
      <w:r w:rsidRPr="00CD5563">
        <w:t>•</w:t>
      </w:r>
      <w:r w:rsidRPr="00CD5563">
        <w:tab/>
      </w:r>
      <w:r w:rsidR="0008639C" w:rsidRPr="00CD5563">
        <w:t>support of applications, both on the same distributed computing platform and those distributed throughout the network.</w:t>
      </w:r>
    </w:p>
    <w:p w:rsidR="0008639C" w:rsidRPr="00CD5563" w:rsidRDefault="0008639C" w:rsidP="002453EE">
      <w:pPr>
        <w:keepNext/>
        <w:keepLines/>
        <w:rPr>
          <w:lang w:val="en-GB" w:eastAsia="ko-KR"/>
        </w:rPr>
      </w:pPr>
      <w:r w:rsidRPr="00CD5563">
        <w:rPr>
          <w:lang w:val="en-GB" w:eastAsia="ko-KR"/>
        </w:rPr>
        <w:t>The following areas are identified for further study issues.</w:t>
      </w:r>
    </w:p>
    <w:p w:rsidR="0008639C" w:rsidRPr="00CD5563" w:rsidRDefault="00772407" w:rsidP="00772407">
      <w:pPr>
        <w:pStyle w:val="Enumlevel1"/>
      </w:pPr>
      <w:r w:rsidRPr="00CD5563">
        <w:t>•</w:t>
      </w:r>
      <w:r w:rsidRPr="00CD5563">
        <w:tab/>
      </w:r>
      <w:r w:rsidR="0008639C" w:rsidRPr="00CD5563">
        <w:t>implications of the need to manage end-to-end services;</w:t>
      </w:r>
    </w:p>
    <w:p w:rsidR="0008639C" w:rsidRPr="00CD5563" w:rsidRDefault="00772407" w:rsidP="00772407">
      <w:pPr>
        <w:pStyle w:val="Enumlevel1"/>
      </w:pPr>
      <w:r w:rsidRPr="00CD5563">
        <w:t>•</w:t>
      </w:r>
      <w:r w:rsidRPr="00CD5563">
        <w:tab/>
      </w:r>
      <w:r w:rsidR="0008639C" w:rsidRPr="00CD5563">
        <w:t>implications of home networks and customer premises equipment.</w:t>
      </w:r>
    </w:p>
    <w:p w:rsidR="0008639C" w:rsidRPr="00CD5563" w:rsidRDefault="0008639C" w:rsidP="00772407">
      <w:pPr>
        <w:pStyle w:val="Heading1"/>
        <w:rPr>
          <w:rFonts w:eastAsia="Malgun Gothic"/>
          <w:lang w:val="en-GB" w:eastAsia="ko-KR"/>
        </w:rPr>
      </w:pPr>
      <w:bookmarkStart w:id="356" w:name="_Toc380487707"/>
      <w:bookmarkStart w:id="357" w:name="_Toc381025026"/>
      <w:r w:rsidRPr="00CD5563">
        <w:rPr>
          <w:rFonts w:eastAsia="Malgun Gothic"/>
          <w:lang w:val="en-GB" w:eastAsia="ko-KR"/>
        </w:rPr>
        <w:t>2</w:t>
      </w:r>
      <w:r w:rsidRPr="00CD5563">
        <w:rPr>
          <w:lang w:val="en-GB"/>
        </w:rPr>
        <w:tab/>
      </w:r>
      <w:r w:rsidRPr="00CD5563">
        <w:rPr>
          <w:rFonts w:eastAsia="Malgun Gothic"/>
          <w:lang w:val="en-GB" w:eastAsia="ko-KR"/>
        </w:rPr>
        <w:t>Architecture of NGN Management</w:t>
      </w:r>
      <w:bookmarkEnd w:id="356"/>
      <w:bookmarkEnd w:id="357"/>
    </w:p>
    <w:p w:rsidR="0008639C" w:rsidRPr="00CD5563" w:rsidRDefault="0008639C" w:rsidP="00772407">
      <w:pPr>
        <w:pStyle w:val="Heading2"/>
        <w:rPr>
          <w:rFonts w:eastAsia="Malgun Gothic"/>
          <w:lang w:val="en-GB" w:eastAsia="ko-KR"/>
        </w:rPr>
      </w:pPr>
      <w:bookmarkStart w:id="358" w:name="_Toc380487708"/>
      <w:bookmarkStart w:id="359" w:name="_Toc381025027"/>
      <w:r w:rsidRPr="00CD5563">
        <w:rPr>
          <w:rFonts w:eastAsia="Malgun Gothic"/>
          <w:lang w:val="en-GB" w:eastAsia="ko-KR"/>
        </w:rPr>
        <w:t>2</w:t>
      </w:r>
      <w:r w:rsidRPr="00CD5563">
        <w:rPr>
          <w:lang w:val="en-GB"/>
        </w:rPr>
        <w:t>.1</w:t>
      </w:r>
      <w:r w:rsidRPr="00CD5563">
        <w:rPr>
          <w:lang w:val="en-GB"/>
        </w:rPr>
        <w:tab/>
      </w:r>
      <w:r w:rsidRPr="00CD5563">
        <w:rPr>
          <w:rFonts w:eastAsia="Malgun Gothic"/>
          <w:lang w:val="en-GB" w:eastAsia="ko-KR"/>
        </w:rPr>
        <w:t>NGN Management Requirements</w:t>
      </w:r>
      <w:bookmarkEnd w:id="358"/>
      <w:bookmarkEnd w:id="359"/>
    </w:p>
    <w:p w:rsidR="0008639C" w:rsidRPr="00CD5563" w:rsidRDefault="0008639C" w:rsidP="00772407">
      <w:pPr>
        <w:rPr>
          <w:lang w:val="en-GB" w:eastAsia="ko-KR"/>
        </w:rPr>
      </w:pPr>
      <w:r w:rsidRPr="00CD5563">
        <w:rPr>
          <w:lang w:val="en-GB" w:eastAsia="ko-KR"/>
        </w:rPr>
        <w:t>NGN management supports the monitoring and control of the NGN services and relevant resources for the service and transport via the communication of management information across interfaces between NGN resources and management systems, between NGN-supportive management systems, and between NGN components and personnel of service providers and network operators. NGN management supports the aims of the NGN based on Recommendation ITU-T Y.2201. Followings are key summary of NGN management requirements:</w:t>
      </w:r>
    </w:p>
    <w:p w:rsidR="0008639C" w:rsidRPr="00CD5563" w:rsidRDefault="00772407" w:rsidP="00772407">
      <w:pPr>
        <w:pStyle w:val="Enumlevel1"/>
      </w:pPr>
      <w:r w:rsidRPr="00CD5563">
        <w:t>•</w:t>
      </w:r>
      <w:r w:rsidRPr="00CD5563">
        <w:tab/>
      </w:r>
      <w:r w:rsidR="0008639C" w:rsidRPr="00CD5563">
        <w:t>Providing the ability to manage NGN system resources, both physical and logical including resources in the core network, access networks, interconnect components, and customer networks and their terminals;</w:t>
      </w:r>
    </w:p>
    <w:p w:rsidR="0008639C" w:rsidRPr="00CD5563" w:rsidRDefault="00772407" w:rsidP="00772407">
      <w:pPr>
        <w:pStyle w:val="Enumlevel1"/>
      </w:pPr>
      <w:r w:rsidRPr="00CD5563">
        <w:t>•</w:t>
      </w:r>
      <w:r w:rsidRPr="00CD5563">
        <w:tab/>
      </w:r>
      <w:r w:rsidR="0008639C" w:rsidRPr="00CD5563">
        <w:t>Providing the ability to manage NGN Service Stratum resources and enabling organizations offering NGN end-user services including the ability to personalize end-user services and customer self-service (e.g., provision of service, reporting faults, online billing reports);</w:t>
      </w:r>
    </w:p>
    <w:p w:rsidR="0008639C" w:rsidRPr="00CD5563" w:rsidRDefault="00772407" w:rsidP="00772407">
      <w:pPr>
        <w:pStyle w:val="Enumlevel1"/>
      </w:pPr>
      <w:r w:rsidRPr="00CD5563">
        <w:t>•</w:t>
      </w:r>
      <w:r w:rsidRPr="00CD5563">
        <w:tab/>
      </w:r>
      <w:r w:rsidR="0008639C" w:rsidRPr="00CD5563">
        <w:t>Supporting eBusiness Value Networks based upon concepts of business roles including support of B2B processes;</w:t>
      </w:r>
    </w:p>
    <w:p w:rsidR="0008639C" w:rsidRPr="00CD5563" w:rsidRDefault="00772407" w:rsidP="00772407">
      <w:pPr>
        <w:pStyle w:val="Enumlevel1"/>
      </w:pPr>
      <w:r w:rsidRPr="00CD5563">
        <w:t>•</w:t>
      </w:r>
      <w:r w:rsidRPr="00CD5563">
        <w:tab/>
      </w:r>
      <w:r w:rsidR="0008639C" w:rsidRPr="00CD5563">
        <w:t>Allowing an enterprise and/or an individual to adopt multiple roles in different value networks and also multiple roles within a specific value network;</w:t>
      </w:r>
    </w:p>
    <w:p w:rsidR="0008639C" w:rsidRPr="00CD5563" w:rsidRDefault="00772407" w:rsidP="00772407">
      <w:pPr>
        <w:pStyle w:val="Enumlevel1"/>
      </w:pPr>
      <w:r w:rsidRPr="00CD5563">
        <w:t>•</w:t>
      </w:r>
      <w:r w:rsidRPr="00CD5563">
        <w:tab/>
      </w:r>
      <w:r w:rsidR="0008639C" w:rsidRPr="00CD5563">
        <w:t>Integrating an abstracted view on Resources (network, computing and application);</w:t>
      </w:r>
    </w:p>
    <w:p w:rsidR="0008639C" w:rsidRPr="00CD5563" w:rsidRDefault="00772407" w:rsidP="00772407">
      <w:pPr>
        <w:pStyle w:val="Enumlevel1"/>
      </w:pPr>
      <w:r w:rsidRPr="00CD5563">
        <w:t>•</w:t>
      </w:r>
      <w:r w:rsidRPr="00CD5563">
        <w:tab/>
      </w:r>
      <w:r w:rsidR="0008639C" w:rsidRPr="00CD5563">
        <w:t>Supporting the collection of charging data for the network operator regarding the utilization of resources in the network;</w:t>
      </w:r>
    </w:p>
    <w:p w:rsidR="0008639C" w:rsidRPr="00CD5563" w:rsidRDefault="00772407" w:rsidP="00772407">
      <w:pPr>
        <w:pStyle w:val="Enumlevel1"/>
      </w:pPr>
      <w:r w:rsidRPr="00CD5563">
        <w:t>•</w:t>
      </w:r>
      <w:r w:rsidRPr="00CD5563">
        <w:tab/>
      </w:r>
      <w:r w:rsidR="0008639C" w:rsidRPr="00CD5563">
        <w:t>The ability to provide survivable networks in the event of impairment and proactive trend monitoring;</w:t>
      </w:r>
    </w:p>
    <w:p w:rsidR="0008639C" w:rsidRPr="00CD5563" w:rsidRDefault="00772407" w:rsidP="00772407">
      <w:pPr>
        <w:pStyle w:val="Enumlevel1"/>
      </w:pPr>
      <w:r w:rsidRPr="00CD5563">
        <w:t>•</w:t>
      </w:r>
      <w:r w:rsidRPr="00CD5563">
        <w:tab/>
      </w:r>
      <w:r w:rsidR="0008639C" w:rsidRPr="00CD5563">
        <w:t>Enable service providers to reduce the time-frame for the design, creation, delivery, and operation of new services;</w:t>
      </w:r>
    </w:p>
    <w:p w:rsidR="0008639C" w:rsidRPr="00CD5563" w:rsidRDefault="00772407" w:rsidP="00772407">
      <w:pPr>
        <w:pStyle w:val="Enumlevel1"/>
      </w:pPr>
      <w:r w:rsidRPr="00CD5563">
        <w:t>•</w:t>
      </w:r>
      <w:r w:rsidRPr="00CD5563">
        <w:tab/>
      </w:r>
      <w:r w:rsidR="0008639C" w:rsidRPr="00CD5563">
        <w:t>The ability to manipulate, analyse and react to management information in a consistent and appropriate manner.</w:t>
      </w:r>
    </w:p>
    <w:p w:rsidR="0008639C" w:rsidRPr="00CD5563" w:rsidRDefault="0008639C" w:rsidP="00772407">
      <w:pPr>
        <w:pStyle w:val="Heading2"/>
        <w:rPr>
          <w:rFonts w:eastAsia="Malgun Gothic"/>
          <w:lang w:val="en-GB" w:eastAsia="ko-KR"/>
        </w:rPr>
      </w:pPr>
      <w:bookmarkStart w:id="360" w:name="_Toc380487709"/>
      <w:bookmarkStart w:id="361" w:name="_Toc381025028"/>
      <w:r w:rsidRPr="00CD5563">
        <w:rPr>
          <w:rFonts w:eastAsia="Malgun Gothic"/>
          <w:lang w:val="en-GB" w:eastAsia="ko-KR"/>
        </w:rPr>
        <w:t>2.2</w:t>
      </w:r>
      <w:r w:rsidRPr="00CD5563">
        <w:rPr>
          <w:rFonts w:eastAsia="Malgun Gothic"/>
          <w:lang w:val="en-GB" w:eastAsia="ko-KR"/>
        </w:rPr>
        <w:tab/>
        <w:t>NGN Management Architecture</w:t>
      </w:r>
      <w:bookmarkEnd w:id="360"/>
      <w:bookmarkEnd w:id="361"/>
    </w:p>
    <w:p w:rsidR="0008639C" w:rsidRPr="00CD5563" w:rsidRDefault="0008639C" w:rsidP="00772407">
      <w:pPr>
        <w:rPr>
          <w:lang w:val="en-GB" w:eastAsia="ko-KR"/>
        </w:rPr>
      </w:pPr>
      <w:r w:rsidRPr="00CD5563">
        <w:rPr>
          <w:lang w:val="en-GB" w:eastAsia="ko-KR"/>
        </w:rPr>
        <w:t>The NGN management plane is the union of the NGN service stratum management plane and the NGN transport stratum management plane following the basis of NGN functional architecture. It may include joint management functions, i.e., functions used to manage entities in both strata plus functions required to support this management.</w:t>
      </w:r>
    </w:p>
    <w:p w:rsidR="0008639C" w:rsidRPr="00CD5563" w:rsidRDefault="00CD5563" w:rsidP="00AB21CF">
      <w:pPr>
        <w:rPr>
          <w:lang w:val="en-GB" w:eastAsia="ko-KR"/>
        </w:rPr>
      </w:pPr>
      <w:r w:rsidRPr="00CD5563">
        <w:rPr>
          <w:lang w:val="en-GB" w:eastAsia="ko-KR"/>
        </w:rPr>
        <w:t>Referring</w:t>
      </w:r>
      <w:r w:rsidR="0008639C" w:rsidRPr="00CD5563">
        <w:rPr>
          <w:lang w:val="en-GB" w:eastAsia="ko-KR"/>
        </w:rPr>
        <w:t xml:space="preserve"> to Recommendation ITU-T Y.2011 as shown in Figure 2-1, NGN management plane places to cover both transport and service strata as well as other functions such as IdM functions and End-user functions.</w:t>
      </w:r>
    </w:p>
    <w:p w:rsidR="0008639C" w:rsidRPr="00CD5563" w:rsidRDefault="0008639C" w:rsidP="007A3917">
      <w:pPr>
        <w:keepNext/>
        <w:keepLines/>
        <w:rPr>
          <w:lang w:val="en-GB" w:eastAsia="ko-KR"/>
        </w:rPr>
      </w:pPr>
      <w:r w:rsidRPr="00CD5563">
        <w:rPr>
          <w:lang w:val="en-GB" w:eastAsia="ko-KR"/>
        </w:rPr>
        <w:t>The NGN Management architecture will be divided into four different architectural views as shown in Figure 2-2 as followings:</w:t>
      </w:r>
    </w:p>
    <w:p w:rsidR="0008639C" w:rsidRPr="00CD5563" w:rsidRDefault="00772407" w:rsidP="00772407">
      <w:pPr>
        <w:pStyle w:val="Enumlevel1"/>
      </w:pPr>
      <w:r w:rsidRPr="00CD5563">
        <w:t>•</w:t>
      </w:r>
      <w:r w:rsidRPr="00CD5563">
        <w:tab/>
      </w:r>
      <w:r w:rsidR="0008639C" w:rsidRPr="00CD5563">
        <w:t>Business Process View: The business process view, based on the eTOM model (ITU-T Rec. M.3050.x-series), provides a reference framework for categorizing the business activities of a service provider;</w:t>
      </w:r>
    </w:p>
    <w:p w:rsidR="0008639C" w:rsidRPr="00CD5563" w:rsidRDefault="00772407" w:rsidP="00772407">
      <w:pPr>
        <w:pStyle w:val="Enumlevel1"/>
      </w:pPr>
      <w:r w:rsidRPr="00CD5563">
        <w:t>•</w:t>
      </w:r>
      <w:r w:rsidRPr="00CD5563">
        <w:tab/>
      </w:r>
      <w:r w:rsidR="0008639C" w:rsidRPr="00CD5563">
        <w:t>Management Functional View: The functional view permits the specification of what functions have to be achieved in the management implementation;</w:t>
      </w:r>
    </w:p>
    <w:p w:rsidR="0008639C" w:rsidRPr="00CD5563" w:rsidRDefault="00772407" w:rsidP="00772407">
      <w:pPr>
        <w:pStyle w:val="Enumlevel1"/>
      </w:pPr>
      <w:r w:rsidRPr="00CD5563">
        <w:t>•</w:t>
      </w:r>
      <w:r w:rsidRPr="00CD5563">
        <w:tab/>
      </w:r>
      <w:r w:rsidR="0008639C" w:rsidRPr="00CD5563">
        <w:t>Management Information View: The information view characterizes the management information required for communication between the entities in the functional view to enable the performance of the functions to be achieved in the management implementation;</w:t>
      </w:r>
    </w:p>
    <w:p w:rsidR="0008639C" w:rsidRPr="00CD5563" w:rsidRDefault="00772407" w:rsidP="00772407">
      <w:pPr>
        <w:pStyle w:val="Enumlevel1"/>
      </w:pPr>
      <w:r w:rsidRPr="00CD5563">
        <w:t>•</w:t>
      </w:r>
      <w:r w:rsidRPr="00CD5563">
        <w:tab/>
      </w:r>
      <w:r w:rsidR="0008639C" w:rsidRPr="00CD5563">
        <w:t>Management Physical View: The physical view describes the varied ways that management functions can be implemented. They may be deployed in a variety of physical configurations using a variety of management protocols.</w:t>
      </w:r>
    </w:p>
    <w:p w:rsidR="00772407" w:rsidRPr="00CD5563" w:rsidRDefault="00772407" w:rsidP="00772407">
      <w:pPr>
        <w:pStyle w:val="Figuretitle"/>
        <w:rPr>
          <w:lang w:val="en-GB" w:eastAsia="ko-KR"/>
        </w:rPr>
      </w:pPr>
      <w:bookmarkStart w:id="362" w:name="_Toc380497386"/>
      <w:r w:rsidRPr="00CD5563">
        <w:rPr>
          <w:lang w:val="en-GB" w:eastAsia="ko-KR"/>
        </w:rPr>
        <w:t>Figure 2-1: NGN management plane in the NGN architecture</w:t>
      </w:r>
      <w:bookmarkEnd w:id="362"/>
    </w:p>
    <w:p w:rsidR="0008639C" w:rsidRPr="00CD5563" w:rsidRDefault="0008639C" w:rsidP="00772407">
      <w:pPr>
        <w:pStyle w:val="Figure"/>
        <w:rPr>
          <w:lang w:val="en-GB" w:eastAsia="ko-KR"/>
        </w:rPr>
      </w:pPr>
      <w:r w:rsidRPr="00CD5563">
        <w:rPr>
          <w:noProof/>
          <w:lang w:val="ru-RU" w:eastAsia="zh-CN"/>
        </w:rPr>
        <w:drawing>
          <wp:inline distT="0" distB="0" distL="0" distR="0" wp14:anchorId="19FD77D1" wp14:editId="2BEA5383">
            <wp:extent cx="4816800" cy="3999600"/>
            <wp:effectExtent l="0" t="0" r="3175" b="0"/>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1" cstate="print"/>
                    <a:srcRect/>
                    <a:stretch>
                      <a:fillRect/>
                    </a:stretch>
                  </pic:blipFill>
                  <pic:spPr bwMode="auto">
                    <a:xfrm>
                      <a:off x="0" y="0"/>
                      <a:ext cx="4816800" cy="3999600"/>
                    </a:xfrm>
                    <a:prstGeom prst="rect">
                      <a:avLst/>
                    </a:prstGeom>
                    <a:noFill/>
                    <a:ln w="9525">
                      <a:noFill/>
                      <a:miter lim="800000"/>
                      <a:headEnd/>
                      <a:tailEnd/>
                    </a:ln>
                  </pic:spPr>
                </pic:pic>
              </a:graphicData>
            </a:graphic>
          </wp:inline>
        </w:drawing>
      </w:r>
    </w:p>
    <w:p w:rsidR="00772407" w:rsidRPr="00CD5563" w:rsidRDefault="00772407" w:rsidP="00772407">
      <w:pPr>
        <w:pStyle w:val="Figure"/>
        <w:rPr>
          <w:lang w:val="en-GB" w:eastAsia="ko-KR"/>
        </w:rPr>
      </w:pPr>
    </w:p>
    <w:p w:rsidR="00772407" w:rsidRPr="00CD5563" w:rsidRDefault="00772407" w:rsidP="00AB21CF">
      <w:pPr>
        <w:rPr>
          <w:lang w:val="en-GB" w:eastAsia="ko-KR"/>
        </w:rPr>
      </w:pPr>
    </w:p>
    <w:p w:rsidR="0008639C" w:rsidRPr="00CD5563" w:rsidRDefault="0008639C" w:rsidP="00AB21CF">
      <w:pPr>
        <w:rPr>
          <w:lang w:val="en-GB" w:eastAsia="ko-KR"/>
        </w:rPr>
      </w:pPr>
      <w:r w:rsidRPr="00CD5563">
        <w:rPr>
          <w:lang w:val="en-GB" w:eastAsia="ko-KR"/>
        </w:rPr>
        <w:t>Each view shows a different perspective into the architecture. These four architecture views also take security into consideration. Figure 2-2 describes the workflow in the creation of management specifications, where first the functional view is defined, followed by the information view and finally the physical view. The Business Process is an influence throughout the lifecycle. Note that, in practice, this process is iterative to enable all aspects of the architecture to evolve over time as required.</w:t>
      </w:r>
    </w:p>
    <w:p w:rsidR="00772407" w:rsidRPr="00CD5563" w:rsidRDefault="00772407" w:rsidP="00772407">
      <w:pPr>
        <w:pStyle w:val="Figuretitle"/>
        <w:rPr>
          <w:lang w:val="en-GB" w:eastAsia="ko-KR"/>
        </w:rPr>
      </w:pPr>
      <w:bookmarkStart w:id="363" w:name="_Toc380497387"/>
      <w:r w:rsidRPr="00CD5563">
        <w:rPr>
          <w:lang w:val="en-GB" w:eastAsia="ko-KR"/>
        </w:rPr>
        <w:t>Figure 2-2: NGN management architecture</w:t>
      </w:r>
      <w:bookmarkEnd w:id="363"/>
    </w:p>
    <w:p w:rsidR="0008639C" w:rsidRPr="00CD5563" w:rsidRDefault="0008639C" w:rsidP="00772407">
      <w:pPr>
        <w:pStyle w:val="Figure"/>
        <w:rPr>
          <w:lang w:val="en-GB"/>
        </w:rPr>
      </w:pPr>
      <w:r w:rsidRPr="00CD5563">
        <w:rPr>
          <w:noProof/>
          <w:lang w:val="ru-RU" w:eastAsia="zh-CN"/>
        </w:rPr>
        <w:drawing>
          <wp:inline distT="0" distB="0" distL="0" distR="0" wp14:anchorId="5792801C" wp14:editId="2A49A2DE">
            <wp:extent cx="3511550" cy="1499870"/>
            <wp:effectExtent l="19050" t="0" r="0" b="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2" cstate="print"/>
                    <a:srcRect/>
                    <a:stretch>
                      <a:fillRect/>
                    </a:stretch>
                  </pic:blipFill>
                  <pic:spPr bwMode="auto">
                    <a:xfrm>
                      <a:off x="0" y="0"/>
                      <a:ext cx="3511550" cy="1499870"/>
                    </a:xfrm>
                    <a:prstGeom prst="rect">
                      <a:avLst/>
                    </a:prstGeom>
                    <a:noFill/>
                    <a:ln w="9525">
                      <a:noFill/>
                      <a:miter lim="800000"/>
                      <a:headEnd/>
                      <a:tailEnd/>
                    </a:ln>
                  </pic:spPr>
                </pic:pic>
              </a:graphicData>
            </a:graphic>
          </wp:inline>
        </w:drawing>
      </w:r>
    </w:p>
    <w:p w:rsidR="00772407" w:rsidRPr="00CD5563" w:rsidRDefault="00772407" w:rsidP="00772407">
      <w:pPr>
        <w:pStyle w:val="Figure"/>
        <w:rPr>
          <w:lang w:val="en-GB"/>
        </w:rPr>
      </w:pPr>
    </w:p>
    <w:p w:rsidR="0008639C" w:rsidRPr="00CD5563" w:rsidRDefault="00772407" w:rsidP="00772407">
      <w:pPr>
        <w:pStyle w:val="Heading2"/>
        <w:rPr>
          <w:rFonts w:eastAsia="Malgun Gothic"/>
          <w:lang w:val="en-GB" w:eastAsia="ko-KR"/>
        </w:rPr>
      </w:pPr>
      <w:bookmarkStart w:id="364" w:name="_Toc380487710"/>
      <w:bookmarkStart w:id="365" w:name="_Toc381025029"/>
      <w:r w:rsidRPr="00CD5563">
        <w:rPr>
          <w:rFonts w:eastAsia="Malgun Gothic"/>
          <w:lang w:val="en-GB" w:eastAsia="ko-KR"/>
        </w:rPr>
        <w:t>2.3</w:t>
      </w:r>
      <w:r w:rsidRPr="00CD5563">
        <w:rPr>
          <w:rFonts w:eastAsia="Malgun Gothic"/>
          <w:lang w:val="en-GB" w:eastAsia="ko-KR"/>
        </w:rPr>
        <w:tab/>
      </w:r>
      <w:r w:rsidR="0008639C" w:rsidRPr="00CD5563">
        <w:rPr>
          <w:rFonts w:eastAsia="Malgun Gothic"/>
          <w:lang w:val="en-GB" w:eastAsia="ko-KR"/>
        </w:rPr>
        <w:t>Relationship to service-oriented architecture (SOA)</w:t>
      </w:r>
      <w:bookmarkEnd w:id="364"/>
      <w:bookmarkEnd w:id="365"/>
    </w:p>
    <w:p w:rsidR="0008639C" w:rsidRPr="00CD5563" w:rsidRDefault="0008639C" w:rsidP="00772407">
      <w:pPr>
        <w:rPr>
          <w:lang w:val="en-GB" w:eastAsia="ko-KR"/>
        </w:rPr>
      </w:pPr>
      <w:r w:rsidRPr="00CD5563">
        <w:rPr>
          <w:lang w:val="en-GB" w:eastAsia="ko-KR"/>
        </w:rPr>
        <w:t>One of the architectural principles used in the management architecture for NGN is that of being a Service-Oriented Architecture (SOA). A SOA is software architecture of services, policies, practices and frameworks in which components can be reused and repurposed rapidly in order to achieve shared and new functionality. This enables rapid and economical implementation in response to new requirements thus ensuring that services respond to perceived user needs.</w:t>
      </w:r>
    </w:p>
    <w:p w:rsidR="0008639C" w:rsidRPr="00CD5563" w:rsidRDefault="0008639C" w:rsidP="00772407">
      <w:pPr>
        <w:rPr>
          <w:lang w:val="en-GB" w:eastAsia="ko-KR"/>
        </w:rPr>
      </w:pPr>
      <w:r w:rsidRPr="00CD5563">
        <w:rPr>
          <w:lang w:val="en-GB" w:eastAsia="ko-KR"/>
        </w:rPr>
        <w:t>SOA uses the object-oriented principle of encapsulation in which entities are accessible only through interfaces and where those entities are connected by well-defined interface agreements or contracts.</w:t>
      </w:r>
    </w:p>
    <w:p w:rsidR="0008639C" w:rsidRPr="00CD5563" w:rsidRDefault="0008639C" w:rsidP="00772407">
      <w:pPr>
        <w:pStyle w:val="Enumlevel1"/>
      </w:pPr>
      <w:r w:rsidRPr="00CD5563">
        <w:t>Major goals of an SOA in comparison with other architectures used in the past are to enable:</w:t>
      </w:r>
    </w:p>
    <w:p w:rsidR="0008639C" w:rsidRPr="00CD5563" w:rsidRDefault="006B0747" w:rsidP="00772407">
      <w:pPr>
        <w:pStyle w:val="Enumlevel1"/>
      </w:pPr>
      <w:r w:rsidRPr="00CD5563">
        <w:rPr>
          <w:szCs w:val="19"/>
        </w:rPr>
        <w:t>•</w:t>
      </w:r>
      <w:r w:rsidRPr="00CD5563">
        <w:rPr>
          <w:szCs w:val="19"/>
        </w:rPr>
        <w:tab/>
      </w:r>
      <w:r w:rsidR="0008639C" w:rsidRPr="00CD5563">
        <w:rPr>
          <w:szCs w:val="19"/>
        </w:rPr>
        <w:t>faster adaptation to changing business needs;</w:t>
      </w:r>
    </w:p>
    <w:p w:rsidR="0008639C" w:rsidRPr="00CD5563" w:rsidRDefault="006B0747" w:rsidP="00772407">
      <w:pPr>
        <w:pStyle w:val="Enumlevel1"/>
      </w:pPr>
      <w:r w:rsidRPr="00CD5563">
        <w:t>•</w:t>
      </w:r>
      <w:r w:rsidRPr="00CD5563">
        <w:tab/>
      </w:r>
      <w:r w:rsidR="0008639C" w:rsidRPr="00CD5563">
        <w:t>cost reduction in the integration of new services, as well as in the maintenance of existing services.</w:t>
      </w:r>
    </w:p>
    <w:p w:rsidR="0008639C" w:rsidRPr="00E669B9" w:rsidRDefault="0008639C" w:rsidP="007A3917">
      <w:pPr>
        <w:rPr>
          <w:lang w:val="en-US"/>
        </w:rPr>
      </w:pPr>
      <w:r w:rsidRPr="007A3917">
        <w:rPr>
          <w:lang w:val="en-US"/>
        </w:rPr>
        <w:t xml:space="preserve">SOA provides open and agile business solutions that can be rapidly extended or changed on demand. </w:t>
      </w:r>
      <w:r w:rsidRPr="00E669B9">
        <w:rPr>
          <w:lang w:val="en-US"/>
        </w:rPr>
        <w:t>This will enable NGN Management to support the rapid creation of new NGN services and changes in NGN technology.</w:t>
      </w:r>
    </w:p>
    <w:p w:rsidR="0008639C" w:rsidRPr="00CD5563" w:rsidRDefault="0008639C" w:rsidP="006B0747">
      <w:pPr>
        <w:rPr>
          <w:lang w:val="en-GB"/>
        </w:rPr>
      </w:pPr>
      <w:r w:rsidRPr="00CD5563">
        <w:rPr>
          <w:lang w:val="en-GB"/>
        </w:rPr>
        <w:t>The main features of SOA are:</w:t>
      </w:r>
    </w:p>
    <w:p w:rsidR="0008639C" w:rsidRPr="00CD5563" w:rsidRDefault="006B0747" w:rsidP="00772407">
      <w:pPr>
        <w:pStyle w:val="Enumlevel1"/>
      </w:pPr>
      <w:r w:rsidRPr="00CD5563">
        <w:rPr>
          <w:szCs w:val="19"/>
        </w:rPr>
        <w:t>•</w:t>
      </w:r>
      <w:r w:rsidRPr="00CD5563">
        <w:rPr>
          <w:szCs w:val="19"/>
        </w:rPr>
        <w:tab/>
      </w:r>
      <w:r w:rsidR="0008639C" w:rsidRPr="00CD5563">
        <w:rPr>
          <w:szCs w:val="19"/>
        </w:rPr>
        <w:t>loosely coupled, location independent, reusable services;</w:t>
      </w:r>
    </w:p>
    <w:p w:rsidR="0008639C" w:rsidRPr="00CD5563" w:rsidRDefault="006B0747" w:rsidP="00772407">
      <w:pPr>
        <w:pStyle w:val="Enumlevel1"/>
      </w:pPr>
      <w:r w:rsidRPr="00CD5563">
        <w:t>•</w:t>
      </w:r>
      <w:r w:rsidRPr="00CD5563">
        <w:tab/>
      </w:r>
      <w:r w:rsidR="0008639C" w:rsidRPr="00CD5563">
        <w:t>any given service may assume a client or a server role with respect to another service, depending on situation;</w:t>
      </w:r>
    </w:p>
    <w:p w:rsidR="0008639C" w:rsidRPr="00CD5563" w:rsidRDefault="006B0747" w:rsidP="00772407">
      <w:pPr>
        <w:pStyle w:val="Enumlevel1"/>
      </w:pPr>
      <w:r w:rsidRPr="00CD5563">
        <w:t>•</w:t>
      </w:r>
      <w:r w:rsidRPr="00CD5563">
        <w:tab/>
      </w:r>
      <w:r w:rsidR="0008639C" w:rsidRPr="00CD5563">
        <w:t>the "find-bind-execute" paradigm for the communication between services;</w:t>
      </w:r>
    </w:p>
    <w:p w:rsidR="0008639C" w:rsidRPr="00CD5563" w:rsidRDefault="006B0747" w:rsidP="00772407">
      <w:pPr>
        <w:pStyle w:val="Enumlevel1"/>
      </w:pPr>
      <w:r w:rsidRPr="00CD5563">
        <w:t>•</w:t>
      </w:r>
      <w:r w:rsidRPr="00CD5563">
        <w:tab/>
      </w:r>
      <w:r w:rsidR="0008639C" w:rsidRPr="00CD5563">
        <w:t>published contract-based, platform and technology-neutral service interfaces. This means that the interface of a service is independent of its implementation;</w:t>
      </w:r>
    </w:p>
    <w:p w:rsidR="0008639C" w:rsidRPr="00CD5563" w:rsidRDefault="006B0747" w:rsidP="00772407">
      <w:pPr>
        <w:pStyle w:val="Enumlevel1"/>
      </w:pPr>
      <w:r w:rsidRPr="00CD5563">
        <w:t>•</w:t>
      </w:r>
      <w:r w:rsidRPr="00CD5563">
        <w:tab/>
      </w:r>
      <w:r w:rsidR="0008639C" w:rsidRPr="00CD5563">
        <w:t>encapsulating the lifecycle of the entities involved in a business transaction; and exposing a coarser granularity of interfaces than OOA.</w:t>
      </w:r>
    </w:p>
    <w:p w:rsidR="0008639C" w:rsidRPr="00CD5563" w:rsidRDefault="0008639C" w:rsidP="007A3917">
      <w:pPr>
        <w:pStyle w:val="Heading1"/>
        <w:rPr>
          <w:rFonts w:eastAsia="Malgun Gothic"/>
          <w:lang w:val="en-GB" w:eastAsia="ko-KR"/>
        </w:rPr>
      </w:pPr>
      <w:bookmarkStart w:id="366" w:name="_Toc380487711"/>
      <w:bookmarkStart w:id="367" w:name="_Toc381025030"/>
      <w:r w:rsidRPr="00CD5563">
        <w:rPr>
          <w:rFonts w:eastAsia="Malgun Gothic"/>
          <w:lang w:val="en-GB" w:eastAsia="ko-KR"/>
        </w:rPr>
        <w:t>3</w:t>
      </w:r>
      <w:r w:rsidRPr="00CD5563">
        <w:rPr>
          <w:rFonts w:eastAsia="Malgun Gothic"/>
          <w:lang w:val="en-GB" w:eastAsia="ko-KR"/>
        </w:rPr>
        <w:tab/>
        <w:t>Relationships between management views</w:t>
      </w:r>
      <w:bookmarkEnd w:id="366"/>
      <w:bookmarkEnd w:id="367"/>
    </w:p>
    <w:p w:rsidR="0008639C" w:rsidRPr="00CD5563" w:rsidRDefault="0008639C" w:rsidP="007A3917">
      <w:pPr>
        <w:keepNext/>
        <w:keepLines/>
        <w:rPr>
          <w:lang w:val="en-GB" w:eastAsia="ko-KR"/>
        </w:rPr>
      </w:pPr>
      <w:r w:rsidRPr="00CD5563">
        <w:rPr>
          <w:lang w:val="en-GB" w:eastAsia="ko-KR"/>
        </w:rPr>
        <w:t>A business process provides a set of requirements that defines management functionality in the functional view. This management functionality is composed of management function sets that are composed of management functions. Operations systems realize a number of functional blocks, deployable units of management functionality, in the physical view. The functional view defines reference points that involve interaction between functional blocks. The information view constrains the data and interaction patterns of the interface between operations systems components that are physical realizations of functional blocks. Figure 3-1 shows this relationship between management views and their components.</w:t>
      </w:r>
    </w:p>
    <w:p w:rsidR="006B0747" w:rsidRPr="00CD5563" w:rsidRDefault="006B0747" w:rsidP="006B0747">
      <w:pPr>
        <w:pStyle w:val="Figuretitle"/>
        <w:rPr>
          <w:lang w:val="en-GB" w:eastAsia="ko-KR"/>
        </w:rPr>
      </w:pPr>
      <w:bookmarkStart w:id="368" w:name="_Toc380497388"/>
      <w:r w:rsidRPr="00CD5563">
        <w:rPr>
          <w:lang w:val="en-GB" w:eastAsia="ko-KR"/>
        </w:rPr>
        <w:t>Figure 3-1: Relationship of management views and their constructs</w:t>
      </w:r>
      <w:bookmarkEnd w:id="368"/>
    </w:p>
    <w:p w:rsidR="0008639C" w:rsidRPr="00CD5563" w:rsidRDefault="0008639C" w:rsidP="006B0747">
      <w:pPr>
        <w:pStyle w:val="Figure"/>
        <w:rPr>
          <w:lang w:val="en-GB" w:eastAsia="ko-KR"/>
        </w:rPr>
      </w:pPr>
      <w:r w:rsidRPr="00CD5563">
        <w:rPr>
          <w:noProof/>
          <w:lang w:val="ru-RU" w:eastAsia="zh-CN"/>
        </w:rPr>
        <w:drawing>
          <wp:inline distT="0" distB="0" distL="0" distR="0" wp14:anchorId="65F9D951" wp14:editId="3D12DAE2">
            <wp:extent cx="4257675" cy="3328670"/>
            <wp:effectExtent l="19050" t="0" r="9525" b="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3" cstate="print"/>
                    <a:srcRect/>
                    <a:stretch>
                      <a:fillRect/>
                    </a:stretch>
                  </pic:blipFill>
                  <pic:spPr bwMode="auto">
                    <a:xfrm>
                      <a:off x="0" y="0"/>
                      <a:ext cx="4257675" cy="3328670"/>
                    </a:xfrm>
                    <a:prstGeom prst="rect">
                      <a:avLst/>
                    </a:prstGeom>
                    <a:noFill/>
                    <a:ln w="9525">
                      <a:noFill/>
                      <a:miter lim="800000"/>
                      <a:headEnd/>
                      <a:tailEnd/>
                    </a:ln>
                  </pic:spPr>
                </pic:pic>
              </a:graphicData>
            </a:graphic>
          </wp:inline>
        </w:drawing>
      </w:r>
    </w:p>
    <w:p w:rsidR="006B0747" w:rsidRPr="00CD5563" w:rsidRDefault="006B0747" w:rsidP="006B0747">
      <w:pPr>
        <w:pStyle w:val="Figure"/>
        <w:rPr>
          <w:lang w:val="en-GB" w:eastAsia="ko-KR"/>
        </w:rPr>
      </w:pPr>
    </w:p>
    <w:p w:rsidR="006B0747" w:rsidRPr="00CD5563" w:rsidRDefault="006B0747" w:rsidP="0008639C">
      <w:pPr>
        <w:widowControl w:val="0"/>
        <w:wordWrap w:val="0"/>
        <w:autoSpaceDE w:val="0"/>
        <w:autoSpaceDN w:val="0"/>
        <w:spacing w:line="240" w:lineRule="atLeast"/>
        <w:rPr>
          <w:rFonts w:eastAsia="Malgun Gothic"/>
          <w:szCs w:val="19"/>
          <w:lang w:val="en-GB" w:eastAsia="ko-KR"/>
        </w:rPr>
      </w:pPr>
    </w:p>
    <w:p w:rsidR="0008639C" w:rsidRPr="00CD5563" w:rsidRDefault="0008639C" w:rsidP="0008639C">
      <w:pPr>
        <w:widowControl w:val="0"/>
        <w:wordWrap w:val="0"/>
        <w:autoSpaceDE w:val="0"/>
        <w:autoSpaceDN w:val="0"/>
        <w:spacing w:line="240" w:lineRule="atLeast"/>
        <w:rPr>
          <w:rFonts w:eastAsia="Malgun Gothic"/>
          <w:szCs w:val="19"/>
          <w:lang w:val="en-GB" w:eastAsia="ko-KR"/>
        </w:rPr>
      </w:pPr>
      <w:r w:rsidRPr="00CD5563">
        <w:rPr>
          <w:rFonts w:eastAsia="Malgun Gothic"/>
          <w:szCs w:val="19"/>
          <w:lang w:val="en-GB" w:eastAsia="ko-KR"/>
        </w:rPr>
        <w:t>The management implementation is realized from four different, but interrelated views. These are the business process, functional, information and physical views. Three of these views (business process, functional and information) provide a framework that allows requirements to be documented about what a management implementation should do. The business process view, based on the eTOM model, provides a reference framework for categorizing the business activities of a service provider. The functional view framework permits the specification of what functions have to be achieved in the management implementation. The information view permits the specification of what information (i.e., data) has to be stored so that the functions defined in the functional view can be achieved in the management implementation. The management implementation, that meets the requirements of the management functional and information specifications, may vary greatly from one management solution to another. Management implementations are not currently a subject for standardization.</w:t>
      </w:r>
    </w:p>
    <w:p w:rsidR="006B0747" w:rsidRPr="00CD5563" w:rsidRDefault="006B0747">
      <w:pPr>
        <w:spacing w:before="0"/>
        <w:jc w:val="left"/>
        <w:rPr>
          <w:rFonts w:eastAsia="Times New Roman" w:cs="Helvetica"/>
          <w:b/>
          <w:bCs/>
          <w:color w:val="005173"/>
          <w:sz w:val="28"/>
          <w:szCs w:val="28"/>
          <w:lang w:val="en-GB"/>
        </w:rPr>
      </w:pPr>
      <w:r w:rsidRPr="00CD5563">
        <w:rPr>
          <w:lang w:val="en-GB"/>
        </w:rPr>
        <w:br w:type="page"/>
      </w:r>
    </w:p>
    <w:p w:rsidR="0008639C" w:rsidRPr="00CD5563" w:rsidRDefault="0008639C" w:rsidP="006B0747">
      <w:pPr>
        <w:pStyle w:val="Heading1"/>
        <w:rPr>
          <w:lang w:val="en-GB"/>
        </w:rPr>
      </w:pPr>
      <w:bookmarkStart w:id="369" w:name="_Toc380487712"/>
      <w:bookmarkStart w:id="370" w:name="_Toc381025031"/>
      <w:r w:rsidRPr="00CD5563">
        <w:rPr>
          <w:lang w:val="en-GB"/>
        </w:rPr>
        <w:t>Annex 6: NGN Testing</w:t>
      </w:r>
      <w:bookmarkEnd w:id="369"/>
      <w:bookmarkEnd w:id="370"/>
    </w:p>
    <w:p w:rsidR="0008639C" w:rsidRPr="00CD5563" w:rsidRDefault="006B0747" w:rsidP="006B0747">
      <w:pPr>
        <w:pStyle w:val="Heading1"/>
        <w:rPr>
          <w:rFonts w:eastAsiaTheme="minorEastAsia"/>
          <w:lang w:val="en-GB" w:eastAsia="ko-KR"/>
        </w:rPr>
      </w:pPr>
      <w:bookmarkStart w:id="371" w:name="_Toc380487713"/>
      <w:bookmarkStart w:id="372" w:name="_Toc381025032"/>
      <w:r w:rsidRPr="00CD5563">
        <w:rPr>
          <w:rFonts w:eastAsiaTheme="minorEastAsia"/>
          <w:lang w:val="en-GB" w:eastAsia="ko-KR"/>
        </w:rPr>
        <w:t>1</w:t>
      </w:r>
      <w:r w:rsidR="0008639C" w:rsidRPr="00CD5563">
        <w:rPr>
          <w:rFonts w:eastAsiaTheme="minorEastAsia"/>
          <w:lang w:val="en-GB" w:eastAsia="ko-KR"/>
        </w:rPr>
        <w:tab/>
        <w:t>Background</w:t>
      </w:r>
      <w:bookmarkEnd w:id="371"/>
      <w:bookmarkEnd w:id="372"/>
    </w:p>
    <w:p w:rsidR="0008639C" w:rsidRPr="00CD5563" w:rsidRDefault="0008639C" w:rsidP="006B0747">
      <w:pPr>
        <w:rPr>
          <w:lang w:val="en-GB"/>
        </w:rPr>
      </w:pPr>
      <w:r w:rsidRPr="00CD5563">
        <w:rPr>
          <w:rFonts w:eastAsia="Malgun Gothic"/>
          <w:lang w:val="en-GB" w:eastAsia="ko-KR"/>
        </w:rPr>
        <w:t>According to the transition of</w:t>
      </w:r>
      <w:r w:rsidRPr="00CD5563">
        <w:rPr>
          <w:lang w:val="en-GB"/>
        </w:rPr>
        <w:t xml:space="preserve"> public telecommunication networks </w:t>
      </w:r>
      <w:r w:rsidRPr="00CD5563">
        <w:rPr>
          <w:rFonts w:eastAsia="Malgun Gothic"/>
          <w:lang w:val="en-GB" w:eastAsia="ko-KR"/>
        </w:rPr>
        <w:t xml:space="preserve">migration </w:t>
      </w:r>
      <w:r w:rsidRPr="00CD5563">
        <w:rPr>
          <w:lang w:val="en-GB"/>
        </w:rPr>
        <w:t>from digital circuit-switched to packet switching networks</w:t>
      </w:r>
      <w:r w:rsidRPr="00CD5563">
        <w:rPr>
          <w:rFonts w:eastAsia="Malgun Gothic"/>
          <w:lang w:val="en-GB" w:eastAsia="ko-KR"/>
        </w:rPr>
        <w:t>, especially aiming for IP-based network infrastructure</w:t>
      </w:r>
      <w:r w:rsidRPr="00CD5563">
        <w:rPr>
          <w:lang w:val="en-GB"/>
        </w:rPr>
        <w:t>, the</w:t>
      </w:r>
      <w:r w:rsidRPr="00CD5563">
        <w:rPr>
          <w:rFonts w:eastAsia="Malgun Gothic"/>
          <w:lang w:val="en-GB" w:eastAsia="ko-KR"/>
        </w:rPr>
        <w:t xml:space="preserve"> testing of NGN including</w:t>
      </w:r>
      <w:r w:rsidRPr="00CD5563">
        <w:rPr>
          <w:lang w:val="en-GB"/>
        </w:rPr>
        <w:t xml:space="preserve"> equipment testing become of primary importance</w:t>
      </w:r>
      <w:r w:rsidRPr="00CD5563">
        <w:rPr>
          <w:rFonts w:eastAsia="Malgun Gothic"/>
          <w:lang w:val="en-GB" w:eastAsia="ko-KR"/>
        </w:rPr>
        <w:t>.</w:t>
      </w:r>
      <w:r w:rsidRPr="00CD5563">
        <w:rPr>
          <w:lang w:val="en-GB"/>
        </w:rPr>
        <w:t xml:space="preserve"> </w:t>
      </w:r>
      <w:r w:rsidRPr="00CD5563">
        <w:rPr>
          <w:rFonts w:eastAsia="Malgun Gothic"/>
          <w:lang w:val="en-GB" w:eastAsia="ko-KR"/>
        </w:rPr>
        <w:t>Ideally</w:t>
      </w:r>
      <w:r w:rsidRPr="00CD5563">
        <w:rPr>
          <w:lang w:val="en-GB"/>
        </w:rPr>
        <w:t xml:space="preserve"> the operator </w:t>
      </w:r>
      <w:r w:rsidRPr="00CD5563">
        <w:rPr>
          <w:rFonts w:eastAsia="Malgun Gothic"/>
          <w:lang w:val="en-GB" w:eastAsia="ko-KR"/>
        </w:rPr>
        <w:t xml:space="preserve">expects to </w:t>
      </w:r>
      <w:r w:rsidRPr="00CD5563">
        <w:rPr>
          <w:lang w:val="en-GB"/>
        </w:rPr>
        <w:t>be of</w:t>
      </w:r>
      <w:r w:rsidRPr="00CD5563">
        <w:rPr>
          <w:rFonts w:eastAsia="Malgun Gothic"/>
          <w:lang w:val="en-GB" w:eastAsia="ko-KR"/>
        </w:rPr>
        <w:t>f</w:t>
      </w:r>
      <w:r w:rsidRPr="00CD5563">
        <w:rPr>
          <w:lang w:val="en-GB"/>
        </w:rPr>
        <w:t>e</w:t>
      </w:r>
      <w:r w:rsidRPr="00CD5563">
        <w:rPr>
          <w:rFonts w:eastAsia="Malgun Gothic"/>
          <w:lang w:val="en-GB" w:eastAsia="ko-KR"/>
        </w:rPr>
        <w:t>re</w:t>
      </w:r>
      <w:r w:rsidRPr="00CD5563">
        <w:rPr>
          <w:lang w:val="en-GB"/>
        </w:rPr>
        <w:t>d equipment of high quality</w:t>
      </w:r>
      <w:r w:rsidRPr="00CD5563">
        <w:rPr>
          <w:rFonts w:eastAsia="Malgun Gothic"/>
          <w:lang w:val="en-GB" w:eastAsia="ko-KR"/>
        </w:rPr>
        <w:t xml:space="preserve"> from the industry</w:t>
      </w:r>
      <w:r w:rsidRPr="00CD5563">
        <w:rPr>
          <w:lang w:val="en-GB"/>
        </w:rPr>
        <w:t xml:space="preserve">. </w:t>
      </w:r>
      <w:r w:rsidRPr="00CD5563">
        <w:rPr>
          <w:rFonts w:eastAsia="Malgun Gothic"/>
          <w:lang w:val="en-GB" w:eastAsia="ko-KR"/>
        </w:rPr>
        <w:t>But</w:t>
      </w:r>
      <w:r w:rsidRPr="00CD5563">
        <w:rPr>
          <w:lang w:val="en-GB"/>
        </w:rPr>
        <w:t xml:space="preserve"> rapid growth of new technologies and the increase </w:t>
      </w:r>
      <w:r w:rsidRPr="00CD5563">
        <w:rPr>
          <w:rFonts w:eastAsia="Malgun Gothic"/>
          <w:lang w:val="en-GB" w:eastAsia="ko-KR"/>
        </w:rPr>
        <w:t>of</w:t>
      </w:r>
      <w:r w:rsidRPr="00CD5563">
        <w:rPr>
          <w:lang w:val="en-GB"/>
        </w:rPr>
        <w:t xml:space="preserve"> equipment complexity, </w:t>
      </w:r>
      <w:r w:rsidRPr="00CD5563">
        <w:rPr>
          <w:rFonts w:eastAsia="Malgun Gothic"/>
          <w:lang w:val="en-GB" w:eastAsia="ko-KR"/>
        </w:rPr>
        <w:t xml:space="preserve">it is not easy to confirm the satisfaction of interesting in both operators and industries. However </w:t>
      </w:r>
      <w:r w:rsidRPr="00CD5563">
        <w:rPr>
          <w:lang w:val="en-GB"/>
        </w:rPr>
        <w:t xml:space="preserve">integral testing performed on operator networks is quite costy </w:t>
      </w:r>
      <w:r w:rsidRPr="00CD5563">
        <w:rPr>
          <w:rFonts w:eastAsia="Malgun Gothic"/>
          <w:lang w:val="en-GB" w:eastAsia="ko-KR"/>
        </w:rPr>
        <w:t xml:space="preserve">and </w:t>
      </w:r>
      <w:r w:rsidRPr="00CD5563">
        <w:rPr>
          <w:lang w:val="en-GB"/>
        </w:rPr>
        <w:t>it would not be reasonable to wait for external events like incidents affecting the operator networks in order to test them. It seems that the methodology of integral testing may be complemented and updated by the creation of model networks to perform equipment compatibility tests, followed by subsequent resource integration of the model networks to ensure full-fledged integral testing taking into account the interworking testing results.</w:t>
      </w:r>
    </w:p>
    <w:p w:rsidR="0008639C" w:rsidRPr="00CD5563" w:rsidRDefault="0008639C" w:rsidP="006B0747">
      <w:pPr>
        <w:rPr>
          <w:rFonts w:eastAsia="Malgun Gothic"/>
          <w:lang w:val="en-GB" w:eastAsia="ko-KR"/>
        </w:rPr>
      </w:pPr>
      <w:r w:rsidRPr="00CD5563">
        <w:rPr>
          <w:rFonts w:eastAsia="Malgun Gothic"/>
          <w:lang w:val="en-GB" w:eastAsia="ko-KR"/>
        </w:rPr>
        <w:t>By considering above, it is required that</w:t>
      </w:r>
      <w:r w:rsidRPr="00CD5563">
        <w:rPr>
          <w:lang w:val="en-GB"/>
        </w:rPr>
        <w:t xml:space="preserve"> </w:t>
      </w:r>
      <w:r w:rsidRPr="00CD5563">
        <w:rPr>
          <w:rFonts w:eastAsia="Malgun Gothic"/>
          <w:lang w:val="en-GB" w:eastAsia="ko-KR"/>
        </w:rPr>
        <w:t xml:space="preserve">the study should be covered </w:t>
      </w:r>
      <w:r w:rsidRPr="00CD5563">
        <w:rPr>
          <w:lang w:val="en-GB"/>
        </w:rPr>
        <w:t>both compatibility</w:t>
      </w:r>
      <w:r w:rsidRPr="00CD5563">
        <w:rPr>
          <w:rFonts w:eastAsia="Malgun Gothic"/>
          <w:lang w:val="en-GB" w:eastAsia="ko-KR"/>
        </w:rPr>
        <w:t xml:space="preserve"> and interoperability</w:t>
      </w:r>
      <w:r w:rsidRPr="00CD5563">
        <w:rPr>
          <w:lang w:val="en-GB"/>
        </w:rPr>
        <w:t xml:space="preserve"> testing of various vendors' NGN equipment </w:t>
      </w:r>
      <w:r w:rsidRPr="00CD5563">
        <w:rPr>
          <w:rFonts w:eastAsia="Malgun Gothic"/>
          <w:lang w:val="en-GB" w:eastAsia="ko-KR"/>
        </w:rPr>
        <w:t>including</w:t>
      </w:r>
      <w:r w:rsidRPr="00CD5563">
        <w:rPr>
          <w:lang w:val="en-GB"/>
        </w:rPr>
        <w:t xml:space="preserve"> new services with the existing ones in the process of NGN equipment operation.</w:t>
      </w:r>
      <w:r w:rsidRPr="00CD5563">
        <w:rPr>
          <w:rFonts w:eastAsia="Malgun Gothic"/>
          <w:lang w:val="en-GB" w:eastAsia="ko-KR"/>
        </w:rPr>
        <w:t xml:space="preserve"> ITU-T, especially SG11 is being involved in this study as well as ETSI. This annex introduces summary information about the NGN testing based on Recommendations ITU-T Q.3900 (2006) and Q.3909 (2011) developed by</w:t>
      </w:r>
      <w:r w:rsidR="006B0747" w:rsidRPr="00CD5563">
        <w:rPr>
          <w:rFonts w:eastAsia="Malgun Gothic"/>
          <w:lang w:val="en-GB" w:eastAsia="ko-KR"/>
        </w:rPr>
        <w:t> </w:t>
      </w:r>
      <w:r w:rsidRPr="00CD5563">
        <w:rPr>
          <w:rFonts w:eastAsia="Malgun Gothic"/>
          <w:lang w:val="en-GB" w:eastAsia="ko-KR"/>
        </w:rPr>
        <w:t>SG11.</w:t>
      </w:r>
    </w:p>
    <w:p w:rsidR="0008639C" w:rsidRPr="00CD5563" w:rsidRDefault="0008639C" w:rsidP="006B0747">
      <w:pPr>
        <w:pStyle w:val="Heading1"/>
        <w:rPr>
          <w:rFonts w:eastAsiaTheme="minorEastAsia"/>
          <w:lang w:val="en-GB" w:eastAsia="ko-KR"/>
        </w:rPr>
      </w:pPr>
      <w:bookmarkStart w:id="373" w:name="_Toc380487714"/>
      <w:bookmarkStart w:id="374" w:name="_Toc381025033"/>
      <w:r w:rsidRPr="00CD5563">
        <w:rPr>
          <w:rFonts w:eastAsiaTheme="minorEastAsia"/>
          <w:lang w:val="en-GB" w:eastAsia="ko-KR"/>
        </w:rPr>
        <w:t>2</w:t>
      </w:r>
      <w:r w:rsidRPr="00CD5563">
        <w:rPr>
          <w:rFonts w:eastAsiaTheme="minorEastAsia"/>
          <w:lang w:val="en-GB" w:eastAsia="ko-KR"/>
        </w:rPr>
        <w:tab/>
        <w:t>Technical means and functions to be tested</w:t>
      </w:r>
      <w:bookmarkEnd w:id="373"/>
      <w:bookmarkEnd w:id="374"/>
    </w:p>
    <w:p w:rsidR="0008639C" w:rsidRPr="00CD5563" w:rsidRDefault="0008639C" w:rsidP="006B0747">
      <w:pPr>
        <w:pStyle w:val="Heading2"/>
        <w:rPr>
          <w:rFonts w:eastAsia="Malgun Gothic"/>
          <w:lang w:val="en-GB" w:eastAsia="ko-KR"/>
        </w:rPr>
      </w:pPr>
      <w:bookmarkStart w:id="375" w:name="_Toc380487715"/>
      <w:bookmarkStart w:id="376" w:name="_Toc381025034"/>
      <w:r w:rsidRPr="00CD5563">
        <w:rPr>
          <w:rFonts w:eastAsia="Malgun Gothic"/>
          <w:lang w:val="en-GB" w:eastAsia="ko-KR"/>
        </w:rPr>
        <w:t>2.1</w:t>
      </w:r>
      <w:r w:rsidRPr="00CD5563">
        <w:rPr>
          <w:rFonts w:eastAsia="Malgun Gothic"/>
          <w:lang w:val="en-GB" w:eastAsia="ko-KR"/>
        </w:rPr>
        <w:tab/>
        <w:t>NGN technical means to be tested</w:t>
      </w:r>
      <w:bookmarkEnd w:id="375"/>
      <w:bookmarkEnd w:id="376"/>
    </w:p>
    <w:p w:rsidR="0008639C" w:rsidRPr="00CD5563" w:rsidRDefault="0008639C" w:rsidP="006B0747">
      <w:pPr>
        <w:rPr>
          <w:lang w:val="en-GB" w:eastAsia="ko-KR"/>
        </w:rPr>
      </w:pPr>
      <w:r w:rsidRPr="00CD5563">
        <w:rPr>
          <w:lang w:val="en-GB"/>
        </w:rPr>
        <w:t xml:space="preserve">NGN technical means </w:t>
      </w:r>
      <w:r w:rsidRPr="00CD5563">
        <w:rPr>
          <w:rFonts w:eastAsia="Malgun Gothic"/>
          <w:lang w:val="en-GB" w:eastAsia="ko-KR"/>
        </w:rPr>
        <w:t>which identifies as t</w:t>
      </w:r>
      <w:r w:rsidRPr="00CD5563">
        <w:rPr>
          <w:lang w:val="en-GB"/>
        </w:rPr>
        <w:t xml:space="preserve">he NGN basic equipment </w:t>
      </w:r>
      <w:r w:rsidRPr="00CD5563">
        <w:rPr>
          <w:rFonts w:eastAsia="Malgun Gothic"/>
          <w:lang w:val="en-GB" w:eastAsia="ko-KR"/>
        </w:rPr>
        <w:t>to serve</w:t>
      </w:r>
      <w:r w:rsidRPr="00CD5563">
        <w:rPr>
          <w:lang w:val="en-GB"/>
        </w:rPr>
        <w:t xml:space="preserve"> for building </w:t>
      </w:r>
      <w:r w:rsidRPr="00CD5563">
        <w:rPr>
          <w:rFonts w:eastAsia="Malgun Gothic"/>
          <w:lang w:val="en-GB" w:eastAsia="ko-KR"/>
        </w:rPr>
        <w:t>NGN</w:t>
      </w:r>
      <w:r w:rsidRPr="00CD5563">
        <w:rPr>
          <w:lang w:val="en-GB"/>
        </w:rPr>
        <w:t xml:space="preserve"> solutions including for application shall be implemented taking into account the mandatory NGN function set</w:t>
      </w:r>
      <w:r w:rsidRPr="00CD5563">
        <w:rPr>
          <w:rFonts w:eastAsia="Malgun Gothic"/>
          <w:lang w:val="en-GB" w:eastAsia="ko-KR"/>
        </w:rPr>
        <w:t>. It is noted that,</w:t>
      </w:r>
      <w:r w:rsidRPr="00CD5563">
        <w:rPr>
          <w:lang w:val="en-GB"/>
        </w:rPr>
        <w:t xml:space="preserve"> at the same time, the composition and number of protocols and interfaces in the specified functionality may be implemented by the manufacturer. For the purposes of </w:t>
      </w:r>
      <w:r w:rsidRPr="00CD5563">
        <w:rPr>
          <w:rFonts w:eastAsia="Malgun Gothic"/>
          <w:lang w:val="en-GB" w:eastAsia="ko-KR"/>
        </w:rPr>
        <w:t xml:space="preserve">standards </w:t>
      </w:r>
      <w:r w:rsidR="00CD5563" w:rsidRPr="00CD5563">
        <w:rPr>
          <w:rFonts w:eastAsia="Malgun Gothic"/>
          <w:lang w:val="en-GB" w:eastAsia="ko-KR"/>
        </w:rPr>
        <w:t>development</w:t>
      </w:r>
      <w:r w:rsidRPr="00CD5563">
        <w:rPr>
          <w:lang w:val="en-GB"/>
        </w:rPr>
        <w:t>, the technical means functionality implemented by the manufacturer, including the requirements for the protocols and interfaces to be implemented in the specified functionality, are assumed to be in complete conformance with the functionality and purpose defined in the NGN requirements (see [ITU-T Y.2012] and [ITU-T Y.2201]).</w:t>
      </w:r>
    </w:p>
    <w:p w:rsidR="0008639C" w:rsidRPr="00CD5563" w:rsidRDefault="0008639C" w:rsidP="00AB21CF">
      <w:pPr>
        <w:rPr>
          <w:lang w:val="en-GB" w:eastAsia="ko-KR"/>
        </w:rPr>
      </w:pPr>
      <w:r w:rsidRPr="00CD5563">
        <w:rPr>
          <w:lang w:val="en-GB" w:eastAsia="ko-KR"/>
        </w:rPr>
        <w:t>Recommendation ITU-T Q.3900 introduces following classifications of NGN technical means in public networks as shown in Table 2-1.</w:t>
      </w:r>
    </w:p>
    <w:p w:rsidR="0008639C" w:rsidRPr="00CD5563" w:rsidRDefault="0008639C" w:rsidP="00E235C3">
      <w:pPr>
        <w:pStyle w:val="Tabletitle"/>
        <w:rPr>
          <w:lang w:val="en-GB" w:eastAsia="ko-KR"/>
        </w:rPr>
      </w:pPr>
      <w:bookmarkStart w:id="377" w:name="_Toc380497649"/>
      <w:r w:rsidRPr="00CD5563">
        <w:rPr>
          <w:lang w:val="en-GB" w:eastAsia="ko-KR"/>
        </w:rPr>
        <w:t>Table 2-1</w:t>
      </w:r>
      <w:r w:rsidR="00E235C3" w:rsidRPr="00CD5563">
        <w:rPr>
          <w:lang w:val="en-GB" w:eastAsia="ko-KR"/>
        </w:rPr>
        <w:t>:</w:t>
      </w:r>
      <w:r w:rsidRPr="00CD5563">
        <w:rPr>
          <w:lang w:val="en-GB" w:eastAsia="ko-KR"/>
        </w:rPr>
        <w:t xml:space="preserve"> Classification of NGN technical means</w:t>
      </w:r>
      <w:bookmarkEnd w:id="377"/>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8"/>
        <w:gridCol w:w="6124"/>
      </w:tblGrid>
      <w:tr w:rsidR="0008639C" w:rsidRPr="00CD5563" w:rsidTr="00E235C3">
        <w:trPr>
          <w:tblHeader/>
          <w:jc w:val="center"/>
        </w:trPr>
        <w:tc>
          <w:tcPr>
            <w:tcW w:w="3261" w:type="dxa"/>
            <w:tcBorders>
              <w:bottom w:val="single" w:sz="4" w:space="0" w:color="auto"/>
            </w:tcBorders>
            <w:shd w:val="clear" w:color="auto" w:fill="005173"/>
          </w:tcPr>
          <w:p w:rsidR="0008639C" w:rsidRPr="007A3917" w:rsidRDefault="0008639C" w:rsidP="00E235C3">
            <w:pPr>
              <w:pStyle w:val="Tablehead"/>
              <w:rPr>
                <w:lang w:val="en-GB"/>
              </w:rPr>
            </w:pPr>
            <w:r w:rsidRPr="007A3917">
              <w:rPr>
                <w:lang w:val="en-GB"/>
              </w:rPr>
              <w:t>System</w:t>
            </w:r>
          </w:p>
        </w:tc>
        <w:tc>
          <w:tcPr>
            <w:tcW w:w="6804" w:type="dxa"/>
            <w:tcBorders>
              <w:bottom w:val="single" w:sz="4" w:space="0" w:color="auto"/>
            </w:tcBorders>
            <w:shd w:val="clear" w:color="auto" w:fill="005173"/>
          </w:tcPr>
          <w:p w:rsidR="0008639C" w:rsidRPr="00CD5563" w:rsidRDefault="0008639C" w:rsidP="00E235C3">
            <w:pPr>
              <w:pStyle w:val="Tablehead"/>
              <w:rPr>
                <w:lang w:val="en-GB"/>
              </w:rPr>
            </w:pPr>
            <w:r w:rsidRPr="00CD5563">
              <w:rPr>
                <w:lang w:val="en-GB"/>
              </w:rPr>
              <w:t>NGN Technical Means</w:t>
            </w:r>
          </w:p>
        </w:tc>
      </w:tr>
      <w:tr w:rsidR="0008639C" w:rsidRPr="00CD5563" w:rsidTr="00E235C3">
        <w:trPr>
          <w:jc w:val="center"/>
        </w:trPr>
        <w:tc>
          <w:tcPr>
            <w:tcW w:w="3261" w:type="dxa"/>
            <w:vMerge w:val="restart"/>
            <w:tcBorders>
              <w:right w:val="single" w:sz="4" w:space="0" w:color="auto"/>
            </w:tcBorders>
            <w:shd w:val="clear" w:color="auto" w:fill="E8F8FD"/>
          </w:tcPr>
          <w:p w:rsidR="0008639C" w:rsidRPr="007A3917" w:rsidRDefault="0008639C" w:rsidP="00E235C3">
            <w:pPr>
              <w:pStyle w:val="Tabletext"/>
              <w:rPr>
                <w:b/>
                <w:bCs/>
                <w:lang w:val="en-GB" w:eastAsia="ko-KR"/>
              </w:rPr>
            </w:pPr>
            <w:r w:rsidRPr="007A3917">
              <w:rPr>
                <w:b/>
                <w:bCs/>
                <w:lang w:val="en-GB" w:eastAsia="ko-KR"/>
              </w:rPr>
              <w:t>Call session control system</w:t>
            </w:r>
          </w:p>
        </w:tc>
        <w:tc>
          <w:tcPr>
            <w:tcW w:w="6804" w:type="dxa"/>
            <w:tcBorders>
              <w:left w:val="single" w:sz="4" w:space="0" w:color="auto"/>
            </w:tcBorders>
            <w:shd w:val="clear" w:color="auto" w:fill="E8F8FD"/>
          </w:tcPr>
          <w:p w:rsidR="0008639C" w:rsidRPr="00CD5563" w:rsidRDefault="0008639C" w:rsidP="00E235C3">
            <w:pPr>
              <w:pStyle w:val="Tabletext"/>
              <w:rPr>
                <w:lang w:val="en-GB" w:eastAsia="ko-KR"/>
              </w:rPr>
            </w:pPr>
            <w:r w:rsidRPr="00CD5563">
              <w:rPr>
                <w:lang w:val="en-GB" w:eastAsia="ko-KR"/>
              </w:rPr>
              <w:t>Media gateway controller (MGC)</w:t>
            </w:r>
          </w:p>
        </w:tc>
      </w:tr>
      <w:tr w:rsidR="0008639C" w:rsidRPr="00CD5563" w:rsidTr="00E235C3">
        <w:trPr>
          <w:jc w:val="center"/>
        </w:trPr>
        <w:tc>
          <w:tcPr>
            <w:tcW w:w="3261" w:type="dxa"/>
            <w:vMerge/>
          </w:tcPr>
          <w:p w:rsidR="0008639C" w:rsidRPr="007A3917" w:rsidRDefault="0008639C" w:rsidP="00E235C3">
            <w:pPr>
              <w:pStyle w:val="Tabletext"/>
              <w:rPr>
                <w:rFonts w:ascii="Times New Roman" w:hAnsi="Times New Roman"/>
                <w:b/>
                <w:bCs/>
                <w:i/>
                <w:iCs/>
                <w:szCs w:val="24"/>
                <w:lang w:val="en-GB" w:eastAsia="ko-KR"/>
              </w:rPr>
            </w:pPr>
          </w:p>
        </w:tc>
        <w:tc>
          <w:tcPr>
            <w:tcW w:w="6804" w:type="dxa"/>
            <w:tcBorders>
              <w:bottom w:val="single" w:sz="4" w:space="0" w:color="auto"/>
            </w:tcBorders>
          </w:tcPr>
          <w:p w:rsidR="0008639C" w:rsidRPr="00CD5563" w:rsidRDefault="0008639C" w:rsidP="00E235C3">
            <w:pPr>
              <w:pStyle w:val="Tabletext"/>
              <w:rPr>
                <w:lang w:val="en-GB" w:eastAsia="ko-KR"/>
              </w:rPr>
            </w:pPr>
            <w:r w:rsidRPr="00CD5563">
              <w:rPr>
                <w:lang w:val="en-GB" w:eastAsia="ko-KR"/>
              </w:rPr>
              <w:t>Proxy server SIP (PS)</w:t>
            </w:r>
          </w:p>
        </w:tc>
      </w:tr>
      <w:tr w:rsidR="0008639C" w:rsidRPr="00CD5563" w:rsidTr="00E235C3">
        <w:trPr>
          <w:jc w:val="center"/>
        </w:trPr>
        <w:tc>
          <w:tcPr>
            <w:tcW w:w="3261" w:type="dxa"/>
            <w:vMerge/>
          </w:tcPr>
          <w:p w:rsidR="0008639C" w:rsidRPr="007A3917" w:rsidRDefault="0008639C" w:rsidP="00E235C3">
            <w:pPr>
              <w:pStyle w:val="Tabletext"/>
              <w:rPr>
                <w:rFonts w:ascii="Times New Roman" w:hAnsi="Times New Roman"/>
                <w:b/>
                <w:bCs/>
                <w:i/>
                <w:iCs/>
                <w:szCs w:val="24"/>
                <w:lang w:val="en-GB" w:eastAsia="ko-KR"/>
              </w:rPr>
            </w:pPr>
          </w:p>
        </w:tc>
        <w:tc>
          <w:tcPr>
            <w:tcW w:w="6804" w:type="dxa"/>
            <w:shd w:val="clear" w:color="auto" w:fill="E8F8FD"/>
          </w:tcPr>
          <w:p w:rsidR="0008639C" w:rsidRPr="00CD5563" w:rsidRDefault="0008639C" w:rsidP="00E235C3">
            <w:pPr>
              <w:pStyle w:val="Tabletext"/>
              <w:rPr>
                <w:lang w:val="en-GB" w:eastAsia="ko-KR"/>
              </w:rPr>
            </w:pPr>
            <w:r w:rsidRPr="00CD5563">
              <w:rPr>
                <w:lang w:val="en-GB" w:eastAsia="ko-KR"/>
              </w:rPr>
              <w:t>IP multimedia subsystem (IMS)</w:t>
            </w:r>
          </w:p>
        </w:tc>
      </w:tr>
      <w:tr w:rsidR="0008639C" w:rsidRPr="00CD5563" w:rsidTr="00E235C3">
        <w:trPr>
          <w:jc w:val="center"/>
        </w:trPr>
        <w:tc>
          <w:tcPr>
            <w:tcW w:w="3261" w:type="dxa"/>
            <w:vMerge w:val="restart"/>
          </w:tcPr>
          <w:p w:rsidR="0008639C" w:rsidRPr="007A3917" w:rsidRDefault="0008639C" w:rsidP="00E235C3">
            <w:pPr>
              <w:pStyle w:val="Tabletext"/>
              <w:rPr>
                <w:b/>
                <w:bCs/>
                <w:lang w:val="en-GB" w:eastAsia="ko-KR"/>
              </w:rPr>
            </w:pPr>
            <w:r w:rsidRPr="007A3917">
              <w:rPr>
                <w:b/>
                <w:bCs/>
                <w:lang w:val="en-GB" w:eastAsia="ko-KR"/>
              </w:rPr>
              <w:t>Voice and signalling transmit system</w:t>
            </w:r>
          </w:p>
        </w:tc>
        <w:tc>
          <w:tcPr>
            <w:tcW w:w="6804" w:type="dxa"/>
            <w:tcBorders>
              <w:bottom w:val="single" w:sz="4" w:space="0" w:color="auto"/>
            </w:tcBorders>
          </w:tcPr>
          <w:p w:rsidR="0008639C" w:rsidRPr="00CD5563" w:rsidRDefault="0008639C" w:rsidP="00E235C3">
            <w:pPr>
              <w:pStyle w:val="Tabletext"/>
              <w:rPr>
                <w:lang w:val="en-GB" w:eastAsia="ko-KR"/>
              </w:rPr>
            </w:pPr>
            <w:r w:rsidRPr="00CD5563">
              <w:rPr>
                <w:lang w:val="en-GB" w:eastAsia="ko-KR"/>
              </w:rPr>
              <w:t>Media gateway (GW)</w:t>
            </w:r>
          </w:p>
        </w:tc>
      </w:tr>
      <w:tr w:rsidR="0008639C" w:rsidRPr="00CD5563" w:rsidTr="00E235C3">
        <w:trPr>
          <w:jc w:val="center"/>
        </w:trPr>
        <w:tc>
          <w:tcPr>
            <w:tcW w:w="3261" w:type="dxa"/>
            <w:vMerge/>
          </w:tcPr>
          <w:p w:rsidR="0008639C" w:rsidRPr="007A3917" w:rsidRDefault="0008639C" w:rsidP="00E235C3">
            <w:pPr>
              <w:pStyle w:val="Tabletext"/>
              <w:rPr>
                <w:b/>
                <w:bCs/>
                <w:lang w:val="en-GB" w:eastAsia="ko-KR"/>
              </w:rPr>
            </w:pPr>
          </w:p>
        </w:tc>
        <w:tc>
          <w:tcPr>
            <w:tcW w:w="6804" w:type="dxa"/>
            <w:shd w:val="clear" w:color="auto" w:fill="E8F8FD"/>
          </w:tcPr>
          <w:p w:rsidR="0008639C" w:rsidRPr="00CD5563" w:rsidRDefault="0008639C" w:rsidP="00E235C3">
            <w:pPr>
              <w:pStyle w:val="Tabletext"/>
              <w:rPr>
                <w:lang w:val="en-GB" w:eastAsia="ko-KR"/>
              </w:rPr>
            </w:pPr>
            <w:r w:rsidRPr="00CD5563">
              <w:rPr>
                <w:lang w:val="en-GB" w:eastAsia="ko-KR"/>
              </w:rPr>
              <w:t>Signalling gateway (SG)</w:t>
            </w:r>
          </w:p>
        </w:tc>
      </w:tr>
      <w:tr w:rsidR="0008639C" w:rsidRPr="00CD5563" w:rsidTr="00E235C3">
        <w:trPr>
          <w:jc w:val="center"/>
        </w:trPr>
        <w:tc>
          <w:tcPr>
            <w:tcW w:w="3261" w:type="dxa"/>
            <w:vMerge/>
            <w:tcBorders>
              <w:bottom w:val="single" w:sz="4" w:space="0" w:color="auto"/>
            </w:tcBorders>
          </w:tcPr>
          <w:p w:rsidR="0008639C" w:rsidRPr="007A3917" w:rsidRDefault="0008639C" w:rsidP="00E235C3">
            <w:pPr>
              <w:pStyle w:val="Tabletext"/>
              <w:rPr>
                <w:b/>
                <w:bCs/>
                <w:lang w:val="en-GB" w:eastAsia="ko-KR"/>
              </w:rPr>
            </w:pPr>
          </w:p>
        </w:tc>
        <w:tc>
          <w:tcPr>
            <w:tcW w:w="6804" w:type="dxa"/>
            <w:tcBorders>
              <w:bottom w:val="single" w:sz="4" w:space="0" w:color="auto"/>
            </w:tcBorders>
          </w:tcPr>
          <w:p w:rsidR="0008639C" w:rsidRPr="00CD5563" w:rsidRDefault="0008639C" w:rsidP="00E235C3">
            <w:pPr>
              <w:pStyle w:val="Tabletext"/>
              <w:rPr>
                <w:lang w:val="en-GB" w:eastAsia="ko-KR"/>
              </w:rPr>
            </w:pPr>
            <w:r w:rsidRPr="00CD5563">
              <w:rPr>
                <w:lang w:val="en-GB" w:eastAsia="ko-KR"/>
              </w:rPr>
              <w:t>Transport network environment (TNE)</w:t>
            </w:r>
          </w:p>
        </w:tc>
      </w:tr>
      <w:tr w:rsidR="0008639C" w:rsidRPr="00CD5563" w:rsidTr="00E235C3">
        <w:trPr>
          <w:jc w:val="center"/>
        </w:trPr>
        <w:tc>
          <w:tcPr>
            <w:tcW w:w="3261" w:type="dxa"/>
            <w:vMerge w:val="restart"/>
            <w:tcBorders>
              <w:right w:val="single" w:sz="4" w:space="0" w:color="auto"/>
            </w:tcBorders>
            <w:shd w:val="clear" w:color="auto" w:fill="E8F8FD"/>
          </w:tcPr>
          <w:p w:rsidR="0008639C" w:rsidRPr="007A3917" w:rsidRDefault="0008639C" w:rsidP="00E235C3">
            <w:pPr>
              <w:pStyle w:val="Tabletext"/>
              <w:rPr>
                <w:b/>
                <w:bCs/>
                <w:lang w:val="en-GB" w:eastAsia="ko-KR"/>
              </w:rPr>
            </w:pPr>
            <w:r w:rsidRPr="007A3917">
              <w:rPr>
                <w:b/>
                <w:bCs/>
                <w:lang w:val="en-GB" w:eastAsia="ko-KR"/>
              </w:rPr>
              <w:t>Application servers</w:t>
            </w:r>
          </w:p>
        </w:tc>
        <w:tc>
          <w:tcPr>
            <w:tcW w:w="6804" w:type="dxa"/>
            <w:tcBorders>
              <w:left w:val="single" w:sz="4" w:space="0" w:color="auto"/>
            </w:tcBorders>
            <w:shd w:val="clear" w:color="auto" w:fill="E8F8FD"/>
          </w:tcPr>
          <w:p w:rsidR="0008639C" w:rsidRPr="00CD5563" w:rsidRDefault="0008639C" w:rsidP="00E235C3">
            <w:pPr>
              <w:pStyle w:val="Tabletext"/>
              <w:rPr>
                <w:lang w:val="en-GB" w:eastAsia="ko-KR"/>
              </w:rPr>
            </w:pPr>
            <w:r w:rsidRPr="00CD5563">
              <w:rPr>
                <w:lang w:val="en-GB" w:eastAsia="ko-KR"/>
              </w:rPr>
              <w:t>Application server (AS)</w:t>
            </w:r>
          </w:p>
        </w:tc>
      </w:tr>
      <w:tr w:rsidR="0008639C" w:rsidRPr="00CD5563" w:rsidTr="00E235C3">
        <w:trPr>
          <w:jc w:val="center"/>
        </w:trPr>
        <w:tc>
          <w:tcPr>
            <w:tcW w:w="3261" w:type="dxa"/>
            <w:vMerge/>
          </w:tcPr>
          <w:p w:rsidR="0008639C" w:rsidRPr="007A3917" w:rsidRDefault="0008639C" w:rsidP="00E235C3">
            <w:pPr>
              <w:pStyle w:val="Tabletext"/>
              <w:rPr>
                <w:b/>
                <w:bCs/>
                <w:lang w:val="en-GB" w:eastAsia="ko-KR"/>
              </w:rPr>
            </w:pPr>
          </w:p>
        </w:tc>
        <w:tc>
          <w:tcPr>
            <w:tcW w:w="6804" w:type="dxa"/>
            <w:tcBorders>
              <w:bottom w:val="single" w:sz="4" w:space="0" w:color="auto"/>
            </w:tcBorders>
          </w:tcPr>
          <w:p w:rsidR="0008639C" w:rsidRPr="00CD5563" w:rsidRDefault="0008639C" w:rsidP="00E235C3">
            <w:pPr>
              <w:pStyle w:val="Tabletext"/>
              <w:rPr>
                <w:lang w:val="en-GB" w:eastAsia="ko-KR"/>
              </w:rPr>
            </w:pPr>
            <w:r w:rsidRPr="00CD5563">
              <w:rPr>
                <w:lang w:val="en-GB" w:eastAsia="ko-KR"/>
              </w:rPr>
              <w:t>Media server (MDS)</w:t>
            </w:r>
          </w:p>
        </w:tc>
      </w:tr>
      <w:tr w:rsidR="0008639C" w:rsidRPr="00CD5563" w:rsidTr="00E235C3">
        <w:trPr>
          <w:jc w:val="center"/>
        </w:trPr>
        <w:tc>
          <w:tcPr>
            <w:tcW w:w="3261" w:type="dxa"/>
            <w:vMerge/>
          </w:tcPr>
          <w:p w:rsidR="0008639C" w:rsidRPr="007A3917" w:rsidRDefault="0008639C" w:rsidP="00E235C3">
            <w:pPr>
              <w:pStyle w:val="Tabletext"/>
              <w:rPr>
                <w:b/>
                <w:bCs/>
                <w:lang w:val="en-GB" w:eastAsia="ko-KR"/>
              </w:rPr>
            </w:pPr>
          </w:p>
        </w:tc>
        <w:tc>
          <w:tcPr>
            <w:tcW w:w="6804" w:type="dxa"/>
            <w:shd w:val="clear" w:color="auto" w:fill="E8F8FD"/>
          </w:tcPr>
          <w:p w:rsidR="0008639C" w:rsidRPr="00CD5563" w:rsidRDefault="0008639C" w:rsidP="00E235C3">
            <w:pPr>
              <w:pStyle w:val="Tabletext"/>
              <w:rPr>
                <w:lang w:val="en-GB" w:eastAsia="ko-KR"/>
              </w:rPr>
            </w:pPr>
            <w:r w:rsidRPr="00CD5563">
              <w:rPr>
                <w:lang w:val="en-GB" w:eastAsia="ko-KR"/>
              </w:rPr>
              <w:t>Messaging server (MeS)</w:t>
            </w:r>
          </w:p>
        </w:tc>
      </w:tr>
      <w:tr w:rsidR="0008639C" w:rsidRPr="00CD5563" w:rsidTr="00E235C3">
        <w:trPr>
          <w:jc w:val="center"/>
        </w:trPr>
        <w:tc>
          <w:tcPr>
            <w:tcW w:w="3261" w:type="dxa"/>
            <w:vMerge w:val="restart"/>
          </w:tcPr>
          <w:p w:rsidR="0008639C" w:rsidRPr="007A3917" w:rsidRDefault="0008639C" w:rsidP="00E235C3">
            <w:pPr>
              <w:pStyle w:val="Tabletext"/>
              <w:keepNext/>
              <w:keepLines/>
              <w:rPr>
                <w:b/>
                <w:bCs/>
                <w:lang w:val="en-GB" w:eastAsia="ko-KR"/>
              </w:rPr>
            </w:pPr>
            <w:r w:rsidRPr="007A3917">
              <w:rPr>
                <w:b/>
                <w:bCs/>
                <w:lang w:val="en-GB" w:eastAsia="ko-KR"/>
              </w:rPr>
              <w:t>Management and billing system</w:t>
            </w:r>
          </w:p>
        </w:tc>
        <w:tc>
          <w:tcPr>
            <w:tcW w:w="6804" w:type="dxa"/>
            <w:tcBorders>
              <w:bottom w:val="single" w:sz="4" w:space="0" w:color="auto"/>
            </w:tcBorders>
          </w:tcPr>
          <w:p w:rsidR="0008639C" w:rsidRPr="00CD5563" w:rsidRDefault="0008639C" w:rsidP="00E235C3">
            <w:pPr>
              <w:pStyle w:val="Tabletext"/>
              <w:keepNext/>
              <w:keepLines/>
              <w:rPr>
                <w:lang w:val="en-GB" w:eastAsia="ko-KR"/>
              </w:rPr>
            </w:pPr>
            <w:r w:rsidRPr="00CD5563">
              <w:rPr>
                <w:lang w:val="en-GB" w:eastAsia="ko-KR"/>
              </w:rPr>
              <w:t>NGN management system (NMS)</w:t>
            </w:r>
          </w:p>
        </w:tc>
      </w:tr>
      <w:tr w:rsidR="0008639C" w:rsidRPr="00CD5563" w:rsidTr="00E235C3">
        <w:trPr>
          <w:jc w:val="center"/>
        </w:trPr>
        <w:tc>
          <w:tcPr>
            <w:tcW w:w="3261" w:type="dxa"/>
            <w:vMerge/>
          </w:tcPr>
          <w:p w:rsidR="0008639C" w:rsidRPr="007A3917" w:rsidRDefault="0008639C" w:rsidP="00E235C3">
            <w:pPr>
              <w:pStyle w:val="Tabletext"/>
              <w:keepNext/>
              <w:keepLines/>
              <w:rPr>
                <w:b/>
                <w:bCs/>
                <w:lang w:val="en-GB" w:eastAsia="ko-KR"/>
              </w:rPr>
            </w:pPr>
          </w:p>
        </w:tc>
        <w:tc>
          <w:tcPr>
            <w:tcW w:w="6804" w:type="dxa"/>
            <w:shd w:val="clear" w:color="auto" w:fill="E8F8FD"/>
          </w:tcPr>
          <w:p w:rsidR="0008639C" w:rsidRPr="00CD5563" w:rsidRDefault="0008639C" w:rsidP="00E235C3">
            <w:pPr>
              <w:pStyle w:val="Tabletext"/>
              <w:keepNext/>
              <w:keepLines/>
              <w:rPr>
                <w:lang w:val="en-GB" w:eastAsia="ko-KR"/>
              </w:rPr>
            </w:pPr>
            <w:r w:rsidRPr="00CD5563">
              <w:rPr>
                <w:lang w:val="en-GB" w:eastAsia="ko-KR"/>
              </w:rPr>
              <w:t>Billing system (BS)</w:t>
            </w:r>
          </w:p>
        </w:tc>
      </w:tr>
      <w:tr w:rsidR="0008639C" w:rsidRPr="00916DC0" w:rsidTr="00E235C3">
        <w:trPr>
          <w:jc w:val="center"/>
        </w:trPr>
        <w:tc>
          <w:tcPr>
            <w:tcW w:w="3261" w:type="dxa"/>
            <w:vMerge w:val="restart"/>
          </w:tcPr>
          <w:p w:rsidR="0008639C" w:rsidRPr="007A3917" w:rsidRDefault="0008639C" w:rsidP="00E235C3">
            <w:pPr>
              <w:pStyle w:val="Tabletext"/>
              <w:rPr>
                <w:b/>
                <w:bCs/>
                <w:lang w:val="en-GB" w:eastAsia="ko-KR"/>
              </w:rPr>
            </w:pPr>
            <w:r w:rsidRPr="007A3917">
              <w:rPr>
                <w:b/>
                <w:bCs/>
                <w:lang w:val="en-GB" w:eastAsia="ko-KR"/>
              </w:rPr>
              <w:t>Access environment</w:t>
            </w:r>
          </w:p>
        </w:tc>
        <w:tc>
          <w:tcPr>
            <w:tcW w:w="6804" w:type="dxa"/>
            <w:tcBorders>
              <w:bottom w:val="single" w:sz="4" w:space="0" w:color="auto"/>
            </w:tcBorders>
          </w:tcPr>
          <w:p w:rsidR="0008639C" w:rsidRPr="00CD5563" w:rsidRDefault="0008639C" w:rsidP="00E235C3">
            <w:pPr>
              <w:pStyle w:val="Tabletext"/>
              <w:rPr>
                <w:lang w:val="en-GB" w:eastAsia="ko-KR"/>
              </w:rPr>
            </w:pPr>
            <w:r w:rsidRPr="00CD5563">
              <w:rPr>
                <w:lang w:val="en-GB" w:eastAsia="ko-KR"/>
              </w:rPr>
              <w:t>NGN integrated access devices (NGN-IAD)</w:t>
            </w:r>
          </w:p>
        </w:tc>
      </w:tr>
      <w:tr w:rsidR="0008639C" w:rsidRPr="00916DC0" w:rsidTr="00E235C3">
        <w:trPr>
          <w:jc w:val="center"/>
        </w:trPr>
        <w:tc>
          <w:tcPr>
            <w:tcW w:w="3261" w:type="dxa"/>
            <w:vMerge/>
          </w:tcPr>
          <w:p w:rsidR="0008639C" w:rsidRPr="007A3917" w:rsidRDefault="0008639C" w:rsidP="00E235C3">
            <w:pPr>
              <w:pStyle w:val="Tabletext"/>
              <w:rPr>
                <w:b/>
                <w:bCs/>
                <w:lang w:val="en-GB" w:eastAsia="ko-KR"/>
              </w:rPr>
            </w:pPr>
          </w:p>
        </w:tc>
        <w:tc>
          <w:tcPr>
            <w:tcW w:w="6804" w:type="dxa"/>
            <w:shd w:val="clear" w:color="auto" w:fill="E8F8FD"/>
          </w:tcPr>
          <w:p w:rsidR="0008639C" w:rsidRPr="00CD5563" w:rsidRDefault="0008639C" w:rsidP="00E235C3">
            <w:pPr>
              <w:pStyle w:val="Tabletext"/>
              <w:rPr>
                <w:lang w:val="en-GB" w:eastAsia="ko-KR"/>
              </w:rPr>
            </w:pPr>
            <w:r w:rsidRPr="00CD5563">
              <w:rPr>
                <w:lang w:val="en-GB" w:eastAsia="ko-KR"/>
              </w:rPr>
              <w:t>Media gateway for legacy terminal equipment (GW-LTE)</w:t>
            </w:r>
          </w:p>
        </w:tc>
      </w:tr>
    </w:tbl>
    <w:p w:rsidR="0008639C" w:rsidRPr="00CD5563" w:rsidRDefault="0008639C" w:rsidP="00AB21CF">
      <w:pPr>
        <w:rPr>
          <w:lang w:val="en-GB" w:eastAsia="ko-KR"/>
        </w:rPr>
      </w:pPr>
    </w:p>
    <w:p w:rsidR="0008639C" w:rsidRPr="00CD5563" w:rsidRDefault="0008639C" w:rsidP="002453EE">
      <w:pPr>
        <w:rPr>
          <w:lang w:val="en-GB" w:eastAsia="ko-KR"/>
        </w:rPr>
      </w:pPr>
      <w:r w:rsidRPr="00CD5563">
        <w:rPr>
          <w:lang w:val="en-GB" w:eastAsia="ko-KR"/>
        </w:rPr>
        <w:t>Recommendation ITU-T Q.3900 identifies more details about functionality of the key NGN technical means from above means used in public networks as shown in Table 2-2.</w:t>
      </w:r>
    </w:p>
    <w:p w:rsidR="0008639C" w:rsidRPr="00CD5563" w:rsidRDefault="0008639C" w:rsidP="002453EE">
      <w:pPr>
        <w:pStyle w:val="Tabletitle"/>
        <w:rPr>
          <w:lang w:val="en-GB" w:eastAsia="ko-KR"/>
        </w:rPr>
      </w:pPr>
      <w:bookmarkStart w:id="378" w:name="_Toc380497650"/>
      <w:r w:rsidRPr="00CD5563">
        <w:rPr>
          <w:lang w:val="en-GB" w:eastAsia="ko-KR"/>
        </w:rPr>
        <w:t>Table 2-2</w:t>
      </w:r>
      <w:r w:rsidR="002453EE" w:rsidRPr="00CD5563">
        <w:rPr>
          <w:lang w:val="en-GB" w:eastAsia="ko-KR"/>
        </w:rPr>
        <w:t>:</w:t>
      </w:r>
      <w:r w:rsidRPr="00CD5563">
        <w:rPr>
          <w:lang w:val="en-GB" w:eastAsia="ko-KR"/>
        </w:rPr>
        <w:t xml:space="preserve"> Functionality of key NGN technical means to be tested</w:t>
      </w:r>
      <w:bookmarkEnd w:id="378"/>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8"/>
        <w:gridCol w:w="7474"/>
      </w:tblGrid>
      <w:tr w:rsidR="0008639C" w:rsidRPr="00CD5563" w:rsidTr="002453EE">
        <w:trPr>
          <w:tblHeader/>
          <w:jc w:val="center"/>
        </w:trPr>
        <w:tc>
          <w:tcPr>
            <w:tcW w:w="1809" w:type="dxa"/>
            <w:tcBorders>
              <w:bottom w:val="single" w:sz="4" w:space="0" w:color="auto"/>
            </w:tcBorders>
            <w:shd w:val="clear" w:color="auto" w:fill="005173"/>
          </w:tcPr>
          <w:p w:rsidR="0008639C" w:rsidRPr="00CD5563" w:rsidRDefault="0008639C" w:rsidP="002453EE">
            <w:pPr>
              <w:pStyle w:val="Tablehead"/>
              <w:rPr>
                <w:lang w:val="en-GB" w:eastAsia="ko-KR"/>
              </w:rPr>
            </w:pPr>
            <w:r w:rsidRPr="00CD5563">
              <w:rPr>
                <w:lang w:val="en-GB" w:eastAsia="ko-KR"/>
              </w:rPr>
              <w:t>Technical means</w:t>
            </w:r>
          </w:p>
        </w:tc>
        <w:tc>
          <w:tcPr>
            <w:tcW w:w="8596" w:type="dxa"/>
            <w:tcBorders>
              <w:bottom w:val="single" w:sz="4" w:space="0" w:color="auto"/>
            </w:tcBorders>
            <w:shd w:val="clear" w:color="auto" w:fill="005173"/>
          </w:tcPr>
          <w:p w:rsidR="0008639C" w:rsidRPr="00CD5563" w:rsidRDefault="0008639C" w:rsidP="002453EE">
            <w:pPr>
              <w:pStyle w:val="Tablehead"/>
              <w:rPr>
                <w:lang w:val="en-GB" w:eastAsia="ko-KR"/>
              </w:rPr>
            </w:pPr>
            <w:r w:rsidRPr="00CD5563">
              <w:rPr>
                <w:lang w:val="en-GB" w:eastAsia="ko-KR"/>
              </w:rPr>
              <w:t>Functionality</w:t>
            </w:r>
          </w:p>
        </w:tc>
      </w:tr>
      <w:tr w:rsidR="0008639C" w:rsidRPr="00916DC0" w:rsidTr="002453EE">
        <w:trPr>
          <w:jc w:val="center"/>
        </w:trPr>
        <w:tc>
          <w:tcPr>
            <w:tcW w:w="1809" w:type="dxa"/>
            <w:shd w:val="clear" w:color="auto" w:fill="E8F8FD"/>
          </w:tcPr>
          <w:p w:rsidR="0008639C" w:rsidRPr="00CD5563" w:rsidRDefault="0008639C" w:rsidP="002453EE">
            <w:pPr>
              <w:pStyle w:val="Tabletext"/>
              <w:rPr>
                <w:lang w:val="en-GB" w:eastAsia="ko-KR"/>
              </w:rPr>
            </w:pPr>
            <w:r w:rsidRPr="00CD5563">
              <w:rPr>
                <w:lang w:val="en-GB" w:eastAsia="ko-KR"/>
              </w:rPr>
              <w:t>Media gateway controller (MGC)</w:t>
            </w:r>
          </w:p>
        </w:tc>
        <w:tc>
          <w:tcPr>
            <w:tcW w:w="8596" w:type="dxa"/>
            <w:shd w:val="clear" w:color="auto" w:fill="E8F8FD"/>
          </w:tcPr>
          <w:p w:rsidR="0008639C" w:rsidRPr="00CD5563" w:rsidRDefault="002453EE" w:rsidP="002453EE">
            <w:pPr>
              <w:pStyle w:val="Tabletext"/>
              <w:rPr>
                <w:lang w:val="en-GB" w:eastAsia="ko-KR"/>
              </w:rPr>
            </w:pPr>
            <w:r w:rsidRPr="00CD5563">
              <w:rPr>
                <w:lang w:val="en-GB" w:eastAsia="ko-KR"/>
              </w:rPr>
              <w:t>•</w:t>
            </w:r>
            <w:r w:rsidRPr="00CD5563">
              <w:rPr>
                <w:lang w:val="en-GB" w:eastAsia="ko-KR"/>
              </w:rPr>
              <w:tab/>
            </w:r>
            <w:r w:rsidR="0008639C" w:rsidRPr="00CD5563">
              <w:rPr>
                <w:lang w:val="en-GB" w:eastAsia="ko-KR"/>
              </w:rPr>
              <w:t>controls the calls among the PSTN subscribers;</w:t>
            </w:r>
          </w:p>
          <w:p w:rsidR="0008639C" w:rsidRPr="00CD5563" w:rsidRDefault="002453EE" w:rsidP="002453EE">
            <w:pPr>
              <w:pStyle w:val="Tabletext"/>
              <w:ind w:left="567" w:hanging="567"/>
              <w:rPr>
                <w:lang w:val="en-GB" w:eastAsia="ko-KR"/>
              </w:rPr>
            </w:pPr>
            <w:r w:rsidRPr="00CD5563">
              <w:rPr>
                <w:lang w:val="en-GB" w:eastAsia="ko-KR"/>
              </w:rPr>
              <w:t>•</w:t>
            </w:r>
            <w:r w:rsidRPr="00CD5563">
              <w:rPr>
                <w:lang w:val="en-GB" w:eastAsia="ko-KR"/>
              </w:rPr>
              <w:tab/>
            </w:r>
            <w:r w:rsidR="0008639C" w:rsidRPr="00CD5563">
              <w:rPr>
                <w:lang w:val="en-GB" w:eastAsia="ko-KR"/>
              </w:rPr>
              <w:t>provide for a basic part of functionality while controlling the communication sessions (transfer of routing tables, reconfiguring the numbering systems among various numbering plan formats, Media Gateway controlling by means of the signalling protocols (MGCP, H.248/Megaco, H.323, SIP) and etc;</w:t>
            </w:r>
          </w:p>
          <w:p w:rsidR="0008639C" w:rsidRPr="00CD5563" w:rsidRDefault="002453EE" w:rsidP="002453EE">
            <w:pPr>
              <w:pStyle w:val="Tabletext"/>
              <w:rPr>
                <w:lang w:val="en-GB" w:eastAsia="ko-KR"/>
              </w:rPr>
            </w:pPr>
            <w:r w:rsidRPr="00CD5563">
              <w:rPr>
                <w:lang w:val="en-GB" w:eastAsia="ko-KR"/>
              </w:rPr>
              <w:t>•</w:t>
            </w:r>
            <w:r w:rsidRPr="00CD5563">
              <w:rPr>
                <w:lang w:val="en-GB" w:eastAsia="ko-KR"/>
              </w:rPr>
              <w:tab/>
            </w:r>
            <w:r w:rsidR="0008639C" w:rsidRPr="00CD5563">
              <w:rPr>
                <w:lang w:val="en-GB" w:eastAsia="ko-KR"/>
              </w:rPr>
              <w:t>is a main component of softswitch as a part of main switching device in the NGN.</w:t>
            </w:r>
          </w:p>
        </w:tc>
      </w:tr>
      <w:tr w:rsidR="0008639C" w:rsidRPr="00916DC0" w:rsidTr="002453EE">
        <w:trPr>
          <w:jc w:val="center"/>
        </w:trPr>
        <w:tc>
          <w:tcPr>
            <w:tcW w:w="1809" w:type="dxa"/>
            <w:tcBorders>
              <w:bottom w:val="single" w:sz="4" w:space="0" w:color="auto"/>
            </w:tcBorders>
          </w:tcPr>
          <w:p w:rsidR="0008639C" w:rsidRPr="00CD5563" w:rsidRDefault="0008639C" w:rsidP="002453EE">
            <w:pPr>
              <w:pStyle w:val="Tabletext"/>
              <w:rPr>
                <w:lang w:val="en-GB" w:eastAsia="ko-KR"/>
              </w:rPr>
            </w:pPr>
            <w:r w:rsidRPr="00CD5563">
              <w:rPr>
                <w:lang w:val="en-GB" w:eastAsia="ko-KR"/>
              </w:rPr>
              <w:t>Application server (AS)</w:t>
            </w:r>
          </w:p>
        </w:tc>
        <w:tc>
          <w:tcPr>
            <w:tcW w:w="8596" w:type="dxa"/>
            <w:tcBorders>
              <w:bottom w:val="single" w:sz="4" w:space="0" w:color="auto"/>
            </w:tcBorders>
          </w:tcPr>
          <w:p w:rsidR="0008639C" w:rsidRPr="00CD5563" w:rsidRDefault="002453EE" w:rsidP="002453EE">
            <w:pPr>
              <w:pStyle w:val="Tabletext"/>
              <w:ind w:left="567" w:hanging="567"/>
              <w:rPr>
                <w:lang w:val="en-GB" w:eastAsia="ko-KR"/>
              </w:rPr>
            </w:pPr>
            <w:r w:rsidRPr="00CD5563">
              <w:rPr>
                <w:lang w:val="en-GB" w:eastAsia="ko-KR"/>
              </w:rPr>
              <w:t>•</w:t>
            </w:r>
            <w:r w:rsidRPr="00CD5563">
              <w:rPr>
                <w:lang w:val="en-GB" w:eastAsia="ko-KR"/>
              </w:rPr>
              <w:tab/>
            </w:r>
            <w:r w:rsidR="0008639C" w:rsidRPr="00CD5563">
              <w:rPr>
                <w:lang w:val="en-GB" w:eastAsia="ko-KR"/>
              </w:rPr>
              <w:t>a software server providing new services to the users;</w:t>
            </w:r>
          </w:p>
          <w:p w:rsidR="0008639C" w:rsidRPr="00CD5563" w:rsidRDefault="002453EE" w:rsidP="002453EE">
            <w:pPr>
              <w:pStyle w:val="Tabletext"/>
              <w:ind w:left="567" w:hanging="567"/>
              <w:rPr>
                <w:lang w:val="en-GB" w:eastAsia="ko-KR"/>
              </w:rPr>
            </w:pPr>
            <w:r w:rsidRPr="00CD5563">
              <w:rPr>
                <w:lang w:val="en-GB" w:eastAsia="ko-KR"/>
              </w:rPr>
              <w:t>•</w:t>
            </w:r>
            <w:r w:rsidRPr="00CD5563">
              <w:rPr>
                <w:lang w:val="en-GB" w:eastAsia="ko-KR"/>
              </w:rPr>
              <w:tab/>
            </w:r>
            <w:r w:rsidR="0008639C" w:rsidRPr="00CD5563">
              <w:rPr>
                <w:lang w:val="en-GB" w:eastAsia="ko-KR"/>
              </w:rPr>
              <w:t>provisioning of new services, for example, e-commerce and electronic trade;</w:t>
            </w:r>
          </w:p>
          <w:p w:rsidR="0008639C" w:rsidRPr="00CD5563" w:rsidRDefault="002453EE" w:rsidP="002453EE">
            <w:pPr>
              <w:pStyle w:val="Tabletext"/>
              <w:ind w:left="567" w:hanging="567"/>
              <w:rPr>
                <w:lang w:val="en-GB" w:eastAsia="ko-KR"/>
              </w:rPr>
            </w:pPr>
            <w:r w:rsidRPr="00CD5563">
              <w:rPr>
                <w:lang w:val="en-GB" w:eastAsia="ko-KR"/>
              </w:rPr>
              <w:t>•</w:t>
            </w:r>
            <w:r w:rsidRPr="00CD5563">
              <w:rPr>
                <w:lang w:val="en-GB" w:eastAsia="ko-KR"/>
              </w:rPr>
              <w:tab/>
            </w:r>
            <w:r w:rsidR="0008639C" w:rsidRPr="00CD5563">
              <w:rPr>
                <w:lang w:val="en-GB" w:eastAsia="ko-KR"/>
              </w:rPr>
              <w:t>functionally perform as most of the NGN network components in the field of COMMUNICATION SESSION AND SERVICES CONTROL AREA;</w:t>
            </w:r>
          </w:p>
          <w:p w:rsidR="0008639C" w:rsidRPr="00CD5563" w:rsidRDefault="002453EE" w:rsidP="002453EE">
            <w:pPr>
              <w:pStyle w:val="Tabletext"/>
              <w:ind w:left="567" w:hanging="567"/>
              <w:rPr>
                <w:lang w:val="en-GB" w:eastAsia="ko-KR"/>
              </w:rPr>
            </w:pPr>
            <w:r w:rsidRPr="00CD5563">
              <w:rPr>
                <w:lang w:val="en-GB" w:eastAsia="ko-KR"/>
              </w:rPr>
              <w:t>•</w:t>
            </w:r>
            <w:r w:rsidRPr="00CD5563">
              <w:rPr>
                <w:lang w:val="en-GB" w:eastAsia="ko-KR"/>
              </w:rPr>
              <w:tab/>
            </w:r>
            <w:r w:rsidR="0008639C" w:rsidRPr="00CD5563">
              <w:rPr>
                <w:lang w:val="en-GB" w:eastAsia="ko-KR"/>
              </w:rPr>
              <w:t>a more flexible management of network capabilities and the creation of new and promising network scenarios.</w:t>
            </w:r>
          </w:p>
        </w:tc>
      </w:tr>
      <w:tr w:rsidR="0008639C" w:rsidRPr="00916DC0" w:rsidTr="002453EE">
        <w:trPr>
          <w:jc w:val="center"/>
        </w:trPr>
        <w:tc>
          <w:tcPr>
            <w:tcW w:w="1809" w:type="dxa"/>
            <w:shd w:val="clear" w:color="auto" w:fill="E8F8FD"/>
          </w:tcPr>
          <w:p w:rsidR="0008639C" w:rsidRPr="00CD5563" w:rsidRDefault="0008639C" w:rsidP="002453EE">
            <w:pPr>
              <w:pStyle w:val="Tabletext"/>
              <w:rPr>
                <w:lang w:val="en-GB" w:eastAsia="ko-KR"/>
              </w:rPr>
            </w:pPr>
            <w:r w:rsidRPr="00CD5563">
              <w:rPr>
                <w:lang w:val="en-GB" w:eastAsia="ko-KR"/>
              </w:rPr>
              <w:t>Media server (MDS)</w:t>
            </w:r>
          </w:p>
        </w:tc>
        <w:tc>
          <w:tcPr>
            <w:tcW w:w="8596" w:type="dxa"/>
            <w:shd w:val="clear" w:color="auto" w:fill="E8F8FD"/>
          </w:tcPr>
          <w:p w:rsidR="0008639C" w:rsidRPr="00CD5563" w:rsidRDefault="002453EE" w:rsidP="002453EE">
            <w:pPr>
              <w:pStyle w:val="Tabletext"/>
              <w:ind w:left="567" w:hanging="567"/>
              <w:rPr>
                <w:lang w:val="en-GB" w:eastAsia="ko-KR"/>
              </w:rPr>
            </w:pPr>
            <w:r w:rsidRPr="00CD5563">
              <w:rPr>
                <w:lang w:val="en-GB" w:eastAsia="ko-KR"/>
              </w:rPr>
              <w:t>•</w:t>
            </w:r>
            <w:r w:rsidRPr="00CD5563">
              <w:rPr>
                <w:lang w:val="en-GB" w:eastAsia="ko-KR"/>
              </w:rPr>
              <w:tab/>
            </w:r>
            <w:r w:rsidR="0008639C" w:rsidRPr="00CD5563">
              <w:rPr>
                <w:lang w:val="en-GB" w:eastAsia="ko-KR"/>
              </w:rPr>
              <w:t>provides services of interaction between the user and application or other additional communication services by means of voice and DTMF instructions. The MDS architecturally may be divided into:</w:t>
            </w:r>
          </w:p>
          <w:p w:rsidR="0008639C" w:rsidRPr="00CD5563" w:rsidRDefault="002453EE" w:rsidP="002453EE">
            <w:pPr>
              <w:pStyle w:val="Tabletext"/>
              <w:rPr>
                <w:lang w:val="en-GB" w:eastAsia="ko-KR"/>
              </w:rPr>
            </w:pPr>
            <w:r w:rsidRPr="00CD5563">
              <w:rPr>
                <w:lang w:val="en-GB" w:eastAsia="ko-KR"/>
              </w:rPr>
              <w:tab/>
            </w:r>
            <w:r w:rsidR="0008639C" w:rsidRPr="00CD5563">
              <w:rPr>
                <w:lang w:val="en-GB" w:eastAsia="ko-KR"/>
              </w:rPr>
              <w:t>1)</w:t>
            </w:r>
            <w:r w:rsidRPr="00CD5563">
              <w:rPr>
                <w:lang w:val="en-GB" w:eastAsia="ko-KR"/>
              </w:rPr>
              <w:tab/>
            </w:r>
            <w:r w:rsidR="0008639C" w:rsidRPr="00CD5563">
              <w:rPr>
                <w:lang w:val="en-GB" w:eastAsia="ko-KR"/>
              </w:rPr>
              <w:t xml:space="preserve">A Media Resource Control Unit ensuring DTMF recognition, speech synthesis, </w:t>
            </w:r>
            <w:r w:rsidRPr="00CD5563">
              <w:rPr>
                <w:lang w:val="en-GB" w:eastAsia="ko-KR"/>
              </w:rPr>
              <w:tab/>
            </w:r>
            <w:r w:rsidRPr="00CD5563">
              <w:rPr>
                <w:lang w:val="en-GB" w:eastAsia="ko-KR"/>
              </w:rPr>
              <w:tab/>
            </w:r>
            <w:r w:rsidR="0008639C" w:rsidRPr="00CD5563">
              <w:rPr>
                <w:lang w:val="en-GB" w:eastAsia="ko-KR"/>
              </w:rPr>
              <w:t>speech recognition, etc;</w:t>
            </w:r>
          </w:p>
          <w:p w:rsidR="0008639C" w:rsidRPr="00CD5563" w:rsidRDefault="002453EE" w:rsidP="002453EE">
            <w:pPr>
              <w:pStyle w:val="Tabletext"/>
              <w:ind w:left="567" w:hanging="567"/>
              <w:rPr>
                <w:lang w:val="en-GB" w:eastAsia="ko-KR"/>
              </w:rPr>
            </w:pPr>
            <w:r w:rsidRPr="00CD5563">
              <w:rPr>
                <w:lang w:val="en-GB" w:eastAsia="ko-KR"/>
              </w:rPr>
              <w:tab/>
            </w:r>
            <w:r w:rsidR="0008639C" w:rsidRPr="00CD5563">
              <w:rPr>
                <w:lang w:val="en-GB" w:eastAsia="ko-KR"/>
              </w:rPr>
              <w:t xml:space="preserve">2) </w:t>
            </w:r>
            <w:r w:rsidRPr="00CD5563">
              <w:rPr>
                <w:lang w:val="en-GB" w:eastAsia="ko-KR"/>
              </w:rPr>
              <w:tab/>
            </w:r>
            <w:r w:rsidR="0008639C" w:rsidRPr="00CD5563">
              <w:rPr>
                <w:lang w:val="en-GB" w:eastAsia="ko-KR"/>
              </w:rPr>
              <w:t xml:space="preserve">A Service Control Unit ensuring forwarding messages into the message line, </w:t>
            </w:r>
            <w:r w:rsidRPr="00CD5563">
              <w:rPr>
                <w:lang w:val="en-GB" w:eastAsia="ko-KR"/>
              </w:rPr>
              <w:tab/>
            </w:r>
            <w:r w:rsidR="0008639C" w:rsidRPr="00CD5563">
              <w:rPr>
                <w:lang w:val="en-GB" w:eastAsia="ko-KR"/>
              </w:rPr>
              <w:t xml:space="preserve">message recording, transfer of facsimile services, arranging conference </w:t>
            </w:r>
            <w:r w:rsidRPr="00CD5563">
              <w:rPr>
                <w:lang w:val="en-GB" w:eastAsia="ko-KR"/>
              </w:rPr>
              <w:tab/>
            </w:r>
            <w:r w:rsidR="0008639C" w:rsidRPr="00CD5563">
              <w:rPr>
                <w:lang w:val="en-GB" w:eastAsia="ko-KR"/>
              </w:rPr>
              <w:t>communication, etc;</w:t>
            </w:r>
          </w:p>
          <w:p w:rsidR="0008639C" w:rsidRPr="00CD5563" w:rsidRDefault="002453EE" w:rsidP="002453EE">
            <w:pPr>
              <w:pStyle w:val="Tabletext"/>
              <w:ind w:left="567" w:hanging="567"/>
              <w:rPr>
                <w:lang w:val="en-GB" w:eastAsia="ko-KR"/>
              </w:rPr>
            </w:pPr>
            <w:r w:rsidRPr="00CD5563">
              <w:rPr>
                <w:lang w:val="en-GB" w:eastAsia="ko-KR"/>
              </w:rPr>
              <w:t>•</w:t>
            </w:r>
            <w:r w:rsidRPr="00CD5563">
              <w:rPr>
                <w:lang w:val="en-GB" w:eastAsia="ko-KR"/>
              </w:rPr>
              <w:tab/>
            </w:r>
            <w:r w:rsidR="0008639C" w:rsidRPr="00CD5563">
              <w:rPr>
                <w:lang w:val="en-GB" w:eastAsia="ko-KR"/>
              </w:rPr>
              <w:t>may be implemented on various software and hardware platforms based on the VoiceXML languages and so on.</w:t>
            </w:r>
          </w:p>
        </w:tc>
      </w:tr>
      <w:tr w:rsidR="0008639C" w:rsidRPr="00916DC0" w:rsidTr="002453EE">
        <w:trPr>
          <w:jc w:val="center"/>
        </w:trPr>
        <w:tc>
          <w:tcPr>
            <w:tcW w:w="1809" w:type="dxa"/>
            <w:tcBorders>
              <w:bottom w:val="single" w:sz="4" w:space="0" w:color="auto"/>
            </w:tcBorders>
          </w:tcPr>
          <w:p w:rsidR="0008639C" w:rsidRPr="00CD5563" w:rsidRDefault="0008639C" w:rsidP="002453EE">
            <w:pPr>
              <w:pStyle w:val="Tabletext"/>
              <w:rPr>
                <w:lang w:val="en-GB" w:eastAsia="ko-KR"/>
              </w:rPr>
            </w:pPr>
            <w:r w:rsidRPr="00CD5563">
              <w:rPr>
                <w:lang w:val="en-GB" w:eastAsia="ko-KR"/>
              </w:rPr>
              <w:t>Messaging server (MeS)</w:t>
            </w:r>
          </w:p>
        </w:tc>
        <w:tc>
          <w:tcPr>
            <w:tcW w:w="8596" w:type="dxa"/>
            <w:tcBorders>
              <w:bottom w:val="single" w:sz="4" w:space="0" w:color="auto"/>
            </w:tcBorders>
          </w:tcPr>
          <w:p w:rsidR="0008639C" w:rsidRPr="00CD5563" w:rsidRDefault="002453EE" w:rsidP="002453EE">
            <w:pPr>
              <w:pStyle w:val="Tabletext"/>
              <w:rPr>
                <w:lang w:val="en-GB" w:eastAsia="ko-KR"/>
              </w:rPr>
            </w:pPr>
            <w:r w:rsidRPr="00CD5563">
              <w:rPr>
                <w:lang w:val="en-GB" w:eastAsia="ko-KR"/>
              </w:rPr>
              <w:t>•</w:t>
            </w:r>
            <w:r w:rsidRPr="00CD5563">
              <w:rPr>
                <w:lang w:val="en-GB" w:eastAsia="ko-KR"/>
              </w:rPr>
              <w:tab/>
            </w:r>
            <w:r w:rsidR="0008639C" w:rsidRPr="00CD5563">
              <w:rPr>
                <w:lang w:val="en-GB" w:eastAsia="ko-KR"/>
              </w:rPr>
              <w:t>responsible for message saving and message transfer to the users;</w:t>
            </w:r>
          </w:p>
          <w:p w:rsidR="0008639C" w:rsidRPr="00CD5563" w:rsidRDefault="002453EE" w:rsidP="002453EE">
            <w:pPr>
              <w:pStyle w:val="Tabletext"/>
              <w:rPr>
                <w:lang w:val="en-GB" w:eastAsia="ko-KR"/>
              </w:rPr>
            </w:pPr>
            <w:r w:rsidRPr="00CD5563">
              <w:rPr>
                <w:lang w:val="en-GB" w:eastAsia="ko-KR"/>
              </w:rPr>
              <w:t>•</w:t>
            </w:r>
            <w:r w:rsidRPr="00CD5563">
              <w:rPr>
                <w:lang w:val="en-GB" w:eastAsia="ko-KR"/>
              </w:rPr>
              <w:tab/>
            </w:r>
            <w:r w:rsidR="0008639C" w:rsidRPr="00CD5563">
              <w:rPr>
                <w:lang w:val="en-GB" w:eastAsia="ko-KR"/>
              </w:rPr>
              <w:t>provide users with additional communication services.</w:t>
            </w:r>
          </w:p>
        </w:tc>
      </w:tr>
      <w:tr w:rsidR="0008639C" w:rsidRPr="00916DC0" w:rsidTr="002453EE">
        <w:trPr>
          <w:jc w:val="center"/>
        </w:trPr>
        <w:tc>
          <w:tcPr>
            <w:tcW w:w="1809" w:type="dxa"/>
            <w:shd w:val="clear" w:color="auto" w:fill="E8F8FD"/>
          </w:tcPr>
          <w:p w:rsidR="0008639C" w:rsidRPr="00CD5563" w:rsidRDefault="0008639C" w:rsidP="002453EE">
            <w:pPr>
              <w:pStyle w:val="Tabletext"/>
              <w:rPr>
                <w:lang w:val="en-GB" w:eastAsia="ko-KR"/>
              </w:rPr>
            </w:pPr>
            <w:r w:rsidRPr="00CD5563">
              <w:rPr>
                <w:lang w:val="en-GB" w:eastAsia="ko-KR"/>
              </w:rPr>
              <w:t>Media gateway (GW)</w:t>
            </w:r>
          </w:p>
        </w:tc>
        <w:tc>
          <w:tcPr>
            <w:tcW w:w="8596" w:type="dxa"/>
            <w:shd w:val="clear" w:color="auto" w:fill="E8F8FD"/>
          </w:tcPr>
          <w:p w:rsidR="0008639C" w:rsidRPr="00CD5563" w:rsidRDefault="002453EE" w:rsidP="002453EE">
            <w:pPr>
              <w:pStyle w:val="Tabletext"/>
              <w:ind w:left="567" w:hanging="567"/>
              <w:rPr>
                <w:lang w:val="en-GB" w:eastAsia="ko-KR"/>
              </w:rPr>
            </w:pPr>
            <w:r w:rsidRPr="00CD5563">
              <w:rPr>
                <w:lang w:val="en-GB" w:eastAsia="ko-KR"/>
              </w:rPr>
              <w:t>•</w:t>
            </w:r>
            <w:r w:rsidRPr="00CD5563">
              <w:rPr>
                <w:lang w:val="en-GB" w:eastAsia="ko-KR"/>
              </w:rPr>
              <w:tab/>
            </w:r>
            <w:r w:rsidR="0008639C" w:rsidRPr="00CD5563">
              <w:rPr>
                <w:lang w:val="en-GB" w:eastAsia="ko-KR"/>
              </w:rPr>
              <w:t>provides the functions of transforming the voice information into a digital format and its transfer through the NGN;</w:t>
            </w:r>
          </w:p>
          <w:p w:rsidR="0008639C" w:rsidRPr="00CD5563" w:rsidRDefault="002453EE" w:rsidP="002453EE">
            <w:pPr>
              <w:pStyle w:val="Tabletext"/>
              <w:ind w:left="567" w:hanging="567"/>
              <w:rPr>
                <w:lang w:val="en-GB" w:eastAsia="ko-KR"/>
              </w:rPr>
            </w:pPr>
            <w:r w:rsidRPr="00CD5563">
              <w:rPr>
                <w:lang w:val="en-GB" w:eastAsia="ko-KR"/>
              </w:rPr>
              <w:t>•</w:t>
            </w:r>
            <w:r w:rsidRPr="00CD5563">
              <w:rPr>
                <w:lang w:val="en-GB" w:eastAsia="ko-KR"/>
              </w:rPr>
              <w:tab/>
            </w:r>
            <w:r w:rsidR="0008639C" w:rsidRPr="00CD5563">
              <w:rPr>
                <w:lang w:val="en-GB" w:eastAsia="ko-KR"/>
              </w:rPr>
              <w:t>performs coding of the amplitude-frequency signals through integrated codecs (G.711, G.723, G.726, G.729, etc.), as well as transfer of digitized signals with the aid of transport protocols RTP/RTCP;</w:t>
            </w:r>
          </w:p>
          <w:p w:rsidR="0008639C" w:rsidRPr="00CD5563" w:rsidRDefault="002453EE" w:rsidP="002453EE">
            <w:pPr>
              <w:pStyle w:val="Tabletext"/>
              <w:ind w:left="567" w:hanging="567"/>
              <w:rPr>
                <w:lang w:val="en-GB" w:eastAsia="ko-KR"/>
              </w:rPr>
            </w:pPr>
            <w:r w:rsidRPr="00CD5563">
              <w:rPr>
                <w:lang w:val="en-GB" w:eastAsia="ko-KR"/>
              </w:rPr>
              <w:t>•</w:t>
            </w:r>
            <w:r w:rsidRPr="00CD5563">
              <w:rPr>
                <w:lang w:val="en-GB" w:eastAsia="ko-KR"/>
              </w:rPr>
              <w:tab/>
            </w:r>
            <w:r w:rsidR="0008639C" w:rsidRPr="00CD5563">
              <w:rPr>
                <w:lang w:val="en-GB" w:eastAsia="ko-KR"/>
              </w:rPr>
              <w:t>implemented, at least, one of the assortment of protocols (H.323, MGCP, H.248/Megaco, SIP) to establish connection within the GW;</w:t>
            </w:r>
          </w:p>
          <w:p w:rsidR="0008639C" w:rsidRPr="00CD5563" w:rsidRDefault="002453EE" w:rsidP="002453EE">
            <w:pPr>
              <w:pStyle w:val="Tabletext"/>
              <w:ind w:left="567" w:hanging="567"/>
              <w:rPr>
                <w:lang w:val="en-GB" w:eastAsia="ko-KR"/>
              </w:rPr>
            </w:pPr>
            <w:r w:rsidRPr="00CD5563">
              <w:rPr>
                <w:lang w:val="en-GB" w:eastAsia="ko-KR"/>
              </w:rPr>
              <w:t>•</w:t>
            </w:r>
            <w:r w:rsidRPr="00CD5563">
              <w:rPr>
                <w:lang w:val="en-GB" w:eastAsia="ko-KR"/>
              </w:rPr>
              <w:tab/>
            </w:r>
            <w:r w:rsidR="0008639C" w:rsidRPr="00CD5563">
              <w:rPr>
                <w:lang w:val="en-GB" w:eastAsia="ko-KR"/>
              </w:rPr>
              <w:t>used for the arrangement of interaction on the level of voice circuits between a Circuit Switched Network and NGN.</w:t>
            </w:r>
          </w:p>
        </w:tc>
      </w:tr>
      <w:tr w:rsidR="0008639C" w:rsidRPr="00916DC0" w:rsidTr="002453EE">
        <w:trPr>
          <w:jc w:val="center"/>
        </w:trPr>
        <w:tc>
          <w:tcPr>
            <w:tcW w:w="1809" w:type="dxa"/>
            <w:tcBorders>
              <w:bottom w:val="single" w:sz="4" w:space="0" w:color="auto"/>
            </w:tcBorders>
          </w:tcPr>
          <w:p w:rsidR="0008639C" w:rsidRPr="00CD5563" w:rsidRDefault="0008639C" w:rsidP="002453EE">
            <w:pPr>
              <w:pStyle w:val="Tabletext"/>
              <w:keepNext/>
              <w:keepLines/>
              <w:rPr>
                <w:lang w:val="en-GB" w:eastAsia="ko-KR"/>
              </w:rPr>
            </w:pPr>
            <w:r w:rsidRPr="00CD5563">
              <w:rPr>
                <w:lang w:val="en-GB" w:eastAsia="ko-KR"/>
              </w:rPr>
              <w:t>Signalling Gateway (SG)</w:t>
            </w:r>
          </w:p>
        </w:tc>
        <w:tc>
          <w:tcPr>
            <w:tcW w:w="8596" w:type="dxa"/>
            <w:tcBorders>
              <w:bottom w:val="single" w:sz="4" w:space="0" w:color="auto"/>
            </w:tcBorders>
          </w:tcPr>
          <w:p w:rsidR="0008639C" w:rsidRPr="00CD5563" w:rsidRDefault="002453EE" w:rsidP="002453EE">
            <w:pPr>
              <w:pStyle w:val="Tabletext"/>
              <w:keepNext/>
              <w:keepLines/>
              <w:ind w:left="567" w:hanging="567"/>
              <w:rPr>
                <w:lang w:val="en-GB" w:eastAsia="ko-KR"/>
              </w:rPr>
            </w:pPr>
            <w:r w:rsidRPr="00CD5563">
              <w:rPr>
                <w:lang w:val="en-GB" w:eastAsia="ko-KR"/>
              </w:rPr>
              <w:t>•</w:t>
            </w:r>
            <w:r w:rsidRPr="00CD5563">
              <w:rPr>
                <w:lang w:val="en-GB" w:eastAsia="ko-KR"/>
              </w:rPr>
              <w:tab/>
            </w:r>
            <w:r w:rsidR="0008639C" w:rsidRPr="00CD5563">
              <w:rPr>
                <w:lang w:val="en-GB" w:eastAsia="ko-KR"/>
              </w:rPr>
              <w:t>allows to convert and send a signalling load of the PSTN network to the MGC and converts such signalling types as ISDN, SS7, etc;</w:t>
            </w:r>
          </w:p>
          <w:p w:rsidR="0008639C" w:rsidRPr="00CD5563" w:rsidRDefault="002453EE" w:rsidP="002453EE">
            <w:pPr>
              <w:pStyle w:val="Tabletext"/>
              <w:keepNext/>
              <w:keepLines/>
              <w:ind w:left="567" w:hanging="567"/>
              <w:rPr>
                <w:lang w:val="en-GB" w:eastAsia="ko-KR"/>
              </w:rPr>
            </w:pPr>
            <w:r w:rsidRPr="00CD5563">
              <w:rPr>
                <w:lang w:val="en-GB" w:eastAsia="ko-KR"/>
              </w:rPr>
              <w:t>•</w:t>
            </w:r>
            <w:r w:rsidRPr="00CD5563">
              <w:rPr>
                <w:lang w:val="en-GB" w:eastAsia="ko-KR"/>
              </w:rPr>
              <w:tab/>
            </w:r>
            <w:r w:rsidR="0008639C" w:rsidRPr="00CD5563">
              <w:rPr>
                <w:lang w:val="en-GB" w:eastAsia="ko-KR"/>
              </w:rPr>
              <w:t>transfer of the SIGTRAN-stack protocols is effected over the SCTP transport protocol;</w:t>
            </w:r>
          </w:p>
          <w:p w:rsidR="0008639C" w:rsidRPr="00CD5563" w:rsidRDefault="002453EE" w:rsidP="002453EE">
            <w:pPr>
              <w:pStyle w:val="Tabletext"/>
              <w:keepNext/>
              <w:keepLines/>
              <w:ind w:left="567" w:hanging="567"/>
              <w:rPr>
                <w:lang w:val="en-GB" w:eastAsia="ko-KR"/>
              </w:rPr>
            </w:pPr>
            <w:r w:rsidRPr="00CD5563">
              <w:rPr>
                <w:lang w:val="en-GB" w:eastAsia="ko-KR"/>
              </w:rPr>
              <w:t>•</w:t>
            </w:r>
            <w:r w:rsidRPr="00CD5563">
              <w:rPr>
                <w:lang w:val="en-GB" w:eastAsia="ko-KR"/>
              </w:rPr>
              <w:tab/>
            </w:r>
            <w:r w:rsidR="0008639C" w:rsidRPr="00CD5563">
              <w:rPr>
                <w:lang w:val="en-GB" w:eastAsia="ko-KR"/>
              </w:rPr>
              <w:t>used at the boarder of the NGN and the PSTN including the arrangement of interaction.</w:t>
            </w:r>
          </w:p>
        </w:tc>
      </w:tr>
      <w:tr w:rsidR="0008639C" w:rsidRPr="00916DC0" w:rsidTr="002453EE">
        <w:trPr>
          <w:jc w:val="center"/>
        </w:trPr>
        <w:tc>
          <w:tcPr>
            <w:tcW w:w="1809" w:type="dxa"/>
            <w:shd w:val="clear" w:color="auto" w:fill="E8F8FD"/>
          </w:tcPr>
          <w:p w:rsidR="0008639C" w:rsidRPr="00CD5563" w:rsidRDefault="0008639C" w:rsidP="002453EE">
            <w:pPr>
              <w:pStyle w:val="Tabletext"/>
              <w:rPr>
                <w:lang w:val="en-GB" w:eastAsia="ko-KR"/>
              </w:rPr>
            </w:pPr>
            <w:r w:rsidRPr="00CD5563">
              <w:rPr>
                <w:lang w:val="en-GB" w:eastAsia="ko-KR"/>
              </w:rPr>
              <w:t>Configuration and management system (MS)</w:t>
            </w:r>
          </w:p>
        </w:tc>
        <w:tc>
          <w:tcPr>
            <w:tcW w:w="8596" w:type="dxa"/>
            <w:shd w:val="clear" w:color="auto" w:fill="E8F8FD"/>
          </w:tcPr>
          <w:p w:rsidR="0008639C" w:rsidRPr="00CD5563" w:rsidRDefault="002453EE" w:rsidP="002453EE">
            <w:pPr>
              <w:pStyle w:val="Tabletext"/>
              <w:ind w:left="567" w:hanging="567"/>
              <w:rPr>
                <w:lang w:val="en-GB" w:eastAsia="ko-KR"/>
              </w:rPr>
            </w:pPr>
            <w:r w:rsidRPr="00CD5563">
              <w:rPr>
                <w:lang w:val="en-GB" w:eastAsia="ko-KR"/>
              </w:rPr>
              <w:t>•</w:t>
            </w:r>
            <w:r w:rsidRPr="00CD5563">
              <w:rPr>
                <w:lang w:val="en-GB" w:eastAsia="ko-KR"/>
              </w:rPr>
              <w:tab/>
            </w:r>
            <w:r w:rsidR="0008639C" w:rsidRPr="00CD5563">
              <w:rPr>
                <w:lang w:val="en-GB" w:eastAsia="ko-KR"/>
              </w:rPr>
              <w:t>provide management and control of all the NGN technical means;</w:t>
            </w:r>
          </w:p>
          <w:p w:rsidR="0008639C" w:rsidRPr="00CD5563" w:rsidRDefault="002453EE" w:rsidP="002453EE">
            <w:pPr>
              <w:pStyle w:val="Tabletext"/>
              <w:ind w:left="567" w:hanging="567"/>
              <w:rPr>
                <w:lang w:val="en-GB" w:eastAsia="ko-KR"/>
              </w:rPr>
            </w:pPr>
            <w:r w:rsidRPr="00CD5563">
              <w:rPr>
                <w:lang w:val="en-GB" w:eastAsia="ko-KR"/>
              </w:rPr>
              <w:t>•</w:t>
            </w:r>
            <w:r w:rsidRPr="00CD5563">
              <w:rPr>
                <w:lang w:val="en-GB" w:eastAsia="ko-KR"/>
              </w:rPr>
              <w:tab/>
            </w:r>
            <w:r w:rsidR="0008639C" w:rsidRPr="00CD5563">
              <w:rPr>
                <w:lang w:val="en-GB" w:eastAsia="ko-KR"/>
              </w:rPr>
              <w:t>construct with the use of distributed and object-oriented structure with multi-protocol;</w:t>
            </w:r>
          </w:p>
          <w:p w:rsidR="0008639C" w:rsidRPr="00CD5563" w:rsidRDefault="002453EE" w:rsidP="002453EE">
            <w:pPr>
              <w:pStyle w:val="Tabletext"/>
              <w:ind w:left="567" w:hanging="567"/>
              <w:rPr>
                <w:lang w:val="en-GB" w:eastAsia="ko-KR"/>
              </w:rPr>
            </w:pPr>
            <w:r w:rsidRPr="00CD5563">
              <w:rPr>
                <w:lang w:val="en-GB" w:eastAsia="ko-KR"/>
              </w:rPr>
              <w:t>•</w:t>
            </w:r>
            <w:r w:rsidRPr="00CD5563">
              <w:rPr>
                <w:lang w:val="en-GB" w:eastAsia="ko-KR"/>
              </w:rPr>
              <w:tab/>
            </w:r>
            <w:r w:rsidR="0008639C" w:rsidRPr="00CD5563">
              <w:rPr>
                <w:lang w:val="en-GB" w:eastAsia="ko-KR"/>
              </w:rPr>
              <w:t>interfaces should be open using standard protocols (IIOP, CMIP, SNMP, FTP, FTAM, etc.) and the usage of formal languages for description of standard interfaces (CORBA IDL, JAVA, GDMO, ASN.1, etc.).</w:t>
            </w:r>
          </w:p>
        </w:tc>
      </w:tr>
    </w:tbl>
    <w:p w:rsidR="0008639C" w:rsidRPr="00CD5563" w:rsidRDefault="0008639C" w:rsidP="002453EE">
      <w:pPr>
        <w:pStyle w:val="Heading2"/>
        <w:rPr>
          <w:rFonts w:eastAsia="Malgun Gothic"/>
          <w:lang w:val="en-GB" w:eastAsia="ko-KR"/>
        </w:rPr>
      </w:pPr>
      <w:bookmarkStart w:id="379" w:name="_Toc380487716"/>
      <w:bookmarkStart w:id="380" w:name="_Toc381025035"/>
      <w:r w:rsidRPr="00CD5563">
        <w:rPr>
          <w:rFonts w:eastAsia="Malgun Gothic"/>
          <w:lang w:val="en-GB" w:eastAsia="ko-KR"/>
        </w:rPr>
        <w:t>2.2</w:t>
      </w:r>
      <w:r w:rsidRPr="00CD5563">
        <w:rPr>
          <w:rFonts w:eastAsia="Malgun Gothic"/>
          <w:lang w:val="en-GB" w:eastAsia="ko-KR"/>
        </w:rPr>
        <w:tab/>
        <w:t>NGN functions to be tested</w:t>
      </w:r>
      <w:bookmarkEnd w:id="379"/>
      <w:bookmarkEnd w:id="380"/>
    </w:p>
    <w:p w:rsidR="0008639C" w:rsidRPr="00CD5563" w:rsidRDefault="0008639C" w:rsidP="002453EE">
      <w:pPr>
        <w:rPr>
          <w:lang w:val="en-GB" w:eastAsia="ko-KR"/>
        </w:rPr>
      </w:pPr>
      <w:r w:rsidRPr="00CD5563">
        <w:rPr>
          <w:lang w:val="en-GB" w:eastAsia="ko-KR"/>
        </w:rPr>
        <w:t>The main NGN functions to be tested as mandatory are classified as Transport stratum functions, Service stratum functions, End-user functions and Management functions. To test such functions, it is necessary to understand in more detail their internal functionality, to determine the purpose and degree of their responsibility (see Recommendation ITU-T Y.2012). An NGN functional architectures showing the detailed functionality is given in Figure 2-1.</w:t>
      </w:r>
    </w:p>
    <w:p w:rsidR="00AA101B" w:rsidRPr="00CD5563" w:rsidRDefault="00AA101B" w:rsidP="00AA101B">
      <w:pPr>
        <w:pStyle w:val="Figuretitle"/>
        <w:rPr>
          <w:lang w:val="en-GB" w:eastAsia="ko-KR"/>
        </w:rPr>
      </w:pPr>
      <w:bookmarkStart w:id="381" w:name="_Toc380497389"/>
      <w:r w:rsidRPr="00CD5563">
        <w:rPr>
          <w:lang w:val="en-GB" w:eastAsia="ko-KR"/>
        </w:rPr>
        <w:t>Figure 2-1: NGN functional architecture</w:t>
      </w:r>
      <w:bookmarkEnd w:id="381"/>
    </w:p>
    <w:p w:rsidR="0008639C" w:rsidRPr="00CD5563" w:rsidRDefault="00AA101B" w:rsidP="00AA101B">
      <w:pPr>
        <w:pStyle w:val="Figure"/>
        <w:rPr>
          <w:lang w:val="en-GB"/>
        </w:rPr>
      </w:pPr>
      <w:r w:rsidRPr="00CD5563">
        <w:rPr>
          <w:lang w:val="en-GB"/>
        </w:rPr>
        <w:object w:dxaOrig="13607" w:dyaOrig="8715">
          <v:shape id="_x0000_i1028" type="#_x0000_t75" style="width:452.55pt;height:291.15pt" o:ole="">
            <v:imagedata r:id="rId44" o:title=""/>
          </v:shape>
          <o:OLEObject Type="Embed" ProgID="CorelDraw.Graphic.12" ShapeID="_x0000_i1028" DrawAspect="Content" ObjectID="_1455465129" r:id="rId45"/>
        </w:object>
      </w:r>
    </w:p>
    <w:p w:rsidR="00AA101B" w:rsidRPr="00CD5563" w:rsidRDefault="00AA101B" w:rsidP="00AA101B">
      <w:pPr>
        <w:pStyle w:val="Figure"/>
        <w:rPr>
          <w:lang w:val="en-GB"/>
        </w:rPr>
      </w:pPr>
    </w:p>
    <w:p w:rsidR="00AA101B" w:rsidRPr="00CD5563" w:rsidRDefault="00AA101B" w:rsidP="00AB21CF">
      <w:pPr>
        <w:rPr>
          <w:lang w:val="en-GB" w:eastAsia="ko-KR"/>
        </w:rPr>
      </w:pPr>
    </w:p>
    <w:p w:rsidR="0008639C" w:rsidRPr="00CD5563" w:rsidRDefault="0008639C" w:rsidP="00AB21CF">
      <w:pPr>
        <w:rPr>
          <w:lang w:val="en-GB" w:eastAsia="ko-KR"/>
        </w:rPr>
      </w:pPr>
      <w:r w:rsidRPr="00CD5563">
        <w:rPr>
          <w:lang w:val="en-GB" w:eastAsia="ko-KR"/>
        </w:rPr>
        <w:t>The presented NGN technical means may implement, within their composition, several functions at a time. The function sets implemented in particular technical means will be defined as following:</w:t>
      </w:r>
    </w:p>
    <w:p w:rsidR="0008639C" w:rsidRPr="00CD5563" w:rsidRDefault="00AA101B" w:rsidP="007A3917">
      <w:pPr>
        <w:pStyle w:val="Enumlevel1"/>
      </w:pPr>
      <w:r w:rsidRPr="00CD5563">
        <w:t>1)</w:t>
      </w:r>
      <w:r w:rsidRPr="00CD5563">
        <w:tab/>
      </w:r>
      <w:r w:rsidR="0008639C" w:rsidRPr="00CD5563">
        <w:t>Transport functions</w:t>
      </w:r>
      <w:r w:rsidR="007A3917">
        <w:t>:</w:t>
      </w:r>
    </w:p>
    <w:p w:rsidR="0008639C" w:rsidRPr="00CD5563" w:rsidRDefault="00AA101B" w:rsidP="00AA101B">
      <w:pPr>
        <w:pStyle w:val="Enumlevel2"/>
        <w:rPr>
          <w:lang w:val="en-GB"/>
        </w:rPr>
      </w:pPr>
      <w:r w:rsidRPr="00CD5563">
        <w:rPr>
          <w:lang w:val="en-GB"/>
        </w:rPr>
        <w:t>•</w:t>
      </w:r>
      <w:r w:rsidRPr="00CD5563">
        <w:rPr>
          <w:lang w:val="en-GB"/>
        </w:rPr>
        <w:tab/>
      </w:r>
      <w:r w:rsidR="0008639C" w:rsidRPr="00CD5563">
        <w:rPr>
          <w:lang w:val="en-GB"/>
        </w:rPr>
        <w:t>User connection to the NGN (Access Transport Functions (ATF): T-1, T-2, T-4);</w:t>
      </w:r>
    </w:p>
    <w:p w:rsidR="0008639C" w:rsidRPr="00CD5563" w:rsidRDefault="00AA101B" w:rsidP="00AA101B">
      <w:pPr>
        <w:pStyle w:val="Enumlevel2"/>
        <w:rPr>
          <w:lang w:val="en-GB"/>
        </w:rPr>
      </w:pPr>
      <w:r w:rsidRPr="00CD5563">
        <w:rPr>
          <w:lang w:val="en-GB"/>
        </w:rPr>
        <w:t>•</w:t>
      </w:r>
      <w:r w:rsidRPr="00CD5563">
        <w:rPr>
          <w:lang w:val="en-GB"/>
        </w:rPr>
        <w:tab/>
      </w:r>
      <w:r w:rsidR="0008639C" w:rsidRPr="00CD5563">
        <w:rPr>
          <w:lang w:val="en-GB"/>
        </w:rPr>
        <w:t>Transfer of traffic from the access network to the common transport network with the support of ATF and an additional routing capability (Edge&amp;Access Border Gateway Functions: T-3, T-5);</w:t>
      </w:r>
    </w:p>
    <w:p w:rsidR="0008639C" w:rsidRPr="00CD5563" w:rsidRDefault="00AA101B" w:rsidP="00AA101B">
      <w:pPr>
        <w:pStyle w:val="Enumlevel2"/>
        <w:rPr>
          <w:lang w:val="en-GB"/>
        </w:rPr>
      </w:pPr>
      <w:r w:rsidRPr="00CD5563">
        <w:rPr>
          <w:lang w:val="en-GB"/>
        </w:rPr>
        <w:t>•</w:t>
      </w:r>
      <w:r w:rsidRPr="00CD5563">
        <w:rPr>
          <w:lang w:val="en-GB"/>
        </w:rPr>
        <w:tab/>
      </w:r>
      <w:r w:rsidR="0008639C" w:rsidRPr="00CD5563">
        <w:rPr>
          <w:lang w:val="en-GB"/>
        </w:rPr>
        <w:t>Transfer and management of all types of information (media streams, signalling messages and control system signals) being transmitted over the transport network (Core Transport Functions: T-8, T-9, T-6, T-7).</w:t>
      </w:r>
    </w:p>
    <w:p w:rsidR="0008639C" w:rsidRPr="00CD5563" w:rsidRDefault="00AA101B" w:rsidP="007A3917">
      <w:pPr>
        <w:pStyle w:val="Enumlevel1"/>
      </w:pPr>
      <w:r w:rsidRPr="00CD5563">
        <w:t>2)</w:t>
      </w:r>
      <w:r w:rsidRPr="00CD5563">
        <w:tab/>
      </w:r>
      <w:r w:rsidR="0008639C" w:rsidRPr="00CD5563">
        <w:t>Transport control functions</w:t>
      </w:r>
      <w:r w:rsidR="007A3917">
        <w:t>:</w:t>
      </w:r>
    </w:p>
    <w:p w:rsidR="0008639C" w:rsidRPr="00CD5563" w:rsidRDefault="00AA101B" w:rsidP="00AA101B">
      <w:pPr>
        <w:pStyle w:val="Enumlevel2"/>
        <w:rPr>
          <w:lang w:val="en-GB"/>
        </w:rPr>
      </w:pPr>
      <w:r w:rsidRPr="00CD5563">
        <w:rPr>
          <w:lang w:val="en-GB"/>
        </w:rPr>
        <w:t>•</w:t>
      </w:r>
      <w:r w:rsidRPr="00CD5563">
        <w:rPr>
          <w:lang w:val="en-GB"/>
        </w:rPr>
        <w:tab/>
      </w:r>
      <w:r w:rsidR="0008639C" w:rsidRPr="00CD5563">
        <w:rPr>
          <w:lang w:val="en-GB"/>
        </w:rPr>
        <w:t>QoS management including resource management, management of Network Address and Port Translation (NAPT) and NAPT Traversal at the access and transport layer. Testing should be divided for each layer separate with tests both for Access Transport Resource Control (ATRC) and for Core Transport Resource Control (CTRC). Testing of the resource control function should incorporate: packet filtering, traffic classification, service priority policies, passband reservation, network address translation, Firewall (RACF: T-17 for both access and core);</w:t>
      </w:r>
    </w:p>
    <w:p w:rsidR="0008639C" w:rsidRPr="00CD5563" w:rsidRDefault="00AA101B" w:rsidP="00AA101B">
      <w:pPr>
        <w:pStyle w:val="Enumlevel2"/>
        <w:rPr>
          <w:lang w:val="en-GB"/>
        </w:rPr>
      </w:pPr>
      <w:r w:rsidRPr="00CD5563">
        <w:rPr>
          <w:lang w:val="en-GB"/>
        </w:rPr>
        <w:t>•</w:t>
      </w:r>
      <w:r w:rsidRPr="00CD5563">
        <w:rPr>
          <w:lang w:val="en-GB"/>
        </w:rPr>
        <w:tab/>
      </w:r>
      <w:r w:rsidR="0008639C" w:rsidRPr="00CD5563">
        <w:rPr>
          <w:lang w:val="en-GB"/>
        </w:rPr>
        <w:t>Control of user access to the network resources (Admission Control Function) such as user authorization based on the profile should be checked (SLA, service priority, access policies determined by the type of the model network used for testing) and the access and/or transport resources available to the user (RACF: T-16 for both access and core);</w:t>
      </w:r>
    </w:p>
    <w:p w:rsidR="0008639C" w:rsidRPr="00CD5563" w:rsidRDefault="00AA101B" w:rsidP="00AA101B">
      <w:pPr>
        <w:pStyle w:val="Enumlevel2"/>
        <w:rPr>
          <w:lang w:val="en-GB"/>
        </w:rPr>
      </w:pPr>
      <w:r w:rsidRPr="00CD5563">
        <w:rPr>
          <w:lang w:val="en-GB"/>
        </w:rPr>
        <w:t>•</w:t>
      </w:r>
      <w:r w:rsidRPr="00CD5563">
        <w:rPr>
          <w:lang w:val="en-GB"/>
        </w:rPr>
        <w:tab/>
      </w:r>
      <w:r w:rsidR="0008639C" w:rsidRPr="00CD5563">
        <w:rPr>
          <w:lang w:val="en-GB"/>
        </w:rPr>
        <w:t>Control of user access to NGN services such as dynamic allocation of IP addresses and additional configuration parameters needed for user identification/authentication, at the network layer, for access to the network and user localization (NACF: T-10, T-11, T-13, T-14) ;</w:t>
      </w:r>
    </w:p>
    <w:p w:rsidR="0008639C" w:rsidRPr="00CD5563" w:rsidRDefault="00AA101B" w:rsidP="00AA101B">
      <w:pPr>
        <w:pStyle w:val="Enumlevel2"/>
        <w:rPr>
          <w:lang w:val="en-GB"/>
        </w:rPr>
      </w:pPr>
      <w:r w:rsidRPr="00CD5563">
        <w:rPr>
          <w:lang w:val="en-GB"/>
        </w:rPr>
        <w:t>•</w:t>
      </w:r>
      <w:r w:rsidRPr="00CD5563">
        <w:rPr>
          <w:lang w:val="en-GB"/>
        </w:rPr>
        <w:tab/>
      </w:r>
      <w:r w:rsidR="0008639C" w:rsidRPr="00CD5563">
        <w:rPr>
          <w:lang w:val="en-GB"/>
        </w:rPr>
        <w:t>Control of home gateway (HGW) configuration functionality such as configuration of a firewall internally in the HGW, QoS marking of IP packets, etc. (NACF: T-15).</w:t>
      </w:r>
    </w:p>
    <w:p w:rsidR="0008639C" w:rsidRPr="00CD5563" w:rsidRDefault="00AA101B" w:rsidP="00AA101B">
      <w:pPr>
        <w:pStyle w:val="Enumlevel1"/>
      </w:pPr>
      <w:r w:rsidRPr="00CD5563">
        <w:t>3)</w:t>
      </w:r>
      <w:r w:rsidRPr="00CD5563">
        <w:tab/>
      </w:r>
      <w:r w:rsidR="0008639C" w:rsidRPr="00CD5563">
        <w:t>Transport user profile functions: checking the possibility of configuring and modifying the information contained in the user profile at the transport layer (Transport stratum: T-12);</w:t>
      </w:r>
    </w:p>
    <w:p w:rsidR="0008639C" w:rsidRPr="00CD5563" w:rsidRDefault="00AA101B" w:rsidP="007A3917">
      <w:pPr>
        <w:pStyle w:val="Enumlevel1"/>
      </w:pPr>
      <w:r w:rsidRPr="00CD5563">
        <w:t>4)</w:t>
      </w:r>
      <w:r w:rsidRPr="00CD5563">
        <w:tab/>
      </w:r>
      <w:r w:rsidR="0008639C" w:rsidRPr="00CD5563">
        <w:t>Service control functions</w:t>
      </w:r>
      <w:r w:rsidR="007A3917">
        <w:t>:</w:t>
      </w:r>
    </w:p>
    <w:p w:rsidR="0008639C" w:rsidRPr="00CD5563" w:rsidRDefault="00AA101B" w:rsidP="00AA101B">
      <w:pPr>
        <w:pStyle w:val="Enumlevel2"/>
        <w:rPr>
          <w:lang w:val="en-GB" w:eastAsia="ko-KR"/>
        </w:rPr>
      </w:pPr>
      <w:r w:rsidRPr="00CD5563">
        <w:rPr>
          <w:lang w:val="en-GB"/>
        </w:rPr>
        <w:t>•</w:t>
      </w:r>
      <w:r w:rsidRPr="00CD5563">
        <w:rPr>
          <w:lang w:val="en-GB"/>
        </w:rPr>
        <w:tab/>
      </w:r>
      <w:r w:rsidR="0008639C" w:rsidRPr="00CD5563">
        <w:rPr>
          <w:lang w:val="en-GB" w:eastAsia="ko-KR"/>
        </w:rPr>
        <w:t>User registration and authorization at the service layer (S-6);</w:t>
      </w:r>
    </w:p>
    <w:p w:rsidR="0008639C" w:rsidRPr="00CD5563" w:rsidRDefault="00AA101B" w:rsidP="00AA101B">
      <w:pPr>
        <w:pStyle w:val="Enumlevel2"/>
        <w:rPr>
          <w:lang w:val="en-GB" w:eastAsia="ko-KR"/>
        </w:rPr>
      </w:pPr>
      <w:r w:rsidRPr="00CD5563">
        <w:rPr>
          <w:lang w:val="en-GB"/>
        </w:rPr>
        <w:t>•</w:t>
      </w:r>
      <w:r w:rsidRPr="00CD5563">
        <w:rPr>
          <w:lang w:val="en-GB"/>
        </w:rPr>
        <w:tab/>
      </w:r>
      <w:r w:rsidR="0008639C" w:rsidRPr="00CD5563">
        <w:rPr>
          <w:lang w:val="en-GB" w:eastAsia="ko-KR"/>
        </w:rPr>
        <w:t>Management media streams, terminal equipment and gateways (S-1, S-11, S-8, S-2, S-3, S-12, S-7, S-10, S-9, S-13).</w:t>
      </w:r>
    </w:p>
    <w:p w:rsidR="0008639C" w:rsidRPr="00CD5563" w:rsidRDefault="00AA101B" w:rsidP="007A3917">
      <w:pPr>
        <w:pStyle w:val="Enumlevel1"/>
      </w:pPr>
      <w:r w:rsidRPr="00CD5563">
        <w:t>5)</w:t>
      </w:r>
      <w:r w:rsidRPr="00CD5563">
        <w:tab/>
      </w:r>
      <w:r w:rsidR="0008639C" w:rsidRPr="00CD5563">
        <w:t>Application/Service support functions</w:t>
      </w:r>
      <w:r w:rsidR="007A3917">
        <w:t>:</w:t>
      </w:r>
    </w:p>
    <w:p w:rsidR="0008639C" w:rsidRPr="00CD5563" w:rsidRDefault="00AA101B" w:rsidP="00AA101B">
      <w:pPr>
        <w:pStyle w:val="Enumlevel2"/>
        <w:rPr>
          <w:lang w:val="en-GB"/>
        </w:rPr>
      </w:pPr>
      <w:r w:rsidRPr="00CD5563">
        <w:rPr>
          <w:lang w:val="en-GB"/>
        </w:rPr>
        <w:t>•</w:t>
      </w:r>
      <w:r w:rsidRPr="00CD5563">
        <w:rPr>
          <w:lang w:val="en-GB"/>
        </w:rPr>
        <w:tab/>
      </w:r>
      <w:r w:rsidR="0008639C" w:rsidRPr="00CD5563">
        <w:rPr>
          <w:lang w:val="en-GB"/>
        </w:rPr>
        <w:t>User registration and authorization at the application layer, for user access to the telecommunication services provided by application servers (S-4, S-5, S-6);</w:t>
      </w:r>
    </w:p>
    <w:p w:rsidR="0008639C" w:rsidRPr="00CD5563" w:rsidRDefault="00AA101B" w:rsidP="00AA101B">
      <w:pPr>
        <w:pStyle w:val="Enumlevel2"/>
        <w:rPr>
          <w:lang w:val="en-GB"/>
        </w:rPr>
      </w:pPr>
      <w:r w:rsidRPr="00CD5563">
        <w:rPr>
          <w:lang w:val="en-GB"/>
        </w:rPr>
        <w:t>•</w:t>
      </w:r>
      <w:r w:rsidRPr="00CD5563">
        <w:rPr>
          <w:lang w:val="en-GB"/>
        </w:rPr>
        <w:tab/>
      </w:r>
      <w:r w:rsidR="0008639C" w:rsidRPr="00CD5563">
        <w:rPr>
          <w:lang w:val="en-GB"/>
        </w:rPr>
        <w:t>Management of media streams and telecommunication services (S-14, S-15).</w:t>
      </w:r>
    </w:p>
    <w:p w:rsidR="0008639C" w:rsidRPr="00CD5563" w:rsidRDefault="00AA101B" w:rsidP="00AA101B">
      <w:pPr>
        <w:pStyle w:val="Enumlevel1"/>
      </w:pPr>
      <w:r w:rsidRPr="00CD5563">
        <w:t>6)</w:t>
      </w:r>
      <w:r w:rsidRPr="00CD5563">
        <w:tab/>
      </w:r>
      <w:r w:rsidR="0008639C" w:rsidRPr="00CD5563">
        <w:t>Service user profile functions: checking the capability of configuring and modifying the information contained in the user profile at the service control layer and checking the capability of interaction with the user-profile databases of other NGN architecture layers;</w:t>
      </w:r>
    </w:p>
    <w:p w:rsidR="0008639C" w:rsidRPr="00CD5563" w:rsidRDefault="00AA101B" w:rsidP="00AA101B">
      <w:pPr>
        <w:pStyle w:val="Enumlevel1"/>
      </w:pPr>
      <w:r w:rsidRPr="00CD5563">
        <w:t>7)</w:t>
      </w:r>
      <w:r w:rsidRPr="00CD5563">
        <w:tab/>
      </w:r>
      <w:r w:rsidR="0008639C" w:rsidRPr="00CD5563">
        <w:t>End-user functions: checking the capabilities of the terminal equipment from the gateway, to which conventional telephone sets are connected, to the multipurpose sets designed specifically for NGN networks include checking codecs, echo-cancellation systems, signalling systems and functions of interaction with the relevant NGN layers;</w:t>
      </w:r>
    </w:p>
    <w:p w:rsidR="0008639C" w:rsidRPr="00CD5563" w:rsidRDefault="00AA101B" w:rsidP="007A3917">
      <w:pPr>
        <w:pStyle w:val="Enumlevel1"/>
        <w:keepNext/>
        <w:keepLines/>
      </w:pPr>
      <w:r w:rsidRPr="00CD5563">
        <w:t>8)</w:t>
      </w:r>
      <w:r w:rsidRPr="00CD5563">
        <w:tab/>
      </w:r>
      <w:r w:rsidR="0008639C" w:rsidRPr="00CD5563">
        <w:t>Management functions:</w:t>
      </w:r>
    </w:p>
    <w:p w:rsidR="0008639C" w:rsidRPr="00CD5563" w:rsidRDefault="00AA101B" w:rsidP="007A3917">
      <w:pPr>
        <w:pStyle w:val="Enumlevel2"/>
        <w:keepNext/>
        <w:keepLines/>
        <w:rPr>
          <w:lang w:val="en-GB"/>
        </w:rPr>
      </w:pPr>
      <w:r w:rsidRPr="00CD5563">
        <w:rPr>
          <w:lang w:val="en-GB"/>
        </w:rPr>
        <w:t>•</w:t>
      </w:r>
      <w:r w:rsidRPr="00CD5563">
        <w:rPr>
          <w:lang w:val="en-GB"/>
        </w:rPr>
        <w:tab/>
      </w:r>
      <w:r w:rsidR="0008639C" w:rsidRPr="00CD5563">
        <w:rPr>
          <w:lang w:val="en-GB"/>
        </w:rPr>
        <w:t>Error processing management;</w:t>
      </w:r>
    </w:p>
    <w:p w:rsidR="0008639C" w:rsidRPr="00CD5563" w:rsidRDefault="00AA101B" w:rsidP="00AA101B">
      <w:pPr>
        <w:pStyle w:val="Enumlevel2"/>
        <w:rPr>
          <w:lang w:val="en-GB"/>
        </w:rPr>
      </w:pPr>
      <w:r w:rsidRPr="00CD5563">
        <w:rPr>
          <w:lang w:val="en-GB"/>
        </w:rPr>
        <w:t>•</w:t>
      </w:r>
      <w:r w:rsidRPr="00CD5563">
        <w:rPr>
          <w:lang w:val="en-GB"/>
        </w:rPr>
        <w:tab/>
      </w:r>
      <w:r w:rsidR="0008639C" w:rsidRPr="00CD5563">
        <w:rPr>
          <w:lang w:val="en-GB"/>
        </w:rPr>
        <w:t>Equipment configuration management;</w:t>
      </w:r>
    </w:p>
    <w:p w:rsidR="0008639C" w:rsidRPr="00CD5563" w:rsidRDefault="00AA101B" w:rsidP="00AA101B">
      <w:pPr>
        <w:pStyle w:val="Enumlevel2"/>
        <w:rPr>
          <w:lang w:val="en-GB"/>
        </w:rPr>
      </w:pPr>
      <w:r w:rsidRPr="00CD5563">
        <w:rPr>
          <w:lang w:val="en-GB"/>
        </w:rPr>
        <w:t>•</w:t>
      </w:r>
      <w:r w:rsidRPr="00CD5563">
        <w:rPr>
          <w:lang w:val="en-GB"/>
        </w:rPr>
        <w:tab/>
      </w:r>
      <w:r w:rsidR="0008639C" w:rsidRPr="00CD5563">
        <w:rPr>
          <w:lang w:val="en-GB"/>
        </w:rPr>
        <w:t>Billing system management;</w:t>
      </w:r>
    </w:p>
    <w:p w:rsidR="0008639C" w:rsidRPr="00CD5563" w:rsidRDefault="00AA101B" w:rsidP="00AA101B">
      <w:pPr>
        <w:pStyle w:val="Enumlevel2"/>
        <w:rPr>
          <w:lang w:val="en-GB"/>
        </w:rPr>
      </w:pPr>
      <w:r w:rsidRPr="00CD5563">
        <w:rPr>
          <w:lang w:val="en-GB"/>
        </w:rPr>
        <w:t>•</w:t>
      </w:r>
      <w:r w:rsidRPr="00CD5563">
        <w:rPr>
          <w:lang w:val="en-GB"/>
        </w:rPr>
        <w:tab/>
      </w:r>
      <w:r w:rsidR="0008639C" w:rsidRPr="00CD5563">
        <w:rPr>
          <w:lang w:val="en-GB"/>
        </w:rPr>
        <w:t>Service management;</w:t>
      </w:r>
    </w:p>
    <w:p w:rsidR="0008639C" w:rsidRPr="00CD5563" w:rsidRDefault="00AA101B" w:rsidP="00AA101B">
      <w:pPr>
        <w:pStyle w:val="Enumlevel2"/>
        <w:rPr>
          <w:lang w:val="en-GB"/>
        </w:rPr>
      </w:pPr>
      <w:r w:rsidRPr="00CD5563">
        <w:rPr>
          <w:lang w:val="en-GB"/>
        </w:rPr>
        <w:t>•</w:t>
      </w:r>
      <w:r w:rsidRPr="00CD5563">
        <w:rPr>
          <w:lang w:val="en-GB"/>
        </w:rPr>
        <w:tab/>
      </w:r>
      <w:r w:rsidR="0008639C" w:rsidRPr="00CD5563">
        <w:rPr>
          <w:lang w:val="en-GB"/>
        </w:rPr>
        <w:t>Security management.</w:t>
      </w:r>
    </w:p>
    <w:p w:rsidR="0008639C" w:rsidRPr="00CD5563" w:rsidRDefault="0008639C" w:rsidP="00AA101B">
      <w:pPr>
        <w:pStyle w:val="Heading2"/>
        <w:rPr>
          <w:rFonts w:eastAsia="Malgun Gothic"/>
          <w:lang w:val="en-GB" w:eastAsia="ko-KR"/>
        </w:rPr>
      </w:pPr>
      <w:bookmarkStart w:id="382" w:name="_Toc380487717"/>
      <w:bookmarkStart w:id="383" w:name="_Toc381025036"/>
      <w:r w:rsidRPr="00CD5563">
        <w:rPr>
          <w:rFonts w:eastAsia="Malgun Gothic"/>
          <w:lang w:val="en-GB" w:eastAsia="ko-KR"/>
        </w:rPr>
        <w:t xml:space="preserve">2.3 </w:t>
      </w:r>
      <w:r w:rsidR="00AA101B" w:rsidRPr="00CD5563">
        <w:rPr>
          <w:rFonts w:eastAsia="Malgun Gothic"/>
          <w:lang w:val="en-GB" w:eastAsia="ko-KR"/>
        </w:rPr>
        <w:tab/>
      </w:r>
      <w:r w:rsidRPr="00CD5563">
        <w:rPr>
          <w:rFonts w:eastAsia="Malgun Gothic"/>
          <w:lang w:val="en-GB" w:eastAsia="ko-KR"/>
        </w:rPr>
        <w:t>Conformance of NGN functions to NGN technical means to be tested</w:t>
      </w:r>
      <w:bookmarkEnd w:id="382"/>
      <w:bookmarkEnd w:id="383"/>
    </w:p>
    <w:p w:rsidR="0008639C" w:rsidRPr="00CD5563" w:rsidRDefault="0008639C" w:rsidP="00AA101B">
      <w:pPr>
        <w:rPr>
          <w:lang w:val="en-GB" w:eastAsia="ko-KR"/>
        </w:rPr>
      </w:pPr>
      <w:r w:rsidRPr="00CD5563">
        <w:rPr>
          <w:lang w:val="en-GB" w:eastAsia="ko-KR"/>
        </w:rPr>
        <w:t>The technical means used in NGN networks may implement the functionalities within their composition as shown in Table 2-3.</w:t>
      </w:r>
    </w:p>
    <w:p w:rsidR="0008639C" w:rsidRPr="00CD5563" w:rsidRDefault="0008639C" w:rsidP="00AA101B">
      <w:pPr>
        <w:pStyle w:val="Tabletitle"/>
        <w:rPr>
          <w:lang w:val="en-GB" w:eastAsia="ko-KR"/>
        </w:rPr>
      </w:pPr>
      <w:bookmarkStart w:id="384" w:name="_Toc380497651"/>
      <w:r w:rsidRPr="00CD5563">
        <w:rPr>
          <w:lang w:val="en-GB" w:eastAsia="ko-KR"/>
        </w:rPr>
        <w:t>Table 2-3</w:t>
      </w:r>
      <w:r w:rsidR="00AA101B" w:rsidRPr="00CD5563">
        <w:rPr>
          <w:lang w:val="en-GB" w:eastAsia="ko-KR"/>
        </w:rPr>
        <w:t>:</w:t>
      </w:r>
      <w:r w:rsidRPr="00CD5563">
        <w:rPr>
          <w:lang w:val="en-GB" w:eastAsia="ko-KR"/>
        </w:rPr>
        <w:t xml:space="preserve"> Conformance of NGN technical means into NGN functionality</w:t>
      </w:r>
      <w:bookmarkEnd w:id="384"/>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4536"/>
      </w:tblGrid>
      <w:tr w:rsidR="0008639C" w:rsidRPr="00CD5563" w:rsidTr="00AA101B">
        <w:trPr>
          <w:jc w:val="center"/>
        </w:trPr>
        <w:tc>
          <w:tcPr>
            <w:tcW w:w="5202" w:type="dxa"/>
            <w:tcBorders>
              <w:bottom w:val="single" w:sz="4" w:space="0" w:color="auto"/>
            </w:tcBorders>
            <w:shd w:val="clear" w:color="auto" w:fill="005173"/>
          </w:tcPr>
          <w:p w:rsidR="0008639C" w:rsidRPr="00CD5563" w:rsidRDefault="0008639C" w:rsidP="00AA101B">
            <w:pPr>
              <w:pStyle w:val="Tablehead"/>
              <w:rPr>
                <w:lang w:val="en-GB" w:eastAsia="ko-KR"/>
              </w:rPr>
            </w:pPr>
            <w:r w:rsidRPr="00CD5563">
              <w:rPr>
                <w:lang w:val="en-GB" w:eastAsia="ko-KR"/>
              </w:rPr>
              <w:t>NGN technical means</w:t>
            </w:r>
          </w:p>
        </w:tc>
        <w:tc>
          <w:tcPr>
            <w:tcW w:w="5203" w:type="dxa"/>
            <w:tcBorders>
              <w:bottom w:val="single" w:sz="4" w:space="0" w:color="auto"/>
            </w:tcBorders>
            <w:shd w:val="clear" w:color="auto" w:fill="005173"/>
          </w:tcPr>
          <w:p w:rsidR="0008639C" w:rsidRPr="00CD5563" w:rsidRDefault="0008639C" w:rsidP="00AA101B">
            <w:pPr>
              <w:pStyle w:val="Tablehead"/>
              <w:rPr>
                <w:lang w:val="en-GB" w:eastAsia="ko-KR"/>
              </w:rPr>
            </w:pPr>
            <w:r w:rsidRPr="00CD5563">
              <w:rPr>
                <w:lang w:val="en-GB" w:eastAsia="ko-KR"/>
              </w:rPr>
              <w:t>NGN functionality</w:t>
            </w:r>
          </w:p>
        </w:tc>
      </w:tr>
      <w:tr w:rsidR="0008639C" w:rsidRPr="00CD5563" w:rsidTr="00AA101B">
        <w:trPr>
          <w:jc w:val="center"/>
        </w:trPr>
        <w:tc>
          <w:tcPr>
            <w:tcW w:w="10405" w:type="dxa"/>
            <w:gridSpan w:val="2"/>
            <w:shd w:val="clear" w:color="auto" w:fill="E8F8FD"/>
          </w:tcPr>
          <w:p w:rsidR="0008639C" w:rsidRPr="00CD5563" w:rsidRDefault="0008639C" w:rsidP="00AA101B">
            <w:pPr>
              <w:pStyle w:val="Tabletext"/>
              <w:rPr>
                <w:b/>
                <w:bCs/>
                <w:lang w:val="en-GB" w:eastAsia="ko-KR"/>
              </w:rPr>
            </w:pPr>
            <w:r w:rsidRPr="00CD5563">
              <w:rPr>
                <w:b/>
                <w:bCs/>
                <w:lang w:val="en-GB" w:eastAsia="ko-KR"/>
              </w:rPr>
              <w:t>Call session control system</w:t>
            </w:r>
          </w:p>
        </w:tc>
      </w:tr>
      <w:tr w:rsidR="0008639C" w:rsidRPr="00CD5563" w:rsidTr="00AA101B">
        <w:trPr>
          <w:jc w:val="center"/>
        </w:trPr>
        <w:tc>
          <w:tcPr>
            <w:tcW w:w="5202" w:type="dxa"/>
            <w:tcBorders>
              <w:bottom w:val="single" w:sz="4" w:space="0" w:color="auto"/>
            </w:tcBorders>
          </w:tcPr>
          <w:p w:rsidR="0008639C" w:rsidRPr="00CD5563" w:rsidRDefault="0008639C" w:rsidP="00AA101B">
            <w:pPr>
              <w:pStyle w:val="Tabletext"/>
              <w:rPr>
                <w:lang w:val="en-GB" w:eastAsia="ko-KR"/>
              </w:rPr>
            </w:pPr>
            <w:r w:rsidRPr="00CD5563">
              <w:rPr>
                <w:lang w:val="en-GB" w:eastAsia="ko-KR"/>
              </w:rPr>
              <w:t>Media gateway controller (MGC)</w:t>
            </w:r>
          </w:p>
        </w:tc>
        <w:tc>
          <w:tcPr>
            <w:tcW w:w="5203" w:type="dxa"/>
            <w:tcBorders>
              <w:bottom w:val="single" w:sz="4" w:space="0" w:color="auto"/>
            </w:tcBorders>
          </w:tcPr>
          <w:p w:rsidR="0008639C" w:rsidRPr="00CD5563" w:rsidRDefault="0008639C" w:rsidP="00AA101B">
            <w:pPr>
              <w:pStyle w:val="Tabletext"/>
              <w:rPr>
                <w:bCs/>
                <w:lang w:val="en-GB" w:eastAsia="ko-KR"/>
              </w:rPr>
            </w:pPr>
            <w:r w:rsidRPr="00CD5563">
              <w:rPr>
                <w:lang w:val="en-GB" w:eastAsia="ko-KR"/>
              </w:rPr>
              <w:t>S-3, S-7, S-9, S-10, S-12</w:t>
            </w:r>
          </w:p>
          <w:p w:rsidR="0008639C" w:rsidRPr="00CD5563" w:rsidRDefault="0008639C" w:rsidP="00AA101B">
            <w:pPr>
              <w:pStyle w:val="Tabletext"/>
              <w:rPr>
                <w:bCs/>
                <w:lang w:val="en-GB" w:eastAsia="ko-KR"/>
              </w:rPr>
            </w:pPr>
            <w:r w:rsidRPr="00CD5563">
              <w:rPr>
                <w:lang w:val="en-GB" w:eastAsia="ko-KR"/>
              </w:rPr>
              <w:t>T-10, T-11, T-12, T-13</w:t>
            </w:r>
          </w:p>
        </w:tc>
      </w:tr>
      <w:tr w:rsidR="0008639C" w:rsidRPr="00CD5563" w:rsidTr="00AA101B">
        <w:trPr>
          <w:jc w:val="center"/>
        </w:trPr>
        <w:tc>
          <w:tcPr>
            <w:tcW w:w="5202" w:type="dxa"/>
            <w:shd w:val="clear" w:color="auto" w:fill="E8F8FD"/>
          </w:tcPr>
          <w:p w:rsidR="0008639C" w:rsidRPr="00CD5563" w:rsidRDefault="0008639C" w:rsidP="00AA101B">
            <w:pPr>
              <w:pStyle w:val="Tabletext"/>
              <w:rPr>
                <w:lang w:val="en-GB" w:eastAsia="ko-KR"/>
              </w:rPr>
            </w:pPr>
            <w:r w:rsidRPr="00CD5563">
              <w:rPr>
                <w:lang w:val="en-GB" w:eastAsia="ko-KR"/>
              </w:rPr>
              <w:t>Proxy server SIP (PS)</w:t>
            </w:r>
          </w:p>
        </w:tc>
        <w:tc>
          <w:tcPr>
            <w:tcW w:w="5203" w:type="dxa"/>
            <w:shd w:val="clear" w:color="auto" w:fill="E8F8FD"/>
          </w:tcPr>
          <w:p w:rsidR="0008639C" w:rsidRPr="00CD5563" w:rsidRDefault="0008639C" w:rsidP="00AA101B">
            <w:pPr>
              <w:pStyle w:val="Tabletext"/>
              <w:rPr>
                <w:bCs/>
                <w:lang w:val="en-GB" w:eastAsia="ko-KR"/>
              </w:rPr>
            </w:pPr>
            <w:r w:rsidRPr="00CD5563">
              <w:rPr>
                <w:lang w:val="en-GB" w:eastAsia="ko-KR"/>
              </w:rPr>
              <w:t>S-2, S-3, S-7, S-11, S-12</w:t>
            </w:r>
          </w:p>
          <w:p w:rsidR="0008639C" w:rsidRPr="00CD5563" w:rsidRDefault="0008639C" w:rsidP="00AA101B">
            <w:pPr>
              <w:pStyle w:val="Tabletext"/>
              <w:rPr>
                <w:bCs/>
                <w:lang w:val="en-GB" w:eastAsia="ko-KR"/>
              </w:rPr>
            </w:pPr>
            <w:r w:rsidRPr="00CD5563">
              <w:rPr>
                <w:lang w:val="en-GB" w:eastAsia="ko-KR"/>
              </w:rPr>
              <w:t>T-10, T-11, T-12, T-13</w:t>
            </w:r>
          </w:p>
        </w:tc>
      </w:tr>
      <w:tr w:rsidR="0008639C" w:rsidRPr="00310EC9" w:rsidTr="00AA101B">
        <w:trPr>
          <w:jc w:val="center"/>
        </w:trPr>
        <w:tc>
          <w:tcPr>
            <w:tcW w:w="5202" w:type="dxa"/>
            <w:tcBorders>
              <w:bottom w:val="single" w:sz="4" w:space="0" w:color="auto"/>
            </w:tcBorders>
          </w:tcPr>
          <w:p w:rsidR="0008639C" w:rsidRPr="00CD5563" w:rsidRDefault="0008639C" w:rsidP="00AA101B">
            <w:pPr>
              <w:pStyle w:val="Tabletext"/>
              <w:rPr>
                <w:lang w:val="en-GB" w:eastAsia="ko-KR"/>
              </w:rPr>
            </w:pPr>
            <w:r w:rsidRPr="00CD5563">
              <w:rPr>
                <w:lang w:val="en-GB" w:eastAsia="ko-KR"/>
              </w:rPr>
              <w:t>IP multimedia subsystem (IMS)</w:t>
            </w:r>
          </w:p>
        </w:tc>
        <w:tc>
          <w:tcPr>
            <w:tcW w:w="5203" w:type="dxa"/>
            <w:tcBorders>
              <w:bottom w:val="single" w:sz="4" w:space="0" w:color="auto"/>
            </w:tcBorders>
          </w:tcPr>
          <w:p w:rsidR="0008639C" w:rsidRPr="00CD5563" w:rsidRDefault="0008639C" w:rsidP="00AA101B">
            <w:pPr>
              <w:pStyle w:val="Tabletext"/>
              <w:rPr>
                <w:bCs/>
                <w:lang w:val="en-GB" w:eastAsia="ko-KR"/>
              </w:rPr>
            </w:pPr>
            <w:r w:rsidRPr="00CD5563">
              <w:rPr>
                <w:lang w:val="en-GB" w:eastAsia="ko-KR"/>
              </w:rPr>
              <w:t>S-1, S-3, S-6, S-7, S-8, S-10, S-12, S-13</w:t>
            </w:r>
          </w:p>
          <w:p w:rsidR="0008639C" w:rsidRPr="00CD5563" w:rsidRDefault="0008639C" w:rsidP="00AA101B">
            <w:pPr>
              <w:pStyle w:val="Tabletext"/>
              <w:rPr>
                <w:bCs/>
                <w:lang w:val="en-GB" w:eastAsia="ko-KR"/>
              </w:rPr>
            </w:pPr>
            <w:r w:rsidRPr="00CD5563">
              <w:rPr>
                <w:lang w:val="en-GB" w:eastAsia="ko-KR"/>
              </w:rPr>
              <w:t>T-10, T-11, T-12, T-13, T-14, T-15, T-16, T-17</w:t>
            </w:r>
          </w:p>
        </w:tc>
      </w:tr>
      <w:tr w:rsidR="0008639C" w:rsidRPr="00916DC0" w:rsidTr="00AA101B">
        <w:trPr>
          <w:jc w:val="center"/>
        </w:trPr>
        <w:tc>
          <w:tcPr>
            <w:tcW w:w="10405" w:type="dxa"/>
            <w:gridSpan w:val="2"/>
            <w:shd w:val="clear" w:color="auto" w:fill="E8F8FD"/>
          </w:tcPr>
          <w:p w:rsidR="0008639C" w:rsidRPr="00CD5563" w:rsidRDefault="0008639C" w:rsidP="00AA101B">
            <w:pPr>
              <w:pStyle w:val="Tabletext"/>
              <w:rPr>
                <w:b/>
                <w:bCs/>
                <w:lang w:val="en-GB" w:eastAsia="ko-KR"/>
              </w:rPr>
            </w:pPr>
            <w:r w:rsidRPr="00CD5563">
              <w:rPr>
                <w:b/>
                <w:bCs/>
                <w:lang w:val="en-GB" w:eastAsia="ko-KR"/>
              </w:rPr>
              <w:t>Voice and signalling transmit system</w:t>
            </w:r>
          </w:p>
        </w:tc>
      </w:tr>
      <w:tr w:rsidR="0008639C" w:rsidRPr="00CD5563" w:rsidTr="00AA101B">
        <w:trPr>
          <w:jc w:val="center"/>
        </w:trPr>
        <w:tc>
          <w:tcPr>
            <w:tcW w:w="5202" w:type="dxa"/>
            <w:tcBorders>
              <w:bottom w:val="single" w:sz="4" w:space="0" w:color="auto"/>
            </w:tcBorders>
          </w:tcPr>
          <w:p w:rsidR="0008639C" w:rsidRPr="00CD5563" w:rsidRDefault="0008639C" w:rsidP="00AA101B">
            <w:pPr>
              <w:pStyle w:val="Tabletext"/>
              <w:rPr>
                <w:lang w:val="en-GB" w:eastAsia="ko-KR"/>
              </w:rPr>
            </w:pPr>
            <w:r w:rsidRPr="00CD5563">
              <w:rPr>
                <w:lang w:val="en-GB" w:eastAsia="ko-KR"/>
              </w:rPr>
              <w:t>Media gateway (GW)</w:t>
            </w:r>
          </w:p>
        </w:tc>
        <w:tc>
          <w:tcPr>
            <w:tcW w:w="5203" w:type="dxa"/>
            <w:tcBorders>
              <w:bottom w:val="single" w:sz="4" w:space="0" w:color="auto"/>
            </w:tcBorders>
          </w:tcPr>
          <w:p w:rsidR="0008639C" w:rsidRPr="00CD5563" w:rsidRDefault="0008639C" w:rsidP="00AA101B">
            <w:pPr>
              <w:pStyle w:val="Tabletext"/>
              <w:rPr>
                <w:lang w:val="en-GB" w:eastAsia="ko-KR"/>
              </w:rPr>
            </w:pPr>
            <w:r w:rsidRPr="00CD5563">
              <w:rPr>
                <w:lang w:val="en-GB" w:eastAsia="ko-KR"/>
              </w:rPr>
              <w:t>T-7, T-8</w:t>
            </w:r>
          </w:p>
        </w:tc>
      </w:tr>
      <w:tr w:rsidR="0008639C" w:rsidRPr="00CD5563" w:rsidTr="00AA101B">
        <w:trPr>
          <w:jc w:val="center"/>
        </w:trPr>
        <w:tc>
          <w:tcPr>
            <w:tcW w:w="5202" w:type="dxa"/>
            <w:shd w:val="clear" w:color="auto" w:fill="E8F8FD"/>
          </w:tcPr>
          <w:p w:rsidR="0008639C" w:rsidRPr="00CD5563" w:rsidRDefault="0008639C" w:rsidP="00AA101B">
            <w:pPr>
              <w:pStyle w:val="Tabletext"/>
              <w:rPr>
                <w:lang w:val="en-GB" w:eastAsia="ko-KR"/>
              </w:rPr>
            </w:pPr>
            <w:r w:rsidRPr="00CD5563">
              <w:rPr>
                <w:lang w:val="en-GB" w:eastAsia="ko-KR"/>
              </w:rPr>
              <w:t>Signalling gateway (SG)</w:t>
            </w:r>
          </w:p>
        </w:tc>
        <w:tc>
          <w:tcPr>
            <w:tcW w:w="5203" w:type="dxa"/>
            <w:shd w:val="clear" w:color="auto" w:fill="E8F8FD"/>
          </w:tcPr>
          <w:p w:rsidR="0008639C" w:rsidRPr="00CD5563" w:rsidRDefault="0008639C" w:rsidP="00AA101B">
            <w:pPr>
              <w:pStyle w:val="Tabletext"/>
              <w:rPr>
                <w:lang w:val="en-GB" w:eastAsia="ko-KR"/>
              </w:rPr>
            </w:pPr>
            <w:r w:rsidRPr="00CD5563">
              <w:rPr>
                <w:lang w:val="en-GB" w:eastAsia="ko-KR"/>
              </w:rPr>
              <w:t>T-8, T-9</w:t>
            </w:r>
          </w:p>
        </w:tc>
      </w:tr>
      <w:tr w:rsidR="0008639C" w:rsidRPr="00CD5563" w:rsidTr="00AA101B">
        <w:trPr>
          <w:jc w:val="center"/>
        </w:trPr>
        <w:tc>
          <w:tcPr>
            <w:tcW w:w="5202" w:type="dxa"/>
            <w:tcBorders>
              <w:bottom w:val="single" w:sz="4" w:space="0" w:color="auto"/>
            </w:tcBorders>
          </w:tcPr>
          <w:p w:rsidR="0008639C" w:rsidRPr="00CD5563" w:rsidRDefault="0008639C" w:rsidP="00AA101B">
            <w:pPr>
              <w:pStyle w:val="Tabletext"/>
              <w:rPr>
                <w:lang w:val="en-GB" w:eastAsia="ko-KR"/>
              </w:rPr>
            </w:pPr>
            <w:r w:rsidRPr="00CD5563">
              <w:rPr>
                <w:lang w:val="en-GB" w:eastAsia="ko-KR"/>
              </w:rPr>
              <w:t>Transport network environment (TNE)</w:t>
            </w:r>
          </w:p>
        </w:tc>
        <w:tc>
          <w:tcPr>
            <w:tcW w:w="5203" w:type="dxa"/>
            <w:tcBorders>
              <w:bottom w:val="single" w:sz="4" w:space="0" w:color="auto"/>
            </w:tcBorders>
          </w:tcPr>
          <w:p w:rsidR="0008639C" w:rsidRPr="00CD5563" w:rsidRDefault="0008639C" w:rsidP="00AA101B">
            <w:pPr>
              <w:pStyle w:val="Tabletext"/>
              <w:rPr>
                <w:lang w:val="en-GB" w:eastAsia="ko-KR"/>
              </w:rPr>
            </w:pPr>
            <w:r w:rsidRPr="00CD5563">
              <w:rPr>
                <w:lang w:val="en-GB" w:eastAsia="ko-KR"/>
              </w:rPr>
              <w:t>T-5, T-6, T-8</w:t>
            </w:r>
          </w:p>
        </w:tc>
      </w:tr>
      <w:tr w:rsidR="0008639C" w:rsidRPr="00CD5563" w:rsidTr="00AA101B">
        <w:trPr>
          <w:jc w:val="center"/>
        </w:trPr>
        <w:tc>
          <w:tcPr>
            <w:tcW w:w="10405" w:type="dxa"/>
            <w:gridSpan w:val="2"/>
            <w:shd w:val="clear" w:color="auto" w:fill="E8F8FD"/>
          </w:tcPr>
          <w:p w:rsidR="0008639C" w:rsidRPr="00CD5563" w:rsidRDefault="0008639C" w:rsidP="00AA101B">
            <w:pPr>
              <w:pStyle w:val="Tabletext"/>
              <w:rPr>
                <w:b/>
                <w:bCs/>
                <w:lang w:val="en-GB" w:eastAsia="ko-KR"/>
              </w:rPr>
            </w:pPr>
            <w:r w:rsidRPr="00CD5563">
              <w:rPr>
                <w:b/>
                <w:bCs/>
                <w:lang w:val="en-GB" w:eastAsia="ko-KR"/>
              </w:rPr>
              <w:t>Application servers</w:t>
            </w:r>
          </w:p>
        </w:tc>
      </w:tr>
      <w:tr w:rsidR="0008639C" w:rsidRPr="00CD5563" w:rsidTr="00AA101B">
        <w:trPr>
          <w:jc w:val="center"/>
        </w:trPr>
        <w:tc>
          <w:tcPr>
            <w:tcW w:w="5202" w:type="dxa"/>
            <w:tcBorders>
              <w:bottom w:val="single" w:sz="4" w:space="0" w:color="auto"/>
            </w:tcBorders>
          </w:tcPr>
          <w:p w:rsidR="0008639C" w:rsidRPr="00CD5563" w:rsidRDefault="0008639C" w:rsidP="00AA101B">
            <w:pPr>
              <w:pStyle w:val="Tabletext"/>
              <w:rPr>
                <w:lang w:val="en-GB" w:eastAsia="ko-KR"/>
              </w:rPr>
            </w:pPr>
            <w:r w:rsidRPr="00CD5563">
              <w:rPr>
                <w:lang w:val="en-GB" w:eastAsia="ko-KR"/>
              </w:rPr>
              <w:t>Application server (AS)</w:t>
            </w:r>
          </w:p>
        </w:tc>
        <w:tc>
          <w:tcPr>
            <w:tcW w:w="5203" w:type="dxa"/>
            <w:tcBorders>
              <w:bottom w:val="single" w:sz="4" w:space="0" w:color="auto"/>
            </w:tcBorders>
          </w:tcPr>
          <w:p w:rsidR="0008639C" w:rsidRPr="00CD5563" w:rsidRDefault="0008639C" w:rsidP="00AA101B">
            <w:pPr>
              <w:pStyle w:val="Tabletext"/>
              <w:rPr>
                <w:lang w:val="en-GB" w:eastAsia="ko-KR"/>
              </w:rPr>
            </w:pPr>
            <w:r w:rsidRPr="00CD5563">
              <w:rPr>
                <w:lang w:val="en-GB" w:eastAsia="ko-KR"/>
              </w:rPr>
              <w:t>S-4, S-5, S-6, S-14, S-15</w:t>
            </w:r>
          </w:p>
        </w:tc>
      </w:tr>
      <w:tr w:rsidR="0008639C" w:rsidRPr="00CD5563" w:rsidTr="00AA101B">
        <w:trPr>
          <w:jc w:val="center"/>
        </w:trPr>
        <w:tc>
          <w:tcPr>
            <w:tcW w:w="5202" w:type="dxa"/>
            <w:shd w:val="clear" w:color="auto" w:fill="E8F8FD"/>
          </w:tcPr>
          <w:p w:rsidR="0008639C" w:rsidRPr="00CD5563" w:rsidRDefault="0008639C" w:rsidP="00AA101B">
            <w:pPr>
              <w:pStyle w:val="Tabletext"/>
              <w:rPr>
                <w:lang w:val="en-GB" w:eastAsia="ko-KR"/>
              </w:rPr>
            </w:pPr>
            <w:r w:rsidRPr="00CD5563">
              <w:rPr>
                <w:lang w:val="en-GB" w:eastAsia="ko-KR"/>
              </w:rPr>
              <w:t>Media server (MDS)</w:t>
            </w:r>
          </w:p>
        </w:tc>
        <w:tc>
          <w:tcPr>
            <w:tcW w:w="5203" w:type="dxa"/>
            <w:shd w:val="clear" w:color="auto" w:fill="E8F8FD"/>
          </w:tcPr>
          <w:p w:rsidR="0008639C" w:rsidRPr="00CD5563" w:rsidRDefault="0008639C" w:rsidP="00AA101B">
            <w:pPr>
              <w:pStyle w:val="Tabletext"/>
              <w:rPr>
                <w:lang w:val="en-GB" w:eastAsia="ko-KR"/>
              </w:rPr>
            </w:pPr>
            <w:r w:rsidRPr="00CD5563">
              <w:rPr>
                <w:lang w:val="en-GB" w:eastAsia="ko-KR"/>
              </w:rPr>
              <w:t>S-4, S-5, S-6, S-14, S-15</w:t>
            </w:r>
          </w:p>
        </w:tc>
      </w:tr>
      <w:tr w:rsidR="0008639C" w:rsidRPr="00CD5563" w:rsidTr="00AA101B">
        <w:trPr>
          <w:jc w:val="center"/>
        </w:trPr>
        <w:tc>
          <w:tcPr>
            <w:tcW w:w="5202" w:type="dxa"/>
            <w:tcBorders>
              <w:bottom w:val="single" w:sz="4" w:space="0" w:color="auto"/>
            </w:tcBorders>
          </w:tcPr>
          <w:p w:rsidR="0008639C" w:rsidRPr="00CD5563" w:rsidRDefault="0008639C" w:rsidP="00AA101B">
            <w:pPr>
              <w:pStyle w:val="Tabletext"/>
              <w:rPr>
                <w:lang w:val="en-GB" w:eastAsia="ko-KR"/>
              </w:rPr>
            </w:pPr>
            <w:r w:rsidRPr="00CD5563">
              <w:rPr>
                <w:lang w:val="en-GB" w:eastAsia="ko-KR"/>
              </w:rPr>
              <w:t>Messaging server (MeS)</w:t>
            </w:r>
          </w:p>
        </w:tc>
        <w:tc>
          <w:tcPr>
            <w:tcW w:w="5203" w:type="dxa"/>
            <w:tcBorders>
              <w:bottom w:val="single" w:sz="4" w:space="0" w:color="auto"/>
            </w:tcBorders>
          </w:tcPr>
          <w:p w:rsidR="0008639C" w:rsidRPr="00CD5563" w:rsidRDefault="0008639C" w:rsidP="00AA101B">
            <w:pPr>
              <w:pStyle w:val="Tabletext"/>
              <w:rPr>
                <w:lang w:val="en-GB" w:eastAsia="ko-KR"/>
              </w:rPr>
            </w:pPr>
            <w:r w:rsidRPr="00CD5563">
              <w:rPr>
                <w:lang w:val="en-GB" w:eastAsia="ko-KR"/>
              </w:rPr>
              <w:t>S-4, S-5, S-6, S-14, S-15</w:t>
            </w:r>
          </w:p>
        </w:tc>
      </w:tr>
      <w:tr w:rsidR="0008639C" w:rsidRPr="00CD5563" w:rsidTr="00AA101B">
        <w:trPr>
          <w:jc w:val="center"/>
        </w:trPr>
        <w:tc>
          <w:tcPr>
            <w:tcW w:w="10405" w:type="dxa"/>
            <w:gridSpan w:val="2"/>
            <w:shd w:val="clear" w:color="auto" w:fill="E8F8FD"/>
          </w:tcPr>
          <w:p w:rsidR="0008639C" w:rsidRPr="00CD5563" w:rsidRDefault="0008639C" w:rsidP="00AA101B">
            <w:pPr>
              <w:pStyle w:val="Tabletext"/>
              <w:rPr>
                <w:b/>
                <w:bCs/>
                <w:lang w:val="en-GB" w:eastAsia="ko-KR"/>
              </w:rPr>
            </w:pPr>
            <w:r w:rsidRPr="00CD5563">
              <w:rPr>
                <w:b/>
                <w:bCs/>
                <w:lang w:val="en-GB" w:eastAsia="ko-KR"/>
              </w:rPr>
              <w:t>Management and billing system</w:t>
            </w:r>
          </w:p>
        </w:tc>
      </w:tr>
      <w:tr w:rsidR="0008639C" w:rsidRPr="00916DC0" w:rsidTr="00AA101B">
        <w:trPr>
          <w:jc w:val="center"/>
        </w:trPr>
        <w:tc>
          <w:tcPr>
            <w:tcW w:w="5202" w:type="dxa"/>
            <w:tcBorders>
              <w:bottom w:val="single" w:sz="4" w:space="0" w:color="auto"/>
            </w:tcBorders>
          </w:tcPr>
          <w:p w:rsidR="0008639C" w:rsidRPr="00CD5563" w:rsidRDefault="0008639C" w:rsidP="00AA101B">
            <w:pPr>
              <w:pStyle w:val="Tabletext"/>
              <w:rPr>
                <w:lang w:val="en-GB" w:eastAsia="ko-KR"/>
              </w:rPr>
            </w:pPr>
            <w:r w:rsidRPr="00CD5563">
              <w:rPr>
                <w:lang w:val="en-GB" w:eastAsia="ko-KR"/>
              </w:rPr>
              <w:t>Management system (MS)</w:t>
            </w:r>
          </w:p>
        </w:tc>
        <w:tc>
          <w:tcPr>
            <w:tcW w:w="5203" w:type="dxa"/>
            <w:vMerge w:val="restart"/>
            <w:tcBorders>
              <w:bottom w:val="single" w:sz="4" w:space="0" w:color="auto"/>
            </w:tcBorders>
          </w:tcPr>
          <w:p w:rsidR="0008639C" w:rsidRPr="00CD5563" w:rsidRDefault="0008639C" w:rsidP="00AA101B">
            <w:pPr>
              <w:pStyle w:val="Tabletext"/>
              <w:rPr>
                <w:bCs/>
                <w:lang w:val="en-GB" w:eastAsia="ko-KR"/>
              </w:rPr>
            </w:pPr>
            <w:r w:rsidRPr="00CD5563">
              <w:rPr>
                <w:lang w:val="en-GB" w:eastAsia="ko-KR"/>
              </w:rPr>
              <w:t xml:space="preserve">– </w:t>
            </w:r>
            <w:r w:rsidR="007A3917">
              <w:rPr>
                <w:lang w:val="en-GB" w:eastAsia="ko-KR"/>
              </w:rPr>
              <w:tab/>
            </w:r>
            <w:r w:rsidRPr="00CD5563">
              <w:rPr>
                <w:lang w:val="en-GB" w:eastAsia="ko-KR"/>
              </w:rPr>
              <w:t>Error processing management</w:t>
            </w:r>
          </w:p>
          <w:p w:rsidR="0008639C" w:rsidRPr="00CD5563" w:rsidRDefault="0008639C" w:rsidP="00AA101B">
            <w:pPr>
              <w:pStyle w:val="Tabletext"/>
              <w:rPr>
                <w:bCs/>
                <w:lang w:val="en-GB" w:eastAsia="ko-KR"/>
              </w:rPr>
            </w:pPr>
            <w:r w:rsidRPr="00CD5563">
              <w:rPr>
                <w:lang w:val="en-GB" w:eastAsia="ko-KR"/>
              </w:rPr>
              <w:t xml:space="preserve">– </w:t>
            </w:r>
            <w:r w:rsidR="007A3917">
              <w:rPr>
                <w:lang w:val="en-GB" w:eastAsia="ko-KR"/>
              </w:rPr>
              <w:tab/>
            </w:r>
            <w:r w:rsidRPr="00CD5563">
              <w:rPr>
                <w:lang w:val="en-GB" w:eastAsia="ko-KR"/>
              </w:rPr>
              <w:t>Equipment configuration management</w:t>
            </w:r>
          </w:p>
          <w:p w:rsidR="0008639C" w:rsidRPr="00CD5563" w:rsidRDefault="0008639C" w:rsidP="00AA101B">
            <w:pPr>
              <w:pStyle w:val="Tabletext"/>
              <w:rPr>
                <w:bCs/>
                <w:lang w:val="en-GB" w:eastAsia="ko-KR"/>
              </w:rPr>
            </w:pPr>
            <w:r w:rsidRPr="00CD5563">
              <w:rPr>
                <w:lang w:val="en-GB" w:eastAsia="ko-KR"/>
              </w:rPr>
              <w:t xml:space="preserve">– </w:t>
            </w:r>
            <w:r w:rsidR="007A3917">
              <w:rPr>
                <w:lang w:val="en-GB" w:eastAsia="ko-KR"/>
              </w:rPr>
              <w:tab/>
            </w:r>
            <w:r w:rsidRPr="00CD5563">
              <w:rPr>
                <w:lang w:val="en-GB" w:eastAsia="ko-KR"/>
              </w:rPr>
              <w:t>Billing system management</w:t>
            </w:r>
          </w:p>
          <w:p w:rsidR="0008639C" w:rsidRPr="00CD5563" w:rsidRDefault="0008639C" w:rsidP="00AA101B">
            <w:pPr>
              <w:pStyle w:val="Tabletext"/>
              <w:rPr>
                <w:bCs/>
                <w:lang w:val="en-GB" w:eastAsia="ko-KR"/>
              </w:rPr>
            </w:pPr>
            <w:r w:rsidRPr="00CD5563">
              <w:rPr>
                <w:lang w:val="en-GB" w:eastAsia="ko-KR"/>
              </w:rPr>
              <w:t xml:space="preserve">– </w:t>
            </w:r>
            <w:r w:rsidR="007A3917">
              <w:rPr>
                <w:lang w:val="en-GB" w:eastAsia="ko-KR"/>
              </w:rPr>
              <w:tab/>
            </w:r>
            <w:r w:rsidRPr="00CD5563">
              <w:rPr>
                <w:lang w:val="en-GB" w:eastAsia="ko-KR"/>
              </w:rPr>
              <w:t>Service management</w:t>
            </w:r>
          </w:p>
          <w:p w:rsidR="0008639C" w:rsidRPr="00CD5563" w:rsidRDefault="0008639C" w:rsidP="00AA101B">
            <w:pPr>
              <w:pStyle w:val="Tabletext"/>
              <w:rPr>
                <w:bCs/>
                <w:lang w:val="en-GB" w:eastAsia="ko-KR"/>
              </w:rPr>
            </w:pPr>
            <w:r w:rsidRPr="00CD5563">
              <w:rPr>
                <w:lang w:val="en-GB" w:eastAsia="ko-KR"/>
              </w:rPr>
              <w:t xml:space="preserve">– </w:t>
            </w:r>
            <w:r w:rsidR="007A3917">
              <w:rPr>
                <w:lang w:val="en-GB" w:eastAsia="ko-KR"/>
              </w:rPr>
              <w:tab/>
            </w:r>
            <w:r w:rsidRPr="00CD5563">
              <w:rPr>
                <w:lang w:val="en-GB" w:eastAsia="ko-KR"/>
              </w:rPr>
              <w:t>Security management</w:t>
            </w:r>
          </w:p>
        </w:tc>
      </w:tr>
      <w:tr w:rsidR="0008639C" w:rsidRPr="00CD5563" w:rsidTr="00AA101B">
        <w:trPr>
          <w:jc w:val="center"/>
        </w:trPr>
        <w:tc>
          <w:tcPr>
            <w:tcW w:w="5202" w:type="dxa"/>
            <w:shd w:val="clear" w:color="auto" w:fill="E8F8FD"/>
          </w:tcPr>
          <w:p w:rsidR="0008639C" w:rsidRPr="00CD5563" w:rsidRDefault="0008639C" w:rsidP="00AA101B">
            <w:pPr>
              <w:pStyle w:val="Tabletext"/>
              <w:rPr>
                <w:lang w:val="en-GB" w:eastAsia="ko-KR"/>
              </w:rPr>
            </w:pPr>
            <w:r w:rsidRPr="00CD5563">
              <w:rPr>
                <w:lang w:val="en-GB" w:eastAsia="ko-KR"/>
              </w:rPr>
              <w:t>Billing system (BS)</w:t>
            </w:r>
          </w:p>
        </w:tc>
        <w:tc>
          <w:tcPr>
            <w:tcW w:w="5203" w:type="dxa"/>
            <w:vMerge/>
            <w:shd w:val="clear" w:color="auto" w:fill="E8F8FD"/>
          </w:tcPr>
          <w:p w:rsidR="0008639C" w:rsidRPr="00CD5563" w:rsidRDefault="0008639C" w:rsidP="00AA101B">
            <w:pPr>
              <w:pStyle w:val="Tabletext"/>
              <w:rPr>
                <w:lang w:val="en-GB" w:eastAsia="ko-KR"/>
              </w:rPr>
            </w:pPr>
          </w:p>
        </w:tc>
      </w:tr>
      <w:tr w:rsidR="0008639C" w:rsidRPr="00CD5563" w:rsidTr="00AA101B">
        <w:trPr>
          <w:jc w:val="center"/>
        </w:trPr>
        <w:tc>
          <w:tcPr>
            <w:tcW w:w="10405" w:type="dxa"/>
            <w:gridSpan w:val="2"/>
            <w:tcBorders>
              <w:bottom w:val="single" w:sz="4" w:space="0" w:color="auto"/>
            </w:tcBorders>
          </w:tcPr>
          <w:p w:rsidR="0008639C" w:rsidRPr="00CD5563" w:rsidRDefault="0008639C" w:rsidP="00AA101B">
            <w:pPr>
              <w:pStyle w:val="Tabletext"/>
              <w:rPr>
                <w:b/>
                <w:bCs/>
                <w:lang w:val="en-GB" w:eastAsia="ko-KR"/>
              </w:rPr>
            </w:pPr>
            <w:r w:rsidRPr="00CD5563">
              <w:rPr>
                <w:b/>
                <w:bCs/>
                <w:lang w:val="en-GB" w:eastAsia="ko-KR"/>
              </w:rPr>
              <w:t>Access environment</w:t>
            </w:r>
          </w:p>
        </w:tc>
      </w:tr>
      <w:tr w:rsidR="0008639C" w:rsidRPr="00CD5563" w:rsidTr="00AA101B">
        <w:trPr>
          <w:jc w:val="center"/>
        </w:trPr>
        <w:tc>
          <w:tcPr>
            <w:tcW w:w="5202" w:type="dxa"/>
            <w:shd w:val="clear" w:color="auto" w:fill="E8F8FD"/>
          </w:tcPr>
          <w:p w:rsidR="0008639C" w:rsidRPr="00CD5563" w:rsidRDefault="0008639C" w:rsidP="00AA101B">
            <w:pPr>
              <w:pStyle w:val="Tabletext"/>
              <w:rPr>
                <w:lang w:val="en-GB" w:eastAsia="ko-KR"/>
              </w:rPr>
            </w:pPr>
            <w:r w:rsidRPr="00CD5563">
              <w:rPr>
                <w:lang w:val="en-GB" w:eastAsia="ko-KR"/>
              </w:rPr>
              <w:t>NGN integrated access devices (NGN-IAD)</w:t>
            </w:r>
          </w:p>
        </w:tc>
        <w:tc>
          <w:tcPr>
            <w:tcW w:w="5203" w:type="dxa"/>
            <w:shd w:val="clear" w:color="auto" w:fill="E8F8FD"/>
          </w:tcPr>
          <w:p w:rsidR="0008639C" w:rsidRPr="00CD5563" w:rsidRDefault="0008639C" w:rsidP="00AA101B">
            <w:pPr>
              <w:pStyle w:val="Tabletext"/>
              <w:rPr>
                <w:lang w:val="en-GB" w:eastAsia="ko-KR"/>
              </w:rPr>
            </w:pPr>
            <w:r w:rsidRPr="00CD5563">
              <w:rPr>
                <w:lang w:val="en-GB" w:eastAsia="ko-KR"/>
              </w:rPr>
              <w:t>T-2, T-4, T-3, T-5, T-15, T-14</w:t>
            </w:r>
          </w:p>
        </w:tc>
      </w:tr>
      <w:tr w:rsidR="0008639C" w:rsidRPr="00CD5563" w:rsidTr="00AA101B">
        <w:trPr>
          <w:jc w:val="center"/>
        </w:trPr>
        <w:tc>
          <w:tcPr>
            <w:tcW w:w="5202" w:type="dxa"/>
          </w:tcPr>
          <w:p w:rsidR="0008639C" w:rsidRPr="00CD5563" w:rsidRDefault="0008639C" w:rsidP="007A3917">
            <w:pPr>
              <w:pStyle w:val="Tabletext"/>
              <w:rPr>
                <w:lang w:val="en-GB" w:eastAsia="ko-KR"/>
              </w:rPr>
            </w:pPr>
            <w:r w:rsidRPr="00CD5563">
              <w:rPr>
                <w:lang w:val="en-GB" w:eastAsia="ko-KR"/>
              </w:rPr>
              <w:t>Media gateway for legacy terminal equipment (GW</w:t>
            </w:r>
            <w:r w:rsidR="007A3917">
              <w:rPr>
                <w:lang w:val="en-GB" w:eastAsia="ko-KR"/>
              </w:rPr>
              <w:noBreakHyphen/>
            </w:r>
            <w:r w:rsidRPr="00CD5563">
              <w:rPr>
                <w:lang w:val="en-GB" w:eastAsia="ko-KR"/>
              </w:rPr>
              <w:t>LTE)</w:t>
            </w:r>
          </w:p>
        </w:tc>
        <w:tc>
          <w:tcPr>
            <w:tcW w:w="5203" w:type="dxa"/>
          </w:tcPr>
          <w:p w:rsidR="0008639C" w:rsidRPr="00CD5563" w:rsidRDefault="0008639C" w:rsidP="00AA101B">
            <w:pPr>
              <w:pStyle w:val="Tabletext"/>
              <w:rPr>
                <w:lang w:val="en-GB" w:eastAsia="ko-KR"/>
              </w:rPr>
            </w:pPr>
            <w:r w:rsidRPr="00CD5563">
              <w:rPr>
                <w:lang w:val="en-GB" w:eastAsia="ko-KR"/>
              </w:rPr>
              <w:t>T-1, T-2, T-3, T-4, T-5</w:t>
            </w:r>
          </w:p>
        </w:tc>
      </w:tr>
    </w:tbl>
    <w:p w:rsidR="0008639C" w:rsidRPr="00CD5563" w:rsidRDefault="0008639C" w:rsidP="007A3917">
      <w:pPr>
        <w:pStyle w:val="Heading1"/>
        <w:rPr>
          <w:rFonts w:eastAsiaTheme="minorEastAsia"/>
          <w:lang w:val="en-GB" w:eastAsia="ko-KR"/>
        </w:rPr>
      </w:pPr>
      <w:bookmarkStart w:id="385" w:name="_Toc380487718"/>
      <w:bookmarkStart w:id="386" w:name="_Toc381025037"/>
      <w:r w:rsidRPr="00CD5563">
        <w:rPr>
          <w:rFonts w:eastAsiaTheme="minorEastAsia"/>
          <w:lang w:val="en-GB" w:eastAsia="ko-KR"/>
        </w:rPr>
        <w:t>3</w:t>
      </w:r>
      <w:r w:rsidRPr="00CD5563">
        <w:rPr>
          <w:rFonts w:eastAsiaTheme="minorEastAsia"/>
          <w:lang w:val="en-GB" w:eastAsia="ko-KR"/>
        </w:rPr>
        <w:tab/>
        <w:t>Model networks for NGN testing</w:t>
      </w:r>
      <w:bookmarkEnd w:id="385"/>
      <w:bookmarkEnd w:id="386"/>
    </w:p>
    <w:p w:rsidR="0008639C" w:rsidRPr="00CD5563" w:rsidRDefault="0008639C" w:rsidP="007A3917">
      <w:pPr>
        <w:keepNext/>
        <w:keepLines/>
        <w:rPr>
          <w:lang w:val="en-GB" w:eastAsia="ko-KR"/>
        </w:rPr>
      </w:pPr>
      <w:r w:rsidRPr="00CD5563">
        <w:rPr>
          <w:lang w:val="en-GB" w:eastAsia="ko-KR"/>
        </w:rPr>
        <w:t>There are two types of model networks for NGN testing: dedicated model and distributed model networks. It should be noted that, although creation of model networks appears to be a promising testing method, not all countries are in a position to implement them to the necessary extent desired. Hence, it is reasonable to create regional model networks whose resources could be employed for testing by various countries located in the given region.</w:t>
      </w:r>
    </w:p>
    <w:p w:rsidR="0008639C" w:rsidRPr="00CD5563" w:rsidRDefault="0008639C" w:rsidP="00AA101B">
      <w:pPr>
        <w:rPr>
          <w:lang w:val="en-GB" w:eastAsia="ko-KR"/>
        </w:rPr>
      </w:pPr>
      <w:r w:rsidRPr="00CD5563">
        <w:rPr>
          <w:lang w:val="en-GB" w:eastAsia="ko-KR"/>
        </w:rPr>
        <w:t xml:space="preserve">Device Under Test (DUT) may be accessed by the NGN test lab through dedicated model or distributed model. One basic requirement for such a remote testing is that the DUT must appear to the tester as it is connected directly. This is possible by creating a tunnel between the tester and the DUT using appropriate tunneling technology. Tunneling technology can be used, along with </w:t>
      </w:r>
      <w:r w:rsidR="00CD5563" w:rsidRPr="00CD5563">
        <w:rPr>
          <w:lang w:val="en-GB" w:eastAsia="ko-KR"/>
        </w:rPr>
        <w:t>pseudo</w:t>
      </w:r>
      <w:r w:rsidRPr="00CD5563">
        <w:rPr>
          <w:lang w:val="en-GB" w:eastAsia="ko-KR"/>
        </w:rPr>
        <w:t xml:space="preserve"> –wire capability in routers, to send the test packets directly to the remotely placed DUT. The available test suits thus become suitable for remote testing.</w:t>
      </w:r>
    </w:p>
    <w:p w:rsidR="0008639C" w:rsidRPr="00CD5563" w:rsidRDefault="0008639C" w:rsidP="00AA101B">
      <w:pPr>
        <w:pStyle w:val="Heading2"/>
        <w:rPr>
          <w:rFonts w:eastAsia="Malgun Gothic"/>
          <w:lang w:val="en-GB" w:eastAsia="ko-KR"/>
        </w:rPr>
      </w:pPr>
      <w:bookmarkStart w:id="387" w:name="_Toc380487719"/>
      <w:bookmarkStart w:id="388" w:name="_Toc381025038"/>
      <w:r w:rsidRPr="00CD5563">
        <w:rPr>
          <w:rFonts w:eastAsia="Malgun Gothic"/>
          <w:lang w:val="en-GB" w:eastAsia="ko-KR"/>
        </w:rPr>
        <w:t>3.1</w:t>
      </w:r>
      <w:r w:rsidRPr="00CD5563">
        <w:rPr>
          <w:rFonts w:eastAsia="Malgun Gothic"/>
          <w:lang w:val="en-GB" w:eastAsia="ko-KR"/>
        </w:rPr>
        <w:tab/>
        <w:t>Dedicated model network</w:t>
      </w:r>
      <w:bookmarkEnd w:id="387"/>
      <w:bookmarkEnd w:id="388"/>
    </w:p>
    <w:p w:rsidR="0008639C" w:rsidRPr="00CD5563" w:rsidRDefault="0008639C" w:rsidP="00AA101B">
      <w:pPr>
        <w:rPr>
          <w:lang w:val="en-GB" w:eastAsia="ko-KR"/>
        </w:rPr>
      </w:pPr>
      <w:r w:rsidRPr="00CD5563">
        <w:rPr>
          <w:lang w:val="en-GB" w:eastAsia="ko-KR"/>
        </w:rPr>
        <w:t>A dedicated model is a fragment network which is not connected to other model networks and used to perform testing for compatibility and, if possible, for interaction with the technical means employed prior to the NGN development period. The dedicated model network can be connected to a public telecommunication network and/or corporate network.</w:t>
      </w:r>
    </w:p>
    <w:p w:rsidR="0008639C" w:rsidRPr="00CD5563" w:rsidRDefault="0008639C" w:rsidP="00AA101B">
      <w:pPr>
        <w:rPr>
          <w:lang w:val="en-GB"/>
        </w:rPr>
      </w:pPr>
      <w:r w:rsidRPr="00CD5563">
        <w:rPr>
          <w:lang w:val="en-GB"/>
        </w:rPr>
        <w:t>The basic architecture of a dedicated model network is shown following Figure 3-1.</w:t>
      </w:r>
    </w:p>
    <w:p w:rsidR="00AA101B" w:rsidRPr="00CD5563" w:rsidRDefault="00AA101B" w:rsidP="00AA101B">
      <w:pPr>
        <w:pStyle w:val="Figuretitle"/>
        <w:rPr>
          <w:lang w:val="en-GB" w:eastAsia="ko-KR"/>
        </w:rPr>
      </w:pPr>
      <w:bookmarkStart w:id="389" w:name="_Toc380497390"/>
      <w:r w:rsidRPr="00CD5563">
        <w:rPr>
          <w:lang w:val="en-GB" w:eastAsia="ko-KR"/>
        </w:rPr>
        <w:t>Figure 3-1: Basic architecture of a model network (form of a dedicated model)</w:t>
      </w:r>
      <w:bookmarkEnd w:id="389"/>
    </w:p>
    <w:p w:rsidR="0008639C" w:rsidRPr="00CD5563" w:rsidRDefault="0008639C" w:rsidP="00AA101B">
      <w:pPr>
        <w:pStyle w:val="Figure"/>
        <w:rPr>
          <w:lang w:val="en-GB" w:eastAsia="ko-KR"/>
        </w:rPr>
      </w:pPr>
      <w:r w:rsidRPr="00CD5563">
        <w:rPr>
          <w:noProof/>
          <w:lang w:val="ru-RU" w:eastAsia="zh-CN"/>
        </w:rPr>
        <w:drawing>
          <wp:inline distT="0" distB="0" distL="0" distR="0" wp14:anchorId="1763DD81" wp14:editId="6D3569B0">
            <wp:extent cx="5172075" cy="2903855"/>
            <wp:effectExtent l="19050" t="0" r="9525"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6" cstate="print"/>
                    <a:srcRect/>
                    <a:stretch>
                      <a:fillRect/>
                    </a:stretch>
                  </pic:blipFill>
                  <pic:spPr bwMode="auto">
                    <a:xfrm>
                      <a:off x="0" y="0"/>
                      <a:ext cx="5172075" cy="2903855"/>
                    </a:xfrm>
                    <a:prstGeom prst="rect">
                      <a:avLst/>
                    </a:prstGeom>
                    <a:noFill/>
                    <a:ln w="9525">
                      <a:noFill/>
                      <a:miter lim="800000"/>
                      <a:headEnd/>
                      <a:tailEnd/>
                    </a:ln>
                  </pic:spPr>
                </pic:pic>
              </a:graphicData>
            </a:graphic>
          </wp:inline>
        </w:drawing>
      </w:r>
    </w:p>
    <w:p w:rsidR="00AA101B" w:rsidRPr="00CD5563" w:rsidRDefault="00AA101B" w:rsidP="007A3917">
      <w:pPr>
        <w:pStyle w:val="Figure"/>
        <w:keepNext w:val="0"/>
        <w:rPr>
          <w:lang w:val="en-GB" w:eastAsia="ko-KR"/>
        </w:rPr>
      </w:pPr>
    </w:p>
    <w:p w:rsidR="0008639C" w:rsidRPr="00CD5563" w:rsidRDefault="0008639C" w:rsidP="007A3917">
      <w:pPr>
        <w:pStyle w:val="Heading2"/>
        <w:keepLines/>
        <w:rPr>
          <w:rFonts w:eastAsia="Malgun Gothic"/>
          <w:lang w:val="en-GB" w:eastAsia="ko-KR"/>
        </w:rPr>
      </w:pPr>
      <w:bookmarkStart w:id="390" w:name="_Toc380487720"/>
      <w:bookmarkStart w:id="391" w:name="_Toc381025039"/>
      <w:r w:rsidRPr="00CD5563">
        <w:rPr>
          <w:rFonts w:eastAsia="Malgun Gothic"/>
          <w:lang w:val="en-GB" w:eastAsia="ko-KR"/>
        </w:rPr>
        <w:t>3.2</w:t>
      </w:r>
      <w:r w:rsidRPr="00CD5563">
        <w:rPr>
          <w:rFonts w:eastAsia="Malgun Gothic"/>
          <w:lang w:val="en-GB" w:eastAsia="ko-KR"/>
        </w:rPr>
        <w:tab/>
        <w:t>Distributed model network</w:t>
      </w:r>
      <w:bookmarkEnd w:id="390"/>
      <w:bookmarkEnd w:id="391"/>
    </w:p>
    <w:p w:rsidR="0008639C" w:rsidRPr="00CD5563" w:rsidRDefault="0008639C" w:rsidP="007A3917">
      <w:pPr>
        <w:keepNext/>
        <w:keepLines/>
        <w:rPr>
          <w:lang w:val="en-GB" w:eastAsia="ko-KR"/>
        </w:rPr>
      </w:pPr>
      <w:r w:rsidRPr="00CD5563">
        <w:rPr>
          <w:lang w:val="en-GB" w:eastAsia="ko-KR"/>
        </w:rPr>
        <w:t>A distributed model network is composed of several dedicated model networks, two as a minimum, and should be interconnected by the dedicated Intranet network such as VPN. The distributed model networks can also be connected to public telecommunication networks and/or corporate networks. The distributed model networks are used to perform complex tests for compatibility and interworking as well as to check quality of service parameters, information security requirements and interworking with the technical means. The minimum-size configuration of the model network should have:</w:t>
      </w:r>
    </w:p>
    <w:p w:rsidR="0008639C" w:rsidRPr="00CD5563" w:rsidRDefault="00AA60F5" w:rsidP="00AA60F5">
      <w:pPr>
        <w:pStyle w:val="Enumlevel1"/>
      </w:pPr>
      <w:r w:rsidRPr="00CD5563">
        <w:t>•</w:t>
      </w:r>
      <w:r w:rsidRPr="00CD5563">
        <w:tab/>
      </w:r>
      <w:r w:rsidR="0008639C" w:rsidRPr="00CD5563">
        <w:t>four nodes of the public telecommunication network (three of them should be of different types and two, as a minimum, should originate from different vendors);</w:t>
      </w:r>
    </w:p>
    <w:p w:rsidR="0008639C" w:rsidRPr="00CD5563" w:rsidRDefault="00AA60F5" w:rsidP="00AA60F5">
      <w:pPr>
        <w:pStyle w:val="Enumlevel1"/>
      </w:pPr>
      <w:r w:rsidRPr="00CD5563">
        <w:t>•</w:t>
      </w:r>
      <w:r w:rsidRPr="00CD5563">
        <w:tab/>
      </w:r>
      <w:r w:rsidR="0008639C" w:rsidRPr="00CD5563">
        <w:t>the communication networks inside the dedicated model networks provide internal communication (of the SDH, ATM or IP level) without limitation in types and manufacturers;</w:t>
      </w:r>
    </w:p>
    <w:p w:rsidR="0008639C" w:rsidRPr="00CD5563" w:rsidRDefault="00AA60F5" w:rsidP="00AA60F5">
      <w:pPr>
        <w:pStyle w:val="Enumlevel1"/>
      </w:pPr>
      <w:r w:rsidRPr="00CD5563">
        <w:t>•</w:t>
      </w:r>
      <w:r w:rsidRPr="00CD5563">
        <w:tab/>
      </w:r>
      <w:r w:rsidR="0008639C" w:rsidRPr="00CD5563">
        <w:t>four media gateways, the minimum of three of which should be of different types and the minimum of two should come from different manufacturers;</w:t>
      </w:r>
    </w:p>
    <w:p w:rsidR="0008639C" w:rsidRPr="00CD5563" w:rsidRDefault="00AA60F5" w:rsidP="00AA60F5">
      <w:pPr>
        <w:pStyle w:val="Enumlevel1"/>
      </w:pPr>
      <w:r w:rsidRPr="00CD5563">
        <w:t>•</w:t>
      </w:r>
      <w:r w:rsidRPr="00CD5563">
        <w:tab/>
      </w:r>
      <w:r w:rsidR="0008639C" w:rsidRPr="00CD5563">
        <w:t>four signalling gateways meeting the same different-type and manufacture brand requirements;</w:t>
      </w:r>
    </w:p>
    <w:p w:rsidR="0008639C" w:rsidRPr="00CD5563" w:rsidRDefault="00AA60F5" w:rsidP="00AA60F5">
      <w:pPr>
        <w:pStyle w:val="Enumlevel1"/>
      </w:pPr>
      <w:r w:rsidRPr="00CD5563">
        <w:t>•</w:t>
      </w:r>
      <w:r w:rsidRPr="00CD5563">
        <w:tab/>
      </w:r>
      <w:r w:rsidR="0008639C" w:rsidRPr="00CD5563">
        <w:t>four application servers, out of which at least two should be of different types;</w:t>
      </w:r>
    </w:p>
    <w:p w:rsidR="0008639C" w:rsidRPr="00CD5563" w:rsidRDefault="00AA60F5" w:rsidP="00AA60F5">
      <w:pPr>
        <w:pStyle w:val="Enumlevel1"/>
      </w:pPr>
      <w:r w:rsidRPr="00CD5563">
        <w:t>•</w:t>
      </w:r>
      <w:r w:rsidRPr="00CD5563">
        <w:tab/>
      </w:r>
      <w:r w:rsidR="0008639C" w:rsidRPr="00CD5563">
        <w:t>additional NGN technical means.</w:t>
      </w:r>
    </w:p>
    <w:p w:rsidR="0008639C" w:rsidRPr="00CD5563" w:rsidRDefault="0008639C" w:rsidP="00AA60F5">
      <w:pPr>
        <w:rPr>
          <w:lang w:val="en-GB" w:eastAsia="ko-KR"/>
        </w:rPr>
      </w:pPr>
      <w:r w:rsidRPr="00CD5563">
        <w:rPr>
          <w:lang w:val="en-GB" w:eastAsia="ko-KR"/>
        </w:rPr>
        <w:t>The basic architecture of a distributed model network is shown in Figure 3-2.</w:t>
      </w:r>
    </w:p>
    <w:p w:rsidR="009B4EA3" w:rsidRPr="00CD5563" w:rsidRDefault="009B4EA3" w:rsidP="009B4EA3">
      <w:pPr>
        <w:pStyle w:val="Figuretitle"/>
        <w:rPr>
          <w:lang w:val="en-GB" w:eastAsia="ko-KR"/>
        </w:rPr>
      </w:pPr>
      <w:bookmarkStart w:id="392" w:name="_Toc380497391"/>
      <w:r w:rsidRPr="00CD5563">
        <w:rPr>
          <w:lang w:val="en-GB" w:eastAsia="ko-KR"/>
        </w:rPr>
        <w:t>Figure 3-2: Architecture of a distributed model network in minimum-size configuration</w:t>
      </w:r>
      <w:bookmarkEnd w:id="392"/>
    </w:p>
    <w:p w:rsidR="0008639C" w:rsidRPr="00CD5563" w:rsidRDefault="0008639C" w:rsidP="009B4EA3">
      <w:pPr>
        <w:pStyle w:val="Figure"/>
        <w:rPr>
          <w:lang w:val="en-GB" w:eastAsia="ko-KR"/>
        </w:rPr>
      </w:pPr>
      <w:r w:rsidRPr="00CD5563">
        <w:rPr>
          <w:noProof/>
          <w:lang w:val="ru-RU" w:eastAsia="zh-CN"/>
        </w:rPr>
        <w:drawing>
          <wp:inline distT="0" distB="0" distL="0" distR="0" wp14:anchorId="35247E3F" wp14:editId="540C13B9">
            <wp:extent cx="4491355" cy="1777365"/>
            <wp:effectExtent l="19050" t="0" r="4445" b="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7" cstate="print"/>
                    <a:srcRect/>
                    <a:stretch>
                      <a:fillRect/>
                    </a:stretch>
                  </pic:blipFill>
                  <pic:spPr bwMode="auto">
                    <a:xfrm>
                      <a:off x="0" y="0"/>
                      <a:ext cx="4491355" cy="1777365"/>
                    </a:xfrm>
                    <a:prstGeom prst="rect">
                      <a:avLst/>
                    </a:prstGeom>
                    <a:noFill/>
                    <a:ln w="9525">
                      <a:noFill/>
                      <a:miter lim="800000"/>
                      <a:headEnd/>
                      <a:tailEnd/>
                    </a:ln>
                  </pic:spPr>
                </pic:pic>
              </a:graphicData>
            </a:graphic>
          </wp:inline>
        </w:drawing>
      </w:r>
    </w:p>
    <w:p w:rsidR="009B4EA3" w:rsidRPr="00CD5563" w:rsidRDefault="009B4EA3" w:rsidP="009B4EA3">
      <w:pPr>
        <w:pStyle w:val="Figure"/>
        <w:rPr>
          <w:lang w:val="en-GB" w:eastAsia="ko-KR"/>
        </w:rPr>
      </w:pPr>
    </w:p>
    <w:p w:rsidR="0008639C" w:rsidRPr="00CD5563" w:rsidRDefault="0008639C" w:rsidP="009B4EA3">
      <w:pPr>
        <w:pStyle w:val="Heading2"/>
        <w:rPr>
          <w:rFonts w:eastAsia="Malgun Gothic"/>
          <w:lang w:val="en-GB" w:eastAsia="ko-KR"/>
        </w:rPr>
      </w:pPr>
      <w:bookmarkStart w:id="393" w:name="_Toc380487721"/>
      <w:bookmarkStart w:id="394" w:name="_Toc381025040"/>
      <w:r w:rsidRPr="00CD5563">
        <w:rPr>
          <w:rFonts w:eastAsia="Malgun Gothic"/>
          <w:lang w:val="en-GB" w:eastAsia="ko-KR"/>
        </w:rPr>
        <w:t>3.3</w:t>
      </w:r>
      <w:r w:rsidRPr="00CD5563">
        <w:rPr>
          <w:rFonts w:eastAsia="Malgun Gothic"/>
          <w:lang w:val="en-GB" w:eastAsia="ko-KR"/>
        </w:rPr>
        <w:tab/>
        <w:t>Protocol configuration of model network</w:t>
      </w:r>
      <w:bookmarkEnd w:id="393"/>
      <w:bookmarkEnd w:id="394"/>
    </w:p>
    <w:p w:rsidR="0008639C" w:rsidRPr="00CD5563" w:rsidRDefault="0008639C" w:rsidP="0008639C">
      <w:pPr>
        <w:widowControl w:val="0"/>
        <w:wordWrap w:val="0"/>
        <w:autoSpaceDE w:val="0"/>
        <w:autoSpaceDN w:val="0"/>
        <w:spacing w:line="240" w:lineRule="atLeast"/>
        <w:rPr>
          <w:rFonts w:eastAsia="Malgun Gothic"/>
          <w:szCs w:val="19"/>
          <w:lang w:val="en-GB" w:eastAsia="ko-KR"/>
        </w:rPr>
      </w:pPr>
      <w:r w:rsidRPr="00CD5563">
        <w:rPr>
          <w:rFonts w:eastAsia="Malgun Gothic"/>
          <w:szCs w:val="19"/>
          <w:lang w:val="en-GB" w:eastAsia="ko-KR"/>
        </w:rPr>
        <w:t>The protocols scheme of dedicated and distributed model networks must be realized in accordance with the scheme illustrated in Figure 3-3.</w:t>
      </w:r>
    </w:p>
    <w:p w:rsidR="009B4EA3" w:rsidRPr="00CD5563" w:rsidRDefault="009B4EA3" w:rsidP="009B4EA3">
      <w:pPr>
        <w:pStyle w:val="Figuretitle"/>
        <w:rPr>
          <w:lang w:val="en-GB" w:eastAsia="ko-KR"/>
        </w:rPr>
      </w:pPr>
      <w:bookmarkStart w:id="395" w:name="_Toc380497392"/>
      <w:r w:rsidRPr="00CD5563">
        <w:rPr>
          <w:lang w:val="en-GB" w:eastAsia="ko-KR"/>
        </w:rPr>
        <w:t>Figure 3-3: Protocol configuration of model network</w:t>
      </w:r>
      <w:bookmarkEnd w:id="395"/>
    </w:p>
    <w:p w:rsidR="0008639C" w:rsidRPr="00CD5563" w:rsidRDefault="0008639C" w:rsidP="009B4EA3">
      <w:pPr>
        <w:pStyle w:val="Figure"/>
        <w:rPr>
          <w:lang w:val="en-GB"/>
        </w:rPr>
      </w:pPr>
      <w:r w:rsidRPr="00CD5563">
        <w:rPr>
          <w:noProof/>
          <w:lang w:val="ru-RU" w:eastAsia="zh-CN"/>
        </w:rPr>
        <w:drawing>
          <wp:inline distT="0" distB="0" distL="0" distR="0" wp14:anchorId="6E5D7C11" wp14:editId="136D8C8B">
            <wp:extent cx="3979545" cy="3547745"/>
            <wp:effectExtent l="19050" t="0" r="1905"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 cstate="print"/>
                    <a:srcRect/>
                    <a:stretch>
                      <a:fillRect/>
                    </a:stretch>
                  </pic:blipFill>
                  <pic:spPr bwMode="auto">
                    <a:xfrm>
                      <a:off x="0" y="0"/>
                      <a:ext cx="3979545" cy="3547745"/>
                    </a:xfrm>
                    <a:prstGeom prst="rect">
                      <a:avLst/>
                    </a:prstGeom>
                    <a:noFill/>
                    <a:ln w="9525">
                      <a:noFill/>
                      <a:miter lim="800000"/>
                      <a:headEnd/>
                      <a:tailEnd/>
                    </a:ln>
                  </pic:spPr>
                </pic:pic>
              </a:graphicData>
            </a:graphic>
          </wp:inline>
        </w:drawing>
      </w:r>
    </w:p>
    <w:p w:rsidR="009B4EA3" w:rsidRPr="00CD5563" w:rsidRDefault="009B4EA3" w:rsidP="009B4EA3">
      <w:pPr>
        <w:pStyle w:val="Figure"/>
        <w:rPr>
          <w:lang w:val="en-GB"/>
        </w:rPr>
      </w:pPr>
    </w:p>
    <w:p w:rsidR="0008639C" w:rsidRPr="00CD5563" w:rsidRDefault="009B4EA3" w:rsidP="009B4EA3">
      <w:pPr>
        <w:pStyle w:val="Heading1"/>
        <w:rPr>
          <w:rFonts w:eastAsiaTheme="minorEastAsia"/>
          <w:lang w:val="en-GB" w:eastAsia="ko-KR"/>
        </w:rPr>
      </w:pPr>
      <w:bookmarkStart w:id="396" w:name="_Toc380487722"/>
      <w:bookmarkStart w:id="397" w:name="_Toc381025041"/>
      <w:r w:rsidRPr="00CD5563">
        <w:rPr>
          <w:rFonts w:eastAsiaTheme="minorEastAsia"/>
          <w:lang w:val="en-GB" w:eastAsia="ko-KR"/>
        </w:rPr>
        <w:t>4</w:t>
      </w:r>
      <w:r w:rsidR="0008639C" w:rsidRPr="00CD5563">
        <w:rPr>
          <w:rFonts w:eastAsiaTheme="minorEastAsia"/>
          <w:lang w:val="en-GB" w:eastAsia="ko-KR"/>
        </w:rPr>
        <w:tab/>
        <w:t>NGN conformance testing and interoperability testing</w:t>
      </w:r>
      <w:bookmarkEnd w:id="396"/>
      <w:bookmarkEnd w:id="397"/>
    </w:p>
    <w:p w:rsidR="0008639C" w:rsidRPr="00CD5563" w:rsidRDefault="0008639C" w:rsidP="009B4EA3">
      <w:pPr>
        <w:rPr>
          <w:lang w:val="en-GB" w:eastAsia="ko-KR"/>
        </w:rPr>
      </w:pPr>
      <w:r w:rsidRPr="00CD5563">
        <w:rPr>
          <w:lang w:val="en-GB" w:eastAsia="ko-KR"/>
        </w:rPr>
        <w:t>There are two tests to confirm the function of NGN standards: one is for conformance testing and the other is for interoperability testing. NGN conformance testing is able to show that a particular implementation complies with the protocol requirements specified in the associated base standard. However, it is difficult for such testing to be able to prove that the implementation will interoperate with similar implementations in other products. On the other hand, NGN interoperability testing can clearly demonstrate that two or more implementations will cooperate to provide the specified end-to-end functions, but cannot easily prove that either of them conforms to the detailed requirements of the protocol specification. The purpose of interoperability testing is not only to show that target products from different manufacturers can work together, but also to show that these products can interoperate using a specific protocol.</w:t>
      </w:r>
    </w:p>
    <w:p w:rsidR="0008639C" w:rsidRPr="00CD5563" w:rsidRDefault="0008639C" w:rsidP="0008639C">
      <w:pPr>
        <w:widowControl w:val="0"/>
        <w:wordWrap w:val="0"/>
        <w:autoSpaceDE w:val="0"/>
        <w:autoSpaceDN w:val="0"/>
        <w:spacing w:line="240" w:lineRule="atLeast"/>
        <w:rPr>
          <w:rFonts w:eastAsia="Malgun Gothic"/>
          <w:szCs w:val="19"/>
          <w:lang w:val="en-GB" w:eastAsia="ko-KR"/>
        </w:rPr>
      </w:pPr>
      <w:r w:rsidRPr="00CD5563">
        <w:rPr>
          <w:rFonts w:eastAsia="Malgun Gothic"/>
          <w:szCs w:val="19"/>
          <w:lang w:val="en-GB" w:eastAsia="ko-KR"/>
        </w:rPr>
        <w:t>Figure 4-1 shows a four-step approach on the specification process for NGN conformance testing and interoperability testing.</w:t>
      </w:r>
    </w:p>
    <w:p w:rsidR="009B4EA3" w:rsidRPr="00CD5563" w:rsidRDefault="009B4EA3" w:rsidP="009B4EA3">
      <w:pPr>
        <w:pStyle w:val="Figuretitle"/>
        <w:rPr>
          <w:lang w:val="en-GB" w:eastAsia="ko-KR"/>
        </w:rPr>
      </w:pPr>
      <w:bookmarkStart w:id="398" w:name="_Toc380497393"/>
      <w:r w:rsidRPr="00CD5563">
        <w:rPr>
          <w:lang w:val="en-GB" w:eastAsia="ko-KR"/>
        </w:rPr>
        <w:t>Figure 4-1: Typical NGN conformance and interoperability test specification process</w:t>
      </w:r>
      <w:bookmarkEnd w:id="398"/>
    </w:p>
    <w:p w:rsidR="0008639C" w:rsidRPr="00CD5563" w:rsidRDefault="0008639C" w:rsidP="009B4EA3">
      <w:pPr>
        <w:pStyle w:val="Figure"/>
        <w:rPr>
          <w:rFonts w:eastAsia="Malgun Gothic"/>
          <w:szCs w:val="19"/>
          <w:lang w:val="en-GB" w:eastAsia="ko-KR"/>
        </w:rPr>
      </w:pPr>
      <w:r w:rsidRPr="00CD5563">
        <w:rPr>
          <w:noProof/>
          <w:lang w:val="ru-RU" w:eastAsia="zh-CN"/>
        </w:rPr>
        <w:drawing>
          <wp:inline distT="0" distB="0" distL="0" distR="0" wp14:anchorId="6CB5676B" wp14:editId="064D532F">
            <wp:extent cx="5676900" cy="2385060"/>
            <wp:effectExtent l="19050" t="0" r="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 cstate="print"/>
                    <a:srcRect/>
                    <a:stretch>
                      <a:fillRect/>
                    </a:stretch>
                  </pic:blipFill>
                  <pic:spPr bwMode="auto">
                    <a:xfrm>
                      <a:off x="0" y="0"/>
                      <a:ext cx="5676900" cy="2385060"/>
                    </a:xfrm>
                    <a:prstGeom prst="rect">
                      <a:avLst/>
                    </a:prstGeom>
                    <a:noFill/>
                    <a:ln w="9525">
                      <a:noFill/>
                      <a:miter lim="800000"/>
                      <a:headEnd/>
                      <a:tailEnd/>
                    </a:ln>
                  </pic:spPr>
                </pic:pic>
              </a:graphicData>
            </a:graphic>
          </wp:inline>
        </w:drawing>
      </w:r>
    </w:p>
    <w:p w:rsidR="009B4EA3" w:rsidRPr="00CD5563" w:rsidRDefault="009B4EA3" w:rsidP="009B4EA3">
      <w:pPr>
        <w:pStyle w:val="Figure"/>
        <w:rPr>
          <w:rFonts w:eastAsia="Malgun Gothic"/>
          <w:szCs w:val="19"/>
          <w:lang w:val="en-GB" w:eastAsia="ko-KR"/>
        </w:rPr>
      </w:pPr>
    </w:p>
    <w:p w:rsidR="0008639C" w:rsidRPr="00CD5563" w:rsidRDefault="0008639C" w:rsidP="009B4EA3">
      <w:pPr>
        <w:pStyle w:val="Heading2"/>
        <w:rPr>
          <w:rFonts w:eastAsia="Malgun Gothic"/>
          <w:lang w:val="en-GB" w:eastAsia="ko-KR"/>
        </w:rPr>
      </w:pPr>
      <w:bookmarkStart w:id="399" w:name="_Toc380487723"/>
      <w:bookmarkStart w:id="400" w:name="_Toc381025042"/>
      <w:r w:rsidRPr="00CD5563">
        <w:rPr>
          <w:rFonts w:eastAsia="Malgun Gothic"/>
          <w:lang w:val="en-GB" w:eastAsia="ko-KR"/>
        </w:rPr>
        <w:t xml:space="preserve">4.1 </w:t>
      </w:r>
      <w:r w:rsidR="007A3917">
        <w:rPr>
          <w:rFonts w:eastAsia="Malgun Gothic"/>
          <w:lang w:val="en-GB" w:eastAsia="ko-KR"/>
        </w:rPr>
        <w:tab/>
      </w:r>
      <w:r w:rsidRPr="00CD5563">
        <w:rPr>
          <w:rFonts w:eastAsia="Malgun Gothic"/>
          <w:lang w:val="en-GB" w:eastAsia="ko-KR"/>
        </w:rPr>
        <w:t>NGN conformance testing</w:t>
      </w:r>
      <w:bookmarkEnd w:id="399"/>
      <w:bookmarkEnd w:id="400"/>
    </w:p>
    <w:p w:rsidR="0008639C" w:rsidRPr="00CD5563" w:rsidRDefault="0008639C" w:rsidP="009B4EA3">
      <w:pPr>
        <w:rPr>
          <w:lang w:val="en-GB" w:eastAsia="ko-KR"/>
        </w:rPr>
      </w:pPr>
      <w:r w:rsidRPr="00CD5563">
        <w:rPr>
          <w:lang w:val="en-GB" w:eastAsia="ko-KR"/>
        </w:rPr>
        <w:t>A conformance testing is performed on a product or a system to confirm that the protocol implemented in the target product (or system) is in accordance with the protocol specification described in specific Recommendations. Therefore NGN conformance testing is performed on NGN systems with relevant Recommendations. It is possible to refer to part of a procedure of the ITU-T X.29x-series as a procedure for NGN conformance testing. Figure 4-2 illustrates the overview of conformance testing of the execution procedure in [ITU-T X.290].</w:t>
      </w:r>
    </w:p>
    <w:p w:rsidR="009B4EA3" w:rsidRPr="00CD5563" w:rsidRDefault="009B4EA3" w:rsidP="009B4EA3">
      <w:pPr>
        <w:pStyle w:val="Figuretitle"/>
        <w:rPr>
          <w:lang w:val="en-GB" w:eastAsia="ko-KR"/>
        </w:rPr>
      </w:pPr>
      <w:bookmarkStart w:id="401" w:name="_Toc380497394"/>
      <w:r w:rsidRPr="00CD5563">
        <w:rPr>
          <w:lang w:val="en-GB" w:eastAsia="ko-KR"/>
        </w:rPr>
        <w:t>Figure 4-2: ITU-T X.290 conformance assessment process overview</w:t>
      </w:r>
      <w:bookmarkEnd w:id="401"/>
    </w:p>
    <w:p w:rsidR="0008639C" w:rsidRPr="00CD5563" w:rsidRDefault="0008639C" w:rsidP="009B4EA3">
      <w:pPr>
        <w:pStyle w:val="Figure"/>
        <w:rPr>
          <w:lang w:val="en-GB" w:eastAsia="ko-KR"/>
        </w:rPr>
      </w:pPr>
      <w:r w:rsidRPr="00CD5563">
        <w:rPr>
          <w:noProof/>
          <w:lang w:val="ru-RU" w:eastAsia="zh-CN"/>
        </w:rPr>
        <w:drawing>
          <wp:inline distT="0" distB="0" distL="0" distR="0" wp14:anchorId="5F7CE759" wp14:editId="55C420CA">
            <wp:extent cx="3204210" cy="3994150"/>
            <wp:effectExtent l="1905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0" cstate="print"/>
                    <a:srcRect/>
                    <a:stretch>
                      <a:fillRect/>
                    </a:stretch>
                  </pic:blipFill>
                  <pic:spPr bwMode="auto">
                    <a:xfrm>
                      <a:off x="0" y="0"/>
                      <a:ext cx="3204210" cy="3994150"/>
                    </a:xfrm>
                    <a:prstGeom prst="rect">
                      <a:avLst/>
                    </a:prstGeom>
                    <a:noFill/>
                    <a:ln w="9525">
                      <a:noFill/>
                      <a:miter lim="800000"/>
                      <a:headEnd/>
                      <a:tailEnd/>
                    </a:ln>
                  </pic:spPr>
                </pic:pic>
              </a:graphicData>
            </a:graphic>
          </wp:inline>
        </w:drawing>
      </w:r>
    </w:p>
    <w:p w:rsidR="009B4EA3" w:rsidRPr="00CD5563" w:rsidRDefault="009B4EA3" w:rsidP="009B4EA3">
      <w:pPr>
        <w:pStyle w:val="Figure"/>
        <w:rPr>
          <w:lang w:val="en-GB" w:eastAsia="ko-KR"/>
        </w:rPr>
      </w:pPr>
    </w:p>
    <w:p w:rsidR="009B4EA3" w:rsidRPr="00CD5563" w:rsidRDefault="009B4EA3" w:rsidP="0008639C">
      <w:pPr>
        <w:widowControl w:val="0"/>
        <w:wordWrap w:val="0"/>
        <w:autoSpaceDE w:val="0"/>
        <w:autoSpaceDN w:val="0"/>
        <w:rPr>
          <w:rFonts w:eastAsia="Malgun Gothic"/>
          <w:szCs w:val="19"/>
          <w:lang w:val="en-GB" w:eastAsia="ko-KR"/>
        </w:rPr>
      </w:pPr>
    </w:p>
    <w:p w:rsidR="0008639C" w:rsidRPr="00CD5563" w:rsidRDefault="0008639C" w:rsidP="0008639C">
      <w:pPr>
        <w:widowControl w:val="0"/>
        <w:wordWrap w:val="0"/>
        <w:autoSpaceDE w:val="0"/>
        <w:autoSpaceDN w:val="0"/>
        <w:rPr>
          <w:rFonts w:eastAsia="Malgun Gothic"/>
          <w:szCs w:val="19"/>
          <w:lang w:val="en-GB" w:eastAsia="ko-KR"/>
        </w:rPr>
      </w:pPr>
      <w:r w:rsidRPr="00CD5563">
        <w:rPr>
          <w:rFonts w:eastAsia="Malgun Gothic"/>
          <w:szCs w:val="19"/>
          <w:lang w:val="en-GB" w:eastAsia="ko-KR"/>
        </w:rPr>
        <w:t>NGN conformance testing should consider specifications on:</w:t>
      </w:r>
    </w:p>
    <w:p w:rsidR="0008639C" w:rsidRPr="00CD5563" w:rsidRDefault="009B4EA3" w:rsidP="009B4EA3">
      <w:pPr>
        <w:pStyle w:val="Enumlevel1"/>
      </w:pPr>
      <w:r w:rsidRPr="00CD5563">
        <w:t>•</w:t>
      </w:r>
      <w:r w:rsidRPr="00CD5563">
        <w:tab/>
      </w:r>
      <w:r w:rsidR="0008639C" w:rsidRPr="00CD5563">
        <w:t>the test subject which is connected to the tester or reference machine and examines conformity with reference Recommendations;</w:t>
      </w:r>
    </w:p>
    <w:p w:rsidR="0008639C" w:rsidRPr="00CD5563" w:rsidRDefault="009B4EA3" w:rsidP="009B4EA3">
      <w:pPr>
        <w:pStyle w:val="Enumlevel1"/>
      </w:pPr>
      <w:r w:rsidRPr="00CD5563">
        <w:t>•</w:t>
      </w:r>
      <w:r w:rsidRPr="00CD5563">
        <w:tab/>
      </w:r>
      <w:r w:rsidR="0008639C" w:rsidRPr="00CD5563">
        <w:t>certifications or the type of approval which may be given to the products passed by the testing authority (this is not a mandatory function of conformance testing);</w:t>
      </w:r>
    </w:p>
    <w:p w:rsidR="0008639C" w:rsidRPr="00CD5563" w:rsidRDefault="009B4EA3" w:rsidP="009B4EA3">
      <w:pPr>
        <w:pStyle w:val="Enumlevel1"/>
      </w:pPr>
      <w:r w:rsidRPr="00CD5563">
        <w:t>•</w:t>
      </w:r>
      <w:r w:rsidRPr="00CD5563">
        <w:tab/>
      </w:r>
      <w:r w:rsidR="0008639C" w:rsidRPr="00CD5563">
        <w:t>test specifications for the conformance testing which are specified in the test specification language (e.g., PICS, PIXIT).</w:t>
      </w:r>
    </w:p>
    <w:p w:rsidR="0008639C" w:rsidRPr="00CD5563" w:rsidRDefault="0008639C" w:rsidP="0008639C">
      <w:pPr>
        <w:widowControl w:val="0"/>
        <w:wordWrap w:val="0"/>
        <w:autoSpaceDE w:val="0"/>
        <w:autoSpaceDN w:val="0"/>
        <w:spacing w:line="240" w:lineRule="atLeast"/>
        <w:rPr>
          <w:rFonts w:eastAsia="Malgun Gothic"/>
          <w:szCs w:val="19"/>
          <w:lang w:val="en-GB" w:eastAsia="ko-KR"/>
        </w:rPr>
      </w:pPr>
      <w:r w:rsidRPr="00CD5563">
        <w:rPr>
          <w:rFonts w:eastAsia="Malgun Gothic"/>
          <w:szCs w:val="19"/>
          <w:lang w:val="en-GB" w:eastAsia="ko-KR"/>
        </w:rPr>
        <w:t>The conformance assessment process involves following three phases: preparation, operation and reporting.</w:t>
      </w:r>
    </w:p>
    <w:p w:rsidR="0008639C" w:rsidRPr="00CD5563" w:rsidRDefault="0008639C" w:rsidP="009B4EA3">
      <w:pPr>
        <w:pStyle w:val="Enumlevel1"/>
      </w:pPr>
      <w:r w:rsidRPr="00CD5563">
        <w:t>1st phase is the preparation for testing as following step:</w:t>
      </w:r>
    </w:p>
    <w:p w:rsidR="0008639C" w:rsidRPr="00CD5563" w:rsidRDefault="0008639C" w:rsidP="009B4EA3">
      <w:pPr>
        <w:pStyle w:val="Enumlevel2"/>
        <w:rPr>
          <w:lang w:val="en-GB"/>
        </w:rPr>
      </w:pPr>
      <w:r w:rsidRPr="00CD5563">
        <w:rPr>
          <w:lang w:val="en-GB"/>
        </w:rPr>
        <w:t xml:space="preserve">1-1) </w:t>
      </w:r>
      <w:r w:rsidR="009B4EA3" w:rsidRPr="00CD5563">
        <w:rPr>
          <w:lang w:val="en-GB"/>
        </w:rPr>
        <w:tab/>
      </w:r>
      <w:r w:rsidRPr="00CD5563">
        <w:rPr>
          <w:lang w:val="en-GB"/>
        </w:rPr>
        <w:t>Set the test object, target interface and target Recommendations,</w:t>
      </w:r>
    </w:p>
    <w:p w:rsidR="0008639C" w:rsidRPr="00CD5563" w:rsidRDefault="0008639C" w:rsidP="009B4EA3">
      <w:pPr>
        <w:pStyle w:val="Enumlevel2"/>
        <w:rPr>
          <w:lang w:val="en-GB"/>
        </w:rPr>
      </w:pPr>
      <w:r w:rsidRPr="00CD5563">
        <w:rPr>
          <w:lang w:val="en-GB"/>
        </w:rPr>
        <w:t xml:space="preserve">1-2) </w:t>
      </w:r>
      <w:r w:rsidR="009B4EA3" w:rsidRPr="00CD5563">
        <w:rPr>
          <w:lang w:val="en-GB"/>
        </w:rPr>
        <w:tab/>
      </w:r>
      <w:r w:rsidRPr="00CD5563">
        <w:rPr>
          <w:lang w:val="en-GB"/>
        </w:rPr>
        <w:t>Set the physical configuration and target products, and</w:t>
      </w:r>
    </w:p>
    <w:p w:rsidR="0008639C" w:rsidRPr="00CD5563" w:rsidRDefault="0008639C" w:rsidP="009B4EA3">
      <w:pPr>
        <w:pStyle w:val="Enumlevel2"/>
        <w:rPr>
          <w:lang w:val="en-GB"/>
        </w:rPr>
      </w:pPr>
      <w:r w:rsidRPr="00CD5563">
        <w:rPr>
          <w:lang w:val="en-GB"/>
        </w:rPr>
        <w:t xml:space="preserve">1-3) </w:t>
      </w:r>
      <w:r w:rsidR="009B4EA3" w:rsidRPr="00CD5563">
        <w:rPr>
          <w:lang w:val="en-GB"/>
        </w:rPr>
        <w:tab/>
      </w:r>
      <w:r w:rsidRPr="00CD5563">
        <w:rPr>
          <w:lang w:val="en-GB"/>
        </w:rPr>
        <w:t>Define the test scenarios.</w:t>
      </w:r>
    </w:p>
    <w:p w:rsidR="0008639C" w:rsidRPr="00CD5563" w:rsidRDefault="0008639C" w:rsidP="009B4EA3">
      <w:pPr>
        <w:pStyle w:val="Enumlevel1"/>
      </w:pPr>
      <w:r w:rsidRPr="00CD5563">
        <w:t>2nd phase is for test operations with following step:</w:t>
      </w:r>
    </w:p>
    <w:p w:rsidR="0008639C" w:rsidRPr="00CD5563" w:rsidRDefault="0008639C" w:rsidP="009B4EA3">
      <w:pPr>
        <w:pStyle w:val="Enumlevel2"/>
        <w:rPr>
          <w:lang w:val="en-GB"/>
        </w:rPr>
      </w:pPr>
      <w:r w:rsidRPr="00CD5563">
        <w:rPr>
          <w:lang w:val="en-GB"/>
        </w:rPr>
        <w:t xml:space="preserve">2-1) </w:t>
      </w:r>
      <w:r w:rsidR="009B4EA3" w:rsidRPr="00CD5563">
        <w:rPr>
          <w:lang w:val="en-GB"/>
        </w:rPr>
        <w:tab/>
      </w:r>
      <w:r w:rsidRPr="00CD5563">
        <w:rPr>
          <w:lang w:val="en-GB"/>
        </w:rPr>
        <w:t>Static conformance review,</w:t>
      </w:r>
    </w:p>
    <w:p w:rsidR="0008639C" w:rsidRPr="00CD5563" w:rsidRDefault="0008639C" w:rsidP="009B4EA3">
      <w:pPr>
        <w:pStyle w:val="Enumlevel2"/>
        <w:rPr>
          <w:lang w:val="en-GB"/>
        </w:rPr>
      </w:pPr>
      <w:r w:rsidRPr="00CD5563">
        <w:rPr>
          <w:lang w:val="en-GB"/>
        </w:rPr>
        <w:t xml:space="preserve">2-2) </w:t>
      </w:r>
      <w:r w:rsidR="009B4EA3" w:rsidRPr="00CD5563">
        <w:rPr>
          <w:lang w:val="en-GB"/>
        </w:rPr>
        <w:tab/>
      </w:r>
      <w:r w:rsidRPr="00CD5563">
        <w:rPr>
          <w:lang w:val="en-GB"/>
        </w:rPr>
        <w:t>Test selection and parameterization,</w:t>
      </w:r>
    </w:p>
    <w:p w:rsidR="0008639C" w:rsidRPr="00CD5563" w:rsidRDefault="0008639C" w:rsidP="009B4EA3">
      <w:pPr>
        <w:pStyle w:val="Enumlevel2"/>
        <w:rPr>
          <w:lang w:val="en-GB"/>
        </w:rPr>
      </w:pPr>
      <w:r w:rsidRPr="00CD5563">
        <w:rPr>
          <w:lang w:val="en-GB"/>
        </w:rPr>
        <w:t xml:space="preserve">2-3) </w:t>
      </w:r>
      <w:r w:rsidR="009B4EA3" w:rsidRPr="00CD5563">
        <w:rPr>
          <w:lang w:val="en-GB"/>
        </w:rPr>
        <w:tab/>
      </w:r>
      <w:r w:rsidRPr="00CD5563">
        <w:rPr>
          <w:lang w:val="en-GB"/>
        </w:rPr>
        <w:t>Test campaigns (examine the conformance testing according to the scenarios) and,</w:t>
      </w:r>
    </w:p>
    <w:p w:rsidR="0008639C" w:rsidRPr="00CD5563" w:rsidRDefault="0008639C" w:rsidP="009B4EA3">
      <w:pPr>
        <w:pStyle w:val="Enumlevel2"/>
        <w:rPr>
          <w:lang w:val="en-GB"/>
        </w:rPr>
      </w:pPr>
      <w:r w:rsidRPr="00CD5563">
        <w:rPr>
          <w:lang w:val="en-GB"/>
        </w:rPr>
        <w:t xml:space="preserve">2-4) </w:t>
      </w:r>
      <w:r w:rsidR="009B4EA3" w:rsidRPr="00CD5563">
        <w:rPr>
          <w:lang w:val="en-GB"/>
        </w:rPr>
        <w:tab/>
      </w:r>
      <w:r w:rsidRPr="00CD5563">
        <w:rPr>
          <w:lang w:val="en-GB"/>
        </w:rPr>
        <w:t>Analysis of results.</w:t>
      </w:r>
    </w:p>
    <w:p w:rsidR="0008639C" w:rsidRPr="00CD5563" w:rsidRDefault="0008639C" w:rsidP="0008639C">
      <w:pPr>
        <w:widowControl w:val="0"/>
        <w:wordWrap w:val="0"/>
        <w:autoSpaceDE w:val="0"/>
        <w:autoSpaceDN w:val="0"/>
        <w:spacing w:line="240" w:lineRule="atLeast"/>
        <w:rPr>
          <w:rFonts w:eastAsia="Malgun Gothic"/>
          <w:szCs w:val="19"/>
          <w:lang w:val="en-GB" w:eastAsia="ko-KR"/>
        </w:rPr>
      </w:pPr>
      <w:r w:rsidRPr="00CD5563">
        <w:rPr>
          <w:rFonts w:eastAsia="Malgun Gothic"/>
          <w:szCs w:val="19"/>
          <w:lang w:val="en-GB" w:eastAsia="ko-KR"/>
        </w:rPr>
        <w:t xml:space="preserve">Finally </w:t>
      </w:r>
      <w:r w:rsidRPr="00CD5563">
        <w:rPr>
          <w:lang w:val="en-GB"/>
        </w:rPr>
        <w:t xml:space="preserve">3rd </w:t>
      </w:r>
      <w:r w:rsidRPr="00CD5563">
        <w:rPr>
          <w:rFonts w:eastAsia="Malgun Gothic"/>
          <w:szCs w:val="19"/>
          <w:lang w:val="en-GB" w:eastAsia="ko-KR"/>
        </w:rPr>
        <w:t>phase is production of the test report.</w:t>
      </w:r>
    </w:p>
    <w:p w:rsidR="0008639C" w:rsidRPr="00CD5563" w:rsidRDefault="0008639C" w:rsidP="009B4EA3">
      <w:pPr>
        <w:pStyle w:val="Heading2"/>
        <w:rPr>
          <w:rFonts w:eastAsia="Malgun Gothic"/>
          <w:lang w:val="en-GB" w:eastAsia="ko-KR"/>
        </w:rPr>
      </w:pPr>
      <w:bookmarkStart w:id="402" w:name="_Toc380487724"/>
      <w:bookmarkStart w:id="403" w:name="_Toc381025043"/>
      <w:r w:rsidRPr="00CD5563">
        <w:rPr>
          <w:rFonts w:eastAsia="Malgun Gothic"/>
          <w:lang w:val="en-GB" w:eastAsia="ko-KR"/>
        </w:rPr>
        <w:t xml:space="preserve">4.2 </w:t>
      </w:r>
      <w:r w:rsidR="007A3917">
        <w:rPr>
          <w:rFonts w:eastAsia="Malgun Gothic"/>
          <w:lang w:val="en-GB" w:eastAsia="ko-KR"/>
        </w:rPr>
        <w:tab/>
      </w:r>
      <w:r w:rsidRPr="00CD5563">
        <w:rPr>
          <w:rFonts w:eastAsia="Malgun Gothic"/>
          <w:lang w:val="en-GB" w:eastAsia="ko-KR"/>
        </w:rPr>
        <w:t>NGN interoperability testing</w:t>
      </w:r>
      <w:bookmarkEnd w:id="402"/>
      <w:bookmarkEnd w:id="403"/>
    </w:p>
    <w:p w:rsidR="0008639C" w:rsidRPr="00CD5563" w:rsidRDefault="0008639C" w:rsidP="009B4EA3">
      <w:pPr>
        <w:rPr>
          <w:lang w:val="en-GB" w:eastAsia="ko-KR"/>
        </w:rPr>
      </w:pPr>
      <w:r w:rsidRPr="00CD5563">
        <w:rPr>
          <w:lang w:val="en-GB" w:eastAsia="ko-KR"/>
        </w:rPr>
        <w:t>Interoperability testing for NGNs is performed on two or more products. Its objective is to check the ability and performance of the products implemented by mutually exchanging information. The interoperability testing procedures of [ITU-T X-Sup.4] and [ITU-T X-Sup.5] may be referenced when undertaking NGN interoperability testing,</w:t>
      </w:r>
    </w:p>
    <w:p w:rsidR="0008639C" w:rsidRPr="00CD5563" w:rsidRDefault="0008639C" w:rsidP="009B4EA3">
      <w:pPr>
        <w:rPr>
          <w:lang w:val="en-GB" w:eastAsia="ko-KR"/>
        </w:rPr>
      </w:pPr>
      <w:r w:rsidRPr="00CD5563">
        <w:rPr>
          <w:lang w:val="en-GB" w:eastAsia="ko-KR"/>
        </w:rPr>
        <w:t>Figure 4-3 shows the overview of the execution procedure for interoperability testing which identified in [ITU-T X-Sup.4] and [ITU-T X-Sup.5].</w:t>
      </w:r>
    </w:p>
    <w:p w:rsidR="009B4EA3" w:rsidRPr="00CD5563" w:rsidRDefault="009B4EA3" w:rsidP="009B4EA3">
      <w:pPr>
        <w:pStyle w:val="Figuretitle"/>
        <w:rPr>
          <w:lang w:val="en-GB" w:eastAsia="ko-KR"/>
        </w:rPr>
      </w:pPr>
      <w:bookmarkStart w:id="404" w:name="_Toc380497395"/>
      <w:r w:rsidRPr="00CD5563">
        <w:rPr>
          <w:lang w:val="en-GB" w:eastAsia="ko-KR"/>
        </w:rPr>
        <w:t>Figure 4-3: Interoperability testing procedure</w:t>
      </w:r>
      <w:bookmarkEnd w:id="404"/>
    </w:p>
    <w:p w:rsidR="0008639C" w:rsidRPr="00CD5563" w:rsidRDefault="0008639C" w:rsidP="009B4EA3">
      <w:pPr>
        <w:pStyle w:val="Figure"/>
        <w:rPr>
          <w:lang w:val="en-GB" w:eastAsia="ko-KR"/>
        </w:rPr>
      </w:pPr>
      <w:r w:rsidRPr="00CD5563">
        <w:rPr>
          <w:noProof/>
          <w:lang w:val="ru-RU" w:eastAsia="zh-CN"/>
        </w:rPr>
        <w:drawing>
          <wp:inline distT="0" distB="0" distL="0" distR="0" wp14:anchorId="602ACEF5" wp14:editId="65526438">
            <wp:extent cx="4498975" cy="3986530"/>
            <wp:effectExtent l="1905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1" cstate="print"/>
                    <a:srcRect/>
                    <a:stretch>
                      <a:fillRect/>
                    </a:stretch>
                  </pic:blipFill>
                  <pic:spPr bwMode="auto">
                    <a:xfrm>
                      <a:off x="0" y="0"/>
                      <a:ext cx="4498975" cy="3986530"/>
                    </a:xfrm>
                    <a:prstGeom prst="rect">
                      <a:avLst/>
                    </a:prstGeom>
                    <a:noFill/>
                    <a:ln w="9525">
                      <a:noFill/>
                      <a:miter lim="800000"/>
                      <a:headEnd/>
                      <a:tailEnd/>
                    </a:ln>
                  </pic:spPr>
                </pic:pic>
              </a:graphicData>
            </a:graphic>
          </wp:inline>
        </w:drawing>
      </w:r>
    </w:p>
    <w:p w:rsidR="009B4EA3" w:rsidRPr="00CD5563" w:rsidRDefault="009B4EA3" w:rsidP="009B4EA3">
      <w:pPr>
        <w:pStyle w:val="Figure"/>
        <w:rPr>
          <w:lang w:val="en-GB" w:eastAsia="ko-KR"/>
        </w:rPr>
      </w:pPr>
    </w:p>
    <w:p w:rsidR="007A3917" w:rsidRDefault="007A3917" w:rsidP="009B4EA3">
      <w:pPr>
        <w:rPr>
          <w:lang w:val="en-GB" w:eastAsia="ko-KR"/>
        </w:rPr>
      </w:pPr>
    </w:p>
    <w:p w:rsidR="0008639C" w:rsidRPr="00CD5563" w:rsidRDefault="0008639C" w:rsidP="007A3917">
      <w:pPr>
        <w:keepNext/>
        <w:keepLines/>
        <w:rPr>
          <w:lang w:val="en-GB" w:eastAsia="ko-KR"/>
        </w:rPr>
      </w:pPr>
      <w:r w:rsidRPr="00CD5563">
        <w:rPr>
          <w:lang w:val="en-GB" w:eastAsia="ko-KR"/>
        </w:rPr>
        <w:t>The execution procedure of interoperability testing in [ITU-T X-Sup.4] and [ITU-T X-Sup.5] is described as follows:</w:t>
      </w:r>
    </w:p>
    <w:p w:rsidR="0008639C" w:rsidRPr="00CD5563" w:rsidRDefault="009B4EA3" w:rsidP="007A3917">
      <w:pPr>
        <w:pStyle w:val="Enumlevel1"/>
        <w:keepNext/>
        <w:keepLines/>
      </w:pPr>
      <w:r w:rsidRPr="00CD5563">
        <w:t>•</w:t>
      </w:r>
      <w:r w:rsidRPr="00CD5563">
        <w:tab/>
      </w:r>
      <w:r w:rsidR="0008639C" w:rsidRPr="00CD5563">
        <w:t>The test operator should receive the information conformance statement (ICS) and implementation extra information for testing (IXIT), described in the applicable reference Recommendations;</w:t>
      </w:r>
    </w:p>
    <w:p w:rsidR="0008639C" w:rsidRPr="00CD5563" w:rsidRDefault="009B4EA3" w:rsidP="007A3917">
      <w:pPr>
        <w:pStyle w:val="Enumlevel1"/>
        <w:keepNext/>
        <w:keepLines/>
      </w:pPr>
      <w:r w:rsidRPr="00CD5563">
        <w:t>•</w:t>
      </w:r>
      <w:r w:rsidRPr="00CD5563">
        <w:tab/>
      </w:r>
      <w:r w:rsidR="0008639C" w:rsidRPr="00CD5563">
        <w:t>A static interoperability review is executed according to the content described in the ICSs and IXITs;</w:t>
      </w:r>
    </w:p>
    <w:p w:rsidR="0008639C" w:rsidRPr="00CD5563" w:rsidRDefault="009B4EA3" w:rsidP="009B4EA3">
      <w:pPr>
        <w:pStyle w:val="Enumlevel1"/>
      </w:pPr>
      <w:r w:rsidRPr="00CD5563">
        <w:t>•</w:t>
      </w:r>
      <w:r w:rsidRPr="00CD5563">
        <w:tab/>
      </w:r>
      <w:r w:rsidR="0008639C" w:rsidRPr="00CD5563">
        <w:t>If after review of the static interoperability test results, it is judged that interoperability testing does not need to be executed, then the test operation will be ended;</w:t>
      </w:r>
    </w:p>
    <w:p w:rsidR="0008639C" w:rsidRPr="00CD5563" w:rsidRDefault="009B4EA3" w:rsidP="009B4EA3">
      <w:pPr>
        <w:pStyle w:val="Enumlevel1"/>
        <w:rPr>
          <w:lang w:eastAsia="ko-KR"/>
        </w:rPr>
      </w:pPr>
      <w:r w:rsidRPr="00CD5563">
        <w:t>•</w:t>
      </w:r>
      <w:r w:rsidRPr="00CD5563">
        <w:tab/>
      </w:r>
      <w:r w:rsidR="0008639C" w:rsidRPr="00CD5563">
        <w:rPr>
          <w:lang w:eastAsia="ko-KR"/>
        </w:rPr>
        <w:t>When it is necessary to execute the tests, the settings of the test method, the test environment architecture and the test specification will be explained in detail during the process of test selection and parameterization;</w:t>
      </w:r>
    </w:p>
    <w:p w:rsidR="0008639C" w:rsidRPr="00CD5563" w:rsidRDefault="009B4EA3" w:rsidP="009B4EA3">
      <w:pPr>
        <w:pStyle w:val="Enumlevel1"/>
        <w:rPr>
          <w:lang w:eastAsia="ko-KR"/>
        </w:rPr>
      </w:pPr>
      <w:r w:rsidRPr="00CD5563">
        <w:t>•</w:t>
      </w:r>
      <w:r w:rsidRPr="00CD5563">
        <w:tab/>
      </w:r>
      <w:r w:rsidR="0008639C" w:rsidRPr="00CD5563">
        <w:rPr>
          <w:lang w:eastAsia="ko-KR"/>
        </w:rPr>
        <w:t>Dynamic interoperability testing is executed according to the procedure of the prepared test specification that is built in two or more implementations under test (IUTs) which, as target products, connected mutually;</w:t>
      </w:r>
    </w:p>
    <w:p w:rsidR="0008639C" w:rsidRPr="00CD5563" w:rsidRDefault="009B4EA3" w:rsidP="009B4EA3">
      <w:pPr>
        <w:pStyle w:val="Enumlevel1"/>
        <w:rPr>
          <w:lang w:eastAsia="ko-KR"/>
        </w:rPr>
      </w:pPr>
      <w:r w:rsidRPr="00CD5563">
        <w:t>•</w:t>
      </w:r>
      <w:r w:rsidRPr="00CD5563">
        <w:tab/>
      </w:r>
      <w:r w:rsidR="0008639C" w:rsidRPr="00CD5563">
        <w:rPr>
          <w:lang w:eastAsia="ko-KR"/>
        </w:rPr>
        <w:t>The test output in dynamic interoperability testing would be analyzed and the test result report would be generated.</w:t>
      </w:r>
    </w:p>
    <w:p w:rsidR="0008639C" w:rsidRPr="00CD5563" w:rsidRDefault="0008639C" w:rsidP="009B4EA3">
      <w:pPr>
        <w:rPr>
          <w:lang w:val="en-GB" w:eastAsia="ko-KR"/>
        </w:rPr>
      </w:pPr>
      <w:r w:rsidRPr="00CD5563">
        <w:rPr>
          <w:lang w:val="en-GB" w:eastAsia="ko-KR"/>
        </w:rPr>
        <w:t>Interoperability testing for NGNs should consider specifications on multiple products from multiple vendors that are connected and tested for interoperability at the service and transport level, or both. And NGN interoperability testing should be conducted in the following steps:</w:t>
      </w:r>
    </w:p>
    <w:p w:rsidR="0008639C" w:rsidRPr="00CD5563" w:rsidRDefault="009B4EA3" w:rsidP="009B4EA3">
      <w:pPr>
        <w:pStyle w:val="Enumlevel1"/>
      </w:pPr>
      <w:r w:rsidRPr="00CD5563">
        <w:t>1)</w:t>
      </w:r>
      <w:r w:rsidRPr="00CD5563">
        <w:tab/>
      </w:r>
      <w:r w:rsidR="0008639C" w:rsidRPr="00CD5563">
        <w:t>Preparation for testing</w:t>
      </w:r>
    </w:p>
    <w:p w:rsidR="0008639C" w:rsidRPr="00CD5563" w:rsidRDefault="0008639C" w:rsidP="009B4EA3">
      <w:pPr>
        <w:pStyle w:val="Enumlevel2"/>
        <w:rPr>
          <w:lang w:val="en-GB"/>
        </w:rPr>
      </w:pPr>
      <w:r w:rsidRPr="00CD5563">
        <w:rPr>
          <w:lang w:val="en-GB"/>
        </w:rPr>
        <w:t xml:space="preserve">1-1) </w:t>
      </w:r>
      <w:r w:rsidR="009B4EA3" w:rsidRPr="00CD5563">
        <w:rPr>
          <w:lang w:val="en-GB"/>
        </w:rPr>
        <w:tab/>
      </w:r>
      <w:r w:rsidRPr="00CD5563">
        <w:rPr>
          <w:lang w:val="en-GB"/>
        </w:rPr>
        <w:t>Set the test object, target interface and target Recommendations</w:t>
      </w:r>
    </w:p>
    <w:p w:rsidR="0008639C" w:rsidRPr="00CD5563" w:rsidRDefault="0008639C" w:rsidP="009B4EA3">
      <w:pPr>
        <w:pStyle w:val="Enumlevel2"/>
        <w:rPr>
          <w:lang w:val="en-GB"/>
        </w:rPr>
      </w:pPr>
      <w:r w:rsidRPr="00CD5563">
        <w:rPr>
          <w:lang w:val="en-GB"/>
        </w:rPr>
        <w:t xml:space="preserve">1-2) </w:t>
      </w:r>
      <w:r w:rsidR="009B4EA3" w:rsidRPr="00CD5563">
        <w:rPr>
          <w:lang w:val="en-GB"/>
        </w:rPr>
        <w:tab/>
      </w:r>
      <w:r w:rsidRPr="00CD5563">
        <w:rPr>
          <w:lang w:val="en-GB"/>
        </w:rPr>
        <w:t>Set the physical configuration and target products</w:t>
      </w:r>
    </w:p>
    <w:p w:rsidR="0008639C" w:rsidRPr="00CD5563" w:rsidRDefault="0008639C" w:rsidP="009B4EA3">
      <w:pPr>
        <w:pStyle w:val="Enumlevel2"/>
        <w:rPr>
          <w:lang w:val="en-GB"/>
        </w:rPr>
      </w:pPr>
      <w:r w:rsidRPr="00CD5563">
        <w:rPr>
          <w:lang w:val="en-GB"/>
        </w:rPr>
        <w:t xml:space="preserve">1-3) </w:t>
      </w:r>
      <w:r w:rsidR="009B4EA3" w:rsidRPr="00CD5563">
        <w:rPr>
          <w:lang w:val="en-GB"/>
        </w:rPr>
        <w:tab/>
      </w:r>
      <w:r w:rsidRPr="00CD5563">
        <w:rPr>
          <w:lang w:val="en-GB"/>
        </w:rPr>
        <w:t>Define the test scenarios.</w:t>
      </w:r>
    </w:p>
    <w:p w:rsidR="0008639C" w:rsidRPr="00CD5563" w:rsidRDefault="009B4EA3" w:rsidP="009B4EA3">
      <w:pPr>
        <w:pStyle w:val="Enumlevel1"/>
      </w:pPr>
      <w:r w:rsidRPr="00CD5563">
        <w:t>2)</w:t>
      </w:r>
      <w:r w:rsidRPr="00CD5563">
        <w:tab/>
      </w:r>
      <w:r w:rsidR="0008639C" w:rsidRPr="00CD5563">
        <w:t>IOPT operations</w:t>
      </w:r>
    </w:p>
    <w:p w:rsidR="0008639C" w:rsidRPr="00CD5563" w:rsidRDefault="0008639C" w:rsidP="009B4EA3">
      <w:pPr>
        <w:pStyle w:val="Enumlevel2"/>
        <w:rPr>
          <w:lang w:val="en-GB"/>
        </w:rPr>
      </w:pPr>
      <w:r w:rsidRPr="00CD5563">
        <w:rPr>
          <w:lang w:val="en-GB"/>
        </w:rPr>
        <w:t xml:space="preserve">2-1) </w:t>
      </w:r>
      <w:r w:rsidR="009B4EA3" w:rsidRPr="00CD5563">
        <w:rPr>
          <w:lang w:val="en-GB"/>
        </w:rPr>
        <w:tab/>
      </w:r>
      <w:r w:rsidRPr="00CD5563">
        <w:rPr>
          <w:lang w:val="en-GB"/>
        </w:rPr>
        <w:t>Static interoperability review</w:t>
      </w:r>
    </w:p>
    <w:p w:rsidR="0008639C" w:rsidRPr="00CD5563" w:rsidRDefault="0008639C" w:rsidP="009B4EA3">
      <w:pPr>
        <w:pStyle w:val="Enumlevel2"/>
        <w:rPr>
          <w:lang w:val="en-GB"/>
        </w:rPr>
      </w:pPr>
      <w:r w:rsidRPr="00CD5563">
        <w:rPr>
          <w:lang w:val="en-GB"/>
        </w:rPr>
        <w:t xml:space="preserve">2-2) </w:t>
      </w:r>
      <w:r w:rsidR="009B4EA3" w:rsidRPr="00CD5563">
        <w:rPr>
          <w:lang w:val="en-GB"/>
        </w:rPr>
        <w:tab/>
      </w:r>
      <w:r w:rsidRPr="00CD5563">
        <w:rPr>
          <w:lang w:val="en-GB"/>
        </w:rPr>
        <w:t>Test selection and parameterization</w:t>
      </w:r>
    </w:p>
    <w:p w:rsidR="0008639C" w:rsidRPr="00CD5563" w:rsidRDefault="0008639C" w:rsidP="009B4EA3">
      <w:pPr>
        <w:pStyle w:val="Enumlevel2"/>
        <w:rPr>
          <w:lang w:val="en-GB"/>
        </w:rPr>
      </w:pPr>
      <w:r w:rsidRPr="00CD5563">
        <w:rPr>
          <w:lang w:val="en-GB"/>
        </w:rPr>
        <w:t xml:space="preserve">2-3) </w:t>
      </w:r>
      <w:r w:rsidR="009B4EA3" w:rsidRPr="00CD5563">
        <w:rPr>
          <w:lang w:val="en-GB"/>
        </w:rPr>
        <w:tab/>
      </w:r>
      <w:r w:rsidRPr="00CD5563">
        <w:rPr>
          <w:lang w:val="en-GB"/>
        </w:rPr>
        <w:t>Dynamic interoperability testing (examine the interoperability testing according to the test scenarios).</w:t>
      </w:r>
    </w:p>
    <w:p w:rsidR="0008639C" w:rsidRPr="00CD5563" w:rsidRDefault="0008639C" w:rsidP="009B4EA3">
      <w:pPr>
        <w:pStyle w:val="Enumlevel1"/>
      </w:pPr>
      <w:r w:rsidRPr="00CD5563">
        <w:t xml:space="preserve">3) </w:t>
      </w:r>
      <w:r w:rsidR="009B4EA3" w:rsidRPr="00CD5563">
        <w:tab/>
      </w:r>
      <w:r w:rsidRPr="00CD5563">
        <w:t>Analysis of test results.</w:t>
      </w:r>
    </w:p>
    <w:p w:rsidR="0008639C" w:rsidRPr="00CD5563" w:rsidRDefault="0008639C" w:rsidP="009B4EA3">
      <w:pPr>
        <w:pStyle w:val="Enumlevel1"/>
      </w:pPr>
      <w:r w:rsidRPr="00CD5563">
        <w:t xml:space="preserve">4) </w:t>
      </w:r>
      <w:r w:rsidR="009B4EA3" w:rsidRPr="00CD5563">
        <w:tab/>
      </w:r>
      <w:r w:rsidRPr="00CD5563">
        <w:t>Generation of test report.</w:t>
      </w:r>
    </w:p>
    <w:p w:rsidR="0008639C" w:rsidRPr="00CD5563" w:rsidRDefault="009B4EA3" w:rsidP="009B4EA3">
      <w:pPr>
        <w:pStyle w:val="Heading2"/>
        <w:rPr>
          <w:rFonts w:eastAsia="Malgun Gothic"/>
          <w:lang w:val="en-GB" w:eastAsia="ko-KR"/>
        </w:rPr>
      </w:pPr>
      <w:bookmarkStart w:id="405" w:name="_Toc380487725"/>
      <w:bookmarkStart w:id="406" w:name="_Toc381025044"/>
      <w:r w:rsidRPr="00CD5563">
        <w:rPr>
          <w:rFonts w:eastAsia="Malgun Gothic"/>
          <w:lang w:val="en-GB" w:eastAsia="ko-KR"/>
        </w:rPr>
        <w:t>4.3</w:t>
      </w:r>
      <w:r w:rsidRPr="00CD5563">
        <w:rPr>
          <w:rFonts w:eastAsia="Malgun Gothic"/>
          <w:lang w:val="en-GB" w:eastAsia="ko-KR"/>
        </w:rPr>
        <w:tab/>
      </w:r>
      <w:r w:rsidR="0008639C" w:rsidRPr="00CD5563">
        <w:rPr>
          <w:rFonts w:eastAsia="Malgun Gothic"/>
          <w:lang w:val="en-GB" w:eastAsia="ko-KR"/>
        </w:rPr>
        <w:t>Positioning map of NGN testing specification documents</w:t>
      </w:r>
      <w:bookmarkEnd w:id="405"/>
      <w:bookmarkEnd w:id="406"/>
    </w:p>
    <w:p w:rsidR="0008639C" w:rsidRPr="00CD5563" w:rsidRDefault="0008639C" w:rsidP="009B4EA3">
      <w:pPr>
        <w:rPr>
          <w:lang w:val="en-GB" w:eastAsia="ko-KR"/>
        </w:rPr>
      </w:pPr>
      <w:r w:rsidRPr="00CD5563">
        <w:rPr>
          <w:lang w:val="en-GB" w:eastAsia="ko-KR"/>
        </w:rPr>
        <w:t>A number of ITU-T Recommendations contain NGN testing specifications. Following Table 4-4 shows the relationship between the ITU-T Handbook on testing of NGN and ITU-T Recommendations specifying NGN testing.</w:t>
      </w:r>
    </w:p>
    <w:p w:rsidR="0008639C" w:rsidRPr="00CD5563" w:rsidRDefault="0008639C" w:rsidP="009B4EA3">
      <w:pPr>
        <w:pStyle w:val="Tabletitle"/>
        <w:keepNext/>
        <w:keepLines/>
        <w:rPr>
          <w:lang w:val="en-GB" w:eastAsia="ko-KR"/>
        </w:rPr>
      </w:pPr>
      <w:bookmarkStart w:id="407" w:name="_Toc380497652"/>
      <w:r w:rsidRPr="00CD5563">
        <w:rPr>
          <w:lang w:val="en-GB" w:eastAsia="ko-KR"/>
        </w:rPr>
        <w:t>Table 4-4</w:t>
      </w:r>
      <w:r w:rsidR="009B4EA3" w:rsidRPr="00CD5563">
        <w:rPr>
          <w:lang w:val="en-GB" w:eastAsia="ko-KR"/>
        </w:rPr>
        <w:t>:</w:t>
      </w:r>
      <w:r w:rsidRPr="00CD5563">
        <w:rPr>
          <w:lang w:val="en-GB" w:eastAsia="ko-KR"/>
        </w:rPr>
        <w:t xml:space="preserve"> Recommendations for NGN tests</w:t>
      </w:r>
      <w:bookmarkEnd w:id="407"/>
    </w:p>
    <w:p w:rsidR="0008639C" w:rsidRPr="00CD5563" w:rsidRDefault="0008639C" w:rsidP="009B4EA3">
      <w:pPr>
        <w:pStyle w:val="Tabletext"/>
        <w:jc w:val="center"/>
        <w:rPr>
          <w:lang w:val="en-GB" w:eastAsia="ko-KR"/>
        </w:rPr>
      </w:pPr>
      <w:r w:rsidRPr="00CD5563">
        <w:rPr>
          <w:noProof/>
          <w:lang w:val="ru-RU" w:eastAsia="zh-CN"/>
        </w:rPr>
        <w:drawing>
          <wp:inline distT="0" distB="0" distL="0" distR="0" wp14:anchorId="24DBA2AB" wp14:editId="18FC4A4C">
            <wp:extent cx="4052570" cy="3343275"/>
            <wp:effectExtent l="19050" t="0" r="5080" b="0"/>
            <wp:docPr id="63"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2" cstate="print"/>
                    <a:srcRect/>
                    <a:stretch>
                      <a:fillRect/>
                    </a:stretch>
                  </pic:blipFill>
                  <pic:spPr bwMode="auto">
                    <a:xfrm>
                      <a:off x="0" y="0"/>
                      <a:ext cx="4052570" cy="3343275"/>
                    </a:xfrm>
                    <a:prstGeom prst="rect">
                      <a:avLst/>
                    </a:prstGeom>
                    <a:noFill/>
                    <a:ln w="9525">
                      <a:noFill/>
                      <a:miter lim="800000"/>
                      <a:headEnd/>
                      <a:tailEnd/>
                    </a:ln>
                  </pic:spPr>
                </pic:pic>
              </a:graphicData>
            </a:graphic>
          </wp:inline>
        </w:drawing>
      </w:r>
    </w:p>
    <w:p w:rsidR="009B4EA3" w:rsidRPr="00CD5563" w:rsidRDefault="009B4EA3" w:rsidP="009B4EA3">
      <w:pPr>
        <w:rPr>
          <w:lang w:val="en-GB"/>
        </w:rPr>
      </w:pPr>
      <w:r w:rsidRPr="00CD5563">
        <w:rPr>
          <w:lang w:val="en-GB"/>
        </w:rPr>
        <w:br w:type="page"/>
      </w:r>
    </w:p>
    <w:p w:rsidR="0008639C" w:rsidRPr="00CD5563" w:rsidRDefault="0008639C" w:rsidP="009C6EC7">
      <w:pPr>
        <w:pStyle w:val="Heading1"/>
        <w:rPr>
          <w:lang w:val="en-GB"/>
        </w:rPr>
      </w:pPr>
      <w:bookmarkStart w:id="408" w:name="_Toc380487726"/>
      <w:bookmarkStart w:id="409" w:name="_Toc381025045"/>
      <w:r w:rsidRPr="00CD5563">
        <w:rPr>
          <w:lang w:val="en-GB"/>
        </w:rPr>
        <w:t>Annex 7: Examples of Migration Scenarios</w:t>
      </w:r>
      <w:bookmarkEnd w:id="408"/>
      <w:bookmarkEnd w:id="409"/>
    </w:p>
    <w:p w:rsidR="0008639C" w:rsidRPr="00CD5563" w:rsidRDefault="009C6EC7" w:rsidP="009C6EC7">
      <w:pPr>
        <w:pStyle w:val="Heading1"/>
        <w:rPr>
          <w:rFonts w:eastAsiaTheme="minorEastAsia"/>
          <w:lang w:val="en-GB" w:eastAsia="ko-KR"/>
        </w:rPr>
      </w:pPr>
      <w:bookmarkStart w:id="410" w:name="_Toc380487727"/>
      <w:bookmarkStart w:id="411" w:name="_Toc381025046"/>
      <w:bookmarkStart w:id="412" w:name="_Toc119973598"/>
      <w:bookmarkStart w:id="413" w:name="_Toc147129216"/>
      <w:bookmarkStart w:id="414" w:name="_Toc154555583"/>
      <w:bookmarkStart w:id="415" w:name="_Toc157314257"/>
      <w:bookmarkStart w:id="416" w:name="_Toc157314687"/>
      <w:bookmarkStart w:id="417" w:name="_Toc157586490"/>
      <w:r w:rsidRPr="00CD5563">
        <w:rPr>
          <w:rFonts w:eastAsiaTheme="minorEastAsia"/>
          <w:lang w:val="en-GB" w:eastAsia="ko-KR"/>
        </w:rPr>
        <w:t>1</w:t>
      </w:r>
      <w:r w:rsidR="0008639C" w:rsidRPr="00CD5563">
        <w:rPr>
          <w:rFonts w:eastAsiaTheme="minorEastAsia"/>
          <w:lang w:val="en-GB" w:eastAsia="ko-KR"/>
        </w:rPr>
        <w:tab/>
        <w:t>Core Network migration to NGN</w:t>
      </w:r>
      <w:bookmarkEnd w:id="410"/>
      <w:bookmarkEnd w:id="411"/>
    </w:p>
    <w:p w:rsidR="0008639C" w:rsidRPr="00CD5563" w:rsidRDefault="0008639C" w:rsidP="009C6EC7">
      <w:pPr>
        <w:pStyle w:val="Heading2"/>
        <w:rPr>
          <w:rFonts w:eastAsia="Malgun Gothic"/>
          <w:lang w:val="en-GB" w:eastAsia="ko-KR"/>
        </w:rPr>
      </w:pPr>
      <w:bookmarkStart w:id="418" w:name="_Toc147129219"/>
      <w:bookmarkStart w:id="419" w:name="_Toc380487728"/>
      <w:bookmarkStart w:id="420" w:name="_Toc381025047"/>
      <w:bookmarkStart w:id="421" w:name="_Toc62467297"/>
      <w:bookmarkStart w:id="422" w:name="_Toc64089665"/>
      <w:bookmarkEnd w:id="412"/>
      <w:bookmarkEnd w:id="413"/>
      <w:bookmarkEnd w:id="414"/>
      <w:bookmarkEnd w:id="415"/>
      <w:bookmarkEnd w:id="416"/>
      <w:bookmarkEnd w:id="417"/>
      <w:r w:rsidRPr="00CD5563">
        <w:rPr>
          <w:rFonts w:eastAsia="Malgun Gothic"/>
          <w:lang w:val="en-GB" w:eastAsia="ko-KR"/>
        </w:rPr>
        <w:t>1.1</w:t>
      </w:r>
      <w:r w:rsidRPr="00CD5563">
        <w:rPr>
          <w:rFonts w:eastAsia="Malgun Gothic"/>
          <w:lang w:val="en-GB" w:eastAsia="ko-KR"/>
        </w:rPr>
        <w:tab/>
        <w:t>Consolidation of local and remote exchanges for migration to NGN</w:t>
      </w:r>
      <w:bookmarkEnd w:id="418"/>
      <w:bookmarkEnd w:id="419"/>
      <w:bookmarkEnd w:id="420"/>
    </w:p>
    <w:p w:rsidR="0008639C" w:rsidRPr="00CD5563" w:rsidRDefault="0008639C" w:rsidP="009C6EC7">
      <w:pPr>
        <w:rPr>
          <w:lang w:val="en-GB"/>
        </w:rPr>
      </w:pPr>
      <w:r w:rsidRPr="00CD5563">
        <w:rPr>
          <w:lang w:val="en-GB"/>
        </w:rPr>
        <w:t>In order to prepare the PSTN/ISDN for the migration to a NGN, and as an initial step, some of the LEs (Local Exchanges) can be removed and all their functionalities such as control, accounting, etc. transferred to those remaining LEs. The affected UAMs (User Access Modules), PBXs, and ANs (Access Networks) are connected to the remaining LEs. Further consolidation occurs when UAMs become RUAMs (Remote UAMs), which are connected to the remaining LEs. Figure 1-1 shows this preparatory step.</w:t>
      </w:r>
    </w:p>
    <w:p w:rsidR="009C6EC7" w:rsidRPr="00CD5563" w:rsidRDefault="009C6EC7" w:rsidP="004A116A">
      <w:pPr>
        <w:pStyle w:val="Figuretitle"/>
        <w:pBdr>
          <w:left w:val="single" w:sz="12" w:space="0" w:color="005173"/>
        </w:pBdr>
        <w:rPr>
          <w:lang w:val="en-GB"/>
        </w:rPr>
      </w:pPr>
      <w:bookmarkStart w:id="423" w:name="_Toc380497396"/>
      <w:r w:rsidRPr="00CD5563">
        <w:rPr>
          <w:lang w:val="en-GB"/>
        </w:rPr>
        <w:t>Figure 1-1</w:t>
      </w:r>
      <w:r w:rsidR="00C33360">
        <w:rPr>
          <w:lang w:val="en-GB"/>
        </w:rPr>
        <w:t>:</w:t>
      </w:r>
      <w:r w:rsidRPr="00CD5563">
        <w:rPr>
          <w:lang w:val="en-GB"/>
        </w:rPr>
        <w:t xml:space="preserve"> Preparation for migration to NGN</w:t>
      </w:r>
      <w:bookmarkEnd w:id="423"/>
    </w:p>
    <w:p w:rsidR="0008639C" w:rsidRPr="00CD5563" w:rsidRDefault="0008639C" w:rsidP="004A116A">
      <w:pPr>
        <w:pStyle w:val="Figure"/>
        <w:pBdr>
          <w:left w:val="single" w:sz="12" w:space="0" w:color="005173"/>
        </w:pBdr>
        <w:rPr>
          <w:lang w:val="en-GB"/>
        </w:rPr>
      </w:pPr>
      <w:r w:rsidRPr="00CD5563">
        <w:rPr>
          <w:lang w:val="en-GB"/>
        </w:rPr>
        <w:object w:dxaOrig="5732" w:dyaOrig="6163">
          <v:shape id="_x0000_i1029" type="#_x0000_t75" style="width:219.95pt;height:236.95pt" o:ole="" o:allowoverlap="f">
            <v:imagedata r:id="rId53" o:title=""/>
          </v:shape>
          <o:OLEObject Type="Embed" ProgID="CorelDraw.Graphic.12" ShapeID="_x0000_i1029" DrawAspect="Content" ObjectID="_1455465130" r:id="rId54"/>
        </w:object>
      </w:r>
    </w:p>
    <w:p w:rsidR="0008639C" w:rsidRPr="00CD5563" w:rsidRDefault="0008639C" w:rsidP="009C6EC7">
      <w:pPr>
        <w:pStyle w:val="Heading2"/>
        <w:rPr>
          <w:rFonts w:eastAsia="Malgun Gothic"/>
          <w:lang w:val="en-GB" w:eastAsia="ko-KR"/>
        </w:rPr>
      </w:pPr>
      <w:bookmarkStart w:id="424" w:name="_Toc147129220"/>
      <w:bookmarkStart w:id="425" w:name="_Toc380487729"/>
      <w:bookmarkStart w:id="426" w:name="_Toc381025048"/>
      <w:r w:rsidRPr="00CD5563">
        <w:rPr>
          <w:rFonts w:eastAsia="Malgun Gothic"/>
          <w:lang w:val="en-GB" w:eastAsia="ko-KR"/>
        </w:rPr>
        <w:t>1.2</w:t>
      </w:r>
      <w:r w:rsidRPr="00CD5563">
        <w:rPr>
          <w:rFonts w:eastAsia="Malgun Gothic"/>
          <w:lang w:val="en-GB" w:eastAsia="ko-KR"/>
        </w:rPr>
        <w:tab/>
        <w:t>Scenario 1 – PSTN/ISDN and NGN initially co-exist</w:t>
      </w:r>
      <w:bookmarkEnd w:id="424"/>
      <w:bookmarkEnd w:id="425"/>
      <w:bookmarkEnd w:id="426"/>
      <w:r w:rsidRPr="00CD5563">
        <w:rPr>
          <w:rFonts w:eastAsia="Malgun Gothic"/>
          <w:lang w:val="en-GB" w:eastAsia="ko-KR"/>
        </w:rPr>
        <w:t xml:space="preserve"> </w:t>
      </w:r>
    </w:p>
    <w:p w:rsidR="0008639C" w:rsidRPr="00CD5563" w:rsidRDefault="0008639C" w:rsidP="0008639C">
      <w:pPr>
        <w:rPr>
          <w:szCs w:val="19"/>
          <w:lang w:val="en-GB"/>
        </w:rPr>
      </w:pPr>
      <w:r w:rsidRPr="00CD5563">
        <w:rPr>
          <w:szCs w:val="19"/>
          <w:lang w:val="en-GB"/>
        </w:rPr>
        <w:t>In the most likely initial approach for migration of PSTN/ISDN to the NGN, the PSTN/ISDN will co-exist with the NGN during a transition period. There are two steps in this scenario.</w:t>
      </w:r>
    </w:p>
    <w:p w:rsidR="0008639C" w:rsidRPr="00CD5563" w:rsidRDefault="009C6EC7" w:rsidP="00AB21CF">
      <w:pPr>
        <w:pStyle w:val="Enumlevel1"/>
      </w:pPr>
      <w:r w:rsidRPr="00CD5563">
        <w:rPr>
          <w:szCs w:val="19"/>
        </w:rPr>
        <w:t>•</w:t>
      </w:r>
      <w:r w:rsidRPr="00CD5563">
        <w:rPr>
          <w:szCs w:val="19"/>
        </w:rPr>
        <w:tab/>
      </w:r>
      <w:r w:rsidR="0008639C" w:rsidRPr="00CD5563">
        <w:rPr>
          <w:szCs w:val="19"/>
        </w:rPr>
        <w:t>Step 1: In this step, some of the LEs are replaced by AGs (Access Gateways). Functions originally provided by the removed LEs are now provided by the AGs and the CS. In addition, some of the access elements such as UAMs, RUAMs, and PBXs, which were originally connected to the removed LEs, are now directly connected to AGs. Additional AGs may also be deployed to support new subscribers that directly connect to them. The TMGs (Trunking Media Gateways) and SGs (Signaling Gateways) are deployed for interconnection between the NGN and the TEs of the legacy network as well as other operators' PSTNs/ISDNs. The AGs and TMGs are all controlled by the CS.</w:t>
      </w:r>
    </w:p>
    <w:p w:rsidR="0008639C" w:rsidRPr="00CD5563" w:rsidRDefault="009C6EC7" w:rsidP="00AB21CF">
      <w:pPr>
        <w:pStyle w:val="Enumlevel1"/>
      </w:pPr>
      <w:r w:rsidRPr="00CD5563">
        <w:t>•</w:t>
      </w:r>
      <w:r w:rsidRPr="00CD5563">
        <w:tab/>
      </w:r>
      <w:r w:rsidR="0008639C" w:rsidRPr="00CD5563">
        <w:t>Step 2: In this step, the remaining LEs are replaced by the AGs, and the TEs are removed and their control functions are performed by CS. The TMGs and SGs are deployed for interconnection between PSN and other operators' PSTNs/ISDNs. The AGs and TMGs are all controlled by the CS.</w:t>
      </w:r>
    </w:p>
    <w:p w:rsidR="00C23E24" w:rsidRPr="00CD5563" w:rsidRDefault="00C33360" w:rsidP="004A116A">
      <w:pPr>
        <w:pStyle w:val="Figuretitle"/>
        <w:rPr>
          <w:lang w:val="en-GB"/>
        </w:rPr>
      </w:pPr>
      <w:bookmarkStart w:id="427" w:name="_Toc380497397"/>
      <w:r>
        <w:rPr>
          <w:lang w:val="en-GB"/>
        </w:rPr>
        <w:t>Figure 1-2:</w:t>
      </w:r>
      <w:r w:rsidR="00C23E24" w:rsidRPr="00CD5563">
        <w:rPr>
          <w:lang w:val="en-GB"/>
        </w:rPr>
        <w:t xml:space="preserve"> Realization of scenario 1</w:t>
      </w:r>
      <w:bookmarkEnd w:id="427"/>
    </w:p>
    <w:p w:rsidR="0008639C" w:rsidRPr="00CD5563" w:rsidRDefault="0008639C" w:rsidP="00C23E24">
      <w:pPr>
        <w:pStyle w:val="Figure"/>
        <w:rPr>
          <w:lang w:val="en-GB"/>
        </w:rPr>
      </w:pPr>
      <w:r w:rsidRPr="00CD5563">
        <w:rPr>
          <w:lang w:val="en-GB"/>
        </w:rPr>
        <w:object w:dxaOrig="5732" w:dyaOrig="10479">
          <v:shape id="_x0000_i1030" type="#_x0000_t75" style="width:255.15pt;height:460.5pt" o:ole="">
            <v:imagedata r:id="rId55" o:title=""/>
          </v:shape>
          <o:OLEObject Type="Embed" ProgID="CorelDraw.Graphic.12" ShapeID="_x0000_i1030" DrawAspect="Content" ObjectID="_1455465131" r:id="rId56"/>
        </w:object>
      </w:r>
    </w:p>
    <w:p w:rsidR="00C23E24" w:rsidRPr="00CD5563" w:rsidRDefault="00C23E24" w:rsidP="00C23E24">
      <w:pPr>
        <w:pStyle w:val="Figure"/>
        <w:rPr>
          <w:lang w:val="en-GB"/>
        </w:rPr>
      </w:pPr>
    </w:p>
    <w:p w:rsidR="0008639C" w:rsidRPr="00CD5563" w:rsidRDefault="0008639C" w:rsidP="00C23E24">
      <w:pPr>
        <w:pStyle w:val="Heading2"/>
        <w:rPr>
          <w:rFonts w:eastAsia="Malgun Gothic"/>
          <w:lang w:val="en-GB" w:eastAsia="ko-KR"/>
        </w:rPr>
      </w:pPr>
      <w:bookmarkStart w:id="428" w:name="_Toc147129221"/>
      <w:bookmarkStart w:id="429" w:name="_Toc380487730"/>
      <w:bookmarkStart w:id="430" w:name="_Toc381025049"/>
      <w:r w:rsidRPr="00CD5563">
        <w:rPr>
          <w:rFonts w:eastAsia="Malgun Gothic"/>
          <w:lang w:val="en-GB" w:eastAsia="ko-KR"/>
        </w:rPr>
        <w:t>1.3</w:t>
      </w:r>
      <w:r w:rsidRPr="00CD5563">
        <w:rPr>
          <w:rFonts w:eastAsia="Malgun Gothic"/>
          <w:lang w:val="en-GB" w:eastAsia="ko-KR"/>
        </w:rPr>
        <w:tab/>
        <w:t>Scenario 2 – Immediate use of NGN, initially via SGs and TMGs</w:t>
      </w:r>
      <w:bookmarkEnd w:id="428"/>
      <w:bookmarkEnd w:id="429"/>
      <w:bookmarkEnd w:id="430"/>
    </w:p>
    <w:p w:rsidR="0008639C" w:rsidRPr="00CD5563" w:rsidRDefault="0008639C" w:rsidP="00D66BCC">
      <w:pPr>
        <w:rPr>
          <w:lang w:val="en-GB"/>
        </w:rPr>
      </w:pPr>
      <w:r w:rsidRPr="00CD5563">
        <w:rPr>
          <w:lang w:val="en-GB"/>
        </w:rPr>
        <w:t>In this scenario, the PSTN/ISDN is immediately replaced by the NGN. As a first step, the LEs are connected to SGs and TMGs, while later on they are eliminated.</w:t>
      </w:r>
    </w:p>
    <w:p w:rsidR="0008639C" w:rsidRPr="00CD5563" w:rsidRDefault="00D66BCC" w:rsidP="00AB21CF">
      <w:pPr>
        <w:pStyle w:val="Enumlevel1"/>
      </w:pPr>
      <w:r w:rsidRPr="00CD5563">
        <w:rPr>
          <w:szCs w:val="19"/>
        </w:rPr>
        <w:t>•</w:t>
      </w:r>
      <w:r w:rsidRPr="00CD5563">
        <w:rPr>
          <w:szCs w:val="19"/>
        </w:rPr>
        <w:tab/>
      </w:r>
      <w:r w:rsidR="0008639C" w:rsidRPr="00CD5563">
        <w:rPr>
          <w:szCs w:val="19"/>
        </w:rPr>
        <w:t xml:space="preserve">Step 1: In this step, PSTN/ISDN is replaced by NGN and the TE functions are performed by the TMGs and the SGs under the control of the CS. The LEs are connected to the NGN via TMGs and SGs. The TMGs and SGs are also deployed for interconnection between NGN and other operators' PSTNs/ISDNs. </w:t>
      </w:r>
    </w:p>
    <w:p w:rsidR="0008639C" w:rsidRPr="00CD5563" w:rsidRDefault="00D66BCC" w:rsidP="00D66BCC">
      <w:pPr>
        <w:pStyle w:val="Enumlevel1"/>
        <w:keepNext/>
        <w:keepLines/>
      </w:pPr>
      <w:r w:rsidRPr="00CD5563">
        <w:t>•</w:t>
      </w:r>
      <w:r w:rsidRPr="00CD5563">
        <w:tab/>
      </w:r>
      <w:r w:rsidR="0008639C" w:rsidRPr="00CD5563">
        <w:t>Step 2: In this step, the LEs and some of the access elements such as UAMs and RUAMs are removed and their functions are provided by the AGs and CS. The PBXs are directly connected to the AGs. The ANs are either replaced by the AGs or are connected to the AGs. The TMGs and SGs are deployed for interconnection between NGN and other operators' PSTNs/ISDNs. The AGs and TMGs are all controlled by CS.</w:t>
      </w:r>
    </w:p>
    <w:p w:rsidR="00D66BCC" w:rsidRPr="00CD5563" w:rsidRDefault="00D66BCC" w:rsidP="004A116A">
      <w:pPr>
        <w:pStyle w:val="Figuretitle"/>
        <w:rPr>
          <w:lang w:val="en-GB"/>
        </w:rPr>
      </w:pPr>
      <w:bookmarkStart w:id="431" w:name="_Toc380497398"/>
      <w:r w:rsidRPr="00CD5563">
        <w:rPr>
          <w:lang w:val="en-GB"/>
        </w:rPr>
        <w:t>Figure 1-3</w:t>
      </w:r>
      <w:r w:rsidR="00C33360">
        <w:rPr>
          <w:lang w:val="en-GB"/>
        </w:rPr>
        <w:t>:</w:t>
      </w:r>
      <w:r w:rsidRPr="00CD5563">
        <w:rPr>
          <w:lang w:val="en-GB"/>
        </w:rPr>
        <w:t xml:space="preserve"> Realization of scenario 2</w:t>
      </w:r>
      <w:bookmarkEnd w:id="431"/>
    </w:p>
    <w:p w:rsidR="0008639C" w:rsidRPr="00CD5563" w:rsidRDefault="0008639C" w:rsidP="00D66BCC">
      <w:pPr>
        <w:pStyle w:val="Figure"/>
        <w:rPr>
          <w:lang w:val="en-GB"/>
        </w:rPr>
      </w:pPr>
      <w:r w:rsidRPr="00CD5563">
        <w:rPr>
          <w:lang w:val="en-GB"/>
        </w:rPr>
        <w:object w:dxaOrig="5732" w:dyaOrig="10737">
          <v:shape id="_x0000_i1031" type="#_x0000_t75" style="width:233.4pt;height:434.35pt" o:ole="">
            <v:imagedata r:id="rId57" o:title=""/>
          </v:shape>
          <o:OLEObject Type="Embed" ProgID="CorelDraw.Graphic.12" ShapeID="_x0000_i1031" DrawAspect="Content" ObjectID="_1455465132" r:id="rId58"/>
        </w:object>
      </w:r>
    </w:p>
    <w:p w:rsidR="00D66BCC" w:rsidRPr="00CD5563" w:rsidRDefault="00D66BCC" w:rsidP="00D66BCC">
      <w:pPr>
        <w:pStyle w:val="Figure"/>
        <w:rPr>
          <w:lang w:val="en-GB"/>
        </w:rPr>
      </w:pPr>
    </w:p>
    <w:p w:rsidR="0008639C" w:rsidRPr="00CD5563" w:rsidRDefault="0008639C" w:rsidP="00D66BCC">
      <w:pPr>
        <w:pStyle w:val="Heading2"/>
        <w:rPr>
          <w:rFonts w:eastAsia="Malgun Gothic"/>
          <w:lang w:val="en-GB" w:eastAsia="ko-KR"/>
        </w:rPr>
      </w:pPr>
      <w:bookmarkStart w:id="432" w:name="_Toc147129222"/>
      <w:bookmarkStart w:id="433" w:name="_Toc380487731"/>
      <w:bookmarkStart w:id="434" w:name="_Toc381025050"/>
      <w:r w:rsidRPr="00CD5563">
        <w:rPr>
          <w:rFonts w:eastAsia="Malgun Gothic"/>
          <w:lang w:val="en-GB" w:eastAsia="ko-KR"/>
        </w:rPr>
        <w:t>1.4</w:t>
      </w:r>
      <w:r w:rsidRPr="00CD5563">
        <w:rPr>
          <w:rFonts w:eastAsia="Malgun Gothic"/>
          <w:lang w:val="en-GB" w:eastAsia="ko-KR"/>
        </w:rPr>
        <w:tab/>
        <w:t>Scenario 3 – The one-step approach</w:t>
      </w:r>
      <w:bookmarkEnd w:id="432"/>
      <w:bookmarkEnd w:id="433"/>
      <w:bookmarkEnd w:id="434"/>
    </w:p>
    <w:p w:rsidR="0008639C" w:rsidRPr="00CD5563" w:rsidRDefault="0008639C" w:rsidP="00D66BCC">
      <w:pPr>
        <w:rPr>
          <w:lang w:val="en-GB"/>
        </w:rPr>
      </w:pPr>
      <w:r w:rsidRPr="00CD5563">
        <w:rPr>
          <w:lang w:val="en-GB"/>
        </w:rPr>
        <w:t>In this scenario, the PSTN/ISDN is replaced with NGN in only one step. The LEs are replaced by AGs and their functions are divided between the AGs and the CS. Specifically, the call control and accounting functions are all transferred to the CS. All access elements such as UAMs, RUAMs, and PBXs are connected to AGs. The ANs are either replaced by the AGs or are connected to NGN through the AGs. The TMGs under the control of the CS, and the SGs, are deployed to replace the TE functions and provide interconnection between NGN and other operators' PSTNs/ISDNs.</w:t>
      </w:r>
    </w:p>
    <w:p w:rsidR="00D66BCC" w:rsidRPr="00CD5563" w:rsidRDefault="00D66BCC" w:rsidP="004A116A">
      <w:pPr>
        <w:pStyle w:val="Figuretitle"/>
        <w:rPr>
          <w:lang w:val="en-GB"/>
        </w:rPr>
      </w:pPr>
      <w:bookmarkStart w:id="435" w:name="_Toc380497399"/>
      <w:r w:rsidRPr="00CD5563">
        <w:rPr>
          <w:lang w:val="en-GB"/>
        </w:rPr>
        <w:t>Figure 1-4</w:t>
      </w:r>
      <w:r w:rsidR="00C33360">
        <w:rPr>
          <w:lang w:val="en-GB"/>
        </w:rPr>
        <w:t>:</w:t>
      </w:r>
      <w:r w:rsidRPr="00CD5563">
        <w:rPr>
          <w:lang w:val="en-GB"/>
        </w:rPr>
        <w:t xml:space="preserve"> Realization of scenario 3</w:t>
      </w:r>
      <w:bookmarkEnd w:id="435"/>
    </w:p>
    <w:p w:rsidR="0008639C" w:rsidRPr="00CD5563" w:rsidRDefault="00574938" w:rsidP="00574938">
      <w:pPr>
        <w:pStyle w:val="Figure"/>
        <w:spacing w:before="120" w:after="0"/>
        <w:rPr>
          <w:lang w:val="en-GB"/>
        </w:rPr>
      </w:pPr>
      <w:r w:rsidRPr="00CD5563">
        <w:rPr>
          <w:lang w:val="en-GB"/>
        </w:rPr>
        <w:object w:dxaOrig="5732" w:dyaOrig="6915">
          <v:shape id="_x0000_i1032" type="#_x0000_t75" style="width:205.3pt;height:243.7pt" o:ole="" o:allowoverlap="f">
            <v:imagedata r:id="rId59" o:title=""/>
          </v:shape>
          <o:OLEObject Type="Embed" ProgID="CorelDraw.Graphic.12" ShapeID="_x0000_i1032" DrawAspect="Content" ObjectID="_1455465133" r:id="rId60"/>
        </w:object>
      </w:r>
    </w:p>
    <w:p w:rsidR="00D66BCC" w:rsidRPr="00CD5563" w:rsidRDefault="00D66BCC" w:rsidP="00574938">
      <w:pPr>
        <w:pStyle w:val="Figure"/>
        <w:spacing w:before="0" w:after="0"/>
        <w:rPr>
          <w:lang w:val="en-GB"/>
        </w:rPr>
      </w:pPr>
    </w:p>
    <w:p w:rsidR="0008639C" w:rsidRPr="00CD5563" w:rsidRDefault="0008639C" w:rsidP="00574938">
      <w:pPr>
        <w:pStyle w:val="Heading2"/>
        <w:spacing w:before="360"/>
        <w:rPr>
          <w:rFonts w:eastAsia="Malgun Gothic"/>
          <w:lang w:val="en-GB" w:eastAsia="ko-KR"/>
        </w:rPr>
      </w:pPr>
      <w:bookmarkStart w:id="436" w:name="_Toc119973600"/>
      <w:bookmarkStart w:id="437" w:name="_Toc147129223"/>
      <w:bookmarkStart w:id="438" w:name="_Toc380487732"/>
      <w:bookmarkStart w:id="439" w:name="_Toc381025051"/>
      <w:r w:rsidRPr="00CD5563">
        <w:rPr>
          <w:rFonts w:eastAsia="Malgun Gothic"/>
          <w:lang w:val="en-GB" w:eastAsia="ko-KR"/>
        </w:rPr>
        <w:t>1.5</w:t>
      </w:r>
      <w:r w:rsidRPr="00CD5563">
        <w:rPr>
          <w:rFonts w:eastAsia="Malgun Gothic"/>
          <w:lang w:val="en-GB" w:eastAsia="ko-KR"/>
        </w:rPr>
        <w:tab/>
        <w:t>IMS-based</w:t>
      </w:r>
      <w:bookmarkEnd w:id="436"/>
      <w:r w:rsidRPr="00CD5563">
        <w:rPr>
          <w:rFonts w:eastAsia="Malgun Gothic"/>
          <w:lang w:val="en-GB" w:eastAsia="ko-KR"/>
        </w:rPr>
        <w:t xml:space="preserve"> migration to NGN</w:t>
      </w:r>
      <w:bookmarkEnd w:id="437"/>
      <w:bookmarkEnd w:id="438"/>
      <w:bookmarkEnd w:id="439"/>
    </w:p>
    <w:p w:rsidR="0008639C" w:rsidRPr="00CD5563" w:rsidRDefault="0008639C" w:rsidP="00D66BCC">
      <w:pPr>
        <w:spacing w:line="240" w:lineRule="atLeast"/>
        <w:rPr>
          <w:szCs w:val="19"/>
          <w:lang w:val="en-GB"/>
        </w:rPr>
      </w:pPr>
      <w:r w:rsidRPr="00CD5563">
        <w:rPr>
          <w:szCs w:val="19"/>
          <w:lang w:val="en-GB"/>
        </w:rPr>
        <w:t>In the case of where PSTN/ISDN evolves directly to a NGN based on the IMS core network architecture, the end-users access the network using NGN user equipment or legacy user equipment connected via an</w:t>
      </w:r>
      <w:r w:rsidR="00D66BCC" w:rsidRPr="00CD5563">
        <w:rPr>
          <w:szCs w:val="19"/>
          <w:lang w:val="en-GB"/>
        </w:rPr>
        <w:t> </w:t>
      </w:r>
      <w:r w:rsidRPr="00CD5563">
        <w:rPr>
          <w:szCs w:val="19"/>
          <w:lang w:val="en-GB"/>
        </w:rPr>
        <w:t xml:space="preserve">AG. The TMGs and SGs are deployed for interconnection between the NGN and other operators' PSTNs/ISDNs. </w:t>
      </w:r>
    </w:p>
    <w:p w:rsidR="00D66BCC" w:rsidRPr="00CD5563" w:rsidRDefault="00D66BCC" w:rsidP="00574938">
      <w:pPr>
        <w:pStyle w:val="Figuretitle"/>
        <w:spacing w:before="120"/>
        <w:rPr>
          <w:lang w:val="en-GB"/>
        </w:rPr>
      </w:pPr>
      <w:bookmarkStart w:id="440" w:name="_Toc380497400"/>
      <w:r w:rsidRPr="00CD5563">
        <w:rPr>
          <w:lang w:val="en-GB"/>
        </w:rPr>
        <w:t>Figure 1-5</w:t>
      </w:r>
      <w:r w:rsidR="00C33360">
        <w:rPr>
          <w:lang w:val="en-GB"/>
        </w:rPr>
        <w:t>:</w:t>
      </w:r>
      <w:r w:rsidRPr="00CD5563">
        <w:rPr>
          <w:lang w:val="en-GB"/>
        </w:rPr>
        <w:t xml:space="preserve"> IMS-based PSTN/ISDN migration to NGN</w:t>
      </w:r>
      <w:bookmarkEnd w:id="440"/>
    </w:p>
    <w:p w:rsidR="0008639C" w:rsidRPr="00CD5563" w:rsidRDefault="00574938" w:rsidP="00574938">
      <w:pPr>
        <w:pStyle w:val="Figure"/>
        <w:spacing w:before="120" w:after="0"/>
        <w:rPr>
          <w:lang w:val="en-GB"/>
        </w:rPr>
      </w:pPr>
      <w:r w:rsidRPr="00CD5563">
        <w:rPr>
          <w:lang w:val="en-GB"/>
        </w:rPr>
        <w:object w:dxaOrig="5732" w:dyaOrig="6468">
          <v:shape id="_x0000_i1033" type="#_x0000_t75" style="width:198.2pt;height:224.3pt" o:ole="">
            <v:imagedata r:id="rId61" o:title=""/>
          </v:shape>
          <o:OLEObject Type="Embed" ProgID="CorelDraw.Graphic.12" ShapeID="_x0000_i1033" DrawAspect="Content" ObjectID="_1455465134" r:id="rId62"/>
        </w:object>
      </w:r>
    </w:p>
    <w:p w:rsidR="00D66BCC" w:rsidRPr="00CD5563" w:rsidRDefault="00D66BCC" w:rsidP="00574938">
      <w:pPr>
        <w:pStyle w:val="Figure"/>
        <w:spacing w:before="0" w:after="0"/>
        <w:rPr>
          <w:lang w:val="en-GB"/>
        </w:rPr>
      </w:pPr>
    </w:p>
    <w:p w:rsidR="00574938" w:rsidRDefault="00574938" w:rsidP="00D66BCC">
      <w:pPr>
        <w:pStyle w:val="Heading1"/>
        <w:rPr>
          <w:rFonts w:eastAsiaTheme="minorEastAsia"/>
          <w:lang w:val="en-GB" w:eastAsia="ko-KR"/>
        </w:rPr>
      </w:pPr>
      <w:bookmarkStart w:id="441" w:name="_Toc119973602"/>
      <w:bookmarkStart w:id="442" w:name="_Toc147129225"/>
      <w:bookmarkStart w:id="443" w:name="_Toc154555584"/>
      <w:bookmarkStart w:id="444" w:name="_Toc157314258"/>
      <w:bookmarkStart w:id="445" w:name="_Toc157314688"/>
      <w:bookmarkStart w:id="446" w:name="_Toc157586491"/>
      <w:bookmarkStart w:id="447" w:name="_Toc380487733"/>
      <w:r>
        <w:rPr>
          <w:rFonts w:eastAsiaTheme="minorEastAsia"/>
          <w:lang w:val="en-GB" w:eastAsia="ko-KR"/>
        </w:rPr>
        <w:br w:type="page"/>
      </w:r>
    </w:p>
    <w:p w:rsidR="0008639C" w:rsidRPr="00CD5563" w:rsidRDefault="00D66BCC" w:rsidP="00D66BCC">
      <w:pPr>
        <w:pStyle w:val="Heading1"/>
        <w:rPr>
          <w:rFonts w:eastAsiaTheme="minorEastAsia"/>
          <w:lang w:val="en-GB" w:eastAsia="ko-KR"/>
        </w:rPr>
      </w:pPr>
      <w:bookmarkStart w:id="448" w:name="_Toc381025052"/>
      <w:r w:rsidRPr="00CD5563">
        <w:rPr>
          <w:rFonts w:eastAsiaTheme="minorEastAsia"/>
          <w:lang w:val="en-GB" w:eastAsia="ko-KR"/>
        </w:rPr>
        <w:t>2</w:t>
      </w:r>
      <w:r w:rsidR="0008639C" w:rsidRPr="00CD5563">
        <w:rPr>
          <w:rFonts w:eastAsiaTheme="minorEastAsia"/>
          <w:lang w:val="en-GB" w:eastAsia="ko-KR"/>
        </w:rPr>
        <w:tab/>
        <w:t>Access network migration</w:t>
      </w:r>
      <w:bookmarkEnd w:id="441"/>
      <w:bookmarkEnd w:id="442"/>
      <w:bookmarkEnd w:id="443"/>
      <w:bookmarkEnd w:id="444"/>
      <w:bookmarkEnd w:id="445"/>
      <w:bookmarkEnd w:id="446"/>
      <w:r w:rsidR="0008639C" w:rsidRPr="00CD5563">
        <w:rPr>
          <w:rFonts w:eastAsiaTheme="minorEastAsia"/>
          <w:lang w:val="en-GB" w:eastAsia="ko-KR"/>
        </w:rPr>
        <w:t xml:space="preserve"> to NGN</w:t>
      </w:r>
      <w:bookmarkEnd w:id="447"/>
      <w:bookmarkEnd w:id="448"/>
    </w:p>
    <w:p w:rsidR="0008639C" w:rsidRPr="00CD5563" w:rsidRDefault="0008639C" w:rsidP="0008639C">
      <w:pPr>
        <w:rPr>
          <w:szCs w:val="19"/>
          <w:lang w:val="en-GB"/>
        </w:rPr>
      </w:pPr>
      <w:r w:rsidRPr="00CD5563">
        <w:rPr>
          <w:szCs w:val="19"/>
          <w:lang w:val="en-GB"/>
        </w:rPr>
        <w:t>Legacy voice users may also have access to broadband services for example via xDSL (see [G.995.1]). In this case, the customer</w:t>
      </w:r>
      <w:r w:rsidRPr="00CD5563">
        <w:rPr>
          <w:szCs w:val="19"/>
          <w:lang w:val="en-GB"/>
        </w:rPr>
        <w:noBreakHyphen/>
        <w:t>located equipment is an xDSL modem and the service provider equipment is a digital subscriber line access multiplexer (DSLAM). Since xDSL interfaces enable users to connect to the Internet, these interfaces may be utilized to connect such users to NGNs. AN, for another user domain with V5.x [G.964] and [G.965] interface can be left as it is shown in Figure 5-6 or it can be completely replaced by AG connected to NGN directly. Migration of access network is shown in three possible steps.</w:t>
      </w:r>
    </w:p>
    <w:p w:rsidR="0008639C" w:rsidRPr="00CD5563" w:rsidRDefault="00D66BCC" w:rsidP="00574938">
      <w:pPr>
        <w:pStyle w:val="Enumlevel1"/>
        <w:spacing w:before="60"/>
      </w:pPr>
      <w:r w:rsidRPr="00CD5563">
        <w:rPr>
          <w:szCs w:val="19"/>
        </w:rPr>
        <w:t>•</w:t>
      </w:r>
      <w:r w:rsidRPr="00CD5563">
        <w:rPr>
          <w:szCs w:val="19"/>
        </w:rPr>
        <w:tab/>
      </w:r>
      <w:r w:rsidR="0008639C" w:rsidRPr="00CD5563">
        <w:rPr>
          <w:szCs w:val="19"/>
        </w:rPr>
        <w:t xml:space="preserve">Step 1: Traditional AN/UAM interfaces include: POTS, ISDN and V5.1/2 [G.964] and [G.965]. Such interfaces connect subscribers to the core PSTN/ISDN via LE. </w:t>
      </w:r>
    </w:p>
    <w:p w:rsidR="0008639C" w:rsidRPr="00CD5563" w:rsidRDefault="00D66BCC" w:rsidP="00574938">
      <w:pPr>
        <w:pStyle w:val="Enumlevel1"/>
        <w:spacing w:before="60"/>
      </w:pPr>
      <w:r w:rsidRPr="00CD5563">
        <w:t>•</w:t>
      </w:r>
      <w:r w:rsidRPr="00CD5563">
        <w:tab/>
      </w:r>
      <w:r w:rsidR="0008639C" w:rsidRPr="00CD5563">
        <w:t>Step 2: An IP user may also use xDSL interface as the transport medium to an NGN. Protocol for xDSL interface may be Ethernet which enables broadband data flows and services, e.g., VoD, IPTV, VoIP and Internet.</w:t>
      </w:r>
    </w:p>
    <w:p w:rsidR="0008639C" w:rsidRPr="00CD5563" w:rsidRDefault="00D66BCC" w:rsidP="00574938">
      <w:pPr>
        <w:pStyle w:val="Enumlevel1"/>
        <w:spacing w:before="60"/>
      </w:pPr>
      <w:r w:rsidRPr="00CD5563">
        <w:t>•</w:t>
      </w:r>
      <w:r w:rsidRPr="00CD5563">
        <w:tab/>
      </w:r>
      <w:r w:rsidR="0008639C" w:rsidRPr="00CD5563">
        <w:t>Step 3: In this step, the legacy end systems are replaced by NGN end systems and twisted copper lines are replaced by optical fibre, either fibre-to-the-curb (FTTC) or fibre-to-the-home (FTTH) to increase transmission speed.</w:t>
      </w:r>
    </w:p>
    <w:p w:rsidR="00557636" w:rsidRPr="00CD5563" w:rsidRDefault="00C33360" w:rsidP="004A116A">
      <w:pPr>
        <w:pStyle w:val="Figuretitle"/>
        <w:rPr>
          <w:lang w:val="en-GB"/>
        </w:rPr>
      </w:pPr>
      <w:bookmarkStart w:id="449" w:name="_Toc380497401"/>
      <w:r>
        <w:rPr>
          <w:lang w:val="en-GB"/>
        </w:rPr>
        <w:t>Figure 2-1:</w:t>
      </w:r>
      <w:r w:rsidR="00557636" w:rsidRPr="00CD5563">
        <w:rPr>
          <w:lang w:val="en-GB"/>
        </w:rPr>
        <w:t xml:space="preserve"> Migration of xDSL access to NGN</w:t>
      </w:r>
      <w:bookmarkEnd w:id="449"/>
    </w:p>
    <w:p w:rsidR="0008639C" w:rsidRPr="00CD5563" w:rsidRDefault="00574938" w:rsidP="00574938">
      <w:pPr>
        <w:pStyle w:val="Figure"/>
        <w:spacing w:before="120" w:after="0"/>
        <w:rPr>
          <w:lang w:val="en-GB"/>
        </w:rPr>
      </w:pPr>
      <w:r w:rsidRPr="00CD5563">
        <w:rPr>
          <w:lang w:val="en-GB"/>
        </w:rPr>
        <w:object w:dxaOrig="9701" w:dyaOrig="11108">
          <v:shape id="_x0000_i1034" type="#_x0000_t75" style="width:345.75pt;height:396.4pt" o:ole="">
            <v:imagedata r:id="rId63" o:title=""/>
          </v:shape>
          <o:OLEObject Type="Embed" ProgID="CorelDraw.Graphic.12" ShapeID="_x0000_i1034" DrawAspect="Content" ObjectID="_1455465135" r:id="rId64"/>
        </w:object>
      </w:r>
    </w:p>
    <w:p w:rsidR="00557636" w:rsidRPr="00CD5563" w:rsidRDefault="00557636" w:rsidP="00574938">
      <w:pPr>
        <w:pStyle w:val="Figure"/>
        <w:spacing w:before="0" w:after="0"/>
        <w:rPr>
          <w:lang w:val="en-GB"/>
        </w:rPr>
      </w:pPr>
    </w:p>
    <w:p w:rsidR="00574938" w:rsidRDefault="00574938" w:rsidP="00574938">
      <w:pPr>
        <w:pStyle w:val="Heading1"/>
        <w:spacing w:before="0"/>
        <w:rPr>
          <w:lang w:val="en-GB"/>
        </w:rPr>
      </w:pPr>
      <w:bookmarkStart w:id="450" w:name="_Toc94939815"/>
      <w:bookmarkStart w:id="451" w:name="_Toc119973604"/>
      <w:bookmarkStart w:id="452" w:name="_Toc147129227"/>
      <w:bookmarkStart w:id="453" w:name="_Toc154555585"/>
      <w:bookmarkStart w:id="454" w:name="_Toc157314259"/>
      <w:bookmarkStart w:id="455" w:name="_Toc157314689"/>
      <w:bookmarkStart w:id="456" w:name="_Toc157586492"/>
      <w:bookmarkStart w:id="457" w:name="_Toc380487734"/>
      <w:r>
        <w:rPr>
          <w:lang w:val="en-GB"/>
        </w:rPr>
        <w:br w:type="page"/>
      </w:r>
    </w:p>
    <w:p w:rsidR="0008639C" w:rsidRPr="00CD5563" w:rsidRDefault="00557636" w:rsidP="00557636">
      <w:pPr>
        <w:pStyle w:val="Heading1"/>
        <w:rPr>
          <w:lang w:val="en-GB"/>
        </w:rPr>
      </w:pPr>
      <w:bookmarkStart w:id="458" w:name="_Toc381025053"/>
      <w:r w:rsidRPr="00CD5563">
        <w:rPr>
          <w:lang w:val="en-GB"/>
        </w:rPr>
        <w:t>3</w:t>
      </w:r>
      <w:r w:rsidR="0008639C" w:rsidRPr="00CD5563">
        <w:rPr>
          <w:lang w:val="en-GB"/>
        </w:rPr>
        <w:tab/>
        <w:t xml:space="preserve">Signaling and control </w:t>
      </w:r>
      <w:bookmarkEnd w:id="450"/>
      <w:r w:rsidR="0008639C" w:rsidRPr="00CD5563">
        <w:rPr>
          <w:lang w:val="en-GB"/>
        </w:rPr>
        <w:t>scenarios</w:t>
      </w:r>
      <w:bookmarkEnd w:id="451"/>
      <w:bookmarkEnd w:id="452"/>
      <w:bookmarkEnd w:id="453"/>
      <w:bookmarkEnd w:id="454"/>
      <w:bookmarkEnd w:id="455"/>
      <w:bookmarkEnd w:id="456"/>
      <w:bookmarkEnd w:id="457"/>
      <w:bookmarkEnd w:id="458"/>
    </w:p>
    <w:p w:rsidR="0008639C" w:rsidRPr="00CD5563" w:rsidRDefault="0008639C" w:rsidP="0008639C">
      <w:pPr>
        <w:spacing w:line="240" w:lineRule="atLeast"/>
        <w:rPr>
          <w:szCs w:val="19"/>
          <w:lang w:val="en-GB"/>
        </w:rPr>
      </w:pPr>
      <w:r w:rsidRPr="00CD5563">
        <w:rPr>
          <w:szCs w:val="19"/>
          <w:lang w:val="en-GB"/>
        </w:rPr>
        <w:t xml:space="preserve">A possible scenario for migration of </w:t>
      </w:r>
      <w:r w:rsidR="00CD5563" w:rsidRPr="00CD5563">
        <w:rPr>
          <w:szCs w:val="19"/>
          <w:lang w:val="en-GB"/>
        </w:rPr>
        <w:t>signalling</w:t>
      </w:r>
      <w:r w:rsidRPr="00CD5563">
        <w:rPr>
          <w:szCs w:val="19"/>
          <w:lang w:val="en-GB"/>
        </w:rPr>
        <w:t xml:space="preserve"> in the core network consists of following three steps.</w:t>
      </w:r>
    </w:p>
    <w:p w:rsidR="0008639C" w:rsidRPr="00CD5563" w:rsidRDefault="0050582C" w:rsidP="00574938">
      <w:pPr>
        <w:pStyle w:val="Enumlevel1"/>
        <w:spacing w:before="60"/>
      </w:pPr>
      <w:r w:rsidRPr="00CD5563">
        <w:rPr>
          <w:szCs w:val="19"/>
        </w:rPr>
        <w:t>•</w:t>
      </w:r>
      <w:r w:rsidRPr="00CD5563">
        <w:rPr>
          <w:szCs w:val="19"/>
        </w:rPr>
        <w:tab/>
      </w:r>
      <w:r w:rsidR="0008639C" w:rsidRPr="00CD5563">
        <w:rPr>
          <w:szCs w:val="19"/>
        </w:rPr>
        <w:t xml:space="preserve">Step 1: In this step, </w:t>
      </w:r>
      <w:r w:rsidR="00CD5563" w:rsidRPr="00CD5563">
        <w:rPr>
          <w:szCs w:val="19"/>
        </w:rPr>
        <w:t>signalling</w:t>
      </w:r>
      <w:r w:rsidR="0008639C" w:rsidRPr="00CD5563">
        <w:rPr>
          <w:szCs w:val="19"/>
        </w:rPr>
        <w:t xml:space="preserve"> functions are transferred from the TEs to the independent units creating an STP mesh network (partial or complete).</w:t>
      </w:r>
    </w:p>
    <w:p w:rsidR="0008639C" w:rsidRPr="00CD5563" w:rsidRDefault="0050582C" w:rsidP="00574938">
      <w:pPr>
        <w:pStyle w:val="Enumlevel1"/>
        <w:spacing w:before="60"/>
      </w:pPr>
      <w:r w:rsidRPr="00CD5563">
        <w:t>•</w:t>
      </w:r>
      <w:r w:rsidRPr="00CD5563">
        <w:tab/>
      </w:r>
      <w:r w:rsidR="0008639C" w:rsidRPr="00CD5563">
        <w:t>Step 2: In this step, STPs are upgraded to the SGs and are placed on the edge between PSTN/ISDN and NGN. In this case, both the legacy network and NGN co-exist with each other.</w:t>
      </w:r>
    </w:p>
    <w:p w:rsidR="0008639C" w:rsidRPr="00CD5563" w:rsidRDefault="0050582C" w:rsidP="00574938">
      <w:pPr>
        <w:pStyle w:val="Enumlevel1"/>
        <w:spacing w:before="60"/>
      </w:pPr>
      <w:r w:rsidRPr="00CD5563">
        <w:t>•</w:t>
      </w:r>
      <w:r w:rsidRPr="00CD5563">
        <w:tab/>
      </w:r>
      <w:r w:rsidR="0008639C" w:rsidRPr="00CD5563">
        <w:t xml:space="preserve">Step 3: In this step, all LEs and TEs are replaced by NGN. </w:t>
      </w:r>
    </w:p>
    <w:p w:rsidR="0050582C" w:rsidRPr="00CD5563" w:rsidRDefault="00C33360" w:rsidP="004A116A">
      <w:pPr>
        <w:pStyle w:val="Figuretitle"/>
        <w:rPr>
          <w:lang w:val="en-GB"/>
        </w:rPr>
      </w:pPr>
      <w:bookmarkStart w:id="459" w:name="_Toc380497402"/>
      <w:r>
        <w:rPr>
          <w:lang w:val="en-GB"/>
        </w:rPr>
        <w:t>Figure 3-1:</w:t>
      </w:r>
      <w:r w:rsidR="0050582C" w:rsidRPr="00CD5563">
        <w:rPr>
          <w:lang w:val="en-GB"/>
        </w:rPr>
        <w:t xml:space="preserve"> Realization of </w:t>
      </w:r>
      <w:r w:rsidR="00CD5563" w:rsidRPr="00CD5563">
        <w:rPr>
          <w:lang w:val="en-GB"/>
        </w:rPr>
        <w:t>signalling</w:t>
      </w:r>
      <w:r w:rsidR="0050582C" w:rsidRPr="00CD5563">
        <w:rPr>
          <w:lang w:val="en-GB"/>
        </w:rPr>
        <w:t xml:space="preserve"> migration scenario</w:t>
      </w:r>
      <w:bookmarkEnd w:id="459"/>
    </w:p>
    <w:p w:rsidR="0008639C" w:rsidRDefault="00574938" w:rsidP="00574938">
      <w:pPr>
        <w:pStyle w:val="Figure"/>
        <w:spacing w:before="120" w:after="0"/>
        <w:rPr>
          <w:lang w:val="en-GB"/>
        </w:rPr>
      </w:pPr>
      <w:r w:rsidRPr="00CD5563">
        <w:rPr>
          <w:lang w:val="en-GB"/>
        </w:rPr>
        <w:object w:dxaOrig="5505" w:dyaOrig="7093">
          <v:shape id="_x0000_i1035" type="#_x0000_t75" style="width:170.9pt;height:219.95pt" o:ole="" o:allowoverlap="f">
            <v:imagedata r:id="rId65" o:title=""/>
          </v:shape>
          <o:OLEObject Type="Embed" ProgID="CorelDraw.Graphic.12" ShapeID="_x0000_i1035" DrawAspect="Content" ObjectID="_1455465136" r:id="rId66"/>
        </w:object>
      </w:r>
    </w:p>
    <w:p w:rsidR="007A238D" w:rsidRPr="00CD5563" w:rsidRDefault="007A238D" w:rsidP="00574938">
      <w:pPr>
        <w:pStyle w:val="Figure"/>
        <w:spacing w:before="0" w:after="0"/>
        <w:rPr>
          <w:lang w:val="en-GB"/>
        </w:rPr>
      </w:pPr>
    </w:p>
    <w:p w:rsidR="0008639C" w:rsidRPr="00CD5563" w:rsidRDefault="0050582C" w:rsidP="00574938">
      <w:pPr>
        <w:pStyle w:val="Heading1"/>
        <w:spacing w:before="360"/>
        <w:rPr>
          <w:lang w:val="en-GB"/>
        </w:rPr>
      </w:pPr>
      <w:bookmarkStart w:id="460" w:name="_Toc94939818"/>
      <w:bookmarkStart w:id="461" w:name="_Toc119973606"/>
      <w:bookmarkStart w:id="462" w:name="_Toc147129229"/>
      <w:bookmarkStart w:id="463" w:name="_Toc154555587"/>
      <w:bookmarkStart w:id="464" w:name="_Toc157314261"/>
      <w:bookmarkStart w:id="465" w:name="_Toc157314691"/>
      <w:bookmarkStart w:id="466" w:name="_Toc157586494"/>
      <w:bookmarkStart w:id="467" w:name="_Toc380487735"/>
      <w:bookmarkStart w:id="468" w:name="_Toc381025054"/>
      <w:r w:rsidRPr="00CD5563">
        <w:rPr>
          <w:lang w:val="en-GB"/>
        </w:rPr>
        <w:t>4</w:t>
      </w:r>
      <w:r w:rsidR="0008639C" w:rsidRPr="00CD5563">
        <w:rPr>
          <w:lang w:val="en-GB"/>
        </w:rPr>
        <w:tab/>
        <w:t xml:space="preserve">Services </w:t>
      </w:r>
      <w:bookmarkEnd w:id="421"/>
      <w:bookmarkEnd w:id="422"/>
      <w:r w:rsidR="0008639C" w:rsidRPr="00CD5563">
        <w:rPr>
          <w:lang w:val="en-GB"/>
        </w:rPr>
        <w:t>migration scenarios</w:t>
      </w:r>
      <w:bookmarkEnd w:id="460"/>
      <w:bookmarkEnd w:id="461"/>
      <w:bookmarkEnd w:id="462"/>
      <w:bookmarkEnd w:id="463"/>
      <w:bookmarkEnd w:id="464"/>
      <w:bookmarkEnd w:id="465"/>
      <w:bookmarkEnd w:id="466"/>
      <w:bookmarkEnd w:id="467"/>
      <w:bookmarkEnd w:id="468"/>
    </w:p>
    <w:p w:rsidR="0008639C" w:rsidRPr="00CD5563" w:rsidRDefault="003C683B" w:rsidP="00574938">
      <w:pPr>
        <w:pStyle w:val="Enumlevel1"/>
        <w:spacing w:before="60"/>
      </w:pPr>
      <w:bookmarkStart w:id="469" w:name="_Toc147129230"/>
      <w:r w:rsidRPr="00CD5563">
        <w:rPr>
          <w:szCs w:val="19"/>
        </w:rPr>
        <w:t>•</w:t>
      </w:r>
      <w:r w:rsidRPr="00CD5563">
        <w:rPr>
          <w:szCs w:val="19"/>
        </w:rPr>
        <w:tab/>
      </w:r>
      <w:r w:rsidR="0008639C" w:rsidRPr="00CD5563">
        <w:rPr>
          <w:szCs w:val="19"/>
        </w:rPr>
        <w:t>Scenario 1</w:t>
      </w:r>
      <w:bookmarkEnd w:id="469"/>
      <w:r w:rsidR="0008639C" w:rsidRPr="00CD5563">
        <w:rPr>
          <w:szCs w:val="19"/>
        </w:rPr>
        <w:t>: In this scenario, existing IN services are reused in NGN by implementing SSF in the CS. Both PSTN/ISDN and NGN exist.</w:t>
      </w:r>
    </w:p>
    <w:p w:rsidR="003C683B" w:rsidRPr="00CD5563" w:rsidRDefault="00C33360" w:rsidP="004A116A">
      <w:pPr>
        <w:pStyle w:val="Figuretitle"/>
        <w:rPr>
          <w:lang w:val="en-GB"/>
        </w:rPr>
      </w:pPr>
      <w:bookmarkStart w:id="470" w:name="_Toc380497403"/>
      <w:r>
        <w:rPr>
          <w:lang w:val="en-GB"/>
        </w:rPr>
        <w:t>Figure 4-1:</w:t>
      </w:r>
      <w:r w:rsidR="003C683B" w:rsidRPr="00CD5563">
        <w:rPr>
          <w:lang w:val="en-GB"/>
        </w:rPr>
        <w:t xml:space="preserve"> Realization of scenario 1</w:t>
      </w:r>
      <w:bookmarkEnd w:id="470"/>
    </w:p>
    <w:p w:rsidR="0008639C" w:rsidRPr="00CD5563" w:rsidRDefault="00574938" w:rsidP="00574938">
      <w:pPr>
        <w:pStyle w:val="Figure"/>
        <w:spacing w:before="120" w:after="0"/>
        <w:rPr>
          <w:lang w:val="en-GB"/>
        </w:rPr>
      </w:pPr>
      <w:r w:rsidRPr="00CD5563">
        <w:rPr>
          <w:lang w:val="en-GB"/>
        </w:rPr>
        <w:object w:dxaOrig="9190" w:dyaOrig="6178">
          <v:shape id="_x0000_i1036" type="#_x0000_t75" style="width:275.35pt;height:184.35pt" o:ole="" o:allowoverlap="f">
            <v:imagedata r:id="rId67" o:title=""/>
          </v:shape>
          <o:OLEObject Type="Embed" ProgID="CorelDraw.Graphic.12" ShapeID="_x0000_i1036" DrawAspect="Content" ObjectID="_1455465137" r:id="rId68"/>
        </w:object>
      </w:r>
    </w:p>
    <w:p w:rsidR="003C683B" w:rsidRPr="00CD5563" w:rsidRDefault="003C683B" w:rsidP="00574938">
      <w:pPr>
        <w:pStyle w:val="Figure"/>
        <w:keepNext w:val="0"/>
        <w:spacing w:before="0" w:after="0"/>
        <w:rPr>
          <w:lang w:val="en-GB"/>
        </w:rPr>
      </w:pPr>
    </w:p>
    <w:p w:rsidR="0008639C" w:rsidRPr="00CD5563" w:rsidRDefault="003C683B" w:rsidP="003C683B">
      <w:pPr>
        <w:pStyle w:val="Enumlevel1"/>
        <w:keepNext/>
        <w:keepLines/>
      </w:pPr>
      <w:bookmarkStart w:id="471" w:name="_Toc147129231"/>
      <w:r w:rsidRPr="00CD5563">
        <w:rPr>
          <w:szCs w:val="19"/>
        </w:rPr>
        <w:t>•</w:t>
      </w:r>
      <w:r w:rsidRPr="00CD5563">
        <w:rPr>
          <w:szCs w:val="19"/>
        </w:rPr>
        <w:tab/>
      </w:r>
      <w:r w:rsidR="0008639C" w:rsidRPr="00CD5563">
        <w:rPr>
          <w:szCs w:val="19"/>
        </w:rPr>
        <w:t>Scenario 2</w:t>
      </w:r>
      <w:bookmarkEnd w:id="471"/>
      <w:r w:rsidR="0008639C" w:rsidRPr="00CD5563">
        <w:rPr>
          <w:szCs w:val="19"/>
        </w:rPr>
        <w:t xml:space="preserve">: In this scenario, the SCP is integrated to the application server. The communication sub-layer is a uniform communication layer which may provide connection between SSP, CS, SCP and the application server. The services created by the service creation environment (SCE) in the IN may be directly loaded into the SCP module of the AS. The SCP and the application module may be connected through a service interface sub-layer to operation and maintenance and external systems (e.g., billing centre, network management centre, accounting system). </w:t>
      </w:r>
    </w:p>
    <w:p w:rsidR="003C683B" w:rsidRPr="00CD5563" w:rsidRDefault="00C33360" w:rsidP="004A116A">
      <w:pPr>
        <w:pStyle w:val="Figuretitle"/>
        <w:rPr>
          <w:lang w:val="en-GB"/>
        </w:rPr>
      </w:pPr>
      <w:bookmarkStart w:id="472" w:name="_Toc380497404"/>
      <w:r>
        <w:rPr>
          <w:lang w:val="en-GB"/>
        </w:rPr>
        <w:t>Figure 4-2:</w:t>
      </w:r>
      <w:r w:rsidR="003C683B" w:rsidRPr="00CD5563">
        <w:rPr>
          <w:lang w:val="en-GB"/>
        </w:rPr>
        <w:t xml:space="preserve"> The SCP is integrated to the application server as a whole</w:t>
      </w:r>
      <w:bookmarkEnd w:id="472"/>
    </w:p>
    <w:p w:rsidR="0008639C" w:rsidRPr="00CD5563" w:rsidRDefault="0008639C" w:rsidP="003C683B">
      <w:pPr>
        <w:pStyle w:val="Figure"/>
        <w:rPr>
          <w:lang w:val="en-GB"/>
        </w:rPr>
      </w:pPr>
      <w:r w:rsidRPr="00CD5563">
        <w:rPr>
          <w:lang w:val="en-GB"/>
        </w:rPr>
        <w:object w:dxaOrig="6628" w:dyaOrig="6639">
          <v:shape id="_x0000_i1037" type="#_x0000_t75" style="width:308.95pt;height:309.75pt" o:ole="">
            <v:imagedata r:id="rId69" o:title=""/>
          </v:shape>
          <o:OLEObject Type="Embed" ProgID="CorelDraw.Graphic.12" ShapeID="_x0000_i1037" DrawAspect="Content" ObjectID="_1455465138" r:id="rId70"/>
        </w:object>
      </w:r>
    </w:p>
    <w:p w:rsidR="003C683B" w:rsidRPr="00CD5563" w:rsidRDefault="003C683B" w:rsidP="003C683B">
      <w:pPr>
        <w:pStyle w:val="Figure"/>
        <w:rPr>
          <w:lang w:val="en-GB"/>
        </w:rPr>
      </w:pPr>
    </w:p>
    <w:p w:rsidR="0008639C" w:rsidRPr="00CD5563" w:rsidRDefault="003C683B" w:rsidP="003C683B">
      <w:pPr>
        <w:pStyle w:val="Heading1"/>
        <w:rPr>
          <w:lang w:val="en-GB"/>
        </w:rPr>
      </w:pPr>
      <w:bookmarkStart w:id="473" w:name="_Toc147129235"/>
      <w:bookmarkStart w:id="474" w:name="_Toc154555589"/>
      <w:bookmarkStart w:id="475" w:name="_Toc157314263"/>
      <w:bookmarkStart w:id="476" w:name="_Toc157314693"/>
      <w:bookmarkStart w:id="477" w:name="_Toc157586496"/>
      <w:bookmarkStart w:id="478" w:name="_Toc380487736"/>
      <w:bookmarkStart w:id="479" w:name="_Toc381025055"/>
      <w:r w:rsidRPr="00CD5563">
        <w:rPr>
          <w:lang w:val="en-GB"/>
        </w:rPr>
        <w:t>5</w:t>
      </w:r>
      <w:r w:rsidR="0008639C" w:rsidRPr="00CD5563">
        <w:rPr>
          <w:lang w:val="en-GB"/>
        </w:rPr>
        <w:tab/>
        <w:t>Billing system migration scenarios</w:t>
      </w:r>
      <w:bookmarkEnd w:id="473"/>
      <w:bookmarkEnd w:id="474"/>
      <w:bookmarkEnd w:id="475"/>
      <w:bookmarkEnd w:id="476"/>
      <w:bookmarkEnd w:id="477"/>
      <w:bookmarkEnd w:id="478"/>
      <w:bookmarkEnd w:id="479"/>
    </w:p>
    <w:p w:rsidR="0008639C" w:rsidRPr="00CD5563" w:rsidRDefault="0008639C" w:rsidP="0008639C">
      <w:pPr>
        <w:spacing w:line="240" w:lineRule="atLeast"/>
        <w:rPr>
          <w:szCs w:val="19"/>
          <w:lang w:val="en-GB"/>
        </w:rPr>
      </w:pPr>
      <w:r w:rsidRPr="00CD5563">
        <w:rPr>
          <w:szCs w:val="19"/>
          <w:lang w:val="en-GB"/>
        </w:rPr>
        <w:t xml:space="preserve">The following three scenarios are considered when migration to NGN. The timing or preference for selection of these scenarios is service provider dependent. Mediation (MED) is an entity which allows transfer and processing of call detail records (CDRs) from the PSTN/ISDN to the NGN billing system, or from the NGN to the PSTN/ISDN billing system. </w:t>
      </w:r>
    </w:p>
    <w:p w:rsidR="0008639C" w:rsidRPr="00CD5563" w:rsidRDefault="003C683B" w:rsidP="00AB21CF">
      <w:pPr>
        <w:pStyle w:val="Enumlevel1"/>
      </w:pPr>
      <w:r w:rsidRPr="00CD5563">
        <w:rPr>
          <w:szCs w:val="19"/>
        </w:rPr>
        <w:t>•</w:t>
      </w:r>
      <w:r w:rsidRPr="00CD5563">
        <w:rPr>
          <w:szCs w:val="19"/>
        </w:rPr>
        <w:tab/>
      </w:r>
      <w:r w:rsidR="0008639C" w:rsidRPr="00CD5563">
        <w:rPr>
          <w:szCs w:val="19"/>
        </w:rPr>
        <w:t xml:space="preserve">Scenario 1: For this scenario, an NGN billing system is considered to handle both the PSTN/ISDN and the NGN. For this case, all accounting aspects are affected. </w:t>
      </w:r>
    </w:p>
    <w:p w:rsidR="0008639C" w:rsidRPr="00CD5563" w:rsidRDefault="003C683B" w:rsidP="00AB21CF">
      <w:pPr>
        <w:pStyle w:val="Enumlevel1"/>
      </w:pPr>
      <w:r w:rsidRPr="00CD5563">
        <w:t>•</w:t>
      </w:r>
      <w:r w:rsidRPr="00CD5563">
        <w:tab/>
      </w:r>
      <w:r w:rsidR="0008639C" w:rsidRPr="00CD5563">
        <w:t xml:space="preserve">Scenario 2: For this scenario, a new billing system is developed for the NGN, while keeping the existing PSTN/ISDN billing system. For this case, all accounting aspects are to be considered for NGN. </w:t>
      </w:r>
    </w:p>
    <w:p w:rsidR="0008639C" w:rsidRPr="00CD5563" w:rsidRDefault="003C683B" w:rsidP="00AB21CF">
      <w:pPr>
        <w:pStyle w:val="Enumlevel1"/>
      </w:pPr>
      <w:r w:rsidRPr="00CD5563">
        <w:t>•</w:t>
      </w:r>
      <w:r w:rsidRPr="00CD5563">
        <w:tab/>
      </w:r>
      <w:r w:rsidR="0008639C" w:rsidRPr="00CD5563">
        <w:t>Scenario 3: For this scenario, a legacy billing system is considered to handle both the PSTN/ISDN and the NGN. For this case, all accounting aspects are affected.</w:t>
      </w:r>
    </w:p>
    <w:p w:rsidR="003C683B" w:rsidRPr="00CD5563" w:rsidRDefault="00C33360" w:rsidP="004A116A">
      <w:pPr>
        <w:pStyle w:val="Figuretitle"/>
        <w:rPr>
          <w:lang w:val="en-GB"/>
        </w:rPr>
      </w:pPr>
      <w:bookmarkStart w:id="480" w:name="_Toc380497405"/>
      <w:r>
        <w:rPr>
          <w:lang w:val="en-GB"/>
        </w:rPr>
        <w:t>Figure 5-1:</w:t>
      </w:r>
      <w:r w:rsidR="003C683B" w:rsidRPr="00CD5563">
        <w:rPr>
          <w:lang w:val="en-GB"/>
        </w:rPr>
        <w:t xml:space="preserve"> Billing system migration scenarios</w:t>
      </w:r>
      <w:bookmarkEnd w:id="480"/>
    </w:p>
    <w:p w:rsidR="0008639C" w:rsidRPr="00CD5563" w:rsidRDefault="0008639C" w:rsidP="003C683B">
      <w:pPr>
        <w:pStyle w:val="Figure"/>
        <w:rPr>
          <w:lang w:val="en-GB"/>
        </w:rPr>
      </w:pPr>
      <w:r w:rsidRPr="00CD5563">
        <w:rPr>
          <w:lang w:val="en-GB"/>
        </w:rPr>
        <w:object w:dxaOrig="9134" w:dyaOrig="3015">
          <v:shape id="_x0000_i1038" type="#_x0000_t75" style="width:432.8pt;height:2in" o:ole="">
            <v:imagedata r:id="rId71" o:title=""/>
          </v:shape>
          <o:OLEObject Type="Embed" ProgID="CorelDraw.Graphic.12" ShapeID="_x0000_i1038" DrawAspect="Content" ObjectID="_1455465139" r:id="rId72"/>
        </w:object>
      </w:r>
    </w:p>
    <w:p w:rsidR="003C683B" w:rsidRPr="00CD5563" w:rsidRDefault="003C683B" w:rsidP="003C683B">
      <w:pPr>
        <w:pStyle w:val="Figure"/>
        <w:rPr>
          <w:lang w:val="en-GB"/>
        </w:rPr>
      </w:pPr>
    </w:p>
    <w:p w:rsidR="0008639C" w:rsidRPr="00CD5563" w:rsidRDefault="0008639C" w:rsidP="0008639C">
      <w:pPr>
        <w:spacing w:before="0"/>
        <w:rPr>
          <w:rFonts w:eastAsia="Malgun Gothic"/>
          <w:b/>
          <w:bCs/>
          <w:szCs w:val="19"/>
          <w:lang w:val="en-GB" w:eastAsia="ko-KR"/>
        </w:rPr>
      </w:pPr>
      <w:r w:rsidRPr="00CD5563">
        <w:rPr>
          <w:b/>
          <w:szCs w:val="19"/>
          <w:lang w:val="en-GB"/>
        </w:rPr>
        <w:br w:type="page"/>
      </w:r>
    </w:p>
    <w:p w:rsidR="0008639C" w:rsidRPr="00CD5563" w:rsidRDefault="0008639C" w:rsidP="003C683B">
      <w:pPr>
        <w:pStyle w:val="Heading1"/>
        <w:rPr>
          <w:lang w:val="en-GB"/>
        </w:rPr>
      </w:pPr>
      <w:bookmarkStart w:id="481" w:name="_Toc380487737"/>
      <w:bookmarkStart w:id="482" w:name="_Toc381025056"/>
      <w:r w:rsidRPr="00CD5563">
        <w:rPr>
          <w:lang w:val="en-GB"/>
        </w:rPr>
        <w:t>Annex 8: NGN Issues</w:t>
      </w:r>
      <w:bookmarkEnd w:id="481"/>
      <w:bookmarkEnd w:id="482"/>
    </w:p>
    <w:p w:rsidR="0008639C" w:rsidRPr="00CD5563" w:rsidRDefault="0008639C" w:rsidP="003C683B">
      <w:pPr>
        <w:rPr>
          <w:bCs/>
          <w:lang w:val="en-GB" w:eastAsia="ko-KR"/>
        </w:rPr>
      </w:pPr>
      <w:r w:rsidRPr="00CD5563">
        <w:rPr>
          <w:lang w:val="en-GB" w:eastAsia="en-US"/>
        </w:rPr>
        <w:t xml:space="preserve">NGN should continuously evolve to build up "Connected World" </w:t>
      </w:r>
      <w:r w:rsidRPr="00CD5563">
        <w:rPr>
          <w:lang w:val="en-GB" w:eastAsia="ko-KR"/>
        </w:rPr>
        <w:t>providing more convenient ways to use services and application including to use of relevant network resources allowing from other providers such as 3</w:t>
      </w:r>
      <w:r w:rsidRPr="00CD5563">
        <w:rPr>
          <w:vertAlign w:val="superscript"/>
          <w:lang w:val="en-GB" w:eastAsia="ko-KR"/>
        </w:rPr>
        <w:t>rd</w:t>
      </w:r>
      <w:r w:rsidRPr="00CD5563">
        <w:rPr>
          <w:lang w:val="en-GB" w:eastAsia="ko-KR"/>
        </w:rPr>
        <w:t xml:space="preserve"> party providers. Another important aspect is that </w:t>
      </w:r>
      <w:r w:rsidRPr="00CD5563">
        <w:rPr>
          <w:lang w:val="en-GB" w:eastAsia="en-US"/>
        </w:rPr>
        <w:t>NGN should support Ubiquitous Networking which will represent the situation of "Connect to Anything" in other words</w:t>
      </w:r>
      <w:r w:rsidRPr="00CD5563">
        <w:rPr>
          <w:lang w:val="en-GB" w:eastAsia="ko-KR"/>
        </w:rPr>
        <w:t xml:space="preserve"> called IoT “Internet of Things”</w:t>
      </w:r>
      <w:r w:rsidRPr="00CD5563">
        <w:rPr>
          <w:lang w:val="en-GB" w:eastAsia="en-US"/>
        </w:rPr>
        <w:t>.</w:t>
      </w:r>
      <w:r w:rsidRPr="00CD5563">
        <w:rPr>
          <w:lang w:val="en-GB" w:eastAsia="ko-KR"/>
        </w:rPr>
        <w:t xml:space="preserve"> For these, service platform aspects and capabilities to support ubiquitous networking of NGN have been seriously considered and developed during the last few years, especially in ITU-T NGN-GSI.</w:t>
      </w:r>
    </w:p>
    <w:p w:rsidR="0008639C" w:rsidRPr="00CD5563" w:rsidRDefault="003C683B" w:rsidP="003C683B">
      <w:pPr>
        <w:pStyle w:val="Heading1"/>
        <w:rPr>
          <w:lang w:val="en-GB"/>
        </w:rPr>
      </w:pPr>
      <w:bookmarkStart w:id="483" w:name="_Toc310409379"/>
      <w:bookmarkStart w:id="484" w:name="_Toc310410567"/>
      <w:bookmarkStart w:id="485" w:name="_Toc310410838"/>
      <w:bookmarkStart w:id="486" w:name="_Toc310410945"/>
      <w:bookmarkStart w:id="487" w:name="_Toc310427249"/>
      <w:bookmarkStart w:id="488" w:name="_Toc380487738"/>
      <w:bookmarkStart w:id="489" w:name="_Toc381025057"/>
      <w:r w:rsidRPr="00CD5563">
        <w:rPr>
          <w:lang w:val="en-GB"/>
        </w:rPr>
        <w:t>1</w:t>
      </w:r>
      <w:r w:rsidR="0008639C" w:rsidRPr="00CD5563">
        <w:rPr>
          <w:lang w:val="en-GB"/>
        </w:rPr>
        <w:tab/>
        <w:t xml:space="preserve">Service Integration and Delivery </w:t>
      </w:r>
      <w:r w:rsidR="00CD5563" w:rsidRPr="00CD5563">
        <w:rPr>
          <w:lang w:val="en-GB"/>
        </w:rPr>
        <w:t>Environments</w:t>
      </w:r>
      <w:r w:rsidR="0008639C" w:rsidRPr="00CD5563">
        <w:rPr>
          <w:lang w:val="en-GB"/>
        </w:rPr>
        <w:t xml:space="preserve"> in NGN</w:t>
      </w:r>
      <w:bookmarkEnd w:id="483"/>
      <w:bookmarkEnd w:id="484"/>
      <w:bookmarkEnd w:id="485"/>
      <w:bookmarkEnd w:id="486"/>
      <w:bookmarkEnd w:id="487"/>
      <w:bookmarkEnd w:id="488"/>
      <w:bookmarkEnd w:id="489"/>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rFonts w:eastAsiaTheme="minorEastAsia"/>
          <w:bCs/>
          <w:szCs w:val="19"/>
          <w:lang w:val="en-GB" w:eastAsia="ko-KR"/>
        </w:rPr>
      </w:pPr>
      <w:r w:rsidRPr="00CD5563">
        <w:rPr>
          <w:szCs w:val="19"/>
          <w:lang w:val="en-GB" w:eastAsia="en-US"/>
        </w:rPr>
        <w:t>NGN-GSI in ITU-T studied on service platform aspect</w:t>
      </w:r>
      <w:r w:rsidRPr="00CD5563">
        <w:rPr>
          <w:rFonts w:eastAsiaTheme="minorEastAsia"/>
          <w:szCs w:val="19"/>
          <w:lang w:val="en-GB" w:eastAsia="ko-KR"/>
        </w:rPr>
        <w:t>s</w:t>
      </w:r>
      <w:r w:rsidRPr="00CD5563">
        <w:rPr>
          <w:szCs w:val="19"/>
          <w:lang w:val="en-GB" w:eastAsia="en-US"/>
        </w:rPr>
        <w:t xml:space="preserve"> which should support multi-fold telecommunication business model and </w:t>
      </w:r>
      <w:r w:rsidRPr="00CD5563">
        <w:rPr>
          <w:rFonts w:eastAsiaTheme="minorEastAsia"/>
          <w:szCs w:val="19"/>
          <w:lang w:val="en-GB" w:eastAsia="ko-KR"/>
        </w:rPr>
        <w:t>t</w:t>
      </w:r>
      <w:r w:rsidRPr="00CD5563">
        <w:rPr>
          <w:szCs w:val="19"/>
          <w:lang w:val="en-GB" w:eastAsia="en-US"/>
        </w:rPr>
        <w:t>hrough this, NGN enhance</w:t>
      </w:r>
      <w:r w:rsidRPr="00CD5563">
        <w:rPr>
          <w:rFonts w:eastAsiaTheme="minorEastAsia"/>
          <w:szCs w:val="19"/>
          <w:lang w:val="en-GB" w:eastAsia="ko-KR"/>
        </w:rPr>
        <w:t>s</w:t>
      </w:r>
      <w:r w:rsidRPr="00CD5563">
        <w:rPr>
          <w:szCs w:val="19"/>
          <w:lang w:val="en-GB" w:eastAsia="en-US"/>
        </w:rPr>
        <w:t xml:space="preserve"> NGN end-users access to applications. </w:t>
      </w:r>
      <w:r w:rsidRPr="00CD5563">
        <w:rPr>
          <w:rFonts w:eastAsiaTheme="minorEastAsia"/>
          <w:szCs w:val="19"/>
          <w:lang w:val="en-GB" w:eastAsia="ko-KR"/>
        </w:rPr>
        <w:t xml:space="preserve">ITU-T Recommendation Y.2240 (approved at </w:t>
      </w:r>
      <w:r w:rsidRPr="00CD5563">
        <w:rPr>
          <w:szCs w:val="19"/>
          <w:lang w:val="en-GB" w:eastAsia="en-US"/>
        </w:rPr>
        <w:t>January 2011</w:t>
      </w:r>
      <w:r w:rsidRPr="00CD5563">
        <w:rPr>
          <w:rFonts w:eastAsiaTheme="minorEastAsia"/>
          <w:szCs w:val="19"/>
          <w:lang w:val="en-GB" w:eastAsia="ko-KR"/>
        </w:rPr>
        <w:t>, formerly known as Y.</w:t>
      </w:r>
      <w:r w:rsidRPr="00CD5563">
        <w:rPr>
          <w:szCs w:val="19"/>
          <w:lang w:val="en-GB" w:eastAsia="en-US"/>
        </w:rPr>
        <w:t xml:space="preserve"> NGN-SIDE</w:t>
      </w:r>
      <w:r w:rsidRPr="00CD5563">
        <w:rPr>
          <w:rFonts w:eastAsiaTheme="minorEastAsia"/>
          <w:szCs w:val="19"/>
          <w:lang w:val="en-GB" w:eastAsia="ko-KR"/>
        </w:rPr>
        <w:t>)</w:t>
      </w:r>
      <w:r w:rsidRPr="00CD5563">
        <w:rPr>
          <w:szCs w:val="19"/>
          <w:lang w:val="en-GB" w:eastAsia="en-US"/>
        </w:rPr>
        <w:t xml:space="preserve"> </w:t>
      </w:r>
      <w:r w:rsidRPr="00CD5563">
        <w:rPr>
          <w:rFonts w:eastAsiaTheme="minorEastAsia"/>
          <w:szCs w:val="19"/>
          <w:lang w:val="en-GB" w:eastAsia="ko-KR"/>
        </w:rPr>
        <w:t>identifies service delivery platform called NGN</w:t>
      </w:r>
      <w:r w:rsidRPr="00CD5563">
        <w:rPr>
          <w:szCs w:val="19"/>
          <w:lang w:val="en-GB" w:eastAsia="en-US"/>
        </w:rPr>
        <w:t>-SIDE can be viewed as the next generation service delivery platform (SDP)</w:t>
      </w:r>
      <w:r w:rsidRPr="00CD5563">
        <w:rPr>
          <w:rFonts w:eastAsiaTheme="minorEastAsia"/>
          <w:szCs w:val="19"/>
          <w:lang w:val="en-GB" w:eastAsia="ko-KR"/>
        </w:rPr>
        <w:t xml:space="preserve"> and</w:t>
      </w:r>
      <w:r w:rsidRPr="00CD5563">
        <w:rPr>
          <w:szCs w:val="19"/>
          <w:lang w:val="en-GB" w:eastAsia="en-US"/>
        </w:rPr>
        <w:t xml:space="preserve"> its framework can conceptually be applicable to other telecommunication environments (e.g. mobile networks).</w:t>
      </w:r>
    </w:p>
    <w:p w:rsidR="0008639C" w:rsidRPr="00CD5563" w:rsidRDefault="0008639C" w:rsidP="0008639C">
      <w:pPr>
        <w:rPr>
          <w:rFonts w:eastAsiaTheme="minorEastAsia"/>
          <w:color w:val="000000"/>
          <w:szCs w:val="24"/>
          <w:lang w:val="en-GB" w:eastAsia="ko-KR"/>
        </w:rPr>
      </w:pPr>
      <w:r w:rsidRPr="00CD5563">
        <w:rPr>
          <w:lang w:val="en-GB"/>
        </w:rPr>
        <w:t>NGN-SIDE is defined</w:t>
      </w:r>
      <w:r w:rsidRPr="00CD5563">
        <w:rPr>
          <w:b/>
          <w:lang w:val="en-GB"/>
        </w:rPr>
        <w:t xml:space="preserve"> </w:t>
      </w:r>
      <w:r w:rsidRPr="00CD5563">
        <w:rPr>
          <w:lang w:val="en-GB"/>
        </w:rPr>
        <w:t xml:space="preserve">as </w:t>
      </w:r>
      <w:r w:rsidRPr="00CD5563">
        <w:rPr>
          <w:rFonts w:eastAsiaTheme="minorEastAsia"/>
          <w:lang w:val="en-GB" w:eastAsia="ko-KR"/>
        </w:rPr>
        <w:t>“</w:t>
      </w:r>
      <w:r w:rsidRPr="00CD5563">
        <w:rPr>
          <w:rFonts w:eastAsiaTheme="minorEastAsia"/>
          <w:color w:val="000000"/>
          <w:szCs w:val="24"/>
          <w:lang w:val="en-GB" w:eastAsia="ko-KR"/>
        </w:rPr>
        <w:t>a</w:t>
      </w:r>
      <w:r w:rsidRPr="00CD5563">
        <w:rPr>
          <w:rFonts w:eastAsia="Times New Roman"/>
          <w:color w:val="000000"/>
          <w:szCs w:val="24"/>
          <w:lang w:val="en-GB"/>
        </w:rPr>
        <w:t>n open environment in NGN integrati</w:t>
      </w:r>
      <w:r w:rsidRPr="00CD5563">
        <w:rPr>
          <w:color w:val="000000"/>
          <w:szCs w:val="24"/>
          <w:lang w:val="en-GB"/>
        </w:rPr>
        <w:t>ng</w:t>
      </w:r>
      <w:r w:rsidRPr="00CD5563">
        <w:rPr>
          <w:rFonts w:eastAsia="Times New Roman"/>
          <w:color w:val="000000"/>
          <w:szCs w:val="24"/>
          <w:lang w:val="en-GB"/>
        </w:rPr>
        <w:t xml:space="preserve"> </w:t>
      </w:r>
      <w:r w:rsidRPr="00CD5563">
        <w:rPr>
          <w:color w:val="000000"/>
          <w:szCs w:val="24"/>
          <w:lang w:val="en-GB"/>
        </w:rPr>
        <w:t>resources</w:t>
      </w:r>
      <w:r w:rsidRPr="00CD5563">
        <w:rPr>
          <w:rFonts w:eastAsia="Times New Roman"/>
          <w:color w:val="000000"/>
          <w:szCs w:val="24"/>
          <w:lang w:val="en-GB"/>
        </w:rPr>
        <w:t xml:space="preserve"> from different domains </w:t>
      </w:r>
      <w:r w:rsidRPr="00CD5563">
        <w:rPr>
          <w:color w:val="000000"/>
          <w:szCs w:val="24"/>
          <w:lang w:val="en-GB"/>
        </w:rPr>
        <w:t>and delivering integrated services to applications over NGN</w:t>
      </w:r>
      <w:r w:rsidRPr="00CD5563">
        <w:rPr>
          <w:rFonts w:eastAsiaTheme="minorEastAsia"/>
          <w:color w:val="000000"/>
          <w:szCs w:val="24"/>
          <w:lang w:val="en-GB" w:eastAsia="ko-KR"/>
        </w:rPr>
        <w:t xml:space="preserve">.” Here, </w:t>
      </w:r>
      <w:r w:rsidRPr="00CD5563">
        <w:rPr>
          <w:color w:val="000000"/>
          <w:szCs w:val="24"/>
          <w:lang w:val="en-GB"/>
        </w:rPr>
        <w:t>domains include, but are not limited to, telecommunication domain (e.g. fixed and mobile networks), Internet domain, Broadcasting domain and Content Provider domain.</w:t>
      </w:r>
    </w:p>
    <w:p w:rsidR="0008639C" w:rsidRPr="00CD5563" w:rsidRDefault="0008639C" w:rsidP="0008639C">
      <w:pPr>
        <w:spacing w:before="240"/>
        <w:rPr>
          <w:lang w:val="en-GB" w:eastAsia="ko-KR"/>
        </w:rPr>
      </w:pPr>
      <w:r w:rsidRPr="00CD5563">
        <w:rPr>
          <w:lang w:val="en-GB" w:eastAsia="ko-KR"/>
        </w:rPr>
        <w:t>The following main functionalities are supported in the NGN-SIDE ecosystem:</w:t>
      </w:r>
    </w:p>
    <w:p w:rsidR="0008639C" w:rsidRPr="00CD5563" w:rsidRDefault="003C683B" w:rsidP="003C683B">
      <w:pPr>
        <w:pStyle w:val="Enumlevel1"/>
      </w:pPr>
      <w:r w:rsidRPr="00CD5563">
        <w:t>•</w:t>
      </w:r>
      <w:r w:rsidRPr="00CD5563">
        <w:tab/>
      </w:r>
      <w:r w:rsidR="0008639C" w:rsidRPr="00CD5563">
        <w:t>integration of resources from different domains (e.g. telecommunication domain (fixed and mobile networks), broadcasting domain, internet domain or content provider domain) over NGN;</w:t>
      </w:r>
    </w:p>
    <w:p w:rsidR="0008639C" w:rsidRPr="00CD5563" w:rsidRDefault="003C683B" w:rsidP="003C683B">
      <w:pPr>
        <w:pStyle w:val="Enumlevel1"/>
      </w:pPr>
      <w:r w:rsidRPr="00CD5563">
        <w:t>•</w:t>
      </w:r>
      <w:r w:rsidRPr="00CD5563">
        <w:tab/>
      </w:r>
      <w:r w:rsidR="0008639C" w:rsidRPr="00CD5563">
        <w:t>adaptation, including abstraction and virtualization, of resources from different domains;</w:t>
      </w:r>
    </w:p>
    <w:p w:rsidR="0008639C" w:rsidRPr="00CD5563" w:rsidRDefault="003C683B" w:rsidP="003C683B">
      <w:pPr>
        <w:pStyle w:val="Enumlevel1"/>
      </w:pPr>
      <w:r w:rsidRPr="00CD5563">
        <w:t>•</w:t>
      </w:r>
      <w:r w:rsidRPr="00CD5563">
        <w:tab/>
      </w:r>
      <w:r w:rsidR="0008639C" w:rsidRPr="00CD5563">
        <w:t>resource brokering for mediation among applications and resources;</w:t>
      </w:r>
    </w:p>
    <w:p w:rsidR="0008639C" w:rsidRPr="00CD5563" w:rsidRDefault="003C683B" w:rsidP="003C683B">
      <w:pPr>
        <w:pStyle w:val="Enumlevel1"/>
      </w:pPr>
      <w:r w:rsidRPr="00CD5563">
        <w:t>•</w:t>
      </w:r>
      <w:r w:rsidRPr="00CD5563">
        <w:tab/>
      </w:r>
      <w:r w:rsidR="0008639C" w:rsidRPr="00CD5563">
        <w:t xml:space="preserve">support of application development environment for application developers; </w:t>
      </w:r>
    </w:p>
    <w:p w:rsidR="0008639C" w:rsidRPr="00CD5563" w:rsidRDefault="003C683B" w:rsidP="003C683B">
      <w:pPr>
        <w:pStyle w:val="Enumlevel1"/>
      </w:pPr>
      <w:r w:rsidRPr="00CD5563">
        <w:t>•</w:t>
      </w:r>
      <w:r w:rsidRPr="00CD5563">
        <w:tab/>
      </w:r>
      <w:r w:rsidR="0008639C" w:rsidRPr="00CD5563">
        <w:t>support of different service interfaces across ANI, UNI, SNI and NNI for exposure of NGN-SIDE capabilities and access to resources in different domains;</w:t>
      </w:r>
    </w:p>
    <w:p w:rsidR="0008639C" w:rsidRPr="00CD5563" w:rsidRDefault="003C683B" w:rsidP="003C683B">
      <w:pPr>
        <w:pStyle w:val="Enumlevel1"/>
      </w:pPr>
      <w:r w:rsidRPr="00CD5563">
        <w:t>•</w:t>
      </w:r>
      <w:r w:rsidRPr="00CD5563">
        <w:tab/>
      </w:r>
      <w:r w:rsidR="0008639C" w:rsidRPr="00CD5563">
        <w:t>provision of mechanisms for the support of diverse applications including cloud services, machine to machine, and ubiquitous sensor network applications;</w:t>
      </w:r>
    </w:p>
    <w:p w:rsidR="0008639C" w:rsidRPr="00CD5563" w:rsidRDefault="003C683B" w:rsidP="003C683B">
      <w:pPr>
        <w:pStyle w:val="Enumlevel1"/>
      </w:pPr>
      <w:r w:rsidRPr="00CD5563">
        <w:t>•</w:t>
      </w:r>
      <w:r w:rsidRPr="00CD5563">
        <w:tab/>
      </w:r>
      <w:r w:rsidR="0008639C" w:rsidRPr="00CD5563">
        <w:t>provision of mechanisms for the support of applications making usage of context based information;</w:t>
      </w:r>
    </w:p>
    <w:p w:rsidR="0008639C" w:rsidRPr="00CD5563" w:rsidRDefault="003C683B" w:rsidP="003C683B">
      <w:pPr>
        <w:pStyle w:val="Enumlevel1"/>
      </w:pPr>
      <w:r w:rsidRPr="00CD5563">
        <w:t>•</w:t>
      </w:r>
      <w:r w:rsidRPr="00CD5563">
        <w:tab/>
      </w:r>
      <w:r w:rsidR="0008639C" w:rsidRPr="00CD5563">
        <w:t>provision of mechanisms for content management.</w:t>
      </w:r>
    </w:p>
    <w:p w:rsidR="0008639C" w:rsidRPr="00CD5563" w:rsidRDefault="0008639C" w:rsidP="007A238D">
      <w:pPr>
        <w:keepNext/>
        <w:keepLines/>
        <w:rPr>
          <w:rFonts w:eastAsiaTheme="minorEastAsia"/>
          <w:lang w:val="en-GB" w:eastAsia="ko-KR"/>
        </w:rPr>
      </w:pPr>
      <w:r w:rsidRPr="00CD5563">
        <w:rPr>
          <w:rFonts w:eastAsiaTheme="minorEastAsia"/>
          <w:lang w:val="en-GB" w:eastAsia="ko-KR"/>
        </w:rPr>
        <w:t xml:space="preserve">NGN-SIDE has a </w:t>
      </w:r>
      <w:r w:rsidR="00CD5563" w:rsidRPr="00CD5563">
        <w:rPr>
          <w:rFonts w:eastAsiaTheme="minorEastAsia"/>
          <w:lang w:val="en-GB" w:eastAsia="ko-KR"/>
        </w:rPr>
        <w:t>layered</w:t>
      </w:r>
      <w:r w:rsidRPr="00CD5563">
        <w:rPr>
          <w:rFonts w:eastAsiaTheme="minorEastAsia"/>
          <w:lang w:val="en-GB" w:eastAsia="ko-KR"/>
        </w:rPr>
        <w:t xml:space="preserve"> </w:t>
      </w:r>
      <w:r w:rsidR="00CD5563" w:rsidRPr="00CD5563">
        <w:rPr>
          <w:rFonts w:eastAsiaTheme="minorEastAsia"/>
          <w:lang w:val="en-GB" w:eastAsia="ko-KR"/>
        </w:rPr>
        <w:t>architecture</w:t>
      </w:r>
      <w:r w:rsidRPr="00CD5563">
        <w:rPr>
          <w:rFonts w:eastAsiaTheme="minorEastAsia"/>
          <w:lang w:val="en-GB" w:eastAsia="ko-KR"/>
        </w:rPr>
        <w:t xml:space="preserve"> as shown in t</w:t>
      </w:r>
      <w:r w:rsidRPr="00CD5563">
        <w:rPr>
          <w:lang w:val="en-GB"/>
        </w:rPr>
        <w:t xml:space="preserve">he following </w:t>
      </w:r>
      <w:r w:rsidRPr="00CD5563">
        <w:rPr>
          <w:rFonts w:eastAsiaTheme="minorEastAsia"/>
          <w:lang w:val="en-GB" w:eastAsia="ko-KR"/>
        </w:rPr>
        <w:t>F</w:t>
      </w:r>
      <w:r w:rsidRPr="00CD5563">
        <w:rPr>
          <w:lang w:val="en-GB"/>
        </w:rPr>
        <w:t>igure</w:t>
      </w:r>
      <w:r w:rsidRPr="00CD5563">
        <w:rPr>
          <w:rFonts w:eastAsiaTheme="minorEastAsia"/>
          <w:lang w:val="en-GB" w:eastAsia="ko-KR"/>
        </w:rPr>
        <w:t xml:space="preserve"> 1-1</w:t>
      </w:r>
      <w:r w:rsidRPr="00CD5563">
        <w:rPr>
          <w:lang w:val="en-GB"/>
        </w:rPr>
        <w:t>:</w:t>
      </w:r>
    </w:p>
    <w:p w:rsidR="003C683B" w:rsidRPr="00CD5563" w:rsidRDefault="003C683B" w:rsidP="003C683B">
      <w:pPr>
        <w:pStyle w:val="Figuretitle"/>
        <w:rPr>
          <w:bCs/>
          <w:lang w:val="en-GB" w:eastAsia="en-US"/>
        </w:rPr>
      </w:pPr>
      <w:bookmarkStart w:id="490" w:name="_Toc380497406"/>
      <w:r w:rsidRPr="00CD5563">
        <w:rPr>
          <w:lang w:val="en-GB" w:eastAsia="en-US"/>
        </w:rPr>
        <w:t>Figure 1-1: Layered View of NGN-SIDE</w:t>
      </w:r>
      <w:bookmarkEnd w:id="490"/>
    </w:p>
    <w:p w:rsidR="0008639C" w:rsidRPr="00CD5563" w:rsidRDefault="0008639C" w:rsidP="00BD0ACF">
      <w:pPr>
        <w:pStyle w:val="Figure"/>
        <w:spacing w:before="120" w:after="0"/>
        <w:rPr>
          <w:noProof/>
          <w:lang w:val="en-GB" w:eastAsia="ko-KR"/>
        </w:rPr>
      </w:pPr>
      <w:r w:rsidRPr="00CD5563">
        <w:rPr>
          <w:noProof/>
          <w:lang w:val="en-GB" w:eastAsia="ko-KR"/>
        </w:rPr>
        <w:object w:dxaOrig="10857" w:dyaOrig="5451">
          <v:shape id="_x0000_i1039" type="#_x0000_t75" style="width:277.3pt;height:103.65pt" o:ole="">
            <v:imagedata r:id="rId73" o:title=""/>
          </v:shape>
          <o:OLEObject Type="Embed" ProgID="Visio.Drawing.11" ShapeID="_x0000_i1039" DrawAspect="Content" ObjectID="_1455465140" r:id="rId74"/>
        </w:object>
      </w:r>
    </w:p>
    <w:p w:rsidR="003C683B" w:rsidRPr="00CD5563" w:rsidRDefault="003C683B" w:rsidP="00BD0ACF">
      <w:pPr>
        <w:pStyle w:val="Figure"/>
        <w:spacing w:before="0"/>
        <w:rPr>
          <w:noProof/>
          <w:lang w:val="en-GB" w:eastAsia="ko-KR"/>
        </w:rPr>
      </w:pPr>
    </w:p>
    <w:p w:rsidR="007A238D" w:rsidRDefault="007A238D" w:rsidP="00AB21CF">
      <w:pPr>
        <w:pStyle w:val="Enumlevel1"/>
      </w:pPr>
    </w:p>
    <w:p w:rsidR="0008639C" w:rsidRPr="00CD5563" w:rsidRDefault="003C683B" w:rsidP="00AB21CF">
      <w:pPr>
        <w:pStyle w:val="Enumlevel1"/>
      </w:pPr>
      <w:r w:rsidRPr="00CD5563">
        <w:t>•</w:t>
      </w:r>
      <w:r w:rsidRPr="00CD5563">
        <w:tab/>
      </w:r>
      <w:r w:rsidR="0008639C" w:rsidRPr="00CD5563">
        <w:t xml:space="preserve">The NGN-SIDE user layer uses the services offered by the NGN-SIDE layer, including resource exposure. It includes users accessing the NGN-SIDE, such as applications and other users. </w:t>
      </w:r>
    </w:p>
    <w:p w:rsidR="0008639C" w:rsidRPr="00CD5563" w:rsidRDefault="003C683B" w:rsidP="00AB21CF">
      <w:pPr>
        <w:pStyle w:val="Enumlevel1"/>
      </w:pPr>
      <w:r w:rsidRPr="00CD5563">
        <w:t>•</w:t>
      </w:r>
      <w:r w:rsidRPr="00CD5563">
        <w:tab/>
      </w:r>
      <w:r w:rsidR="0008639C" w:rsidRPr="00CD5563">
        <w:t xml:space="preserve">The NGN-SIDE layer corresponds to NGN-SIDE. </w:t>
      </w:r>
    </w:p>
    <w:p w:rsidR="0008639C" w:rsidRPr="00CD5563" w:rsidRDefault="003C683B" w:rsidP="00AB21CF">
      <w:pPr>
        <w:pStyle w:val="Enumlevel1"/>
      </w:pPr>
      <w:r w:rsidRPr="00CD5563">
        <w:t>•</w:t>
      </w:r>
      <w:r w:rsidRPr="00CD5563">
        <w:tab/>
      </w:r>
      <w:r w:rsidR="0008639C" w:rsidRPr="00CD5563">
        <w:t>The NGN-SIDE resource layer includes resources accessible by NGN-SIDE, such as applications, service enablers, network capabilities, connectivity, computing, storage, and content.</w:t>
      </w:r>
    </w:p>
    <w:p w:rsidR="0008639C" w:rsidRPr="00CD5563" w:rsidRDefault="0008639C" w:rsidP="0008639C">
      <w:pPr>
        <w:rPr>
          <w:lang w:val="en-GB"/>
        </w:rPr>
      </w:pPr>
      <w:r w:rsidRPr="00CD5563">
        <w:rPr>
          <w:lang w:val="en-GB"/>
        </w:rPr>
        <w:t xml:space="preserve">The following </w:t>
      </w:r>
      <w:r w:rsidRPr="00CD5563">
        <w:rPr>
          <w:rFonts w:eastAsiaTheme="minorEastAsia"/>
          <w:lang w:val="en-GB" w:eastAsia="ko-KR"/>
        </w:rPr>
        <w:t>F</w:t>
      </w:r>
      <w:r w:rsidRPr="00CD5563">
        <w:rPr>
          <w:lang w:val="en-GB"/>
        </w:rPr>
        <w:t>igure</w:t>
      </w:r>
      <w:r w:rsidRPr="00CD5563">
        <w:rPr>
          <w:rFonts w:eastAsiaTheme="minorEastAsia"/>
          <w:lang w:val="en-GB" w:eastAsia="ko-KR"/>
        </w:rPr>
        <w:t xml:space="preserve"> 1-2</w:t>
      </w:r>
      <w:r w:rsidRPr="00CD5563">
        <w:rPr>
          <w:lang w:val="en-GB"/>
        </w:rPr>
        <w:t xml:space="preserve"> shows a functional view of NGN-SIDE according to the above described layers, the NGN-SIDE layer being comprised of the NGN-SIDE integration layer and the NGN-SIDE adaptation layer: </w:t>
      </w:r>
      <w:r w:rsidRPr="00CD5563" w:rsidDel="00804A33">
        <w:rPr>
          <w:lang w:val="en-GB"/>
        </w:rPr>
        <w:t xml:space="preserve"> </w:t>
      </w:r>
    </w:p>
    <w:p w:rsidR="003C683B" w:rsidRPr="00CD5563" w:rsidRDefault="003C683B" w:rsidP="003C683B">
      <w:pPr>
        <w:pStyle w:val="Figuretitle"/>
        <w:rPr>
          <w:bCs/>
          <w:lang w:val="en-GB" w:eastAsia="en-US"/>
        </w:rPr>
      </w:pPr>
      <w:bookmarkStart w:id="491" w:name="_Toc380497407"/>
      <w:r w:rsidRPr="00CD5563">
        <w:rPr>
          <w:lang w:val="en-GB" w:eastAsia="en-US"/>
        </w:rPr>
        <w:t>Figure 1-</w:t>
      </w:r>
      <w:r w:rsidRPr="00CD5563">
        <w:rPr>
          <w:lang w:val="en-GB" w:eastAsia="ko-KR"/>
        </w:rPr>
        <w:t>2</w:t>
      </w:r>
      <w:r w:rsidRPr="00CD5563">
        <w:rPr>
          <w:lang w:val="en-GB" w:eastAsia="en-US"/>
        </w:rPr>
        <w:t xml:space="preserve">: </w:t>
      </w:r>
      <w:r w:rsidRPr="00CD5563">
        <w:rPr>
          <w:lang w:val="en-GB" w:eastAsia="ko-KR"/>
        </w:rPr>
        <w:t>Functional View of NGN-SIDE</w:t>
      </w:r>
      <w:bookmarkEnd w:id="491"/>
    </w:p>
    <w:p w:rsidR="0008639C" w:rsidRPr="00CD5563" w:rsidRDefault="0008639C" w:rsidP="003C683B">
      <w:pPr>
        <w:pStyle w:val="Figure"/>
        <w:rPr>
          <w:lang w:val="en-GB"/>
        </w:rPr>
      </w:pPr>
      <w:r w:rsidRPr="00CD5563">
        <w:rPr>
          <w:lang w:val="en-GB"/>
        </w:rPr>
        <w:object w:dxaOrig="10857" w:dyaOrig="12721">
          <v:shape id="_x0000_i1040" type="#_x0000_t75" style="width:349.7pt;height:298.3pt" o:ole="">
            <v:imagedata r:id="rId75" o:title=""/>
          </v:shape>
          <o:OLEObject Type="Embed" ProgID="Visio.Drawing.11" ShapeID="_x0000_i1040" DrawAspect="Content" ObjectID="_1455465141" r:id="rId76"/>
        </w:object>
      </w:r>
    </w:p>
    <w:p w:rsidR="003C683B" w:rsidRPr="00CD5563" w:rsidRDefault="003C683B" w:rsidP="003C683B">
      <w:pPr>
        <w:pStyle w:val="Figure"/>
        <w:keepNext w:val="0"/>
        <w:rPr>
          <w:rFonts w:eastAsiaTheme="minorEastAsia"/>
          <w:lang w:val="en-GB" w:eastAsia="ko-KR"/>
        </w:rPr>
      </w:pPr>
    </w:p>
    <w:p w:rsidR="0008639C" w:rsidRPr="00CD5563" w:rsidRDefault="0008639C" w:rsidP="003C683B">
      <w:pPr>
        <w:keepNext/>
        <w:keepLines/>
        <w:tabs>
          <w:tab w:val="left" w:pos="794"/>
          <w:tab w:val="left" w:pos="1191"/>
          <w:tab w:val="left" w:pos="1588"/>
          <w:tab w:val="left" w:pos="1985"/>
        </w:tabs>
        <w:overflowPunct w:val="0"/>
        <w:autoSpaceDE w:val="0"/>
        <w:autoSpaceDN w:val="0"/>
        <w:adjustRightInd w:val="0"/>
        <w:textAlignment w:val="baseline"/>
        <w:rPr>
          <w:bCs/>
          <w:szCs w:val="19"/>
          <w:lang w:val="en-GB" w:eastAsia="en-US"/>
        </w:rPr>
      </w:pPr>
      <w:r w:rsidRPr="00CD5563">
        <w:rPr>
          <w:szCs w:val="19"/>
          <w:lang w:val="en-GB" w:eastAsia="en-US"/>
        </w:rPr>
        <w:t>In order to reduce the complexity of integrating resources, the NGN-SIDE integration layer provides a unified way for the NGN-SIDE users to access the resources offered by NGN and Non-NGN. It supports the service creation functional group, the service execution functional group and the service delivery management functional group:</w:t>
      </w:r>
    </w:p>
    <w:p w:rsidR="0008639C" w:rsidRPr="00CD5563" w:rsidRDefault="003C683B" w:rsidP="00AB21CF">
      <w:pPr>
        <w:pStyle w:val="Enumlevel1"/>
      </w:pPr>
      <w:r w:rsidRPr="00CD5563">
        <w:rPr>
          <w:rFonts w:cs="Times New Roman"/>
          <w:iCs/>
          <w:szCs w:val="19"/>
          <w:lang w:eastAsia="en-US"/>
        </w:rPr>
        <w:t>•</w:t>
      </w:r>
      <w:r w:rsidRPr="00CD5563">
        <w:rPr>
          <w:rFonts w:cs="Times New Roman"/>
          <w:iCs/>
          <w:szCs w:val="19"/>
          <w:lang w:eastAsia="en-US"/>
        </w:rPr>
        <w:tab/>
      </w:r>
      <w:r w:rsidR="0008639C" w:rsidRPr="00CD5563">
        <w:rPr>
          <w:rFonts w:cs="Times New Roman"/>
          <w:iCs/>
          <w:szCs w:val="19"/>
          <w:lang w:eastAsia="en-US"/>
        </w:rPr>
        <w:t>the service creation functional group provides capabilities to realize an application development environment for application developers;</w:t>
      </w:r>
    </w:p>
    <w:p w:rsidR="0008639C" w:rsidRPr="00CD5563" w:rsidRDefault="005C2CCA" w:rsidP="00AB21CF">
      <w:pPr>
        <w:pStyle w:val="Enumlevel1"/>
      </w:pPr>
      <w:r w:rsidRPr="00CD5563">
        <w:t>•</w:t>
      </w:r>
      <w:r w:rsidR="003C683B" w:rsidRPr="00CD5563">
        <w:tab/>
      </w:r>
      <w:r w:rsidR="0008639C" w:rsidRPr="00CD5563">
        <w:t>the service execution functional group provides capabilities to support the service execution environment;</w:t>
      </w:r>
    </w:p>
    <w:p w:rsidR="0008639C" w:rsidRPr="00CD5563" w:rsidRDefault="005C2CCA" w:rsidP="00AB21CF">
      <w:pPr>
        <w:pStyle w:val="Enumlevel1"/>
      </w:pPr>
      <w:r w:rsidRPr="00CD5563">
        <w:t>•</w:t>
      </w:r>
      <w:r w:rsidR="003C683B" w:rsidRPr="00CD5563">
        <w:tab/>
      </w:r>
      <w:r w:rsidR="0008639C" w:rsidRPr="00CD5563">
        <w:t>the service delivery management functional group provides capabilities to realize the management of different aspects, provisioning of applications and charging for ensuring proper functioning of the service creation and service execution functional groups and providing associated delivery functionalities.</w:t>
      </w:r>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bCs/>
          <w:szCs w:val="19"/>
          <w:lang w:val="en-GB" w:eastAsia="en-US"/>
        </w:rPr>
      </w:pPr>
      <w:r w:rsidRPr="00CD5563">
        <w:rPr>
          <w:szCs w:val="19"/>
          <w:lang w:val="en-GB" w:eastAsia="en-US"/>
        </w:rPr>
        <w:t xml:space="preserve">The NGN-SIDE adaptation layer adapts resources offered by NGN-SIDE resource providers such as their own service logic and service control, and related protocols, in order to provide uniformly adapted resources (e.g. control and media format) for interaction with the NGN-SIDE integration layer. NGN-SIDE resource providers use standardized or proprietary interfaces called “NGN-SIDE resource interfaces” to offer resources to NGN-SIDE and these interfaces are adapted by NGN-SIDE. </w:t>
      </w:r>
    </w:p>
    <w:p w:rsidR="0008639C" w:rsidRPr="00CD5563" w:rsidRDefault="0008639C" w:rsidP="0008639C">
      <w:pPr>
        <w:rPr>
          <w:rFonts w:eastAsiaTheme="minorEastAsia"/>
          <w:lang w:val="en-GB" w:eastAsia="ko-KR"/>
        </w:rPr>
      </w:pPr>
      <w:bookmarkStart w:id="492" w:name="_Toc289071237"/>
      <w:r w:rsidRPr="00CD5563">
        <w:rPr>
          <w:lang w:val="en-GB"/>
        </w:rPr>
        <w:t>NGN-SIDE positioning within the NGN reference architecture</w:t>
      </w:r>
      <w:bookmarkEnd w:id="492"/>
      <w:r w:rsidRPr="00CD5563">
        <w:rPr>
          <w:lang w:val="en-GB"/>
        </w:rPr>
        <w:t xml:space="preserve"> is shown in the following Figure 1-3:</w:t>
      </w:r>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rFonts w:eastAsiaTheme="minorEastAsia"/>
          <w:b/>
          <w:bCs/>
          <w:szCs w:val="19"/>
          <w:lang w:val="en-GB" w:eastAsia="ko-KR"/>
        </w:rPr>
      </w:pPr>
      <w:r w:rsidRPr="00CD5563">
        <w:rPr>
          <w:szCs w:val="19"/>
          <w:lang w:val="en-GB" w:eastAsia="en-US"/>
        </w:rPr>
        <w:t>The NGN-SIDE functional components are positioned inside the NGN service stratum. The NGN-SIDE adaptation layer enables the abstraction of resources, including the resources of the NGN transport stratum (e.g. transport control functions and transport functions related resources) and the NGN service stratum (e.g. service control functions and content delivery functions related resources).</w:t>
      </w:r>
    </w:p>
    <w:p w:rsidR="005C2CCA" w:rsidRPr="00CD5563" w:rsidRDefault="005C2CCA" w:rsidP="005C2CCA">
      <w:pPr>
        <w:pStyle w:val="Figuretitle"/>
        <w:rPr>
          <w:szCs w:val="19"/>
          <w:lang w:val="en-GB"/>
        </w:rPr>
      </w:pPr>
      <w:bookmarkStart w:id="493" w:name="_Toc380497408"/>
      <w:r w:rsidRPr="00CD5563">
        <w:rPr>
          <w:szCs w:val="19"/>
          <w:lang w:val="en-GB" w:eastAsia="en-US"/>
        </w:rPr>
        <w:t>Figure 1-</w:t>
      </w:r>
      <w:r w:rsidRPr="00CD5563">
        <w:rPr>
          <w:rFonts w:eastAsiaTheme="minorEastAsia"/>
          <w:szCs w:val="19"/>
          <w:lang w:val="en-GB" w:eastAsia="ko-KR"/>
        </w:rPr>
        <w:t>3</w:t>
      </w:r>
      <w:r w:rsidRPr="00CD5563">
        <w:rPr>
          <w:szCs w:val="19"/>
          <w:lang w:val="en-GB" w:eastAsia="en-US"/>
        </w:rPr>
        <w:t xml:space="preserve">: </w:t>
      </w:r>
      <w:r w:rsidRPr="00CD5563">
        <w:rPr>
          <w:rFonts w:eastAsiaTheme="minorEastAsia"/>
          <w:szCs w:val="19"/>
          <w:lang w:val="en-GB" w:eastAsia="ko-KR"/>
        </w:rPr>
        <w:t xml:space="preserve">NGN-SIDE </w:t>
      </w:r>
      <w:r w:rsidRPr="00CD5563">
        <w:rPr>
          <w:lang w:val="en-GB"/>
        </w:rPr>
        <w:t>positioning within the NGN reference architecture</w:t>
      </w:r>
      <w:bookmarkEnd w:id="493"/>
    </w:p>
    <w:p w:rsidR="0008639C" w:rsidRPr="00CD5563" w:rsidRDefault="0008639C" w:rsidP="005C2CCA">
      <w:pPr>
        <w:pStyle w:val="Figure"/>
        <w:rPr>
          <w:lang w:val="en-GB"/>
        </w:rPr>
      </w:pPr>
      <w:r w:rsidRPr="00CD5563">
        <w:rPr>
          <w:lang w:val="en-GB"/>
        </w:rPr>
        <w:object w:dxaOrig="23205" w:dyaOrig="20570">
          <v:shape id="_x0000_i1041" type="#_x0000_t75" style="width:335.45pt;height:243.7pt" o:ole="">
            <v:imagedata r:id="rId77" o:title=""/>
          </v:shape>
          <o:OLEObject Type="Embed" ProgID="Visio.Drawing.11" ShapeID="_x0000_i1041" DrawAspect="Content" ObjectID="_1455465142" r:id="rId78"/>
        </w:object>
      </w:r>
    </w:p>
    <w:p w:rsidR="005C2CCA" w:rsidRPr="00CD5563" w:rsidRDefault="005C2CCA" w:rsidP="005C2CCA">
      <w:pPr>
        <w:pStyle w:val="Figure"/>
        <w:keepNext w:val="0"/>
        <w:rPr>
          <w:lang w:val="en-GB"/>
        </w:rPr>
      </w:pPr>
    </w:p>
    <w:p w:rsidR="0008639C" w:rsidRPr="00CD5563" w:rsidRDefault="005C2CCA" w:rsidP="005C2CCA">
      <w:pPr>
        <w:pStyle w:val="Heading1"/>
        <w:rPr>
          <w:lang w:val="en-GB"/>
        </w:rPr>
      </w:pPr>
      <w:bookmarkStart w:id="494" w:name="_Toc310409380"/>
      <w:bookmarkStart w:id="495" w:name="_Toc310410568"/>
      <w:bookmarkStart w:id="496" w:name="_Toc310410839"/>
      <w:bookmarkStart w:id="497" w:name="_Toc310410946"/>
      <w:bookmarkStart w:id="498" w:name="_Toc310427250"/>
      <w:bookmarkStart w:id="499" w:name="_Toc380487739"/>
      <w:bookmarkStart w:id="500" w:name="_Toc381025058"/>
      <w:r w:rsidRPr="00CD5563">
        <w:rPr>
          <w:lang w:val="en-GB"/>
        </w:rPr>
        <w:t>2</w:t>
      </w:r>
      <w:r w:rsidR="0008639C" w:rsidRPr="00CD5563">
        <w:rPr>
          <w:lang w:val="en-GB"/>
        </w:rPr>
        <w:tab/>
        <w:t>Open Service Environments in NGN</w:t>
      </w:r>
      <w:bookmarkEnd w:id="494"/>
      <w:bookmarkEnd w:id="495"/>
      <w:bookmarkEnd w:id="496"/>
      <w:bookmarkEnd w:id="497"/>
      <w:bookmarkEnd w:id="498"/>
      <w:bookmarkEnd w:id="499"/>
      <w:bookmarkEnd w:id="500"/>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rFonts w:eastAsiaTheme="minorEastAsia"/>
          <w:bCs/>
          <w:szCs w:val="19"/>
          <w:lang w:val="en-GB" w:eastAsia="ko-KR"/>
        </w:rPr>
      </w:pPr>
      <w:r w:rsidRPr="00CD5563">
        <w:rPr>
          <w:rFonts w:eastAsiaTheme="minorEastAsia"/>
          <w:szCs w:val="19"/>
          <w:lang w:val="en-GB" w:eastAsia="ko-KR"/>
        </w:rPr>
        <w:t xml:space="preserve">Another important aspect of </w:t>
      </w:r>
      <w:r w:rsidRPr="00CD5563">
        <w:rPr>
          <w:szCs w:val="19"/>
          <w:lang w:val="en-GB" w:eastAsia="en-US"/>
        </w:rPr>
        <w:t>NGN</w:t>
      </w:r>
      <w:r w:rsidRPr="00CD5563">
        <w:rPr>
          <w:rFonts w:eastAsiaTheme="minorEastAsia"/>
          <w:szCs w:val="19"/>
          <w:lang w:val="en-GB" w:eastAsia="ko-KR"/>
        </w:rPr>
        <w:t xml:space="preserve"> in the sense of services</w:t>
      </w:r>
      <w:r w:rsidRPr="00CD5563">
        <w:rPr>
          <w:szCs w:val="19"/>
          <w:lang w:val="en-GB" w:eastAsia="en-US"/>
        </w:rPr>
        <w:t xml:space="preserve"> </w:t>
      </w:r>
      <w:r w:rsidRPr="00CD5563">
        <w:rPr>
          <w:rFonts w:eastAsiaTheme="minorEastAsia"/>
          <w:szCs w:val="19"/>
          <w:lang w:val="en-GB" w:eastAsia="ko-KR"/>
        </w:rPr>
        <w:t xml:space="preserve">is that </w:t>
      </w:r>
      <w:r w:rsidRPr="00CD5563">
        <w:rPr>
          <w:szCs w:val="19"/>
          <w:lang w:val="en-GB" w:eastAsia="en-US"/>
        </w:rPr>
        <w:t>enabl</w:t>
      </w:r>
      <w:r w:rsidRPr="00CD5563">
        <w:rPr>
          <w:rFonts w:eastAsiaTheme="minorEastAsia"/>
          <w:szCs w:val="19"/>
          <w:lang w:val="en-GB" w:eastAsia="ko-KR"/>
        </w:rPr>
        <w:t>ing</w:t>
      </w:r>
      <w:r w:rsidRPr="00CD5563">
        <w:rPr>
          <w:szCs w:val="19"/>
          <w:lang w:val="en-GB" w:eastAsia="en-US"/>
        </w:rPr>
        <w:t xml:space="preserve"> new capabilities and supports a wide range of emerging services with advanced and complex functionalities</w:t>
      </w:r>
      <w:r w:rsidRPr="00CD5563">
        <w:rPr>
          <w:rFonts w:eastAsiaTheme="minorEastAsia"/>
          <w:szCs w:val="19"/>
          <w:lang w:val="en-GB" w:eastAsia="ko-KR"/>
        </w:rPr>
        <w:t xml:space="preserve"> for application providers such as 3</w:t>
      </w:r>
      <w:r w:rsidRPr="00CD5563">
        <w:rPr>
          <w:rFonts w:eastAsiaTheme="minorEastAsia"/>
          <w:szCs w:val="19"/>
          <w:vertAlign w:val="superscript"/>
          <w:lang w:val="en-GB" w:eastAsia="ko-KR"/>
        </w:rPr>
        <w:t>rd</w:t>
      </w:r>
      <w:r w:rsidRPr="00CD5563">
        <w:rPr>
          <w:rFonts w:eastAsiaTheme="minorEastAsia"/>
          <w:szCs w:val="19"/>
          <w:lang w:val="en-GB" w:eastAsia="ko-KR"/>
        </w:rPr>
        <w:t xml:space="preserve"> party providers</w:t>
      </w:r>
      <w:r w:rsidRPr="00CD5563">
        <w:rPr>
          <w:szCs w:val="19"/>
          <w:lang w:val="en-GB" w:eastAsia="en-US"/>
        </w:rPr>
        <w:t xml:space="preserve">. In response to a drive from application providers and/or developers to develop new applications and capabilities accessible via standard interfaces, NGN providers </w:t>
      </w:r>
      <w:r w:rsidRPr="00CD5563">
        <w:rPr>
          <w:rFonts w:eastAsiaTheme="minorEastAsia"/>
          <w:szCs w:val="19"/>
          <w:lang w:val="en-GB" w:eastAsia="ko-KR"/>
        </w:rPr>
        <w:t>should</w:t>
      </w:r>
      <w:r w:rsidRPr="00CD5563">
        <w:rPr>
          <w:szCs w:val="19"/>
          <w:lang w:val="en-GB" w:eastAsia="en-US"/>
        </w:rPr>
        <w:t xml:space="preserve"> cooperate in the development of standard application network interfaces (ANI)</w:t>
      </w:r>
      <w:r w:rsidRPr="00CD5563">
        <w:rPr>
          <w:rFonts w:eastAsiaTheme="minorEastAsia"/>
          <w:szCs w:val="19"/>
          <w:lang w:val="en-GB" w:eastAsia="ko-KR"/>
        </w:rPr>
        <w:t xml:space="preserve"> including</w:t>
      </w:r>
      <w:r w:rsidRPr="00CD5563">
        <w:rPr>
          <w:szCs w:val="19"/>
          <w:lang w:val="en-GB" w:eastAsia="en-US"/>
        </w:rPr>
        <w:t xml:space="preserve"> software reusability and portability. </w:t>
      </w:r>
      <w:r w:rsidRPr="00CD5563">
        <w:rPr>
          <w:rFonts w:eastAsiaTheme="minorEastAsia"/>
          <w:szCs w:val="19"/>
          <w:lang w:val="en-GB" w:eastAsia="ko-KR"/>
        </w:rPr>
        <w:t>A</w:t>
      </w:r>
      <w:r w:rsidRPr="00CD5563">
        <w:rPr>
          <w:szCs w:val="19"/>
          <w:lang w:val="en-GB" w:eastAsia="en-US"/>
        </w:rPr>
        <w:t>n open service environment (OSE) within NGN aims to provide efficient and flexible capabilities based on the use of standard interfaces to NGN applications thereby enabling applications to take full advantage of the NGN capabilities.</w:t>
      </w:r>
      <w:r w:rsidRPr="00CD5563">
        <w:rPr>
          <w:rFonts w:eastAsiaTheme="minorEastAsia"/>
          <w:szCs w:val="19"/>
          <w:lang w:val="en-GB" w:eastAsia="ko-KR"/>
        </w:rPr>
        <w:t xml:space="preserve"> Two ITU-T Recommendations address this OSE as follows:</w:t>
      </w:r>
    </w:p>
    <w:p w:rsidR="0008639C" w:rsidRPr="00CD5563" w:rsidRDefault="005C2CCA" w:rsidP="00AB21CF">
      <w:pPr>
        <w:pStyle w:val="Enumlevel1"/>
      </w:pPr>
      <w:r w:rsidRPr="00CD5563">
        <w:rPr>
          <w:rFonts w:cs="Times New Roman"/>
          <w:iCs/>
          <w:szCs w:val="19"/>
          <w:lang w:eastAsia="en-US"/>
        </w:rPr>
        <w:t>•</w:t>
      </w:r>
      <w:r w:rsidRPr="00CD5563">
        <w:rPr>
          <w:rFonts w:cs="Times New Roman"/>
          <w:iCs/>
          <w:szCs w:val="19"/>
          <w:lang w:eastAsia="en-US"/>
        </w:rPr>
        <w:tab/>
      </w:r>
      <w:r w:rsidR="0008639C" w:rsidRPr="00CD5563">
        <w:rPr>
          <w:rFonts w:cs="Times New Roman"/>
          <w:iCs/>
          <w:szCs w:val="19"/>
          <w:lang w:eastAsia="en-US"/>
        </w:rPr>
        <w:t xml:space="preserve">ITU-T Recommendation Y.2234 (approved at 2008): defines the requirements that are divided into service requirements and functional requirements. </w:t>
      </w:r>
    </w:p>
    <w:p w:rsidR="0008639C" w:rsidRPr="00CD5563" w:rsidRDefault="005C2CCA" w:rsidP="00AB21CF">
      <w:pPr>
        <w:pStyle w:val="Enumlevel1"/>
      </w:pPr>
      <w:r w:rsidRPr="00CD5563">
        <w:t>•</w:t>
      </w:r>
      <w:r w:rsidRPr="00CD5563">
        <w:tab/>
      </w:r>
      <w:r w:rsidR="0008639C" w:rsidRPr="00CD5563">
        <w:t>ITU-T Recommendation Y.2020 (2011): defines the OSE architecture for NGN based on ITU-T Y.2234 and ITU-T Y.2201.</w:t>
      </w:r>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rFonts w:eastAsiaTheme="minorEastAsia"/>
          <w:bCs/>
          <w:szCs w:val="19"/>
          <w:lang w:val="en-GB" w:eastAsia="ko-KR"/>
        </w:rPr>
      </w:pPr>
      <w:r w:rsidRPr="00CD5563">
        <w:rPr>
          <w:rFonts w:eastAsiaTheme="minorEastAsia"/>
          <w:szCs w:val="19"/>
          <w:lang w:val="en-GB" w:eastAsia="ko-KR"/>
        </w:rPr>
        <w:t>Open service environment provides capabilities to enable flexible and agile service creation, execution and management based on the use of standards interfaces. The use of standard interfaces will ensure NGN OSE based service reusability and portability across networks, as well as accessibility by application providers and/or developers.</w:t>
      </w:r>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rFonts w:eastAsiaTheme="minorEastAsia"/>
          <w:bCs/>
          <w:szCs w:val="19"/>
          <w:lang w:val="en-GB" w:eastAsia="ko-KR"/>
        </w:rPr>
      </w:pPr>
      <w:r w:rsidRPr="00CD5563">
        <w:rPr>
          <w:rFonts w:eastAsiaTheme="minorEastAsia"/>
          <w:szCs w:val="19"/>
          <w:lang w:val="en-GB" w:eastAsia="ko-KR"/>
        </w:rPr>
        <w:t>OSE capabilities have the following characteristics:</w:t>
      </w:r>
    </w:p>
    <w:p w:rsidR="0008639C" w:rsidRPr="00CD5563" w:rsidRDefault="005C2CCA" w:rsidP="00AB21CF">
      <w:pPr>
        <w:pStyle w:val="Enumlevel1"/>
      </w:pPr>
      <w:r w:rsidRPr="00CD5563">
        <w:rPr>
          <w:rFonts w:cs="Times New Roman"/>
          <w:iCs/>
          <w:szCs w:val="19"/>
          <w:lang w:eastAsia="en-US"/>
        </w:rPr>
        <w:t>•</w:t>
      </w:r>
      <w:r w:rsidRPr="00CD5563">
        <w:rPr>
          <w:rFonts w:cs="Times New Roman"/>
          <w:iCs/>
          <w:szCs w:val="19"/>
          <w:lang w:eastAsia="en-US"/>
        </w:rPr>
        <w:tab/>
      </w:r>
      <w:r w:rsidR="0008639C" w:rsidRPr="00CD5563">
        <w:rPr>
          <w:rFonts w:cs="Times New Roman"/>
          <w:iCs/>
          <w:szCs w:val="19"/>
          <w:lang w:eastAsia="en-US"/>
        </w:rPr>
        <w:t>Flexible development of applications and capabilities by NGN providers, application providers, and other service providers;</w:t>
      </w:r>
    </w:p>
    <w:p w:rsidR="0008639C" w:rsidRPr="00CD5563" w:rsidRDefault="005C2CCA" w:rsidP="00AB21CF">
      <w:pPr>
        <w:pStyle w:val="Enumlevel1"/>
      </w:pPr>
      <w:r w:rsidRPr="00CD5563">
        <w:t>•</w:t>
      </w:r>
      <w:r w:rsidRPr="00CD5563">
        <w:tab/>
      </w:r>
      <w:r w:rsidR="0008639C" w:rsidRPr="00CD5563">
        <w:t>Exposure of capabilities via standard application network interfaces (ANI);</w:t>
      </w:r>
    </w:p>
    <w:p w:rsidR="0008639C" w:rsidRPr="00CD5563" w:rsidRDefault="005C2CCA" w:rsidP="00AB21CF">
      <w:pPr>
        <w:pStyle w:val="Enumlevel1"/>
      </w:pPr>
      <w:r w:rsidRPr="00CD5563">
        <w:t>•</w:t>
      </w:r>
      <w:r w:rsidRPr="00CD5563">
        <w:tab/>
      </w:r>
      <w:r w:rsidR="0008639C" w:rsidRPr="00CD5563">
        <w:t>Portability and re-usability of capabilities across networks (and from other network to NGN or from NGN to other network);</w:t>
      </w:r>
    </w:p>
    <w:p w:rsidR="0008639C" w:rsidRPr="00CD5563" w:rsidRDefault="005C2CCA" w:rsidP="00AB21CF">
      <w:pPr>
        <w:pStyle w:val="Enumlevel1"/>
      </w:pPr>
      <w:r w:rsidRPr="00CD5563">
        <w:t>•</w:t>
      </w:r>
      <w:r w:rsidRPr="00CD5563">
        <w:tab/>
      </w:r>
      <w:r w:rsidR="0008639C" w:rsidRPr="00CD5563">
        <w:t>Leveraging new capabilities enabled by technologies from non-NGN environments</w:t>
      </w:r>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b/>
          <w:bCs/>
          <w:szCs w:val="19"/>
          <w:lang w:val="en-GB" w:eastAsia="en-US"/>
        </w:rPr>
      </w:pPr>
      <w:r w:rsidRPr="00CD5563">
        <w:rPr>
          <w:rFonts w:eastAsiaTheme="minorEastAsia"/>
          <w:szCs w:val="19"/>
          <w:lang w:val="en-GB" w:eastAsia="ko-KR"/>
        </w:rPr>
        <w:t>The OSE allows applications to make use of NGN capabilities and/or services offered through the application network interface (ANI) as shown in Figure 2-1. Application providers and/or developers will be able to create and provide new applications via standard interfaces at the ANI as shown OSE API regardless of the type of underlying network and/or equipment.</w:t>
      </w:r>
    </w:p>
    <w:p w:rsidR="005C2CCA" w:rsidRPr="00CD5563" w:rsidRDefault="005C2CCA" w:rsidP="005C2CCA">
      <w:pPr>
        <w:pStyle w:val="Figuretitle"/>
        <w:rPr>
          <w:rFonts w:eastAsiaTheme="minorEastAsia"/>
          <w:bCs/>
          <w:lang w:val="en-GB" w:eastAsia="ko-KR"/>
        </w:rPr>
      </w:pPr>
      <w:bookmarkStart w:id="501" w:name="_Toc380497409"/>
      <w:r w:rsidRPr="00CD5563">
        <w:rPr>
          <w:lang w:val="en-GB" w:eastAsia="en-US"/>
        </w:rPr>
        <w:t>Figure 2-1: Open service environment capabilities in NGN</w:t>
      </w:r>
      <w:bookmarkEnd w:id="501"/>
    </w:p>
    <w:p w:rsidR="0008639C" w:rsidRPr="00CD5563" w:rsidRDefault="0008639C" w:rsidP="00BD0ACF">
      <w:pPr>
        <w:pStyle w:val="Figure"/>
        <w:spacing w:before="120" w:after="0"/>
        <w:rPr>
          <w:lang w:val="en-GB"/>
        </w:rPr>
      </w:pPr>
      <w:r w:rsidRPr="00CD5563">
        <w:rPr>
          <w:noProof/>
          <w:lang w:val="ru-RU" w:eastAsia="zh-CN"/>
        </w:rPr>
        <w:drawing>
          <wp:inline distT="0" distB="0" distL="0" distR="0" wp14:anchorId="21BB06B9" wp14:editId="1EFDBB21">
            <wp:extent cx="2774950" cy="2946400"/>
            <wp:effectExtent l="0" t="0" r="6350" b="0"/>
            <wp:docPr id="450" name="그림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1"/>
                    <pic:cNvPicPr>
                      <a:picLocks noChangeAspect="1" noChangeArrowheads="1"/>
                    </pic:cNvPicPr>
                  </pic:nvPicPr>
                  <pic:blipFill>
                    <a:blip r:embed="rId79" cstate="print"/>
                    <a:srcRect/>
                    <a:stretch>
                      <a:fillRect/>
                    </a:stretch>
                  </pic:blipFill>
                  <pic:spPr bwMode="auto">
                    <a:xfrm>
                      <a:off x="0" y="0"/>
                      <a:ext cx="2774950" cy="2946400"/>
                    </a:xfrm>
                    <a:prstGeom prst="rect">
                      <a:avLst/>
                    </a:prstGeom>
                    <a:noFill/>
                    <a:ln w="9525">
                      <a:noFill/>
                      <a:miter lim="800000"/>
                      <a:headEnd/>
                      <a:tailEnd/>
                    </a:ln>
                  </pic:spPr>
                </pic:pic>
              </a:graphicData>
            </a:graphic>
          </wp:inline>
        </w:drawing>
      </w:r>
    </w:p>
    <w:p w:rsidR="005C2CCA" w:rsidRPr="00CD5563" w:rsidRDefault="005C2CCA" w:rsidP="00BD0ACF">
      <w:pPr>
        <w:pStyle w:val="Figure"/>
        <w:spacing w:before="0" w:after="0"/>
        <w:rPr>
          <w:lang w:val="en-GB"/>
        </w:rPr>
      </w:pPr>
    </w:p>
    <w:p w:rsidR="005C2CCA" w:rsidRPr="00CD5563" w:rsidRDefault="005C2CCA" w:rsidP="0008639C">
      <w:pPr>
        <w:tabs>
          <w:tab w:val="left" w:pos="794"/>
          <w:tab w:val="left" w:pos="1191"/>
          <w:tab w:val="left" w:pos="1588"/>
          <w:tab w:val="left" w:pos="1985"/>
        </w:tabs>
        <w:overflowPunct w:val="0"/>
        <w:autoSpaceDE w:val="0"/>
        <w:autoSpaceDN w:val="0"/>
        <w:adjustRightInd w:val="0"/>
        <w:textAlignment w:val="baseline"/>
        <w:rPr>
          <w:rFonts w:eastAsiaTheme="minorEastAsia"/>
          <w:szCs w:val="19"/>
          <w:lang w:val="en-GB" w:eastAsia="ko-KR"/>
        </w:rPr>
      </w:pPr>
      <w:bookmarkStart w:id="502" w:name="_Toc184172843"/>
      <w:bookmarkStart w:id="503" w:name="_Toc199765497"/>
      <w:bookmarkStart w:id="504" w:name="_Toc304037572"/>
      <w:bookmarkStart w:id="505" w:name="_Toc101270514"/>
      <w:bookmarkStart w:id="506" w:name="_Toc120017864"/>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rFonts w:eastAsiaTheme="minorEastAsia"/>
          <w:bCs/>
          <w:szCs w:val="19"/>
          <w:lang w:val="en-GB" w:eastAsia="ko-KR"/>
        </w:rPr>
      </w:pPr>
      <w:r w:rsidRPr="00CD5563">
        <w:rPr>
          <w:rFonts w:eastAsiaTheme="minorEastAsia"/>
          <w:szCs w:val="19"/>
          <w:lang w:val="en-GB" w:eastAsia="ko-KR"/>
        </w:rPr>
        <w:t>Service requirements of NGN-OSE capabilities</w:t>
      </w:r>
      <w:bookmarkEnd w:id="502"/>
      <w:bookmarkEnd w:id="503"/>
      <w:bookmarkEnd w:id="504"/>
      <w:r w:rsidRPr="00CD5563">
        <w:rPr>
          <w:rFonts w:eastAsiaTheme="minorEastAsia"/>
          <w:szCs w:val="19"/>
          <w:lang w:val="en-GB" w:eastAsia="ko-KR"/>
        </w:rPr>
        <w:t xml:space="preserve"> are defined as followings: </w:t>
      </w:r>
    </w:p>
    <w:p w:rsidR="0008639C" w:rsidRPr="00CD5563" w:rsidRDefault="005C2CCA" w:rsidP="00AB21CF">
      <w:pPr>
        <w:pStyle w:val="Enumlevel1"/>
      </w:pPr>
      <w:bookmarkStart w:id="507" w:name="_Toc141633629"/>
      <w:bookmarkStart w:id="508" w:name="_Toc141633764"/>
      <w:r w:rsidRPr="00CD5563">
        <w:t>•</w:t>
      </w:r>
      <w:r w:rsidRPr="00CD5563">
        <w:tab/>
      </w:r>
      <w:r w:rsidR="0008639C" w:rsidRPr="00CD5563">
        <w:t>Provide standard APIs for application providers and/or developers  to create and introduce applications quickly and seamlessly;</w:t>
      </w:r>
      <w:bookmarkEnd w:id="507"/>
      <w:bookmarkEnd w:id="508"/>
    </w:p>
    <w:p w:rsidR="0008639C" w:rsidRPr="00CD5563" w:rsidRDefault="005C2CCA" w:rsidP="00AB21CF">
      <w:pPr>
        <w:pStyle w:val="Enumlevel1"/>
      </w:pPr>
      <w:r w:rsidRPr="00CD5563">
        <w:t>•</w:t>
      </w:r>
      <w:r w:rsidRPr="00CD5563">
        <w:tab/>
      </w:r>
      <w:r w:rsidR="0008639C" w:rsidRPr="00CD5563">
        <w:t>Provide the service level interoperability among different networks, operating systems and programming languages (e.g. Web Services are an example of enabling technology for providing service level interoperability</w:t>
      </w:r>
      <w:bookmarkEnd w:id="505"/>
      <w:bookmarkEnd w:id="506"/>
      <w:r w:rsidR="0008639C" w:rsidRPr="00CD5563">
        <w:t>);</w:t>
      </w:r>
    </w:p>
    <w:p w:rsidR="0008639C" w:rsidRPr="00CD5563" w:rsidRDefault="005C2CCA" w:rsidP="00AB21CF">
      <w:pPr>
        <w:pStyle w:val="Enumlevel1"/>
      </w:pPr>
      <w:r w:rsidRPr="00CD5563">
        <w:t>•</w:t>
      </w:r>
      <w:r w:rsidRPr="00CD5563">
        <w:tab/>
      </w:r>
      <w:r w:rsidR="0008639C" w:rsidRPr="00CD5563">
        <w:t>Support service independence from NGN provider and manufacturers [ITU-T Y.2201]:</w:t>
      </w:r>
    </w:p>
    <w:p w:rsidR="0008639C" w:rsidRPr="00CD5563" w:rsidRDefault="005C2CCA" w:rsidP="00AB21CF">
      <w:pPr>
        <w:pStyle w:val="Enumlevel1"/>
      </w:pPr>
      <w:r w:rsidRPr="00CD5563">
        <w:t>•</w:t>
      </w:r>
      <w:r w:rsidRPr="00CD5563">
        <w:tab/>
      </w:r>
      <w:r w:rsidR="0008639C" w:rsidRPr="00CD5563">
        <w:t>Support OSE capabilities based on NGN providers’ capabilities. However, OSE capabilities based on application providers’ capabilities are not supported in this version of the document;</w:t>
      </w:r>
    </w:p>
    <w:p w:rsidR="0008639C" w:rsidRPr="00CD5563" w:rsidRDefault="005C2CCA" w:rsidP="00AB21CF">
      <w:pPr>
        <w:pStyle w:val="Enumlevel1"/>
      </w:pPr>
      <w:r w:rsidRPr="00CD5563">
        <w:t>•</w:t>
      </w:r>
      <w:r w:rsidRPr="00CD5563">
        <w:tab/>
      </w:r>
      <w:r w:rsidR="0008639C" w:rsidRPr="00CD5563">
        <w:t>Support location, network and protocol transparency [ITU-T Y.2201]:</w:t>
      </w:r>
    </w:p>
    <w:p w:rsidR="0008639C" w:rsidRPr="00CD5563" w:rsidRDefault="005C2CCA" w:rsidP="00AB21CF">
      <w:pPr>
        <w:pStyle w:val="Enumlevel1"/>
      </w:pPr>
      <w:r w:rsidRPr="00CD5563">
        <w:t>•</w:t>
      </w:r>
      <w:r w:rsidRPr="00CD5563">
        <w:tab/>
      </w:r>
      <w:r w:rsidR="0008639C" w:rsidRPr="00CD5563">
        <w:t xml:space="preserve">Provide capabilities for coordinating services among themselves and services with applications; </w:t>
      </w:r>
    </w:p>
    <w:p w:rsidR="0008639C" w:rsidRPr="00CD5563" w:rsidRDefault="005C2CCA" w:rsidP="00AB21CF">
      <w:pPr>
        <w:pStyle w:val="Enumlevel1"/>
      </w:pPr>
      <w:r w:rsidRPr="00CD5563">
        <w:t>•</w:t>
      </w:r>
      <w:r w:rsidRPr="00CD5563">
        <w:tab/>
      </w:r>
      <w:r w:rsidR="0008639C" w:rsidRPr="00CD5563">
        <w:t>Support service discovery capabilities to allow users and their devices to discover the services, applications, and other network information and resources of their interest [ITU-T Y.2201]. In addition, discovery mechanisms for services or components of multiple application providers are recommended to be provided;</w:t>
      </w:r>
    </w:p>
    <w:p w:rsidR="0008639C" w:rsidRPr="00CD5563" w:rsidRDefault="005C2CCA" w:rsidP="00AB21CF">
      <w:pPr>
        <w:pStyle w:val="Enumlevel1"/>
      </w:pPr>
      <w:r w:rsidRPr="00CD5563">
        <w:t>•</w:t>
      </w:r>
      <w:r w:rsidRPr="00CD5563">
        <w:tab/>
      </w:r>
      <w:r w:rsidR="0008639C" w:rsidRPr="00CD5563">
        <w:t>Provide the means to manage the registration of capabilities, services and applications. The technology choice is required to ensure functions for service registration and deregistration, including configuration, activation, publication [ITU-T Y.2201];</w:t>
      </w:r>
    </w:p>
    <w:p w:rsidR="0008639C" w:rsidRPr="00CD5563" w:rsidRDefault="005C2CCA" w:rsidP="00AB21CF">
      <w:pPr>
        <w:pStyle w:val="Enumlevel1"/>
      </w:pPr>
      <w:r w:rsidRPr="00CD5563">
        <w:t>•</w:t>
      </w:r>
      <w:r w:rsidRPr="00CD5563">
        <w:tab/>
      </w:r>
      <w:r w:rsidR="0008639C" w:rsidRPr="00CD5563">
        <w:t xml:space="preserve">Provide the service management capabilities such as service tracking, update management, auditing, version control, logging, e.g. provide a record of the history of services, access control management, statistical analysis of service registration and utilization. </w:t>
      </w:r>
    </w:p>
    <w:p w:rsidR="0008639C" w:rsidRPr="00CD5563" w:rsidRDefault="005C2CCA" w:rsidP="00AB21CF">
      <w:pPr>
        <w:pStyle w:val="Enumlevel1"/>
      </w:pPr>
      <w:r w:rsidRPr="00CD5563">
        <w:t>•</w:t>
      </w:r>
      <w:r w:rsidRPr="00CD5563">
        <w:tab/>
      </w:r>
      <w:r w:rsidR="0008639C" w:rsidRPr="00CD5563">
        <w:t xml:space="preserve">Support NGN services reuse by providing service composition capability; </w:t>
      </w:r>
    </w:p>
    <w:p w:rsidR="0008639C" w:rsidRPr="00CD5563" w:rsidRDefault="005C2CCA" w:rsidP="00AB21CF">
      <w:pPr>
        <w:pStyle w:val="Enumlevel1"/>
      </w:pPr>
      <w:r w:rsidRPr="00CD5563">
        <w:t>•</w:t>
      </w:r>
      <w:r w:rsidRPr="00CD5563">
        <w:tab/>
      </w:r>
      <w:r w:rsidR="0008639C" w:rsidRPr="00CD5563">
        <w:t>Support of a service composition language;</w:t>
      </w:r>
    </w:p>
    <w:p w:rsidR="0008639C" w:rsidRPr="00CD5563" w:rsidRDefault="005C2CCA" w:rsidP="00AB21CF">
      <w:pPr>
        <w:pStyle w:val="Enumlevel1"/>
      </w:pPr>
      <w:r w:rsidRPr="00CD5563">
        <w:t>•</w:t>
      </w:r>
      <w:r w:rsidRPr="00CD5563">
        <w:tab/>
      </w:r>
      <w:r w:rsidR="0008639C" w:rsidRPr="00CD5563">
        <w:t xml:space="preserve">Offer a development support environment which supports construction, trialing, deployment, and removal of applications [ITU-T Y.2201]; </w:t>
      </w:r>
    </w:p>
    <w:p w:rsidR="0008639C" w:rsidRPr="00CD5563" w:rsidRDefault="005C2CCA" w:rsidP="00AB21CF">
      <w:pPr>
        <w:pStyle w:val="Enumlevel1"/>
      </w:pPr>
      <w:r w:rsidRPr="00CD5563">
        <w:t>•</w:t>
      </w:r>
      <w:r w:rsidRPr="00CD5563">
        <w:tab/>
      </w:r>
      <w:r w:rsidR="0008639C" w:rsidRPr="00CD5563">
        <w:t>Allow interworking with service creation environments and network entities for creation and provisioning of applications and services [ITU-T Y.2201];</w:t>
      </w:r>
    </w:p>
    <w:p w:rsidR="0008639C" w:rsidRPr="00CD5563" w:rsidRDefault="005C2CCA" w:rsidP="00AB21CF">
      <w:pPr>
        <w:pStyle w:val="Enumlevel1"/>
      </w:pPr>
      <w:r w:rsidRPr="00CD5563">
        <w:t>•</w:t>
      </w:r>
      <w:r w:rsidRPr="00CD5563">
        <w:tab/>
      </w:r>
      <w:r w:rsidR="0008639C" w:rsidRPr="00CD5563">
        <w:t>Provide a secure access to the NGN capabilities in alignment with the general NGN security requirements as specified in clause 5.13 of [ITU-T Y.2201];</w:t>
      </w:r>
    </w:p>
    <w:p w:rsidR="0008639C" w:rsidRPr="00CD5563" w:rsidRDefault="005C2CCA" w:rsidP="00AB21CF">
      <w:pPr>
        <w:pStyle w:val="Enumlevel1"/>
      </w:pPr>
      <w:r w:rsidRPr="00CD5563">
        <w:t>•</w:t>
      </w:r>
      <w:r w:rsidRPr="00CD5563">
        <w:tab/>
      </w:r>
      <w:r w:rsidR="0008639C" w:rsidRPr="00CD5563">
        <w:t>Support policy enforcement capability for resources protection and management, and service personalization.</w:t>
      </w:r>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rFonts w:eastAsiaTheme="minorEastAsia"/>
          <w:szCs w:val="19"/>
          <w:lang w:val="en-GB" w:eastAsia="ko-KR"/>
        </w:rPr>
      </w:pPr>
      <w:r w:rsidRPr="00CD5563">
        <w:rPr>
          <w:rFonts w:eastAsiaTheme="minorEastAsia"/>
          <w:szCs w:val="19"/>
          <w:lang w:val="en-GB" w:eastAsia="ko-KR"/>
        </w:rPr>
        <w:t xml:space="preserve">The functions to support of the NGN-OSE are consisted with service coordination, service discovery, service registration, service management, service composition, service development support, interworking with service creation environments and policy enforcement. In each function has more detail requirements as following: </w:t>
      </w:r>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rFonts w:eastAsiaTheme="minorEastAsia"/>
          <w:bCs/>
          <w:szCs w:val="19"/>
          <w:lang w:val="en-GB" w:eastAsia="ko-KR"/>
        </w:rPr>
      </w:pPr>
      <w:bookmarkStart w:id="509" w:name="_Toc199167551"/>
      <w:bookmarkStart w:id="510" w:name="_Toc199200146"/>
      <w:bookmarkStart w:id="511" w:name="_Toc199167552"/>
      <w:bookmarkStart w:id="512" w:name="_Toc199200147"/>
      <w:bookmarkEnd w:id="509"/>
      <w:bookmarkEnd w:id="510"/>
      <w:bookmarkEnd w:id="511"/>
      <w:bookmarkEnd w:id="512"/>
      <w:r w:rsidRPr="00CD5563">
        <w:rPr>
          <w:rFonts w:eastAsiaTheme="minorEastAsia"/>
          <w:szCs w:val="19"/>
          <w:lang w:val="en-GB" w:eastAsia="ko-KR"/>
        </w:rPr>
        <w:t>The NGN service coordination functions are required to:</w:t>
      </w:r>
    </w:p>
    <w:p w:rsidR="0008639C" w:rsidRPr="00CD5563" w:rsidRDefault="005C2CCA" w:rsidP="00AB21CF">
      <w:pPr>
        <w:pStyle w:val="Enumlevel1"/>
      </w:pPr>
      <w:r w:rsidRPr="00CD5563">
        <w:t>•</w:t>
      </w:r>
      <w:r w:rsidRPr="00CD5563">
        <w:tab/>
      </w:r>
      <w:r w:rsidR="0008639C" w:rsidRPr="00CD5563">
        <w:rPr>
          <w:rFonts w:cs="Times New Roman"/>
          <w:iCs/>
          <w:szCs w:val="19"/>
          <w:lang w:eastAsia="en-US"/>
        </w:rPr>
        <w:t>Provide coordination of applications and services with capabilities;</w:t>
      </w:r>
    </w:p>
    <w:p w:rsidR="0008639C" w:rsidRPr="00CD5563" w:rsidRDefault="005C2CCA" w:rsidP="005C2CCA">
      <w:pPr>
        <w:pStyle w:val="Enumlevel1"/>
      </w:pPr>
      <w:r w:rsidRPr="00CD5563">
        <w:t>•</w:t>
      </w:r>
      <w:r w:rsidRPr="00CD5563">
        <w:tab/>
      </w:r>
      <w:r w:rsidR="0008639C" w:rsidRPr="00CD5563">
        <w:t>Provide the tracking of NGN capabilities or service components from various application providers, and the relationship between these capabilities or service components;</w:t>
      </w:r>
    </w:p>
    <w:p w:rsidR="0008639C" w:rsidRPr="00CD5563" w:rsidRDefault="005C2CCA" w:rsidP="005C2CCA">
      <w:pPr>
        <w:pStyle w:val="Enumlevel1"/>
      </w:pPr>
      <w:r w:rsidRPr="00CD5563">
        <w:t>•</w:t>
      </w:r>
      <w:r w:rsidRPr="00CD5563">
        <w:tab/>
      </w:r>
      <w:r w:rsidR="0008639C" w:rsidRPr="00CD5563">
        <w:t>Support the information on state change of capabilities or service components for applications and services.</w:t>
      </w:r>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rFonts w:eastAsiaTheme="minorEastAsia"/>
          <w:bCs/>
          <w:szCs w:val="19"/>
          <w:lang w:val="en-GB" w:eastAsia="ko-KR"/>
        </w:rPr>
      </w:pPr>
      <w:r w:rsidRPr="00CD5563">
        <w:rPr>
          <w:rFonts w:eastAsiaTheme="minorEastAsia"/>
          <w:szCs w:val="19"/>
          <w:lang w:val="en-GB" w:eastAsia="ko-KR"/>
        </w:rPr>
        <w:t>The NGN service discovery functions are required to:</w:t>
      </w:r>
    </w:p>
    <w:p w:rsidR="0008639C" w:rsidRPr="00CD5563" w:rsidRDefault="005C2CCA" w:rsidP="005C2CCA">
      <w:pPr>
        <w:pStyle w:val="Enumlevel1"/>
      </w:pPr>
      <w:r w:rsidRPr="00CD5563">
        <w:t>•</w:t>
      </w:r>
      <w:r w:rsidRPr="00CD5563">
        <w:tab/>
      </w:r>
      <w:r w:rsidR="0008639C" w:rsidRPr="00CD5563">
        <w:t>Provide service discovery for physically distributed NGN services;</w:t>
      </w:r>
    </w:p>
    <w:p w:rsidR="0008639C" w:rsidRPr="00CD5563" w:rsidRDefault="005C2CCA" w:rsidP="005C2CCA">
      <w:pPr>
        <w:pStyle w:val="Enumlevel1"/>
      </w:pPr>
      <w:r w:rsidRPr="00CD5563">
        <w:t>•</w:t>
      </w:r>
      <w:r w:rsidRPr="00CD5563">
        <w:tab/>
      </w:r>
      <w:r w:rsidR="0008639C" w:rsidRPr="00CD5563">
        <w:t>Support a variety of discovering criteria (e.g. specific field based discovery, classification system based discovery). An example of discovering criteria is implemented in the Universal Discovery, Description and Integration (UDDI) specification of Web Services framework;</w:t>
      </w:r>
    </w:p>
    <w:p w:rsidR="0008639C" w:rsidRPr="00CD5563" w:rsidRDefault="005C2CCA" w:rsidP="005C2CCA">
      <w:pPr>
        <w:pStyle w:val="Enumlevel1"/>
      </w:pPr>
      <w:r w:rsidRPr="00CD5563">
        <w:t>•</w:t>
      </w:r>
      <w:r w:rsidRPr="00CD5563">
        <w:tab/>
      </w:r>
      <w:r w:rsidR="0008639C" w:rsidRPr="00CD5563">
        <w:t>Use user and device profile information for discovering the proper service;</w:t>
      </w:r>
    </w:p>
    <w:p w:rsidR="0008639C" w:rsidRPr="00CD5563" w:rsidRDefault="005C2CCA" w:rsidP="005C2CCA">
      <w:pPr>
        <w:pStyle w:val="Enumlevel1"/>
      </w:pPr>
      <w:r w:rsidRPr="00CD5563">
        <w:t>•</w:t>
      </w:r>
      <w:r w:rsidRPr="00CD5563">
        <w:tab/>
      </w:r>
      <w:r w:rsidR="0008639C" w:rsidRPr="00CD5563">
        <w:t>Allow users to discover user-interest services, device-interest services and network information;</w:t>
      </w:r>
    </w:p>
    <w:p w:rsidR="0008639C" w:rsidRPr="00CD5563" w:rsidRDefault="005C2CCA" w:rsidP="005C2CCA">
      <w:pPr>
        <w:pStyle w:val="Enumlevel1"/>
      </w:pPr>
      <w:r w:rsidRPr="00CD5563">
        <w:t>•</w:t>
      </w:r>
      <w:r w:rsidRPr="00CD5563">
        <w:tab/>
      </w:r>
      <w:r w:rsidR="0008639C" w:rsidRPr="00CD5563">
        <w:t>Support a variety of scoping criteria (e.g. location and cost) to provide appropriate scaling, with appropriate mechanisms to ensure security and privacy (This allows support of customized discovery for a wide range of scenarios.);</w:t>
      </w:r>
    </w:p>
    <w:p w:rsidR="0008639C" w:rsidRPr="00CD5563" w:rsidRDefault="005C2CCA" w:rsidP="005C2CCA">
      <w:pPr>
        <w:pStyle w:val="Enumlevel1"/>
      </w:pPr>
      <w:r w:rsidRPr="00CD5563">
        <w:t>•</w:t>
      </w:r>
      <w:r w:rsidRPr="00CD5563">
        <w:tab/>
      </w:r>
      <w:r w:rsidR="0008639C" w:rsidRPr="00CD5563">
        <w:t>Use a variety of approaches for discovering services such as client-server, P2P, combination of client-server and P2P;</w:t>
      </w:r>
    </w:p>
    <w:p w:rsidR="0008639C" w:rsidRPr="00CD5563" w:rsidRDefault="005C2CCA" w:rsidP="005C2CCA">
      <w:pPr>
        <w:pStyle w:val="Enumlevel1"/>
      </w:pPr>
      <w:r w:rsidRPr="00CD5563">
        <w:t>•</w:t>
      </w:r>
      <w:r w:rsidRPr="00CD5563">
        <w:tab/>
      </w:r>
      <w:r w:rsidR="0008639C" w:rsidRPr="00CD5563">
        <w:t>Support appropriate mechanisms to ensure security and privacy;</w:t>
      </w:r>
    </w:p>
    <w:p w:rsidR="0008639C" w:rsidRPr="00CD5563" w:rsidRDefault="005C2CCA" w:rsidP="005C2CCA">
      <w:pPr>
        <w:pStyle w:val="Enumlevel1"/>
      </w:pPr>
      <w:r w:rsidRPr="00CD5563">
        <w:t>•</w:t>
      </w:r>
      <w:r w:rsidRPr="00CD5563">
        <w:tab/>
      </w:r>
      <w:r w:rsidR="0008639C" w:rsidRPr="00CD5563">
        <w:t>Take into account scalability (e.g. broadcast mechanisms are recommended to be avoided).</w:t>
      </w:r>
    </w:p>
    <w:p w:rsidR="0008639C" w:rsidRPr="00CD5563" w:rsidRDefault="0008639C" w:rsidP="007A238D">
      <w:pPr>
        <w:keepNext/>
        <w:keepLines/>
        <w:tabs>
          <w:tab w:val="left" w:pos="794"/>
          <w:tab w:val="left" w:pos="1191"/>
          <w:tab w:val="left" w:pos="1588"/>
          <w:tab w:val="left" w:pos="1985"/>
        </w:tabs>
        <w:overflowPunct w:val="0"/>
        <w:autoSpaceDE w:val="0"/>
        <w:autoSpaceDN w:val="0"/>
        <w:adjustRightInd w:val="0"/>
        <w:textAlignment w:val="baseline"/>
        <w:rPr>
          <w:rFonts w:eastAsiaTheme="minorEastAsia"/>
          <w:bCs/>
          <w:szCs w:val="19"/>
          <w:lang w:val="en-GB" w:eastAsia="ko-KR"/>
        </w:rPr>
      </w:pPr>
      <w:r w:rsidRPr="00CD5563">
        <w:rPr>
          <w:rFonts w:eastAsiaTheme="minorEastAsia"/>
          <w:szCs w:val="19"/>
          <w:lang w:val="en-GB" w:eastAsia="ko-KR"/>
        </w:rPr>
        <w:t>The NGN service registration functions are required to:</w:t>
      </w:r>
    </w:p>
    <w:p w:rsidR="0008639C" w:rsidRPr="00CD5563" w:rsidRDefault="005C2CCA" w:rsidP="007A238D">
      <w:pPr>
        <w:pStyle w:val="Enumlevel1"/>
        <w:keepNext/>
        <w:keepLines/>
      </w:pPr>
      <w:r w:rsidRPr="00CD5563">
        <w:t>•</w:t>
      </w:r>
      <w:r w:rsidRPr="00CD5563">
        <w:tab/>
      </w:r>
      <w:r w:rsidR="0008639C" w:rsidRPr="00CD5563">
        <w:t>Provide service registration, including configuration, activation, publication and service deregistration;</w:t>
      </w:r>
    </w:p>
    <w:p w:rsidR="0008639C" w:rsidRPr="00CD5563" w:rsidRDefault="005C2CCA" w:rsidP="007A238D">
      <w:pPr>
        <w:pStyle w:val="Enumlevel1"/>
        <w:keepNext/>
        <w:keepLines/>
      </w:pPr>
      <w:r w:rsidRPr="00CD5563">
        <w:t>•</w:t>
      </w:r>
      <w:r w:rsidRPr="00CD5563">
        <w:tab/>
      </w:r>
      <w:r w:rsidR="0008639C" w:rsidRPr="00CD5563">
        <w:t>Provide a variety of service registration features (e.g. manual, autonomous) for NGN services;</w:t>
      </w:r>
    </w:p>
    <w:p w:rsidR="0008639C" w:rsidRPr="00CD5563" w:rsidRDefault="005C2CCA" w:rsidP="005C2CCA">
      <w:pPr>
        <w:pStyle w:val="Enumlevel1"/>
      </w:pPr>
      <w:r w:rsidRPr="00CD5563">
        <w:t>•</w:t>
      </w:r>
      <w:r w:rsidRPr="00CD5563">
        <w:tab/>
      </w:r>
      <w:r w:rsidR="0008639C" w:rsidRPr="00CD5563">
        <w:t>Support a variety of registration parameters, including mandatory and optional parameters.</w:t>
      </w:r>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rFonts w:eastAsiaTheme="minorEastAsia"/>
          <w:bCs/>
          <w:szCs w:val="19"/>
          <w:lang w:val="en-GB" w:eastAsia="ko-KR"/>
        </w:rPr>
      </w:pPr>
      <w:r w:rsidRPr="00CD5563">
        <w:rPr>
          <w:rFonts w:eastAsiaTheme="minorEastAsia"/>
          <w:szCs w:val="19"/>
          <w:lang w:val="en-GB" w:eastAsia="ko-KR"/>
        </w:rPr>
        <w:t>The NGN service registration functions may support:</w:t>
      </w:r>
    </w:p>
    <w:p w:rsidR="0008639C" w:rsidRPr="007A238D" w:rsidRDefault="005C2CCA" w:rsidP="007A238D">
      <w:pPr>
        <w:pStyle w:val="Enumlevel1"/>
      </w:pPr>
      <w:r w:rsidRPr="007A238D">
        <w:t>•</w:t>
      </w:r>
      <w:r w:rsidRPr="007A238D">
        <w:tab/>
      </w:r>
      <w:r w:rsidR="0008639C" w:rsidRPr="007A238D">
        <w:t>Registration services in centralized and de-centralized ways;</w:t>
      </w:r>
    </w:p>
    <w:p w:rsidR="0008639C" w:rsidRPr="007A238D" w:rsidRDefault="005C2CCA" w:rsidP="007A238D">
      <w:pPr>
        <w:pStyle w:val="Enumlevel1"/>
      </w:pPr>
      <w:r w:rsidRPr="007A238D">
        <w:t>•</w:t>
      </w:r>
      <w:r w:rsidRPr="007A238D">
        <w:tab/>
      </w:r>
      <w:r w:rsidR="0008639C" w:rsidRPr="007A238D">
        <w:t>Multiple concurrent service registrations.</w:t>
      </w:r>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rFonts w:eastAsiaTheme="minorEastAsia"/>
          <w:bCs/>
          <w:szCs w:val="19"/>
          <w:lang w:val="en-GB" w:eastAsia="ko-KR"/>
        </w:rPr>
      </w:pPr>
      <w:r w:rsidRPr="00CD5563">
        <w:rPr>
          <w:rFonts w:eastAsiaTheme="minorEastAsia"/>
          <w:szCs w:val="19"/>
          <w:lang w:val="en-GB" w:eastAsia="ko-KR"/>
        </w:rPr>
        <w:t>The NGN service management functions are required to:</w:t>
      </w:r>
    </w:p>
    <w:p w:rsidR="0008639C" w:rsidRPr="00CD5563" w:rsidRDefault="005C2CCA" w:rsidP="00AB21CF">
      <w:pPr>
        <w:pStyle w:val="Enumlevel1"/>
      </w:pPr>
      <w:r w:rsidRPr="00CD5563">
        <w:t>•</w:t>
      </w:r>
      <w:r w:rsidRPr="00CD5563">
        <w:tab/>
      </w:r>
      <w:r w:rsidR="0008639C" w:rsidRPr="00CD5563">
        <w:rPr>
          <w:rFonts w:cs="Times New Roman"/>
          <w:iCs/>
          <w:szCs w:val="19"/>
          <w:lang w:eastAsia="en-US"/>
        </w:rPr>
        <w:t>Provide a monitoring function of registered services for availability and predicted response time. NGN services and user applications might need to use monitoring information for the availability or predicted response time of target services before executing services;</w:t>
      </w:r>
    </w:p>
    <w:p w:rsidR="0008639C" w:rsidRPr="00CD5563" w:rsidRDefault="005C2CCA" w:rsidP="00AB21CF">
      <w:pPr>
        <w:pStyle w:val="Enumlevel1"/>
      </w:pPr>
      <w:r w:rsidRPr="00CD5563">
        <w:t>•</w:t>
      </w:r>
      <w:r w:rsidRPr="00CD5563">
        <w:tab/>
      </w:r>
      <w:r w:rsidR="0008639C" w:rsidRPr="00CD5563">
        <w:t>Provide managing functions of QoS information about registered NGN services such as accessibility, performance, integrity, reliability, etc.;</w:t>
      </w:r>
    </w:p>
    <w:p w:rsidR="0008639C" w:rsidRPr="00CD5563" w:rsidRDefault="005C2CCA" w:rsidP="00AB21CF">
      <w:pPr>
        <w:pStyle w:val="Enumlevel1"/>
      </w:pPr>
      <w:r w:rsidRPr="00CD5563">
        <w:t>•</w:t>
      </w:r>
      <w:r w:rsidRPr="00CD5563">
        <w:tab/>
      </w:r>
      <w:r w:rsidR="0008639C" w:rsidRPr="00CD5563">
        <w:t>Provide a version management function to NGN services for interoperability;</w:t>
      </w:r>
    </w:p>
    <w:p w:rsidR="0008639C" w:rsidRPr="00CD5563" w:rsidRDefault="005C2CCA" w:rsidP="00AB21CF">
      <w:pPr>
        <w:pStyle w:val="Enumlevel1"/>
      </w:pPr>
      <w:r w:rsidRPr="00CD5563">
        <w:t>•</w:t>
      </w:r>
      <w:r w:rsidRPr="00CD5563">
        <w:tab/>
      </w:r>
      <w:r w:rsidR="0008639C" w:rsidRPr="00CD5563">
        <w:t>Provide notification service functions for updated services;</w:t>
      </w:r>
    </w:p>
    <w:p w:rsidR="0008639C" w:rsidRPr="00CD5563" w:rsidRDefault="005C2CCA" w:rsidP="00AB21CF">
      <w:pPr>
        <w:pStyle w:val="Enumlevel1"/>
      </w:pPr>
      <w:r w:rsidRPr="00CD5563">
        <w:t>•</w:t>
      </w:r>
      <w:r w:rsidRPr="00CD5563">
        <w:tab/>
      </w:r>
      <w:r w:rsidR="0008639C" w:rsidRPr="00CD5563">
        <w:t>Provide failure detection and recovering functions for unexpected failures;</w:t>
      </w:r>
    </w:p>
    <w:p w:rsidR="0008639C" w:rsidRPr="00CD5563" w:rsidRDefault="005C2CCA" w:rsidP="00AB21CF">
      <w:pPr>
        <w:pStyle w:val="Enumlevel1"/>
      </w:pPr>
      <w:r w:rsidRPr="00CD5563">
        <w:t>•</w:t>
      </w:r>
      <w:r w:rsidRPr="00CD5563">
        <w:tab/>
      </w:r>
      <w:r w:rsidR="0008639C" w:rsidRPr="00CD5563">
        <w:t>Provide service tracking management functions to capture and log all relevant information for each component within a service chain. Service tracking is recommended to allow for an association among the captured data associated with a specific service. Service tracking is required to enable tracking of capabilities or components of multiple third parties, and the relationships between these capabilities or components;</w:t>
      </w:r>
    </w:p>
    <w:p w:rsidR="0008639C" w:rsidRPr="00CD5563" w:rsidRDefault="005C2CCA" w:rsidP="00AB21CF">
      <w:pPr>
        <w:pStyle w:val="Enumlevel1"/>
      </w:pPr>
      <w:r w:rsidRPr="00CD5563">
        <w:t>•</w:t>
      </w:r>
      <w:r w:rsidRPr="00CD5563">
        <w:tab/>
      </w:r>
      <w:r w:rsidR="0008639C" w:rsidRPr="00CD5563">
        <w:t xml:space="preserve">Provide a service substitution function that considers various kinds of factors to users. It is required to provide mechanisms to capture a set of information including terminal capability, network situation, user preference and substitution policy; and judge whether to substitute the service or not based on the captured information. If there is a need to substitute the service, this function will substitute it; </w:t>
      </w:r>
    </w:p>
    <w:p w:rsidR="0008639C" w:rsidRPr="00CD5563" w:rsidRDefault="005C2CCA" w:rsidP="00AB21CF">
      <w:pPr>
        <w:pStyle w:val="Enumlevel1"/>
      </w:pPr>
      <w:r w:rsidRPr="00CD5563">
        <w:t>•</w:t>
      </w:r>
      <w:r w:rsidRPr="00CD5563">
        <w:tab/>
      </w:r>
      <w:r w:rsidR="0008639C" w:rsidRPr="00CD5563">
        <w:t>Provide service access control functions to control the accessibility of a specific service by applications. (The service access control function provides the necessary authentication and authorization actions required to ensure that the application has appropriate access rights for the requested service.);</w:t>
      </w:r>
    </w:p>
    <w:p w:rsidR="0008639C" w:rsidRPr="00CD5563" w:rsidRDefault="005C2CCA" w:rsidP="00AB21CF">
      <w:pPr>
        <w:pStyle w:val="Enumlevel1"/>
      </w:pPr>
      <w:r w:rsidRPr="00CD5563">
        <w:t>•</w:t>
      </w:r>
      <w:r w:rsidRPr="00CD5563">
        <w:tab/>
      </w:r>
      <w:r w:rsidR="0008639C" w:rsidRPr="00CD5563">
        <w:t>Provide statistical analysis functions to analyze service registration and utilization information (e.g. number of registered services, utilization frequency of registered services, and number of applications using registered services.);</w:t>
      </w:r>
    </w:p>
    <w:p w:rsidR="0008639C" w:rsidRPr="00CD5563" w:rsidRDefault="005C2CCA" w:rsidP="00AB21CF">
      <w:pPr>
        <w:pStyle w:val="Enumlevel1"/>
      </w:pPr>
      <w:r w:rsidRPr="00CD5563">
        <w:t>•</w:t>
      </w:r>
      <w:r w:rsidRPr="00CD5563">
        <w:tab/>
      </w:r>
      <w:r w:rsidR="0008639C" w:rsidRPr="00CD5563">
        <w:t>Provide an auditing function to review the overall operations of open service environment capabilities during a specific period required by the auditor.</w:t>
      </w:r>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rFonts w:eastAsiaTheme="minorEastAsia"/>
          <w:bCs/>
          <w:szCs w:val="19"/>
          <w:lang w:val="en-GB" w:eastAsia="ko-KR"/>
        </w:rPr>
      </w:pPr>
      <w:bookmarkStart w:id="513" w:name="_Toc199167559"/>
      <w:bookmarkStart w:id="514" w:name="_Toc199200154"/>
      <w:bookmarkEnd w:id="513"/>
      <w:bookmarkEnd w:id="514"/>
      <w:r w:rsidRPr="00CD5563">
        <w:rPr>
          <w:rFonts w:eastAsiaTheme="minorEastAsia"/>
          <w:szCs w:val="19"/>
          <w:lang w:val="en-GB" w:eastAsia="ko-KR"/>
        </w:rPr>
        <w:t>The NGN service composition functions are required to:</w:t>
      </w:r>
    </w:p>
    <w:p w:rsidR="0008639C" w:rsidRPr="00CD5563" w:rsidRDefault="005C2CCA" w:rsidP="00AB21CF">
      <w:pPr>
        <w:pStyle w:val="Enumlevel1"/>
      </w:pPr>
      <w:r w:rsidRPr="00CD5563">
        <w:t>•</w:t>
      </w:r>
      <w:r w:rsidRPr="00CD5563">
        <w:tab/>
      </w:r>
      <w:r w:rsidR="0008639C" w:rsidRPr="00CD5563">
        <w:rPr>
          <w:rFonts w:cs="Times New Roman"/>
          <w:iCs/>
          <w:szCs w:val="19"/>
          <w:lang w:eastAsia="en-US"/>
        </w:rPr>
        <w:t>Provide a composition language that describes the interaction among services. Additionally, the composition language is recommended to support expression capabilities for describing the composition logic among services;</w:t>
      </w:r>
    </w:p>
    <w:p w:rsidR="0008639C" w:rsidRPr="00CD5563" w:rsidRDefault="005C2CCA" w:rsidP="00AB21CF">
      <w:pPr>
        <w:pStyle w:val="Enumlevel1"/>
      </w:pPr>
      <w:r w:rsidRPr="00CD5563">
        <w:t>•</w:t>
      </w:r>
      <w:r w:rsidRPr="00CD5563">
        <w:tab/>
      </w:r>
      <w:r w:rsidR="0008639C" w:rsidRPr="00CD5563">
        <w:t>Support the composition of services statically or dynamically (i.e. for the static type, the services are composed during service design; while for the dynamic type, the services are composed during service runtime).</w:t>
      </w:r>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rFonts w:eastAsiaTheme="minorEastAsia"/>
          <w:bCs/>
          <w:szCs w:val="19"/>
          <w:lang w:val="en-GB" w:eastAsia="ko-KR"/>
        </w:rPr>
      </w:pPr>
      <w:r w:rsidRPr="00CD5563">
        <w:rPr>
          <w:rFonts w:eastAsiaTheme="minorEastAsia"/>
          <w:szCs w:val="19"/>
          <w:lang w:val="en-GB" w:eastAsia="ko-KR"/>
        </w:rPr>
        <w:t>The NGN service development support functions are required to:</w:t>
      </w:r>
    </w:p>
    <w:p w:rsidR="0008639C" w:rsidRPr="00CD5563" w:rsidRDefault="005C2CCA" w:rsidP="00AB21CF">
      <w:pPr>
        <w:pStyle w:val="Enumlevel1"/>
      </w:pPr>
      <w:r w:rsidRPr="00CD5563">
        <w:t>•</w:t>
      </w:r>
      <w:r w:rsidRPr="00CD5563">
        <w:tab/>
      </w:r>
      <w:r w:rsidR="0008639C" w:rsidRPr="00CD5563">
        <w:rPr>
          <w:rFonts w:cs="Times New Roman"/>
          <w:iCs/>
          <w:szCs w:val="19"/>
          <w:lang w:eastAsia="en-US"/>
        </w:rPr>
        <w:t>Support services re-use and allow for services interchangeability;</w:t>
      </w:r>
    </w:p>
    <w:p w:rsidR="0008639C" w:rsidRPr="00CD5563" w:rsidRDefault="005C2CCA" w:rsidP="00AB21CF">
      <w:pPr>
        <w:pStyle w:val="Enumlevel1"/>
      </w:pPr>
      <w:r w:rsidRPr="00CD5563">
        <w:t>•</w:t>
      </w:r>
      <w:r w:rsidRPr="00CD5563">
        <w:tab/>
      </w:r>
      <w:r w:rsidR="0008639C" w:rsidRPr="00CD5563">
        <w:t>Support mixing-and-matching of services by management of interfaces and consistent semantics of shared data/schema across these services</w:t>
      </w:r>
    </w:p>
    <w:p w:rsidR="0008639C" w:rsidRPr="00CD5563" w:rsidRDefault="005C2CCA" w:rsidP="00AB21CF">
      <w:pPr>
        <w:pStyle w:val="Enumlevel1"/>
      </w:pPr>
      <w:r w:rsidRPr="00CD5563">
        <w:t>•</w:t>
      </w:r>
      <w:r w:rsidRPr="00CD5563">
        <w:tab/>
      </w:r>
      <w:r w:rsidR="0008639C" w:rsidRPr="00CD5563">
        <w:t>Support the full life cycle of services, ranging from installation, configuration, administration, publishing, versioning, maintenance and removal;</w:t>
      </w:r>
    </w:p>
    <w:p w:rsidR="0008639C" w:rsidRPr="00CD5563" w:rsidRDefault="005C2CCA" w:rsidP="00AB21CF">
      <w:pPr>
        <w:pStyle w:val="Enumlevel1"/>
      </w:pPr>
      <w:r w:rsidRPr="00CD5563">
        <w:t>•</w:t>
      </w:r>
      <w:r w:rsidRPr="00CD5563">
        <w:tab/>
      </w:r>
      <w:r w:rsidR="0008639C" w:rsidRPr="00CD5563">
        <w:t>Support delivery-agnostic application designs to allow applications to be implemented without requiring re-design for each subsequent development scenario;</w:t>
      </w:r>
    </w:p>
    <w:p w:rsidR="0008639C" w:rsidRPr="00CD5563" w:rsidRDefault="005C2CCA" w:rsidP="00AB21CF">
      <w:pPr>
        <w:pStyle w:val="Enumlevel1"/>
      </w:pPr>
      <w:r w:rsidRPr="00CD5563">
        <w:t>•</w:t>
      </w:r>
      <w:r w:rsidRPr="00CD5563">
        <w:tab/>
      </w:r>
      <w:r w:rsidR="0008639C" w:rsidRPr="00CD5563">
        <w:t>Support tracking of dependencies among services.</w:t>
      </w:r>
    </w:p>
    <w:p w:rsidR="0008639C" w:rsidRPr="00CD5563" w:rsidRDefault="0008639C" w:rsidP="005C2CCA">
      <w:pPr>
        <w:keepNext/>
        <w:keepLines/>
        <w:tabs>
          <w:tab w:val="left" w:pos="794"/>
          <w:tab w:val="left" w:pos="1191"/>
          <w:tab w:val="left" w:pos="1588"/>
          <w:tab w:val="left" w:pos="1985"/>
        </w:tabs>
        <w:overflowPunct w:val="0"/>
        <w:autoSpaceDE w:val="0"/>
        <w:autoSpaceDN w:val="0"/>
        <w:adjustRightInd w:val="0"/>
        <w:textAlignment w:val="baseline"/>
        <w:rPr>
          <w:rFonts w:eastAsiaTheme="minorEastAsia"/>
          <w:bCs/>
          <w:szCs w:val="19"/>
          <w:lang w:val="en-GB" w:eastAsia="ko-KR"/>
        </w:rPr>
      </w:pPr>
      <w:r w:rsidRPr="00CD5563">
        <w:rPr>
          <w:rFonts w:eastAsiaTheme="minorEastAsia"/>
          <w:szCs w:val="19"/>
          <w:lang w:val="en-GB" w:eastAsia="ko-KR"/>
        </w:rPr>
        <w:t>The NGN service creation environment interworking functions are required to:</w:t>
      </w:r>
    </w:p>
    <w:p w:rsidR="0008639C" w:rsidRPr="00CD5563" w:rsidRDefault="005C2CCA" w:rsidP="00AB21CF">
      <w:pPr>
        <w:pStyle w:val="Enumlevel1"/>
      </w:pPr>
      <w:r w:rsidRPr="00CD5563">
        <w:t>•</w:t>
      </w:r>
      <w:r w:rsidRPr="00CD5563">
        <w:tab/>
      </w:r>
      <w:r w:rsidR="0008639C" w:rsidRPr="00CD5563">
        <w:rPr>
          <w:rFonts w:cs="Times New Roman"/>
          <w:iCs/>
          <w:szCs w:val="19"/>
          <w:lang w:eastAsia="en-US"/>
        </w:rPr>
        <w:t>Support the following three classes of service creation environments</w:t>
      </w:r>
    </w:p>
    <w:p w:rsidR="0008639C" w:rsidRPr="00CD5563" w:rsidRDefault="0008639C" w:rsidP="005C2CCA">
      <w:pPr>
        <w:rPr>
          <w:bCs/>
          <w:lang w:val="en-GB" w:eastAsia="ko-KR"/>
        </w:rPr>
      </w:pPr>
      <w:r w:rsidRPr="00CD5563">
        <w:rPr>
          <w:lang w:val="en-GB" w:eastAsia="ko-KR"/>
        </w:rPr>
        <w:t>The NGN policy enforcement functions are required to:</w:t>
      </w:r>
    </w:p>
    <w:p w:rsidR="0008639C" w:rsidRPr="00CD5563" w:rsidRDefault="005C2CCA" w:rsidP="00AB21CF">
      <w:pPr>
        <w:pStyle w:val="Enumlevel1"/>
      </w:pPr>
      <w:r w:rsidRPr="00CD5563">
        <w:t>•</w:t>
      </w:r>
      <w:r w:rsidRPr="00CD5563">
        <w:tab/>
      </w:r>
      <w:r w:rsidR="0008639C" w:rsidRPr="00CD5563">
        <w:rPr>
          <w:rFonts w:cs="Times New Roman"/>
          <w:iCs/>
          <w:szCs w:val="19"/>
          <w:lang w:eastAsia="en-US"/>
        </w:rPr>
        <w:t>Provide a description language to express various kinds of policy rules such as those related to authorization, charging, service level agreement and logging. This language is recommended to support policy re-use;</w:t>
      </w:r>
    </w:p>
    <w:p w:rsidR="0008639C" w:rsidRPr="00CD5563" w:rsidRDefault="005C2CCA" w:rsidP="00AB21CF">
      <w:pPr>
        <w:pStyle w:val="Enumlevel1"/>
      </w:pPr>
      <w:r w:rsidRPr="00CD5563">
        <w:t>•</w:t>
      </w:r>
      <w:r w:rsidRPr="00CD5563">
        <w:tab/>
      </w:r>
      <w:r w:rsidR="0008639C" w:rsidRPr="00CD5563">
        <w:t>Provide a policy execution framework to interpret and execute the policies;</w:t>
      </w:r>
    </w:p>
    <w:p w:rsidR="0008639C" w:rsidRPr="00CD5563" w:rsidRDefault="005C2CCA" w:rsidP="00AB21CF">
      <w:pPr>
        <w:pStyle w:val="Enumlevel1"/>
      </w:pPr>
      <w:r w:rsidRPr="00CD5563">
        <w:t>•</w:t>
      </w:r>
      <w:r w:rsidRPr="00CD5563">
        <w:tab/>
      </w:r>
      <w:r w:rsidR="0008639C" w:rsidRPr="00CD5563">
        <w:t>Protect services from unauthorized users’ requests and manage requests based on the policy rules;</w:t>
      </w:r>
    </w:p>
    <w:p w:rsidR="0008639C" w:rsidRPr="00CD5563" w:rsidRDefault="005C2CCA" w:rsidP="00AB21CF">
      <w:pPr>
        <w:pStyle w:val="Enumlevel1"/>
      </w:pPr>
      <w:r w:rsidRPr="00CD5563">
        <w:t>•</w:t>
      </w:r>
      <w:r w:rsidRPr="00CD5563">
        <w:tab/>
      </w:r>
      <w:r w:rsidR="0008639C" w:rsidRPr="00CD5563">
        <w:t>Support the selection of appropriate services for service composition to respond to the needs and preferences of a user or a group of users.</w:t>
      </w:r>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rFonts w:eastAsiaTheme="minorEastAsia"/>
          <w:b/>
          <w:bCs/>
          <w:szCs w:val="19"/>
          <w:lang w:val="en-GB" w:eastAsia="ko-KR"/>
        </w:rPr>
      </w:pPr>
      <w:r w:rsidRPr="00CD5563">
        <w:rPr>
          <w:rFonts w:eastAsiaTheme="minorEastAsia"/>
          <w:szCs w:val="19"/>
          <w:lang w:val="en-GB" w:eastAsia="ko-KR"/>
        </w:rPr>
        <w:t>Figure 2-2 shows the extended NGN architecture overview [ITU-T Y.2012] in order to illustrate the positioning of the OSE functional group.</w:t>
      </w:r>
    </w:p>
    <w:p w:rsidR="005C2CCA" w:rsidRPr="00CD5563" w:rsidRDefault="005C2CCA" w:rsidP="005C2CCA">
      <w:pPr>
        <w:pStyle w:val="Figuretitle"/>
        <w:rPr>
          <w:bCs/>
          <w:lang w:val="en-GB" w:eastAsia="en-US"/>
        </w:rPr>
      </w:pPr>
      <w:bookmarkStart w:id="515" w:name="_Toc380497410"/>
      <w:r w:rsidRPr="00CD5563">
        <w:rPr>
          <w:lang w:val="en-GB" w:eastAsia="en-US"/>
        </w:rPr>
        <w:t>Figure 2-11: OSE positioning in the NGN architecture</w:t>
      </w:r>
      <w:bookmarkEnd w:id="515"/>
    </w:p>
    <w:p w:rsidR="0008639C" w:rsidRPr="00CD5563" w:rsidRDefault="0008639C" w:rsidP="005C2CCA">
      <w:pPr>
        <w:pStyle w:val="Figure"/>
        <w:rPr>
          <w:lang w:val="en-GB"/>
        </w:rPr>
      </w:pPr>
      <w:r w:rsidRPr="00CD5563">
        <w:rPr>
          <w:noProof/>
          <w:lang w:val="ru-RU" w:eastAsia="zh-CN"/>
        </w:rPr>
        <w:drawing>
          <wp:inline distT="0" distB="0" distL="0" distR="0" wp14:anchorId="0700A540" wp14:editId="3ED04DEF">
            <wp:extent cx="4330700" cy="4368800"/>
            <wp:effectExtent l="19050" t="0" r="0" b="0"/>
            <wp:docPr id="451"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3"/>
                    <pic:cNvPicPr>
                      <a:picLocks noChangeAspect="1" noChangeArrowheads="1"/>
                    </pic:cNvPicPr>
                  </pic:nvPicPr>
                  <pic:blipFill>
                    <a:blip r:embed="rId80" cstate="print"/>
                    <a:srcRect/>
                    <a:stretch>
                      <a:fillRect/>
                    </a:stretch>
                  </pic:blipFill>
                  <pic:spPr bwMode="auto">
                    <a:xfrm>
                      <a:off x="0" y="0"/>
                      <a:ext cx="4330700" cy="4368800"/>
                    </a:xfrm>
                    <a:prstGeom prst="rect">
                      <a:avLst/>
                    </a:prstGeom>
                    <a:noFill/>
                    <a:ln w="9525">
                      <a:noFill/>
                      <a:miter lim="800000"/>
                      <a:headEnd/>
                      <a:tailEnd/>
                    </a:ln>
                  </pic:spPr>
                </pic:pic>
              </a:graphicData>
            </a:graphic>
          </wp:inline>
        </w:drawing>
      </w:r>
    </w:p>
    <w:p w:rsidR="005C2CCA" w:rsidRPr="00CD5563" w:rsidRDefault="005C2CCA" w:rsidP="005C2CCA">
      <w:pPr>
        <w:pStyle w:val="Figure"/>
        <w:keepNext w:val="0"/>
        <w:rPr>
          <w:lang w:val="en-GB"/>
        </w:rPr>
      </w:pPr>
    </w:p>
    <w:p w:rsidR="0008639C" w:rsidRPr="00CD5563" w:rsidRDefault="005C2CCA" w:rsidP="005C2CCA">
      <w:pPr>
        <w:pStyle w:val="Heading1"/>
        <w:rPr>
          <w:lang w:val="en-GB"/>
        </w:rPr>
      </w:pPr>
      <w:bookmarkStart w:id="516" w:name="_Toc310409381"/>
      <w:bookmarkStart w:id="517" w:name="_Toc310410569"/>
      <w:bookmarkStart w:id="518" w:name="_Toc310410840"/>
      <w:bookmarkStart w:id="519" w:name="_Toc310410947"/>
      <w:bookmarkStart w:id="520" w:name="_Toc310427251"/>
      <w:bookmarkStart w:id="521" w:name="_Toc380487740"/>
      <w:bookmarkStart w:id="522" w:name="_Toc381025059"/>
      <w:r w:rsidRPr="00CD5563">
        <w:rPr>
          <w:lang w:val="en-GB"/>
        </w:rPr>
        <w:t>3</w:t>
      </w:r>
      <w:r w:rsidR="0008639C" w:rsidRPr="00CD5563">
        <w:rPr>
          <w:lang w:val="en-GB"/>
        </w:rPr>
        <w:tab/>
        <w:t>Next Generation Ubiquitous Networking (NGUN)</w:t>
      </w:r>
      <w:bookmarkEnd w:id="516"/>
      <w:bookmarkEnd w:id="517"/>
      <w:bookmarkEnd w:id="518"/>
      <w:bookmarkEnd w:id="519"/>
      <w:bookmarkEnd w:id="520"/>
      <w:bookmarkEnd w:id="521"/>
      <w:bookmarkEnd w:id="522"/>
    </w:p>
    <w:p w:rsidR="0008639C" w:rsidRPr="00CD5563" w:rsidRDefault="0008639C" w:rsidP="005C2CCA">
      <w:pPr>
        <w:keepNext/>
        <w:keepLines/>
        <w:tabs>
          <w:tab w:val="left" w:pos="794"/>
          <w:tab w:val="left" w:pos="1191"/>
          <w:tab w:val="left" w:pos="1588"/>
          <w:tab w:val="left" w:pos="1985"/>
        </w:tabs>
        <w:overflowPunct w:val="0"/>
        <w:autoSpaceDE w:val="0"/>
        <w:autoSpaceDN w:val="0"/>
        <w:adjustRightInd w:val="0"/>
        <w:textAlignment w:val="baseline"/>
        <w:rPr>
          <w:rFonts w:eastAsiaTheme="minorEastAsia"/>
          <w:bCs/>
          <w:szCs w:val="19"/>
          <w:lang w:val="en-GB" w:eastAsia="ko-KR"/>
        </w:rPr>
      </w:pPr>
      <w:r w:rsidRPr="00CD5563">
        <w:rPr>
          <w:rFonts w:eastAsiaTheme="minorEastAsia"/>
          <w:szCs w:val="19"/>
          <w:lang w:val="en-GB" w:eastAsia="ko-KR"/>
        </w:rPr>
        <w:t>To realize the vision of</w:t>
      </w:r>
      <w:r w:rsidRPr="00CD5563">
        <w:rPr>
          <w:szCs w:val="19"/>
          <w:lang w:val="en-GB" w:eastAsia="en-US"/>
        </w:rPr>
        <w:t xml:space="preserve"> "Connect to Anything" </w:t>
      </w:r>
      <w:r w:rsidRPr="00CD5563">
        <w:rPr>
          <w:rFonts w:eastAsiaTheme="minorEastAsia"/>
          <w:szCs w:val="19"/>
          <w:lang w:val="en-GB" w:eastAsia="ko-KR"/>
        </w:rPr>
        <w:t xml:space="preserve">or in </w:t>
      </w:r>
      <w:r w:rsidRPr="00CD5563">
        <w:rPr>
          <w:szCs w:val="19"/>
          <w:lang w:val="en-GB" w:eastAsia="en-US"/>
        </w:rPr>
        <w:t>other words</w:t>
      </w:r>
      <w:r w:rsidRPr="00CD5563">
        <w:rPr>
          <w:rFonts w:eastAsiaTheme="minorEastAsia"/>
          <w:szCs w:val="19"/>
          <w:lang w:val="en-GB" w:eastAsia="ko-KR"/>
        </w:rPr>
        <w:t xml:space="preserve"> IoT “Internet of Things”,</w:t>
      </w:r>
      <w:r w:rsidRPr="00CD5563">
        <w:rPr>
          <w:szCs w:val="19"/>
          <w:lang w:val="en-GB" w:eastAsia="en-US"/>
        </w:rPr>
        <w:t xml:space="preserve"> </w:t>
      </w:r>
      <w:r w:rsidRPr="00CD5563">
        <w:rPr>
          <w:rFonts w:eastAsiaTheme="minorEastAsia"/>
          <w:szCs w:val="19"/>
          <w:lang w:val="en-GB" w:eastAsia="ko-KR"/>
        </w:rPr>
        <w:t>networks</w:t>
      </w:r>
      <w:r w:rsidRPr="00CD5563">
        <w:rPr>
          <w:szCs w:val="19"/>
          <w:lang w:val="en-GB" w:eastAsia="en-US"/>
        </w:rPr>
        <w:t xml:space="preserve"> should</w:t>
      </w:r>
      <w:r w:rsidRPr="00CD5563">
        <w:rPr>
          <w:rFonts w:eastAsiaTheme="minorEastAsia"/>
          <w:szCs w:val="19"/>
          <w:lang w:val="en-GB" w:eastAsia="ko-KR"/>
        </w:rPr>
        <w:t xml:space="preserve"> have capabilities of</w:t>
      </w:r>
      <w:r w:rsidRPr="00CD5563">
        <w:rPr>
          <w:szCs w:val="19"/>
          <w:lang w:val="en-GB" w:eastAsia="en-US"/>
        </w:rPr>
        <w:t xml:space="preserve"> Ubiquitous Networking</w:t>
      </w:r>
      <w:r w:rsidRPr="00CD5563">
        <w:rPr>
          <w:rFonts w:eastAsiaTheme="minorEastAsia"/>
          <w:szCs w:val="19"/>
          <w:lang w:val="en-GB" w:eastAsia="ko-KR"/>
        </w:rPr>
        <w:t>. It is not easy to define of “Ubiquitous Networking” because of the conceptual features of “Ubiquitous” or “Ubiquity”. ITU-T developed a recommendation to specify the “Ubiquitous” features as a networking capability of NGN. The ITU-T Recommendation Y.2002 (10/2009) specifies “Next Generation Ubiquitous Networking” as a part of NGN recommendations.</w:t>
      </w:r>
    </w:p>
    <w:p w:rsidR="0008639C" w:rsidRPr="00CD5563" w:rsidRDefault="0008639C" w:rsidP="0008639C">
      <w:pPr>
        <w:rPr>
          <w:szCs w:val="24"/>
          <w:lang w:val="en-GB" w:eastAsia="ko-KR"/>
        </w:rPr>
      </w:pPr>
      <w:r w:rsidRPr="00CD5563">
        <w:rPr>
          <w:rFonts w:eastAsiaTheme="minorEastAsia"/>
          <w:lang w:val="en-GB" w:eastAsia="ko-KR"/>
        </w:rPr>
        <w:t>In this recommendation, “Ubiquitous Networking” identifies as “</w:t>
      </w:r>
      <w:r w:rsidRPr="00CD5563">
        <w:rPr>
          <w:lang w:val="en-GB" w:eastAsia="ko-KR"/>
        </w:rPr>
        <w:t>The ability for persons and/or devices to access services and communicate while minimizing technical restrictions regarding where, when and how these services are accessed, in the context of the service(s) subscribed to</w:t>
      </w:r>
      <w:r w:rsidRPr="00CD5563">
        <w:rPr>
          <w:rFonts w:eastAsiaTheme="minorEastAsia"/>
          <w:lang w:val="en-GB" w:eastAsia="ko-KR"/>
        </w:rPr>
        <w:t>”</w:t>
      </w:r>
      <w:r w:rsidRPr="00CD5563">
        <w:rPr>
          <w:lang w:val="en-GB" w:eastAsia="ko-KR"/>
        </w:rPr>
        <w:t>.</w:t>
      </w:r>
      <w:r w:rsidRPr="00CD5563">
        <w:rPr>
          <w:rFonts w:eastAsiaTheme="minorEastAsia"/>
          <w:lang w:val="en-GB" w:eastAsia="ko-KR"/>
        </w:rPr>
        <w:t xml:space="preserve"> Based on this definition, this recommendation identifies f</w:t>
      </w:r>
      <w:r w:rsidRPr="00CD5563">
        <w:rPr>
          <w:szCs w:val="24"/>
          <w:lang w:val="en-GB" w:eastAsia="ko-KR"/>
        </w:rPr>
        <w:t>undamental characteristics of ubiquitous networking as follow</w:t>
      </w:r>
      <w:r w:rsidRPr="00CD5563">
        <w:rPr>
          <w:rFonts w:eastAsiaTheme="minorEastAsia"/>
          <w:szCs w:val="24"/>
          <w:lang w:val="en-GB" w:eastAsia="ko-KR"/>
        </w:rPr>
        <w:t>ings</w:t>
      </w:r>
      <w:r w:rsidRPr="00CD5563">
        <w:rPr>
          <w:szCs w:val="24"/>
          <w:lang w:val="en-GB" w:eastAsia="ko-KR"/>
        </w:rPr>
        <w:t>:</w:t>
      </w:r>
    </w:p>
    <w:p w:rsidR="0008639C" w:rsidRPr="00CD5563" w:rsidRDefault="00A13281" w:rsidP="00AB21CF">
      <w:pPr>
        <w:pStyle w:val="Enumlevel1"/>
      </w:pPr>
      <w:r w:rsidRPr="00CD5563">
        <w:rPr>
          <w:rFonts w:cs="Times New Roman"/>
          <w:iCs/>
          <w:szCs w:val="19"/>
          <w:lang w:eastAsia="en-US"/>
        </w:rPr>
        <w:t>•</w:t>
      </w:r>
      <w:r w:rsidRPr="00CD5563">
        <w:rPr>
          <w:rFonts w:cs="Times New Roman"/>
          <w:iCs/>
          <w:szCs w:val="19"/>
          <w:lang w:eastAsia="en-US"/>
        </w:rPr>
        <w:tab/>
      </w:r>
      <w:r w:rsidR="0008639C" w:rsidRPr="00CD5563">
        <w:rPr>
          <w:rFonts w:cs="Times New Roman"/>
          <w:iCs/>
          <w:szCs w:val="19"/>
          <w:lang w:eastAsia="en-US"/>
        </w:rPr>
        <w:t>IP connectivity: IP connectivity will allow objects involved in ubiquitous networking to communicate with each other within a network and/or when objects have to be reachable from outside their network. Particularly, as many new types of objects will be connected to networks, IPv6 will play a key role in object-to-object communications</w:t>
      </w:r>
    </w:p>
    <w:p w:rsidR="0008639C" w:rsidRPr="00CD5563" w:rsidRDefault="00A13281" w:rsidP="00AB21CF">
      <w:pPr>
        <w:pStyle w:val="Enumlevel1"/>
      </w:pPr>
      <w:r w:rsidRPr="00CD5563">
        <w:rPr>
          <w:rFonts w:cs="Times New Roman"/>
          <w:iCs/>
          <w:szCs w:val="19"/>
          <w:lang w:eastAsia="en-US"/>
        </w:rPr>
        <w:t>•</w:t>
      </w:r>
      <w:r w:rsidRPr="00CD5563">
        <w:rPr>
          <w:rFonts w:cs="Times New Roman"/>
          <w:iCs/>
          <w:szCs w:val="19"/>
          <w:lang w:eastAsia="en-US"/>
        </w:rPr>
        <w:tab/>
      </w:r>
      <w:r w:rsidR="0008639C" w:rsidRPr="00CD5563">
        <w:t>Personalization: Personalization will allow to meet the user’s needs and to improve the user’s service experience since delivering appropriate contents and services to the user. User satisfaction is motivated by the recognition that a user has needs, and meeting them successfully is likely to lead to a satisfying client-customer relationship and re-use of the services offered</w:t>
      </w:r>
    </w:p>
    <w:p w:rsidR="0008639C" w:rsidRPr="00CD5563" w:rsidRDefault="00A13281" w:rsidP="00AB21CF">
      <w:pPr>
        <w:pStyle w:val="Enumlevel1"/>
      </w:pPr>
      <w:r w:rsidRPr="00CD5563">
        <w:rPr>
          <w:rFonts w:cs="Times New Roman"/>
          <w:iCs/>
          <w:szCs w:val="19"/>
          <w:lang w:eastAsia="en-US"/>
        </w:rPr>
        <w:t>•</w:t>
      </w:r>
      <w:r w:rsidRPr="00CD5563">
        <w:rPr>
          <w:rFonts w:cs="Times New Roman"/>
          <w:iCs/>
          <w:szCs w:val="19"/>
          <w:lang w:eastAsia="en-US"/>
        </w:rPr>
        <w:tab/>
      </w:r>
      <w:r w:rsidR="0008639C" w:rsidRPr="00CD5563">
        <w:t>Intelligence: Intelligence which enables network capabilities to provide user-centric and context-aware service is essential to meet numerous network requirements in terms of data handing and processing capabilities. Introduction of artificial intelligence techniques in networks will help to accelerate the synergies and ultimately the “fusion” between the involved industries</w:t>
      </w:r>
    </w:p>
    <w:p w:rsidR="0008639C" w:rsidRPr="00CD5563" w:rsidRDefault="00A13281" w:rsidP="00AB21CF">
      <w:pPr>
        <w:pStyle w:val="Enumlevel1"/>
      </w:pPr>
      <w:r w:rsidRPr="00CD5563">
        <w:rPr>
          <w:rFonts w:cs="Times New Roman"/>
          <w:iCs/>
          <w:szCs w:val="19"/>
          <w:lang w:eastAsia="en-US"/>
        </w:rPr>
        <w:t>•</w:t>
      </w:r>
      <w:r w:rsidRPr="00CD5563">
        <w:rPr>
          <w:rFonts w:cs="Times New Roman"/>
          <w:iCs/>
          <w:szCs w:val="19"/>
          <w:lang w:eastAsia="en-US"/>
        </w:rPr>
        <w:tab/>
      </w:r>
      <w:r w:rsidR="0008639C" w:rsidRPr="00CD5563">
        <w:t>Tagging objects: Tag-based solutions on ubiquitous environment will allow to get and retrieve information of objects from anywhere through the network. Radio frequency identifier (RFID) is one of tag-based solutions for enabling real-time identification and tracking of objects. As active tags have networking capabilities, a large number of tags will need network addresses for communications. As IP technology will be used for ubiquitous networking, it is essential to develop mapping solutions between tag-based objects (e.g. RFIDs) and IP addresses</w:t>
      </w:r>
    </w:p>
    <w:p w:rsidR="0008639C" w:rsidRPr="00CD5563" w:rsidRDefault="00A13281" w:rsidP="00AB21CF">
      <w:pPr>
        <w:pStyle w:val="Enumlevel1"/>
      </w:pPr>
      <w:r w:rsidRPr="00CD5563">
        <w:rPr>
          <w:rFonts w:cs="Times New Roman"/>
          <w:iCs/>
          <w:szCs w:val="19"/>
          <w:lang w:eastAsia="en-US"/>
        </w:rPr>
        <w:t>•</w:t>
      </w:r>
      <w:r w:rsidRPr="00CD5563">
        <w:rPr>
          <w:rFonts w:cs="Times New Roman"/>
          <w:iCs/>
          <w:szCs w:val="19"/>
          <w:lang w:eastAsia="en-US"/>
        </w:rPr>
        <w:tab/>
      </w:r>
      <w:r w:rsidR="0008639C" w:rsidRPr="00CD5563">
        <w:t>Smart devices: Smart devices attached to networks can support multiple functions including camera, video recorder, phone, TV, music player. Sensor devices which enable detection of environmental status and sensory information can utilize networking functionalities to enable interconnection between very small devices, so-called ‘smart dusts’. Specific environments such as homes, vehicles, buildings will also require adaptive smart devices</w:t>
      </w:r>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rFonts w:eastAsiaTheme="minorEastAsia"/>
          <w:b/>
          <w:bCs/>
          <w:szCs w:val="19"/>
          <w:lang w:val="en-GB" w:eastAsia="ko-KR"/>
        </w:rPr>
      </w:pPr>
      <w:r w:rsidRPr="00CD5563">
        <w:rPr>
          <w:rFonts w:eastAsiaTheme="minorEastAsia"/>
          <w:szCs w:val="19"/>
          <w:lang w:val="en-GB" w:eastAsia="ko-KR"/>
        </w:rPr>
        <w:t>Figure 3-1 illustrates the different types of communications for ubiquitous networking.</w:t>
      </w:r>
    </w:p>
    <w:p w:rsidR="00A13281" w:rsidRPr="00CD5563" w:rsidRDefault="00A13281" w:rsidP="00A13281">
      <w:pPr>
        <w:pStyle w:val="Figuretitle"/>
        <w:rPr>
          <w:rFonts w:eastAsiaTheme="minorEastAsia"/>
          <w:bCs/>
          <w:szCs w:val="19"/>
          <w:lang w:val="en-GB" w:eastAsia="ko-KR"/>
        </w:rPr>
      </w:pPr>
      <w:bookmarkStart w:id="523" w:name="_Toc380497411"/>
      <w:r w:rsidRPr="00CD5563">
        <w:rPr>
          <w:szCs w:val="19"/>
          <w:lang w:val="en-GB" w:eastAsia="en-US"/>
        </w:rPr>
        <w:t xml:space="preserve">Figure 3-1: </w:t>
      </w:r>
      <w:r w:rsidRPr="00CD5563">
        <w:rPr>
          <w:lang w:val="en-GB"/>
        </w:rPr>
        <w:t>Ubiquitous networking communication types</w:t>
      </w:r>
      <w:bookmarkEnd w:id="523"/>
    </w:p>
    <w:p w:rsidR="0008639C" w:rsidRPr="00CD5563" w:rsidRDefault="0008639C" w:rsidP="00A13281">
      <w:pPr>
        <w:pStyle w:val="Figure"/>
        <w:rPr>
          <w:szCs w:val="24"/>
          <w:lang w:val="en-GB" w:eastAsia="ko-KR"/>
        </w:rPr>
      </w:pPr>
      <w:r w:rsidRPr="00CD5563">
        <w:rPr>
          <w:noProof/>
          <w:lang w:val="ru-RU" w:eastAsia="zh-CN"/>
        </w:rPr>
        <w:drawing>
          <wp:inline distT="0" distB="0" distL="0" distR="0" wp14:anchorId="584AA0D1" wp14:editId="42084758">
            <wp:extent cx="5429250" cy="3816350"/>
            <wp:effectExtent l="19050" t="0" r="0" b="0"/>
            <wp:docPr id="452"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cstate="print"/>
                    <a:srcRect/>
                    <a:stretch>
                      <a:fillRect/>
                    </a:stretch>
                  </pic:blipFill>
                  <pic:spPr bwMode="auto">
                    <a:xfrm>
                      <a:off x="0" y="0"/>
                      <a:ext cx="5429250" cy="3816350"/>
                    </a:xfrm>
                    <a:prstGeom prst="rect">
                      <a:avLst/>
                    </a:prstGeom>
                    <a:noFill/>
                    <a:ln w="9525">
                      <a:noFill/>
                      <a:miter lim="800000"/>
                      <a:headEnd/>
                      <a:tailEnd/>
                    </a:ln>
                  </pic:spPr>
                </pic:pic>
              </a:graphicData>
            </a:graphic>
          </wp:inline>
        </w:drawing>
      </w:r>
    </w:p>
    <w:p w:rsidR="00A13281" w:rsidRPr="00CD5563" w:rsidRDefault="00A13281" w:rsidP="00A13281">
      <w:pPr>
        <w:pStyle w:val="Figure"/>
        <w:rPr>
          <w:szCs w:val="24"/>
          <w:lang w:val="en-GB" w:eastAsia="ko-KR"/>
        </w:rPr>
      </w:pPr>
    </w:p>
    <w:p w:rsidR="0008639C" w:rsidRPr="00CD5563" w:rsidRDefault="0008639C" w:rsidP="00A13281">
      <w:pPr>
        <w:pStyle w:val="figuresource"/>
        <w:ind w:left="0" w:firstLine="0"/>
        <w:jc w:val="both"/>
        <w:rPr>
          <w:lang w:val="en-GB" w:eastAsia="ko-KR"/>
        </w:rPr>
      </w:pPr>
      <w:r w:rsidRPr="00CD5563">
        <w:rPr>
          <w:lang w:val="en-GB" w:eastAsia="ko-KR"/>
        </w:rPr>
        <w:t>Note: objects include all of things which are attached in the network. Some objects can be attached with persons and others can be located remotely with persons. “person-to-person” communication relies on a “object-to-object” communication.</w:t>
      </w:r>
    </w:p>
    <w:p w:rsidR="00A13281" w:rsidRPr="00CD5563" w:rsidRDefault="00A13281" w:rsidP="0008639C">
      <w:pPr>
        <w:tabs>
          <w:tab w:val="left" w:pos="794"/>
          <w:tab w:val="left" w:pos="1191"/>
          <w:tab w:val="left" w:pos="1588"/>
          <w:tab w:val="left" w:pos="1985"/>
        </w:tabs>
        <w:overflowPunct w:val="0"/>
        <w:autoSpaceDE w:val="0"/>
        <w:autoSpaceDN w:val="0"/>
        <w:adjustRightInd w:val="0"/>
        <w:textAlignment w:val="baseline"/>
        <w:rPr>
          <w:rFonts w:eastAsiaTheme="minorEastAsia"/>
          <w:szCs w:val="19"/>
          <w:lang w:val="en-GB" w:eastAsia="ko-KR"/>
        </w:rPr>
      </w:pPr>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rFonts w:eastAsiaTheme="minorEastAsia"/>
          <w:szCs w:val="19"/>
          <w:lang w:val="en-GB" w:eastAsia="ko-KR"/>
        </w:rPr>
      </w:pPr>
      <w:r w:rsidRPr="00CD5563">
        <w:rPr>
          <w:rFonts w:eastAsiaTheme="minorEastAsia"/>
          <w:szCs w:val="19"/>
          <w:lang w:val="en-GB" w:eastAsia="ko-KR"/>
        </w:rPr>
        <w:t>Figure 3-1 makes a distinction between the following users of ubiquitous networking: persons (using attached devices such as PC, PDA, mobile phones) and objects (such as remote monitoring and information devices, contents) and shows three different types of communications:</w:t>
      </w:r>
    </w:p>
    <w:p w:rsidR="0008639C" w:rsidRPr="00CD5563" w:rsidRDefault="00A13281" w:rsidP="00AB21CF">
      <w:pPr>
        <w:pStyle w:val="Enumlevel1"/>
      </w:pPr>
      <w:r w:rsidRPr="00CD5563">
        <w:rPr>
          <w:rFonts w:cs="Times New Roman"/>
          <w:iCs/>
          <w:szCs w:val="19"/>
          <w:lang w:eastAsia="en-US"/>
        </w:rPr>
        <w:t>•</w:t>
      </w:r>
      <w:r w:rsidRPr="00CD5563">
        <w:rPr>
          <w:rFonts w:cs="Times New Roman"/>
          <w:iCs/>
          <w:szCs w:val="19"/>
          <w:lang w:eastAsia="en-US"/>
        </w:rPr>
        <w:tab/>
      </w:r>
      <w:r w:rsidR="0008639C" w:rsidRPr="00CD5563">
        <w:rPr>
          <w:rFonts w:cs="Times New Roman"/>
          <w:iCs/>
          <w:szCs w:val="19"/>
          <w:lang w:eastAsia="en-US"/>
        </w:rPr>
        <w:t>Person-to-Person Communication: persons communicate with each other using attached devices (e.g. mobile phone, PC);</w:t>
      </w:r>
    </w:p>
    <w:p w:rsidR="0008639C" w:rsidRPr="00CD5563" w:rsidRDefault="00A13281" w:rsidP="00AB21CF">
      <w:pPr>
        <w:pStyle w:val="Enumlevel1"/>
      </w:pPr>
      <w:r w:rsidRPr="00CD5563">
        <w:t>•</w:t>
      </w:r>
      <w:r w:rsidRPr="00CD5563">
        <w:tab/>
      </w:r>
      <w:r w:rsidR="0008639C" w:rsidRPr="00CD5563">
        <w:t>Person-to-Object Communication: persons communicate with a device in order to get specific information (e.g., IPTV content, file transfer);</w:t>
      </w:r>
    </w:p>
    <w:p w:rsidR="0008639C" w:rsidRPr="00CD5563" w:rsidRDefault="00A13281" w:rsidP="00AB21CF">
      <w:pPr>
        <w:pStyle w:val="Enumlevel1"/>
      </w:pPr>
      <w:r w:rsidRPr="00CD5563">
        <w:t>•</w:t>
      </w:r>
      <w:r w:rsidRPr="00CD5563">
        <w:tab/>
      </w:r>
      <w:r w:rsidR="0008639C" w:rsidRPr="00CD5563">
        <w:t xml:space="preserve">Object-to-Object Communication: an object delivers information (e.g. sensor related information) to another object with or without involvement of persons. </w:t>
      </w:r>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rFonts w:eastAsiaTheme="minorEastAsia"/>
          <w:szCs w:val="19"/>
          <w:lang w:val="en-GB" w:eastAsia="ko-KR"/>
        </w:rPr>
      </w:pPr>
      <w:r w:rsidRPr="00CD5563">
        <w:rPr>
          <w:rFonts w:eastAsiaTheme="minorEastAsia"/>
          <w:szCs w:val="19"/>
          <w:lang w:val="en-GB" w:eastAsia="ko-KR"/>
        </w:rPr>
        <w:t xml:space="preserve">Ubiquitous networking aims to provide seamless communications between persons, between objects as well as between persons and objects while they move from one location to another. </w:t>
      </w:r>
    </w:p>
    <w:p w:rsidR="0008639C" w:rsidRPr="00CD5563" w:rsidRDefault="0008639C" w:rsidP="00A13281">
      <w:pPr>
        <w:rPr>
          <w:lang w:val="en-GB" w:eastAsia="ko-KR"/>
        </w:rPr>
      </w:pPr>
      <w:r w:rsidRPr="00CD5563">
        <w:rPr>
          <w:lang w:val="en-GB" w:eastAsia="ko-KR"/>
        </w:rPr>
        <w:t>Figure 3-2 shows the high-level architectural model for ubiquitous networking in NGN. This model is based upon the NGN overall architecture as described in [ITU-T Y.2012] showing the necessary capabilities to support of ubiquitous networking.</w:t>
      </w:r>
    </w:p>
    <w:p w:rsidR="00A13281" w:rsidRPr="00CD5563" w:rsidRDefault="00A13281" w:rsidP="00A13281">
      <w:pPr>
        <w:pStyle w:val="Figuretitle"/>
        <w:rPr>
          <w:lang w:val="en-GB" w:eastAsia="ko-KR"/>
        </w:rPr>
      </w:pPr>
      <w:bookmarkStart w:id="524" w:name="_Toc380497412"/>
      <w:r w:rsidRPr="00CD5563">
        <w:rPr>
          <w:szCs w:val="19"/>
          <w:lang w:val="en-GB" w:eastAsia="en-US"/>
        </w:rPr>
        <w:t xml:space="preserve">Figure 3-2: </w:t>
      </w:r>
      <w:r w:rsidRPr="00CD5563">
        <w:rPr>
          <w:lang w:val="en-GB" w:eastAsia="ko-KR"/>
        </w:rPr>
        <w:t>High-level architectural model for ubiquitous networking in NGN</w:t>
      </w:r>
      <w:bookmarkEnd w:id="524"/>
    </w:p>
    <w:p w:rsidR="0008639C" w:rsidRPr="00CD5563" w:rsidRDefault="0008639C" w:rsidP="00A13281">
      <w:pPr>
        <w:pStyle w:val="Figure"/>
        <w:rPr>
          <w:szCs w:val="24"/>
          <w:lang w:val="en-GB" w:eastAsia="ko-KR"/>
        </w:rPr>
      </w:pPr>
      <w:r w:rsidRPr="00CD5563">
        <w:rPr>
          <w:noProof/>
          <w:lang w:val="ru-RU" w:eastAsia="zh-CN"/>
        </w:rPr>
        <w:drawing>
          <wp:inline distT="0" distB="0" distL="0" distR="0" wp14:anchorId="52A5D781" wp14:editId="3F495637">
            <wp:extent cx="4152900" cy="3376185"/>
            <wp:effectExtent l="19050" t="0" r="0" b="0"/>
            <wp:docPr id="45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cstate="print"/>
                    <a:srcRect/>
                    <a:stretch>
                      <a:fillRect/>
                    </a:stretch>
                  </pic:blipFill>
                  <pic:spPr bwMode="auto">
                    <a:xfrm>
                      <a:off x="0" y="0"/>
                      <a:ext cx="4154794" cy="3377725"/>
                    </a:xfrm>
                    <a:prstGeom prst="rect">
                      <a:avLst/>
                    </a:prstGeom>
                    <a:noFill/>
                    <a:ln w="9525">
                      <a:noFill/>
                      <a:miter lim="800000"/>
                      <a:headEnd/>
                      <a:tailEnd/>
                    </a:ln>
                  </pic:spPr>
                </pic:pic>
              </a:graphicData>
            </a:graphic>
          </wp:inline>
        </w:drawing>
      </w:r>
    </w:p>
    <w:p w:rsidR="00A13281" w:rsidRPr="00CD5563" w:rsidRDefault="00A13281" w:rsidP="00A13281">
      <w:pPr>
        <w:pStyle w:val="Figure"/>
        <w:rPr>
          <w:szCs w:val="24"/>
          <w:lang w:val="en-GB" w:eastAsia="ko-KR"/>
        </w:rPr>
      </w:pPr>
    </w:p>
    <w:p w:rsidR="0008639C" w:rsidRPr="00CD5563" w:rsidRDefault="00A13281" w:rsidP="00A13281">
      <w:pPr>
        <w:pStyle w:val="Heading1"/>
        <w:rPr>
          <w:lang w:val="en-GB"/>
        </w:rPr>
      </w:pPr>
      <w:bookmarkStart w:id="525" w:name="_Toc310409382"/>
      <w:bookmarkStart w:id="526" w:name="_Toc310410570"/>
      <w:bookmarkStart w:id="527" w:name="_Toc310410841"/>
      <w:bookmarkStart w:id="528" w:name="_Toc310410948"/>
      <w:bookmarkStart w:id="529" w:name="_Toc310427252"/>
      <w:bookmarkStart w:id="530" w:name="_Toc380487741"/>
      <w:bookmarkStart w:id="531" w:name="_Toc381025060"/>
      <w:r w:rsidRPr="00CD5563">
        <w:rPr>
          <w:lang w:val="en-GB"/>
        </w:rPr>
        <w:t>4</w:t>
      </w:r>
      <w:r w:rsidR="0008639C" w:rsidRPr="00CD5563">
        <w:rPr>
          <w:lang w:val="en-GB"/>
        </w:rPr>
        <w:tab/>
        <w:t>Ubiquitous Sensor Networks (USN)</w:t>
      </w:r>
      <w:bookmarkEnd w:id="525"/>
      <w:bookmarkEnd w:id="526"/>
      <w:bookmarkEnd w:id="527"/>
      <w:bookmarkEnd w:id="528"/>
      <w:bookmarkEnd w:id="529"/>
      <w:bookmarkEnd w:id="530"/>
      <w:bookmarkEnd w:id="531"/>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rFonts w:eastAsiaTheme="minorEastAsia"/>
          <w:bCs/>
          <w:szCs w:val="19"/>
          <w:lang w:val="en-GB" w:eastAsia="ko-KR"/>
        </w:rPr>
      </w:pPr>
      <w:r w:rsidRPr="00CD5563">
        <w:rPr>
          <w:rFonts w:eastAsiaTheme="minorEastAsia"/>
          <w:szCs w:val="19"/>
          <w:lang w:val="en-GB" w:eastAsia="ko-KR"/>
        </w:rPr>
        <w:t>The technology using sensors has huge potential as it could generate applications in a wide range of fields, including ensuring safety and security, environmental monitoring, promoting personal productivity and enhancing national competitiveness. The term of “Ubiquitous Sensor Networks” (USN) is used to describe a network which is configured with sensors that could provide ubiquitous connectivity.</w:t>
      </w:r>
    </w:p>
    <w:p w:rsidR="0008639C" w:rsidRPr="00CD5563" w:rsidRDefault="0008639C" w:rsidP="007A238D">
      <w:pPr>
        <w:keepNext/>
        <w:keepLines/>
        <w:tabs>
          <w:tab w:val="left" w:pos="794"/>
          <w:tab w:val="left" w:pos="1191"/>
          <w:tab w:val="left" w:pos="1588"/>
          <w:tab w:val="left" w:pos="1985"/>
        </w:tabs>
        <w:overflowPunct w:val="0"/>
        <w:autoSpaceDE w:val="0"/>
        <w:autoSpaceDN w:val="0"/>
        <w:adjustRightInd w:val="0"/>
        <w:textAlignment w:val="baseline"/>
        <w:rPr>
          <w:rFonts w:eastAsiaTheme="minorEastAsia"/>
          <w:bCs/>
          <w:szCs w:val="19"/>
          <w:lang w:val="en-GB" w:eastAsia="ko-KR"/>
        </w:rPr>
      </w:pPr>
      <w:r w:rsidRPr="00CD5563">
        <w:rPr>
          <w:rFonts w:eastAsiaTheme="minorEastAsia"/>
          <w:szCs w:val="19"/>
          <w:lang w:val="en-GB" w:eastAsia="ko-KR"/>
        </w:rPr>
        <w:t>ITU-T Recommendation Y.2221 provides a description and general characteristics of USN and their applications and services. This recommendation also analyzes service requirements of USN applications and services, and specifies extended or new NGN capability requirements based on the service requirements. The main components of a USN, as described in Figure 4-1 are:</w:t>
      </w:r>
    </w:p>
    <w:p w:rsidR="0008639C" w:rsidRPr="00CD5563" w:rsidRDefault="00A621F6" w:rsidP="00AB21CF">
      <w:pPr>
        <w:pStyle w:val="Enumlevel1"/>
      </w:pPr>
      <w:r w:rsidRPr="00CD5563">
        <w:rPr>
          <w:rFonts w:cs="Times New Roman"/>
          <w:iCs/>
          <w:szCs w:val="19"/>
          <w:lang w:eastAsia="en-US"/>
        </w:rPr>
        <w:t>•</w:t>
      </w:r>
      <w:r w:rsidRPr="00CD5563">
        <w:rPr>
          <w:rFonts w:cs="Times New Roman"/>
          <w:iCs/>
          <w:szCs w:val="19"/>
          <w:lang w:eastAsia="en-US"/>
        </w:rPr>
        <w:tab/>
      </w:r>
      <w:r w:rsidR="0008639C" w:rsidRPr="00CD5563">
        <w:rPr>
          <w:rFonts w:cs="Times New Roman"/>
          <w:iCs/>
          <w:szCs w:val="19"/>
          <w:lang w:eastAsia="en-US"/>
        </w:rPr>
        <w:t>Sensor Networking: Comprising sensors which are used for collecting and transmitting information about their surrounding environment and an independent power source (e.g., battery, solar power);</w:t>
      </w:r>
    </w:p>
    <w:p w:rsidR="0008639C" w:rsidRPr="00CD5563" w:rsidRDefault="00A621F6" w:rsidP="00AB21CF">
      <w:pPr>
        <w:pStyle w:val="Enumlevel1"/>
      </w:pPr>
      <w:r w:rsidRPr="00CD5563">
        <w:rPr>
          <w:rFonts w:cs="Times New Roman"/>
          <w:iCs/>
          <w:szCs w:val="19"/>
          <w:lang w:eastAsia="en-US"/>
        </w:rPr>
        <w:t>•</w:t>
      </w:r>
      <w:r w:rsidRPr="00CD5563">
        <w:rPr>
          <w:rFonts w:cs="Times New Roman"/>
          <w:iCs/>
          <w:szCs w:val="19"/>
          <w:lang w:eastAsia="en-US"/>
        </w:rPr>
        <w:tab/>
      </w:r>
      <w:r w:rsidR="0008639C" w:rsidRPr="00CD5563">
        <w:t>USN Access Networking: Intermediary collection of information from a group of sensors through “sink nodes” and facilitating communication with a control centre or with external entities;</w:t>
      </w:r>
    </w:p>
    <w:p w:rsidR="0008639C" w:rsidRPr="00CD5563" w:rsidRDefault="00A621F6" w:rsidP="00AB21CF">
      <w:pPr>
        <w:pStyle w:val="Enumlevel1"/>
      </w:pPr>
      <w:r w:rsidRPr="00CD5563">
        <w:rPr>
          <w:rFonts w:cs="Times New Roman"/>
          <w:iCs/>
          <w:szCs w:val="19"/>
          <w:lang w:eastAsia="en-US"/>
        </w:rPr>
        <w:t>•</w:t>
      </w:r>
      <w:r w:rsidRPr="00CD5563">
        <w:rPr>
          <w:rFonts w:cs="Times New Roman"/>
          <w:iCs/>
          <w:szCs w:val="19"/>
          <w:lang w:eastAsia="en-US"/>
        </w:rPr>
        <w:tab/>
      </w:r>
      <w:r w:rsidR="0008639C" w:rsidRPr="00CD5563">
        <w:t>Network Infrastructure: Next Generation Network (NGN);</w:t>
      </w:r>
    </w:p>
    <w:p w:rsidR="0008639C" w:rsidRPr="00CD5563" w:rsidRDefault="00A621F6" w:rsidP="00AB21CF">
      <w:pPr>
        <w:pStyle w:val="Enumlevel1"/>
      </w:pPr>
      <w:r w:rsidRPr="00CD5563">
        <w:rPr>
          <w:rFonts w:cs="Times New Roman"/>
          <w:iCs/>
          <w:szCs w:val="19"/>
          <w:lang w:eastAsia="en-US"/>
        </w:rPr>
        <w:t>•</w:t>
      </w:r>
      <w:r w:rsidRPr="00CD5563">
        <w:rPr>
          <w:rFonts w:cs="Times New Roman"/>
          <w:iCs/>
          <w:szCs w:val="19"/>
          <w:lang w:eastAsia="en-US"/>
        </w:rPr>
        <w:tab/>
      </w:r>
      <w:r w:rsidR="0008639C" w:rsidRPr="00CD5563">
        <w:t>USN Middleware: Software for the collection and processing of large volumes of data;</w:t>
      </w:r>
    </w:p>
    <w:p w:rsidR="0008639C" w:rsidRPr="00CD5563" w:rsidRDefault="00A621F6" w:rsidP="00AB21CF">
      <w:pPr>
        <w:pStyle w:val="Enumlevel1"/>
        <w:rPr>
          <w:lang w:eastAsia="ko-KR"/>
        </w:rPr>
      </w:pPr>
      <w:r w:rsidRPr="00CD5563">
        <w:rPr>
          <w:rFonts w:cs="Times New Roman"/>
          <w:iCs/>
          <w:szCs w:val="19"/>
          <w:lang w:eastAsia="en-US"/>
        </w:rPr>
        <w:t>•</w:t>
      </w:r>
      <w:r w:rsidRPr="00CD5563">
        <w:rPr>
          <w:rFonts w:cs="Times New Roman"/>
          <w:iCs/>
          <w:szCs w:val="19"/>
          <w:lang w:eastAsia="en-US"/>
        </w:rPr>
        <w:tab/>
      </w:r>
      <w:r w:rsidR="0008639C" w:rsidRPr="00CD5563">
        <w:t>USN Applications Platform: A technology platform to enable the effective use of a USN in a particular industrial sector or application.</w:t>
      </w:r>
    </w:p>
    <w:p w:rsidR="00A621F6" w:rsidRPr="00CD5563" w:rsidRDefault="00A621F6" w:rsidP="00A621F6">
      <w:pPr>
        <w:pStyle w:val="Figuretitle"/>
        <w:rPr>
          <w:rFonts w:eastAsiaTheme="minorEastAsia"/>
          <w:bCs/>
          <w:lang w:val="en-GB" w:eastAsia="ko-KR"/>
        </w:rPr>
      </w:pPr>
      <w:bookmarkStart w:id="532" w:name="_Toc380497413"/>
      <w:r w:rsidRPr="00CD5563">
        <w:rPr>
          <w:lang w:val="en-GB" w:eastAsia="en-US"/>
        </w:rPr>
        <w:t>Figure 4-1: Schematic Layers of a Ubiquitous Sensor Network</w:t>
      </w:r>
      <w:bookmarkEnd w:id="532"/>
    </w:p>
    <w:p w:rsidR="0008639C" w:rsidRPr="00CD5563" w:rsidRDefault="0008639C" w:rsidP="00A621F6">
      <w:pPr>
        <w:pStyle w:val="Figure"/>
        <w:rPr>
          <w:lang w:val="en-GB"/>
        </w:rPr>
      </w:pPr>
      <w:r w:rsidRPr="00CD5563">
        <w:rPr>
          <w:noProof/>
          <w:lang w:val="ru-RU" w:eastAsia="zh-CN"/>
        </w:rPr>
        <w:drawing>
          <wp:inline distT="0" distB="0" distL="0" distR="0" wp14:anchorId="7B7D5A76" wp14:editId="130462F2">
            <wp:extent cx="5029200" cy="3365569"/>
            <wp:effectExtent l="19050" t="0" r="0" b="0"/>
            <wp:docPr id="454"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3" cstate="print"/>
                    <a:srcRect/>
                    <a:stretch>
                      <a:fillRect/>
                    </a:stretch>
                  </pic:blipFill>
                  <pic:spPr bwMode="auto">
                    <a:xfrm>
                      <a:off x="0" y="0"/>
                      <a:ext cx="5029200" cy="3365569"/>
                    </a:xfrm>
                    <a:prstGeom prst="rect">
                      <a:avLst/>
                    </a:prstGeom>
                    <a:noFill/>
                    <a:ln w="9525">
                      <a:noFill/>
                      <a:miter lim="800000"/>
                      <a:headEnd/>
                      <a:tailEnd/>
                    </a:ln>
                  </pic:spPr>
                </pic:pic>
              </a:graphicData>
            </a:graphic>
          </wp:inline>
        </w:drawing>
      </w:r>
    </w:p>
    <w:p w:rsidR="00A621F6" w:rsidRPr="00CD5563" w:rsidRDefault="00A621F6" w:rsidP="00A621F6">
      <w:pPr>
        <w:pStyle w:val="Figure"/>
        <w:rPr>
          <w:lang w:val="en-GB"/>
        </w:rPr>
      </w:pPr>
    </w:p>
    <w:p w:rsidR="00A621F6" w:rsidRPr="00CD5563" w:rsidRDefault="00A621F6" w:rsidP="00A621F6">
      <w:pPr>
        <w:rPr>
          <w:lang w:val="en-GB" w:eastAsia="ko-KR"/>
        </w:rPr>
      </w:pPr>
    </w:p>
    <w:p w:rsidR="0008639C" w:rsidRPr="00CD5563" w:rsidRDefault="0008639C" w:rsidP="00A621F6">
      <w:pPr>
        <w:rPr>
          <w:bCs/>
          <w:lang w:val="en-GB" w:eastAsia="ko-KR"/>
        </w:rPr>
      </w:pPr>
      <w:r w:rsidRPr="00CD5563">
        <w:rPr>
          <w:lang w:val="en-GB" w:eastAsia="ko-KR"/>
        </w:rPr>
        <w:t>Sensor is a device that captures a physical stimulus such as temperature, sound, light, pressure, heat, vibration, or magnetism. Sensor data has to be transmitted to users for data processing and corresponding reactions.</w:t>
      </w:r>
    </w:p>
    <w:p w:rsidR="0008639C" w:rsidRPr="00CD5563" w:rsidRDefault="0008639C" w:rsidP="00A621F6">
      <w:pPr>
        <w:rPr>
          <w:bCs/>
          <w:lang w:val="en-GB" w:eastAsia="en-US"/>
        </w:rPr>
      </w:pPr>
      <w:r w:rsidRPr="00CD5563">
        <w:rPr>
          <w:lang w:val="en-GB" w:eastAsia="ko-KR"/>
        </w:rPr>
        <w:t>Sensor networks can be established by wire-line or wireless. Typical wire-line networking techniques are RS-232, RS-422, RS-485, Power Line Communication, etc. A variety of wireless networking techniques has been used. But nowadays standardized ways have emerged as hot topics and a new term, WSN (Wireless Sensor Network), was made for technology and business marketing. Typical wireless PHY/MAC networking solutions are IEEE 802.15.4, IEEE 802.15.3, Bluetooth, etc. Multi-hop networking solutions over these wireless networks are ZigBee, 6LoWPAN, etc.</w:t>
      </w:r>
    </w:p>
    <w:p w:rsidR="0008639C" w:rsidRPr="00CD5563" w:rsidRDefault="00A621F6" w:rsidP="00A621F6">
      <w:pPr>
        <w:pStyle w:val="Heading1"/>
        <w:rPr>
          <w:lang w:val="en-GB"/>
        </w:rPr>
      </w:pPr>
      <w:bookmarkStart w:id="533" w:name="_Toc380487742"/>
      <w:bookmarkStart w:id="534" w:name="_Toc381025061"/>
      <w:r w:rsidRPr="00CD5563">
        <w:rPr>
          <w:lang w:val="en-GB"/>
        </w:rPr>
        <w:t>5</w:t>
      </w:r>
      <w:r w:rsidR="0008639C" w:rsidRPr="00CD5563">
        <w:rPr>
          <w:lang w:val="en-GB"/>
        </w:rPr>
        <w:tab/>
        <w:t>Cloud Computing</w:t>
      </w:r>
      <w:bookmarkEnd w:id="533"/>
      <w:bookmarkEnd w:id="534"/>
    </w:p>
    <w:p w:rsidR="0008639C" w:rsidRPr="00CD5563" w:rsidRDefault="0008639C" w:rsidP="00A621F6">
      <w:pPr>
        <w:pStyle w:val="Heading2"/>
        <w:rPr>
          <w:rFonts w:eastAsia="Malgun Gothic"/>
          <w:lang w:val="en-GB" w:eastAsia="ko-KR"/>
        </w:rPr>
      </w:pPr>
      <w:bookmarkStart w:id="535" w:name="_Toc380487743"/>
      <w:bookmarkStart w:id="536" w:name="_Toc381025062"/>
      <w:r w:rsidRPr="00CD5563">
        <w:rPr>
          <w:rFonts w:eastAsia="Malgun Gothic"/>
          <w:lang w:val="en-GB" w:eastAsia="ko-KR"/>
        </w:rPr>
        <w:t>5.1</w:t>
      </w:r>
      <w:r w:rsidRPr="00CD5563">
        <w:rPr>
          <w:rFonts w:eastAsia="Malgun Gothic"/>
          <w:lang w:val="en-GB" w:eastAsia="ko-KR"/>
        </w:rPr>
        <w:tab/>
        <w:t>Background and definition of Cloud Computing</w:t>
      </w:r>
      <w:bookmarkEnd w:id="535"/>
      <w:bookmarkEnd w:id="536"/>
    </w:p>
    <w:p w:rsidR="0008639C" w:rsidRPr="00CD5563" w:rsidRDefault="0008639C" w:rsidP="00A621F6">
      <w:pPr>
        <w:rPr>
          <w:lang w:val="en-GB" w:eastAsia="ko-KR"/>
        </w:rPr>
      </w:pPr>
      <w:r w:rsidRPr="00CD5563">
        <w:rPr>
          <w:lang w:val="en-GB" w:eastAsia="ko-KR"/>
        </w:rPr>
        <w:t xml:space="preserve">The background history about the cloud computing may back to the dates when </w:t>
      </w:r>
      <w:hyperlink r:id="rId84" w:tooltip="Mainframe computer" w:history="1">
        <w:r w:rsidRPr="00CD5563">
          <w:rPr>
            <w:lang w:val="en-GB" w:eastAsia="ko-KR"/>
          </w:rPr>
          <w:t>mainframe</w:t>
        </w:r>
      </w:hyperlink>
      <w:r w:rsidRPr="00CD5563">
        <w:rPr>
          <w:lang w:val="en-GB" w:eastAsia="ko-KR"/>
        </w:rPr>
        <w:t xml:space="preserve"> became available in academia and corporations, accessible via dumb terminals which were used for communications but had no internal computational capacities. Thus it had been required to share main-frame with multiple users by multiple terminals in terms of physical access to the computer as well as to share the </w:t>
      </w:r>
      <w:hyperlink r:id="rId85" w:tooltip="CPU" w:history="1">
        <w:r w:rsidRPr="00CD5563">
          <w:rPr>
            <w:lang w:val="en-GB" w:eastAsia="ko-KR"/>
          </w:rPr>
          <w:t>CPU</w:t>
        </w:r>
      </w:hyperlink>
      <w:r w:rsidRPr="00CD5563">
        <w:rPr>
          <w:lang w:val="en-GB" w:eastAsia="ko-KR"/>
        </w:rPr>
        <w:t xml:space="preserve"> time such as </w:t>
      </w:r>
      <w:hyperlink r:id="rId86" w:tooltip="Time-sharing" w:history="1">
        <w:r w:rsidRPr="00CD5563">
          <w:rPr>
            <w:lang w:val="en-GB" w:eastAsia="ko-KR"/>
          </w:rPr>
          <w:t>time-sharing</w:t>
        </w:r>
      </w:hyperlink>
      <w:r w:rsidRPr="00CD5563">
        <w:rPr>
          <w:lang w:val="en-GB" w:eastAsia="ko-KR"/>
        </w:rPr>
        <w:t xml:space="preserve">. In the 1990s, telecommunications with offering </w:t>
      </w:r>
      <w:hyperlink r:id="rId87" w:tooltip="Virtual private network" w:history="1">
        <w:r w:rsidRPr="00CD5563">
          <w:rPr>
            <w:lang w:val="en-GB" w:eastAsia="ko-KR"/>
          </w:rPr>
          <w:t>virtual private network</w:t>
        </w:r>
      </w:hyperlink>
      <w:r w:rsidRPr="00CD5563">
        <w:rPr>
          <w:lang w:val="en-GB" w:eastAsia="ko-KR"/>
        </w:rPr>
        <w:t xml:space="preserve"> (VPN) services with comparable quality of service, but at a lower cost, it began to use the cloud symbol to denote the demarcation point between providers including users. Cloud computing extends this boundary to cover servers as well as the network infrastructure. Following Figure 5-1 shows brief summary of such history about cloud computing developments.</w:t>
      </w:r>
    </w:p>
    <w:p w:rsidR="0008639C" w:rsidRPr="00CD5563" w:rsidRDefault="0008639C" w:rsidP="00AB21CF">
      <w:pPr>
        <w:rPr>
          <w:lang w:val="en-GB" w:eastAsia="ko-KR"/>
        </w:rPr>
      </w:pPr>
      <w:r w:rsidRPr="00CD5563">
        <w:rPr>
          <w:lang w:val="en-GB" w:eastAsia="ko-KR"/>
        </w:rPr>
        <w:t xml:space="preserve">According to the developments of computing capabilities, users such as scientists and technologists explored ways to make large-scale computing power available to more users over time sharing, optimal use of the infrastructure, platform and prioritized access to the CPU.  In addition, the ubiquitous availability of networks, low-cost computers and storage devices as well as the widespread adoption of </w:t>
      </w:r>
      <w:hyperlink r:id="rId88" w:tooltip="Hardware virtualization" w:history="1">
        <w:r w:rsidRPr="00CD5563">
          <w:rPr>
            <w:lang w:val="en-GB" w:eastAsia="ko-KR"/>
          </w:rPr>
          <w:t>hardware virtualization</w:t>
        </w:r>
      </w:hyperlink>
      <w:r w:rsidRPr="00CD5563">
        <w:rPr>
          <w:lang w:val="en-GB" w:eastAsia="ko-KR"/>
        </w:rPr>
        <w:t xml:space="preserve">, </w:t>
      </w:r>
      <w:hyperlink r:id="rId89" w:tooltip="Service-oriented architecture" w:history="1">
        <w:r w:rsidRPr="00CD5563">
          <w:rPr>
            <w:lang w:val="en-GB" w:eastAsia="ko-KR"/>
          </w:rPr>
          <w:t>service-oriented architecture</w:t>
        </w:r>
      </w:hyperlink>
      <w:r w:rsidRPr="00CD5563">
        <w:rPr>
          <w:lang w:val="en-GB" w:eastAsia="ko-KR"/>
        </w:rPr>
        <w:t xml:space="preserve">, </w:t>
      </w:r>
      <w:hyperlink r:id="rId90" w:tooltip="Autonomic Computing" w:history="1">
        <w:r w:rsidRPr="00CD5563">
          <w:rPr>
            <w:lang w:val="en-GB" w:eastAsia="ko-KR"/>
          </w:rPr>
          <w:t>autonomic</w:t>
        </w:r>
      </w:hyperlink>
      <w:r w:rsidRPr="00CD5563">
        <w:rPr>
          <w:lang w:val="en-GB" w:eastAsia="ko-KR"/>
        </w:rPr>
        <w:t>, and utility computing have led to growth of cloud computing.</w:t>
      </w:r>
    </w:p>
    <w:p w:rsidR="00A621F6" w:rsidRPr="00CD5563" w:rsidRDefault="00A621F6" w:rsidP="00A621F6">
      <w:pPr>
        <w:pStyle w:val="Figuretitle"/>
        <w:rPr>
          <w:lang w:val="en-GB" w:eastAsia="ko-KR"/>
        </w:rPr>
      </w:pPr>
      <w:bookmarkStart w:id="537" w:name="_Toc380497414"/>
      <w:r w:rsidRPr="00CD5563">
        <w:rPr>
          <w:lang w:val="en-GB" w:eastAsia="ko-KR"/>
        </w:rPr>
        <w:t>Figure 5-1: History of computing</w:t>
      </w:r>
      <w:bookmarkEnd w:id="537"/>
    </w:p>
    <w:p w:rsidR="0008639C" w:rsidRPr="00CD5563" w:rsidRDefault="0008639C" w:rsidP="00A621F6">
      <w:pPr>
        <w:pStyle w:val="Figure"/>
        <w:rPr>
          <w:lang w:val="en-GB" w:eastAsia="ko-KR"/>
        </w:rPr>
      </w:pPr>
      <w:r w:rsidRPr="00CD5563">
        <w:rPr>
          <w:noProof/>
          <w:lang w:val="ru-RU" w:eastAsia="zh-CN"/>
        </w:rPr>
        <w:drawing>
          <wp:inline distT="0" distB="0" distL="0" distR="0" wp14:anchorId="2A549DFB" wp14:editId="0B3D6547">
            <wp:extent cx="2676525" cy="1735292"/>
            <wp:effectExtent l="0" t="0" r="0" b="0"/>
            <wp:docPr id="7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91" cstate="print"/>
                    <a:srcRect/>
                    <a:stretch>
                      <a:fillRect/>
                    </a:stretch>
                  </pic:blipFill>
                  <pic:spPr bwMode="auto">
                    <a:xfrm>
                      <a:off x="0" y="0"/>
                      <a:ext cx="2672538" cy="1732707"/>
                    </a:xfrm>
                    <a:prstGeom prst="rect">
                      <a:avLst/>
                    </a:prstGeom>
                    <a:noFill/>
                    <a:ln w="9525">
                      <a:noFill/>
                      <a:miter lim="800000"/>
                      <a:headEnd/>
                      <a:tailEnd/>
                    </a:ln>
                  </pic:spPr>
                </pic:pic>
              </a:graphicData>
            </a:graphic>
          </wp:inline>
        </w:drawing>
      </w:r>
    </w:p>
    <w:p w:rsidR="00A621F6" w:rsidRPr="00CD5563" w:rsidRDefault="00A621F6" w:rsidP="00A621F6">
      <w:pPr>
        <w:pStyle w:val="Figure"/>
        <w:rPr>
          <w:lang w:val="en-GB" w:eastAsia="ko-KR"/>
        </w:rPr>
      </w:pPr>
    </w:p>
    <w:p w:rsidR="00A621F6" w:rsidRPr="00CD5563" w:rsidRDefault="00A621F6" w:rsidP="00AB21CF">
      <w:pPr>
        <w:rPr>
          <w:lang w:val="en-GB" w:eastAsia="ko-KR"/>
        </w:rPr>
      </w:pPr>
    </w:p>
    <w:p w:rsidR="0008639C" w:rsidRPr="00CD5563" w:rsidRDefault="0008639C" w:rsidP="00F76AA8">
      <w:pPr>
        <w:rPr>
          <w:lang w:val="en-GB" w:eastAsia="ko-KR"/>
        </w:rPr>
      </w:pPr>
      <w:r w:rsidRPr="00CD5563">
        <w:rPr>
          <w:lang w:val="en-GB" w:eastAsia="ko-KR"/>
        </w:rPr>
        <w:t>Cloud computing is defined as a model for enabling service users to have ubiquitous, convenient and on-demand network access to a shared pool of configurable resources (e.g., networks, servers, storage, applications, and services), that can be rapidly provisioned and released with minimal management effort or resource pooling provider interaction. Cloud computing enables cloud services which identified as a service that is delivered and consumed on demand at any time, through any access network, using any connected devices using cloud computing technologies. It is considered from a telecommunication perspective that users are not buying resources but cloud services that are enabled by cloud computing environments.</w:t>
      </w:r>
    </w:p>
    <w:p w:rsidR="0008639C" w:rsidRPr="00CD5563" w:rsidRDefault="0008639C" w:rsidP="00AB21CF">
      <w:pPr>
        <w:rPr>
          <w:lang w:val="en-GB" w:eastAsia="ko-KR"/>
        </w:rPr>
      </w:pPr>
      <w:r w:rsidRPr="00CD5563">
        <w:rPr>
          <w:lang w:val="en-GB" w:eastAsia="ko-KR"/>
        </w:rPr>
        <w:t>The cloud computing model promotes availability and is composed of six essential characteristics, five cloud service categories and four deployment models as followings:</w:t>
      </w:r>
    </w:p>
    <w:p w:rsidR="0008639C" w:rsidRPr="00CD5563" w:rsidRDefault="00A621F6" w:rsidP="00AB21CF">
      <w:pPr>
        <w:pStyle w:val="Enumlevel1"/>
      </w:pPr>
      <w:r w:rsidRPr="00CD5563">
        <w:rPr>
          <w:rFonts w:eastAsia="Malgun Gothic"/>
          <w:szCs w:val="19"/>
          <w:lang w:eastAsia="ko-KR"/>
        </w:rPr>
        <w:t>•</w:t>
      </w:r>
      <w:r w:rsidRPr="00CD5563">
        <w:rPr>
          <w:rFonts w:eastAsia="Malgun Gothic"/>
          <w:szCs w:val="19"/>
          <w:lang w:eastAsia="ko-KR"/>
        </w:rPr>
        <w:tab/>
      </w:r>
      <w:r w:rsidR="0008639C" w:rsidRPr="00CD5563">
        <w:rPr>
          <w:rFonts w:eastAsia="Malgun Gothic"/>
          <w:szCs w:val="19"/>
          <w:lang w:eastAsia="ko-KR"/>
        </w:rPr>
        <w:t>On-deman</w:t>
      </w:r>
      <w:r w:rsidR="0008639C" w:rsidRPr="00CD5563">
        <w:rPr>
          <w:rFonts w:cs="Times New Roman"/>
          <w:iCs/>
          <w:szCs w:val="19"/>
          <w:lang w:eastAsia="en-US"/>
        </w:rPr>
        <w:t>d self-service: A cloud service user can unilaterally provision computing capabilities, such as server time, network storage and communication and collaboration services, as needed automatically without requiring human interaction with each service’s cloud service provider.</w:t>
      </w:r>
    </w:p>
    <w:p w:rsidR="0008639C" w:rsidRPr="00CD5563" w:rsidRDefault="00A621F6" w:rsidP="00AB21CF">
      <w:pPr>
        <w:pStyle w:val="Enumlevel1"/>
      </w:pPr>
      <w:r w:rsidRPr="00CD5563">
        <w:rPr>
          <w:rFonts w:eastAsia="Malgun Gothic"/>
          <w:szCs w:val="19"/>
          <w:lang w:eastAsia="ko-KR"/>
        </w:rPr>
        <w:t>•</w:t>
      </w:r>
      <w:r w:rsidRPr="00CD5563">
        <w:rPr>
          <w:rFonts w:eastAsia="Malgun Gothic"/>
          <w:szCs w:val="19"/>
          <w:lang w:eastAsia="ko-KR"/>
        </w:rPr>
        <w:tab/>
      </w:r>
      <w:r w:rsidR="0008639C" w:rsidRPr="00CD5563">
        <w:t>Broad network access: Capabilities are available over the network and accessed through standard mechanisms that promote use by heterogeneous thin or thick client platforms (e.g., mobile phones, laptops, and PDAs).</w:t>
      </w:r>
    </w:p>
    <w:p w:rsidR="0008639C" w:rsidRPr="00CD5563" w:rsidRDefault="00A621F6" w:rsidP="00AB21CF">
      <w:pPr>
        <w:pStyle w:val="Enumlevel1"/>
      </w:pPr>
      <w:r w:rsidRPr="00CD5563">
        <w:rPr>
          <w:rFonts w:eastAsia="Malgun Gothic"/>
          <w:szCs w:val="19"/>
          <w:lang w:eastAsia="ko-KR"/>
        </w:rPr>
        <w:t>•</w:t>
      </w:r>
      <w:r w:rsidRPr="00CD5563">
        <w:rPr>
          <w:rFonts w:eastAsia="Malgun Gothic"/>
          <w:szCs w:val="19"/>
          <w:lang w:eastAsia="ko-KR"/>
        </w:rPr>
        <w:tab/>
      </w:r>
      <w:r w:rsidR="0008639C" w:rsidRPr="00CD5563">
        <w:t>Resource pooling: The cloud service provider’s computing resources are pooled to serve multiple users or organisations using a multi-tenant model, with different physical and virtual resources dynamically assigned and reassigned according to user demand. There is a sense of location independence in that the customer generally has no control or knowledge over the exact location of the provided resources but may be able to specify the location at a higher level of abstraction (e.g., country, state, data center). Examples of resources include storage (typically on hard or optical disc drives), processing, memory (typically on DRAM), network bandwidth, and virtual machines.</w:t>
      </w:r>
    </w:p>
    <w:p w:rsidR="0008639C" w:rsidRPr="00CD5563" w:rsidRDefault="00A621F6" w:rsidP="00A621F6">
      <w:pPr>
        <w:pStyle w:val="Enumlevel1"/>
        <w:keepNext/>
        <w:keepLines/>
      </w:pPr>
      <w:r w:rsidRPr="00CD5563">
        <w:rPr>
          <w:rFonts w:eastAsia="Malgun Gothic"/>
          <w:szCs w:val="19"/>
          <w:lang w:eastAsia="ko-KR"/>
        </w:rPr>
        <w:t>•</w:t>
      </w:r>
      <w:r w:rsidRPr="00CD5563">
        <w:rPr>
          <w:rFonts w:eastAsia="Malgun Gothic"/>
          <w:szCs w:val="19"/>
          <w:lang w:eastAsia="ko-KR"/>
        </w:rPr>
        <w:tab/>
      </w:r>
      <w:r w:rsidR="0008639C" w:rsidRPr="00CD5563">
        <w:t>Rapid elasticity: Capabilities can be rapidly and elastically provisioned, in some cases automatically, to quickly scale out, and rapidly released to quickly scale in. To the cloud service user, the capabilities available for provisioning often appear to be unlimited and can be purchased in any quantity at any time.</w:t>
      </w:r>
    </w:p>
    <w:p w:rsidR="0008639C" w:rsidRPr="00CD5563" w:rsidRDefault="00A621F6" w:rsidP="00AB21CF">
      <w:pPr>
        <w:pStyle w:val="Enumlevel1"/>
      </w:pPr>
      <w:r w:rsidRPr="00CD5563">
        <w:rPr>
          <w:rFonts w:eastAsia="Malgun Gothic"/>
          <w:szCs w:val="19"/>
          <w:lang w:eastAsia="ko-KR"/>
        </w:rPr>
        <w:t>•</w:t>
      </w:r>
      <w:r w:rsidRPr="00CD5563">
        <w:rPr>
          <w:rFonts w:eastAsia="Malgun Gothic"/>
          <w:szCs w:val="19"/>
          <w:lang w:eastAsia="ko-KR"/>
        </w:rPr>
        <w:tab/>
      </w:r>
      <w:r w:rsidR="0008639C" w:rsidRPr="00CD5563">
        <w:t>Measured Service: Cloud systems automatically control and optimize resource use (e.g., storage, processing and bandwidth) by leveraging a metering capability at some level of abstraction appropriate to the type of service (e.g., the number of active user accounts). Resource usage can be monitored, controlled, and reported. It provides transparency for both  cloud service provider and cloud service users.</w:t>
      </w:r>
    </w:p>
    <w:p w:rsidR="0008639C" w:rsidRPr="00CD5563" w:rsidRDefault="00A621F6" w:rsidP="00AB21CF">
      <w:pPr>
        <w:pStyle w:val="Enumlevel1"/>
        <w:rPr>
          <w:rFonts w:eastAsia="Malgun Gothic"/>
          <w:lang w:eastAsia="ko-KR"/>
        </w:rPr>
      </w:pPr>
      <w:r w:rsidRPr="00CD5563">
        <w:rPr>
          <w:rFonts w:eastAsia="Malgun Gothic"/>
          <w:szCs w:val="19"/>
          <w:lang w:eastAsia="ko-KR"/>
        </w:rPr>
        <w:t>•</w:t>
      </w:r>
      <w:r w:rsidRPr="00CD5563">
        <w:rPr>
          <w:rFonts w:eastAsia="Malgun Gothic"/>
          <w:szCs w:val="19"/>
          <w:lang w:eastAsia="ko-KR"/>
        </w:rPr>
        <w:tab/>
      </w:r>
      <w:r w:rsidR="0008639C" w:rsidRPr="00CD5563">
        <w:t>Multi-tenancy: A characteristic of cloud in which resources are shared amongst multiple cloud tenants. Tenant is intended here as any Cloud Service User (CSU) workload that has unique requirements and</w:t>
      </w:r>
      <w:r w:rsidR="0008639C" w:rsidRPr="00CD5563">
        <w:rPr>
          <w:rFonts w:eastAsia="Malgun Gothic"/>
          <w:lang w:eastAsia="ko-KR"/>
        </w:rPr>
        <w:t xml:space="preserve">/or a unique operating agreement with the Cloud Service Provider (CSP).  There is an expectation on the part of the cloud tenant that its use of the cloud is isolated from other tenants’ use in the same share resource pool; that tenants in the cloud are restricted from accessing or affecting another tenant’s assets; that the cloud tenant has the perception of exclusive use of, and access to, any provisioned resource. The means by which such isolation is achieved vary in accordance with the nature of the shared resource, and can affect security, privacy and performance. </w:t>
      </w:r>
    </w:p>
    <w:p w:rsidR="0008639C" w:rsidRPr="00CD5563" w:rsidRDefault="0008639C" w:rsidP="00D96F3B">
      <w:pPr>
        <w:pStyle w:val="Heading2"/>
        <w:rPr>
          <w:rFonts w:eastAsia="Malgun Gothic"/>
          <w:lang w:val="en-GB" w:eastAsia="ko-KR"/>
        </w:rPr>
      </w:pPr>
      <w:bookmarkStart w:id="538" w:name="_Toc380487744"/>
      <w:bookmarkStart w:id="539" w:name="_Toc381025063"/>
      <w:r w:rsidRPr="00CD5563">
        <w:rPr>
          <w:rFonts w:eastAsia="Malgun Gothic"/>
          <w:lang w:val="en-GB" w:eastAsia="ko-KR"/>
        </w:rPr>
        <w:t>5.2</w:t>
      </w:r>
      <w:r w:rsidRPr="00CD5563">
        <w:rPr>
          <w:rFonts w:eastAsia="Malgun Gothic"/>
          <w:lang w:val="en-GB" w:eastAsia="ko-KR"/>
        </w:rPr>
        <w:tab/>
        <w:t>Architecture model</w:t>
      </w:r>
      <w:bookmarkEnd w:id="538"/>
      <w:bookmarkEnd w:id="539"/>
    </w:p>
    <w:p w:rsidR="0008639C" w:rsidRPr="00CD5563" w:rsidRDefault="0008639C" w:rsidP="00F76AA8">
      <w:pPr>
        <w:rPr>
          <w:lang w:val="en-GB"/>
        </w:rPr>
      </w:pPr>
      <w:r w:rsidRPr="00CD5563">
        <w:rPr>
          <w:lang w:val="en-GB"/>
        </w:rPr>
        <w:t xml:space="preserve">Figure </w:t>
      </w:r>
      <w:r w:rsidRPr="00CD5563">
        <w:rPr>
          <w:rFonts w:eastAsiaTheme="minorEastAsia"/>
          <w:lang w:val="en-GB" w:eastAsia="ko-KR"/>
        </w:rPr>
        <w:t>5-</w:t>
      </w:r>
      <w:r w:rsidRPr="00CD5563">
        <w:rPr>
          <w:lang w:val="en-GB"/>
        </w:rPr>
        <w:t xml:space="preserve">1 shows </w:t>
      </w:r>
      <w:r w:rsidRPr="00CD5563">
        <w:rPr>
          <w:rFonts w:eastAsiaTheme="minorEastAsia"/>
          <w:lang w:val="en-GB" w:eastAsia="ko-KR"/>
        </w:rPr>
        <w:t xml:space="preserve">a </w:t>
      </w:r>
      <w:r w:rsidRPr="00CD5563">
        <w:rPr>
          <w:lang w:val="en-GB"/>
        </w:rPr>
        <w:t>functional architecture</w:t>
      </w:r>
      <w:r w:rsidRPr="00CD5563">
        <w:rPr>
          <w:rFonts w:eastAsiaTheme="minorEastAsia"/>
          <w:lang w:val="en-GB" w:eastAsia="ko-KR"/>
        </w:rPr>
        <w:t xml:space="preserve"> model of</w:t>
      </w:r>
      <w:r w:rsidRPr="00CD5563">
        <w:rPr>
          <w:lang w:val="en-GB"/>
        </w:rPr>
        <w:t xml:space="preserve"> cloud </w:t>
      </w:r>
      <w:r w:rsidRPr="00CD5563">
        <w:rPr>
          <w:rFonts w:eastAsiaTheme="minorEastAsia"/>
          <w:lang w:val="en-GB" w:eastAsia="ko-KR"/>
        </w:rPr>
        <w:t>computing</w:t>
      </w:r>
      <w:r w:rsidRPr="00CD5563">
        <w:rPr>
          <w:lang w:val="en-GB"/>
        </w:rPr>
        <w:t>. These functional layers in the architecture are derived by grouping cloud related functions.</w:t>
      </w:r>
    </w:p>
    <w:p w:rsidR="0008639C" w:rsidRPr="00CD5563" w:rsidRDefault="0008639C" w:rsidP="0008639C">
      <w:pPr>
        <w:spacing w:line="240" w:lineRule="atLeast"/>
        <w:outlineLvl w:val="0"/>
        <w:rPr>
          <w:rFonts w:eastAsia="Malgun Gothic"/>
          <w:szCs w:val="19"/>
          <w:lang w:val="en-GB" w:eastAsia="ko-KR"/>
        </w:rPr>
        <w:sectPr w:rsidR="0008639C" w:rsidRPr="00CD5563" w:rsidSect="00173FD5">
          <w:headerReference w:type="default" r:id="rId92"/>
          <w:footerReference w:type="even" r:id="rId93"/>
          <w:footerReference w:type="default" r:id="rId94"/>
          <w:headerReference w:type="first" r:id="rId95"/>
          <w:footerReference w:type="first" r:id="rId96"/>
          <w:type w:val="oddPage"/>
          <w:pgSz w:w="11909" w:h="16834" w:code="9"/>
          <w:pgMar w:top="1418" w:right="1418" w:bottom="1418" w:left="1418" w:header="720" w:footer="720" w:gutter="0"/>
          <w:pgNumType w:start="65"/>
          <w:cols w:space="720"/>
          <w:docGrid w:linePitch="286"/>
        </w:sectPr>
      </w:pPr>
    </w:p>
    <w:p w:rsidR="00764295" w:rsidRPr="00CD5563" w:rsidRDefault="00764295" w:rsidP="00764295">
      <w:pPr>
        <w:pStyle w:val="Figuretitle"/>
        <w:rPr>
          <w:lang w:val="en-GB" w:eastAsia="ko-KR"/>
        </w:rPr>
      </w:pPr>
      <w:bookmarkStart w:id="540" w:name="_Toc380497415"/>
      <w:r w:rsidRPr="00CD5563">
        <w:rPr>
          <w:lang w:val="en-GB" w:eastAsia="ko-KR"/>
        </w:rPr>
        <w:t>Figure 5-1: Functional Architecture Model of Cloud Computing</w:t>
      </w:r>
      <w:bookmarkEnd w:id="540"/>
    </w:p>
    <w:p w:rsidR="0008639C" w:rsidRPr="00CD5563" w:rsidRDefault="00764295" w:rsidP="00764295">
      <w:pPr>
        <w:pStyle w:val="Figure"/>
        <w:tabs>
          <w:tab w:val="left" w:pos="1701"/>
        </w:tabs>
        <w:rPr>
          <w:rFonts w:eastAsia="Malgun Gothic"/>
          <w:szCs w:val="19"/>
          <w:lang w:val="en-GB" w:eastAsia="ko-KR"/>
        </w:rPr>
      </w:pPr>
      <w:r w:rsidRPr="00CD5563">
        <w:rPr>
          <w:noProof/>
          <w:lang w:val="ru-RU" w:eastAsia="zh-CN"/>
        </w:rPr>
        <mc:AlternateContent>
          <mc:Choice Requires="wpg">
            <w:drawing>
              <wp:inline distT="0" distB="0" distL="0" distR="0" wp14:anchorId="4D630605" wp14:editId="6AEAD49E">
                <wp:extent cx="7736610" cy="3861833"/>
                <wp:effectExtent l="0" t="0" r="17145" b="100965"/>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36610" cy="3861833"/>
                          <a:chOff x="350492" y="1124744"/>
                          <a:chExt cx="9127013" cy="5184576"/>
                        </a:xfrm>
                      </wpg:grpSpPr>
                      <wpg:grpSp>
                        <wpg:cNvPr id="24" name="组合 43"/>
                        <wpg:cNvGrpSpPr/>
                        <wpg:grpSpPr>
                          <a:xfrm>
                            <a:off x="350492" y="1124744"/>
                            <a:ext cx="9127013" cy="5184576"/>
                            <a:chOff x="350492" y="1124744"/>
                            <a:chExt cx="7783413" cy="5354966"/>
                          </a:xfrm>
                        </wpg:grpSpPr>
                        <wps:wsp>
                          <wps:cNvPr id="25" name="Rectangle à coins arrondis 6"/>
                          <wps:cNvSpPr/>
                          <wps:spPr>
                            <a:xfrm>
                              <a:off x="350492" y="4897964"/>
                              <a:ext cx="6346628" cy="1581257"/>
                            </a:xfrm>
                            <a:prstGeom prst="roundRect">
                              <a:avLst/>
                            </a:prstGeom>
                            <a:solidFill>
                              <a:srgbClr val="29D1E3"/>
                            </a:solidFill>
                          </wps:spPr>
                          <wps:style>
                            <a:lnRef idx="2">
                              <a:schemeClr val="accent1">
                                <a:shade val="50000"/>
                              </a:schemeClr>
                            </a:lnRef>
                            <a:fillRef idx="1">
                              <a:schemeClr val="accent1"/>
                            </a:fillRef>
                            <a:effectRef idx="0">
                              <a:schemeClr val="accent1"/>
                            </a:effectRef>
                            <a:fontRef idx="minor">
                              <a:schemeClr val="lt1"/>
                            </a:fontRef>
                          </wps:style>
                          <wps:txbx>
                            <w:txbxContent>
                              <w:p w:rsidR="00602F11" w:rsidRDefault="00602F11" w:rsidP="00764295">
                                <w:pPr>
                                  <w:rPr>
                                    <w:rFonts w:eastAsia="Times New Roman"/>
                                  </w:rPr>
                                </w:pPr>
                              </w:p>
                            </w:txbxContent>
                          </wps:txbx>
                          <wps:bodyPr rtlCol="0" anchor="ctr"/>
                        </wps:wsp>
                        <wps:wsp>
                          <wps:cNvPr id="26" name="Rectangle à coins arrondis 7"/>
                          <wps:cNvSpPr/>
                          <wps:spPr>
                            <a:xfrm>
                              <a:off x="350492" y="3165994"/>
                              <a:ext cx="6346628" cy="1661276"/>
                            </a:xfrm>
                            <a:prstGeom prst="round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602F11" w:rsidRDefault="00602F11" w:rsidP="00764295">
                                <w:pPr>
                                  <w:rPr>
                                    <w:rFonts w:eastAsia="Times New Roman"/>
                                  </w:rPr>
                                </w:pPr>
                              </w:p>
                            </w:txbxContent>
                          </wps:txbx>
                          <wps:bodyPr rtlCol="0" anchor="ctr"/>
                        </wps:wsp>
                        <wps:wsp>
                          <wps:cNvPr id="27" name="Rectangle à coins arrondis 8"/>
                          <wps:cNvSpPr/>
                          <wps:spPr>
                            <a:xfrm>
                              <a:off x="350492" y="2195639"/>
                              <a:ext cx="6346628" cy="899662"/>
                            </a:xfrm>
                            <a:prstGeom prst="roundRect">
                              <a:avLst/>
                            </a:prstGeom>
                            <a:solidFill>
                              <a:srgbClr val="F8E1D8"/>
                            </a:solidFill>
                          </wps:spPr>
                          <wps:style>
                            <a:lnRef idx="2">
                              <a:schemeClr val="accent1">
                                <a:shade val="50000"/>
                              </a:schemeClr>
                            </a:lnRef>
                            <a:fillRef idx="1">
                              <a:schemeClr val="accent1"/>
                            </a:fillRef>
                            <a:effectRef idx="0">
                              <a:schemeClr val="accent1"/>
                            </a:effectRef>
                            <a:fontRef idx="minor">
                              <a:schemeClr val="lt1"/>
                            </a:fontRef>
                          </wps:style>
                          <wps:txbx>
                            <w:txbxContent>
                              <w:p w:rsidR="00602F11" w:rsidRDefault="00602F11" w:rsidP="00764295">
                                <w:pPr>
                                  <w:rPr>
                                    <w:rFonts w:eastAsia="Times New Roman"/>
                                  </w:rPr>
                                </w:pPr>
                              </w:p>
                            </w:txbxContent>
                          </wps:txbx>
                          <wps:bodyPr rtlCol="0" anchor="ctr"/>
                        </wps:wsp>
                        <wps:wsp>
                          <wps:cNvPr id="28" name="Rectangle à coins arrondis 9"/>
                          <wps:cNvSpPr/>
                          <wps:spPr>
                            <a:xfrm>
                              <a:off x="350492" y="1124744"/>
                              <a:ext cx="6346628" cy="1007902"/>
                            </a:xfrm>
                            <a:prstGeom prst="roundRect">
                              <a:avLst/>
                            </a:prstGeom>
                            <a:solidFill>
                              <a:srgbClr val="FFFFFF"/>
                            </a:solidFill>
                          </wps:spPr>
                          <wps:style>
                            <a:lnRef idx="2">
                              <a:schemeClr val="accent1">
                                <a:shade val="50000"/>
                              </a:schemeClr>
                            </a:lnRef>
                            <a:fillRef idx="1">
                              <a:schemeClr val="accent1"/>
                            </a:fillRef>
                            <a:effectRef idx="0">
                              <a:schemeClr val="accent1"/>
                            </a:effectRef>
                            <a:fontRef idx="minor">
                              <a:schemeClr val="lt1"/>
                            </a:fontRef>
                          </wps:style>
                          <wps:txbx>
                            <w:txbxContent>
                              <w:p w:rsidR="00602F11" w:rsidRDefault="00602F11" w:rsidP="00764295">
                                <w:pPr>
                                  <w:rPr>
                                    <w:rFonts w:eastAsia="Times New Roman"/>
                                  </w:rPr>
                                </w:pPr>
                              </w:p>
                            </w:txbxContent>
                          </wps:txbx>
                          <wps:bodyPr rtlCol="0" anchor="ctr"/>
                        </wps:wsp>
                        <wps:wsp>
                          <wps:cNvPr id="29" name="ZoneTexte 8"/>
                          <wps:cNvSpPr txBox="1"/>
                          <wps:spPr>
                            <a:xfrm>
                              <a:off x="483530" y="1435590"/>
                              <a:ext cx="980873" cy="484846"/>
                            </a:xfrm>
                            <a:prstGeom prst="rect">
                              <a:avLst/>
                            </a:prstGeom>
                            <a:noFill/>
                          </wps:spPr>
                          <wps:txbx>
                            <w:txbxContent>
                              <w:p w:rsidR="00602F11" w:rsidRPr="006C638F" w:rsidRDefault="00602F11" w:rsidP="00764295">
                                <w:pPr>
                                  <w:spacing w:before="0"/>
                                </w:pPr>
                                <w:r w:rsidRPr="006C638F">
                                  <w:rPr>
                                    <w:rFonts w:asciiTheme="minorHAnsi" w:cstheme="minorBidi"/>
                                    <w:b/>
                                    <w:bCs/>
                                    <w:color w:val="000000"/>
                                    <w:kern w:val="24"/>
                                  </w:rPr>
                                  <w:t xml:space="preserve">User Layer </w:t>
                                </w:r>
                              </w:p>
                            </w:txbxContent>
                          </wps:txbx>
                          <wps:bodyPr wrap="square" rtlCol="0">
                            <a:noAutofit/>
                          </wps:bodyPr>
                        </wps:wsp>
                        <wps:wsp>
                          <wps:cNvPr id="67" name="ZoneTexte 9"/>
                          <wps:cNvSpPr txBox="1"/>
                          <wps:spPr>
                            <a:xfrm>
                              <a:off x="483533" y="2307861"/>
                              <a:ext cx="1199713" cy="718961"/>
                            </a:xfrm>
                            <a:prstGeom prst="rect">
                              <a:avLst/>
                            </a:prstGeom>
                            <a:noFill/>
                          </wps:spPr>
                          <wps:txbx>
                            <w:txbxContent>
                              <w:p w:rsidR="00602F11" w:rsidRPr="006C638F" w:rsidRDefault="00602F11" w:rsidP="00764295">
                                <w:pPr>
                                  <w:spacing w:before="0"/>
                                </w:pPr>
                                <w:r w:rsidRPr="006C638F">
                                  <w:rPr>
                                    <w:rFonts w:asciiTheme="minorHAnsi" w:cstheme="minorBidi"/>
                                    <w:b/>
                                    <w:bCs/>
                                    <w:color w:val="000000"/>
                                    <w:kern w:val="24"/>
                                  </w:rPr>
                                  <w:t>Access</w:t>
                                </w:r>
                              </w:p>
                              <w:p w:rsidR="00602F11" w:rsidRPr="006C638F" w:rsidRDefault="00602F11" w:rsidP="00764295">
                                <w:pPr>
                                  <w:spacing w:before="0"/>
                                </w:pPr>
                                <w:r w:rsidRPr="006C638F">
                                  <w:rPr>
                                    <w:rFonts w:asciiTheme="minorHAnsi" w:cstheme="minorBidi"/>
                                    <w:b/>
                                    <w:bCs/>
                                    <w:color w:val="000000"/>
                                    <w:kern w:val="24"/>
                                  </w:rPr>
                                  <w:t>Layer</w:t>
                                </w:r>
                              </w:p>
                            </w:txbxContent>
                          </wps:txbx>
                          <wps:bodyPr wrap="square" rtlCol="0">
                            <a:noAutofit/>
                          </wps:bodyPr>
                        </wps:wsp>
                        <wps:wsp>
                          <wps:cNvPr id="71" name="ZoneTexte 12"/>
                          <wps:cNvSpPr txBox="1"/>
                          <wps:spPr>
                            <a:xfrm>
                              <a:off x="449305" y="5276625"/>
                              <a:ext cx="1143748" cy="885689"/>
                            </a:xfrm>
                            <a:prstGeom prst="rect">
                              <a:avLst/>
                            </a:prstGeom>
                            <a:noFill/>
                          </wps:spPr>
                          <wps:txbx>
                            <w:txbxContent>
                              <w:p w:rsidR="00602F11" w:rsidRPr="006C638F" w:rsidRDefault="00602F11" w:rsidP="00764295">
                                <w:pPr>
                                  <w:spacing w:before="0"/>
                                </w:pPr>
                                <w:r w:rsidRPr="006C638F">
                                  <w:rPr>
                                    <w:rFonts w:asciiTheme="minorHAnsi" w:cstheme="minorBidi"/>
                                    <w:b/>
                                    <w:bCs/>
                                    <w:color w:val="000000"/>
                                    <w:kern w:val="24"/>
                                  </w:rPr>
                                  <w:t>Resources &amp; Network</w:t>
                                </w:r>
                              </w:p>
                              <w:p w:rsidR="00602F11" w:rsidRPr="006C638F" w:rsidRDefault="00602F11" w:rsidP="00764295">
                                <w:pPr>
                                  <w:spacing w:before="0"/>
                                </w:pPr>
                                <w:r w:rsidRPr="006C638F">
                                  <w:rPr>
                                    <w:rFonts w:asciiTheme="minorHAnsi" w:cstheme="minorBidi"/>
                                    <w:b/>
                                    <w:bCs/>
                                    <w:color w:val="000000"/>
                                    <w:kern w:val="24"/>
                                  </w:rPr>
                                  <w:t>Layer</w:t>
                                </w:r>
                              </w:p>
                            </w:txbxContent>
                          </wps:txbx>
                          <wps:bodyPr wrap="square" rtlCol="0">
                            <a:noAutofit/>
                          </wps:bodyPr>
                        </wps:wsp>
                        <wps:wsp>
                          <wps:cNvPr id="73" name="Rectangle à coins arrondis 13"/>
                          <wps:cNvSpPr/>
                          <wps:spPr>
                            <a:xfrm>
                              <a:off x="6796285" y="1124744"/>
                              <a:ext cx="1337620" cy="5354966"/>
                            </a:xfrm>
                            <a:prstGeom prst="roundRect">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rsidR="00602F11" w:rsidRDefault="00602F11" w:rsidP="00764295">
                                <w:pPr>
                                  <w:rPr>
                                    <w:rFonts w:eastAsia="Times New Roman"/>
                                  </w:rPr>
                                </w:pPr>
                              </w:p>
                            </w:txbxContent>
                          </wps:txbx>
                          <wps:bodyPr rtlCol="0" anchor="ctr"/>
                        </wps:wsp>
                        <wps:wsp>
                          <wps:cNvPr id="74" name="ZoneTexte 23"/>
                          <wps:cNvSpPr txBox="1"/>
                          <wps:spPr>
                            <a:xfrm>
                              <a:off x="6867564" y="1437669"/>
                              <a:ext cx="1145919" cy="868886"/>
                            </a:xfrm>
                            <a:prstGeom prst="rect">
                              <a:avLst/>
                            </a:prstGeom>
                            <a:noFill/>
                          </wps:spPr>
                          <wps:txbx>
                            <w:txbxContent>
                              <w:p w:rsidR="00602F11" w:rsidRDefault="00602F11" w:rsidP="00764295">
                                <w:pPr>
                                  <w:spacing w:before="0"/>
                                </w:pPr>
                                <w:r>
                                  <w:rPr>
                                    <w:rFonts w:asciiTheme="minorHAnsi" w:cstheme="minorBidi"/>
                                    <w:b/>
                                    <w:bCs/>
                                    <w:color w:val="000000"/>
                                    <w:kern w:val="24"/>
                                    <w:sz w:val="28"/>
                                    <w:szCs w:val="28"/>
                                  </w:rPr>
                                  <w:t>Cross-Layer</w:t>
                                </w:r>
                              </w:p>
                              <w:p w:rsidR="00602F11" w:rsidRDefault="00602F11" w:rsidP="00764295">
                                <w:pPr>
                                  <w:spacing w:before="0"/>
                                </w:pPr>
                                <w:r>
                                  <w:rPr>
                                    <w:rFonts w:asciiTheme="minorHAnsi" w:cstheme="minorBidi"/>
                                    <w:b/>
                                    <w:bCs/>
                                    <w:color w:val="000000"/>
                                    <w:kern w:val="24"/>
                                    <w:sz w:val="28"/>
                                    <w:szCs w:val="28"/>
                                  </w:rPr>
                                  <w:t>Functions</w:t>
                                </w:r>
                              </w:p>
                            </w:txbxContent>
                          </wps:txbx>
                          <wps:bodyPr wrap="square" rtlCol="0">
                            <a:noAutofit/>
                          </wps:bodyPr>
                        </wps:wsp>
                        <wps:wsp>
                          <wps:cNvPr id="75" name="ZoneTexte 30"/>
                          <wps:cNvSpPr txBox="1"/>
                          <wps:spPr>
                            <a:xfrm>
                              <a:off x="483526" y="3660506"/>
                              <a:ext cx="1199713" cy="727307"/>
                            </a:xfrm>
                            <a:prstGeom prst="rect">
                              <a:avLst/>
                            </a:prstGeom>
                            <a:noFill/>
                          </wps:spPr>
                          <wps:txbx>
                            <w:txbxContent>
                              <w:p w:rsidR="00602F11" w:rsidRPr="006C638F" w:rsidRDefault="00602F11" w:rsidP="00764295">
                                <w:pPr>
                                  <w:spacing w:before="0"/>
                                </w:pPr>
                                <w:r w:rsidRPr="006C638F">
                                  <w:rPr>
                                    <w:rFonts w:asciiTheme="minorHAnsi" w:cstheme="minorBidi"/>
                                    <w:b/>
                                    <w:bCs/>
                                    <w:color w:val="000000"/>
                                    <w:kern w:val="24"/>
                                  </w:rPr>
                                  <w:t>Services</w:t>
                                </w:r>
                              </w:p>
                              <w:p w:rsidR="00602F11" w:rsidRPr="006C638F" w:rsidRDefault="00602F11" w:rsidP="00764295">
                                <w:pPr>
                                  <w:spacing w:before="0"/>
                                  <w:rPr>
                                    <w:sz w:val="20"/>
                                    <w:szCs w:val="20"/>
                                  </w:rPr>
                                </w:pPr>
                                <w:r w:rsidRPr="006C638F">
                                  <w:rPr>
                                    <w:rFonts w:asciiTheme="minorHAnsi" w:cstheme="minorBidi"/>
                                    <w:b/>
                                    <w:bCs/>
                                    <w:color w:val="000000"/>
                                    <w:kern w:val="24"/>
                                  </w:rPr>
                                  <w:t>Layer</w:t>
                                </w:r>
                              </w:p>
                            </w:txbxContent>
                          </wps:txbx>
                          <wps:bodyPr wrap="square" rtlCol="0">
                            <a:noAutofit/>
                          </wps:bodyPr>
                        </wps:wsp>
                        <wps:wsp>
                          <wps:cNvPr id="92" name="Rectangle à coins arrondis 16"/>
                          <wps:cNvSpPr/>
                          <wps:spPr>
                            <a:xfrm>
                              <a:off x="1593056" y="1375706"/>
                              <a:ext cx="1337956" cy="548905"/>
                            </a:xfrm>
                            <a:prstGeom prst="round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2F11" w:rsidRPr="006C638F" w:rsidRDefault="00602F11" w:rsidP="00764295">
                                <w:pPr>
                                  <w:spacing w:before="0"/>
                                  <w:jc w:val="center"/>
                                  <w:rPr>
                                    <w:sz w:val="20"/>
                                    <w:szCs w:val="20"/>
                                  </w:rPr>
                                </w:pPr>
                                <w:r w:rsidRPr="006C638F">
                                  <w:rPr>
                                    <w:rFonts w:asciiTheme="minorHAnsi" w:cstheme="minorBidi"/>
                                    <w:color w:val="000000"/>
                                    <w:kern w:val="24"/>
                                    <w:sz w:val="20"/>
                                    <w:szCs w:val="20"/>
                                  </w:rPr>
                                  <w:t>User Function</w:t>
                                </w:r>
                              </w:p>
                            </w:txbxContent>
                          </wps:txbx>
                          <wps:bodyPr rtlCol="0" anchor="ctr"/>
                        </wps:wsp>
                        <wps:wsp>
                          <wps:cNvPr id="449" name="Rectangle à coins arrondis 17"/>
                          <wps:cNvSpPr/>
                          <wps:spPr>
                            <a:xfrm>
                              <a:off x="3136969" y="1375706"/>
                              <a:ext cx="1337956" cy="548905"/>
                            </a:xfrm>
                            <a:prstGeom prst="round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2F11" w:rsidRPr="006C638F" w:rsidRDefault="00602F11" w:rsidP="00764295">
                                <w:pPr>
                                  <w:spacing w:before="0"/>
                                  <w:jc w:val="center"/>
                                  <w:rPr>
                                    <w:sz w:val="20"/>
                                    <w:szCs w:val="20"/>
                                  </w:rPr>
                                </w:pPr>
                                <w:r w:rsidRPr="006C638F">
                                  <w:rPr>
                                    <w:rFonts w:asciiTheme="minorHAnsi" w:cstheme="minorBidi"/>
                                    <w:color w:val="000000"/>
                                    <w:kern w:val="24"/>
                                    <w:sz w:val="20"/>
                                    <w:szCs w:val="20"/>
                                  </w:rPr>
                                  <w:t>Partner</w:t>
                                </w:r>
                                <w:r>
                                  <w:rPr>
                                    <w:rFonts w:asciiTheme="minorHAnsi" w:cstheme="minorBidi"/>
                                    <w:color w:val="000000"/>
                                    <w:kern w:val="24"/>
                                    <w:sz w:val="28"/>
                                    <w:szCs w:val="28"/>
                                  </w:rPr>
                                  <w:t xml:space="preserve"> </w:t>
                                </w:r>
                                <w:r w:rsidRPr="006C638F">
                                  <w:rPr>
                                    <w:rFonts w:asciiTheme="minorHAnsi" w:cstheme="minorBidi"/>
                                    <w:color w:val="000000"/>
                                    <w:kern w:val="24"/>
                                    <w:sz w:val="20"/>
                                    <w:szCs w:val="20"/>
                                  </w:rPr>
                                  <w:t>Function</w:t>
                                </w:r>
                              </w:p>
                            </w:txbxContent>
                          </wps:txbx>
                          <wps:bodyPr rtlCol="0" anchor="ctr"/>
                        </wps:wsp>
                        <wps:wsp>
                          <wps:cNvPr id="457" name="Rectangle à coins arrondis 18"/>
                          <wps:cNvSpPr/>
                          <wps:spPr>
                            <a:xfrm>
                              <a:off x="4618910" y="1375680"/>
                              <a:ext cx="1337956" cy="548905"/>
                            </a:xfrm>
                            <a:prstGeom prst="round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2F11" w:rsidRPr="007A238D" w:rsidRDefault="00602F11" w:rsidP="00764295">
                                <w:pPr>
                                  <w:spacing w:before="0"/>
                                  <w:jc w:val="center"/>
                                  <w:rPr>
                                    <w:sz w:val="18"/>
                                    <w:szCs w:val="18"/>
                                  </w:rPr>
                                </w:pPr>
                                <w:r w:rsidRPr="007A238D">
                                  <w:rPr>
                                    <w:rFonts w:asciiTheme="minorHAnsi" w:cstheme="minorBidi"/>
                                    <w:color w:val="000000"/>
                                    <w:kern w:val="24"/>
                                    <w:sz w:val="18"/>
                                    <w:szCs w:val="18"/>
                                  </w:rPr>
                                  <w:t>Administrator Function</w:t>
                                </w:r>
                              </w:p>
                            </w:txbxContent>
                          </wps:txbx>
                          <wps:bodyPr rtlCol="0" anchor="ctr"/>
                        </wps:wsp>
                        <wps:wsp>
                          <wps:cNvPr id="458" name="Rectangle à coins arrondis 19"/>
                          <wps:cNvSpPr/>
                          <wps:spPr>
                            <a:xfrm>
                              <a:off x="3944195" y="2306678"/>
                              <a:ext cx="1313564" cy="680696"/>
                            </a:xfrm>
                            <a:prstGeom prst="round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2F11" w:rsidRPr="006C638F" w:rsidRDefault="00602F11" w:rsidP="00764295">
                                <w:pPr>
                                  <w:spacing w:before="0"/>
                                  <w:jc w:val="center"/>
                                  <w:rPr>
                                    <w:sz w:val="20"/>
                                    <w:szCs w:val="20"/>
                                  </w:rPr>
                                </w:pPr>
                                <w:r w:rsidRPr="006C638F">
                                  <w:rPr>
                                    <w:rFonts w:asciiTheme="minorHAnsi" w:cstheme="minorBidi"/>
                                    <w:color w:val="000000"/>
                                    <w:kern w:val="24"/>
                                    <w:sz w:val="20"/>
                                    <w:szCs w:val="20"/>
                                  </w:rPr>
                                  <w:t>Inter Cloud Function</w:t>
                                </w:r>
                              </w:p>
                            </w:txbxContent>
                          </wps:txbx>
                          <wps:bodyPr rtlCol="0" anchor="ctr"/>
                        </wps:wsp>
                        <wps:wsp>
                          <wps:cNvPr id="459" name="Rectangle à coins arrondis 20"/>
                          <wps:cNvSpPr/>
                          <wps:spPr>
                            <a:xfrm>
                              <a:off x="2462056" y="2306678"/>
                              <a:ext cx="1313564" cy="680696"/>
                            </a:xfrm>
                            <a:prstGeom prst="round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2F11" w:rsidRPr="006C638F" w:rsidRDefault="00602F11" w:rsidP="00764295">
                                <w:pPr>
                                  <w:spacing w:before="0"/>
                                  <w:jc w:val="center"/>
                                  <w:rPr>
                                    <w:sz w:val="20"/>
                                    <w:szCs w:val="20"/>
                                  </w:rPr>
                                </w:pPr>
                                <w:r w:rsidRPr="006C638F">
                                  <w:rPr>
                                    <w:rFonts w:asciiTheme="minorHAnsi" w:cstheme="minorBidi"/>
                                    <w:color w:val="000000"/>
                                    <w:kern w:val="24"/>
                                    <w:sz w:val="20"/>
                                    <w:szCs w:val="20"/>
                                  </w:rPr>
                                  <w:t>Endpoint Function</w:t>
                                </w:r>
                              </w:p>
                            </w:txbxContent>
                          </wps:txbx>
                          <wps:bodyPr rtlCol="0" anchor="ctr"/>
                        </wps:wsp>
                        <wpg:grpSp>
                          <wpg:cNvPr id="460" name="Group 460"/>
                          <wpg:cNvGrpSpPr>
                            <a:grpSpLocks/>
                          </wpg:cNvGrpSpPr>
                          <wpg:grpSpPr bwMode="auto">
                            <a:xfrm>
                              <a:off x="1608291" y="3471286"/>
                              <a:ext cx="2386828" cy="1355603"/>
                              <a:chOff x="1608291" y="3506391"/>
                              <a:chExt cx="3650913" cy="2160754"/>
                            </a:xfrm>
                          </wpg:grpSpPr>
                          <wps:wsp>
                            <wps:cNvPr id="461" name="L-Shape 461"/>
                            <wps:cNvSpPr/>
                            <wps:spPr bwMode="auto">
                              <a:xfrm rot="10800000">
                                <a:off x="3410914" y="3506776"/>
                                <a:ext cx="1837512" cy="1962152"/>
                              </a:xfrm>
                              <a:prstGeom prst="corner">
                                <a:avLst>
                                  <a:gd name="adj1" fmla="val 21401"/>
                                  <a:gd name="adj2" fmla="val 19202"/>
                                </a:avLst>
                              </a:prstGeom>
                              <a:solidFill>
                                <a:srgbClr val="CCFF66"/>
                              </a:solidFill>
                            </wps:spPr>
                            <wps:style>
                              <a:lnRef idx="1">
                                <a:schemeClr val="accent1"/>
                              </a:lnRef>
                              <a:fillRef idx="3">
                                <a:schemeClr val="accent1"/>
                              </a:fillRef>
                              <a:effectRef idx="2">
                                <a:schemeClr val="accent1"/>
                              </a:effectRef>
                              <a:fontRef idx="minor">
                                <a:schemeClr val="lt1"/>
                              </a:fontRef>
                            </wps:style>
                            <wps:txbx>
                              <w:txbxContent>
                                <w:p w:rsidR="00602F11" w:rsidRDefault="00602F11" w:rsidP="00764295">
                                  <w:pPr>
                                    <w:rPr>
                                      <w:rFonts w:eastAsia="Times New Roman"/>
                                    </w:rPr>
                                  </w:pPr>
                                </w:p>
                              </w:txbxContent>
                            </wps:txbx>
                            <wps:bodyPr anchor="ctr"/>
                          </wps:wsp>
                          <wps:wsp>
                            <wps:cNvPr id="462" name="L-Shape 462"/>
                            <wps:cNvSpPr/>
                            <wps:spPr bwMode="auto">
                              <a:xfrm rot="10800000">
                                <a:off x="2252584" y="4558329"/>
                                <a:ext cx="1849141" cy="910599"/>
                              </a:xfrm>
                              <a:prstGeom prst="corner">
                                <a:avLst>
                                  <a:gd name="adj1" fmla="val 36427"/>
                                  <a:gd name="adj2" fmla="val 33929"/>
                                </a:avLst>
                              </a:prstGeom>
                              <a:solidFill>
                                <a:srgbClr val="FFFFCC"/>
                              </a:solidFill>
                            </wps:spPr>
                            <wps:style>
                              <a:lnRef idx="1">
                                <a:schemeClr val="accent1"/>
                              </a:lnRef>
                              <a:fillRef idx="3">
                                <a:schemeClr val="accent1"/>
                              </a:fillRef>
                              <a:effectRef idx="2">
                                <a:schemeClr val="accent1"/>
                              </a:effectRef>
                              <a:fontRef idx="minor">
                                <a:schemeClr val="lt1"/>
                              </a:fontRef>
                            </wps:style>
                            <wps:txbx>
                              <w:txbxContent>
                                <w:p w:rsidR="00602F11" w:rsidRDefault="00602F11" w:rsidP="00764295">
                                  <w:pPr>
                                    <w:rPr>
                                      <w:rFonts w:eastAsia="Times New Roman"/>
                                    </w:rPr>
                                  </w:pPr>
                                </w:p>
                              </w:txbxContent>
                            </wps:txbx>
                            <wps:bodyPr anchor="ctr"/>
                          </wps:wsp>
                          <wps:wsp>
                            <wps:cNvPr id="463" name="L-Shape 463"/>
                            <wps:cNvSpPr/>
                            <wps:spPr bwMode="auto">
                              <a:xfrm rot="10800000">
                                <a:off x="2855008" y="4028077"/>
                                <a:ext cx="1851468" cy="1440851"/>
                              </a:xfrm>
                              <a:prstGeom prst="corner">
                                <a:avLst>
                                  <a:gd name="adj1" fmla="val 28222"/>
                                  <a:gd name="adj2" fmla="val 27445"/>
                                </a:avLst>
                              </a:prstGeom>
                              <a:solidFill>
                                <a:srgbClr val="CCCCFF"/>
                              </a:solidFill>
                            </wps:spPr>
                            <wps:style>
                              <a:lnRef idx="1">
                                <a:schemeClr val="accent1"/>
                              </a:lnRef>
                              <a:fillRef idx="3">
                                <a:schemeClr val="accent1"/>
                              </a:fillRef>
                              <a:effectRef idx="2">
                                <a:schemeClr val="accent1"/>
                              </a:effectRef>
                              <a:fontRef idx="minor">
                                <a:schemeClr val="lt1"/>
                              </a:fontRef>
                            </wps:style>
                            <wps:txbx>
                              <w:txbxContent>
                                <w:p w:rsidR="00602F11" w:rsidRDefault="00602F11" w:rsidP="00764295">
                                  <w:pPr>
                                    <w:rPr>
                                      <w:rFonts w:eastAsia="Times New Roman"/>
                                    </w:rPr>
                                  </w:pPr>
                                </w:p>
                              </w:txbxContent>
                            </wps:txbx>
                            <wps:bodyPr anchor="ctr"/>
                          </wps:wsp>
                          <wps:wsp>
                            <wps:cNvPr id="464" name="Rectangle 464"/>
                            <wps:cNvSpPr/>
                            <wps:spPr bwMode="auto">
                              <a:xfrm>
                                <a:off x="1608291" y="5034883"/>
                                <a:ext cx="1939854" cy="434045"/>
                              </a:xfrm>
                              <a:prstGeom prst="rect">
                                <a:avLst/>
                              </a:prstGeom>
                              <a:solidFill>
                                <a:srgbClr val="FF99FF"/>
                              </a:solidFill>
                            </wps:spPr>
                            <wps:style>
                              <a:lnRef idx="1">
                                <a:schemeClr val="accent1"/>
                              </a:lnRef>
                              <a:fillRef idx="3">
                                <a:schemeClr val="accent1"/>
                              </a:fillRef>
                              <a:effectRef idx="2">
                                <a:schemeClr val="accent1"/>
                              </a:effectRef>
                              <a:fontRef idx="minor">
                                <a:schemeClr val="lt1"/>
                              </a:fontRef>
                            </wps:style>
                            <wps:txbx>
                              <w:txbxContent>
                                <w:p w:rsidR="00602F11" w:rsidRPr="006C638F" w:rsidRDefault="00602F11" w:rsidP="00764295">
                                  <w:pPr>
                                    <w:rPr>
                                      <w:rFonts w:eastAsia="Times New Roman"/>
                                      <w:sz w:val="20"/>
                                      <w:szCs w:val="20"/>
                                    </w:rPr>
                                  </w:pPr>
                                </w:p>
                              </w:txbxContent>
                            </wps:txbx>
                            <wps:bodyPr anchor="ctr"/>
                          </wps:wsp>
                          <wps:wsp>
                            <wps:cNvPr id="465" name="TextBox 16"/>
                            <wps:cNvSpPr txBox="1"/>
                            <wps:spPr bwMode="auto">
                              <a:xfrm>
                                <a:off x="3405433" y="3506391"/>
                                <a:ext cx="1853771" cy="473505"/>
                              </a:xfrm>
                              <a:prstGeom prst="rect">
                                <a:avLst/>
                              </a:prstGeom>
                              <a:noFill/>
                            </wps:spPr>
                            <wps:txbx>
                              <w:txbxContent>
                                <w:p w:rsidR="00602F11" w:rsidRPr="003435AB" w:rsidRDefault="00602F11" w:rsidP="00764295">
                                  <w:pPr>
                                    <w:spacing w:before="0"/>
                                    <w:rPr>
                                      <w:sz w:val="18"/>
                                      <w:szCs w:val="18"/>
                                    </w:rPr>
                                  </w:pPr>
                                  <w:r w:rsidRPr="003435AB">
                                    <w:rPr>
                                      <w:rFonts w:ascii="Arial" w:hAnsi="Arial" w:cstheme="minorBidi"/>
                                      <w:color w:val="4A442A" w:themeColor="background2" w:themeShade="40"/>
                                      <w:kern w:val="24"/>
                                      <w:sz w:val="18"/>
                                      <w:szCs w:val="18"/>
                                    </w:rPr>
                                    <w:t>SaaS / CaaS</w:t>
                                  </w:r>
                                </w:p>
                              </w:txbxContent>
                            </wps:txbx>
                            <wps:bodyPr wrap="square">
                              <a:noAutofit/>
                            </wps:bodyPr>
                          </wps:wsp>
                          <wps:wsp>
                            <wps:cNvPr id="466" name="TextBox 50"/>
                            <wps:cNvSpPr txBox="1"/>
                            <wps:spPr bwMode="auto">
                              <a:xfrm>
                                <a:off x="2901302" y="3980775"/>
                                <a:ext cx="725604" cy="485818"/>
                              </a:xfrm>
                              <a:prstGeom prst="rect">
                                <a:avLst/>
                              </a:prstGeom>
                              <a:noFill/>
                            </wps:spPr>
                            <wps:txbx>
                              <w:txbxContent>
                                <w:p w:rsidR="00602F11" w:rsidRDefault="00602F11" w:rsidP="00764295">
                                  <w:pPr>
                                    <w:spacing w:before="0"/>
                                  </w:pPr>
                                  <w:r w:rsidRPr="003435AB">
                                    <w:rPr>
                                      <w:rFonts w:ascii="Arial" w:hAnsi="Arial" w:cstheme="minorBidi"/>
                                      <w:color w:val="4A442A" w:themeColor="background2" w:themeShade="40"/>
                                      <w:kern w:val="24"/>
                                      <w:sz w:val="18"/>
                                      <w:szCs w:val="18"/>
                                    </w:rPr>
                                    <w:t>Paa</w:t>
                                  </w:r>
                                  <w:r>
                                    <w:rPr>
                                      <w:rFonts w:ascii="Arial" w:hAnsi="Arial" w:cstheme="minorBidi"/>
                                      <w:color w:val="4A442A" w:themeColor="background2" w:themeShade="40"/>
                                      <w:kern w:val="24"/>
                                    </w:rPr>
                                    <w:t>S</w:t>
                                  </w:r>
                                </w:p>
                              </w:txbxContent>
                            </wps:txbx>
                            <wps:bodyPr wrap="square">
                              <a:noAutofit/>
                            </wps:bodyPr>
                          </wps:wsp>
                          <wps:wsp>
                            <wps:cNvPr id="467" name="TextBox 51"/>
                            <wps:cNvSpPr txBox="1"/>
                            <wps:spPr bwMode="auto">
                              <a:xfrm>
                                <a:off x="2266359" y="4523874"/>
                                <a:ext cx="647742" cy="439076"/>
                              </a:xfrm>
                              <a:prstGeom prst="rect">
                                <a:avLst/>
                              </a:prstGeom>
                              <a:noFill/>
                            </wps:spPr>
                            <wps:txbx>
                              <w:txbxContent>
                                <w:p w:rsidR="00602F11" w:rsidRDefault="00602F11" w:rsidP="00764295">
                                  <w:pPr>
                                    <w:spacing w:before="0"/>
                                  </w:pPr>
                                  <w:r w:rsidRPr="003435AB">
                                    <w:rPr>
                                      <w:rFonts w:ascii="Arial" w:hAnsi="Arial" w:cstheme="minorBidi"/>
                                      <w:color w:val="4A442A" w:themeColor="background2" w:themeShade="40"/>
                                      <w:kern w:val="24"/>
                                      <w:sz w:val="18"/>
                                      <w:szCs w:val="18"/>
                                    </w:rPr>
                                    <w:t>Iaa</w:t>
                                  </w:r>
                                  <w:r>
                                    <w:rPr>
                                      <w:rFonts w:ascii="Arial" w:hAnsi="Arial" w:cstheme="minorBidi"/>
                                      <w:color w:val="4A442A" w:themeColor="background2" w:themeShade="40"/>
                                      <w:kern w:val="24"/>
                                    </w:rPr>
                                    <w:t>S</w:t>
                                  </w:r>
                                </w:p>
                              </w:txbxContent>
                            </wps:txbx>
                            <wps:bodyPr wrap="square">
                              <a:noAutofit/>
                            </wps:bodyPr>
                          </wps:wsp>
                          <wps:wsp>
                            <wps:cNvPr id="468" name="TextBox 52"/>
                            <wps:cNvSpPr txBox="1"/>
                            <wps:spPr bwMode="auto">
                              <a:xfrm>
                                <a:off x="1866321" y="5033894"/>
                                <a:ext cx="736372" cy="633251"/>
                              </a:xfrm>
                              <a:prstGeom prst="rect">
                                <a:avLst/>
                              </a:prstGeom>
                              <a:noFill/>
                            </wps:spPr>
                            <wps:txbx>
                              <w:txbxContent>
                                <w:p w:rsidR="00602F11" w:rsidRPr="006C638F" w:rsidRDefault="00602F11" w:rsidP="00764295">
                                  <w:pPr>
                                    <w:spacing w:before="0"/>
                                    <w:rPr>
                                      <w:sz w:val="18"/>
                                      <w:szCs w:val="18"/>
                                    </w:rPr>
                                  </w:pPr>
                                  <w:r w:rsidRPr="006C638F">
                                    <w:rPr>
                                      <w:rFonts w:ascii="Arial" w:hAnsi="Arial" w:cstheme="minorBidi"/>
                                      <w:color w:val="4A442A" w:themeColor="background2" w:themeShade="40"/>
                                      <w:kern w:val="24"/>
                                      <w:sz w:val="18"/>
                                      <w:szCs w:val="18"/>
                                    </w:rPr>
                                    <w:t>NaaS</w:t>
                                  </w:r>
                                </w:p>
                              </w:txbxContent>
                            </wps:txbx>
                            <wps:bodyPr wrap="square">
                              <a:noAutofit/>
                            </wps:bodyPr>
                          </wps:wsp>
                        </wpg:grpSp>
                        <wps:wsp>
                          <wps:cNvPr id="469" name="Rectangle à coins arrondis 22"/>
                          <wps:cNvSpPr/>
                          <wps:spPr>
                            <a:xfrm>
                              <a:off x="4599808" y="3844228"/>
                              <a:ext cx="1794199" cy="720080"/>
                            </a:xfrm>
                            <a:prstGeom prst="round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2F11" w:rsidRPr="006C638F" w:rsidRDefault="00602F11" w:rsidP="00764295">
                                <w:pPr>
                                  <w:spacing w:before="0"/>
                                  <w:jc w:val="center"/>
                                </w:pPr>
                                <w:r w:rsidRPr="006C638F">
                                  <w:rPr>
                                    <w:rFonts w:asciiTheme="minorHAnsi" w:cstheme="minorBidi"/>
                                    <w:color w:val="000000"/>
                                    <w:kern w:val="24"/>
                                  </w:rPr>
                                  <w:t>Service Orchestration</w:t>
                                </w:r>
                              </w:p>
                            </w:txbxContent>
                          </wps:txbx>
                          <wps:bodyPr rtlCol="0" anchor="ctr"/>
                        </wps:wsp>
                        <wps:wsp>
                          <wps:cNvPr id="470" name="Text Box 11"/>
                          <wps:cNvSpPr>
                            <a:spLocks noChangeArrowheads="1"/>
                          </wps:cNvSpPr>
                          <wps:spPr bwMode="auto">
                            <a:xfrm>
                              <a:off x="1581571" y="5858976"/>
                              <a:ext cx="4991088" cy="620182"/>
                            </a:xfrm>
                            <a:prstGeom prst="roundRect">
                              <a:avLst>
                                <a:gd name="adj" fmla="val 16667"/>
                              </a:avLst>
                            </a:prstGeom>
                            <a:solidFill>
                              <a:srgbClr val="A6A6A6"/>
                            </a:solidFill>
                            <a:ln w="9525">
                              <a:solidFill>
                                <a:schemeClr val="tx1"/>
                              </a:solidFill>
                              <a:round/>
                              <a:headEnd/>
                              <a:tailEnd/>
                            </a:ln>
                            <a:effectLst>
                              <a:prstShdw prst="shdw17" dist="17961" dir="2700000">
                                <a:srgbClr val="646464"/>
                              </a:prstShdw>
                            </a:effectLst>
                          </wps:spPr>
                          <wps:txbx>
                            <w:txbxContent>
                              <w:p w:rsidR="00602F11" w:rsidRPr="00764295" w:rsidRDefault="00602F11" w:rsidP="00764295">
                                <w:pPr>
                                  <w:kinsoku w:val="0"/>
                                  <w:overflowPunct w:val="0"/>
                                  <w:rPr>
                                    <w:sz w:val="12"/>
                                    <w:szCs w:val="12"/>
                                  </w:rPr>
                                </w:pPr>
                                <w:r w:rsidRPr="00764295">
                                  <w:rPr>
                                    <w:rFonts w:cs="Arial"/>
                                    <w:b/>
                                    <w:bCs/>
                                    <w:color w:val="141445"/>
                                    <w:kern w:val="24"/>
                                    <w:sz w:val="12"/>
                                    <w:szCs w:val="12"/>
                                  </w:rPr>
                                  <w:t>Physical</w:t>
                                </w:r>
                                <w:r w:rsidRPr="00764295">
                                  <w:rPr>
                                    <w:rFonts w:cs="Arial"/>
                                    <w:b/>
                                    <w:bCs/>
                                    <w:color w:val="141445"/>
                                    <w:kern w:val="24"/>
                                    <w:sz w:val="12"/>
                                    <w:szCs w:val="12"/>
                                  </w:rPr>
                                  <w:br/>
                                  <w:t>Resources</w:t>
                                </w:r>
                              </w:p>
                            </w:txbxContent>
                          </wps:txbx>
                          <wps:bodyPr/>
                        </wps:wsp>
                        <wps:wsp>
                          <wps:cNvPr id="471" name="Rectangle 59"/>
                          <wps:cNvSpPr>
                            <a:spLocks noChangeArrowheads="1"/>
                          </wps:cNvSpPr>
                          <wps:spPr bwMode="auto">
                            <a:xfrm>
                              <a:off x="1575771" y="5363653"/>
                              <a:ext cx="4973473" cy="493916"/>
                            </a:xfrm>
                            <a:prstGeom prst="roundRect">
                              <a:avLst>
                                <a:gd name="adj" fmla="val 16667"/>
                              </a:avLst>
                            </a:prstGeom>
                            <a:solidFill>
                              <a:srgbClr val="00CCFF"/>
                            </a:solidFill>
                            <a:ln w="12700" algn="ctr">
                              <a:solidFill>
                                <a:schemeClr val="tx1"/>
                              </a:solidFill>
                              <a:round/>
                              <a:headEnd/>
                              <a:tailEnd/>
                            </a:ln>
                            <a:effectLst>
                              <a:prstShdw prst="shdw17" dist="17961" dir="2700000">
                                <a:srgbClr val="004373"/>
                              </a:prstShdw>
                            </a:effectLst>
                          </wps:spPr>
                          <wps:txbx>
                            <w:txbxContent>
                              <w:p w:rsidR="00602F11" w:rsidRPr="00764295" w:rsidRDefault="00602F11" w:rsidP="00764295">
                                <w:pPr>
                                  <w:kinsoku w:val="0"/>
                                  <w:overflowPunct w:val="0"/>
                                  <w:spacing w:before="0"/>
                                  <w:rPr>
                                    <w:sz w:val="12"/>
                                    <w:szCs w:val="12"/>
                                  </w:rPr>
                                </w:pPr>
                                <w:r w:rsidRPr="00764295">
                                  <w:rPr>
                                    <w:rFonts w:cs="Arial"/>
                                    <w:b/>
                                    <w:bCs/>
                                    <w:color w:val="141445"/>
                                    <w:kern w:val="24"/>
                                    <w:sz w:val="12"/>
                                    <w:szCs w:val="12"/>
                                  </w:rPr>
                                  <w:t xml:space="preserve">Pooling &amp; </w:t>
                                </w:r>
                                <w:r w:rsidRPr="00764295">
                                  <w:rPr>
                                    <w:rFonts w:cs="Arial"/>
                                    <w:b/>
                                    <w:bCs/>
                                    <w:color w:val="141445"/>
                                    <w:kern w:val="24"/>
                                    <w:sz w:val="12"/>
                                    <w:szCs w:val="12"/>
                                  </w:rPr>
                                  <w:br/>
                                  <w:t>Virtualization</w:t>
                                </w:r>
                              </w:p>
                            </w:txbxContent>
                          </wps:txbx>
                          <wps:bodyPr anchor="ctr"/>
                        </wps:wsp>
                        <wps:wsp>
                          <wps:cNvPr id="472" name="Text Box 11"/>
                          <wps:cNvSpPr>
                            <a:spLocks noChangeArrowheads="1"/>
                          </wps:cNvSpPr>
                          <wps:spPr bwMode="auto">
                            <a:xfrm>
                              <a:off x="1571691" y="4994368"/>
                              <a:ext cx="4984680" cy="299953"/>
                            </a:xfrm>
                            <a:prstGeom prst="roundRect">
                              <a:avLst>
                                <a:gd name="adj" fmla="val 16667"/>
                              </a:avLst>
                            </a:prstGeom>
                            <a:solidFill>
                              <a:srgbClr val="00FFCC"/>
                            </a:solidFill>
                            <a:ln w="9525">
                              <a:solidFill>
                                <a:schemeClr val="tx1"/>
                              </a:solidFill>
                              <a:round/>
                              <a:headEnd/>
                              <a:tailEnd/>
                            </a:ln>
                            <a:effectLst>
                              <a:prstShdw prst="shdw17" dist="17961" dir="2700000">
                                <a:srgbClr val="646464"/>
                              </a:prstShdw>
                            </a:effectLst>
                          </wps:spPr>
                          <wps:txbx>
                            <w:txbxContent>
                              <w:p w:rsidR="00602F11" w:rsidRPr="00764295" w:rsidRDefault="00602F11" w:rsidP="00764295">
                                <w:pPr>
                                  <w:spacing w:before="0"/>
                                  <w:jc w:val="center"/>
                                  <w:rPr>
                                    <w:rFonts w:asciiTheme="minorHAnsi" w:cstheme="minorBidi"/>
                                    <w:b/>
                                    <w:bCs/>
                                    <w:color w:val="000000"/>
                                    <w:kern w:val="24"/>
                                    <w:sz w:val="16"/>
                                    <w:szCs w:val="16"/>
                                  </w:rPr>
                                </w:pPr>
                                <w:r w:rsidRPr="00764295">
                                  <w:rPr>
                                    <w:rFonts w:asciiTheme="minorHAnsi" w:cstheme="minorBidi"/>
                                    <w:b/>
                                    <w:bCs/>
                                    <w:color w:val="000000"/>
                                    <w:kern w:val="24"/>
                                    <w:sz w:val="16"/>
                                    <w:szCs w:val="16"/>
                                  </w:rPr>
                                  <w:t xml:space="preserve">Resource Orchestration  </w:t>
                                </w:r>
                              </w:p>
                            </w:txbxContent>
                          </wps:txbx>
                          <wps:bodyPr/>
                        </wps:wsp>
                        <wps:wsp>
                          <wps:cNvPr id="478" name="Rectangle à coins arrondis 26"/>
                          <wps:cNvSpPr/>
                          <wps:spPr>
                            <a:xfrm>
                              <a:off x="6867904" y="3549022"/>
                              <a:ext cx="1165975" cy="629938"/>
                            </a:xfrm>
                            <a:prstGeom prst="round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2F11" w:rsidRPr="009F54DC" w:rsidRDefault="00602F11" w:rsidP="00764295">
                                <w:pPr>
                                  <w:spacing w:before="0"/>
                                  <w:jc w:val="center"/>
                                  <w:rPr>
                                    <w:rFonts w:asciiTheme="minorHAnsi" w:cstheme="minorBidi"/>
                                    <w:color w:val="000000"/>
                                    <w:kern w:val="24"/>
                                    <w:sz w:val="20"/>
                                    <w:szCs w:val="20"/>
                                  </w:rPr>
                                </w:pPr>
                                <w:r w:rsidRPr="009F54DC">
                                  <w:rPr>
                                    <w:rFonts w:asciiTheme="minorHAnsi" w:cstheme="minorBidi"/>
                                    <w:color w:val="000000"/>
                                    <w:kern w:val="24"/>
                                    <w:sz w:val="20"/>
                                    <w:szCs w:val="20"/>
                                  </w:rPr>
                                  <w:t>Cloud Performance Function</w:t>
                                </w:r>
                              </w:p>
                            </w:txbxContent>
                          </wps:txbx>
                          <wps:bodyPr rtlCol="0" anchor="ctr"/>
                        </wps:wsp>
                        <wps:wsp>
                          <wps:cNvPr id="896" name="Rectangle 896"/>
                          <wps:cNvSpPr/>
                          <wps:spPr>
                            <a:xfrm>
                              <a:off x="2412729" y="5508296"/>
                              <a:ext cx="369828" cy="268554"/>
                            </a:xfrm>
                            <a:prstGeom prst="rect">
                              <a:avLst/>
                            </a:prstGeom>
                            <a:solidFill>
                              <a:schemeClr val="bg1"/>
                            </a:solidFill>
                            <a:ln w="6350" cmpd="sng">
                              <a:solidFill>
                                <a:schemeClr val="bg1">
                                  <a:lumMod val="65000"/>
                                </a:schemeClr>
                              </a:solidFill>
                            </a:ln>
                            <a:effectLst>
                              <a:outerShdw blurRad="76200" dist="50800" dir="5400000" algn="ctr" rotWithShape="0">
                                <a:srgbClr val="000000">
                                  <a:alpha val="27000"/>
                                </a:srgb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602F11" w:rsidRDefault="00602F11" w:rsidP="00764295">
                                <w:pPr>
                                  <w:spacing w:before="0"/>
                                  <w:jc w:val="center"/>
                                </w:pPr>
                                <w:r>
                                  <w:rPr>
                                    <w:rFonts w:asciiTheme="minorHAnsi" w:cstheme="minorBidi"/>
                                    <w:b/>
                                    <w:bCs/>
                                    <w:color w:val="000000"/>
                                    <w:kern w:val="24"/>
                                    <w:sz w:val="16"/>
                                    <w:szCs w:val="16"/>
                                  </w:rPr>
                                  <w:t>VN</w:t>
                                </w:r>
                              </w:p>
                            </w:txbxContent>
                          </wps:txbx>
                          <wps:bodyPr rtlCol="0" anchor="ctr"/>
                        </wps:wsp>
                        <wps:wsp>
                          <wps:cNvPr id="897" name="Rectangle 897"/>
                          <wps:cNvSpPr/>
                          <wps:spPr>
                            <a:xfrm>
                              <a:off x="2816326" y="5508295"/>
                              <a:ext cx="369828" cy="267429"/>
                            </a:xfrm>
                            <a:prstGeom prst="rect">
                              <a:avLst/>
                            </a:prstGeom>
                            <a:solidFill>
                              <a:schemeClr val="bg1"/>
                            </a:solidFill>
                            <a:ln w="6350" cmpd="sng">
                              <a:solidFill>
                                <a:schemeClr val="bg1">
                                  <a:lumMod val="65000"/>
                                </a:schemeClr>
                              </a:solidFill>
                            </a:ln>
                            <a:effectLst>
                              <a:outerShdw blurRad="76200" dist="50800" dir="5400000" algn="ctr" rotWithShape="0">
                                <a:srgbClr val="000000">
                                  <a:alpha val="27000"/>
                                </a:srgb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602F11" w:rsidRDefault="00602F11" w:rsidP="00764295">
                                <w:pPr>
                                  <w:spacing w:before="0"/>
                                  <w:jc w:val="center"/>
                                </w:pPr>
                                <w:r>
                                  <w:rPr>
                                    <w:rFonts w:asciiTheme="minorHAnsi" w:cstheme="minorBidi"/>
                                    <w:b/>
                                    <w:bCs/>
                                    <w:color w:val="000000"/>
                                    <w:kern w:val="24"/>
                                    <w:sz w:val="16"/>
                                    <w:szCs w:val="16"/>
                                  </w:rPr>
                                  <w:t>VS</w:t>
                                </w:r>
                              </w:p>
                            </w:txbxContent>
                          </wps:txbx>
                          <wps:bodyPr rtlCol="0" anchor="ctr"/>
                        </wps:wsp>
                        <wps:wsp>
                          <wps:cNvPr id="898" name="Rectangle 898"/>
                          <wps:cNvSpPr/>
                          <wps:spPr>
                            <a:xfrm>
                              <a:off x="3221037" y="5508295"/>
                              <a:ext cx="369828" cy="267429"/>
                            </a:xfrm>
                            <a:prstGeom prst="rect">
                              <a:avLst/>
                            </a:prstGeom>
                            <a:solidFill>
                              <a:schemeClr val="bg1"/>
                            </a:solidFill>
                            <a:ln w="6350" cmpd="sng">
                              <a:solidFill>
                                <a:schemeClr val="bg1">
                                  <a:lumMod val="65000"/>
                                </a:schemeClr>
                              </a:solidFill>
                            </a:ln>
                            <a:effectLst>
                              <a:outerShdw blurRad="76200" dist="50800" dir="5400000" algn="ctr" rotWithShape="0">
                                <a:srgbClr val="000000">
                                  <a:alpha val="27000"/>
                                </a:srgb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602F11" w:rsidRDefault="00602F11" w:rsidP="00764295">
                                <w:pPr>
                                  <w:spacing w:before="0"/>
                                  <w:jc w:val="center"/>
                                </w:pPr>
                                <w:r>
                                  <w:rPr>
                                    <w:rFonts w:asciiTheme="minorHAnsi" w:cstheme="minorBidi"/>
                                    <w:b/>
                                    <w:bCs/>
                                    <w:color w:val="000000"/>
                                    <w:kern w:val="24"/>
                                    <w:sz w:val="16"/>
                                    <w:szCs w:val="16"/>
                                  </w:rPr>
                                  <w:t>VM</w:t>
                                </w:r>
                              </w:p>
                            </w:txbxContent>
                          </wps:txbx>
                          <wps:bodyPr rtlCol="0" anchor="ctr"/>
                        </wps:wsp>
                        <wps:wsp>
                          <wps:cNvPr id="901" name="Rectangle 901"/>
                          <wps:cNvSpPr/>
                          <wps:spPr>
                            <a:xfrm>
                              <a:off x="3651807" y="5502441"/>
                              <a:ext cx="1222321" cy="273282"/>
                            </a:xfrm>
                            <a:prstGeom prst="rect">
                              <a:avLst/>
                            </a:prstGeom>
                            <a:solidFill>
                              <a:schemeClr val="bg1"/>
                            </a:solidFill>
                            <a:ln w="6350" cmpd="sng">
                              <a:solidFill>
                                <a:schemeClr val="bg1">
                                  <a:lumMod val="65000"/>
                                </a:schemeClr>
                              </a:solidFill>
                            </a:ln>
                            <a:effectLst>
                              <a:outerShdw blurRad="76200" dist="50800" dir="5400000" algn="ctr" rotWithShape="0">
                                <a:srgbClr val="000000">
                                  <a:alpha val="27000"/>
                                </a:srgb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602F11" w:rsidRDefault="00602F11" w:rsidP="00764295">
                                <w:pPr>
                                  <w:spacing w:before="0"/>
                                  <w:jc w:val="center"/>
                                </w:pPr>
                                <w:r w:rsidRPr="00764295">
                                  <w:rPr>
                                    <w:rFonts w:asciiTheme="minorHAnsi" w:cstheme="minorBidi"/>
                                    <w:b/>
                                    <w:bCs/>
                                    <w:color w:val="000000"/>
                                    <w:kern w:val="24"/>
                                    <w:sz w:val="14"/>
                                    <w:szCs w:val="14"/>
                                  </w:rPr>
                                  <w:t>Software &amp; Platform</w:t>
                                </w:r>
                                <w:r>
                                  <w:rPr>
                                    <w:rFonts w:asciiTheme="minorHAnsi" w:cstheme="minorBidi"/>
                                    <w:b/>
                                    <w:bCs/>
                                    <w:color w:val="000000"/>
                                    <w:kern w:val="24"/>
                                    <w:sz w:val="16"/>
                                    <w:szCs w:val="16"/>
                                  </w:rPr>
                                  <w:t xml:space="preserve"> Assets</w:t>
                                </w:r>
                              </w:p>
                            </w:txbxContent>
                          </wps:txbx>
                          <wps:bodyPr rtlCol="0" anchor="ctr"/>
                        </wps:wsp>
                        <wps:wsp>
                          <wps:cNvPr id="902" name="Rectangle 902"/>
                          <wps:cNvSpPr/>
                          <wps:spPr>
                            <a:xfrm>
                              <a:off x="5021163" y="5490944"/>
                              <a:ext cx="1315186" cy="285427"/>
                            </a:xfrm>
                            <a:prstGeom prst="rect">
                              <a:avLst/>
                            </a:prstGeom>
                            <a:solidFill>
                              <a:schemeClr val="bg1"/>
                            </a:solidFill>
                            <a:ln w="6350" cmpd="sng">
                              <a:solidFill>
                                <a:schemeClr val="bg1">
                                  <a:lumMod val="65000"/>
                                </a:schemeClr>
                              </a:solidFill>
                            </a:ln>
                            <a:effectLst>
                              <a:outerShdw blurRad="76200" dist="50800" dir="5400000" algn="ctr" rotWithShape="0">
                                <a:srgbClr val="000000">
                                  <a:alpha val="27000"/>
                                </a:srgb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602F11" w:rsidRPr="006C638F" w:rsidRDefault="00602F11" w:rsidP="00764295">
                                <w:pPr>
                                  <w:spacing w:before="0"/>
                                  <w:jc w:val="center"/>
                                  <w:rPr>
                                    <w:sz w:val="14"/>
                                    <w:szCs w:val="14"/>
                                  </w:rPr>
                                </w:pPr>
                                <w:r w:rsidRPr="006C638F">
                                  <w:rPr>
                                    <w:rFonts w:asciiTheme="minorHAnsi" w:cstheme="minorBidi"/>
                                    <w:b/>
                                    <w:bCs/>
                                    <w:color w:val="000000"/>
                                    <w:kern w:val="24"/>
                                    <w:sz w:val="14"/>
                                    <w:szCs w:val="14"/>
                                  </w:rPr>
                                  <w:t>Virtual Path Virtual Circuit</w:t>
                                </w:r>
                              </w:p>
                            </w:txbxContent>
                          </wps:txbx>
                          <wps:bodyPr rtlCol="0" anchor="ctr"/>
                        </wps:wsp>
                        <wps:wsp>
                          <wps:cNvPr id="903" name="Rectangle 903"/>
                          <wps:cNvSpPr/>
                          <wps:spPr>
                            <a:xfrm>
                              <a:off x="2275904" y="5974846"/>
                              <a:ext cx="777889" cy="432992"/>
                            </a:xfrm>
                            <a:prstGeom prst="rect">
                              <a:avLst/>
                            </a:prstGeom>
                            <a:solidFill>
                              <a:schemeClr val="bg1"/>
                            </a:solidFill>
                            <a:ln w="6350" cmpd="sng">
                              <a:solidFill>
                                <a:schemeClr val="bg1">
                                  <a:lumMod val="65000"/>
                                </a:schemeClr>
                              </a:solidFill>
                            </a:ln>
                            <a:effectLst>
                              <a:outerShdw blurRad="76200" dist="50800" dir="5400000" algn="ctr" rotWithShape="0">
                                <a:srgbClr val="000000">
                                  <a:alpha val="27000"/>
                                </a:srgb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602F11" w:rsidRPr="007A238D" w:rsidRDefault="00602F11" w:rsidP="00764295">
                                <w:pPr>
                                  <w:spacing w:before="0"/>
                                  <w:jc w:val="center"/>
                                  <w:rPr>
                                    <w:sz w:val="14"/>
                                    <w:szCs w:val="14"/>
                                  </w:rPr>
                                </w:pPr>
                                <w:r w:rsidRPr="007A238D">
                                  <w:rPr>
                                    <w:rFonts w:asciiTheme="minorHAnsi" w:cstheme="minorBidi"/>
                                    <w:b/>
                                    <w:bCs/>
                                    <w:color w:val="000000"/>
                                    <w:kern w:val="24"/>
                                    <w:sz w:val="14"/>
                                    <w:szCs w:val="14"/>
                                  </w:rPr>
                                  <w:t>Intra Cloud Network</w:t>
                                </w:r>
                              </w:p>
                            </w:txbxContent>
                          </wps:txbx>
                          <wps:bodyPr rtlCol="0" anchor="ctr"/>
                        </wps:wsp>
                        <wps:wsp>
                          <wps:cNvPr id="908" name="Rectangle 908"/>
                          <wps:cNvSpPr/>
                          <wps:spPr>
                            <a:xfrm>
                              <a:off x="3098239" y="5981200"/>
                              <a:ext cx="777889" cy="426095"/>
                            </a:xfrm>
                            <a:prstGeom prst="rect">
                              <a:avLst/>
                            </a:prstGeom>
                            <a:solidFill>
                              <a:schemeClr val="bg1"/>
                            </a:solidFill>
                            <a:ln w="6350" cmpd="sng">
                              <a:solidFill>
                                <a:schemeClr val="bg1">
                                  <a:lumMod val="65000"/>
                                </a:schemeClr>
                              </a:solidFill>
                            </a:ln>
                            <a:effectLst>
                              <a:outerShdw blurRad="76200" dist="50800" dir="5400000" algn="ctr" rotWithShape="0">
                                <a:srgbClr val="000000">
                                  <a:alpha val="27000"/>
                                </a:srgb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602F11" w:rsidRDefault="00602F11" w:rsidP="00764295">
                                <w:pPr>
                                  <w:spacing w:before="0"/>
                                  <w:jc w:val="center"/>
                                </w:pPr>
                                <w:r>
                                  <w:rPr>
                                    <w:rFonts w:asciiTheme="minorHAnsi" w:cstheme="minorBidi"/>
                                    <w:b/>
                                    <w:bCs/>
                                    <w:color w:val="000000"/>
                                    <w:kern w:val="24"/>
                                    <w:sz w:val="16"/>
                                    <w:szCs w:val="16"/>
                                  </w:rPr>
                                  <w:t>Storage</w:t>
                                </w:r>
                              </w:p>
                            </w:txbxContent>
                          </wps:txbx>
                          <wps:bodyPr rtlCol="0" anchor="ctr"/>
                        </wps:wsp>
                        <wps:wsp>
                          <wps:cNvPr id="914" name="Rectangle 914"/>
                          <wps:cNvSpPr/>
                          <wps:spPr>
                            <a:xfrm>
                              <a:off x="3914611" y="5981200"/>
                              <a:ext cx="777889" cy="425550"/>
                            </a:xfrm>
                            <a:prstGeom prst="rect">
                              <a:avLst/>
                            </a:prstGeom>
                            <a:solidFill>
                              <a:schemeClr val="bg1"/>
                            </a:solidFill>
                            <a:ln w="6350" cmpd="sng">
                              <a:solidFill>
                                <a:schemeClr val="bg1">
                                  <a:lumMod val="65000"/>
                                </a:schemeClr>
                              </a:solidFill>
                            </a:ln>
                            <a:effectLst>
                              <a:outerShdw blurRad="76200" dist="50800" dir="5400000" algn="ctr" rotWithShape="0">
                                <a:srgbClr val="000000">
                                  <a:alpha val="27000"/>
                                </a:srgb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602F11" w:rsidRDefault="00602F11" w:rsidP="00764295">
                                <w:pPr>
                                  <w:spacing w:before="0"/>
                                  <w:jc w:val="center"/>
                                </w:pPr>
                                <w:r>
                                  <w:rPr>
                                    <w:rFonts w:asciiTheme="minorHAnsi" w:cstheme="minorBidi"/>
                                    <w:b/>
                                    <w:bCs/>
                                    <w:color w:val="000000"/>
                                    <w:kern w:val="24"/>
                                    <w:sz w:val="16"/>
                                    <w:szCs w:val="16"/>
                                  </w:rPr>
                                  <w:t>Computing</w:t>
                                </w:r>
                              </w:p>
                            </w:txbxContent>
                          </wps:txbx>
                          <wps:bodyPr rtlCol="0" anchor="ctr"/>
                        </wps:wsp>
                        <wps:wsp>
                          <wps:cNvPr id="919" name="Rectangle 919"/>
                          <wps:cNvSpPr/>
                          <wps:spPr>
                            <a:xfrm>
                              <a:off x="4761315" y="5980074"/>
                              <a:ext cx="777889" cy="426131"/>
                            </a:xfrm>
                            <a:prstGeom prst="rect">
                              <a:avLst/>
                            </a:prstGeom>
                            <a:solidFill>
                              <a:schemeClr val="bg1"/>
                            </a:solidFill>
                            <a:ln w="6350" cmpd="sng">
                              <a:solidFill>
                                <a:schemeClr val="bg1">
                                  <a:lumMod val="65000"/>
                                </a:schemeClr>
                              </a:solidFill>
                            </a:ln>
                            <a:effectLst>
                              <a:outerShdw blurRad="76200" dist="50800" dir="5400000" algn="ctr" rotWithShape="0">
                                <a:srgbClr val="000000">
                                  <a:alpha val="27000"/>
                                </a:srgb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602F11" w:rsidRPr="007A238D" w:rsidRDefault="00602F11" w:rsidP="00764295">
                                <w:pPr>
                                  <w:spacing w:before="0"/>
                                  <w:jc w:val="center"/>
                                  <w:rPr>
                                    <w:sz w:val="14"/>
                                    <w:szCs w:val="14"/>
                                  </w:rPr>
                                </w:pPr>
                                <w:r w:rsidRPr="007A238D">
                                  <w:rPr>
                                    <w:rFonts w:asciiTheme="minorHAnsi" w:cstheme="minorBidi"/>
                                    <w:b/>
                                    <w:bCs/>
                                    <w:color w:val="000000"/>
                                    <w:kern w:val="24"/>
                                    <w:sz w:val="14"/>
                                    <w:szCs w:val="14"/>
                                  </w:rPr>
                                  <w:t>Core Transport Network</w:t>
                                </w:r>
                              </w:p>
                            </w:txbxContent>
                          </wps:txbx>
                          <wps:bodyPr rtlCol="0" anchor="ctr"/>
                        </wps:wsp>
                        <wps:wsp>
                          <wps:cNvPr id="923" name="Rectangle 923"/>
                          <wps:cNvSpPr/>
                          <wps:spPr>
                            <a:xfrm>
                              <a:off x="5626092" y="5985928"/>
                              <a:ext cx="777889" cy="419731"/>
                            </a:xfrm>
                            <a:prstGeom prst="rect">
                              <a:avLst/>
                            </a:prstGeom>
                            <a:solidFill>
                              <a:schemeClr val="bg1"/>
                            </a:solidFill>
                            <a:ln w="6350" cmpd="sng">
                              <a:solidFill>
                                <a:schemeClr val="bg1">
                                  <a:lumMod val="65000"/>
                                </a:schemeClr>
                              </a:solidFill>
                            </a:ln>
                            <a:effectLst>
                              <a:outerShdw blurRad="76200" dist="50800" dir="5400000" algn="ctr" rotWithShape="0">
                                <a:srgbClr val="000000">
                                  <a:alpha val="27000"/>
                                </a:srgb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602F11" w:rsidRPr="007A238D" w:rsidRDefault="00602F11" w:rsidP="00764295">
                                <w:pPr>
                                  <w:spacing w:before="0"/>
                                  <w:jc w:val="center"/>
                                  <w:rPr>
                                    <w:sz w:val="14"/>
                                    <w:szCs w:val="14"/>
                                  </w:rPr>
                                </w:pPr>
                                <w:r w:rsidRPr="007A238D">
                                  <w:rPr>
                                    <w:rFonts w:asciiTheme="minorHAnsi" w:cstheme="minorBidi"/>
                                    <w:b/>
                                    <w:bCs/>
                                    <w:color w:val="000000"/>
                                    <w:kern w:val="24"/>
                                    <w:sz w:val="14"/>
                                    <w:szCs w:val="14"/>
                                  </w:rPr>
                                  <w:t>Inter Cloud Network</w:t>
                                </w:r>
                              </w:p>
                            </w:txbxContent>
                          </wps:txbx>
                          <wps:bodyPr rtlCol="0" anchor="ctr"/>
                        </wps:wsp>
                        <wps:wsp>
                          <wps:cNvPr id="925" name="Rectangle à coins arrondis 37"/>
                          <wps:cNvSpPr/>
                          <wps:spPr>
                            <a:xfrm>
                              <a:off x="6887782" y="4496553"/>
                              <a:ext cx="1165975" cy="629938"/>
                            </a:xfrm>
                            <a:prstGeom prst="round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2F11" w:rsidRPr="009F54DC" w:rsidRDefault="00602F11" w:rsidP="00764295">
                                <w:pPr>
                                  <w:spacing w:before="0"/>
                                  <w:jc w:val="center"/>
                                  <w:rPr>
                                    <w:rFonts w:asciiTheme="minorHAnsi" w:cstheme="minorBidi"/>
                                    <w:color w:val="000000"/>
                                    <w:kern w:val="24"/>
                                    <w:sz w:val="20"/>
                                    <w:szCs w:val="20"/>
                                  </w:rPr>
                                </w:pPr>
                                <w:r w:rsidRPr="009F54DC">
                                  <w:rPr>
                                    <w:rFonts w:asciiTheme="minorHAnsi" w:cstheme="minorBidi"/>
                                    <w:color w:val="000000"/>
                                    <w:kern w:val="24"/>
                                    <w:sz w:val="20"/>
                                    <w:szCs w:val="20"/>
                                  </w:rPr>
                                  <w:t>Security &amp; Privacy Function</w:t>
                                </w:r>
                              </w:p>
                            </w:txbxContent>
                          </wps:txbx>
                          <wps:bodyPr rtlCol="0" anchor="ctr"/>
                        </wps:wsp>
                        <wps:wsp>
                          <wps:cNvPr id="926" name="Rectangle à coins arrondis 38"/>
                          <wps:cNvSpPr/>
                          <wps:spPr>
                            <a:xfrm>
                              <a:off x="6874530" y="2616953"/>
                              <a:ext cx="1165975" cy="629938"/>
                            </a:xfrm>
                            <a:prstGeom prst="round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2F11" w:rsidRPr="009F54DC" w:rsidRDefault="00602F11" w:rsidP="00764295">
                                <w:pPr>
                                  <w:spacing w:before="0"/>
                                  <w:jc w:val="center"/>
                                  <w:rPr>
                                    <w:sz w:val="20"/>
                                    <w:szCs w:val="20"/>
                                  </w:rPr>
                                </w:pPr>
                                <w:r w:rsidRPr="009F54DC">
                                  <w:rPr>
                                    <w:rFonts w:asciiTheme="minorHAnsi" w:cstheme="minorBidi"/>
                                    <w:color w:val="000000"/>
                                    <w:kern w:val="24"/>
                                    <w:sz w:val="20"/>
                                    <w:szCs w:val="20"/>
                                  </w:rPr>
                                  <w:t>Operational Management Function</w:t>
                                </w:r>
                              </w:p>
                            </w:txbxContent>
                          </wps:txbx>
                          <wps:bodyPr rtlCol="0" anchor="ctr"/>
                        </wps:wsp>
                      </wpg:grpSp>
                      <wps:wsp>
                        <wps:cNvPr id="933" name="Rectangle à coins arrondis 47"/>
                        <wps:cNvSpPr/>
                        <wps:spPr>
                          <a:xfrm>
                            <a:off x="8024834" y="5353324"/>
                            <a:ext cx="1367250" cy="609894"/>
                          </a:xfrm>
                          <a:prstGeom prst="round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2F11" w:rsidRPr="009F54DC" w:rsidRDefault="00602F11" w:rsidP="00764295">
                              <w:pPr>
                                <w:spacing w:before="0"/>
                                <w:jc w:val="center"/>
                                <w:rPr>
                                  <w:rFonts w:asciiTheme="minorHAnsi" w:cstheme="minorBidi"/>
                                  <w:color w:val="000000"/>
                                  <w:kern w:val="24"/>
                                  <w:sz w:val="20"/>
                                  <w:szCs w:val="20"/>
                                </w:rPr>
                              </w:pPr>
                              <w:r w:rsidRPr="009F54DC">
                                <w:rPr>
                                  <w:rFonts w:asciiTheme="minorHAnsi" w:cstheme="minorBidi"/>
                                  <w:color w:val="000000"/>
                                  <w:kern w:val="24"/>
                                  <w:sz w:val="20"/>
                                  <w:szCs w:val="20"/>
                                </w:rPr>
                                <w:t>Service Policy Function</w:t>
                              </w:r>
                            </w:p>
                          </w:txbxContent>
                        </wps:txbx>
                        <wps:bodyPr rtlCol="0" anchor="ctr"/>
                      </wps:wsp>
                    </wpg:wgp>
                  </a:graphicData>
                </a:graphic>
              </wp:inline>
            </w:drawing>
          </mc:Choice>
          <mc:Fallback>
            <w:pict>
              <v:group id="Group 23" o:spid="_x0000_s1040" style="width:609.2pt;height:304.1pt;mso-position-horizontal-relative:char;mso-position-vertical-relative:line" coordorigin="3504,11247" coordsize="91270,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">
                <v:group id="组合 43" o:spid="_x0000_s1041" style="position:absolute;left:3504;top:11247;width:91271;height:51846" coordorigin="3504,11247" coordsize="77834,53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roundrect id="Rectangle à coins arrondis 6" o:spid="_x0000_s1042" style="position:absolute;left:3504;top:48979;width:63467;height:1581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B+2sEA&#10;AADbAAAADwAAAGRycy9kb3ducmV2LnhtbESPQYvCMBSE74L/ITxhL7KmFhXpGkUEwZta9f5onm21&#10;eSlN1K6/3giCx2FmvmFmi9ZU4k6NKy0rGA4iEMSZ1SXnCo6H9e8UhPPIGivLpOCfHCzm3c4ME20f&#10;vKd76nMRIOwSVFB4XydSuqwgg25ga+LgnW1j0AfZ5FI3+AhwU8k4iibSYMlhocCaVgVl1/RmFJjt&#10;Ot5d5Eaa0fF5Xsb90zZ9DpX66bXLPxCeWv8Nf9obrSAew/tL+AF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wftrBAAAA2wAAAA8AAAAAAAAAAAAAAAAAmAIAAGRycy9kb3du&#10;cmV2LnhtbFBLBQYAAAAABAAEAPUAAACGAwAAAAA=&#10;" fillcolor="#29d1e3" strokecolor="#243f60 [1604]" strokeweight="2pt">
                    <v:textbox>
                      <w:txbxContent>
                        <w:p w:rsidR="00602F11" w:rsidRDefault="00602F11" w:rsidP="00764295">
                          <w:pPr>
                            <w:rPr>
                              <w:rFonts w:eastAsia="Times New Roman"/>
                            </w:rPr>
                          </w:pPr>
                        </w:p>
                      </w:txbxContent>
                    </v:textbox>
                  </v:roundrect>
                  <v:roundrect id="Rectangle à coins arrondis 7" o:spid="_x0000_s1043" style="position:absolute;left:3504;top:31659;width:63467;height:1661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cycMUA&#10;AADbAAAADwAAAGRycy9kb3ducmV2LnhtbESPT2vCQBTE7wW/w/KE3upGD1JSN2IUqeRkTSkeH9mX&#10;P5p9G7Jbk/bTdwWhx2FmfsOs1qNpxY1611hWMJ9FIIgLqxuuFHzm+5dXEM4ja2wtk4IfcrBOJk8r&#10;jLUd+INuJ1+JAGEXo4La+y6W0hU1GXQz2xEHr7S9QR9kX0nd4xDgppWLKFpKgw2HhRo72tZUXE/f&#10;RkGVlvl7l6a73+Mln+vjITt/nTOlnqfj5g2Ep9H/hx/tg1awWML9S/gBM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BzJwxQAAANsAAAAPAAAAAAAAAAAAAAAAAJgCAABkcnMv&#10;ZG93bnJldi54bWxQSwUGAAAAAAQABAD1AAAAigMAAAAA&#10;" fillcolor="#daeef3 [664]" strokecolor="#243f60 [1604]" strokeweight="2pt">
                    <v:textbox>
                      <w:txbxContent>
                        <w:p w:rsidR="00602F11" w:rsidRDefault="00602F11" w:rsidP="00764295">
                          <w:pPr>
                            <w:rPr>
                              <w:rFonts w:eastAsia="Times New Roman"/>
                            </w:rPr>
                          </w:pPr>
                        </w:p>
                      </w:txbxContent>
                    </v:textbox>
                  </v:roundrect>
                  <v:roundrect id="Rectangle à coins arrondis 8" o:spid="_x0000_s1044" style="position:absolute;left:3504;top:21956;width:63467;height:899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OitcYA&#10;AADbAAAADwAAAGRycy9kb3ducmV2LnhtbESPT2vCQBTE70K/w/KEXkQ3etAYXUUqLUK9+Be8PbLP&#10;JJh9G7Nbk/bTu4VCj8PM/IaZL1tTigfVrrCsYDiIQBCnVhecKTge3vsxCOeRNZaWScE3OVguXjpz&#10;TLRteEePvc9EgLBLUEHufZVI6dKcDLqBrYiDd7W1QR9knUldYxPgppSjKBpLgwWHhRwresspve2/&#10;jILPy3kaT+6Xxt975/Xq4xiffqqtUq/ddjUD4an1/+G/9kYrGE3g90v4AXLx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OitcYAAADbAAAADwAAAAAAAAAAAAAAAACYAgAAZHJz&#10;L2Rvd25yZXYueG1sUEsFBgAAAAAEAAQA9QAAAIsDAAAAAA==&#10;" fillcolor="#f8e1d8" strokecolor="#243f60 [1604]" strokeweight="2pt">
                    <v:textbox>
                      <w:txbxContent>
                        <w:p w:rsidR="00602F11" w:rsidRDefault="00602F11" w:rsidP="00764295">
                          <w:pPr>
                            <w:rPr>
                              <w:rFonts w:eastAsia="Times New Roman"/>
                            </w:rPr>
                          </w:pPr>
                        </w:p>
                      </w:txbxContent>
                    </v:textbox>
                  </v:roundrect>
                  <v:roundrect id="Rectangle à coins arrondis 9" o:spid="_x0000_s1045" style="position:absolute;left:3504;top:11247;width:63467;height:1007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DBQsEA&#10;AADbAAAADwAAAGRycy9kb3ducmV2LnhtbESPwUoDQQyG74LvMETwZme7B5G10yItheJBcLX3sBN3&#10;FneS7cy0Xd/eHASP4c//Jd9qM8fRXCjlQdjBclGBIe7ED9w7+PzYPzyByQXZ4yhMDn4ow2Z9e7PC&#10;xsuV3+nSlt4ohHODDkIpU2Nt7gJFzAuZiDX7khSx6Jh66xNeFR5HW1fVo404sF4IONE2UPfdnqNS&#10;TiHt6C0uD7uj+PLayrEexbn7u/nlGUyhufwv/7UP3kGtz6qLeoBd/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QwULBAAAA2wAAAA8AAAAAAAAAAAAAAAAAmAIAAGRycy9kb3du&#10;cmV2LnhtbFBLBQYAAAAABAAEAPUAAACGAwAAAAA=&#10;" strokecolor="#243f60 [1604]" strokeweight="2pt">
                    <v:textbox>
                      <w:txbxContent>
                        <w:p w:rsidR="00602F11" w:rsidRDefault="00602F11" w:rsidP="00764295">
                          <w:pPr>
                            <w:rPr>
                              <w:rFonts w:eastAsia="Times New Roman"/>
                            </w:rPr>
                          </w:pPr>
                        </w:p>
                      </w:txbxContent>
                    </v:textbox>
                  </v:roundrect>
                  <v:shapetype id="_x0000_t202" coordsize="21600,21600" o:spt="202" path="m,l,21600r21600,l21600,xe">
                    <v:stroke joinstyle="miter"/>
                    <v:path gradientshapeok="t" o:connecttype="rect"/>
                  </v:shapetype>
                  <v:shape id="ZoneTexte 8" o:spid="_x0000_s1046" type="#_x0000_t202" style="position:absolute;left:4835;top:14355;width:9809;height:48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a22cMA&#10;AADbAAAADwAAAGRycy9kb3ducmV2LnhtbESPzWrDMBCE74W8g9hAb7WU0JbYiWxCS6CnluYPclus&#10;jW1irYylxO7bV4VCjsPMfMOsitG24ka9bxxrmCUKBHHpTMOVhv1u87QA4QOywdYxafghD0U+eVhh&#10;ZtzA33TbhkpECPsMNdQhdJmUvqzJok9cRxy9s+sthij7Spoehwi3rZwr9SotNhwXauzorabysr1a&#10;DYfP8+n4rL6qd/vSDW5Ukm0qtX6cjusliEBjuIf/2x9Gwzy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a22cMAAADbAAAADwAAAAAAAAAAAAAAAACYAgAAZHJzL2Rv&#10;d25yZXYueG1sUEsFBgAAAAAEAAQA9QAAAIgDAAAAAA==&#10;" filled="f" stroked="f">
                    <v:textbox>
                      <w:txbxContent>
                        <w:p w:rsidR="00602F11" w:rsidRPr="006C638F" w:rsidRDefault="00602F11" w:rsidP="00764295">
                          <w:pPr>
                            <w:spacing w:before="0"/>
                          </w:pPr>
                          <w:r w:rsidRPr="006C638F">
                            <w:rPr>
                              <w:rFonts w:asciiTheme="minorHAnsi" w:cstheme="minorBidi"/>
                              <w:b/>
                              <w:bCs/>
                              <w:color w:val="000000"/>
                              <w:kern w:val="24"/>
                            </w:rPr>
                            <w:t xml:space="preserve">User Layer </w:t>
                          </w:r>
                        </w:p>
                      </w:txbxContent>
                    </v:textbox>
                  </v:shape>
                  <v:shape id="ZoneTexte 9" o:spid="_x0000_s1047" type="#_x0000_t202" style="position:absolute;left:4835;top:23078;width:11997;height:71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8MMA&#10;AADbAAAADwAAAGRycy9kb3ducmV2LnhtbESPQWvCQBSE74L/YXlCb7prsVZTV5FKoSfFVAVvj+wz&#10;Cc2+DdmtSf+9Kwgeh5n5hlmsOluJKzW+dKxhPFIgiDNnSs41HH6+hjMQPiAbrByThn/ysFr2ewtM&#10;jGt5T9c05CJC2CeooQihTqT0WUEW/cjVxNG7uMZiiLLJpWmwjXBbyVelptJiyXGhwJo+C8p+0z+r&#10;4bi9nE8Ttcs39q1uXack27nU+mXQrT9ABOrCM/xofxsN03e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8+8MMAAADbAAAADwAAAAAAAAAAAAAAAACYAgAAZHJzL2Rv&#10;d25yZXYueG1sUEsFBgAAAAAEAAQA9QAAAIgDAAAAAA==&#10;" filled="f" stroked="f">
                    <v:textbox>
                      <w:txbxContent>
                        <w:p w:rsidR="00602F11" w:rsidRPr="006C638F" w:rsidRDefault="00602F11" w:rsidP="00764295">
                          <w:pPr>
                            <w:spacing w:before="0"/>
                          </w:pPr>
                          <w:r w:rsidRPr="006C638F">
                            <w:rPr>
                              <w:rFonts w:asciiTheme="minorHAnsi" w:cstheme="minorBidi"/>
                              <w:b/>
                              <w:bCs/>
                              <w:color w:val="000000"/>
                              <w:kern w:val="24"/>
                            </w:rPr>
                            <w:t>Access</w:t>
                          </w:r>
                        </w:p>
                        <w:p w:rsidR="00602F11" w:rsidRPr="006C638F" w:rsidRDefault="00602F11" w:rsidP="00764295">
                          <w:pPr>
                            <w:spacing w:before="0"/>
                          </w:pPr>
                          <w:r w:rsidRPr="006C638F">
                            <w:rPr>
                              <w:rFonts w:asciiTheme="minorHAnsi" w:cstheme="minorBidi"/>
                              <w:b/>
                              <w:bCs/>
                              <w:color w:val="000000"/>
                              <w:kern w:val="24"/>
                            </w:rPr>
                            <w:t>Layer</w:t>
                          </w:r>
                        </w:p>
                      </w:txbxContent>
                    </v:textbox>
                  </v:shape>
                  <v:shape id="ZoneTexte 12" o:spid="_x0000_s1048" type="#_x0000_t202" style="position:absolute;left:4493;top:52766;width:11437;height:8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rsidR="00602F11" w:rsidRPr="006C638F" w:rsidRDefault="00602F11" w:rsidP="00764295">
                          <w:pPr>
                            <w:spacing w:before="0"/>
                          </w:pPr>
                          <w:r w:rsidRPr="006C638F">
                            <w:rPr>
                              <w:rFonts w:asciiTheme="minorHAnsi" w:cstheme="minorBidi"/>
                              <w:b/>
                              <w:bCs/>
                              <w:color w:val="000000"/>
                              <w:kern w:val="24"/>
                            </w:rPr>
                            <w:t>Resources &amp; Network</w:t>
                          </w:r>
                        </w:p>
                        <w:p w:rsidR="00602F11" w:rsidRPr="006C638F" w:rsidRDefault="00602F11" w:rsidP="00764295">
                          <w:pPr>
                            <w:spacing w:before="0"/>
                          </w:pPr>
                          <w:r w:rsidRPr="006C638F">
                            <w:rPr>
                              <w:rFonts w:asciiTheme="minorHAnsi" w:cstheme="minorBidi"/>
                              <w:b/>
                              <w:bCs/>
                              <w:color w:val="000000"/>
                              <w:kern w:val="24"/>
                            </w:rPr>
                            <w:t>Layer</w:t>
                          </w:r>
                        </w:p>
                      </w:txbxContent>
                    </v:textbox>
                  </v:shape>
                  <v:roundrect id="Rectangle à coins arrondis 13" o:spid="_x0000_s1049" style="position:absolute;left:67962;top:11247;width:13377;height:535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O2KsQA&#10;AADbAAAADwAAAGRycy9kb3ducmV2LnhtbESPQWvCQBSE7wX/w/IEb3WjBWtTV4lC1UvFqoccH9nX&#10;bDD7NmRXjf/eFQo9DjPzDTNbdLYWV2p95VjBaJiAIC6crrhUcDp+vU5B+ICssXZMCu7kYTHvvcww&#10;1e7GP3Q9hFJECPsUFZgQmlRKXxiy6IeuIY7er2sthijbUuoWbxFuazlOkom0WHFcMNjQylBxPlys&#10;guZist3U5rrM9/l68/G9zOyqU2rQ77JPEIG68B/+a2+1gvc3eH6JP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TtirEAAAA2wAAAA8AAAAAAAAAAAAAAAAAmAIAAGRycy9k&#10;b3ducmV2LnhtbFBLBQYAAAAABAAEAPUAAACJAwAAAAA=&#10;" fillcolor="#92d050" strokecolor="#243f60 [1604]" strokeweight="2pt">
                    <v:textbox>
                      <w:txbxContent>
                        <w:p w:rsidR="00602F11" w:rsidRDefault="00602F11" w:rsidP="00764295">
                          <w:pPr>
                            <w:rPr>
                              <w:rFonts w:eastAsia="Times New Roman"/>
                            </w:rPr>
                          </w:pPr>
                        </w:p>
                      </w:txbxContent>
                    </v:textbox>
                  </v:roundrect>
                  <v:shape id="ZoneTexte 23" o:spid="_x0000_s1050" type="#_x0000_t202" style="position:absolute;left:68675;top:14376;width:11459;height:8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2WsQA&#10;AADbAAAADwAAAGRycy9kb3ducmV2LnhtbESPQWvCQBSE7wX/w/IEb7qr2FbTbESUQk8tpip4e2Sf&#10;SWj2bchuTfrvuwWhx2FmvmHSzWAbcaPO1441zGcKBHHhTM2lhuPn63QFwgdkg41j0vBDHjbZ6CHF&#10;xLieD3TLQykihH2CGqoQ2kRKX1Rk0c9cSxy9q+sshii7UpoO+wi3jVwo9SQt1hwXKmxpV1HxlX9b&#10;Daf36+W8VB/l3j62vRuUZLuWWk/Gw/YFRKAh/Ifv7Tej4Xk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kNlrEAAAA2wAAAA8AAAAAAAAAAAAAAAAAmAIAAGRycy9k&#10;b3ducmV2LnhtbFBLBQYAAAAABAAEAPUAAACJAwAAAAA=&#10;" filled="f" stroked="f">
                    <v:textbox>
                      <w:txbxContent>
                        <w:p w:rsidR="00602F11" w:rsidRDefault="00602F11" w:rsidP="00764295">
                          <w:pPr>
                            <w:spacing w:before="0"/>
                          </w:pPr>
                          <w:r>
                            <w:rPr>
                              <w:rFonts w:asciiTheme="minorHAnsi" w:cstheme="minorBidi"/>
                              <w:b/>
                              <w:bCs/>
                              <w:color w:val="000000"/>
                              <w:kern w:val="24"/>
                              <w:sz w:val="28"/>
                              <w:szCs w:val="28"/>
                            </w:rPr>
                            <w:t>Cross-Layer</w:t>
                          </w:r>
                        </w:p>
                        <w:p w:rsidR="00602F11" w:rsidRDefault="00602F11" w:rsidP="00764295">
                          <w:pPr>
                            <w:spacing w:before="0"/>
                          </w:pPr>
                          <w:r>
                            <w:rPr>
                              <w:rFonts w:asciiTheme="minorHAnsi" w:cstheme="minorBidi"/>
                              <w:b/>
                              <w:bCs/>
                              <w:color w:val="000000"/>
                              <w:kern w:val="24"/>
                              <w:sz w:val="28"/>
                              <w:szCs w:val="28"/>
                            </w:rPr>
                            <w:t>Functions</w:t>
                          </w:r>
                        </w:p>
                      </w:txbxContent>
                    </v:textbox>
                  </v:shape>
                  <v:shape id="ZoneTexte 30" o:spid="_x0000_s1051" type="#_x0000_t202" style="position:absolute;left:4835;top:36605;width:11997;height:7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iTwcMA&#10;AADbAAAADwAAAGRycy9kb3ducmV2LnhtbESPQWvCQBSE7wX/w/KE3uquolbTbESUQk+KVgVvj+wz&#10;Cc2+DdmtSf99Vyj0OMzMN0y66m0t7tT6yrGG8UiBIM6dqbjQcPp8f1mA8AHZYO2YNPyQh1U2eEox&#10;Ma7jA92PoRARwj5BDWUITSKlz0uy6EeuIY7ezbUWQ5RtIU2LXYTbWk6UmkuLFceFEhvalJR/Hb+t&#10;hvPudr1M1b7Y2lnTuV5Jtkup9fOwX7+BCNSH//Bf+8NoeJ3B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iTwcMAAADbAAAADwAAAAAAAAAAAAAAAACYAgAAZHJzL2Rv&#10;d25yZXYueG1sUEsFBgAAAAAEAAQA9QAAAIgDAAAAAA==&#10;" filled="f" stroked="f">
                    <v:textbox>
                      <w:txbxContent>
                        <w:p w:rsidR="00602F11" w:rsidRPr="006C638F" w:rsidRDefault="00602F11" w:rsidP="00764295">
                          <w:pPr>
                            <w:spacing w:before="0"/>
                          </w:pPr>
                          <w:r w:rsidRPr="006C638F">
                            <w:rPr>
                              <w:rFonts w:asciiTheme="minorHAnsi" w:cstheme="minorBidi"/>
                              <w:b/>
                              <w:bCs/>
                              <w:color w:val="000000"/>
                              <w:kern w:val="24"/>
                            </w:rPr>
                            <w:t>Services</w:t>
                          </w:r>
                        </w:p>
                        <w:p w:rsidR="00602F11" w:rsidRPr="006C638F" w:rsidRDefault="00602F11" w:rsidP="00764295">
                          <w:pPr>
                            <w:spacing w:before="0"/>
                            <w:rPr>
                              <w:sz w:val="20"/>
                              <w:szCs w:val="20"/>
                            </w:rPr>
                          </w:pPr>
                          <w:r w:rsidRPr="006C638F">
                            <w:rPr>
                              <w:rFonts w:asciiTheme="minorHAnsi" w:cstheme="minorBidi"/>
                              <w:b/>
                              <w:bCs/>
                              <w:color w:val="000000"/>
                              <w:kern w:val="24"/>
                            </w:rPr>
                            <w:t>Layer</w:t>
                          </w:r>
                        </w:p>
                      </w:txbxContent>
                    </v:textbox>
                  </v:shape>
                  <v:roundrect id="Rectangle à coins arrondis 16" o:spid="_x0000_s1052" style="position:absolute;left:15930;top:13757;width:13380;height:548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X8acMA&#10;AADbAAAADwAAAGRycy9kb3ducmV2LnhtbESPQWsCMRSE70L/Q3gFb91sBbVujSKlrXrstoLH5+Z1&#10;s5i8LJtU139vhILHYWa+YebL3llxoi40nhU8ZzkI4srrhmsFP98fTy8gQkTWaD2TggsFWC4eBnMs&#10;tD/zF53KWIsE4VCgAhNjW0gZKkMOQ+Zb4uT9+s5hTLKrpe7wnODOylGeT6TDhtOCwZbeDFXH8s8p&#10;qDFOV+vtzn7a/Xj9Pi37w5GMUsPHfvUKIlIf7+H/9kYrmI3g9iX9AL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X8acMAAADbAAAADwAAAAAAAAAAAAAAAACYAgAAZHJzL2Rv&#10;d25yZXYueG1sUEsFBgAAAAAEAAQA9QAAAIgDAAAAAA==&#10;" filled="f" strokecolor="black [3213]" strokeweight=".5pt">
                    <v:textbox>
                      <w:txbxContent>
                        <w:p w:rsidR="00602F11" w:rsidRPr="006C638F" w:rsidRDefault="00602F11" w:rsidP="00764295">
                          <w:pPr>
                            <w:spacing w:before="0"/>
                            <w:jc w:val="center"/>
                            <w:rPr>
                              <w:sz w:val="20"/>
                              <w:szCs w:val="20"/>
                            </w:rPr>
                          </w:pPr>
                          <w:r w:rsidRPr="006C638F">
                            <w:rPr>
                              <w:rFonts w:asciiTheme="minorHAnsi" w:cstheme="minorBidi"/>
                              <w:color w:val="000000"/>
                              <w:kern w:val="24"/>
                              <w:sz w:val="20"/>
                              <w:szCs w:val="20"/>
                            </w:rPr>
                            <w:t>User Function</w:t>
                          </w:r>
                        </w:p>
                      </w:txbxContent>
                    </v:textbox>
                  </v:roundrect>
                  <v:roundrect id="Rectangle à coins arrondis 17" o:spid="_x0000_s1053" style="position:absolute;left:31369;top:13757;width:13380;height:548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2H7sQA&#10;AADcAAAADwAAAGRycy9kb3ducmV2LnhtbESPQWsCMRSE70L/Q3iF3jRr0apbo0hptR67Knh83Tw3&#10;i8nLskl1/femUOhxmJlvmPmyc1ZcqA21ZwXDQQaCuPS65krBfvfRn4IIEVmj9UwKbhRguXjozTHX&#10;/spfdCliJRKEQ44KTIxNLmUoDTkMA98QJ+/kW4cxybaSusVrgjsrn7PsRTqsOS0YbOjNUHkufpyC&#10;CuNktdke7Noex5v3SdF9n8ko9fTYrV5BROrif/iv/akVjEYz+D2Tjo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th+7EAAAA3AAAAA8AAAAAAAAAAAAAAAAAmAIAAGRycy9k&#10;b3ducmV2LnhtbFBLBQYAAAAABAAEAPUAAACJAwAAAAA=&#10;" filled="f" strokecolor="black [3213]" strokeweight=".5pt">
                    <v:textbox>
                      <w:txbxContent>
                        <w:p w:rsidR="00602F11" w:rsidRPr="006C638F" w:rsidRDefault="00602F11" w:rsidP="00764295">
                          <w:pPr>
                            <w:spacing w:before="0"/>
                            <w:jc w:val="center"/>
                            <w:rPr>
                              <w:sz w:val="20"/>
                              <w:szCs w:val="20"/>
                            </w:rPr>
                          </w:pPr>
                          <w:r w:rsidRPr="006C638F">
                            <w:rPr>
                              <w:rFonts w:asciiTheme="minorHAnsi" w:cstheme="minorBidi"/>
                              <w:color w:val="000000"/>
                              <w:kern w:val="24"/>
                              <w:sz w:val="20"/>
                              <w:szCs w:val="20"/>
                            </w:rPr>
                            <w:t>Partner</w:t>
                          </w:r>
                          <w:r>
                            <w:rPr>
                              <w:rFonts w:asciiTheme="minorHAnsi" w:cstheme="minorBidi"/>
                              <w:color w:val="000000"/>
                              <w:kern w:val="24"/>
                              <w:sz w:val="28"/>
                              <w:szCs w:val="28"/>
                            </w:rPr>
                            <w:t xml:space="preserve"> </w:t>
                          </w:r>
                          <w:r w:rsidRPr="006C638F">
                            <w:rPr>
                              <w:rFonts w:asciiTheme="minorHAnsi" w:cstheme="minorBidi"/>
                              <w:color w:val="000000"/>
                              <w:kern w:val="24"/>
                              <w:sz w:val="20"/>
                              <w:szCs w:val="20"/>
                            </w:rPr>
                            <w:t>Function</w:t>
                          </w:r>
                        </w:p>
                      </w:txbxContent>
                    </v:textbox>
                  </v:roundrect>
                  <v:roundrect id="Rectangle à coins arrondis 18" o:spid="_x0000_s1054" style="position:absolute;left:46189;top:13756;width:13379;height:548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cg2sQA&#10;AADcAAAADwAAAGRycy9kb3ducmV2LnhtbESPQWsCMRSE74X+h/CE3mrWoq6sRpFSa3vsquDxuXlu&#10;FpOXZZPq9t83BaHHYWa+YRar3llxpS40nhWMhhkI4srrhmsF+93meQYiRGSN1jMp+KEAq+XjwwIL&#10;7W/8Rdcy1iJBOBSowMTYFlKGypDDMPQtcfLOvnMYk+xqqTu8Jbiz8iXLptJhw2nBYEuvhqpL+e0U&#10;1Bjz9fbzYN/tcbJ9y8v+dCGj1NOgX89BROrjf/je/tAKxpMc/s6k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nINrEAAAA3AAAAA8AAAAAAAAAAAAAAAAAmAIAAGRycy9k&#10;b3ducmV2LnhtbFBLBQYAAAAABAAEAPUAAACJAwAAAAA=&#10;" filled="f" strokecolor="black [3213]" strokeweight=".5pt">
                    <v:textbox>
                      <w:txbxContent>
                        <w:p w:rsidR="00602F11" w:rsidRPr="007A238D" w:rsidRDefault="00602F11" w:rsidP="00764295">
                          <w:pPr>
                            <w:spacing w:before="0"/>
                            <w:jc w:val="center"/>
                            <w:rPr>
                              <w:sz w:val="18"/>
                              <w:szCs w:val="18"/>
                            </w:rPr>
                          </w:pPr>
                          <w:r w:rsidRPr="007A238D">
                            <w:rPr>
                              <w:rFonts w:asciiTheme="minorHAnsi" w:cstheme="minorBidi"/>
                              <w:color w:val="000000"/>
                              <w:kern w:val="24"/>
                              <w:sz w:val="18"/>
                              <w:szCs w:val="18"/>
                            </w:rPr>
                            <w:t>Administrator Function</w:t>
                          </w:r>
                        </w:p>
                      </w:txbxContent>
                    </v:textbox>
                  </v:roundrect>
                  <v:roundrect id="Rectangle à coins arrondis 19" o:spid="_x0000_s1055" style="position:absolute;left:39441;top:23066;width:13136;height:680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i0qMEA&#10;AADcAAAADwAAAGRycy9kb3ducmV2LnhtbERPz2vCMBS+C/4P4Qm7aboxdVSjlLHNeVw3weOzeWuK&#10;yUtpslr/e3MYePz4fq+3g7Oipy40nhU8zjIQxJXXDdcKfr7fpy8gQkTWaD2TgisF2G7GozXm2l/4&#10;i/oy1iKFcMhRgYmxzaUMlSGHYeZb4sT9+s5hTLCrpe7wksKdlU9ZtpAOG04NBlt6NVSdyz+noMa4&#10;LHb7g/2wx/nubVkOpzMZpR4mQ7ECEWmId/G/+1MreJ6ntelMOgJy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4tKjBAAAA3AAAAA8AAAAAAAAAAAAAAAAAmAIAAGRycy9kb3du&#10;cmV2LnhtbFBLBQYAAAAABAAEAPUAAACGAwAAAAA=&#10;" filled="f" strokecolor="black [3213]" strokeweight=".5pt">
                    <v:textbox>
                      <w:txbxContent>
                        <w:p w:rsidR="00602F11" w:rsidRPr="006C638F" w:rsidRDefault="00602F11" w:rsidP="00764295">
                          <w:pPr>
                            <w:spacing w:before="0"/>
                            <w:jc w:val="center"/>
                            <w:rPr>
                              <w:sz w:val="20"/>
                              <w:szCs w:val="20"/>
                            </w:rPr>
                          </w:pPr>
                          <w:r w:rsidRPr="006C638F">
                            <w:rPr>
                              <w:rFonts w:asciiTheme="minorHAnsi" w:cstheme="minorBidi"/>
                              <w:color w:val="000000"/>
                              <w:kern w:val="24"/>
                              <w:sz w:val="20"/>
                              <w:szCs w:val="20"/>
                            </w:rPr>
                            <w:t>Inter Cloud Function</w:t>
                          </w:r>
                        </w:p>
                      </w:txbxContent>
                    </v:textbox>
                  </v:roundrect>
                  <v:roundrect id="Rectangle à coins arrondis 20" o:spid="_x0000_s1056" style="position:absolute;left:24620;top:23066;width:13136;height:680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QRM8QA&#10;AADcAAAADwAAAGRycy9kb3ducmV2LnhtbESPT2sCMRTE74V+h/AK3mq2RatujSLFP/XoquDxdfO6&#10;WUxelk3U7bdvCgWPw8z8hpnOO2fFldpQe1bw0s9AEJde11wpOOxXz2MQISJrtJ5JwQ8FmM8eH6aY&#10;a3/jHV2LWIkE4ZCjAhNjk0sZSkMOQ983xMn79q3DmGRbSd3iLcGdla9Z9iYd1pwWDDb0Yag8Fxen&#10;oMI4Wmy2R7u2p+FmOSq6rzMZpXpP3eIdRKQu3sP/7U+tYDCcwN+ZdATk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0ETPEAAAA3AAAAA8AAAAAAAAAAAAAAAAAmAIAAGRycy9k&#10;b3ducmV2LnhtbFBLBQYAAAAABAAEAPUAAACJAwAAAAA=&#10;" filled="f" strokecolor="black [3213]" strokeweight=".5pt">
                    <v:textbox>
                      <w:txbxContent>
                        <w:p w:rsidR="00602F11" w:rsidRPr="006C638F" w:rsidRDefault="00602F11" w:rsidP="00764295">
                          <w:pPr>
                            <w:spacing w:before="0"/>
                            <w:jc w:val="center"/>
                            <w:rPr>
                              <w:sz w:val="20"/>
                              <w:szCs w:val="20"/>
                            </w:rPr>
                          </w:pPr>
                          <w:r w:rsidRPr="006C638F">
                            <w:rPr>
                              <w:rFonts w:asciiTheme="minorHAnsi" w:cstheme="minorBidi"/>
                              <w:color w:val="000000"/>
                              <w:kern w:val="24"/>
                              <w:sz w:val="20"/>
                              <w:szCs w:val="20"/>
                            </w:rPr>
                            <w:t>Endpoint Function</w:t>
                          </w:r>
                        </w:p>
                      </w:txbxContent>
                    </v:textbox>
                  </v:roundrect>
                  <v:group id="Group 460" o:spid="_x0000_s1057" style="position:absolute;left:16082;top:34712;width:23869;height:13556" coordorigin="16082,35063" coordsize="36509,216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ceMIAAADcAAAADwAAAGRycy9kb3ducmV2LnhtbERPy4rCMBTdC/MP4Q64&#10;07SjlqEaRWRGXIjgAwZ3l+baFpub0mTa+vdmIbg8nPdi1ZtKtNS40rKCeByBIM6sLjlXcDn/jr5B&#10;OI+ssbJMCh7kYLX8GCww1bbjI7Unn4sQwi5FBYX3dSqlywoy6Ma2Jg7czTYGfYBNLnWDXQg3lfyK&#10;okQaLDk0FFjTpqDsfvo3CrYddutJ/NPu77fN43qeHf72MSk1/OzXcxCeev8Wv9w7rWCa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13HjCAAAA3AAAAA8A&#10;AAAAAAAAAAAAAAAAqgIAAGRycy9kb3ducmV2LnhtbFBLBQYAAAAABAAEAPoAAACZAwAAAAA=&#10;">
                    <v:shape id="L-Shape 461" o:spid="_x0000_s1058" style="position:absolute;left:34109;top:35067;width:18375;height:19622;rotation:180;visibility:visible;mso-wrap-style:square;v-text-anchor:middle" coordsize="1837512,19621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ZEB8YA&#10;AADcAAAADwAAAGRycy9kb3ducmV2LnhtbESPQWvCQBSE7wX/w/IK3upuSkkldZUilBY8iNHS9vbI&#10;vmaD2bchu43x37uC0OMwM98wi9XoWjFQHxrPGrKZAkFcedNwreGwf3uYgwgR2WDrmTScKcBqOblb&#10;YGH8iXc0lLEWCcKhQA02xq6QMlSWHIaZ74iT9+t7hzHJvpamx1OCu1Y+KpVLhw2nBYsdrS1Vx/LP&#10;aXDP7ee3/VFdVmZfQ/5eq812PGo9vR9fX0BEGuN/+Nb+MBqe8gyuZ9IR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ZEB8YAAADcAAAADwAAAAAAAAAAAAAAAACYAgAAZHJz&#10;L2Rvd25yZXYueG1sUEsFBgAAAAAEAAQA9QAAAIsDAAAAAA==&#10;" adj="-11796480,,5400" path="m,l352839,r,1568906l1837512,1568906r,393246l,1962152,,xe" fillcolor="#cf6" strokecolor="#4579b8 [3044]">
                      <v:stroke joinstyle="miter"/>
                      <v:shadow on="t" color="black" opacity="22937f" origin=",.5" offset="0,.63889mm"/>
                      <v:formulas/>
                      <v:path arrowok="t" o:connecttype="custom" o:connectlocs="0,0;352839,0;352839,1568906;1837512,1568906;1837512,1962152;0,1962152;0,0" o:connectangles="0,0,0,0,0,0,0" textboxrect="0,0,1837512,1962152"/>
                      <v:textbox>
                        <w:txbxContent>
                          <w:p w:rsidR="00602F11" w:rsidRDefault="00602F11" w:rsidP="00764295">
                            <w:pPr>
                              <w:rPr>
                                <w:rFonts w:eastAsia="Times New Roman"/>
                              </w:rPr>
                            </w:pPr>
                          </w:p>
                        </w:txbxContent>
                      </v:textbox>
                    </v:shape>
                    <v:shape id="L-Shape 462" o:spid="_x0000_s1059" style="position:absolute;left:22525;top:45583;width:18492;height:9106;rotation:180;visibility:visible;mso-wrap-style:square;v-text-anchor:middle" coordsize="1849141,9105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AS9sQA&#10;AADcAAAADwAAAGRycy9kb3ducmV2LnhtbESPQWsCMRSE7wX/Q3hCbzXrImJXo4ggFT2UWvH82Dw3&#10;i8nLuknd7b83QqHHYWa+YRar3llxpzbUnhWMRxkI4tLrmisFp+/t2wxEiMgarWdS8EsBVsvBywIL&#10;7Tv+ovsxViJBOBSowMTYFFKG0pDDMPINcfIuvnUYk2wrqVvsEtxZmWfZVDqsOS0YbGhjqLwef5yC&#10;g7lhPusq+364lJ/bxu7d+WOv1OuwX89BROrjf/ivvdMKJtMcnmfSEZ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wEvbEAAAA3AAAAA8AAAAAAAAAAAAAAAAAmAIAAGRycy9k&#10;b3ducmV2LnhtbFBLBQYAAAAABAAEAPUAAACJAwAAAAA=&#10;" adj="-11796480,,5400" path="m,l308957,r,578895l1849141,578895r,331704l,910599,,xe" fillcolor="#ffc" strokecolor="#4579b8 [3044]">
                      <v:stroke joinstyle="miter"/>
                      <v:shadow on="t" color="black" opacity="22937f" origin=",.5" offset="0,.63889mm"/>
                      <v:formulas/>
                      <v:path arrowok="t" o:connecttype="custom" o:connectlocs="0,0;308957,0;308957,578895;1849141,578895;1849141,910599;0,910599;0,0" o:connectangles="0,0,0,0,0,0,0" textboxrect="0,0,1849141,910599"/>
                      <v:textbox>
                        <w:txbxContent>
                          <w:p w:rsidR="00602F11" w:rsidRDefault="00602F11" w:rsidP="00764295">
                            <w:pPr>
                              <w:rPr>
                                <w:rFonts w:eastAsia="Times New Roman"/>
                              </w:rPr>
                            </w:pPr>
                          </w:p>
                        </w:txbxContent>
                      </v:textbox>
                    </v:shape>
                    <v:shape id="L-Shape 463" o:spid="_x0000_s1060" style="position:absolute;left:28550;top:40280;width:18514;height:14409;rotation:180;visibility:visible;mso-wrap-style:square;v-text-anchor:middle" coordsize="1851468,14408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VGdsYA&#10;AADcAAAADwAAAGRycy9kb3ducmV2LnhtbESPzWsCMRTE7wX/h/CE3mrWD6SuRvEDpQcRql68PTav&#10;m6Wbl2UTNe1f3xQEj8PM/IaZLaKtxY1aXzlW0O9lIIgLpysuFZxP27d3ED4ga6wdk4If8rCYd15m&#10;mGt350+6HUMpEoR9jgpMCE0upS8MWfQ91xAn78u1FkOSbSl1i/cEt7UcZNlYWqw4LRhsaG2o+D5e&#10;rYKVKZcnvu4Og2jjfnvxv+vJYaPUazcupyACxfAMP9ofWsFoPIT/M+kI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VGdsYAAADcAAAADwAAAAAAAAAAAAAAAACYAgAAZHJz&#10;L2Rvd25yZXYueG1sUEsFBgAAAAAEAAQA9QAAAIsDAAAAAA==&#10;" adj="-11796480,,5400" path="m,l395442,r,1034214l1851468,1034214r,406637l,1440851,,xe" fillcolor="#ccf" strokecolor="#4579b8 [3044]">
                      <v:stroke joinstyle="miter"/>
                      <v:shadow on="t" color="black" opacity="22937f" origin=",.5" offset="0,.63889mm"/>
                      <v:formulas/>
                      <v:path arrowok="t" o:connecttype="custom" o:connectlocs="0,0;395442,0;395442,1034214;1851468,1034214;1851468,1440851;0,1440851;0,0" o:connectangles="0,0,0,0,0,0,0" textboxrect="0,0,1851468,1440851"/>
                      <v:textbox>
                        <w:txbxContent>
                          <w:p w:rsidR="00602F11" w:rsidRDefault="00602F11" w:rsidP="00764295">
                            <w:pPr>
                              <w:rPr>
                                <w:rFonts w:eastAsia="Times New Roman"/>
                              </w:rPr>
                            </w:pPr>
                          </w:p>
                        </w:txbxContent>
                      </v:textbox>
                    </v:shape>
                    <v:rect id="Rectangle 464" o:spid="_x0000_s1061" style="position:absolute;left:16082;top:50348;width:19399;height:43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iPgMUA&#10;AADcAAAADwAAAGRycy9kb3ducmV2LnhtbESPQWvCQBSE74L/YXmCN91ErCmpGxEhWCg9aHvp7TX7&#10;zAazb0N2Nem/7xYKHoeZ+YbZ7kbbijv1vnGsIF0mIIgrpxuuFXx+lItnED4ga2wdk4If8rArppMt&#10;5toNfKL7OdQiQtjnqMCE0OVS+sqQRb90HXH0Lq63GKLsa6l7HCLctnKVJBtpseG4YLCjg6Hqer5Z&#10;BWXGw9f4XsrscLwlmene6qf0W6n5bNy/gAg0hkf4v/2qFaw3a/g7E4+AL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2I+AxQAAANwAAAAPAAAAAAAAAAAAAAAAAJgCAABkcnMv&#10;ZG93bnJldi54bWxQSwUGAAAAAAQABAD1AAAAigMAAAAA&#10;" fillcolor="#f9f" strokecolor="#4579b8 [3044]">
                      <v:shadow on="t" color="black" opacity="22937f" origin=",.5" offset="0,.63889mm"/>
                      <v:textbox>
                        <w:txbxContent>
                          <w:p w:rsidR="00602F11" w:rsidRPr="006C638F" w:rsidRDefault="00602F11" w:rsidP="00764295">
                            <w:pPr>
                              <w:rPr>
                                <w:rFonts w:eastAsia="Times New Roman"/>
                                <w:sz w:val="20"/>
                                <w:szCs w:val="20"/>
                              </w:rPr>
                            </w:pPr>
                          </w:p>
                        </w:txbxContent>
                      </v:textbox>
                    </v:rect>
                    <v:shape id="TextBox 16" o:spid="_x0000_s1062" type="#_x0000_t202" style="position:absolute;left:34054;top:35063;width:18538;height:4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b6XMMA&#10;AADcAAAADwAAAGRycy9kb3ducmV2LnhtbESPT4vCMBTE7wt+h/AEb2vioqLVKLIi7ElZ/4G3R/Ns&#10;i81LaaLtfnsjLHgcZuY3zHzZ2lI8qPaFYw2DvgJBnDpTcKbheNh8TkD4gGywdEwa/sjDctH5mGNi&#10;XMO/9NiHTEQI+wQ15CFUiZQ+zcmi77uKOHpXV1sMUdaZNDU2EW5L+aXUWFosOC7kWNF3Tultf7ca&#10;Ttvr5TxUu2xtR1XjWiXZTqXWvW67moEI1IZ3+L/9YzQMxyN4nYlH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b6XMMAAADcAAAADwAAAAAAAAAAAAAAAACYAgAAZHJzL2Rv&#10;d25yZXYueG1sUEsFBgAAAAAEAAQA9QAAAIgDAAAAAA==&#10;" filled="f" stroked="f">
                      <v:textbox>
                        <w:txbxContent>
                          <w:p w:rsidR="00602F11" w:rsidRPr="003435AB" w:rsidRDefault="00602F11" w:rsidP="00764295">
                            <w:pPr>
                              <w:spacing w:before="0"/>
                              <w:rPr>
                                <w:sz w:val="18"/>
                                <w:szCs w:val="18"/>
                              </w:rPr>
                            </w:pPr>
                            <w:r w:rsidRPr="003435AB">
                              <w:rPr>
                                <w:rFonts w:ascii="Arial" w:hAnsi="Arial" w:cstheme="minorBidi"/>
                                <w:color w:val="4A442A" w:themeColor="background2" w:themeShade="40"/>
                                <w:kern w:val="24"/>
                                <w:sz w:val="18"/>
                                <w:szCs w:val="18"/>
                              </w:rPr>
                              <w:t>SaaS / CaaS</w:t>
                            </w:r>
                          </w:p>
                        </w:txbxContent>
                      </v:textbox>
                    </v:shape>
                    <v:shape id="TextBox 50" o:spid="_x0000_s1063" type="#_x0000_t202" style="position:absolute;left:29013;top:39807;width:7256;height:4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RkK8QA&#10;AADcAAAADwAAAGRycy9kb3ducmV2LnhtbESPT4vCMBTE7wt+h/AEb2uiaHG7RhFF8OSy/lnY26N5&#10;tsXmpTTR1m9vFhY8DjPzG2a+7Gwl7tT40rGG0VCBIM6cKTnXcDpu32cgfEA2WDkmDQ/ysFz03uaY&#10;GtfyN90PIRcRwj5FDUUIdSqlzwqy6IeuJo7exTUWQ5RNLk2DbYTbSo6VSqTFkuNCgTWtC8quh5vV&#10;cN5ffn8m6ivf2Gnduk5Jth9S60G/W32CCNSFV/i/vTMaJkkCf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EZCvEAAAA3AAAAA8AAAAAAAAAAAAAAAAAmAIAAGRycy9k&#10;b3ducmV2LnhtbFBLBQYAAAAABAAEAPUAAACJAwAAAAA=&#10;" filled="f" stroked="f">
                      <v:textbox>
                        <w:txbxContent>
                          <w:p w:rsidR="00602F11" w:rsidRDefault="00602F11" w:rsidP="00764295">
                            <w:pPr>
                              <w:spacing w:before="0"/>
                            </w:pPr>
                            <w:r w:rsidRPr="003435AB">
                              <w:rPr>
                                <w:rFonts w:ascii="Arial" w:hAnsi="Arial" w:cstheme="minorBidi"/>
                                <w:color w:val="4A442A" w:themeColor="background2" w:themeShade="40"/>
                                <w:kern w:val="24"/>
                                <w:sz w:val="18"/>
                                <w:szCs w:val="18"/>
                              </w:rPr>
                              <w:t>Paa</w:t>
                            </w:r>
                            <w:r>
                              <w:rPr>
                                <w:rFonts w:ascii="Arial" w:hAnsi="Arial" w:cstheme="minorBidi"/>
                                <w:color w:val="4A442A" w:themeColor="background2" w:themeShade="40"/>
                                <w:kern w:val="24"/>
                              </w:rPr>
                              <w:t>S</w:t>
                            </w:r>
                          </w:p>
                        </w:txbxContent>
                      </v:textbox>
                    </v:shape>
                    <v:shape id="TextBox 51" o:spid="_x0000_s1064" type="#_x0000_t202" style="position:absolute;left:22663;top:45238;width:6478;height:4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jBsMUA&#10;AADcAAAADwAAAGRycy9kb3ducmV2LnhtbESPzWrDMBCE74G8g9hAb43UkL+6lkNIKPSUErcp9LZY&#10;G9vUWhlLjZ23jwqFHIeZ+YZJN4NtxIU6XzvW8DRVIIgLZ2ouNXx+vD6uQfiAbLBxTBqu5GGTjUcp&#10;Jsb1fKRLHkoRIewT1FCF0CZS+qIii37qWuLonV1nMUTZldJ02Ee4beRMqaW0WHNcqLClXUXFT/5r&#10;NZwO5++vuXov93bR9m5Qku2z1PphMmxfQAQawj38334zGubLF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CMGwxQAAANwAAAAPAAAAAAAAAAAAAAAAAJgCAABkcnMv&#10;ZG93bnJldi54bWxQSwUGAAAAAAQABAD1AAAAigMAAAAA&#10;" filled="f" stroked="f">
                      <v:textbox>
                        <w:txbxContent>
                          <w:p w:rsidR="00602F11" w:rsidRDefault="00602F11" w:rsidP="00764295">
                            <w:pPr>
                              <w:spacing w:before="0"/>
                            </w:pPr>
                            <w:r w:rsidRPr="003435AB">
                              <w:rPr>
                                <w:rFonts w:ascii="Arial" w:hAnsi="Arial" w:cstheme="minorBidi"/>
                                <w:color w:val="4A442A" w:themeColor="background2" w:themeShade="40"/>
                                <w:kern w:val="24"/>
                                <w:sz w:val="18"/>
                                <w:szCs w:val="18"/>
                              </w:rPr>
                              <w:t>Iaa</w:t>
                            </w:r>
                            <w:r>
                              <w:rPr>
                                <w:rFonts w:ascii="Arial" w:hAnsi="Arial" w:cstheme="minorBidi"/>
                                <w:color w:val="4A442A" w:themeColor="background2" w:themeShade="40"/>
                                <w:kern w:val="24"/>
                              </w:rPr>
                              <w:t>S</w:t>
                            </w:r>
                          </w:p>
                        </w:txbxContent>
                      </v:textbox>
                    </v:shape>
                    <v:shape id="TextBox 52" o:spid="_x0000_s1065" type="#_x0000_t202" style="position:absolute;left:18663;top:50338;width:7363;height:6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Vwr8A&#10;AADcAAAADwAAAGRycy9kb3ducmV2LnhtbERPTYvCMBC9C/6HMII3TRSVtRpFFMHTLroqeBuasS02&#10;k9JE2/335rDg8fG+l+vWluJFtS8caxgNFQji1JmCMw3n3/3gC4QPyAZLx6ThjzysV93OEhPjGj7S&#10;6xQyEUPYJ6ghD6FKpPRpThb90FXEkbu72mKIsM6kqbGJ4baUY6Vm0mLBsSHHirY5pY/T02q4fN9v&#10;14n6yXZ2WjWuVZLtXGrd77WbBYhAbfiI/90Ho2Eyi2vjmXgE5O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l1XCvwAAANwAAAAPAAAAAAAAAAAAAAAAAJgCAABkcnMvZG93bnJl&#10;di54bWxQSwUGAAAAAAQABAD1AAAAhAMAAAAA&#10;" filled="f" stroked="f">
                      <v:textbox>
                        <w:txbxContent>
                          <w:p w:rsidR="00602F11" w:rsidRPr="006C638F" w:rsidRDefault="00602F11" w:rsidP="00764295">
                            <w:pPr>
                              <w:spacing w:before="0"/>
                              <w:rPr>
                                <w:sz w:val="18"/>
                                <w:szCs w:val="18"/>
                              </w:rPr>
                            </w:pPr>
                            <w:r w:rsidRPr="006C638F">
                              <w:rPr>
                                <w:rFonts w:ascii="Arial" w:hAnsi="Arial" w:cstheme="minorBidi"/>
                                <w:color w:val="4A442A" w:themeColor="background2" w:themeShade="40"/>
                                <w:kern w:val="24"/>
                                <w:sz w:val="18"/>
                                <w:szCs w:val="18"/>
                              </w:rPr>
                              <w:t>NaaS</w:t>
                            </w:r>
                          </w:p>
                        </w:txbxContent>
                      </v:textbox>
                    </v:shape>
                  </v:group>
                  <v:roundrect id="Rectangle à coins arrondis 22" o:spid="_x0000_s1066" style="position:absolute;left:45998;top:38442;width:17942;height:720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jbjsQA&#10;AADcAAAADwAAAGRycy9kb3ducmV2LnhtbESPS2vDMBCE74X+B7GF3ho5JU83Sgglj+ZYJ4Ect9bG&#10;MpFWxlIT599XhUKPw8x8w8wWnbPiSm2oPSvo9zIQxKXXNVcKDvv1ywREiMgarWdScKcAi/njwwxz&#10;7W/8SdciViJBOOSowMTY5FKG0pDD0PMNcfLOvnUYk2wrqVu8Jbiz8jXLRtJhzWnBYEPvhspL8e0U&#10;VBjHy+3uaDf2NNyuxkX3dSGj1PNTt3wDEamL/+G/9odWMBhN4fdMOgJy/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Y247EAAAA3AAAAA8AAAAAAAAAAAAAAAAAmAIAAGRycy9k&#10;b3ducmV2LnhtbFBLBQYAAAAABAAEAPUAAACJAwAAAAA=&#10;" filled="f" strokecolor="black [3213]" strokeweight=".5pt">
                    <v:textbox>
                      <w:txbxContent>
                        <w:p w:rsidR="00602F11" w:rsidRPr="006C638F" w:rsidRDefault="00602F11" w:rsidP="00764295">
                          <w:pPr>
                            <w:spacing w:before="0"/>
                            <w:jc w:val="center"/>
                          </w:pPr>
                          <w:r w:rsidRPr="006C638F">
                            <w:rPr>
                              <w:rFonts w:asciiTheme="minorHAnsi" w:cstheme="minorBidi"/>
                              <w:color w:val="000000"/>
                              <w:kern w:val="24"/>
                            </w:rPr>
                            <w:t>Service Orchestration</w:t>
                          </w:r>
                        </w:p>
                      </w:txbxContent>
                    </v:textbox>
                  </v:roundrect>
                  <v:roundrect id="Text Box 11" o:spid="_x0000_s1067" style="position:absolute;left:15815;top:58589;width:49911;height:620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h5AsAA&#10;AADcAAAADwAAAGRycy9kb3ducmV2LnhtbERPy2oCMRTdF/oP4Ra6q0lLGWU0ihUKXSk+PuAyuU5G&#10;JzdpEnX8+2ZRcHk479licL24UkydZw3vIwWCuPGm41bDYf/9NgGRMrLB3jNpuFOCxfz5aYa18Tfe&#10;0nWXW1FCONWoweYcailTY8lhGvlAXLijjw5zgbGVJuKthLtefihVSYcdlwaLgVaWmvPu4jTEyeYU&#10;1Kr5vazt13ijQnXmUGn9+jIspyAyDfkh/nf/GA2f4zK/nClHQM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Gh5AsAAAADcAAAADwAAAAAAAAAAAAAAAACYAgAAZHJzL2Rvd25y&#10;ZXYueG1sUEsFBgAAAAAEAAQA9QAAAIUDAAAAAA==&#10;" fillcolor="#a6a6a6" strokecolor="black [3213]">
                    <v:imagedata embosscolor="shadow add(51)"/>
                    <v:shadow on="t" type="emboss" color="#646464" color2="shadow add(102)" offset="1pt,1pt" offset2="-1pt,-1pt"/>
                    <v:textbox>
                      <w:txbxContent>
                        <w:p w:rsidR="00602F11" w:rsidRPr="00764295" w:rsidRDefault="00602F11" w:rsidP="00764295">
                          <w:pPr>
                            <w:kinsoku w:val="0"/>
                            <w:overflowPunct w:val="0"/>
                            <w:rPr>
                              <w:sz w:val="12"/>
                              <w:szCs w:val="12"/>
                            </w:rPr>
                          </w:pPr>
                          <w:r w:rsidRPr="00764295">
                            <w:rPr>
                              <w:rFonts w:cs="Arial"/>
                              <w:b/>
                              <w:bCs/>
                              <w:color w:val="141445"/>
                              <w:kern w:val="24"/>
                              <w:sz w:val="12"/>
                              <w:szCs w:val="12"/>
                            </w:rPr>
                            <w:t>Physical</w:t>
                          </w:r>
                          <w:r w:rsidRPr="00764295">
                            <w:rPr>
                              <w:rFonts w:cs="Arial"/>
                              <w:b/>
                              <w:bCs/>
                              <w:color w:val="141445"/>
                              <w:kern w:val="24"/>
                              <w:sz w:val="12"/>
                              <w:szCs w:val="12"/>
                            </w:rPr>
                            <w:br/>
                            <w:t>Resources</w:t>
                          </w:r>
                        </w:p>
                      </w:txbxContent>
                    </v:textbox>
                  </v:roundrect>
                  <v:roundrect id="Rectangle 59" o:spid="_x0000_s1068" style="position:absolute;left:15757;top:53636;width:49735;height:493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lGU8YA&#10;AADcAAAADwAAAGRycy9kb3ducmV2LnhtbESPT2sCMRTE74LfITzBm2YV28q6UUQq2EIPag89vm7e&#10;/tHNyzaJuv32Rij0OMzMb5hs1ZlGXMn52rKCyTgBQZxbXXOp4PO4Hc1B+ICssbFMCn7Jw2rZ72WY&#10;anvjPV0PoRQRwj5FBVUIbSqlzysy6Me2JY5eYZ3BEKUrpXZ4i3DTyGmSPEuDNceFClvaVJSfDxej&#10;wB6TRs7Pm5/96bvYvr+6p6/y402p4aBbL0AE6sJ/+K+90wpmLxN4nIlH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lGU8YAAADcAAAADwAAAAAAAAAAAAAAAACYAgAAZHJz&#10;L2Rvd25yZXYueG1sUEsFBgAAAAAEAAQA9QAAAIsDAAAAAA==&#10;" fillcolor="#0cf" strokecolor="black [3213]" strokeweight="1pt">
                    <v:imagedata embosscolor="shadow add(51)"/>
                    <v:shadow on="t" type="emboss" color="#004373" color2="shadow add(102)" offset="1pt,1pt" offset2="-1pt,-1pt"/>
                    <v:textbox>
                      <w:txbxContent>
                        <w:p w:rsidR="00602F11" w:rsidRPr="00764295" w:rsidRDefault="00602F11" w:rsidP="00764295">
                          <w:pPr>
                            <w:kinsoku w:val="0"/>
                            <w:overflowPunct w:val="0"/>
                            <w:spacing w:before="0"/>
                            <w:rPr>
                              <w:sz w:val="12"/>
                              <w:szCs w:val="12"/>
                            </w:rPr>
                          </w:pPr>
                          <w:r w:rsidRPr="00764295">
                            <w:rPr>
                              <w:rFonts w:cs="Arial"/>
                              <w:b/>
                              <w:bCs/>
                              <w:color w:val="141445"/>
                              <w:kern w:val="24"/>
                              <w:sz w:val="12"/>
                              <w:szCs w:val="12"/>
                            </w:rPr>
                            <w:t xml:space="preserve">Pooling &amp; </w:t>
                          </w:r>
                          <w:r w:rsidRPr="00764295">
                            <w:rPr>
                              <w:rFonts w:cs="Arial"/>
                              <w:b/>
                              <w:bCs/>
                              <w:color w:val="141445"/>
                              <w:kern w:val="24"/>
                              <w:sz w:val="12"/>
                              <w:szCs w:val="12"/>
                            </w:rPr>
                            <w:br/>
                            <w:t>Virtualization</w:t>
                          </w:r>
                        </w:p>
                      </w:txbxContent>
                    </v:textbox>
                  </v:roundrect>
                  <v:roundrect id="Text Box 11" o:spid="_x0000_s1069" style="position:absolute;left:15716;top:49943;width:49847;height:300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wWdsUA&#10;AADcAAAADwAAAGRycy9kb3ducmV2LnhtbESPQUvDQBSE70L/w/IKvYjdGKSV2G1RQdqDF2u9P7PP&#10;bGj2bZK3pqm/3hUKHoeZ+YZZbUbfqIF6qQMbuJ1noIjLYGuuDBzeX27uQUlEttgEJgNnEtisJ1cr&#10;LGw48RsN+1ipBGEp0ICLsS20ltKRR5mHljh5X6H3GJPsK217PCW4b3SeZQvtsea04LClZ0flcf/t&#10;DfzYDyfH7Wdz/TR0O34l2XZRjJlNx8cHUJHG+B++tHfWwN0yh78z6Qjo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PBZ2xQAAANwAAAAPAAAAAAAAAAAAAAAAAJgCAABkcnMv&#10;ZG93bnJldi54bWxQSwUGAAAAAAQABAD1AAAAigMAAAAA&#10;" fillcolor="#0fc" strokecolor="black [3213]">
                    <v:imagedata embosscolor="shadow add(51)"/>
                    <v:shadow on="t" type="emboss" color="#646464" color2="shadow add(102)" offset="1pt,1pt" offset2="-1pt,-1pt"/>
                    <v:textbox>
                      <w:txbxContent>
                        <w:p w:rsidR="00602F11" w:rsidRPr="00764295" w:rsidRDefault="00602F11" w:rsidP="00764295">
                          <w:pPr>
                            <w:spacing w:before="0"/>
                            <w:jc w:val="center"/>
                            <w:rPr>
                              <w:rFonts w:asciiTheme="minorHAnsi" w:cstheme="minorBidi"/>
                              <w:b/>
                              <w:bCs/>
                              <w:color w:val="000000"/>
                              <w:kern w:val="24"/>
                              <w:sz w:val="16"/>
                              <w:szCs w:val="16"/>
                            </w:rPr>
                          </w:pPr>
                          <w:r w:rsidRPr="00764295">
                            <w:rPr>
                              <w:rFonts w:asciiTheme="minorHAnsi" w:cstheme="minorBidi"/>
                              <w:b/>
                              <w:bCs/>
                              <w:color w:val="000000"/>
                              <w:kern w:val="24"/>
                              <w:sz w:val="16"/>
                              <w:szCs w:val="16"/>
                            </w:rPr>
                            <w:t xml:space="preserve">Resource Orchestration  </w:t>
                          </w:r>
                        </w:p>
                      </w:txbxContent>
                    </v:textbox>
                  </v:roundrect>
                  <v:roundrect id="Rectangle à coins arrondis 26" o:spid="_x0000_s1070" style="position:absolute;left:68679;top:35490;width:11659;height:629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UcpcEA&#10;AADcAAAADwAAAGRycy9kb3ducmV2LnhtbERPy4rCMBTdC/5DuMLsbKoMOnSMUgYUNy584PpOc207&#10;NjedJn3492YhuDyc92ozmEp01LjSsoJZFIMgzqwuOVdwOW+nXyCcR9ZYWSYFD3KwWY9HK0y07flI&#10;3cnnIoSwS1BB4X2dSOmyggy6yNbEgbvZxqAPsMmlbrAP4aaS8zheSIMlh4YCa/opKLufWqOgag/X&#10;djez979bp4//u236q9NeqY/JkH6D8DT4t/jl3msFn8uwNpwJR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1HKXBAAAA3AAAAA8AAAAAAAAAAAAAAAAAmAIAAGRycy9kb3du&#10;cmV2LnhtbFBLBQYAAAAABAAEAPUAAACGAwAAAAA=&#10;" fillcolor="white [3212]" strokecolor="black [3213]" strokeweight=".5pt">
                    <v:textbox>
                      <w:txbxContent>
                        <w:p w:rsidR="00602F11" w:rsidRPr="009F54DC" w:rsidRDefault="00602F11" w:rsidP="00764295">
                          <w:pPr>
                            <w:spacing w:before="0"/>
                            <w:jc w:val="center"/>
                            <w:rPr>
                              <w:rFonts w:asciiTheme="minorHAnsi" w:cstheme="minorBidi"/>
                              <w:color w:val="000000"/>
                              <w:kern w:val="24"/>
                              <w:sz w:val="20"/>
                              <w:szCs w:val="20"/>
                            </w:rPr>
                          </w:pPr>
                          <w:r w:rsidRPr="009F54DC">
                            <w:rPr>
                              <w:rFonts w:asciiTheme="minorHAnsi" w:cstheme="minorBidi"/>
                              <w:color w:val="000000"/>
                              <w:kern w:val="24"/>
                              <w:sz w:val="20"/>
                              <w:szCs w:val="20"/>
                            </w:rPr>
                            <w:t>Cloud Performance Function</w:t>
                          </w:r>
                        </w:p>
                      </w:txbxContent>
                    </v:textbox>
                  </v:roundrect>
                  <v:rect id="Rectangle 896" o:spid="_x0000_s1071" style="position:absolute;left:24127;top:55082;width:3698;height:26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tDw8YA&#10;AADcAAAADwAAAGRycy9kb3ducmV2LnhtbESPQWvCQBSE70L/w/IKvZlNPYiNbsQWWvRgoabi9ZF9&#10;ycZm36bZVeO/dwtCj8PMfMMsloNtxZl63zhW8JykIIhLpxuuFXwX7+MZCB+QNbaOScGVPCzzh9EC&#10;M+0u/EXnXahFhLDPUIEJocuk9KUhiz5xHXH0KtdbDFH2tdQ9XiLctnKSplNpseG4YLCjN0Plz+5k&#10;FUxS9J/V8XQ4FGaz/dj/DmZdvCr19Dis5iACDeE/fG+vtYLZyxT+zsQjI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LtDw8YAAADcAAAADwAAAAAAAAAAAAAAAACYAgAAZHJz&#10;L2Rvd25yZXYueG1sUEsFBgAAAAAEAAQA9QAAAIsDAAAAAA==&#10;" fillcolor="white [3212]" strokecolor="#a5a5a5 [2092]" strokeweight=".5pt">
                    <v:shadow on="t" color="black" opacity="17694f" offset="0,4pt"/>
                    <v:textbox>
                      <w:txbxContent>
                        <w:p w:rsidR="00602F11" w:rsidRDefault="00602F11" w:rsidP="00764295">
                          <w:pPr>
                            <w:spacing w:before="0"/>
                            <w:jc w:val="center"/>
                          </w:pPr>
                          <w:r>
                            <w:rPr>
                              <w:rFonts w:asciiTheme="minorHAnsi" w:cstheme="minorBidi"/>
                              <w:b/>
                              <w:bCs/>
                              <w:color w:val="000000"/>
                              <w:kern w:val="24"/>
                              <w:sz w:val="16"/>
                              <w:szCs w:val="16"/>
                            </w:rPr>
                            <w:t>VN</w:t>
                          </w:r>
                        </w:p>
                      </w:txbxContent>
                    </v:textbox>
                  </v:rect>
                  <v:rect id="Rectangle 897" o:spid="_x0000_s1072" style="position:absolute;left:28163;top:55082;width:3698;height:26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mWMUA&#10;AADcAAAADwAAAGRycy9kb3ducmV2LnhtbESPQWsCMRSE74X+h/AK3mq2HqyuRmkFxR4UdBWvj81z&#10;s3bzsm6irv++KQgeh5n5hhlPW1uJKzW+dKzgo5uAIM6dLrlQsMvm7wMQPiBrrByTgjt5mE5eX8aY&#10;anfjDV23oRARwj5FBSaEOpXS54Ys+q6riaN3dI3FEGVTSN3gLcJtJXtJ0pcWS44LBmuaGcp/txer&#10;oJegXx9Pl8MhMz+rxf7cmmX2rVTnrf0agQjUhmf40V5qBYPhJ/yfiUdAT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ZYxQAAANwAAAAPAAAAAAAAAAAAAAAAAJgCAABkcnMv&#10;ZG93bnJldi54bWxQSwUGAAAAAAQABAD1AAAAigMAAAAA&#10;" fillcolor="white [3212]" strokecolor="#a5a5a5 [2092]" strokeweight=".5pt">
                    <v:shadow on="t" color="black" opacity="17694f" offset="0,4pt"/>
                    <v:textbox>
                      <w:txbxContent>
                        <w:p w:rsidR="00602F11" w:rsidRDefault="00602F11" w:rsidP="00764295">
                          <w:pPr>
                            <w:spacing w:before="0"/>
                            <w:jc w:val="center"/>
                          </w:pPr>
                          <w:r>
                            <w:rPr>
                              <w:rFonts w:asciiTheme="minorHAnsi" w:cstheme="minorBidi"/>
                              <w:b/>
                              <w:bCs/>
                              <w:color w:val="000000"/>
                              <w:kern w:val="24"/>
                              <w:sz w:val="16"/>
                              <w:szCs w:val="16"/>
                            </w:rPr>
                            <w:t>VS</w:t>
                          </w:r>
                        </w:p>
                      </w:txbxContent>
                    </v:textbox>
                  </v:rect>
                  <v:rect id="Rectangle 898" o:spid="_x0000_s1073" style="position:absolute;left:32210;top:55082;width:3698;height:26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hyKsMA&#10;AADcAAAADwAAAGRycy9kb3ducmV2LnhtbERPz2vCMBS+C/sfwhvspuk8DO0axQ0m7rCBdqPXR/Ns&#10;OpuX2sS2/vfmMPD48f3O1qNtRE+drx0reJ4lIIhLp2uuFPzkH9MFCB+QNTaOScGVPKxXD5MMU+0G&#10;3lN/CJWIIexTVGBCaFMpfWnIop+5ljhyR9dZDBF2ldQdDjHcNnKeJC/SYs2xwWBL74bK0+FiFcwT&#10;9N/Hv0tR5Obza/t7Hs0uf1Pq6XHcvIIINIa7+N+90woWy7g2nolH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hyKsMAAADcAAAADwAAAAAAAAAAAAAAAACYAgAAZHJzL2Rv&#10;d25yZXYueG1sUEsFBgAAAAAEAAQA9QAAAIgDAAAAAA==&#10;" fillcolor="white [3212]" strokecolor="#a5a5a5 [2092]" strokeweight=".5pt">
                    <v:shadow on="t" color="black" opacity="17694f" offset="0,4pt"/>
                    <v:textbox>
                      <w:txbxContent>
                        <w:p w:rsidR="00602F11" w:rsidRDefault="00602F11" w:rsidP="00764295">
                          <w:pPr>
                            <w:spacing w:before="0"/>
                            <w:jc w:val="center"/>
                          </w:pPr>
                          <w:r>
                            <w:rPr>
                              <w:rFonts w:asciiTheme="minorHAnsi" w:cstheme="minorBidi"/>
                              <w:b/>
                              <w:bCs/>
                              <w:color w:val="000000"/>
                              <w:kern w:val="24"/>
                              <w:sz w:val="16"/>
                              <w:szCs w:val="16"/>
                            </w:rPr>
                            <w:t>VM</w:t>
                          </w:r>
                        </w:p>
                      </w:txbxContent>
                    </v:textbox>
                  </v:rect>
                  <v:rect id="Rectangle 901" o:spid="_x0000_s1074" style="position:absolute;left:36518;top:55024;width:12223;height:27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lBrcUA&#10;AADcAAAADwAAAGRycy9kb3ducmV2LnhtbESPQWsCMRSE7wX/Q3hCbzXRg7SrUVRQ7KGFuorXx+a5&#10;Wd28rJuo23/fFAo9DjPzDTOdd64Wd2pD5VnDcKBAEBfeVFxq2Ofrl1cQISIbrD2Thm8KMJ/1nqaY&#10;Gf/gL7rvYikShEOGGmyMTSZlKCw5DAPfECfv5FuHMcm2lKbFR4K7Wo6UGkuHFacFiw2tLBWX3c1p&#10;GCkMn6fz7XjM7fvH5nDt7DZfav3c7xYTEJG6+B/+a2+Nhjc1hN8z6QjI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uUGtxQAAANwAAAAPAAAAAAAAAAAAAAAAAJgCAABkcnMv&#10;ZG93bnJldi54bWxQSwUGAAAAAAQABAD1AAAAigMAAAAA&#10;" fillcolor="white [3212]" strokecolor="#a5a5a5 [2092]" strokeweight=".5pt">
                    <v:shadow on="t" color="black" opacity="17694f" offset="0,4pt"/>
                    <v:textbox>
                      <w:txbxContent>
                        <w:p w:rsidR="00602F11" w:rsidRDefault="00602F11" w:rsidP="00764295">
                          <w:pPr>
                            <w:spacing w:before="0"/>
                            <w:jc w:val="center"/>
                          </w:pPr>
                          <w:r w:rsidRPr="00764295">
                            <w:rPr>
                              <w:rFonts w:asciiTheme="minorHAnsi" w:cstheme="minorBidi"/>
                              <w:b/>
                              <w:bCs/>
                              <w:color w:val="000000"/>
                              <w:kern w:val="24"/>
                              <w:sz w:val="14"/>
                              <w:szCs w:val="14"/>
                            </w:rPr>
                            <w:t>Software &amp; Platform</w:t>
                          </w:r>
                          <w:r>
                            <w:rPr>
                              <w:rFonts w:asciiTheme="minorHAnsi" w:cstheme="minorBidi"/>
                              <w:b/>
                              <w:bCs/>
                              <w:color w:val="000000"/>
                              <w:kern w:val="24"/>
                              <w:sz w:val="16"/>
                              <w:szCs w:val="16"/>
                            </w:rPr>
                            <w:t xml:space="preserve"> Assets</w:t>
                          </w:r>
                        </w:p>
                      </w:txbxContent>
                    </v:textbox>
                  </v:rect>
                  <v:rect id="Rectangle 902" o:spid="_x0000_s1075" style="position:absolute;left:50211;top:54909;width:13152;height:28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vf2sUA&#10;AADcAAAADwAAAGRycy9kb3ducmV2LnhtbESPQWsCMRSE74X+h/AKvdWkeyjtahQttNhDhbqK18fm&#10;uVndvGw3Udd/bwTB4zAz3zCjSe8acaQu1J41vA4UCOLSm5orDavi6+UdRIjIBhvPpOFMASbjx4cR&#10;5saf+I+Oy1iJBOGQowYbY5tLGUpLDsPAt8TJ2/rOYUyyq6Tp8JTgrpGZUm/SYc1pwWJLn5bK/fLg&#10;NGQKw2K7O2w2hf35/V7/93ZezLR+fuqnQxCR+ngP39pzo+FDZXA9k46AH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a9/axQAAANwAAAAPAAAAAAAAAAAAAAAAAJgCAABkcnMv&#10;ZG93bnJldi54bWxQSwUGAAAAAAQABAD1AAAAigMAAAAA&#10;" fillcolor="white [3212]" strokecolor="#a5a5a5 [2092]" strokeweight=".5pt">
                    <v:shadow on="t" color="black" opacity="17694f" offset="0,4pt"/>
                    <v:textbox>
                      <w:txbxContent>
                        <w:p w:rsidR="00602F11" w:rsidRPr="006C638F" w:rsidRDefault="00602F11" w:rsidP="00764295">
                          <w:pPr>
                            <w:spacing w:before="0"/>
                            <w:jc w:val="center"/>
                            <w:rPr>
                              <w:sz w:val="14"/>
                              <w:szCs w:val="14"/>
                            </w:rPr>
                          </w:pPr>
                          <w:r w:rsidRPr="006C638F">
                            <w:rPr>
                              <w:rFonts w:asciiTheme="minorHAnsi" w:cstheme="minorBidi"/>
                              <w:b/>
                              <w:bCs/>
                              <w:color w:val="000000"/>
                              <w:kern w:val="24"/>
                              <w:sz w:val="14"/>
                              <w:szCs w:val="14"/>
                            </w:rPr>
                            <w:t>Virtual Path Virtual Circuit</w:t>
                          </w:r>
                        </w:p>
                      </w:txbxContent>
                    </v:textbox>
                  </v:rect>
                  <v:rect id="Rectangle 903" o:spid="_x0000_s1076" style="position:absolute;left:22759;top:59748;width:7778;height:4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d6QcUA&#10;AADcAAAADwAAAGRycy9kb3ducmV2LnhtbESPQWsCMRSE74L/ITyhN01qobSrUarQYg8WdCteH5vn&#10;ZnXzst1E3f57Uyh4HGbmG2Y671wtLtSGyrOGx5ECQVx4U3Gp4Tt/H76ACBHZYO2ZNPxSgPms35ti&#10;ZvyVN3TZxlIkCIcMNdgYm0zKUFhyGEa+IU7ewbcOY5JtKU2L1wR3tRwr9SwdVpwWLDa0tFSctmen&#10;YawwfB2O5/0+t5/rj91PZ1f5QuuHQfc2ARGpi/fwf3tlNLyqJ/g7k4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3pBxQAAANwAAAAPAAAAAAAAAAAAAAAAAJgCAABkcnMv&#10;ZG93bnJldi54bWxQSwUGAAAAAAQABAD1AAAAigMAAAAA&#10;" fillcolor="white [3212]" strokecolor="#a5a5a5 [2092]" strokeweight=".5pt">
                    <v:shadow on="t" color="black" opacity="17694f" offset="0,4pt"/>
                    <v:textbox>
                      <w:txbxContent>
                        <w:p w:rsidR="00602F11" w:rsidRPr="007A238D" w:rsidRDefault="00602F11" w:rsidP="00764295">
                          <w:pPr>
                            <w:spacing w:before="0"/>
                            <w:jc w:val="center"/>
                            <w:rPr>
                              <w:sz w:val="14"/>
                              <w:szCs w:val="14"/>
                            </w:rPr>
                          </w:pPr>
                          <w:r w:rsidRPr="007A238D">
                            <w:rPr>
                              <w:rFonts w:asciiTheme="minorHAnsi" w:cstheme="minorBidi"/>
                              <w:b/>
                              <w:bCs/>
                              <w:color w:val="000000"/>
                              <w:kern w:val="24"/>
                              <w:sz w:val="14"/>
                              <w:szCs w:val="14"/>
                            </w:rPr>
                            <w:t>Intra Cloud Network</w:t>
                          </w:r>
                        </w:p>
                      </w:txbxContent>
                    </v:textbox>
                  </v:rect>
                  <v:rect id="Rectangle 908" o:spid="_x0000_s1077" style="position:absolute;left:30982;top:59812;width:7779;height:42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PoMMIA&#10;AADcAAAADwAAAGRycy9kb3ducmV2LnhtbERPz2vCMBS+C/sfwhvspsk8iFZTcYOJOzjQTrw+mtem&#10;rnnpmqjdf78cBjt+fL9X68G14kZ9aDxreJ4oEMSlNw3XGj6Lt/EcRIjIBlvPpOGHAqzzh9EKM+Pv&#10;fKDbMdYihXDIUIONscukDKUlh2HiO+LEVb53GBPsa2l6vKdw18qpUjPpsOHUYLGjV0vl1/HqNEwV&#10;ho/qcj2fC/u+356+B7srXrR+ehw2SxCRhvgv/nPvjIaFSmvTmXQ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g+gwwgAAANwAAAAPAAAAAAAAAAAAAAAAAJgCAABkcnMvZG93&#10;bnJldi54bWxQSwUGAAAAAAQABAD1AAAAhwMAAAAA&#10;" fillcolor="white [3212]" strokecolor="#a5a5a5 [2092]" strokeweight=".5pt">
                    <v:shadow on="t" color="black" opacity="17694f" offset="0,4pt"/>
                    <v:textbox>
                      <w:txbxContent>
                        <w:p w:rsidR="00602F11" w:rsidRDefault="00602F11" w:rsidP="00764295">
                          <w:pPr>
                            <w:spacing w:before="0"/>
                            <w:jc w:val="center"/>
                          </w:pPr>
                          <w:r>
                            <w:rPr>
                              <w:rFonts w:asciiTheme="minorHAnsi" w:cstheme="minorBidi"/>
                              <w:b/>
                              <w:bCs/>
                              <w:color w:val="000000"/>
                              <w:kern w:val="24"/>
                              <w:sz w:val="16"/>
                              <w:szCs w:val="16"/>
                            </w:rPr>
                            <w:t>Storage</w:t>
                          </w:r>
                        </w:p>
                      </w:txbxContent>
                    </v:textbox>
                  </v:rect>
                  <v:rect id="Rectangle 914" o:spid="_x0000_s1078" style="position:absolute;left:39146;top:59812;width:7779;height:42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06MYA&#10;AADcAAAADwAAAGRycy9kb3ducmV2LnhtbESPQWvCQBSE7wX/w/IEb3WjiLRpVmkLih4saFq8PrIv&#10;2bTZtzG7avz3bqHQ4zAz3zDZsreNuFDna8cKJuMEBHHhdM2Vgs989fgEwgdkjY1jUnAjD8vF4CHD&#10;VLsr7+lyCJWIEPYpKjAhtKmUvjBk0Y9dSxy90nUWQ5RdJXWH1wi3jZwmyVxarDkuGGzp3VDxczhb&#10;BdME/Uf5fT4ec7Pdrb9Ovdnkb0qNhv3rC4hAffgP/7U3WsHzZAa/Z+IR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d06MYAAADcAAAADwAAAAAAAAAAAAAAAACYAgAAZHJz&#10;L2Rvd25yZXYueG1sUEsFBgAAAAAEAAQA9QAAAIsDAAAAAA==&#10;" fillcolor="white [3212]" strokecolor="#a5a5a5 [2092]" strokeweight=".5pt">
                    <v:shadow on="t" color="black" opacity="17694f" offset="0,4pt"/>
                    <v:textbox>
                      <w:txbxContent>
                        <w:p w:rsidR="00602F11" w:rsidRDefault="00602F11" w:rsidP="00764295">
                          <w:pPr>
                            <w:spacing w:before="0"/>
                            <w:jc w:val="center"/>
                          </w:pPr>
                          <w:r>
                            <w:rPr>
                              <w:rFonts w:asciiTheme="minorHAnsi" w:cstheme="minorBidi"/>
                              <w:b/>
                              <w:bCs/>
                              <w:color w:val="000000"/>
                              <w:kern w:val="24"/>
                              <w:sz w:val="16"/>
                              <w:szCs w:val="16"/>
                            </w:rPr>
                            <w:t>Computing</w:t>
                          </w:r>
                        </w:p>
                      </w:txbxContent>
                    </v:textbox>
                  </v:rect>
                  <v:rect id="Rectangle 919" o:spid="_x0000_s1079" style="position:absolute;left:47613;top:59800;width:7779;height:42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bbdsQA&#10;AADcAAAADwAAAGRycy9kb3ducmV2LnhtbESPQWsCMRSE74L/ITyhN83qoejWKFVQ7KEFXYvXx+a5&#10;2bp5WTdR13/fCILHYWa+Yabz1lbiSo0vHSsYDhIQxLnTJRcK9tmqPwbhA7LGyjEpuJOH+azbmWKq&#10;3Y23dN2FQkQI+xQVmBDqVEqfG7LoB64mjt7RNRZDlE0hdYO3CLeVHCXJu7RYclwwWNPSUH7aXayC&#10;UYL+5/h3ORwy8/W9/j23ZpMtlHrrtZ8fIAK14RV+tjdawWQ4gceZeATk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W23bEAAAA3AAAAA8AAAAAAAAAAAAAAAAAmAIAAGRycy9k&#10;b3ducmV2LnhtbFBLBQYAAAAABAAEAPUAAACJAwAAAAA=&#10;" fillcolor="white [3212]" strokecolor="#a5a5a5 [2092]" strokeweight=".5pt">
                    <v:shadow on="t" color="black" opacity="17694f" offset="0,4pt"/>
                    <v:textbox>
                      <w:txbxContent>
                        <w:p w:rsidR="00602F11" w:rsidRPr="007A238D" w:rsidRDefault="00602F11" w:rsidP="00764295">
                          <w:pPr>
                            <w:spacing w:before="0"/>
                            <w:jc w:val="center"/>
                            <w:rPr>
                              <w:sz w:val="14"/>
                              <w:szCs w:val="14"/>
                            </w:rPr>
                          </w:pPr>
                          <w:r w:rsidRPr="007A238D">
                            <w:rPr>
                              <w:rFonts w:asciiTheme="minorHAnsi" w:cstheme="minorBidi"/>
                              <w:b/>
                              <w:bCs/>
                              <w:color w:val="000000"/>
                              <w:kern w:val="24"/>
                              <w:sz w:val="14"/>
                              <w:szCs w:val="14"/>
                            </w:rPr>
                            <w:t>Core Transport Network</w:t>
                          </w:r>
                        </w:p>
                      </w:txbxContent>
                    </v:textbox>
                  </v:rect>
                  <v:rect id="Rectangle 923" o:spid="_x0000_s1080" style="position:absolute;left:56260;top:59859;width:7779;height:4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ImIcUA&#10;AADcAAAADwAAAGRycy9kb3ducmV2LnhtbESPQWvCQBSE74X+h+UVvDWbRpA2ukoVKnqoUFPx+sg+&#10;s9Hs2zS7avz3XaHQ4zAz3zCTWW8bcaHO144VvCQpCOLS6ZorBd/Fx/MrCB+QNTaOScGNPMymjw8T&#10;zLW78hddtqESEcI+RwUmhDaX0peGLPrEtcTRO7jOYoiyq6Tu8BrhtpFZmo6kxZrjgsGWFobK0/Zs&#10;FWQp+s3heN7vC7P+XO5+erMq5koNnvr3MYhAffgP/7VXWsFbNoT7mXgE5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kiYhxQAAANwAAAAPAAAAAAAAAAAAAAAAAJgCAABkcnMv&#10;ZG93bnJldi54bWxQSwUGAAAAAAQABAD1AAAAigMAAAAA&#10;" fillcolor="white [3212]" strokecolor="#a5a5a5 [2092]" strokeweight=".5pt">
                    <v:shadow on="t" color="black" opacity="17694f" offset="0,4pt"/>
                    <v:textbox>
                      <w:txbxContent>
                        <w:p w:rsidR="00602F11" w:rsidRPr="007A238D" w:rsidRDefault="00602F11" w:rsidP="00764295">
                          <w:pPr>
                            <w:spacing w:before="0"/>
                            <w:jc w:val="center"/>
                            <w:rPr>
                              <w:sz w:val="14"/>
                              <w:szCs w:val="14"/>
                            </w:rPr>
                          </w:pPr>
                          <w:r w:rsidRPr="007A238D">
                            <w:rPr>
                              <w:rFonts w:asciiTheme="minorHAnsi" w:cstheme="minorBidi"/>
                              <w:b/>
                              <w:bCs/>
                              <w:color w:val="000000"/>
                              <w:kern w:val="24"/>
                              <w:sz w:val="14"/>
                              <w:szCs w:val="14"/>
                            </w:rPr>
                            <w:t>Inter Cloud Network</w:t>
                          </w:r>
                        </w:p>
                      </w:txbxContent>
                    </v:textbox>
                  </v:rect>
                  <v:roundrect id="Rectangle à coins arrondis 37" o:spid="_x0000_s1081" style="position:absolute;left:68877;top:44965;width:11660;height:629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dmkcQA&#10;AADcAAAADwAAAGRycy9kb3ducmV2LnhtbESPS4vCQBCE74L/YWhhbzpRUNzoKGFB8bIHH3juzbRJ&#10;NNOTzUwe++93BMFjUVVfUettb0rRUu0KywqmkwgEcWp1wZmCy3k3XoJwHlljaZkU/JGD7WY4WGOs&#10;bcdHak8+EwHCLkYFufdVLKVLczLoJrYiDt7N1gZ9kHUmdY1dgJtSzqJoIQ0WHBZyrOgrp/RxaoyC&#10;svm+NvupfdxvrT7+7nfJj046pT5GfbIC4an37/CrfdAKPmdzeJ4JR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3ZpHEAAAA3AAAAA8AAAAAAAAAAAAAAAAAmAIAAGRycy9k&#10;b3ducmV2LnhtbFBLBQYAAAAABAAEAPUAAACJAwAAAAA=&#10;" fillcolor="white [3212]" strokecolor="black [3213]" strokeweight=".5pt">
                    <v:textbox>
                      <w:txbxContent>
                        <w:p w:rsidR="00602F11" w:rsidRPr="009F54DC" w:rsidRDefault="00602F11" w:rsidP="00764295">
                          <w:pPr>
                            <w:spacing w:before="0"/>
                            <w:jc w:val="center"/>
                            <w:rPr>
                              <w:rFonts w:asciiTheme="minorHAnsi" w:cstheme="minorBidi"/>
                              <w:color w:val="000000"/>
                              <w:kern w:val="24"/>
                              <w:sz w:val="20"/>
                              <w:szCs w:val="20"/>
                            </w:rPr>
                          </w:pPr>
                          <w:r w:rsidRPr="009F54DC">
                            <w:rPr>
                              <w:rFonts w:asciiTheme="minorHAnsi" w:cstheme="minorBidi"/>
                              <w:color w:val="000000"/>
                              <w:kern w:val="24"/>
                              <w:sz w:val="20"/>
                              <w:szCs w:val="20"/>
                            </w:rPr>
                            <w:t>Security &amp; Privacy Function</w:t>
                          </w:r>
                        </w:p>
                      </w:txbxContent>
                    </v:textbox>
                  </v:roundrect>
                  <v:roundrect id="Rectangle à coins arrondis 38" o:spid="_x0000_s1082" style="position:absolute;left:68745;top:26169;width:11660;height:629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X45sQA&#10;AADcAAAADwAAAGRycy9kb3ducmV2LnhtbESPT4vCMBTE74LfIbwFbzbVg6xdo5QFxYsHXfH8bJ5t&#10;1+alNukfv/1GEPY4zMxvmNVmMJXoqHGlZQWzKAZBnFldcq7g/LOdfoJwHlljZZkUPMnBZj0erTDR&#10;tucjdSefiwBhl6CCwvs6kdJlBRl0ka2Jg3ezjUEfZJNL3WAf4KaS8zheSIMlh4UCa/ouKLufWqOg&#10;ag+Xdjez999bp4+P3Ta96rRXavIxpF8gPA3+P/xu77WC5XwBrzPhCM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l+ObEAAAA3AAAAA8AAAAAAAAAAAAAAAAAmAIAAGRycy9k&#10;b3ducmV2LnhtbFBLBQYAAAAABAAEAPUAAACJAwAAAAA=&#10;" fillcolor="white [3212]" strokecolor="black [3213]" strokeweight=".5pt">
                    <v:textbox>
                      <w:txbxContent>
                        <w:p w:rsidR="00602F11" w:rsidRPr="009F54DC" w:rsidRDefault="00602F11" w:rsidP="00764295">
                          <w:pPr>
                            <w:spacing w:before="0"/>
                            <w:jc w:val="center"/>
                            <w:rPr>
                              <w:sz w:val="20"/>
                              <w:szCs w:val="20"/>
                            </w:rPr>
                          </w:pPr>
                          <w:r w:rsidRPr="009F54DC">
                            <w:rPr>
                              <w:rFonts w:asciiTheme="minorHAnsi" w:cstheme="minorBidi"/>
                              <w:color w:val="000000"/>
                              <w:kern w:val="24"/>
                              <w:sz w:val="20"/>
                              <w:szCs w:val="20"/>
                            </w:rPr>
                            <w:t>Operational Management Function</w:t>
                          </w:r>
                        </w:p>
                      </w:txbxContent>
                    </v:textbox>
                  </v:roundrect>
                </v:group>
                <v:roundrect id="Rectangle à coins arrondis 47" o:spid="_x0000_s1083" style="position:absolute;left:80248;top:53533;width:13672;height:609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vNo8QA&#10;AADcAAAADwAAAGRycy9kb3ducmV2LnhtbESPS4vCQBCE74L/YWhhbzpxBXGjo4QFZS978IHn3kyb&#10;RDM92czk4b93BMFjUVVfUatNb0rRUu0KywqmkwgEcWp1wZmC03E7XoBwHlljaZkU3MnBZj0crDDW&#10;tuM9tQefiQBhF6OC3PsqltKlORl0E1sRB+9ia4M+yDqTusYuwE0pP6NoLg0WHBZyrOg7p/R2aIyC&#10;svk9N7upvV0vrd7/77bJn046pT5GfbIE4an37/Cr/aMVfM1m8DwTjoB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LzaPEAAAA3AAAAA8AAAAAAAAAAAAAAAAAmAIAAGRycy9k&#10;b3ducmV2LnhtbFBLBQYAAAAABAAEAPUAAACJAwAAAAA=&#10;" fillcolor="white [3212]" strokecolor="black [3213]" strokeweight=".5pt">
                  <v:textbox>
                    <w:txbxContent>
                      <w:p w:rsidR="00602F11" w:rsidRPr="009F54DC" w:rsidRDefault="00602F11" w:rsidP="00764295">
                        <w:pPr>
                          <w:spacing w:before="0"/>
                          <w:jc w:val="center"/>
                          <w:rPr>
                            <w:rFonts w:asciiTheme="minorHAnsi" w:cstheme="minorBidi"/>
                            <w:color w:val="000000"/>
                            <w:kern w:val="24"/>
                            <w:sz w:val="20"/>
                            <w:szCs w:val="20"/>
                          </w:rPr>
                        </w:pPr>
                        <w:r w:rsidRPr="009F54DC">
                          <w:rPr>
                            <w:rFonts w:asciiTheme="minorHAnsi" w:cstheme="minorBidi"/>
                            <w:color w:val="000000"/>
                            <w:kern w:val="24"/>
                            <w:sz w:val="20"/>
                            <w:szCs w:val="20"/>
                          </w:rPr>
                          <w:t>Service Policy Function</w:t>
                        </w:r>
                      </w:p>
                    </w:txbxContent>
                  </v:textbox>
                </v:roundrect>
                <w10:anchorlock/>
              </v:group>
            </w:pict>
          </mc:Fallback>
        </mc:AlternateContent>
      </w:r>
    </w:p>
    <w:p w:rsidR="00764295" w:rsidRPr="00CD5563" w:rsidRDefault="00764295" w:rsidP="00764295">
      <w:pPr>
        <w:pStyle w:val="Figure"/>
        <w:tabs>
          <w:tab w:val="left" w:pos="1701"/>
        </w:tabs>
        <w:rPr>
          <w:rFonts w:eastAsia="Malgun Gothic"/>
          <w:szCs w:val="19"/>
          <w:lang w:val="en-GB" w:eastAsia="ko-KR"/>
        </w:rPr>
      </w:pPr>
    </w:p>
    <w:p w:rsidR="0008639C" w:rsidRPr="00CD5563" w:rsidRDefault="0008639C" w:rsidP="00AB21CF">
      <w:pPr>
        <w:rPr>
          <w:lang w:val="en-GB" w:eastAsia="ko-KR"/>
        </w:rPr>
      </w:pPr>
    </w:p>
    <w:p w:rsidR="00764295" w:rsidRPr="00CD5563" w:rsidRDefault="00764295" w:rsidP="00AB21CF">
      <w:pPr>
        <w:rPr>
          <w:lang w:val="en-GB" w:eastAsia="ko-KR"/>
        </w:rPr>
        <w:sectPr w:rsidR="00764295" w:rsidRPr="00CD5563" w:rsidSect="00BD0ACF">
          <w:headerReference w:type="even" r:id="rId97"/>
          <w:headerReference w:type="default" r:id="rId98"/>
          <w:footerReference w:type="even" r:id="rId99"/>
          <w:footerReference w:type="default" r:id="rId100"/>
          <w:pgSz w:w="16834" w:h="11909" w:orient="landscape" w:code="9"/>
          <w:pgMar w:top="1418" w:right="1418" w:bottom="1418" w:left="1418" w:header="720" w:footer="612" w:gutter="0"/>
          <w:cols w:space="720"/>
          <w:docGrid w:linePitch="286"/>
        </w:sectPr>
      </w:pPr>
    </w:p>
    <w:p w:rsidR="0008639C" w:rsidRPr="00CD5563" w:rsidRDefault="00F76AA8" w:rsidP="00F76AA8">
      <w:pPr>
        <w:pStyle w:val="Enumlevel1"/>
      </w:pPr>
      <w:bookmarkStart w:id="541" w:name="_Toc312310467"/>
      <w:bookmarkStart w:id="542" w:name="_Toc317514345"/>
      <w:r w:rsidRPr="00CD5563">
        <w:t>•</w:t>
      </w:r>
      <w:r w:rsidRPr="00CD5563">
        <w:tab/>
      </w:r>
      <w:r w:rsidR="0008639C" w:rsidRPr="00CD5563">
        <w:t>User Layer</w:t>
      </w:r>
      <w:bookmarkEnd w:id="541"/>
      <w:bookmarkEnd w:id="542"/>
      <w:r w:rsidR="0008639C" w:rsidRPr="00CD5563">
        <w:t>: performs interaction between the cloud service user and the underlying cloud architecture layers.  The User Layer is used to setup secure mechanism with cloud computing, send cloud service requests to cloud and receive cloud services from cloud, perform cloud service access, administrate and monitor cloud services;</w:t>
      </w:r>
    </w:p>
    <w:p w:rsidR="0008639C" w:rsidRPr="00CD5563" w:rsidRDefault="00F76AA8" w:rsidP="00F76AA8">
      <w:pPr>
        <w:pStyle w:val="Enumlevel1"/>
      </w:pPr>
      <w:bookmarkStart w:id="543" w:name="_Toc311632094"/>
      <w:bookmarkStart w:id="544" w:name="_Toc311646112"/>
      <w:bookmarkStart w:id="545" w:name="_Toc311646297"/>
      <w:bookmarkStart w:id="546" w:name="_Toc311704127"/>
      <w:bookmarkStart w:id="547" w:name="_Toc311705298"/>
      <w:bookmarkStart w:id="548" w:name="_Toc311705776"/>
      <w:bookmarkStart w:id="549" w:name="_Toc311708164"/>
      <w:bookmarkStart w:id="550" w:name="_Toc311711190"/>
      <w:bookmarkStart w:id="551" w:name="_Toc311711507"/>
      <w:bookmarkStart w:id="552" w:name="_Toc311712453"/>
      <w:bookmarkStart w:id="553" w:name="_Toc311713984"/>
      <w:bookmarkStart w:id="554" w:name="_Toc311714110"/>
      <w:bookmarkStart w:id="555" w:name="_Toc311715781"/>
      <w:bookmarkStart w:id="556" w:name="_Toc311717501"/>
      <w:bookmarkStart w:id="557" w:name="_Toc311717635"/>
      <w:bookmarkStart w:id="558" w:name="_Toc311740670"/>
      <w:bookmarkStart w:id="559" w:name="_Toc311741697"/>
      <w:bookmarkStart w:id="560" w:name="_Toc311742111"/>
      <w:bookmarkStart w:id="561" w:name="_Toc311743965"/>
      <w:bookmarkStart w:id="562" w:name="_Toc311632095"/>
      <w:bookmarkStart w:id="563" w:name="_Toc311646113"/>
      <w:bookmarkStart w:id="564" w:name="_Toc311646298"/>
      <w:bookmarkStart w:id="565" w:name="_Toc311704128"/>
      <w:bookmarkStart w:id="566" w:name="_Toc311705299"/>
      <w:bookmarkStart w:id="567" w:name="_Toc311705777"/>
      <w:bookmarkStart w:id="568" w:name="_Toc311708165"/>
      <w:bookmarkStart w:id="569" w:name="_Toc311711191"/>
      <w:bookmarkStart w:id="570" w:name="_Toc311711508"/>
      <w:bookmarkStart w:id="571" w:name="_Toc311712454"/>
      <w:bookmarkStart w:id="572" w:name="_Toc311713985"/>
      <w:bookmarkStart w:id="573" w:name="_Toc311714111"/>
      <w:bookmarkStart w:id="574" w:name="_Toc311715782"/>
      <w:bookmarkStart w:id="575" w:name="_Toc311717502"/>
      <w:bookmarkStart w:id="576" w:name="_Toc311717636"/>
      <w:bookmarkStart w:id="577" w:name="_Toc311740671"/>
      <w:bookmarkStart w:id="578" w:name="_Toc311741698"/>
      <w:bookmarkStart w:id="579" w:name="_Toc311742112"/>
      <w:bookmarkStart w:id="580" w:name="_Toc311743966"/>
      <w:bookmarkStart w:id="581" w:name="_Toc311632096"/>
      <w:bookmarkStart w:id="582" w:name="_Toc311646114"/>
      <w:bookmarkStart w:id="583" w:name="_Toc311646299"/>
      <w:bookmarkStart w:id="584" w:name="_Toc311704129"/>
      <w:bookmarkStart w:id="585" w:name="_Toc311705300"/>
      <w:bookmarkStart w:id="586" w:name="_Toc311705778"/>
      <w:bookmarkStart w:id="587" w:name="_Toc311708166"/>
      <w:bookmarkStart w:id="588" w:name="_Toc311711192"/>
      <w:bookmarkStart w:id="589" w:name="_Toc311711509"/>
      <w:bookmarkStart w:id="590" w:name="_Toc311712455"/>
      <w:bookmarkStart w:id="591" w:name="_Toc311713986"/>
      <w:bookmarkStart w:id="592" w:name="_Toc311714112"/>
      <w:bookmarkStart w:id="593" w:name="_Toc311715783"/>
      <w:bookmarkStart w:id="594" w:name="_Toc311717503"/>
      <w:bookmarkStart w:id="595" w:name="_Toc311717637"/>
      <w:bookmarkStart w:id="596" w:name="_Toc311740672"/>
      <w:bookmarkStart w:id="597" w:name="_Toc311741699"/>
      <w:bookmarkStart w:id="598" w:name="_Toc311742113"/>
      <w:bookmarkStart w:id="599" w:name="_Toc311743967"/>
      <w:bookmarkStart w:id="600" w:name="_Toc311632097"/>
      <w:bookmarkStart w:id="601" w:name="_Toc311646115"/>
      <w:bookmarkStart w:id="602" w:name="_Toc311646300"/>
      <w:bookmarkStart w:id="603" w:name="_Toc311704130"/>
      <w:bookmarkStart w:id="604" w:name="_Toc311705301"/>
      <w:bookmarkStart w:id="605" w:name="_Toc311705779"/>
      <w:bookmarkStart w:id="606" w:name="_Toc311708167"/>
      <w:bookmarkStart w:id="607" w:name="_Toc311711193"/>
      <w:bookmarkStart w:id="608" w:name="_Toc311711510"/>
      <w:bookmarkStart w:id="609" w:name="_Toc311712456"/>
      <w:bookmarkStart w:id="610" w:name="_Toc311713987"/>
      <w:bookmarkStart w:id="611" w:name="_Toc311714113"/>
      <w:bookmarkStart w:id="612" w:name="_Toc311715784"/>
      <w:bookmarkStart w:id="613" w:name="_Toc311717504"/>
      <w:bookmarkStart w:id="614" w:name="_Toc311717638"/>
      <w:bookmarkStart w:id="615" w:name="_Toc311740673"/>
      <w:bookmarkStart w:id="616" w:name="_Toc311741700"/>
      <w:bookmarkStart w:id="617" w:name="_Toc311742114"/>
      <w:bookmarkStart w:id="618" w:name="_Toc311743968"/>
      <w:bookmarkStart w:id="619" w:name="_Toc311632098"/>
      <w:bookmarkStart w:id="620" w:name="_Toc311646116"/>
      <w:bookmarkStart w:id="621" w:name="_Toc311646301"/>
      <w:bookmarkStart w:id="622" w:name="_Toc311704131"/>
      <w:bookmarkStart w:id="623" w:name="_Toc311705302"/>
      <w:bookmarkStart w:id="624" w:name="_Toc311705780"/>
      <w:bookmarkStart w:id="625" w:name="_Toc311708168"/>
      <w:bookmarkStart w:id="626" w:name="_Toc311711194"/>
      <w:bookmarkStart w:id="627" w:name="_Toc311711511"/>
      <w:bookmarkStart w:id="628" w:name="_Toc311712457"/>
      <w:bookmarkStart w:id="629" w:name="_Toc311713988"/>
      <w:bookmarkStart w:id="630" w:name="_Toc311714114"/>
      <w:bookmarkStart w:id="631" w:name="_Toc311715785"/>
      <w:bookmarkStart w:id="632" w:name="_Toc311717505"/>
      <w:bookmarkStart w:id="633" w:name="_Toc311717639"/>
      <w:bookmarkStart w:id="634" w:name="_Toc311740674"/>
      <w:bookmarkStart w:id="635" w:name="_Toc311741701"/>
      <w:bookmarkStart w:id="636" w:name="_Toc311742115"/>
      <w:bookmarkStart w:id="637" w:name="_Toc311743969"/>
      <w:bookmarkStart w:id="638" w:name="_Toc311632099"/>
      <w:bookmarkStart w:id="639" w:name="_Toc311646117"/>
      <w:bookmarkStart w:id="640" w:name="_Toc311646302"/>
      <w:bookmarkStart w:id="641" w:name="_Toc311704132"/>
      <w:bookmarkStart w:id="642" w:name="_Toc311705303"/>
      <w:bookmarkStart w:id="643" w:name="_Toc311705781"/>
      <w:bookmarkStart w:id="644" w:name="_Toc311708169"/>
      <w:bookmarkStart w:id="645" w:name="_Toc311711195"/>
      <w:bookmarkStart w:id="646" w:name="_Toc311711512"/>
      <w:bookmarkStart w:id="647" w:name="_Toc311712458"/>
      <w:bookmarkStart w:id="648" w:name="_Toc311713989"/>
      <w:bookmarkStart w:id="649" w:name="_Toc311714115"/>
      <w:bookmarkStart w:id="650" w:name="_Toc311715786"/>
      <w:bookmarkStart w:id="651" w:name="_Toc311717506"/>
      <w:bookmarkStart w:id="652" w:name="_Toc311717640"/>
      <w:bookmarkStart w:id="653" w:name="_Toc311740675"/>
      <w:bookmarkStart w:id="654" w:name="_Toc311741702"/>
      <w:bookmarkStart w:id="655" w:name="_Toc311742116"/>
      <w:bookmarkStart w:id="656" w:name="_Toc311743970"/>
      <w:bookmarkStart w:id="657" w:name="_Toc311632100"/>
      <w:bookmarkStart w:id="658" w:name="_Toc311646118"/>
      <w:bookmarkStart w:id="659" w:name="_Toc311646303"/>
      <w:bookmarkStart w:id="660" w:name="_Toc311704133"/>
      <w:bookmarkStart w:id="661" w:name="_Toc311705304"/>
      <w:bookmarkStart w:id="662" w:name="_Toc311705782"/>
      <w:bookmarkStart w:id="663" w:name="_Toc311708170"/>
      <w:bookmarkStart w:id="664" w:name="_Toc311711196"/>
      <w:bookmarkStart w:id="665" w:name="_Toc311711513"/>
      <w:bookmarkStart w:id="666" w:name="_Toc311712459"/>
      <w:bookmarkStart w:id="667" w:name="_Toc311713990"/>
      <w:bookmarkStart w:id="668" w:name="_Toc311714116"/>
      <w:bookmarkStart w:id="669" w:name="_Toc311715787"/>
      <w:bookmarkStart w:id="670" w:name="_Toc311717507"/>
      <w:bookmarkStart w:id="671" w:name="_Toc311717641"/>
      <w:bookmarkStart w:id="672" w:name="_Toc311740676"/>
      <w:bookmarkStart w:id="673" w:name="_Toc311741703"/>
      <w:bookmarkStart w:id="674" w:name="_Toc311742117"/>
      <w:bookmarkStart w:id="675" w:name="_Toc311743971"/>
      <w:bookmarkStart w:id="676" w:name="_Toc311632101"/>
      <w:bookmarkStart w:id="677" w:name="_Toc311646119"/>
      <w:bookmarkStart w:id="678" w:name="_Toc311646304"/>
      <w:bookmarkStart w:id="679" w:name="_Toc311704134"/>
      <w:bookmarkStart w:id="680" w:name="_Toc311705305"/>
      <w:bookmarkStart w:id="681" w:name="_Toc311705783"/>
      <w:bookmarkStart w:id="682" w:name="_Toc311708171"/>
      <w:bookmarkStart w:id="683" w:name="_Toc311711197"/>
      <w:bookmarkStart w:id="684" w:name="_Toc311711514"/>
      <w:bookmarkStart w:id="685" w:name="_Toc311712460"/>
      <w:bookmarkStart w:id="686" w:name="_Toc311713991"/>
      <w:bookmarkStart w:id="687" w:name="_Toc311714117"/>
      <w:bookmarkStart w:id="688" w:name="_Toc311715788"/>
      <w:bookmarkStart w:id="689" w:name="_Toc311717508"/>
      <w:bookmarkStart w:id="690" w:name="_Toc311717642"/>
      <w:bookmarkStart w:id="691" w:name="_Toc311740677"/>
      <w:bookmarkStart w:id="692" w:name="_Toc311741704"/>
      <w:bookmarkStart w:id="693" w:name="_Toc311742118"/>
      <w:bookmarkStart w:id="694" w:name="_Toc311743972"/>
      <w:bookmarkStart w:id="695" w:name="_Toc312310468"/>
      <w:bookmarkStart w:id="696" w:name="_Toc317514346"/>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r w:rsidRPr="00CD5563">
        <w:t>•</w:t>
      </w:r>
      <w:r w:rsidRPr="00CD5563">
        <w:tab/>
      </w:r>
      <w:r w:rsidR="0008639C" w:rsidRPr="00CD5563">
        <w:t>Access Layer</w:t>
      </w:r>
      <w:bookmarkEnd w:id="695"/>
      <w:bookmarkEnd w:id="696"/>
      <w:r w:rsidR="0008639C" w:rsidRPr="00CD5563">
        <w:t>: provides a common interface for both manual and automated cloud service capabilities and service consumption;</w:t>
      </w:r>
    </w:p>
    <w:p w:rsidR="0008639C" w:rsidRPr="00CD5563" w:rsidRDefault="00F76AA8" w:rsidP="00F76AA8">
      <w:pPr>
        <w:pStyle w:val="Enumlevel1"/>
      </w:pPr>
      <w:bookmarkStart w:id="697" w:name="_Toc311632103"/>
      <w:bookmarkStart w:id="698" w:name="_Toc311646121"/>
      <w:bookmarkStart w:id="699" w:name="_Toc311646306"/>
      <w:bookmarkStart w:id="700" w:name="_Toc311704136"/>
      <w:bookmarkStart w:id="701" w:name="_Toc311705307"/>
      <w:bookmarkStart w:id="702" w:name="_Toc311705785"/>
      <w:bookmarkStart w:id="703" w:name="_Toc311708173"/>
      <w:bookmarkStart w:id="704" w:name="_Toc311711199"/>
      <w:bookmarkStart w:id="705" w:name="_Toc311711516"/>
      <w:bookmarkStart w:id="706" w:name="_Toc311712462"/>
      <w:bookmarkStart w:id="707" w:name="_Toc311713993"/>
      <w:bookmarkStart w:id="708" w:name="_Toc311714119"/>
      <w:bookmarkStart w:id="709" w:name="_Toc311715790"/>
      <w:bookmarkStart w:id="710" w:name="_Toc311717510"/>
      <w:bookmarkStart w:id="711" w:name="_Toc311717644"/>
      <w:bookmarkStart w:id="712" w:name="_Toc311740679"/>
      <w:bookmarkStart w:id="713" w:name="_Toc311741706"/>
      <w:bookmarkStart w:id="714" w:name="_Toc311742120"/>
      <w:bookmarkStart w:id="715" w:name="_Toc311743974"/>
      <w:bookmarkStart w:id="716" w:name="_Toc311632104"/>
      <w:bookmarkStart w:id="717" w:name="_Toc311646122"/>
      <w:bookmarkStart w:id="718" w:name="_Toc311646307"/>
      <w:bookmarkStart w:id="719" w:name="_Toc311704137"/>
      <w:bookmarkStart w:id="720" w:name="_Toc311705308"/>
      <w:bookmarkStart w:id="721" w:name="_Toc311705786"/>
      <w:bookmarkStart w:id="722" w:name="_Toc311708174"/>
      <w:bookmarkStart w:id="723" w:name="_Toc311711200"/>
      <w:bookmarkStart w:id="724" w:name="_Toc311711517"/>
      <w:bookmarkStart w:id="725" w:name="_Toc311712463"/>
      <w:bookmarkStart w:id="726" w:name="_Toc311713994"/>
      <w:bookmarkStart w:id="727" w:name="_Toc311714120"/>
      <w:bookmarkStart w:id="728" w:name="_Toc311715791"/>
      <w:bookmarkStart w:id="729" w:name="_Toc311717511"/>
      <w:bookmarkStart w:id="730" w:name="_Toc311717645"/>
      <w:bookmarkStart w:id="731" w:name="_Toc311740680"/>
      <w:bookmarkStart w:id="732" w:name="_Toc311741707"/>
      <w:bookmarkStart w:id="733" w:name="_Toc311742121"/>
      <w:bookmarkStart w:id="734" w:name="_Toc311743975"/>
      <w:bookmarkStart w:id="735" w:name="_Toc312310469"/>
      <w:bookmarkStart w:id="736" w:name="_Toc317514347"/>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r w:rsidRPr="00CD5563">
        <w:t>•</w:t>
      </w:r>
      <w:r w:rsidRPr="00CD5563">
        <w:tab/>
      </w:r>
      <w:r w:rsidR="0008639C" w:rsidRPr="00CD5563">
        <w:t>Services Layer</w:t>
      </w:r>
      <w:bookmarkEnd w:id="735"/>
      <w:bookmarkEnd w:id="736"/>
      <w:r w:rsidR="0008639C" w:rsidRPr="00CD5563">
        <w:t>: the cloud service provider orchestrates and exposes services of the five cloud service categories. The Cloud Services Layer manages the cloud components required for providing the services, runs the software that implements the services and arranges to offer the cloud services to the cloud service user;</w:t>
      </w:r>
    </w:p>
    <w:p w:rsidR="0008639C" w:rsidRPr="00CD5563" w:rsidRDefault="00F76AA8" w:rsidP="00F76AA8">
      <w:pPr>
        <w:pStyle w:val="Enumlevel1"/>
      </w:pPr>
      <w:bookmarkStart w:id="737" w:name="_Toc229370056"/>
      <w:bookmarkStart w:id="738" w:name="_Toc312310470"/>
      <w:bookmarkStart w:id="739" w:name="_Toc317514348"/>
      <w:bookmarkEnd w:id="737"/>
      <w:r w:rsidRPr="00CD5563">
        <w:t>•</w:t>
      </w:r>
      <w:r w:rsidRPr="00CD5563">
        <w:tab/>
      </w:r>
      <w:r w:rsidR="0008639C" w:rsidRPr="00CD5563">
        <w:t>Resources &amp; Network Layer</w:t>
      </w:r>
      <w:bookmarkEnd w:id="738"/>
      <w:bookmarkEnd w:id="739"/>
      <w:r w:rsidR="0008639C" w:rsidRPr="00CD5563">
        <w:t xml:space="preserve">: The Resources and Network layer is where the physical resources reside including equipment typically used in a data centre such as servers, networking switches and routers, storage, etc, and the corresponding non-cloud-specific software that runs on the servers and other computers such as host operating systems, hyper-visors, device drivers, generic systems management software, etc; </w:t>
      </w:r>
    </w:p>
    <w:p w:rsidR="0008639C" w:rsidRPr="00CD5563" w:rsidRDefault="00F76AA8" w:rsidP="00F76AA8">
      <w:pPr>
        <w:pStyle w:val="Enumlevel1"/>
      </w:pPr>
      <w:bookmarkStart w:id="740" w:name="_Toc311632107"/>
      <w:bookmarkStart w:id="741" w:name="_Toc311646125"/>
      <w:bookmarkStart w:id="742" w:name="_Toc311646310"/>
      <w:bookmarkStart w:id="743" w:name="_Toc311704140"/>
      <w:bookmarkStart w:id="744" w:name="_Toc311705311"/>
      <w:bookmarkStart w:id="745" w:name="_Toc311705789"/>
      <w:bookmarkStart w:id="746" w:name="_Toc311708177"/>
      <w:bookmarkStart w:id="747" w:name="_Toc311711203"/>
      <w:bookmarkStart w:id="748" w:name="_Toc311711520"/>
      <w:bookmarkStart w:id="749" w:name="_Toc311712466"/>
      <w:bookmarkStart w:id="750" w:name="_Toc311713997"/>
      <w:bookmarkStart w:id="751" w:name="_Toc311714123"/>
      <w:bookmarkStart w:id="752" w:name="_Toc311715794"/>
      <w:bookmarkStart w:id="753" w:name="_Toc311717514"/>
      <w:bookmarkStart w:id="754" w:name="_Toc311717648"/>
      <w:bookmarkStart w:id="755" w:name="_Toc311740683"/>
      <w:bookmarkStart w:id="756" w:name="_Toc311741710"/>
      <w:bookmarkStart w:id="757" w:name="_Toc311742124"/>
      <w:bookmarkStart w:id="758" w:name="_Toc311743978"/>
      <w:bookmarkStart w:id="759" w:name="_Toc305158588"/>
      <w:bookmarkStart w:id="760" w:name="_Toc305158717"/>
      <w:bookmarkStart w:id="761" w:name="_Toc305158589"/>
      <w:bookmarkStart w:id="762" w:name="_Toc305158718"/>
      <w:bookmarkStart w:id="763" w:name="_Toc312310471"/>
      <w:bookmarkStart w:id="764" w:name="_Toc31751434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r w:rsidRPr="00CD5563">
        <w:t>•</w:t>
      </w:r>
      <w:r w:rsidRPr="00CD5563">
        <w:tab/>
      </w:r>
      <w:r w:rsidR="0008639C" w:rsidRPr="00CD5563">
        <w:t>Cross-Layer Functions</w:t>
      </w:r>
      <w:bookmarkEnd w:id="763"/>
      <w:bookmarkEnd w:id="764"/>
      <w:r w:rsidR="0008639C" w:rsidRPr="00CD5563">
        <w:t>: perform overall system management (i.e., operations, administration, maintenance and provisioning (OAM&amp;P)) and monitoring, and provide secure mechanisms.</w:t>
      </w:r>
    </w:p>
    <w:p w:rsidR="0008639C" w:rsidRPr="00CD5563" w:rsidRDefault="0008639C" w:rsidP="00F76AA8">
      <w:pPr>
        <w:pStyle w:val="Heading2"/>
        <w:rPr>
          <w:rFonts w:eastAsia="Malgun Gothic"/>
          <w:lang w:val="en-GB" w:eastAsia="ko-KR"/>
        </w:rPr>
      </w:pPr>
      <w:bookmarkStart w:id="765" w:name="_Toc380487745"/>
      <w:bookmarkStart w:id="766" w:name="_Toc381025064"/>
      <w:r w:rsidRPr="00CD5563">
        <w:rPr>
          <w:rFonts w:eastAsia="Malgun Gothic"/>
          <w:lang w:val="en-GB" w:eastAsia="ko-KR"/>
        </w:rPr>
        <w:t>5.3</w:t>
      </w:r>
      <w:r w:rsidRPr="00CD5563">
        <w:rPr>
          <w:rFonts w:eastAsia="Malgun Gothic"/>
          <w:lang w:val="en-GB" w:eastAsia="ko-KR"/>
        </w:rPr>
        <w:tab/>
        <w:t>Cloud Computing Eco-systems</w:t>
      </w:r>
      <w:bookmarkEnd w:id="765"/>
      <w:bookmarkEnd w:id="766"/>
    </w:p>
    <w:p w:rsidR="0008639C" w:rsidRPr="00CD5563" w:rsidRDefault="0008639C" w:rsidP="00F76AA8">
      <w:pPr>
        <w:rPr>
          <w:lang w:val="en-GB" w:eastAsia="ko-KR"/>
        </w:rPr>
      </w:pPr>
      <w:r w:rsidRPr="00CD5563">
        <w:rPr>
          <w:lang w:val="en-GB" w:eastAsia="ko-KR"/>
        </w:rPr>
        <w:t>A cloud computing business ecosystem (cloud ecosystem) is a business ecosystem of interacting organizations and individuals - the actors of the cloud ecosystem - providing and consuming cloud services. The following actors are identified in a cloud ecosystem:</w:t>
      </w:r>
    </w:p>
    <w:p w:rsidR="0008639C" w:rsidRPr="00CD5563" w:rsidRDefault="00F76AA8" w:rsidP="00F76AA8">
      <w:pPr>
        <w:pStyle w:val="Enumlevel1"/>
      </w:pPr>
      <w:r w:rsidRPr="00CD5563">
        <w:t>•</w:t>
      </w:r>
      <w:r w:rsidRPr="00CD5563">
        <w:tab/>
      </w:r>
      <w:r w:rsidR="0008639C" w:rsidRPr="00CD5563">
        <w:t>Cloud service users (CSU): A person or organization that consumes delivered cloud services;</w:t>
      </w:r>
    </w:p>
    <w:p w:rsidR="0008639C" w:rsidRPr="00CD5563" w:rsidRDefault="00F76AA8" w:rsidP="00F76AA8">
      <w:pPr>
        <w:pStyle w:val="Enumlevel1"/>
      </w:pPr>
      <w:r w:rsidRPr="00CD5563">
        <w:t>•</w:t>
      </w:r>
      <w:r w:rsidRPr="00CD5563">
        <w:tab/>
      </w:r>
      <w:r w:rsidR="0008639C" w:rsidRPr="00CD5563">
        <w:t>Cloud service providers (CSP): An organization that provides and maintains cloud services to be delivered and consumed;</w:t>
      </w:r>
    </w:p>
    <w:p w:rsidR="0008639C" w:rsidRPr="00CD5563" w:rsidRDefault="00F76AA8" w:rsidP="00F76AA8">
      <w:pPr>
        <w:pStyle w:val="Enumlevel1"/>
      </w:pPr>
      <w:r w:rsidRPr="00CD5563">
        <w:t>•</w:t>
      </w:r>
      <w:r w:rsidRPr="00CD5563">
        <w:tab/>
      </w:r>
      <w:r w:rsidR="0008639C" w:rsidRPr="00CD5563">
        <w:t>Cloud service partners (CSN): A person or organization that provides support to the building of the service offer of a cloud service provider (e.g. service integration).</w:t>
      </w:r>
    </w:p>
    <w:p w:rsidR="0008639C" w:rsidRPr="00CD5563" w:rsidRDefault="0008639C" w:rsidP="00F76AA8">
      <w:pPr>
        <w:rPr>
          <w:lang w:val="en-GB" w:eastAsia="ko-KR"/>
        </w:rPr>
      </w:pPr>
      <w:r w:rsidRPr="00CD5563">
        <w:rPr>
          <w:lang w:val="en-GB" w:eastAsia="ko-KR"/>
        </w:rPr>
        <w:t xml:space="preserve">Figure 5-2 depicts the actors with some of their possible roles in a cloud ecosystem. </w:t>
      </w:r>
    </w:p>
    <w:p w:rsidR="00F76AA8" w:rsidRPr="00CD5563" w:rsidRDefault="00F76AA8" w:rsidP="00F76AA8">
      <w:pPr>
        <w:pStyle w:val="Figuretitle"/>
        <w:rPr>
          <w:lang w:val="en-GB" w:eastAsia="ko-KR"/>
        </w:rPr>
      </w:pPr>
      <w:bookmarkStart w:id="767" w:name="_Toc380497416"/>
      <w:r w:rsidRPr="00CD5563">
        <w:rPr>
          <w:lang w:val="en-GB" w:eastAsia="ko-KR"/>
        </w:rPr>
        <w:t>Figure 5-2: Actors with possible roles in a cloud ecosystem</w:t>
      </w:r>
      <w:bookmarkEnd w:id="767"/>
    </w:p>
    <w:p w:rsidR="0008639C" w:rsidRPr="00CD5563" w:rsidRDefault="0008639C" w:rsidP="00F76AA8">
      <w:pPr>
        <w:pStyle w:val="Figure"/>
        <w:rPr>
          <w:i/>
          <w:lang w:val="en-GB"/>
        </w:rPr>
      </w:pPr>
      <w:r w:rsidRPr="00CD5563">
        <w:rPr>
          <w:noProof/>
          <w:lang w:val="ru-RU" w:eastAsia="zh-CN"/>
        </w:rPr>
        <w:drawing>
          <wp:inline distT="0" distB="0" distL="0" distR="0" wp14:anchorId="4DEB9354" wp14:editId="617FE6F0">
            <wp:extent cx="5186680" cy="2882265"/>
            <wp:effectExtent l="19050" t="0" r="0" b="0"/>
            <wp:docPr id="1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1" cstate="print"/>
                    <a:srcRect/>
                    <a:stretch>
                      <a:fillRect/>
                    </a:stretch>
                  </pic:blipFill>
                  <pic:spPr bwMode="auto">
                    <a:xfrm>
                      <a:off x="0" y="0"/>
                      <a:ext cx="5186680" cy="2882265"/>
                    </a:xfrm>
                    <a:prstGeom prst="rect">
                      <a:avLst/>
                    </a:prstGeom>
                    <a:noFill/>
                    <a:ln w="9525">
                      <a:noFill/>
                      <a:miter lim="800000"/>
                      <a:headEnd/>
                      <a:tailEnd/>
                    </a:ln>
                  </pic:spPr>
                </pic:pic>
              </a:graphicData>
            </a:graphic>
          </wp:inline>
        </w:drawing>
      </w:r>
    </w:p>
    <w:p w:rsidR="00F76AA8" w:rsidRPr="00CD5563" w:rsidRDefault="00F76AA8" w:rsidP="00F76AA8">
      <w:pPr>
        <w:pStyle w:val="Figure"/>
        <w:rPr>
          <w:i/>
          <w:lang w:val="en-GB"/>
        </w:rPr>
      </w:pPr>
    </w:p>
    <w:p w:rsidR="0008639C" w:rsidRPr="00CD5563" w:rsidRDefault="0008639C" w:rsidP="00F76AA8">
      <w:pPr>
        <w:pStyle w:val="Heading2"/>
        <w:rPr>
          <w:rFonts w:eastAsia="Malgun Gothic"/>
          <w:lang w:val="en-GB" w:eastAsia="ko-KR"/>
        </w:rPr>
      </w:pPr>
      <w:bookmarkStart w:id="768" w:name="_Toc318292894"/>
      <w:bookmarkStart w:id="769" w:name="_Toc380487746"/>
      <w:bookmarkStart w:id="770" w:name="_Toc381025065"/>
      <w:r w:rsidRPr="00CD5563">
        <w:rPr>
          <w:rFonts w:eastAsia="Malgun Gothic"/>
          <w:lang w:val="en-GB" w:eastAsia="ko-KR"/>
        </w:rPr>
        <w:t>5.4</w:t>
      </w:r>
      <w:r w:rsidRPr="00CD5563">
        <w:rPr>
          <w:rFonts w:eastAsia="Malgun Gothic"/>
          <w:lang w:val="en-GB" w:eastAsia="ko-KR"/>
        </w:rPr>
        <w:tab/>
        <w:t>Cloud Service categories</w:t>
      </w:r>
      <w:bookmarkEnd w:id="768"/>
      <w:bookmarkEnd w:id="769"/>
      <w:bookmarkEnd w:id="770"/>
    </w:p>
    <w:p w:rsidR="0008639C" w:rsidRPr="00CD5563" w:rsidRDefault="0008639C" w:rsidP="00F76AA8">
      <w:pPr>
        <w:rPr>
          <w:lang w:val="en-GB" w:eastAsia="ko-KR"/>
        </w:rPr>
      </w:pPr>
      <w:r w:rsidRPr="00CD5563">
        <w:rPr>
          <w:lang w:val="en-GB" w:eastAsia="ko-KR"/>
        </w:rPr>
        <w:t>One of the key features of the cloud computing is “Anything as a Service” so called “XaaS”. There are plenty of candidate issues to be part of “as a Service”, but at this stage, ITU-T, especially SG13 is being discussed about following five services as key service categories.</w:t>
      </w:r>
    </w:p>
    <w:p w:rsidR="0008639C" w:rsidRPr="00CD5563" w:rsidRDefault="00F76AA8" w:rsidP="00F76AA8">
      <w:pPr>
        <w:pStyle w:val="Enumlevel1"/>
      </w:pPr>
      <w:bookmarkStart w:id="771" w:name="_Toc264490261"/>
      <w:bookmarkStart w:id="772" w:name="_Toc271306629"/>
      <w:bookmarkStart w:id="773" w:name="_Toc271316985"/>
      <w:bookmarkStart w:id="774" w:name="_Toc271321319"/>
      <w:bookmarkStart w:id="775" w:name="_Toc271390702"/>
      <w:bookmarkStart w:id="776" w:name="_Toc271409112"/>
      <w:bookmarkStart w:id="777" w:name="_Toc271505601"/>
      <w:r w:rsidRPr="00CD5563">
        <w:t>•</w:t>
      </w:r>
      <w:r w:rsidRPr="00CD5563">
        <w:tab/>
      </w:r>
      <w:r w:rsidR="0008639C" w:rsidRPr="00CD5563">
        <w:t>Cloud Software as a Service (SaaS): A category of cloud services where the capability provided to the cloud service user is to use the cloud service provider’s applications running on a cloud resources;</w:t>
      </w:r>
    </w:p>
    <w:bookmarkEnd w:id="771"/>
    <w:bookmarkEnd w:id="772"/>
    <w:bookmarkEnd w:id="773"/>
    <w:bookmarkEnd w:id="774"/>
    <w:bookmarkEnd w:id="775"/>
    <w:bookmarkEnd w:id="776"/>
    <w:bookmarkEnd w:id="777"/>
    <w:p w:rsidR="0008639C" w:rsidRPr="00CD5563" w:rsidRDefault="00F76AA8" w:rsidP="00F76AA8">
      <w:pPr>
        <w:pStyle w:val="Enumlevel1"/>
      </w:pPr>
      <w:r w:rsidRPr="00CD5563">
        <w:t>•</w:t>
      </w:r>
      <w:r w:rsidRPr="00CD5563">
        <w:tab/>
      </w:r>
      <w:r w:rsidR="0008639C" w:rsidRPr="00CD5563">
        <w:t>Communications as a Service (CaaS): A category of cloud services where the capability provided to the cloud service user is to use real time communication and collaboration services. NOTE - Communication and collaboration services include voice over IP, instant messaging, video conferencing, for different user devices;</w:t>
      </w:r>
    </w:p>
    <w:p w:rsidR="0008639C" w:rsidRPr="00CD5563" w:rsidRDefault="00F76AA8" w:rsidP="00F76AA8">
      <w:pPr>
        <w:pStyle w:val="Enumlevel1"/>
      </w:pPr>
      <w:bookmarkStart w:id="778" w:name="_Toc264490262"/>
      <w:bookmarkStart w:id="779" w:name="_Toc271306630"/>
      <w:bookmarkStart w:id="780" w:name="_Toc271316986"/>
      <w:bookmarkStart w:id="781" w:name="_Toc271321320"/>
      <w:bookmarkStart w:id="782" w:name="_Toc271390703"/>
      <w:bookmarkStart w:id="783" w:name="_Toc271409113"/>
      <w:bookmarkStart w:id="784" w:name="_Toc271505602"/>
      <w:r w:rsidRPr="00CD5563">
        <w:t>•</w:t>
      </w:r>
      <w:r w:rsidRPr="00CD5563">
        <w:tab/>
      </w:r>
      <w:r w:rsidR="0008639C" w:rsidRPr="00CD5563">
        <w:t>Cloud Platform as a Service (PaaS): A category of cloud services where the capability provided to the cloud service user is to deploy user-created or acquired applications onto the cloud resources using platform tools supported by the cloud service provider</w:t>
      </w:r>
      <w:bookmarkEnd w:id="778"/>
      <w:bookmarkEnd w:id="779"/>
      <w:bookmarkEnd w:id="780"/>
      <w:bookmarkEnd w:id="781"/>
      <w:bookmarkEnd w:id="782"/>
      <w:bookmarkEnd w:id="783"/>
      <w:bookmarkEnd w:id="784"/>
      <w:r w:rsidR="0008639C" w:rsidRPr="00CD5563">
        <w:t>;</w:t>
      </w:r>
    </w:p>
    <w:p w:rsidR="0008639C" w:rsidRPr="00CD5563" w:rsidRDefault="00F76AA8" w:rsidP="00F76AA8">
      <w:pPr>
        <w:pStyle w:val="Enumlevel1"/>
      </w:pPr>
      <w:bookmarkStart w:id="785" w:name="_Toc264490263"/>
      <w:bookmarkStart w:id="786" w:name="_Toc271306631"/>
      <w:bookmarkStart w:id="787" w:name="_Toc271316987"/>
      <w:bookmarkStart w:id="788" w:name="_Toc271321321"/>
      <w:bookmarkStart w:id="789" w:name="_Toc271390704"/>
      <w:bookmarkStart w:id="790" w:name="_Toc271409114"/>
      <w:bookmarkStart w:id="791" w:name="_Toc271505603"/>
      <w:r w:rsidRPr="00CD5563">
        <w:t>•</w:t>
      </w:r>
      <w:r w:rsidRPr="00CD5563">
        <w:tab/>
      </w:r>
      <w:r w:rsidR="0008639C" w:rsidRPr="00CD5563">
        <w:t>Cloud Infrastructure as a Service (IaaS): A category of cloud services where the capability provided by the cloud service provider to the cloud service user is to provision processing, storage, intra-cloud network connectivity services (e.g. VLAN, firewall, load balancer, application acceleration), and other fundamental computing resources of the cloud resources where the cloud service user is able to deploy and run arbitrary application</w:t>
      </w:r>
      <w:bookmarkEnd w:id="785"/>
      <w:bookmarkEnd w:id="786"/>
      <w:bookmarkEnd w:id="787"/>
      <w:bookmarkEnd w:id="788"/>
      <w:bookmarkEnd w:id="789"/>
      <w:bookmarkEnd w:id="790"/>
      <w:bookmarkEnd w:id="791"/>
      <w:r w:rsidR="0008639C" w:rsidRPr="00CD5563">
        <w:t>;</w:t>
      </w:r>
    </w:p>
    <w:p w:rsidR="0008639C" w:rsidRPr="00CD5563" w:rsidRDefault="00F76AA8" w:rsidP="00F76AA8">
      <w:pPr>
        <w:pStyle w:val="Enumlevel1"/>
      </w:pPr>
      <w:r w:rsidRPr="00CD5563">
        <w:t>•</w:t>
      </w:r>
      <w:r w:rsidRPr="00CD5563">
        <w:tab/>
      </w:r>
      <w:r w:rsidR="0008639C" w:rsidRPr="00CD5563">
        <w:t xml:space="preserve">Network as a Service (NaaS): A category of cloud services where the capability provided to the cloud service user is to use transport connectivity services and/or inter-cloud network connectivity services. </w:t>
      </w:r>
    </w:p>
    <w:p w:rsidR="0008639C" w:rsidRPr="00CD5563" w:rsidRDefault="0008639C" w:rsidP="00F76AA8">
      <w:pPr>
        <w:pStyle w:val="Heading1"/>
        <w:rPr>
          <w:lang w:val="en-GB"/>
        </w:rPr>
      </w:pPr>
      <w:bookmarkStart w:id="792" w:name="_Toc310409383"/>
      <w:bookmarkStart w:id="793" w:name="_Toc310410571"/>
      <w:bookmarkStart w:id="794" w:name="_Toc310410842"/>
      <w:bookmarkStart w:id="795" w:name="_Toc310410949"/>
      <w:bookmarkStart w:id="796" w:name="_Toc310427253"/>
      <w:bookmarkStart w:id="797" w:name="_Toc380487747"/>
      <w:bookmarkStart w:id="798" w:name="_Toc381025066"/>
      <w:r w:rsidRPr="00CD5563">
        <w:rPr>
          <w:lang w:val="en-GB"/>
        </w:rPr>
        <w:t>6</w:t>
      </w:r>
      <w:r w:rsidR="00F76AA8" w:rsidRPr="00CD5563">
        <w:rPr>
          <w:lang w:val="en-GB"/>
        </w:rPr>
        <w:tab/>
      </w:r>
      <w:r w:rsidRPr="00CD5563">
        <w:rPr>
          <w:lang w:val="en-GB"/>
        </w:rPr>
        <w:t>Future study direction of NGN</w:t>
      </w:r>
      <w:bookmarkEnd w:id="792"/>
      <w:bookmarkEnd w:id="793"/>
      <w:bookmarkEnd w:id="794"/>
      <w:bookmarkEnd w:id="795"/>
      <w:bookmarkEnd w:id="796"/>
      <w:bookmarkEnd w:id="797"/>
      <w:bookmarkEnd w:id="798"/>
    </w:p>
    <w:p w:rsidR="0008639C" w:rsidRPr="00CD5563" w:rsidRDefault="0008639C" w:rsidP="00F76AA8">
      <w:pPr>
        <w:rPr>
          <w:rFonts w:eastAsiaTheme="minorEastAsia"/>
          <w:bCs/>
          <w:lang w:val="en-GB" w:eastAsia="ko-KR"/>
        </w:rPr>
      </w:pPr>
      <w:r w:rsidRPr="00CD5563">
        <w:rPr>
          <w:lang w:val="en-GB" w:eastAsia="en-US"/>
        </w:rPr>
        <w:t xml:space="preserve">Considering this, ITU-T based on the NGN-GSI is continuing of their developments for the NGN will play a crucial role in a future environment as well. For this, as shown in Figure </w:t>
      </w:r>
      <w:r w:rsidRPr="00CD5563">
        <w:rPr>
          <w:rFonts w:eastAsiaTheme="minorEastAsia"/>
          <w:lang w:val="en-GB" w:eastAsia="ko-KR"/>
        </w:rPr>
        <w:t>6</w:t>
      </w:r>
      <w:r w:rsidRPr="00CD5563">
        <w:rPr>
          <w:lang w:val="en-GB" w:eastAsia="en-US"/>
        </w:rPr>
        <w:t>-</w:t>
      </w:r>
      <w:r w:rsidRPr="00CD5563">
        <w:rPr>
          <w:rFonts w:eastAsiaTheme="minorEastAsia"/>
          <w:lang w:val="en-GB" w:eastAsia="ko-KR"/>
        </w:rPr>
        <w:t>1</w:t>
      </w:r>
      <w:r w:rsidRPr="00CD5563">
        <w:rPr>
          <w:lang w:val="en-GB" w:eastAsia="en-US"/>
        </w:rPr>
        <w:t xml:space="preserve">, ITU-T NGN GSI will </w:t>
      </w:r>
      <w:r w:rsidRPr="00CD5563">
        <w:rPr>
          <w:rFonts w:eastAsiaTheme="minorEastAsia"/>
          <w:lang w:val="en-GB" w:eastAsia="ko-KR"/>
        </w:rPr>
        <w:t>continue their study covering</w:t>
      </w:r>
      <w:r w:rsidRPr="00CD5563">
        <w:rPr>
          <w:lang w:val="en-GB" w:eastAsia="en-US"/>
        </w:rPr>
        <w:t xml:space="preserve"> various technical subjects. </w:t>
      </w:r>
      <w:r w:rsidRPr="00CD5563">
        <w:rPr>
          <w:rFonts w:eastAsiaTheme="minorEastAsia"/>
          <w:lang w:val="en-GB" w:eastAsia="ko-KR"/>
        </w:rPr>
        <w:t xml:space="preserve"> Recently one of the important subjects is providing smart and intelligent capabilities into the NGN as well as its beyond. This issue has been raised mainly from network providers considering the difficulties to provide better services to meet end user’s requirements taking into account the status of network resources. Under this subject, NGN-GSI is now develop various solutions and mechanisms to resolve “smart usage of network resources” and “being pipeline of networks” This study will contribute in the development of called “Future Networks” which is being developed as a new paradigm of networks (for example, could be not use of IP).</w:t>
      </w:r>
    </w:p>
    <w:p w:rsidR="00F76AA8" w:rsidRPr="00CD5563" w:rsidRDefault="00F76AA8" w:rsidP="00F76AA8">
      <w:pPr>
        <w:pStyle w:val="Figuretitle"/>
        <w:rPr>
          <w:lang w:val="en-GB" w:eastAsia="en-US"/>
        </w:rPr>
      </w:pPr>
      <w:bookmarkStart w:id="799" w:name="_Toc255475830"/>
      <w:bookmarkStart w:id="800" w:name="_Toc380497417"/>
      <w:r w:rsidRPr="00CD5563">
        <w:rPr>
          <w:lang w:val="en-GB" w:eastAsia="en-US"/>
        </w:rPr>
        <w:t xml:space="preserve">Figure </w:t>
      </w:r>
      <w:r w:rsidRPr="00CD5563">
        <w:rPr>
          <w:rFonts w:eastAsiaTheme="minorEastAsia"/>
          <w:lang w:val="en-GB" w:eastAsia="ko-KR"/>
        </w:rPr>
        <w:t>6</w:t>
      </w:r>
      <w:r w:rsidRPr="00CD5563">
        <w:rPr>
          <w:lang w:val="en-GB" w:eastAsia="en-US"/>
        </w:rPr>
        <w:t>-</w:t>
      </w:r>
      <w:r w:rsidRPr="00CD5563">
        <w:rPr>
          <w:rFonts w:eastAsiaTheme="minorEastAsia"/>
          <w:lang w:val="en-GB" w:eastAsia="ko-KR"/>
        </w:rPr>
        <w:t>1</w:t>
      </w:r>
      <w:r w:rsidRPr="00CD5563">
        <w:rPr>
          <w:lang w:val="en-GB" w:eastAsia="en-US"/>
        </w:rPr>
        <w:t xml:space="preserve">: Future </w:t>
      </w:r>
      <w:r w:rsidRPr="00CD5563">
        <w:rPr>
          <w:rFonts w:eastAsiaTheme="minorEastAsia"/>
          <w:lang w:val="en-GB" w:eastAsia="ko-KR"/>
        </w:rPr>
        <w:t>study direction</w:t>
      </w:r>
      <w:r w:rsidRPr="00CD5563">
        <w:rPr>
          <w:lang w:val="en-GB" w:eastAsia="en-US"/>
        </w:rPr>
        <w:t xml:space="preserve"> of NGN</w:t>
      </w:r>
      <w:bookmarkEnd w:id="799"/>
      <w:bookmarkEnd w:id="800"/>
    </w:p>
    <w:p w:rsidR="0008639C" w:rsidRPr="00CD5563" w:rsidRDefault="0008639C" w:rsidP="00F76AA8">
      <w:pPr>
        <w:pStyle w:val="Figure"/>
        <w:rPr>
          <w:rFonts w:eastAsiaTheme="minorEastAsia"/>
          <w:b/>
          <w:szCs w:val="19"/>
          <w:lang w:val="en-GB" w:eastAsia="ko-KR"/>
        </w:rPr>
      </w:pPr>
      <w:r w:rsidRPr="00CD5563">
        <w:rPr>
          <w:noProof/>
          <w:lang w:val="ru-RU" w:eastAsia="zh-CN"/>
        </w:rPr>
        <w:drawing>
          <wp:inline distT="0" distB="0" distL="0" distR="0" wp14:anchorId="02CB74D6" wp14:editId="524DDB95">
            <wp:extent cx="5600522" cy="1314450"/>
            <wp:effectExtent l="0" t="0" r="635" b="0"/>
            <wp:docPr id="455"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2" cstate="print"/>
                    <a:srcRect/>
                    <a:stretch>
                      <a:fillRect/>
                    </a:stretch>
                  </pic:blipFill>
                  <pic:spPr bwMode="auto">
                    <a:xfrm>
                      <a:off x="0" y="0"/>
                      <a:ext cx="5614903" cy="1317825"/>
                    </a:xfrm>
                    <a:prstGeom prst="rect">
                      <a:avLst/>
                    </a:prstGeom>
                    <a:noFill/>
                    <a:ln w="9525">
                      <a:noFill/>
                      <a:miter lim="800000"/>
                      <a:headEnd/>
                      <a:tailEnd/>
                    </a:ln>
                  </pic:spPr>
                </pic:pic>
              </a:graphicData>
            </a:graphic>
          </wp:inline>
        </w:drawing>
      </w:r>
    </w:p>
    <w:p w:rsidR="0008639C" w:rsidRPr="00CD5563" w:rsidRDefault="0008639C" w:rsidP="00F76AA8">
      <w:pPr>
        <w:pStyle w:val="Figuretitle"/>
        <w:rPr>
          <w:bCs/>
          <w:lang w:val="en-GB"/>
        </w:rPr>
      </w:pPr>
    </w:p>
    <w:p w:rsidR="00703D54" w:rsidRPr="00CD5563" w:rsidRDefault="00703D54">
      <w:pPr>
        <w:spacing w:before="0"/>
        <w:jc w:val="left"/>
        <w:rPr>
          <w:b/>
          <w:szCs w:val="19"/>
          <w:lang w:val="en-GB"/>
        </w:rPr>
      </w:pPr>
      <w:r w:rsidRPr="00CD5563">
        <w:rPr>
          <w:b/>
          <w:szCs w:val="19"/>
          <w:lang w:val="en-GB"/>
        </w:rPr>
        <w:br w:type="page"/>
      </w:r>
    </w:p>
    <w:p w:rsidR="0008639C" w:rsidRPr="00CD5563" w:rsidRDefault="0008639C" w:rsidP="002E15F8">
      <w:pPr>
        <w:pStyle w:val="Heading1"/>
        <w:rPr>
          <w:lang w:val="en-GB"/>
        </w:rPr>
      </w:pPr>
      <w:bookmarkStart w:id="801" w:name="_Toc381025067"/>
      <w:r w:rsidRPr="00CD5563">
        <w:rPr>
          <w:lang w:val="en-GB"/>
        </w:rPr>
        <w:t xml:space="preserve">Annex 9: ITU NGN standards </w:t>
      </w:r>
      <w:bookmarkEnd w:id="801"/>
    </w:p>
    <w:p w:rsidR="0008639C" w:rsidRPr="00CD5563" w:rsidRDefault="0008639C" w:rsidP="00703D54">
      <w:pPr>
        <w:pStyle w:val="Heading1"/>
        <w:rPr>
          <w:lang w:val="en-GB"/>
        </w:rPr>
      </w:pPr>
      <w:bookmarkStart w:id="802" w:name="_Toc380487749"/>
      <w:bookmarkStart w:id="803" w:name="_Toc381025068"/>
      <w:r w:rsidRPr="00CD5563">
        <w:rPr>
          <w:lang w:val="en-GB"/>
        </w:rPr>
        <w:t>Internet Protocol Aspects</w:t>
      </w:r>
      <w:bookmarkEnd w:id="802"/>
      <w:bookmarkEnd w:id="803"/>
    </w:p>
    <w:p w:rsidR="0008639C" w:rsidRPr="00CD5563" w:rsidRDefault="00703D54" w:rsidP="00703D54">
      <w:pPr>
        <w:pStyle w:val="Heading2"/>
        <w:rPr>
          <w:lang w:val="en-GB"/>
        </w:rPr>
      </w:pPr>
      <w:bookmarkStart w:id="804" w:name="_Toc380487750"/>
      <w:bookmarkStart w:id="805" w:name="_Toc381025069"/>
      <w:r w:rsidRPr="00CD5563">
        <w:rPr>
          <w:lang w:val="en-GB"/>
        </w:rPr>
        <w:t>1</w:t>
      </w:r>
      <w:r w:rsidRPr="00CD5563">
        <w:rPr>
          <w:lang w:val="en-GB"/>
        </w:rPr>
        <w:tab/>
      </w:r>
      <w:r w:rsidR="0008639C" w:rsidRPr="00CD5563">
        <w:rPr>
          <w:lang w:val="en-GB"/>
        </w:rPr>
        <w:t>General aspect of IP based networks</w:t>
      </w:r>
      <w:bookmarkEnd w:id="804"/>
      <w:bookmarkEnd w:id="805"/>
    </w:p>
    <w:p w:rsidR="00E20B72" w:rsidRDefault="00E20B72" w:rsidP="0008639C">
      <w:pPr>
        <w:rPr>
          <w:szCs w:val="19"/>
          <w:lang w:val="en-GB"/>
        </w:rPr>
      </w:pPr>
    </w:p>
    <w:p w:rsidR="0008639C" w:rsidRPr="00CD5563" w:rsidRDefault="0008639C" w:rsidP="0008639C">
      <w:pPr>
        <w:rPr>
          <w:rFonts w:eastAsiaTheme="minorEastAsia"/>
          <w:szCs w:val="19"/>
          <w:lang w:val="en-GB" w:eastAsia="ko-KR"/>
        </w:rPr>
      </w:pPr>
      <w:r w:rsidRPr="00CD5563">
        <w:rPr>
          <w:szCs w:val="19"/>
          <w:lang w:val="en-GB"/>
        </w:rPr>
        <w:t>Y.1001: IP framework – A framework for convergence of telecommunications network and IP network technologies</w:t>
      </w:r>
    </w:p>
    <w:p w:rsidR="0008639C" w:rsidRPr="00CD5563" w:rsidRDefault="00703D54" w:rsidP="00703D54">
      <w:pPr>
        <w:pStyle w:val="Heading2"/>
        <w:rPr>
          <w:lang w:val="en-GB"/>
        </w:rPr>
      </w:pPr>
      <w:bookmarkStart w:id="806" w:name="_Toc380487751"/>
      <w:bookmarkStart w:id="807" w:name="_Toc381025070"/>
      <w:r w:rsidRPr="00CD5563">
        <w:rPr>
          <w:lang w:val="en-GB"/>
        </w:rPr>
        <w:t>2</w:t>
      </w:r>
      <w:r w:rsidRPr="00CD5563">
        <w:rPr>
          <w:lang w:val="en-GB"/>
        </w:rPr>
        <w:tab/>
      </w:r>
      <w:r w:rsidR="0008639C" w:rsidRPr="00CD5563">
        <w:rPr>
          <w:lang w:val="en-GB"/>
        </w:rPr>
        <w:t>Architecture, access, network capabilities and resource management</w:t>
      </w:r>
      <w:bookmarkEnd w:id="806"/>
      <w:bookmarkEnd w:id="807"/>
    </w:p>
    <w:p w:rsidR="00E20B72" w:rsidRDefault="00E20B72" w:rsidP="0008639C">
      <w:pPr>
        <w:spacing w:before="60" w:after="60"/>
        <w:rPr>
          <w:szCs w:val="19"/>
          <w:lang w:val="en-GB"/>
        </w:rPr>
      </w:pPr>
    </w:p>
    <w:p w:rsidR="0008639C" w:rsidRPr="00CD5563" w:rsidRDefault="0008639C" w:rsidP="0008639C">
      <w:pPr>
        <w:spacing w:before="60" w:after="60"/>
        <w:rPr>
          <w:rFonts w:eastAsiaTheme="minorEastAsia"/>
          <w:szCs w:val="19"/>
          <w:lang w:val="en-GB" w:eastAsia="ko-KR"/>
        </w:rPr>
      </w:pPr>
      <w:r w:rsidRPr="00CD5563">
        <w:rPr>
          <w:szCs w:val="19"/>
          <w:lang w:val="en-GB"/>
        </w:rPr>
        <w:t>Y.1221: Traffic control and congestion control in IP-based networks</w:t>
      </w:r>
    </w:p>
    <w:p w:rsidR="0008639C" w:rsidRPr="00CD5563" w:rsidRDefault="0008639C" w:rsidP="0008639C">
      <w:pPr>
        <w:spacing w:before="60" w:after="60"/>
        <w:rPr>
          <w:rFonts w:eastAsiaTheme="minorEastAsia"/>
          <w:szCs w:val="19"/>
          <w:lang w:val="en-GB" w:eastAsia="ko-KR"/>
        </w:rPr>
      </w:pPr>
      <w:r w:rsidRPr="00CD5563">
        <w:rPr>
          <w:szCs w:val="19"/>
          <w:lang w:val="en-GB"/>
        </w:rPr>
        <w:t>Y.1222: Traffic control and congestion control in Ethernet-based networks</w:t>
      </w:r>
    </w:p>
    <w:p w:rsidR="0008639C" w:rsidRPr="00CD5563" w:rsidRDefault="0008639C" w:rsidP="0008639C">
      <w:pPr>
        <w:spacing w:before="60" w:after="60"/>
        <w:rPr>
          <w:rFonts w:eastAsiaTheme="minorEastAsia"/>
          <w:szCs w:val="19"/>
          <w:lang w:val="en-GB" w:eastAsia="ko-KR"/>
        </w:rPr>
      </w:pPr>
      <w:r w:rsidRPr="00CD5563">
        <w:rPr>
          <w:szCs w:val="19"/>
          <w:lang w:val="en-GB"/>
        </w:rPr>
        <w:t>Y.1223: Interworking guidelines for transporting assured IP flows</w:t>
      </w:r>
    </w:p>
    <w:p w:rsidR="0008639C" w:rsidRPr="00CD5563" w:rsidRDefault="0008639C" w:rsidP="0008639C">
      <w:pPr>
        <w:spacing w:before="60" w:after="60"/>
        <w:rPr>
          <w:rFonts w:eastAsiaTheme="minorEastAsia"/>
          <w:szCs w:val="19"/>
          <w:lang w:val="en-GB" w:eastAsia="ko-KR"/>
        </w:rPr>
      </w:pPr>
      <w:r w:rsidRPr="00CD5563">
        <w:rPr>
          <w:szCs w:val="19"/>
          <w:lang w:val="en-GB"/>
        </w:rPr>
        <w:t>Y.1231: IP Access Network Architecture</w:t>
      </w:r>
    </w:p>
    <w:p w:rsidR="0008639C" w:rsidRPr="00CD5563" w:rsidRDefault="0008639C" w:rsidP="0008639C">
      <w:pPr>
        <w:spacing w:before="60" w:after="60"/>
        <w:rPr>
          <w:rFonts w:eastAsiaTheme="minorEastAsia"/>
          <w:szCs w:val="19"/>
          <w:lang w:val="en-GB" w:eastAsia="ko-KR"/>
        </w:rPr>
      </w:pPr>
      <w:r w:rsidRPr="00CD5563">
        <w:rPr>
          <w:szCs w:val="19"/>
          <w:lang w:val="en-GB"/>
        </w:rPr>
        <w:t>Y.1241: Support of IP-based services using IP transfer capabilities</w:t>
      </w:r>
    </w:p>
    <w:p w:rsidR="0008639C" w:rsidRPr="00CD5563" w:rsidRDefault="0008639C" w:rsidP="0008639C">
      <w:pPr>
        <w:spacing w:before="60" w:after="60"/>
        <w:rPr>
          <w:rFonts w:eastAsiaTheme="minorEastAsia"/>
          <w:szCs w:val="19"/>
          <w:lang w:val="en-GB" w:eastAsia="ko-KR"/>
        </w:rPr>
      </w:pPr>
      <w:r w:rsidRPr="00CD5563">
        <w:rPr>
          <w:szCs w:val="19"/>
          <w:lang w:val="en-GB"/>
        </w:rPr>
        <w:t>Y.1242/G.769: Circuit multiplication equipment optimized for IP-based networks</w:t>
      </w:r>
    </w:p>
    <w:p w:rsidR="0008639C" w:rsidRPr="00CD5563" w:rsidRDefault="0008639C" w:rsidP="0008639C">
      <w:pPr>
        <w:spacing w:before="60" w:after="60"/>
        <w:rPr>
          <w:rFonts w:eastAsiaTheme="minorEastAsia"/>
          <w:szCs w:val="19"/>
          <w:lang w:val="en-GB" w:eastAsia="ko-KR"/>
        </w:rPr>
      </w:pPr>
      <w:r w:rsidRPr="00CD5563">
        <w:rPr>
          <w:szCs w:val="19"/>
          <w:lang w:val="en-GB"/>
        </w:rPr>
        <w:t>Y.1251: General architectural model for interworking</w:t>
      </w:r>
    </w:p>
    <w:p w:rsidR="0008639C" w:rsidRPr="00CD5563" w:rsidRDefault="0008639C" w:rsidP="0008639C">
      <w:pPr>
        <w:spacing w:before="60" w:after="60"/>
        <w:rPr>
          <w:rFonts w:eastAsiaTheme="minorEastAsia"/>
          <w:szCs w:val="19"/>
          <w:lang w:val="en-GB" w:eastAsia="ko-KR"/>
        </w:rPr>
      </w:pPr>
      <w:r w:rsidRPr="00CD5563">
        <w:rPr>
          <w:szCs w:val="19"/>
          <w:lang w:val="en-GB"/>
        </w:rPr>
        <w:t>Y.1261: Service requirements and architecture for voice services over Multi-Protocol Label Switching</w:t>
      </w:r>
    </w:p>
    <w:p w:rsidR="0008639C" w:rsidRPr="00CD5563" w:rsidRDefault="0008639C" w:rsidP="0008639C">
      <w:pPr>
        <w:spacing w:before="60" w:after="60"/>
        <w:rPr>
          <w:rFonts w:eastAsiaTheme="minorEastAsia"/>
          <w:szCs w:val="19"/>
          <w:lang w:val="en-GB" w:eastAsia="ko-KR"/>
        </w:rPr>
      </w:pPr>
      <w:r w:rsidRPr="00CD5563">
        <w:rPr>
          <w:szCs w:val="19"/>
          <w:lang w:val="en-GB"/>
        </w:rPr>
        <w:t>Y.1271: Framework(s) on network requirements and capabilities to support emergency telecommunications over evolving circuit-switched and packet-switched networks</w:t>
      </w:r>
    </w:p>
    <w:p w:rsidR="0008639C" w:rsidRPr="00CD5563" w:rsidRDefault="0008639C" w:rsidP="0008639C">
      <w:pPr>
        <w:spacing w:before="60" w:after="60"/>
        <w:rPr>
          <w:rFonts w:eastAsiaTheme="minorEastAsia"/>
          <w:szCs w:val="19"/>
          <w:lang w:val="en-GB" w:eastAsia="ko-KR"/>
        </w:rPr>
      </w:pPr>
      <w:r w:rsidRPr="00CD5563">
        <w:rPr>
          <w:szCs w:val="19"/>
          <w:lang w:val="en-GB"/>
        </w:rPr>
        <w:t>Y.1281: Mobile IP services over MPLS</w:t>
      </w:r>
    </w:p>
    <w:p w:rsidR="0008639C" w:rsidRPr="00CD5563" w:rsidRDefault="0008639C" w:rsidP="0008639C">
      <w:pPr>
        <w:spacing w:before="60" w:after="60"/>
        <w:rPr>
          <w:rFonts w:eastAsiaTheme="minorEastAsia"/>
          <w:szCs w:val="19"/>
          <w:lang w:val="en-GB" w:eastAsia="ko-KR"/>
        </w:rPr>
      </w:pPr>
      <w:r w:rsidRPr="00CD5563">
        <w:rPr>
          <w:szCs w:val="19"/>
          <w:lang w:val="en-GB"/>
        </w:rPr>
        <w:t>Y.1291: An architectural framework for support of Quality of Service in packet networks</w:t>
      </w:r>
    </w:p>
    <w:p w:rsidR="0008639C" w:rsidRPr="00CD5563" w:rsidRDefault="0008639C" w:rsidP="0008639C">
      <w:pPr>
        <w:spacing w:before="60" w:after="60"/>
        <w:rPr>
          <w:rFonts w:eastAsiaTheme="minorEastAsia"/>
          <w:szCs w:val="19"/>
          <w:lang w:val="en-GB" w:eastAsia="ko-KR"/>
        </w:rPr>
      </w:pPr>
      <w:r w:rsidRPr="00CD5563">
        <w:rPr>
          <w:szCs w:val="19"/>
          <w:lang w:val="en-GB"/>
        </w:rPr>
        <w:t>Y.1292: Customizable IP networks (CIP): Framework for the requirements and capabilities related to the customization of IP service networks by customers</w:t>
      </w:r>
    </w:p>
    <w:p w:rsidR="0008639C" w:rsidRPr="00CD5563" w:rsidRDefault="0008639C" w:rsidP="00703D54">
      <w:pPr>
        <w:pStyle w:val="Heading2"/>
        <w:rPr>
          <w:rFonts w:eastAsiaTheme="minorEastAsia"/>
          <w:color w:val="000000"/>
          <w:lang w:val="en-GB" w:eastAsia="ko-KR"/>
        </w:rPr>
      </w:pPr>
      <w:bookmarkStart w:id="808" w:name="_Toc380487752"/>
      <w:bookmarkStart w:id="809" w:name="_Toc381025071"/>
      <w:r w:rsidRPr="00CD5563">
        <w:rPr>
          <w:rFonts w:eastAsiaTheme="minorEastAsia"/>
          <w:color w:val="000000"/>
          <w:lang w:val="en-GB" w:eastAsia="ko-KR"/>
        </w:rPr>
        <w:t>3</w:t>
      </w:r>
      <w:r w:rsidR="00703D54" w:rsidRPr="00CD5563">
        <w:rPr>
          <w:rFonts w:eastAsiaTheme="minorEastAsia"/>
          <w:color w:val="000000"/>
          <w:lang w:val="en-GB" w:eastAsia="ko-KR"/>
        </w:rPr>
        <w:tab/>
      </w:r>
      <w:r w:rsidRPr="00CD5563">
        <w:rPr>
          <w:rFonts w:eastAsiaTheme="minorEastAsia"/>
          <w:lang w:val="en-GB" w:eastAsia="ko-KR"/>
        </w:rPr>
        <w:t>Transport</w:t>
      </w:r>
      <w:bookmarkEnd w:id="808"/>
      <w:bookmarkEnd w:id="809"/>
    </w:p>
    <w:p w:rsidR="00E20B72" w:rsidRDefault="00E20B72" w:rsidP="0008639C">
      <w:pPr>
        <w:spacing w:before="60" w:after="60"/>
        <w:rPr>
          <w:szCs w:val="19"/>
          <w:lang w:val="en-GB"/>
        </w:rPr>
      </w:pPr>
    </w:p>
    <w:p w:rsidR="0008639C" w:rsidRPr="00CD5563" w:rsidRDefault="0008639C" w:rsidP="0008639C">
      <w:pPr>
        <w:spacing w:before="60" w:after="60"/>
        <w:rPr>
          <w:rFonts w:eastAsiaTheme="minorEastAsia"/>
          <w:szCs w:val="19"/>
          <w:lang w:val="en-GB" w:eastAsia="ko-KR"/>
        </w:rPr>
      </w:pPr>
      <w:r w:rsidRPr="00CD5563">
        <w:rPr>
          <w:szCs w:val="19"/>
          <w:lang w:val="en-GB"/>
        </w:rPr>
        <w:t>Y.1310: Transport of IP over ATM in public networks</w:t>
      </w:r>
    </w:p>
    <w:p w:rsidR="0008639C" w:rsidRPr="00CD5563" w:rsidRDefault="0008639C" w:rsidP="0008639C">
      <w:pPr>
        <w:spacing w:before="60" w:after="60"/>
        <w:rPr>
          <w:rFonts w:eastAsiaTheme="minorEastAsia"/>
          <w:szCs w:val="19"/>
          <w:lang w:val="en-GB" w:eastAsia="ko-KR"/>
        </w:rPr>
      </w:pPr>
      <w:r w:rsidRPr="00CD5563">
        <w:rPr>
          <w:szCs w:val="19"/>
          <w:lang w:val="en-GB"/>
        </w:rPr>
        <w:t>Y.1311: Network-based VPNs – Generic architecture and service requirements</w:t>
      </w:r>
    </w:p>
    <w:p w:rsidR="0008639C" w:rsidRPr="00CD5563" w:rsidRDefault="0008639C" w:rsidP="0008639C">
      <w:pPr>
        <w:spacing w:before="60" w:after="60"/>
        <w:rPr>
          <w:rFonts w:eastAsiaTheme="minorEastAsia"/>
          <w:szCs w:val="19"/>
          <w:lang w:val="en-GB" w:eastAsia="ko-KR"/>
        </w:rPr>
      </w:pPr>
      <w:r w:rsidRPr="00CD5563">
        <w:rPr>
          <w:szCs w:val="19"/>
          <w:lang w:val="en-GB"/>
        </w:rPr>
        <w:t>Y.1311.1: Network-based IP VPN over MPLS architecture</w:t>
      </w:r>
    </w:p>
    <w:p w:rsidR="0008639C" w:rsidRPr="00CD5563" w:rsidRDefault="0008639C" w:rsidP="0008639C">
      <w:pPr>
        <w:spacing w:before="60" w:after="60"/>
        <w:rPr>
          <w:rFonts w:eastAsiaTheme="minorEastAsia"/>
          <w:szCs w:val="19"/>
          <w:lang w:val="en-GB" w:eastAsia="ko-KR"/>
        </w:rPr>
      </w:pPr>
      <w:r w:rsidRPr="00CD5563">
        <w:rPr>
          <w:szCs w:val="19"/>
          <w:lang w:val="en-GB"/>
        </w:rPr>
        <w:t>Y.1321/X.85: IP over SDH using LAPS</w:t>
      </w:r>
    </w:p>
    <w:p w:rsidR="0008639C" w:rsidRPr="00CD5563" w:rsidRDefault="0008639C" w:rsidP="0008639C">
      <w:pPr>
        <w:spacing w:before="60" w:after="60"/>
        <w:rPr>
          <w:rFonts w:eastAsiaTheme="minorEastAsia"/>
          <w:szCs w:val="19"/>
          <w:lang w:val="en-GB" w:eastAsia="ko-KR"/>
        </w:rPr>
      </w:pPr>
      <w:r w:rsidRPr="00CD5563">
        <w:rPr>
          <w:szCs w:val="19"/>
          <w:lang w:val="en-GB"/>
        </w:rPr>
        <w:t>Y.1370/G.8110: MPLS layer network architecture</w:t>
      </w:r>
    </w:p>
    <w:p w:rsidR="0008639C" w:rsidRPr="00CD5563" w:rsidRDefault="0008639C" w:rsidP="0008639C">
      <w:pPr>
        <w:spacing w:before="60" w:after="60"/>
        <w:rPr>
          <w:rFonts w:eastAsiaTheme="minorEastAsia"/>
          <w:szCs w:val="19"/>
          <w:lang w:val="en-GB" w:eastAsia="ko-KR"/>
        </w:rPr>
      </w:pPr>
      <w:r w:rsidRPr="00CD5563">
        <w:rPr>
          <w:szCs w:val="19"/>
          <w:lang w:val="en-GB"/>
        </w:rPr>
        <w:t>Y.1370.1/G.8110.1: Architecture of Transport MPLS (T-MPLS) layer network</w:t>
      </w:r>
    </w:p>
    <w:p w:rsidR="0008639C" w:rsidRPr="00CD5563" w:rsidRDefault="0008639C" w:rsidP="0008639C">
      <w:pPr>
        <w:spacing w:before="60" w:after="60"/>
        <w:rPr>
          <w:rFonts w:eastAsiaTheme="minorEastAsia"/>
          <w:szCs w:val="19"/>
          <w:lang w:val="en-GB" w:eastAsia="ko-KR"/>
        </w:rPr>
      </w:pPr>
      <w:r w:rsidRPr="00CD5563">
        <w:rPr>
          <w:szCs w:val="19"/>
          <w:lang w:val="en-GB"/>
        </w:rPr>
        <w:t>Y.1371/G.8112: Interfaces for the Transport MPLS (T-MPLS) hierarchy</w:t>
      </w:r>
    </w:p>
    <w:p w:rsidR="0008639C" w:rsidRPr="00CD5563" w:rsidRDefault="0008639C" w:rsidP="0008639C">
      <w:pPr>
        <w:spacing w:before="60" w:after="60"/>
        <w:rPr>
          <w:rFonts w:eastAsiaTheme="minorEastAsia"/>
          <w:szCs w:val="19"/>
          <w:lang w:val="en-GB" w:eastAsia="ko-KR"/>
        </w:rPr>
      </w:pPr>
      <w:r w:rsidRPr="00CD5563">
        <w:rPr>
          <w:szCs w:val="19"/>
          <w:lang w:val="en-GB"/>
        </w:rPr>
        <w:t>Y.1374/G.8151: Management aspects of the T-MPLS network element</w:t>
      </w:r>
    </w:p>
    <w:p w:rsidR="0008639C" w:rsidRPr="00CD5563" w:rsidRDefault="0008639C" w:rsidP="0008639C">
      <w:pPr>
        <w:spacing w:before="60" w:after="60"/>
        <w:rPr>
          <w:rFonts w:eastAsiaTheme="minorEastAsia"/>
          <w:szCs w:val="19"/>
          <w:lang w:val="en-GB" w:eastAsia="ko-KR"/>
        </w:rPr>
      </w:pPr>
      <w:r w:rsidRPr="00CD5563">
        <w:rPr>
          <w:szCs w:val="19"/>
          <w:lang w:val="en-GB"/>
        </w:rPr>
        <w:t>Y.1381/G.8121: Characteristics of Transport MPLS equipment functional blocks</w:t>
      </w:r>
    </w:p>
    <w:p w:rsidR="0008639C" w:rsidRPr="00CD5563" w:rsidRDefault="0008639C" w:rsidP="0008639C">
      <w:pPr>
        <w:spacing w:before="60" w:after="60"/>
        <w:rPr>
          <w:rFonts w:eastAsiaTheme="minorEastAsia"/>
          <w:szCs w:val="19"/>
          <w:lang w:val="en-GB" w:eastAsia="ko-KR"/>
        </w:rPr>
      </w:pPr>
      <w:r w:rsidRPr="00CD5563">
        <w:rPr>
          <w:szCs w:val="19"/>
          <w:lang w:val="en-GB"/>
        </w:rPr>
        <w:t>Y.1382/G.8131: Linear protection switching for transport MPLS (T-MPLS) networks</w:t>
      </w:r>
    </w:p>
    <w:p w:rsidR="0008639C" w:rsidRPr="00CD5563" w:rsidRDefault="0008639C" w:rsidP="00E20B72">
      <w:pPr>
        <w:pStyle w:val="Heading2"/>
        <w:keepLines/>
        <w:rPr>
          <w:rFonts w:eastAsiaTheme="minorEastAsia"/>
          <w:lang w:val="en-GB" w:eastAsia="ko-KR"/>
        </w:rPr>
      </w:pPr>
      <w:bookmarkStart w:id="810" w:name="_Toc380487753"/>
      <w:bookmarkStart w:id="811" w:name="_Toc381025072"/>
      <w:r w:rsidRPr="00CD5563">
        <w:rPr>
          <w:rFonts w:eastAsiaTheme="minorEastAsia"/>
          <w:lang w:val="en-GB" w:eastAsia="ko-KR"/>
        </w:rPr>
        <w:t>4</w:t>
      </w:r>
      <w:r w:rsidR="00703D54" w:rsidRPr="00CD5563">
        <w:rPr>
          <w:rFonts w:eastAsiaTheme="minorEastAsia"/>
          <w:lang w:val="en-GB" w:eastAsia="ko-KR"/>
        </w:rPr>
        <w:tab/>
      </w:r>
      <w:r w:rsidRPr="00CD5563">
        <w:rPr>
          <w:rFonts w:eastAsiaTheme="minorEastAsia"/>
          <w:lang w:val="en-GB" w:eastAsia="ko-KR"/>
        </w:rPr>
        <w:t>Interworking</w:t>
      </w:r>
      <w:bookmarkEnd w:id="810"/>
      <w:bookmarkEnd w:id="811"/>
    </w:p>
    <w:p w:rsidR="00E20B72" w:rsidRDefault="00E20B72" w:rsidP="00E20B72">
      <w:pPr>
        <w:keepNext/>
        <w:keepLines/>
        <w:spacing w:before="60" w:after="60"/>
        <w:rPr>
          <w:szCs w:val="19"/>
          <w:lang w:val="en-GB"/>
        </w:rPr>
      </w:pPr>
    </w:p>
    <w:p w:rsidR="0008639C" w:rsidRPr="00CD5563" w:rsidRDefault="0008639C" w:rsidP="00E20B72">
      <w:pPr>
        <w:keepNext/>
        <w:keepLines/>
        <w:spacing w:before="60" w:after="60"/>
        <w:rPr>
          <w:rFonts w:eastAsiaTheme="minorEastAsia"/>
          <w:szCs w:val="19"/>
          <w:lang w:val="en-GB" w:eastAsia="ko-KR"/>
        </w:rPr>
      </w:pPr>
      <w:r w:rsidRPr="00CD5563">
        <w:rPr>
          <w:szCs w:val="19"/>
          <w:lang w:val="en-GB"/>
        </w:rPr>
        <w:t>Y.1401: Principles of interworking</w:t>
      </w:r>
    </w:p>
    <w:p w:rsidR="0008639C" w:rsidRPr="00CD5563" w:rsidRDefault="0008639C" w:rsidP="0008639C">
      <w:pPr>
        <w:spacing w:before="60" w:after="60"/>
        <w:rPr>
          <w:rFonts w:eastAsiaTheme="minorEastAsia"/>
          <w:szCs w:val="19"/>
          <w:lang w:val="en-GB" w:eastAsia="ko-KR"/>
        </w:rPr>
      </w:pPr>
      <w:r w:rsidRPr="00CD5563">
        <w:rPr>
          <w:szCs w:val="19"/>
          <w:lang w:val="en-GB"/>
        </w:rPr>
        <w:t>Y.1402/X.371: General arrangements for interworking between Public Data Networks and the Internet</w:t>
      </w:r>
    </w:p>
    <w:p w:rsidR="0008639C" w:rsidRPr="00CD5563" w:rsidRDefault="0008639C" w:rsidP="0008639C">
      <w:pPr>
        <w:spacing w:before="60" w:after="60"/>
        <w:rPr>
          <w:rFonts w:eastAsiaTheme="minorEastAsia"/>
          <w:szCs w:val="19"/>
          <w:lang w:val="en-GB" w:eastAsia="ko-KR"/>
        </w:rPr>
      </w:pPr>
      <w:r w:rsidRPr="00CD5563">
        <w:rPr>
          <w:szCs w:val="19"/>
          <w:lang w:val="en-GB"/>
        </w:rPr>
        <w:t>Y.1411: ATM-MPLS network interworking – Cell mode user plane interworking</w:t>
      </w:r>
    </w:p>
    <w:p w:rsidR="0008639C" w:rsidRPr="00CD5563" w:rsidRDefault="0008639C" w:rsidP="0008639C">
      <w:pPr>
        <w:spacing w:before="60" w:after="60"/>
        <w:rPr>
          <w:rFonts w:eastAsiaTheme="minorEastAsia"/>
          <w:szCs w:val="19"/>
          <w:lang w:val="en-GB" w:eastAsia="ko-KR"/>
        </w:rPr>
      </w:pPr>
      <w:r w:rsidRPr="00CD5563">
        <w:rPr>
          <w:szCs w:val="19"/>
          <w:lang w:val="en-GB"/>
        </w:rPr>
        <w:t>Y.1412: ATM-MPLS network interworking – Frame mode user plane interworking</w:t>
      </w:r>
    </w:p>
    <w:p w:rsidR="0008639C" w:rsidRPr="00CD5563" w:rsidRDefault="0008639C" w:rsidP="0008639C">
      <w:pPr>
        <w:spacing w:before="60" w:after="60"/>
        <w:rPr>
          <w:rFonts w:eastAsiaTheme="minorEastAsia"/>
          <w:szCs w:val="19"/>
          <w:lang w:val="en-GB" w:eastAsia="ko-KR"/>
        </w:rPr>
      </w:pPr>
      <w:r w:rsidRPr="00CD5563">
        <w:rPr>
          <w:szCs w:val="19"/>
          <w:lang w:val="en-GB"/>
        </w:rPr>
        <w:t>Y.1413: TDM-MPLS network interworking – User plane interworking</w:t>
      </w:r>
    </w:p>
    <w:p w:rsidR="0008639C" w:rsidRPr="00CD5563" w:rsidRDefault="0008639C" w:rsidP="0008639C">
      <w:pPr>
        <w:spacing w:before="60" w:after="60"/>
        <w:rPr>
          <w:rFonts w:eastAsiaTheme="minorEastAsia"/>
          <w:szCs w:val="19"/>
          <w:lang w:val="en-GB" w:eastAsia="ko-KR"/>
        </w:rPr>
      </w:pPr>
      <w:r w:rsidRPr="00CD5563">
        <w:rPr>
          <w:szCs w:val="19"/>
          <w:lang w:val="en-GB"/>
        </w:rPr>
        <w:t>Y.1414: Voice services – MPLS network interworking</w:t>
      </w:r>
    </w:p>
    <w:p w:rsidR="0008639C" w:rsidRPr="00CD5563" w:rsidRDefault="0008639C" w:rsidP="0008639C">
      <w:pPr>
        <w:spacing w:before="60" w:after="60"/>
        <w:rPr>
          <w:rFonts w:eastAsiaTheme="minorEastAsia"/>
          <w:szCs w:val="19"/>
          <w:lang w:val="en-GB" w:eastAsia="ko-KR"/>
        </w:rPr>
      </w:pPr>
      <w:r w:rsidRPr="00CD5563">
        <w:rPr>
          <w:szCs w:val="19"/>
          <w:lang w:val="en-GB"/>
        </w:rPr>
        <w:t>Y.1452: Voice trunking over IP networks</w:t>
      </w:r>
    </w:p>
    <w:p w:rsidR="0008639C" w:rsidRPr="00CD5563" w:rsidRDefault="0008639C" w:rsidP="0008639C">
      <w:pPr>
        <w:spacing w:before="60" w:after="60"/>
        <w:rPr>
          <w:rFonts w:eastAsiaTheme="minorEastAsia"/>
          <w:szCs w:val="19"/>
          <w:lang w:val="en-GB" w:eastAsia="ko-KR"/>
        </w:rPr>
      </w:pPr>
      <w:r w:rsidRPr="00CD5563">
        <w:rPr>
          <w:szCs w:val="19"/>
          <w:lang w:val="en-GB"/>
        </w:rPr>
        <w:t>Y.1453: TDM-IP interworking – User plane interworking</w:t>
      </w:r>
    </w:p>
    <w:p w:rsidR="0008639C" w:rsidRPr="00CD5563" w:rsidRDefault="0008639C" w:rsidP="0008639C">
      <w:pPr>
        <w:spacing w:before="60" w:after="60"/>
        <w:rPr>
          <w:rFonts w:eastAsiaTheme="minorEastAsia"/>
          <w:szCs w:val="19"/>
          <w:lang w:val="en-GB" w:eastAsia="ko-KR"/>
        </w:rPr>
      </w:pPr>
      <w:r w:rsidRPr="00CD5563">
        <w:rPr>
          <w:szCs w:val="19"/>
          <w:lang w:val="en-GB"/>
        </w:rPr>
        <w:t>Y.1454: Tandem free operation (TFO) – IP network interworking – User plane interworking</w:t>
      </w:r>
    </w:p>
    <w:p w:rsidR="0008639C" w:rsidRPr="00CD5563" w:rsidRDefault="0008639C" w:rsidP="00703D54">
      <w:pPr>
        <w:pStyle w:val="Heading2"/>
        <w:rPr>
          <w:rFonts w:eastAsiaTheme="minorEastAsia"/>
          <w:szCs w:val="28"/>
          <w:lang w:val="en-GB" w:eastAsia="ko-KR"/>
        </w:rPr>
      </w:pPr>
      <w:bookmarkStart w:id="812" w:name="_Toc380487754"/>
      <w:bookmarkStart w:id="813" w:name="_Toc381025073"/>
      <w:r w:rsidRPr="00CD5563">
        <w:rPr>
          <w:rFonts w:eastAsiaTheme="minorEastAsia"/>
          <w:szCs w:val="28"/>
          <w:lang w:val="en-GB" w:eastAsia="ko-KR"/>
        </w:rPr>
        <w:t>5</w:t>
      </w:r>
      <w:r w:rsidR="00703D54" w:rsidRPr="00CD5563">
        <w:rPr>
          <w:rFonts w:eastAsiaTheme="minorEastAsia"/>
          <w:szCs w:val="28"/>
          <w:lang w:val="en-GB" w:eastAsia="ko-KR"/>
        </w:rPr>
        <w:tab/>
      </w:r>
      <w:hyperlink r:id="rId103" w:tooltip="Architecture, access, network capabilities and resource management" w:history="1">
        <w:r w:rsidRPr="00CD5563">
          <w:rPr>
            <w:rFonts w:eastAsiaTheme="minorEastAsia"/>
            <w:szCs w:val="28"/>
            <w:lang w:val="en-GB" w:eastAsia="ko-KR"/>
          </w:rPr>
          <w:t>QoS</w:t>
        </w:r>
      </w:hyperlink>
      <w:r w:rsidRPr="00CD5563">
        <w:rPr>
          <w:rFonts w:eastAsiaTheme="minorEastAsia"/>
          <w:szCs w:val="28"/>
          <w:lang w:val="en-GB" w:eastAsia="ko-KR"/>
        </w:rPr>
        <w:t xml:space="preserve"> and Network </w:t>
      </w:r>
      <w:r w:rsidR="00CD5563" w:rsidRPr="00CD5563">
        <w:rPr>
          <w:rFonts w:eastAsiaTheme="minorEastAsia"/>
          <w:szCs w:val="28"/>
          <w:lang w:val="en-GB" w:eastAsia="ko-KR"/>
        </w:rPr>
        <w:t>Performance</w:t>
      </w:r>
      <w:bookmarkEnd w:id="812"/>
      <w:bookmarkEnd w:id="813"/>
    </w:p>
    <w:p w:rsidR="00FC1F7A" w:rsidRDefault="00FC1F7A" w:rsidP="0008639C">
      <w:pPr>
        <w:spacing w:before="60" w:after="60"/>
        <w:rPr>
          <w:szCs w:val="19"/>
          <w:lang w:val="en-GB"/>
        </w:rPr>
      </w:pPr>
    </w:p>
    <w:p w:rsidR="0008639C" w:rsidRPr="00CD5563" w:rsidRDefault="0008639C" w:rsidP="0008639C">
      <w:pPr>
        <w:spacing w:before="60" w:after="60"/>
        <w:rPr>
          <w:szCs w:val="19"/>
          <w:lang w:val="en-GB"/>
        </w:rPr>
      </w:pPr>
      <w:r w:rsidRPr="00CD5563">
        <w:rPr>
          <w:szCs w:val="19"/>
          <w:lang w:val="en-GB"/>
        </w:rPr>
        <w:t>Y.1501/G.820/I.351: Relationships among ISDN, IP-based network and physical layer performance Recommendations</w:t>
      </w:r>
    </w:p>
    <w:p w:rsidR="0008639C" w:rsidRPr="00CD5563" w:rsidRDefault="0008639C" w:rsidP="0008639C">
      <w:pPr>
        <w:spacing w:before="60" w:after="60"/>
        <w:rPr>
          <w:szCs w:val="19"/>
          <w:lang w:val="en-GB"/>
        </w:rPr>
      </w:pPr>
      <w:r w:rsidRPr="00CD5563">
        <w:rPr>
          <w:szCs w:val="19"/>
          <w:lang w:val="en-GB"/>
        </w:rPr>
        <w:t>Y.1530: Call processing performance for voice service in hybrid IP networks</w:t>
      </w:r>
    </w:p>
    <w:p w:rsidR="0008639C" w:rsidRPr="00CD5563" w:rsidRDefault="0008639C" w:rsidP="0008639C">
      <w:pPr>
        <w:spacing w:before="60" w:after="60"/>
        <w:rPr>
          <w:szCs w:val="19"/>
          <w:lang w:val="en-GB"/>
        </w:rPr>
      </w:pPr>
      <w:r w:rsidRPr="00CD5563">
        <w:rPr>
          <w:szCs w:val="19"/>
          <w:lang w:val="en-GB"/>
        </w:rPr>
        <w:t>Y.1531: SIP-based call processing performance</w:t>
      </w:r>
    </w:p>
    <w:p w:rsidR="0008639C" w:rsidRPr="00CD5563" w:rsidRDefault="0008639C" w:rsidP="0008639C">
      <w:pPr>
        <w:spacing w:before="60" w:after="60"/>
        <w:rPr>
          <w:szCs w:val="19"/>
          <w:lang w:val="en-GB"/>
        </w:rPr>
      </w:pPr>
      <w:r w:rsidRPr="00CD5563">
        <w:rPr>
          <w:szCs w:val="19"/>
          <w:lang w:val="en-GB"/>
        </w:rPr>
        <w:t>Y.1540: Internet protocol data communication service – IP packet transfer and availability performance parameters</w:t>
      </w:r>
    </w:p>
    <w:p w:rsidR="0008639C" w:rsidRPr="00CD5563" w:rsidRDefault="0008639C" w:rsidP="0008639C">
      <w:pPr>
        <w:spacing w:before="60" w:after="60"/>
        <w:rPr>
          <w:szCs w:val="19"/>
          <w:lang w:val="en-GB"/>
        </w:rPr>
      </w:pPr>
      <w:r w:rsidRPr="00CD5563">
        <w:rPr>
          <w:szCs w:val="19"/>
          <w:lang w:val="en-GB"/>
        </w:rPr>
        <w:t>Y.1541: Network performance objectives for IP-based services</w:t>
      </w:r>
    </w:p>
    <w:p w:rsidR="0008639C" w:rsidRPr="00CD5563" w:rsidRDefault="0008639C" w:rsidP="0008639C">
      <w:pPr>
        <w:spacing w:before="60" w:after="60"/>
        <w:rPr>
          <w:szCs w:val="19"/>
          <w:lang w:val="en-GB"/>
        </w:rPr>
      </w:pPr>
      <w:r w:rsidRPr="00CD5563">
        <w:rPr>
          <w:szCs w:val="19"/>
          <w:lang w:val="en-GB"/>
        </w:rPr>
        <w:t>Y.1542: Framework for achieving end-to-end IP performance objectives</w:t>
      </w:r>
    </w:p>
    <w:p w:rsidR="0008639C" w:rsidRPr="00CD5563" w:rsidRDefault="0008639C" w:rsidP="0008639C">
      <w:pPr>
        <w:spacing w:before="60" w:after="60"/>
        <w:rPr>
          <w:szCs w:val="19"/>
          <w:lang w:val="en-GB"/>
        </w:rPr>
      </w:pPr>
      <w:r w:rsidRPr="00CD5563">
        <w:rPr>
          <w:szCs w:val="19"/>
          <w:lang w:val="en-GB"/>
        </w:rPr>
        <w:t>Y.1543: Measurements in IP networks for inter-domain performance assessment</w:t>
      </w:r>
    </w:p>
    <w:p w:rsidR="0008639C" w:rsidRPr="00CD5563" w:rsidRDefault="0008639C" w:rsidP="0008639C">
      <w:pPr>
        <w:spacing w:before="60" w:after="60"/>
        <w:rPr>
          <w:szCs w:val="19"/>
          <w:lang w:val="en-GB"/>
        </w:rPr>
      </w:pPr>
      <w:r w:rsidRPr="00CD5563">
        <w:rPr>
          <w:szCs w:val="19"/>
          <w:lang w:val="en-GB"/>
        </w:rPr>
        <w:t>Y.1544: Multicast IP performance parameters</w:t>
      </w:r>
    </w:p>
    <w:p w:rsidR="0008639C" w:rsidRPr="00CD5563" w:rsidRDefault="0008639C" w:rsidP="0008639C">
      <w:pPr>
        <w:spacing w:before="60" w:after="60"/>
        <w:rPr>
          <w:szCs w:val="19"/>
          <w:lang w:val="en-GB"/>
        </w:rPr>
      </w:pPr>
      <w:r w:rsidRPr="00CD5563">
        <w:rPr>
          <w:szCs w:val="19"/>
          <w:lang w:val="en-GB"/>
        </w:rPr>
        <w:t>Y.1560: Parameters for TCP connection performance in the presence of middleboxes</w:t>
      </w:r>
    </w:p>
    <w:p w:rsidR="0008639C" w:rsidRPr="00CD5563" w:rsidRDefault="0008639C" w:rsidP="0008639C">
      <w:pPr>
        <w:spacing w:before="60" w:after="60"/>
        <w:rPr>
          <w:szCs w:val="19"/>
          <w:lang w:val="en-GB"/>
        </w:rPr>
      </w:pPr>
      <w:r w:rsidRPr="00CD5563">
        <w:rPr>
          <w:szCs w:val="19"/>
          <w:lang w:val="en-GB"/>
        </w:rPr>
        <w:t>Y.1561: Performance and availability parameters for MPLS networks</w:t>
      </w:r>
    </w:p>
    <w:p w:rsidR="0008639C" w:rsidRPr="00CD5563" w:rsidRDefault="0008639C" w:rsidP="00703D54">
      <w:pPr>
        <w:pStyle w:val="Heading2"/>
        <w:rPr>
          <w:rFonts w:eastAsiaTheme="minorEastAsia"/>
          <w:lang w:val="en-GB" w:eastAsia="ko-KR"/>
        </w:rPr>
      </w:pPr>
      <w:bookmarkStart w:id="814" w:name="_Toc380487755"/>
      <w:bookmarkStart w:id="815" w:name="_Toc381025074"/>
      <w:r w:rsidRPr="00CD5563">
        <w:rPr>
          <w:rFonts w:eastAsiaTheme="minorEastAsia"/>
          <w:lang w:val="en-GB" w:eastAsia="ko-KR"/>
        </w:rPr>
        <w:t>6</w:t>
      </w:r>
      <w:r w:rsidR="00703D54" w:rsidRPr="00CD5563">
        <w:rPr>
          <w:rFonts w:eastAsiaTheme="minorEastAsia"/>
          <w:lang w:val="en-GB" w:eastAsia="ko-KR"/>
        </w:rPr>
        <w:tab/>
      </w:r>
      <w:r w:rsidRPr="00CD5563">
        <w:rPr>
          <w:rFonts w:eastAsiaTheme="minorEastAsia"/>
          <w:lang w:val="en-GB" w:eastAsia="ko-KR"/>
        </w:rPr>
        <w:t>Operation, administration and maintenance</w:t>
      </w:r>
      <w:bookmarkEnd w:id="814"/>
      <w:bookmarkEnd w:id="815"/>
    </w:p>
    <w:p w:rsidR="00FC1F7A" w:rsidRDefault="00FC1F7A" w:rsidP="0008639C">
      <w:pPr>
        <w:spacing w:before="60" w:after="60"/>
        <w:rPr>
          <w:szCs w:val="19"/>
          <w:lang w:val="en-GB"/>
        </w:rPr>
      </w:pPr>
    </w:p>
    <w:p w:rsidR="0008639C" w:rsidRPr="00CD5563" w:rsidRDefault="0008639C" w:rsidP="0008639C">
      <w:pPr>
        <w:spacing w:before="60" w:after="60"/>
        <w:rPr>
          <w:szCs w:val="19"/>
          <w:lang w:val="en-GB"/>
        </w:rPr>
      </w:pPr>
      <w:r w:rsidRPr="00CD5563">
        <w:rPr>
          <w:szCs w:val="19"/>
          <w:lang w:val="en-GB"/>
        </w:rPr>
        <w:t>Y.1704/G.7713: Distributed call and connection management (DCM)</w:t>
      </w:r>
    </w:p>
    <w:p w:rsidR="0008639C" w:rsidRPr="00CD5563" w:rsidRDefault="0008639C" w:rsidP="0008639C">
      <w:pPr>
        <w:spacing w:before="60" w:after="60"/>
        <w:rPr>
          <w:szCs w:val="19"/>
          <w:lang w:val="en-GB"/>
        </w:rPr>
      </w:pPr>
      <w:r w:rsidRPr="00CD5563">
        <w:rPr>
          <w:szCs w:val="19"/>
          <w:lang w:val="en-GB"/>
        </w:rPr>
        <w:t>Y.1704.1/G.7713.1: Distributed Call and Connection Management (DCM) based on PNNI</w:t>
      </w:r>
    </w:p>
    <w:p w:rsidR="0008639C" w:rsidRPr="00CD5563" w:rsidRDefault="0008639C" w:rsidP="0008639C">
      <w:pPr>
        <w:spacing w:before="60" w:after="60"/>
        <w:rPr>
          <w:szCs w:val="19"/>
          <w:lang w:val="en-GB"/>
        </w:rPr>
      </w:pPr>
      <w:r w:rsidRPr="00CD5563">
        <w:rPr>
          <w:szCs w:val="19"/>
          <w:lang w:val="en-GB"/>
        </w:rPr>
        <w:t>Y.1704.2/G.7713.2: Distributed Call and Connection Management: Signalling mechanism using GMPLS RSVP-TE</w:t>
      </w:r>
    </w:p>
    <w:p w:rsidR="0008639C" w:rsidRPr="00CD5563" w:rsidRDefault="0008639C" w:rsidP="0008639C">
      <w:pPr>
        <w:spacing w:before="60" w:after="60"/>
        <w:rPr>
          <w:szCs w:val="19"/>
          <w:lang w:val="en-GB"/>
        </w:rPr>
      </w:pPr>
      <w:r w:rsidRPr="00CD5563">
        <w:rPr>
          <w:szCs w:val="19"/>
          <w:lang w:val="en-GB"/>
        </w:rPr>
        <w:t>Y.1704.3/G.7713.3: Distributed Call and Connection Management: Signalling mechanism using GMPLS CR-LDP</w:t>
      </w:r>
    </w:p>
    <w:p w:rsidR="0008639C" w:rsidRPr="00CD5563" w:rsidRDefault="0008639C" w:rsidP="0008639C">
      <w:pPr>
        <w:spacing w:before="60" w:after="60"/>
        <w:rPr>
          <w:szCs w:val="19"/>
          <w:lang w:val="en-GB"/>
        </w:rPr>
      </w:pPr>
      <w:r w:rsidRPr="00CD5563">
        <w:rPr>
          <w:szCs w:val="19"/>
          <w:lang w:val="en-GB"/>
        </w:rPr>
        <w:t>Y.1710: Requirements for Operation &amp; Maintenance functionality in MPLS networks</w:t>
      </w:r>
    </w:p>
    <w:p w:rsidR="0008639C" w:rsidRPr="00CD5563" w:rsidRDefault="0008639C" w:rsidP="0008639C">
      <w:pPr>
        <w:spacing w:before="60" w:after="60"/>
        <w:rPr>
          <w:szCs w:val="19"/>
          <w:lang w:val="en-GB"/>
        </w:rPr>
      </w:pPr>
      <w:r w:rsidRPr="00CD5563">
        <w:rPr>
          <w:szCs w:val="19"/>
          <w:lang w:val="en-GB"/>
        </w:rPr>
        <w:t>Y.1711: Operation &amp; Maintenance mechanism for MPLS networks</w:t>
      </w:r>
    </w:p>
    <w:p w:rsidR="0008639C" w:rsidRPr="00CD5563" w:rsidRDefault="0008639C" w:rsidP="0008639C">
      <w:pPr>
        <w:spacing w:before="60" w:after="60"/>
        <w:rPr>
          <w:szCs w:val="19"/>
          <w:lang w:val="en-GB"/>
        </w:rPr>
      </w:pPr>
      <w:r w:rsidRPr="00CD5563">
        <w:rPr>
          <w:szCs w:val="19"/>
          <w:lang w:val="en-GB"/>
        </w:rPr>
        <w:t>Y.1712: OAM functionality for ATM-MPLS interworking</w:t>
      </w:r>
    </w:p>
    <w:p w:rsidR="0008639C" w:rsidRPr="00CD5563" w:rsidRDefault="0008639C" w:rsidP="0008639C">
      <w:pPr>
        <w:spacing w:before="60" w:after="60"/>
        <w:rPr>
          <w:szCs w:val="19"/>
          <w:lang w:val="en-GB"/>
        </w:rPr>
      </w:pPr>
      <w:r w:rsidRPr="00CD5563">
        <w:rPr>
          <w:szCs w:val="19"/>
          <w:lang w:val="en-GB"/>
        </w:rPr>
        <w:t>Y.1713: Misbranching detection for MPLS networks</w:t>
      </w:r>
    </w:p>
    <w:p w:rsidR="0008639C" w:rsidRPr="00CD5563" w:rsidRDefault="0008639C" w:rsidP="0008639C">
      <w:pPr>
        <w:spacing w:before="60" w:after="60"/>
        <w:rPr>
          <w:szCs w:val="19"/>
          <w:lang w:val="en-GB"/>
        </w:rPr>
      </w:pPr>
      <w:r w:rsidRPr="00CD5563">
        <w:rPr>
          <w:szCs w:val="19"/>
          <w:lang w:val="en-GB"/>
        </w:rPr>
        <w:t>Y.1714: MPLS management and OAM framework</w:t>
      </w:r>
    </w:p>
    <w:p w:rsidR="0008639C" w:rsidRPr="00CD5563" w:rsidRDefault="0008639C" w:rsidP="0008639C">
      <w:pPr>
        <w:spacing w:before="60" w:after="60"/>
        <w:rPr>
          <w:szCs w:val="19"/>
          <w:lang w:val="en-GB"/>
        </w:rPr>
      </w:pPr>
      <w:r w:rsidRPr="00CD5563">
        <w:rPr>
          <w:szCs w:val="19"/>
          <w:lang w:val="en-GB"/>
        </w:rPr>
        <w:t>Y.1720: Protection switching for MPLS networks</w:t>
      </w:r>
    </w:p>
    <w:p w:rsidR="0008639C" w:rsidRPr="00CD5563" w:rsidRDefault="0008639C" w:rsidP="00703D54">
      <w:pPr>
        <w:pStyle w:val="Heading2"/>
        <w:rPr>
          <w:rFonts w:eastAsiaTheme="minorEastAsia"/>
          <w:szCs w:val="28"/>
          <w:lang w:val="en-GB" w:eastAsia="ko-KR"/>
        </w:rPr>
      </w:pPr>
      <w:bookmarkStart w:id="816" w:name="_Toc380487756"/>
      <w:bookmarkStart w:id="817" w:name="_Toc381025075"/>
      <w:r w:rsidRPr="00CD5563">
        <w:rPr>
          <w:rFonts w:eastAsiaTheme="minorEastAsia"/>
          <w:szCs w:val="28"/>
          <w:lang w:val="en-GB" w:eastAsia="ko-KR"/>
        </w:rPr>
        <w:t>7</w:t>
      </w:r>
      <w:r w:rsidR="00703D54" w:rsidRPr="00CD5563">
        <w:rPr>
          <w:rFonts w:eastAsiaTheme="minorEastAsia"/>
          <w:lang w:val="en-GB" w:eastAsia="ko-KR"/>
        </w:rPr>
        <w:tab/>
      </w:r>
      <w:hyperlink r:id="rId104" w:tooltip="Operation, administration and maintenance" w:history="1">
        <w:r w:rsidRPr="00CD5563">
          <w:rPr>
            <w:rFonts w:eastAsiaTheme="minorEastAsia"/>
            <w:szCs w:val="28"/>
            <w:lang w:val="en-GB" w:eastAsia="ko-KR"/>
          </w:rPr>
          <w:t>IPTV</w:t>
        </w:r>
        <w:bookmarkEnd w:id="816"/>
        <w:bookmarkEnd w:id="817"/>
      </w:hyperlink>
    </w:p>
    <w:p w:rsidR="00FC1F7A" w:rsidRDefault="00FC1F7A" w:rsidP="0008639C">
      <w:pPr>
        <w:spacing w:before="60" w:after="60"/>
        <w:rPr>
          <w:szCs w:val="19"/>
          <w:lang w:val="en-GB"/>
        </w:rPr>
      </w:pPr>
    </w:p>
    <w:p w:rsidR="0008639C" w:rsidRPr="00CD5563" w:rsidRDefault="0008639C" w:rsidP="0008639C">
      <w:pPr>
        <w:spacing w:before="60" w:after="60"/>
        <w:rPr>
          <w:szCs w:val="19"/>
          <w:lang w:val="en-GB"/>
        </w:rPr>
      </w:pPr>
      <w:r w:rsidRPr="00CD5563">
        <w:rPr>
          <w:szCs w:val="19"/>
          <w:lang w:val="en-GB"/>
        </w:rPr>
        <w:t>Y.1901: Requirements for the support of IPTV services</w:t>
      </w:r>
    </w:p>
    <w:p w:rsidR="0008639C" w:rsidRPr="00CD5563" w:rsidRDefault="0008639C" w:rsidP="0008639C">
      <w:pPr>
        <w:spacing w:before="60" w:after="60"/>
        <w:rPr>
          <w:szCs w:val="19"/>
          <w:lang w:val="en-GB"/>
        </w:rPr>
      </w:pPr>
      <w:r w:rsidRPr="00CD5563">
        <w:rPr>
          <w:szCs w:val="19"/>
          <w:lang w:val="en-GB"/>
        </w:rPr>
        <w:t>Y.1902: Framework for multicast-based IPTV content delivery</w:t>
      </w:r>
    </w:p>
    <w:p w:rsidR="0008639C" w:rsidRPr="00CD5563" w:rsidRDefault="0008639C" w:rsidP="0008639C">
      <w:pPr>
        <w:spacing w:before="60" w:after="60"/>
        <w:rPr>
          <w:szCs w:val="19"/>
          <w:lang w:val="en-GB"/>
        </w:rPr>
      </w:pPr>
      <w:r w:rsidRPr="00CD5563">
        <w:rPr>
          <w:szCs w:val="19"/>
          <w:lang w:val="en-GB"/>
        </w:rPr>
        <w:t>Y.1910: IPTV functional architecture</w:t>
      </w:r>
    </w:p>
    <w:p w:rsidR="0008639C" w:rsidRPr="00CD5563" w:rsidRDefault="0008639C" w:rsidP="0008639C">
      <w:pPr>
        <w:spacing w:before="60" w:after="60"/>
        <w:rPr>
          <w:szCs w:val="19"/>
          <w:lang w:val="en-GB"/>
        </w:rPr>
      </w:pPr>
      <w:r w:rsidRPr="00CD5563">
        <w:rPr>
          <w:szCs w:val="19"/>
          <w:lang w:val="en-GB"/>
        </w:rPr>
        <w:t>Y.1911: IPTV services and nomadism: Scenarios and functional architecture for unicast delivery</w:t>
      </w:r>
    </w:p>
    <w:p w:rsidR="0008639C" w:rsidRPr="00CD5563" w:rsidRDefault="0008639C" w:rsidP="0008639C">
      <w:pPr>
        <w:spacing w:before="60" w:after="60"/>
        <w:rPr>
          <w:szCs w:val="19"/>
          <w:lang w:val="en-GB"/>
        </w:rPr>
      </w:pPr>
      <w:r w:rsidRPr="00CD5563">
        <w:rPr>
          <w:szCs w:val="19"/>
          <w:lang w:val="en-GB"/>
        </w:rPr>
        <w:t>Y.1991: Terms and definitions for IPTV</w:t>
      </w:r>
    </w:p>
    <w:p w:rsidR="0008639C" w:rsidRPr="00CD5563" w:rsidRDefault="0008639C" w:rsidP="00703D54">
      <w:pPr>
        <w:pStyle w:val="Heading1"/>
        <w:rPr>
          <w:lang w:val="en-GB"/>
        </w:rPr>
      </w:pPr>
      <w:bookmarkStart w:id="818" w:name="_Toc380487757"/>
      <w:bookmarkStart w:id="819" w:name="_Toc381025076"/>
      <w:r w:rsidRPr="00CD5563">
        <w:rPr>
          <w:lang w:val="en-GB"/>
        </w:rPr>
        <w:t>Next Generation Networks</w:t>
      </w:r>
      <w:bookmarkEnd w:id="818"/>
      <w:bookmarkEnd w:id="819"/>
    </w:p>
    <w:p w:rsidR="0008639C" w:rsidRPr="00CD5563" w:rsidRDefault="0008639C" w:rsidP="00703D54">
      <w:pPr>
        <w:pStyle w:val="Heading2"/>
        <w:rPr>
          <w:lang w:val="en-GB"/>
        </w:rPr>
      </w:pPr>
      <w:bookmarkStart w:id="820" w:name="_Toc380487758"/>
      <w:bookmarkStart w:id="821" w:name="_Toc381025077"/>
      <w:r w:rsidRPr="00CD5563">
        <w:rPr>
          <w:lang w:val="en-GB"/>
        </w:rPr>
        <w:t>1</w:t>
      </w:r>
      <w:r w:rsidR="00703D54" w:rsidRPr="00CD5563">
        <w:rPr>
          <w:lang w:val="en-GB"/>
        </w:rPr>
        <w:tab/>
      </w:r>
      <w:r w:rsidRPr="00CD5563">
        <w:rPr>
          <w:lang w:val="en-GB"/>
        </w:rPr>
        <w:t>Frameworks and functional architecture models</w:t>
      </w:r>
      <w:bookmarkEnd w:id="820"/>
      <w:bookmarkEnd w:id="821"/>
    </w:p>
    <w:p w:rsidR="00FC1F7A" w:rsidRDefault="00FC1F7A" w:rsidP="0008639C">
      <w:pPr>
        <w:spacing w:before="60" w:after="60"/>
        <w:rPr>
          <w:szCs w:val="19"/>
          <w:lang w:val="en-GB"/>
        </w:rPr>
      </w:pPr>
    </w:p>
    <w:p w:rsidR="0008639C" w:rsidRPr="00CD5563" w:rsidRDefault="0008639C" w:rsidP="0008639C">
      <w:pPr>
        <w:spacing w:before="60" w:after="60"/>
        <w:rPr>
          <w:szCs w:val="19"/>
          <w:lang w:val="en-GB"/>
        </w:rPr>
      </w:pPr>
      <w:r w:rsidRPr="00CD5563">
        <w:rPr>
          <w:szCs w:val="19"/>
          <w:lang w:val="en-GB"/>
        </w:rPr>
        <w:t>Y.2001: General overview of NGN</w:t>
      </w:r>
    </w:p>
    <w:p w:rsidR="0008639C" w:rsidRPr="00CD5563" w:rsidRDefault="0008639C" w:rsidP="0008639C">
      <w:pPr>
        <w:spacing w:before="60" w:after="60"/>
        <w:rPr>
          <w:szCs w:val="19"/>
          <w:lang w:val="en-GB"/>
        </w:rPr>
      </w:pPr>
      <w:r w:rsidRPr="00CD5563">
        <w:rPr>
          <w:szCs w:val="19"/>
          <w:lang w:val="en-GB"/>
        </w:rPr>
        <w:t>Y.2002: Overview of ubiquitous networking and of its support in NGN</w:t>
      </w:r>
    </w:p>
    <w:p w:rsidR="0008639C" w:rsidRPr="00CD5563" w:rsidRDefault="0008639C" w:rsidP="0008639C">
      <w:pPr>
        <w:spacing w:before="60" w:after="60"/>
        <w:rPr>
          <w:szCs w:val="19"/>
          <w:lang w:val="en-GB"/>
        </w:rPr>
      </w:pPr>
      <w:r w:rsidRPr="00CD5563">
        <w:rPr>
          <w:szCs w:val="19"/>
          <w:lang w:val="en-GB"/>
        </w:rPr>
        <w:t>Y.2006: Description of capability set 1 of NGN release 1</w:t>
      </w:r>
    </w:p>
    <w:p w:rsidR="0008639C" w:rsidRPr="00CD5563" w:rsidRDefault="0008639C" w:rsidP="0008639C">
      <w:pPr>
        <w:spacing w:before="60" w:after="60"/>
        <w:rPr>
          <w:szCs w:val="19"/>
          <w:lang w:val="en-GB"/>
        </w:rPr>
      </w:pPr>
      <w:r w:rsidRPr="00CD5563">
        <w:rPr>
          <w:szCs w:val="19"/>
          <w:lang w:val="en-GB"/>
        </w:rPr>
        <w:t>Y.2007: NGN capability set 2</w:t>
      </w:r>
    </w:p>
    <w:p w:rsidR="0008639C" w:rsidRPr="00CD5563" w:rsidRDefault="0008639C" w:rsidP="0008639C">
      <w:pPr>
        <w:spacing w:before="60" w:after="60"/>
        <w:rPr>
          <w:szCs w:val="19"/>
          <w:lang w:val="en-GB"/>
        </w:rPr>
      </w:pPr>
      <w:r w:rsidRPr="00CD5563">
        <w:rPr>
          <w:szCs w:val="19"/>
          <w:lang w:val="en-GB"/>
        </w:rPr>
        <w:t>Y.2011: General principles and general reference model for Next Generation Networks</w:t>
      </w:r>
    </w:p>
    <w:p w:rsidR="0008639C" w:rsidRPr="00CD5563" w:rsidRDefault="0008639C" w:rsidP="0008639C">
      <w:pPr>
        <w:spacing w:before="60" w:after="60"/>
        <w:rPr>
          <w:szCs w:val="19"/>
          <w:lang w:val="en-GB"/>
        </w:rPr>
      </w:pPr>
      <w:r w:rsidRPr="00CD5563">
        <w:rPr>
          <w:szCs w:val="19"/>
          <w:lang w:val="en-GB"/>
        </w:rPr>
        <w:t>Y.2012: Functional requirements and architecture of next generation networks</w:t>
      </w:r>
    </w:p>
    <w:p w:rsidR="0008639C" w:rsidRPr="00CD5563" w:rsidRDefault="0008639C" w:rsidP="0008639C">
      <w:pPr>
        <w:spacing w:before="60" w:after="60"/>
        <w:rPr>
          <w:szCs w:val="19"/>
          <w:lang w:val="en-GB"/>
        </w:rPr>
      </w:pPr>
      <w:r w:rsidRPr="00CD5563">
        <w:rPr>
          <w:szCs w:val="19"/>
          <w:lang w:val="en-GB"/>
        </w:rPr>
        <w:t>Y.2013: Converged services framework functional requirements and architecture</w:t>
      </w:r>
    </w:p>
    <w:p w:rsidR="0008639C" w:rsidRPr="00CD5563" w:rsidRDefault="0008639C" w:rsidP="0008639C">
      <w:pPr>
        <w:spacing w:before="60" w:after="60"/>
        <w:rPr>
          <w:szCs w:val="19"/>
          <w:lang w:val="en-GB"/>
        </w:rPr>
      </w:pPr>
      <w:r w:rsidRPr="00CD5563">
        <w:rPr>
          <w:szCs w:val="19"/>
          <w:lang w:val="en-GB"/>
        </w:rPr>
        <w:t>Y.2014: Network attachment control functions in next generation networks</w:t>
      </w:r>
    </w:p>
    <w:p w:rsidR="0008639C" w:rsidRPr="00CD5563" w:rsidRDefault="0008639C" w:rsidP="0008639C">
      <w:pPr>
        <w:spacing w:before="60" w:after="60"/>
        <w:rPr>
          <w:szCs w:val="19"/>
          <w:lang w:val="en-GB"/>
        </w:rPr>
      </w:pPr>
      <w:r w:rsidRPr="00CD5563">
        <w:rPr>
          <w:szCs w:val="19"/>
          <w:lang w:val="en-GB"/>
        </w:rPr>
        <w:t>Y.2015: General requirements for ID/locator separation in NGN</w:t>
      </w:r>
    </w:p>
    <w:p w:rsidR="0008639C" w:rsidRPr="00CD5563" w:rsidRDefault="0008639C" w:rsidP="0008639C">
      <w:pPr>
        <w:spacing w:before="60" w:after="60"/>
        <w:rPr>
          <w:szCs w:val="19"/>
          <w:lang w:val="en-GB"/>
        </w:rPr>
      </w:pPr>
      <w:r w:rsidRPr="00CD5563">
        <w:rPr>
          <w:szCs w:val="19"/>
          <w:lang w:val="en-GB"/>
        </w:rPr>
        <w:t>Y.2016: Functional requirements and architecture of the NGN for applications and services using tag-based identification</w:t>
      </w:r>
    </w:p>
    <w:p w:rsidR="0008639C" w:rsidRPr="00CD5563" w:rsidRDefault="0008639C" w:rsidP="0008639C">
      <w:pPr>
        <w:spacing w:before="60" w:after="60"/>
        <w:rPr>
          <w:szCs w:val="19"/>
          <w:lang w:val="en-GB"/>
        </w:rPr>
      </w:pPr>
      <w:r w:rsidRPr="00CD5563">
        <w:rPr>
          <w:szCs w:val="19"/>
          <w:lang w:val="en-GB"/>
        </w:rPr>
        <w:t>Y.2017: Multicast functions in next generation networks</w:t>
      </w:r>
    </w:p>
    <w:p w:rsidR="0008639C" w:rsidRPr="00CD5563" w:rsidRDefault="0008639C" w:rsidP="0008639C">
      <w:pPr>
        <w:spacing w:before="60" w:after="60"/>
        <w:rPr>
          <w:szCs w:val="19"/>
          <w:lang w:val="en-GB"/>
        </w:rPr>
      </w:pPr>
      <w:r w:rsidRPr="00CD5563">
        <w:rPr>
          <w:szCs w:val="19"/>
          <w:lang w:val="en-GB"/>
        </w:rPr>
        <w:t>Y.2018: Mobility management and control framework and architecture within the NGN transport stratum</w:t>
      </w:r>
    </w:p>
    <w:p w:rsidR="0008639C" w:rsidRPr="00CD5563" w:rsidRDefault="0008639C" w:rsidP="0008639C">
      <w:pPr>
        <w:spacing w:before="60" w:after="60"/>
        <w:rPr>
          <w:szCs w:val="19"/>
          <w:lang w:val="en-GB"/>
        </w:rPr>
      </w:pPr>
      <w:r w:rsidRPr="00CD5563">
        <w:rPr>
          <w:szCs w:val="19"/>
          <w:lang w:val="en-GB"/>
        </w:rPr>
        <w:t>Y.2019: Content delivery functional architecture in NGN</w:t>
      </w:r>
    </w:p>
    <w:p w:rsidR="0008639C" w:rsidRPr="00CD5563" w:rsidRDefault="0008639C" w:rsidP="0008639C">
      <w:pPr>
        <w:spacing w:before="60" w:after="60"/>
        <w:rPr>
          <w:szCs w:val="19"/>
          <w:lang w:val="en-GB"/>
        </w:rPr>
      </w:pPr>
      <w:r w:rsidRPr="00CD5563">
        <w:rPr>
          <w:szCs w:val="19"/>
          <w:lang w:val="en-GB"/>
        </w:rPr>
        <w:t>Y.2020: Open service environment functional architecture for next generation networks</w:t>
      </w:r>
    </w:p>
    <w:p w:rsidR="0008639C" w:rsidRPr="00CD5563" w:rsidRDefault="0008639C" w:rsidP="0008639C">
      <w:pPr>
        <w:spacing w:before="60" w:after="60"/>
        <w:rPr>
          <w:szCs w:val="19"/>
          <w:lang w:val="en-GB"/>
        </w:rPr>
      </w:pPr>
      <w:r w:rsidRPr="00CD5563">
        <w:rPr>
          <w:szCs w:val="19"/>
          <w:lang w:val="en-GB"/>
        </w:rPr>
        <w:t>Y.2021: IMS for Next Generation Networks</w:t>
      </w:r>
    </w:p>
    <w:p w:rsidR="0008639C" w:rsidRPr="00CD5563" w:rsidRDefault="0008639C" w:rsidP="0008639C">
      <w:pPr>
        <w:spacing w:before="60" w:after="60"/>
        <w:rPr>
          <w:szCs w:val="19"/>
          <w:lang w:val="en-GB"/>
        </w:rPr>
      </w:pPr>
      <w:r w:rsidRPr="00CD5563">
        <w:rPr>
          <w:szCs w:val="19"/>
          <w:lang w:val="en-GB"/>
        </w:rPr>
        <w:t>Y.2022: Functional architecture for the support of host-based ID/locator separation in NGN</w:t>
      </w:r>
    </w:p>
    <w:p w:rsidR="0008639C" w:rsidRPr="00CD5563" w:rsidRDefault="0008639C" w:rsidP="0008639C">
      <w:pPr>
        <w:spacing w:before="60" w:after="60"/>
        <w:rPr>
          <w:szCs w:val="19"/>
          <w:lang w:val="en-GB"/>
        </w:rPr>
      </w:pPr>
      <w:r w:rsidRPr="00CD5563">
        <w:rPr>
          <w:szCs w:val="19"/>
          <w:lang w:val="en-GB"/>
        </w:rPr>
        <w:t>Y.2023: Functional requirements and architecture for the NGN for multimedia communication centre serviceY.2031: PSTN/ISDN emulation architecture</w:t>
      </w:r>
    </w:p>
    <w:p w:rsidR="0008639C" w:rsidRPr="00CD5563" w:rsidRDefault="0008639C" w:rsidP="0008639C">
      <w:pPr>
        <w:spacing w:before="60" w:after="60"/>
        <w:rPr>
          <w:szCs w:val="19"/>
          <w:lang w:val="en-GB"/>
        </w:rPr>
      </w:pPr>
      <w:r w:rsidRPr="00CD5563">
        <w:rPr>
          <w:szCs w:val="19"/>
          <w:lang w:val="en-GB"/>
        </w:rPr>
        <w:t>Y.2051: General overview of IPv6-based NGN</w:t>
      </w:r>
    </w:p>
    <w:p w:rsidR="0008639C" w:rsidRPr="00CD5563" w:rsidRDefault="0008639C" w:rsidP="0008639C">
      <w:pPr>
        <w:spacing w:before="60" w:after="60"/>
        <w:rPr>
          <w:szCs w:val="19"/>
          <w:lang w:val="en-GB"/>
        </w:rPr>
      </w:pPr>
      <w:r w:rsidRPr="00CD5563">
        <w:rPr>
          <w:szCs w:val="19"/>
          <w:lang w:val="en-GB"/>
        </w:rPr>
        <w:t>Y.2052: Framework of multi-homing in IPv6-based NGN</w:t>
      </w:r>
    </w:p>
    <w:p w:rsidR="0008639C" w:rsidRPr="00CD5563" w:rsidRDefault="0008639C" w:rsidP="0008639C">
      <w:pPr>
        <w:spacing w:before="60" w:after="60"/>
        <w:rPr>
          <w:szCs w:val="19"/>
          <w:lang w:val="en-GB"/>
        </w:rPr>
      </w:pPr>
      <w:r w:rsidRPr="00CD5563">
        <w:rPr>
          <w:szCs w:val="19"/>
          <w:lang w:val="en-GB"/>
        </w:rPr>
        <w:t>Y.2053: Functional requirements for IPv6 migration in NGN</w:t>
      </w:r>
    </w:p>
    <w:p w:rsidR="0008639C" w:rsidRPr="00CD5563" w:rsidRDefault="0008639C" w:rsidP="0008639C">
      <w:pPr>
        <w:spacing w:before="60" w:after="60"/>
        <w:rPr>
          <w:szCs w:val="19"/>
          <w:lang w:val="en-GB"/>
        </w:rPr>
      </w:pPr>
      <w:r w:rsidRPr="00CD5563">
        <w:rPr>
          <w:szCs w:val="19"/>
          <w:lang w:val="en-GB"/>
        </w:rPr>
        <w:t>Y.2054: Framework to support signalling for IPv6-based NGN</w:t>
      </w:r>
    </w:p>
    <w:p w:rsidR="0008639C" w:rsidRPr="00CD5563" w:rsidRDefault="0008639C" w:rsidP="0008639C">
      <w:pPr>
        <w:spacing w:before="60" w:after="60"/>
        <w:rPr>
          <w:szCs w:val="19"/>
          <w:lang w:val="en-GB"/>
        </w:rPr>
      </w:pPr>
      <w:r w:rsidRPr="00CD5563">
        <w:rPr>
          <w:szCs w:val="19"/>
          <w:lang w:val="en-GB"/>
        </w:rPr>
        <w:t>Y.2055: Framework of object mapping using IPv6 in next generation networks</w:t>
      </w:r>
    </w:p>
    <w:p w:rsidR="0008639C" w:rsidRPr="00CD5563" w:rsidRDefault="0008639C" w:rsidP="0008639C">
      <w:pPr>
        <w:spacing w:before="60" w:after="60"/>
        <w:rPr>
          <w:szCs w:val="19"/>
          <w:lang w:val="en-GB"/>
        </w:rPr>
      </w:pPr>
      <w:r w:rsidRPr="00CD5563">
        <w:rPr>
          <w:szCs w:val="19"/>
          <w:lang w:val="en-GB"/>
        </w:rPr>
        <w:t>Y.2056: Framework of vertical multi-homing in IPv6-based NGN</w:t>
      </w:r>
    </w:p>
    <w:p w:rsidR="0008639C" w:rsidRPr="00CD5563" w:rsidRDefault="0008639C" w:rsidP="0008639C">
      <w:pPr>
        <w:spacing w:before="60" w:after="60"/>
        <w:rPr>
          <w:szCs w:val="19"/>
          <w:lang w:val="en-GB"/>
        </w:rPr>
      </w:pPr>
      <w:r w:rsidRPr="00CD5563">
        <w:rPr>
          <w:szCs w:val="19"/>
          <w:lang w:val="en-GB"/>
        </w:rPr>
        <w:t xml:space="preserve">Y.2057: </w:t>
      </w:r>
      <w:hyperlink r:id="rId105" w:tooltip="Framework of node identifier and routing locator separation in IPv6-based next generation networks" w:history="1">
        <w:r w:rsidRPr="00CD5563">
          <w:rPr>
            <w:szCs w:val="19"/>
            <w:lang w:val="en-GB"/>
          </w:rPr>
          <w:t>Framework of node identifier and routing locator separation in IPv6-based next generation networks</w:t>
        </w:r>
      </w:hyperlink>
    </w:p>
    <w:p w:rsidR="0008639C" w:rsidRPr="00CD5563" w:rsidRDefault="0008639C" w:rsidP="0008639C">
      <w:pPr>
        <w:spacing w:before="60" w:after="60"/>
        <w:rPr>
          <w:szCs w:val="19"/>
          <w:lang w:val="en-GB"/>
        </w:rPr>
      </w:pPr>
      <w:r w:rsidRPr="00CD5563">
        <w:rPr>
          <w:szCs w:val="19"/>
          <w:lang w:val="en-GB"/>
        </w:rPr>
        <w:t xml:space="preserve">Y.2058: </w:t>
      </w:r>
      <w:hyperlink r:id="rId106" w:tooltip="Roadmap for IPv6 migration from the perspective of the operators of next generation networks" w:history="1">
        <w:r w:rsidRPr="00CD5563">
          <w:rPr>
            <w:szCs w:val="19"/>
            <w:lang w:val="en-GB"/>
          </w:rPr>
          <w:t>Roadmap for IPv6 migration from the perspective of the operators of next generation networks</w:t>
        </w:r>
      </w:hyperlink>
    </w:p>
    <w:p w:rsidR="0008639C" w:rsidRPr="00CD5563" w:rsidRDefault="0008639C" w:rsidP="0008639C">
      <w:pPr>
        <w:spacing w:before="60" w:after="60"/>
        <w:rPr>
          <w:szCs w:val="19"/>
          <w:lang w:val="en-GB"/>
        </w:rPr>
      </w:pPr>
      <w:r w:rsidRPr="00CD5563">
        <w:rPr>
          <w:szCs w:val="19"/>
          <w:lang w:val="en-GB"/>
        </w:rPr>
        <w:t xml:space="preserve">Y.2062: </w:t>
      </w:r>
      <w:hyperlink r:id="rId107" w:tooltip="Framework of object-to-object communication for ubiquitous networking in NGN" w:history="1">
        <w:r w:rsidRPr="00CD5563">
          <w:rPr>
            <w:szCs w:val="19"/>
            <w:lang w:val="en-GB"/>
          </w:rPr>
          <w:t>Framework of object-to-object communication for ubiquitous networking in NGN</w:t>
        </w:r>
      </w:hyperlink>
    </w:p>
    <w:p w:rsidR="0008639C" w:rsidRPr="00CD5563" w:rsidRDefault="0008639C" w:rsidP="0008639C">
      <w:pPr>
        <w:spacing w:before="60" w:after="60"/>
        <w:rPr>
          <w:szCs w:val="19"/>
          <w:lang w:val="en-GB"/>
        </w:rPr>
      </w:pPr>
      <w:r w:rsidRPr="00CD5563">
        <w:rPr>
          <w:szCs w:val="19"/>
          <w:lang w:val="en-GB"/>
        </w:rPr>
        <w:t>Y.2091: Terms and definitions for next generation networks</w:t>
      </w:r>
    </w:p>
    <w:p w:rsidR="0008639C" w:rsidRPr="00CD5563" w:rsidRDefault="0008639C" w:rsidP="00703D54">
      <w:pPr>
        <w:pStyle w:val="Heading2"/>
        <w:rPr>
          <w:rFonts w:eastAsiaTheme="minorEastAsia"/>
          <w:lang w:val="en-GB"/>
        </w:rPr>
      </w:pPr>
      <w:bookmarkStart w:id="822" w:name="_Toc380487759"/>
      <w:bookmarkStart w:id="823" w:name="_Toc381025078"/>
      <w:r w:rsidRPr="00CD5563">
        <w:rPr>
          <w:rFonts w:eastAsiaTheme="minorEastAsia"/>
          <w:lang w:val="en-GB"/>
        </w:rPr>
        <w:t>2</w:t>
      </w:r>
      <w:r w:rsidR="00703D54" w:rsidRPr="00CD5563">
        <w:rPr>
          <w:rFonts w:eastAsiaTheme="minorEastAsia"/>
          <w:lang w:val="en-GB"/>
        </w:rPr>
        <w:tab/>
      </w:r>
      <w:r w:rsidRPr="00CD5563">
        <w:rPr>
          <w:rFonts w:eastAsiaTheme="minorEastAsia"/>
          <w:lang w:val="en-GB"/>
        </w:rPr>
        <w:t>Quality of Service and performance</w:t>
      </w:r>
      <w:bookmarkEnd w:id="822"/>
      <w:bookmarkEnd w:id="823"/>
    </w:p>
    <w:p w:rsidR="00FC1F7A" w:rsidRDefault="00FC1F7A" w:rsidP="0008639C">
      <w:pPr>
        <w:spacing w:before="60" w:after="60"/>
        <w:rPr>
          <w:szCs w:val="19"/>
          <w:lang w:val="en-GB"/>
        </w:rPr>
      </w:pPr>
    </w:p>
    <w:p w:rsidR="0008639C" w:rsidRPr="00CD5563" w:rsidRDefault="0008639C" w:rsidP="0008639C">
      <w:pPr>
        <w:spacing w:before="60" w:after="60"/>
        <w:rPr>
          <w:szCs w:val="19"/>
          <w:lang w:val="en-GB"/>
        </w:rPr>
      </w:pPr>
      <w:r w:rsidRPr="00CD5563">
        <w:rPr>
          <w:szCs w:val="19"/>
          <w:lang w:val="en-GB"/>
        </w:rPr>
        <w:t>Y.2111: Resource and admission control functions in next generation networks</w:t>
      </w:r>
    </w:p>
    <w:p w:rsidR="0008639C" w:rsidRPr="00CD5563" w:rsidRDefault="00FE1C74" w:rsidP="0008639C">
      <w:pPr>
        <w:spacing w:before="60" w:after="60"/>
        <w:rPr>
          <w:szCs w:val="19"/>
          <w:lang w:val="en-GB"/>
        </w:rPr>
      </w:pPr>
      <w:hyperlink r:id="rId108" w:tooltip="A QoS control architecture for Ethernet-based IP access networks" w:history="1">
        <w:r w:rsidR="0008639C" w:rsidRPr="00CD5563">
          <w:rPr>
            <w:lang w:val="en-GB"/>
          </w:rPr>
          <w:t>Y.2112: A QoS control architecture for Ethernet-based IP access networks</w:t>
        </w:r>
      </w:hyperlink>
    </w:p>
    <w:p w:rsidR="0008639C" w:rsidRPr="00CD5563" w:rsidRDefault="0008639C" w:rsidP="0008639C">
      <w:pPr>
        <w:spacing w:before="60" w:after="60"/>
        <w:rPr>
          <w:szCs w:val="19"/>
          <w:lang w:val="en-GB"/>
        </w:rPr>
      </w:pPr>
      <w:r w:rsidRPr="00CD5563">
        <w:rPr>
          <w:szCs w:val="19"/>
          <w:lang w:val="en-GB"/>
        </w:rPr>
        <w:t>Y.2113: Ethernet QoS control for next generation networks</w:t>
      </w:r>
    </w:p>
    <w:p w:rsidR="0008639C" w:rsidRPr="00CD5563" w:rsidRDefault="0008639C" w:rsidP="0008639C">
      <w:pPr>
        <w:spacing w:before="60" w:after="60"/>
        <w:rPr>
          <w:szCs w:val="19"/>
          <w:lang w:val="en-GB"/>
        </w:rPr>
      </w:pPr>
      <w:r w:rsidRPr="00CD5563">
        <w:rPr>
          <w:szCs w:val="19"/>
          <w:lang w:val="en-GB"/>
        </w:rPr>
        <w:t>Y.2121: Requirements for the support of flow-state-aware transport technology in NGN</w:t>
      </w:r>
    </w:p>
    <w:p w:rsidR="0008639C" w:rsidRPr="00CD5563" w:rsidRDefault="0008639C" w:rsidP="0008639C">
      <w:pPr>
        <w:spacing w:before="60" w:after="60"/>
        <w:rPr>
          <w:szCs w:val="19"/>
          <w:lang w:val="en-GB"/>
        </w:rPr>
      </w:pPr>
      <w:r w:rsidRPr="00CD5563">
        <w:rPr>
          <w:szCs w:val="19"/>
          <w:lang w:val="en-GB"/>
        </w:rPr>
        <w:t>Y.2122: Flow aggregate information exchange functions in NGN</w:t>
      </w:r>
    </w:p>
    <w:p w:rsidR="0008639C" w:rsidRPr="00CD5563" w:rsidRDefault="0008639C" w:rsidP="0008639C">
      <w:pPr>
        <w:spacing w:before="60" w:after="60"/>
        <w:rPr>
          <w:szCs w:val="19"/>
          <w:lang w:val="en-GB"/>
        </w:rPr>
      </w:pPr>
      <w:r w:rsidRPr="00CD5563">
        <w:rPr>
          <w:szCs w:val="19"/>
          <w:lang w:val="en-GB"/>
        </w:rPr>
        <w:t>Y.2171: Admission control priority levels in Next Generation Networks</w:t>
      </w:r>
    </w:p>
    <w:p w:rsidR="0008639C" w:rsidRPr="00CD5563" w:rsidRDefault="0008639C" w:rsidP="0008639C">
      <w:pPr>
        <w:spacing w:before="60" w:after="60"/>
        <w:rPr>
          <w:szCs w:val="19"/>
          <w:lang w:val="en-GB"/>
        </w:rPr>
      </w:pPr>
      <w:r w:rsidRPr="00CD5563">
        <w:rPr>
          <w:szCs w:val="19"/>
          <w:lang w:val="en-GB"/>
        </w:rPr>
        <w:t>Y.2172: Service restoration priority levels in Next Generation Networks</w:t>
      </w:r>
    </w:p>
    <w:p w:rsidR="0008639C" w:rsidRPr="00CD5563" w:rsidRDefault="0008639C" w:rsidP="0008639C">
      <w:pPr>
        <w:spacing w:before="60" w:after="60"/>
        <w:rPr>
          <w:szCs w:val="19"/>
          <w:lang w:val="en-GB"/>
        </w:rPr>
      </w:pPr>
      <w:r w:rsidRPr="00CD5563">
        <w:rPr>
          <w:szCs w:val="19"/>
          <w:lang w:val="en-GB"/>
        </w:rPr>
        <w:t>Y.2173: Management of performance measurement for NGN</w:t>
      </w:r>
    </w:p>
    <w:p w:rsidR="0008639C" w:rsidRPr="00CD5563" w:rsidRDefault="0008639C" w:rsidP="0008639C">
      <w:pPr>
        <w:spacing w:before="60" w:after="60"/>
        <w:rPr>
          <w:szCs w:val="19"/>
          <w:lang w:val="en-GB"/>
        </w:rPr>
      </w:pPr>
      <w:r w:rsidRPr="00CD5563">
        <w:rPr>
          <w:szCs w:val="19"/>
          <w:lang w:val="en-GB"/>
        </w:rPr>
        <w:t>Y.2174: Distributed RACF architecture for MPLS networks</w:t>
      </w:r>
    </w:p>
    <w:p w:rsidR="0008639C" w:rsidRPr="00CD5563" w:rsidRDefault="0008639C" w:rsidP="0008639C">
      <w:pPr>
        <w:spacing w:before="60" w:after="60"/>
        <w:rPr>
          <w:szCs w:val="19"/>
          <w:lang w:val="en-GB"/>
        </w:rPr>
      </w:pPr>
      <w:r w:rsidRPr="00CD5563">
        <w:rPr>
          <w:szCs w:val="19"/>
          <w:lang w:val="en-GB"/>
        </w:rPr>
        <w:t>Y.2175: Centralized RACF architecture for MPLS core networks</w:t>
      </w:r>
    </w:p>
    <w:p w:rsidR="0008639C" w:rsidRPr="00CD5563" w:rsidRDefault="0008639C" w:rsidP="00703D54">
      <w:pPr>
        <w:pStyle w:val="Heading2"/>
        <w:rPr>
          <w:rFonts w:eastAsiaTheme="minorEastAsia"/>
          <w:lang w:val="en-GB" w:eastAsia="ko-KR"/>
        </w:rPr>
      </w:pPr>
      <w:bookmarkStart w:id="824" w:name="_Toc380487760"/>
      <w:bookmarkStart w:id="825" w:name="_Toc381025079"/>
      <w:r w:rsidRPr="00CD5563">
        <w:rPr>
          <w:rFonts w:eastAsiaTheme="minorEastAsia"/>
          <w:lang w:val="en-GB" w:eastAsia="ko-KR"/>
        </w:rPr>
        <w:t>3</w:t>
      </w:r>
      <w:r w:rsidR="00703D54" w:rsidRPr="00CD5563">
        <w:rPr>
          <w:rFonts w:eastAsiaTheme="minorEastAsia"/>
          <w:lang w:val="en-GB" w:eastAsia="ko-KR"/>
        </w:rPr>
        <w:tab/>
      </w:r>
      <w:r w:rsidRPr="00CD5563">
        <w:rPr>
          <w:rFonts w:eastAsiaTheme="minorEastAsia"/>
          <w:lang w:val="en-GB" w:eastAsia="ko-KR"/>
        </w:rPr>
        <w:t>Service aspects</w:t>
      </w:r>
      <w:bookmarkEnd w:id="824"/>
      <w:bookmarkEnd w:id="825"/>
    </w:p>
    <w:p w:rsidR="00FC1F7A" w:rsidRDefault="00FC1F7A" w:rsidP="0008639C">
      <w:pPr>
        <w:spacing w:before="60" w:after="60"/>
        <w:rPr>
          <w:szCs w:val="19"/>
          <w:lang w:val="en-GB"/>
        </w:rPr>
      </w:pPr>
    </w:p>
    <w:p w:rsidR="0008639C" w:rsidRPr="00CD5563" w:rsidRDefault="0008639C" w:rsidP="0008639C">
      <w:pPr>
        <w:spacing w:before="60" w:after="60"/>
        <w:rPr>
          <w:szCs w:val="19"/>
          <w:lang w:val="en-GB"/>
        </w:rPr>
      </w:pPr>
      <w:r w:rsidRPr="00CD5563">
        <w:rPr>
          <w:szCs w:val="19"/>
          <w:lang w:val="en-GB"/>
        </w:rPr>
        <w:t>Y.2201: Requirements and capabilities for ITU-T NGN</w:t>
      </w:r>
    </w:p>
    <w:p w:rsidR="0008639C" w:rsidRPr="00CD5563" w:rsidRDefault="0008639C" w:rsidP="0008639C">
      <w:pPr>
        <w:spacing w:before="60" w:after="60"/>
        <w:rPr>
          <w:szCs w:val="19"/>
          <w:lang w:val="en-GB"/>
        </w:rPr>
      </w:pPr>
      <w:r w:rsidRPr="00CD5563">
        <w:rPr>
          <w:szCs w:val="19"/>
          <w:lang w:val="en-GB"/>
        </w:rPr>
        <w:t>Y.2205: Next Generation Networks – Emergency telecommunications – Technical considerations</w:t>
      </w:r>
    </w:p>
    <w:p w:rsidR="0008639C" w:rsidRPr="00CD5563" w:rsidRDefault="0008639C" w:rsidP="0008639C">
      <w:pPr>
        <w:spacing w:before="60" w:after="60"/>
        <w:rPr>
          <w:szCs w:val="19"/>
          <w:lang w:val="en-GB"/>
        </w:rPr>
      </w:pPr>
      <w:r w:rsidRPr="00CD5563">
        <w:rPr>
          <w:szCs w:val="19"/>
          <w:lang w:val="en-GB"/>
        </w:rPr>
        <w:t>Y.2206: Requirements for distributed service networking capabilities</w:t>
      </w:r>
    </w:p>
    <w:p w:rsidR="0008639C" w:rsidRPr="00CD5563" w:rsidRDefault="0008639C" w:rsidP="0008639C">
      <w:pPr>
        <w:spacing w:before="60" w:after="60"/>
        <w:rPr>
          <w:szCs w:val="19"/>
          <w:lang w:val="en-GB"/>
        </w:rPr>
      </w:pPr>
      <w:r w:rsidRPr="00CD5563">
        <w:rPr>
          <w:szCs w:val="19"/>
          <w:lang w:val="en-GB"/>
        </w:rPr>
        <w:t>Y.2211: IMS-based real-time conversational multimedia services over NGN</w:t>
      </w:r>
    </w:p>
    <w:p w:rsidR="0008639C" w:rsidRPr="00CD5563" w:rsidRDefault="0008639C" w:rsidP="0008639C">
      <w:pPr>
        <w:spacing w:before="60" w:after="60"/>
        <w:rPr>
          <w:szCs w:val="19"/>
          <w:lang w:val="en-GB"/>
        </w:rPr>
      </w:pPr>
      <w:r w:rsidRPr="00CD5563">
        <w:rPr>
          <w:szCs w:val="19"/>
          <w:lang w:val="en-GB"/>
        </w:rPr>
        <w:t>Y.2212: Requirements of managed delivery services</w:t>
      </w:r>
    </w:p>
    <w:p w:rsidR="0008639C" w:rsidRPr="00CD5563" w:rsidRDefault="0008639C" w:rsidP="0008639C">
      <w:pPr>
        <w:spacing w:before="60" w:after="60"/>
        <w:rPr>
          <w:szCs w:val="19"/>
          <w:lang w:val="en-GB"/>
        </w:rPr>
      </w:pPr>
      <w:r w:rsidRPr="00CD5563">
        <w:rPr>
          <w:szCs w:val="19"/>
          <w:lang w:val="en-GB"/>
        </w:rPr>
        <w:t>Y.2213: NGN service requirements and capabilities for network aspects of applications and services using tag-based identification</w:t>
      </w:r>
    </w:p>
    <w:p w:rsidR="0008639C" w:rsidRPr="00CD5563" w:rsidRDefault="0008639C" w:rsidP="0008639C">
      <w:pPr>
        <w:spacing w:before="60" w:after="60"/>
        <w:rPr>
          <w:szCs w:val="19"/>
          <w:lang w:val="en-GB"/>
        </w:rPr>
      </w:pPr>
      <w:r w:rsidRPr="00CD5563">
        <w:rPr>
          <w:szCs w:val="19"/>
          <w:lang w:val="en-GB"/>
        </w:rPr>
        <w:t>Y.2214: Service requirements and functional models for customized multimedia ring services</w:t>
      </w:r>
    </w:p>
    <w:p w:rsidR="0008639C" w:rsidRPr="00CD5563" w:rsidRDefault="0008639C" w:rsidP="0008639C">
      <w:pPr>
        <w:spacing w:before="60" w:after="60"/>
        <w:rPr>
          <w:szCs w:val="19"/>
          <w:lang w:val="en-GB"/>
        </w:rPr>
      </w:pPr>
      <w:r w:rsidRPr="00CD5563">
        <w:rPr>
          <w:szCs w:val="19"/>
          <w:lang w:val="en-GB"/>
        </w:rPr>
        <w:t>Y.2215: Requirements and framework for the support of VPN services in NGN, including the mobile environment</w:t>
      </w:r>
    </w:p>
    <w:p w:rsidR="0008639C" w:rsidRPr="00CD5563" w:rsidRDefault="0008639C" w:rsidP="0008639C">
      <w:pPr>
        <w:spacing w:before="60" w:after="60"/>
        <w:rPr>
          <w:szCs w:val="19"/>
          <w:lang w:val="en-GB"/>
        </w:rPr>
      </w:pPr>
      <w:r w:rsidRPr="00CD5563">
        <w:rPr>
          <w:szCs w:val="19"/>
          <w:lang w:val="en-GB"/>
        </w:rPr>
        <w:t>Y.2216: NGN capability requirements to support the multimedia communication centre service</w:t>
      </w:r>
    </w:p>
    <w:p w:rsidR="0008639C" w:rsidRPr="00CD5563" w:rsidRDefault="0008639C" w:rsidP="0008639C">
      <w:pPr>
        <w:spacing w:before="60" w:after="60"/>
        <w:rPr>
          <w:szCs w:val="19"/>
          <w:lang w:val="en-GB"/>
        </w:rPr>
      </w:pPr>
      <w:r w:rsidRPr="00CD5563">
        <w:rPr>
          <w:szCs w:val="19"/>
          <w:lang w:val="en-GB"/>
        </w:rPr>
        <w:t>Y.2221: Requirements for support of ubiquitous sensor network (USN) applications and services in the NGN environment</w:t>
      </w:r>
    </w:p>
    <w:p w:rsidR="0008639C" w:rsidRPr="00CD5563" w:rsidRDefault="0008639C" w:rsidP="0008639C">
      <w:pPr>
        <w:spacing w:before="60" w:after="60"/>
        <w:rPr>
          <w:szCs w:val="19"/>
          <w:lang w:val="en-GB"/>
        </w:rPr>
      </w:pPr>
      <w:r w:rsidRPr="00CD5563">
        <w:rPr>
          <w:szCs w:val="19"/>
          <w:lang w:val="en-GB"/>
        </w:rPr>
        <w:t>Y.2232: NGN convergence service model and scenario using web services</w:t>
      </w:r>
    </w:p>
    <w:p w:rsidR="0008639C" w:rsidRPr="00CD5563" w:rsidRDefault="0008639C" w:rsidP="0008639C">
      <w:pPr>
        <w:spacing w:before="60" w:after="60"/>
        <w:rPr>
          <w:szCs w:val="19"/>
          <w:lang w:val="en-GB"/>
        </w:rPr>
      </w:pPr>
      <w:r w:rsidRPr="00CD5563">
        <w:rPr>
          <w:szCs w:val="19"/>
          <w:lang w:val="en-GB"/>
        </w:rPr>
        <w:t>Y.2233: Requirements and framework allowing accounting and charging capabilities in NGN</w:t>
      </w:r>
    </w:p>
    <w:p w:rsidR="0008639C" w:rsidRPr="00CD5563" w:rsidRDefault="0008639C" w:rsidP="0008639C">
      <w:pPr>
        <w:spacing w:before="60" w:after="60"/>
        <w:rPr>
          <w:szCs w:val="19"/>
          <w:lang w:val="en-GB"/>
        </w:rPr>
      </w:pPr>
      <w:r w:rsidRPr="00CD5563">
        <w:rPr>
          <w:szCs w:val="19"/>
          <w:lang w:val="en-GB"/>
        </w:rPr>
        <w:t>Y.2234: Open service environment capabilities for NGN</w:t>
      </w:r>
    </w:p>
    <w:p w:rsidR="0008639C" w:rsidRPr="00CD5563" w:rsidRDefault="0008639C" w:rsidP="0008639C">
      <w:pPr>
        <w:spacing w:before="60" w:after="60"/>
        <w:rPr>
          <w:szCs w:val="19"/>
          <w:lang w:val="en-GB"/>
        </w:rPr>
      </w:pPr>
      <w:r w:rsidRPr="00CD5563">
        <w:rPr>
          <w:szCs w:val="19"/>
          <w:lang w:val="en-GB"/>
        </w:rPr>
        <w:t>Y.2235: Converged web-browsing service scenarios in NGN</w:t>
      </w:r>
    </w:p>
    <w:p w:rsidR="0008639C" w:rsidRPr="00CD5563" w:rsidRDefault="0008639C" w:rsidP="0008639C">
      <w:pPr>
        <w:spacing w:before="60" w:after="60"/>
        <w:rPr>
          <w:szCs w:val="19"/>
          <w:lang w:val="en-GB"/>
        </w:rPr>
      </w:pPr>
      <w:r w:rsidRPr="00CD5563">
        <w:rPr>
          <w:szCs w:val="19"/>
          <w:lang w:val="en-GB"/>
        </w:rPr>
        <w:t>Y.2236: Framework for NGN support of multicast-based services</w:t>
      </w:r>
    </w:p>
    <w:p w:rsidR="0008639C" w:rsidRPr="00CD5563" w:rsidRDefault="0008639C" w:rsidP="0008639C">
      <w:pPr>
        <w:spacing w:before="60" w:after="60"/>
        <w:rPr>
          <w:szCs w:val="19"/>
          <w:lang w:val="en-GB"/>
        </w:rPr>
      </w:pPr>
      <w:r w:rsidRPr="00CD5563">
        <w:rPr>
          <w:szCs w:val="19"/>
          <w:lang w:val="en-GB"/>
        </w:rPr>
        <w:t>Y.2237: Functional model and service scenarios for QoS-enabled mobile VoIP service</w:t>
      </w:r>
    </w:p>
    <w:p w:rsidR="0008639C" w:rsidRPr="00CD5563" w:rsidRDefault="0008639C" w:rsidP="0008639C">
      <w:pPr>
        <w:spacing w:before="60" w:after="60"/>
        <w:rPr>
          <w:szCs w:val="19"/>
          <w:lang w:val="en-GB"/>
        </w:rPr>
      </w:pPr>
      <w:r w:rsidRPr="00CD5563">
        <w:rPr>
          <w:szCs w:val="19"/>
          <w:lang w:val="en-GB"/>
        </w:rPr>
        <w:t>Y.2240: Requirements and capabilities for next generation network service integration and delivery environment</w:t>
      </w:r>
    </w:p>
    <w:p w:rsidR="0008639C" w:rsidRPr="00CD5563" w:rsidRDefault="0008639C" w:rsidP="0008639C">
      <w:pPr>
        <w:spacing w:before="60" w:after="60"/>
        <w:rPr>
          <w:szCs w:val="19"/>
          <w:lang w:val="en-GB"/>
        </w:rPr>
      </w:pPr>
      <w:r w:rsidRPr="00CD5563">
        <w:rPr>
          <w:szCs w:val="19"/>
          <w:lang w:val="en-GB"/>
        </w:rPr>
        <w:t>Y.2251: Multi-connection requirements</w:t>
      </w:r>
    </w:p>
    <w:p w:rsidR="0008639C" w:rsidRPr="00CD5563" w:rsidRDefault="0008639C" w:rsidP="0008639C">
      <w:pPr>
        <w:spacing w:before="60" w:after="60"/>
        <w:rPr>
          <w:szCs w:val="19"/>
          <w:lang w:val="en-GB"/>
        </w:rPr>
      </w:pPr>
      <w:r w:rsidRPr="00CD5563">
        <w:rPr>
          <w:szCs w:val="19"/>
          <w:lang w:val="en-GB"/>
        </w:rPr>
        <w:t>Y.2261: PSTN/ISDN evolution to NGN</w:t>
      </w:r>
    </w:p>
    <w:p w:rsidR="0008639C" w:rsidRPr="00CD5563" w:rsidRDefault="0008639C" w:rsidP="0008639C">
      <w:pPr>
        <w:spacing w:before="60" w:after="60"/>
        <w:rPr>
          <w:szCs w:val="19"/>
          <w:lang w:val="en-GB"/>
        </w:rPr>
      </w:pPr>
      <w:r w:rsidRPr="00CD5563">
        <w:rPr>
          <w:szCs w:val="19"/>
          <w:lang w:val="en-GB"/>
        </w:rPr>
        <w:t>Y.2262: PSTN/ISDN emulation and simulation</w:t>
      </w:r>
    </w:p>
    <w:p w:rsidR="0008639C" w:rsidRPr="00CD5563" w:rsidRDefault="0008639C" w:rsidP="0008639C">
      <w:pPr>
        <w:spacing w:before="60" w:after="60"/>
        <w:rPr>
          <w:szCs w:val="19"/>
          <w:lang w:val="en-GB"/>
        </w:rPr>
      </w:pPr>
      <w:r w:rsidRPr="00CD5563">
        <w:rPr>
          <w:szCs w:val="19"/>
          <w:lang w:val="en-GB"/>
        </w:rPr>
        <w:t>Y.2271: Call server-based PSTN/ISDN emulation</w:t>
      </w:r>
    </w:p>
    <w:p w:rsidR="0008639C" w:rsidRPr="00CD5563" w:rsidRDefault="0008639C" w:rsidP="0008639C">
      <w:pPr>
        <w:spacing w:before="60" w:after="60"/>
        <w:rPr>
          <w:szCs w:val="19"/>
          <w:lang w:val="en-GB"/>
        </w:rPr>
      </w:pPr>
      <w:r w:rsidRPr="00CD5563">
        <w:rPr>
          <w:szCs w:val="19"/>
          <w:lang w:val="en-GB"/>
        </w:rPr>
        <w:t>Y.2281: Framework of networked vehicle services and applications using NGN</w:t>
      </w:r>
    </w:p>
    <w:p w:rsidR="0008639C" w:rsidRPr="00CD5563" w:rsidRDefault="0008639C" w:rsidP="0008639C">
      <w:pPr>
        <w:spacing w:before="60" w:after="60"/>
        <w:rPr>
          <w:szCs w:val="19"/>
          <w:lang w:val="en-GB"/>
        </w:rPr>
      </w:pPr>
      <w:r w:rsidRPr="00CD5563">
        <w:rPr>
          <w:szCs w:val="19"/>
          <w:lang w:val="en-GB"/>
        </w:rPr>
        <w:t>Y.2291: Architectural overview of next generation home networks</w:t>
      </w:r>
    </w:p>
    <w:p w:rsidR="0008639C" w:rsidRPr="00CD5563" w:rsidRDefault="0008639C" w:rsidP="00703D54">
      <w:pPr>
        <w:pStyle w:val="Heading2"/>
        <w:rPr>
          <w:rFonts w:eastAsiaTheme="minorEastAsia"/>
          <w:lang w:val="en-GB"/>
        </w:rPr>
      </w:pPr>
      <w:bookmarkStart w:id="826" w:name="_Toc380487761"/>
      <w:bookmarkStart w:id="827" w:name="_Toc381025080"/>
      <w:r w:rsidRPr="00CD5563">
        <w:rPr>
          <w:rFonts w:eastAsiaTheme="minorEastAsia"/>
          <w:lang w:val="en-GB"/>
        </w:rPr>
        <w:t>4</w:t>
      </w:r>
      <w:r w:rsidR="00703D54" w:rsidRPr="00CD5563">
        <w:rPr>
          <w:rFonts w:eastAsiaTheme="minorEastAsia"/>
          <w:lang w:val="en-GB"/>
        </w:rPr>
        <w:tab/>
      </w:r>
      <w:hyperlink r:id="rId109" w:tooltip="Numbering, naming and addressing" w:history="1">
        <w:r w:rsidRPr="00CD5563">
          <w:rPr>
            <w:rFonts w:eastAsiaTheme="minorEastAsia"/>
            <w:lang w:val="en-GB"/>
          </w:rPr>
          <w:t>Network</w:t>
        </w:r>
      </w:hyperlink>
      <w:r w:rsidRPr="00CD5563">
        <w:rPr>
          <w:rFonts w:eastAsiaTheme="minorEastAsia"/>
          <w:lang w:val="en-GB"/>
        </w:rPr>
        <w:t xml:space="preserve"> Management</w:t>
      </w:r>
      <w:bookmarkEnd w:id="826"/>
      <w:bookmarkEnd w:id="827"/>
    </w:p>
    <w:p w:rsidR="00FC1F7A" w:rsidRDefault="00FC1F7A" w:rsidP="0008639C">
      <w:pPr>
        <w:rPr>
          <w:szCs w:val="19"/>
          <w:lang w:val="en-GB"/>
        </w:rPr>
      </w:pPr>
    </w:p>
    <w:p w:rsidR="0008639C" w:rsidRPr="00CD5563" w:rsidRDefault="0008639C" w:rsidP="0008639C">
      <w:pPr>
        <w:rPr>
          <w:rFonts w:eastAsiaTheme="minorEastAsia"/>
          <w:szCs w:val="19"/>
          <w:lang w:val="en-GB" w:eastAsia="ko-KR"/>
        </w:rPr>
      </w:pPr>
      <w:r w:rsidRPr="00CD5563">
        <w:rPr>
          <w:szCs w:val="19"/>
          <w:lang w:val="en-GB"/>
        </w:rPr>
        <w:t>Y.2401/M.3060: Principles for the Management of Next Generation Networks</w:t>
      </w:r>
    </w:p>
    <w:p w:rsidR="0008639C" w:rsidRPr="00CD5563" w:rsidRDefault="0008639C" w:rsidP="00703D54">
      <w:pPr>
        <w:pStyle w:val="Heading2"/>
        <w:rPr>
          <w:rFonts w:eastAsiaTheme="minorEastAsia"/>
          <w:lang w:val="en-GB" w:eastAsia="ko-KR"/>
        </w:rPr>
      </w:pPr>
      <w:bookmarkStart w:id="828" w:name="_Toc380487762"/>
      <w:bookmarkStart w:id="829" w:name="_Toc381025081"/>
      <w:r w:rsidRPr="00CD5563">
        <w:rPr>
          <w:rFonts w:eastAsiaTheme="minorEastAsia"/>
          <w:lang w:val="en-GB" w:eastAsia="ko-KR"/>
        </w:rPr>
        <w:t>5</w:t>
      </w:r>
      <w:r w:rsidR="00703D54" w:rsidRPr="00CD5563">
        <w:rPr>
          <w:rFonts w:eastAsiaTheme="minorEastAsia"/>
          <w:lang w:val="en-GB" w:eastAsia="ko-KR"/>
        </w:rPr>
        <w:tab/>
      </w:r>
      <w:r w:rsidRPr="00CD5563">
        <w:rPr>
          <w:rFonts w:eastAsiaTheme="minorEastAsia"/>
          <w:lang w:val="en-GB" w:eastAsia="ko-KR"/>
        </w:rPr>
        <w:t>Security</w:t>
      </w:r>
      <w:bookmarkEnd w:id="828"/>
      <w:bookmarkEnd w:id="829"/>
    </w:p>
    <w:p w:rsidR="00FC1F7A" w:rsidRDefault="00FC1F7A" w:rsidP="0008639C">
      <w:pPr>
        <w:spacing w:before="60" w:after="60"/>
        <w:rPr>
          <w:szCs w:val="19"/>
          <w:lang w:val="en-GB"/>
        </w:rPr>
      </w:pPr>
    </w:p>
    <w:p w:rsidR="0008639C" w:rsidRPr="00CD5563" w:rsidRDefault="0008639C" w:rsidP="0008639C">
      <w:pPr>
        <w:spacing w:before="60" w:after="60"/>
        <w:rPr>
          <w:szCs w:val="19"/>
          <w:lang w:val="en-GB"/>
        </w:rPr>
      </w:pPr>
      <w:r w:rsidRPr="00CD5563">
        <w:rPr>
          <w:szCs w:val="19"/>
          <w:lang w:val="en-GB"/>
        </w:rPr>
        <w:t>Y.2701: Security requirements for NGN release 1</w:t>
      </w:r>
    </w:p>
    <w:p w:rsidR="0008639C" w:rsidRPr="00CD5563" w:rsidRDefault="0008639C" w:rsidP="0008639C">
      <w:pPr>
        <w:spacing w:before="60" w:after="60"/>
        <w:rPr>
          <w:szCs w:val="19"/>
          <w:lang w:val="en-GB"/>
        </w:rPr>
      </w:pPr>
      <w:r w:rsidRPr="00CD5563">
        <w:rPr>
          <w:szCs w:val="19"/>
          <w:lang w:val="en-GB"/>
        </w:rPr>
        <w:t>Y.2702: Authentication and authorization requirements for NGN release 1</w:t>
      </w:r>
    </w:p>
    <w:p w:rsidR="0008639C" w:rsidRPr="00CD5563" w:rsidRDefault="0008639C" w:rsidP="0008639C">
      <w:pPr>
        <w:spacing w:before="60" w:after="60"/>
        <w:rPr>
          <w:szCs w:val="19"/>
          <w:lang w:val="en-GB"/>
        </w:rPr>
      </w:pPr>
      <w:r w:rsidRPr="00CD5563">
        <w:rPr>
          <w:szCs w:val="19"/>
          <w:lang w:val="en-GB"/>
        </w:rPr>
        <w:t>Y.2703: The application of AAA service in NGN</w:t>
      </w:r>
    </w:p>
    <w:p w:rsidR="0008639C" w:rsidRPr="00CD5563" w:rsidRDefault="0008639C" w:rsidP="0008639C">
      <w:pPr>
        <w:spacing w:before="60" w:after="60"/>
        <w:rPr>
          <w:szCs w:val="19"/>
          <w:lang w:val="en-GB"/>
        </w:rPr>
      </w:pPr>
      <w:r w:rsidRPr="00CD5563">
        <w:rPr>
          <w:szCs w:val="19"/>
          <w:lang w:val="en-GB"/>
        </w:rPr>
        <w:t>Y.2704: Security mechanisms and procedures for NGN</w:t>
      </w:r>
    </w:p>
    <w:p w:rsidR="0008639C" w:rsidRPr="00CD5563" w:rsidRDefault="0008639C" w:rsidP="0008639C">
      <w:pPr>
        <w:spacing w:before="60" w:after="60"/>
        <w:rPr>
          <w:szCs w:val="19"/>
          <w:lang w:val="en-GB"/>
        </w:rPr>
      </w:pPr>
      <w:r w:rsidRPr="00CD5563">
        <w:rPr>
          <w:szCs w:val="19"/>
          <w:lang w:val="en-GB"/>
        </w:rPr>
        <w:t xml:space="preserve">Y.2705: Minimum Security Requirements for </w:t>
      </w:r>
      <w:r w:rsidR="00CD5563" w:rsidRPr="00CD5563">
        <w:rPr>
          <w:szCs w:val="19"/>
          <w:lang w:val="en-GB"/>
        </w:rPr>
        <w:t>Interconnection</w:t>
      </w:r>
      <w:r w:rsidRPr="00CD5563">
        <w:rPr>
          <w:szCs w:val="19"/>
          <w:lang w:val="en-GB"/>
        </w:rPr>
        <w:t xml:space="preserve"> of Emergency Telecommunication Services (ETS)</w:t>
      </w:r>
    </w:p>
    <w:p w:rsidR="0008639C" w:rsidRPr="00CD5563" w:rsidRDefault="0008639C" w:rsidP="0008639C">
      <w:pPr>
        <w:spacing w:before="60" w:after="60"/>
        <w:rPr>
          <w:szCs w:val="19"/>
          <w:lang w:val="en-GB"/>
        </w:rPr>
      </w:pPr>
      <w:r w:rsidRPr="00CD5563">
        <w:rPr>
          <w:szCs w:val="19"/>
          <w:lang w:val="en-GB"/>
        </w:rPr>
        <w:t>Y.2720: NGN identity management framework</w:t>
      </w:r>
    </w:p>
    <w:p w:rsidR="0008639C" w:rsidRPr="00CD5563" w:rsidRDefault="0008639C" w:rsidP="0008639C">
      <w:pPr>
        <w:spacing w:before="60" w:after="60"/>
        <w:rPr>
          <w:szCs w:val="19"/>
          <w:lang w:val="en-GB"/>
        </w:rPr>
      </w:pPr>
      <w:r w:rsidRPr="00CD5563">
        <w:rPr>
          <w:szCs w:val="19"/>
          <w:lang w:val="en-GB"/>
        </w:rPr>
        <w:t>Y.2721: NGN identity management requirements and use cases</w:t>
      </w:r>
    </w:p>
    <w:p w:rsidR="0008639C" w:rsidRPr="00CD5563" w:rsidRDefault="0008639C" w:rsidP="0008639C">
      <w:pPr>
        <w:spacing w:before="60" w:after="60"/>
        <w:rPr>
          <w:szCs w:val="19"/>
          <w:lang w:val="en-GB"/>
        </w:rPr>
      </w:pPr>
      <w:r w:rsidRPr="00CD5563">
        <w:rPr>
          <w:szCs w:val="19"/>
          <w:lang w:val="en-GB"/>
        </w:rPr>
        <w:t>Y.2722: NGN identity management mechanisms</w:t>
      </w:r>
    </w:p>
    <w:p w:rsidR="0008639C" w:rsidRPr="00CD5563" w:rsidRDefault="0008639C" w:rsidP="0008639C">
      <w:pPr>
        <w:spacing w:before="60" w:after="60"/>
        <w:rPr>
          <w:szCs w:val="19"/>
          <w:lang w:val="en-GB"/>
        </w:rPr>
      </w:pPr>
      <w:r w:rsidRPr="00CD5563">
        <w:rPr>
          <w:szCs w:val="19"/>
          <w:lang w:val="en-GB"/>
        </w:rPr>
        <w:t>Y.2740: Security requirements for mobile remote financial transactions in next generation networks</w:t>
      </w:r>
    </w:p>
    <w:p w:rsidR="0008639C" w:rsidRPr="00CD5563" w:rsidRDefault="0008639C" w:rsidP="0008639C">
      <w:pPr>
        <w:spacing w:before="60" w:after="60"/>
        <w:rPr>
          <w:szCs w:val="19"/>
          <w:lang w:val="en-GB"/>
        </w:rPr>
      </w:pPr>
      <w:r w:rsidRPr="00CD5563">
        <w:rPr>
          <w:szCs w:val="19"/>
          <w:lang w:val="en-GB"/>
        </w:rPr>
        <w:t>Y.2741: Architecture of secure mobile financial transactions in next generation networks</w:t>
      </w:r>
    </w:p>
    <w:p w:rsidR="0008639C" w:rsidRPr="00CD5563" w:rsidRDefault="0008639C" w:rsidP="0008639C">
      <w:pPr>
        <w:spacing w:before="60" w:after="60"/>
        <w:rPr>
          <w:szCs w:val="19"/>
          <w:lang w:val="en-GB"/>
        </w:rPr>
      </w:pPr>
      <w:r w:rsidRPr="00CD5563">
        <w:rPr>
          <w:szCs w:val="19"/>
          <w:lang w:val="en-GB"/>
        </w:rPr>
        <w:t>Y.2760: Mobility security framework in NGN</w:t>
      </w:r>
    </w:p>
    <w:p w:rsidR="0008639C" w:rsidRPr="00CD5563" w:rsidRDefault="0008639C" w:rsidP="0008639C">
      <w:pPr>
        <w:spacing w:before="60" w:after="60"/>
        <w:rPr>
          <w:szCs w:val="19"/>
          <w:lang w:val="en-GB"/>
        </w:rPr>
      </w:pPr>
      <w:r w:rsidRPr="00CD5563">
        <w:rPr>
          <w:szCs w:val="19"/>
          <w:lang w:val="en-GB"/>
        </w:rPr>
        <w:t>Y.2770: Requirements for Deep Packet Inspection in Next Generation Networks</w:t>
      </w:r>
    </w:p>
    <w:p w:rsidR="0008639C" w:rsidRPr="00CD5563" w:rsidRDefault="0008639C" w:rsidP="00703D54">
      <w:pPr>
        <w:pStyle w:val="Heading2"/>
        <w:rPr>
          <w:rFonts w:eastAsiaTheme="minorEastAsia"/>
          <w:lang w:val="en-GB" w:eastAsia="ko-KR"/>
        </w:rPr>
      </w:pPr>
      <w:bookmarkStart w:id="830" w:name="_Toc380487763"/>
      <w:bookmarkStart w:id="831" w:name="_Toc381025082"/>
      <w:r w:rsidRPr="00CD5563">
        <w:rPr>
          <w:rFonts w:eastAsiaTheme="minorEastAsia"/>
          <w:lang w:val="en-GB" w:eastAsia="ko-KR"/>
        </w:rPr>
        <w:t>6</w:t>
      </w:r>
      <w:r w:rsidR="00703D54" w:rsidRPr="00CD5563">
        <w:rPr>
          <w:rFonts w:eastAsiaTheme="minorEastAsia"/>
          <w:lang w:val="en-GB" w:eastAsia="ko-KR"/>
        </w:rPr>
        <w:tab/>
      </w:r>
      <w:r w:rsidRPr="00CD5563">
        <w:rPr>
          <w:rFonts w:eastAsiaTheme="minorEastAsia"/>
          <w:lang w:val="en-GB" w:eastAsia="ko-KR"/>
        </w:rPr>
        <w:t>Generalized Mobility</w:t>
      </w:r>
      <w:bookmarkEnd w:id="830"/>
      <w:bookmarkEnd w:id="831"/>
    </w:p>
    <w:p w:rsidR="00FC1F7A" w:rsidRDefault="00FC1F7A" w:rsidP="0008639C">
      <w:pPr>
        <w:spacing w:before="60" w:after="60"/>
        <w:rPr>
          <w:szCs w:val="19"/>
          <w:lang w:val="en-GB"/>
        </w:rPr>
      </w:pPr>
    </w:p>
    <w:p w:rsidR="0008639C" w:rsidRPr="00CD5563" w:rsidRDefault="0008639C" w:rsidP="0008639C">
      <w:pPr>
        <w:spacing w:before="60" w:after="60"/>
        <w:rPr>
          <w:szCs w:val="19"/>
          <w:lang w:val="en-GB"/>
        </w:rPr>
      </w:pPr>
      <w:r w:rsidRPr="00CD5563">
        <w:rPr>
          <w:szCs w:val="19"/>
          <w:lang w:val="en-GB"/>
        </w:rPr>
        <w:t>Y.2801/Q.1706: Mobility management requirements for NGN</w:t>
      </w:r>
    </w:p>
    <w:p w:rsidR="0008639C" w:rsidRPr="00CD5563" w:rsidRDefault="0008639C" w:rsidP="0008639C">
      <w:pPr>
        <w:spacing w:before="60" w:after="60"/>
        <w:rPr>
          <w:szCs w:val="19"/>
          <w:lang w:val="en-GB"/>
        </w:rPr>
      </w:pPr>
      <w:r w:rsidRPr="00CD5563">
        <w:rPr>
          <w:szCs w:val="19"/>
          <w:lang w:val="en-GB"/>
        </w:rPr>
        <w:t>Y.2802/Q.1762: Fixed-mobile convergence general requirements</w:t>
      </w:r>
    </w:p>
    <w:p w:rsidR="0008639C" w:rsidRPr="00CD5563" w:rsidRDefault="0008639C" w:rsidP="0008639C">
      <w:pPr>
        <w:spacing w:before="60" w:after="60"/>
        <w:rPr>
          <w:szCs w:val="19"/>
          <w:lang w:val="en-GB"/>
        </w:rPr>
      </w:pPr>
      <w:r w:rsidRPr="00CD5563">
        <w:rPr>
          <w:szCs w:val="19"/>
          <w:lang w:val="en-GB"/>
        </w:rPr>
        <w:t>Y.2803/Q.1763: FMC service using legacy PSTN or ISDN as the fixed access network for mobile network users</w:t>
      </w:r>
    </w:p>
    <w:p w:rsidR="0008639C" w:rsidRPr="00CD5563" w:rsidRDefault="0008639C" w:rsidP="0008639C">
      <w:pPr>
        <w:spacing w:before="60" w:after="60"/>
        <w:rPr>
          <w:szCs w:val="19"/>
          <w:lang w:val="en-GB"/>
        </w:rPr>
      </w:pPr>
      <w:r w:rsidRPr="00CD5563">
        <w:rPr>
          <w:szCs w:val="19"/>
          <w:lang w:val="en-GB"/>
        </w:rPr>
        <w:t>Y.2804/Q.1707: Generic framework of mobility management for next generation networks</w:t>
      </w:r>
    </w:p>
    <w:p w:rsidR="0008639C" w:rsidRPr="00CD5563" w:rsidRDefault="0008639C" w:rsidP="0008639C">
      <w:pPr>
        <w:spacing w:before="60" w:after="60"/>
        <w:rPr>
          <w:szCs w:val="19"/>
          <w:lang w:val="en-GB"/>
        </w:rPr>
      </w:pPr>
      <w:r w:rsidRPr="00CD5563">
        <w:rPr>
          <w:szCs w:val="19"/>
          <w:lang w:val="en-GB"/>
        </w:rPr>
        <w:t>Y.2805/Q.1708: Framework of location management for NGN</w:t>
      </w:r>
    </w:p>
    <w:p w:rsidR="0008639C" w:rsidRPr="00CD5563" w:rsidRDefault="0008639C" w:rsidP="0008639C">
      <w:pPr>
        <w:spacing w:before="60" w:after="60"/>
        <w:rPr>
          <w:szCs w:val="19"/>
          <w:lang w:val="en-GB"/>
        </w:rPr>
      </w:pPr>
      <w:r w:rsidRPr="00CD5563">
        <w:rPr>
          <w:szCs w:val="19"/>
          <w:lang w:val="en-GB"/>
        </w:rPr>
        <w:t>Y.2806/Q.1709: Framework of handover control for NGN</w:t>
      </w:r>
    </w:p>
    <w:p w:rsidR="0008639C" w:rsidRPr="00CD5563" w:rsidRDefault="0008639C" w:rsidP="0008639C">
      <w:pPr>
        <w:spacing w:before="60" w:after="60"/>
        <w:rPr>
          <w:szCs w:val="19"/>
          <w:lang w:val="en-GB"/>
        </w:rPr>
      </w:pPr>
      <w:r w:rsidRPr="00CD5563">
        <w:rPr>
          <w:szCs w:val="19"/>
          <w:lang w:val="en-GB"/>
        </w:rPr>
        <w:t>Y.2807: MPLS-based mobility capabilities in NGN</w:t>
      </w:r>
    </w:p>
    <w:p w:rsidR="0008639C" w:rsidRPr="00CD5563" w:rsidRDefault="0008639C" w:rsidP="0008639C">
      <w:pPr>
        <w:spacing w:before="60" w:after="60"/>
        <w:rPr>
          <w:szCs w:val="19"/>
          <w:lang w:val="en-GB"/>
        </w:rPr>
      </w:pPr>
      <w:r w:rsidRPr="00CD5563">
        <w:rPr>
          <w:szCs w:val="19"/>
          <w:lang w:val="en-GB"/>
        </w:rPr>
        <w:t>Y.2808: Fixed mobile convergence with a common IMS session control domain</w:t>
      </w:r>
    </w:p>
    <w:p w:rsidR="0008639C" w:rsidRPr="00CD5563" w:rsidRDefault="0008639C" w:rsidP="0008639C">
      <w:pPr>
        <w:spacing w:before="60" w:after="60"/>
        <w:rPr>
          <w:szCs w:val="19"/>
          <w:lang w:val="en-GB"/>
        </w:rPr>
      </w:pPr>
      <w:r w:rsidRPr="00CD5563">
        <w:rPr>
          <w:szCs w:val="19"/>
          <w:lang w:val="en-GB"/>
        </w:rPr>
        <w:t xml:space="preserve">Y.2809: </w:t>
      </w:r>
      <w:hyperlink r:id="rId110" w:tooltip="Framework of mobility management in the service stratum for next generation networks" w:history="1">
        <w:r w:rsidRPr="00CD5563">
          <w:rPr>
            <w:szCs w:val="19"/>
            <w:lang w:val="en-GB"/>
          </w:rPr>
          <w:t>Framework of mobility management in the service stratum for next generation networks</w:t>
        </w:r>
      </w:hyperlink>
    </w:p>
    <w:p w:rsidR="0008639C" w:rsidRPr="00CD5563" w:rsidRDefault="0008639C" w:rsidP="0008639C">
      <w:pPr>
        <w:spacing w:before="60" w:after="60"/>
        <w:rPr>
          <w:szCs w:val="19"/>
          <w:lang w:val="en-GB"/>
        </w:rPr>
      </w:pPr>
      <w:r w:rsidRPr="00CD5563">
        <w:rPr>
          <w:szCs w:val="19"/>
          <w:lang w:val="en-GB"/>
        </w:rPr>
        <w:t>Y.2810: Mobility management framework for IP multicast communications in NGN</w:t>
      </w:r>
    </w:p>
    <w:p w:rsidR="0008639C" w:rsidRPr="00CD5563" w:rsidRDefault="0008639C" w:rsidP="00703D54">
      <w:pPr>
        <w:pStyle w:val="Heading2"/>
        <w:rPr>
          <w:rFonts w:eastAsiaTheme="minorEastAsia"/>
          <w:lang w:val="en-GB" w:eastAsia="ko-KR"/>
        </w:rPr>
      </w:pPr>
      <w:bookmarkStart w:id="832" w:name="_Toc380487764"/>
      <w:bookmarkStart w:id="833" w:name="_Toc381025083"/>
      <w:r w:rsidRPr="00CD5563">
        <w:rPr>
          <w:rFonts w:eastAsiaTheme="minorEastAsia"/>
          <w:lang w:val="en-GB" w:eastAsia="ko-KR"/>
        </w:rPr>
        <w:t>7</w:t>
      </w:r>
      <w:r w:rsidR="00703D54" w:rsidRPr="00CD5563">
        <w:rPr>
          <w:rFonts w:eastAsiaTheme="minorEastAsia"/>
          <w:lang w:val="en-GB" w:eastAsia="ko-KR"/>
        </w:rPr>
        <w:tab/>
      </w:r>
      <w:r w:rsidRPr="00CD5563">
        <w:rPr>
          <w:rFonts w:eastAsiaTheme="minorEastAsia"/>
          <w:lang w:val="en-GB" w:eastAsia="ko-KR"/>
        </w:rPr>
        <w:t>Supplements and Handbooks on NGN (use cases)</w:t>
      </w:r>
      <w:bookmarkEnd w:id="832"/>
      <w:bookmarkEnd w:id="833"/>
    </w:p>
    <w:p w:rsidR="00FC1F7A" w:rsidRDefault="00FC1F7A" w:rsidP="0008639C">
      <w:pPr>
        <w:spacing w:before="60" w:after="60"/>
        <w:rPr>
          <w:szCs w:val="19"/>
          <w:lang w:val="en-GB"/>
        </w:rPr>
      </w:pPr>
    </w:p>
    <w:p w:rsidR="0008639C" w:rsidRPr="00CD5563" w:rsidRDefault="0008639C" w:rsidP="0008639C">
      <w:pPr>
        <w:spacing w:before="60" w:after="60"/>
        <w:rPr>
          <w:szCs w:val="19"/>
          <w:lang w:val="en-GB"/>
        </w:rPr>
      </w:pPr>
      <w:r w:rsidRPr="00CD5563">
        <w:rPr>
          <w:szCs w:val="19"/>
          <w:lang w:val="en-GB"/>
        </w:rPr>
        <w:t>Y Suppl. 1: ITU-T Y.2000 series – Supplement on NGN release 1 scope</w:t>
      </w:r>
    </w:p>
    <w:p w:rsidR="0008639C" w:rsidRPr="00CD5563" w:rsidRDefault="0008639C" w:rsidP="0008639C">
      <w:pPr>
        <w:spacing w:before="60" w:after="60"/>
        <w:rPr>
          <w:szCs w:val="19"/>
          <w:lang w:val="en-GB"/>
        </w:rPr>
      </w:pPr>
      <w:r w:rsidRPr="00CD5563">
        <w:rPr>
          <w:szCs w:val="19"/>
          <w:lang w:val="en-GB"/>
        </w:rPr>
        <w:t>Y Suppl. 2: ITU-T Y.2012 – Supplement on session/border control (S/BC) functions</w:t>
      </w:r>
    </w:p>
    <w:p w:rsidR="0008639C" w:rsidRPr="00CD5563" w:rsidRDefault="0008639C" w:rsidP="0008639C">
      <w:pPr>
        <w:spacing w:before="60" w:after="60"/>
        <w:rPr>
          <w:szCs w:val="19"/>
          <w:lang w:val="en-GB"/>
        </w:rPr>
      </w:pPr>
      <w:r w:rsidRPr="00CD5563">
        <w:rPr>
          <w:szCs w:val="19"/>
          <w:lang w:val="en-GB"/>
        </w:rPr>
        <w:t>Y Suppl. 3: ITU-T Y.2000 series – Supplement on service scenarios for convergence services in a multiple network and application service provider environment</w:t>
      </w:r>
    </w:p>
    <w:p w:rsidR="0008639C" w:rsidRPr="00CD5563" w:rsidRDefault="0008639C" w:rsidP="0008639C">
      <w:pPr>
        <w:spacing w:before="60" w:after="60"/>
        <w:rPr>
          <w:szCs w:val="19"/>
          <w:lang w:val="en-GB"/>
        </w:rPr>
      </w:pPr>
      <w:r w:rsidRPr="00CD5563">
        <w:rPr>
          <w:szCs w:val="19"/>
          <w:lang w:val="en-GB"/>
        </w:rPr>
        <w:t>Y Suppl. 4: ITU-T Y.1300 series – Supplement on transport requirements for T-MPLS OAM and considerations for the application of IETF MPLS technology</w:t>
      </w:r>
    </w:p>
    <w:p w:rsidR="0008639C" w:rsidRPr="00CD5563" w:rsidRDefault="0008639C" w:rsidP="0008639C">
      <w:pPr>
        <w:spacing w:before="60" w:after="60"/>
        <w:rPr>
          <w:szCs w:val="19"/>
          <w:lang w:val="en-GB"/>
        </w:rPr>
      </w:pPr>
      <w:r w:rsidRPr="00CD5563">
        <w:rPr>
          <w:szCs w:val="19"/>
          <w:lang w:val="en-GB"/>
        </w:rPr>
        <w:t>Y Suppl. 5: ITU-T Y.1900-series – Supplement on IPTV service use cases</w:t>
      </w:r>
    </w:p>
    <w:p w:rsidR="0008639C" w:rsidRPr="00CD5563" w:rsidRDefault="0008639C" w:rsidP="0008639C">
      <w:pPr>
        <w:spacing w:before="60" w:after="60"/>
        <w:rPr>
          <w:szCs w:val="19"/>
          <w:lang w:val="en-GB"/>
        </w:rPr>
      </w:pPr>
      <w:r w:rsidRPr="00CD5563">
        <w:rPr>
          <w:szCs w:val="19"/>
          <w:lang w:val="en-GB"/>
        </w:rPr>
        <w:t>Y Suppl.6: ITU-T Y.2000-series – Supplement on the use of DSL-based systems in next generation networks</w:t>
      </w:r>
    </w:p>
    <w:p w:rsidR="0008639C" w:rsidRPr="00CD5563" w:rsidRDefault="0008639C" w:rsidP="0008639C">
      <w:pPr>
        <w:spacing w:before="60" w:after="60"/>
        <w:rPr>
          <w:szCs w:val="19"/>
          <w:lang w:val="en-GB"/>
        </w:rPr>
      </w:pPr>
      <w:r w:rsidRPr="00CD5563">
        <w:rPr>
          <w:szCs w:val="19"/>
          <w:lang w:val="en-GB"/>
        </w:rPr>
        <w:t>Y Suppl.7: ITU-T Y.2000-series – Supplement on NGN release 2 scope</w:t>
      </w:r>
    </w:p>
    <w:p w:rsidR="0008639C" w:rsidRPr="00CD5563" w:rsidRDefault="0008639C" w:rsidP="0008639C">
      <w:pPr>
        <w:spacing w:before="60" w:after="60"/>
        <w:rPr>
          <w:szCs w:val="19"/>
          <w:lang w:val="en-GB"/>
        </w:rPr>
      </w:pPr>
      <w:r w:rsidRPr="00CD5563">
        <w:rPr>
          <w:szCs w:val="19"/>
          <w:lang w:val="en-GB"/>
        </w:rPr>
        <w:t>Y Suppl. 8: ITU-T Y.2000-series – Supplement on a survey of global ICT forums and consortia</w:t>
      </w:r>
    </w:p>
    <w:p w:rsidR="0008639C" w:rsidRPr="00E669B9" w:rsidRDefault="0008639C" w:rsidP="0008639C">
      <w:pPr>
        <w:spacing w:before="60" w:after="60"/>
        <w:rPr>
          <w:szCs w:val="19"/>
          <w:lang w:val="fr-CH"/>
        </w:rPr>
      </w:pPr>
      <w:r w:rsidRPr="00E669B9">
        <w:rPr>
          <w:szCs w:val="19"/>
          <w:lang w:val="fr-CH"/>
        </w:rPr>
        <w:t>Y Suppl. 9: ITU-T Y.2000-series – Supplement on multi-connection scenarios</w:t>
      </w:r>
    </w:p>
    <w:p w:rsidR="0008639C" w:rsidRPr="00CD5563" w:rsidRDefault="0008639C" w:rsidP="0008639C">
      <w:pPr>
        <w:spacing w:before="60" w:after="60"/>
        <w:rPr>
          <w:szCs w:val="19"/>
          <w:lang w:val="en-GB"/>
        </w:rPr>
      </w:pPr>
      <w:r w:rsidRPr="00CD5563">
        <w:rPr>
          <w:szCs w:val="19"/>
          <w:lang w:val="en-GB"/>
        </w:rPr>
        <w:t>Y Suppl. 10: ITU-T Y.2000-series – Supplement on distributed service network (DSN) use cases</w:t>
      </w:r>
    </w:p>
    <w:p w:rsidR="0008639C" w:rsidRPr="00DD77FC" w:rsidRDefault="0008639C" w:rsidP="0008639C">
      <w:pPr>
        <w:spacing w:before="60" w:after="60"/>
        <w:rPr>
          <w:szCs w:val="19"/>
        </w:rPr>
      </w:pPr>
      <w:r w:rsidRPr="00DD77FC">
        <w:rPr>
          <w:szCs w:val="19"/>
        </w:rPr>
        <w:t>Y Suppl. 12: ITU-T Y.2720 – Supplement on NGN identity management mechanisms</w:t>
      </w:r>
    </w:p>
    <w:p w:rsidR="0008639C" w:rsidRPr="00CD5563" w:rsidRDefault="0008639C" w:rsidP="0008639C">
      <w:pPr>
        <w:spacing w:before="60" w:after="60"/>
        <w:rPr>
          <w:szCs w:val="19"/>
          <w:lang w:val="en-GB"/>
        </w:rPr>
      </w:pPr>
      <w:r w:rsidRPr="00DD77FC">
        <w:rPr>
          <w:szCs w:val="19"/>
        </w:rPr>
        <w:t xml:space="preserve">Y Suppl. </w:t>
      </w:r>
      <w:r w:rsidRPr="00CD5563">
        <w:rPr>
          <w:szCs w:val="19"/>
          <w:lang w:val="en-GB"/>
        </w:rPr>
        <w:t>13: ITU-T Y.2000-series - Scenarios for the evolution of NGN network capabilities to include information storage, processing and delivery</w:t>
      </w:r>
    </w:p>
    <w:p w:rsidR="0008639C" w:rsidRPr="00CD5563" w:rsidRDefault="0008639C" w:rsidP="0008639C">
      <w:pPr>
        <w:spacing w:before="60" w:after="60"/>
        <w:rPr>
          <w:szCs w:val="19"/>
          <w:lang w:val="en-GB"/>
        </w:rPr>
      </w:pPr>
      <w:r w:rsidRPr="00CD5563">
        <w:rPr>
          <w:szCs w:val="19"/>
          <w:lang w:val="en-GB"/>
        </w:rPr>
        <w:t xml:space="preserve">Y Suppl. 14: ITU-T Y.2000-series – </w:t>
      </w:r>
      <w:r w:rsidR="00CD5563" w:rsidRPr="00CD5563">
        <w:rPr>
          <w:szCs w:val="19"/>
          <w:lang w:val="en-GB"/>
        </w:rPr>
        <w:t>Supplementary</w:t>
      </w:r>
      <w:r w:rsidRPr="00CD5563">
        <w:rPr>
          <w:szCs w:val="19"/>
          <w:lang w:val="en-GB"/>
        </w:rPr>
        <w:t xml:space="preserve"> service scenarios for fixed-mobile convergence</w:t>
      </w:r>
    </w:p>
    <w:p w:rsidR="0008639C" w:rsidRPr="00CD5563" w:rsidRDefault="0008639C" w:rsidP="0008639C">
      <w:pPr>
        <w:spacing w:before="60" w:after="60"/>
        <w:rPr>
          <w:szCs w:val="19"/>
          <w:lang w:val="en-GB"/>
        </w:rPr>
      </w:pPr>
      <w:r w:rsidRPr="00CD5563">
        <w:rPr>
          <w:szCs w:val="19"/>
          <w:lang w:val="en-GB"/>
        </w:rPr>
        <w:t>Y Suppl. 15: ITU-T Y.2000-series – Profile-based application adaptation service using NGN</w:t>
      </w:r>
    </w:p>
    <w:p w:rsidR="0008639C" w:rsidRPr="00CD5563" w:rsidRDefault="0008639C" w:rsidP="0008639C">
      <w:pPr>
        <w:spacing w:before="60" w:after="60"/>
        <w:rPr>
          <w:szCs w:val="19"/>
          <w:lang w:val="en-GB"/>
        </w:rPr>
      </w:pPr>
      <w:r w:rsidRPr="00CD5563">
        <w:rPr>
          <w:szCs w:val="19"/>
          <w:lang w:val="en-GB"/>
        </w:rPr>
        <w:t xml:space="preserve">Y Suppl. 16: </w:t>
      </w:r>
      <w:hyperlink r:id="rId111" w:tooltip="ITU-T Y.1900-series – Guidelines on deployment of IP multicast for IPTV content delivery" w:history="1">
        <w:r w:rsidRPr="00CD5563">
          <w:rPr>
            <w:szCs w:val="19"/>
            <w:lang w:val="en-GB"/>
          </w:rPr>
          <w:t>ITU-T Y.1900-series – Guidelines on deployment of IP multicast for IPTV content delivery</w:t>
        </w:r>
      </w:hyperlink>
      <w:r w:rsidRPr="00CD5563">
        <w:rPr>
          <w:szCs w:val="19"/>
          <w:lang w:val="en-GB"/>
        </w:rPr>
        <w:t>Handbook: Converging networks (2010)</w:t>
      </w:r>
    </w:p>
    <w:p w:rsidR="0008639C" w:rsidRPr="00CD5563" w:rsidRDefault="0008639C" w:rsidP="00703D54">
      <w:pPr>
        <w:pStyle w:val="Heading1"/>
        <w:rPr>
          <w:lang w:val="en-GB"/>
        </w:rPr>
      </w:pPr>
      <w:bookmarkStart w:id="834" w:name="_Toc380487765"/>
      <w:bookmarkStart w:id="835" w:name="_Toc381025084"/>
      <w:r w:rsidRPr="00CD5563">
        <w:rPr>
          <w:lang w:val="en-GB"/>
        </w:rPr>
        <w:t>NGN Related ITU-T SG11 Approved Q-Series Supplements</w:t>
      </w:r>
      <w:bookmarkEnd w:id="834"/>
      <w:bookmarkEnd w:id="835"/>
    </w:p>
    <w:p w:rsidR="0008639C" w:rsidRPr="00CD5563" w:rsidRDefault="0008639C" w:rsidP="00703D54">
      <w:pPr>
        <w:pStyle w:val="Heading2"/>
        <w:rPr>
          <w:rFonts w:eastAsiaTheme="minorEastAsia"/>
          <w:color w:val="000000"/>
          <w:lang w:val="en-GB" w:eastAsia="ko-KR"/>
        </w:rPr>
      </w:pPr>
      <w:bookmarkStart w:id="836" w:name="_Toc380487766"/>
      <w:bookmarkStart w:id="837" w:name="_Toc381025085"/>
      <w:r w:rsidRPr="00CD5563">
        <w:rPr>
          <w:rFonts w:eastAsiaTheme="minorEastAsia"/>
          <w:color w:val="000000"/>
          <w:lang w:val="en-GB" w:eastAsia="ko-KR"/>
        </w:rPr>
        <w:t>1</w:t>
      </w:r>
      <w:r w:rsidR="00703D54" w:rsidRPr="00CD5563">
        <w:rPr>
          <w:rFonts w:eastAsiaTheme="minorEastAsia"/>
          <w:color w:val="000000"/>
          <w:lang w:val="en-GB" w:eastAsia="ko-KR"/>
        </w:rPr>
        <w:tab/>
      </w:r>
      <w:r w:rsidRPr="00CD5563">
        <w:rPr>
          <w:rFonts w:eastAsiaTheme="minorEastAsia"/>
          <w:lang w:val="en-GB" w:eastAsia="ko-KR"/>
        </w:rPr>
        <w:t>Network signalling and control functional architecture</w:t>
      </w:r>
      <w:bookmarkEnd w:id="836"/>
      <w:bookmarkEnd w:id="837"/>
    </w:p>
    <w:p w:rsidR="00FC1F7A" w:rsidRDefault="00FC1F7A" w:rsidP="0008639C">
      <w:pPr>
        <w:spacing w:before="60" w:after="60"/>
        <w:rPr>
          <w:szCs w:val="19"/>
          <w:lang w:val="en-GB"/>
        </w:rPr>
      </w:pPr>
    </w:p>
    <w:p w:rsidR="0008639C" w:rsidRPr="00CD5563" w:rsidRDefault="0008639C" w:rsidP="0008639C">
      <w:pPr>
        <w:spacing w:before="60" w:after="60"/>
        <w:rPr>
          <w:szCs w:val="19"/>
          <w:lang w:val="en-GB"/>
        </w:rPr>
      </w:pPr>
      <w:r w:rsidRPr="00CD5563">
        <w:rPr>
          <w:szCs w:val="19"/>
          <w:lang w:val="en-GB"/>
        </w:rPr>
        <w:t>Q.3030: Signalling architecture for the NGN service control plane</w:t>
      </w:r>
    </w:p>
    <w:p w:rsidR="0008639C" w:rsidRPr="00CD5563" w:rsidRDefault="0008639C" w:rsidP="0008639C">
      <w:pPr>
        <w:spacing w:before="60" w:after="60"/>
        <w:rPr>
          <w:szCs w:val="19"/>
          <w:lang w:val="en-GB"/>
        </w:rPr>
      </w:pPr>
      <w:r w:rsidRPr="00CD5563">
        <w:rPr>
          <w:szCs w:val="19"/>
          <w:lang w:val="en-GB"/>
        </w:rPr>
        <w:t>Q.3040: Signalling architecture for IPTV control plane</w:t>
      </w:r>
    </w:p>
    <w:p w:rsidR="0008639C" w:rsidRPr="00CD5563" w:rsidRDefault="0008639C" w:rsidP="00703D54">
      <w:pPr>
        <w:pStyle w:val="Heading2"/>
        <w:rPr>
          <w:rFonts w:eastAsiaTheme="minorEastAsia"/>
          <w:lang w:val="en-GB" w:eastAsia="ko-KR"/>
        </w:rPr>
      </w:pPr>
      <w:bookmarkStart w:id="838" w:name="_Toc380487767"/>
      <w:bookmarkStart w:id="839" w:name="_Toc381025086"/>
      <w:r w:rsidRPr="00CD5563">
        <w:rPr>
          <w:rFonts w:eastAsiaTheme="minorEastAsia"/>
          <w:lang w:val="en-GB" w:eastAsia="ko-KR"/>
        </w:rPr>
        <w:t>2</w:t>
      </w:r>
      <w:r w:rsidR="00703D54" w:rsidRPr="00CD5563">
        <w:rPr>
          <w:rFonts w:eastAsiaTheme="minorEastAsia"/>
          <w:lang w:val="en-GB" w:eastAsia="ko-KR"/>
        </w:rPr>
        <w:tab/>
      </w:r>
      <w:r w:rsidRPr="00CD5563">
        <w:rPr>
          <w:rFonts w:eastAsiaTheme="minorEastAsia"/>
          <w:lang w:val="en-GB" w:eastAsia="ko-KR"/>
        </w:rPr>
        <w:t>Bearer Control Signalling</w:t>
      </w:r>
      <w:bookmarkEnd w:id="838"/>
      <w:bookmarkEnd w:id="839"/>
    </w:p>
    <w:p w:rsidR="00574938" w:rsidRDefault="00574938" w:rsidP="0008639C">
      <w:pPr>
        <w:spacing w:before="60" w:after="60"/>
        <w:rPr>
          <w:szCs w:val="19"/>
          <w:lang w:val="en-GB"/>
        </w:rPr>
      </w:pPr>
    </w:p>
    <w:p w:rsidR="0008639C" w:rsidRPr="00CD5563" w:rsidRDefault="0008639C" w:rsidP="0008639C">
      <w:pPr>
        <w:spacing w:before="60" w:after="60"/>
        <w:rPr>
          <w:szCs w:val="19"/>
          <w:lang w:val="en-GB"/>
        </w:rPr>
      </w:pPr>
      <w:r w:rsidRPr="00CD5563">
        <w:rPr>
          <w:szCs w:val="19"/>
          <w:lang w:val="en-GB"/>
        </w:rPr>
        <w:t>Q.3150/Y.1416: Use of virtual trunks for ATM/MPLS client/server control plane interworking</w:t>
      </w:r>
    </w:p>
    <w:p w:rsidR="0008639C" w:rsidRPr="00CD5563" w:rsidRDefault="0008639C" w:rsidP="0008639C">
      <w:pPr>
        <w:spacing w:before="60" w:after="60"/>
        <w:rPr>
          <w:szCs w:val="19"/>
          <w:lang w:val="en-GB"/>
        </w:rPr>
      </w:pPr>
      <w:r w:rsidRPr="00CD5563">
        <w:rPr>
          <w:szCs w:val="19"/>
          <w:lang w:val="en-GB"/>
        </w:rPr>
        <w:t>Q.3151/Y.1417: ATM and frame relay/MPLS control plane interworking: Client-server</w:t>
      </w:r>
    </w:p>
    <w:p w:rsidR="0008639C" w:rsidRPr="00CD5563" w:rsidRDefault="0008639C" w:rsidP="00D430AA">
      <w:pPr>
        <w:pStyle w:val="Heading2"/>
        <w:ind w:left="851" w:hanging="851"/>
      </w:pPr>
      <w:bookmarkStart w:id="840" w:name="_Toc380487768"/>
      <w:bookmarkStart w:id="841" w:name="_Toc381025087"/>
      <w:r w:rsidRPr="00CD5563">
        <w:t>3</w:t>
      </w:r>
      <w:r w:rsidR="00703D54" w:rsidRPr="00CD5563">
        <w:tab/>
      </w:r>
      <w:r w:rsidRPr="00CD5563">
        <w:t>Signalling and control requirements and protocols to support</w:t>
      </w:r>
      <w:r w:rsidRPr="00CD5563">
        <w:rPr>
          <w:rFonts w:eastAsiaTheme="minorEastAsia"/>
          <w:lang w:eastAsia="ko-KR"/>
        </w:rPr>
        <w:t xml:space="preserve"> </w:t>
      </w:r>
      <w:r w:rsidRPr="00CD5563">
        <w:t>attachment in NGN environments</w:t>
      </w:r>
      <w:bookmarkEnd w:id="840"/>
      <w:bookmarkEnd w:id="841"/>
    </w:p>
    <w:p w:rsidR="00FC1F7A" w:rsidRDefault="00FC1F7A" w:rsidP="0008639C">
      <w:pPr>
        <w:spacing w:before="60" w:after="60"/>
        <w:rPr>
          <w:szCs w:val="19"/>
          <w:lang w:val="en-GB"/>
        </w:rPr>
      </w:pPr>
    </w:p>
    <w:p w:rsidR="0008639C" w:rsidRPr="00CD5563" w:rsidRDefault="0008639C" w:rsidP="0008639C">
      <w:pPr>
        <w:spacing w:before="60" w:after="60"/>
        <w:rPr>
          <w:szCs w:val="19"/>
          <w:lang w:val="en-GB"/>
        </w:rPr>
      </w:pPr>
      <w:r w:rsidRPr="00CD5563">
        <w:rPr>
          <w:szCs w:val="19"/>
          <w:lang w:val="en-GB"/>
        </w:rPr>
        <w:t>Q.3201: EAP-based security signalling protocol architecture for network attachment</w:t>
      </w:r>
    </w:p>
    <w:p w:rsidR="0008639C" w:rsidRPr="00CD5563" w:rsidRDefault="0008639C" w:rsidP="0008639C">
      <w:pPr>
        <w:spacing w:before="60" w:after="60"/>
        <w:rPr>
          <w:szCs w:val="19"/>
          <w:lang w:val="en-GB"/>
        </w:rPr>
      </w:pPr>
      <w:r w:rsidRPr="00CD5563">
        <w:rPr>
          <w:szCs w:val="19"/>
          <w:lang w:val="en-GB"/>
        </w:rPr>
        <w:t>Q.3202.1: Authentication protocols based on EAP-AKA for interworking among 3GPP, WiMax, and WLAN in NGN</w:t>
      </w:r>
    </w:p>
    <w:p w:rsidR="0008639C" w:rsidRPr="00CD5563" w:rsidRDefault="0008639C" w:rsidP="0008639C">
      <w:pPr>
        <w:spacing w:before="60" w:after="60"/>
        <w:rPr>
          <w:szCs w:val="19"/>
          <w:lang w:val="en-GB"/>
        </w:rPr>
      </w:pPr>
      <w:r w:rsidRPr="00CD5563">
        <w:rPr>
          <w:szCs w:val="19"/>
          <w:lang w:val="en-GB"/>
        </w:rPr>
        <w:t>Q.3203: Signalling requirements and architecture of network attachment control functions to support IP mobility</w:t>
      </w:r>
    </w:p>
    <w:p w:rsidR="0008639C" w:rsidRPr="00CD5563" w:rsidRDefault="0008639C" w:rsidP="0008639C">
      <w:pPr>
        <w:spacing w:before="60" w:after="60"/>
        <w:rPr>
          <w:szCs w:val="19"/>
          <w:lang w:val="en-GB"/>
        </w:rPr>
      </w:pPr>
      <w:r w:rsidRPr="00CD5563">
        <w:rPr>
          <w:szCs w:val="19"/>
          <w:lang w:val="en-GB"/>
        </w:rPr>
        <w:t>Q.3220: Architectural framework for NACF signalling interface Recommendations</w:t>
      </w:r>
    </w:p>
    <w:p w:rsidR="0008639C" w:rsidRPr="00CD5563" w:rsidRDefault="0008639C" w:rsidP="0008639C">
      <w:pPr>
        <w:spacing w:before="60" w:after="60"/>
        <w:rPr>
          <w:szCs w:val="19"/>
          <w:lang w:val="en-GB"/>
        </w:rPr>
      </w:pPr>
      <w:r w:rsidRPr="00CD5563">
        <w:rPr>
          <w:szCs w:val="19"/>
          <w:lang w:val="en-GB"/>
        </w:rPr>
        <w:t>Q.3221: Requirements and protocol at the interface between the service control entity and the transport location management physical entity (S-TC1 interface)</w:t>
      </w:r>
    </w:p>
    <w:p w:rsidR="0008639C" w:rsidRPr="00CD5563" w:rsidRDefault="0008639C" w:rsidP="0008639C">
      <w:pPr>
        <w:spacing w:before="60" w:after="60"/>
        <w:rPr>
          <w:szCs w:val="19"/>
          <w:lang w:val="en-GB"/>
        </w:rPr>
      </w:pPr>
      <w:r w:rsidRPr="00CD5563">
        <w:rPr>
          <w:szCs w:val="19"/>
          <w:lang w:val="en-GB"/>
        </w:rPr>
        <w:t>Q.3222: Requirements and protocol at the interface between transport location management physical entities (Ng interface)</w:t>
      </w:r>
    </w:p>
    <w:p w:rsidR="0008639C" w:rsidRPr="00CD5563" w:rsidRDefault="0008639C" w:rsidP="0008639C">
      <w:pPr>
        <w:spacing w:before="60" w:after="60"/>
        <w:rPr>
          <w:szCs w:val="19"/>
          <w:lang w:val="en-GB"/>
        </w:rPr>
      </w:pPr>
      <w:r w:rsidRPr="00CD5563">
        <w:rPr>
          <w:szCs w:val="19"/>
          <w:lang w:val="en-GB"/>
        </w:rPr>
        <w:t>Q.3223: Requirements and protocol for the interface between a transport location management physical entity and a policy decision physical entity (Ru Interface)</w:t>
      </w:r>
    </w:p>
    <w:p w:rsidR="0008639C" w:rsidRPr="00CD5563" w:rsidRDefault="0008639C" w:rsidP="00FC1F7A">
      <w:pPr>
        <w:pStyle w:val="Heading2"/>
        <w:keepLines/>
        <w:rPr>
          <w:rFonts w:eastAsiaTheme="minorEastAsia"/>
          <w:lang w:val="en-GB" w:eastAsia="ko-KR"/>
        </w:rPr>
      </w:pPr>
      <w:bookmarkStart w:id="842" w:name="_Toc380487769"/>
      <w:bookmarkStart w:id="843" w:name="_Toc381025088"/>
      <w:r w:rsidRPr="00CD5563">
        <w:rPr>
          <w:rFonts w:eastAsiaTheme="minorEastAsia"/>
          <w:lang w:val="en-GB" w:eastAsia="ko-KR"/>
        </w:rPr>
        <w:t>4</w:t>
      </w:r>
      <w:r w:rsidR="00703D54" w:rsidRPr="00CD5563">
        <w:rPr>
          <w:rFonts w:eastAsiaTheme="minorEastAsia"/>
          <w:lang w:val="en-GB" w:eastAsia="ko-KR"/>
        </w:rPr>
        <w:tab/>
      </w:r>
      <w:r w:rsidRPr="00CD5563">
        <w:rPr>
          <w:rFonts w:eastAsiaTheme="minorEastAsia"/>
          <w:lang w:val="en-GB" w:eastAsia="ko-KR"/>
        </w:rPr>
        <w:t>Resource control protocols</w:t>
      </w:r>
      <w:bookmarkEnd w:id="842"/>
      <w:bookmarkEnd w:id="843"/>
    </w:p>
    <w:p w:rsidR="00FC1F7A" w:rsidRDefault="00FC1F7A" w:rsidP="00FC1F7A">
      <w:pPr>
        <w:keepNext/>
        <w:keepLines/>
        <w:spacing w:before="60" w:after="60"/>
        <w:rPr>
          <w:szCs w:val="19"/>
          <w:lang w:val="en-GB"/>
        </w:rPr>
      </w:pPr>
    </w:p>
    <w:p w:rsidR="0008639C" w:rsidRPr="00CD5563" w:rsidRDefault="0008639C" w:rsidP="00FC1F7A">
      <w:pPr>
        <w:keepNext/>
        <w:keepLines/>
        <w:spacing w:before="60" w:after="60"/>
        <w:rPr>
          <w:szCs w:val="19"/>
          <w:lang w:val="en-GB"/>
        </w:rPr>
      </w:pPr>
      <w:r w:rsidRPr="00CD5563">
        <w:rPr>
          <w:szCs w:val="19"/>
          <w:lang w:val="en-GB"/>
        </w:rPr>
        <w:t>Q.3300: Architectural framework for the Q.33xx series of Recommendations</w:t>
      </w:r>
    </w:p>
    <w:p w:rsidR="0008639C" w:rsidRPr="00CD5563" w:rsidRDefault="0008639C" w:rsidP="0008639C">
      <w:pPr>
        <w:spacing w:before="60" w:after="60"/>
        <w:rPr>
          <w:szCs w:val="19"/>
          <w:lang w:val="en-GB"/>
        </w:rPr>
      </w:pPr>
      <w:r w:rsidRPr="00CD5563">
        <w:rPr>
          <w:szCs w:val="19"/>
          <w:lang w:val="en-GB"/>
        </w:rPr>
        <w:t>Q.3301.1: Resource control protocol No. 1, version 2 – Protocol at the Rs interface between service control entities and the policy decision physical entity</w:t>
      </w:r>
    </w:p>
    <w:p w:rsidR="0008639C" w:rsidRPr="00CD5563" w:rsidRDefault="0008639C" w:rsidP="0008639C">
      <w:pPr>
        <w:spacing w:before="60" w:after="60"/>
        <w:rPr>
          <w:szCs w:val="19"/>
          <w:lang w:val="en-GB"/>
        </w:rPr>
      </w:pPr>
      <w:r w:rsidRPr="00CD5563">
        <w:rPr>
          <w:szCs w:val="19"/>
          <w:lang w:val="en-GB"/>
        </w:rPr>
        <w:t>Q.3302.1: Resource control protocol No. 2 (rcp2) – Protocol at the Rp interface between transport resource control physical entities</w:t>
      </w:r>
    </w:p>
    <w:p w:rsidR="0008639C" w:rsidRPr="00CD5563" w:rsidRDefault="0008639C" w:rsidP="0008639C">
      <w:pPr>
        <w:spacing w:before="60" w:after="60"/>
        <w:rPr>
          <w:szCs w:val="19"/>
          <w:lang w:val="en-GB"/>
        </w:rPr>
      </w:pPr>
      <w:r w:rsidRPr="00CD5563">
        <w:rPr>
          <w:szCs w:val="19"/>
          <w:lang w:val="en-GB"/>
        </w:rPr>
        <w:t>Q.3303.0: Resource control protocol No. 3 – Protocols at the Rw interface between a policy decision physical entity (PD-PE) and a policy enforcement physical entity (PE-PE): Overview</w:t>
      </w:r>
    </w:p>
    <w:p w:rsidR="0008639C" w:rsidRPr="00CD5563" w:rsidRDefault="0008639C" w:rsidP="0008639C">
      <w:pPr>
        <w:spacing w:before="60" w:after="60"/>
        <w:rPr>
          <w:szCs w:val="19"/>
          <w:lang w:val="en-GB"/>
        </w:rPr>
      </w:pPr>
      <w:r w:rsidRPr="00CD5563">
        <w:rPr>
          <w:szCs w:val="19"/>
          <w:lang w:val="en-GB"/>
        </w:rPr>
        <w:t>Q.3303.1: Resource control protocol No. 3 – Protocol at the interface between a Policy Decision Physical Entity (PD-PE) and a Policy Enforcement Physical Entity (PE-PE): COPS alternative</w:t>
      </w:r>
    </w:p>
    <w:p w:rsidR="0008639C" w:rsidRPr="00CD5563" w:rsidRDefault="0008639C" w:rsidP="0008639C">
      <w:pPr>
        <w:spacing w:before="60" w:after="60"/>
        <w:rPr>
          <w:szCs w:val="19"/>
          <w:lang w:val="en-GB"/>
        </w:rPr>
      </w:pPr>
      <w:r w:rsidRPr="00CD5563">
        <w:rPr>
          <w:szCs w:val="19"/>
          <w:lang w:val="en-GB"/>
        </w:rPr>
        <w:t>Q.3303.2: Resource control protocol No. 3 – Protocol at the interface between a Policy Decision Physical Entity (PD-PE) and a Policy Enforcement Physical Entity (PE-PE) (Rw interface): H.248 alternative</w:t>
      </w:r>
    </w:p>
    <w:p w:rsidR="0008639C" w:rsidRPr="00CD5563" w:rsidRDefault="0008639C" w:rsidP="0008639C">
      <w:pPr>
        <w:spacing w:before="60" w:after="60"/>
        <w:rPr>
          <w:szCs w:val="19"/>
          <w:lang w:val="en-GB"/>
        </w:rPr>
      </w:pPr>
      <w:r w:rsidRPr="00CD5563">
        <w:rPr>
          <w:szCs w:val="19"/>
          <w:lang w:val="en-GB"/>
        </w:rPr>
        <w:t>Q.3303.3: Resource control protocol No. 3 – Protocols at the Rw interface between a policy decision physical entity (PD-PE) and a policy enforcement physical entity (PE-PE): Diameter</w:t>
      </w:r>
    </w:p>
    <w:p w:rsidR="0008639C" w:rsidRPr="00CD5563" w:rsidRDefault="0008639C" w:rsidP="0008639C">
      <w:pPr>
        <w:spacing w:before="60" w:after="60"/>
        <w:rPr>
          <w:szCs w:val="19"/>
          <w:lang w:val="en-GB"/>
        </w:rPr>
      </w:pPr>
      <w:r w:rsidRPr="00CD5563">
        <w:rPr>
          <w:szCs w:val="19"/>
          <w:lang w:val="en-GB"/>
        </w:rPr>
        <w:t>Q.3304.1: Resource control protocol No. 4 (rcp4) – Protocols at the Rc interface between a transport resource control physical entity (TRC-PE) and a transport physical entity (T-PE): COPS alternative</w:t>
      </w:r>
    </w:p>
    <w:p w:rsidR="0008639C" w:rsidRPr="00CD5563" w:rsidRDefault="0008639C" w:rsidP="0008639C">
      <w:pPr>
        <w:spacing w:before="60" w:after="60"/>
        <w:rPr>
          <w:szCs w:val="19"/>
          <w:lang w:val="en-GB"/>
        </w:rPr>
      </w:pPr>
      <w:r w:rsidRPr="00CD5563">
        <w:rPr>
          <w:szCs w:val="19"/>
          <w:lang w:val="en-GB"/>
        </w:rPr>
        <w:t>Q.3304.2: Resource control protocol No. 4 (rcp4) – Protocols at the Rc interface between a transport resource control physical entity (TRC-PE) and a transport physical entity (T-PE): SNMP alternative</w:t>
      </w:r>
    </w:p>
    <w:p w:rsidR="0008639C" w:rsidRPr="00CD5563" w:rsidRDefault="0008639C" w:rsidP="0008639C">
      <w:pPr>
        <w:spacing w:before="60" w:after="60"/>
        <w:rPr>
          <w:szCs w:val="19"/>
          <w:lang w:val="en-GB"/>
        </w:rPr>
      </w:pPr>
      <w:r w:rsidRPr="00CD5563">
        <w:rPr>
          <w:szCs w:val="19"/>
          <w:lang w:val="en-GB"/>
        </w:rPr>
        <w:t>Q.3305.1: Resource control protocol No. 5 (rcp5) – Protocol at the interface between transport resource control physical entity and policy decision physical entity (Rt interface): Diameter-based</w:t>
      </w:r>
    </w:p>
    <w:p w:rsidR="0008639C" w:rsidRPr="00CD5563" w:rsidRDefault="0008639C" w:rsidP="0008639C">
      <w:pPr>
        <w:spacing w:before="60" w:after="60"/>
        <w:rPr>
          <w:szCs w:val="19"/>
          <w:lang w:val="en-GB"/>
        </w:rPr>
      </w:pPr>
      <w:r w:rsidRPr="00CD5563">
        <w:rPr>
          <w:szCs w:val="19"/>
          <w:lang w:val="en-GB"/>
        </w:rPr>
        <w:t>Q.3306.1: Resource control protocol No. 6 (rcp6) - Protocol at the interface between intra-domain policy decision physical entities (PD-PE) (Rd interface)</w:t>
      </w:r>
    </w:p>
    <w:p w:rsidR="0008639C" w:rsidRPr="00CD5563" w:rsidRDefault="0008639C" w:rsidP="0008639C">
      <w:pPr>
        <w:spacing w:before="60" w:after="60"/>
        <w:rPr>
          <w:szCs w:val="19"/>
          <w:lang w:val="en-GB"/>
        </w:rPr>
      </w:pPr>
      <w:r w:rsidRPr="00CD5563">
        <w:rPr>
          <w:szCs w:val="19"/>
          <w:lang w:val="en-GB"/>
        </w:rPr>
        <w:t>Q.3307.1: Resource control protocol No.7 - Protocol at the interface between inter-domain policy decision physical entities (Ri interface)</w:t>
      </w:r>
    </w:p>
    <w:p w:rsidR="0008639C" w:rsidRPr="00CD5563" w:rsidRDefault="0008639C" w:rsidP="0008639C">
      <w:pPr>
        <w:spacing w:before="60" w:after="60"/>
        <w:rPr>
          <w:szCs w:val="19"/>
          <w:lang w:val="en-GB"/>
        </w:rPr>
      </w:pPr>
      <w:r w:rsidRPr="00CD5563">
        <w:rPr>
          <w:szCs w:val="19"/>
          <w:lang w:val="en-GB"/>
        </w:rPr>
        <w:t>Q.3308.1: Resource control protocol 8 (rcp8) Protocol at the interface between Resource Admission Control Physical Entity (RAC-PE) and CPN Gateway Policy Enforcement Physical Entities (CGPE-PE ) (Rh interface): COPS alternative</w:t>
      </w:r>
    </w:p>
    <w:p w:rsidR="0008639C" w:rsidRPr="00CD5563" w:rsidRDefault="0008639C" w:rsidP="0008639C">
      <w:pPr>
        <w:spacing w:before="60" w:after="60"/>
        <w:rPr>
          <w:szCs w:val="19"/>
          <w:lang w:val="en-GB"/>
        </w:rPr>
      </w:pPr>
      <w:r w:rsidRPr="00CD5563">
        <w:rPr>
          <w:szCs w:val="19"/>
          <w:lang w:val="en-GB"/>
        </w:rPr>
        <w:t>Q.3309: QoS coordination protocol</w:t>
      </w:r>
    </w:p>
    <w:p w:rsidR="0008639C" w:rsidRPr="00CD5563" w:rsidRDefault="0008639C" w:rsidP="0008639C">
      <w:pPr>
        <w:spacing w:before="60" w:after="60"/>
        <w:rPr>
          <w:szCs w:val="19"/>
          <w:lang w:val="en-GB"/>
        </w:rPr>
      </w:pPr>
      <w:r w:rsidRPr="00CD5563">
        <w:rPr>
          <w:szCs w:val="19"/>
          <w:lang w:val="en-GB"/>
        </w:rPr>
        <w:t>Q.3311: Enhancement of resource and admission control protocols to use pre-congestion notification</w:t>
      </w:r>
    </w:p>
    <w:p w:rsidR="0008639C" w:rsidRPr="00CD5563" w:rsidRDefault="0008639C" w:rsidP="0008639C">
      <w:pPr>
        <w:spacing w:before="60" w:after="60"/>
        <w:rPr>
          <w:szCs w:val="19"/>
          <w:lang w:val="en-GB"/>
        </w:rPr>
      </w:pPr>
      <w:r w:rsidRPr="00CD5563">
        <w:rPr>
          <w:szCs w:val="19"/>
          <w:lang w:val="en-GB"/>
        </w:rPr>
        <w:t>Q.3312: Use of the access node control protocol on the Rp interface</w:t>
      </w:r>
    </w:p>
    <w:p w:rsidR="0008639C" w:rsidRPr="00CD5563" w:rsidRDefault="0008639C" w:rsidP="0008639C">
      <w:pPr>
        <w:spacing w:before="60" w:after="60"/>
        <w:rPr>
          <w:szCs w:val="19"/>
          <w:lang w:val="en-GB"/>
        </w:rPr>
      </w:pPr>
      <w:r w:rsidRPr="00CD5563">
        <w:rPr>
          <w:szCs w:val="19"/>
          <w:lang w:val="en-GB"/>
        </w:rPr>
        <w:t xml:space="preserve">Q.3313: </w:t>
      </w:r>
      <w:hyperlink r:id="rId112" w:tooltip="Signalling protocols and procedures relating to flow state aware QoS control in a bounded subnetwork of a next generation network" w:history="1">
        <w:r w:rsidRPr="00CD5563">
          <w:rPr>
            <w:szCs w:val="19"/>
            <w:lang w:val="en-GB"/>
          </w:rPr>
          <w:t>Signalling protocols and procedures relating to flow state aware QoS control in a bounded subnetwork of a next generation network</w:t>
        </w:r>
      </w:hyperlink>
    </w:p>
    <w:p w:rsidR="0008639C" w:rsidRPr="00CD5563" w:rsidRDefault="0008639C" w:rsidP="00703D54">
      <w:pPr>
        <w:pStyle w:val="Heading2"/>
        <w:rPr>
          <w:rFonts w:eastAsiaTheme="minorEastAsia"/>
          <w:lang w:val="en-GB"/>
        </w:rPr>
      </w:pPr>
      <w:bookmarkStart w:id="844" w:name="_Toc380487770"/>
      <w:bookmarkStart w:id="845" w:name="_Toc381025089"/>
      <w:r w:rsidRPr="00CD5563">
        <w:rPr>
          <w:rFonts w:eastAsiaTheme="minorEastAsia"/>
          <w:lang w:val="en-GB"/>
        </w:rPr>
        <w:t>5</w:t>
      </w:r>
      <w:r w:rsidR="00703D54" w:rsidRPr="00CD5563">
        <w:rPr>
          <w:rFonts w:eastAsiaTheme="minorEastAsia"/>
          <w:lang w:val="en-GB"/>
        </w:rPr>
        <w:tab/>
      </w:r>
      <w:r w:rsidRPr="00CD5563">
        <w:rPr>
          <w:rFonts w:eastAsiaTheme="minorEastAsia"/>
          <w:lang w:val="en-GB"/>
        </w:rPr>
        <w:t xml:space="preserve"> Service and session control protocols</w:t>
      </w:r>
      <w:bookmarkEnd w:id="844"/>
      <w:bookmarkEnd w:id="845"/>
    </w:p>
    <w:p w:rsidR="00FC1F7A" w:rsidRDefault="00FC1F7A" w:rsidP="0008639C">
      <w:pPr>
        <w:spacing w:before="60" w:after="60"/>
        <w:rPr>
          <w:szCs w:val="19"/>
          <w:lang w:val="en-GB"/>
        </w:rPr>
      </w:pPr>
    </w:p>
    <w:p w:rsidR="0008639C" w:rsidRPr="00CD5563" w:rsidRDefault="0008639C" w:rsidP="0008639C">
      <w:pPr>
        <w:spacing w:before="60" w:after="60"/>
        <w:rPr>
          <w:szCs w:val="19"/>
          <w:lang w:val="en-GB"/>
        </w:rPr>
      </w:pPr>
      <w:r w:rsidRPr="00CD5563">
        <w:rPr>
          <w:szCs w:val="19"/>
          <w:lang w:val="en-GB"/>
        </w:rPr>
        <w:t>Q.3401: NGN NNI signalling profile (protocol set 1)</w:t>
      </w:r>
    </w:p>
    <w:p w:rsidR="0008639C" w:rsidRPr="00CD5563" w:rsidRDefault="0008639C" w:rsidP="0008639C">
      <w:pPr>
        <w:spacing w:before="60" w:after="60"/>
        <w:rPr>
          <w:szCs w:val="19"/>
          <w:lang w:val="en-GB"/>
        </w:rPr>
      </w:pPr>
      <w:r w:rsidRPr="00CD5563">
        <w:rPr>
          <w:szCs w:val="19"/>
          <w:lang w:val="en-GB"/>
        </w:rPr>
        <w:t>Q.3402: NGN UNI signalling profile (Protocol set 1)</w:t>
      </w:r>
    </w:p>
    <w:p w:rsidR="0008639C" w:rsidRPr="00CD5563" w:rsidRDefault="0008639C" w:rsidP="00703D54">
      <w:pPr>
        <w:pStyle w:val="Heading2"/>
        <w:rPr>
          <w:rFonts w:eastAsiaTheme="minorEastAsia"/>
          <w:lang w:val="en-GB"/>
        </w:rPr>
      </w:pPr>
      <w:bookmarkStart w:id="846" w:name="_Toc380487771"/>
      <w:bookmarkStart w:id="847" w:name="_Toc381025090"/>
      <w:r w:rsidRPr="00CD5563">
        <w:rPr>
          <w:rFonts w:eastAsiaTheme="minorEastAsia"/>
          <w:lang w:val="en-GB"/>
        </w:rPr>
        <w:t>6</w:t>
      </w:r>
      <w:r w:rsidR="00703D54" w:rsidRPr="00CD5563">
        <w:rPr>
          <w:rFonts w:eastAsiaTheme="minorEastAsia"/>
          <w:lang w:val="en-GB"/>
        </w:rPr>
        <w:tab/>
      </w:r>
      <w:r w:rsidRPr="00CD5563">
        <w:rPr>
          <w:rFonts w:eastAsiaTheme="minorEastAsia"/>
          <w:lang w:val="en-GB"/>
        </w:rPr>
        <w:t>Service and session control protocols – supplementary services</w:t>
      </w:r>
      <w:bookmarkEnd w:id="846"/>
      <w:bookmarkEnd w:id="847"/>
    </w:p>
    <w:p w:rsidR="00FC1F7A" w:rsidRDefault="00FC1F7A" w:rsidP="0008639C">
      <w:pPr>
        <w:spacing w:before="60" w:after="60"/>
        <w:rPr>
          <w:szCs w:val="19"/>
          <w:lang w:val="en-GB"/>
        </w:rPr>
      </w:pPr>
    </w:p>
    <w:p w:rsidR="0008639C" w:rsidRPr="00CD5563" w:rsidRDefault="0008639C" w:rsidP="0008639C">
      <w:pPr>
        <w:spacing w:before="60" w:after="60"/>
        <w:rPr>
          <w:szCs w:val="19"/>
          <w:lang w:val="en-GB"/>
        </w:rPr>
      </w:pPr>
      <w:r w:rsidRPr="00CD5563">
        <w:rPr>
          <w:szCs w:val="19"/>
          <w:lang w:val="en-GB"/>
        </w:rPr>
        <w:t>Q.3610: Signalling requirements and protocol profiles for customized ring-back tone service</w:t>
      </w:r>
    </w:p>
    <w:p w:rsidR="0008639C" w:rsidRPr="00CD5563" w:rsidRDefault="0008639C" w:rsidP="0008639C">
      <w:pPr>
        <w:spacing w:before="60" w:after="60"/>
        <w:rPr>
          <w:szCs w:val="19"/>
          <w:lang w:val="en-GB"/>
        </w:rPr>
      </w:pPr>
      <w:r w:rsidRPr="00CD5563">
        <w:rPr>
          <w:szCs w:val="19"/>
          <w:lang w:val="en-GB"/>
        </w:rPr>
        <w:t>Q.3611: Signalling requirements and protocol profiles for NGN customized ringing tone service</w:t>
      </w:r>
    </w:p>
    <w:p w:rsidR="0008639C" w:rsidRPr="00CD5563" w:rsidRDefault="0008639C" w:rsidP="0008639C">
      <w:pPr>
        <w:spacing w:before="60" w:after="60"/>
        <w:rPr>
          <w:szCs w:val="19"/>
          <w:lang w:val="en-GB"/>
        </w:rPr>
      </w:pPr>
      <w:r w:rsidRPr="00CD5563">
        <w:rPr>
          <w:szCs w:val="19"/>
          <w:lang w:val="en-GB"/>
        </w:rPr>
        <w:t>Q.3612: Signalling requirements and protocol profiles for IP Centrex service</w:t>
      </w:r>
    </w:p>
    <w:p w:rsidR="0008639C" w:rsidRPr="00CD5563" w:rsidRDefault="0008639C" w:rsidP="00703D54">
      <w:pPr>
        <w:pStyle w:val="Heading2"/>
        <w:rPr>
          <w:rFonts w:eastAsiaTheme="minorEastAsia"/>
          <w:lang w:val="en-GB"/>
        </w:rPr>
      </w:pPr>
      <w:bookmarkStart w:id="848" w:name="_Toc380487772"/>
      <w:bookmarkStart w:id="849" w:name="_Toc381025091"/>
      <w:r w:rsidRPr="00CD5563">
        <w:rPr>
          <w:rFonts w:eastAsiaTheme="minorEastAsia"/>
          <w:lang w:val="en-GB"/>
        </w:rPr>
        <w:t>7</w:t>
      </w:r>
      <w:r w:rsidR="00703D54" w:rsidRPr="00CD5563">
        <w:rPr>
          <w:rFonts w:eastAsiaTheme="minorEastAsia"/>
          <w:lang w:val="en-GB"/>
        </w:rPr>
        <w:tab/>
      </w:r>
      <w:r w:rsidRPr="00CD5563">
        <w:rPr>
          <w:rFonts w:eastAsiaTheme="minorEastAsia"/>
          <w:lang w:val="en-GB"/>
        </w:rPr>
        <w:t>Testing for NGN networks</w:t>
      </w:r>
      <w:bookmarkEnd w:id="848"/>
      <w:bookmarkEnd w:id="849"/>
    </w:p>
    <w:p w:rsidR="00FC1F7A" w:rsidRDefault="00FC1F7A" w:rsidP="0008639C">
      <w:pPr>
        <w:spacing w:before="60" w:after="60"/>
        <w:rPr>
          <w:szCs w:val="19"/>
          <w:lang w:val="en-GB"/>
        </w:rPr>
      </w:pPr>
    </w:p>
    <w:p w:rsidR="0008639C" w:rsidRPr="00CD5563" w:rsidRDefault="0008639C" w:rsidP="0008639C">
      <w:pPr>
        <w:spacing w:before="60" w:after="60"/>
        <w:rPr>
          <w:szCs w:val="19"/>
          <w:lang w:val="en-GB"/>
        </w:rPr>
      </w:pPr>
      <w:r w:rsidRPr="00CD5563">
        <w:rPr>
          <w:szCs w:val="19"/>
          <w:lang w:val="en-GB"/>
        </w:rPr>
        <w:t>Q.3900: Methods of testing and model network architecture for NGN technical means testing as applied to public telecommunication networks</w:t>
      </w:r>
    </w:p>
    <w:p w:rsidR="0008639C" w:rsidRPr="00CD5563" w:rsidRDefault="0008639C" w:rsidP="0008639C">
      <w:pPr>
        <w:spacing w:before="60" w:after="60"/>
        <w:rPr>
          <w:szCs w:val="19"/>
          <w:lang w:val="en-GB"/>
        </w:rPr>
      </w:pPr>
      <w:r w:rsidRPr="00CD5563">
        <w:rPr>
          <w:szCs w:val="19"/>
          <w:lang w:val="en-GB"/>
        </w:rPr>
        <w:t>Q.3901: Testing topology for networks and services based on NGN technical means</w:t>
      </w:r>
    </w:p>
    <w:p w:rsidR="0008639C" w:rsidRPr="00CD5563" w:rsidRDefault="0008639C" w:rsidP="0008639C">
      <w:pPr>
        <w:spacing w:before="60" w:after="60"/>
        <w:rPr>
          <w:szCs w:val="19"/>
          <w:lang w:val="en-GB"/>
        </w:rPr>
      </w:pPr>
      <w:r w:rsidRPr="00CD5563">
        <w:rPr>
          <w:szCs w:val="19"/>
          <w:lang w:val="en-GB"/>
        </w:rPr>
        <w:t>Q.3902: Operational parameters to be monitored when implementing NGN technical means in public telecommunication networks</w:t>
      </w:r>
    </w:p>
    <w:p w:rsidR="0008639C" w:rsidRPr="00CD5563" w:rsidRDefault="0008639C" w:rsidP="0008639C">
      <w:pPr>
        <w:spacing w:before="60" w:after="60"/>
        <w:rPr>
          <w:szCs w:val="19"/>
          <w:lang w:val="en-GB"/>
        </w:rPr>
      </w:pPr>
      <w:r w:rsidRPr="00CD5563">
        <w:rPr>
          <w:szCs w:val="19"/>
          <w:lang w:val="en-GB"/>
        </w:rPr>
        <w:t>Q.3903: Formalized presentation of testing results</w:t>
      </w:r>
    </w:p>
    <w:p w:rsidR="0008639C" w:rsidRPr="00CD5563" w:rsidRDefault="0008639C" w:rsidP="0008639C">
      <w:pPr>
        <w:spacing w:before="60" w:after="60"/>
        <w:rPr>
          <w:szCs w:val="19"/>
          <w:lang w:val="en-GB"/>
        </w:rPr>
      </w:pPr>
      <w:r w:rsidRPr="00CD5563">
        <w:rPr>
          <w:szCs w:val="19"/>
          <w:lang w:val="en-GB"/>
        </w:rPr>
        <w:t>Q.3904: Testing principles for IMS model networks, and identification of relevant conformance, interoperability and functionality tests</w:t>
      </w:r>
    </w:p>
    <w:p w:rsidR="0008639C" w:rsidRPr="00CD5563" w:rsidRDefault="0008639C" w:rsidP="0008639C">
      <w:pPr>
        <w:spacing w:before="60" w:after="60"/>
        <w:rPr>
          <w:szCs w:val="19"/>
          <w:lang w:val="en-GB"/>
        </w:rPr>
      </w:pPr>
      <w:r w:rsidRPr="00CD5563">
        <w:rPr>
          <w:szCs w:val="19"/>
          <w:lang w:val="en-GB"/>
        </w:rPr>
        <w:t>Q.3906.1: Test scenarios and catalogue for testing fixed-broadband access networks using a model network - Part I</w:t>
      </w:r>
    </w:p>
    <w:p w:rsidR="0008639C" w:rsidRPr="00CD5563" w:rsidRDefault="0008639C" w:rsidP="0008639C">
      <w:pPr>
        <w:spacing w:before="60" w:after="60"/>
        <w:rPr>
          <w:szCs w:val="19"/>
          <w:lang w:val="en-GB"/>
        </w:rPr>
      </w:pPr>
      <w:r w:rsidRPr="00CD5563">
        <w:rPr>
          <w:szCs w:val="19"/>
          <w:lang w:val="en-GB"/>
        </w:rPr>
        <w:t>Q.390</w:t>
      </w:r>
      <w:r w:rsidRPr="00CD5563">
        <w:rPr>
          <w:rFonts w:eastAsia="Malgun Gothic"/>
          <w:szCs w:val="19"/>
          <w:lang w:val="en-GB" w:eastAsia="ko-KR"/>
        </w:rPr>
        <w:t>9</w:t>
      </w:r>
      <w:r w:rsidRPr="00CD5563">
        <w:rPr>
          <w:szCs w:val="19"/>
          <w:lang w:val="en-GB"/>
        </w:rPr>
        <w:t xml:space="preserve">: </w:t>
      </w:r>
      <w:hyperlink r:id="rId113" w:tooltip="The framework and overview of NGN conformance and interoperability testing" w:history="1">
        <w:r w:rsidRPr="00CD5563">
          <w:rPr>
            <w:rStyle w:val="Hyperlink"/>
            <w:iCs/>
            <w:color w:val="000000"/>
            <w:szCs w:val="19"/>
            <w:lang w:val="en-GB"/>
          </w:rPr>
          <w:t>The framework and overview of NGN conformance and interoperability testing</w:t>
        </w:r>
      </w:hyperlink>
    </w:p>
    <w:p w:rsidR="0008639C" w:rsidRPr="00CD5563" w:rsidRDefault="0008639C" w:rsidP="0008639C">
      <w:pPr>
        <w:spacing w:before="60" w:after="60"/>
        <w:rPr>
          <w:szCs w:val="19"/>
          <w:lang w:val="en-GB"/>
        </w:rPr>
      </w:pPr>
      <w:r w:rsidRPr="00CD5563">
        <w:rPr>
          <w:szCs w:val="19"/>
          <w:lang w:val="en-GB"/>
        </w:rPr>
        <w:t>Q.3910: Parameters for monitoring NGN protocols</w:t>
      </w:r>
    </w:p>
    <w:p w:rsidR="0008639C" w:rsidRPr="00CD5563" w:rsidRDefault="0008639C" w:rsidP="0008639C">
      <w:pPr>
        <w:spacing w:before="60" w:after="60"/>
        <w:rPr>
          <w:szCs w:val="19"/>
          <w:lang w:val="en-GB"/>
        </w:rPr>
      </w:pPr>
      <w:r w:rsidRPr="00CD5563">
        <w:rPr>
          <w:szCs w:val="19"/>
          <w:lang w:val="en-GB"/>
        </w:rPr>
        <w:t>Q.3911: Parameters for monitoring voice services in NGN</w:t>
      </w:r>
    </w:p>
    <w:p w:rsidR="0008639C" w:rsidRPr="00CD5563" w:rsidRDefault="0008639C" w:rsidP="0008639C">
      <w:pPr>
        <w:spacing w:before="60" w:after="60"/>
        <w:rPr>
          <w:szCs w:val="19"/>
          <w:lang w:val="en-GB"/>
        </w:rPr>
      </w:pPr>
      <w:r w:rsidRPr="00CD5563">
        <w:rPr>
          <w:szCs w:val="19"/>
          <w:lang w:val="en-GB"/>
        </w:rPr>
        <w:t>Q.39</w:t>
      </w:r>
      <w:r w:rsidRPr="00CD5563">
        <w:rPr>
          <w:rFonts w:eastAsia="Malgun Gothic"/>
          <w:szCs w:val="19"/>
          <w:lang w:val="en-GB" w:eastAsia="ko-KR"/>
        </w:rPr>
        <w:t>25</w:t>
      </w:r>
      <w:r w:rsidRPr="00CD5563">
        <w:rPr>
          <w:szCs w:val="19"/>
          <w:lang w:val="en-GB"/>
        </w:rPr>
        <w:t xml:space="preserve">: </w:t>
      </w:r>
      <w:hyperlink r:id="rId114" w:tooltip="The types of traffic flows which should be generated for voice, data and video on the Model network for testing QoS parameters" w:history="1">
        <w:r w:rsidRPr="00CD5563">
          <w:rPr>
            <w:rStyle w:val="Hyperlink"/>
            <w:iCs/>
            <w:color w:val="000000"/>
            <w:szCs w:val="19"/>
            <w:lang w:val="en-GB"/>
          </w:rPr>
          <w:t>The types of traffic flows which should be generated for voice, data and video on the Model network for testing QoS parameters</w:t>
        </w:r>
      </w:hyperlink>
    </w:p>
    <w:p w:rsidR="0008639C" w:rsidRPr="00CD5563" w:rsidRDefault="0008639C" w:rsidP="0008639C">
      <w:pPr>
        <w:spacing w:before="60" w:after="60"/>
        <w:rPr>
          <w:szCs w:val="19"/>
          <w:lang w:val="en-GB"/>
        </w:rPr>
      </w:pPr>
      <w:r w:rsidRPr="00CD5563">
        <w:rPr>
          <w:szCs w:val="19"/>
          <w:lang w:val="en-GB"/>
        </w:rPr>
        <w:t>Q.3931.1: Performance benchmark for the PSTN/ISDN emulation subsystem of an IP multimedia system - Part 1: Core concepts</w:t>
      </w:r>
    </w:p>
    <w:p w:rsidR="0008639C" w:rsidRPr="00CD5563" w:rsidRDefault="0008639C" w:rsidP="0008639C">
      <w:pPr>
        <w:spacing w:before="60" w:after="60"/>
        <w:rPr>
          <w:szCs w:val="19"/>
          <w:lang w:val="en-GB"/>
        </w:rPr>
      </w:pPr>
      <w:r w:rsidRPr="00CD5563">
        <w:rPr>
          <w:szCs w:val="19"/>
          <w:lang w:val="en-GB"/>
        </w:rPr>
        <w:t>Q.3931.2: Performance benchmark for the PSTN/ISDN emulation subsystem of an IP multimedia system - Part 2: Subsystem configurations and benchmarks</w:t>
      </w:r>
    </w:p>
    <w:p w:rsidR="0008639C" w:rsidRPr="00CD5563" w:rsidRDefault="0008639C" w:rsidP="0008639C">
      <w:pPr>
        <w:spacing w:before="60" w:after="60"/>
        <w:rPr>
          <w:szCs w:val="19"/>
          <w:lang w:val="en-GB"/>
        </w:rPr>
      </w:pPr>
      <w:r w:rsidRPr="00CD5563">
        <w:rPr>
          <w:szCs w:val="19"/>
          <w:lang w:val="en-GB"/>
        </w:rPr>
        <w:t>Q.3941.1: Network integration testing between SIP and ISDN/PSTN network signalling protocols – Part 1: Test suite structure and test purposes for SIP-ISDN</w:t>
      </w:r>
    </w:p>
    <w:p w:rsidR="0008639C" w:rsidRPr="00CD5563" w:rsidRDefault="0008639C" w:rsidP="0008639C">
      <w:pPr>
        <w:spacing w:before="60" w:after="60"/>
        <w:rPr>
          <w:szCs w:val="19"/>
          <w:lang w:val="en-GB"/>
        </w:rPr>
      </w:pPr>
      <w:r w:rsidRPr="00CD5563">
        <w:rPr>
          <w:szCs w:val="19"/>
          <w:lang w:val="en-GB"/>
        </w:rPr>
        <w:t>Q.3941.2: Network integration testing between SIP and ISDN/PSTN network signalling protocols – Part 2: Abstract test suite and partial protocol implementation extra information for testing proforma specification for SIP-ISDN</w:t>
      </w:r>
    </w:p>
    <w:p w:rsidR="0008639C" w:rsidRPr="00CD5563" w:rsidRDefault="0008639C" w:rsidP="0008639C">
      <w:pPr>
        <w:spacing w:before="60" w:after="60"/>
        <w:rPr>
          <w:szCs w:val="19"/>
          <w:lang w:val="en-GB"/>
        </w:rPr>
      </w:pPr>
      <w:r w:rsidRPr="00CD5563">
        <w:rPr>
          <w:szCs w:val="19"/>
          <w:lang w:val="en-GB"/>
        </w:rPr>
        <w:t>Q.3941.3: Network integration testing between SIP and ISDN/PSTN network signalling protocols – Part 3: Test suite structure and test purposes for SIP-SIP</w:t>
      </w:r>
    </w:p>
    <w:p w:rsidR="0008639C" w:rsidRPr="00CD5563" w:rsidRDefault="0008639C" w:rsidP="0008639C">
      <w:pPr>
        <w:spacing w:before="60" w:after="60"/>
        <w:rPr>
          <w:szCs w:val="19"/>
          <w:lang w:val="en-GB"/>
        </w:rPr>
      </w:pPr>
      <w:r w:rsidRPr="00CD5563">
        <w:rPr>
          <w:szCs w:val="19"/>
          <w:lang w:val="en-GB"/>
        </w:rPr>
        <w:t>Q.3941.4: Network integration testing between SIP and ISDN/PSTN network signalling protocols – Part 4: Abstract test suite and partial protocol implementation extra information for testing proforma specification for SIP-SIP</w:t>
      </w:r>
    </w:p>
    <w:p w:rsidR="0008639C" w:rsidRPr="00CD5563" w:rsidRDefault="0008639C" w:rsidP="0008639C">
      <w:pPr>
        <w:spacing w:before="60" w:after="60"/>
        <w:rPr>
          <w:rFonts w:eastAsia="Malgun Gothic"/>
          <w:szCs w:val="19"/>
          <w:lang w:val="en-GB" w:eastAsia="ko-KR"/>
        </w:rPr>
      </w:pPr>
      <w:r w:rsidRPr="00CD5563">
        <w:rPr>
          <w:szCs w:val="19"/>
          <w:lang w:val="en-GB"/>
        </w:rPr>
        <w:t>Q.394</w:t>
      </w:r>
      <w:r w:rsidRPr="00CD5563">
        <w:rPr>
          <w:rFonts w:eastAsia="Malgun Gothic"/>
          <w:szCs w:val="19"/>
          <w:lang w:val="en-GB" w:eastAsia="ko-KR"/>
        </w:rPr>
        <w:t>5</w:t>
      </w:r>
      <w:r w:rsidRPr="00CD5563">
        <w:rPr>
          <w:szCs w:val="19"/>
          <w:lang w:val="en-GB"/>
        </w:rPr>
        <w:t xml:space="preserve">: </w:t>
      </w:r>
      <w:r w:rsidRPr="00CD5563">
        <w:rPr>
          <w:rFonts w:eastAsia="Gulim" w:cs="Gulim"/>
          <w:sz w:val="20"/>
          <w:lang w:val="en-GB" w:eastAsia="ko-KR"/>
        </w:rPr>
        <w:t>Test specifications for next generation network services on model networks - Test set 1</w:t>
      </w:r>
    </w:p>
    <w:p w:rsidR="0008639C" w:rsidRPr="00CD5563" w:rsidRDefault="0008639C" w:rsidP="0008639C">
      <w:pPr>
        <w:spacing w:before="60" w:after="60"/>
        <w:rPr>
          <w:rFonts w:eastAsiaTheme="minorEastAsia"/>
          <w:szCs w:val="19"/>
          <w:lang w:val="en-GB" w:eastAsia="ko-KR"/>
        </w:rPr>
      </w:pPr>
      <w:r w:rsidRPr="00CD5563">
        <w:rPr>
          <w:szCs w:val="19"/>
          <w:lang w:val="en-GB"/>
        </w:rPr>
        <w:t>Q.3948: Service testing framework for VoIP at the user-to-network interface of next generation networks</w:t>
      </w:r>
    </w:p>
    <w:p w:rsidR="0008639C" w:rsidRPr="00CD5563" w:rsidRDefault="0008639C" w:rsidP="0008639C">
      <w:pPr>
        <w:spacing w:before="60" w:after="60"/>
        <w:rPr>
          <w:rFonts w:eastAsiaTheme="minorEastAsia"/>
          <w:szCs w:val="19"/>
          <w:lang w:val="en-GB" w:eastAsia="ko-KR"/>
        </w:rPr>
      </w:pPr>
      <w:r w:rsidRPr="00CD5563">
        <w:rPr>
          <w:szCs w:val="19"/>
          <w:lang w:val="en-GB"/>
        </w:rPr>
        <w:t>Q.39</w:t>
      </w:r>
      <w:r w:rsidRPr="00CD5563">
        <w:rPr>
          <w:rFonts w:eastAsia="Malgun Gothic"/>
          <w:szCs w:val="19"/>
          <w:lang w:val="en-GB" w:eastAsia="ko-KR"/>
        </w:rPr>
        <w:t>50</w:t>
      </w:r>
      <w:r w:rsidRPr="00CD5563">
        <w:rPr>
          <w:szCs w:val="19"/>
          <w:lang w:val="en-GB"/>
        </w:rPr>
        <w:t xml:space="preserve">: </w:t>
      </w:r>
      <w:hyperlink r:id="rId115" w:tooltip="Testing and model network architecture for tag-based identification systems and functions" w:history="1">
        <w:r w:rsidRPr="00CD5563">
          <w:rPr>
            <w:rStyle w:val="Hyperlink"/>
            <w:iCs/>
            <w:color w:val="000000"/>
            <w:szCs w:val="19"/>
            <w:lang w:val="en-GB"/>
          </w:rPr>
          <w:t>Testing and model network architecture for tag-based identification systems and functions</w:t>
        </w:r>
      </w:hyperlink>
    </w:p>
    <w:p w:rsidR="0008639C" w:rsidRPr="00CD5563" w:rsidRDefault="0008639C" w:rsidP="00703D54">
      <w:pPr>
        <w:pStyle w:val="Heading2"/>
        <w:rPr>
          <w:rFonts w:eastAsiaTheme="minorEastAsia"/>
          <w:lang w:val="en-GB" w:eastAsia="ko-KR"/>
        </w:rPr>
      </w:pPr>
      <w:bookmarkStart w:id="850" w:name="_Toc380487773"/>
      <w:bookmarkStart w:id="851" w:name="_Toc381025092"/>
      <w:r w:rsidRPr="00CD5563">
        <w:rPr>
          <w:rFonts w:eastAsiaTheme="minorEastAsia"/>
          <w:lang w:val="en-GB" w:eastAsia="ko-KR"/>
        </w:rPr>
        <w:t>8</w:t>
      </w:r>
      <w:r w:rsidR="00703D54" w:rsidRPr="00CD5563">
        <w:rPr>
          <w:rFonts w:eastAsiaTheme="minorEastAsia"/>
          <w:lang w:val="en-GB" w:eastAsia="ko-KR"/>
        </w:rPr>
        <w:tab/>
      </w:r>
      <w:r w:rsidRPr="00CD5563">
        <w:rPr>
          <w:rFonts w:eastAsiaTheme="minorEastAsia"/>
          <w:lang w:val="en-GB" w:eastAsia="ko-KR"/>
        </w:rPr>
        <w:t>Supplements and Handbooks</w:t>
      </w:r>
      <w:bookmarkEnd w:id="850"/>
      <w:bookmarkEnd w:id="851"/>
    </w:p>
    <w:p w:rsidR="00FC1F7A" w:rsidRDefault="00FC1F7A" w:rsidP="0008639C">
      <w:pPr>
        <w:spacing w:before="60" w:after="60"/>
        <w:rPr>
          <w:szCs w:val="19"/>
          <w:lang w:val="en-GB"/>
        </w:rPr>
      </w:pPr>
    </w:p>
    <w:p w:rsidR="0008639C" w:rsidRPr="00CD5563" w:rsidRDefault="0008639C" w:rsidP="0008639C">
      <w:pPr>
        <w:spacing w:before="60" w:after="60"/>
        <w:rPr>
          <w:szCs w:val="19"/>
          <w:lang w:val="en-GB"/>
        </w:rPr>
      </w:pPr>
      <w:r w:rsidRPr="00CD5563">
        <w:rPr>
          <w:szCs w:val="19"/>
          <w:lang w:val="en-GB"/>
        </w:rPr>
        <w:t>Q Suppl. 51: Signalling requirements for IP-QoS</w:t>
      </w:r>
    </w:p>
    <w:p w:rsidR="0008639C" w:rsidRPr="00CD5563" w:rsidRDefault="0008639C" w:rsidP="0008639C">
      <w:pPr>
        <w:spacing w:before="60" w:after="60"/>
        <w:rPr>
          <w:szCs w:val="19"/>
          <w:lang w:val="en-GB"/>
        </w:rPr>
      </w:pPr>
      <w:r w:rsidRPr="00CD5563">
        <w:rPr>
          <w:szCs w:val="19"/>
          <w:lang w:val="en-GB"/>
        </w:rPr>
        <w:t>Q Suppl. 52: NNI mobility management requirements for systems beyond IMT-2000</w:t>
      </w:r>
    </w:p>
    <w:p w:rsidR="0008639C" w:rsidRPr="00CD5563" w:rsidRDefault="0008639C" w:rsidP="0008639C">
      <w:pPr>
        <w:spacing w:before="60" w:after="60"/>
        <w:rPr>
          <w:szCs w:val="19"/>
          <w:lang w:val="en-GB"/>
        </w:rPr>
      </w:pPr>
      <w:r w:rsidRPr="00CD5563">
        <w:rPr>
          <w:szCs w:val="19"/>
          <w:lang w:val="en-GB"/>
        </w:rPr>
        <w:t>Q Suppl. 53: Signalling requirements to support the International Emergency Preference Scheme (IEPS)</w:t>
      </w:r>
    </w:p>
    <w:p w:rsidR="0008639C" w:rsidRPr="00CD5563" w:rsidRDefault="0008639C" w:rsidP="0008639C">
      <w:pPr>
        <w:spacing w:before="60" w:after="60"/>
        <w:rPr>
          <w:szCs w:val="19"/>
          <w:lang w:val="en-GB"/>
        </w:rPr>
      </w:pPr>
      <w:r w:rsidRPr="00CD5563">
        <w:rPr>
          <w:szCs w:val="19"/>
          <w:lang w:val="en-GB"/>
        </w:rPr>
        <w:t>Q Suppl. 54: Signalling requirements at the interface between SUP-FE and I/S-CSC-FE</w:t>
      </w:r>
    </w:p>
    <w:p w:rsidR="0008639C" w:rsidRPr="00CD5563" w:rsidRDefault="0008639C" w:rsidP="0008639C">
      <w:pPr>
        <w:spacing w:before="60" w:after="60"/>
        <w:rPr>
          <w:szCs w:val="19"/>
          <w:lang w:val="en-GB"/>
        </w:rPr>
      </w:pPr>
      <w:r w:rsidRPr="00CD5563">
        <w:rPr>
          <w:szCs w:val="19"/>
          <w:lang w:val="en-GB"/>
        </w:rPr>
        <w:t>Q Suppl. 55: Signalling requirements at the interface between AS-FE and S-CSC-FE</w:t>
      </w:r>
    </w:p>
    <w:p w:rsidR="0008639C" w:rsidRPr="00CD5563" w:rsidRDefault="0008639C" w:rsidP="0008639C">
      <w:pPr>
        <w:spacing w:before="60" w:after="60"/>
        <w:rPr>
          <w:szCs w:val="19"/>
          <w:lang w:val="en-GB"/>
        </w:rPr>
      </w:pPr>
      <w:r w:rsidRPr="00CD5563">
        <w:rPr>
          <w:szCs w:val="19"/>
          <w:lang w:val="en-GB"/>
        </w:rPr>
        <w:t>Q Suppl. 56: Organization of NGN service user data</w:t>
      </w:r>
    </w:p>
    <w:p w:rsidR="0008639C" w:rsidRPr="00CD5563" w:rsidRDefault="0008639C" w:rsidP="0008639C">
      <w:pPr>
        <w:spacing w:before="60" w:after="60"/>
        <w:rPr>
          <w:szCs w:val="19"/>
          <w:lang w:val="en-GB"/>
        </w:rPr>
      </w:pPr>
      <w:r w:rsidRPr="00CD5563">
        <w:rPr>
          <w:szCs w:val="19"/>
          <w:lang w:val="en-GB"/>
        </w:rPr>
        <w:t>Q Suppl. 57: Signalling requirements to support the emergency telecommunications service (ETS) in IP networks</w:t>
      </w:r>
    </w:p>
    <w:p w:rsidR="0008639C" w:rsidRPr="00CD5563" w:rsidRDefault="0008639C" w:rsidP="0008639C">
      <w:pPr>
        <w:spacing w:before="60" w:after="60"/>
        <w:rPr>
          <w:szCs w:val="19"/>
          <w:lang w:val="en-GB"/>
        </w:rPr>
      </w:pPr>
      <w:r w:rsidRPr="00CD5563">
        <w:rPr>
          <w:szCs w:val="19"/>
          <w:lang w:val="en-GB"/>
        </w:rPr>
        <w:t>Q Suppl. 58: Organization of NGN transport user data</w:t>
      </w:r>
    </w:p>
    <w:p w:rsidR="0008639C" w:rsidRPr="00CD5563" w:rsidRDefault="0008639C" w:rsidP="0008639C">
      <w:pPr>
        <w:spacing w:before="60" w:after="60"/>
        <w:rPr>
          <w:szCs w:val="19"/>
          <w:lang w:val="en-GB"/>
        </w:rPr>
      </w:pPr>
      <w:r w:rsidRPr="00CD5563">
        <w:rPr>
          <w:szCs w:val="19"/>
          <w:lang w:val="en-GB"/>
        </w:rPr>
        <w:t>Q Suppl. 59: Signalling flows and parameter mapping for resource control</w:t>
      </w:r>
    </w:p>
    <w:p w:rsidR="0008639C" w:rsidRPr="00CD5563" w:rsidRDefault="0008639C" w:rsidP="0008639C">
      <w:pPr>
        <w:spacing w:before="60" w:after="60"/>
        <w:rPr>
          <w:szCs w:val="19"/>
          <w:lang w:val="en-GB"/>
        </w:rPr>
      </w:pPr>
      <w:r w:rsidRPr="00CD5563">
        <w:rPr>
          <w:szCs w:val="19"/>
          <w:lang w:val="en-GB"/>
        </w:rPr>
        <w:t>Q Suppl. 60: Supplement to Recommendations ITU-T Q.3610 and ITU-T Q.3611 - Service flows for customized multimedia ring-back tone (CRBT) and customized multimedia ringing tone (CRT) services</w:t>
      </w:r>
    </w:p>
    <w:p w:rsidR="0008639C" w:rsidRPr="00CD5563" w:rsidRDefault="0008639C" w:rsidP="0008639C">
      <w:pPr>
        <w:spacing w:before="60" w:after="60"/>
        <w:rPr>
          <w:rFonts w:eastAsiaTheme="minorEastAsia"/>
          <w:szCs w:val="19"/>
          <w:lang w:val="en-GB" w:eastAsia="ko-KR"/>
        </w:rPr>
      </w:pPr>
      <w:r w:rsidRPr="00CD5563">
        <w:rPr>
          <w:szCs w:val="19"/>
          <w:lang w:val="en-GB"/>
        </w:rPr>
        <w:t>Q Suppl. 61: Evaluation of signalling protocols to support ITU-T Y.2171 admission control priority levels</w:t>
      </w:r>
    </w:p>
    <w:p w:rsidR="0008639C" w:rsidRPr="00CD5563" w:rsidRDefault="0008639C" w:rsidP="0008639C">
      <w:pPr>
        <w:spacing w:before="60" w:after="60"/>
        <w:rPr>
          <w:rFonts w:eastAsiaTheme="minorEastAsia"/>
          <w:szCs w:val="19"/>
          <w:lang w:val="en-GB" w:eastAsia="ko-KR"/>
        </w:rPr>
      </w:pPr>
      <w:r w:rsidRPr="00CD5563">
        <w:rPr>
          <w:rFonts w:eastAsiaTheme="minorEastAsia"/>
          <w:szCs w:val="19"/>
          <w:lang w:val="en-GB" w:eastAsia="ko-KR"/>
        </w:rPr>
        <w:t xml:space="preserve">Q Suppl. 62: </w:t>
      </w:r>
      <w:r w:rsidRPr="00CD5563">
        <w:rPr>
          <w:color w:val="000000"/>
          <w:szCs w:val="19"/>
          <w:lang w:val="en-GB"/>
        </w:rPr>
        <w:t>Overview of the work of standards development organizations and other organizations on emergency telecommunications service</w:t>
      </w:r>
    </w:p>
    <w:p w:rsidR="0008639C" w:rsidRPr="00CD5563" w:rsidRDefault="0008639C" w:rsidP="0008639C">
      <w:pPr>
        <w:spacing w:before="60" w:after="60"/>
        <w:rPr>
          <w:rFonts w:eastAsiaTheme="minorEastAsia"/>
          <w:szCs w:val="19"/>
          <w:lang w:val="en-GB" w:eastAsia="ko-KR"/>
        </w:rPr>
      </w:pPr>
      <w:r w:rsidRPr="00CD5563">
        <w:rPr>
          <w:szCs w:val="19"/>
          <w:lang w:val="en-GB"/>
        </w:rPr>
        <w:t>Handbook on deployment of packet based networks</w:t>
      </w:r>
      <w:r w:rsidRPr="00CD5563">
        <w:rPr>
          <w:rFonts w:eastAsiaTheme="minorEastAsia"/>
          <w:szCs w:val="19"/>
          <w:lang w:val="en-GB" w:eastAsia="ko-KR"/>
        </w:rPr>
        <w:t xml:space="preserve"> (2009)</w:t>
      </w:r>
    </w:p>
    <w:p w:rsidR="0008639C" w:rsidRPr="00CD5563" w:rsidRDefault="0008639C" w:rsidP="0008639C">
      <w:pPr>
        <w:spacing w:before="60" w:after="60"/>
        <w:rPr>
          <w:rFonts w:eastAsiaTheme="minorEastAsia"/>
          <w:b/>
          <w:bCs/>
          <w:color w:val="000000"/>
          <w:szCs w:val="19"/>
          <w:lang w:val="en-GB" w:eastAsia="ko-KR"/>
        </w:rPr>
      </w:pPr>
      <w:r w:rsidRPr="00CD5563">
        <w:rPr>
          <w:color w:val="000000"/>
          <w:szCs w:val="19"/>
          <w:lang w:val="en-GB"/>
        </w:rPr>
        <w:t>Handbook on Testing</w:t>
      </w:r>
      <w:r w:rsidRPr="00CD5563">
        <w:rPr>
          <w:rFonts w:eastAsiaTheme="minorEastAsia"/>
          <w:color w:val="000000"/>
          <w:szCs w:val="19"/>
          <w:lang w:val="en-GB" w:eastAsia="ko-KR"/>
        </w:rPr>
        <w:t xml:space="preserve"> (2011)</w:t>
      </w:r>
    </w:p>
    <w:p w:rsidR="0008639C" w:rsidRPr="00CD5563" w:rsidRDefault="0008639C" w:rsidP="00703D54">
      <w:pPr>
        <w:pStyle w:val="Heading1"/>
        <w:rPr>
          <w:lang w:val="en-GB"/>
        </w:rPr>
      </w:pPr>
      <w:bookmarkStart w:id="852" w:name="_Toc380487774"/>
      <w:bookmarkStart w:id="853" w:name="_Toc381025093"/>
      <w:r w:rsidRPr="00CD5563">
        <w:rPr>
          <w:lang w:val="en-GB"/>
        </w:rPr>
        <w:t>IMT related Recommendations</w:t>
      </w:r>
      <w:bookmarkEnd w:id="852"/>
      <w:bookmarkEnd w:id="853"/>
    </w:p>
    <w:p w:rsidR="00FC1F7A" w:rsidRDefault="00FC1F7A" w:rsidP="0008639C">
      <w:pPr>
        <w:spacing w:before="60" w:after="60"/>
        <w:rPr>
          <w:szCs w:val="19"/>
          <w:lang w:val="en-GB"/>
        </w:rPr>
      </w:pPr>
    </w:p>
    <w:p w:rsidR="0008639C" w:rsidRPr="00CD5563" w:rsidRDefault="0008639C" w:rsidP="0008639C">
      <w:pPr>
        <w:spacing w:before="60" w:after="60"/>
        <w:rPr>
          <w:szCs w:val="19"/>
          <w:lang w:val="en-GB"/>
        </w:rPr>
      </w:pPr>
      <w:r w:rsidRPr="00CD5563">
        <w:rPr>
          <w:szCs w:val="19"/>
          <w:lang w:val="en-GB"/>
        </w:rPr>
        <w:t>Q.1711: Network functional model for IMT</w:t>
      </w:r>
    </w:p>
    <w:p w:rsidR="0008639C" w:rsidRPr="00CD5563" w:rsidRDefault="0008639C" w:rsidP="0008639C">
      <w:pPr>
        <w:spacing w:before="60" w:after="60"/>
        <w:rPr>
          <w:szCs w:val="19"/>
          <w:lang w:val="en-GB"/>
        </w:rPr>
      </w:pPr>
      <w:r w:rsidRPr="00CD5563">
        <w:rPr>
          <w:szCs w:val="19"/>
          <w:lang w:val="en-GB"/>
        </w:rPr>
        <w:t>Q.1721: Information flows for IMT capability set 1</w:t>
      </w:r>
    </w:p>
    <w:p w:rsidR="0008639C" w:rsidRPr="00CD5563" w:rsidRDefault="0008639C" w:rsidP="0008639C">
      <w:pPr>
        <w:spacing w:before="60" w:after="60"/>
        <w:rPr>
          <w:szCs w:val="19"/>
          <w:lang w:val="en-GB"/>
        </w:rPr>
      </w:pPr>
      <w:r w:rsidRPr="00CD5563">
        <w:rPr>
          <w:szCs w:val="19"/>
          <w:lang w:val="en-GB"/>
        </w:rPr>
        <w:t>Q.1731: Radio-technology independent requirements for IMT layer 2 radio interface</w:t>
      </w:r>
    </w:p>
    <w:p w:rsidR="0008639C" w:rsidRPr="00CD5563" w:rsidRDefault="0008639C" w:rsidP="0008639C">
      <w:pPr>
        <w:spacing w:before="60" w:after="60"/>
        <w:rPr>
          <w:szCs w:val="19"/>
          <w:lang w:val="en-GB"/>
        </w:rPr>
      </w:pPr>
      <w:r w:rsidRPr="00CD5563">
        <w:rPr>
          <w:szCs w:val="19"/>
          <w:lang w:val="en-GB"/>
        </w:rPr>
        <w:t>Q.1741.1: IMT references to release 1999 of GSM evolved UMTS core network with UTRAN access network</w:t>
      </w:r>
    </w:p>
    <w:p w:rsidR="0008639C" w:rsidRPr="00CD5563" w:rsidRDefault="0008639C" w:rsidP="0008639C">
      <w:pPr>
        <w:spacing w:before="60" w:after="60"/>
        <w:rPr>
          <w:szCs w:val="19"/>
          <w:lang w:val="en-GB"/>
        </w:rPr>
      </w:pPr>
      <w:r w:rsidRPr="00CD5563">
        <w:rPr>
          <w:szCs w:val="19"/>
          <w:lang w:val="en-GB"/>
        </w:rPr>
        <w:t>Q.1741.2: IMT references to release 4 of GSM evolved UMTS core network with UTRAN access network</w:t>
      </w:r>
    </w:p>
    <w:p w:rsidR="0008639C" w:rsidRPr="00CD5563" w:rsidRDefault="0008639C" w:rsidP="0008639C">
      <w:pPr>
        <w:spacing w:before="60" w:after="60"/>
        <w:rPr>
          <w:szCs w:val="19"/>
          <w:lang w:val="en-GB"/>
        </w:rPr>
      </w:pPr>
      <w:r w:rsidRPr="00CD5563">
        <w:rPr>
          <w:szCs w:val="19"/>
          <w:lang w:val="en-GB"/>
        </w:rPr>
        <w:t>Q.1741.3: IMT references to release 5 of GSM evolved UMTS core network</w:t>
      </w:r>
    </w:p>
    <w:p w:rsidR="0008639C" w:rsidRPr="00CD5563" w:rsidRDefault="0008639C" w:rsidP="0008639C">
      <w:pPr>
        <w:spacing w:before="60" w:after="60"/>
        <w:rPr>
          <w:szCs w:val="19"/>
          <w:lang w:val="en-GB"/>
        </w:rPr>
      </w:pPr>
      <w:r w:rsidRPr="00CD5563">
        <w:rPr>
          <w:szCs w:val="19"/>
          <w:lang w:val="en-GB"/>
        </w:rPr>
        <w:t>Q.1741.4: IMT references to release 6 of GSM evolved UMTS core network</w:t>
      </w:r>
    </w:p>
    <w:p w:rsidR="0008639C" w:rsidRPr="00CD5563" w:rsidRDefault="0008639C" w:rsidP="0008639C">
      <w:pPr>
        <w:spacing w:before="60" w:after="60"/>
        <w:rPr>
          <w:szCs w:val="19"/>
          <w:lang w:val="en-GB"/>
        </w:rPr>
      </w:pPr>
      <w:r w:rsidRPr="00CD5563">
        <w:rPr>
          <w:szCs w:val="19"/>
          <w:lang w:val="en-GB"/>
        </w:rPr>
        <w:t>Q.1741.5: IMT references to Release 7 of GSM-evolved UMTS core network</w:t>
      </w:r>
    </w:p>
    <w:p w:rsidR="0008639C" w:rsidRPr="00CD5563" w:rsidRDefault="0008639C" w:rsidP="0008639C">
      <w:pPr>
        <w:spacing w:before="60" w:after="60"/>
        <w:rPr>
          <w:szCs w:val="19"/>
          <w:lang w:val="en-GB"/>
        </w:rPr>
      </w:pPr>
      <w:r w:rsidRPr="00CD5563">
        <w:rPr>
          <w:szCs w:val="19"/>
          <w:lang w:val="en-GB"/>
        </w:rPr>
        <w:t>Q.1741.6: IMT references to Release 8 of GSM-evolved UMTS core network</w:t>
      </w:r>
    </w:p>
    <w:p w:rsidR="0008639C" w:rsidRPr="00CD5563" w:rsidRDefault="0008639C" w:rsidP="0008639C">
      <w:pPr>
        <w:spacing w:before="60" w:after="60"/>
        <w:rPr>
          <w:szCs w:val="19"/>
          <w:lang w:val="en-GB"/>
        </w:rPr>
      </w:pPr>
      <w:r w:rsidRPr="00CD5563">
        <w:rPr>
          <w:szCs w:val="19"/>
          <w:lang w:val="en-GB"/>
        </w:rPr>
        <w:t>Q.1741.</w:t>
      </w:r>
      <w:r w:rsidRPr="00CD5563">
        <w:rPr>
          <w:rFonts w:eastAsia="Malgun Gothic"/>
          <w:szCs w:val="19"/>
          <w:lang w:val="en-GB" w:eastAsia="ko-KR"/>
        </w:rPr>
        <w:t>7</w:t>
      </w:r>
      <w:r w:rsidRPr="00CD5563">
        <w:rPr>
          <w:szCs w:val="19"/>
          <w:lang w:val="en-GB"/>
        </w:rPr>
        <w:t xml:space="preserve">: IMT references to Release </w:t>
      </w:r>
      <w:r w:rsidRPr="00CD5563">
        <w:rPr>
          <w:rFonts w:eastAsia="Malgun Gothic"/>
          <w:szCs w:val="19"/>
          <w:lang w:val="en-GB" w:eastAsia="ko-KR"/>
        </w:rPr>
        <w:t>9</w:t>
      </w:r>
      <w:r w:rsidRPr="00CD5563">
        <w:rPr>
          <w:szCs w:val="19"/>
          <w:lang w:val="en-GB"/>
        </w:rPr>
        <w:t xml:space="preserve"> of GSM-evolved UMTS core network</w:t>
      </w:r>
    </w:p>
    <w:p w:rsidR="0008639C" w:rsidRPr="00CD5563" w:rsidRDefault="0008639C" w:rsidP="0008639C">
      <w:pPr>
        <w:spacing w:before="60" w:after="60"/>
        <w:rPr>
          <w:szCs w:val="19"/>
          <w:lang w:val="en-GB"/>
        </w:rPr>
      </w:pPr>
      <w:r w:rsidRPr="00CD5563">
        <w:rPr>
          <w:szCs w:val="19"/>
          <w:lang w:val="en-GB"/>
        </w:rPr>
        <w:t>Q.1742.1: IMT references to ANSI-41 evolved core network with cdma2000 access network</w:t>
      </w:r>
    </w:p>
    <w:p w:rsidR="0008639C" w:rsidRPr="00CD5563" w:rsidRDefault="0008639C" w:rsidP="0008639C">
      <w:pPr>
        <w:spacing w:before="60" w:after="60"/>
        <w:rPr>
          <w:szCs w:val="19"/>
          <w:lang w:val="en-GB"/>
        </w:rPr>
      </w:pPr>
      <w:r w:rsidRPr="00CD5563">
        <w:rPr>
          <w:szCs w:val="19"/>
          <w:lang w:val="en-GB"/>
        </w:rPr>
        <w:t>Q.1742.2: IMT references (approved as of 11 July 2002) to ANSI-41 evolved core network with cdma2000 access network</w:t>
      </w:r>
    </w:p>
    <w:p w:rsidR="0008639C" w:rsidRPr="00CD5563" w:rsidRDefault="0008639C" w:rsidP="0008639C">
      <w:pPr>
        <w:spacing w:before="60" w:after="60"/>
        <w:rPr>
          <w:szCs w:val="19"/>
          <w:lang w:val="en-GB"/>
        </w:rPr>
      </w:pPr>
      <w:r w:rsidRPr="00CD5563">
        <w:rPr>
          <w:szCs w:val="19"/>
          <w:lang w:val="en-GB"/>
        </w:rPr>
        <w:t>Q.1742.3: IMT references (approved as of 30 June 2003) to ANSI-41 evolved core network with cdma2000 access network</w:t>
      </w:r>
    </w:p>
    <w:p w:rsidR="0008639C" w:rsidRPr="00CD5563" w:rsidRDefault="0008639C" w:rsidP="0008639C">
      <w:pPr>
        <w:spacing w:before="60" w:after="60"/>
        <w:rPr>
          <w:szCs w:val="19"/>
          <w:lang w:val="en-GB"/>
        </w:rPr>
      </w:pPr>
      <w:r w:rsidRPr="00CD5563">
        <w:rPr>
          <w:szCs w:val="19"/>
          <w:lang w:val="en-GB"/>
        </w:rPr>
        <w:t>Q.1742.4: IMT references (approved as of 30 June 2004) to ANSI-41 evolved core network with cdma2000 access network</w:t>
      </w:r>
    </w:p>
    <w:p w:rsidR="0008639C" w:rsidRPr="00CD5563" w:rsidRDefault="0008639C" w:rsidP="0008639C">
      <w:pPr>
        <w:spacing w:before="60" w:after="60"/>
        <w:rPr>
          <w:szCs w:val="19"/>
          <w:lang w:val="en-GB"/>
        </w:rPr>
      </w:pPr>
      <w:r w:rsidRPr="00CD5563">
        <w:rPr>
          <w:szCs w:val="19"/>
          <w:lang w:val="en-GB"/>
        </w:rPr>
        <w:t>Q.1742.5: IMT references (approved as of 31 December 2005) to ANSI-41 evolved core network with cdma2000 access network</w:t>
      </w:r>
    </w:p>
    <w:p w:rsidR="0008639C" w:rsidRPr="00CD5563" w:rsidRDefault="0008639C" w:rsidP="0008639C">
      <w:pPr>
        <w:spacing w:before="60" w:after="60"/>
        <w:rPr>
          <w:szCs w:val="19"/>
          <w:lang w:val="en-GB"/>
        </w:rPr>
      </w:pPr>
      <w:r w:rsidRPr="00CD5563">
        <w:rPr>
          <w:szCs w:val="19"/>
          <w:lang w:val="en-GB"/>
        </w:rPr>
        <w:t>Q.1742.6: IMT references (approved as of 31 December 2006) to ANSI-41 evolved core network with cdma2000 access network</w:t>
      </w:r>
    </w:p>
    <w:p w:rsidR="0008639C" w:rsidRPr="00CD5563" w:rsidRDefault="0008639C" w:rsidP="0008639C">
      <w:pPr>
        <w:spacing w:before="60" w:after="60"/>
        <w:rPr>
          <w:szCs w:val="19"/>
          <w:lang w:val="en-GB"/>
        </w:rPr>
      </w:pPr>
      <w:r w:rsidRPr="00CD5563">
        <w:rPr>
          <w:szCs w:val="19"/>
          <w:lang w:val="en-GB"/>
        </w:rPr>
        <w:t>Q.1742.7: IMT references (approved as of 30 June 2008) to ANSI-41 evolved core network with cdma2000 access network</w:t>
      </w:r>
    </w:p>
    <w:p w:rsidR="0008639C" w:rsidRPr="00CD5563" w:rsidRDefault="0008639C" w:rsidP="0008639C">
      <w:pPr>
        <w:spacing w:before="60" w:after="60"/>
        <w:rPr>
          <w:szCs w:val="19"/>
          <w:lang w:val="en-GB"/>
        </w:rPr>
      </w:pPr>
      <w:r w:rsidRPr="00CD5563">
        <w:rPr>
          <w:szCs w:val="19"/>
          <w:lang w:val="en-GB"/>
        </w:rPr>
        <w:t>Q.1742.8: IMT references (approved as of 31 January 2010) to ANSI-41 evolved core network with cdma2000 access network</w:t>
      </w:r>
    </w:p>
    <w:p w:rsidR="0008639C" w:rsidRPr="00CD5563" w:rsidRDefault="0008639C" w:rsidP="0008639C">
      <w:pPr>
        <w:spacing w:before="60" w:after="60"/>
        <w:rPr>
          <w:szCs w:val="19"/>
          <w:lang w:val="en-GB"/>
        </w:rPr>
      </w:pPr>
      <w:r w:rsidRPr="00CD5563">
        <w:rPr>
          <w:szCs w:val="19"/>
          <w:lang w:val="en-GB"/>
        </w:rPr>
        <w:t>Q.1742.</w:t>
      </w:r>
      <w:r w:rsidRPr="00CD5563">
        <w:rPr>
          <w:rFonts w:eastAsia="Malgun Gothic"/>
          <w:szCs w:val="19"/>
          <w:lang w:val="en-GB" w:eastAsia="ko-KR"/>
        </w:rPr>
        <w:t>9</w:t>
      </w:r>
      <w:r w:rsidRPr="00CD5563">
        <w:rPr>
          <w:szCs w:val="19"/>
          <w:lang w:val="en-GB"/>
        </w:rPr>
        <w:t xml:space="preserve">: IMT references (approved as of 31 </w:t>
      </w:r>
      <w:r w:rsidRPr="00CD5563">
        <w:rPr>
          <w:rFonts w:eastAsia="Malgun Gothic"/>
          <w:szCs w:val="19"/>
          <w:lang w:val="en-GB" w:eastAsia="ko-KR"/>
        </w:rPr>
        <w:t>December</w:t>
      </w:r>
      <w:r w:rsidRPr="00CD5563">
        <w:rPr>
          <w:szCs w:val="19"/>
          <w:lang w:val="en-GB"/>
        </w:rPr>
        <w:t xml:space="preserve"> 2010) to ANSI-41 evolved core network with cdma2000 access network</w:t>
      </w:r>
    </w:p>
    <w:p w:rsidR="0008639C" w:rsidRPr="00CD5563" w:rsidRDefault="0008639C" w:rsidP="0008639C">
      <w:pPr>
        <w:spacing w:before="60" w:after="60"/>
        <w:rPr>
          <w:rFonts w:eastAsiaTheme="minorEastAsia"/>
          <w:szCs w:val="19"/>
          <w:lang w:val="en-GB" w:eastAsia="ko-KR"/>
        </w:rPr>
      </w:pPr>
      <w:r w:rsidRPr="00CD5563">
        <w:rPr>
          <w:szCs w:val="19"/>
          <w:lang w:val="en-GB"/>
        </w:rPr>
        <w:t>Q.1751: Internetwork signalling requirements for IMT capability set 1</w:t>
      </w:r>
    </w:p>
    <w:p w:rsidR="0008639C" w:rsidRPr="00CD5563" w:rsidRDefault="0008639C" w:rsidP="0008639C">
      <w:pPr>
        <w:spacing w:before="60" w:after="60"/>
        <w:rPr>
          <w:color w:val="000000"/>
          <w:szCs w:val="19"/>
          <w:lang w:val="en-GB"/>
        </w:rPr>
      </w:pPr>
      <w:r w:rsidRPr="00CD5563">
        <w:rPr>
          <w:lang w:val="en-GB"/>
        </w:rPr>
        <w:t>Q.1761</w:t>
      </w:r>
      <w:r w:rsidRPr="00CD5563">
        <w:rPr>
          <w:rFonts w:eastAsiaTheme="minorEastAsia"/>
          <w:color w:val="000000"/>
          <w:szCs w:val="19"/>
          <w:lang w:val="en-GB" w:eastAsia="ko-KR"/>
        </w:rPr>
        <w:t>:</w:t>
      </w:r>
      <w:r w:rsidRPr="00CD5563">
        <w:rPr>
          <w:color w:val="000000"/>
          <w:szCs w:val="19"/>
          <w:lang w:val="en-GB"/>
        </w:rPr>
        <w:t xml:space="preserve"> Principles and requirements for convergence of fixed and existing IMT systems</w:t>
      </w:r>
    </w:p>
    <w:p w:rsidR="0008639C" w:rsidRPr="00CD5563" w:rsidRDefault="0008639C" w:rsidP="00703D54">
      <w:pPr>
        <w:pStyle w:val="Heading1"/>
        <w:rPr>
          <w:lang w:val="en-GB"/>
        </w:rPr>
      </w:pPr>
      <w:bookmarkStart w:id="854" w:name="_Toc380487775"/>
      <w:bookmarkStart w:id="855" w:name="_Toc381025094"/>
      <w:r w:rsidRPr="00CD5563">
        <w:rPr>
          <w:rFonts w:eastAsiaTheme="minorEastAsia"/>
          <w:lang w:val="en-GB" w:eastAsia="ko-KR"/>
        </w:rPr>
        <w:t>Operation &amp; Tariff related</w:t>
      </w:r>
      <w:r w:rsidRPr="00CD5563">
        <w:rPr>
          <w:lang w:val="en-GB"/>
        </w:rPr>
        <w:t xml:space="preserve"> Recommendations</w:t>
      </w:r>
      <w:bookmarkEnd w:id="854"/>
      <w:bookmarkEnd w:id="855"/>
    </w:p>
    <w:p w:rsidR="00FC1F7A" w:rsidRDefault="00FC1F7A" w:rsidP="0008639C">
      <w:pPr>
        <w:spacing w:before="60" w:after="60"/>
        <w:rPr>
          <w:szCs w:val="19"/>
          <w:lang w:val="en-GB"/>
        </w:rPr>
      </w:pPr>
    </w:p>
    <w:p w:rsidR="0008639C" w:rsidRPr="00CD5563" w:rsidRDefault="0008639C" w:rsidP="0008639C">
      <w:pPr>
        <w:spacing w:before="60" w:after="60"/>
        <w:rPr>
          <w:rFonts w:eastAsiaTheme="minorEastAsia"/>
          <w:szCs w:val="19"/>
          <w:lang w:val="en-GB" w:eastAsia="ko-KR"/>
        </w:rPr>
      </w:pPr>
      <w:r w:rsidRPr="00CD5563">
        <w:rPr>
          <w:szCs w:val="19"/>
          <w:lang w:val="en-GB"/>
        </w:rPr>
        <w:t>D.271: Charging and accounting principles for NGN</w:t>
      </w:r>
    </w:p>
    <w:p w:rsidR="0008639C" w:rsidRPr="00CD5563" w:rsidRDefault="00FE1C74" w:rsidP="0008639C">
      <w:pPr>
        <w:spacing w:before="60" w:after="60"/>
        <w:rPr>
          <w:color w:val="000000"/>
          <w:szCs w:val="19"/>
          <w:lang w:val="en-GB"/>
        </w:rPr>
      </w:pPr>
      <w:hyperlink r:id="rId116" w:history="1">
        <w:r w:rsidR="0008639C" w:rsidRPr="00CD5563">
          <w:rPr>
            <w:rStyle w:val="Hyperlink"/>
            <w:szCs w:val="19"/>
            <w:lang w:val="en-GB"/>
          </w:rPr>
          <w:t>E.370</w:t>
        </w:r>
      </w:hyperlink>
      <w:r w:rsidR="0008639C" w:rsidRPr="00CD5563">
        <w:rPr>
          <w:rFonts w:eastAsiaTheme="minorEastAsia"/>
          <w:color w:val="000000"/>
          <w:szCs w:val="19"/>
          <w:lang w:val="en-GB" w:eastAsia="ko-KR"/>
        </w:rPr>
        <w:t>:</w:t>
      </w:r>
      <w:r w:rsidR="0008639C" w:rsidRPr="00CD5563">
        <w:rPr>
          <w:color w:val="000000"/>
          <w:szCs w:val="19"/>
          <w:lang w:val="en-GB"/>
        </w:rPr>
        <w:t xml:space="preserve"> Service principles when public circuit-switched international telecommunication networks interwork with IP-based networks  </w:t>
      </w:r>
    </w:p>
    <w:p w:rsidR="0008639C" w:rsidRPr="00CD5563" w:rsidRDefault="0008639C" w:rsidP="0008639C">
      <w:pPr>
        <w:spacing w:before="60" w:after="60"/>
        <w:rPr>
          <w:szCs w:val="19"/>
          <w:lang w:val="en-GB"/>
        </w:rPr>
      </w:pPr>
      <w:r w:rsidRPr="00CD5563">
        <w:rPr>
          <w:szCs w:val="19"/>
          <w:lang w:val="en-GB"/>
        </w:rPr>
        <w:t>E.4110: Framework for operations requirements of next generation networks and services</w:t>
      </w:r>
    </w:p>
    <w:p w:rsidR="0008639C" w:rsidRPr="00CD5563" w:rsidRDefault="0008639C" w:rsidP="00703D54">
      <w:pPr>
        <w:pStyle w:val="Heading1"/>
        <w:rPr>
          <w:lang w:val="en-GB"/>
        </w:rPr>
      </w:pPr>
      <w:bookmarkStart w:id="856" w:name="_Toc380487776"/>
      <w:bookmarkStart w:id="857" w:name="_Toc381025095"/>
      <w:r w:rsidRPr="00CD5563">
        <w:rPr>
          <w:lang w:val="en-GB"/>
        </w:rPr>
        <w:t xml:space="preserve">NGN </w:t>
      </w:r>
      <w:r w:rsidRPr="00CD5563">
        <w:rPr>
          <w:rFonts w:eastAsiaTheme="minorEastAsia"/>
          <w:lang w:val="en-GB" w:eastAsia="ko-KR"/>
        </w:rPr>
        <w:t>Management r</w:t>
      </w:r>
      <w:r w:rsidRPr="00CD5563">
        <w:rPr>
          <w:lang w:val="en-GB"/>
        </w:rPr>
        <w:t>elated Recommendations</w:t>
      </w:r>
      <w:bookmarkEnd w:id="856"/>
      <w:bookmarkEnd w:id="857"/>
    </w:p>
    <w:p w:rsidR="00FC1F7A" w:rsidRDefault="00FC1F7A" w:rsidP="0008639C">
      <w:pPr>
        <w:spacing w:before="60" w:after="60"/>
        <w:rPr>
          <w:szCs w:val="19"/>
          <w:lang w:val="en-GB"/>
        </w:rPr>
      </w:pPr>
    </w:p>
    <w:p w:rsidR="0008639C" w:rsidRPr="00CD5563" w:rsidRDefault="0008639C" w:rsidP="0008639C">
      <w:pPr>
        <w:spacing w:before="60" w:after="60"/>
        <w:rPr>
          <w:szCs w:val="19"/>
          <w:lang w:val="en-GB"/>
        </w:rPr>
      </w:pPr>
      <w:r w:rsidRPr="00CD5563">
        <w:rPr>
          <w:szCs w:val="19"/>
          <w:lang w:val="en-GB"/>
        </w:rPr>
        <w:t>M.3210.1: TMN management services for IMT-2000 security management</w:t>
      </w:r>
    </w:p>
    <w:p w:rsidR="0008639C" w:rsidRPr="00CD5563" w:rsidRDefault="0008639C" w:rsidP="0008639C">
      <w:pPr>
        <w:spacing w:before="60" w:after="60"/>
        <w:rPr>
          <w:szCs w:val="19"/>
          <w:lang w:val="en-GB"/>
        </w:rPr>
      </w:pPr>
      <w:r w:rsidRPr="00CD5563">
        <w:rPr>
          <w:szCs w:val="19"/>
          <w:lang w:val="en-GB"/>
        </w:rPr>
        <w:t>M.3340: Framework for NGN service fulfilment and assurance management across the business to business and customer to business interfaces</w:t>
      </w:r>
    </w:p>
    <w:p w:rsidR="0008639C" w:rsidRPr="00CD5563" w:rsidRDefault="0008639C" w:rsidP="0008639C">
      <w:pPr>
        <w:spacing w:before="60" w:after="60"/>
        <w:rPr>
          <w:szCs w:val="19"/>
          <w:lang w:val="en-GB"/>
        </w:rPr>
      </w:pPr>
      <w:r w:rsidRPr="00CD5563">
        <w:rPr>
          <w:szCs w:val="19"/>
          <w:lang w:val="en-GB"/>
        </w:rPr>
        <w:t>M.334</w:t>
      </w:r>
      <w:r w:rsidRPr="00CD5563">
        <w:rPr>
          <w:rFonts w:eastAsia="Malgun Gothic"/>
          <w:szCs w:val="19"/>
          <w:lang w:val="en-GB" w:eastAsia="ko-KR"/>
        </w:rPr>
        <w:t>1</w:t>
      </w:r>
      <w:r w:rsidRPr="00CD5563">
        <w:rPr>
          <w:szCs w:val="19"/>
          <w:lang w:val="en-GB"/>
        </w:rPr>
        <w:t xml:space="preserve">: </w:t>
      </w:r>
      <w:hyperlink r:id="rId117" w:tooltip="Requirements for QoS/SLA management over the TMN X-interface for IP-based services" w:history="1">
        <w:r w:rsidRPr="00CD5563">
          <w:rPr>
            <w:rStyle w:val="Hyperlink"/>
            <w:iCs/>
            <w:color w:val="000000"/>
            <w:szCs w:val="19"/>
            <w:lang w:val="en-GB"/>
          </w:rPr>
          <w:t>Requirements for QoS/SLA management over the TMN X-interface for IP-based services</w:t>
        </w:r>
      </w:hyperlink>
    </w:p>
    <w:p w:rsidR="0008639C" w:rsidRPr="00CD5563" w:rsidRDefault="0008639C" w:rsidP="0008639C">
      <w:pPr>
        <w:spacing w:before="60" w:after="60"/>
        <w:rPr>
          <w:szCs w:val="19"/>
          <w:lang w:val="en-GB"/>
        </w:rPr>
      </w:pPr>
      <w:r w:rsidRPr="00CD5563">
        <w:rPr>
          <w:szCs w:val="19"/>
          <w:lang w:val="en-GB"/>
        </w:rPr>
        <w:t>M.334</w:t>
      </w:r>
      <w:r w:rsidRPr="00CD5563">
        <w:rPr>
          <w:rFonts w:eastAsia="Malgun Gothic"/>
          <w:szCs w:val="19"/>
          <w:lang w:val="en-GB" w:eastAsia="ko-KR"/>
        </w:rPr>
        <w:t>2</w:t>
      </w:r>
      <w:r w:rsidRPr="00CD5563">
        <w:rPr>
          <w:szCs w:val="19"/>
          <w:lang w:val="en-GB"/>
        </w:rPr>
        <w:t xml:space="preserve">: </w:t>
      </w:r>
      <w:r w:rsidRPr="00CD5563">
        <w:rPr>
          <w:rFonts w:eastAsia="Malgun Gothic"/>
          <w:szCs w:val="19"/>
          <w:lang w:val="en-GB" w:eastAsia="ko-KR"/>
        </w:rPr>
        <w:t>G</w:t>
      </w:r>
      <w:r w:rsidRPr="00CD5563">
        <w:rPr>
          <w:rFonts w:eastAsia="Gulim" w:cs="Gulim"/>
          <w:sz w:val="20"/>
          <w:lang w:val="en-GB" w:eastAsia="ko-KR"/>
        </w:rPr>
        <w:t>uidelines for the definition of SLA representation templates</w:t>
      </w:r>
    </w:p>
    <w:p w:rsidR="0008639C" w:rsidRPr="00CD5563" w:rsidRDefault="0008639C" w:rsidP="0008639C">
      <w:pPr>
        <w:spacing w:before="60" w:after="60"/>
        <w:rPr>
          <w:szCs w:val="19"/>
          <w:lang w:val="en-GB"/>
        </w:rPr>
      </w:pPr>
      <w:r w:rsidRPr="00CD5563">
        <w:rPr>
          <w:szCs w:val="19"/>
          <w:lang w:val="en-GB"/>
        </w:rPr>
        <w:t>M.3343: Requirements and analysis for NGN trouble administration across B2B and C2B interfaces</w:t>
      </w:r>
    </w:p>
    <w:p w:rsidR="0008639C" w:rsidRPr="00CD5563" w:rsidRDefault="0008639C" w:rsidP="0008639C">
      <w:pPr>
        <w:spacing w:before="60" w:after="60"/>
        <w:rPr>
          <w:szCs w:val="19"/>
          <w:lang w:val="en-GB"/>
        </w:rPr>
      </w:pPr>
      <w:r w:rsidRPr="00CD5563">
        <w:rPr>
          <w:szCs w:val="19"/>
          <w:lang w:val="en-GB"/>
        </w:rPr>
        <w:t>M.3344: Requirements and analysis for NGN appointment management across the business-to-business and customer-to-business interfaces</w:t>
      </w:r>
    </w:p>
    <w:p w:rsidR="0008639C" w:rsidRPr="00CD5563" w:rsidRDefault="0008639C" w:rsidP="0008639C">
      <w:pPr>
        <w:spacing w:before="60" w:after="60"/>
        <w:rPr>
          <w:szCs w:val="19"/>
          <w:lang w:val="en-GB"/>
        </w:rPr>
      </w:pPr>
      <w:r w:rsidRPr="00CD5563">
        <w:rPr>
          <w:szCs w:val="19"/>
          <w:lang w:val="en-GB"/>
        </w:rPr>
        <w:t>M.3345: Principles for self-service management</w:t>
      </w:r>
    </w:p>
    <w:p w:rsidR="0008639C" w:rsidRPr="00CD5563" w:rsidRDefault="0008639C" w:rsidP="0008639C">
      <w:pPr>
        <w:spacing w:before="60" w:after="60"/>
        <w:rPr>
          <w:szCs w:val="19"/>
          <w:lang w:val="en-GB"/>
        </w:rPr>
      </w:pPr>
      <w:r w:rsidRPr="00CD5563">
        <w:rPr>
          <w:szCs w:val="19"/>
          <w:lang w:val="en-GB"/>
        </w:rPr>
        <w:t>M.334</w:t>
      </w:r>
      <w:r w:rsidRPr="00CD5563">
        <w:rPr>
          <w:rFonts w:eastAsia="Malgun Gothic"/>
          <w:szCs w:val="19"/>
          <w:lang w:val="en-GB" w:eastAsia="ko-KR"/>
        </w:rPr>
        <w:t>7</w:t>
      </w:r>
      <w:r w:rsidRPr="00CD5563">
        <w:rPr>
          <w:szCs w:val="19"/>
          <w:lang w:val="en-GB"/>
        </w:rPr>
        <w:t xml:space="preserve">: </w:t>
      </w:r>
      <w:hyperlink r:id="rId118" w:tooltip="Requirements for the NGN service activation of NMS-EMS interface" w:history="1">
        <w:r w:rsidRPr="00CD5563">
          <w:rPr>
            <w:rStyle w:val="Hyperlink"/>
            <w:iCs/>
            <w:color w:val="000000"/>
            <w:szCs w:val="19"/>
            <w:lang w:val="en-GB"/>
          </w:rPr>
          <w:t>Requirements for the NGN service activation of NMS-EMS interface</w:t>
        </w:r>
      </w:hyperlink>
    </w:p>
    <w:p w:rsidR="0008639C" w:rsidRPr="00CD5563" w:rsidRDefault="0008639C" w:rsidP="0008639C">
      <w:pPr>
        <w:spacing w:before="60" w:after="60"/>
        <w:rPr>
          <w:szCs w:val="19"/>
          <w:lang w:val="en-GB"/>
        </w:rPr>
      </w:pPr>
      <w:r w:rsidRPr="00CD5563">
        <w:rPr>
          <w:szCs w:val="19"/>
          <w:lang w:val="en-GB"/>
        </w:rPr>
        <w:t>M.3348: Requirements of the NMS-EMS management interface for NGN service platforms</w:t>
      </w:r>
    </w:p>
    <w:p w:rsidR="0008639C" w:rsidRPr="00CD5563" w:rsidRDefault="0008639C" w:rsidP="0008639C">
      <w:pPr>
        <w:spacing w:before="60" w:after="60"/>
        <w:rPr>
          <w:szCs w:val="19"/>
          <w:lang w:val="en-GB"/>
        </w:rPr>
      </w:pPr>
      <w:r w:rsidRPr="00CD5563">
        <w:rPr>
          <w:szCs w:val="19"/>
          <w:lang w:val="en-GB"/>
        </w:rPr>
        <w:t>M.3350: TMN service management requirements for information interchange across the TMN X-interface to support provisioning of Emergency Telecommunication Service (ETS)</w:t>
      </w:r>
    </w:p>
    <w:p w:rsidR="0008639C" w:rsidRPr="00CD5563" w:rsidRDefault="0008639C" w:rsidP="0008639C">
      <w:pPr>
        <w:spacing w:before="60" w:after="60"/>
        <w:rPr>
          <w:rFonts w:eastAsia="Malgun Gothic"/>
          <w:szCs w:val="19"/>
          <w:lang w:val="en-GB" w:eastAsia="ko-KR"/>
        </w:rPr>
      </w:pPr>
      <w:r w:rsidRPr="00CD5563">
        <w:rPr>
          <w:szCs w:val="19"/>
          <w:lang w:val="en-GB"/>
        </w:rPr>
        <w:t>M.3361: Requirements for business-to-government management interfaces - B2G interfaces – Introduction</w:t>
      </w:r>
    </w:p>
    <w:p w:rsidR="0008639C" w:rsidRPr="00CD5563" w:rsidRDefault="0008639C" w:rsidP="0008639C">
      <w:pPr>
        <w:spacing w:before="60" w:after="60"/>
        <w:rPr>
          <w:rFonts w:eastAsia="Malgun Gothic"/>
          <w:szCs w:val="19"/>
          <w:lang w:val="en-GB" w:eastAsia="ko-KR"/>
        </w:rPr>
      </w:pPr>
      <w:r w:rsidRPr="00CD5563">
        <w:rPr>
          <w:szCs w:val="19"/>
          <w:lang w:val="en-GB"/>
        </w:rPr>
        <w:t>M.3</w:t>
      </w:r>
      <w:r w:rsidRPr="00CD5563">
        <w:rPr>
          <w:rFonts w:eastAsia="Malgun Gothic"/>
          <w:szCs w:val="19"/>
          <w:lang w:val="en-GB" w:eastAsia="ko-KR"/>
        </w:rPr>
        <w:t>400</w:t>
      </w:r>
      <w:r w:rsidRPr="00CD5563">
        <w:rPr>
          <w:szCs w:val="19"/>
          <w:lang w:val="en-GB"/>
        </w:rPr>
        <w:t xml:space="preserve">: </w:t>
      </w:r>
      <w:r w:rsidRPr="00CD5563">
        <w:rPr>
          <w:rFonts w:eastAsia="Malgun Gothic"/>
          <w:szCs w:val="19"/>
          <w:lang w:val="en-GB" w:eastAsia="ko-KR"/>
        </w:rPr>
        <w:t>TMN management functions</w:t>
      </w:r>
    </w:p>
    <w:p w:rsidR="0008639C" w:rsidRPr="00CD5563" w:rsidRDefault="0008639C" w:rsidP="0008639C">
      <w:pPr>
        <w:spacing w:before="60" w:after="60"/>
        <w:rPr>
          <w:szCs w:val="19"/>
          <w:lang w:val="en-GB"/>
        </w:rPr>
      </w:pPr>
      <w:r w:rsidRPr="00CD5563">
        <w:rPr>
          <w:szCs w:val="19"/>
          <w:lang w:val="en-GB"/>
        </w:rPr>
        <w:t>M.3</w:t>
      </w:r>
      <w:r w:rsidRPr="00CD5563">
        <w:rPr>
          <w:rFonts w:eastAsia="Malgun Gothic"/>
          <w:szCs w:val="19"/>
          <w:lang w:val="en-GB" w:eastAsia="ko-KR"/>
        </w:rPr>
        <w:t>410</w:t>
      </w:r>
      <w:r w:rsidRPr="00CD5563">
        <w:rPr>
          <w:szCs w:val="19"/>
          <w:lang w:val="en-GB"/>
        </w:rPr>
        <w:t xml:space="preserve">: </w:t>
      </w:r>
      <w:hyperlink r:id="rId119" w:tooltip="Guidelines and requirements for security management systems to support telecommunications management" w:history="1">
        <w:r w:rsidRPr="00CD5563">
          <w:rPr>
            <w:rStyle w:val="Hyperlink"/>
            <w:iCs/>
            <w:color w:val="000000"/>
            <w:szCs w:val="19"/>
            <w:lang w:val="en-GB"/>
          </w:rPr>
          <w:t>Guidelines and requirements for security management systems to support telecommunications management</w:t>
        </w:r>
      </w:hyperlink>
    </w:p>
    <w:p w:rsidR="0008639C" w:rsidRPr="00CD5563" w:rsidRDefault="0008639C" w:rsidP="00FC1F7A">
      <w:pPr>
        <w:pStyle w:val="Heading1"/>
        <w:rPr>
          <w:lang w:val="en-GB"/>
        </w:rPr>
      </w:pPr>
      <w:bookmarkStart w:id="858" w:name="_Toc380487777"/>
      <w:bookmarkStart w:id="859" w:name="_Toc381025096"/>
      <w:r w:rsidRPr="00CD5563">
        <w:rPr>
          <w:lang w:val="en-GB"/>
        </w:rPr>
        <w:t>NGN Related ITU-R Recommendations</w:t>
      </w:r>
      <w:bookmarkEnd w:id="858"/>
      <w:bookmarkEnd w:id="859"/>
    </w:p>
    <w:p w:rsidR="00FC1F7A" w:rsidRDefault="00FC1F7A" w:rsidP="00FC1F7A">
      <w:pPr>
        <w:keepNext/>
        <w:keepLines/>
        <w:spacing w:before="60" w:after="60"/>
        <w:rPr>
          <w:color w:val="000000"/>
          <w:szCs w:val="19"/>
          <w:lang w:val="en-GB"/>
        </w:rPr>
      </w:pPr>
    </w:p>
    <w:p w:rsidR="0008639C" w:rsidRPr="00CD5563" w:rsidRDefault="0008639C" w:rsidP="00FC1F7A">
      <w:pPr>
        <w:keepNext/>
        <w:keepLines/>
        <w:spacing w:before="60" w:after="60"/>
        <w:rPr>
          <w:color w:val="000000"/>
          <w:szCs w:val="19"/>
          <w:lang w:val="en-GB"/>
        </w:rPr>
      </w:pPr>
      <w:r w:rsidRPr="00CD5563">
        <w:rPr>
          <w:color w:val="000000"/>
          <w:szCs w:val="19"/>
          <w:lang w:val="en-GB"/>
        </w:rPr>
        <w:t xml:space="preserve">Recommendation </w:t>
      </w:r>
      <w:hyperlink r:id="rId120" w:history="1">
        <w:r w:rsidRPr="00CD5563">
          <w:rPr>
            <w:rStyle w:val="Hyperlink"/>
            <w:szCs w:val="19"/>
            <w:lang w:val="en-GB"/>
          </w:rPr>
          <w:t>S.1806</w:t>
        </w:r>
      </w:hyperlink>
      <w:r w:rsidRPr="00CD5563">
        <w:rPr>
          <w:rFonts w:eastAsiaTheme="minorEastAsia"/>
          <w:color w:val="000000"/>
          <w:szCs w:val="19"/>
          <w:lang w:val="en-GB" w:eastAsia="ko-KR"/>
        </w:rPr>
        <w:t>:</w:t>
      </w:r>
      <w:r w:rsidRPr="00CD5563">
        <w:rPr>
          <w:color w:val="000000"/>
          <w:szCs w:val="19"/>
          <w:lang w:val="en-GB"/>
        </w:rPr>
        <w:t xml:space="preserve"> Availability objectives for hypothetical reference digital paths in the fixed-satellite service operating below 15 GHz</w:t>
      </w:r>
    </w:p>
    <w:p w:rsidR="0008639C" w:rsidRPr="00CD5563" w:rsidRDefault="00FE1C74" w:rsidP="00FC1F7A">
      <w:pPr>
        <w:keepNext/>
        <w:keepLines/>
        <w:spacing w:before="60" w:after="60"/>
        <w:rPr>
          <w:color w:val="000000"/>
          <w:szCs w:val="19"/>
          <w:lang w:val="en-GB"/>
        </w:rPr>
      </w:pPr>
      <w:hyperlink r:id="rId121" w:history="1">
        <w:r w:rsidR="0008639C" w:rsidRPr="00CD5563">
          <w:rPr>
            <w:rStyle w:val="Hyperlink"/>
            <w:szCs w:val="19"/>
            <w:lang w:val="en-GB"/>
          </w:rPr>
          <w:t>Report ITU-R M.2176</w:t>
        </w:r>
      </w:hyperlink>
      <w:r w:rsidR="0008639C" w:rsidRPr="00CD5563">
        <w:rPr>
          <w:rStyle w:val="Hyperlink"/>
          <w:szCs w:val="19"/>
          <w:lang w:val="en-GB"/>
        </w:rPr>
        <w:t>-1</w:t>
      </w:r>
      <w:r w:rsidR="0008639C" w:rsidRPr="00CD5563">
        <w:rPr>
          <w:rFonts w:eastAsiaTheme="minorEastAsia"/>
          <w:color w:val="000000"/>
          <w:szCs w:val="19"/>
          <w:lang w:val="en-GB" w:eastAsia="ko-KR"/>
        </w:rPr>
        <w:t xml:space="preserve">: </w:t>
      </w:r>
      <w:r w:rsidR="0008639C" w:rsidRPr="00CD5563">
        <w:rPr>
          <w:szCs w:val="19"/>
          <w:lang w:val="en-GB"/>
        </w:rPr>
        <w:t>Vision and requirements for the satellite radio interface(s) of IMT-Advanced</w:t>
      </w:r>
    </w:p>
    <w:p w:rsidR="0008639C" w:rsidRPr="00CD5563" w:rsidRDefault="00FE1C74" w:rsidP="00FC1F7A">
      <w:pPr>
        <w:keepNext/>
        <w:keepLines/>
        <w:spacing w:before="60" w:after="60"/>
        <w:rPr>
          <w:szCs w:val="19"/>
          <w:lang w:val="en-GB"/>
        </w:rPr>
      </w:pPr>
      <w:hyperlink r:id="rId122" w:history="1">
        <w:r w:rsidR="0008639C" w:rsidRPr="00CD5563">
          <w:rPr>
            <w:rStyle w:val="Hyperlink"/>
            <w:szCs w:val="19"/>
            <w:lang w:val="en-GB"/>
          </w:rPr>
          <w:t>Preliminary draft new Recommendation ITU-R S.1897</w:t>
        </w:r>
      </w:hyperlink>
      <w:r w:rsidR="0008639C" w:rsidRPr="00CD5563">
        <w:rPr>
          <w:rFonts w:eastAsiaTheme="minorEastAsia"/>
          <w:szCs w:val="19"/>
          <w:lang w:val="en-GB" w:eastAsia="ko-KR"/>
        </w:rPr>
        <w:t>:</w:t>
      </w:r>
      <w:r w:rsidR="0008639C" w:rsidRPr="00CD5563">
        <w:rPr>
          <w:color w:val="000000"/>
          <w:szCs w:val="19"/>
          <w:lang w:val="en-GB"/>
        </w:rPr>
        <w:t xml:space="preserve"> </w:t>
      </w:r>
      <w:r w:rsidR="0008639C" w:rsidRPr="00CD5563">
        <w:rPr>
          <w:szCs w:val="19"/>
          <w:lang w:val="en-GB"/>
        </w:rPr>
        <w:t>Cross-layer based QoS provisioning in IP-based hybrid satellite-terrestrial networks</w:t>
      </w:r>
    </w:p>
    <w:p w:rsidR="0008639C" w:rsidRPr="00CD5563" w:rsidRDefault="00FE1C74" w:rsidP="00FC1F7A">
      <w:pPr>
        <w:keepNext/>
        <w:keepLines/>
        <w:spacing w:before="60" w:after="60"/>
        <w:rPr>
          <w:szCs w:val="19"/>
          <w:lang w:val="en-GB"/>
        </w:rPr>
      </w:pPr>
      <w:hyperlink r:id="rId123" w:history="1">
        <w:r w:rsidR="0008639C" w:rsidRPr="00CD5563">
          <w:rPr>
            <w:rStyle w:val="Hyperlink"/>
            <w:szCs w:val="19"/>
            <w:lang w:val="en-GB"/>
          </w:rPr>
          <w:t>Recommendation F.1094-2</w:t>
        </w:r>
      </w:hyperlink>
      <w:r w:rsidR="0008639C" w:rsidRPr="00CD5563">
        <w:rPr>
          <w:rStyle w:val="href"/>
          <w:rFonts w:eastAsiaTheme="minorEastAsia"/>
          <w:szCs w:val="19"/>
          <w:lang w:val="en-GB" w:eastAsia="ko-KR"/>
        </w:rPr>
        <w:t>:</w:t>
      </w:r>
      <w:r w:rsidR="0008639C" w:rsidRPr="00CD5563">
        <w:rPr>
          <w:color w:val="000000"/>
          <w:szCs w:val="19"/>
          <w:lang w:val="en-GB"/>
        </w:rPr>
        <w:t xml:space="preserve"> </w:t>
      </w:r>
      <w:r w:rsidR="0008639C" w:rsidRPr="00CD5563">
        <w:rPr>
          <w:szCs w:val="19"/>
          <w:lang w:val="en-GB"/>
        </w:rPr>
        <w:t>Maximum allowable error performance and availability degradations to digital fixed wireless systems arising from radio interference from emissions and radiations from other sources</w:t>
      </w:r>
    </w:p>
    <w:p w:rsidR="0008639C" w:rsidRPr="00CD5563" w:rsidRDefault="00FE1C74" w:rsidP="00FC1F7A">
      <w:pPr>
        <w:keepNext/>
        <w:keepLines/>
        <w:spacing w:before="60" w:after="60"/>
        <w:rPr>
          <w:szCs w:val="19"/>
          <w:lang w:val="en-GB"/>
        </w:rPr>
      </w:pPr>
      <w:hyperlink r:id="rId124" w:history="1">
        <w:r w:rsidR="0008639C" w:rsidRPr="00CD5563">
          <w:rPr>
            <w:rStyle w:val="Hyperlink"/>
            <w:szCs w:val="19"/>
            <w:lang w:val="en-GB"/>
          </w:rPr>
          <w:t>Recommendation F.1704</w:t>
        </w:r>
      </w:hyperlink>
      <w:r w:rsidR="0008639C" w:rsidRPr="00CD5563">
        <w:rPr>
          <w:rFonts w:eastAsiaTheme="minorEastAsia"/>
          <w:lang w:val="en-GB" w:eastAsia="ko-KR"/>
        </w:rPr>
        <w:t>:</w:t>
      </w:r>
      <w:r w:rsidR="0008639C" w:rsidRPr="00CD5563">
        <w:rPr>
          <w:rStyle w:val="href"/>
          <w:szCs w:val="19"/>
          <w:lang w:val="en-GB"/>
        </w:rPr>
        <w:t xml:space="preserve"> </w:t>
      </w:r>
      <w:r w:rsidR="0008639C" w:rsidRPr="00CD5563">
        <w:rPr>
          <w:szCs w:val="19"/>
          <w:lang w:val="en-GB" w:eastAsia="ja-JP"/>
        </w:rPr>
        <w:t>Characteristics of multipoint-to-multipoint fixed wireless systems with mesh network topology operating in frequency bands above about 17 GHz</w:t>
      </w:r>
    </w:p>
    <w:p w:rsidR="0008639C" w:rsidRPr="00CD5563" w:rsidRDefault="00FE1C74" w:rsidP="00FC1F7A">
      <w:pPr>
        <w:keepNext/>
        <w:keepLines/>
        <w:spacing w:before="60" w:after="60"/>
        <w:rPr>
          <w:color w:val="000000"/>
          <w:szCs w:val="19"/>
          <w:lang w:val="en-GB"/>
        </w:rPr>
      </w:pPr>
      <w:hyperlink r:id="rId125" w:history="1">
        <w:r w:rsidR="0008639C" w:rsidRPr="00CD5563">
          <w:rPr>
            <w:rStyle w:val="Hyperlink"/>
            <w:szCs w:val="19"/>
            <w:lang w:val="en-GB"/>
          </w:rPr>
          <w:t>Recommendation F.1763</w:t>
        </w:r>
      </w:hyperlink>
      <w:r w:rsidR="0008639C" w:rsidRPr="00CD5563">
        <w:rPr>
          <w:rFonts w:eastAsiaTheme="minorEastAsia"/>
          <w:lang w:val="en-GB" w:eastAsia="ko-KR"/>
        </w:rPr>
        <w:t>:</w:t>
      </w:r>
      <w:r w:rsidR="0008639C" w:rsidRPr="00CD5563">
        <w:rPr>
          <w:rStyle w:val="href"/>
          <w:szCs w:val="19"/>
          <w:lang w:val="en-GB"/>
        </w:rPr>
        <w:t xml:space="preserve"> </w:t>
      </w:r>
      <w:r w:rsidR="0008639C" w:rsidRPr="00CD5563">
        <w:rPr>
          <w:szCs w:val="19"/>
          <w:lang w:val="en-GB"/>
        </w:rPr>
        <w:t>Radio interface standards for broadband wireless access systems in the fixed service operating below 66 GHz</w:t>
      </w:r>
    </w:p>
    <w:p w:rsidR="0008639C" w:rsidRPr="00CD5563" w:rsidRDefault="00FE1C74" w:rsidP="00FC1F7A">
      <w:pPr>
        <w:keepNext/>
        <w:keepLines/>
        <w:spacing w:before="60" w:after="60"/>
        <w:rPr>
          <w:szCs w:val="19"/>
          <w:lang w:val="en-GB" w:eastAsia="ja-JP"/>
        </w:rPr>
      </w:pPr>
      <w:hyperlink r:id="rId126" w:history="1">
        <w:r w:rsidR="0008639C" w:rsidRPr="00CD5563">
          <w:rPr>
            <w:rStyle w:val="Hyperlink"/>
            <w:szCs w:val="19"/>
            <w:lang w:val="en-GB"/>
          </w:rPr>
          <w:t xml:space="preserve">Recommendation </w:t>
        </w:r>
        <w:r w:rsidR="0008639C" w:rsidRPr="00CD5563">
          <w:rPr>
            <w:rStyle w:val="Hyperlink"/>
            <w:szCs w:val="19"/>
            <w:lang w:val="en-GB" w:eastAsia="ja-JP"/>
          </w:rPr>
          <w:t>M.819</w:t>
        </w:r>
      </w:hyperlink>
      <w:r w:rsidR="0008639C" w:rsidRPr="00CD5563">
        <w:rPr>
          <w:rFonts w:eastAsiaTheme="minorEastAsia"/>
          <w:lang w:val="en-GB" w:eastAsia="ko-KR"/>
        </w:rPr>
        <w:t>:</w:t>
      </w:r>
      <w:r w:rsidR="0008639C" w:rsidRPr="00CD5563">
        <w:rPr>
          <w:szCs w:val="19"/>
          <w:lang w:val="en-GB" w:eastAsia="ja-JP"/>
        </w:rPr>
        <w:t xml:space="preserve"> International Mobile Telecommunications-2000 (IMT-2000) for developing countries   </w:t>
      </w:r>
    </w:p>
    <w:p w:rsidR="0008639C" w:rsidRPr="00CD5563" w:rsidRDefault="00FE1C74" w:rsidP="00FC1F7A">
      <w:pPr>
        <w:keepNext/>
        <w:keepLines/>
        <w:spacing w:before="60" w:after="60"/>
        <w:rPr>
          <w:lang w:val="en-GB"/>
        </w:rPr>
      </w:pPr>
      <w:hyperlink r:id="rId127" w:history="1">
        <w:r w:rsidR="0008639C" w:rsidRPr="00CD5563">
          <w:rPr>
            <w:rStyle w:val="Hyperlink"/>
            <w:lang w:val="en-GB"/>
          </w:rPr>
          <w:t>Recommendation M.1457</w:t>
        </w:r>
      </w:hyperlink>
      <w:r w:rsidR="0008639C" w:rsidRPr="00CD5563">
        <w:rPr>
          <w:lang w:val="en-GB"/>
        </w:rPr>
        <w:t>: Detailed specifications of the terrestrial radio interfaces of International Mobile Telecommunications-2000 (IMT-2000)</w:t>
      </w:r>
    </w:p>
    <w:p w:rsidR="000A71D3" w:rsidRPr="00CD5563" w:rsidRDefault="00FE1C74" w:rsidP="00FC1F7A">
      <w:pPr>
        <w:keepNext/>
        <w:keepLines/>
        <w:rPr>
          <w:lang w:val="en-GB"/>
        </w:rPr>
      </w:pPr>
      <w:hyperlink r:id="rId128" w:history="1">
        <w:r w:rsidR="0008639C" w:rsidRPr="00CD5563">
          <w:rPr>
            <w:rStyle w:val="Hyperlink"/>
            <w:lang w:val="en-GB"/>
          </w:rPr>
          <w:t>Recommendation M.2012</w:t>
        </w:r>
      </w:hyperlink>
      <w:r w:rsidR="0008639C" w:rsidRPr="00CD5563">
        <w:rPr>
          <w:lang w:val="en-GB"/>
        </w:rPr>
        <w:t>: Detailed specifications of the terrestrial radio interfaces of International Mobile Telecommunications Advanced (IMT-Advanced)</w:t>
      </w:r>
    </w:p>
    <w:p w:rsidR="00703D54" w:rsidRPr="00CD5563" w:rsidRDefault="00703D54" w:rsidP="00CD5563">
      <w:pPr>
        <w:pStyle w:val="Reasons"/>
        <w:rPr>
          <w:lang w:val="en-GB"/>
        </w:rPr>
      </w:pPr>
    </w:p>
    <w:p w:rsidR="004A14E4" w:rsidRPr="00CD5563" w:rsidRDefault="004A14E4" w:rsidP="004A14E4">
      <w:pPr>
        <w:jc w:val="center"/>
        <w:rPr>
          <w:rFonts w:eastAsia="Malgun Gothic"/>
          <w:lang w:eastAsia="ko-KR"/>
        </w:rPr>
      </w:pPr>
      <w:r w:rsidRPr="00CD5563">
        <w:rPr>
          <w:rFonts w:eastAsia="Malgun Gothic"/>
          <w:lang w:eastAsia="ko-KR"/>
        </w:rPr>
        <w:t>_____________</w:t>
      </w:r>
    </w:p>
    <w:bookmarkEnd w:id="0"/>
    <w:p w:rsidR="00703D54" w:rsidRPr="00CD5563" w:rsidRDefault="00703D54" w:rsidP="004A14E4">
      <w:pPr>
        <w:jc w:val="center"/>
        <w:rPr>
          <w:lang w:val="en-GB"/>
        </w:rPr>
      </w:pPr>
    </w:p>
    <w:sectPr w:rsidR="00703D54" w:rsidRPr="00CD5563" w:rsidSect="00BA2B62">
      <w:headerReference w:type="even" r:id="rId129"/>
      <w:headerReference w:type="default" r:id="rId130"/>
      <w:footerReference w:type="even" r:id="rId131"/>
      <w:footerReference w:type="default" r:id="rId132"/>
      <w:endnotePr>
        <w:numFmt w:val="decimal"/>
      </w:endnotePr>
      <w:type w:val="oddPage"/>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E1C74" w:rsidRPr="0034180A" w:rsidRDefault="00FE1C74" w:rsidP="00837668">
      <w:pPr>
        <w:pStyle w:val="Footer"/>
      </w:pPr>
    </w:p>
    <w:p w:rsidR="00FE1C74" w:rsidRDefault="00FE1C74"/>
    <w:p w:rsidR="00FE1C74" w:rsidRDefault="00FE1C74"/>
  </w:endnote>
  <w:endnote w:type="continuationSeparator" w:id="0">
    <w:p w:rsidR="00FE1C74" w:rsidRPr="0034180A" w:rsidRDefault="00FE1C74" w:rsidP="00837668">
      <w:pPr>
        <w:pStyle w:val="Footer"/>
      </w:pPr>
    </w:p>
    <w:p w:rsidR="00FE1C74" w:rsidRDefault="00FE1C74"/>
    <w:p w:rsidR="00FE1C74" w:rsidRDefault="00FE1C74"/>
  </w:endnote>
  <w:endnote w:type="continuationNotice" w:id="1">
    <w:p w:rsidR="00FE1C74" w:rsidRDefault="00FE1C74"/>
    <w:p w:rsidR="00FE1C74" w:rsidRDefault="00FE1C74"/>
    <w:p w:rsidR="00FE1C74" w:rsidRDefault="00FE1C7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Helvetica">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Helvetica-Narrow">
    <w:panose1 w:val="00000000000000000000"/>
    <w:charset w:val="00"/>
    <w:family w:val="swiss"/>
    <w:notTrueType/>
    <w:pitch w:val="variable"/>
    <w:sig w:usb0="00000003" w:usb1="00000000" w:usb2="00000000" w:usb3="00000000" w:csb0="00000001" w:csb1="00000000"/>
  </w:font>
  <w:font w:name="Times New Roman Bold">
    <w:altName w:val="Times New Roman"/>
    <w:panose1 w:val="0202080307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embedRegular r:id="rId1" w:subsetted="1" w:fontKey="{E967AC00-2D86-4880-A7A9-DE8174F59FCE}"/>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embedRegular r:id="rId2" w:fontKey="{FE246A14-A585-42BC-82F6-E1FB58F46187}"/>
    <w:embedBold r:id="rId3" w:fontKey="{E5D857E5-633D-4833-B9F6-60FC714E1F66}"/>
    <w:embedItalic r:id="rId4" w:fontKey="{57A2B95F-98A5-4F65-83C1-0A0C3D3EAC08}"/>
    <w:embedBoldItalic r:id="rId5" w:fontKey="{51896F8A-0DE8-4D85-855D-3B3A8A8BE26D}"/>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old">
    <w:panose1 w:val="020B0704020202020204"/>
    <w:charset w:val="00"/>
    <w:family w:val="roman"/>
    <w:notTrueType/>
    <w:pitch w:val="default"/>
  </w:font>
  <w:font w:name="Lucida Grande">
    <w:altName w:val="Arial"/>
    <w:charset w:val="00"/>
    <w:family w:val="auto"/>
    <w:pitch w:val="variable"/>
    <w:sig w:usb0="E1000AEF" w:usb1="5000A1FF" w:usb2="00000000" w:usb3="00000000" w:csb0="000001BF" w:csb1="00000000"/>
  </w:font>
  <w:font w:name="Times New Roman italic">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Gulim">
    <w:altName w:val="굴림"/>
    <w:panose1 w:val="020B0600000101010101"/>
    <w:charset w:val="81"/>
    <w:family w:val="roman"/>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2F11" w:rsidRPr="00BA2B62" w:rsidRDefault="00602F11" w:rsidP="00BA2B62">
    <w:pPr>
      <w:pStyle w:val="Footer"/>
      <w:pBdr>
        <w:top w:val="none" w:sz="0" w:space="0" w:color="auto"/>
      </w:pBd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2C81" w:rsidRPr="00DD5C7D" w:rsidRDefault="00E32C81" w:rsidP="00E32C81">
    <w:pPr>
      <w:pStyle w:val="Footer"/>
      <w:tabs>
        <w:tab w:val="clear" w:pos="9071"/>
      </w:tabs>
      <w:ind w:left="0" w:right="6803"/>
      <w:jc w:val="left"/>
    </w:pPr>
    <w:r>
      <w:fldChar w:fldCharType="begin"/>
    </w:r>
    <w:r>
      <w:instrText xml:space="preserve"> PAGE </w:instrText>
    </w:r>
    <w:r>
      <w:fldChar w:fldCharType="separate"/>
    </w:r>
    <w:r w:rsidR="00173FD5">
      <w:rPr>
        <w:noProof/>
      </w:rPr>
      <w:t>66</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2F11" w:rsidRPr="00DD5C7D" w:rsidRDefault="00602F11" w:rsidP="00DD5C7D">
    <w:pPr>
      <w:pStyle w:val="Footer"/>
    </w:pPr>
    <w:r w:rsidRPr="009E2BB9">
      <w:tab/>
    </w:r>
    <w:r>
      <w:fldChar w:fldCharType="begin"/>
    </w:r>
    <w:r>
      <w:instrText xml:space="preserve"> PAGE </w:instrText>
    </w:r>
    <w:r>
      <w:fldChar w:fldCharType="separate"/>
    </w:r>
    <w:r w:rsidR="00173FD5">
      <w:rPr>
        <w:noProof/>
      </w:rPr>
      <w:t>67</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2F11" w:rsidRPr="00E02B47" w:rsidRDefault="00602F11" w:rsidP="00AB21CF">
    <w:pPr>
      <w:rPr>
        <w:lang w:val="en-US"/>
      </w:rPr>
    </w:pPr>
    <w:r>
      <w:fldChar w:fldCharType="begin"/>
    </w:r>
    <w:r w:rsidRPr="00AC73E9">
      <w:rPr>
        <w:lang w:val="en-US"/>
      </w:rPr>
      <w:instrText xml:space="preserve"> FILENAME  \p  \* MERGEFORMAT </w:instrText>
    </w:r>
    <w:r>
      <w:fldChar w:fldCharType="separate"/>
    </w:r>
    <w:r w:rsidRPr="00AC73E9">
      <w:rPr>
        <w:lang w:val="en-US"/>
      </w:rPr>
      <w:t>P:\STG\5StudyPeriod\Meetings\2013\SG2\Contributions\265-279\278ANN1REV1E.docx</w:t>
    </w:r>
    <w:r>
      <w:fldChar w:fldCharType="end"/>
    </w:r>
    <w:r w:rsidRPr="00AC73E9">
      <w:rPr>
        <w:lang w:val="en-US"/>
      </w:rPr>
      <w:tab/>
    </w:r>
    <w:r w:rsidRPr="00925031">
      <w:fldChar w:fldCharType="begin"/>
    </w:r>
    <w:r w:rsidRPr="00925031">
      <w:instrText xml:space="preserve"> CREATEDATE  \@ "dd.MM.yyyy"  \* MERGEFORMAT </w:instrText>
    </w:r>
    <w:r w:rsidRPr="00925031">
      <w:fldChar w:fldCharType="separate"/>
    </w:r>
    <w:r>
      <w:t>04.10</w:t>
    </w:r>
    <w:r w:rsidRPr="00925031">
      <w:t>.2013</w:t>
    </w:r>
    <w:r w:rsidRPr="00925031">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2F11" w:rsidRPr="00CF08E3" w:rsidRDefault="00602F11" w:rsidP="00CF08E3">
    <w:pPr>
      <w:pStyle w:val="Footer"/>
      <w:pBdr>
        <w:top w:val="none" w:sz="0" w:space="0" w:color="auto"/>
      </w:pBd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2C81" w:rsidRPr="00E32C81" w:rsidRDefault="00E32C81" w:rsidP="00E32C81">
    <w:pPr>
      <w:pStyle w:val="Footer"/>
      <w:pBdr>
        <w:top w:val="none" w:sz="0" w:space="0" w:color="auto"/>
      </w:pBd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2F11" w:rsidRDefault="00602F11" w:rsidP="00821C93">
    <w:pPr>
      <w:pStyle w:val="Footer"/>
      <w:tabs>
        <w:tab w:val="clear" w:pos="9071"/>
      </w:tabs>
      <w:ind w:left="0" w:right="6803"/>
      <w:jc w:val="left"/>
    </w:pPr>
    <w:r>
      <w:fldChar w:fldCharType="begin"/>
    </w:r>
    <w:r>
      <w:instrText xml:space="preserve"> PAGE </w:instrText>
    </w:r>
    <w:r>
      <w:fldChar w:fldCharType="separate"/>
    </w:r>
    <w:r w:rsidR="00173FD5">
      <w:rPr>
        <w:noProof/>
      </w:rPr>
      <w:t>150</w:t>
    </w:r>
    <w:r>
      <w:rPr>
        <w:noProof/>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2F11" w:rsidRDefault="00602F11" w:rsidP="00821C93">
    <w:pPr>
      <w:pStyle w:val="Footer"/>
    </w:pPr>
    <w:r w:rsidRPr="009E2BB9">
      <w:tab/>
    </w:r>
    <w:r>
      <w:fldChar w:fldCharType="begin"/>
    </w:r>
    <w:r>
      <w:instrText xml:space="preserve"> PAGE </w:instrText>
    </w:r>
    <w:r>
      <w:fldChar w:fldCharType="separate"/>
    </w:r>
    <w:r w:rsidR="00173FD5">
      <w:rPr>
        <w:noProof/>
      </w:rPr>
      <w:t>149</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E1C74" w:rsidRDefault="00FE1C74" w:rsidP="009319E4">
      <w:pPr>
        <w:spacing w:after="120"/>
      </w:pPr>
      <w:r>
        <w:separator/>
      </w:r>
    </w:p>
  </w:footnote>
  <w:footnote w:type="continuationSeparator" w:id="0">
    <w:p w:rsidR="00FE1C74" w:rsidRDefault="00FE1C74">
      <w:r>
        <w:continuationSeparator/>
      </w:r>
    </w:p>
    <w:p w:rsidR="00FE1C74" w:rsidRDefault="00FE1C74"/>
    <w:p w:rsidR="00FE1C74" w:rsidRDefault="00FE1C74"/>
    <w:p w:rsidR="00FE1C74" w:rsidRDefault="00FE1C74"/>
    <w:p w:rsidR="00FE1C74" w:rsidRDefault="00FE1C74"/>
    <w:p w:rsidR="00FE1C74" w:rsidRDefault="00FE1C74"/>
  </w:footnote>
  <w:footnote w:type="continuationNotice" w:id="1">
    <w:p w:rsidR="00FE1C74" w:rsidRPr="006570A8" w:rsidRDefault="00FE1C74" w:rsidP="006570A8">
      <w:pPr>
        <w:pStyle w:val="Foote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6DC0" w:rsidRPr="00916DC0" w:rsidRDefault="00916DC0">
    <w:pPr>
      <w:pStyle w:val="Header"/>
      <w:rPr>
        <w:lang w:val="ru-RU"/>
      </w:rPr>
    </w:pPr>
    <w:r>
      <w:rPr>
        <w:rStyle w:val="PageNumber"/>
        <w:lang w:val="ru-RU"/>
      </w:rPr>
      <w:t>В</w:t>
    </w:r>
    <w:r w:rsidRPr="00DD77FC">
      <w:rPr>
        <w:rStyle w:val="PageNumber"/>
        <w:lang w:val="ru-RU"/>
      </w:rPr>
      <w:t xml:space="preserve">26/2: </w:t>
    </w:r>
    <w:r w:rsidRPr="00DD77FC">
      <w:rPr>
        <w:lang w:val="ru-RU"/>
      </w:rPr>
      <w:t xml:space="preserve">Переход от существующих сетей к сетям последующих поколений </w:t>
    </w:r>
    <w:r w:rsidRPr="00DD77FC">
      <w:rPr>
        <w:cs/>
      </w:rPr>
      <w:t>‎</w:t>
    </w:r>
    <w:r w:rsidRPr="00DD77FC">
      <w:rPr>
        <w:lang w:val="ru-RU"/>
      </w:rPr>
      <w:t xml:space="preserve">для развивающихся стран: технические, регуляторные и политические </w:t>
    </w:r>
    <w:r w:rsidRPr="00DD77FC">
      <w:rPr>
        <w:cs/>
      </w:rPr>
      <w:t>‎</w:t>
    </w:r>
    <w:r w:rsidRPr="00DD77FC">
      <w:rPr>
        <w:lang w:val="ru-RU"/>
      </w:rPr>
      <w:t>аспекты</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2F11" w:rsidRPr="00BA2B62" w:rsidRDefault="00602F11" w:rsidP="00BA2B62">
    <w:pPr>
      <w:pStyle w:val="Header"/>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2F11" w:rsidRPr="00DD77FC" w:rsidRDefault="00602F11" w:rsidP="00EF3E18">
    <w:pPr>
      <w:pStyle w:val="Header"/>
      <w:rPr>
        <w:lang w:val="ru-RU"/>
      </w:rPr>
    </w:pPr>
    <w:r>
      <w:rPr>
        <w:rStyle w:val="PageNumber"/>
        <w:lang w:val="ru-RU"/>
      </w:rPr>
      <w:t>В</w:t>
    </w:r>
    <w:r w:rsidRPr="00DD77FC">
      <w:rPr>
        <w:rStyle w:val="PageNumber"/>
        <w:lang w:val="ru-RU"/>
      </w:rPr>
      <w:t xml:space="preserve">26/2: </w:t>
    </w:r>
    <w:r w:rsidRPr="00DD77FC">
      <w:rPr>
        <w:lang w:val="ru-RU"/>
      </w:rPr>
      <w:t xml:space="preserve">Переход от существующих сетей к сетям последующих поколений </w:t>
    </w:r>
    <w:r w:rsidRPr="00DD77FC">
      <w:rPr>
        <w:cs/>
      </w:rPr>
      <w:t>‎</w:t>
    </w:r>
    <w:r w:rsidRPr="00DD77FC">
      <w:rPr>
        <w:lang w:val="ru-RU"/>
      </w:rPr>
      <w:t xml:space="preserve">для развивающихся стран: технические, регуляторные и политические </w:t>
    </w:r>
    <w:r w:rsidRPr="00DD77FC">
      <w:rPr>
        <w:cs/>
      </w:rPr>
      <w:t>‎</w:t>
    </w:r>
    <w:r w:rsidRPr="00DD77FC">
      <w:rPr>
        <w:lang w:val="ru-RU"/>
      </w:rPr>
      <w:t>аспекты</w:t>
    </w:r>
  </w:p>
  <w:p w:rsidR="00602F11" w:rsidRPr="00DD77FC" w:rsidRDefault="00602F11" w:rsidP="004310FE">
    <w:pPr>
      <w:rPr>
        <w:lang w:val="ru-RU"/>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2F11" w:rsidRPr="00925031" w:rsidRDefault="00602F11" w:rsidP="00AB21CF">
    <w:pPr>
      <w:tabs>
        <w:tab w:val="center" w:pos="5103"/>
        <w:tab w:val="right" w:pos="10206"/>
      </w:tabs>
      <w:spacing w:after="240"/>
      <w:rPr>
        <w:smallCaps/>
        <w:spacing w:val="24"/>
        <w:sz w:val="18"/>
        <w:szCs w:val="18"/>
        <w:lang w:val="es-ES_tradnl"/>
      </w:rPr>
    </w:pPr>
    <w:r>
      <w:rPr>
        <w:smallCaps/>
        <w:spacing w:val="24"/>
        <w:sz w:val="18"/>
        <w:szCs w:val="18"/>
      </w:rPr>
      <w:tab/>
    </w:r>
    <w:r w:rsidRPr="00395BD8">
      <w:rPr>
        <w:smallCaps/>
        <w:spacing w:val="24"/>
        <w:sz w:val="18"/>
        <w:szCs w:val="18"/>
        <w:lang w:val="es-ES_tradnl"/>
      </w:rPr>
      <w:t>ITU-D/</w:t>
    </w:r>
    <w:r>
      <w:rPr>
        <w:smallCaps/>
        <w:spacing w:val="24"/>
        <w:sz w:val="18"/>
        <w:szCs w:val="18"/>
        <w:lang w:val="es-ES_tradnl"/>
      </w:rPr>
      <w:t>2/278ANN1(Rev.1)</w:t>
    </w:r>
    <w:r w:rsidRPr="00395BD8">
      <w:rPr>
        <w:smallCaps/>
        <w:spacing w:val="24"/>
        <w:sz w:val="18"/>
        <w:szCs w:val="18"/>
        <w:lang w:val="es-ES_tradnl"/>
      </w:rPr>
      <w:t>-E</w:t>
    </w:r>
    <w:r w:rsidRPr="00395BD8">
      <w:rPr>
        <w:smallCaps/>
        <w:spacing w:val="24"/>
        <w:sz w:val="18"/>
        <w:szCs w:val="18"/>
        <w:lang w:val="es-ES_tradnl"/>
      </w:rPr>
      <w:tab/>
      <w:t xml:space="preserve">Page </w:t>
    </w:r>
    <w:r>
      <w:rPr>
        <w:smallCaps/>
        <w:spacing w:val="24"/>
        <w:sz w:val="18"/>
        <w:szCs w:val="18"/>
        <w:lang w:val="en-GB"/>
      </w:rPr>
      <w:fldChar w:fldCharType="begin"/>
    </w:r>
    <w:r w:rsidRPr="00395BD8">
      <w:rPr>
        <w:smallCaps/>
        <w:spacing w:val="24"/>
        <w:sz w:val="18"/>
        <w:szCs w:val="18"/>
        <w:lang w:val="es-ES_tradnl"/>
      </w:rPr>
      <w:instrText xml:space="preserve"> PAGE </w:instrText>
    </w:r>
    <w:r>
      <w:rPr>
        <w:smallCaps/>
        <w:spacing w:val="24"/>
        <w:sz w:val="18"/>
        <w:szCs w:val="18"/>
        <w:lang w:val="en-GB"/>
      </w:rPr>
      <w:fldChar w:fldCharType="separate"/>
    </w:r>
    <w:r>
      <w:rPr>
        <w:smallCaps/>
        <w:noProof/>
        <w:spacing w:val="24"/>
        <w:sz w:val="18"/>
        <w:szCs w:val="18"/>
        <w:lang w:val="es-ES_tradnl"/>
      </w:rPr>
      <w:t>125</w:t>
    </w:r>
    <w:r>
      <w:rPr>
        <w:smallCaps/>
        <w:spacing w:val="24"/>
        <w:sz w:val="18"/>
        <w:szCs w:val="18"/>
        <w:lang w:val="en-GB"/>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2F11" w:rsidRDefault="00602F11" w:rsidP="00CF08E3">
    <w:pPr>
      <w:pStyle w:val="Header"/>
      <w:pBdr>
        <w:bottom w:val="none" w:sz="0" w:space="0" w:color="auto"/>
      </w:pBdr>
    </w:pPr>
  </w:p>
  <w:p w:rsidR="00602F11" w:rsidRPr="0008639C" w:rsidRDefault="00602F11" w:rsidP="00BA2B62">
    <w:pPr>
      <w:rPr>
        <w:lang w:val="en-US"/>
      </w:rPr>
    </w:pPr>
    <w:r>
      <w:rPr>
        <w:noProof/>
        <w:lang w:val="ru-RU" w:eastAsia="zh-CN"/>
      </w:rPr>
      <mc:AlternateContent>
        <mc:Choice Requires="wps">
          <w:drawing>
            <wp:anchor distT="0" distB="0" distL="114300" distR="114300" simplePos="0" relativeHeight="251661312" behindDoc="0" locked="0" layoutInCell="1" allowOverlap="1" wp14:anchorId="095EE3C7" wp14:editId="1855028A">
              <wp:simplePos x="0" y="0"/>
              <wp:positionH relativeFrom="column">
                <wp:posOffset>-524348</wp:posOffset>
              </wp:positionH>
              <wp:positionV relativeFrom="paragraph">
                <wp:posOffset>187325</wp:posOffset>
              </wp:positionV>
              <wp:extent cx="410210" cy="5763260"/>
              <wp:effectExtent l="0" t="0" r="8890" b="8890"/>
              <wp:wrapNone/>
              <wp:docPr id="93" name="Text Box 93"/>
              <wp:cNvGraphicFramePr/>
              <a:graphic xmlns:a="http://schemas.openxmlformats.org/drawingml/2006/main">
                <a:graphicData uri="http://schemas.microsoft.com/office/word/2010/wordprocessingShape">
                  <wps:wsp>
                    <wps:cNvSpPr txBox="1"/>
                    <wps:spPr>
                      <a:xfrm>
                        <a:off x="0" y="0"/>
                        <a:ext cx="410210" cy="5763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02F11" w:rsidRPr="00821C93" w:rsidRDefault="00602F11" w:rsidP="00CF08E3">
                          <w:pPr>
                            <w:pStyle w:val="Footer"/>
                            <w:tabs>
                              <w:tab w:val="clear" w:pos="9071"/>
                            </w:tabs>
                            <w:ind w:left="0" w:right="6803"/>
                            <w:jc w:val="left"/>
                          </w:pPr>
                          <w:r>
                            <w:fldChar w:fldCharType="begin"/>
                          </w:r>
                          <w:r>
                            <w:instrText xml:space="preserve"> PAGE </w:instrText>
                          </w:r>
                          <w:r>
                            <w:fldChar w:fldCharType="separate"/>
                          </w:r>
                          <w:r w:rsidR="00916DC0">
                            <w:rPr>
                              <w:noProof/>
                            </w:rPr>
                            <w:t>132</w:t>
                          </w:r>
                          <w:r>
                            <w:rPr>
                              <w:noProof/>
                            </w:rPr>
                            <w:fldChar w:fldCharType="end"/>
                          </w:r>
                        </w:p>
                      </w:txbxContent>
                    </wps:txbx>
                    <wps:bodyPr rot="0" spcFirstLastPara="0" vertOverflow="overflow" horzOverflow="overflow" vert="vert"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93" o:spid="_x0000_s1084" type="#_x0000_t202" style="position:absolute;left:0;text-align:left;margin-left:-41.3pt;margin-top:14.75pt;width:32.3pt;height:453.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" filled="f" stroked="f" strokeweight=".5pt">
              <v:textbox style="layout-flow:vertical" inset="0,0,0,0">
                <w:txbxContent>
                  <w:p w:rsidR="00602F11" w:rsidRPr="00821C93" w:rsidRDefault="00602F11" w:rsidP="00CF08E3">
                    <w:pPr>
                      <w:pStyle w:val="Footer"/>
                      <w:tabs>
                        <w:tab w:val="clear" w:pos="9071"/>
                      </w:tabs>
                      <w:ind w:left="0" w:right="6803"/>
                      <w:jc w:val="left"/>
                    </w:pPr>
                    <w:r>
                      <w:fldChar w:fldCharType="begin"/>
                    </w:r>
                    <w:r>
                      <w:instrText xml:space="preserve"> PAGE </w:instrText>
                    </w:r>
                    <w:r>
                      <w:fldChar w:fldCharType="separate"/>
                    </w:r>
                    <w:r w:rsidR="00916DC0">
                      <w:rPr>
                        <w:noProof/>
                      </w:rPr>
                      <w:t>132</w:t>
                    </w:r>
                    <w:r>
                      <w:rPr>
                        <w:noProof/>
                      </w:rPr>
                      <w:fldChar w:fldCharType="end"/>
                    </w:r>
                  </w:p>
                </w:txbxContent>
              </v:textbox>
            </v:shape>
          </w:pict>
        </mc:Fallback>
      </mc:AlternateContent>
    </w:r>
    <w:r>
      <w:rPr>
        <w:noProof/>
        <w:lang w:val="ru-RU" w:eastAsia="zh-CN"/>
      </w:rPr>
      <mc:AlternateContent>
        <mc:Choice Requires="wps">
          <w:drawing>
            <wp:anchor distT="0" distB="0" distL="114935" distR="114935" simplePos="0" relativeHeight="251659264" behindDoc="0" locked="0" layoutInCell="1" allowOverlap="1" wp14:anchorId="104F3949" wp14:editId="4A554E21">
              <wp:simplePos x="0" y="0"/>
              <wp:positionH relativeFrom="column">
                <wp:posOffset>9129395</wp:posOffset>
              </wp:positionH>
              <wp:positionV relativeFrom="paragraph">
                <wp:posOffset>181610</wp:posOffset>
              </wp:positionV>
              <wp:extent cx="467995" cy="5795645"/>
              <wp:effectExtent l="0" t="0" r="8255" b="0"/>
              <wp:wrapSquare wrapText="bothSides"/>
              <wp:docPr id="94"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 cy="57956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602F11" w:rsidRPr="00DD77FC" w:rsidRDefault="00602F11" w:rsidP="00DD77FC">
                          <w:pPr>
                            <w:pStyle w:val="Header"/>
                            <w:rPr>
                              <w:lang w:val="ru-RU"/>
                            </w:rPr>
                          </w:pPr>
                          <w:r w:rsidRPr="00DD77FC">
                            <w:rPr>
                              <w:lang w:val="ru-RU"/>
                            </w:rPr>
                            <w:t xml:space="preserve">В26/2: Переход от существующих сетей к сетям последующих поколений </w:t>
                          </w:r>
                          <w:r w:rsidRPr="00DD77FC">
                            <w:rPr>
                              <w:cs/>
                            </w:rPr>
                            <w:t>‎</w:t>
                          </w:r>
                          <w:r w:rsidRPr="00DD77FC">
                            <w:rPr>
                              <w:lang w:val="ru-RU"/>
                            </w:rPr>
                            <w:t xml:space="preserve">для развивающихся стран: технические, регуляторные и политические </w:t>
                          </w:r>
                          <w:r w:rsidRPr="00DD77FC">
                            <w:rPr>
                              <w:cs/>
                            </w:rPr>
                            <w:t>‎</w:t>
                          </w:r>
                          <w:r w:rsidRPr="00DD77FC">
                            <w:rPr>
                              <w:lang w:val="ru-RU"/>
                            </w:rPr>
                            <w:t>аспекты</w:t>
                          </w:r>
                        </w:p>
                        <w:p w:rsidR="00602F11" w:rsidRPr="00DD77FC" w:rsidRDefault="00602F11" w:rsidP="00CF08E3">
                          <w:pPr>
                            <w:rPr>
                              <w:lang w:val="ru-RU"/>
                            </w:rPr>
                          </w:pPr>
                        </w:p>
                        <w:p w:rsidR="00602F11" w:rsidRDefault="00602F11" w:rsidP="00CF08E3">
                          <w:pPr>
                            <w:jc w:val="center"/>
                          </w:pPr>
                          <w:r w:rsidRPr="00E6584D">
                            <w:rPr>
                              <w:rFonts w:cs="Calibri"/>
                              <w:i/>
                              <w:iCs/>
                              <w:sz w:val="22"/>
                            </w:rPr>
                            <w:t>Gestion du spectre radioélectrique au Niger</w:t>
                          </w:r>
                        </w:p>
                      </w:txbxContent>
                    </wps:txbx>
                    <wps:bodyPr rot="0" vert="eaVert" wrap="square" lIns="0" tIns="0" rIns="0" bIns="0" anchor="t" anchorCtr="0" upright="1">
                      <a:noAutofit/>
                    </wps:bodyPr>
                  </wps:wsp>
                </a:graphicData>
              </a:graphic>
              <wp14:sizeRelH relativeFrom="page">
                <wp14:pctWidth>0</wp14:pctWidth>
              </wp14:sizeRelH>
              <wp14:sizeRelV relativeFrom="margin">
                <wp14:pctHeight>0</wp14:pctHeight>
              </wp14:sizeRelV>
            </wp:anchor>
          </w:drawing>
        </mc:Choice>
        <mc:Fallback>
          <w:pict>
            <v:shape id="Text Box 20" o:spid="_x0000_s1085" type="#_x0000_t202" style="position:absolute;left:0;text-align:left;margin-left:718.85pt;margin-top:14.3pt;width:36.85pt;height:456.35pt;z-index:25165926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" stroked="f" strokeweight=".5pt">
              <v:textbox style="layout-flow:vertical-ideographic" inset="0,0,0,0">
                <w:txbxContent>
                  <w:p w:rsidR="00602F11" w:rsidRPr="00DD77FC" w:rsidRDefault="00602F11" w:rsidP="00DD77FC">
                    <w:pPr>
                      <w:pStyle w:val="Header"/>
                      <w:rPr>
                        <w:lang w:val="ru-RU"/>
                      </w:rPr>
                    </w:pPr>
                    <w:r w:rsidRPr="00DD77FC">
                      <w:rPr>
                        <w:lang w:val="ru-RU"/>
                      </w:rPr>
                      <w:t xml:space="preserve">В26/2: Переход от существующих сетей к сетям последующих поколений </w:t>
                    </w:r>
                    <w:r w:rsidRPr="00DD77FC">
                      <w:rPr>
                        <w:cs/>
                      </w:rPr>
                      <w:t>‎</w:t>
                    </w:r>
                    <w:r w:rsidRPr="00DD77FC">
                      <w:rPr>
                        <w:lang w:val="ru-RU"/>
                      </w:rPr>
                      <w:t xml:space="preserve">для развивающихся стран: технические, регуляторные и политические </w:t>
                    </w:r>
                    <w:r w:rsidRPr="00DD77FC">
                      <w:rPr>
                        <w:cs/>
                      </w:rPr>
                      <w:t>‎</w:t>
                    </w:r>
                    <w:r w:rsidRPr="00DD77FC">
                      <w:rPr>
                        <w:lang w:val="ru-RU"/>
                      </w:rPr>
                      <w:t>аспекты</w:t>
                    </w:r>
                  </w:p>
                  <w:p w:rsidR="00602F11" w:rsidRPr="00DD77FC" w:rsidRDefault="00602F11" w:rsidP="00CF08E3">
                    <w:pPr>
                      <w:rPr>
                        <w:lang w:val="ru-RU"/>
                      </w:rPr>
                    </w:pPr>
                  </w:p>
                  <w:p w:rsidR="00602F11" w:rsidRDefault="00602F11" w:rsidP="00CF08E3">
                    <w:pPr>
                      <w:jc w:val="center"/>
                    </w:pPr>
                    <w:r w:rsidRPr="00E6584D">
                      <w:rPr>
                        <w:rFonts w:cs="Calibri"/>
                        <w:i/>
                        <w:iCs/>
                        <w:sz w:val="22"/>
                      </w:rPr>
                      <w:t>Gestion du spectre radioélectrique au Niger</w:t>
                    </w:r>
                  </w:p>
                </w:txbxContent>
              </v:textbox>
              <w10:wrap type="squar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2C81" w:rsidRPr="00DD77FC" w:rsidRDefault="00E32C81" w:rsidP="00E32C81">
    <w:pPr>
      <w:pStyle w:val="Header"/>
      <w:pBdr>
        <w:bottom w:val="none" w:sz="0" w:space="0" w:color="auto"/>
      </w:pBdr>
      <w:rPr>
        <w:lang w:val="ru-RU"/>
      </w:rPr>
    </w:pPr>
  </w:p>
  <w:p w:rsidR="00E32C81" w:rsidRPr="00DD77FC" w:rsidRDefault="00371791" w:rsidP="004310FE">
    <w:pPr>
      <w:rPr>
        <w:lang w:val="ru-RU"/>
      </w:rPr>
    </w:pPr>
    <w:r>
      <w:rPr>
        <w:noProof/>
        <w:lang w:val="ru-RU" w:eastAsia="zh-CN"/>
      </w:rPr>
      <mc:AlternateContent>
        <mc:Choice Requires="wps">
          <w:drawing>
            <wp:anchor distT="0" distB="0" distL="114300" distR="114300" simplePos="0" relativeHeight="251665408" behindDoc="0" locked="0" layoutInCell="1" allowOverlap="1" wp14:anchorId="22BC0818" wp14:editId="228F39D1">
              <wp:simplePos x="0" y="0"/>
              <wp:positionH relativeFrom="column">
                <wp:posOffset>-371475</wp:posOffset>
              </wp:positionH>
              <wp:positionV relativeFrom="paragraph">
                <wp:posOffset>339725</wp:posOffset>
              </wp:positionV>
              <wp:extent cx="410210" cy="5763260"/>
              <wp:effectExtent l="0" t="0" r="8890" b="8890"/>
              <wp:wrapNone/>
              <wp:docPr id="71" name="Text Box 71"/>
              <wp:cNvGraphicFramePr/>
              <a:graphic xmlns:a="http://schemas.openxmlformats.org/drawingml/2006/main">
                <a:graphicData uri="http://schemas.microsoft.com/office/word/2010/wordprocessingShape">
                  <wps:wsp>
                    <wps:cNvSpPr txBox="1"/>
                    <wps:spPr>
                      <a:xfrm>
                        <a:off x="0" y="0"/>
                        <a:ext cx="410210" cy="5763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71791" w:rsidRPr="00821C93" w:rsidRDefault="00371791" w:rsidP="00371791">
                          <w:pPr>
                            <w:pStyle w:val="Footer"/>
                            <w:tabs>
                              <w:tab w:val="clear" w:pos="9071"/>
                            </w:tabs>
                            <w:ind w:left="0" w:right="6803"/>
                            <w:jc w:val="left"/>
                          </w:pPr>
                          <w:r>
                            <w:fldChar w:fldCharType="begin"/>
                          </w:r>
                          <w:r>
                            <w:instrText xml:space="preserve"> PAGE </w:instrText>
                          </w:r>
                          <w:r>
                            <w:fldChar w:fldCharType="separate"/>
                          </w:r>
                          <w:r w:rsidR="00173FD5">
                            <w:rPr>
                              <w:noProof/>
                            </w:rPr>
                            <w:t>135</w:t>
                          </w:r>
                          <w:r>
                            <w:rPr>
                              <w:noProof/>
                            </w:rPr>
                            <w:fldChar w:fldCharType="end"/>
                          </w:r>
                        </w:p>
                      </w:txbxContent>
                    </wps:txbx>
                    <wps:bodyPr rot="0" spcFirstLastPara="0" vertOverflow="overflow" horzOverflow="overflow" vert="vert"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71" o:spid="_x0000_s1086" type="#_x0000_t202" style="position:absolute;left:0;text-align:left;margin-left:-29.25pt;margin-top:26.75pt;width:32.3pt;height:453.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" filled="f" stroked="f" strokeweight=".5pt">
              <v:textbox style="layout-flow:vertical" inset="0,0,0,0">
                <w:txbxContent>
                  <w:p w:rsidR="00371791" w:rsidRPr="00821C93" w:rsidRDefault="00371791" w:rsidP="00371791">
                    <w:pPr>
                      <w:pStyle w:val="Footer"/>
                      <w:tabs>
                        <w:tab w:val="clear" w:pos="9071"/>
                      </w:tabs>
                      <w:ind w:left="0" w:right="6803"/>
                      <w:jc w:val="left"/>
                    </w:pPr>
                    <w:r>
                      <w:fldChar w:fldCharType="begin"/>
                    </w:r>
                    <w:r>
                      <w:instrText xml:space="preserve"> PAGE </w:instrText>
                    </w:r>
                    <w:r>
                      <w:fldChar w:fldCharType="separate"/>
                    </w:r>
                    <w:r w:rsidR="00173FD5">
                      <w:rPr>
                        <w:noProof/>
                      </w:rPr>
                      <w:t>135</w:t>
                    </w:r>
                    <w:r>
                      <w:rPr>
                        <w:noProof/>
                      </w:rPr>
                      <w:fldChar w:fldCharType="end"/>
                    </w:r>
                  </w:p>
                </w:txbxContent>
              </v:textbox>
            </v:shape>
          </w:pict>
        </mc:Fallback>
      </mc:AlternateContent>
    </w:r>
    <w:r w:rsidR="00E32C81">
      <w:rPr>
        <w:noProof/>
        <w:lang w:val="ru-RU" w:eastAsia="zh-CN"/>
      </w:rPr>
      <mc:AlternateContent>
        <mc:Choice Requires="wps">
          <w:drawing>
            <wp:anchor distT="0" distB="0" distL="114935" distR="114935" simplePos="0" relativeHeight="251663360" behindDoc="0" locked="0" layoutInCell="1" allowOverlap="1" wp14:anchorId="6BA9CA22" wp14:editId="6BBC77EE">
              <wp:simplePos x="0" y="0"/>
              <wp:positionH relativeFrom="column">
                <wp:posOffset>9281795</wp:posOffset>
              </wp:positionH>
              <wp:positionV relativeFrom="paragraph">
                <wp:posOffset>139065</wp:posOffset>
              </wp:positionV>
              <wp:extent cx="467995" cy="5795645"/>
              <wp:effectExtent l="0" t="0" r="8255" b="0"/>
              <wp:wrapSquare wrapText="bothSides"/>
              <wp:docPr id="3809"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 cy="57956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E32C81" w:rsidRPr="00DD77FC" w:rsidRDefault="00E32C81" w:rsidP="00E32C81">
                          <w:pPr>
                            <w:pStyle w:val="Header"/>
                            <w:rPr>
                              <w:lang w:val="ru-RU"/>
                            </w:rPr>
                          </w:pPr>
                          <w:r w:rsidRPr="00DD77FC">
                            <w:rPr>
                              <w:lang w:val="ru-RU"/>
                            </w:rPr>
                            <w:t xml:space="preserve">В26/2: Переход от существующих сетей к сетям последующих поколений </w:t>
                          </w:r>
                          <w:r w:rsidRPr="00DD77FC">
                            <w:rPr>
                              <w:cs/>
                            </w:rPr>
                            <w:t>‎</w:t>
                          </w:r>
                          <w:r w:rsidRPr="00DD77FC">
                            <w:rPr>
                              <w:lang w:val="ru-RU"/>
                            </w:rPr>
                            <w:t xml:space="preserve">для развивающихся стран: технические, регуляторные и политические </w:t>
                          </w:r>
                          <w:r w:rsidRPr="00DD77FC">
                            <w:rPr>
                              <w:cs/>
                            </w:rPr>
                            <w:t>‎</w:t>
                          </w:r>
                          <w:r w:rsidRPr="00DD77FC">
                            <w:rPr>
                              <w:lang w:val="ru-RU"/>
                            </w:rPr>
                            <w:t>аспекты</w:t>
                          </w:r>
                        </w:p>
                        <w:p w:rsidR="00E32C81" w:rsidRPr="00DD77FC" w:rsidRDefault="00E32C81" w:rsidP="00E32C81">
                          <w:pPr>
                            <w:rPr>
                              <w:lang w:val="ru-RU"/>
                            </w:rPr>
                          </w:pPr>
                        </w:p>
                        <w:p w:rsidR="00E32C81" w:rsidRDefault="00E32C81" w:rsidP="00E32C81">
                          <w:pPr>
                            <w:jc w:val="center"/>
                          </w:pPr>
                          <w:r w:rsidRPr="00E6584D">
                            <w:rPr>
                              <w:rFonts w:cs="Calibri"/>
                              <w:i/>
                              <w:iCs/>
                              <w:sz w:val="22"/>
                            </w:rPr>
                            <w:t>Gestion du spectre radioélectrique au Niger</w:t>
                          </w:r>
                        </w:p>
                      </w:txbxContent>
                    </wps:txbx>
                    <wps:bodyPr rot="0" vert="eaVert" wrap="square" lIns="0" tIns="0" rIns="0" bIns="0" anchor="t" anchorCtr="0" upright="1">
                      <a:noAutofit/>
                    </wps:bodyPr>
                  </wps:wsp>
                </a:graphicData>
              </a:graphic>
              <wp14:sizeRelH relativeFrom="page">
                <wp14:pctWidth>0</wp14:pctWidth>
              </wp14:sizeRelH>
              <wp14:sizeRelV relativeFrom="margin">
                <wp14:pctHeight>0</wp14:pctHeight>
              </wp14:sizeRelV>
            </wp:anchor>
          </w:drawing>
        </mc:Choice>
        <mc:Fallback>
          <w:pict>
            <v:shape id="_x0000_s1087" type="#_x0000_t202" style="position:absolute;left:0;text-align:left;margin-left:730.85pt;margin-top:10.95pt;width:36.85pt;height:456.35pt;z-index:25166336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" stroked="f" strokeweight=".5pt">
              <v:textbox style="layout-flow:vertical-ideographic" inset="0,0,0,0">
                <w:txbxContent>
                  <w:p w:rsidR="00E32C81" w:rsidRPr="00DD77FC" w:rsidRDefault="00E32C81" w:rsidP="00E32C81">
                    <w:pPr>
                      <w:pStyle w:val="Header"/>
                      <w:rPr>
                        <w:lang w:val="ru-RU"/>
                      </w:rPr>
                    </w:pPr>
                    <w:r w:rsidRPr="00DD77FC">
                      <w:rPr>
                        <w:lang w:val="ru-RU"/>
                      </w:rPr>
                      <w:t xml:space="preserve">В26/2: Переход от существующих сетей к сетям последующих поколений </w:t>
                    </w:r>
                    <w:r w:rsidRPr="00DD77FC">
                      <w:rPr>
                        <w:cs/>
                      </w:rPr>
                      <w:t>‎</w:t>
                    </w:r>
                    <w:r w:rsidRPr="00DD77FC">
                      <w:rPr>
                        <w:lang w:val="ru-RU"/>
                      </w:rPr>
                      <w:t xml:space="preserve">для развивающихся стран: технические, регуляторные и политические </w:t>
                    </w:r>
                    <w:r w:rsidRPr="00DD77FC">
                      <w:rPr>
                        <w:cs/>
                      </w:rPr>
                      <w:t>‎</w:t>
                    </w:r>
                    <w:r w:rsidRPr="00DD77FC">
                      <w:rPr>
                        <w:lang w:val="ru-RU"/>
                      </w:rPr>
                      <w:t>аспекты</w:t>
                    </w:r>
                  </w:p>
                  <w:p w:rsidR="00E32C81" w:rsidRPr="00DD77FC" w:rsidRDefault="00E32C81" w:rsidP="00E32C81">
                    <w:pPr>
                      <w:rPr>
                        <w:lang w:val="ru-RU"/>
                      </w:rPr>
                    </w:pPr>
                  </w:p>
                  <w:p w:rsidR="00E32C81" w:rsidRDefault="00E32C81" w:rsidP="00E32C81">
                    <w:pPr>
                      <w:jc w:val="center"/>
                    </w:pPr>
                    <w:r w:rsidRPr="00E6584D">
                      <w:rPr>
                        <w:rFonts w:cs="Calibri"/>
                        <w:i/>
                        <w:iCs/>
                        <w:sz w:val="22"/>
                      </w:rPr>
                      <w:t>Gestion du spectre radioélectrique au Niger</w:t>
                    </w:r>
                  </w:p>
                </w:txbxContent>
              </v:textbox>
              <w10:wrap type="squar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2F11" w:rsidRPr="00DD77FC" w:rsidRDefault="00602F11" w:rsidP="00A2139E">
    <w:pPr>
      <w:pStyle w:val="Header"/>
      <w:rPr>
        <w:lang w:val="ru-RU"/>
      </w:rPr>
    </w:pPr>
    <w:r>
      <w:rPr>
        <w:rStyle w:val="PageNumber"/>
        <w:lang w:val="ru-RU"/>
      </w:rPr>
      <w:t>В</w:t>
    </w:r>
    <w:r w:rsidRPr="00DD77FC">
      <w:rPr>
        <w:rStyle w:val="PageNumber"/>
        <w:lang w:val="ru-RU"/>
      </w:rPr>
      <w:t xml:space="preserve">26/2: </w:t>
    </w:r>
    <w:r w:rsidRPr="00DD77FC">
      <w:rPr>
        <w:lang w:val="ru-RU"/>
      </w:rPr>
      <w:t xml:space="preserve">Переход от существующих сетей к сетям последующих поколений </w:t>
    </w:r>
    <w:r w:rsidRPr="00DD77FC">
      <w:rPr>
        <w:cs/>
      </w:rPr>
      <w:t>‎</w:t>
    </w:r>
    <w:r w:rsidRPr="00DD77FC">
      <w:rPr>
        <w:lang w:val="ru-RU"/>
      </w:rPr>
      <w:t xml:space="preserve">для развивающихся стран: технические, регуляторные и политические </w:t>
    </w:r>
    <w:r w:rsidRPr="00DD77FC">
      <w:rPr>
        <w:cs/>
      </w:rPr>
      <w:t>‎</w:t>
    </w:r>
    <w:r w:rsidRPr="00DD77FC">
      <w:rPr>
        <w:lang w:val="ru-RU"/>
      </w:rPr>
      <w:t>аспекты</w:t>
    </w:r>
  </w:p>
  <w:p w:rsidR="00602F11" w:rsidRPr="00DD77FC" w:rsidRDefault="00602F11" w:rsidP="00BA2B62">
    <w:pPr>
      <w:rPr>
        <w:lang w:val="ru-RU"/>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2F11" w:rsidRPr="00DD77FC" w:rsidRDefault="00602F11" w:rsidP="00A2139E">
    <w:pPr>
      <w:pStyle w:val="Header"/>
      <w:rPr>
        <w:lang w:val="ru-RU"/>
      </w:rPr>
    </w:pPr>
    <w:r>
      <w:rPr>
        <w:rStyle w:val="PageNumber"/>
        <w:lang w:val="ru-RU"/>
      </w:rPr>
      <w:t>В</w:t>
    </w:r>
    <w:r w:rsidRPr="00DD77FC">
      <w:rPr>
        <w:rStyle w:val="PageNumber"/>
        <w:lang w:val="ru-RU"/>
      </w:rPr>
      <w:t xml:space="preserve">26/2: </w:t>
    </w:r>
    <w:r w:rsidRPr="00DD77FC">
      <w:rPr>
        <w:lang w:val="ru-RU"/>
      </w:rPr>
      <w:t xml:space="preserve">Переход от существующих сетей к сетям последующих поколений </w:t>
    </w:r>
    <w:r w:rsidRPr="00DD77FC">
      <w:rPr>
        <w:cs/>
      </w:rPr>
      <w:t>‎</w:t>
    </w:r>
    <w:r w:rsidRPr="00DD77FC">
      <w:rPr>
        <w:lang w:val="ru-RU"/>
      </w:rPr>
      <w:t xml:space="preserve">для развивающихся стран: технические, регуляторные и политические </w:t>
    </w:r>
    <w:r w:rsidRPr="00DD77FC">
      <w:rPr>
        <w:cs/>
      </w:rPr>
      <w:t>‎</w:t>
    </w:r>
    <w:r w:rsidRPr="00DD77FC">
      <w:rPr>
        <w:lang w:val="ru-RU"/>
      </w:rPr>
      <w:t>аспекты</w:t>
    </w:r>
  </w:p>
  <w:p w:rsidR="00602F11" w:rsidRPr="00DD77FC" w:rsidRDefault="00602F11" w:rsidP="00075AC8">
    <w:pPr>
      <w:rPr>
        <w:lang w:val="ru-RU"/>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B4599C"/>
    <w:multiLevelType w:val="multilevel"/>
    <w:tmpl w:val="38A6C67E"/>
    <w:name w:val="structure3"/>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nsid w:val="060E63F7"/>
    <w:multiLevelType w:val="multilevel"/>
    <w:tmpl w:val="C17C2C62"/>
    <w:lvl w:ilvl="0">
      <w:start w:val="1"/>
      <w:numFmt w:val="none"/>
      <w:suff w:val="space"/>
      <w:lvlText w:val=""/>
      <w:lvlJc w:val="left"/>
      <w:rPr>
        <w:rFonts w:ascii="Times New Roman Bold" w:hAnsi="Times New Roman Bold" w:cs="Times New Roman" w:hint="default"/>
        <w:b/>
        <w:i w:val="0"/>
        <w:caps/>
        <w:sz w:val="28"/>
      </w:rPr>
    </w:lvl>
    <w:lvl w:ilvl="1">
      <w:start w:val="1"/>
      <w:numFmt w:val="none"/>
      <w:suff w:val="nothing"/>
      <w:lvlText w:val=""/>
      <w:lvlJc w:val="left"/>
      <w:rPr>
        <w:rFonts w:cs="Times New Roman" w:hint="default"/>
      </w:rPr>
    </w:lvl>
    <w:lvl w:ilvl="2">
      <w:start w:val="1"/>
      <w:numFmt w:val="none"/>
      <w:suff w:val="nothing"/>
      <w:lvlText w:val=""/>
      <w:lvlJc w:val="left"/>
      <w:rPr>
        <w:rFonts w:cs="Times New Roman" w:hint="default"/>
      </w:rPr>
    </w:lvl>
    <w:lvl w:ilvl="3">
      <w:start w:val="1"/>
      <w:numFmt w:val="none"/>
      <w:suff w:val="nothing"/>
      <w:lvlText w:val=""/>
      <w:lvlJc w:val="left"/>
      <w:rPr>
        <w:rFonts w:cs="Times New Roman" w:hint="default"/>
      </w:rPr>
    </w:lvl>
    <w:lvl w:ilvl="4">
      <w:start w:val="1"/>
      <w:numFmt w:val="none"/>
      <w:suff w:val="nothing"/>
      <w:lvlText w:val=""/>
      <w:lvlJc w:val="left"/>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2">
    <w:nsid w:val="08280A3B"/>
    <w:multiLevelType w:val="multilevel"/>
    <w:tmpl w:val="0809001D"/>
    <w:name w:val="RD_Hierarchie_Titres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0C792EE6"/>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4">
    <w:nsid w:val="0CDB62CE"/>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5">
    <w:nsid w:val="13A420F8"/>
    <w:multiLevelType w:val="hybridMultilevel"/>
    <w:tmpl w:val="207813A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1C8719B8"/>
    <w:multiLevelType w:val="hybridMultilevel"/>
    <w:tmpl w:val="DAB4DEC2"/>
    <w:lvl w:ilvl="0" w:tplc="FB26912E">
      <w:start w:val="1"/>
      <w:numFmt w:val="lowerLetter"/>
      <w:lvlText w:val="%1)"/>
      <w:lvlJc w:val="left"/>
      <w:pPr>
        <w:ind w:left="1080" w:hanging="400"/>
      </w:pPr>
      <w:rPr>
        <w:rFonts w:ascii="Verdana" w:hAnsi="Verdana" w:hint="default"/>
        <w:sz w:val="19"/>
        <w:szCs w:val="19"/>
      </w:rPr>
    </w:lvl>
    <w:lvl w:ilvl="1" w:tplc="04090019" w:tentative="1">
      <w:start w:val="1"/>
      <w:numFmt w:val="upperLetter"/>
      <w:lvlText w:val="%2."/>
      <w:lvlJc w:val="left"/>
      <w:pPr>
        <w:ind w:left="1480" w:hanging="400"/>
      </w:pPr>
    </w:lvl>
    <w:lvl w:ilvl="2" w:tplc="0409001B" w:tentative="1">
      <w:start w:val="1"/>
      <w:numFmt w:val="lowerRoman"/>
      <w:lvlText w:val="%3."/>
      <w:lvlJc w:val="right"/>
      <w:pPr>
        <w:ind w:left="1880" w:hanging="400"/>
      </w:pPr>
    </w:lvl>
    <w:lvl w:ilvl="3" w:tplc="0409000F" w:tentative="1">
      <w:start w:val="1"/>
      <w:numFmt w:val="decimal"/>
      <w:lvlText w:val="%4."/>
      <w:lvlJc w:val="left"/>
      <w:pPr>
        <w:ind w:left="2280" w:hanging="400"/>
      </w:pPr>
    </w:lvl>
    <w:lvl w:ilvl="4" w:tplc="04090019" w:tentative="1">
      <w:start w:val="1"/>
      <w:numFmt w:val="upperLetter"/>
      <w:lvlText w:val="%5."/>
      <w:lvlJc w:val="left"/>
      <w:pPr>
        <w:ind w:left="2680" w:hanging="400"/>
      </w:pPr>
    </w:lvl>
    <w:lvl w:ilvl="5" w:tplc="0409001B" w:tentative="1">
      <w:start w:val="1"/>
      <w:numFmt w:val="lowerRoman"/>
      <w:lvlText w:val="%6."/>
      <w:lvlJc w:val="right"/>
      <w:pPr>
        <w:ind w:left="3080" w:hanging="400"/>
      </w:pPr>
    </w:lvl>
    <w:lvl w:ilvl="6" w:tplc="0409000F" w:tentative="1">
      <w:start w:val="1"/>
      <w:numFmt w:val="decimal"/>
      <w:lvlText w:val="%7."/>
      <w:lvlJc w:val="left"/>
      <w:pPr>
        <w:ind w:left="3480" w:hanging="400"/>
      </w:pPr>
    </w:lvl>
    <w:lvl w:ilvl="7" w:tplc="04090019" w:tentative="1">
      <w:start w:val="1"/>
      <w:numFmt w:val="upperLetter"/>
      <w:lvlText w:val="%8."/>
      <w:lvlJc w:val="left"/>
      <w:pPr>
        <w:ind w:left="3880" w:hanging="400"/>
      </w:pPr>
    </w:lvl>
    <w:lvl w:ilvl="8" w:tplc="0409001B" w:tentative="1">
      <w:start w:val="1"/>
      <w:numFmt w:val="lowerRoman"/>
      <w:lvlText w:val="%9."/>
      <w:lvlJc w:val="right"/>
      <w:pPr>
        <w:ind w:left="4280" w:hanging="400"/>
      </w:pPr>
    </w:lvl>
  </w:abstractNum>
  <w:abstractNum w:abstractNumId="7">
    <w:nsid w:val="1FF365E2"/>
    <w:multiLevelType w:val="hybridMultilevel"/>
    <w:tmpl w:val="A3D002A0"/>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043"/>
        </w:tabs>
        <w:ind w:left="1043" w:hanging="360"/>
      </w:pPr>
      <w:rPr>
        <w:rFonts w:cs="Times New Roman"/>
      </w:rPr>
    </w:lvl>
    <w:lvl w:ilvl="2" w:tplc="0409001B" w:tentative="1">
      <w:start w:val="1"/>
      <w:numFmt w:val="lowerRoman"/>
      <w:lvlText w:val="%3."/>
      <w:lvlJc w:val="right"/>
      <w:pPr>
        <w:tabs>
          <w:tab w:val="num" w:pos="1763"/>
        </w:tabs>
        <w:ind w:left="1763" w:hanging="180"/>
      </w:pPr>
      <w:rPr>
        <w:rFonts w:cs="Times New Roman"/>
      </w:rPr>
    </w:lvl>
    <w:lvl w:ilvl="3" w:tplc="0409000F" w:tentative="1">
      <w:start w:val="1"/>
      <w:numFmt w:val="decimal"/>
      <w:lvlText w:val="%4."/>
      <w:lvlJc w:val="left"/>
      <w:pPr>
        <w:tabs>
          <w:tab w:val="num" w:pos="2483"/>
        </w:tabs>
        <w:ind w:left="2483" w:hanging="360"/>
      </w:pPr>
      <w:rPr>
        <w:rFonts w:cs="Times New Roman"/>
      </w:rPr>
    </w:lvl>
    <w:lvl w:ilvl="4" w:tplc="04090019" w:tentative="1">
      <w:start w:val="1"/>
      <w:numFmt w:val="lowerLetter"/>
      <w:lvlText w:val="%5."/>
      <w:lvlJc w:val="left"/>
      <w:pPr>
        <w:tabs>
          <w:tab w:val="num" w:pos="3203"/>
        </w:tabs>
        <w:ind w:left="3203" w:hanging="360"/>
      </w:pPr>
      <w:rPr>
        <w:rFonts w:cs="Times New Roman"/>
      </w:rPr>
    </w:lvl>
    <w:lvl w:ilvl="5" w:tplc="0409001B" w:tentative="1">
      <w:start w:val="1"/>
      <w:numFmt w:val="lowerRoman"/>
      <w:lvlText w:val="%6."/>
      <w:lvlJc w:val="right"/>
      <w:pPr>
        <w:tabs>
          <w:tab w:val="num" w:pos="3923"/>
        </w:tabs>
        <w:ind w:left="3923" w:hanging="180"/>
      </w:pPr>
      <w:rPr>
        <w:rFonts w:cs="Times New Roman"/>
      </w:rPr>
    </w:lvl>
    <w:lvl w:ilvl="6" w:tplc="0409000F" w:tentative="1">
      <w:start w:val="1"/>
      <w:numFmt w:val="decimal"/>
      <w:lvlText w:val="%7."/>
      <w:lvlJc w:val="left"/>
      <w:pPr>
        <w:tabs>
          <w:tab w:val="num" w:pos="4643"/>
        </w:tabs>
        <w:ind w:left="4643" w:hanging="360"/>
      </w:pPr>
      <w:rPr>
        <w:rFonts w:cs="Times New Roman"/>
      </w:rPr>
    </w:lvl>
    <w:lvl w:ilvl="7" w:tplc="04090019" w:tentative="1">
      <w:start w:val="1"/>
      <w:numFmt w:val="lowerLetter"/>
      <w:lvlText w:val="%8."/>
      <w:lvlJc w:val="left"/>
      <w:pPr>
        <w:tabs>
          <w:tab w:val="num" w:pos="5363"/>
        </w:tabs>
        <w:ind w:left="5363" w:hanging="360"/>
      </w:pPr>
      <w:rPr>
        <w:rFonts w:cs="Times New Roman"/>
      </w:rPr>
    </w:lvl>
    <w:lvl w:ilvl="8" w:tplc="0409001B" w:tentative="1">
      <w:start w:val="1"/>
      <w:numFmt w:val="lowerRoman"/>
      <w:lvlText w:val="%9."/>
      <w:lvlJc w:val="right"/>
      <w:pPr>
        <w:tabs>
          <w:tab w:val="num" w:pos="6083"/>
        </w:tabs>
        <w:ind w:left="6083" w:hanging="180"/>
      </w:pPr>
      <w:rPr>
        <w:rFonts w:cs="Times New Roman"/>
      </w:rPr>
    </w:lvl>
  </w:abstractNum>
  <w:abstractNum w:abstractNumId="8">
    <w:nsid w:val="227636A0"/>
    <w:multiLevelType w:val="hybridMultilevel"/>
    <w:tmpl w:val="3F9A63F4"/>
    <w:lvl w:ilvl="0" w:tplc="04090001">
      <w:start w:val="1"/>
      <w:numFmt w:val="bullet"/>
      <w:lvlText w:val=""/>
      <w:lvlJc w:val="left"/>
      <w:pPr>
        <w:tabs>
          <w:tab w:val="num" w:pos="400"/>
        </w:tabs>
        <w:ind w:left="400" w:hanging="400"/>
      </w:pPr>
      <w:rPr>
        <w:rFonts w:ascii="Symbol" w:hAnsi="Symbol" w:hint="default"/>
      </w:rPr>
    </w:lvl>
    <w:lvl w:ilvl="1" w:tplc="04090003">
      <w:start w:val="1"/>
      <w:numFmt w:val="bullet"/>
      <w:lvlText w:val="o"/>
      <w:lvlJc w:val="left"/>
      <w:pPr>
        <w:ind w:left="640" w:hanging="360"/>
      </w:pPr>
      <w:rPr>
        <w:rFonts w:ascii="Courier New" w:hAnsi="Courier New" w:cs="Courier New" w:hint="default"/>
      </w:rPr>
    </w:lvl>
    <w:lvl w:ilvl="2" w:tplc="04090005" w:tentative="1">
      <w:start w:val="1"/>
      <w:numFmt w:val="bullet"/>
      <w:lvlText w:val=""/>
      <w:lvlJc w:val="left"/>
      <w:pPr>
        <w:ind w:left="1360" w:hanging="360"/>
      </w:pPr>
      <w:rPr>
        <w:rFonts w:ascii="Wingdings" w:hAnsi="Wingdings" w:hint="default"/>
      </w:rPr>
    </w:lvl>
    <w:lvl w:ilvl="3" w:tplc="04090001" w:tentative="1">
      <w:start w:val="1"/>
      <w:numFmt w:val="bullet"/>
      <w:lvlText w:val=""/>
      <w:lvlJc w:val="left"/>
      <w:pPr>
        <w:ind w:left="2080" w:hanging="360"/>
      </w:pPr>
      <w:rPr>
        <w:rFonts w:ascii="Symbol" w:hAnsi="Symbol" w:hint="default"/>
      </w:rPr>
    </w:lvl>
    <w:lvl w:ilvl="4" w:tplc="04090003" w:tentative="1">
      <w:start w:val="1"/>
      <w:numFmt w:val="bullet"/>
      <w:lvlText w:val="o"/>
      <w:lvlJc w:val="left"/>
      <w:pPr>
        <w:ind w:left="2800" w:hanging="360"/>
      </w:pPr>
      <w:rPr>
        <w:rFonts w:ascii="Courier New" w:hAnsi="Courier New" w:cs="Courier New" w:hint="default"/>
      </w:rPr>
    </w:lvl>
    <w:lvl w:ilvl="5" w:tplc="04090005" w:tentative="1">
      <w:start w:val="1"/>
      <w:numFmt w:val="bullet"/>
      <w:lvlText w:val=""/>
      <w:lvlJc w:val="left"/>
      <w:pPr>
        <w:ind w:left="3520" w:hanging="360"/>
      </w:pPr>
      <w:rPr>
        <w:rFonts w:ascii="Wingdings" w:hAnsi="Wingdings" w:hint="default"/>
      </w:rPr>
    </w:lvl>
    <w:lvl w:ilvl="6" w:tplc="04090001" w:tentative="1">
      <w:start w:val="1"/>
      <w:numFmt w:val="bullet"/>
      <w:lvlText w:val=""/>
      <w:lvlJc w:val="left"/>
      <w:pPr>
        <w:ind w:left="4240" w:hanging="360"/>
      </w:pPr>
      <w:rPr>
        <w:rFonts w:ascii="Symbol" w:hAnsi="Symbol" w:hint="default"/>
      </w:rPr>
    </w:lvl>
    <w:lvl w:ilvl="7" w:tplc="04090003" w:tentative="1">
      <w:start w:val="1"/>
      <w:numFmt w:val="bullet"/>
      <w:lvlText w:val="o"/>
      <w:lvlJc w:val="left"/>
      <w:pPr>
        <w:ind w:left="4960" w:hanging="360"/>
      </w:pPr>
      <w:rPr>
        <w:rFonts w:ascii="Courier New" w:hAnsi="Courier New" w:cs="Courier New" w:hint="default"/>
      </w:rPr>
    </w:lvl>
    <w:lvl w:ilvl="8" w:tplc="04090005" w:tentative="1">
      <w:start w:val="1"/>
      <w:numFmt w:val="bullet"/>
      <w:lvlText w:val=""/>
      <w:lvlJc w:val="left"/>
      <w:pPr>
        <w:ind w:left="5680" w:hanging="360"/>
      </w:pPr>
      <w:rPr>
        <w:rFonts w:ascii="Wingdings" w:hAnsi="Wingdings" w:hint="default"/>
      </w:rPr>
    </w:lvl>
  </w:abstractNum>
  <w:abstractNum w:abstractNumId="9">
    <w:nsid w:val="233E3155"/>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0">
    <w:nsid w:val="26677578"/>
    <w:multiLevelType w:val="multilevel"/>
    <w:tmpl w:val="040C001D"/>
    <w:name w:val="structure3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nsid w:val="2CAC0A86"/>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2">
    <w:nsid w:val="2DC6539C"/>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3">
    <w:nsid w:val="3501160B"/>
    <w:multiLevelType w:val="multilevel"/>
    <w:tmpl w:val="9BDCEE40"/>
    <w:name w:val="structure"/>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2694" w:firstLine="0"/>
      </w:pPr>
      <w:rPr>
        <w:rFonts w:ascii="Helvetica" w:hAnsi="Helvetica" w:hint="default"/>
        <w:b/>
        <w:i w:val="0"/>
        <w:color w:val="003399"/>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4679"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4">
    <w:nsid w:val="355A70D3"/>
    <w:multiLevelType w:val="multilevel"/>
    <w:tmpl w:val="3B080C46"/>
    <w:name w:val="structure4"/>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5">
    <w:nsid w:val="35E41AEE"/>
    <w:multiLevelType w:val="hybridMultilevel"/>
    <w:tmpl w:val="C78015C8"/>
    <w:lvl w:ilvl="0" w:tplc="FB26912E">
      <w:start w:val="1"/>
      <w:numFmt w:val="lowerLetter"/>
      <w:lvlText w:val="%1)"/>
      <w:lvlJc w:val="left"/>
      <w:pPr>
        <w:ind w:left="3338" w:hanging="360"/>
      </w:pPr>
      <w:rPr>
        <w:rFonts w:ascii="Verdana" w:hAnsi="Verdana" w:hint="default"/>
        <w:sz w:val="19"/>
        <w:szCs w:val="19"/>
      </w:rPr>
    </w:lvl>
    <w:lvl w:ilvl="1" w:tplc="04090019" w:tentative="1">
      <w:start w:val="1"/>
      <w:numFmt w:val="lowerLetter"/>
      <w:lvlText w:val="%2."/>
      <w:lvlJc w:val="left"/>
      <w:pPr>
        <w:ind w:left="4058" w:hanging="360"/>
      </w:pPr>
    </w:lvl>
    <w:lvl w:ilvl="2" w:tplc="0409001B" w:tentative="1">
      <w:start w:val="1"/>
      <w:numFmt w:val="lowerRoman"/>
      <w:lvlText w:val="%3."/>
      <w:lvlJc w:val="right"/>
      <w:pPr>
        <w:ind w:left="4778" w:hanging="180"/>
      </w:pPr>
    </w:lvl>
    <w:lvl w:ilvl="3" w:tplc="0409000F" w:tentative="1">
      <w:start w:val="1"/>
      <w:numFmt w:val="decimal"/>
      <w:lvlText w:val="%4."/>
      <w:lvlJc w:val="left"/>
      <w:pPr>
        <w:ind w:left="5498" w:hanging="360"/>
      </w:pPr>
    </w:lvl>
    <w:lvl w:ilvl="4" w:tplc="04090019" w:tentative="1">
      <w:start w:val="1"/>
      <w:numFmt w:val="lowerLetter"/>
      <w:lvlText w:val="%5."/>
      <w:lvlJc w:val="left"/>
      <w:pPr>
        <w:ind w:left="6218" w:hanging="360"/>
      </w:pPr>
    </w:lvl>
    <w:lvl w:ilvl="5" w:tplc="0409001B" w:tentative="1">
      <w:start w:val="1"/>
      <w:numFmt w:val="lowerRoman"/>
      <w:lvlText w:val="%6."/>
      <w:lvlJc w:val="right"/>
      <w:pPr>
        <w:ind w:left="6938" w:hanging="180"/>
      </w:pPr>
    </w:lvl>
    <w:lvl w:ilvl="6" w:tplc="0409000F" w:tentative="1">
      <w:start w:val="1"/>
      <w:numFmt w:val="decimal"/>
      <w:lvlText w:val="%7."/>
      <w:lvlJc w:val="left"/>
      <w:pPr>
        <w:ind w:left="7658" w:hanging="360"/>
      </w:pPr>
    </w:lvl>
    <w:lvl w:ilvl="7" w:tplc="04090019" w:tentative="1">
      <w:start w:val="1"/>
      <w:numFmt w:val="lowerLetter"/>
      <w:lvlText w:val="%8."/>
      <w:lvlJc w:val="left"/>
      <w:pPr>
        <w:ind w:left="8378" w:hanging="360"/>
      </w:pPr>
    </w:lvl>
    <w:lvl w:ilvl="8" w:tplc="0409001B" w:tentative="1">
      <w:start w:val="1"/>
      <w:numFmt w:val="lowerRoman"/>
      <w:lvlText w:val="%9."/>
      <w:lvlJc w:val="right"/>
      <w:pPr>
        <w:ind w:left="9098" w:hanging="180"/>
      </w:pPr>
    </w:lvl>
  </w:abstractNum>
  <w:abstractNum w:abstractNumId="16">
    <w:nsid w:val="392A4170"/>
    <w:multiLevelType w:val="hybridMultilevel"/>
    <w:tmpl w:val="9D1A7B86"/>
    <w:lvl w:ilvl="0" w:tplc="04090001">
      <w:start w:val="1"/>
      <w:numFmt w:val="bullet"/>
      <w:lvlText w:val=""/>
      <w:lvlJc w:val="left"/>
      <w:pPr>
        <w:tabs>
          <w:tab w:val="num" w:pos="400"/>
        </w:tabs>
        <w:ind w:left="400" w:hanging="400"/>
      </w:pPr>
      <w:rPr>
        <w:rFonts w:ascii="Symbol" w:hAnsi="Symbol" w:hint="default"/>
      </w:rPr>
    </w:lvl>
    <w:lvl w:ilvl="1" w:tplc="04090003" w:tentative="1">
      <w:start w:val="1"/>
      <w:numFmt w:val="bullet"/>
      <w:lvlText w:val="o"/>
      <w:lvlJc w:val="left"/>
      <w:pPr>
        <w:ind w:left="640" w:hanging="360"/>
      </w:pPr>
      <w:rPr>
        <w:rFonts w:ascii="Courier New" w:hAnsi="Courier New" w:cs="Courier New" w:hint="default"/>
      </w:rPr>
    </w:lvl>
    <w:lvl w:ilvl="2" w:tplc="04090005" w:tentative="1">
      <w:start w:val="1"/>
      <w:numFmt w:val="bullet"/>
      <w:lvlText w:val=""/>
      <w:lvlJc w:val="left"/>
      <w:pPr>
        <w:ind w:left="1360" w:hanging="360"/>
      </w:pPr>
      <w:rPr>
        <w:rFonts w:ascii="Wingdings" w:hAnsi="Wingdings" w:hint="default"/>
      </w:rPr>
    </w:lvl>
    <w:lvl w:ilvl="3" w:tplc="04090001" w:tentative="1">
      <w:start w:val="1"/>
      <w:numFmt w:val="bullet"/>
      <w:lvlText w:val=""/>
      <w:lvlJc w:val="left"/>
      <w:pPr>
        <w:ind w:left="2080" w:hanging="360"/>
      </w:pPr>
      <w:rPr>
        <w:rFonts w:ascii="Symbol" w:hAnsi="Symbol" w:hint="default"/>
      </w:rPr>
    </w:lvl>
    <w:lvl w:ilvl="4" w:tplc="04090003" w:tentative="1">
      <w:start w:val="1"/>
      <w:numFmt w:val="bullet"/>
      <w:lvlText w:val="o"/>
      <w:lvlJc w:val="left"/>
      <w:pPr>
        <w:ind w:left="2800" w:hanging="360"/>
      </w:pPr>
      <w:rPr>
        <w:rFonts w:ascii="Courier New" w:hAnsi="Courier New" w:cs="Courier New" w:hint="default"/>
      </w:rPr>
    </w:lvl>
    <w:lvl w:ilvl="5" w:tplc="04090005" w:tentative="1">
      <w:start w:val="1"/>
      <w:numFmt w:val="bullet"/>
      <w:lvlText w:val=""/>
      <w:lvlJc w:val="left"/>
      <w:pPr>
        <w:ind w:left="3520" w:hanging="360"/>
      </w:pPr>
      <w:rPr>
        <w:rFonts w:ascii="Wingdings" w:hAnsi="Wingdings" w:hint="default"/>
      </w:rPr>
    </w:lvl>
    <w:lvl w:ilvl="6" w:tplc="04090001" w:tentative="1">
      <w:start w:val="1"/>
      <w:numFmt w:val="bullet"/>
      <w:lvlText w:val=""/>
      <w:lvlJc w:val="left"/>
      <w:pPr>
        <w:ind w:left="4240" w:hanging="360"/>
      </w:pPr>
      <w:rPr>
        <w:rFonts w:ascii="Symbol" w:hAnsi="Symbol" w:hint="default"/>
      </w:rPr>
    </w:lvl>
    <w:lvl w:ilvl="7" w:tplc="04090003" w:tentative="1">
      <w:start w:val="1"/>
      <w:numFmt w:val="bullet"/>
      <w:lvlText w:val="o"/>
      <w:lvlJc w:val="left"/>
      <w:pPr>
        <w:ind w:left="4960" w:hanging="360"/>
      </w:pPr>
      <w:rPr>
        <w:rFonts w:ascii="Courier New" w:hAnsi="Courier New" w:cs="Courier New" w:hint="default"/>
      </w:rPr>
    </w:lvl>
    <w:lvl w:ilvl="8" w:tplc="04090005" w:tentative="1">
      <w:start w:val="1"/>
      <w:numFmt w:val="bullet"/>
      <w:lvlText w:val=""/>
      <w:lvlJc w:val="left"/>
      <w:pPr>
        <w:ind w:left="5680" w:hanging="360"/>
      </w:pPr>
      <w:rPr>
        <w:rFonts w:ascii="Wingdings" w:hAnsi="Wingdings" w:hint="default"/>
      </w:rPr>
    </w:lvl>
  </w:abstractNum>
  <w:abstractNum w:abstractNumId="17">
    <w:nsid w:val="3A38482B"/>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8">
    <w:nsid w:val="51963701"/>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9">
    <w:nsid w:val="53510A81"/>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0">
    <w:nsid w:val="5B2979C0"/>
    <w:multiLevelType w:val="multilevel"/>
    <w:tmpl w:val="12F6CCEC"/>
    <w:lvl w:ilvl="0">
      <w:start w:val="1"/>
      <w:numFmt w:val="decimal"/>
      <w:lvlText w:val="%1"/>
      <w:lvlJc w:val="left"/>
      <w:pPr>
        <w:tabs>
          <w:tab w:val="num" w:pos="432"/>
        </w:tabs>
        <w:ind w:left="432" w:hanging="432"/>
      </w:pPr>
      <w:rPr>
        <w:rFonts w:hint="default"/>
        <w:color w:val="auto"/>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nsid w:val="6EE04BAE"/>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2">
    <w:nsid w:val="6F432276"/>
    <w:multiLevelType w:val="multilevel"/>
    <w:tmpl w:val="1C66F352"/>
    <w:styleLink w:val="HIPTitlesHierarchy"/>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008000"/>
        <w:sz w:val="24"/>
        <w:szCs w:val="24"/>
      </w:rPr>
    </w:lvl>
    <w:lvl w:ilvl="2">
      <w:start w:val="1"/>
      <w:numFmt w:val="decimal"/>
      <w:suff w:val="space"/>
      <w:lvlText w:val="%3"/>
      <w:lvlJc w:val="left"/>
      <w:pPr>
        <w:ind w:left="0" w:firstLine="0"/>
      </w:pPr>
      <w:rPr>
        <w:rFonts w:ascii="Helvetica" w:hAnsi="Helvetica" w:hint="default"/>
        <w:b/>
        <w:i w:val="0"/>
        <w:color w:val="008000"/>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color w:val="008000"/>
        <w:sz w:val="22"/>
        <w:szCs w:val="22"/>
      </w:rPr>
    </w:lvl>
    <w:lvl w:ilvl="5">
      <w:start w:val="1"/>
      <w:numFmt w:val="decimal"/>
      <w:suff w:val="space"/>
      <w:lvlText w:val="%3.%4.%5.%6"/>
      <w:lvlJc w:val="left"/>
      <w:pPr>
        <w:ind w:left="0" w:firstLine="0"/>
      </w:pPr>
      <w:rPr>
        <w:rFonts w:ascii="Helvetica" w:hAnsi="Helvetica" w:hint="default"/>
        <w:b w:val="0"/>
        <w:i/>
        <w:color w:val="auto"/>
        <w:sz w:val="22"/>
        <w:szCs w:val="22"/>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23">
    <w:nsid w:val="6F973B3F"/>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4">
    <w:nsid w:val="791F5B2C"/>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5">
    <w:nsid w:val="7BFD764C"/>
    <w:multiLevelType w:val="multilevel"/>
    <w:tmpl w:val="A59828A6"/>
    <w:styleLink w:val="HIPBulletsHierarchy"/>
    <w:lvl w:ilvl="0">
      <w:start w:val="1"/>
      <w:numFmt w:val="bullet"/>
      <w:suff w:val="space"/>
      <w:lvlText w:val=""/>
      <w:lvlJc w:val="left"/>
      <w:pPr>
        <w:ind w:left="360" w:hanging="360"/>
      </w:pPr>
      <w:rPr>
        <w:rFonts w:ascii="Symbol" w:hAnsi="Symbol" w:hint="default"/>
        <w:b/>
        <w:color w:val="008000"/>
        <w:sz w:val="22"/>
        <w:szCs w:val="22"/>
      </w:rPr>
    </w:lvl>
    <w:lvl w:ilvl="1">
      <w:start w:val="1"/>
      <w:numFmt w:val="bullet"/>
      <w:suff w:val="space"/>
      <w:lvlText w:val=""/>
      <w:lvlJc w:val="left"/>
      <w:pPr>
        <w:ind w:left="720" w:hanging="360"/>
      </w:pPr>
      <w:rPr>
        <w:rFonts w:ascii="Symbol" w:hAnsi="Symbol" w:hint="default"/>
        <w:b w:val="0"/>
        <w:i w:val="0"/>
        <w:color w:val="auto"/>
        <w:sz w:val="22"/>
      </w:rPr>
    </w:lvl>
    <w:lvl w:ilvl="2">
      <w:start w:val="1"/>
      <w:numFmt w:val="bullet"/>
      <w:suff w:val="nothing"/>
      <w:lvlText w:val="−"/>
      <w:lvlJc w:val="left"/>
      <w:pPr>
        <w:ind w:left="1080" w:hanging="360"/>
      </w:pPr>
      <w:rPr>
        <w:rFonts w:ascii="Helvetica" w:hAnsi="Helvetica" w:cs="Times New Roman" w:hint="default"/>
        <w:b/>
        <w:i w:val="0"/>
        <w:sz w:val="22"/>
        <w:szCs w:val="22"/>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num w:numId="1">
    <w:abstractNumId w:val="20"/>
  </w:num>
  <w:num w:numId="2">
    <w:abstractNumId w:val="1"/>
  </w:num>
  <w:num w:numId="3">
    <w:abstractNumId w:val="5"/>
  </w:num>
  <w:num w:numId="4">
    <w:abstractNumId w:val="7"/>
  </w:num>
  <w:num w:numId="5">
    <w:abstractNumId w:val="8"/>
  </w:num>
  <w:num w:numId="6">
    <w:abstractNumId w:val="16"/>
  </w:num>
  <w:num w:numId="7">
    <w:abstractNumId w:val="9"/>
  </w:num>
  <w:num w:numId="8">
    <w:abstractNumId w:val="18"/>
  </w:num>
  <w:num w:numId="9">
    <w:abstractNumId w:val="19"/>
  </w:num>
  <w:num w:numId="10">
    <w:abstractNumId w:val="15"/>
  </w:num>
  <w:num w:numId="11">
    <w:abstractNumId w:val="6"/>
  </w:num>
  <w:num w:numId="12">
    <w:abstractNumId w:val="11"/>
  </w:num>
  <w:num w:numId="13">
    <w:abstractNumId w:val="21"/>
  </w:num>
  <w:num w:numId="14">
    <w:abstractNumId w:val="24"/>
  </w:num>
  <w:num w:numId="15">
    <w:abstractNumId w:val="4"/>
  </w:num>
  <w:num w:numId="16">
    <w:abstractNumId w:val="3"/>
  </w:num>
  <w:num w:numId="17">
    <w:abstractNumId w:val="12"/>
  </w:num>
  <w:num w:numId="18">
    <w:abstractNumId w:val="17"/>
  </w:num>
  <w:num w:numId="19">
    <w:abstractNumId w:val="23"/>
  </w:num>
  <w:num w:numId="20">
    <w:abstractNumId w:val="25"/>
  </w:num>
  <w:num w:numId="21">
    <w:abstractNumId w:val="2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0"/>
  <w:embedTrueTypeFonts/>
  <w:saveSubsetFonts/>
  <w:activeWritingStyle w:appName="MSWord" w:lang="fr-FR" w:vendorID="64" w:dllVersion="131078" w:nlCheck="1" w:checkStyle="1"/>
  <w:activeWritingStyle w:appName="MSWord" w:lang="en-GB" w:vendorID="64" w:dllVersion="131078" w:nlCheck="1" w:checkStyle="1"/>
  <w:activeWritingStyle w:appName="MSWord" w:lang="es-ES"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CH" w:vendorID="64" w:dllVersion="131078" w:nlCheck="1" w:checkStyle="1"/>
  <w:activeWritingStyle w:appName="MSWord" w:lang="en-TT" w:vendorID="64" w:dllVersion="131078" w:nlCheck="1" w:checkStyle="1"/>
  <w:activeWritingStyle w:appName="MSWord" w:lang="en-029" w:vendorID="64" w:dllVersion="131078" w:nlCheck="1" w:checkStyle="1"/>
  <w:activeWritingStyle w:appName="MSWord" w:lang="en-AU" w:vendorID="64" w:dllVersion="131078" w:nlCheck="1" w:checkStyle="1"/>
  <w:activeWritingStyle w:appName="MSWord" w:lang="en-CA" w:vendorID="64" w:dllVersion="131078" w:nlCheck="1" w:checkStyle="1"/>
  <w:attachedTemplate r:id="rId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evenAndOddHeaders/>
  <w:bookFoldPrintingSheets w:val="-4"/>
  <w:displayHorizontalDrawingGridEvery w:val="0"/>
  <w:displayVerticalDrawingGridEvery w:val="0"/>
  <w:doNotUseMarginsForDrawingGridOrigin/>
  <w:noPunctuationKerning/>
  <w:characterSpacingControl w:val="doNotCompress"/>
  <w:savePreviewPicture/>
  <w:hdrShapeDefaults>
    <o:shapedefaults v:ext="edit" spidmax="2049" fill="f" fillcolor="white" stroke="f">
      <v:fill color="white" on="f"/>
      <v:stroke on="f"/>
      <v:textbox style="layout-flow:vertical;mso-layout-flow-alt:bottom-to-top;mso-fit-shape-to-text:t"/>
      <o:colormru v:ext="edit" colors="#36c,#039"/>
    </o:shapedefaults>
  </w:hdrShapeDefaults>
  <w:footnotePr>
    <w:footnote w:id="-1"/>
    <w:footnote w:id="0"/>
    <w:footnote w:id="1"/>
  </w:footnotePr>
  <w:endnotePr>
    <w:numFmt w:val="decimal"/>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639C"/>
    <w:rsid w:val="000012C8"/>
    <w:rsid w:val="0000259F"/>
    <w:rsid w:val="00004160"/>
    <w:rsid w:val="00010631"/>
    <w:rsid w:val="00010EEB"/>
    <w:rsid w:val="000135A4"/>
    <w:rsid w:val="00013D6F"/>
    <w:rsid w:val="00013E61"/>
    <w:rsid w:val="00014A90"/>
    <w:rsid w:val="00017323"/>
    <w:rsid w:val="00017645"/>
    <w:rsid w:val="00021824"/>
    <w:rsid w:val="000233CA"/>
    <w:rsid w:val="00023A85"/>
    <w:rsid w:val="000273F7"/>
    <w:rsid w:val="00031CA2"/>
    <w:rsid w:val="00033090"/>
    <w:rsid w:val="00040A84"/>
    <w:rsid w:val="00041301"/>
    <w:rsid w:val="0004319A"/>
    <w:rsid w:val="00044D48"/>
    <w:rsid w:val="0004551C"/>
    <w:rsid w:val="00046509"/>
    <w:rsid w:val="00047D3C"/>
    <w:rsid w:val="0005154A"/>
    <w:rsid w:val="00051DDE"/>
    <w:rsid w:val="000541C8"/>
    <w:rsid w:val="000608E4"/>
    <w:rsid w:val="000614AD"/>
    <w:rsid w:val="00061D61"/>
    <w:rsid w:val="0006382C"/>
    <w:rsid w:val="000650DC"/>
    <w:rsid w:val="00065352"/>
    <w:rsid w:val="00066280"/>
    <w:rsid w:val="000673B8"/>
    <w:rsid w:val="00070E31"/>
    <w:rsid w:val="00075AC8"/>
    <w:rsid w:val="00075AFE"/>
    <w:rsid w:val="00077618"/>
    <w:rsid w:val="00077AAE"/>
    <w:rsid w:val="00077DE6"/>
    <w:rsid w:val="000806FF"/>
    <w:rsid w:val="00081922"/>
    <w:rsid w:val="00085DF4"/>
    <w:rsid w:val="0008639C"/>
    <w:rsid w:val="00087A33"/>
    <w:rsid w:val="0009006B"/>
    <w:rsid w:val="0009019D"/>
    <w:rsid w:val="00092B20"/>
    <w:rsid w:val="00093E66"/>
    <w:rsid w:val="0009559A"/>
    <w:rsid w:val="00096433"/>
    <w:rsid w:val="00096922"/>
    <w:rsid w:val="0009716E"/>
    <w:rsid w:val="00097207"/>
    <w:rsid w:val="00097422"/>
    <w:rsid w:val="00097540"/>
    <w:rsid w:val="000A14B5"/>
    <w:rsid w:val="000A316D"/>
    <w:rsid w:val="000A55BE"/>
    <w:rsid w:val="000A67CB"/>
    <w:rsid w:val="000A71D3"/>
    <w:rsid w:val="000B0A90"/>
    <w:rsid w:val="000B40AB"/>
    <w:rsid w:val="000C0D53"/>
    <w:rsid w:val="000C319F"/>
    <w:rsid w:val="000C36E9"/>
    <w:rsid w:val="000C58D2"/>
    <w:rsid w:val="000D0DCD"/>
    <w:rsid w:val="000D0F63"/>
    <w:rsid w:val="000E2EB3"/>
    <w:rsid w:val="000E54EF"/>
    <w:rsid w:val="000F0388"/>
    <w:rsid w:val="000F16CC"/>
    <w:rsid w:val="000F392A"/>
    <w:rsid w:val="000F5307"/>
    <w:rsid w:val="00100D4C"/>
    <w:rsid w:val="001016E4"/>
    <w:rsid w:val="0010381E"/>
    <w:rsid w:val="00103A5D"/>
    <w:rsid w:val="0010485E"/>
    <w:rsid w:val="00104860"/>
    <w:rsid w:val="00104DB4"/>
    <w:rsid w:val="001071F8"/>
    <w:rsid w:val="00111CA1"/>
    <w:rsid w:val="001131CF"/>
    <w:rsid w:val="00113F18"/>
    <w:rsid w:val="0011585A"/>
    <w:rsid w:val="00115A9D"/>
    <w:rsid w:val="0011701B"/>
    <w:rsid w:val="00117759"/>
    <w:rsid w:val="001178D8"/>
    <w:rsid w:val="00121F29"/>
    <w:rsid w:val="001227E0"/>
    <w:rsid w:val="001239C8"/>
    <w:rsid w:val="00125968"/>
    <w:rsid w:val="0012680A"/>
    <w:rsid w:val="00126A1E"/>
    <w:rsid w:val="00127AD9"/>
    <w:rsid w:val="001323E2"/>
    <w:rsid w:val="00132571"/>
    <w:rsid w:val="00132ECE"/>
    <w:rsid w:val="00133CDA"/>
    <w:rsid w:val="00134C5A"/>
    <w:rsid w:val="00135581"/>
    <w:rsid w:val="00136E05"/>
    <w:rsid w:val="00137D83"/>
    <w:rsid w:val="00143C19"/>
    <w:rsid w:val="00143D5F"/>
    <w:rsid w:val="00146207"/>
    <w:rsid w:val="001542B4"/>
    <w:rsid w:val="00163055"/>
    <w:rsid w:val="00163120"/>
    <w:rsid w:val="00163F1C"/>
    <w:rsid w:val="00164580"/>
    <w:rsid w:val="00166796"/>
    <w:rsid w:val="00167C0D"/>
    <w:rsid w:val="001701B3"/>
    <w:rsid w:val="0017095C"/>
    <w:rsid w:val="00171C2C"/>
    <w:rsid w:val="00171DA3"/>
    <w:rsid w:val="00172563"/>
    <w:rsid w:val="0017278E"/>
    <w:rsid w:val="001733CD"/>
    <w:rsid w:val="001734FD"/>
    <w:rsid w:val="00173B4B"/>
    <w:rsid w:val="00173FD5"/>
    <w:rsid w:val="001743FA"/>
    <w:rsid w:val="001752B0"/>
    <w:rsid w:val="0017654F"/>
    <w:rsid w:val="00176A68"/>
    <w:rsid w:val="00176F25"/>
    <w:rsid w:val="0017756B"/>
    <w:rsid w:val="00180969"/>
    <w:rsid w:val="00180D80"/>
    <w:rsid w:val="00185CE5"/>
    <w:rsid w:val="001878E0"/>
    <w:rsid w:val="0019104B"/>
    <w:rsid w:val="00192284"/>
    <w:rsid w:val="00193E6A"/>
    <w:rsid w:val="00197038"/>
    <w:rsid w:val="001A07A9"/>
    <w:rsid w:val="001A43E1"/>
    <w:rsid w:val="001A4C73"/>
    <w:rsid w:val="001A6578"/>
    <w:rsid w:val="001A768A"/>
    <w:rsid w:val="001A7B18"/>
    <w:rsid w:val="001B0B90"/>
    <w:rsid w:val="001B150C"/>
    <w:rsid w:val="001B1836"/>
    <w:rsid w:val="001B29B0"/>
    <w:rsid w:val="001B3273"/>
    <w:rsid w:val="001B547D"/>
    <w:rsid w:val="001C2C22"/>
    <w:rsid w:val="001C3365"/>
    <w:rsid w:val="001C33A5"/>
    <w:rsid w:val="001C476E"/>
    <w:rsid w:val="001C7095"/>
    <w:rsid w:val="001C70BF"/>
    <w:rsid w:val="001D4147"/>
    <w:rsid w:val="001D55D5"/>
    <w:rsid w:val="001D6A6E"/>
    <w:rsid w:val="001D795A"/>
    <w:rsid w:val="001E0DF9"/>
    <w:rsid w:val="001E1D38"/>
    <w:rsid w:val="001E6535"/>
    <w:rsid w:val="001E7711"/>
    <w:rsid w:val="001F17CE"/>
    <w:rsid w:val="001F3265"/>
    <w:rsid w:val="001F39FB"/>
    <w:rsid w:val="001F5A63"/>
    <w:rsid w:val="00201A63"/>
    <w:rsid w:val="00203D84"/>
    <w:rsid w:val="00205608"/>
    <w:rsid w:val="0020793F"/>
    <w:rsid w:val="00207DF0"/>
    <w:rsid w:val="00211EAC"/>
    <w:rsid w:val="00213F36"/>
    <w:rsid w:val="00217FBE"/>
    <w:rsid w:val="002208F5"/>
    <w:rsid w:val="00225A80"/>
    <w:rsid w:val="0022728A"/>
    <w:rsid w:val="00234760"/>
    <w:rsid w:val="00234E6B"/>
    <w:rsid w:val="00236A97"/>
    <w:rsid w:val="002375B2"/>
    <w:rsid w:val="00243015"/>
    <w:rsid w:val="002438AC"/>
    <w:rsid w:val="002453EE"/>
    <w:rsid w:val="0024564C"/>
    <w:rsid w:val="00246157"/>
    <w:rsid w:val="00246785"/>
    <w:rsid w:val="0025181A"/>
    <w:rsid w:val="002556EB"/>
    <w:rsid w:val="00256167"/>
    <w:rsid w:val="00256912"/>
    <w:rsid w:val="00256BEA"/>
    <w:rsid w:val="00262366"/>
    <w:rsid w:val="00262368"/>
    <w:rsid w:val="0027124D"/>
    <w:rsid w:val="00271530"/>
    <w:rsid w:val="0027160A"/>
    <w:rsid w:val="0027183A"/>
    <w:rsid w:val="00271D36"/>
    <w:rsid w:val="00272C2B"/>
    <w:rsid w:val="00272C51"/>
    <w:rsid w:val="00273758"/>
    <w:rsid w:val="002737B9"/>
    <w:rsid w:val="002737D1"/>
    <w:rsid w:val="00274D96"/>
    <w:rsid w:val="00277526"/>
    <w:rsid w:val="002856AB"/>
    <w:rsid w:val="00285FDA"/>
    <w:rsid w:val="00291073"/>
    <w:rsid w:val="00291A51"/>
    <w:rsid w:val="00292D79"/>
    <w:rsid w:val="0029306D"/>
    <w:rsid w:val="00295040"/>
    <w:rsid w:val="002A0464"/>
    <w:rsid w:val="002A0D9D"/>
    <w:rsid w:val="002A12C3"/>
    <w:rsid w:val="002A32CF"/>
    <w:rsid w:val="002A733E"/>
    <w:rsid w:val="002B15C5"/>
    <w:rsid w:val="002B2394"/>
    <w:rsid w:val="002B44A9"/>
    <w:rsid w:val="002B493E"/>
    <w:rsid w:val="002B5674"/>
    <w:rsid w:val="002B595B"/>
    <w:rsid w:val="002B7FA8"/>
    <w:rsid w:val="002C05D3"/>
    <w:rsid w:val="002C087E"/>
    <w:rsid w:val="002C1A49"/>
    <w:rsid w:val="002C23FD"/>
    <w:rsid w:val="002C30D6"/>
    <w:rsid w:val="002C40A6"/>
    <w:rsid w:val="002D01EA"/>
    <w:rsid w:val="002D17FF"/>
    <w:rsid w:val="002D26DA"/>
    <w:rsid w:val="002D4CC9"/>
    <w:rsid w:val="002D6E23"/>
    <w:rsid w:val="002D720D"/>
    <w:rsid w:val="002E0961"/>
    <w:rsid w:val="002E15F8"/>
    <w:rsid w:val="002E1C89"/>
    <w:rsid w:val="002E3A9C"/>
    <w:rsid w:val="002E4E79"/>
    <w:rsid w:val="002F4126"/>
    <w:rsid w:val="002F6FFC"/>
    <w:rsid w:val="003000B4"/>
    <w:rsid w:val="00300A43"/>
    <w:rsid w:val="003010AB"/>
    <w:rsid w:val="00302A0A"/>
    <w:rsid w:val="00304068"/>
    <w:rsid w:val="0030419C"/>
    <w:rsid w:val="00305EA5"/>
    <w:rsid w:val="00310639"/>
    <w:rsid w:val="00310EC9"/>
    <w:rsid w:val="003132E0"/>
    <w:rsid w:val="00316A00"/>
    <w:rsid w:val="00317F8D"/>
    <w:rsid w:val="00324561"/>
    <w:rsid w:val="00325DD9"/>
    <w:rsid w:val="00330C99"/>
    <w:rsid w:val="00332AB2"/>
    <w:rsid w:val="00332E08"/>
    <w:rsid w:val="00333DEF"/>
    <w:rsid w:val="003340DD"/>
    <w:rsid w:val="003369B6"/>
    <w:rsid w:val="0034180A"/>
    <w:rsid w:val="003435AB"/>
    <w:rsid w:val="00344375"/>
    <w:rsid w:val="0034527B"/>
    <w:rsid w:val="00345977"/>
    <w:rsid w:val="003459B2"/>
    <w:rsid w:val="00347960"/>
    <w:rsid w:val="0035061D"/>
    <w:rsid w:val="00350AE1"/>
    <w:rsid w:val="003512B6"/>
    <w:rsid w:val="0035666B"/>
    <w:rsid w:val="003605D0"/>
    <w:rsid w:val="003614E0"/>
    <w:rsid w:val="0036211D"/>
    <w:rsid w:val="00362FFF"/>
    <w:rsid w:val="003633BA"/>
    <w:rsid w:val="00363C83"/>
    <w:rsid w:val="003647EF"/>
    <w:rsid w:val="003650C0"/>
    <w:rsid w:val="00365295"/>
    <w:rsid w:val="003664F2"/>
    <w:rsid w:val="00367032"/>
    <w:rsid w:val="003703C0"/>
    <w:rsid w:val="003707AC"/>
    <w:rsid w:val="00371791"/>
    <w:rsid w:val="003723AB"/>
    <w:rsid w:val="0037334A"/>
    <w:rsid w:val="00373A5A"/>
    <w:rsid w:val="00375AAF"/>
    <w:rsid w:val="00377AA5"/>
    <w:rsid w:val="00382B6B"/>
    <w:rsid w:val="00383BD1"/>
    <w:rsid w:val="00384D7C"/>
    <w:rsid w:val="00385DD4"/>
    <w:rsid w:val="00386439"/>
    <w:rsid w:val="003913F2"/>
    <w:rsid w:val="00395676"/>
    <w:rsid w:val="0039683A"/>
    <w:rsid w:val="00396A3C"/>
    <w:rsid w:val="003A02C1"/>
    <w:rsid w:val="003A39F7"/>
    <w:rsid w:val="003A4C99"/>
    <w:rsid w:val="003B0A5A"/>
    <w:rsid w:val="003B1976"/>
    <w:rsid w:val="003C1287"/>
    <w:rsid w:val="003C1570"/>
    <w:rsid w:val="003C2542"/>
    <w:rsid w:val="003C4176"/>
    <w:rsid w:val="003C4261"/>
    <w:rsid w:val="003C4ED6"/>
    <w:rsid w:val="003C5D30"/>
    <w:rsid w:val="003C683B"/>
    <w:rsid w:val="003C78C0"/>
    <w:rsid w:val="003C7C81"/>
    <w:rsid w:val="003D213F"/>
    <w:rsid w:val="003D23ED"/>
    <w:rsid w:val="003D4591"/>
    <w:rsid w:val="003D5315"/>
    <w:rsid w:val="003D663E"/>
    <w:rsid w:val="003D67E8"/>
    <w:rsid w:val="003E2209"/>
    <w:rsid w:val="003E2368"/>
    <w:rsid w:val="003E3CD1"/>
    <w:rsid w:val="003E52C2"/>
    <w:rsid w:val="003E7BFD"/>
    <w:rsid w:val="003E7F17"/>
    <w:rsid w:val="003F433C"/>
    <w:rsid w:val="003F5733"/>
    <w:rsid w:val="003F5FD0"/>
    <w:rsid w:val="003F6086"/>
    <w:rsid w:val="00402A02"/>
    <w:rsid w:val="0040368C"/>
    <w:rsid w:val="00403F4F"/>
    <w:rsid w:val="0040406E"/>
    <w:rsid w:val="00404EDC"/>
    <w:rsid w:val="00406E30"/>
    <w:rsid w:val="00411536"/>
    <w:rsid w:val="0041170E"/>
    <w:rsid w:val="00411F98"/>
    <w:rsid w:val="00412927"/>
    <w:rsid w:val="00412B2E"/>
    <w:rsid w:val="0042073F"/>
    <w:rsid w:val="00424792"/>
    <w:rsid w:val="00424D86"/>
    <w:rsid w:val="004251B1"/>
    <w:rsid w:val="004268E9"/>
    <w:rsid w:val="004310FE"/>
    <w:rsid w:val="00431D5B"/>
    <w:rsid w:val="0043250E"/>
    <w:rsid w:val="00433527"/>
    <w:rsid w:val="0043453F"/>
    <w:rsid w:val="004359FB"/>
    <w:rsid w:val="00441ED5"/>
    <w:rsid w:val="004449BD"/>
    <w:rsid w:val="00444AA0"/>
    <w:rsid w:val="00445DD4"/>
    <w:rsid w:val="00446E47"/>
    <w:rsid w:val="004513F0"/>
    <w:rsid w:val="00452B5A"/>
    <w:rsid w:val="00453C8E"/>
    <w:rsid w:val="004542E7"/>
    <w:rsid w:val="00455426"/>
    <w:rsid w:val="00455EC2"/>
    <w:rsid w:val="0046015E"/>
    <w:rsid w:val="004621F9"/>
    <w:rsid w:val="00463DA1"/>
    <w:rsid w:val="0046428B"/>
    <w:rsid w:val="00464BCC"/>
    <w:rsid w:val="00465064"/>
    <w:rsid w:val="00465E86"/>
    <w:rsid w:val="004670E1"/>
    <w:rsid w:val="0046715B"/>
    <w:rsid w:val="00471F49"/>
    <w:rsid w:val="00472BDE"/>
    <w:rsid w:val="00473B2A"/>
    <w:rsid w:val="0047647C"/>
    <w:rsid w:val="004765E3"/>
    <w:rsid w:val="00476DEE"/>
    <w:rsid w:val="00477083"/>
    <w:rsid w:val="00483AD7"/>
    <w:rsid w:val="00485626"/>
    <w:rsid w:val="004866ED"/>
    <w:rsid w:val="0048705D"/>
    <w:rsid w:val="00487149"/>
    <w:rsid w:val="004871B3"/>
    <w:rsid w:val="00490E38"/>
    <w:rsid w:val="004941E7"/>
    <w:rsid w:val="004974B3"/>
    <w:rsid w:val="004A0C27"/>
    <w:rsid w:val="004A0FC5"/>
    <w:rsid w:val="004A116A"/>
    <w:rsid w:val="004A14E4"/>
    <w:rsid w:val="004A3217"/>
    <w:rsid w:val="004A3FC4"/>
    <w:rsid w:val="004A718F"/>
    <w:rsid w:val="004A7326"/>
    <w:rsid w:val="004B0478"/>
    <w:rsid w:val="004B080D"/>
    <w:rsid w:val="004B0A0B"/>
    <w:rsid w:val="004B47C7"/>
    <w:rsid w:val="004B5B17"/>
    <w:rsid w:val="004B6316"/>
    <w:rsid w:val="004B6BC1"/>
    <w:rsid w:val="004C02FE"/>
    <w:rsid w:val="004C03AA"/>
    <w:rsid w:val="004C0A95"/>
    <w:rsid w:val="004C5178"/>
    <w:rsid w:val="004C58A8"/>
    <w:rsid w:val="004C71E0"/>
    <w:rsid w:val="004C7B74"/>
    <w:rsid w:val="004D1772"/>
    <w:rsid w:val="004D2022"/>
    <w:rsid w:val="004D32FE"/>
    <w:rsid w:val="004D4A59"/>
    <w:rsid w:val="004D6751"/>
    <w:rsid w:val="004E073F"/>
    <w:rsid w:val="004E0ED6"/>
    <w:rsid w:val="004E3AA9"/>
    <w:rsid w:val="004E471F"/>
    <w:rsid w:val="004E5215"/>
    <w:rsid w:val="004E532D"/>
    <w:rsid w:val="004E5B2C"/>
    <w:rsid w:val="004E613A"/>
    <w:rsid w:val="004E65E6"/>
    <w:rsid w:val="004E6D70"/>
    <w:rsid w:val="004F1F13"/>
    <w:rsid w:val="004F2132"/>
    <w:rsid w:val="004F381D"/>
    <w:rsid w:val="005027B2"/>
    <w:rsid w:val="00502C37"/>
    <w:rsid w:val="005046AF"/>
    <w:rsid w:val="0050582C"/>
    <w:rsid w:val="00506702"/>
    <w:rsid w:val="0050674F"/>
    <w:rsid w:val="0051048D"/>
    <w:rsid w:val="00515A6A"/>
    <w:rsid w:val="00516846"/>
    <w:rsid w:val="00520948"/>
    <w:rsid w:val="00522DCF"/>
    <w:rsid w:val="00523A2C"/>
    <w:rsid w:val="00526074"/>
    <w:rsid w:val="00532850"/>
    <w:rsid w:val="00537DC3"/>
    <w:rsid w:val="00541179"/>
    <w:rsid w:val="00543044"/>
    <w:rsid w:val="00543AEE"/>
    <w:rsid w:val="00544466"/>
    <w:rsid w:val="00545F0D"/>
    <w:rsid w:val="00547F5F"/>
    <w:rsid w:val="00550719"/>
    <w:rsid w:val="0055091B"/>
    <w:rsid w:val="00551B1B"/>
    <w:rsid w:val="0055324C"/>
    <w:rsid w:val="00557363"/>
    <w:rsid w:val="00557636"/>
    <w:rsid w:val="00560106"/>
    <w:rsid w:val="0056656B"/>
    <w:rsid w:val="00567EAE"/>
    <w:rsid w:val="005702C2"/>
    <w:rsid w:val="00571155"/>
    <w:rsid w:val="00571B3E"/>
    <w:rsid w:val="00572079"/>
    <w:rsid w:val="00574938"/>
    <w:rsid w:val="0058130F"/>
    <w:rsid w:val="00581449"/>
    <w:rsid w:val="00581532"/>
    <w:rsid w:val="005815E2"/>
    <w:rsid w:val="005827CB"/>
    <w:rsid w:val="00584E81"/>
    <w:rsid w:val="00590CB1"/>
    <w:rsid w:val="005916D3"/>
    <w:rsid w:val="005965AD"/>
    <w:rsid w:val="00597DC2"/>
    <w:rsid w:val="005A07EF"/>
    <w:rsid w:val="005A1CE6"/>
    <w:rsid w:val="005A2D39"/>
    <w:rsid w:val="005B2283"/>
    <w:rsid w:val="005B3F44"/>
    <w:rsid w:val="005C1B6E"/>
    <w:rsid w:val="005C2CCA"/>
    <w:rsid w:val="005C33A1"/>
    <w:rsid w:val="005C39DC"/>
    <w:rsid w:val="005C500F"/>
    <w:rsid w:val="005C669F"/>
    <w:rsid w:val="005C6BDA"/>
    <w:rsid w:val="005D5C6D"/>
    <w:rsid w:val="005E0123"/>
    <w:rsid w:val="005E151F"/>
    <w:rsid w:val="005E1D56"/>
    <w:rsid w:val="005E524E"/>
    <w:rsid w:val="005E5E28"/>
    <w:rsid w:val="005F2E51"/>
    <w:rsid w:val="005F33E1"/>
    <w:rsid w:val="005F3B9D"/>
    <w:rsid w:val="005F56C9"/>
    <w:rsid w:val="005F64AB"/>
    <w:rsid w:val="005F7A06"/>
    <w:rsid w:val="005F7AAC"/>
    <w:rsid w:val="006023F3"/>
    <w:rsid w:val="00602AB6"/>
    <w:rsid w:val="00602F11"/>
    <w:rsid w:val="00603C3C"/>
    <w:rsid w:val="00604691"/>
    <w:rsid w:val="00604F4D"/>
    <w:rsid w:val="00607F41"/>
    <w:rsid w:val="006104A4"/>
    <w:rsid w:val="00611B8A"/>
    <w:rsid w:val="006141CD"/>
    <w:rsid w:val="006171A9"/>
    <w:rsid w:val="00617637"/>
    <w:rsid w:val="0062235F"/>
    <w:rsid w:val="00622694"/>
    <w:rsid w:val="006230C3"/>
    <w:rsid w:val="006258CA"/>
    <w:rsid w:val="006274F7"/>
    <w:rsid w:val="006276FC"/>
    <w:rsid w:val="00627927"/>
    <w:rsid w:val="00631A14"/>
    <w:rsid w:val="006344BB"/>
    <w:rsid w:val="00634D7E"/>
    <w:rsid w:val="00634F41"/>
    <w:rsid w:val="00635A76"/>
    <w:rsid w:val="0063644E"/>
    <w:rsid w:val="00641CB5"/>
    <w:rsid w:val="0064295F"/>
    <w:rsid w:val="00645569"/>
    <w:rsid w:val="00645C5A"/>
    <w:rsid w:val="00646133"/>
    <w:rsid w:val="00652762"/>
    <w:rsid w:val="00652B2B"/>
    <w:rsid w:val="00653534"/>
    <w:rsid w:val="00653771"/>
    <w:rsid w:val="0065379A"/>
    <w:rsid w:val="00653CE2"/>
    <w:rsid w:val="00655CBD"/>
    <w:rsid w:val="00656D4C"/>
    <w:rsid w:val="006570A8"/>
    <w:rsid w:val="0066107A"/>
    <w:rsid w:val="00661A78"/>
    <w:rsid w:val="00662E9D"/>
    <w:rsid w:val="006630D2"/>
    <w:rsid w:val="00665EC4"/>
    <w:rsid w:val="0066637A"/>
    <w:rsid w:val="006666B8"/>
    <w:rsid w:val="00671C07"/>
    <w:rsid w:val="00671F7A"/>
    <w:rsid w:val="00674332"/>
    <w:rsid w:val="00676F90"/>
    <w:rsid w:val="00677346"/>
    <w:rsid w:val="00680BAE"/>
    <w:rsid w:val="0068146F"/>
    <w:rsid w:val="006818E2"/>
    <w:rsid w:val="00684473"/>
    <w:rsid w:val="00685167"/>
    <w:rsid w:val="00685F27"/>
    <w:rsid w:val="006879C3"/>
    <w:rsid w:val="00691200"/>
    <w:rsid w:val="00693D4E"/>
    <w:rsid w:val="00695DBA"/>
    <w:rsid w:val="00695FF7"/>
    <w:rsid w:val="00696AC6"/>
    <w:rsid w:val="006A03DB"/>
    <w:rsid w:val="006A30C4"/>
    <w:rsid w:val="006A365A"/>
    <w:rsid w:val="006A5E44"/>
    <w:rsid w:val="006A6170"/>
    <w:rsid w:val="006A7EBB"/>
    <w:rsid w:val="006B0747"/>
    <w:rsid w:val="006B135F"/>
    <w:rsid w:val="006B146E"/>
    <w:rsid w:val="006B19EA"/>
    <w:rsid w:val="006B34C3"/>
    <w:rsid w:val="006B74EE"/>
    <w:rsid w:val="006B7D4F"/>
    <w:rsid w:val="006C0A76"/>
    <w:rsid w:val="006C1356"/>
    <w:rsid w:val="006C197E"/>
    <w:rsid w:val="006C419A"/>
    <w:rsid w:val="006C5AA8"/>
    <w:rsid w:val="006C6C25"/>
    <w:rsid w:val="006C71F5"/>
    <w:rsid w:val="006D3FA2"/>
    <w:rsid w:val="006D4DF3"/>
    <w:rsid w:val="006D53C3"/>
    <w:rsid w:val="006D5844"/>
    <w:rsid w:val="006D6DFB"/>
    <w:rsid w:val="006E2A5C"/>
    <w:rsid w:val="006E4588"/>
    <w:rsid w:val="006E7DBC"/>
    <w:rsid w:val="006F3B2C"/>
    <w:rsid w:val="006F5E93"/>
    <w:rsid w:val="00700CA5"/>
    <w:rsid w:val="00703D54"/>
    <w:rsid w:val="00703D56"/>
    <w:rsid w:val="0070744C"/>
    <w:rsid w:val="007134EA"/>
    <w:rsid w:val="007146BA"/>
    <w:rsid w:val="007156B7"/>
    <w:rsid w:val="007202A5"/>
    <w:rsid w:val="00721164"/>
    <w:rsid w:val="007241A0"/>
    <w:rsid w:val="007261B5"/>
    <w:rsid w:val="00727290"/>
    <w:rsid w:val="007304D8"/>
    <w:rsid w:val="007306B9"/>
    <w:rsid w:val="007318D7"/>
    <w:rsid w:val="0073221A"/>
    <w:rsid w:val="00734F3C"/>
    <w:rsid w:val="00736BBA"/>
    <w:rsid w:val="007378DC"/>
    <w:rsid w:val="00737D26"/>
    <w:rsid w:val="00740292"/>
    <w:rsid w:val="007417CF"/>
    <w:rsid w:val="007431C5"/>
    <w:rsid w:val="00744125"/>
    <w:rsid w:val="007457D6"/>
    <w:rsid w:val="0075098B"/>
    <w:rsid w:val="00750D05"/>
    <w:rsid w:val="00750EB0"/>
    <w:rsid w:val="00751A94"/>
    <w:rsid w:val="00751C9C"/>
    <w:rsid w:val="00753254"/>
    <w:rsid w:val="0075342B"/>
    <w:rsid w:val="00754328"/>
    <w:rsid w:val="00754B44"/>
    <w:rsid w:val="007628CB"/>
    <w:rsid w:val="007633E7"/>
    <w:rsid w:val="00764295"/>
    <w:rsid w:val="007654F6"/>
    <w:rsid w:val="00765A3F"/>
    <w:rsid w:val="00770445"/>
    <w:rsid w:val="00772407"/>
    <w:rsid w:val="0078113F"/>
    <w:rsid w:val="0078387C"/>
    <w:rsid w:val="007914CE"/>
    <w:rsid w:val="00791B2F"/>
    <w:rsid w:val="007962E4"/>
    <w:rsid w:val="00797228"/>
    <w:rsid w:val="0079799F"/>
    <w:rsid w:val="007A10E4"/>
    <w:rsid w:val="007A238D"/>
    <w:rsid w:val="007A23B5"/>
    <w:rsid w:val="007A3917"/>
    <w:rsid w:val="007A68CA"/>
    <w:rsid w:val="007A7578"/>
    <w:rsid w:val="007A7C0F"/>
    <w:rsid w:val="007B0035"/>
    <w:rsid w:val="007B05C3"/>
    <w:rsid w:val="007C5600"/>
    <w:rsid w:val="007C748A"/>
    <w:rsid w:val="007D21D5"/>
    <w:rsid w:val="007E077D"/>
    <w:rsid w:val="007E2F21"/>
    <w:rsid w:val="007E3A44"/>
    <w:rsid w:val="007E5056"/>
    <w:rsid w:val="007F1E9C"/>
    <w:rsid w:val="007F254D"/>
    <w:rsid w:val="007F2B6A"/>
    <w:rsid w:val="007F3EB4"/>
    <w:rsid w:val="007F4820"/>
    <w:rsid w:val="007F56EE"/>
    <w:rsid w:val="007F6D5A"/>
    <w:rsid w:val="008002B8"/>
    <w:rsid w:val="0080095F"/>
    <w:rsid w:val="0080173C"/>
    <w:rsid w:val="00802DC4"/>
    <w:rsid w:val="008034CA"/>
    <w:rsid w:val="00805791"/>
    <w:rsid w:val="00806CD5"/>
    <w:rsid w:val="008073E3"/>
    <w:rsid w:val="00807B4B"/>
    <w:rsid w:val="00811082"/>
    <w:rsid w:val="00813042"/>
    <w:rsid w:val="0081371A"/>
    <w:rsid w:val="00813D28"/>
    <w:rsid w:val="00814741"/>
    <w:rsid w:val="008154F1"/>
    <w:rsid w:val="00817765"/>
    <w:rsid w:val="00821809"/>
    <w:rsid w:val="00821C93"/>
    <w:rsid w:val="008228A6"/>
    <w:rsid w:val="0082760E"/>
    <w:rsid w:val="00830CDD"/>
    <w:rsid w:val="00831BCD"/>
    <w:rsid w:val="008325A3"/>
    <w:rsid w:val="00833048"/>
    <w:rsid w:val="00835C1F"/>
    <w:rsid w:val="00835FA4"/>
    <w:rsid w:val="008369C3"/>
    <w:rsid w:val="00837668"/>
    <w:rsid w:val="00837C8C"/>
    <w:rsid w:val="00843BE3"/>
    <w:rsid w:val="00844A1C"/>
    <w:rsid w:val="008454C1"/>
    <w:rsid w:val="00845950"/>
    <w:rsid w:val="008520A7"/>
    <w:rsid w:val="00852F21"/>
    <w:rsid w:val="0085320B"/>
    <w:rsid w:val="008533D1"/>
    <w:rsid w:val="008538A1"/>
    <w:rsid w:val="00854059"/>
    <w:rsid w:val="008560E9"/>
    <w:rsid w:val="008574C0"/>
    <w:rsid w:val="008610F3"/>
    <w:rsid w:val="00863A33"/>
    <w:rsid w:val="00870C66"/>
    <w:rsid w:val="00874C83"/>
    <w:rsid w:val="008772E4"/>
    <w:rsid w:val="00877D77"/>
    <w:rsid w:val="00880E9F"/>
    <w:rsid w:val="00882B75"/>
    <w:rsid w:val="00882D82"/>
    <w:rsid w:val="00883714"/>
    <w:rsid w:val="008849E6"/>
    <w:rsid w:val="00884E30"/>
    <w:rsid w:val="00887FC9"/>
    <w:rsid w:val="00894A7A"/>
    <w:rsid w:val="00894F8A"/>
    <w:rsid w:val="008966E0"/>
    <w:rsid w:val="008A3F08"/>
    <w:rsid w:val="008A3FEF"/>
    <w:rsid w:val="008A4A76"/>
    <w:rsid w:val="008A69F4"/>
    <w:rsid w:val="008B08B5"/>
    <w:rsid w:val="008B0C46"/>
    <w:rsid w:val="008B2896"/>
    <w:rsid w:val="008B3E9F"/>
    <w:rsid w:val="008B4ABF"/>
    <w:rsid w:val="008B6710"/>
    <w:rsid w:val="008B6B07"/>
    <w:rsid w:val="008B7C0E"/>
    <w:rsid w:val="008C0E53"/>
    <w:rsid w:val="008C1FAE"/>
    <w:rsid w:val="008C3BA6"/>
    <w:rsid w:val="008C46FC"/>
    <w:rsid w:val="008C61A0"/>
    <w:rsid w:val="008C6297"/>
    <w:rsid w:val="008C7290"/>
    <w:rsid w:val="008C746A"/>
    <w:rsid w:val="008D1B37"/>
    <w:rsid w:val="008D2014"/>
    <w:rsid w:val="008D3374"/>
    <w:rsid w:val="008D35C2"/>
    <w:rsid w:val="008D3C4D"/>
    <w:rsid w:val="008D52A4"/>
    <w:rsid w:val="008D6F87"/>
    <w:rsid w:val="008D7BF1"/>
    <w:rsid w:val="008E3CD0"/>
    <w:rsid w:val="008E40A2"/>
    <w:rsid w:val="008E40DE"/>
    <w:rsid w:val="008E49D5"/>
    <w:rsid w:val="008E5556"/>
    <w:rsid w:val="008E5A56"/>
    <w:rsid w:val="008E64AB"/>
    <w:rsid w:val="008E6781"/>
    <w:rsid w:val="008E74D4"/>
    <w:rsid w:val="008F12F8"/>
    <w:rsid w:val="008F3B31"/>
    <w:rsid w:val="008F4E75"/>
    <w:rsid w:val="008F679C"/>
    <w:rsid w:val="008F6F2C"/>
    <w:rsid w:val="008F7D6A"/>
    <w:rsid w:val="009006C7"/>
    <w:rsid w:val="00900B38"/>
    <w:rsid w:val="00900F1A"/>
    <w:rsid w:val="00905DCC"/>
    <w:rsid w:val="00906678"/>
    <w:rsid w:val="00914407"/>
    <w:rsid w:val="00916DC0"/>
    <w:rsid w:val="00916FDD"/>
    <w:rsid w:val="00917300"/>
    <w:rsid w:val="00922505"/>
    <w:rsid w:val="00923593"/>
    <w:rsid w:val="009236DE"/>
    <w:rsid w:val="00924F45"/>
    <w:rsid w:val="00926D62"/>
    <w:rsid w:val="00930391"/>
    <w:rsid w:val="009319E4"/>
    <w:rsid w:val="009336CF"/>
    <w:rsid w:val="009349F7"/>
    <w:rsid w:val="009431B3"/>
    <w:rsid w:val="00947E19"/>
    <w:rsid w:val="00950367"/>
    <w:rsid w:val="00950A55"/>
    <w:rsid w:val="00952FD1"/>
    <w:rsid w:val="00953BFF"/>
    <w:rsid w:val="009544FE"/>
    <w:rsid w:val="009565F6"/>
    <w:rsid w:val="009613C6"/>
    <w:rsid w:val="00961BA7"/>
    <w:rsid w:val="00963471"/>
    <w:rsid w:val="00963D4F"/>
    <w:rsid w:val="009652B9"/>
    <w:rsid w:val="00965E79"/>
    <w:rsid w:val="009663A0"/>
    <w:rsid w:val="00967B6D"/>
    <w:rsid w:val="00972B2C"/>
    <w:rsid w:val="0097344A"/>
    <w:rsid w:val="0097555D"/>
    <w:rsid w:val="00976AA1"/>
    <w:rsid w:val="00980757"/>
    <w:rsid w:val="009907AA"/>
    <w:rsid w:val="0099234A"/>
    <w:rsid w:val="00993280"/>
    <w:rsid w:val="00995067"/>
    <w:rsid w:val="00995C47"/>
    <w:rsid w:val="0099699B"/>
    <w:rsid w:val="00996AAA"/>
    <w:rsid w:val="009A026D"/>
    <w:rsid w:val="009A204D"/>
    <w:rsid w:val="009A3923"/>
    <w:rsid w:val="009A4E8F"/>
    <w:rsid w:val="009A6042"/>
    <w:rsid w:val="009A7544"/>
    <w:rsid w:val="009B0B5A"/>
    <w:rsid w:val="009B0FB2"/>
    <w:rsid w:val="009B2549"/>
    <w:rsid w:val="009B27F8"/>
    <w:rsid w:val="009B2950"/>
    <w:rsid w:val="009B4A83"/>
    <w:rsid w:val="009B4EA3"/>
    <w:rsid w:val="009B73BF"/>
    <w:rsid w:val="009C1F0D"/>
    <w:rsid w:val="009C280B"/>
    <w:rsid w:val="009C5901"/>
    <w:rsid w:val="009C6EC7"/>
    <w:rsid w:val="009C703E"/>
    <w:rsid w:val="009D0B61"/>
    <w:rsid w:val="009D2085"/>
    <w:rsid w:val="009D26A2"/>
    <w:rsid w:val="009D30B8"/>
    <w:rsid w:val="009D46ED"/>
    <w:rsid w:val="009D7157"/>
    <w:rsid w:val="009E27C2"/>
    <w:rsid w:val="009E29D4"/>
    <w:rsid w:val="009E2BB9"/>
    <w:rsid w:val="009E3217"/>
    <w:rsid w:val="009F0BDC"/>
    <w:rsid w:val="009F6A42"/>
    <w:rsid w:val="00A01CFB"/>
    <w:rsid w:val="00A057B2"/>
    <w:rsid w:val="00A05D29"/>
    <w:rsid w:val="00A11555"/>
    <w:rsid w:val="00A117DC"/>
    <w:rsid w:val="00A11AC1"/>
    <w:rsid w:val="00A13281"/>
    <w:rsid w:val="00A13549"/>
    <w:rsid w:val="00A145D3"/>
    <w:rsid w:val="00A14F47"/>
    <w:rsid w:val="00A158DC"/>
    <w:rsid w:val="00A16E02"/>
    <w:rsid w:val="00A20B07"/>
    <w:rsid w:val="00A20C3D"/>
    <w:rsid w:val="00A2139E"/>
    <w:rsid w:val="00A232F4"/>
    <w:rsid w:val="00A23985"/>
    <w:rsid w:val="00A24D4D"/>
    <w:rsid w:val="00A26624"/>
    <w:rsid w:val="00A32C68"/>
    <w:rsid w:val="00A360D2"/>
    <w:rsid w:val="00A372CC"/>
    <w:rsid w:val="00A401B5"/>
    <w:rsid w:val="00A43AB6"/>
    <w:rsid w:val="00A45700"/>
    <w:rsid w:val="00A46313"/>
    <w:rsid w:val="00A5005B"/>
    <w:rsid w:val="00A53BDF"/>
    <w:rsid w:val="00A56709"/>
    <w:rsid w:val="00A57C96"/>
    <w:rsid w:val="00A621B4"/>
    <w:rsid w:val="00A621F6"/>
    <w:rsid w:val="00A62CCF"/>
    <w:rsid w:val="00A65BC8"/>
    <w:rsid w:val="00A65FB1"/>
    <w:rsid w:val="00A676A4"/>
    <w:rsid w:val="00A70B8F"/>
    <w:rsid w:val="00A70DE8"/>
    <w:rsid w:val="00A741BD"/>
    <w:rsid w:val="00A76EFC"/>
    <w:rsid w:val="00A8294C"/>
    <w:rsid w:val="00A83937"/>
    <w:rsid w:val="00A84115"/>
    <w:rsid w:val="00A84237"/>
    <w:rsid w:val="00A85916"/>
    <w:rsid w:val="00A90B4F"/>
    <w:rsid w:val="00A9425B"/>
    <w:rsid w:val="00A95207"/>
    <w:rsid w:val="00A9578B"/>
    <w:rsid w:val="00A958EC"/>
    <w:rsid w:val="00A96CE7"/>
    <w:rsid w:val="00A97BB4"/>
    <w:rsid w:val="00AA101B"/>
    <w:rsid w:val="00AA2C20"/>
    <w:rsid w:val="00AA3B43"/>
    <w:rsid w:val="00AA4332"/>
    <w:rsid w:val="00AA4369"/>
    <w:rsid w:val="00AA60F5"/>
    <w:rsid w:val="00AA711E"/>
    <w:rsid w:val="00AA7989"/>
    <w:rsid w:val="00AB00FB"/>
    <w:rsid w:val="00AB0101"/>
    <w:rsid w:val="00AB2059"/>
    <w:rsid w:val="00AB21CF"/>
    <w:rsid w:val="00AB3F31"/>
    <w:rsid w:val="00AB4812"/>
    <w:rsid w:val="00AC12A0"/>
    <w:rsid w:val="00AC1EE3"/>
    <w:rsid w:val="00AC276A"/>
    <w:rsid w:val="00AC3A3F"/>
    <w:rsid w:val="00AC54DF"/>
    <w:rsid w:val="00AC661B"/>
    <w:rsid w:val="00AC6E22"/>
    <w:rsid w:val="00AC733C"/>
    <w:rsid w:val="00AC73E9"/>
    <w:rsid w:val="00AD24A5"/>
    <w:rsid w:val="00AD381A"/>
    <w:rsid w:val="00AD40B7"/>
    <w:rsid w:val="00AD58E6"/>
    <w:rsid w:val="00AD7BEE"/>
    <w:rsid w:val="00AE0FF0"/>
    <w:rsid w:val="00AE251D"/>
    <w:rsid w:val="00AE2FCB"/>
    <w:rsid w:val="00AE4D94"/>
    <w:rsid w:val="00AE6BCF"/>
    <w:rsid w:val="00AE700F"/>
    <w:rsid w:val="00AF20C4"/>
    <w:rsid w:val="00AF31AB"/>
    <w:rsid w:val="00AF3C2C"/>
    <w:rsid w:val="00AF56F2"/>
    <w:rsid w:val="00AF7B25"/>
    <w:rsid w:val="00B002CC"/>
    <w:rsid w:val="00B01ACF"/>
    <w:rsid w:val="00B01E61"/>
    <w:rsid w:val="00B03387"/>
    <w:rsid w:val="00B065CE"/>
    <w:rsid w:val="00B07DC1"/>
    <w:rsid w:val="00B12998"/>
    <w:rsid w:val="00B1349F"/>
    <w:rsid w:val="00B168B2"/>
    <w:rsid w:val="00B17C55"/>
    <w:rsid w:val="00B218E3"/>
    <w:rsid w:val="00B22D73"/>
    <w:rsid w:val="00B23A08"/>
    <w:rsid w:val="00B253AC"/>
    <w:rsid w:val="00B26B47"/>
    <w:rsid w:val="00B278EB"/>
    <w:rsid w:val="00B312E9"/>
    <w:rsid w:val="00B33D4C"/>
    <w:rsid w:val="00B36548"/>
    <w:rsid w:val="00B374ED"/>
    <w:rsid w:val="00B406A3"/>
    <w:rsid w:val="00B454A9"/>
    <w:rsid w:val="00B459CD"/>
    <w:rsid w:val="00B45D1D"/>
    <w:rsid w:val="00B5057C"/>
    <w:rsid w:val="00B519F6"/>
    <w:rsid w:val="00B51DB3"/>
    <w:rsid w:val="00B525B7"/>
    <w:rsid w:val="00B5270F"/>
    <w:rsid w:val="00B52E64"/>
    <w:rsid w:val="00B53905"/>
    <w:rsid w:val="00B53BCB"/>
    <w:rsid w:val="00B55DC5"/>
    <w:rsid w:val="00B5609E"/>
    <w:rsid w:val="00B56677"/>
    <w:rsid w:val="00B56723"/>
    <w:rsid w:val="00B56CBE"/>
    <w:rsid w:val="00B61E2B"/>
    <w:rsid w:val="00B62632"/>
    <w:rsid w:val="00B62921"/>
    <w:rsid w:val="00B6360F"/>
    <w:rsid w:val="00B6382A"/>
    <w:rsid w:val="00B63EEB"/>
    <w:rsid w:val="00B6565D"/>
    <w:rsid w:val="00B65CAA"/>
    <w:rsid w:val="00B66328"/>
    <w:rsid w:val="00B70822"/>
    <w:rsid w:val="00B72864"/>
    <w:rsid w:val="00B72A4C"/>
    <w:rsid w:val="00B72F99"/>
    <w:rsid w:val="00B73058"/>
    <w:rsid w:val="00B74F3F"/>
    <w:rsid w:val="00B75F60"/>
    <w:rsid w:val="00B76AA6"/>
    <w:rsid w:val="00B76C2D"/>
    <w:rsid w:val="00B824FE"/>
    <w:rsid w:val="00B82EE3"/>
    <w:rsid w:val="00B8353D"/>
    <w:rsid w:val="00B84FD8"/>
    <w:rsid w:val="00B860FF"/>
    <w:rsid w:val="00B9372E"/>
    <w:rsid w:val="00B95F33"/>
    <w:rsid w:val="00B967A9"/>
    <w:rsid w:val="00BA0F4A"/>
    <w:rsid w:val="00BA250C"/>
    <w:rsid w:val="00BA2B62"/>
    <w:rsid w:val="00BA58D9"/>
    <w:rsid w:val="00BA6B4C"/>
    <w:rsid w:val="00BA7211"/>
    <w:rsid w:val="00BB0CA2"/>
    <w:rsid w:val="00BB21B8"/>
    <w:rsid w:val="00BB2AA7"/>
    <w:rsid w:val="00BB3908"/>
    <w:rsid w:val="00BB4F6E"/>
    <w:rsid w:val="00BB5150"/>
    <w:rsid w:val="00BB6720"/>
    <w:rsid w:val="00BC0628"/>
    <w:rsid w:val="00BC1908"/>
    <w:rsid w:val="00BC21BF"/>
    <w:rsid w:val="00BC66FE"/>
    <w:rsid w:val="00BD0ACF"/>
    <w:rsid w:val="00BD1723"/>
    <w:rsid w:val="00BD1D68"/>
    <w:rsid w:val="00BD25E9"/>
    <w:rsid w:val="00BD30ED"/>
    <w:rsid w:val="00BD5189"/>
    <w:rsid w:val="00BD747A"/>
    <w:rsid w:val="00BE267E"/>
    <w:rsid w:val="00BE5449"/>
    <w:rsid w:val="00BE5A67"/>
    <w:rsid w:val="00BF08DD"/>
    <w:rsid w:val="00BF3B6A"/>
    <w:rsid w:val="00BF49C7"/>
    <w:rsid w:val="00C0318D"/>
    <w:rsid w:val="00C07C4E"/>
    <w:rsid w:val="00C12B99"/>
    <w:rsid w:val="00C15344"/>
    <w:rsid w:val="00C15624"/>
    <w:rsid w:val="00C15BC0"/>
    <w:rsid w:val="00C20AA1"/>
    <w:rsid w:val="00C210CC"/>
    <w:rsid w:val="00C21D57"/>
    <w:rsid w:val="00C239F6"/>
    <w:rsid w:val="00C23E24"/>
    <w:rsid w:val="00C24C0A"/>
    <w:rsid w:val="00C25608"/>
    <w:rsid w:val="00C25E36"/>
    <w:rsid w:val="00C26F81"/>
    <w:rsid w:val="00C3027A"/>
    <w:rsid w:val="00C33360"/>
    <w:rsid w:val="00C40B7E"/>
    <w:rsid w:val="00C43E84"/>
    <w:rsid w:val="00C45CD5"/>
    <w:rsid w:val="00C60F72"/>
    <w:rsid w:val="00C6107E"/>
    <w:rsid w:val="00C61BD9"/>
    <w:rsid w:val="00C638B2"/>
    <w:rsid w:val="00C63E54"/>
    <w:rsid w:val="00C64047"/>
    <w:rsid w:val="00C64238"/>
    <w:rsid w:val="00C653BC"/>
    <w:rsid w:val="00C66500"/>
    <w:rsid w:val="00C6740B"/>
    <w:rsid w:val="00C708B1"/>
    <w:rsid w:val="00C70B0B"/>
    <w:rsid w:val="00C7150D"/>
    <w:rsid w:val="00C7226E"/>
    <w:rsid w:val="00C72674"/>
    <w:rsid w:val="00C729F1"/>
    <w:rsid w:val="00C73CF9"/>
    <w:rsid w:val="00C74FEF"/>
    <w:rsid w:val="00C8124F"/>
    <w:rsid w:val="00C82870"/>
    <w:rsid w:val="00C8505A"/>
    <w:rsid w:val="00C8584A"/>
    <w:rsid w:val="00C8624A"/>
    <w:rsid w:val="00C87756"/>
    <w:rsid w:val="00C95278"/>
    <w:rsid w:val="00C95B2F"/>
    <w:rsid w:val="00CA02DC"/>
    <w:rsid w:val="00CA07B1"/>
    <w:rsid w:val="00CA0E2F"/>
    <w:rsid w:val="00CA2BD7"/>
    <w:rsid w:val="00CA3738"/>
    <w:rsid w:val="00CA42F7"/>
    <w:rsid w:val="00CA459F"/>
    <w:rsid w:val="00CA5541"/>
    <w:rsid w:val="00CA6969"/>
    <w:rsid w:val="00CA71B7"/>
    <w:rsid w:val="00CB00F3"/>
    <w:rsid w:val="00CB12BA"/>
    <w:rsid w:val="00CB484E"/>
    <w:rsid w:val="00CB4B53"/>
    <w:rsid w:val="00CB7D21"/>
    <w:rsid w:val="00CB7DA1"/>
    <w:rsid w:val="00CC16B2"/>
    <w:rsid w:val="00CC28F9"/>
    <w:rsid w:val="00CC2E29"/>
    <w:rsid w:val="00CC6596"/>
    <w:rsid w:val="00CD12BE"/>
    <w:rsid w:val="00CD1B01"/>
    <w:rsid w:val="00CD1D5B"/>
    <w:rsid w:val="00CD1E6E"/>
    <w:rsid w:val="00CD341E"/>
    <w:rsid w:val="00CD4791"/>
    <w:rsid w:val="00CD5187"/>
    <w:rsid w:val="00CD51DD"/>
    <w:rsid w:val="00CD5563"/>
    <w:rsid w:val="00CD7815"/>
    <w:rsid w:val="00CE3E78"/>
    <w:rsid w:val="00CE40B1"/>
    <w:rsid w:val="00CE6775"/>
    <w:rsid w:val="00CE67D7"/>
    <w:rsid w:val="00CE68DB"/>
    <w:rsid w:val="00CE7256"/>
    <w:rsid w:val="00CE76FC"/>
    <w:rsid w:val="00CE77E0"/>
    <w:rsid w:val="00CE7F23"/>
    <w:rsid w:val="00CF08E3"/>
    <w:rsid w:val="00CF1AFB"/>
    <w:rsid w:val="00CF22CE"/>
    <w:rsid w:val="00CF29E9"/>
    <w:rsid w:val="00CF44B9"/>
    <w:rsid w:val="00CF62C3"/>
    <w:rsid w:val="00D15DB8"/>
    <w:rsid w:val="00D175DD"/>
    <w:rsid w:val="00D22F33"/>
    <w:rsid w:val="00D22F4F"/>
    <w:rsid w:val="00D23E78"/>
    <w:rsid w:val="00D240F2"/>
    <w:rsid w:val="00D24137"/>
    <w:rsid w:val="00D24BFE"/>
    <w:rsid w:val="00D268C0"/>
    <w:rsid w:val="00D27162"/>
    <w:rsid w:val="00D277DC"/>
    <w:rsid w:val="00D306C6"/>
    <w:rsid w:val="00D31DC3"/>
    <w:rsid w:val="00D329CF"/>
    <w:rsid w:val="00D33EE5"/>
    <w:rsid w:val="00D347B9"/>
    <w:rsid w:val="00D4225C"/>
    <w:rsid w:val="00D429EE"/>
    <w:rsid w:val="00D42E2E"/>
    <w:rsid w:val="00D430AA"/>
    <w:rsid w:val="00D4571D"/>
    <w:rsid w:val="00D46656"/>
    <w:rsid w:val="00D4699F"/>
    <w:rsid w:val="00D46C7B"/>
    <w:rsid w:val="00D47647"/>
    <w:rsid w:val="00D56B5F"/>
    <w:rsid w:val="00D57F4F"/>
    <w:rsid w:val="00D62251"/>
    <w:rsid w:val="00D638A6"/>
    <w:rsid w:val="00D65589"/>
    <w:rsid w:val="00D66BCC"/>
    <w:rsid w:val="00D672EC"/>
    <w:rsid w:val="00D67B5C"/>
    <w:rsid w:val="00D702A7"/>
    <w:rsid w:val="00D71F9C"/>
    <w:rsid w:val="00D75B86"/>
    <w:rsid w:val="00D77BE8"/>
    <w:rsid w:val="00D8213A"/>
    <w:rsid w:val="00D91533"/>
    <w:rsid w:val="00D91F0F"/>
    <w:rsid w:val="00D932DC"/>
    <w:rsid w:val="00D94953"/>
    <w:rsid w:val="00D94FEE"/>
    <w:rsid w:val="00D9553B"/>
    <w:rsid w:val="00D96F3B"/>
    <w:rsid w:val="00DA046D"/>
    <w:rsid w:val="00DA1228"/>
    <w:rsid w:val="00DA269E"/>
    <w:rsid w:val="00DA4798"/>
    <w:rsid w:val="00DA552F"/>
    <w:rsid w:val="00DA6A48"/>
    <w:rsid w:val="00DB0B42"/>
    <w:rsid w:val="00DB1A09"/>
    <w:rsid w:val="00DB3E84"/>
    <w:rsid w:val="00DB4069"/>
    <w:rsid w:val="00DC2054"/>
    <w:rsid w:val="00DC2472"/>
    <w:rsid w:val="00DC2565"/>
    <w:rsid w:val="00DC33F5"/>
    <w:rsid w:val="00DC3648"/>
    <w:rsid w:val="00DC3E55"/>
    <w:rsid w:val="00DC4711"/>
    <w:rsid w:val="00DC7DFF"/>
    <w:rsid w:val="00DC7F23"/>
    <w:rsid w:val="00DD0C12"/>
    <w:rsid w:val="00DD1E6F"/>
    <w:rsid w:val="00DD5C7D"/>
    <w:rsid w:val="00DD6562"/>
    <w:rsid w:val="00DD6D3A"/>
    <w:rsid w:val="00DD77FC"/>
    <w:rsid w:val="00DE0F8A"/>
    <w:rsid w:val="00DE1DED"/>
    <w:rsid w:val="00DE23E5"/>
    <w:rsid w:val="00DE495D"/>
    <w:rsid w:val="00DE4C4D"/>
    <w:rsid w:val="00DE4DCD"/>
    <w:rsid w:val="00DE524F"/>
    <w:rsid w:val="00DF3F29"/>
    <w:rsid w:val="00DF421A"/>
    <w:rsid w:val="00E0321A"/>
    <w:rsid w:val="00E04179"/>
    <w:rsid w:val="00E04A9E"/>
    <w:rsid w:val="00E07081"/>
    <w:rsid w:val="00E07E02"/>
    <w:rsid w:val="00E10293"/>
    <w:rsid w:val="00E104D5"/>
    <w:rsid w:val="00E10C23"/>
    <w:rsid w:val="00E12EBA"/>
    <w:rsid w:val="00E12F24"/>
    <w:rsid w:val="00E1439B"/>
    <w:rsid w:val="00E14F1B"/>
    <w:rsid w:val="00E164C5"/>
    <w:rsid w:val="00E20B72"/>
    <w:rsid w:val="00E219E6"/>
    <w:rsid w:val="00E235C3"/>
    <w:rsid w:val="00E23A33"/>
    <w:rsid w:val="00E31AAA"/>
    <w:rsid w:val="00E32A54"/>
    <w:rsid w:val="00E32C81"/>
    <w:rsid w:val="00E32C8A"/>
    <w:rsid w:val="00E3399A"/>
    <w:rsid w:val="00E34B38"/>
    <w:rsid w:val="00E354DC"/>
    <w:rsid w:val="00E371B4"/>
    <w:rsid w:val="00E404E4"/>
    <w:rsid w:val="00E414BD"/>
    <w:rsid w:val="00E41791"/>
    <w:rsid w:val="00E4260B"/>
    <w:rsid w:val="00E46F22"/>
    <w:rsid w:val="00E5077C"/>
    <w:rsid w:val="00E50816"/>
    <w:rsid w:val="00E5206D"/>
    <w:rsid w:val="00E52B76"/>
    <w:rsid w:val="00E52CF4"/>
    <w:rsid w:val="00E563C2"/>
    <w:rsid w:val="00E56618"/>
    <w:rsid w:val="00E57724"/>
    <w:rsid w:val="00E578CB"/>
    <w:rsid w:val="00E6026B"/>
    <w:rsid w:val="00E612DB"/>
    <w:rsid w:val="00E618C0"/>
    <w:rsid w:val="00E61F6D"/>
    <w:rsid w:val="00E62DFD"/>
    <w:rsid w:val="00E6584D"/>
    <w:rsid w:val="00E669B9"/>
    <w:rsid w:val="00E66A52"/>
    <w:rsid w:val="00E673B8"/>
    <w:rsid w:val="00E717BF"/>
    <w:rsid w:val="00E72086"/>
    <w:rsid w:val="00E72F51"/>
    <w:rsid w:val="00E75855"/>
    <w:rsid w:val="00E76131"/>
    <w:rsid w:val="00E76860"/>
    <w:rsid w:val="00E76ABB"/>
    <w:rsid w:val="00E80E71"/>
    <w:rsid w:val="00E818CE"/>
    <w:rsid w:val="00E871BE"/>
    <w:rsid w:val="00E87816"/>
    <w:rsid w:val="00E91AB2"/>
    <w:rsid w:val="00E9227E"/>
    <w:rsid w:val="00E939FF"/>
    <w:rsid w:val="00EA04C4"/>
    <w:rsid w:val="00EA1623"/>
    <w:rsid w:val="00EA1BC1"/>
    <w:rsid w:val="00EA5633"/>
    <w:rsid w:val="00EA6CB9"/>
    <w:rsid w:val="00EB05BA"/>
    <w:rsid w:val="00EB3DB6"/>
    <w:rsid w:val="00EB501C"/>
    <w:rsid w:val="00EB6490"/>
    <w:rsid w:val="00EC0F11"/>
    <w:rsid w:val="00EC18AD"/>
    <w:rsid w:val="00EC6DCA"/>
    <w:rsid w:val="00ED078D"/>
    <w:rsid w:val="00ED0C71"/>
    <w:rsid w:val="00ED3677"/>
    <w:rsid w:val="00ED411F"/>
    <w:rsid w:val="00ED46A8"/>
    <w:rsid w:val="00ED5945"/>
    <w:rsid w:val="00ED6B25"/>
    <w:rsid w:val="00EE01AD"/>
    <w:rsid w:val="00EE31E5"/>
    <w:rsid w:val="00EE320D"/>
    <w:rsid w:val="00EE350A"/>
    <w:rsid w:val="00EF2CE0"/>
    <w:rsid w:val="00EF3C6F"/>
    <w:rsid w:val="00EF3E18"/>
    <w:rsid w:val="00F01239"/>
    <w:rsid w:val="00F01266"/>
    <w:rsid w:val="00F01EE3"/>
    <w:rsid w:val="00F03275"/>
    <w:rsid w:val="00F034E4"/>
    <w:rsid w:val="00F03B70"/>
    <w:rsid w:val="00F04066"/>
    <w:rsid w:val="00F04115"/>
    <w:rsid w:val="00F0568E"/>
    <w:rsid w:val="00F05D57"/>
    <w:rsid w:val="00F05FDA"/>
    <w:rsid w:val="00F06EFC"/>
    <w:rsid w:val="00F1101A"/>
    <w:rsid w:val="00F11861"/>
    <w:rsid w:val="00F11BDE"/>
    <w:rsid w:val="00F131D7"/>
    <w:rsid w:val="00F144EA"/>
    <w:rsid w:val="00F15AF4"/>
    <w:rsid w:val="00F203D8"/>
    <w:rsid w:val="00F20AB2"/>
    <w:rsid w:val="00F21142"/>
    <w:rsid w:val="00F221FC"/>
    <w:rsid w:val="00F22605"/>
    <w:rsid w:val="00F24754"/>
    <w:rsid w:val="00F261AC"/>
    <w:rsid w:val="00F26C78"/>
    <w:rsid w:val="00F3075D"/>
    <w:rsid w:val="00F31503"/>
    <w:rsid w:val="00F31846"/>
    <w:rsid w:val="00F31D8C"/>
    <w:rsid w:val="00F34BB1"/>
    <w:rsid w:val="00F363D1"/>
    <w:rsid w:val="00F377FA"/>
    <w:rsid w:val="00F37F8E"/>
    <w:rsid w:val="00F44873"/>
    <w:rsid w:val="00F52B27"/>
    <w:rsid w:val="00F52ECF"/>
    <w:rsid w:val="00F5419E"/>
    <w:rsid w:val="00F55152"/>
    <w:rsid w:val="00F604AE"/>
    <w:rsid w:val="00F608DE"/>
    <w:rsid w:val="00F61491"/>
    <w:rsid w:val="00F620CD"/>
    <w:rsid w:val="00F62B12"/>
    <w:rsid w:val="00F6413F"/>
    <w:rsid w:val="00F6454F"/>
    <w:rsid w:val="00F662DE"/>
    <w:rsid w:val="00F6711C"/>
    <w:rsid w:val="00F679EC"/>
    <w:rsid w:val="00F67C2B"/>
    <w:rsid w:val="00F67C6A"/>
    <w:rsid w:val="00F67CB5"/>
    <w:rsid w:val="00F72C00"/>
    <w:rsid w:val="00F76AA8"/>
    <w:rsid w:val="00F80021"/>
    <w:rsid w:val="00F83630"/>
    <w:rsid w:val="00F84483"/>
    <w:rsid w:val="00F853B3"/>
    <w:rsid w:val="00F859AE"/>
    <w:rsid w:val="00F877F1"/>
    <w:rsid w:val="00F92B83"/>
    <w:rsid w:val="00F9384E"/>
    <w:rsid w:val="00F96852"/>
    <w:rsid w:val="00FA0B1A"/>
    <w:rsid w:val="00FA0F77"/>
    <w:rsid w:val="00FA1758"/>
    <w:rsid w:val="00FA17B6"/>
    <w:rsid w:val="00FA470B"/>
    <w:rsid w:val="00FA622C"/>
    <w:rsid w:val="00FB0769"/>
    <w:rsid w:val="00FB3EE3"/>
    <w:rsid w:val="00FB56E3"/>
    <w:rsid w:val="00FB6739"/>
    <w:rsid w:val="00FB73EC"/>
    <w:rsid w:val="00FB75C9"/>
    <w:rsid w:val="00FB79B8"/>
    <w:rsid w:val="00FC0D2F"/>
    <w:rsid w:val="00FC1CA4"/>
    <w:rsid w:val="00FC1F7A"/>
    <w:rsid w:val="00FC381D"/>
    <w:rsid w:val="00FC5F36"/>
    <w:rsid w:val="00FC6455"/>
    <w:rsid w:val="00FC672E"/>
    <w:rsid w:val="00FD056B"/>
    <w:rsid w:val="00FD10DD"/>
    <w:rsid w:val="00FD18F9"/>
    <w:rsid w:val="00FD1C92"/>
    <w:rsid w:val="00FD3646"/>
    <w:rsid w:val="00FD369C"/>
    <w:rsid w:val="00FD6576"/>
    <w:rsid w:val="00FD6903"/>
    <w:rsid w:val="00FD7C40"/>
    <w:rsid w:val="00FE0356"/>
    <w:rsid w:val="00FE0FDE"/>
    <w:rsid w:val="00FE1089"/>
    <w:rsid w:val="00FE1C74"/>
    <w:rsid w:val="00FE2943"/>
    <w:rsid w:val="00FE3CDC"/>
    <w:rsid w:val="00FE4239"/>
    <w:rsid w:val="00FE4F8F"/>
    <w:rsid w:val="00FF4352"/>
    <w:rsid w:val="00FF5403"/>
    <w:rsid w:val="00FF5ECF"/>
    <w:rsid w:val="00FF7C8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v:textbox style="layout-flow:vertical;mso-layout-flow-alt:bottom-to-top;mso-fit-shape-to-text:t"/>
      <o:colormru v:ext="edit" colors="#36c,#03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lsdException w:name="index 2" w:uiPriority="99"/>
    <w:lsdException w:name="index 3"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uiPriority="99" w:qFormat="1"/>
    <w:lsdException w:name="table of figures" w:uiPriority="99"/>
    <w:lsdException w:name="footnote reference" w:uiPriority="99"/>
    <w:lsdException w:name="annotation reference" w:uiPriority="99"/>
    <w:lsdException w:name="endnote reference" w:uiPriority="99"/>
    <w:lsdException w:name="endnote text" w:uiPriority="99"/>
    <w:lsdException w:name="List" w:uiPriority="99"/>
    <w:lsdException w:name="List Bullet" w:uiPriority="99"/>
    <w:lsdException w:name="List 2" w:uiPriority="99"/>
    <w:lsdException w:name="Title" w:uiPriority="99" w:qFormat="1"/>
    <w:lsdException w:name="Default Paragraph Font" w:uiPriority="1"/>
    <w:lsdException w:name="Body Text" w:uiPriority="99"/>
    <w:lsdException w:name="Body Text Indent" w:uiPriority="99"/>
    <w:lsdException w:name="Subtitle" w:qFormat="1"/>
    <w:lsdException w:name="Body Text 2" w:uiPriority="99"/>
    <w:lsdException w:name="Body Text 3" w:uiPriority="99"/>
    <w:lsdException w:name="Block Text" w:uiPriority="99"/>
    <w:lsdException w:name="Hyperlink" w:uiPriority="99"/>
    <w:lsdException w:name="FollowedHyperlink" w:uiPriority="99"/>
    <w:lsdException w:name="Strong" w:uiPriority="99" w:qFormat="1"/>
    <w:lsdException w:name="Emphasis" w:uiPriority="99" w:qFormat="1"/>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annotation subjec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B21CF"/>
    <w:pPr>
      <w:spacing w:before="120"/>
      <w:jc w:val="both"/>
    </w:pPr>
    <w:rPr>
      <w:rFonts w:ascii="Calibri" w:hAnsi="Calibri"/>
      <w:sz w:val="21"/>
      <w:szCs w:val="22"/>
      <w:lang w:val="fr-FR" w:eastAsia="fr-FR"/>
    </w:rPr>
  </w:style>
  <w:style w:type="paragraph" w:styleId="Heading1">
    <w:name w:val="heading 1"/>
    <w:basedOn w:val="Normal"/>
    <w:next w:val="Normal"/>
    <w:link w:val="Heading1Char"/>
    <w:uiPriority w:val="9"/>
    <w:qFormat/>
    <w:rsid w:val="00AB21CF"/>
    <w:pPr>
      <w:keepNext/>
      <w:keepLines/>
      <w:tabs>
        <w:tab w:val="left" w:pos="851"/>
      </w:tabs>
      <w:spacing w:before="400"/>
      <w:outlineLvl w:val="0"/>
    </w:pPr>
    <w:rPr>
      <w:rFonts w:eastAsia="Times New Roman" w:cs="Helvetica"/>
      <w:b/>
      <w:bCs/>
      <w:color w:val="005173"/>
      <w:sz w:val="28"/>
      <w:szCs w:val="28"/>
      <w:lang w:val="en-US"/>
    </w:rPr>
  </w:style>
  <w:style w:type="paragraph" w:styleId="Heading2">
    <w:name w:val="heading 2"/>
    <w:basedOn w:val="Normal"/>
    <w:next w:val="Normal"/>
    <w:link w:val="Heading2Char"/>
    <w:uiPriority w:val="9"/>
    <w:qFormat/>
    <w:rsid w:val="00AB21CF"/>
    <w:pPr>
      <w:keepNext/>
      <w:tabs>
        <w:tab w:val="left" w:pos="851"/>
      </w:tabs>
      <w:spacing w:before="400"/>
      <w:outlineLvl w:val="1"/>
    </w:pPr>
    <w:rPr>
      <w:rFonts w:eastAsia="Times New Roman" w:cs="Helvetica"/>
      <w:b/>
      <w:bCs/>
      <w:color w:val="005173"/>
      <w:sz w:val="24"/>
      <w:szCs w:val="32"/>
      <w:lang w:val="en-US"/>
    </w:rPr>
  </w:style>
  <w:style w:type="paragraph" w:styleId="Heading3">
    <w:name w:val="heading 3"/>
    <w:basedOn w:val="Heading2"/>
    <w:next w:val="Normal"/>
    <w:link w:val="Heading3Char"/>
    <w:uiPriority w:val="9"/>
    <w:qFormat/>
    <w:rsid w:val="00AB21CF"/>
    <w:pPr>
      <w:spacing w:before="240"/>
      <w:outlineLvl w:val="2"/>
    </w:pPr>
    <w:rPr>
      <w:i/>
      <w:iCs/>
    </w:rPr>
  </w:style>
  <w:style w:type="paragraph" w:styleId="Heading4">
    <w:name w:val="heading 4"/>
    <w:basedOn w:val="Normal"/>
    <w:next w:val="Normal"/>
    <w:link w:val="Heading4Char"/>
    <w:uiPriority w:val="9"/>
    <w:qFormat/>
    <w:rsid w:val="00AB21CF"/>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uiPriority w:val="9"/>
    <w:qFormat/>
    <w:rsid w:val="00AB21CF"/>
    <w:pPr>
      <w:keepNext/>
      <w:keepLines/>
      <w:tabs>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uiPriority w:val="9"/>
    <w:qFormat/>
    <w:rsid w:val="00AB21CF"/>
    <w:pPr>
      <w:spacing w:before="240" w:after="60"/>
      <w:outlineLvl w:val="5"/>
    </w:pPr>
    <w:rPr>
      <w:b/>
      <w:bCs/>
      <w:color w:val="005173"/>
    </w:rPr>
  </w:style>
  <w:style w:type="paragraph" w:styleId="Heading7">
    <w:name w:val="heading 7"/>
    <w:basedOn w:val="Normal"/>
    <w:next w:val="Normal"/>
    <w:link w:val="Heading7Char"/>
    <w:uiPriority w:val="9"/>
    <w:qFormat/>
    <w:rsid w:val="00AB21CF"/>
    <w:pPr>
      <w:numPr>
        <w:ilvl w:val="6"/>
        <w:numId w:val="21"/>
      </w:numPr>
      <w:spacing w:before="240" w:after="60"/>
      <w:outlineLvl w:val="6"/>
    </w:pPr>
    <w:rPr>
      <w:sz w:val="24"/>
      <w:szCs w:val="24"/>
    </w:rPr>
  </w:style>
  <w:style w:type="paragraph" w:styleId="Heading8">
    <w:name w:val="heading 8"/>
    <w:basedOn w:val="Normal"/>
    <w:next w:val="Normal"/>
    <w:link w:val="Heading8Char"/>
    <w:uiPriority w:val="9"/>
    <w:qFormat/>
    <w:rsid w:val="00AB21CF"/>
    <w:pPr>
      <w:numPr>
        <w:ilvl w:val="7"/>
        <w:numId w:val="21"/>
      </w:numPr>
      <w:spacing w:before="240" w:after="60"/>
      <w:outlineLvl w:val="7"/>
    </w:pPr>
    <w:rPr>
      <w:i/>
      <w:iCs/>
      <w:sz w:val="24"/>
      <w:szCs w:val="24"/>
    </w:rPr>
  </w:style>
  <w:style w:type="paragraph" w:styleId="Heading9">
    <w:name w:val="heading 9"/>
    <w:basedOn w:val="Normal"/>
    <w:next w:val="Normal"/>
    <w:link w:val="Heading9Char"/>
    <w:uiPriority w:val="9"/>
    <w:rsid w:val="00AB21CF"/>
    <w:pPr>
      <w:numPr>
        <w:ilvl w:val="8"/>
        <w:numId w:val="2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AB21CF"/>
    <w:pPr>
      <w:spacing w:before="0"/>
    </w:pPr>
    <w:rPr>
      <w:rFonts w:ascii="Tahoma" w:hAnsi="Tahoma" w:cs="Tahoma"/>
      <w:sz w:val="16"/>
      <w:szCs w:val="16"/>
    </w:rPr>
  </w:style>
  <w:style w:type="character" w:customStyle="1" w:styleId="BalloonTextChar">
    <w:name w:val="Balloon Text Char"/>
    <w:link w:val="BalloonText"/>
    <w:rsid w:val="00AB21CF"/>
    <w:rPr>
      <w:rFonts w:ascii="Tahoma" w:hAnsi="Tahoma" w:cs="Tahoma"/>
      <w:sz w:val="16"/>
      <w:szCs w:val="16"/>
      <w:lang w:val="fr-FR" w:eastAsia="fr-FR"/>
    </w:rPr>
  </w:style>
  <w:style w:type="paragraph" w:styleId="Header">
    <w:name w:val="header"/>
    <w:basedOn w:val="Normal"/>
    <w:link w:val="HeaderChar"/>
    <w:uiPriority w:val="99"/>
    <w:rsid w:val="00AB21CF"/>
    <w:pPr>
      <w:pBdr>
        <w:bottom w:val="single" w:sz="12" w:space="1" w:color="005173"/>
      </w:pBdr>
      <w:jc w:val="center"/>
    </w:pPr>
    <w:rPr>
      <w:rFonts w:eastAsia="Times New Roman" w:cs="Calibri"/>
      <w:i/>
      <w:iCs/>
      <w:szCs w:val="21"/>
      <w:lang w:val="en-US"/>
    </w:rPr>
  </w:style>
  <w:style w:type="character" w:customStyle="1" w:styleId="HeaderChar">
    <w:name w:val="Header Char"/>
    <w:link w:val="Header"/>
    <w:uiPriority w:val="99"/>
    <w:rsid w:val="00AB21CF"/>
    <w:rPr>
      <w:rFonts w:ascii="Calibri" w:eastAsia="Times New Roman" w:hAnsi="Calibri" w:cs="Calibri"/>
      <w:i/>
      <w:iCs/>
      <w:sz w:val="21"/>
      <w:szCs w:val="21"/>
      <w:lang w:eastAsia="fr-FR"/>
    </w:rPr>
  </w:style>
  <w:style w:type="character" w:styleId="Hyperlink">
    <w:name w:val="Hyperlink"/>
    <w:uiPriority w:val="99"/>
    <w:rsid w:val="00AB21CF"/>
    <w:rPr>
      <w:color w:val="0000FF"/>
      <w:u w:val="single"/>
    </w:rPr>
  </w:style>
  <w:style w:type="paragraph" w:styleId="TOC2">
    <w:name w:val="toc 2"/>
    <w:basedOn w:val="Normal"/>
    <w:next w:val="Normal"/>
    <w:autoRedefine/>
    <w:uiPriority w:val="39"/>
    <w:rsid w:val="00AB21CF"/>
    <w:pPr>
      <w:tabs>
        <w:tab w:val="left" w:pos="567"/>
        <w:tab w:val="left" w:pos="1134"/>
        <w:tab w:val="right" w:leader="dot" w:pos="8505"/>
        <w:tab w:val="right" w:pos="9071"/>
      </w:tabs>
      <w:ind w:left="567"/>
      <w:jc w:val="left"/>
    </w:pPr>
    <w:rPr>
      <w:rFonts w:cs="Helvetica"/>
      <w:bCs/>
      <w:noProof/>
      <w:szCs w:val="24"/>
      <w:u w:color="3366CC"/>
    </w:rPr>
  </w:style>
  <w:style w:type="paragraph" w:styleId="TOC1">
    <w:name w:val="toc 1"/>
    <w:basedOn w:val="Normal"/>
    <w:next w:val="Normal"/>
    <w:uiPriority w:val="39"/>
    <w:rsid w:val="00AB21CF"/>
    <w:pPr>
      <w:keepNext/>
      <w:keepLines/>
      <w:tabs>
        <w:tab w:val="left" w:pos="567"/>
        <w:tab w:val="right" w:leader="dot" w:pos="8505"/>
        <w:tab w:val="right" w:pos="9071"/>
      </w:tabs>
      <w:spacing w:before="200"/>
      <w:jc w:val="left"/>
    </w:pPr>
    <w:rPr>
      <w:rFonts w:cs="Helvetica"/>
      <w:b/>
      <w:bCs/>
      <w:noProof/>
      <w:szCs w:val="28"/>
      <w:lang w:val="en-US"/>
    </w:rPr>
  </w:style>
  <w:style w:type="paragraph" w:customStyle="1" w:styleId="Enumlevel2">
    <w:name w:val="Enum level 2"/>
    <w:basedOn w:val="Enumlevel1"/>
    <w:link w:val="Enumlevel2Char"/>
    <w:qFormat/>
    <w:rsid w:val="00AB21CF"/>
    <w:pPr>
      <w:ind w:left="1134"/>
    </w:pPr>
    <w:rPr>
      <w:lang w:val="en-AU"/>
    </w:rPr>
  </w:style>
  <w:style w:type="paragraph" w:customStyle="1" w:styleId="Figuretitle">
    <w:name w:val="Figure title"/>
    <w:basedOn w:val="Normal"/>
    <w:link w:val="FiguretitleChar"/>
    <w:qFormat/>
    <w:rsid w:val="00AB21CF"/>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AU"/>
    </w:rPr>
  </w:style>
  <w:style w:type="paragraph" w:customStyle="1" w:styleId="PartTitle">
    <w:name w:val="Part Title"/>
    <w:basedOn w:val="Heading2"/>
    <w:next w:val="Normal"/>
    <w:link w:val="PartTitleChar"/>
    <w:rsid w:val="00AB21CF"/>
    <w:pPr>
      <w:tabs>
        <w:tab w:val="left" w:pos="1134"/>
      </w:tabs>
    </w:pPr>
    <w:rPr>
      <w:i/>
      <w:sz w:val="44"/>
      <w:szCs w:val="36"/>
      <w:u w:color="E36C0A"/>
      <w:lang w:val="en-AU"/>
    </w:rPr>
  </w:style>
  <w:style w:type="character" w:customStyle="1" w:styleId="Enumlevel2Char">
    <w:name w:val="Enum level 2 Char"/>
    <w:link w:val="Enumlevel2"/>
    <w:rsid w:val="00AB21CF"/>
    <w:rPr>
      <w:rFonts w:ascii="Calibri" w:hAnsi="Calibri" w:cs="Calibri"/>
      <w:sz w:val="21"/>
      <w:szCs w:val="21"/>
      <w:lang w:val="en-AU" w:eastAsia="en-GB"/>
    </w:rPr>
  </w:style>
  <w:style w:type="paragraph" w:customStyle="1" w:styleId="Figure">
    <w:name w:val="Figure"/>
    <w:basedOn w:val="Figuretitle"/>
    <w:link w:val="FigureChar"/>
    <w:qFormat/>
    <w:rsid w:val="00AB21CF"/>
    <w:pPr>
      <w:spacing w:before="240" w:after="120"/>
      <w:jc w:val="center"/>
    </w:pPr>
    <w:rPr>
      <w:b w:val="0"/>
      <w:bCs/>
    </w:rPr>
  </w:style>
  <w:style w:type="character" w:customStyle="1" w:styleId="FiguretitleChar">
    <w:name w:val="Figure title Char"/>
    <w:link w:val="Figuretitle"/>
    <w:rsid w:val="00AB21CF"/>
    <w:rPr>
      <w:rFonts w:ascii="Calibri" w:hAnsi="Calibri" w:cs="Arial"/>
      <w:b/>
      <w:color w:val="000000"/>
      <w:sz w:val="21"/>
      <w:szCs w:val="22"/>
      <w:shd w:val="clear" w:color="auto" w:fill="E8F8FD"/>
      <w:lang w:val="en-AU" w:eastAsia="fr-FR"/>
    </w:rPr>
  </w:style>
  <w:style w:type="paragraph" w:customStyle="1" w:styleId="figuresource">
    <w:name w:val="figure source"/>
    <w:basedOn w:val="Figuretitle"/>
    <w:link w:val="figuresourceChar"/>
    <w:qFormat/>
    <w:rsid w:val="00AB21CF"/>
    <w:pPr>
      <w:jc w:val="left"/>
    </w:pPr>
    <w:rPr>
      <w:b w:val="0"/>
      <w:bCs/>
      <w:i/>
      <w:iCs/>
      <w:sz w:val="19"/>
      <w:szCs w:val="19"/>
    </w:rPr>
  </w:style>
  <w:style w:type="character" w:customStyle="1" w:styleId="FigureChar">
    <w:name w:val="Figure Char"/>
    <w:link w:val="Figure"/>
    <w:rsid w:val="00AB21CF"/>
    <w:rPr>
      <w:rFonts w:ascii="Calibri" w:hAnsi="Calibri" w:cs="Arial"/>
      <w:bCs/>
      <w:color w:val="000000"/>
      <w:sz w:val="21"/>
      <w:szCs w:val="22"/>
      <w:shd w:val="clear" w:color="auto" w:fill="E8F8FD"/>
      <w:lang w:val="en-AU" w:eastAsia="fr-FR"/>
    </w:rPr>
  </w:style>
  <w:style w:type="character" w:customStyle="1" w:styleId="href">
    <w:name w:val="href"/>
    <w:uiPriority w:val="99"/>
    <w:rsid w:val="00AB21CF"/>
    <w:rPr>
      <w:rFonts w:cs="Times New Roman"/>
    </w:rPr>
  </w:style>
  <w:style w:type="character" w:customStyle="1" w:styleId="figuresourceChar">
    <w:name w:val="figure source Char"/>
    <w:link w:val="figuresource"/>
    <w:rsid w:val="00AB21CF"/>
    <w:rPr>
      <w:rFonts w:ascii="Calibri" w:hAnsi="Calibri" w:cs="Arial"/>
      <w:bCs/>
      <w:i/>
      <w:iCs/>
      <w:color w:val="000000"/>
      <w:sz w:val="19"/>
      <w:szCs w:val="19"/>
      <w:shd w:val="clear" w:color="auto" w:fill="E8F8FD"/>
      <w:lang w:val="en-AU" w:eastAsia="fr-FR"/>
    </w:rPr>
  </w:style>
  <w:style w:type="paragraph" w:styleId="TOC3">
    <w:name w:val="toc 3"/>
    <w:basedOn w:val="Normal"/>
    <w:next w:val="Normal"/>
    <w:autoRedefine/>
    <w:uiPriority w:val="39"/>
    <w:rsid w:val="00AB21CF"/>
    <w:pPr>
      <w:tabs>
        <w:tab w:val="right" w:pos="1701"/>
        <w:tab w:val="right" w:pos="1985"/>
        <w:tab w:val="right" w:leader="dot" w:pos="8505"/>
        <w:tab w:val="right" w:pos="9071"/>
      </w:tabs>
      <w:spacing w:before="40"/>
      <w:ind w:left="1701" w:hanging="567"/>
    </w:pPr>
    <w:rPr>
      <w:rFonts w:cs="Arial"/>
      <w:noProof/>
      <w:color w:val="000000"/>
      <w:szCs w:val="24"/>
      <w:lang w:val="en-US"/>
    </w:rPr>
  </w:style>
  <w:style w:type="paragraph" w:styleId="Footer">
    <w:name w:val="footer"/>
    <w:basedOn w:val="Normal"/>
    <w:link w:val="FooterChar"/>
    <w:uiPriority w:val="99"/>
    <w:rsid w:val="00AB21CF"/>
    <w:pPr>
      <w:pBdr>
        <w:top w:val="single" w:sz="4" w:space="1" w:color="005173"/>
      </w:pBdr>
      <w:tabs>
        <w:tab w:val="right" w:pos="9071"/>
      </w:tabs>
      <w:ind w:left="6804"/>
      <w:jc w:val="right"/>
    </w:pPr>
  </w:style>
  <w:style w:type="character" w:customStyle="1" w:styleId="FooterChar">
    <w:name w:val="Footer Char"/>
    <w:link w:val="Footer"/>
    <w:uiPriority w:val="99"/>
    <w:rsid w:val="00AB21CF"/>
    <w:rPr>
      <w:rFonts w:ascii="Calibri" w:hAnsi="Calibri"/>
      <w:sz w:val="21"/>
      <w:szCs w:val="22"/>
      <w:lang w:val="fr-FR" w:eastAsia="fr-FR"/>
    </w:rPr>
  </w:style>
  <w:style w:type="table" w:customStyle="1" w:styleId="HIPTable">
    <w:name w:val="HIP Table"/>
    <w:basedOn w:val="TableNormal"/>
    <w:rsid w:val="00AB21CF"/>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AB21CF"/>
    <w:pPr>
      <w:numPr>
        <w:numId w:val="21"/>
      </w:numPr>
    </w:pPr>
  </w:style>
  <w:style w:type="numbering" w:customStyle="1" w:styleId="HIPBulletsHierarchy">
    <w:name w:val="HIP Bullets Hierarchy"/>
    <w:rsid w:val="00AB21CF"/>
    <w:pPr>
      <w:numPr>
        <w:numId w:val="20"/>
      </w:numPr>
    </w:pPr>
  </w:style>
  <w:style w:type="character" w:customStyle="1" w:styleId="Heading2Char">
    <w:name w:val="Heading 2 Char"/>
    <w:link w:val="Heading2"/>
    <w:uiPriority w:val="9"/>
    <w:rsid w:val="00AB21CF"/>
    <w:rPr>
      <w:rFonts w:ascii="Calibri" w:eastAsia="Times New Roman" w:hAnsi="Calibri" w:cs="Helvetica"/>
      <w:b/>
      <w:bCs/>
      <w:color w:val="005173"/>
      <w:sz w:val="24"/>
      <w:szCs w:val="32"/>
      <w:lang w:eastAsia="fr-FR"/>
    </w:rPr>
  </w:style>
  <w:style w:type="character" w:customStyle="1" w:styleId="PartTitleChar">
    <w:name w:val="Part Title Char"/>
    <w:link w:val="PartTitle"/>
    <w:rsid w:val="00AB21CF"/>
    <w:rPr>
      <w:rFonts w:ascii="Calibri" w:eastAsia="Times New Roman" w:hAnsi="Calibri" w:cs="Helvetica"/>
      <w:b/>
      <w:bCs/>
      <w:i/>
      <w:color w:val="005173"/>
      <w:sz w:val="44"/>
      <w:szCs w:val="36"/>
      <w:u w:color="E36C0A"/>
      <w:lang w:val="en-AU" w:eastAsia="fr-FR"/>
    </w:rPr>
  </w:style>
  <w:style w:type="paragraph" w:styleId="FootnoteText">
    <w:name w:val="footnote text"/>
    <w:basedOn w:val="Normal"/>
    <w:link w:val="FootnoteTextChar"/>
    <w:uiPriority w:val="99"/>
    <w:rsid w:val="00AB21CF"/>
    <w:pPr>
      <w:tabs>
        <w:tab w:val="left" w:pos="284"/>
      </w:tabs>
    </w:pPr>
    <w:rPr>
      <w:sz w:val="18"/>
      <w:szCs w:val="18"/>
      <w:lang w:val="en-US"/>
    </w:rPr>
  </w:style>
  <w:style w:type="character" w:customStyle="1" w:styleId="FootnoteTextChar">
    <w:name w:val="Footnote Text Char"/>
    <w:link w:val="FootnoteText"/>
    <w:uiPriority w:val="99"/>
    <w:rsid w:val="00AB21CF"/>
    <w:rPr>
      <w:rFonts w:ascii="Calibri" w:hAnsi="Calibri"/>
      <w:sz w:val="18"/>
      <w:szCs w:val="18"/>
      <w:lang w:eastAsia="fr-FR"/>
    </w:rPr>
  </w:style>
  <w:style w:type="character" w:styleId="FootnoteReference">
    <w:name w:val="footnote reference"/>
    <w:uiPriority w:val="99"/>
    <w:rsid w:val="00AB21CF"/>
    <w:rPr>
      <w:rFonts w:ascii="Calibri" w:hAnsi="Calibri"/>
      <w:sz w:val="21"/>
      <w:vertAlign w:val="superscript"/>
      <w:lang w:val="fr-CH"/>
    </w:rPr>
  </w:style>
  <w:style w:type="table" w:styleId="TableGrid">
    <w:name w:val="Table Grid"/>
    <w:basedOn w:val="TableNormal"/>
    <w:rsid w:val="00AB21C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B21CF"/>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AB21CF"/>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AB21CF"/>
    <w:pPr>
      <w:tabs>
        <w:tab w:val="right" w:pos="9071"/>
      </w:tabs>
      <w:spacing w:before="200"/>
      <w:jc w:val="right"/>
    </w:pPr>
    <w:rPr>
      <w:rFonts w:cs="Helvetica"/>
      <w:bCs/>
      <w:i/>
      <w:iCs/>
      <w:noProof/>
      <w:color w:val="005173"/>
      <w:szCs w:val="28"/>
      <w:lang w:val="en-US"/>
    </w:rPr>
  </w:style>
  <w:style w:type="character" w:customStyle="1" w:styleId="Heading1Char">
    <w:name w:val="Heading 1 Char"/>
    <w:link w:val="Heading1"/>
    <w:uiPriority w:val="9"/>
    <w:rsid w:val="00AB21CF"/>
    <w:rPr>
      <w:rFonts w:ascii="Calibri" w:eastAsia="Times New Roman" w:hAnsi="Calibri" w:cs="Helvetica"/>
      <w:b/>
      <w:bCs/>
      <w:color w:val="005173"/>
      <w:sz w:val="28"/>
      <w:szCs w:val="28"/>
      <w:lang w:eastAsia="fr-FR"/>
    </w:rPr>
  </w:style>
  <w:style w:type="character" w:customStyle="1" w:styleId="ChapttitleChar">
    <w:name w:val="Chapt title Char"/>
    <w:link w:val="Chapttitle"/>
    <w:rsid w:val="00AB21CF"/>
    <w:rPr>
      <w:rFonts w:ascii="Calibri" w:hAnsi="Calibri" w:cs="Helvetica"/>
      <w:b/>
      <w:bCs/>
      <w:color w:val="005173"/>
      <w:sz w:val="40"/>
      <w:szCs w:val="28"/>
      <w:lang w:eastAsia="fr-FR"/>
    </w:rPr>
  </w:style>
  <w:style w:type="character" w:customStyle="1" w:styleId="Toc0Char">
    <w:name w:val="Toc 0 Char"/>
    <w:link w:val="Toc0"/>
    <w:rsid w:val="00AB21CF"/>
    <w:rPr>
      <w:rFonts w:ascii="Calibri" w:hAnsi="Calibri" w:cs="Helvetica"/>
      <w:bCs/>
      <w:i/>
      <w:iCs/>
      <w:noProof/>
      <w:color w:val="005173"/>
      <w:sz w:val="21"/>
      <w:szCs w:val="28"/>
      <w:lang w:eastAsia="fr-FR"/>
    </w:rPr>
  </w:style>
  <w:style w:type="paragraph" w:customStyle="1" w:styleId="HeadingB">
    <w:name w:val="Heading B"/>
    <w:basedOn w:val="Normal"/>
    <w:link w:val="HeadingBChar"/>
    <w:qFormat/>
    <w:rsid w:val="00AB21CF"/>
    <w:pPr>
      <w:spacing w:before="240"/>
    </w:pPr>
    <w:rPr>
      <w:b/>
      <w:bCs/>
      <w:lang w:val="en-AU"/>
    </w:rPr>
  </w:style>
  <w:style w:type="paragraph" w:customStyle="1" w:styleId="Enumlevel1">
    <w:name w:val="Enum level 1"/>
    <w:basedOn w:val="Normal"/>
    <w:link w:val="Enumlevel1Char"/>
    <w:qFormat/>
    <w:rsid w:val="00AB21CF"/>
    <w:pPr>
      <w:ind w:left="567" w:hanging="567"/>
    </w:pPr>
    <w:rPr>
      <w:rFonts w:cs="Calibri"/>
      <w:szCs w:val="21"/>
      <w:lang w:val="en-GB" w:eastAsia="en-GB"/>
    </w:rPr>
  </w:style>
  <w:style w:type="character" w:customStyle="1" w:styleId="HeadingBChar">
    <w:name w:val="Heading B Char"/>
    <w:link w:val="HeadingB"/>
    <w:rsid w:val="00AB21CF"/>
    <w:rPr>
      <w:rFonts w:ascii="Calibri" w:hAnsi="Calibri"/>
      <w:b/>
      <w:bCs/>
      <w:sz w:val="21"/>
      <w:szCs w:val="22"/>
      <w:lang w:val="en-AU" w:eastAsia="fr-FR"/>
    </w:rPr>
  </w:style>
  <w:style w:type="paragraph" w:customStyle="1" w:styleId="Citation">
    <w:name w:val="Citation"/>
    <w:basedOn w:val="Normal"/>
    <w:link w:val="CitationChar"/>
    <w:qFormat/>
    <w:rsid w:val="00AB21CF"/>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AB21CF"/>
    <w:rPr>
      <w:rFonts w:ascii="Calibri" w:hAnsi="Calibri" w:cs="Calibri"/>
      <w:sz w:val="21"/>
      <w:szCs w:val="21"/>
      <w:lang w:val="en-GB" w:eastAsia="en-GB"/>
    </w:rPr>
  </w:style>
  <w:style w:type="paragraph" w:customStyle="1" w:styleId="Tablesource">
    <w:name w:val="Table source"/>
    <w:basedOn w:val="Tabletext"/>
    <w:link w:val="TablesourceChar"/>
    <w:qFormat/>
    <w:rsid w:val="00AB21CF"/>
    <w:rPr>
      <w:i/>
      <w:iCs/>
      <w:lang w:val="en-US"/>
    </w:rPr>
  </w:style>
  <w:style w:type="character" w:customStyle="1" w:styleId="CitationChar">
    <w:name w:val="Citation Char"/>
    <w:link w:val="Citation"/>
    <w:rsid w:val="00AB21CF"/>
    <w:rPr>
      <w:rFonts w:ascii="Calibri" w:hAnsi="Calibri"/>
      <w:bCs/>
      <w:i/>
      <w:iCs/>
      <w:sz w:val="21"/>
      <w:szCs w:val="22"/>
      <w:shd w:val="clear" w:color="auto" w:fill="DAEEF3"/>
      <w:lang w:eastAsia="fr-FR"/>
    </w:rPr>
  </w:style>
  <w:style w:type="paragraph" w:customStyle="1" w:styleId="Acknowledgements">
    <w:name w:val="Acknowledgements"/>
    <w:basedOn w:val="Figure"/>
    <w:link w:val="AcknowledgementsChar"/>
    <w:qFormat/>
    <w:rsid w:val="00AB21CF"/>
    <w:pPr>
      <w:spacing w:before="0" w:after="0"/>
      <w:ind w:left="0" w:firstLine="0"/>
      <w:jc w:val="both"/>
    </w:pPr>
    <w:rPr>
      <w:lang w:val="en-GB"/>
    </w:rPr>
  </w:style>
  <w:style w:type="character" w:customStyle="1" w:styleId="Heading3Char">
    <w:name w:val="Heading 3 Char"/>
    <w:link w:val="Heading3"/>
    <w:uiPriority w:val="9"/>
    <w:locked/>
    <w:rsid w:val="00AB21CF"/>
    <w:rPr>
      <w:rFonts w:ascii="Calibri" w:eastAsia="Times New Roman" w:hAnsi="Calibri" w:cs="Helvetica"/>
      <w:b/>
      <w:bCs/>
      <w:i/>
      <w:iCs/>
      <w:color w:val="005173"/>
      <w:sz w:val="24"/>
      <w:szCs w:val="32"/>
      <w:lang w:eastAsia="fr-FR"/>
    </w:rPr>
  </w:style>
  <w:style w:type="character" w:customStyle="1" w:styleId="Heading4Char">
    <w:name w:val="Heading 4 Char"/>
    <w:link w:val="Heading4"/>
    <w:uiPriority w:val="9"/>
    <w:locked/>
    <w:rsid w:val="00AB21CF"/>
    <w:rPr>
      <w:rFonts w:ascii="Calibri" w:eastAsia="Times New Roman" w:hAnsi="Calibri"/>
      <w:b/>
      <w:bCs/>
      <w:color w:val="005173"/>
      <w:sz w:val="22"/>
      <w:szCs w:val="22"/>
      <w:lang w:val="en-GB" w:eastAsia="en-CA"/>
    </w:rPr>
  </w:style>
  <w:style w:type="character" w:customStyle="1" w:styleId="Heading5Char">
    <w:name w:val="Heading 5 Char"/>
    <w:link w:val="Heading5"/>
    <w:uiPriority w:val="9"/>
    <w:locked/>
    <w:rsid w:val="00AB21CF"/>
    <w:rPr>
      <w:rFonts w:ascii="Calibri" w:eastAsia="Times New Roman" w:hAnsi="Calibri"/>
      <w:b/>
      <w:bCs/>
      <w:i/>
      <w:iCs/>
      <w:color w:val="005173"/>
      <w:sz w:val="22"/>
      <w:szCs w:val="22"/>
      <w:lang w:val="en-GB" w:eastAsia="fr-FR"/>
    </w:rPr>
  </w:style>
  <w:style w:type="character" w:customStyle="1" w:styleId="Heading6Char">
    <w:name w:val="Heading 6 Char"/>
    <w:link w:val="Heading6"/>
    <w:uiPriority w:val="9"/>
    <w:locked/>
    <w:rsid w:val="00AB21CF"/>
    <w:rPr>
      <w:rFonts w:ascii="Calibri" w:hAnsi="Calibri"/>
      <w:b/>
      <w:bCs/>
      <w:color w:val="005173"/>
      <w:sz w:val="21"/>
      <w:szCs w:val="22"/>
      <w:lang w:val="fr-FR" w:eastAsia="fr-FR"/>
    </w:rPr>
  </w:style>
  <w:style w:type="character" w:customStyle="1" w:styleId="Heading7Char">
    <w:name w:val="Heading 7 Char"/>
    <w:link w:val="Heading7"/>
    <w:uiPriority w:val="9"/>
    <w:locked/>
    <w:rsid w:val="00AB21CF"/>
    <w:rPr>
      <w:rFonts w:ascii="Calibri" w:hAnsi="Calibri"/>
      <w:sz w:val="24"/>
      <w:szCs w:val="24"/>
      <w:lang w:val="fr-FR" w:eastAsia="fr-FR"/>
    </w:rPr>
  </w:style>
  <w:style w:type="character" w:customStyle="1" w:styleId="Heading8Char">
    <w:name w:val="Heading 8 Char"/>
    <w:link w:val="Heading8"/>
    <w:uiPriority w:val="9"/>
    <w:locked/>
    <w:rsid w:val="00AB21CF"/>
    <w:rPr>
      <w:rFonts w:ascii="Calibri" w:hAnsi="Calibri"/>
      <w:i/>
      <w:iCs/>
      <w:sz w:val="24"/>
      <w:szCs w:val="24"/>
      <w:lang w:val="fr-FR" w:eastAsia="fr-FR"/>
    </w:rPr>
  </w:style>
  <w:style w:type="character" w:customStyle="1" w:styleId="Heading9Char">
    <w:name w:val="Heading 9 Char"/>
    <w:link w:val="Heading9"/>
    <w:uiPriority w:val="9"/>
    <w:locked/>
    <w:rsid w:val="00AB21CF"/>
    <w:rPr>
      <w:rFonts w:ascii="Arial" w:hAnsi="Arial" w:cs="Arial"/>
      <w:sz w:val="21"/>
      <w:szCs w:val="22"/>
      <w:lang w:val="fr-FR"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uiPriority w:val="99"/>
    <w:rsid w:val="00AB21CF"/>
    <w:rPr>
      <w:rFonts w:cs="Times New Roman"/>
      <w:color w:val="800080"/>
      <w:u w:val="single"/>
    </w:rPr>
  </w:style>
  <w:style w:type="paragraph" w:customStyle="1" w:styleId="Tablehead">
    <w:name w:val="Table head"/>
    <w:basedOn w:val="Normal"/>
    <w:link w:val="TableheadChar"/>
    <w:qFormat/>
    <w:rsid w:val="00AB21CF"/>
    <w:pPr>
      <w:autoSpaceDE w:val="0"/>
      <w:autoSpaceDN w:val="0"/>
      <w:adjustRightInd w:val="0"/>
      <w:spacing w:before="80" w:after="80"/>
      <w:jc w:val="center"/>
    </w:pPr>
    <w:rPr>
      <w:rFonts w:cs="Arial Bold"/>
      <w:b/>
      <w:bCs/>
      <w:color w:val="FFFFFF"/>
      <w:sz w:val="19"/>
      <w:lang w:val="en-US"/>
    </w:rPr>
  </w:style>
  <w:style w:type="character" w:customStyle="1" w:styleId="TableheadChar">
    <w:name w:val="Table head Char"/>
    <w:link w:val="Tablehead"/>
    <w:rsid w:val="00AB21CF"/>
    <w:rPr>
      <w:rFonts w:ascii="Calibri" w:hAnsi="Calibri" w:cs="Arial Bold"/>
      <w:b/>
      <w:bCs/>
      <w:color w:val="FFFFFF"/>
      <w:sz w:val="19"/>
      <w:szCs w:val="22"/>
      <w:lang w:eastAsia="fr-FR"/>
    </w:rPr>
  </w:style>
  <w:style w:type="paragraph" w:customStyle="1" w:styleId="Tabletext">
    <w:name w:val="Table text"/>
    <w:basedOn w:val="Normal"/>
    <w:link w:val="TabletextChar"/>
    <w:qFormat/>
    <w:rsid w:val="00AB21CF"/>
    <w:pPr>
      <w:spacing w:before="40" w:after="40"/>
      <w:jc w:val="left"/>
    </w:pPr>
    <w:rPr>
      <w:rFonts w:cs="Calibri"/>
      <w:sz w:val="19"/>
      <w:szCs w:val="19"/>
    </w:rPr>
  </w:style>
  <w:style w:type="character" w:customStyle="1" w:styleId="TabletextChar">
    <w:name w:val="Table text Char"/>
    <w:link w:val="Tabletext"/>
    <w:rsid w:val="00AB21CF"/>
    <w:rPr>
      <w:rFonts w:ascii="Calibri" w:hAnsi="Calibri" w:cs="Calibri"/>
      <w:sz w:val="19"/>
      <w:szCs w:val="19"/>
      <w:lang w:val="fr-FR" w:eastAsia="fr-FR"/>
    </w:rPr>
  </w:style>
  <w:style w:type="paragraph" w:customStyle="1" w:styleId="Tabletitle">
    <w:name w:val="Table title"/>
    <w:basedOn w:val="Normal"/>
    <w:link w:val="TabletitleChar"/>
    <w:qFormat/>
    <w:rsid w:val="00AB21CF"/>
    <w:pPr>
      <w:shd w:val="clear" w:color="auto" w:fill="FFFFFF"/>
      <w:autoSpaceDE w:val="0"/>
      <w:autoSpaceDN w:val="0"/>
      <w:adjustRightInd w:val="0"/>
      <w:spacing w:before="240" w:after="120"/>
      <w:jc w:val="center"/>
    </w:pPr>
    <w:rPr>
      <w:rFonts w:cs="Arial"/>
      <w:b/>
      <w:bCs/>
      <w:color w:val="005173"/>
      <w:szCs w:val="24"/>
      <w:lang w:val="en-US"/>
    </w:rPr>
  </w:style>
  <w:style w:type="character" w:customStyle="1" w:styleId="TabletitleChar">
    <w:name w:val="Table title Char"/>
    <w:link w:val="Tabletitle"/>
    <w:rsid w:val="00AB21CF"/>
    <w:rPr>
      <w:rFonts w:ascii="Calibri" w:hAnsi="Calibri" w:cs="Arial"/>
      <w:b/>
      <w:bCs/>
      <w:color w:val="005173"/>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AB21CF"/>
    <w:pPr>
      <w:ind w:left="1701" w:hanging="567"/>
    </w:pPr>
    <w:rPr>
      <w:iCs/>
    </w:rPr>
  </w:style>
  <w:style w:type="character" w:customStyle="1" w:styleId="Enumlevel3Char">
    <w:name w:val="Enum level 3 Char"/>
    <w:link w:val="Enumlevel3"/>
    <w:rsid w:val="00AB21CF"/>
    <w:rPr>
      <w:rFonts w:ascii="Calibri" w:hAnsi="Calibri"/>
      <w:iCs/>
      <w:sz w:val="21"/>
      <w:szCs w:val="22"/>
      <w:lang w:val="fr-FR" w:eastAsia="fr-FR"/>
    </w:rPr>
  </w:style>
  <w:style w:type="character" w:customStyle="1" w:styleId="BalloonTextChar15">
    <w:name w:val="Balloon Text Char15"/>
    <w:uiPriority w:val="99"/>
    <w:semiHidden/>
    <w:rsid w:val="00AB21CF"/>
    <w:rPr>
      <w:rFonts w:ascii="Lucida Grande" w:hAnsi="Lucida Grande" w:cs="Times New Roman"/>
      <w:sz w:val="18"/>
    </w:rPr>
  </w:style>
  <w:style w:type="character" w:customStyle="1" w:styleId="BalloonTextChar14">
    <w:name w:val="Balloon Text Char14"/>
    <w:uiPriority w:val="99"/>
    <w:semiHidden/>
    <w:rsid w:val="00AB21CF"/>
    <w:rPr>
      <w:rFonts w:ascii="Lucida Grande" w:hAnsi="Lucida Grande" w:cs="Times New Roman"/>
      <w:sz w:val="18"/>
    </w:rPr>
  </w:style>
  <w:style w:type="character" w:customStyle="1" w:styleId="BalloonTextChar13">
    <w:name w:val="Balloon Text Char13"/>
    <w:uiPriority w:val="99"/>
    <w:semiHidden/>
    <w:rsid w:val="00AB21CF"/>
    <w:rPr>
      <w:rFonts w:ascii="Lucida Grande" w:hAnsi="Lucida Grande" w:cs="Times New Roman"/>
      <w:sz w:val="18"/>
    </w:rPr>
  </w:style>
  <w:style w:type="character" w:customStyle="1" w:styleId="BalloonTextChar12">
    <w:name w:val="Balloon Text Char12"/>
    <w:uiPriority w:val="99"/>
    <w:semiHidden/>
    <w:rsid w:val="00AB21CF"/>
    <w:rPr>
      <w:rFonts w:ascii="Lucida Grande" w:hAnsi="Lucida Grande" w:cs="Times New Roman"/>
      <w:sz w:val="18"/>
    </w:rPr>
  </w:style>
  <w:style w:type="character" w:customStyle="1" w:styleId="BalloonTextChar11">
    <w:name w:val="Balloon Text Char11"/>
    <w:uiPriority w:val="99"/>
    <w:semiHidden/>
    <w:rsid w:val="00AB21CF"/>
    <w:rPr>
      <w:rFonts w:ascii="Lucida Grande" w:hAnsi="Lucida Grande" w:cs="Times New Roman"/>
      <w:sz w:val="18"/>
    </w:rPr>
  </w:style>
  <w:style w:type="character" w:customStyle="1" w:styleId="BalloonTextChar10">
    <w:name w:val="Balloon Text Char10"/>
    <w:uiPriority w:val="99"/>
    <w:semiHidden/>
    <w:rsid w:val="00AB21CF"/>
    <w:rPr>
      <w:rFonts w:ascii="Lucida Grande" w:hAnsi="Lucida Grande" w:cs="Times New Roman"/>
      <w:sz w:val="18"/>
    </w:rPr>
  </w:style>
  <w:style w:type="character" w:customStyle="1" w:styleId="BalloonTextChar9">
    <w:name w:val="Balloon Text Char9"/>
    <w:uiPriority w:val="99"/>
    <w:semiHidden/>
    <w:rsid w:val="00AB21CF"/>
    <w:rPr>
      <w:rFonts w:ascii="Lucida Grande" w:hAnsi="Lucida Grande" w:cs="Times New Roman"/>
      <w:sz w:val="18"/>
    </w:rPr>
  </w:style>
  <w:style w:type="character" w:customStyle="1" w:styleId="BalloonTextChar8">
    <w:name w:val="Balloon Text Char8"/>
    <w:uiPriority w:val="99"/>
    <w:semiHidden/>
    <w:rsid w:val="00AB21CF"/>
    <w:rPr>
      <w:rFonts w:ascii="Lucida Grande" w:hAnsi="Lucida Grande" w:cs="Times New Roman"/>
      <w:sz w:val="18"/>
    </w:rPr>
  </w:style>
  <w:style w:type="character" w:customStyle="1" w:styleId="BalloonTextChar7">
    <w:name w:val="Balloon Text Char7"/>
    <w:uiPriority w:val="99"/>
    <w:semiHidden/>
    <w:rsid w:val="00AB21CF"/>
    <w:rPr>
      <w:rFonts w:ascii="Lucida Grande" w:hAnsi="Lucida Grande" w:cs="Times New Roman"/>
      <w:sz w:val="18"/>
    </w:rPr>
  </w:style>
  <w:style w:type="character" w:customStyle="1" w:styleId="BalloonTextChar6">
    <w:name w:val="Balloon Text Char6"/>
    <w:uiPriority w:val="99"/>
    <w:semiHidden/>
    <w:rsid w:val="00AB21CF"/>
    <w:rPr>
      <w:rFonts w:ascii="Lucida Grande" w:hAnsi="Lucida Grande" w:cs="Times New Roman"/>
      <w:sz w:val="18"/>
    </w:rPr>
  </w:style>
  <w:style w:type="character" w:customStyle="1" w:styleId="BalloonTextChar5">
    <w:name w:val="Balloon Text Char5"/>
    <w:uiPriority w:val="99"/>
    <w:semiHidden/>
    <w:rsid w:val="00AB21CF"/>
    <w:rPr>
      <w:rFonts w:ascii="Lucida Grande" w:hAnsi="Lucida Grande" w:cs="Times New Roman"/>
      <w:sz w:val="18"/>
    </w:rPr>
  </w:style>
  <w:style w:type="character" w:customStyle="1" w:styleId="BalloonTextChar4">
    <w:name w:val="Balloon Text Char4"/>
    <w:uiPriority w:val="99"/>
    <w:semiHidden/>
    <w:rsid w:val="00AB21CF"/>
    <w:rPr>
      <w:rFonts w:ascii="Lucida Grande" w:hAnsi="Lucida Grande" w:cs="Times New Roman"/>
      <w:sz w:val="18"/>
    </w:rPr>
  </w:style>
  <w:style w:type="character" w:customStyle="1" w:styleId="BalloonTextChar3">
    <w:name w:val="Balloon Text Char3"/>
    <w:uiPriority w:val="99"/>
    <w:semiHidden/>
    <w:rsid w:val="00AB21CF"/>
    <w:rPr>
      <w:rFonts w:ascii="Lucida Grande" w:hAnsi="Lucida Grande" w:cs="Times New Roman"/>
      <w:sz w:val="18"/>
    </w:rPr>
  </w:style>
  <w:style w:type="character" w:customStyle="1" w:styleId="BalloonTextChar2">
    <w:name w:val="Balloon Text Char2"/>
    <w:uiPriority w:val="99"/>
    <w:semiHidden/>
    <w:rsid w:val="00AB21CF"/>
    <w:rPr>
      <w:rFonts w:ascii="Lucida Grande" w:hAnsi="Lucida Grande" w:cs="Times New Roman"/>
      <w:sz w:val="18"/>
    </w:rPr>
  </w:style>
  <w:style w:type="paragraph" w:customStyle="1" w:styleId="Note">
    <w:name w:val="Note"/>
    <w:basedOn w:val="Normal"/>
    <w:uiPriority w:val="99"/>
    <w:rsid w:val="00AB21CF"/>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AB21CF"/>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AB21CF"/>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B21CF"/>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AB21CF"/>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AB21CF"/>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AB21CF"/>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AB21CF"/>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AB21CF"/>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AB21CF"/>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AB21CF"/>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AB21CF"/>
    <w:rPr>
      <w:color w:val="808080"/>
    </w:rPr>
  </w:style>
  <w:style w:type="table" w:customStyle="1" w:styleId="LightShading1">
    <w:name w:val="Light Shading1"/>
    <w:basedOn w:val="TableNormal"/>
    <w:uiPriority w:val="60"/>
    <w:rsid w:val="00AB21CF"/>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cknowledgementsChar">
    <w:name w:val="Acknowledgements Char"/>
    <w:link w:val="Acknowledgements"/>
    <w:rsid w:val="00AB21CF"/>
    <w:rPr>
      <w:rFonts w:ascii="Calibri" w:hAnsi="Calibri" w:cs="Arial"/>
      <w:bCs/>
      <w:color w:val="000000"/>
      <w:sz w:val="21"/>
      <w:szCs w:val="22"/>
      <w:shd w:val="clear" w:color="auto" w:fill="E8F8FD"/>
      <w:lang w:val="en-GB" w:eastAsia="fr-FR"/>
    </w:rPr>
  </w:style>
  <w:style w:type="character" w:customStyle="1" w:styleId="TablesourceChar">
    <w:name w:val="Table source Char"/>
    <w:link w:val="Tablesource"/>
    <w:rsid w:val="00AB21CF"/>
    <w:rPr>
      <w:rFonts w:ascii="Calibri" w:hAnsi="Calibri" w:cs="Calibri"/>
      <w:i/>
      <w:iCs/>
      <w:sz w:val="19"/>
      <w:szCs w:val="19"/>
      <w:lang w:eastAsia="fr-FR"/>
    </w:rPr>
  </w:style>
  <w:style w:type="paragraph" w:customStyle="1" w:styleId="Normalaftertitle">
    <w:name w:val="Normal_after_title"/>
    <w:basedOn w:val="Normal"/>
    <w:next w:val="Normal"/>
    <w:rsid w:val="00AB21CF"/>
    <w:pPr>
      <w:tabs>
        <w:tab w:val="left" w:pos="794"/>
        <w:tab w:val="left" w:pos="1191"/>
        <w:tab w:val="left" w:pos="1588"/>
        <w:tab w:val="left" w:pos="1985"/>
      </w:tabs>
      <w:overflowPunct w:val="0"/>
      <w:autoSpaceDE w:val="0"/>
      <w:autoSpaceDN w:val="0"/>
      <w:adjustRightInd w:val="0"/>
      <w:spacing w:before="360"/>
      <w:textAlignment w:val="baseline"/>
    </w:pPr>
    <w:rPr>
      <w:rFonts w:ascii="Times New Roman" w:eastAsia="Times New Roman" w:hAnsi="Times New Roman"/>
      <w:sz w:val="22"/>
      <w:szCs w:val="20"/>
      <w:lang w:val="en-GB" w:eastAsia="en-US"/>
    </w:rPr>
  </w:style>
  <w:style w:type="character" w:styleId="PageNumber">
    <w:name w:val="page number"/>
    <w:basedOn w:val="DefaultParagraphFont"/>
    <w:rsid w:val="00AB21CF"/>
  </w:style>
  <w:style w:type="paragraph" w:customStyle="1" w:styleId="Annextitle">
    <w:name w:val="Annex_title"/>
    <w:basedOn w:val="Normal"/>
    <w:next w:val="Normal"/>
    <w:uiPriority w:val="99"/>
    <w:rsid w:val="00AB21CF"/>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AB21CF"/>
    <w:pPr>
      <w:keepNext/>
      <w:keepLines/>
      <w:tabs>
        <w:tab w:val="left" w:pos="794"/>
        <w:tab w:val="left" w:pos="1191"/>
        <w:tab w:val="left" w:pos="1588"/>
        <w:tab w:val="left" w:pos="1985"/>
      </w:tabs>
      <w:overflowPunct w:val="0"/>
      <w:autoSpaceDE w:val="0"/>
      <w:autoSpaceDN w:val="0"/>
      <w:adjustRightInd w:val="0"/>
      <w:spacing w:before="160"/>
      <w:ind w:left="794"/>
      <w:jc w:val="left"/>
      <w:textAlignment w:val="baseline"/>
    </w:pPr>
    <w:rPr>
      <w:rFonts w:eastAsia="Times New Roman" w:cs="Times New Roman italic"/>
      <w:i/>
      <w:szCs w:val="20"/>
      <w:lang w:val="en-GB" w:eastAsia="en-US"/>
    </w:rPr>
  </w:style>
  <w:style w:type="paragraph" w:customStyle="1" w:styleId="Headingb0">
    <w:name w:val="Heading_b"/>
    <w:basedOn w:val="Normal"/>
    <w:next w:val="Normal"/>
    <w:uiPriority w:val="99"/>
    <w:rsid w:val="00AB21CF"/>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customStyle="1" w:styleId="QuestionNo">
    <w:name w:val="Question_No"/>
    <w:basedOn w:val="Normal"/>
    <w:qFormat/>
    <w:rsid w:val="00AB21CF"/>
    <w:pPr>
      <w:jc w:val="right"/>
    </w:pPr>
    <w:rPr>
      <w:rFonts w:cs="Times New Roman Bold"/>
      <w:b/>
      <w:bCs/>
      <w:color w:val="005173"/>
      <w:sz w:val="52"/>
    </w:rPr>
  </w:style>
  <w:style w:type="paragraph" w:customStyle="1" w:styleId="QuestionTitle">
    <w:name w:val="Question Title"/>
    <w:basedOn w:val="Normal"/>
    <w:qFormat/>
    <w:rsid w:val="00AB21CF"/>
    <w:pPr>
      <w:spacing w:before="240"/>
      <w:jc w:val="right"/>
    </w:pPr>
    <w:rPr>
      <w:rFonts w:cs="Times New Roman Bold"/>
      <w:b/>
      <w:i/>
      <w:color w:val="005173"/>
      <w:sz w:val="48"/>
    </w:rPr>
  </w:style>
  <w:style w:type="paragraph" w:styleId="BodyText">
    <w:name w:val="Body Text"/>
    <w:aliases w:val="Body3"/>
    <w:basedOn w:val="Normal"/>
    <w:link w:val="BodyTextChar"/>
    <w:uiPriority w:val="99"/>
    <w:rsid w:val="0008639C"/>
    <w:pPr>
      <w:tabs>
        <w:tab w:val="left" w:pos="794"/>
        <w:tab w:val="left" w:pos="1191"/>
        <w:tab w:val="left" w:pos="1588"/>
        <w:tab w:val="left" w:pos="1985"/>
      </w:tabs>
      <w:overflowPunct w:val="0"/>
      <w:autoSpaceDE w:val="0"/>
      <w:autoSpaceDN w:val="0"/>
      <w:adjustRightInd w:val="0"/>
      <w:spacing w:before="0"/>
      <w:textAlignment w:val="baseline"/>
    </w:pPr>
    <w:rPr>
      <w:rFonts w:ascii="Times New Roman" w:hAnsi="Times New Roman"/>
      <w:bCs/>
      <w:sz w:val="22"/>
      <w:szCs w:val="20"/>
      <w:lang w:val="en-US" w:eastAsia="en-US"/>
    </w:rPr>
  </w:style>
  <w:style w:type="character" w:customStyle="1" w:styleId="BodyTextChar">
    <w:name w:val="Body Text Char"/>
    <w:aliases w:val="Body3 Char"/>
    <w:basedOn w:val="DefaultParagraphFont"/>
    <w:link w:val="BodyText"/>
    <w:rsid w:val="0008639C"/>
    <w:rPr>
      <w:bCs/>
      <w:sz w:val="22"/>
      <w:lang w:eastAsia="en-US"/>
    </w:rPr>
  </w:style>
  <w:style w:type="paragraph" w:customStyle="1" w:styleId="CEOEmdashList">
    <w:name w:val="CEO_EmdashList"/>
    <w:basedOn w:val="Normal"/>
    <w:uiPriority w:val="99"/>
    <w:rsid w:val="003D4591"/>
    <w:pPr>
      <w:jc w:val="left"/>
    </w:pPr>
    <w:rPr>
      <w:rFonts w:ascii="Verdana" w:hAnsi="Verdana"/>
      <w:sz w:val="18"/>
      <w:szCs w:val="19"/>
      <w:lang w:val="en-GB" w:eastAsia="en-US"/>
    </w:rPr>
  </w:style>
  <w:style w:type="paragraph" w:customStyle="1" w:styleId="Reasons">
    <w:name w:val="Reasons"/>
    <w:basedOn w:val="Normal"/>
    <w:qFormat/>
    <w:rsid w:val="00703D54"/>
    <w:pPr>
      <w:spacing w:before="0"/>
      <w:jc w:val="left"/>
    </w:pPr>
    <w:rPr>
      <w:rFonts w:ascii="Times New Roman" w:eastAsia="Times New Roman" w:hAnsi="Times New Roman"/>
      <w:sz w:val="24"/>
      <w:szCs w:val="20"/>
      <w:lang w:val="en-US" w:eastAsia="en-US"/>
    </w:rPr>
  </w:style>
  <w:style w:type="paragraph" w:customStyle="1" w:styleId="enumlev1">
    <w:name w:val="enumlev1"/>
    <w:basedOn w:val="Normal"/>
    <w:link w:val="enumlev1Char"/>
    <w:uiPriority w:val="99"/>
    <w:rsid w:val="00D306C6"/>
    <w:pPr>
      <w:tabs>
        <w:tab w:val="left" w:pos="794"/>
        <w:tab w:val="left" w:pos="1191"/>
        <w:tab w:val="left" w:pos="1588"/>
        <w:tab w:val="left" w:pos="1985"/>
      </w:tabs>
      <w:overflowPunct w:val="0"/>
      <w:autoSpaceDE w:val="0"/>
      <w:autoSpaceDN w:val="0"/>
      <w:adjustRightInd w:val="0"/>
      <w:spacing w:before="80"/>
      <w:ind w:left="794" w:hanging="794"/>
      <w:jc w:val="left"/>
      <w:textAlignment w:val="baseline"/>
    </w:pPr>
    <w:rPr>
      <w:rFonts w:ascii="Verdana" w:hAnsi="Verdana"/>
      <w:sz w:val="18"/>
      <w:szCs w:val="20"/>
      <w:lang w:val="en-GB" w:eastAsia="en-US"/>
    </w:rPr>
  </w:style>
  <w:style w:type="paragraph" w:styleId="TOC4">
    <w:name w:val="toc 4"/>
    <w:basedOn w:val="Normal"/>
    <w:next w:val="Normal"/>
    <w:autoRedefine/>
    <w:uiPriority w:val="39"/>
    <w:unhideWhenUsed/>
    <w:rsid w:val="00E669B9"/>
    <w:pPr>
      <w:spacing w:before="0" w:after="100" w:line="276" w:lineRule="auto"/>
      <w:ind w:left="660"/>
      <w:jc w:val="left"/>
    </w:pPr>
    <w:rPr>
      <w:rFonts w:asciiTheme="minorHAnsi" w:eastAsiaTheme="minorEastAsia" w:hAnsiTheme="minorHAnsi" w:cstheme="minorBidi"/>
      <w:sz w:val="22"/>
      <w:lang w:val="fr-CH" w:eastAsia="zh-CN"/>
    </w:rPr>
  </w:style>
  <w:style w:type="paragraph" w:styleId="TOC5">
    <w:name w:val="toc 5"/>
    <w:basedOn w:val="Normal"/>
    <w:next w:val="Normal"/>
    <w:autoRedefine/>
    <w:uiPriority w:val="39"/>
    <w:unhideWhenUsed/>
    <w:rsid w:val="00E669B9"/>
    <w:pPr>
      <w:spacing w:before="0" w:after="100" w:line="276" w:lineRule="auto"/>
      <w:ind w:left="880"/>
      <w:jc w:val="left"/>
    </w:pPr>
    <w:rPr>
      <w:rFonts w:asciiTheme="minorHAnsi" w:eastAsiaTheme="minorEastAsia" w:hAnsiTheme="minorHAnsi" w:cstheme="minorBidi"/>
      <w:sz w:val="22"/>
      <w:lang w:val="fr-CH" w:eastAsia="zh-CN"/>
    </w:rPr>
  </w:style>
  <w:style w:type="paragraph" w:styleId="TOC6">
    <w:name w:val="toc 6"/>
    <w:basedOn w:val="Normal"/>
    <w:next w:val="Normal"/>
    <w:autoRedefine/>
    <w:uiPriority w:val="39"/>
    <w:unhideWhenUsed/>
    <w:rsid w:val="00E669B9"/>
    <w:pPr>
      <w:spacing w:before="0" w:after="100" w:line="276" w:lineRule="auto"/>
      <w:ind w:left="1100"/>
      <w:jc w:val="left"/>
    </w:pPr>
    <w:rPr>
      <w:rFonts w:asciiTheme="minorHAnsi" w:eastAsiaTheme="minorEastAsia" w:hAnsiTheme="minorHAnsi" w:cstheme="minorBidi"/>
      <w:sz w:val="22"/>
      <w:lang w:val="fr-CH" w:eastAsia="zh-CN"/>
    </w:rPr>
  </w:style>
  <w:style w:type="paragraph" w:styleId="TOC7">
    <w:name w:val="toc 7"/>
    <w:basedOn w:val="Normal"/>
    <w:next w:val="Normal"/>
    <w:autoRedefine/>
    <w:uiPriority w:val="39"/>
    <w:unhideWhenUsed/>
    <w:rsid w:val="00E669B9"/>
    <w:pPr>
      <w:spacing w:before="0" w:after="100" w:line="276" w:lineRule="auto"/>
      <w:ind w:left="1320"/>
      <w:jc w:val="left"/>
    </w:pPr>
    <w:rPr>
      <w:rFonts w:asciiTheme="minorHAnsi" w:eastAsiaTheme="minorEastAsia" w:hAnsiTheme="minorHAnsi" w:cstheme="minorBidi"/>
      <w:sz w:val="22"/>
      <w:lang w:val="fr-CH" w:eastAsia="zh-CN"/>
    </w:rPr>
  </w:style>
  <w:style w:type="paragraph" w:styleId="TOC8">
    <w:name w:val="toc 8"/>
    <w:basedOn w:val="Normal"/>
    <w:next w:val="Normal"/>
    <w:autoRedefine/>
    <w:uiPriority w:val="39"/>
    <w:unhideWhenUsed/>
    <w:rsid w:val="00E669B9"/>
    <w:pPr>
      <w:spacing w:before="0" w:after="100" w:line="276" w:lineRule="auto"/>
      <w:ind w:left="1540"/>
      <w:jc w:val="left"/>
    </w:pPr>
    <w:rPr>
      <w:rFonts w:asciiTheme="minorHAnsi" w:eastAsiaTheme="minorEastAsia" w:hAnsiTheme="minorHAnsi" w:cstheme="minorBidi"/>
      <w:sz w:val="22"/>
      <w:lang w:val="fr-CH" w:eastAsia="zh-CN"/>
    </w:rPr>
  </w:style>
  <w:style w:type="paragraph" w:styleId="TOC9">
    <w:name w:val="toc 9"/>
    <w:basedOn w:val="Normal"/>
    <w:next w:val="Normal"/>
    <w:autoRedefine/>
    <w:uiPriority w:val="39"/>
    <w:unhideWhenUsed/>
    <w:rsid w:val="00E669B9"/>
    <w:pPr>
      <w:spacing w:before="0" w:after="100" w:line="276" w:lineRule="auto"/>
      <w:ind w:left="1760"/>
      <w:jc w:val="left"/>
    </w:pPr>
    <w:rPr>
      <w:rFonts w:asciiTheme="minorHAnsi" w:eastAsiaTheme="minorEastAsia" w:hAnsiTheme="minorHAnsi" w:cstheme="minorBidi"/>
      <w:sz w:val="22"/>
      <w:lang w:val="fr-CH" w:eastAsia="zh-CN"/>
    </w:rPr>
  </w:style>
  <w:style w:type="character" w:customStyle="1" w:styleId="enumlev1Char">
    <w:name w:val="enumlev1 Char"/>
    <w:link w:val="enumlev1"/>
    <w:uiPriority w:val="99"/>
    <w:locked/>
    <w:rsid w:val="00D306C6"/>
    <w:rPr>
      <w:rFonts w:ascii="Verdana" w:hAnsi="Verdana"/>
      <w:sz w:val="18"/>
      <w:lang w:val="en-GB" w:eastAsia="en-US"/>
    </w:rPr>
  </w:style>
  <w:style w:type="paragraph" w:customStyle="1" w:styleId="enumlev2">
    <w:name w:val="enumlev2"/>
    <w:basedOn w:val="enumlev1"/>
    <w:uiPriority w:val="99"/>
    <w:rsid w:val="00D306C6"/>
    <w:pPr>
      <w:ind w:left="1191" w:hanging="397"/>
    </w:pPr>
  </w:style>
  <w:style w:type="paragraph" w:styleId="NormalWeb">
    <w:name w:val="Normal (Web)"/>
    <w:basedOn w:val="Normal"/>
    <w:uiPriority w:val="99"/>
    <w:unhideWhenUsed/>
    <w:rsid w:val="002A32CF"/>
    <w:pPr>
      <w:spacing w:before="100" w:beforeAutospacing="1" w:after="100" w:afterAutospacing="1"/>
      <w:jc w:val="left"/>
    </w:pPr>
    <w:rPr>
      <w:rFonts w:ascii="Times New Roman" w:eastAsiaTheme="minorEastAsia" w:hAnsi="Times New Roman"/>
      <w:sz w:val="24"/>
      <w:szCs w:val="24"/>
      <w:lang w:val="ru-RU"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lsdException w:name="index 2" w:uiPriority="99"/>
    <w:lsdException w:name="index 3"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uiPriority="99" w:qFormat="1"/>
    <w:lsdException w:name="table of figures" w:uiPriority="99"/>
    <w:lsdException w:name="footnote reference" w:uiPriority="99"/>
    <w:lsdException w:name="annotation reference" w:uiPriority="99"/>
    <w:lsdException w:name="endnote reference" w:uiPriority="99"/>
    <w:lsdException w:name="endnote text" w:uiPriority="99"/>
    <w:lsdException w:name="List" w:uiPriority="99"/>
    <w:lsdException w:name="List Bullet" w:uiPriority="99"/>
    <w:lsdException w:name="List 2" w:uiPriority="99"/>
    <w:lsdException w:name="Title" w:uiPriority="99" w:qFormat="1"/>
    <w:lsdException w:name="Default Paragraph Font" w:uiPriority="1"/>
    <w:lsdException w:name="Body Text" w:uiPriority="99"/>
    <w:lsdException w:name="Body Text Indent" w:uiPriority="99"/>
    <w:lsdException w:name="Subtitle" w:qFormat="1"/>
    <w:lsdException w:name="Body Text 2" w:uiPriority="99"/>
    <w:lsdException w:name="Body Text 3" w:uiPriority="99"/>
    <w:lsdException w:name="Block Text" w:uiPriority="99"/>
    <w:lsdException w:name="Hyperlink" w:uiPriority="99"/>
    <w:lsdException w:name="FollowedHyperlink" w:uiPriority="99"/>
    <w:lsdException w:name="Strong" w:uiPriority="99" w:qFormat="1"/>
    <w:lsdException w:name="Emphasis" w:uiPriority="99" w:qFormat="1"/>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annotation subjec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B21CF"/>
    <w:pPr>
      <w:spacing w:before="120"/>
      <w:jc w:val="both"/>
    </w:pPr>
    <w:rPr>
      <w:rFonts w:ascii="Calibri" w:hAnsi="Calibri"/>
      <w:sz w:val="21"/>
      <w:szCs w:val="22"/>
      <w:lang w:val="fr-FR" w:eastAsia="fr-FR"/>
    </w:rPr>
  </w:style>
  <w:style w:type="paragraph" w:styleId="Heading1">
    <w:name w:val="heading 1"/>
    <w:basedOn w:val="Normal"/>
    <w:next w:val="Normal"/>
    <w:link w:val="Heading1Char"/>
    <w:uiPriority w:val="9"/>
    <w:qFormat/>
    <w:rsid w:val="00AB21CF"/>
    <w:pPr>
      <w:keepNext/>
      <w:keepLines/>
      <w:tabs>
        <w:tab w:val="left" w:pos="851"/>
      </w:tabs>
      <w:spacing w:before="400"/>
      <w:outlineLvl w:val="0"/>
    </w:pPr>
    <w:rPr>
      <w:rFonts w:eastAsia="Times New Roman" w:cs="Helvetica"/>
      <w:b/>
      <w:bCs/>
      <w:color w:val="005173"/>
      <w:sz w:val="28"/>
      <w:szCs w:val="28"/>
      <w:lang w:val="en-US"/>
    </w:rPr>
  </w:style>
  <w:style w:type="paragraph" w:styleId="Heading2">
    <w:name w:val="heading 2"/>
    <w:basedOn w:val="Normal"/>
    <w:next w:val="Normal"/>
    <w:link w:val="Heading2Char"/>
    <w:uiPriority w:val="9"/>
    <w:qFormat/>
    <w:rsid w:val="00AB21CF"/>
    <w:pPr>
      <w:keepNext/>
      <w:tabs>
        <w:tab w:val="left" w:pos="851"/>
      </w:tabs>
      <w:spacing w:before="400"/>
      <w:outlineLvl w:val="1"/>
    </w:pPr>
    <w:rPr>
      <w:rFonts w:eastAsia="Times New Roman" w:cs="Helvetica"/>
      <w:b/>
      <w:bCs/>
      <w:color w:val="005173"/>
      <w:sz w:val="24"/>
      <w:szCs w:val="32"/>
      <w:lang w:val="en-US"/>
    </w:rPr>
  </w:style>
  <w:style w:type="paragraph" w:styleId="Heading3">
    <w:name w:val="heading 3"/>
    <w:basedOn w:val="Heading2"/>
    <w:next w:val="Normal"/>
    <w:link w:val="Heading3Char"/>
    <w:uiPriority w:val="9"/>
    <w:qFormat/>
    <w:rsid w:val="00AB21CF"/>
    <w:pPr>
      <w:spacing w:before="240"/>
      <w:outlineLvl w:val="2"/>
    </w:pPr>
    <w:rPr>
      <w:i/>
      <w:iCs/>
    </w:rPr>
  </w:style>
  <w:style w:type="paragraph" w:styleId="Heading4">
    <w:name w:val="heading 4"/>
    <w:basedOn w:val="Normal"/>
    <w:next w:val="Normal"/>
    <w:link w:val="Heading4Char"/>
    <w:uiPriority w:val="9"/>
    <w:qFormat/>
    <w:rsid w:val="00AB21CF"/>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uiPriority w:val="9"/>
    <w:qFormat/>
    <w:rsid w:val="00AB21CF"/>
    <w:pPr>
      <w:keepNext/>
      <w:keepLines/>
      <w:tabs>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uiPriority w:val="9"/>
    <w:qFormat/>
    <w:rsid w:val="00AB21CF"/>
    <w:pPr>
      <w:spacing w:before="240" w:after="60"/>
      <w:outlineLvl w:val="5"/>
    </w:pPr>
    <w:rPr>
      <w:b/>
      <w:bCs/>
      <w:color w:val="005173"/>
    </w:rPr>
  </w:style>
  <w:style w:type="paragraph" w:styleId="Heading7">
    <w:name w:val="heading 7"/>
    <w:basedOn w:val="Normal"/>
    <w:next w:val="Normal"/>
    <w:link w:val="Heading7Char"/>
    <w:uiPriority w:val="9"/>
    <w:qFormat/>
    <w:rsid w:val="00AB21CF"/>
    <w:pPr>
      <w:numPr>
        <w:ilvl w:val="6"/>
        <w:numId w:val="21"/>
      </w:numPr>
      <w:spacing w:before="240" w:after="60"/>
      <w:outlineLvl w:val="6"/>
    </w:pPr>
    <w:rPr>
      <w:sz w:val="24"/>
      <w:szCs w:val="24"/>
    </w:rPr>
  </w:style>
  <w:style w:type="paragraph" w:styleId="Heading8">
    <w:name w:val="heading 8"/>
    <w:basedOn w:val="Normal"/>
    <w:next w:val="Normal"/>
    <w:link w:val="Heading8Char"/>
    <w:uiPriority w:val="9"/>
    <w:qFormat/>
    <w:rsid w:val="00AB21CF"/>
    <w:pPr>
      <w:numPr>
        <w:ilvl w:val="7"/>
        <w:numId w:val="21"/>
      </w:numPr>
      <w:spacing w:before="240" w:after="60"/>
      <w:outlineLvl w:val="7"/>
    </w:pPr>
    <w:rPr>
      <w:i/>
      <w:iCs/>
      <w:sz w:val="24"/>
      <w:szCs w:val="24"/>
    </w:rPr>
  </w:style>
  <w:style w:type="paragraph" w:styleId="Heading9">
    <w:name w:val="heading 9"/>
    <w:basedOn w:val="Normal"/>
    <w:next w:val="Normal"/>
    <w:link w:val="Heading9Char"/>
    <w:uiPriority w:val="9"/>
    <w:rsid w:val="00AB21CF"/>
    <w:pPr>
      <w:numPr>
        <w:ilvl w:val="8"/>
        <w:numId w:val="2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AB21CF"/>
    <w:pPr>
      <w:spacing w:before="0"/>
    </w:pPr>
    <w:rPr>
      <w:rFonts w:ascii="Tahoma" w:hAnsi="Tahoma" w:cs="Tahoma"/>
      <w:sz w:val="16"/>
      <w:szCs w:val="16"/>
    </w:rPr>
  </w:style>
  <w:style w:type="character" w:customStyle="1" w:styleId="BalloonTextChar">
    <w:name w:val="Balloon Text Char"/>
    <w:link w:val="BalloonText"/>
    <w:rsid w:val="00AB21CF"/>
    <w:rPr>
      <w:rFonts w:ascii="Tahoma" w:hAnsi="Tahoma" w:cs="Tahoma"/>
      <w:sz w:val="16"/>
      <w:szCs w:val="16"/>
      <w:lang w:val="fr-FR" w:eastAsia="fr-FR"/>
    </w:rPr>
  </w:style>
  <w:style w:type="paragraph" w:styleId="Header">
    <w:name w:val="header"/>
    <w:basedOn w:val="Normal"/>
    <w:link w:val="HeaderChar"/>
    <w:uiPriority w:val="99"/>
    <w:rsid w:val="00AB21CF"/>
    <w:pPr>
      <w:pBdr>
        <w:bottom w:val="single" w:sz="12" w:space="1" w:color="005173"/>
      </w:pBdr>
      <w:jc w:val="center"/>
    </w:pPr>
    <w:rPr>
      <w:rFonts w:eastAsia="Times New Roman" w:cs="Calibri"/>
      <w:i/>
      <w:iCs/>
      <w:szCs w:val="21"/>
      <w:lang w:val="en-US"/>
    </w:rPr>
  </w:style>
  <w:style w:type="character" w:customStyle="1" w:styleId="HeaderChar">
    <w:name w:val="Header Char"/>
    <w:link w:val="Header"/>
    <w:uiPriority w:val="99"/>
    <w:rsid w:val="00AB21CF"/>
    <w:rPr>
      <w:rFonts w:ascii="Calibri" w:eastAsia="Times New Roman" w:hAnsi="Calibri" w:cs="Calibri"/>
      <w:i/>
      <w:iCs/>
      <w:sz w:val="21"/>
      <w:szCs w:val="21"/>
      <w:lang w:eastAsia="fr-FR"/>
    </w:rPr>
  </w:style>
  <w:style w:type="character" w:styleId="Hyperlink">
    <w:name w:val="Hyperlink"/>
    <w:uiPriority w:val="99"/>
    <w:rsid w:val="00AB21CF"/>
    <w:rPr>
      <w:color w:val="0000FF"/>
      <w:u w:val="single"/>
    </w:rPr>
  </w:style>
  <w:style w:type="paragraph" w:styleId="TOC2">
    <w:name w:val="toc 2"/>
    <w:basedOn w:val="Normal"/>
    <w:next w:val="Normal"/>
    <w:autoRedefine/>
    <w:uiPriority w:val="39"/>
    <w:rsid w:val="00AB21CF"/>
    <w:pPr>
      <w:tabs>
        <w:tab w:val="left" w:pos="567"/>
        <w:tab w:val="left" w:pos="1134"/>
        <w:tab w:val="right" w:leader="dot" w:pos="8505"/>
        <w:tab w:val="right" w:pos="9071"/>
      </w:tabs>
      <w:ind w:left="567"/>
      <w:jc w:val="left"/>
    </w:pPr>
    <w:rPr>
      <w:rFonts w:cs="Helvetica"/>
      <w:bCs/>
      <w:noProof/>
      <w:szCs w:val="24"/>
      <w:u w:color="3366CC"/>
    </w:rPr>
  </w:style>
  <w:style w:type="paragraph" w:styleId="TOC1">
    <w:name w:val="toc 1"/>
    <w:basedOn w:val="Normal"/>
    <w:next w:val="Normal"/>
    <w:uiPriority w:val="39"/>
    <w:rsid w:val="00AB21CF"/>
    <w:pPr>
      <w:keepNext/>
      <w:keepLines/>
      <w:tabs>
        <w:tab w:val="left" w:pos="567"/>
        <w:tab w:val="right" w:leader="dot" w:pos="8505"/>
        <w:tab w:val="right" w:pos="9071"/>
      </w:tabs>
      <w:spacing w:before="200"/>
      <w:jc w:val="left"/>
    </w:pPr>
    <w:rPr>
      <w:rFonts w:cs="Helvetica"/>
      <w:b/>
      <w:bCs/>
      <w:noProof/>
      <w:szCs w:val="28"/>
      <w:lang w:val="en-US"/>
    </w:rPr>
  </w:style>
  <w:style w:type="paragraph" w:customStyle="1" w:styleId="Enumlevel2">
    <w:name w:val="Enum level 2"/>
    <w:basedOn w:val="Enumlevel1"/>
    <w:link w:val="Enumlevel2Char"/>
    <w:qFormat/>
    <w:rsid w:val="00AB21CF"/>
    <w:pPr>
      <w:ind w:left="1134"/>
    </w:pPr>
    <w:rPr>
      <w:lang w:val="en-AU"/>
    </w:rPr>
  </w:style>
  <w:style w:type="paragraph" w:customStyle="1" w:styleId="Figuretitle">
    <w:name w:val="Figure title"/>
    <w:basedOn w:val="Normal"/>
    <w:link w:val="FiguretitleChar"/>
    <w:qFormat/>
    <w:rsid w:val="00AB21CF"/>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AU"/>
    </w:rPr>
  </w:style>
  <w:style w:type="paragraph" w:customStyle="1" w:styleId="PartTitle">
    <w:name w:val="Part Title"/>
    <w:basedOn w:val="Heading2"/>
    <w:next w:val="Normal"/>
    <w:link w:val="PartTitleChar"/>
    <w:rsid w:val="00AB21CF"/>
    <w:pPr>
      <w:tabs>
        <w:tab w:val="left" w:pos="1134"/>
      </w:tabs>
    </w:pPr>
    <w:rPr>
      <w:i/>
      <w:sz w:val="44"/>
      <w:szCs w:val="36"/>
      <w:u w:color="E36C0A"/>
      <w:lang w:val="en-AU"/>
    </w:rPr>
  </w:style>
  <w:style w:type="character" w:customStyle="1" w:styleId="Enumlevel2Char">
    <w:name w:val="Enum level 2 Char"/>
    <w:link w:val="Enumlevel2"/>
    <w:rsid w:val="00AB21CF"/>
    <w:rPr>
      <w:rFonts w:ascii="Calibri" w:hAnsi="Calibri" w:cs="Calibri"/>
      <w:sz w:val="21"/>
      <w:szCs w:val="21"/>
      <w:lang w:val="en-AU" w:eastAsia="en-GB"/>
    </w:rPr>
  </w:style>
  <w:style w:type="paragraph" w:customStyle="1" w:styleId="Figure">
    <w:name w:val="Figure"/>
    <w:basedOn w:val="Figuretitle"/>
    <w:link w:val="FigureChar"/>
    <w:qFormat/>
    <w:rsid w:val="00AB21CF"/>
    <w:pPr>
      <w:spacing w:before="240" w:after="120"/>
      <w:jc w:val="center"/>
    </w:pPr>
    <w:rPr>
      <w:b w:val="0"/>
      <w:bCs/>
    </w:rPr>
  </w:style>
  <w:style w:type="character" w:customStyle="1" w:styleId="FiguretitleChar">
    <w:name w:val="Figure title Char"/>
    <w:link w:val="Figuretitle"/>
    <w:rsid w:val="00AB21CF"/>
    <w:rPr>
      <w:rFonts w:ascii="Calibri" w:hAnsi="Calibri" w:cs="Arial"/>
      <w:b/>
      <w:color w:val="000000"/>
      <w:sz w:val="21"/>
      <w:szCs w:val="22"/>
      <w:shd w:val="clear" w:color="auto" w:fill="E8F8FD"/>
      <w:lang w:val="en-AU" w:eastAsia="fr-FR"/>
    </w:rPr>
  </w:style>
  <w:style w:type="paragraph" w:customStyle="1" w:styleId="figuresource">
    <w:name w:val="figure source"/>
    <w:basedOn w:val="Figuretitle"/>
    <w:link w:val="figuresourceChar"/>
    <w:qFormat/>
    <w:rsid w:val="00AB21CF"/>
    <w:pPr>
      <w:jc w:val="left"/>
    </w:pPr>
    <w:rPr>
      <w:b w:val="0"/>
      <w:bCs/>
      <w:i/>
      <w:iCs/>
      <w:sz w:val="19"/>
      <w:szCs w:val="19"/>
    </w:rPr>
  </w:style>
  <w:style w:type="character" w:customStyle="1" w:styleId="FigureChar">
    <w:name w:val="Figure Char"/>
    <w:link w:val="Figure"/>
    <w:rsid w:val="00AB21CF"/>
    <w:rPr>
      <w:rFonts w:ascii="Calibri" w:hAnsi="Calibri" w:cs="Arial"/>
      <w:bCs/>
      <w:color w:val="000000"/>
      <w:sz w:val="21"/>
      <w:szCs w:val="22"/>
      <w:shd w:val="clear" w:color="auto" w:fill="E8F8FD"/>
      <w:lang w:val="en-AU" w:eastAsia="fr-FR"/>
    </w:rPr>
  </w:style>
  <w:style w:type="character" w:customStyle="1" w:styleId="href">
    <w:name w:val="href"/>
    <w:uiPriority w:val="99"/>
    <w:rsid w:val="00AB21CF"/>
    <w:rPr>
      <w:rFonts w:cs="Times New Roman"/>
    </w:rPr>
  </w:style>
  <w:style w:type="character" w:customStyle="1" w:styleId="figuresourceChar">
    <w:name w:val="figure source Char"/>
    <w:link w:val="figuresource"/>
    <w:rsid w:val="00AB21CF"/>
    <w:rPr>
      <w:rFonts w:ascii="Calibri" w:hAnsi="Calibri" w:cs="Arial"/>
      <w:bCs/>
      <w:i/>
      <w:iCs/>
      <w:color w:val="000000"/>
      <w:sz w:val="19"/>
      <w:szCs w:val="19"/>
      <w:shd w:val="clear" w:color="auto" w:fill="E8F8FD"/>
      <w:lang w:val="en-AU" w:eastAsia="fr-FR"/>
    </w:rPr>
  </w:style>
  <w:style w:type="paragraph" w:styleId="TOC3">
    <w:name w:val="toc 3"/>
    <w:basedOn w:val="Normal"/>
    <w:next w:val="Normal"/>
    <w:autoRedefine/>
    <w:uiPriority w:val="39"/>
    <w:rsid w:val="00AB21CF"/>
    <w:pPr>
      <w:tabs>
        <w:tab w:val="right" w:pos="1701"/>
        <w:tab w:val="right" w:pos="1985"/>
        <w:tab w:val="right" w:leader="dot" w:pos="8505"/>
        <w:tab w:val="right" w:pos="9071"/>
      </w:tabs>
      <w:spacing w:before="40"/>
      <w:ind w:left="1701" w:hanging="567"/>
    </w:pPr>
    <w:rPr>
      <w:rFonts w:cs="Arial"/>
      <w:noProof/>
      <w:color w:val="000000"/>
      <w:szCs w:val="24"/>
      <w:lang w:val="en-US"/>
    </w:rPr>
  </w:style>
  <w:style w:type="paragraph" w:styleId="Footer">
    <w:name w:val="footer"/>
    <w:basedOn w:val="Normal"/>
    <w:link w:val="FooterChar"/>
    <w:uiPriority w:val="99"/>
    <w:rsid w:val="00AB21CF"/>
    <w:pPr>
      <w:pBdr>
        <w:top w:val="single" w:sz="4" w:space="1" w:color="005173"/>
      </w:pBdr>
      <w:tabs>
        <w:tab w:val="right" w:pos="9071"/>
      </w:tabs>
      <w:ind w:left="6804"/>
      <w:jc w:val="right"/>
    </w:pPr>
  </w:style>
  <w:style w:type="character" w:customStyle="1" w:styleId="FooterChar">
    <w:name w:val="Footer Char"/>
    <w:link w:val="Footer"/>
    <w:uiPriority w:val="99"/>
    <w:rsid w:val="00AB21CF"/>
    <w:rPr>
      <w:rFonts w:ascii="Calibri" w:hAnsi="Calibri"/>
      <w:sz w:val="21"/>
      <w:szCs w:val="22"/>
      <w:lang w:val="fr-FR" w:eastAsia="fr-FR"/>
    </w:rPr>
  </w:style>
  <w:style w:type="table" w:customStyle="1" w:styleId="HIPTable">
    <w:name w:val="HIP Table"/>
    <w:basedOn w:val="TableNormal"/>
    <w:rsid w:val="00AB21CF"/>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AB21CF"/>
    <w:pPr>
      <w:numPr>
        <w:numId w:val="21"/>
      </w:numPr>
    </w:pPr>
  </w:style>
  <w:style w:type="numbering" w:customStyle="1" w:styleId="HIPBulletsHierarchy">
    <w:name w:val="HIP Bullets Hierarchy"/>
    <w:rsid w:val="00AB21CF"/>
    <w:pPr>
      <w:numPr>
        <w:numId w:val="20"/>
      </w:numPr>
    </w:pPr>
  </w:style>
  <w:style w:type="character" w:customStyle="1" w:styleId="Heading2Char">
    <w:name w:val="Heading 2 Char"/>
    <w:link w:val="Heading2"/>
    <w:uiPriority w:val="9"/>
    <w:rsid w:val="00AB21CF"/>
    <w:rPr>
      <w:rFonts w:ascii="Calibri" w:eastAsia="Times New Roman" w:hAnsi="Calibri" w:cs="Helvetica"/>
      <w:b/>
      <w:bCs/>
      <w:color w:val="005173"/>
      <w:sz w:val="24"/>
      <w:szCs w:val="32"/>
      <w:lang w:eastAsia="fr-FR"/>
    </w:rPr>
  </w:style>
  <w:style w:type="character" w:customStyle="1" w:styleId="PartTitleChar">
    <w:name w:val="Part Title Char"/>
    <w:link w:val="PartTitle"/>
    <w:rsid w:val="00AB21CF"/>
    <w:rPr>
      <w:rFonts w:ascii="Calibri" w:eastAsia="Times New Roman" w:hAnsi="Calibri" w:cs="Helvetica"/>
      <w:b/>
      <w:bCs/>
      <w:i/>
      <w:color w:val="005173"/>
      <w:sz w:val="44"/>
      <w:szCs w:val="36"/>
      <w:u w:color="E36C0A"/>
      <w:lang w:val="en-AU" w:eastAsia="fr-FR"/>
    </w:rPr>
  </w:style>
  <w:style w:type="paragraph" w:styleId="FootnoteText">
    <w:name w:val="footnote text"/>
    <w:basedOn w:val="Normal"/>
    <w:link w:val="FootnoteTextChar"/>
    <w:uiPriority w:val="99"/>
    <w:rsid w:val="00AB21CF"/>
    <w:pPr>
      <w:tabs>
        <w:tab w:val="left" w:pos="284"/>
      </w:tabs>
    </w:pPr>
    <w:rPr>
      <w:sz w:val="18"/>
      <w:szCs w:val="18"/>
      <w:lang w:val="en-US"/>
    </w:rPr>
  </w:style>
  <w:style w:type="character" w:customStyle="1" w:styleId="FootnoteTextChar">
    <w:name w:val="Footnote Text Char"/>
    <w:link w:val="FootnoteText"/>
    <w:uiPriority w:val="99"/>
    <w:rsid w:val="00AB21CF"/>
    <w:rPr>
      <w:rFonts w:ascii="Calibri" w:hAnsi="Calibri"/>
      <w:sz w:val="18"/>
      <w:szCs w:val="18"/>
      <w:lang w:eastAsia="fr-FR"/>
    </w:rPr>
  </w:style>
  <w:style w:type="character" w:styleId="FootnoteReference">
    <w:name w:val="footnote reference"/>
    <w:uiPriority w:val="99"/>
    <w:rsid w:val="00AB21CF"/>
    <w:rPr>
      <w:rFonts w:ascii="Calibri" w:hAnsi="Calibri"/>
      <w:sz w:val="21"/>
      <w:vertAlign w:val="superscript"/>
      <w:lang w:val="fr-CH"/>
    </w:rPr>
  </w:style>
  <w:style w:type="table" w:styleId="TableGrid">
    <w:name w:val="Table Grid"/>
    <w:basedOn w:val="TableNormal"/>
    <w:rsid w:val="00AB21C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B21CF"/>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AB21CF"/>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AB21CF"/>
    <w:pPr>
      <w:tabs>
        <w:tab w:val="right" w:pos="9071"/>
      </w:tabs>
      <w:spacing w:before="200"/>
      <w:jc w:val="right"/>
    </w:pPr>
    <w:rPr>
      <w:rFonts w:cs="Helvetica"/>
      <w:bCs/>
      <w:i/>
      <w:iCs/>
      <w:noProof/>
      <w:color w:val="005173"/>
      <w:szCs w:val="28"/>
      <w:lang w:val="en-US"/>
    </w:rPr>
  </w:style>
  <w:style w:type="character" w:customStyle="1" w:styleId="Heading1Char">
    <w:name w:val="Heading 1 Char"/>
    <w:link w:val="Heading1"/>
    <w:uiPriority w:val="9"/>
    <w:rsid w:val="00AB21CF"/>
    <w:rPr>
      <w:rFonts w:ascii="Calibri" w:eastAsia="Times New Roman" w:hAnsi="Calibri" w:cs="Helvetica"/>
      <w:b/>
      <w:bCs/>
      <w:color w:val="005173"/>
      <w:sz w:val="28"/>
      <w:szCs w:val="28"/>
      <w:lang w:eastAsia="fr-FR"/>
    </w:rPr>
  </w:style>
  <w:style w:type="character" w:customStyle="1" w:styleId="ChapttitleChar">
    <w:name w:val="Chapt title Char"/>
    <w:link w:val="Chapttitle"/>
    <w:rsid w:val="00AB21CF"/>
    <w:rPr>
      <w:rFonts w:ascii="Calibri" w:hAnsi="Calibri" w:cs="Helvetica"/>
      <w:b/>
      <w:bCs/>
      <w:color w:val="005173"/>
      <w:sz w:val="40"/>
      <w:szCs w:val="28"/>
      <w:lang w:eastAsia="fr-FR"/>
    </w:rPr>
  </w:style>
  <w:style w:type="character" w:customStyle="1" w:styleId="Toc0Char">
    <w:name w:val="Toc 0 Char"/>
    <w:link w:val="Toc0"/>
    <w:rsid w:val="00AB21CF"/>
    <w:rPr>
      <w:rFonts w:ascii="Calibri" w:hAnsi="Calibri" w:cs="Helvetica"/>
      <w:bCs/>
      <w:i/>
      <w:iCs/>
      <w:noProof/>
      <w:color w:val="005173"/>
      <w:sz w:val="21"/>
      <w:szCs w:val="28"/>
      <w:lang w:eastAsia="fr-FR"/>
    </w:rPr>
  </w:style>
  <w:style w:type="paragraph" w:customStyle="1" w:styleId="HeadingB">
    <w:name w:val="Heading B"/>
    <w:basedOn w:val="Normal"/>
    <w:link w:val="HeadingBChar"/>
    <w:qFormat/>
    <w:rsid w:val="00AB21CF"/>
    <w:pPr>
      <w:spacing w:before="240"/>
    </w:pPr>
    <w:rPr>
      <w:b/>
      <w:bCs/>
      <w:lang w:val="en-AU"/>
    </w:rPr>
  </w:style>
  <w:style w:type="paragraph" w:customStyle="1" w:styleId="Enumlevel1">
    <w:name w:val="Enum level 1"/>
    <w:basedOn w:val="Normal"/>
    <w:link w:val="Enumlevel1Char"/>
    <w:qFormat/>
    <w:rsid w:val="00AB21CF"/>
    <w:pPr>
      <w:ind w:left="567" w:hanging="567"/>
    </w:pPr>
    <w:rPr>
      <w:rFonts w:cs="Calibri"/>
      <w:szCs w:val="21"/>
      <w:lang w:val="en-GB" w:eastAsia="en-GB"/>
    </w:rPr>
  </w:style>
  <w:style w:type="character" w:customStyle="1" w:styleId="HeadingBChar">
    <w:name w:val="Heading B Char"/>
    <w:link w:val="HeadingB"/>
    <w:rsid w:val="00AB21CF"/>
    <w:rPr>
      <w:rFonts w:ascii="Calibri" w:hAnsi="Calibri"/>
      <w:b/>
      <w:bCs/>
      <w:sz w:val="21"/>
      <w:szCs w:val="22"/>
      <w:lang w:val="en-AU" w:eastAsia="fr-FR"/>
    </w:rPr>
  </w:style>
  <w:style w:type="paragraph" w:customStyle="1" w:styleId="Citation">
    <w:name w:val="Citation"/>
    <w:basedOn w:val="Normal"/>
    <w:link w:val="CitationChar"/>
    <w:qFormat/>
    <w:rsid w:val="00AB21CF"/>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AB21CF"/>
    <w:rPr>
      <w:rFonts w:ascii="Calibri" w:hAnsi="Calibri" w:cs="Calibri"/>
      <w:sz w:val="21"/>
      <w:szCs w:val="21"/>
      <w:lang w:val="en-GB" w:eastAsia="en-GB"/>
    </w:rPr>
  </w:style>
  <w:style w:type="paragraph" w:customStyle="1" w:styleId="Tablesource">
    <w:name w:val="Table source"/>
    <w:basedOn w:val="Tabletext"/>
    <w:link w:val="TablesourceChar"/>
    <w:qFormat/>
    <w:rsid w:val="00AB21CF"/>
    <w:rPr>
      <w:i/>
      <w:iCs/>
      <w:lang w:val="en-US"/>
    </w:rPr>
  </w:style>
  <w:style w:type="character" w:customStyle="1" w:styleId="CitationChar">
    <w:name w:val="Citation Char"/>
    <w:link w:val="Citation"/>
    <w:rsid w:val="00AB21CF"/>
    <w:rPr>
      <w:rFonts w:ascii="Calibri" w:hAnsi="Calibri"/>
      <w:bCs/>
      <w:i/>
      <w:iCs/>
      <w:sz w:val="21"/>
      <w:szCs w:val="22"/>
      <w:shd w:val="clear" w:color="auto" w:fill="DAEEF3"/>
      <w:lang w:eastAsia="fr-FR"/>
    </w:rPr>
  </w:style>
  <w:style w:type="paragraph" w:customStyle="1" w:styleId="Acknowledgements">
    <w:name w:val="Acknowledgements"/>
    <w:basedOn w:val="Figure"/>
    <w:link w:val="AcknowledgementsChar"/>
    <w:qFormat/>
    <w:rsid w:val="00AB21CF"/>
    <w:pPr>
      <w:spacing w:before="0" w:after="0"/>
      <w:ind w:left="0" w:firstLine="0"/>
      <w:jc w:val="both"/>
    </w:pPr>
    <w:rPr>
      <w:lang w:val="en-GB"/>
    </w:rPr>
  </w:style>
  <w:style w:type="character" w:customStyle="1" w:styleId="Heading3Char">
    <w:name w:val="Heading 3 Char"/>
    <w:link w:val="Heading3"/>
    <w:uiPriority w:val="9"/>
    <w:locked/>
    <w:rsid w:val="00AB21CF"/>
    <w:rPr>
      <w:rFonts w:ascii="Calibri" w:eastAsia="Times New Roman" w:hAnsi="Calibri" w:cs="Helvetica"/>
      <w:b/>
      <w:bCs/>
      <w:i/>
      <w:iCs/>
      <w:color w:val="005173"/>
      <w:sz w:val="24"/>
      <w:szCs w:val="32"/>
      <w:lang w:eastAsia="fr-FR"/>
    </w:rPr>
  </w:style>
  <w:style w:type="character" w:customStyle="1" w:styleId="Heading4Char">
    <w:name w:val="Heading 4 Char"/>
    <w:link w:val="Heading4"/>
    <w:uiPriority w:val="9"/>
    <w:locked/>
    <w:rsid w:val="00AB21CF"/>
    <w:rPr>
      <w:rFonts w:ascii="Calibri" w:eastAsia="Times New Roman" w:hAnsi="Calibri"/>
      <w:b/>
      <w:bCs/>
      <w:color w:val="005173"/>
      <w:sz w:val="22"/>
      <w:szCs w:val="22"/>
      <w:lang w:val="en-GB" w:eastAsia="en-CA"/>
    </w:rPr>
  </w:style>
  <w:style w:type="character" w:customStyle="1" w:styleId="Heading5Char">
    <w:name w:val="Heading 5 Char"/>
    <w:link w:val="Heading5"/>
    <w:uiPriority w:val="9"/>
    <w:locked/>
    <w:rsid w:val="00AB21CF"/>
    <w:rPr>
      <w:rFonts w:ascii="Calibri" w:eastAsia="Times New Roman" w:hAnsi="Calibri"/>
      <w:b/>
      <w:bCs/>
      <w:i/>
      <w:iCs/>
      <w:color w:val="005173"/>
      <w:sz w:val="22"/>
      <w:szCs w:val="22"/>
      <w:lang w:val="en-GB" w:eastAsia="fr-FR"/>
    </w:rPr>
  </w:style>
  <w:style w:type="character" w:customStyle="1" w:styleId="Heading6Char">
    <w:name w:val="Heading 6 Char"/>
    <w:link w:val="Heading6"/>
    <w:uiPriority w:val="9"/>
    <w:locked/>
    <w:rsid w:val="00AB21CF"/>
    <w:rPr>
      <w:rFonts w:ascii="Calibri" w:hAnsi="Calibri"/>
      <w:b/>
      <w:bCs/>
      <w:color w:val="005173"/>
      <w:sz w:val="21"/>
      <w:szCs w:val="22"/>
      <w:lang w:val="fr-FR" w:eastAsia="fr-FR"/>
    </w:rPr>
  </w:style>
  <w:style w:type="character" w:customStyle="1" w:styleId="Heading7Char">
    <w:name w:val="Heading 7 Char"/>
    <w:link w:val="Heading7"/>
    <w:uiPriority w:val="9"/>
    <w:locked/>
    <w:rsid w:val="00AB21CF"/>
    <w:rPr>
      <w:rFonts w:ascii="Calibri" w:hAnsi="Calibri"/>
      <w:sz w:val="24"/>
      <w:szCs w:val="24"/>
      <w:lang w:val="fr-FR" w:eastAsia="fr-FR"/>
    </w:rPr>
  </w:style>
  <w:style w:type="character" w:customStyle="1" w:styleId="Heading8Char">
    <w:name w:val="Heading 8 Char"/>
    <w:link w:val="Heading8"/>
    <w:uiPriority w:val="9"/>
    <w:locked/>
    <w:rsid w:val="00AB21CF"/>
    <w:rPr>
      <w:rFonts w:ascii="Calibri" w:hAnsi="Calibri"/>
      <w:i/>
      <w:iCs/>
      <w:sz w:val="24"/>
      <w:szCs w:val="24"/>
      <w:lang w:val="fr-FR" w:eastAsia="fr-FR"/>
    </w:rPr>
  </w:style>
  <w:style w:type="character" w:customStyle="1" w:styleId="Heading9Char">
    <w:name w:val="Heading 9 Char"/>
    <w:link w:val="Heading9"/>
    <w:uiPriority w:val="9"/>
    <w:locked/>
    <w:rsid w:val="00AB21CF"/>
    <w:rPr>
      <w:rFonts w:ascii="Arial" w:hAnsi="Arial" w:cs="Arial"/>
      <w:sz w:val="21"/>
      <w:szCs w:val="22"/>
      <w:lang w:val="fr-FR"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uiPriority w:val="99"/>
    <w:rsid w:val="00AB21CF"/>
    <w:rPr>
      <w:rFonts w:cs="Times New Roman"/>
      <w:color w:val="800080"/>
      <w:u w:val="single"/>
    </w:rPr>
  </w:style>
  <w:style w:type="paragraph" w:customStyle="1" w:styleId="Tablehead">
    <w:name w:val="Table head"/>
    <w:basedOn w:val="Normal"/>
    <w:link w:val="TableheadChar"/>
    <w:qFormat/>
    <w:rsid w:val="00AB21CF"/>
    <w:pPr>
      <w:autoSpaceDE w:val="0"/>
      <w:autoSpaceDN w:val="0"/>
      <w:adjustRightInd w:val="0"/>
      <w:spacing w:before="80" w:after="80"/>
      <w:jc w:val="center"/>
    </w:pPr>
    <w:rPr>
      <w:rFonts w:cs="Arial Bold"/>
      <w:b/>
      <w:bCs/>
      <w:color w:val="FFFFFF"/>
      <w:sz w:val="19"/>
      <w:lang w:val="en-US"/>
    </w:rPr>
  </w:style>
  <w:style w:type="character" w:customStyle="1" w:styleId="TableheadChar">
    <w:name w:val="Table head Char"/>
    <w:link w:val="Tablehead"/>
    <w:rsid w:val="00AB21CF"/>
    <w:rPr>
      <w:rFonts w:ascii="Calibri" w:hAnsi="Calibri" w:cs="Arial Bold"/>
      <w:b/>
      <w:bCs/>
      <w:color w:val="FFFFFF"/>
      <w:sz w:val="19"/>
      <w:szCs w:val="22"/>
      <w:lang w:eastAsia="fr-FR"/>
    </w:rPr>
  </w:style>
  <w:style w:type="paragraph" w:customStyle="1" w:styleId="Tabletext">
    <w:name w:val="Table text"/>
    <w:basedOn w:val="Normal"/>
    <w:link w:val="TabletextChar"/>
    <w:qFormat/>
    <w:rsid w:val="00AB21CF"/>
    <w:pPr>
      <w:spacing w:before="40" w:after="40"/>
      <w:jc w:val="left"/>
    </w:pPr>
    <w:rPr>
      <w:rFonts w:cs="Calibri"/>
      <w:sz w:val="19"/>
      <w:szCs w:val="19"/>
    </w:rPr>
  </w:style>
  <w:style w:type="character" w:customStyle="1" w:styleId="TabletextChar">
    <w:name w:val="Table text Char"/>
    <w:link w:val="Tabletext"/>
    <w:rsid w:val="00AB21CF"/>
    <w:rPr>
      <w:rFonts w:ascii="Calibri" w:hAnsi="Calibri" w:cs="Calibri"/>
      <w:sz w:val="19"/>
      <w:szCs w:val="19"/>
      <w:lang w:val="fr-FR" w:eastAsia="fr-FR"/>
    </w:rPr>
  </w:style>
  <w:style w:type="paragraph" w:customStyle="1" w:styleId="Tabletitle">
    <w:name w:val="Table title"/>
    <w:basedOn w:val="Normal"/>
    <w:link w:val="TabletitleChar"/>
    <w:qFormat/>
    <w:rsid w:val="00AB21CF"/>
    <w:pPr>
      <w:shd w:val="clear" w:color="auto" w:fill="FFFFFF"/>
      <w:autoSpaceDE w:val="0"/>
      <w:autoSpaceDN w:val="0"/>
      <w:adjustRightInd w:val="0"/>
      <w:spacing w:before="240" w:after="120"/>
      <w:jc w:val="center"/>
    </w:pPr>
    <w:rPr>
      <w:rFonts w:cs="Arial"/>
      <w:b/>
      <w:bCs/>
      <w:color w:val="005173"/>
      <w:szCs w:val="24"/>
      <w:lang w:val="en-US"/>
    </w:rPr>
  </w:style>
  <w:style w:type="character" w:customStyle="1" w:styleId="TabletitleChar">
    <w:name w:val="Table title Char"/>
    <w:link w:val="Tabletitle"/>
    <w:rsid w:val="00AB21CF"/>
    <w:rPr>
      <w:rFonts w:ascii="Calibri" w:hAnsi="Calibri" w:cs="Arial"/>
      <w:b/>
      <w:bCs/>
      <w:color w:val="005173"/>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AB21CF"/>
    <w:pPr>
      <w:ind w:left="1701" w:hanging="567"/>
    </w:pPr>
    <w:rPr>
      <w:iCs/>
    </w:rPr>
  </w:style>
  <w:style w:type="character" w:customStyle="1" w:styleId="Enumlevel3Char">
    <w:name w:val="Enum level 3 Char"/>
    <w:link w:val="Enumlevel3"/>
    <w:rsid w:val="00AB21CF"/>
    <w:rPr>
      <w:rFonts w:ascii="Calibri" w:hAnsi="Calibri"/>
      <w:iCs/>
      <w:sz w:val="21"/>
      <w:szCs w:val="22"/>
      <w:lang w:val="fr-FR" w:eastAsia="fr-FR"/>
    </w:rPr>
  </w:style>
  <w:style w:type="character" w:customStyle="1" w:styleId="BalloonTextChar15">
    <w:name w:val="Balloon Text Char15"/>
    <w:uiPriority w:val="99"/>
    <w:semiHidden/>
    <w:rsid w:val="00AB21CF"/>
    <w:rPr>
      <w:rFonts w:ascii="Lucida Grande" w:hAnsi="Lucida Grande" w:cs="Times New Roman"/>
      <w:sz w:val="18"/>
    </w:rPr>
  </w:style>
  <w:style w:type="character" w:customStyle="1" w:styleId="BalloonTextChar14">
    <w:name w:val="Balloon Text Char14"/>
    <w:uiPriority w:val="99"/>
    <w:semiHidden/>
    <w:rsid w:val="00AB21CF"/>
    <w:rPr>
      <w:rFonts w:ascii="Lucida Grande" w:hAnsi="Lucida Grande" w:cs="Times New Roman"/>
      <w:sz w:val="18"/>
    </w:rPr>
  </w:style>
  <w:style w:type="character" w:customStyle="1" w:styleId="BalloonTextChar13">
    <w:name w:val="Balloon Text Char13"/>
    <w:uiPriority w:val="99"/>
    <w:semiHidden/>
    <w:rsid w:val="00AB21CF"/>
    <w:rPr>
      <w:rFonts w:ascii="Lucida Grande" w:hAnsi="Lucida Grande" w:cs="Times New Roman"/>
      <w:sz w:val="18"/>
    </w:rPr>
  </w:style>
  <w:style w:type="character" w:customStyle="1" w:styleId="BalloonTextChar12">
    <w:name w:val="Balloon Text Char12"/>
    <w:uiPriority w:val="99"/>
    <w:semiHidden/>
    <w:rsid w:val="00AB21CF"/>
    <w:rPr>
      <w:rFonts w:ascii="Lucida Grande" w:hAnsi="Lucida Grande" w:cs="Times New Roman"/>
      <w:sz w:val="18"/>
    </w:rPr>
  </w:style>
  <w:style w:type="character" w:customStyle="1" w:styleId="BalloonTextChar11">
    <w:name w:val="Balloon Text Char11"/>
    <w:uiPriority w:val="99"/>
    <w:semiHidden/>
    <w:rsid w:val="00AB21CF"/>
    <w:rPr>
      <w:rFonts w:ascii="Lucida Grande" w:hAnsi="Lucida Grande" w:cs="Times New Roman"/>
      <w:sz w:val="18"/>
    </w:rPr>
  </w:style>
  <w:style w:type="character" w:customStyle="1" w:styleId="BalloonTextChar10">
    <w:name w:val="Balloon Text Char10"/>
    <w:uiPriority w:val="99"/>
    <w:semiHidden/>
    <w:rsid w:val="00AB21CF"/>
    <w:rPr>
      <w:rFonts w:ascii="Lucida Grande" w:hAnsi="Lucida Grande" w:cs="Times New Roman"/>
      <w:sz w:val="18"/>
    </w:rPr>
  </w:style>
  <w:style w:type="character" w:customStyle="1" w:styleId="BalloonTextChar9">
    <w:name w:val="Balloon Text Char9"/>
    <w:uiPriority w:val="99"/>
    <w:semiHidden/>
    <w:rsid w:val="00AB21CF"/>
    <w:rPr>
      <w:rFonts w:ascii="Lucida Grande" w:hAnsi="Lucida Grande" w:cs="Times New Roman"/>
      <w:sz w:val="18"/>
    </w:rPr>
  </w:style>
  <w:style w:type="character" w:customStyle="1" w:styleId="BalloonTextChar8">
    <w:name w:val="Balloon Text Char8"/>
    <w:uiPriority w:val="99"/>
    <w:semiHidden/>
    <w:rsid w:val="00AB21CF"/>
    <w:rPr>
      <w:rFonts w:ascii="Lucida Grande" w:hAnsi="Lucida Grande" w:cs="Times New Roman"/>
      <w:sz w:val="18"/>
    </w:rPr>
  </w:style>
  <w:style w:type="character" w:customStyle="1" w:styleId="BalloonTextChar7">
    <w:name w:val="Balloon Text Char7"/>
    <w:uiPriority w:val="99"/>
    <w:semiHidden/>
    <w:rsid w:val="00AB21CF"/>
    <w:rPr>
      <w:rFonts w:ascii="Lucida Grande" w:hAnsi="Lucida Grande" w:cs="Times New Roman"/>
      <w:sz w:val="18"/>
    </w:rPr>
  </w:style>
  <w:style w:type="character" w:customStyle="1" w:styleId="BalloonTextChar6">
    <w:name w:val="Balloon Text Char6"/>
    <w:uiPriority w:val="99"/>
    <w:semiHidden/>
    <w:rsid w:val="00AB21CF"/>
    <w:rPr>
      <w:rFonts w:ascii="Lucida Grande" w:hAnsi="Lucida Grande" w:cs="Times New Roman"/>
      <w:sz w:val="18"/>
    </w:rPr>
  </w:style>
  <w:style w:type="character" w:customStyle="1" w:styleId="BalloonTextChar5">
    <w:name w:val="Balloon Text Char5"/>
    <w:uiPriority w:val="99"/>
    <w:semiHidden/>
    <w:rsid w:val="00AB21CF"/>
    <w:rPr>
      <w:rFonts w:ascii="Lucida Grande" w:hAnsi="Lucida Grande" w:cs="Times New Roman"/>
      <w:sz w:val="18"/>
    </w:rPr>
  </w:style>
  <w:style w:type="character" w:customStyle="1" w:styleId="BalloonTextChar4">
    <w:name w:val="Balloon Text Char4"/>
    <w:uiPriority w:val="99"/>
    <w:semiHidden/>
    <w:rsid w:val="00AB21CF"/>
    <w:rPr>
      <w:rFonts w:ascii="Lucida Grande" w:hAnsi="Lucida Grande" w:cs="Times New Roman"/>
      <w:sz w:val="18"/>
    </w:rPr>
  </w:style>
  <w:style w:type="character" w:customStyle="1" w:styleId="BalloonTextChar3">
    <w:name w:val="Balloon Text Char3"/>
    <w:uiPriority w:val="99"/>
    <w:semiHidden/>
    <w:rsid w:val="00AB21CF"/>
    <w:rPr>
      <w:rFonts w:ascii="Lucida Grande" w:hAnsi="Lucida Grande" w:cs="Times New Roman"/>
      <w:sz w:val="18"/>
    </w:rPr>
  </w:style>
  <w:style w:type="character" w:customStyle="1" w:styleId="BalloonTextChar2">
    <w:name w:val="Balloon Text Char2"/>
    <w:uiPriority w:val="99"/>
    <w:semiHidden/>
    <w:rsid w:val="00AB21CF"/>
    <w:rPr>
      <w:rFonts w:ascii="Lucida Grande" w:hAnsi="Lucida Grande" w:cs="Times New Roman"/>
      <w:sz w:val="18"/>
    </w:rPr>
  </w:style>
  <w:style w:type="paragraph" w:customStyle="1" w:styleId="Note">
    <w:name w:val="Note"/>
    <w:basedOn w:val="Normal"/>
    <w:uiPriority w:val="99"/>
    <w:rsid w:val="00AB21CF"/>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AB21CF"/>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AB21CF"/>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B21CF"/>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AB21CF"/>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AB21CF"/>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AB21CF"/>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AB21CF"/>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AB21CF"/>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AB21CF"/>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AB21CF"/>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AB21CF"/>
    <w:rPr>
      <w:color w:val="808080"/>
    </w:rPr>
  </w:style>
  <w:style w:type="table" w:customStyle="1" w:styleId="LightShading1">
    <w:name w:val="Light Shading1"/>
    <w:basedOn w:val="TableNormal"/>
    <w:uiPriority w:val="60"/>
    <w:rsid w:val="00AB21CF"/>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cknowledgementsChar">
    <w:name w:val="Acknowledgements Char"/>
    <w:link w:val="Acknowledgements"/>
    <w:rsid w:val="00AB21CF"/>
    <w:rPr>
      <w:rFonts w:ascii="Calibri" w:hAnsi="Calibri" w:cs="Arial"/>
      <w:bCs/>
      <w:color w:val="000000"/>
      <w:sz w:val="21"/>
      <w:szCs w:val="22"/>
      <w:shd w:val="clear" w:color="auto" w:fill="E8F8FD"/>
      <w:lang w:val="en-GB" w:eastAsia="fr-FR"/>
    </w:rPr>
  </w:style>
  <w:style w:type="character" w:customStyle="1" w:styleId="TablesourceChar">
    <w:name w:val="Table source Char"/>
    <w:link w:val="Tablesource"/>
    <w:rsid w:val="00AB21CF"/>
    <w:rPr>
      <w:rFonts w:ascii="Calibri" w:hAnsi="Calibri" w:cs="Calibri"/>
      <w:i/>
      <w:iCs/>
      <w:sz w:val="19"/>
      <w:szCs w:val="19"/>
      <w:lang w:eastAsia="fr-FR"/>
    </w:rPr>
  </w:style>
  <w:style w:type="paragraph" w:customStyle="1" w:styleId="Normalaftertitle">
    <w:name w:val="Normal_after_title"/>
    <w:basedOn w:val="Normal"/>
    <w:next w:val="Normal"/>
    <w:rsid w:val="00AB21CF"/>
    <w:pPr>
      <w:tabs>
        <w:tab w:val="left" w:pos="794"/>
        <w:tab w:val="left" w:pos="1191"/>
        <w:tab w:val="left" w:pos="1588"/>
        <w:tab w:val="left" w:pos="1985"/>
      </w:tabs>
      <w:overflowPunct w:val="0"/>
      <w:autoSpaceDE w:val="0"/>
      <w:autoSpaceDN w:val="0"/>
      <w:adjustRightInd w:val="0"/>
      <w:spacing w:before="360"/>
      <w:textAlignment w:val="baseline"/>
    </w:pPr>
    <w:rPr>
      <w:rFonts w:ascii="Times New Roman" w:eastAsia="Times New Roman" w:hAnsi="Times New Roman"/>
      <w:sz w:val="22"/>
      <w:szCs w:val="20"/>
      <w:lang w:val="en-GB" w:eastAsia="en-US"/>
    </w:rPr>
  </w:style>
  <w:style w:type="character" w:styleId="PageNumber">
    <w:name w:val="page number"/>
    <w:basedOn w:val="DefaultParagraphFont"/>
    <w:rsid w:val="00AB21CF"/>
  </w:style>
  <w:style w:type="paragraph" w:customStyle="1" w:styleId="Annextitle">
    <w:name w:val="Annex_title"/>
    <w:basedOn w:val="Normal"/>
    <w:next w:val="Normal"/>
    <w:uiPriority w:val="99"/>
    <w:rsid w:val="00AB21CF"/>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AB21CF"/>
    <w:pPr>
      <w:keepNext/>
      <w:keepLines/>
      <w:tabs>
        <w:tab w:val="left" w:pos="794"/>
        <w:tab w:val="left" w:pos="1191"/>
        <w:tab w:val="left" w:pos="1588"/>
        <w:tab w:val="left" w:pos="1985"/>
      </w:tabs>
      <w:overflowPunct w:val="0"/>
      <w:autoSpaceDE w:val="0"/>
      <w:autoSpaceDN w:val="0"/>
      <w:adjustRightInd w:val="0"/>
      <w:spacing w:before="160"/>
      <w:ind w:left="794"/>
      <w:jc w:val="left"/>
      <w:textAlignment w:val="baseline"/>
    </w:pPr>
    <w:rPr>
      <w:rFonts w:eastAsia="Times New Roman" w:cs="Times New Roman italic"/>
      <w:i/>
      <w:szCs w:val="20"/>
      <w:lang w:val="en-GB" w:eastAsia="en-US"/>
    </w:rPr>
  </w:style>
  <w:style w:type="paragraph" w:customStyle="1" w:styleId="Headingb0">
    <w:name w:val="Heading_b"/>
    <w:basedOn w:val="Normal"/>
    <w:next w:val="Normal"/>
    <w:uiPriority w:val="99"/>
    <w:rsid w:val="00AB21CF"/>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customStyle="1" w:styleId="QuestionNo">
    <w:name w:val="Question_No"/>
    <w:basedOn w:val="Normal"/>
    <w:qFormat/>
    <w:rsid w:val="00AB21CF"/>
    <w:pPr>
      <w:jc w:val="right"/>
    </w:pPr>
    <w:rPr>
      <w:rFonts w:cs="Times New Roman Bold"/>
      <w:b/>
      <w:bCs/>
      <w:color w:val="005173"/>
      <w:sz w:val="52"/>
    </w:rPr>
  </w:style>
  <w:style w:type="paragraph" w:customStyle="1" w:styleId="QuestionTitle">
    <w:name w:val="Question Title"/>
    <w:basedOn w:val="Normal"/>
    <w:qFormat/>
    <w:rsid w:val="00AB21CF"/>
    <w:pPr>
      <w:spacing w:before="240"/>
      <w:jc w:val="right"/>
    </w:pPr>
    <w:rPr>
      <w:rFonts w:cs="Times New Roman Bold"/>
      <w:b/>
      <w:i/>
      <w:color w:val="005173"/>
      <w:sz w:val="48"/>
    </w:rPr>
  </w:style>
  <w:style w:type="paragraph" w:styleId="BodyText">
    <w:name w:val="Body Text"/>
    <w:aliases w:val="Body3"/>
    <w:basedOn w:val="Normal"/>
    <w:link w:val="BodyTextChar"/>
    <w:uiPriority w:val="99"/>
    <w:rsid w:val="0008639C"/>
    <w:pPr>
      <w:tabs>
        <w:tab w:val="left" w:pos="794"/>
        <w:tab w:val="left" w:pos="1191"/>
        <w:tab w:val="left" w:pos="1588"/>
        <w:tab w:val="left" w:pos="1985"/>
      </w:tabs>
      <w:overflowPunct w:val="0"/>
      <w:autoSpaceDE w:val="0"/>
      <w:autoSpaceDN w:val="0"/>
      <w:adjustRightInd w:val="0"/>
      <w:spacing w:before="0"/>
      <w:textAlignment w:val="baseline"/>
    </w:pPr>
    <w:rPr>
      <w:rFonts w:ascii="Times New Roman" w:hAnsi="Times New Roman"/>
      <w:bCs/>
      <w:sz w:val="22"/>
      <w:szCs w:val="20"/>
      <w:lang w:val="en-US" w:eastAsia="en-US"/>
    </w:rPr>
  </w:style>
  <w:style w:type="character" w:customStyle="1" w:styleId="BodyTextChar">
    <w:name w:val="Body Text Char"/>
    <w:aliases w:val="Body3 Char"/>
    <w:basedOn w:val="DefaultParagraphFont"/>
    <w:link w:val="BodyText"/>
    <w:rsid w:val="0008639C"/>
    <w:rPr>
      <w:bCs/>
      <w:sz w:val="22"/>
      <w:lang w:eastAsia="en-US"/>
    </w:rPr>
  </w:style>
  <w:style w:type="paragraph" w:customStyle="1" w:styleId="CEOEmdashList">
    <w:name w:val="CEO_EmdashList"/>
    <w:basedOn w:val="Normal"/>
    <w:uiPriority w:val="99"/>
    <w:rsid w:val="003D4591"/>
    <w:pPr>
      <w:jc w:val="left"/>
    </w:pPr>
    <w:rPr>
      <w:rFonts w:ascii="Verdana" w:hAnsi="Verdana"/>
      <w:sz w:val="18"/>
      <w:szCs w:val="19"/>
      <w:lang w:val="en-GB" w:eastAsia="en-US"/>
    </w:rPr>
  </w:style>
  <w:style w:type="paragraph" w:customStyle="1" w:styleId="Reasons">
    <w:name w:val="Reasons"/>
    <w:basedOn w:val="Normal"/>
    <w:qFormat/>
    <w:rsid w:val="00703D54"/>
    <w:pPr>
      <w:spacing w:before="0"/>
      <w:jc w:val="left"/>
    </w:pPr>
    <w:rPr>
      <w:rFonts w:ascii="Times New Roman" w:eastAsia="Times New Roman" w:hAnsi="Times New Roman"/>
      <w:sz w:val="24"/>
      <w:szCs w:val="20"/>
      <w:lang w:val="en-US" w:eastAsia="en-US"/>
    </w:rPr>
  </w:style>
  <w:style w:type="paragraph" w:customStyle="1" w:styleId="enumlev1">
    <w:name w:val="enumlev1"/>
    <w:basedOn w:val="Normal"/>
    <w:link w:val="enumlev1Char"/>
    <w:uiPriority w:val="99"/>
    <w:rsid w:val="00D306C6"/>
    <w:pPr>
      <w:tabs>
        <w:tab w:val="left" w:pos="794"/>
        <w:tab w:val="left" w:pos="1191"/>
        <w:tab w:val="left" w:pos="1588"/>
        <w:tab w:val="left" w:pos="1985"/>
      </w:tabs>
      <w:overflowPunct w:val="0"/>
      <w:autoSpaceDE w:val="0"/>
      <w:autoSpaceDN w:val="0"/>
      <w:adjustRightInd w:val="0"/>
      <w:spacing w:before="80"/>
      <w:ind w:left="794" w:hanging="794"/>
      <w:jc w:val="left"/>
      <w:textAlignment w:val="baseline"/>
    </w:pPr>
    <w:rPr>
      <w:rFonts w:ascii="Verdana" w:hAnsi="Verdana"/>
      <w:sz w:val="18"/>
      <w:szCs w:val="20"/>
      <w:lang w:val="en-GB" w:eastAsia="en-US"/>
    </w:rPr>
  </w:style>
  <w:style w:type="paragraph" w:styleId="TOC4">
    <w:name w:val="toc 4"/>
    <w:basedOn w:val="Normal"/>
    <w:next w:val="Normal"/>
    <w:autoRedefine/>
    <w:uiPriority w:val="39"/>
    <w:unhideWhenUsed/>
    <w:rsid w:val="00E669B9"/>
    <w:pPr>
      <w:spacing w:before="0" w:after="100" w:line="276" w:lineRule="auto"/>
      <w:ind w:left="660"/>
      <w:jc w:val="left"/>
    </w:pPr>
    <w:rPr>
      <w:rFonts w:asciiTheme="minorHAnsi" w:eastAsiaTheme="minorEastAsia" w:hAnsiTheme="minorHAnsi" w:cstheme="minorBidi"/>
      <w:sz w:val="22"/>
      <w:lang w:val="fr-CH" w:eastAsia="zh-CN"/>
    </w:rPr>
  </w:style>
  <w:style w:type="paragraph" w:styleId="TOC5">
    <w:name w:val="toc 5"/>
    <w:basedOn w:val="Normal"/>
    <w:next w:val="Normal"/>
    <w:autoRedefine/>
    <w:uiPriority w:val="39"/>
    <w:unhideWhenUsed/>
    <w:rsid w:val="00E669B9"/>
    <w:pPr>
      <w:spacing w:before="0" w:after="100" w:line="276" w:lineRule="auto"/>
      <w:ind w:left="880"/>
      <w:jc w:val="left"/>
    </w:pPr>
    <w:rPr>
      <w:rFonts w:asciiTheme="minorHAnsi" w:eastAsiaTheme="minorEastAsia" w:hAnsiTheme="minorHAnsi" w:cstheme="minorBidi"/>
      <w:sz w:val="22"/>
      <w:lang w:val="fr-CH" w:eastAsia="zh-CN"/>
    </w:rPr>
  </w:style>
  <w:style w:type="paragraph" w:styleId="TOC6">
    <w:name w:val="toc 6"/>
    <w:basedOn w:val="Normal"/>
    <w:next w:val="Normal"/>
    <w:autoRedefine/>
    <w:uiPriority w:val="39"/>
    <w:unhideWhenUsed/>
    <w:rsid w:val="00E669B9"/>
    <w:pPr>
      <w:spacing w:before="0" w:after="100" w:line="276" w:lineRule="auto"/>
      <w:ind w:left="1100"/>
      <w:jc w:val="left"/>
    </w:pPr>
    <w:rPr>
      <w:rFonts w:asciiTheme="minorHAnsi" w:eastAsiaTheme="minorEastAsia" w:hAnsiTheme="minorHAnsi" w:cstheme="minorBidi"/>
      <w:sz w:val="22"/>
      <w:lang w:val="fr-CH" w:eastAsia="zh-CN"/>
    </w:rPr>
  </w:style>
  <w:style w:type="paragraph" w:styleId="TOC7">
    <w:name w:val="toc 7"/>
    <w:basedOn w:val="Normal"/>
    <w:next w:val="Normal"/>
    <w:autoRedefine/>
    <w:uiPriority w:val="39"/>
    <w:unhideWhenUsed/>
    <w:rsid w:val="00E669B9"/>
    <w:pPr>
      <w:spacing w:before="0" w:after="100" w:line="276" w:lineRule="auto"/>
      <w:ind w:left="1320"/>
      <w:jc w:val="left"/>
    </w:pPr>
    <w:rPr>
      <w:rFonts w:asciiTheme="minorHAnsi" w:eastAsiaTheme="minorEastAsia" w:hAnsiTheme="minorHAnsi" w:cstheme="minorBidi"/>
      <w:sz w:val="22"/>
      <w:lang w:val="fr-CH" w:eastAsia="zh-CN"/>
    </w:rPr>
  </w:style>
  <w:style w:type="paragraph" w:styleId="TOC8">
    <w:name w:val="toc 8"/>
    <w:basedOn w:val="Normal"/>
    <w:next w:val="Normal"/>
    <w:autoRedefine/>
    <w:uiPriority w:val="39"/>
    <w:unhideWhenUsed/>
    <w:rsid w:val="00E669B9"/>
    <w:pPr>
      <w:spacing w:before="0" w:after="100" w:line="276" w:lineRule="auto"/>
      <w:ind w:left="1540"/>
      <w:jc w:val="left"/>
    </w:pPr>
    <w:rPr>
      <w:rFonts w:asciiTheme="minorHAnsi" w:eastAsiaTheme="minorEastAsia" w:hAnsiTheme="minorHAnsi" w:cstheme="minorBidi"/>
      <w:sz w:val="22"/>
      <w:lang w:val="fr-CH" w:eastAsia="zh-CN"/>
    </w:rPr>
  </w:style>
  <w:style w:type="paragraph" w:styleId="TOC9">
    <w:name w:val="toc 9"/>
    <w:basedOn w:val="Normal"/>
    <w:next w:val="Normal"/>
    <w:autoRedefine/>
    <w:uiPriority w:val="39"/>
    <w:unhideWhenUsed/>
    <w:rsid w:val="00E669B9"/>
    <w:pPr>
      <w:spacing w:before="0" w:after="100" w:line="276" w:lineRule="auto"/>
      <w:ind w:left="1760"/>
      <w:jc w:val="left"/>
    </w:pPr>
    <w:rPr>
      <w:rFonts w:asciiTheme="minorHAnsi" w:eastAsiaTheme="minorEastAsia" w:hAnsiTheme="minorHAnsi" w:cstheme="minorBidi"/>
      <w:sz w:val="22"/>
      <w:lang w:val="fr-CH" w:eastAsia="zh-CN"/>
    </w:rPr>
  </w:style>
  <w:style w:type="character" w:customStyle="1" w:styleId="enumlev1Char">
    <w:name w:val="enumlev1 Char"/>
    <w:link w:val="enumlev1"/>
    <w:uiPriority w:val="99"/>
    <w:locked/>
    <w:rsid w:val="00D306C6"/>
    <w:rPr>
      <w:rFonts w:ascii="Verdana" w:hAnsi="Verdana"/>
      <w:sz w:val="18"/>
      <w:lang w:val="en-GB" w:eastAsia="en-US"/>
    </w:rPr>
  </w:style>
  <w:style w:type="paragraph" w:customStyle="1" w:styleId="enumlev2">
    <w:name w:val="enumlev2"/>
    <w:basedOn w:val="enumlev1"/>
    <w:uiPriority w:val="99"/>
    <w:rsid w:val="00D306C6"/>
    <w:pPr>
      <w:ind w:left="1191" w:hanging="397"/>
    </w:pPr>
  </w:style>
  <w:style w:type="paragraph" w:styleId="NormalWeb">
    <w:name w:val="Normal (Web)"/>
    <w:basedOn w:val="Normal"/>
    <w:uiPriority w:val="99"/>
    <w:unhideWhenUsed/>
    <w:rsid w:val="002A32CF"/>
    <w:pPr>
      <w:spacing w:before="100" w:beforeAutospacing="1" w:after="100" w:afterAutospacing="1"/>
      <w:jc w:val="left"/>
    </w:pPr>
    <w:rPr>
      <w:rFonts w:ascii="Times New Roman" w:eastAsiaTheme="minorEastAsia" w:hAnsi="Times New Roman"/>
      <w:sz w:val="24"/>
      <w:szCs w:val="24"/>
      <w:lang w:val="ru-RU"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hyperlink" Target="http://www.itu.int/ITU-T/recommendations/rec.aspx?rec=7053" TargetMode="External"/><Relationship Id="rId21" Type="http://schemas.openxmlformats.org/officeDocument/2006/relationships/image" Target="media/image10.emf"/><Relationship Id="rId42" Type="http://schemas.openxmlformats.org/officeDocument/2006/relationships/image" Target="media/image28.emf"/><Relationship Id="rId47" Type="http://schemas.openxmlformats.org/officeDocument/2006/relationships/image" Target="media/image32.emf"/><Relationship Id="rId63" Type="http://schemas.openxmlformats.org/officeDocument/2006/relationships/image" Target="media/image43.wmf"/><Relationship Id="rId68" Type="http://schemas.openxmlformats.org/officeDocument/2006/relationships/oleObject" Target="embeddings/oleObject12.bin"/><Relationship Id="rId84" Type="http://schemas.openxmlformats.org/officeDocument/2006/relationships/hyperlink" Target="http://en.wikipedia.org/wiki/Mainframe_computer" TargetMode="External"/><Relationship Id="rId89" Type="http://schemas.openxmlformats.org/officeDocument/2006/relationships/hyperlink" Target="http://en.wikipedia.org/wiki/Service-oriented_architecture" TargetMode="External"/><Relationship Id="rId112" Type="http://schemas.openxmlformats.org/officeDocument/2006/relationships/hyperlink" Target="http://www.itu.int/ITU-T/recommendations/rec.aspx?rec=11436" TargetMode="External"/><Relationship Id="rId133"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hyperlink" Target="http://www.itu.int/ITU-T/recommendations/rec.aspx?rec=11561" TargetMode="External"/><Relationship Id="rId11" Type="http://schemas.openxmlformats.org/officeDocument/2006/relationships/footer" Target="footer1.xml"/><Relationship Id="rId32" Type="http://schemas.openxmlformats.org/officeDocument/2006/relationships/image" Target="media/image19.emf"/><Relationship Id="rId37" Type="http://schemas.openxmlformats.org/officeDocument/2006/relationships/image" Target="media/image23.wmf"/><Relationship Id="rId53" Type="http://schemas.openxmlformats.org/officeDocument/2006/relationships/image" Target="media/image38.wmf"/><Relationship Id="rId58" Type="http://schemas.openxmlformats.org/officeDocument/2006/relationships/oleObject" Target="embeddings/oleObject7.bin"/><Relationship Id="rId74" Type="http://schemas.openxmlformats.org/officeDocument/2006/relationships/oleObject" Target="embeddings/Microsoft_Visio_2003-2010____111111111112222222222211111.vsd"/><Relationship Id="rId79" Type="http://schemas.openxmlformats.org/officeDocument/2006/relationships/image" Target="media/image51.emf"/><Relationship Id="rId102" Type="http://schemas.openxmlformats.org/officeDocument/2006/relationships/image" Target="media/image58.emf"/><Relationship Id="rId123" Type="http://schemas.openxmlformats.org/officeDocument/2006/relationships/hyperlink" Target="http://www.itu.int/rec/R-REC-F.1094-2-200709-I/en" TargetMode="External"/><Relationship Id="rId128" Type="http://schemas.openxmlformats.org/officeDocument/2006/relationships/hyperlink" Target="http://www.itu.int/rec/R-REC-M.2012/en" TargetMode="External"/><Relationship Id="rId5" Type="http://schemas.openxmlformats.org/officeDocument/2006/relationships/settings" Target="settings.xml"/><Relationship Id="rId90" Type="http://schemas.openxmlformats.org/officeDocument/2006/relationships/hyperlink" Target="http://en.wikipedia.org/wiki/Autonomic_Computing" TargetMode="External"/><Relationship Id="rId95" Type="http://schemas.openxmlformats.org/officeDocument/2006/relationships/header" Target="header4.xml"/><Relationship Id="rId14" Type="http://schemas.openxmlformats.org/officeDocument/2006/relationships/image" Target="media/image3.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8.emf"/><Relationship Id="rId35" Type="http://schemas.openxmlformats.org/officeDocument/2006/relationships/image" Target="media/image21.emf"/><Relationship Id="rId43" Type="http://schemas.openxmlformats.org/officeDocument/2006/relationships/image" Target="media/image29.emf"/><Relationship Id="rId48" Type="http://schemas.openxmlformats.org/officeDocument/2006/relationships/image" Target="media/image33.emf"/><Relationship Id="rId56" Type="http://schemas.openxmlformats.org/officeDocument/2006/relationships/oleObject" Target="embeddings/oleObject6.bin"/><Relationship Id="rId64" Type="http://schemas.openxmlformats.org/officeDocument/2006/relationships/oleObject" Target="embeddings/oleObject10.bin"/><Relationship Id="rId69" Type="http://schemas.openxmlformats.org/officeDocument/2006/relationships/image" Target="media/image46.wmf"/><Relationship Id="rId77" Type="http://schemas.openxmlformats.org/officeDocument/2006/relationships/image" Target="media/image50.emf"/><Relationship Id="rId100" Type="http://schemas.openxmlformats.org/officeDocument/2006/relationships/footer" Target="footer6.xml"/><Relationship Id="rId105" Type="http://schemas.openxmlformats.org/officeDocument/2006/relationships/hyperlink" Target="http://www.itu.int/ITU-T/recommendations/rec.aspx?rec=11440" TargetMode="External"/><Relationship Id="rId113" Type="http://schemas.openxmlformats.org/officeDocument/2006/relationships/hyperlink" Target="http://www.itu.int/ITU-T/recommendations/rec.aspx?rec=11437" TargetMode="External"/><Relationship Id="rId118" Type="http://schemas.openxmlformats.org/officeDocument/2006/relationships/hyperlink" Target="http://www.itu.int/ITU-T/recommendations/rec.aspx?rec=11621" TargetMode="External"/><Relationship Id="rId126" Type="http://schemas.openxmlformats.org/officeDocument/2006/relationships/hyperlink" Target="http://www.itu.int/rec/R-REC-M.819-2-199702-I/en" TargetMode="External"/><Relationship Id="rId13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6.emf"/><Relationship Id="rId72" Type="http://schemas.openxmlformats.org/officeDocument/2006/relationships/oleObject" Target="embeddings/oleObject14.bin"/><Relationship Id="rId80" Type="http://schemas.openxmlformats.org/officeDocument/2006/relationships/image" Target="media/image52.emf"/><Relationship Id="rId85" Type="http://schemas.openxmlformats.org/officeDocument/2006/relationships/hyperlink" Target="http://en.wikipedia.org/wiki/CPU" TargetMode="External"/><Relationship Id="rId93" Type="http://schemas.openxmlformats.org/officeDocument/2006/relationships/footer" Target="footer2.xml"/><Relationship Id="rId98" Type="http://schemas.openxmlformats.org/officeDocument/2006/relationships/header" Target="header6.xml"/><Relationship Id="rId121" Type="http://schemas.openxmlformats.org/officeDocument/2006/relationships/hyperlink" Target="http://www.itu.int/pub/R-REP-M.2176" TargetMode="External"/><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0.emf"/><Relationship Id="rId38" Type="http://schemas.openxmlformats.org/officeDocument/2006/relationships/image" Target="media/image24.emf"/><Relationship Id="rId46" Type="http://schemas.openxmlformats.org/officeDocument/2006/relationships/image" Target="media/image31.emf"/><Relationship Id="rId59" Type="http://schemas.openxmlformats.org/officeDocument/2006/relationships/image" Target="media/image41.wmf"/><Relationship Id="rId67" Type="http://schemas.openxmlformats.org/officeDocument/2006/relationships/image" Target="media/image45.wmf"/><Relationship Id="rId103" Type="http://schemas.openxmlformats.org/officeDocument/2006/relationships/hyperlink" Target="javascript:__doPostBack('ctl00$content_search$tv_content','s505\\529\\537')" TargetMode="External"/><Relationship Id="rId108" Type="http://schemas.openxmlformats.org/officeDocument/2006/relationships/hyperlink" Target="javascript:__doPostBack('ctl00$content_search$tv_content','s505\\607\\609\\rec9133')" TargetMode="External"/><Relationship Id="rId116" Type="http://schemas.openxmlformats.org/officeDocument/2006/relationships/hyperlink" Target="http://www.itu.int/rec/T-REC-E.370-200102-I" TargetMode="External"/><Relationship Id="rId124" Type="http://schemas.openxmlformats.org/officeDocument/2006/relationships/hyperlink" Target="http://www.itu.int/rec/R-REC-F.1704-0-200501-I/en" TargetMode="External"/><Relationship Id="rId129" Type="http://schemas.openxmlformats.org/officeDocument/2006/relationships/header" Target="header7.xml"/><Relationship Id="rId20" Type="http://schemas.openxmlformats.org/officeDocument/2006/relationships/image" Target="media/image9.jpeg"/><Relationship Id="rId41" Type="http://schemas.openxmlformats.org/officeDocument/2006/relationships/image" Target="media/image27.wmf"/><Relationship Id="rId54" Type="http://schemas.openxmlformats.org/officeDocument/2006/relationships/oleObject" Target="embeddings/oleObject5.bin"/><Relationship Id="rId62" Type="http://schemas.openxmlformats.org/officeDocument/2006/relationships/oleObject" Target="embeddings/oleObject9.bin"/><Relationship Id="rId70" Type="http://schemas.openxmlformats.org/officeDocument/2006/relationships/oleObject" Target="embeddings/oleObject13.bin"/><Relationship Id="rId75" Type="http://schemas.openxmlformats.org/officeDocument/2006/relationships/image" Target="media/image49.emf"/><Relationship Id="rId83" Type="http://schemas.openxmlformats.org/officeDocument/2006/relationships/image" Target="media/image55.png"/><Relationship Id="rId88" Type="http://schemas.openxmlformats.org/officeDocument/2006/relationships/hyperlink" Target="http://en.wikipedia.org/wiki/Hardware_virtualization" TargetMode="External"/><Relationship Id="rId91" Type="http://schemas.openxmlformats.org/officeDocument/2006/relationships/image" Target="media/image56.png"/><Relationship Id="rId96" Type="http://schemas.openxmlformats.org/officeDocument/2006/relationships/footer" Target="footer4.xml"/><Relationship Id="rId111" Type="http://schemas.openxmlformats.org/officeDocument/2006/relationships/hyperlink" Target="http://www.itu.int/ITU-T/recommendations/rec.aspx?rec=11565" TargetMode="External"/><Relationship Id="rId132"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2.wmf"/><Relationship Id="rId49" Type="http://schemas.openxmlformats.org/officeDocument/2006/relationships/image" Target="media/image34.wmf"/><Relationship Id="rId57" Type="http://schemas.openxmlformats.org/officeDocument/2006/relationships/image" Target="media/image40.wmf"/><Relationship Id="rId106" Type="http://schemas.openxmlformats.org/officeDocument/2006/relationships/hyperlink" Target="http://www.itu.int/ITU-T/recommendations/rec.aspx?rec=11441" TargetMode="External"/><Relationship Id="rId114" Type="http://schemas.openxmlformats.org/officeDocument/2006/relationships/hyperlink" Target="http://www.itu.int/ITU-T/recommendations/rec.aspx?rec=11572" TargetMode="External"/><Relationship Id="rId119" Type="http://schemas.openxmlformats.org/officeDocument/2006/relationships/hyperlink" Target="http://www.itu.int/ITU-T/recommendations/rec.aspx?rec=9526" TargetMode="External"/><Relationship Id="rId127" Type="http://schemas.openxmlformats.org/officeDocument/2006/relationships/hyperlink" Target="https://www.itu.int/rec/R-REC-M.1457/en" TargetMode="External"/><Relationship Id="rId10" Type="http://schemas.openxmlformats.org/officeDocument/2006/relationships/header" Target="header2.xml"/><Relationship Id="rId31" Type="http://schemas.openxmlformats.org/officeDocument/2006/relationships/oleObject" Target="embeddings/oleObject2.bin"/><Relationship Id="rId44" Type="http://schemas.openxmlformats.org/officeDocument/2006/relationships/image" Target="media/image30.wmf"/><Relationship Id="rId52" Type="http://schemas.openxmlformats.org/officeDocument/2006/relationships/image" Target="media/image37.emf"/><Relationship Id="rId60" Type="http://schemas.openxmlformats.org/officeDocument/2006/relationships/oleObject" Target="embeddings/oleObject8.bin"/><Relationship Id="rId65" Type="http://schemas.openxmlformats.org/officeDocument/2006/relationships/image" Target="media/image44.wmf"/><Relationship Id="rId73" Type="http://schemas.openxmlformats.org/officeDocument/2006/relationships/image" Target="media/image48.emf"/><Relationship Id="rId78" Type="http://schemas.openxmlformats.org/officeDocument/2006/relationships/oleObject" Target="embeddings/Microsoft_Visio_2003-2010____333333333334444444444433333.vsd"/><Relationship Id="rId81" Type="http://schemas.openxmlformats.org/officeDocument/2006/relationships/image" Target="media/image53.emf"/><Relationship Id="rId86" Type="http://schemas.openxmlformats.org/officeDocument/2006/relationships/hyperlink" Target="http://en.wikipedia.org/wiki/Time-sharing" TargetMode="External"/><Relationship Id="rId94" Type="http://schemas.openxmlformats.org/officeDocument/2006/relationships/footer" Target="footer3.xml"/><Relationship Id="rId99" Type="http://schemas.openxmlformats.org/officeDocument/2006/relationships/footer" Target="footer5.xml"/><Relationship Id="rId101" Type="http://schemas.openxmlformats.org/officeDocument/2006/relationships/image" Target="media/image57.wmf"/><Relationship Id="rId122" Type="http://schemas.openxmlformats.org/officeDocument/2006/relationships/hyperlink" Target="http://www.itu.int/dms_pubrec/itu-r/rec/s/R-REC-S.1897-0-201201-I!!PDF-E.pdf" TargetMode="External"/><Relationship Id="rId130" Type="http://schemas.openxmlformats.org/officeDocument/2006/relationships/header" Target="header8.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5.wmf"/><Relationship Id="rId109" Type="http://schemas.openxmlformats.org/officeDocument/2006/relationships/hyperlink" Target="javascript:__doPostBack('ctl00$content_search$tv_content','s505\\607\\613')" TargetMode="External"/><Relationship Id="rId34" Type="http://schemas.openxmlformats.org/officeDocument/2006/relationships/oleObject" Target="embeddings/oleObject3.bin"/><Relationship Id="rId50" Type="http://schemas.openxmlformats.org/officeDocument/2006/relationships/image" Target="media/image35.emf"/><Relationship Id="rId55" Type="http://schemas.openxmlformats.org/officeDocument/2006/relationships/image" Target="media/image39.wmf"/><Relationship Id="rId76" Type="http://schemas.openxmlformats.org/officeDocument/2006/relationships/oleObject" Target="embeddings/Microsoft_Visio_2003-2010____222222222223333333333322222.vsd"/><Relationship Id="rId97" Type="http://schemas.openxmlformats.org/officeDocument/2006/relationships/header" Target="header5.xml"/><Relationship Id="rId104" Type="http://schemas.openxmlformats.org/officeDocument/2006/relationships/hyperlink" Target="javascript:__doPostBack('ctl00$content_search$tv_content','s505\\529\\542')" TargetMode="External"/><Relationship Id="rId120" Type="http://schemas.openxmlformats.org/officeDocument/2006/relationships/hyperlink" Target="http://www.itu.int/rec/R-REC-S.1806/en" TargetMode="External"/><Relationship Id="rId125" Type="http://schemas.openxmlformats.org/officeDocument/2006/relationships/hyperlink" Target="http://www.itu.int/rec/R-REC-F.1763-0-200604-I/en" TargetMode="External"/><Relationship Id="rId7" Type="http://schemas.openxmlformats.org/officeDocument/2006/relationships/footnotes" Target="footnotes.xml"/><Relationship Id="rId71" Type="http://schemas.openxmlformats.org/officeDocument/2006/relationships/image" Target="media/image47.wmf"/><Relationship Id="rId92" Type="http://schemas.openxmlformats.org/officeDocument/2006/relationships/header" Target="header3.xml"/><Relationship Id="rId2" Type="http://schemas.openxmlformats.org/officeDocument/2006/relationships/numbering" Target="numbering.xml"/><Relationship Id="rId29" Type="http://schemas.openxmlformats.org/officeDocument/2006/relationships/oleObject" Target="embeddings/oleObject1.bin"/><Relationship Id="rId24" Type="http://schemas.openxmlformats.org/officeDocument/2006/relationships/image" Target="media/image13.wmf"/><Relationship Id="rId40" Type="http://schemas.openxmlformats.org/officeDocument/2006/relationships/image" Target="media/image26.png"/><Relationship Id="rId45" Type="http://schemas.openxmlformats.org/officeDocument/2006/relationships/oleObject" Target="embeddings/oleObject4.bin"/><Relationship Id="rId66" Type="http://schemas.openxmlformats.org/officeDocument/2006/relationships/oleObject" Target="embeddings/oleObject11.bin"/><Relationship Id="rId87" Type="http://schemas.openxmlformats.org/officeDocument/2006/relationships/hyperlink" Target="http://en.wikipedia.org/wiki/Virtual_private_network" TargetMode="External"/><Relationship Id="rId110" Type="http://schemas.openxmlformats.org/officeDocument/2006/relationships/hyperlink" Target="http://www.itu.int/ITU-T/recommendations/rec.aspx?rec=11444" TargetMode="External"/><Relationship Id="rId115" Type="http://schemas.openxmlformats.org/officeDocument/2006/relationships/hyperlink" Target="http://www.itu.int/ITU-T/recommendations/rec.aspx?rec=11439" TargetMode="External"/><Relationship Id="rId131" Type="http://schemas.openxmlformats.org/officeDocument/2006/relationships/footer" Target="footer7.xml"/><Relationship Id="rId61" Type="http://schemas.openxmlformats.org/officeDocument/2006/relationships/image" Target="media/image42.wmf"/><Relationship Id="rId82" Type="http://schemas.openxmlformats.org/officeDocument/2006/relationships/image" Target="media/image54.emf"/><Relationship Id="rId19" Type="http://schemas.openxmlformats.org/officeDocument/2006/relationships/image" Target="media/image8.emf"/></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COMPO\Questions\SG02\template\Question%20SG-2-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2E05C0-4591-4F57-8795-30F0089F9A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Question SG-2-e.dotx</Template>
  <TotalTime>8</TotalTime>
  <Pages>88</Pages>
  <Words>23744</Words>
  <Characters>135347</Characters>
  <Application>Microsoft Office Word</Application>
  <DocSecurity>0</DocSecurity>
  <Lines>1127</Lines>
  <Paragraphs>317</Paragraphs>
  <ScaleCrop>false</ScaleCrop>
  <HeadingPairs>
    <vt:vector size="6" baseType="variant">
      <vt:variant>
        <vt:lpstr>Title</vt:lpstr>
      </vt:variant>
      <vt:variant>
        <vt:i4>1</vt:i4>
      </vt:variant>
      <vt:variant>
        <vt:lpstr>Headings</vt:lpstr>
      </vt:variant>
      <vt:variant>
        <vt:i4>76</vt:i4>
      </vt:variant>
      <vt:variant>
        <vt:lpstr>Название</vt:lpstr>
      </vt:variant>
      <vt:variant>
        <vt:i4>1</vt:i4>
      </vt:variant>
    </vt:vector>
  </HeadingPairs>
  <TitlesOfParts>
    <vt:vector size="78" baseType="lpstr">
      <vt:lpstr>Question</vt:lpstr>
      <vt:lpstr>Annexes</vt:lpstr>
      <vt:lpstr>Annex 1: Trends in Telecommunications</vt:lpstr>
      <vt:lpstr>Annex 2: Tariff Considerations for Data Services including NGN</vt:lpstr>
      <vt:lpstr>Annex 3: NGN Functional Architecture/Security</vt:lpstr>
      <vt:lpstr>Annex 4: Quality of Service in NGN</vt:lpstr>
      <vt:lpstr>Annex 5: NGN Management</vt:lpstr>
      <vt:lpstr>Annex 6: NGN Testing</vt:lpstr>
      <vt:lpstr>Annex 7: Examples of Migration Scenarios</vt:lpstr>
      <vt:lpstr>Annex 8: NGN Issues</vt:lpstr>
      <vt:lpstr>Annex 9: ITU NGN Standards </vt:lpstr>
      <vt:lpstr/>
      <vt:lpstr>Annex 1: Trends in Telecommunications</vt:lpstr>
      <vt:lpstr>1	Market Trends</vt:lpstr>
      <vt:lpstr>    1.1	Overall Telecom Market Trends</vt:lpstr>
      <vt:lpstr>    1.2	Trends in the Voice Service Market</vt:lpstr>
      <vt:lpstr>    1.3	Broadband Market Trends</vt:lpstr>
      <vt:lpstr>2	Overall Trends in Telecommunications</vt:lpstr>
      <vt:lpstr>    2.1	Overall Development Trends</vt:lpstr>
      <vt:lpstr>    2.2	Convergences</vt:lpstr>
      <vt:lpstr>    2.3	Trend of User Willingness</vt:lpstr>
      <vt:lpstr>Annex 2: Tariff Considerations for Data Services including NGN</vt:lpstr>
      <vt:lpstr>Annex 3: NGN Functional Architecture/Security</vt:lpstr>
      <vt:lpstr>1	NGN Functional Architecture</vt:lpstr>
      <vt:lpstr>    1.1	General Principles and Reference Architecture Model</vt:lpstr>
      <vt:lpstr>    1.2	NGN Functional Architecture</vt:lpstr>
      <vt:lpstr>        1.2.1	Transport Stratum Functions</vt:lpstr>
      <vt:lpstr>        1.2.2	Service Stratum Functions</vt:lpstr>
      <vt:lpstr>        1.2.3	End User Functions</vt:lpstr>
      <vt:lpstr>        1.2.4	Management Functions</vt:lpstr>
      <vt:lpstr>    2	Security in NGN</vt:lpstr>
      <vt:lpstr>    2.1	Security threats and risks</vt:lpstr>
      <vt:lpstr>    2.2	Security trust model</vt:lpstr>
      <vt:lpstr>    2.3	Design Principles for NGN Security</vt:lpstr>
      <vt:lpstr>        2.3.1	Objectives and requirements</vt:lpstr>
      <vt:lpstr>        2.3.2	Specific security requirements</vt:lpstr>
      <vt:lpstr>        2.3.3	NGN security mechanisms and procedures</vt:lpstr>
      <vt:lpstr>        2.3.4	Application model for AAA in NGN</vt:lpstr>
      <vt:lpstr>Annex 4: Quality of Service in NGN</vt:lpstr>
      <vt:lpstr>1	Overview of QoS and NP in NGN</vt:lpstr>
      <vt:lpstr>2	Resource and Admission Control in NGN</vt:lpstr>
      <vt:lpstr>Annex 5: NGN Management</vt:lpstr>
      <vt:lpstr>1	Objectives of NGN Management</vt:lpstr>
      <vt:lpstr>2	Architecture of NGN Management</vt:lpstr>
      <vt:lpstr>    2.1	NGN Management Requirements</vt:lpstr>
      <vt:lpstr>    2.2	NGN Management Architecture</vt:lpstr>
      <vt:lpstr>    2.3	Relationship to service-oriented architecture (SOA)</vt:lpstr>
      <vt:lpstr>3	Relationships between management views</vt:lpstr>
      <vt:lpstr>Annex 6: NGN Testing</vt:lpstr>
      <vt:lpstr>1	Background</vt:lpstr>
      <vt:lpstr>2	Technical means and functions to be tested</vt:lpstr>
      <vt:lpstr>    2.1	NGN technical means to be tested</vt:lpstr>
      <vt:lpstr>    2.2	NGN functions to be tested</vt:lpstr>
      <vt:lpstr>    2.3 	Conformance of NGN functions to NGN technical means to be tested</vt:lpstr>
      <vt:lpstr>3	Model networks for NGN testing</vt:lpstr>
      <vt:lpstr>    3.1	Dedicated model network</vt:lpstr>
      <vt:lpstr>    3.2	Distributed model network</vt:lpstr>
      <vt:lpstr>    3.3	Protocol configuration of model network</vt:lpstr>
      <vt:lpstr>4	NGN conformance testing and interoperability testing</vt:lpstr>
      <vt:lpstr>    4.1 	NGN conformance testing</vt:lpstr>
      <vt:lpstr>    4.2 	NGN interoperability testing</vt:lpstr>
      <vt:lpstr>    4.3	Positioning map of NGN testing specification documents</vt:lpstr>
      <vt:lpstr>Annex 7: Examples of Migration Scenarios</vt:lpstr>
      <vt:lpstr>1	Core Network migration to NGN</vt:lpstr>
      <vt:lpstr>    1.1	Consolidation of local and remote exchanges for migration to NGN</vt:lpstr>
      <vt:lpstr>    1.2	Scenario 1 – PSTN/ISDN and NGN initially co-exist </vt:lpstr>
      <vt:lpstr>    1.3	Scenario 2 – Immediate use of NGN, initially via SGs and TMGs</vt:lpstr>
      <vt:lpstr>    1.4	Scenario 3 – The one-step approach</vt:lpstr>
      <vt:lpstr>    1.5	IMS-based migration to NGN</vt:lpstr>
      <vt:lpstr/>
      <vt:lpstr>2	Access network migration to NGN</vt:lpstr>
      <vt:lpstr/>
      <vt:lpstr>3	Signaling and control scenarios</vt:lpstr>
      <vt:lpstr>4	Services migration scenarios</vt:lpstr>
      <vt:lpstr>5	Billing system migration scenarios</vt:lpstr>
      <vt:lpstr>Annex 8: NGN Issues</vt:lpstr>
      <vt:lpstr>1	Service Integration and Delivery Environments in NGN</vt:lpstr>
      <vt:lpstr>HIPCAR Model Policy Guidelines and Legislative Text: Access to Public Information (Freedom of Information)</vt:lpstr>
    </vt:vector>
  </TitlesOfParts>
  <Company>ITU</Company>
  <LinksUpToDate>false</LinksUpToDate>
  <CharactersWithSpaces>158774</CharactersWithSpaces>
  <SharedDoc>false</SharedDoc>
  <HLinks>
    <vt:vector size="84" baseType="variant">
      <vt:variant>
        <vt:i4>1048635</vt:i4>
      </vt:variant>
      <vt:variant>
        <vt:i4>77</vt:i4>
      </vt:variant>
      <vt:variant>
        <vt:i4>0</vt:i4>
      </vt:variant>
      <vt:variant>
        <vt:i4>5</vt:i4>
      </vt:variant>
      <vt:variant>
        <vt:lpwstr/>
      </vt:variant>
      <vt:variant>
        <vt:lpwstr>_Toc375046965</vt:lpwstr>
      </vt:variant>
      <vt:variant>
        <vt:i4>1048635</vt:i4>
      </vt:variant>
      <vt:variant>
        <vt:i4>71</vt:i4>
      </vt:variant>
      <vt:variant>
        <vt:i4>0</vt:i4>
      </vt:variant>
      <vt:variant>
        <vt:i4>5</vt:i4>
      </vt:variant>
      <vt:variant>
        <vt:lpwstr/>
      </vt:variant>
      <vt:variant>
        <vt:lpwstr>_Toc375046964</vt:lpwstr>
      </vt:variant>
      <vt:variant>
        <vt:i4>1048635</vt:i4>
      </vt:variant>
      <vt:variant>
        <vt:i4>65</vt:i4>
      </vt:variant>
      <vt:variant>
        <vt:i4>0</vt:i4>
      </vt:variant>
      <vt:variant>
        <vt:i4>5</vt:i4>
      </vt:variant>
      <vt:variant>
        <vt:lpwstr/>
      </vt:variant>
      <vt:variant>
        <vt:lpwstr>_Toc375046963</vt:lpwstr>
      </vt:variant>
      <vt:variant>
        <vt:i4>1048635</vt:i4>
      </vt:variant>
      <vt:variant>
        <vt:i4>59</vt:i4>
      </vt:variant>
      <vt:variant>
        <vt:i4>0</vt:i4>
      </vt:variant>
      <vt:variant>
        <vt:i4>5</vt:i4>
      </vt:variant>
      <vt:variant>
        <vt:lpwstr/>
      </vt:variant>
      <vt:variant>
        <vt:lpwstr>_Toc375046962</vt:lpwstr>
      </vt:variant>
      <vt:variant>
        <vt:i4>1048635</vt:i4>
      </vt:variant>
      <vt:variant>
        <vt:i4>53</vt:i4>
      </vt:variant>
      <vt:variant>
        <vt:i4>0</vt:i4>
      </vt:variant>
      <vt:variant>
        <vt:i4>5</vt:i4>
      </vt:variant>
      <vt:variant>
        <vt:lpwstr/>
      </vt:variant>
      <vt:variant>
        <vt:lpwstr>_Toc375046961</vt:lpwstr>
      </vt:variant>
      <vt:variant>
        <vt:i4>1048635</vt:i4>
      </vt:variant>
      <vt:variant>
        <vt:i4>47</vt:i4>
      </vt:variant>
      <vt:variant>
        <vt:i4>0</vt:i4>
      </vt:variant>
      <vt:variant>
        <vt:i4>5</vt:i4>
      </vt:variant>
      <vt:variant>
        <vt:lpwstr/>
      </vt:variant>
      <vt:variant>
        <vt:lpwstr>_Toc375046960</vt:lpwstr>
      </vt:variant>
      <vt:variant>
        <vt:i4>1245243</vt:i4>
      </vt:variant>
      <vt:variant>
        <vt:i4>41</vt:i4>
      </vt:variant>
      <vt:variant>
        <vt:i4>0</vt:i4>
      </vt:variant>
      <vt:variant>
        <vt:i4>5</vt:i4>
      </vt:variant>
      <vt:variant>
        <vt:lpwstr/>
      </vt:variant>
      <vt:variant>
        <vt:lpwstr>_Toc375046959</vt:lpwstr>
      </vt:variant>
      <vt:variant>
        <vt:i4>1245243</vt:i4>
      </vt:variant>
      <vt:variant>
        <vt:i4>35</vt:i4>
      </vt:variant>
      <vt:variant>
        <vt:i4>0</vt:i4>
      </vt:variant>
      <vt:variant>
        <vt:i4>5</vt:i4>
      </vt:variant>
      <vt:variant>
        <vt:lpwstr/>
      </vt:variant>
      <vt:variant>
        <vt:lpwstr>_Toc375046958</vt:lpwstr>
      </vt:variant>
      <vt:variant>
        <vt:i4>1245243</vt:i4>
      </vt:variant>
      <vt:variant>
        <vt:i4>29</vt:i4>
      </vt:variant>
      <vt:variant>
        <vt:i4>0</vt:i4>
      </vt:variant>
      <vt:variant>
        <vt:i4>5</vt:i4>
      </vt:variant>
      <vt:variant>
        <vt:lpwstr/>
      </vt:variant>
      <vt:variant>
        <vt:lpwstr>_Toc375046957</vt:lpwstr>
      </vt:variant>
      <vt:variant>
        <vt:i4>1245243</vt:i4>
      </vt:variant>
      <vt:variant>
        <vt:i4>23</vt:i4>
      </vt:variant>
      <vt:variant>
        <vt:i4>0</vt:i4>
      </vt:variant>
      <vt:variant>
        <vt:i4>5</vt:i4>
      </vt:variant>
      <vt:variant>
        <vt:lpwstr/>
      </vt:variant>
      <vt:variant>
        <vt:lpwstr>_Toc375046956</vt:lpwstr>
      </vt:variant>
      <vt:variant>
        <vt:i4>1245243</vt:i4>
      </vt:variant>
      <vt:variant>
        <vt:i4>17</vt:i4>
      </vt:variant>
      <vt:variant>
        <vt:i4>0</vt:i4>
      </vt:variant>
      <vt:variant>
        <vt:i4>5</vt:i4>
      </vt:variant>
      <vt:variant>
        <vt:lpwstr/>
      </vt:variant>
      <vt:variant>
        <vt:lpwstr>_Toc375046955</vt:lpwstr>
      </vt:variant>
      <vt:variant>
        <vt:i4>1245243</vt:i4>
      </vt:variant>
      <vt:variant>
        <vt:i4>11</vt:i4>
      </vt:variant>
      <vt:variant>
        <vt:i4>0</vt:i4>
      </vt:variant>
      <vt:variant>
        <vt:i4>5</vt:i4>
      </vt:variant>
      <vt:variant>
        <vt:lpwstr/>
      </vt:variant>
      <vt:variant>
        <vt:lpwstr>_Toc375046954</vt:lpwstr>
      </vt:variant>
      <vt:variant>
        <vt:i4>1245243</vt:i4>
      </vt:variant>
      <vt:variant>
        <vt:i4>5</vt:i4>
      </vt:variant>
      <vt:variant>
        <vt:i4>0</vt:i4>
      </vt:variant>
      <vt:variant>
        <vt:i4>5</vt:i4>
      </vt:variant>
      <vt:variant>
        <vt:lpwstr/>
      </vt:variant>
      <vt:variant>
        <vt:lpwstr>_Toc375046953</vt:lpwstr>
      </vt:variant>
      <vt:variant>
        <vt:i4>1245243</vt:i4>
      </vt:variant>
      <vt:variant>
        <vt:i4>2</vt:i4>
      </vt:variant>
      <vt:variant>
        <vt:i4>0</vt:i4>
      </vt:variant>
      <vt:variant>
        <vt:i4>5</vt:i4>
      </vt:variant>
      <vt:variant>
        <vt:lpwstr/>
      </vt:variant>
      <vt:variant>
        <vt:lpwstr>_Toc375046952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Question</dc:title>
  <dc:subject>ITU/EU-funded HIPCAR project</dc:subject>
  <dc:creator>Soby, Michele</dc:creator>
  <cp:lastModifiedBy>Sikacheva, Violetta</cp:lastModifiedBy>
  <cp:revision>5</cp:revision>
  <cp:lastPrinted>2011-08-04T14:12:00Z</cp:lastPrinted>
  <dcterms:created xsi:type="dcterms:W3CDTF">2014-03-03T16:33:00Z</dcterms:created>
  <dcterms:modified xsi:type="dcterms:W3CDTF">2014-03-04T18:01:00Z</dcterms:modified>
</cp:coreProperties>
</file>