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111C25">
      <w:pPr>
        <w:pStyle w:val="QuestionNo"/>
        <w:rPr>
          <w:rtl/>
        </w:rPr>
      </w:pPr>
      <w:bookmarkStart w:id="4" w:name="_Toc360171154"/>
      <w:bookmarkEnd w:id="0"/>
      <w:bookmarkEnd w:id="1"/>
      <w:r w:rsidRPr="00D60D10">
        <w:rPr>
          <w:rFonts w:hint="cs"/>
          <w:sz w:val="60"/>
          <w:szCs w:val="68"/>
          <w:rtl/>
        </w:rPr>
        <w:t>المس</w:t>
      </w:r>
      <w:r w:rsidR="00C067A3">
        <w:rPr>
          <w:rFonts w:hint="cs"/>
          <w:sz w:val="60"/>
          <w:szCs w:val="68"/>
          <w:rtl/>
        </w:rPr>
        <w:t>ـ</w:t>
      </w:r>
      <w:r w:rsidRPr="00D60D10">
        <w:rPr>
          <w:rFonts w:hint="cs"/>
          <w:sz w:val="60"/>
          <w:szCs w:val="68"/>
          <w:rtl/>
        </w:rPr>
        <w:t xml:space="preserve">ألة </w:t>
      </w:r>
      <w:r w:rsidR="00111C25">
        <w:rPr>
          <w:sz w:val="50"/>
          <w:szCs w:val="58"/>
        </w:rPr>
        <w:t>25</w:t>
      </w:r>
      <w:r w:rsidR="00C729F1" w:rsidRPr="00D37B90">
        <w:rPr>
          <w:sz w:val="50"/>
          <w:szCs w:val="58"/>
        </w:rPr>
        <w:t>/</w:t>
      </w:r>
      <w:bookmarkEnd w:id="4"/>
      <w:r w:rsidR="00203BE6" w:rsidRPr="00D37B90">
        <w:rPr>
          <w:sz w:val="50"/>
          <w:szCs w:val="58"/>
        </w:rPr>
        <w:t>2</w:t>
      </w:r>
      <w:r w:rsidR="00D60D10" w:rsidRPr="00D60D10">
        <w:rPr>
          <w:rFonts w:hint="cs"/>
          <w:sz w:val="60"/>
          <w:szCs w:val="68"/>
          <w:rtl/>
        </w:rPr>
        <w:t>:</w:t>
      </w:r>
    </w:p>
    <w:p w:rsidR="00C729F1" w:rsidRPr="006570A8" w:rsidRDefault="00111C25" w:rsidP="00111C25">
      <w:pPr>
        <w:pStyle w:val="QuestionTitle"/>
      </w:pPr>
      <w:r>
        <w:rPr>
          <w:rtl/>
        </w:rPr>
        <w:t>تكنولوجيا النفاذ الخاصة بالاتصالات عريضة النطاق</w:t>
      </w:r>
      <w:r>
        <w:br/>
      </w:r>
      <w:r>
        <w:rPr>
          <w:rtl/>
        </w:rPr>
        <w:t>بما في ذلك الاتصالات المتنقلة الدولية،</w:t>
      </w:r>
      <w:r>
        <w:rPr>
          <w:rFonts w:hint="cs"/>
          <w:rtl/>
        </w:rPr>
        <w:br/>
      </w:r>
      <w:r>
        <w:rPr>
          <w:rtl/>
        </w:rPr>
        <w:t xml:space="preserve"> من أجل البلدان النامية</w:t>
      </w:r>
    </w:p>
    <w:p w:rsidR="004A3FC4" w:rsidRPr="00AC733C" w:rsidRDefault="004A3FC4" w:rsidP="000A316A"/>
    <w:p w:rsidR="008B2896" w:rsidRPr="00DD6562" w:rsidRDefault="008B2896" w:rsidP="00D37B90">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552256" behindDoc="0" locked="0" layoutInCell="1" allowOverlap="1" wp14:anchorId="085F8556" wp14:editId="538AE7CB">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D71DF6">
        <w:tc>
          <w:tcPr>
            <w:tcW w:w="9072" w:type="dxa"/>
            <w:shd w:val="clear" w:color="auto" w:fill="E8F8FD"/>
          </w:tcPr>
          <w:p w:rsidR="00203BE6" w:rsidRPr="00444F30" w:rsidRDefault="00203BE6" w:rsidP="009C04F6">
            <w:pPr>
              <w:pStyle w:val="HeadingB"/>
              <w:rPr>
                <w:rtl/>
              </w:rPr>
            </w:pPr>
            <w:r w:rsidRPr="00444F30">
              <w:rPr>
                <w:rtl/>
              </w:rPr>
              <w:lastRenderedPageBreak/>
              <w:t>لجان دراسات قطاع تنمية الاتصالات</w:t>
            </w:r>
          </w:p>
          <w:p w:rsidR="00203BE6" w:rsidRPr="00444F30" w:rsidRDefault="00203BE6" w:rsidP="00203BE6">
            <w:pPr>
              <w:snapToGrid w:val="0"/>
              <w:spacing w:line="180" w:lineRule="auto"/>
              <w:rPr>
                <w:sz w:val="19"/>
                <w:szCs w:val="26"/>
                <w:rtl/>
              </w:rPr>
            </w:pPr>
            <w:r w:rsidRPr="00444F30">
              <w:rPr>
                <w:sz w:val="19"/>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203BE6" w:rsidRPr="00444F30" w:rsidRDefault="00203BE6" w:rsidP="00D9206E">
            <w:pPr>
              <w:pStyle w:val="HeadingB"/>
              <w:spacing w:before="120"/>
              <w:rPr>
                <w:rtl/>
              </w:rPr>
            </w:pPr>
            <w:r w:rsidRPr="00444F30">
              <w:rPr>
                <w:rtl/>
              </w:rPr>
              <w:t>منصة المعارف</w:t>
            </w:r>
          </w:p>
          <w:p w:rsidR="00203BE6" w:rsidRPr="00444F30" w:rsidRDefault="00203BE6" w:rsidP="00203BE6">
            <w:pPr>
              <w:snapToGrid w:val="0"/>
              <w:spacing w:line="180" w:lineRule="auto"/>
              <w:rPr>
                <w:sz w:val="19"/>
                <w:szCs w:val="26"/>
                <w:rtl/>
              </w:rPr>
            </w:pPr>
            <w:r w:rsidRPr="00444F30">
              <w:rPr>
                <w:sz w:val="19"/>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444F30">
              <w:rPr>
                <w:sz w:val="19"/>
                <w:szCs w:val="26"/>
              </w:rPr>
              <w:t>193</w:t>
            </w:r>
            <w:r w:rsidRPr="00444F30">
              <w:rPr>
                <w:sz w:val="19"/>
                <w:szCs w:val="26"/>
                <w:rtl/>
              </w:rPr>
              <w:t> دولة. وتعمل هذه الأنشطة أيضاً على تعزيز قاعدة المعارف المشتركة للأعضاء.</w:t>
            </w:r>
          </w:p>
          <w:p w:rsidR="00203BE6" w:rsidRPr="00444F30" w:rsidRDefault="00203BE6" w:rsidP="00D9206E">
            <w:pPr>
              <w:pStyle w:val="HeadingB"/>
              <w:spacing w:before="120"/>
              <w:rPr>
                <w:rtl/>
              </w:rPr>
            </w:pPr>
            <w:r w:rsidRPr="00444F30">
              <w:rPr>
                <w:rtl/>
              </w:rPr>
              <w:t>محور تبادل المعلومات وتقاسم المعارف</w:t>
            </w:r>
          </w:p>
          <w:p w:rsidR="00203BE6" w:rsidRPr="00444F30" w:rsidRDefault="00203BE6" w:rsidP="00203BE6">
            <w:pPr>
              <w:snapToGrid w:val="0"/>
              <w:spacing w:line="180" w:lineRule="auto"/>
              <w:rPr>
                <w:sz w:val="19"/>
                <w:szCs w:val="26"/>
                <w:rtl/>
              </w:rPr>
            </w:pPr>
            <w:r w:rsidRPr="00444F30">
              <w:rPr>
                <w:sz w:val="19"/>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203BE6" w:rsidRPr="00444F30" w:rsidRDefault="00203BE6" w:rsidP="00D9206E">
            <w:pPr>
              <w:pStyle w:val="HeadingB"/>
              <w:spacing w:before="120"/>
              <w:rPr>
                <w:rtl/>
              </w:rPr>
            </w:pPr>
            <w:r w:rsidRPr="00444F30">
              <w:rPr>
                <w:rtl/>
              </w:rPr>
              <w:t>مستودع المعلومات</w:t>
            </w:r>
          </w:p>
          <w:p w:rsidR="00203BE6" w:rsidRPr="00444F30" w:rsidRDefault="00203BE6" w:rsidP="00203BE6">
            <w:pPr>
              <w:snapToGrid w:val="0"/>
              <w:spacing w:line="180" w:lineRule="auto"/>
              <w:rPr>
                <w:sz w:val="19"/>
                <w:szCs w:val="26"/>
              </w:rPr>
            </w:pPr>
            <w:r w:rsidRPr="00444F30">
              <w:rPr>
                <w:sz w:val="19"/>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203BE6" w:rsidRPr="00444F30" w:rsidRDefault="00203BE6" w:rsidP="00D9206E">
            <w:pPr>
              <w:pStyle w:val="HeadingB"/>
              <w:spacing w:before="120"/>
            </w:pPr>
            <w:r w:rsidRPr="00444F30">
              <w:rPr>
                <w:rtl/>
              </w:rPr>
              <w:t xml:space="preserve">لجنة الدراسات </w:t>
            </w:r>
            <w:r w:rsidRPr="00444F30">
              <w:rPr>
                <w:sz w:val="18"/>
                <w:szCs w:val="26"/>
              </w:rPr>
              <w:t>2</w:t>
            </w:r>
          </w:p>
          <w:p w:rsidR="00203BE6" w:rsidRPr="00444F30" w:rsidRDefault="00203BE6" w:rsidP="00203BE6">
            <w:pPr>
              <w:snapToGrid w:val="0"/>
              <w:spacing w:line="180" w:lineRule="auto"/>
              <w:rPr>
                <w:sz w:val="19"/>
                <w:szCs w:val="26"/>
                <w:rtl/>
                <w:lang w:bidi="ar-EG"/>
              </w:rPr>
            </w:pPr>
            <w:r w:rsidRPr="00444F30">
              <w:rPr>
                <w:sz w:val="19"/>
                <w:szCs w:val="26"/>
                <w:rtl/>
                <w:lang w:bidi="ar-EG"/>
              </w:rPr>
              <w:t xml:space="preserve">أسند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xml:space="preserve"> إلى لجنة الدراسات </w:t>
            </w:r>
            <w:r w:rsidRPr="00444F30">
              <w:rPr>
                <w:sz w:val="19"/>
                <w:szCs w:val="26"/>
                <w:lang w:val="en-CA" w:bidi="ar-EG"/>
              </w:rPr>
              <w:t>2</w:t>
            </w:r>
            <w:r w:rsidRPr="00444F30">
              <w:rPr>
                <w:sz w:val="19"/>
                <w:szCs w:val="26"/>
                <w:rtl/>
                <w:lang w:bidi="ar-EG"/>
              </w:rPr>
              <w:t xml:space="preserve"> دراسة تسع مسائل في مجالات البنية التحتية للمعلومات والاتصالات وتطوير التكنولوجيا والاتصالات في حالات الطوارئ والتكيف مع تغير المناخ. وركز العمل على أفضل الأساليب والنهج الملائمة والناجحة لتقديم الخدمات في تخطيط خدمات الاتصالات وتطويرها وتنفيذها وتشغيلها وصيانتها ومواصلتها لتحقيق الفائدة المثلى منها للمستعملين. ويشمل هذا العمل التركيز بصورة خاصة على شبكات النطاق العريض والاتصالات الراديوية المتنقلة والاتصالات/تكنولوجيا المعلومات والاتصالات للمناطق الريفية والنائية واحتياجات البلدان النامية في مجال إدارة الطيف واستخدام تكنولوجيا المعلومات والاتصالات في تخفيف أثر تغير المناخ على البلدان النامية، والاتصالات/تكنولوجيا المعلومات والاتصالات في التخفيف من آثار الكوارث الطبيعية والإغاثة واختبار المطابقة وإمكانية التشغيل البيني والتطبيقات الإلكترونية، مع التركيز والتشديد على التطبيقات التي تدعمها الاتصالات/تكنولوجيا المعلومات والاتصالات. وتناول العمل أيضاً تنفيذ تكنولوجيا المعلومات والاتصالات مع مراعاة نتائج دراسات قطاعي تقييس الاتصالات والاتصالات الراديوية وأولويات البلدان النامية.</w:t>
            </w:r>
          </w:p>
          <w:p w:rsidR="00203BE6" w:rsidRPr="00444F30" w:rsidRDefault="00203BE6" w:rsidP="00203BE6">
            <w:pPr>
              <w:snapToGrid w:val="0"/>
              <w:spacing w:line="180" w:lineRule="auto"/>
              <w:rPr>
                <w:sz w:val="19"/>
                <w:szCs w:val="26"/>
                <w:lang w:bidi="ar-EG"/>
              </w:rPr>
            </w:pPr>
            <w:r w:rsidRPr="00444F30">
              <w:rPr>
                <w:sz w:val="19"/>
                <w:szCs w:val="26"/>
                <w:rtl/>
                <w:lang w:bidi="ar-EG"/>
              </w:rPr>
              <w:t xml:space="preserve">وتتناول لجنة الدراسات </w:t>
            </w:r>
            <w:r w:rsidRPr="00444F30">
              <w:rPr>
                <w:sz w:val="19"/>
                <w:szCs w:val="26"/>
                <w:lang w:val="en-CA" w:bidi="ar-EG"/>
              </w:rPr>
              <w:t>2</w:t>
            </w:r>
            <w:r w:rsidRPr="00444F30">
              <w:rPr>
                <w:sz w:val="19"/>
                <w:szCs w:val="26"/>
                <w:rtl/>
                <w:lang w:bidi="ar-EG"/>
              </w:rPr>
              <w:t xml:space="preserve"> إلى جانب لجنة الدراسات </w:t>
            </w:r>
            <w:r w:rsidRPr="00444F30">
              <w:rPr>
                <w:sz w:val="19"/>
                <w:szCs w:val="26"/>
                <w:lang w:val="en-CA" w:bidi="ar-EG"/>
              </w:rPr>
              <w:t>1</w:t>
            </w:r>
            <w:r w:rsidRPr="00444F30">
              <w:rPr>
                <w:sz w:val="19"/>
                <w:szCs w:val="26"/>
                <w:rtl/>
                <w:lang w:bidi="ar-EG"/>
              </w:rPr>
              <w:t xml:space="preserve"> لقطاع الاتصالات الراديوية القرار </w:t>
            </w:r>
            <w:r w:rsidRPr="00444F30">
              <w:rPr>
                <w:sz w:val="19"/>
                <w:szCs w:val="26"/>
                <w:lang w:val="en-CA" w:bidi="ar-EG"/>
              </w:rPr>
              <w:t>9</w:t>
            </w:r>
            <w:r w:rsidRPr="00444F30">
              <w:rPr>
                <w:sz w:val="19"/>
                <w:szCs w:val="26"/>
                <w:rtl/>
                <w:lang w:bidi="ar-EG"/>
              </w:rPr>
              <w:t xml:space="preserve"> (المراجَع في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بشأن "مشاركة البلدان، لا سيما البلدان النامية، في إدارة الطيف الترددي".</w:t>
            </w:r>
          </w:p>
          <w:p w:rsidR="00203BE6" w:rsidRPr="00203BE6" w:rsidRDefault="00203BE6" w:rsidP="00203BE6">
            <w:pPr>
              <w:snapToGrid w:val="0"/>
              <w:spacing w:line="180" w:lineRule="auto"/>
              <w:rPr>
                <w:sz w:val="19"/>
                <w:szCs w:val="26"/>
                <w:lang w:bidi="ar-EG"/>
              </w:rPr>
            </w:pPr>
            <w:r w:rsidRPr="00203BE6">
              <w:rPr>
                <w:rFonts w:hint="cs"/>
                <w:sz w:val="19"/>
                <w:szCs w:val="26"/>
                <w:rtl/>
                <w:lang w:bidi="ar-EG"/>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075AC8" w:rsidRPr="00203BE6" w:rsidRDefault="00075AC8" w:rsidP="003D1C50">
            <w:pPr>
              <w:spacing w:before="0" w:line="180" w:lineRule="auto"/>
              <w:rPr>
                <w:lang w:val="en-GB"/>
              </w:rPr>
            </w:pPr>
          </w:p>
        </w:tc>
      </w:tr>
    </w:tbl>
    <w:p w:rsidR="00075AC8" w:rsidRDefault="00075AC8" w:rsidP="000A316A">
      <w:pPr>
        <w:rPr>
          <w:rtl/>
          <w:lang w:val="en-GB"/>
        </w:rPr>
      </w:pPr>
    </w:p>
    <w:p w:rsidR="00191D6A" w:rsidRDefault="00191D6A" w:rsidP="000A316A">
      <w:pPr>
        <w:rPr>
          <w:rtl/>
          <w:lang w:val="en-GB"/>
        </w:rPr>
      </w:pPr>
    </w:p>
    <w:p w:rsidR="00DE1B2F" w:rsidRPr="00203BE6" w:rsidRDefault="00DE1B2F" w:rsidP="000A316A"/>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C067A3">
          <w:headerReference w:type="default" r:id="rId10"/>
          <w:footerReference w:type="default" r:id="rId11"/>
          <w:footerReference w:type="first" r:id="rId12"/>
          <w:endnotePr>
            <w:numFmt w:val="decimal"/>
          </w:endnotePr>
          <w:type w:val="oddPage"/>
          <w:pgSz w:w="11907" w:h="16840" w:code="9"/>
          <w:pgMar w:top="1418" w:right="1418" w:bottom="1418" w:left="1418" w:header="709" w:footer="709" w:gutter="0"/>
          <w:pgNumType w:fmt="lowerRoman" w:start="3"/>
          <w:cols w:space="720"/>
          <w:titlePg/>
          <w:rtlGutter/>
        </w:sectPr>
      </w:pPr>
    </w:p>
    <w:p w:rsidR="00D240F2" w:rsidRPr="009A2784" w:rsidRDefault="009A2784" w:rsidP="000A316A">
      <w:pPr>
        <w:pStyle w:val="Chapttitle"/>
      </w:pPr>
      <w:bookmarkStart w:id="5" w:name="_Toc378594242"/>
      <w:bookmarkStart w:id="6" w:name="_Toc379901512"/>
      <w:bookmarkStart w:id="7" w:name="_Toc380496710"/>
      <w:bookmarkStart w:id="8" w:name="_Toc310148800"/>
      <w:bookmarkStart w:id="9" w:name="_Toc316562496"/>
      <w:bookmarkStart w:id="10" w:name="_Toc299639153"/>
      <w:r>
        <w:rPr>
          <w:rFonts w:hint="cs"/>
          <w:rtl/>
          <w:lang w:val="en-GB"/>
        </w:rPr>
        <w:lastRenderedPageBreak/>
        <w:t>جدول المحتويات</w:t>
      </w:r>
      <w:bookmarkEnd w:id="5"/>
      <w:bookmarkEnd w:id="6"/>
      <w:bookmarkEnd w:id="7"/>
    </w:p>
    <w:p w:rsidR="00D240F2" w:rsidRPr="009476F2" w:rsidRDefault="00D240F2" w:rsidP="00DC3EA0">
      <w:pPr>
        <w:pStyle w:val="Toc0"/>
        <w:keepNext/>
        <w:spacing w:before="0"/>
        <w:rPr>
          <w:rFonts w:cs="Arial"/>
          <w:b/>
          <w:bCs w:val="0"/>
          <w:lang w:val="en-GB" w:eastAsia="zh-CN"/>
        </w:rPr>
      </w:pPr>
      <w:r w:rsidRPr="00DD6562">
        <w:rPr>
          <w:lang w:val="en-GB"/>
        </w:rPr>
        <w:tab/>
      </w:r>
      <w:r w:rsidR="009A2784" w:rsidRPr="009476F2">
        <w:rPr>
          <w:rFonts w:hint="cs"/>
          <w:b/>
          <w:bCs w:val="0"/>
          <w:rtl/>
          <w:lang w:val="en-GB"/>
        </w:rPr>
        <w:t>الصفحة</w:t>
      </w:r>
    </w:p>
    <w:p w:rsidR="00EF3234" w:rsidRDefault="006A09D8" w:rsidP="00EF3234">
      <w:pPr>
        <w:pStyle w:val="TOC1"/>
        <w:rPr>
          <w:rFonts w:asciiTheme="minorHAnsi" w:hAnsiTheme="minorHAnsi" w:cstheme="minorBidi"/>
          <w:b w:val="0"/>
          <w:bCs w:val="0"/>
          <w:sz w:val="22"/>
          <w:szCs w:val="22"/>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"1-3" \h \z \u</w:instrText>
      </w:r>
      <w:r>
        <w:rPr>
          <w:rtl/>
        </w:rPr>
        <w:instrText xml:space="preserve"> </w:instrText>
      </w:r>
      <w:r>
        <w:rPr>
          <w:rtl/>
        </w:rPr>
        <w:fldChar w:fldCharType="separate"/>
      </w:r>
      <w:hyperlink w:anchor="_Toc380496712" w:history="1">
        <w:r w:rsidR="00EF3234" w:rsidRPr="003165EC">
          <w:rPr>
            <w:rStyle w:val="Hyperlink"/>
            <w:rFonts w:hint="cs"/>
            <w:rtl/>
          </w:rPr>
          <w:t>ملخص</w:t>
        </w:r>
        <w:r w:rsidR="00EF3234" w:rsidRPr="003165EC">
          <w:rPr>
            <w:rStyle w:val="Hyperlink"/>
            <w:rtl/>
          </w:rPr>
          <w:t xml:space="preserve"> </w:t>
        </w:r>
        <w:r w:rsidR="00EF3234" w:rsidRPr="003165EC">
          <w:rPr>
            <w:rStyle w:val="Hyperlink"/>
            <w:rFonts w:hint="cs"/>
            <w:rtl/>
          </w:rPr>
          <w:t>إداري</w:t>
        </w:r>
        <w:r w:rsidR="00EF3234">
          <w:rPr>
            <w:webHidden/>
          </w:rPr>
          <w:tab/>
        </w:r>
        <w:r w:rsidR="00EF3234">
          <w:rPr>
            <w:webHidden/>
          </w:rPr>
          <w:tab/>
        </w:r>
        <w:r w:rsidR="00EF3234" w:rsidRPr="007052FB">
          <w:rPr>
            <w:rStyle w:val="Hyperlink"/>
            <w:rFonts w:cs="Calibri"/>
            <w:szCs w:val="21"/>
          </w:rPr>
          <w:fldChar w:fldCharType="begin"/>
        </w:r>
        <w:r w:rsidR="00EF3234" w:rsidRPr="007052FB">
          <w:rPr>
            <w:rFonts w:cs="Calibri"/>
            <w:webHidden/>
            <w:szCs w:val="21"/>
          </w:rPr>
          <w:instrText xml:space="preserve"> PAGEREF _Toc380496712 \h </w:instrText>
        </w:r>
        <w:r w:rsidR="00EF3234" w:rsidRPr="007052FB">
          <w:rPr>
            <w:rStyle w:val="Hyperlink"/>
            <w:rFonts w:cs="Calibri"/>
            <w:szCs w:val="21"/>
          </w:rPr>
        </w:r>
        <w:r w:rsidR="00EF3234" w:rsidRPr="007052FB">
          <w:rPr>
            <w:rStyle w:val="Hyperlink"/>
            <w:rFonts w:cs="Calibri"/>
            <w:szCs w:val="21"/>
          </w:rPr>
          <w:fldChar w:fldCharType="separate"/>
        </w:r>
        <w:r w:rsidR="00B56FF8">
          <w:rPr>
            <w:rFonts w:cs="Times New Roman"/>
            <w:webHidden/>
            <w:szCs w:val="21"/>
            <w:rtl/>
          </w:rPr>
          <w:t>1</w:t>
        </w:r>
        <w:r w:rsidR="00EF3234" w:rsidRPr="007052FB">
          <w:rPr>
            <w:rStyle w:val="Hyperlink"/>
            <w:rFonts w:cs="Calibri"/>
            <w:szCs w:val="21"/>
          </w:rPr>
          <w:fldChar w:fldCharType="end"/>
        </w:r>
      </w:hyperlink>
    </w:p>
    <w:p w:rsidR="00EF3234" w:rsidRDefault="00B56FF8" w:rsidP="00EF3234">
      <w:pPr>
        <w:pStyle w:val="TOC1"/>
        <w:rPr>
          <w:rFonts w:asciiTheme="minorHAnsi" w:hAnsiTheme="minorHAnsi" w:cstheme="minorBidi"/>
          <w:b w:val="0"/>
          <w:bCs w:val="0"/>
          <w:sz w:val="22"/>
          <w:szCs w:val="22"/>
        </w:rPr>
      </w:pPr>
      <w:hyperlink w:anchor="_Toc380496713" w:history="1">
        <w:r w:rsidR="00EF3234" w:rsidRPr="003165EC">
          <w:rPr>
            <w:rStyle w:val="Hyperlink"/>
          </w:rPr>
          <w:t>1</w:t>
        </w:r>
        <w:r w:rsidR="00EF3234">
          <w:rPr>
            <w:rFonts w:asciiTheme="minorHAnsi" w:hAnsiTheme="minorHAnsi" w:cstheme="minorBidi"/>
            <w:b w:val="0"/>
            <w:bCs w:val="0"/>
            <w:sz w:val="22"/>
            <w:szCs w:val="22"/>
          </w:rPr>
          <w:tab/>
        </w:r>
        <w:r w:rsidR="00EF3234" w:rsidRPr="003165EC">
          <w:rPr>
            <w:rStyle w:val="Hyperlink"/>
            <w:rFonts w:hint="cs"/>
            <w:rtl/>
          </w:rPr>
          <w:t>أهمية</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cs="Calibri"/>
            <w:szCs w:val="21"/>
          </w:rPr>
          <w:fldChar w:fldCharType="begin"/>
        </w:r>
        <w:r w:rsidR="00EF3234" w:rsidRPr="007052FB">
          <w:rPr>
            <w:rFonts w:cs="Calibri"/>
            <w:webHidden/>
            <w:szCs w:val="21"/>
          </w:rPr>
          <w:instrText xml:space="preserve"> PAGEREF _Toc380496713 \h </w:instrText>
        </w:r>
        <w:r w:rsidR="00EF3234" w:rsidRPr="007052FB">
          <w:rPr>
            <w:rStyle w:val="Hyperlink"/>
            <w:rFonts w:cs="Calibri"/>
            <w:szCs w:val="21"/>
          </w:rPr>
        </w:r>
        <w:r w:rsidR="00EF3234" w:rsidRPr="007052FB">
          <w:rPr>
            <w:rStyle w:val="Hyperlink"/>
            <w:rFonts w:cs="Calibri"/>
            <w:szCs w:val="21"/>
          </w:rPr>
          <w:fldChar w:fldCharType="separate"/>
        </w:r>
        <w:r>
          <w:rPr>
            <w:rFonts w:cs="Times New Roman"/>
            <w:webHidden/>
            <w:szCs w:val="21"/>
            <w:rtl/>
          </w:rPr>
          <w:t>2</w:t>
        </w:r>
        <w:r w:rsidR="00EF3234" w:rsidRPr="007052FB">
          <w:rPr>
            <w:rStyle w:val="Hyperlink"/>
            <w:rFonts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14" w:history="1">
        <w:r w:rsidR="00EF3234" w:rsidRPr="003165EC">
          <w:rPr>
            <w:rStyle w:val="Hyperlink"/>
          </w:rPr>
          <w:t>1.1</w:t>
        </w:r>
        <w:r w:rsidR="00EF3234">
          <w:rPr>
            <w:rFonts w:asciiTheme="minorHAnsi" w:eastAsiaTheme="minorEastAsia" w:hAnsiTheme="minorHAnsi" w:cstheme="minorBidi"/>
            <w:sz w:val="22"/>
            <w:szCs w:val="22"/>
            <w:lang w:eastAsia="zh-CN"/>
          </w:rPr>
          <w:tab/>
        </w:r>
        <w:r w:rsidR="00EF3234" w:rsidRPr="003165EC">
          <w:rPr>
            <w:rStyle w:val="Hyperlink"/>
            <w:rFonts w:hint="cs"/>
            <w:rtl/>
          </w:rPr>
          <w:t>المنافع</w:t>
        </w:r>
        <w:r w:rsidR="00EF3234" w:rsidRPr="003165EC">
          <w:rPr>
            <w:rStyle w:val="Hyperlink"/>
            <w:rtl/>
          </w:rPr>
          <w:t xml:space="preserve"> </w:t>
        </w:r>
        <w:r w:rsidR="00EF3234" w:rsidRPr="003165EC">
          <w:rPr>
            <w:rStyle w:val="Hyperlink"/>
            <w:rFonts w:hint="cs"/>
            <w:rtl/>
          </w:rPr>
          <w:t>الاجتماعية</w:t>
        </w:r>
        <w:r w:rsidR="00EF3234" w:rsidRPr="003165EC">
          <w:rPr>
            <w:rStyle w:val="Hyperlink"/>
            <w:rtl/>
          </w:rPr>
          <w:t xml:space="preserve"> </w:t>
        </w:r>
        <w:r w:rsidR="00EF3234" w:rsidRPr="003165EC">
          <w:rPr>
            <w:rStyle w:val="Hyperlink"/>
            <w:rFonts w:hint="cs"/>
            <w:rtl/>
          </w:rPr>
          <w:t>والاقتصادية</w:t>
        </w:r>
        <w:r w:rsidR="00EF3234" w:rsidRPr="003165EC">
          <w:rPr>
            <w:rStyle w:val="Hyperlink"/>
            <w:rtl/>
          </w:rPr>
          <w:t xml:space="preserve"> </w:t>
        </w:r>
        <w:r w:rsidR="00EF3234" w:rsidRPr="003165EC">
          <w:rPr>
            <w:rStyle w:val="Hyperlink"/>
            <w:rFonts w:hint="cs"/>
            <w:rtl/>
          </w:rPr>
          <w:t>للنطاق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_Toc380496714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2</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15" w:history="1">
        <w:r w:rsidR="00EF3234" w:rsidRPr="003165EC">
          <w:rPr>
            <w:rStyle w:val="Hyperlink"/>
          </w:rPr>
          <w:t>2.1</w:t>
        </w:r>
        <w:r w:rsidR="00EF3234">
          <w:rPr>
            <w:rFonts w:asciiTheme="minorHAnsi" w:eastAsiaTheme="minorEastAsia" w:hAnsiTheme="minorHAnsi" w:cstheme="minorBidi"/>
            <w:sz w:val="22"/>
            <w:szCs w:val="22"/>
            <w:lang w:eastAsia="zh-CN"/>
          </w:rPr>
          <w:tab/>
        </w:r>
        <w:r w:rsidR="00EF3234" w:rsidRPr="003165EC">
          <w:rPr>
            <w:rStyle w:val="Hyperlink"/>
            <w:rFonts w:hint="cs"/>
            <w:rtl/>
          </w:rPr>
          <w:t>تطبيقات</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_Toc380496715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10</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16" w:history="1">
        <w:r w:rsidR="00EF3234" w:rsidRPr="003165EC">
          <w:rPr>
            <w:rStyle w:val="Hyperlink"/>
          </w:rPr>
          <w:t>3.1</w:t>
        </w:r>
        <w:r w:rsidR="00EF3234">
          <w:rPr>
            <w:rFonts w:asciiTheme="minorHAnsi" w:eastAsiaTheme="minorEastAsia" w:hAnsiTheme="minorHAnsi" w:cstheme="minorBidi"/>
            <w:sz w:val="22"/>
            <w:szCs w:val="22"/>
            <w:lang w:eastAsia="zh-CN"/>
          </w:rPr>
          <w:tab/>
        </w:r>
        <w:r w:rsidR="00EF3234" w:rsidRPr="003165EC">
          <w:rPr>
            <w:rStyle w:val="Hyperlink"/>
            <w:rFonts w:hint="cs"/>
            <w:rtl/>
          </w:rPr>
          <w:t>قضايا</w:t>
        </w:r>
        <w:r w:rsidR="00EF3234" w:rsidRPr="003165EC">
          <w:rPr>
            <w:rStyle w:val="Hyperlink"/>
            <w:rtl/>
          </w:rPr>
          <w:t xml:space="preserve"> </w:t>
        </w:r>
        <w:r w:rsidR="00EF3234" w:rsidRPr="003165EC">
          <w:rPr>
            <w:rStyle w:val="Hyperlink"/>
            <w:rFonts w:hint="cs"/>
            <w:rtl/>
          </w:rPr>
          <w:t>الجنسين</w:t>
        </w:r>
        <w:r w:rsidR="00EF3234" w:rsidRPr="003165EC">
          <w:rPr>
            <w:rStyle w:val="Hyperlink"/>
            <w:rtl/>
          </w:rPr>
          <w:t xml:space="preserve"> </w:t>
        </w:r>
        <w:r w:rsidR="00EF3234" w:rsidRPr="003165EC">
          <w:rPr>
            <w:rStyle w:val="Hyperlink"/>
            <w:rFonts w:hint="cs"/>
            <w:rtl/>
          </w:rPr>
          <w:t>التي</w:t>
        </w:r>
        <w:r w:rsidR="00EF3234" w:rsidRPr="003165EC">
          <w:rPr>
            <w:rStyle w:val="Hyperlink"/>
            <w:rtl/>
          </w:rPr>
          <w:t xml:space="preserve"> </w:t>
        </w:r>
        <w:r w:rsidR="00EF3234" w:rsidRPr="003165EC">
          <w:rPr>
            <w:rStyle w:val="Hyperlink"/>
            <w:rFonts w:hint="cs"/>
            <w:rtl/>
          </w:rPr>
          <w:t>تكتنف</w:t>
        </w:r>
        <w:r w:rsidR="00EF3234" w:rsidRPr="003165EC">
          <w:rPr>
            <w:rStyle w:val="Hyperlink"/>
            <w:rtl/>
          </w:rPr>
          <w:t xml:space="preserve"> </w:t>
        </w:r>
        <w:r w:rsidR="00EF3234" w:rsidRPr="003165EC">
          <w:rPr>
            <w:rStyle w:val="Hyperlink"/>
            <w:rFonts w:hint="cs"/>
            <w:rtl/>
          </w:rPr>
          <w:t>نشر</w:t>
        </w:r>
        <w:r w:rsidR="00EF3234" w:rsidRPr="003165EC">
          <w:rPr>
            <w:rStyle w:val="Hyperlink"/>
            <w:rtl/>
          </w:rPr>
          <w:t xml:space="preserve"> </w:t>
        </w:r>
        <w:r w:rsidR="00EF3234" w:rsidRPr="003165EC">
          <w:rPr>
            <w:rStyle w:val="Hyperlink"/>
            <w:rFonts w:hint="cs"/>
            <w:rtl/>
          </w:rPr>
          <w:t>تكنولوجيا</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_Toc380496716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12</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17" w:history="1">
        <w:r w:rsidR="00EF3234" w:rsidRPr="003165EC">
          <w:rPr>
            <w:rStyle w:val="Hyperlink"/>
          </w:rPr>
          <w:t>4.1</w:t>
        </w:r>
        <w:r w:rsidR="00EF3234">
          <w:rPr>
            <w:rFonts w:asciiTheme="minorHAnsi" w:eastAsiaTheme="minorEastAsia" w:hAnsiTheme="minorHAnsi" w:cstheme="minorBidi"/>
            <w:sz w:val="22"/>
            <w:szCs w:val="22"/>
            <w:lang w:eastAsia="zh-CN"/>
          </w:rPr>
          <w:tab/>
        </w:r>
        <w:r w:rsidR="00EF3234" w:rsidRPr="003165EC">
          <w:rPr>
            <w:rStyle w:val="Hyperlink"/>
            <w:rFonts w:hint="cs"/>
            <w:rtl/>
          </w:rPr>
          <w:t>نفاذ</w:t>
        </w:r>
        <w:r w:rsidR="00EF3234" w:rsidRPr="003165EC">
          <w:rPr>
            <w:rStyle w:val="Hyperlink"/>
            <w:rtl/>
          </w:rPr>
          <w:t xml:space="preserve"> </w:t>
        </w:r>
        <w:r w:rsidR="00EF3234" w:rsidRPr="003165EC">
          <w:rPr>
            <w:rStyle w:val="Hyperlink"/>
            <w:rFonts w:hint="cs"/>
            <w:rtl/>
          </w:rPr>
          <w:t>الأشخاص</w:t>
        </w:r>
        <w:r w:rsidR="00EF3234" w:rsidRPr="003165EC">
          <w:rPr>
            <w:rStyle w:val="Hyperlink"/>
            <w:rtl/>
          </w:rPr>
          <w:t xml:space="preserve"> </w:t>
        </w:r>
        <w:r w:rsidR="00EF3234" w:rsidRPr="003165EC">
          <w:rPr>
            <w:rStyle w:val="Hyperlink"/>
            <w:rFonts w:hint="cs"/>
            <w:rtl/>
          </w:rPr>
          <w:t>ذوي</w:t>
        </w:r>
        <w:r w:rsidR="00EF3234" w:rsidRPr="003165EC">
          <w:rPr>
            <w:rStyle w:val="Hyperlink"/>
            <w:rtl/>
          </w:rPr>
          <w:t xml:space="preserve"> </w:t>
        </w:r>
        <w:r w:rsidR="00EF3234" w:rsidRPr="003165EC">
          <w:rPr>
            <w:rStyle w:val="Hyperlink"/>
            <w:rFonts w:hint="cs"/>
            <w:rtl/>
          </w:rPr>
          <w:t>الإعاقة</w:t>
        </w:r>
        <w:r w:rsidR="00EF3234" w:rsidRPr="003165EC">
          <w:rPr>
            <w:rStyle w:val="Hyperlink"/>
            <w:rtl/>
          </w:rPr>
          <w:t xml:space="preserve"> </w:t>
        </w:r>
        <w:r w:rsidR="00EF3234" w:rsidRPr="003165EC">
          <w:rPr>
            <w:rStyle w:val="Hyperlink"/>
            <w:rFonts w:hint="cs"/>
            <w:rtl/>
          </w:rPr>
          <w:t>إلى</w:t>
        </w:r>
        <w:r w:rsidR="00EF3234" w:rsidRPr="003165EC">
          <w:rPr>
            <w:rStyle w:val="Hyperlink"/>
            <w:rtl/>
          </w:rPr>
          <w:t xml:space="preserve"> </w:t>
        </w:r>
        <w:r w:rsidR="00EF3234" w:rsidRPr="003165EC">
          <w:rPr>
            <w:rStyle w:val="Hyperlink"/>
            <w:rFonts w:hint="cs"/>
            <w:rtl/>
          </w:rPr>
          <w:t>خدمات</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_Toc380496717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13</w:t>
        </w:r>
        <w:r w:rsidR="00EF3234" w:rsidRPr="007052FB">
          <w:rPr>
            <w:rStyle w:val="Hyperlink"/>
            <w:rFonts w:eastAsiaTheme="minorEastAsia" w:cs="Calibri"/>
            <w:szCs w:val="21"/>
          </w:rPr>
          <w:fldChar w:fldCharType="end"/>
        </w:r>
      </w:hyperlink>
    </w:p>
    <w:p w:rsidR="00EF3234" w:rsidRDefault="00B56FF8" w:rsidP="00EF3234">
      <w:pPr>
        <w:pStyle w:val="TOC1"/>
        <w:rPr>
          <w:rFonts w:asciiTheme="minorHAnsi" w:hAnsiTheme="minorHAnsi" w:cstheme="minorBidi"/>
          <w:b w:val="0"/>
          <w:bCs w:val="0"/>
          <w:sz w:val="22"/>
          <w:szCs w:val="22"/>
        </w:rPr>
      </w:pPr>
      <w:hyperlink w:anchor="_Toc380496718" w:history="1">
        <w:r w:rsidR="00EF3234" w:rsidRPr="003165EC">
          <w:rPr>
            <w:rStyle w:val="Hyperlink"/>
          </w:rPr>
          <w:t>2</w:t>
        </w:r>
        <w:r w:rsidR="00EF3234">
          <w:rPr>
            <w:rFonts w:asciiTheme="minorHAnsi" w:hAnsiTheme="minorHAnsi" w:cstheme="minorBidi"/>
            <w:b w:val="0"/>
            <w:bCs w:val="0"/>
            <w:sz w:val="22"/>
            <w:szCs w:val="22"/>
          </w:rPr>
          <w:tab/>
        </w:r>
        <w:r w:rsidR="00EF3234" w:rsidRPr="003165EC">
          <w:rPr>
            <w:rStyle w:val="Hyperlink"/>
            <w:rFonts w:hint="cs"/>
            <w:rtl/>
          </w:rPr>
          <w:t>سياسة</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cs="Calibri"/>
            <w:szCs w:val="21"/>
          </w:rPr>
          <w:fldChar w:fldCharType="begin"/>
        </w:r>
        <w:r w:rsidR="00EF3234" w:rsidRPr="007052FB">
          <w:rPr>
            <w:rFonts w:cs="Calibri"/>
            <w:webHidden/>
            <w:szCs w:val="21"/>
          </w:rPr>
          <w:instrText xml:space="preserve"> PAGEREF _Toc380496718 \h </w:instrText>
        </w:r>
        <w:r w:rsidR="00EF3234" w:rsidRPr="007052FB">
          <w:rPr>
            <w:rStyle w:val="Hyperlink"/>
            <w:rFonts w:cs="Calibri"/>
            <w:szCs w:val="21"/>
          </w:rPr>
        </w:r>
        <w:r w:rsidR="00EF3234" w:rsidRPr="007052FB">
          <w:rPr>
            <w:rStyle w:val="Hyperlink"/>
            <w:rFonts w:cs="Calibri"/>
            <w:szCs w:val="21"/>
          </w:rPr>
          <w:fldChar w:fldCharType="separate"/>
        </w:r>
        <w:r>
          <w:rPr>
            <w:rFonts w:cs="Times New Roman"/>
            <w:webHidden/>
            <w:szCs w:val="21"/>
            <w:rtl/>
          </w:rPr>
          <w:t>13</w:t>
        </w:r>
        <w:r w:rsidR="00EF3234" w:rsidRPr="007052FB">
          <w:rPr>
            <w:rStyle w:val="Hyperlink"/>
            <w:rFonts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19" w:history="1">
        <w:r w:rsidR="00EF3234" w:rsidRPr="003165EC">
          <w:rPr>
            <w:rStyle w:val="Hyperlink"/>
          </w:rPr>
          <w:t>1.2</w:t>
        </w:r>
        <w:r w:rsidR="00EF3234">
          <w:rPr>
            <w:rFonts w:asciiTheme="minorHAnsi" w:eastAsiaTheme="minorEastAsia" w:hAnsiTheme="minorHAnsi" w:cstheme="minorBidi"/>
            <w:sz w:val="22"/>
            <w:szCs w:val="22"/>
            <w:lang w:eastAsia="zh-CN"/>
          </w:rPr>
          <w:tab/>
        </w:r>
        <w:r w:rsidR="00EF3234" w:rsidRPr="003165EC">
          <w:rPr>
            <w:rStyle w:val="Hyperlink"/>
            <w:rFonts w:hint="cs"/>
            <w:rtl/>
          </w:rPr>
          <w:t>استراتيجيات</w:t>
        </w:r>
        <w:r w:rsidR="00EF3234" w:rsidRPr="003165EC">
          <w:rPr>
            <w:rStyle w:val="Hyperlink"/>
            <w:rtl/>
          </w:rPr>
          <w:t xml:space="preserve"> </w:t>
        </w:r>
        <w:r w:rsidR="00EF3234" w:rsidRPr="003165EC">
          <w:rPr>
            <w:rStyle w:val="Hyperlink"/>
            <w:rFonts w:hint="cs"/>
            <w:rtl/>
          </w:rPr>
          <w:t>هيئة</w:t>
        </w:r>
        <w:r w:rsidR="00EF3234" w:rsidRPr="003165EC">
          <w:rPr>
            <w:rStyle w:val="Hyperlink"/>
            <w:rtl/>
          </w:rPr>
          <w:t xml:space="preserve"> </w:t>
        </w:r>
        <w:r w:rsidR="00EF3234" w:rsidRPr="003165EC">
          <w:rPr>
            <w:rStyle w:val="Hyperlink"/>
            <w:rFonts w:hint="cs"/>
            <w:rtl/>
          </w:rPr>
          <w:t>التنظيم</w:t>
        </w:r>
        <w:r w:rsidR="00EF3234" w:rsidRPr="003165EC">
          <w:rPr>
            <w:rStyle w:val="Hyperlink"/>
            <w:rtl/>
          </w:rPr>
          <w:t xml:space="preserve"> </w:t>
        </w:r>
        <w:r w:rsidR="00EF3234" w:rsidRPr="003165EC">
          <w:rPr>
            <w:rStyle w:val="Hyperlink"/>
            <w:rFonts w:hint="cs"/>
            <w:rtl/>
          </w:rPr>
          <w:t>لتسريع</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sidRPr="003165EC">
          <w:rPr>
            <w:rStyle w:val="Hyperlink"/>
            <w:rtl/>
          </w:rPr>
          <w:t xml:space="preserve"> (</w:t>
        </w:r>
        <w:r w:rsidR="00EF3234" w:rsidRPr="003165EC">
          <w:rPr>
            <w:rStyle w:val="Hyperlink"/>
            <w:rFonts w:hint="cs"/>
            <w:rtl/>
          </w:rPr>
          <w:t>أي</w:t>
        </w:r>
        <w:r w:rsidR="00EF3234" w:rsidRPr="003165EC">
          <w:rPr>
            <w:rStyle w:val="Hyperlink"/>
            <w:rtl/>
          </w:rPr>
          <w:t xml:space="preserve"> </w:t>
        </w:r>
        <w:r w:rsidR="00EF3234" w:rsidRPr="003165EC">
          <w:rPr>
            <w:rStyle w:val="Hyperlink"/>
            <w:rFonts w:hint="cs"/>
            <w:rtl/>
          </w:rPr>
          <w:t>خطط</w:t>
        </w:r>
        <w:r w:rsidR="00EF3234" w:rsidRPr="003165EC">
          <w:rPr>
            <w:rStyle w:val="Hyperlink"/>
            <w:rtl/>
          </w:rPr>
          <w:t xml:space="preserve"> </w:t>
        </w:r>
        <w:r w:rsidR="00EF3234" w:rsidRPr="003165EC">
          <w:rPr>
            <w:rStyle w:val="Hyperlink"/>
            <w:rFonts w:hint="cs"/>
            <w:rtl/>
          </w:rPr>
          <w:t>وطنية</w:t>
        </w:r>
        <w:r w:rsidR="00EF3234" w:rsidRPr="003165EC">
          <w:rPr>
            <w:rStyle w:val="Hyperlink"/>
            <w:rtl/>
          </w:rPr>
          <w:t xml:space="preserve"> </w:t>
        </w:r>
        <w:r w:rsidR="00EF3234" w:rsidRPr="003165EC">
          <w:rPr>
            <w:rStyle w:val="Hyperlink"/>
            <w:rFonts w:hint="cs"/>
            <w:rtl/>
          </w:rPr>
          <w:t>وصناديق</w:t>
        </w:r>
        <w:r w:rsidR="00EF3234" w:rsidRPr="003165EC">
          <w:rPr>
            <w:rStyle w:val="Hyperlink"/>
            <w:rtl/>
          </w:rPr>
          <w:t xml:space="preserve"> </w:t>
        </w:r>
        <w:r w:rsidR="00EF3234" w:rsidRPr="003165EC">
          <w:rPr>
            <w:rStyle w:val="Hyperlink"/>
            <w:rFonts w:hint="cs"/>
            <w:rtl/>
          </w:rPr>
          <w:t>الخدمة</w:t>
        </w:r>
        <w:r w:rsidR="00EF3234" w:rsidRPr="003165EC">
          <w:rPr>
            <w:rStyle w:val="Hyperlink"/>
            <w:rtl/>
          </w:rPr>
          <w:t xml:space="preserve"> </w:t>
        </w:r>
        <w:r w:rsidR="00EF3234" w:rsidRPr="003165EC">
          <w:rPr>
            <w:rStyle w:val="Hyperlink"/>
            <w:rFonts w:hint="cs"/>
            <w:rtl/>
          </w:rPr>
          <w:t>الشاملة</w:t>
        </w:r>
        <w:r w:rsidR="00EF3234" w:rsidRPr="003165EC">
          <w:rPr>
            <w:rStyle w:val="Hyperlink"/>
            <w:rtl/>
          </w:rPr>
          <w:t>)</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_Toc380496719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13</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20" w:history="1">
        <w:r w:rsidR="00EF3234" w:rsidRPr="003165EC">
          <w:rPr>
            <w:rStyle w:val="Hyperlink"/>
          </w:rPr>
          <w:t>1.1.2</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نشر</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_Toc380496720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15</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21" w:history="1">
        <w:r w:rsidR="00EF3234" w:rsidRPr="003165EC">
          <w:rPr>
            <w:rStyle w:val="Hyperlink"/>
          </w:rPr>
          <w:t>2.1.2</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اعتماد</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_Toc380496721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16</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22" w:history="1">
        <w:r w:rsidR="00EF3234" w:rsidRPr="003165EC">
          <w:rPr>
            <w:rStyle w:val="Hyperlink"/>
          </w:rPr>
          <w:t>3.1.2</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القياسات</w:t>
        </w:r>
        <w:r w:rsidR="00EF3234" w:rsidRPr="003165EC">
          <w:rPr>
            <w:rStyle w:val="Hyperlink"/>
            <w:rtl/>
          </w:rPr>
          <w:t xml:space="preserve"> </w:t>
        </w:r>
        <w:r w:rsidR="00EF3234" w:rsidRPr="003165EC">
          <w:rPr>
            <w:rStyle w:val="Hyperlink"/>
            <w:rFonts w:hint="cs"/>
            <w:rtl/>
          </w:rPr>
          <w:t>والإفصاح</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_Toc380496722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16</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23" w:history="1">
        <w:r w:rsidR="00EF3234" w:rsidRPr="003165EC">
          <w:rPr>
            <w:rStyle w:val="Hyperlink"/>
          </w:rPr>
          <w:t>4.1.2</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صناديق</w:t>
        </w:r>
        <w:r w:rsidR="00EF3234" w:rsidRPr="003165EC">
          <w:rPr>
            <w:rStyle w:val="Hyperlink"/>
            <w:rtl/>
          </w:rPr>
          <w:t xml:space="preserve"> </w:t>
        </w:r>
        <w:r w:rsidR="00EF3234" w:rsidRPr="003165EC">
          <w:rPr>
            <w:rStyle w:val="Hyperlink"/>
            <w:rFonts w:hint="cs"/>
            <w:rtl/>
          </w:rPr>
          <w:t>الخدمة</w:t>
        </w:r>
        <w:r w:rsidR="00EF3234" w:rsidRPr="003165EC">
          <w:rPr>
            <w:rStyle w:val="Hyperlink"/>
            <w:rtl/>
          </w:rPr>
          <w:t xml:space="preserve"> </w:t>
        </w:r>
        <w:r w:rsidR="00EF3234" w:rsidRPr="003165EC">
          <w:rPr>
            <w:rStyle w:val="Hyperlink"/>
            <w:rFonts w:hint="cs"/>
            <w:rtl/>
          </w:rPr>
          <w:t>الشاملة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_Toc380496723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17</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24" w:history="1">
        <w:r w:rsidR="00EF3234" w:rsidRPr="003165EC">
          <w:rPr>
            <w:rStyle w:val="Hyperlink"/>
          </w:rPr>
          <w:t>5.1.2</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الطيف</w:t>
        </w:r>
        <w:r w:rsidR="00EF3234" w:rsidRPr="003165EC">
          <w:rPr>
            <w:rStyle w:val="Hyperlink"/>
            <w:rtl/>
          </w:rPr>
          <w:t xml:space="preserve"> </w:t>
        </w:r>
        <w:r w:rsidR="00EF3234" w:rsidRPr="003165EC">
          <w:rPr>
            <w:rStyle w:val="Hyperlink"/>
            <w:rFonts w:hint="cs"/>
            <w:rtl/>
          </w:rPr>
          <w:t>الترددي</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_Toc380496724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18</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25" w:history="1">
        <w:r w:rsidR="00EF3234" w:rsidRPr="003165EC">
          <w:rPr>
            <w:rStyle w:val="Hyperlink"/>
          </w:rPr>
          <w:t>2.2</w:t>
        </w:r>
        <w:r w:rsidR="00EF3234">
          <w:rPr>
            <w:rFonts w:asciiTheme="minorHAnsi" w:eastAsiaTheme="minorEastAsia" w:hAnsiTheme="minorHAnsi" w:cstheme="minorBidi"/>
            <w:sz w:val="22"/>
            <w:szCs w:val="22"/>
            <w:lang w:eastAsia="zh-CN"/>
          </w:rPr>
          <w:tab/>
        </w:r>
        <w:r w:rsidR="00EF3234" w:rsidRPr="003165EC">
          <w:rPr>
            <w:rStyle w:val="Hyperlink"/>
            <w:rFonts w:hint="cs"/>
            <w:rtl/>
          </w:rPr>
          <w:t>المبادئ</w:t>
        </w:r>
        <w:r w:rsidR="00EF3234" w:rsidRPr="003165EC">
          <w:rPr>
            <w:rStyle w:val="Hyperlink"/>
            <w:rtl/>
          </w:rPr>
          <w:t xml:space="preserve"> </w:t>
        </w:r>
        <w:r w:rsidR="00EF3234" w:rsidRPr="003165EC">
          <w:rPr>
            <w:rStyle w:val="Hyperlink"/>
            <w:rFonts w:hint="cs"/>
            <w:rtl/>
          </w:rPr>
          <w:t>التوجيهية</w:t>
        </w:r>
        <w:r w:rsidR="00EF3234" w:rsidRPr="003165EC">
          <w:rPr>
            <w:rStyle w:val="Hyperlink"/>
            <w:rtl/>
          </w:rPr>
          <w:t xml:space="preserve"> </w:t>
        </w:r>
        <w:r w:rsidR="00EF3234" w:rsidRPr="003165EC">
          <w:rPr>
            <w:rStyle w:val="Hyperlink"/>
            <w:rFonts w:hint="cs"/>
            <w:rtl/>
          </w:rPr>
          <w:t>للممارسات</w:t>
        </w:r>
        <w:r w:rsidR="00EF3234" w:rsidRPr="003165EC">
          <w:rPr>
            <w:rStyle w:val="Hyperlink"/>
          </w:rPr>
          <w:t xml:space="preserve"> </w:t>
        </w:r>
        <w:r w:rsidR="00EF3234" w:rsidRPr="003165EC">
          <w:rPr>
            <w:rStyle w:val="Hyperlink"/>
            <w:rFonts w:hint="cs"/>
            <w:rtl/>
          </w:rPr>
          <w:t>الفضلى</w:t>
        </w:r>
        <w:r w:rsidR="00EF3234" w:rsidRPr="003165EC">
          <w:rPr>
            <w:rStyle w:val="Hyperlink"/>
            <w:rtl/>
          </w:rPr>
          <w:t xml:space="preserve"> </w:t>
        </w:r>
        <w:r w:rsidR="00EF3234" w:rsidRPr="003165EC">
          <w:rPr>
            <w:rStyle w:val="Hyperlink"/>
            <w:rFonts w:hint="cs"/>
            <w:rtl/>
          </w:rPr>
          <w:t>في</w:t>
        </w:r>
        <w:r w:rsidR="00EF3234" w:rsidRPr="003165EC">
          <w:rPr>
            <w:rStyle w:val="Hyperlink"/>
            <w:rtl/>
          </w:rPr>
          <w:t xml:space="preserve"> </w:t>
        </w:r>
        <w:r w:rsidR="00EF3234" w:rsidRPr="003165EC">
          <w:rPr>
            <w:rStyle w:val="Hyperlink"/>
            <w:rFonts w:hint="cs"/>
            <w:rtl/>
          </w:rPr>
          <w:t>تعزيز</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sidRPr="003165EC">
          <w:rPr>
            <w:rStyle w:val="Hyperlink"/>
            <w:rtl/>
          </w:rPr>
          <w:t xml:space="preserve"> </w:t>
        </w:r>
        <w:r w:rsidR="00EF3234" w:rsidRPr="003165EC">
          <w:rPr>
            <w:rStyle w:val="Hyperlink"/>
            <w:rFonts w:hint="cs"/>
            <w:rtl/>
          </w:rPr>
          <w:t>منخفض</w:t>
        </w:r>
        <w:r w:rsidR="00EF3234" w:rsidRPr="003165EC">
          <w:rPr>
            <w:rStyle w:val="Hyperlink"/>
            <w:rtl/>
          </w:rPr>
          <w:t xml:space="preserve"> </w:t>
        </w:r>
        <w:r w:rsidR="00EF3234" w:rsidRPr="003165EC">
          <w:rPr>
            <w:rStyle w:val="Hyperlink"/>
            <w:rFonts w:hint="cs"/>
            <w:rtl/>
          </w:rPr>
          <w:t>التكلفة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_Toc380496725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19</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26" w:history="1">
        <w:r w:rsidR="00EF3234" w:rsidRPr="003165EC">
          <w:rPr>
            <w:rStyle w:val="Hyperlink"/>
          </w:rPr>
          <w:t>3.2</w:t>
        </w:r>
        <w:r w:rsidR="00EF3234">
          <w:rPr>
            <w:rFonts w:asciiTheme="minorHAnsi" w:eastAsiaTheme="minorEastAsia" w:hAnsiTheme="minorHAnsi" w:cstheme="minorBidi"/>
            <w:sz w:val="22"/>
            <w:szCs w:val="22"/>
            <w:lang w:eastAsia="zh-CN"/>
          </w:rPr>
          <w:tab/>
        </w:r>
        <w:r w:rsidR="00EF3234" w:rsidRPr="003165EC">
          <w:rPr>
            <w:rStyle w:val="Hyperlink"/>
            <w:rFonts w:hint="cs"/>
            <w:rtl/>
          </w:rPr>
          <w:t>استراتيجيات</w:t>
        </w:r>
        <w:r w:rsidR="00EF3234" w:rsidRPr="003165EC">
          <w:rPr>
            <w:rStyle w:val="Hyperlink"/>
            <w:rtl/>
          </w:rPr>
          <w:t xml:space="preserve"> </w:t>
        </w:r>
        <w:r w:rsidR="00EF3234" w:rsidRPr="003165EC">
          <w:rPr>
            <w:rStyle w:val="Hyperlink"/>
            <w:rFonts w:hint="cs"/>
            <w:rtl/>
          </w:rPr>
          <w:t>المشغل</w:t>
        </w:r>
        <w:r w:rsidR="00EF3234" w:rsidRPr="003165EC">
          <w:rPr>
            <w:rStyle w:val="Hyperlink"/>
            <w:rtl/>
          </w:rPr>
          <w:t xml:space="preserve"> </w:t>
        </w:r>
        <w:r w:rsidR="00EF3234" w:rsidRPr="003165EC">
          <w:rPr>
            <w:rStyle w:val="Hyperlink"/>
            <w:rFonts w:hint="cs"/>
            <w:rtl/>
          </w:rPr>
          <w:t>لتعزيز</w:t>
        </w:r>
        <w:r w:rsidR="00EF3234" w:rsidRPr="003165EC">
          <w:rPr>
            <w:rStyle w:val="Hyperlink"/>
            <w:rtl/>
          </w:rPr>
          <w:t xml:space="preserve"> </w:t>
        </w:r>
        <w:r w:rsidR="00EF3234" w:rsidRPr="003165EC">
          <w:rPr>
            <w:rStyle w:val="Hyperlink"/>
            <w:rFonts w:hint="cs"/>
            <w:rtl/>
          </w:rPr>
          <w:t>نشر</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_Toc380496726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21</w:t>
        </w:r>
        <w:r w:rsidR="00EF3234" w:rsidRPr="007052FB">
          <w:rPr>
            <w:rStyle w:val="Hyperlink"/>
            <w:rFonts w:eastAsiaTheme="minorEastAsia" w:cs="Calibri"/>
            <w:szCs w:val="21"/>
          </w:rPr>
          <w:fldChar w:fldCharType="end"/>
        </w:r>
      </w:hyperlink>
    </w:p>
    <w:p w:rsidR="00EF3234" w:rsidRDefault="00B56FF8" w:rsidP="00EF3234">
      <w:pPr>
        <w:pStyle w:val="TOC1"/>
        <w:rPr>
          <w:rFonts w:asciiTheme="minorHAnsi" w:hAnsiTheme="minorHAnsi" w:cstheme="minorBidi"/>
          <w:b w:val="0"/>
          <w:bCs w:val="0"/>
          <w:sz w:val="22"/>
          <w:szCs w:val="22"/>
        </w:rPr>
      </w:pPr>
      <w:hyperlink w:anchor="_Toc380496727" w:history="1">
        <w:r w:rsidR="00EF3234" w:rsidRPr="003165EC">
          <w:rPr>
            <w:rStyle w:val="Hyperlink"/>
          </w:rPr>
          <w:t>3</w:t>
        </w:r>
        <w:r w:rsidR="00EF3234">
          <w:rPr>
            <w:rFonts w:asciiTheme="minorHAnsi" w:hAnsiTheme="minorHAnsi" w:cstheme="minorBidi"/>
            <w:b w:val="0"/>
            <w:bCs w:val="0"/>
            <w:sz w:val="22"/>
            <w:szCs w:val="22"/>
          </w:rPr>
          <w:tab/>
        </w:r>
        <w:r w:rsidR="00EF3234" w:rsidRPr="003165EC">
          <w:rPr>
            <w:rStyle w:val="Hyperlink"/>
            <w:rFonts w:hint="cs"/>
            <w:rtl/>
          </w:rPr>
          <w:t>تكنولوجيا</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Pr>
            <w:webHidden/>
          </w:rPr>
          <w:tab/>
        </w:r>
        <w:r w:rsidR="00EF3234">
          <w:rPr>
            <w:webHidden/>
          </w:rPr>
          <w:tab/>
        </w:r>
        <w:r w:rsidR="00EF3234" w:rsidRPr="007052FB">
          <w:rPr>
            <w:rStyle w:val="Hyperlink"/>
            <w:rFonts w:cs="Calibri"/>
            <w:szCs w:val="21"/>
          </w:rPr>
          <w:fldChar w:fldCharType="begin"/>
        </w:r>
        <w:r w:rsidR="00EF3234" w:rsidRPr="007052FB">
          <w:rPr>
            <w:rFonts w:cs="Calibri"/>
            <w:webHidden/>
            <w:szCs w:val="21"/>
          </w:rPr>
          <w:instrText xml:space="preserve"> PAGEREF _Toc380496727 \h </w:instrText>
        </w:r>
        <w:r w:rsidR="00EF3234" w:rsidRPr="007052FB">
          <w:rPr>
            <w:rStyle w:val="Hyperlink"/>
            <w:rFonts w:cs="Calibri"/>
            <w:szCs w:val="21"/>
          </w:rPr>
        </w:r>
        <w:r w:rsidR="00EF3234" w:rsidRPr="007052FB">
          <w:rPr>
            <w:rStyle w:val="Hyperlink"/>
            <w:rFonts w:cs="Calibri"/>
            <w:szCs w:val="21"/>
          </w:rPr>
          <w:fldChar w:fldCharType="separate"/>
        </w:r>
        <w:r>
          <w:rPr>
            <w:rFonts w:cs="Times New Roman"/>
            <w:webHidden/>
            <w:szCs w:val="21"/>
            <w:rtl/>
          </w:rPr>
          <w:t>23</w:t>
        </w:r>
        <w:r w:rsidR="00EF3234" w:rsidRPr="007052FB">
          <w:rPr>
            <w:rStyle w:val="Hyperlink"/>
            <w:rFonts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28" w:history="1">
        <w:r w:rsidR="00EF3234" w:rsidRPr="003165EC">
          <w:rPr>
            <w:rStyle w:val="Hyperlink"/>
          </w:rPr>
          <w:t>1.3</w:t>
        </w:r>
        <w:r w:rsidR="00EF3234">
          <w:rPr>
            <w:rFonts w:asciiTheme="minorHAnsi" w:eastAsiaTheme="minorEastAsia" w:hAnsiTheme="minorHAnsi" w:cstheme="minorBidi"/>
            <w:sz w:val="22"/>
            <w:szCs w:val="22"/>
            <w:lang w:eastAsia="zh-CN"/>
          </w:rPr>
          <w:tab/>
        </w:r>
        <w:r w:rsidR="00EF3234" w:rsidRPr="003165EC">
          <w:rPr>
            <w:rStyle w:val="Hyperlink"/>
            <w:rFonts w:hint="cs"/>
            <w:rtl/>
          </w:rPr>
          <w:t>اعتبارات</w:t>
        </w:r>
        <w:r w:rsidR="00EF3234" w:rsidRPr="003165EC">
          <w:rPr>
            <w:rStyle w:val="Hyperlink"/>
            <w:rtl/>
          </w:rPr>
          <w:t xml:space="preserve"> </w:t>
        </w:r>
        <w:r w:rsidR="00EF3234" w:rsidRPr="003165EC">
          <w:rPr>
            <w:rStyle w:val="Hyperlink"/>
            <w:rFonts w:hint="cs"/>
            <w:rtl/>
          </w:rPr>
          <w:t>النشر</w:t>
        </w:r>
        <w:r w:rsidR="00EF3234" w:rsidRPr="003165EC">
          <w:rPr>
            <w:rStyle w:val="Hyperlink"/>
            <w:rtl/>
          </w:rPr>
          <w:t xml:space="preserve">: </w:t>
        </w:r>
        <w:r w:rsidR="00EF3234" w:rsidRPr="003165EC">
          <w:rPr>
            <w:rStyle w:val="Hyperlink"/>
            <w:rFonts w:hint="cs"/>
            <w:rtl/>
          </w:rPr>
          <w:t>السلكي</w:t>
        </w:r>
        <w:r w:rsidR="00EF3234" w:rsidRPr="003165EC">
          <w:rPr>
            <w:rStyle w:val="Hyperlink"/>
            <w:rtl/>
          </w:rPr>
          <w:t xml:space="preserve"> </w:t>
        </w:r>
        <w:r w:rsidR="00EF3234" w:rsidRPr="003165EC">
          <w:rPr>
            <w:rStyle w:val="Hyperlink"/>
            <w:rFonts w:hint="cs"/>
            <w:rtl/>
          </w:rPr>
          <w:t>مقابل</w:t>
        </w:r>
        <w:r w:rsidR="00EF3234" w:rsidRPr="003165EC">
          <w:rPr>
            <w:rStyle w:val="Hyperlink"/>
            <w:rtl/>
          </w:rPr>
          <w:t xml:space="preserve"> </w:t>
        </w:r>
        <w:r w:rsidR="00EF3234" w:rsidRPr="003165EC">
          <w:rPr>
            <w:rStyle w:val="Hyperlink"/>
            <w:rFonts w:hint="cs"/>
            <w:rtl/>
          </w:rPr>
          <w:t>اللاسلكي</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_Toc380496728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23</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29" w:history="1">
        <w:r w:rsidR="00EF3234" w:rsidRPr="003165EC">
          <w:rPr>
            <w:rStyle w:val="Hyperlink"/>
          </w:rPr>
          <w:t>2.3</w:t>
        </w:r>
        <w:r w:rsidR="00EF3234">
          <w:rPr>
            <w:rFonts w:asciiTheme="minorHAnsi" w:eastAsiaTheme="minorEastAsia" w:hAnsiTheme="minorHAnsi" w:cstheme="minorBidi"/>
            <w:sz w:val="22"/>
            <w:szCs w:val="22"/>
            <w:lang w:eastAsia="zh-CN"/>
          </w:rPr>
          <w:tab/>
        </w:r>
        <w:r w:rsidR="00EF3234" w:rsidRPr="003165EC">
          <w:rPr>
            <w:rStyle w:val="Hyperlink"/>
            <w:rFonts w:hint="cs"/>
            <w:rtl/>
          </w:rPr>
          <w:t>التدابير</w:t>
        </w:r>
        <w:r w:rsidR="00EF3234" w:rsidRPr="003165EC">
          <w:rPr>
            <w:rStyle w:val="Hyperlink"/>
            <w:rtl/>
          </w:rPr>
          <w:t xml:space="preserve"> </w:t>
        </w:r>
        <w:r w:rsidR="00EF3234" w:rsidRPr="003165EC">
          <w:rPr>
            <w:rStyle w:val="Hyperlink"/>
            <w:rFonts w:hint="cs"/>
            <w:rtl/>
          </w:rPr>
          <w:t>التقنية</w:t>
        </w:r>
        <w:r w:rsidR="00EF3234" w:rsidRPr="003165EC">
          <w:rPr>
            <w:rStyle w:val="Hyperlink"/>
            <w:rtl/>
          </w:rPr>
          <w:t xml:space="preserve"> </w:t>
        </w:r>
        <w:r w:rsidR="00EF3234" w:rsidRPr="003165EC">
          <w:rPr>
            <w:rStyle w:val="Hyperlink"/>
            <w:rFonts w:hint="cs"/>
            <w:rtl/>
          </w:rPr>
          <w:t>من</w:t>
        </w:r>
        <w:r w:rsidR="00EF3234" w:rsidRPr="003165EC">
          <w:rPr>
            <w:rStyle w:val="Hyperlink"/>
            <w:rtl/>
          </w:rPr>
          <w:t xml:space="preserve"> </w:t>
        </w:r>
        <w:r w:rsidR="00EF3234" w:rsidRPr="003165EC">
          <w:rPr>
            <w:rStyle w:val="Hyperlink"/>
            <w:rFonts w:hint="cs"/>
            <w:rtl/>
          </w:rPr>
          <w:t>أجل</w:t>
        </w:r>
        <w:r w:rsidR="00EF3234" w:rsidRPr="003165EC">
          <w:rPr>
            <w:rStyle w:val="Hyperlink"/>
            <w:rtl/>
          </w:rPr>
          <w:t xml:space="preserve"> </w:t>
        </w:r>
        <w:r w:rsidR="00EF3234" w:rsidRPr="003165EC">
          <w:rPr>
            <w:rStyle w:val="Hyperlink"/>
            <w:rFonts w:hint="cs"/>
            <w:rtl/>
          </w:rPr>
          <w:t>الاستخدام</w:t>
        </w:r>
        <w:r w:rsidR="00EF3234" w:rsidRPr="003165EC">
          <w:rPr>
            <w:rStyle w:val="Hyperlink"/>
            <w:rtl/>
          </w:rPr>
          <w:t xml:space="preserve"> </w:t>
        </w:r>
        <w:r w:rsidR="00EF3234" w:rsidRPr="003165EC">
          <w:rPr>
            <w:rStyle w:val="Hyperlink"/>
            <w:rFonts w:hint="cs"/>
            <w:rtl/>
          </w:rPr>
          <w:t>الفعال</w:t>
        </w:r>
        <w:r w:rsidR="00EF3234" w:rsidRPr="003165EC">
          <w:rPr>
            <w:rStyle w:val="Hyperlink"/>
            <w:rtl/>
          </w:rPr>
          <w:t xml:space="preserve"> </w:t>
        </w:r>
        <w:r w:rsidR="00EF3234" w:rsidRPr="003165EC">
          <w:rPr>
            <w:rStyle w:val="Hyperlink"/>
            <w:rFonts w:hint="cs"/>
            <w:rtl/>
          </w:rPr>
          <w:t>للاتصالات</w:t>
        </w:r>
        <w:r w:rsidR="00EF3234" w:rsidRPr="003165EC">
          <w:rPr>
            <w:rStyle w:val="Hyperlink"/>
            <w:rtl/>
          </w:rPr>
          <w:t xml:space="preserve"> </w:t>
        </w:r>
        <w:r w:rsidR="00EF3234" w:rsidRPr="003165EC">
          <w:rPr>
            <w:rStyle w:val="Hyperlink"/>
            <w:rFonts w:hint="cs"/>
            <w:rtl/>
          </w:rPr>
          <w:t>اللاسلكية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_Toc380496729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26</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30" w:history="1">
        <w:r w:rsidR="00EF3234" w:rsidRPr="003165EC">
          <w:rPr>
            <w:rStyle w:val="Hyperlink"/>
          </w:rPr>
          <w:t>3.3</w:t>
        </w:r>
        <w:r w:rsidR="00EF3234">
          <w:rPr>
            <w:rFonts w:asciiTheme="minorHAnsi" w:eastAsiaTheme="minorEastAsia" w:hAnsiTheme="minorHAnsi" w:cstheme="minorBidi"/>
            <w:sz w:val="22"/>
            <w:szCs w:val="22"/>
            <w:lang w:eastAsia="zh-CN"/>
          </w:rPr>
          <w:tab/>
        </w:r>
        <w:r w:rsidR="00EF3234" w:rsidRPr="003165EC">
          <w:rPr>
            <w:rStyle w:val="Hyperlink"/>
            <w:rFonts w:hint="cs"/>
            <w:rtl/>
          </w:rPr>
          <w:t>تكنولوجيات</w:t>
        </w:r>
        <w:r w:rsidR="00EF3234" w:rsidRPr="003165EC">
          <w:rPr>
            <w:rStyle w:val="Hyperlink"/>
            <w:rtl/>
          </w:rPr>
          <w:t xml:space="preserve"> </w:t>
        </w:r>
        <w:r w:rsidR="00EF3234" w:rsidRPr="003165EC">
          <w:rPr>
            <w:rStyle w:val="Hyperlink"/>
            <w:rFonts w:hint="cs"/>
            <w:rtl/>
          </w:rPr>
          <w:t>النفاذ</w:t>
        </w:r>
        <w:r w:rsidR="00EF3234" w:rsidRPr="003165EC">
          <w:rPr>
            <w:rStyle w:val="Hyperlink"/>
            <w:rtl/>
          </w:rPr>
          <w:t xml:space="preserve"> </w:t>
        </w:r>
        <w:r w:rsidR="00EF3234" w:rsidRPr="003165EC">
          <w:rPr>
            <w:rStyle w:val="Hyperlink"/>
            <w:rFonts w:hint="cs"/>
            <w:rtl/>
          </w:rPr>
          <w:t>عريض</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السلكي</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_Toc380496730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28</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31" w:history="1">
        <w:r w:rsidR="00EF3234" w:rsidRPr="003165EC">
          <w:rPr>
            <w:rStyle w:val="Hyperlink"/>
          </w:rPr>
          <w:t>4.3</w:t>
        </w:r>
        <w:r w:rsidR="00EF3234">
          <w:rPr>
            <w:rFonts w:asciiTheme="minorHAnsi" w:eastAsiaTheme="minorEastAsia" w:hAnsiTheme="minorHAnsi" w:cstheme="minorBidi"/>
            <w:sz w:val="22"/>
            <w:szCs w:val="22"/>
            <w:lang w:eastAsia="zh-CN"/>
          </w:rPr>
          <w:tab/>
        </w:r>
        <w:r w:rsidR="00EF3234" w:rsidRPr="003165EC">
          <w:rPr>
            <w:rStyle w:val="Hyperlink"/>
            <w:rFonts w:hint="cs"/>
            <w:rtl/>
          </w:rPr>
          <w:t>تكنولوجيات</w:t>
        </w:r>
        <w:r w:rsidR="00EF3234" w:rsidRPr="003165EC">
          <w:rPr>
            <w:rStyle w:val="Hyperlink"/>
            <w:rtl/>
          </w:rPr>
          <w:t xml:space="preserve"> </w:t>
        </w:r>
        <w:r w:rsidR="00EF3234" w:rsidRPr="003165EC">
          <w:rPr>
            <w:rStyle w:val="Hyperlink"/>
            <w:rFonts w:hint="cs"/>
            <w:rtl/>
          </w:rPr>
          <w:t>النفاذ</w:t>
        </w:r>
        <w:r w:rsidR="00EF3234" w:rsidRPr="003165EC">
          <w:rPr>
            <w:rStyle w:val="Hyperlink"/>
            <w:rtl/>
          </w:rPr>
          <w:t xml:space="preserve"> </w:t>
        </w:r>
        <w:r w:rsidR="00EF3234" w:rsidRPr="003165EC">
          <w:rPr>
            <w:rStyle w:val="Hyperlink"/>
            <w:rFonts w:hint="cs"/>
            <w:rtl/>
          </w:rPr>
          <w:t>عريض</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اللاسلكية،</w:t>
        </w:r>
        <w:r w:rsidR="00EF3234" w:rsidRPr="003165EC">
          <w:rPr>
            <w:rStyle w:val="Hyperlink"/>
            <w:rtl/>
          </w:rPr>
          <w:t xml:space="preserve"> </w:t>
        </w:r>
        <w:r w:rsidR="00EF3234" w:rsidRPr="003165EC">
          <w:rPr>
            <w:rStyle w:val="Hyperlink"/>
            <w:rFonts w:hint="cs"/>
            <w:rtl/>
          </w:rPr>
          <w:t>بما</w:t>
        </w:r>
        <w:r w:rsidR="00EF3234" w:rsidRPr="003165EC">
          <w:rPr>
            <w:rStyle w:val="Hyperlink"/>
            <w:rtl/>
          </w:rPr>
          <w:t xml:space="preserve"> </w:t>
        </w:r>
        <w:r w:rsidR="00EF3234" w:rsidRPr="003165EC">
          <w:rPr>
            <w:rStyle w:val="Hyperlink"/>
            <w:rFonts w:hint="cs"/>
            <w:rtl/>
          </w:rPr>
          <w:t>فيها</w:t>
        </w:r>
        <w:r w:rsidR="00EF3234" w:rsidRPr="003165EC">
          <w:rPr>
            <w:rStyle w:val="Hyperlink"/>
            <w:rtl/>
          </w:rPr>
          <w:t xml:space="preserve"> </w:t>
        </w:r>
        <w:r w:rsidR="00EF3234" w:rsidRPr="003165EC">
          <w:rPr>
            <w:rStyle w:val="Hyperlink"/>
            <w:rFonts w:hint="cs"/>
            <w:rtl/>
          </w:rPr>
          <w:t>الاتصالات</w:t>
        </w:r>
        <w:r w:rsidR="00EF3234" w:rsidRPr="003165EC">
          <w:rPr>
            <w:rStyle w:val="Hyperlink"/>
            <w:rtl/>
          </w:rPr>
          <w:t xml:space="preserve"> </w:t>
        </w:r>
        <w:r w:rsidR="00EF3234" w:rsidRPr="003165EC">
          <w:rPr>
            <w:rStyle w:val="Hyperlink"/>
            <w:rFonts w:hint="cs"/>
            <w:rtl/>
          </w:rPr>
          <w:t>المتنقلة</w:t>
        </w:r>
        <w:r w:rsidR="00EF3234" w:rsidRPr="003165EC">
          <w:rPr>
            <w:rStyle w:val="Hyperlink"/>
            <w:rtl/>
          </w:rPr>
          <w:t xml:space="preserve"> </w:t>
        </w:r>
        <w:r w:rsidR="00EF3234" w:rsidRPr="003165EC">
          <w:rPr>
            <w:rStyle w:val="Hyperlink"/>
            <w:rFonts w:hint="cs"/>
            <w:rtl/>
          </w:rPr>
          <w:t>الدولية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_Toc380496731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33</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32" w:history="1">
        <w:r w:rsidR="00EF3234" w:rsidRPr="003165EC">
          <w:rPr>
            <w:rStyle w:val="Hyperlink"/>
          </w:rPr>
          <w:t>5.3</w:t>
        </w:r>
        <w:r w:rsidR="00EF3234">
          <w:rPr>
            <w:rFonts w:asciiTheme="minorHAnsi" w:eastAsiaTheme="minorEastAsia" w:hAnsiTheme="minorHAnsi" w:cstheme="minorBidi"/>
            <w:sz w:val="22"/>
            <w:szCs w:val="22"/>
            <w:lang w:eastAsia="zh-CN"/>
          </w:rPr>
          <w:tab/>
        </w:r>
        <w:r w:rsidR="00EF3234" w:rsidRPr="003165EC">
          <w:rPr>
            <w:rStyle w:val="Hyperlink"/>
            <w:rFonts w:hint="cs"/>
            <w:rtl/>
          </w:rPr>
          <w:t>تقنيات</w:t>
        </w:r>
        <w:r w:rsidR="00EF3234" w:rsidRPr="003165EC">
          <w:rPr>
            <w:rStyle w:val="Hyperlink"/>
            <w:rtl/>
          </w:rPr>
          <w:t xml:space="preserve"> </w:t>
        </w:r>
        <w:r w:rsidR="00EF3234" w:rsidRPr="003165EC">
          <w:rPr>
            <w:rStyle w:val="Hyperlink"/>
            <w:rFonts w:hint="cs"/>
            <w:rtl/>
          </w:rPr>
          <w:t>وحلول</w:t>
        </w:r>
        <w:r w:rsidR="00EF3234" w:rsidRPr="003165EC">
          <w:rPr>
            <w:rStyle w:val="Hyperlink"/>
            <w:rtl/>
          </w:rPr>
          <w:t xml:space="preserve"> </w:t>
        </w:r>
        <w:r w:rsidR="00EF3234" w:rsidRPr="003165EC">
          <w:rPr>
            <w:rStyle w:val="Hyperlink"/>
            <w:rFonts w:hint="cs"/>
            <w:rtl/>
          </w:rPr>
          <w:t>النفاذ</w:t>
        </w:r>
        <w:r w:rsidR="00EF3234" w:rsidRPr="003165EC">
          <w:rPr>
            <w:rStyle w:val="Hyperlink"/>
            <w:rtl/>
          </w:rPr>
          <w:t xml:space="preserve"> </w:t>
        </w:r>
        <w:r w:rsidR="00EF3234" w:rsidRPr="003165EC">
          <w:rPr>
            <w:rStyle w:val="Hyperlink"/>
            <w:rFonts w:hint="cs"/>
            <w:rtl/>
          </w:rPr>
          <w:t>عريض</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الساتلي</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_Toc380496732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36</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33" w:history="1">
        <w:r w:rsidR="00EF3234" w:rsidRPr="003165EC">
          <w:rPr>
            <w:rStyle w:val="Hyperlink"/>
          </w:rPr>
          <w:t>1.5.3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لمحة</w:t>
        </w:r>
        <w:r w:rsidR="00EF3234" w:rsidRPr="003165EC">
          <w:rPr>
            <w:rStyle w:val="Hyperlink"/>
            <w:rtl/>
          </w:rPr>
          <w:t xml:space="preserve"> </w:t>
        </w:r>
        <w:r w:rsidR="00EF3234" w:rsidRPr="003165EC">
          <w:rPr>
            <w:rStyle w:val="Hyperlink"/>
            <w:rFonts w:hint="cs"/>
            <w:rtl/>
          </w:rPr>
          <w:t>عامة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_Toc380496733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36</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34" w:history="1">
        <w:r w:rsidR="00EF3234" w:rsidRPr="003165EC">
          <w:rPr>
            <w:rStyle w:val="Hyperlink"/>
          </w:rPr>
          <w:t>2.5.3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قدرات</w:t>
        </w:r>
        <w:r w:rsidR="00EF3234" w:rsidRPr="003165EC">
          <w:rPr>
            <w:rStyle w:val="Hyperlink"/>
            <w:rtl/>
          </w:rPr>
          <w:t xml:space="preserve"> </w:t>
        </w:r>
        <w:r w:rsidR="00EF3234" w:rsidRPr="003165EC">
          <w:rPr>
            <w:rStyle w:val="Hyperlink"/>
            <w:rFonts w:hint="cs"/>
            <w:rtl/>
          </w:rPr>
          <w:t>وخصائص</w:t>
        </w:r>
        <w:r w:rsidR="00EF3234" w:rsidRPr="003165EC">
          <w:rPr>
            <w:rStyle w:val="Hyperlink"/>
            <w:rtl/>
          </w:rPr>
          <w:t xml:space="preserve"> </w:t>
        </w:r>
        <w:r w:rsidR="00EF3234" w:rsidRPr="003165EC">
          <w:rPr>
            <w:rStyle w:val="Hyperlink"/>
            <w:rFonts w:hint="cs"/>
            <w:rtl/>
          </w:rPr>
          <w:t>النطاق</w:t>
        </w:r>
        <w:r w:rsidR="00EF3234" w:rsidRPr="003165EC">
          <w:rPr>
            <w:rStyle w:val="Hyperlink"/>
            <w:rtl/>
          </w:rPr>
          <w:t xml:space="preserve"> </w:t>
        </w:r>
        <w:r w:rsidR="00EF3234" w:rsidRPr="003165EC">
          <w:rPr>
            <w:rStyle w:val="Hyperlink"/>
            <w:rFonts w:hint="cs"/>
            <w:rtl/>
          </w:rPr>
          <w:t>العريض</w:t>
        </w:r>
        <w:r w:rsidR="00EF3234" w:rsidRPr="003165EC">
          <w:rPr>
            <w:rStyle w:val="Hyperlink"/>
            <w:rtl/>
          </w:rPr>
          <w:t xml:space="preserve"> </w:t>
        </w:r>
        <w:r w:rsidR="00EF3234" w:rsidRPr="003165EC">
          <w:rPr>
            <w:rStyle w:val="Hyperlink"/>
            <w:rFonts w:hint="cs"/>
            <w:rtl/>
          </w:rPr>
          <w:t>الساتلي</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_Toc380496734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36</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35" w:history="1">
        <w:r w:rsidR="00EF3234" w:rsidRPr="003165EC">
          <w:rPr>
            <w:rStyle w:val="Hyperlink"/>
          </w:rPr>
          <w:t>3.5.3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خصائص</w:t>
        </w:r>
        <w:r w:rsidR="00EF3234" w:rsidRPr="003165EC">
          <w:rPr>
            <w:rStyle w:val="Hyperlink"/>
            <w:rtl/>
          </w:rPr>
          <w:t xml:space="preserve"> </w:t>
        </w:r>
        <w:r w:rsidR="00EF3234" w:rsidRPr="003165EC">
          <w:rPr>
            <w:rStyle w:val="Hyperlink"/>
            <w:rFonts w:hint="cs"/>
            <w:rtl/>
          </w:rPr>
          <w:t>كوكبة</w:t>
        </w:r>
        <w:r w:rsidR="00EF3234" w:rsidRPr="003165EC">
          <w:rPr>
            <w:rStyle w:val="Hyperlink"/>
            <w:rtl/>
          </w:rPr>
          <w:t xml:space="preserve"> </w:t>
        </w:r>
        <w:r w:rsidR="00EF3234" w:rsidRPr="003165EC">
          <w:rPr>
            <w:rStyle w:val="Hyperlink"/>
            <w:rFonts w:hint="cs"/>
            <w:rtl/>
          </w:rPr>
          <w:t>السواتل</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_Toc380496735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37</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36" w:history="1">
        <w:r w:rsidR="00EF3234" w:rsidRPr="003165EC">
          <w:rPr>
            <w:rStyle w:val="Hyperlink"/>
          </w:rPr>
          <w:t>4.5.3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خيارات</w:t>
        </w:r>
        <w:r w:rsidR="00EF3234" w:rsidRPr="003165EC">
          <w:rPr>
            <w:rStyle w:val="Hyperlink"/>
            <w:rtl/>
          </w:rPr>
          <w:t xml:space="preserve"> </w:t>
        </w:r>
        <w:r w:rsidR="00EF3234" w:rsidRPr="003165EC">
          <w:rPr>
            <w:rStyle w:val="Hyperlink"/>
            <w:rFonts w:hint="cs"/>
            <w:rtl/>
          </w:rPr>
          <w:t>واعتبارات</w:t>
        </w:r>
        <w:r w:rsidR="00EF3234" w:rsidRPr="003165EC">
          <w:rPr>
            <w:rStyle w:val="Hyperlink"/>
            <w:rtl/>
          </w:rPr>
          <w:t xml:space="preserve"> </w:t>
        </w:r>
        <w:r w:rsidR="00EF3234" w:rsidRPr="003165EC">
          <w:rPr>
            <w:rStyle w:val="Hyperlink"/>
            <w:rFonts w:hint="cs"/>
            <w:rtl/>
          </w:rPr>
          <w:t>النظام</w:t>
        </w:r>
        <w:r w:rsidR="00EF3234" w:rsidRPr="003165EC">
          <w:rPr>
            <w:rStyle w:val="Hyperlink"/>
            <w:rtl/>
          </w:rPr>
          <w:t xml:space="preserve"> </w:t>
        </w:r>
        <w:r w:rsidR="00EF3234" w:rsidRPr="003165EC">
          <w:rPr>
            <w:rStyle w:val="Hyperlink"/>
            <w:rFonts w:hint="cs"/>
            <w:rtl/>
          </w:rPr>
          <w:t>والنشر</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_Toc380496736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41</w:t>
        </w:r>
        <w:r w:rsidR="00EF3234" w:rsidRPr="007052FB">
          <w:rPr>
            <w:rStyle w:val="Hyperlink"/>
            <w:rFonts w:eastAsiaTheme="minorEastAsia" w:cs="Calibri"/>
            <w:szCs w:val="21"/>
          </w:rPr>
          <w:fldChar w:fldCharType="end"/>
        </w:r>
      </w:hyperlink>
    </w:p>
    <w:p w:rsidR="00EF3234" w:rsidRDefault="00B56FF8" w:rsidP="00EF3234">
      <w:pPr>
        <w:pStyle w:val="TOC2"/>
        <w:rPr>
          <w:rFonts w:asciiTheme="minorHAnsi" w:eastAsiaTheme="minorEastAsia" w:hAnsiTheme="minorHAnsi" w:cstheme="minorBidi"/>
          <w:sz w:val="22"/>
          <w:szCs w:val="22"/>
          <w:lang w:eastAsia="zh-CN"/>
        </w:rPr>
      </w:pPr>
      <w:hyperlink w:anchor="_Toc380496737" w:history="1">
        <w:r w:rsidR="00EF3234" w:rsidRPr="003165EC">
          <w:rPr>
            <w:rStyle w:val="Hyperlink"/>
          </w:rPr>
          <w:t>6.3</w:t>
        </w:r>
        <w:r w:rsidR="00EF3234">
          <w:rPr>
            <w:rFonts w:asciiTheme="minorHAnsi" w:eastAsiaTheme="minorEastAsia" w:hAnsiTheme="minorHAnsi" w:cstheme="minorBidi"/>
            <w:sz w:val="22"/>
            <w:szCs w:val="22"/>
            <w:lang w:eastAsia="zh-CN"/>
          </w:rPr>
          <w:tab/>
        </w:r>
        <w:r w:rsidR="00EF3234" w:rsidRPr="003165EC">
          <w:rPr>
            <w:rStyle w:val="Hyperlink"/>
            <w:rFonts w:hint="cs"/>
            <w:rtl/>
          </w:rPr>
          <w:t>الوصلات</w:t>
        </w:r>
        <w:r w:rsidR="00EF3234" w:rsidRPr="003165EC">
          <w:rPr>
            <w:rStyle w:val="Hyperlink"/>
            <w:rtl/>
          </w:rPr>
          <w:t xml:space="preserve"> </w:t>
        </w:r>
        <w:r w:rsidR="00EF3234" w:rsidRPr="003165EC">
          <w:rPr>
            <w:rStyle w:val="Hyperlink"/>
            <w:rFonts w:hint="cs"/>
            <w:rtl/>
          </w:rPr>
          <w:t>الوسيطة</w:t>
        </w:r>
        <w:r w:rsidR="00EF3234" w:rsidRPr="003165EC">
          <w:rPr>
            <w:rStyle w:val="Hyperlink"/>
            <w:rtl/>
          </w:rPr>
          <w:t xml:space="preserve"> </w:t>
        </w:r>
        <w:r w:rsidR="00EF3234" w:rsidRPr="003165EC">
          <w:rPr>
            <w:rStyle w:val="Hyperlink"/>
            <w:rFonts w:hint="cs"/>
            <w:rtl/>
          </w:rPr>
          <w:t>للنفاذ</w:t>
        </w:r>
        <w:r w:rsidR="00EF3234" w:rsidRPr="003165EC">
          <w:rPr>
            <w:rStyle w:val="Hyperlink"/>
            <w:rtl/>
          </w:rPr>
          <w:t xml:space="preserve"> </w:t>
        </w:r>
        <w:r w:rsidR="00EF3234" w:rsidRPr="003165EC">
          <w:rPr>
            <w:rStyle w:val="Hyperlink"/>
            <w:rFonts w:hint="cs"/>
            <w:rtl/>
          </w:rPr>
          <w:t>عريض</w:t>
        </w:r>
        <w:r w:rsidR="00EF3234" w:rsidRPr="003165EC">
          <w:rPr>
            <w:rStyle w:val="Hyperlink"/>
            <w:rtl/>
          </w:rPr>
          <w:t xml:space="preserve"> </w:t>
        </w:r>
        <w:r w:rsidR="00EF3234" w:rsidRPr="003165EC">
          <w:rPr>
            <w:rStyle w:val="Hyperlink"/>
            <w:rFonts w:hint="cs"/>
            <w:rtl/>
          </w:rPr>
          <w:t>النطاق</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_Toc380496737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43</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38" w:history="1">
        <w:r w:rsidR="00EF3234" w:rsidRPr="003165EC">
          <w:rPr>
            <w:rStyle w:val="Hyperlink"/>
          </w:rPr>
          <w:t>1.6.3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الوصلات</w:t>
        </w:r>
        <w:r w:rsidR="00EF3234" w:rsidRPr="003165EC">
          <w:rPr>
            <w:rStyle w:val="Hyperlink"/>
            <w:rtl/>
          </w:rPr>
          <w:t xml:space="preserve"> </w:t>
        </w:r>
        <w:r w:rsidR="00EF3234" w:rsidRPr="003165EC">
          <w:rPr>
            <w:rStyle w:val="Hyperlink"/>
            <w:rFonts w:hint="cs"/>
            <w:rtl/>
          </w:rPr>
          <w:t>الوسيطة</w:t>
        </w:r>
        <w:r w:rsidR="00EF3234" w:rsidRPr="003165EC">
          <w:rPr>
            <w:rStyle w:val="Hyperlink"/>
            <w:rtl/>
          </w:rPr>
          <w:t xml:space="preserve"> </w:t>
        </w:r>
        <w:r w:rsidR="00EF3234" w:rsidRPr="003165EC">
          <w:rPr>
            <w:rStyle w:val="Hyperlink"/>
            <w:rFonts w:hint="cs"/>
            <w:rtl/>
          </w:rPr>
          <w:t>اللاسلكية</w:t>
        </w:r>
        <w:r w:rsidR="00EF3234" w:rsidRPr="003165EC">
          <w:rPr>
            <w:rStyle w:val="Hyperlink"/>
            <w:rtl/>
          </w:rPr>
          <w:t xml:space="preserve"> </w:t>
        </w:r>
        <w:r w:rsidR="00EF3234" w:rsidRPr="003165EC">
          <w:rPr>
            <w:rStyle w:val="Hyperlink"/>
            <w:rFonts w:hint="cs"/>
            <w:rtl/>
          </w:rPr>
          <w:t>الأرضية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_Toc380496738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43</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39" w:history="1">
        <w:r w:rsidR="00EF3234" w:rsidRPr="003165EC">
          <w:rPr>
            <w:rStyle w:val="Hyperlink"/>
          </w:rPr>
          <w:t>2.6.3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حلول</w:t>
        </w:r>
        <w:r w:rsidR="00EF3234" w:rsidRPr="003165EC">
          <w:rPr>
            <w:rStyle w:val="Hyperlink"/>
            <w:rtl/>
          </w:rPr>
          <w:t xml:space="preserve"> </w:t>
        </w:r>
        <w:r w:rsidR="00EF3234" w:rsidRPr="003165EC">
          <w:rPr>
            <w:rStyle w:val="Hyperlink"/>
            <w:rFonts w:hint="cs"/>
            <w:rtl/>
          </w:rPr>
          <w:t>الوصلات</w:t>
        </w:r>
        <w:r w:rsidR="00EF3234" w:rsidRPr="003165EC">
          <w:rPr>
            <w:rStyle w:val="Hyperlink"/>
            <w:rtl/>
          </w:rPr>
          <w:t xml:space="preserve"> </w:t>
        </w:r>
        <w:r w:rsidR="00EF3234" w:rsidRPr="003165EC">
          <w:rPr>
            <w:rStyle w:val="Hyperlink"/>
            <w:rFonts w:hint="cs"/>
            <w:rtl/>
          </w:rPr>
          <w:t>الوسيطة</w:t>
        </w:r>
        <w:r w:rsidR="00EF3234" w:rsidRPr="003165EC">
          <w:rPr>
            <w:rStyle w:val="Hyperlink"/>
            <w:rtl/>
          </w:rPr>
          <w:t xml:space="preserve"> </w:t>
        </w:r>
        <w:r w:rsidR="00EF3234" w:rsidRPr="003165EC">
          <w:rPr>
            <w:rStyle w:val="Hyperlink"/>
            <w:rFonts w:hint="cs"/>
            <w:rtl/>
          </w:rPr>
          <w:t>الساتلية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_Toc380496739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48</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40" w:history="1">
        <w:r w:rsidR="00EF3234" w:rsidRPr="003165EC">
          <w:rPr>
            <w:rStyle w:val="Hyperlink"/>
          </w:rPr>
          <w:t>3.6.3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وصلات</w:t>
        </w:r>
        <w:r w:rsidR="00EF3234" w:rsidRPr="003165EC">
          <w:rPr>
            <w:rStyle w:val="Hyperlink"/>
            <w:rtl/>
          </w:rPr>
          <w:t xml:space="preserve"> </w:t>
        </w:r>
        <w:r w:rsidR="00EF3234" w:rsidRPr="003165EC">
          <w:rPr>
            <w:rStyle w:val="Hyperlink"/>
            <w:rFonts w:hint="cs"/>
            <w:rtl/>
          </w:rPr>
          <w:t>الألياف</w:t>
        </w:r>
        <w:r w:rsidR="00EF3234" w:rsidRPr="003165EC">
          <w:rPr>
            <w:rStyle w:val="Hyperlink"/>
            <w:rtl/>
          </w:rPr>
          <w:t xml:space="preserve"> </w:t>
        </w:r>
        <w:r w:rsidR="00EF3234" w:rsidRPr="003165EC">
          <w:rPr>
            <w:rStyle w:val="Hyperlink"/>
            <w:rFonts w:hint="cs"/>
            <w:rtl/>
          </w:rPr>
          <w:t>البصرية</w:t>
        </w:r>
        <w:r w:rsidR="00EF3234" w:rsidRPr="003165EC">
          <w:rPr>
            <w:rStyle w:val="Hyperlink"/>
            <w:rtl/>
          </w:rPr>
          <w:t xml:space="preserve"> </w:t>
        </w:r>
        <w:r w:rsidR="00EF3234" w:rsidRPr="003165EC">
          <w:rPr>
            <w:rStyle w:val="Hyperlink"/>
            <w:rFonts w:hint="cs"/>
            <w:rtl/>
          </w:rPr>
          <w:t>الوسيطة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_Toc380496740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50</w:t>
        </w:r>
        <w:r w:rsidR="00EF3234" w:rsidRPr="007052FB">
          <w:rPr>
            <w:rStyle w:val="Hyperlink"/>
            <w:rFonts w:eastAsiaTheme="minorEastAsia" w:cs="Calibri"/>
            <w:szCs w:val="21"/>
          </w:rPr>
          <w:fldChar w:fldCharType="end"/>
        </w:r>
      </w:hyperlink>
    </w:p>
    <w:p w:rsidR="00EF3234" w:rsidRDefault="00B56FF8" w:rsidP="00EF3234">
      <w:pPr>
        <w:pStyle w:val="TOC3"/>
        <w:rPr>
          <w:rFonts w:asciiTheme="minorHAnsi" w:eastAsiaTheme="minorEastAsia" w:hAnsiTheme="minorHAnsi" w:cstheme="minorBidi"/>
          <w:color w:val="auto"/>
          <w:sz w:val="22"/>
          <w:szCs w:val="22"/>
          <w:lang w:eastAsia="zh-CN"/>
        </w:rPr>
      </w:pPr>
      <w:hyperlink w:anchor="_Toc380496741" w:history="1">
        <w:r w:rsidR="00EF3234" w:rsidRPr="003165EC">
          <w:rPr>
            <w:rStyle w:val="Hyperlink"/>
          </w:rPr>
          <w:t>4.6.3</w:t>
        </w:r>
        <w:r w:rsidR="00EF3234">
          <w:rPr>
            <w:rFonts w:asciiTheme="minorHAnsi" w:eastAsiaTheme="minorEastAsia" w:hAnsiTheme="minorHAnsi" w:cstheme="minorBidi"/>
            <w:color w:val="auto"/>
            <w:sz w:val="22"/>
            <w:szCs w:val="22"/>
            <w:lang w:eastAsia="zh-CN"/>
          </w:rPr>
          <w:tab/>
        </w:r>
        <w:r w:rsidR="00EF3234" w:rsidRPr="003165EC">
          <w:rPr>
            <w:rStyle w:val="Hyperlink"/>
            <w:rFonts w:hint="cs"/>
            <w:rtl/>
          </w:rPr>
          <w:t>وصلات</w:t>
        </w:r>
        <w:r w:rsidR="00EF3234" w:rsidRPr="003165EC">
          <w:rPr>
            <w:rStyle w:val="Hyperlink"/>
            <w:rtl/>
          </w:rPr>
          <w:t xml:space="preserve"> </w:t>
        </w:r>
        <w:r w:rsidR="00EF3234" w:rsidRPr="003165EC">
          <w:rPr>
            <w:rStyle w:val="Hyperlink"/>
            <w:rFonts w:hint="cs"/>
            <w:rtl/>
          </w:rPr>
          <w:t>الكبل</w:t>
        </w:r>
        <w:r w:rsidR="00EF3234" w:rsidRPr="003165EC">
          <w:rPr>
            <w:rStyle w:val="Hyperlink"/>
            <w:rtl/>
          </w:rPr>
          <w:t xml:space="preserve"> </w:t>
        </w:r>
        <w:r w:rsidR="00EF3234" w:rsidRPr="003165EC">
          <w:rPr>
            <w:rStyle w:val="Hyperlink"/>
            <w:rFonts w:hint="cs"/>
            <w:rtl/>
          </w:rPr>
          <w:t>البحري</w:t>
        </w:r>
        <w:r w:rsidR="00EF3234" w:rsidRPr="003165EC">
          <w:rPr>
            <w:rStyle w:val="Hyperlink"/>
            <w:rtl/>
          </w:rPr>
          <w:t xml:space="preserve"> </w:t>
        </w:r>
        <w:r w:rsidR="00EF3234" w:rsidRPr="003165EC">
          <w:rPr>
            <w:rStyle w:val="Hyperlink"/>
            <w:rFonts w:hint="cs"/>
            <w:rtl/>
          </w:rPr>
          <w:t>الوسيطة</w:t>
        </w:r>
        <w:r w:rsidR="00EF3234">
          <w:rPr>
            <w:webHidden/>
          </w:rPr>
          <w:tab/>
        </w:r>
        <w:r w:rsidR="00EF3234">
          <w:rPr>
            <w:webHidden/>
          </w:rPr>
          <w:tab/>
        </w:r>
        <w:r w:rsidR="00EF3234" w:rsidRPr="007052FB">
          <w:rPr>
            <w:rStyle w:val="Hyperlink"/>
            <w:rFonts w:eastAsiaTheme="minorEastAsia" w:cs="Calibri"/>
            <w:szCs w:val="21"/>
          </w:rPr>
          <w:fldChar w:fldCharType="begin"/>
        </w:r>
        <w:r w:rsidR="00EF3234" w:rsidRPr="007052FB">
          <w:rPr>
            <w:rFonts w:eastAsiaTheme="minorEastAsia" w:cs="Calibri"/>
            <w:webHidden/>
            <w:szCs w:val="21"/>
          </w:rPr>
          <w:instrText xml:space="preserve"> PAGEREF _Toc380496741 \h </w:instrText>
        </w:r>
        <w:r w:rsidR="00EF3234" w:rsidRPr="007052FB">
          <w:rPr>
            <w:rStyle w:val="Hyperlink"/>
            <w:rFonts w:eastAsiaTheme="minorEastAsia" w:cs="Calibri"/>
            <w:szCs w:val="21"/>
          </w:rPr>
        </w:r>
        <w:r w:rsidR="00EF3234" w:rsidRPr="007052FB">
          <w:rPr>
            <w:rStyle w:val="Hyperlink"/>
            <w:rFonts w:eastAsiaTheme="minorEastAsia" w:cs="Calibri"/>
            <w:szCs w:val="21"/>
          </w:rPr>
          <w:fldChar w:fldCharType="separate"/>
        </w:r>
        <w:r>
          <w:rPr>
            <w:rFonts w:eastAsiaTheme="minorEastAsia" w:cs="Times New Roman"/>
            <w:webHidden/>
            <w:szCs w:val="21"/>
            <w:rtl/>
          </w:rPr>
          <w:t>50</w:t>
        </w:r>
        <w:r w:rsidR="00EF3234" w:rsidRPr="007052FB">
          <w:rPr>
            <w:rStyle w:val="Hyperlink"/>
            <w:rFonts w:eastAsiaTheme="minorEastAsia" w:cs="Calibri"/>
            <w:szCs w:val="21"/>
          </w:rPr>
          <w:fldChar w:fldCharType="end"/>
        </w:r>
      </w:hyperlink>
    </w:p>
    <w:p w:rsidR="00AF7D26" w:rsidRPr="009476F2" w:rsidRDefault="00AF7D26" w:rsidP="00105B7A">
      <w:pPr>
        <w:pStyle w:val="Toc0"/>
        <w:keepNext/>
        <w:spacing w:before="0"/>
        <w:jc w:val="left"/>
        <w:rPr>
          <w:rFonts w:cs="Arial"/>
          <w:b/>
          <w:bCs w:val="0"/>
          <w:lang w:val="en-GB" w:eastAsia="zh-CN"/>
        </w:rPr>
      </w:pPr>
      <w:r w:rsidRPr="009476F2">
        <w:rPr>
          <w:rFonts w:hint="cs"/>
          <w:b/>
          <w:bCs w:val="0"/>
          <w:rtl/>
          <w:lang w:val="en-GB"/>
        </w:rPr>
        <w:lastRenderedPageBreak/>
        <w:t>الصفحة</w:t>
      </w:r>
    </w:p>
    <w:p w:rsidR="00EF3234" w:rsidRDefault="00B56FF8" w:rsidP="00105B7A">
      <w:pPr>
        <w:pStyle w:val="TOC1"/>
        <w:keepLines w:val="0"/>
        <w:bidi w:val="0"/>
        <w:spacing w:line="240" w:lineRule="auto"/>
        <w:rPr>
          <w:rFonts w:asciiTheme="minorHAnsi" w:hAnsiTheme="minorHAnsi" w:cstheme="minorBidi"/>
          <w:b w:val="0"/>
          <w:bCs w:val="0"/>
          <w:sz w:val="22"/>
          <w:szCs w:val="22"/>
        </w:rPr>
      </w:pPr>
      <w:hyperlink w:anchor="_Toc380496742" w:history="1">
        <w:r w:rsidR="00EF3234" w:rsidRPr="003165EC">
          <w:rPr>
            <w:rStyle w:val="Hyperlink"/>
            <w:rFonts w:eastAsia="Times New Roman" w:cs="Helvetica"/>
          </w:rPr>
          <w:t>I</w:t>
        </w:r>
        <w:r w:rsidR="00EF3234">
          <w:rPr>
            <w:rFonts w:asciiTheme="minorHAnsi" w:hAnsiTheme="minorHAnsi" w:cstheme="minorBidi"/>
            <w:b w:val="0"/>
            <w:bCs w:val="0"/>
            <w:sz w:val="22"/>
            <w:szCs w:val="22"/>
          </w:rPr>
          <w:tab/>
        </w:r>
        <w:r w:rsidR="00EF3234" w:rsidRPr="003165EC">
          <w:rPr>
            <w:rStyle w:val="Hyperlink"/>
            <w:rFonts w:eastAsia="Times New Roman" w:cs="Helvetica"/>
          </w:rPr>
          <w:t>Annexes</w:t>
        </w:r>
        <w:r w:rsidR="00EF3234">
          <w:rPr>
            <w:webHidden/>
          </w:rPr>
          <w:tab/>
        </w:r>
        <w:r w:rsidR="00EF3234">
          <w:rPr>
            <w:webHidden/>
          </w:rPr>
          <w:tab/>
        </w:r>
        <w:r w:rsidR="00EF3234">
          <w:rPr>
            <w:rStyle w:val="Hyperlink"/>
          </w:rPr>
          <w:fldChar w:fldCharType="begin"/>
        </w:r>
        <w:r w:rsidR="00EF3234">
          <w:rPr>
            <w:webHidden/>
          </w:rPr>
          <w:instrText xml:space="preserve"> PAGEREF _Toc380496742 \h </w:instrText>
        </w:r>
        <w:r w:rsidR="00EF3234">
          <w:rPr>
            <w:rStyle w:val="Hyperlink"/>
          </w:rPr>
        </w:r>
        <w:r w:rsidR="00EF3234">
          <w:rPr>
            <w:rStyle w:val="Hyperlink"/>
          </w:rPr>
          <w:fldChar w:fldCharType="separate"/>
        </w:r>
        <w:r>
          <w:rPr>
            <w:webHidden/>
          </w:rPr>
          <w:t>53</w:t>
        </w:r>
        <w:r w:rsidR="00EF3234">
          <w:rPr>
            <w:rStyle w:val="Hyperlink"/>
          </w:rPr>
          <w:fldChar w:fldCharType="end"/>
        </w:r>
      </w:hyperlink>
    </w:p>
    <w:p w:rsidR="00EF3234" w:rsidRDefault="00B56FF8" w:rsidP="00105B7A">
      <w:pPr>
        <w:pStyle w:val="TOC1"/>
        <w:keepLines w:val="0"/>
        <w:bidi w:val="0"/>
        <w:spacing w:line="240" w:lineRule="auto"/>
        <w:rPr>
          <w:rFonts w:asciiTheme="minorHAnsi" w:hAnsiTheme="minorHAnsi" w:cstheme="minorBidi"/>
          <w:b w:val="0"/>
          <w:bCs w:val="0"/>
          <w:sz w:val="22"/>
          <w:szCs w:val="22"/>
        </w:rPr>
      </w:pPr>
      <w:hyperlink w:anchor="_Toc380496748" w:history="1">
        <w:r w:rsidR="00EF3234" w:rsidRPr="003165EC">
          <w:rPr>
            <w:rStyle w:val="Hyperlink"/>
            <w:rFonts w:eastAsia="Times New Roman" w:cs="Helvetica"/>
          </w:rPr>
          <w:t>Annex I</w:t>
        </w:r>
        <w:r w:rsidR="00105B7A">
          <w:rPr>
            <w:rStyle w:val="Hyperlink"/>
            <w:rFonts w:eastAsia="Times New Roman" w:cs="Helvetica"/>
          </w:rPr>
          <w:t xml:space="preserve">: country </w:t>
        </w:r>
        <w:r w:rsidR="00EF3234" w:rsidRPr="003165EC">
          <w:rPr>
            <w:rStyle w:val="Hyperlink"/>
            <w:rFonts w:eastAsia="Times New Roman" w:cs="Helvetica"/>
          </w:rPr>
          <w:t>Experiences</w:t>
        </w:r>
        <w:r w:rsidR="00EF3234">
          <w:rPr>
            <w:webHidden/>
          </w:rPr>
          <w:tab/>
        </w:r>
        <w:r w:rsidR="00EF3234">
          <w:rPr>
            <w:webHidden/>
          </w:rPr>
          <w:tab/>
        </w:r>
        <w:r w:rsidR="00EF3234">
          <w:rPr>
            <w:rStyle w:val="Hyperlink"/>
          </w:rPr>
          <w:fldChar w:fldCharType="begin"/>
        </w:r>
        <w:r w:rsidR="00EF3234">
          <w:rPr>
            <w:webHidden/>
          </w:rPr>
          <w:instrText xml:space="preserve"> PAGEREF _Toc380496748 \h </w:instrText>
        </w:r>
        <w:r w:rsidR="00EF3234">
          <w:rPr>
            <w:rStyle w:val="Hyperlink"/>
          </w:rPr>
        </w:r>
        <w:r w:rsidR="00EF3234">
          <w:rPr>
            <w:rStyle w:val="Hyperlink"/>
          </w:rPr>
          <w:fldChar w:fldCharType="separate"/>
        </w:r>
        <w:r>
          <w:rPr>
            <w:webHidden/>
          </w:rPr>
          <w:t>55</w:t>
        </w:r>
        <w:r w:rsidR="00EF3234">
          <w:rPr>
            <w:rStyle w:val="Hyperlink"/>
          </w:rPr>
          <w:fldChar w:fldCharType="end"/>
        </w:r>
      </w:hyperlink>
    </w:p>
    <w:p w:rsidR="00EF3234" w:rsidRDefault="00B56FF8" w:rsidP="00105B7A">
      <w:pPr>
        <w:pStyle w:val="TOC1"/>
        <w:keepLines w:val="0"/>
        <w:bidi w:val="0"/>
        <w:spacing w:line="240" w:lineRule="auto"/>
        <w:rPr>
          <w:rFonts w:asciiTheme="minorHAnsi" w:hAnsiTheme="minorHAnsi" w:cstheme="minorBidi"/>
          <w:b w:val="0"/>
          <w:bCs w:val="0"/>
          <w:sz w:val="22"/>
          <w:szCs w:val="22"/>
        </w:rPr>
      </w:pPr>
      <w:hyperlink w:anchor="_Toc380496749" w:history="1">
        <w:r w:rsidR="00EF3234" w:rsidRPr="003165EC">
          <w:rPr>
            <w:rStyle w:val="Hyperlink"/>
            <w:rFonts w:eastAsia="Times New Roman" w:cs="Helvetica"/>
          </w:rPr>
          <w:t>Annex II</w:t>
        </w:r>
        <w:r w:rsidR="00105B7A">
          <w:rPr>
            <w:rStyle w:val="Hyperlink"/>
            <w:rFonts w:eastAsia="Times New Roman" w:cs="Helvetica"/>
          </w:rPr>
          <w:t xml:space="preserve">: Definition </w:t>
        </w:r>
        <w:r w:rsidR="00EF3234" w:rsidRPr="003165EC">
          <w:rPr>
            <w:rStyle w:val="Hyperlink"/>
            <w:rFonts w:eastAsia="Times New Roman" w:cs="Helvetica"/>
          </w:rPr>
          <w:t>of Question 25/2</w:t>
        </w:r>
        <w:r w:rsidR="00EF3234">
          <w:rPr>
            <w:webHidden/>
          </w:rPr>
          <w:tab/>
        </w:r>
        <w:r w:rsidR="00EF3234">
          <w:rPr>
            <w:webHidden/>
          </w:rPr>
          <w:tab/>
        </w:r>
        <w:r w:rsidR="00EF3234">
          <w:rPr>
            <w:rStyle w:val="Hyperlink"/>
          </w:rPr>
          <w:fldChar w:fldCharType="begin"/>
        </w:r>
        <w:r w:rsidR="00EF3234">
          <w:rPr>
            <w:webHidden/>
          </w:rPr>
          <w:instrText xml:space="preserve"> PAGEREF _Toc380496749 \h </w:instrText>
        </w:r>
        <w:r w:rsidR="00EF3234">
          <w:rPr>
            <w:rStyle w:val="Hyperlink"/>
          </w:rPr>
        </w:r>
        <w:r w:rsidR="00EF3234">
          <w:rPr>
            <w:rStyle w:val="Hyperlink"/>
          </w:rPr>
          <w:fldChar w:fldCharType="separate"/>
        </w:r>
        <w:r>
          <w:rPr>
            <w:webHidden/>
          </w:rPr>
          <w:t>56</w:t>
        </w:r>
        <w:r w:rsidR="00EF3234">
          <w:rPr>
            <w:rStyle w:val="Hyperlink"/>
          </w:rPr>
          <w:fldChar w:fldCharType="end"/>
        </w:r>
      </w:hyperlink>
    </w:p>
    <w:p w:rsidR="00EF3234" w:rsidRDefault="00B56FF8" w:rsidP="00105B7A">
      <w:pPr>
        <w:pStyle w:val="TOC1"/>
        <w:keepLines w:val="0"/>
        <w:bidi w:val="0"/>
        <w:spacing w:line="240" w:lineRule="auto"/>
        <w:rPr>
          <w:rFonts w:asciiTheme="minorHAnsi" w:hAnsiTheme="minorHAnsi" w:cstheme="minorBidi"/>
          <w:b w:val="0"/>
          <w:bCs w:val="0"/>
          <w:sz w:val="22"/>
          <w:szCs w:val="22"/>
        </w:rPr>
      </w:pPr>
      <w:hyperlink w:anchor="_Toc380496762" w:history="1">
        <w:r w:rsidR="00EF3234" w:rsidRPr="003165EC">
          <w:rPr>
            <w:rStyle w:val="Hyperlink"/>
            <w:rFonts w:eastAsia="Times New Roman" w:cs="Helvetica"/>
          </w:rPr>
          <w:t>Annex III</w:t>
        </w:r>
        <w:r w:rsidR="00105B7A">
          <w:rPr>
            <w:rStyle w:val="Hyperlink"/>
            <w:rFonts w:eastAsia="Times New Roman" w:cs="Helvetica"/>
          </w:rPr>
          <w:t>: Other</w:t>
        </w:r>
        <w:r w:rsidR="00EF3234" w:rsidRPr="003165EC">
          <w:rPr>
            <w:rStyle w:val="Hyperlink"/>
            <w:rFonts w:eastAsia="Times New Roman" w:cs="Helvetica"/>
          </w:rPr>
          <w:t xml:space="preserve"> ITU Sector Relevant Recommendations and Reports</w:t>
        </w:r>
        <w:r w:rsidR="00EF3234">
          <w:rPr>
            <w:webHidden/>
          </w:rPr>
          <w:tab/>
        </w:r>
        <w:r w:rsidR="00EF3234">
          <w:rPr>
            <w:webHidden/>
          </w:rPr>
          <w:tab/>
        </w:r>
        <w:r w:rsidR="00EF3234">
          <w:rPr>
            <w:rStyle w:val="Hyperlink"/>
          </w:rPr>
          <w:fldChar w:fldCharType="begin"/>
        </w:r>
        <w:r w:rsidR="00EF3234">
          <w:rPr>
            <w:webHidden/>
          </w:rPr>
          <w:instrText xml:space="preserve"> PAGEREF _Toc380496762 \h </w:instrText>
        </w:r>
        <w:r w:rsidR="00EF3234">
          <w:rPr>
            <w:rStyle w:val="Hyperlink"/>
          </w:rPr>
        </w:r>
        <w:r w:rsidR="00EF3234">
          <w:rPr>
            <w:rStyle w:val="Hyperlink"/>
          </w:rPr>
          <w:fldChar w:fldCharType="separate"/>
        </w:r>
        <w:r>
          <w:rPr>
            <w:webHidden/>
          </w:rPr>
          <w:t>59</w:t>
        </w:r>
        <w:r w:rsidR="00EF3234">
          <w:rPr>
            <w:rStyle w:val="Hyperlink"/>
          </w:rPr>
          <w:fldChar w:fldCharType="end"/>
        </w:r>
      </w:hyperlink>
    </w:p>
    <w:p w:rsidR="00EF3234" w:rsidRDefault="00B56FF8" w:rsidP="00105B7A">
      <w:pPr>
        <w:pStyle w:val="TOC1"/>
        <w:keepLines w:val="0"/>
        <w:bidi w:val="0"/>
        <w:spacing w:line="240" w:lineRule="auto"/>
        <w:rPr>
          <w:rFonts w:asciiTheme="minorHAnsi" w:hAnsiTheme="minorHAnsi" w:cstheme="minorBidi"/>
          <w:b w:val="0"/>
          <w:bCs w:val="0"/>
          <w:sz w:val="22"/>
          <w:szCs w:val="22"/>
        </w:rPr>
      </w:pPr>
      <w:hyperlink w:anchor="_Toc380496763" w:history="1">
        <w:r w:rsidR="00EF3234" w:rsidRPr="003165EC">
          <w:rPr>
            <w:rStyle w:val="Hyperlink"/>
            <w:rFonts w:eastAsia="Times New Roman" w:cs="Helvetica"/>
            <w:lang w:val="en-GB"/>
          </w:rPr>
          <w:t>II</w:t>
        </w:r>
        <w:r w:rsidR="00EF3234">
          <w:rPr>
            <w:rFonts w:asciiTheme="minorHAnsi" w:hAnsiTheme="minorHAnsi" w:cstheme="minorBidi"/>
            <w:b w:val="0"/>
            <w:bCs w:val="0"/>
            <w:sz w:val="22"/>
            <w:szCs w:val="22"/>
          </w:rPr>
          <w:tab/>
        </w:r>
        <w:r w:rsidR="00EF3234" w:rsidRPr="003165EC">
          <w:rPr>
            <w:rStyle w:val="Hyperlink"/>
            <w:rFonts w:eastAsia="Times New Roman" w:cs="Helvetica"/>
            <w:lang w:val="en-GB"/>
          </w:rPr>
          <w:t>Acronyms/Glossary</w:t>
        </w:r>
        <w:r w:rsidR="00EF3234">
          <w:rPr>
            <w:webHidden/>
          </w:rPr>
          <w:tab/>
        </w:r>
        <w:r w:rsidR="00EF3234">
          <w:rPr>
            <w:webHidden/>
          </w:rPr>
          <w:tab/>
        </w:r>
        <w:r w:rsidR="00EF3234">
          <w:rPr>
            <w:rStyle w:val="Hyperlink"/>
          </w:rPr>
          <w:fldChar w:fldCharType="begin"/>
        </w:r>
        <w:r w:rsidR="00EF3234">
          <w:rPr>
            <w:webHidden/>
          </w:rPr>
          <w:instrText xml:space="preserve"> PAGEREF _Toc380496763 \h </w:instrText>
        </w:r>
        <w:r w:rsidR="00EF3234">
          <w:rPr>
            <w:rStyle w:val="Hyperlink"/>
          </w:rPr>
        </w:r>
        <w:r w:rsidR="00EF3234">
          <w:rPr>
            <w:rStyle w:val="Hyperlink"/>
          </w:rPr>
          <w:fldChar w:fldCharType="separate"/>
        </w:r>
        <w:r>
          <w:rPr>
            <w:webHidden/>
          </w:rPr>
          <w:t>62</w:t>
        </w:r>
        <w:r w:rsidR="00EF3234">
          <w:rPr>
            <w:rStyle w:val="Hyperlink"/>
          </w:rPr>
          <w:fldChar w:fldCharType="end"/>
        </w:r>
      </w:hyperlink>
    </w:p>
    <w:p w:rsidR="00EF3234" w:rsidRDefault="00B56FF8" w:rsidP="00105B7A">
      <w:pPr>
        <w:pStyle w:val="TOC1"/>
        <w:keepLines w:val="0"/>
        <w:bidi w:val="0"/>
        <w:spacing w:line="240" w:lineRule="auto"/>
        <w:rPr>
          <w:rFonts w:asciiTheme="minorHAnsi" w:hAnsiTheme="minorHAnsi" w:cstheme="minorBidi"/>
          <w:b w:val="0"/>
          <w:bCs w:val="0"/>
          <w:sz w:val="22"/>
          <w:szCs w:val="22"/>
        </w:rPr>
      </w:pPr>
      <w:hyperlink w:anchor="_Toc380496764" w:history="1">
        <w:r w:rsidR="00EF3234" w:rsidRPr="003165EC">
          <w:rPr>
            <w:rStyle w:val="Hyperlink"/>
            <w:rFonts w:eastAsia="Times New Roman" w:cs="Helvetica"/>
          </w:rPr>
          <w:t>III</w:t>
        </w:r>
        <w:r w:rsidR="00EF3234">
          <w:rPr>
            <w:rFonts w:asciiTheme="minorHAnsi" w:hAnsiTheme="minorHAnsi" w:cstheme="minorBidi"/>
            <w:b w:val="0"/>
            <w:bCs w:val="0"/>
            <w:sz w:val="22"/>
            <w:szCs w:val="22"/>
          </w:rPr>
          <w:tab/>
        </w:r>
        <w:r w:rsidR="00EF3234" w:rsidRPr="003165EC">
          <w:rPr>
            <w:rStyle w:val="Hyperlink"/>
            <w:rFonts w:eastAsia="Times New Roman" w:cs="Helvetica"/>
          </w:rPr>
          <w:t>References</w:t>
        </w:r>
        <w:r w:rsidR="00EF3234">
          <w:rPr>
            <w:webHidden/>
          </w:rPr>
          <w:tab/>
        </w:r>
        <w:r w:rsidR="00EF3234">
          <w:rPr>
            <w:webHidden/>
          </w:rPr>
          <w:tab/>
        </w:r>
        <w:r w:rsidR="00EF3234">
          <w:rPr>
            <w:rStyle w:val="Hyperlink"/>
          </w:rPr>
          <w:fldChar w:fldCharType="begin"/>
        </w:r>
        <w:r w:rsidR="00EF3234">
          <w:rPr>
            <w:webHidden/>
          </w:rPr>
          <w:instrText xml:space="preserve"> PAGEREF _Toc380496764 \h </w:instrText>
        </w:r>
        <w:r w:rsidR="00EF3234">
          <w:rPr>
            <w:rStyle w:val="Hyperlink"/>
          </w:rPr>
        </w:r>
        <w:r w:rsidR="00EF3234">
          <w:rPr>
            <w:rStyle w:val="Hyperlink"/>
          </w:rPr>
          <w:fldChar w:fldCharType="separate"/>
        </w:r>
        <w:r>
          <w:rPr>
            <w:webHidden/>
          </w:rPr>
          <w:t>65</w:t>
        </w:r>
        <w:r w:rsidR="00EF3234">
          <w:rPr>
            <w:rStyle w:val="Hyperlink"/>
          </w:rPr>
          <w:fldChar w:fldCharType="end"/>
        </w:r>
      </w:hyperlink>
    </w:p>
    <w:p w:rsidR="00EF3234" w:rsidRDefault="00EF3234" w:rsidP="00EF3234">
      <w:pPr>
        <w:rPr>
          <w:noProof/>
          <w:rtl/>
        </w:rPr>
      </w:pPr>
    </w:p>
    <w:p w:rsidR="00AF7D26" w:rsidRDefault="00AF7D26" w:rsidP="00EF3234">
      <w:pPr>
        <w:rPr>
          <w:noProof/>
          <w:rtl/>
        </w:rPr>
      </w:pPr>
    </w:p>
    <w:p w:rsidR="00105B7A" w:rsidRPr="009476F2" w:rsidRDefault="00105B7A" w:rsidP="00105B7A">
      <w:pPr>
        <w:pStyle w:val="Toc0"/>
        <w:keepNext/>
        <w:spacing w:before="0"/>
        <w:rPr>
          <w:rFonts w:cs="Arial"/>
          <w:b/>
          <w:bCs w:val="0"/>
          <w:lang w:val="en-GB" w:eastAsia="zh-CN"/>
        </w:rPr>
      </w:pPr>
      <w:r w:rsidRPr="00DD6562">
        <w:rPr>
          <w:lang w:val="en-GB"/>
        </w:rPr>
        <w:tab/>
      </w:r>
      <w:r w:rsidRPr="009476F2">
        <w:rPr>
          <w:rFonts w:hint="cs"/>
          <w:b/>
          <w:bCs w:val="0"/>
          <w:rtl/>
          <w:lang w:val="en-GB"/>
        </w:rPr>
        <w:t>الصفحة</w:t>
      </w:r>
    </w:p>
    <w:p w:rsidR="009476F2" w:rsidRPr="00DC3EA0" w:rsidRDefault="006A09D8" w:rsidP="00AF7D26">
      <w:pPr>
        <w:pStyle w:val="HeadingB"/>
        <w:rPr>
          <w:noProof/>
          <w:sz w:val="23"/>
          <w:szCs w:val="30"/>
          <w:rtl/>
        </w:rPr>
      </w:pPr>
      <w:r>
        <w:rPr>
          <w:noProof/>
          <w:rtl/>
        </w:rPr>
        <w:fldChar w:fldCharType="end"/>
      </w:r>
      <w:r w:rsidR="00DC3EA0" w:rsidRPr="00DC3EA0">
        <w:rPr>
          <w:rFonts w:hint="cs"/>
          <w:noProof/>
          <w:sz w:val="23"/>
          <w:szCs w:val="30"/>
          <w:rtl/>
        </w:rPr>
        <w:t xml:space="preserve">الأشكال </w:t>
      </w:r>
      <w:r w:rsidR="00AF7D26">
        <w:rPr>
          <w:rFonts w:hint="cs"/>
          <w:noProof/>
          <w:sz w:val="23"/>
          <w:szCs w:val="30"/>
          <w:rtl/>
        </w:rPr>
        <w:t>والجداول</w:t>
      </w:r>
    </w:p>
    <w:p w:rsidR="00AF7D26" w:rsidRPr="00AF7D26" w:rsidRDefault="00AF7D26" w:rsidP="00AF7D26">
      <w:pPr>
        <w:pStyle w:val="TOC1"/>
        <w:keepNext w:val="0"/>
        <w:keepLines w:val="0"/>
        <w:rPr>
          <w:rFonts w:asciiTheme="minorHAnsi" w:hAnsiTheme="minorHAnsi" w:cstheme="minorBidi"/>
          <w:b w:val="0"/>
          <w:bCs w:val="0"/>
          <w:sz w:val="22"/>
          <w:szCs w:val="22"/>
        </w:rPr>
      </w:pPr>
      <w:r>
        <w:rPr>
          <w:b w:val="0"/>
          <w:bCs w:val="0"/>
          <w:rtl/>
        </w:rPr>
        <w:fldChar w:fldCharType="begin"/>
      </w:r>
      <w:r>
        <w:rPr>
          <w:b w:val="0"/>
          <w:bCs w:val="0"/>
          <w:rtl/>
        </w:rPr>
        <w:instrText xml:space="preserve"> </w:instrText>
      </w:r>
      <w:r>
        <w:rPr>
          <w:b w:val="0"/>
          <w:bCs w:val="0"/>
        </w:rPr>
        <w:instrText>TOC</w:instrText>
      </w:r>
      <w:r>
        <w:rPr>
          <w:b w:val="0"/>
          <w:bCs w:val="0"/>
          <w:rtl/>
        </w:rPr>
        <w:instrText xml:space="preserve"> \</w:instrText>
      </w:r>
      <w:r>
        <w:rPr>
          <w:b w:val="0"/>
          <w:bCs w:val="0"/>
        </w:rPr>
        <w:instrText>h \z \t "Figure title;1</w:instrText>
      </w:r>
      <w:r>
        <w:rPr>
          <w:b w:val="0"/>
          <w:bCs w:val="0"/>
          <w:rtl/>
        </w:rPr>
        <w:instrText xml:space="preserve">" </w:instrText>
      </w:r>
      <w:r>
        <w:rPr>
          <w:b w:val="0"/>
          <w:bCs w:val="0"/>
          <w:rtl/>
        </w:rPr>
        <w:fldChar w:fldCharType="separate"/>
      </w:r>
      <w:hyperlink w:anchor="_Toc380497236" w:history="1">
        <w:r w:rsidRPr="00AF7D26">
          <w:rPr>
            <w:rStyle w:val="Hyperlink"/>
            <w:rFonts w:hint="cs"/>
            <w:b w:val="0"/>
            <w:bCs w:val="0"/>
            <w:rtl/>
          </w:rPr>
          <w:t>الشكل</w:t>
        </w:r>
        <w:r w:rsidRPr="00AF7D26">
          <w:rPr>
            <w:rStyle w:val="Hyperlink"/>
            <w:b w:val="0"/>
            <w:bCs w:val="0"/>
            <w:rtl/>
          </w:rPr>
          <w:t xml:space="preserve"> </w:t>
        </w:r>
        <w:r w:rsidRPr="00AF7D26">
          <w:rPr>
            <w:rStyle w:val="Hyperlink"/>
            <w:b w:val="0"/>
            <w:bCs w:val="0"/>
          </w:rPr>
          <w:t>1-1.1</w:t>
        </w:r>
        <w:r w:rsidRPr="00AF7D26">
          <w:rPr>
            <w:rStyle w:val="Hyperlink"/>
            <w:b w:val="0"/>
            <w:bCs w:val="0"/>
            <w:rtl/>
          </w:rPr>
          <w:t xml:space="preserve">: </w:t>
        </w:r>
        <w:r w:rsidRPr="00AF7D26">
          <w:rPr>
            <w:rStyle w:val="Hyperlink"/>
            <w:rFonts w:hint="cs"/>
            <w:b w:val="0"/>
            <w:bCs w:val="0"/>
            <w:rtl/>
          </w:rPr>
          <w:t>كيف</w:t>
        </w:r>
        <w:r w:rsidRPr="00AF7D26">
          <w:rPr>
            <w:rStyle w:val="Hyperlink"/>
            <w:b w:val="0"/>
            <w:bCs w:val="0"/>
            <w:rtl/>
          </w:rPr>
          <w:t xml:space="preserve"> </w:t>
        </w:r>
        <w:r w:rsidRPr="00AF7D26">
          <w:rPr>
            <w:rStyle w:val="Hyperlink"/>
            <w:rFonts w:hint="cs"/>
            <w:b w:val="0"/>
            <w:bCs w:val="0"/>
            <w:rtl/>
          </w:rPr>
          <w:t>يمكن</w:t>
        </w:r>
        <w:r w:rsidRPr="00AF7D26">
          <w:rPr>
            <w:rStyle w:val="Hyperlink"/>
            <w:b w:val="0"/>
            <w:bCs w:val="0"/>
            <w:rtl/>
          </w:rPr>
          <w:t xml:space="preserve"> </w:t>
        </w:r>
        <w:r w:rsidRPr="00AF7D26">
          <w:rPr>
            <w:rStyle w:val="Hyperlink"/>
            <w:rFonts w:hint="cs"/>
            <w:b w:val="0"/>
            <w:bCs w:val="0"/>
            <w:rtl/>
          </w:rPr>
          <w:t>للاستثمار</w:t>
        </w:r>
        <w:r w:rsidRPr="00AF7D26">
          <w:rPr>
            <w:rStyle w:val="Hyperlink"/>
            <w:b w:val="0"/>
            <w:bCs w:val="0"/>
            <w:rtl/>
          </w:rPr>
          <w:t xml:space="preserve"> </w:t>
        </w:r>
        <w:r w:rsidRPr="00AF7D26">
          <w:rPr>
            <w:rStyle w:val="Hyperlink"/>
            <w:rFonts w:hint="cs"/>
            <w:b w:val="0"/>
            <w:bCs w:val="0"/>
            <w:rtl/>
          </w:rPr>
          <w:t>في</w:t>
        </w:r>
        <w:r w:rsidRPr="00AF7D26">
          <w:rPr>
            <w:rStyle w:val="Hyperlink"/>
            <w:b w:val="0"/>
            <w:bCs w:val="0"/>
            <w:rtl/>
          </w:rPr>
          <w:t xml:space="preserve"> </w:t>
        </w:r>
        <w:r w:rsidRPr="00AF7D26">
          <w:rPr>
            <w:rStyle w:val="Hyperlink"/>
            <w:rFonts w:hint="cs"/>
            <w:b w:val="0"/>
            <w:bCs w:val="0"/>
            <w:rtl/>
          </w:rPr>
          <w:t>النطاق</w:t>
        </w:r>
        <w:r w:rsidRPr="00AF7D26">
          <w:rPr>
            <w:rStyle w:val="Hyperlink"/>
            <w:b w:val="0"/>
            <w:bCs w:val="0"/>
            <w:rtl/>
          </w:rPr>
          <w:t xml:space="preserve"> </w:t>
        </w:r>
        <w:r w:rsidRPr="00AF7D26">
          <w:rPr>
            <w:rStyle w:val="Hyperlink"/>
            <w:rFonts w:hint="cs"/>
            <w:b w:val="0"/>
            <w:bCs w:val="0"/>
            <w:rtl/>
          </w:rPr>
          <w:t>العريض</w:t>
        </w:r>
        <w:r w:rsidRPr="00AF7D26">
          <w:rPr>
            <w:rStyle w:val="Hyperlink"/>
            <w:b w:val="0"/>
            <w:bCs w:val="0"/>
            <w:rtl/>
          </w:rPr>
          <w:t xml:space="preserve"> </w:t>
        </w:r>
        <w:r w:rsidRPr="00AF7D26">
          <w:rPr>
            <w:rStyle w:val="Hyperlink"/>
            <w:rFonts w:hint="cs"/>
            <w:b w:val="0"/>
            <w:bCs w:val="0"/>
            <w:rtl/>
          </w:rPr>
          <w:t>أن</w:t>
        </w:r>
        <w:r w:rsidRPr="00AF7D26">
          <w:rPr>
            <w:rStyle w:val="Hyperlink"/>
            <w:b w:val="0"/>
            <w:bCs w:val="0"/>
            <w:rtl/>
          </w:rPr>
          <w:t xml:space="preserve"> </w:t>
        </w:r>
        <w:r w:rsidRPr="00AF7D26">
          <w:rPr>
            <w:rStyle w:val="Hyperlink"/>
            <w:rFonts w:hint="cs"/>
            <w:b w:val="0"/>
            <w:bCs w:val="0"/>
            <w:rtl/>
          </w:rPr>
          <w:t>يعزز</w:t>
        </w:r>
        <w:r w:rsidRPr="00AF7D26">
          <w:rPr>
            <w:rStyle w:val="Hyperlink"/>
            <w:b w:val="0"/>
            <w:bCs w:val="0"/>
            <w:rtl/>
          </w:rPr>
          <w:t xml:space="preserve"> </w:t>
        </w:r>
        <w:r w:rsidRPr="00AF7D26">
          <w:rPr>
            <w:rStyle w:val="Hyperlink"/>
            <w:rFonts w:hint="cs"/>
            <w:b w:val="0"/>
            <w:bCs w:val="0"/>
            <w:rtl/>
          </w:rPr>
          <w:t>الاقتصادات</w:t>
        </w:r>
        <w:r>
          <w:rPr>
            <w:b w:val="0"/>
            <w:bCs w:val="0"/>
            <w:webHidden/>
          </w:rPr>
          <w:tab/>
        </w:r>
        <w:r w:rsidRPr="00AF7D26">
          <w:rPr>
            <w:b w:val="0"/>
            <w:bCs w:val="0"/>
            <w:webHidden/>
          </w:rPr>
          <w:tab/>
        </w:r>
        <w:r w:rsidRPr="007052FB">
          <w:rPr>
            <w:rStyle w:val="Hyperlink"/>
            <w:rFonts w:cs="Calibri"/>
            <w:b w:val="0"/>
            <w:bCs w:val="0"/>
            <w:szCs w:val="21"/>
          </w:rPr>
          <w:fldChar w:fldCharType="begin"/>
        </w:r>
        <w:r w:rsidRPr="007052FB">
          <w:rPr>
            <w:rFonts w:cs="Calibri"/>
            <w:b w:val="0"/>
            <w:bCs w:val="0"/>
            <w:webHidden/>
            <w:szCs w:val="21"/>
          </w:rPr>
          <w:instrText xml:space="preserve"> PAGEREF _Toc380497236 \h </w:instrText>
        </w:r>
        <w:r w:rsidRPr="007052FB">
          <w:rPr>
            <w:rStyle w:val="Hyperlink"/>
            <w:rFonts w:cs="Calibri"/>
            <w:b w:val="0"/>
            <w:bCs w:val="0"/>
            <w:szCs w:val="21"/>
          </w:rPr>
        </w:r>
        <w:r w:rsidRPr="007052FB">
          <w:rPr>
            <w:rStyle w:val="Hyperlink"/>
            <w:rFonts w:cs="Calibri"/>
            <w:b w:val="0"/>
            <w:bCs w:val="0"/>
            <w:szCs w:val="21"/>
          </w:rPr>
          <w:fldChar w:fldCharType="separate"/>
        </w:r>
        <w:r w:rsidR="00B56FF8">
          <w:rPr>
            <w:rFonts w:cs="Times New Roman"/>
            <w:b w:val="0"/>
            <w:bCs w:val="0"/>
            <w:webHidden/>
            <w:szCs w:val="21"/>
            <w:rtl/>
          </w:rPr>
          <w:t>6</w:t>
        </w:r>
        <w:r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37"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2-1.1</w:t>
        </w:r>
        <w:r w:rsidR="00AF7D26" w:rsidRPr="00AF7D26">
          <w:rPr>
            <w:rStyle w:val="Hyperlink"/>
            <w:b w:val="0"/>
            <w:bCs w:val="0"/>
            <w:rtl/>
          </w:rPr>
          <w:t xml:space="preserve">: </w:t>
        </w:r>
        <w:r w:rsidR="00AF7D26" w:rsidRPr="00AF7D26">
          <w:rPr>
            <w:rStyle w:val="Hyperlink"/>
            <w:rFonts w:hint="cs"/>
            <w:b w:val="0"/>
            <w:bCs w:val="0"/>
            <w:rtl/>
          </w:rPr>
          <w:t>أثر</w:t>
        </w:r>
        <w:r w:rsidR="00AF7D26" w:rsidRPr="00AF7D26">
          <w:rPr>
            <w:rStyle w:val="Hyperlink"/>
            <w:b w:val="0"/>
            <w:bCs w:val="0"/>
            <w:rtl/>
          </w:rPr>
          <w:t xml:space="preserve"> </w:t>
        </w:r>
        <w:r w:rsidR="00AF7D26" w:rsidRPr="00AF7D26">
          <w:rPr>
            <w:rStyle w:val="Hyperlink"/>
            <w:rFonts w:hint="cs"/>
            <w:b w:val="0"/>
            <w:bCs w:val="0"/>
            <w:rtl/>
          </w:rPr>
          <w:t>زيادة</w:t>
        </w:r>
        <w:r w:rsidR="00AF7D26" w:rsidRPr="00AF7D26">
          <w:rPr>
            <w:rStyle w:val="Hyperlink"/>
            <w:b w:val="0"/>
            <w:bCs w:val="0"/>
            <w:rtl/>
          </w:rPr>
          <w:t xml:space="preserve"> </w:t>
        </w:r>
        <w:r w:rsidR="00AF7D26" w:rsidRPr="00AF7D26">
          <w:rPr>
            <w:rStyle w:val="Hyperlink"/>
            <w:rFonts w:hint="cs"/>
            <w:b w:val="0"/>
            <w:bCs w:val="0"/>
            <w:rtl/>
          </w:rPr>
          <w:t>قدرها</w:t>
        </w:r>
        <w:r w:rsidR="00AF7D26" w:rsidRPr="00AF7D26">
          <w:rPr>
            <w:rStyle w:val="Hyperlink"/>
            <w:b w:val="0"/>
            <w:bCs w:val="0"/>
            <w:rtl/>
          </w:rPr>
          <w:t xml:space="preserve"> </w:t>
        </w:r>
        <w:r w:rsidR="00AF7D26" w:rsidRPr="00AF7D26">
          <w:rPr>
            <w:rStyle w:val="Hyperlink"/>
            <w:b w:val="0"/>
            <w:bCs w:val="0"/>
          </w:rPr>
          <w:t>%10</w:t>
        </w:r>
        <w:r w:rsidR="00AF7D26" w:rsidRPr="00AF7D26">
          <w:rPr>
            <w:rStyle w:val="Hyperlink"/>
            <w:b w:val="0"/>
            <w:bCs w:val="0"/>
            <w:rtl/>
          </w:rPr>
          <w:t xml:space="preserve"> </w:t>
        </w:r>
        <w:r w:rsidR="00AF7D26" w:rsidRPr="00AF7D26">
          <w:rPr>
            <w:rStyle w:val="Hyperlink"/>
            <w:rFonts w:hint="cs"/>
            <w:b w:val="0"/>
            <w:bCs w:val="0"/>
            <w:rtl/>
          </w:rPr>
          <w:t>في</w:t>
        </w:r>
        <w:r w:rsidR="00AF7D26" w:rsidRPr="00AF7D26">
          <w:rPr>
            <w:rStyle w:val="Hyperlink"/>
            <w:b w:val="0"/>
            <w:bCs w:val="0"/>
            <w:rtl/>
          </w:rPr>
          <w:t xml:space="preserve"> </w:t>
        </w:r>
        <w:r w:rsidR="00AF7D26" w:rsidRPr="00AF7D26">
          <w:rPr>
            <w:rStyle w:val="Hyperlink"/>
            <w:rFonts w:hint="cs"/>
            <w:b w:val="0"/>
            <w:bCs w:val="0"/>
            <w:rtl/>
          </w:rPr>
          <w:t>نسبة</w:t>
        </w:r>
        <w:r w:rsidR="00AF7D26" w:rsidRPr="00AF7D26">
          <w:rPr>
            <w:rStyle w:val="Hyperlink"/>
            <w:b w:val="0"/>
            <w:bCs w:val="0"/>
            <w:rtl/>
          </w:rPr>
          <w:t xml:space="preserve"> </w:t>
        </w:r>
        <w:r w:rsidR="00AF7D26" w:rsidRPr="00AF7D26">
          <w:rPr>
            <w:rStyle w:val="Hyperlink"/>
            <w:rFonts w:hint="cs"/>
            <w:b w:val="0"/>
            <w:bCs w:val="0"/>
            <w:rtl/>
          </w:rPr>
          <w:t>تغلغل</w:t>
        </w:r>
        <w:r w:rsidR="00AF7D26" w:rsidRPr="00AF7D26">
          <w:rPr>
            <w:rStyle w:val="Hyperlink"/>
            <w:b w:val="0"/>
            <w:bCs w:val="0"/>
            <w:rtl/>
          </w:rPr>
          <w:t xml:space="preserve"> </w:t>
        </w:r>
        <w:r w:rsidR="00AF7D26" w:rsidRPr="00AF7D26">
          <w:rPr>
            <w:rStyle w:val="Hyperlink"/>
            <w:rFonts w:hint="cs"/>
            <w:b w:val="0"/>
            <w:bCs w:val="0"/>
            <w:rtl/>
          </w:rPr>
          <w:t>النطاق</w:t>
        </w:r>
        <w:r w:rsidR="00AF7D26" w:rsidRPr="00AF7D26">
          <w:rPr>
            <w:rStyle w:val="Hyperlink"/>
            <w:b w:val="0"/>
            <w:bCs w:val="0"/>
            <w:rtl/>
          </w:rPr>
          <w:t xml:space="preserve"> </w:t>
        </w:r>
        <w:r w:rsidR="00AF7D26" w:rsidRPr="00AF7D26">
          <w:rPr>
            <w:rStyle w:val="Hyperlink"/>
            <w:rFonts w:hint="cs"/>
            <w:b w:val="0"/>
            <w:bCs w:val="0"/>
            <w:rtl/>
          </w:rPr>
          <w:t>العريض</w:t>
        </w:r>
        <w:r w:rsidR="00AF7D26" w:rsidRPr="00AF7D26">
          <w:rPr>
            <w:rStyle w:val="Hyperlink"/>
            <w:b w:val="0"/>
            <w:bCs w:val="0"/>
            <w:rtl/>
          </w:rPr>
          <w:t xml:space="preserve"> </w:t>
        </w:r>
        <w:r w:rsidR="00AF7D26" w:rsidRPr="00AF7D26">
          <w:rPr>
            <w:rStyle w:val="Hyperlink"/>
            <w:rFonts w:hint="cs"/>
            <w:b w:val="0"/>
            <w:bCs w:val="0"/>
            <w:rtl/>
          </w:rPr>
          <w:t>الناتج</w:t>
        </w:r>
        <w:r w:rsidR="00AF7D26" w:rsidRPr="00AF7D26">
          <w:rPr>
            <w:rStyle w:val="Hyperlink"/>
            <w:b w:val="0"/>
            <w:bCs w:val="0"/>
            <w:rtl/>
          </w:rPr>
          <w:t xml:space="preserve"> </w:t>
        </w:r>
        <w:r w:rsidR="00AF7D26" w:rsidRPr="00AF7D26">
          <w:rPr>
            <w:rStyle w:val="Hyperlink"/>
            <w:rFonts w:hint="cs"/>
            <w:b w:val="0"/>
            <w:bCs w:val="0"/>
            <w:rtl/>
          </w:rPr>
          <w:t>المحلي</w:t>
        </w:r>
        <w:r w:rsidR="00AF7D26" w:rsidRPr="00AF7D26">
          <w:rPr>
            <w:rStyle w:val="Hyperlink"/>
            <w:b w:val="0"/>
            <w:bCs w:val="0"/>
            <w:rtl/>
          </w:rPr>
          <w:t xml:space="preserve"> </w:t>
        </w:r>
        <w:r w:rsidR="00AF7D26" w:rsidRPr="00AF7D26">
          <w:rPr>
            <w:rStyle w:val="Hyperlink"/>
            <w:rFonts w:hint="cs"/>
            <w:b w:val="0"/>
            <w:bCs w:val="0"/>
            <w:rtl/>
          </w:rPr>
          <w:t>الإجمالي</w:t>
        </w:r>
        <w:r w:rsidR="00AF7D26" w:rsidRPr="00AF7D26">
          <w:rPr>
            <w:rStyle w:val="Hyperlink"/>
            <w:b w:val="0"/>
            <w:bCs w:val="0"/>
            <w:rtl/>
          </w:rPr>
          <w:t xml:space="preserve"> </w:t>
        </w:r>
        <w:r w:rsidR="00AF7D26" w:rsidRPr="00AF7D26">
          <w:rPr>
            <w:rStyle w:val="Hyperlink"/>
            <w:rFonts w:hint="cs"/>
            <w:b w:val="0"/>
            <w:bCs w:val="0"/>
            <w:rtl/>
          </w:rPr>
          <w:t>بمرور</w:t>
        </w:r>
        <w:r w:rsidR="00AF7D26" w:rsidRPr="00AF7D26">
          <w:rPr>
            <w:rStyle w:val="Hyperlink"/>
            <w:b w:val="0"/>
            <w:bCs w:val="0"/>
            <w:rtl/>
          </w:rPr>
          <w:t xml:space="preserve"> </w:t>
        </w:r>
        <w:r w:rsidR="00AF7D26" w:rsidRPr="00AF7D26">
          <w:rPr>
            <w:rStyle w:val="Hyperlink"/>
            <w:rFonts w:hint="cs"/>
            <w:b w:val="0"/>
            <w:bCs w:val="0"/>
            <w:rtl/>
          </w:rPr>
          <w:t>الوقت</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_Toc380497237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7</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38"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3-1.1</w:t>
        </w:r>
        <w:r w:rsidR="00AF7D26" w:rsidRPr="00AF7D26">
          <w:rPr>
            <w:rStyle w:val="Hyperlink"/>
            <w:b w:val="0"/>
            <w:bCs w:val="0"/>
            <w:rtl/>
          </w:rPr>
          <w:t xml:space="preserve">: </w:t>
        </w:r>
        <w:r w:rsidR="00AF7D26" w:rsidRPr="00AF7D26">
          <w:rPr>
            <w:rStyle w:val="Hyperlink"/>
            <w:rFonts w:hint="cs"/>
            <w:b w:val="0"/>
            <w:bCs w:val="0"/>
            <w:rtl/>
          </w:rPr>
          <w:t>أثر</w:t>
        </w:r>
        <w:r w:rsidR="00AF7D26" w:rsidRPr="00AF7D26">
          <w:rPr>
            <w:rStyle w:val="Hyperlink"/>
            <w:b w:val="0"/>
            <w:bCs w:val="0"/>
            <w:rtl/>
          </w:rPr>
          <w:t xml:space="preserve"> </w:t>
        </w:r>
        <w:r w:rsidR="00AF7D26" w:rsidRPr="00AF7D26">
          <w:rPr>
            <w:rStyle w:val="Hyperlink"/>
            <w:rFonts w:hint="cs"/>
            <w:b w:val="0"/>
            <w:bCs w:val="0"/>
            <w:rtl/>
          </w:rPr>
          <w:t>النطاق</w:t>
        </w:r>
        <w:r w:rsidR="00AF7D26" w:rsidRPr="00AF7D26">
          <w:rPr>
            <w:rStyle w:val="Hyperlink"/>
            <w:b w:val="0"/>
            <w:bCs w:val="0"/>
            <w:rtl/>
          </w:rPr>
          <w:t xml:space="preserve"> </w:t>
        </w:r>
        <w:r w:rsidR="00AF7D26" w:rsidRPr="00AF7D26">
          <w:rPr>
            <w:rStyle w:val="Hyperlink"/>
            <w:rFonts w:hint="cs"/>
            <w:b w:val="0"/>
            <w:bCs w:val="0"/>
            <w:rtl/>
          </w:rPr>
          <w:t>العريض</w:t>
        </w:r>
        <w:r w:rsidR="00AF7D26" w:rsidRPr="00AF7D26">
          <w:rPr>
            <w:rStyle w:val="Hyperlink"/>
            <w:b w:val="0"/>
            <w:bCs w:val="0"/>
            <w:rtl/>
          </w:rPr>
          <w:t xml:space="preserve"> </w:t>
        </w:r>
        <w:r w:rsidR="00AF7D26" w:rsidRPr="00AF7D26">
          <w:rPr>
            <w:rStyle w:val="Hyperlink"/>
            <w:rFonts w:hint="cs"/>
            <w:b w:val="0"/>
            <w:bCs w:val="0"/>
            <w:rtl/>
          </w:rPr>
          <w:t>على</w:t>
        </w:r>
        <w:r w:rsidR="00AF7D26" w:rsidRPr="00AF7D26">
          <w:rPr>
            <w:rStyle w:val="Hyperlink"/>
            <w:b w:val="0"/>
            <w:bCs w:val="0"/>
            <w:rtl/>
          </w:rPr>
          <w:t xml:space="preserve"> </w:t>
        </w:r>
        <w:r w:rsidR="00AF7D26" w:rsidRPr="00AF7D26">
          <w:rPr>
            <w:rStyle w:val="Hyperlink"/>
            <w:rFonts w:hint="cs"/>
            <w:b w:val="0"/>
            <w:bCs w:val="0"/>
            <w:rtl/>
          </w:rPr>
          <w:t>الناتج</w:t>
        </w:r>
        <w:r w:rsidR="00AF7D26" w:rsidRPr="00AF7D26">
          <w:rPr>
            <w:rStyle w:val="Hyperlink"/>
            <w:b w:val="0"/>
            <w:bCs w:val="0"/>
            <w:rtl/>
          </w:rPr>
          <w:t xml:space="preserve"> </w:t>
        </w:r>
        <w:r w:rsidR="00AF7D26" w:rsidRPr="00AF7D26">
          <w:rPr>
            <w:rStyle w:val="Hyperlink"/>
            <w:rFonts w:hint="cs"/>
            <w:b w:val="0"/>
            <w:bCs w:val="0"/>
            <w:rtl/>
          </w:rPr>
          <w:t>المحلي</w:t>
        </w:r>
        <w:r w:rsidR="00AF7D26" w:rsidRPr="00AF7D26">
          <w:rPr>
            <w:rStyle w:val="Hyperlink"/>
            <w:b w:val="0"/>
            <w:bCs w:val="0"/>
            <w:rtl/>
          </w:rPr>
          <w:t xml:space="preserve"> </w:t>
        </w:r>
        <w:r w:rsidR="00AF7D26" w:rsidRPr="00AF7D26">
          <w:rPr>
            <w:rStyle w:val="Hyperlink"/>
            <w:rFonts w:hint="cs"/>
            <w:b w:val="0"/>
            <w:bCs w:val="0"/>
            <w:rtl/>
          </w:rPr>
          <w:t>الإجمالي</w:t>
        </w:r>
        <w:r w:rsidR="00AF7D26" w:rsidRPr="00AF7D26">
          <w:rPr>
            <w:rStyle w:val="Hyperlink"/>
            <w:b w:val="0"/>
            <w:bCs w:val="0"/>
            <w:rtl/>
          </w:rPr>
          <w:t xml:space="preserve"> </w:t>
        </w:r>
        <w:r w:rsidR="00AF7D26" w:rsidRPr="00AF7D26">
          <w:rPr>
            <w:rStyle w:val="Hyperlink"/>
            <w:rFonts w:hint="cs"/>
            <w:b w:val="0"/>
            <w:bCs w:val="0"/>
            <w:rtl/>
          </w:rPr>
          <w:t>في</w:t>
        </w:r>
        <w:r w:rsidR="00AF7D26" w:rsidRPr="00AF7D26">
          <w:rPr>
            <w:rStyle w:val="Hyperlink"/>
            <w:b w:val="0"/>
            <w:bCs w:val="0"/>
            <w:rtl/>
          </w:rPr>
          <w:t xml:space="preserve"> </w:t>
        </w:r>
        <w:r w:rsidR="00AF7D26" w:rsidRPr="00AF7D26">
          <w:rPr>
            <w:rStyle w:val="Hyperlink"/>
            <w:rFonts w:hint="cs"/>
            <w:b w:val="0"/>
            <w:bCs w:val="0"/>
            <w:rtl/>
          </w:rPr>
          <w:t>بلدان</w:t>
        </w:r>
        <w:r w:rsidR="00AF7D26" w:rsidRPr="00AF7D26">
          <w:rPr>
            <w:rStyle w:val="Hyperlink"/>
            <w:b w:val="0"/>
            <w:bCs w:val="0"/>
            <w:rtl/>
          </w:rPr>
          <w:t xml:space="preserve"> </w:t>
        </w:r>
        <w:r w:rsidR="00AF7D26" w:rsidRPr="00AF7D26">
          <w:rPr>
            <w:rStyle w:val="Hyperlink"/>
            <w:rFonts w:hint="cs"/>
            <w:b w:val="0"/>
            <w:bCs w:val="0"/>
            <w:rtl/>
          </w:rPr>
          <w:t>أمريكا</w:t>
        </w:r>
        <w:r w:rsidR="00AF7D26" w:rsidRPr="00AF7D26">
          <w:rPr>
            <w:rStyle w:val="Hyperlink"/>
            <w:b w:val="0"/>
            <w:bCs w:val="0"/>
            <w:rtl/>
          </w:rPr>
          <w:t xml:space="preserve"> </w:t>
        </w:r>
        <w:r w:rsidR="00AF7D26" w:rsidRPr="00AF7D26">
          <w:rPr>
            <w:rStyle w:val="Hyperlink"/>
            <w:rFonts w:hint="cs"/>
            <w:b w:val="0"/>
            <w:bCs w:val="0"/>
            <w:rtl/>
          </w:rPr>
          <w:t>اللاتينية</w:t>
        </w:r>
        <w:r w:rsidR="00AF7D26" w:rsidRPr="00AF7D26">
          <w:rPr>
            <w:rStyle w:val="Hyperlink"/>
            <w:b w:val="0"/>
            <w:bCs w:val="0"/>
            <w:rtl/>
          </w:rPr>
          <w:t xml:space="preserve"> </w:t>
        </w:r>
        <w:r w:rsidR="00AF7D26" w:rsidRPr="00AF7D26">
          <w:rPr>
            <w:rStyle w:val="Hyperlink"/>
            <w:rFonts w:hint="cs"/>
            <w:b w:val="0"/>
            <w:bCs w:val="0"/>
            <w:rtl/>
          </w:rPr>
          <w:t>والبحر</w:t>
        </w:r>
        <w:r w:rsidR="00AF7D26" w:rsidRPr="00AF7D26">
          <w:rPr>
            <w:rStyle w:val="Hyperlink"/>
            <w:b w:val="0"/>
            <w:bCs w:val="0"/>
            <w:rtl/>
          </w:rPr>
          <w:t xml:space="preserve"> </w:t>
        </w:r>
        <w:r w:rsidR="00AF7D26" w:rsidRPr="00AF7D26">
          <w:rPr>
            <w:rStyle w:val="Hyperlink"/>
            <w:rFonts w:hint="cs"/>
            <w:b w:val="0"/>
            <w:bCs w:val="0"/>
            <w:rtl/>
          </w:rPr>
          <w:t>الكاريبي</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_Toc380497238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7</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39"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4-1.1</w:t>
        </w:r>
        <w:r w:rsidR="00AF7D26" w:rsidRPr="00AF7D26">
          <w:rPr>
            <w:rStyle w:val="Hyperlink"/>
            <w:b w:val="0"/>
            <w:bCs w:val="0"/>
            <w:rtl/>
          </w:rPr>
          <w:t xml:space="preserve"> - </w:t>
        </w:r>
        <w:r w:rsidR="00AF7D26" w:rsidRPr="00AF7D26">
          <w:rPr>
            <w:rStyle w:val="Hyperlink"/>
            <w:rFonts w:hint="cs"/>
            <w:b w:val="0"/>
            <w:bCs w:val="0"/>
            <w:rtl/>
          </w:rPr>
          <w:t>أثر</w:t>
        </w:r>
        <w:r w:rsidR="00AF7D26" w:rsidRPr="00AF7D26">
          <w:rPr>
            <w:rStyle w:val="Hyperlink"/>
            <w:b w:val="0"/>
            <w:bCs w:val="0"/>
            <w:rtl/>
          </w:rPr>
          <w:t xml:space="preserve"> </w:t>
        </w:r>
        <w:r w:rsidR="00AF7D26" w:rsidRPr="00AF7D26">
          <w:rPr>
            <w:rStyle w:val="Hyperlink"/>
            <w:rFonts w:hint="cs"/>
            <w:b w:val="0"/>
            <w:bCs w:val="0"/>
            <w:rtl/>
          </w:rPr>
          <w:t>مضاعفة</w:t>
        </w:r>
        <w:r w:rsidR="00AF7D26" w:rsidRPr="00AF7D26">
          <w:rPr>
            <w:rStyle w:val="Hyperlink"/>
            <w:b w:val="0"/>
            <w:bCs w:val="0"/>
            <w:rtl/>
          </w:rPr>
          <w:t xml:space="preserve"> </w:t>
        </w:r>
        <w:r w:rsidR="00AF7D26" w:rsidRPr="00AF7D26">
          <w:rPr>
            <w:rStyle w:val="Hyperlink"/>
            <w:rFonts w:hint="cs"/>
            <w:b w:val="0"/>
            <w:bCs w:val="0"/>
            <w:rtl/>
          </w:rPr>
          <w:t>استعمال</w:t>
        </w:r>
        <w:r w:rsidR="00AF7D26" w:rsidRPr="00AF7D26">
          <w:rPr>
            <w:rStyle w:val="Hyperlink"/>
            <w:b w:val="0"/>
            <w:bCs w:val="0"/>
            <w:rtl/>
          </w:rPr>
          <w:t xml:space="preserve"> </w:t>
        </w:r>
        <w:r w:rsidR="00AF7D26" w:rsidRPr="00AF7D26">
          <w:rPr>
            <w:rStyle w:val="Hyperlink"/>
            <w:rFonts w:hint="cs"/>
            <w:b w:val="0"/>
            <w:bCs w:val="0"/>
            <w:rtl/>
          </w:rPr>
          <w:t>البيانات</w:t>
        </w:r>
        <w:r w:rsidR="00AF7D26" w:rsidRPr="00AF7D26">
          <w:rPr>
            <w:rStyle w:val="Hyperlink"/>
            <w:b w:val="0"/>
            <w:bCs w:val="0"/>
            <w:rtl/>
          </w:rPr>
          <w:t xml:space="preserve"> </w:t>
        </w:r>
        <w:r w:rsidR="00AF7D26" w:rsidRPr="00AF7D26">
          <w:rPr>
            <w:rStyle w:val="Hyperlink"/>
            <w:rFonts w:hint="cs"/>
            <w:b w:val="0"/>
            <w:bCs w:val="0"/>
            <w:rtl/>
          </w:rPr>
          <w:t>المتنقلة</w:t>
        </w:r>
        <w:r w:rsidR="00AF7D26" w:rsidRPr="00AF7D26">
          <w:rPr>
            <w:rStyle w:val="Hyperlink"/>
            <w:b w:val="0"/>
            <w:bCs w:val="0"/>
            <w:rtl/>
          </w:rPr>
          <w:t xml:space="preserve"> </w:t>
        </w:r>
        <w:r w:rsidR="00AF7D26" w:rsidRPr="00AF7D26">
          <w:rPr>
            <w:rStyle w:val="Hyperlink"/>
            <w:rFonts w:hint="cs"/>
            <w:b w:val="0"/>
            <w:bCs w:val="0"/>
            <w:rtl/>
          </w:rPr>
          <w:t>لكل</w:t>
        </w:r>
        <w:r w:rsidR="00AF7D26" w:rsidRPr="00AF7D26">
          <w:rPr>
            <w:rStyle w:val="Hyperlink"/>
            <w:b w:val="0"/>
            <w:bCs w:val="0"/>
            <w:rtl/>
          </w:rPr>
          <w:t xml:space="preserve"> </w:t>
        </w:r>
        <w:r w:rsidR="00AF7D26" w:rsidRPr="00AF7D26">
          <w:rPr>
            <w:rStyle w:val="Hyperlink"/>
            <w:rFonts w:hint="cs"/>
            <w:b w:val="0"/>
            <w:bCs w:val="0"/>
            <w:rtl/>
          </w:rPr>
          <w:t>وصلة</w:t>
        </w:r>
        <w:r w:rsidR="00AF7D26" w:rsidRPr="00AF7D26">
          <w:rPr>
            <w:rStyle w:val="Hyperlink"/>
            <w:b w:val="0"/>
            <w:bCs w:val="0"/>
            <w:rtl/>
          </w:rPr>
          <w:t xml:space="preserve"> </w:t>
        </w:r>
        <w:r w:rsidR="00AF7D26" w:rsidRPr="00AF7D26">
          <w:rPr>
            <w:rStyle w:val="Hyperlink"/>
            <w:b w:val="0"/>
            <w:bCs w:val="0"/>
          </w:rPr>
          <w:t>3G</w:t>
        </w:r>
        <w:r w:rsidR="00AF7D26" w:rsidRPr="00AF7D26">
          <w:rPr>
            <w:rStyle w:val="Hyperlink"/>
            <w:b w:val="0"/>
            <w:bCs w:val="0"/>
            <w:rtl/>
          </w:rPr>
          <w:t xml:space="preserve"> </w:t>
        </w:r>
        <w:r w:rsidR="00AF7D26" w:rsidRPr="00AF7D26">
          <w:rPr>
            <w:rStyle w:val="Hyperlink"/>
            <w:rFonts w:hint="cs"/>
            <w:b w:val="0"/>
            <w:bCs w:val="0"/>
            <w:rtl/>
          </w:rPr>
          <w:t>على</w:t>
        </w:r>
        <w:r w:rsidR="00AF7D26" w:rsidRPr="00AF7D26">
          <w:rPr>
            <w:rStyle w:val="Hyperlink"/>
            <w:b w:val="0"/>
            <w:bCs w:val="0"/>
            <w:rtl/>
          </w:rPr>
          <w:t xml:space="preserve"> </w:t>
        </w:r>
        <w:r w:rsidR="00AF7D26" w:rsidRPr="00AF7D26">
          <w:rPr>
            <w:rStyle w:val="Hyperlink"/>
            <w:rFonts w:hint="cs"/>
            <w:b w:val="0"/>
            <w:bCs w:val="0"/>
            <w:rtl/>
          </w:rPr>
          <w:t>نمو</w:t>
        </w:r>
        <w:r w:rsidR="00AF7D26" w:rsidRPr="00AF7D26">
          <w:rPr>
            <w:rStyle w:val="Hyperlink"/>
            <w:b w:val="0"/>
            <w:bCs w:val="0"/>
            <w:rtl/>
          </w:rPr>
          <w:t xml:space="preserve"> </w:t>
        </w:r>
        <w:r w:rsidR="00AF7D26" w:rsidRPr="00AF7D26">
          <w:rPr>
            <w:rStyle w:val="Hyperlink"/>
            <w:rFonts w:hint="cs"/>
            <w:b w:val="0"/>
            <w:bCs w:val="0"/>
            <w:rtl/>
          </w:rPr>
          <w:t>الناتج</w:t>
        </w:r>
        <w:r w:rsidR="00AF7D26" w:rsidRPr="00AF7D26">
          <w:rPr>
            <w:rStyle w:val="Hyperlink"/>
            <w:b w:val="0"/>
            <w:bCs w:val="0"/>
            <w:rtl/>
          </w:rPr>
          <w:t xml:space="preserve"> </w:t>
        </w:r>
        <w:r w:rsidR="00AF7D26" w:rsidRPr="00AF7D26">
          <w:rPr>
            <w:rStyle w:val="Hyperlink"/>
            <w:rFonts w:hint="cs"/>
            <w:b w:val="0"/>
            <w:bCs w:val="0"/>
            <w:rtl/>
          </w:rPr>
          <w:t>المحلي</w:t>
        </w:r>
        <w:r w:rsidR="00AF7D26" w:rsidRPr="00AF7D26">
          <w:rPr>
            <w:rStyle w:val="Hyperlink"/>
            <w:b w:val="0"/>
            <w:bCs w:val="0"/>
            <w:rtl/>
          </w:rPr>
          <w:t xml:space="preserve"> </w:t>
        </w:r>
        <w:r w:rsidR="00AF7D26" w:rsidRPr="00AF7D26">
          <w:rPr>
            <w:rStyle w:val="Hyperlink"/>
            <w:rFonts w:hint="cs"/>
            <w:b w:val="0"/>
            <w:bCs w:val="0"/>
            <w:rtl/>
          </w:rPr>
          <w:t>الإجمالي</w:t>
        </w:r>
        <w:r w:rsidR="00AF7D26" w:rsidRPr="00AF7D26">
          <w:rPr>
            <w:rStyle w:val="Hyperlink"/>
            <w:b w:val="0"/>
            <w:bCs w:val="0"/>
            <w:rtl/>
          </w:rPr>
          <w:t xml:space="preserve"> </w:t>
        </w:r>
        <w:r w:rsidR="00AF7D26" w:rsidRPr="00AF7D26">
          <w:rPr>
            <w:rStyle w:val="Hyperlink"/>
            <w:rFonts w:hint="cs"/>
            <w:b w:val="0"/>
            <w:bCs w:val="0"/>
            <w:rtl/>
          </w:rPr>
          <w:t>للفرد</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_Toc380497239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8</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0"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lang w:bidi="ar"/>
          </w:rPr>
          <w:t>1-1.3</w:t>
        </w:r>
        <w:r w:rsidR="00AF7D26" w:rsidRPr="00AF7D26">
          <w:rPr>
            <w:rStyle w:val="Hyperlink"/>
            <w:b w:val="0"/>
            <w:bCs w:val="0"/>
            <w:rtl/>
            <w:lang w:bidi="ar"/>
          </w:rPr>
          <w:t xml:space="preserve">: </w:t>
        </w:r>
        <w:r w:rsidR="00AF7D26" w:rsidRPr="00AF7D26">
          <w:rPr>
            <w:rStyle w:val="Hyperlink"/>
            <w:rFonts w:hint="cs"/>
            <w:b w:val="0"/>
            <w:bCs w:val="0"/>
            <w:rtl/>
          </w:rPr>
          <w:t>التقدم</w:t>
        </w:r>
        <w:r w:rsidR="00AF7D26" w:rsidRPr="00AF7D26">
          <w:rPr>
            <w:rStyle w:val="Hyperlink"/>
            <w:b w:val="0"/>
            <w:bCs w:val="0"/>
            <w:rtl/>
          </w:rPr>
          <w:t xml:space="preserve"> </w:t>
        </w:r>
        <w:r w:rsidR="00AF7D26" w:rsidRPr="00AF7D26">
          <w:rPr>
            <w:rStyle w:val="Hyperlink"/>
            <w:rFonts w:hint="cs"/>
            <w:b w:val="0"/>
            <w:bCs w:val="0"/>
            <w:rtl/>
          </w:rPr>
          <w:t>المحرز</w:t>
        </w:r>
        <w:r w:rsidR="00AF7D26" w:rsidRPr="00AF7D26">
          <w:rPr>
            <w:rStyle w:val="Hyperlink"/>
            <w:b w:val="0"/>
            <w:bCs w:val="0"/>
            <w:rtl/>
          </w:rPr>
          <w:t xml:space="preserve"> </w:t>
        </w:r>
        <w:r w:rsidR="00AF7D26" w:rsidRPr="00AF7D26">
          <w:rPr>
            <w:rStyle w:val="Hyperlink"/>
            <w:rFonts w:hint="cs"/>
            <w:b w:val="0"/>
            <w:bCs w:val="0"/>
            <w:rtl/>
          </w:rPr>
          <w:t>للتكنولوجيات</w:t>
        </w:r>
        <w:r w:rsidR="00AF7D26" w:rsidRPr="00AF7D26">
          <w:rPr>
            <w:rStyle w:val="Hyperlink"/>
            <w:b w:val="0"/>
            <w:bCs w:val="0"/>
            <w:rtl/>
          </w:rPr>
          <w:t xml:space="preserve"> </w:t>
        </w:r>
        <w:r w:rsidR="00AF7D26" w:rsidRPr="00AF7D26">
          <w:rPr>
            <w:rStyle w:val="Hyperlink"/>
            <w:rFonts w:hint="cs"/>
            <w:b w:val="0"/>
            <w:bCs w:val="0"/>
            <w:rtl/>
          </w:rPr>
          <w:t>السلكية</w:t>
        </w:r>
        <w:r w:rsidR="00AF7D26" w:rsidRPr="00AF7D26">
          <w:rPr>
            <w:rStyle w:val="Hyperlink"/>
            <w:b w:val="0"/>
            <w:bCs w:val="0"/>
            <w:rtl/>
          </w:rPr>
          <w:t xml:space="preserve"> </w:t>
        </w:r>
        <w:r w:rsidR="00AF7D26" w:rsidRPr="00AF7D26">
          <w:rPr>
            <w:rStyle w:val="Hyperlink"/>
            <w:rFonts w:hint="cs"/>
            <w:b w:val="0"/>
            <w:bCs w:val="0"/>
            <w:rtl/>
          </w:rPr>
          <w:t>واللاسلكية</w:t>
        </w:r>
        <w:r w:rsidR="00AF7D26" w:rsidRPr="00AF7D26">
          <w:rPr>
            <w:rStyle w:val="Hyperlink"/>
            <w:b w:val="0"/>
            <w:bCs w:val="0"/>
            <w:rtl/>
          </w:rPr>
          <w:t xml:space="preserve"> </w:t>
        </w:r>
        <w:r w:rsidR="00AF7D26" w:rsidRPr="00AF7D26">
          <w:rPr>
            <w:rStyle w:val="Hyperlink"/>
            <w:rFonts w:hint="cs"/>
            <w:b w:val="0"/>
            <w:bCs w:val="0"/>
            <w:rtl/>
          </w:rPr>
          <w:t>في</w:t>
        </w:r>
        <w:r w:rsidR="00AF7D26" w:rsidRPr="00AF7D26">
          <w:rPr>
            <w:rStyle w:val="Hyperlink"/>
            <w:b w:val="0"/>
            <w:bCs w:val="0"/>
            <w:rtl/>
          </w:rPr>
          <w:t xml:space="preserve"> </w:t>
        </w:r>
        <w:r w:rsidR="00AF7D26" w:rsidRPr="00AF7D26">
          <w:rPr>
            <w:rStyle w:val="Hyperlink"/>
            <w:rFonts w:hint="cs"/>
            <w:b w:val="0"/>
            <w:bCs w:val="0"/>
            <w:rtl/>
          </w:rPr>
          <w:t>معدلات</w:t>
        </w:r>
        <w:r w:rsidR="00AF7D26" w:rsidRPr="00AF7D26">
          <w:rPr>
            <w:rStyle w:val="Hyperlink"/>
            <w:b w:val="0"/>
            <w:bCs w:val="0"/>
            <w:rtl/>
          </w:rPr>
          <w:t xml:space="preserve"> </w:t>
        </w:r>
        <w:r w:rsidR="00AF7D26" w:rsidRPr="00AF7D26">
          <w:rPr>
            <w:rStyle w:val="Hyperlink"/>
            <w:rFonts w:hint="cs"/>
            <w:b w:val="0"/>
            <w:bCs w:val="0"/>
            <w:rtl/>
          </w:rPr>
          <w:t>صبيب</w:t>
        </w:r>
        <w:r w:rsidR="00AF7D26" w:rsidRPr="00AF7D26">
          <w:rPr>
            <w:rStyle w:val="Hyperlink"/>
            <w:b w:val="0"/>
            <w:bCs w:val="0"/>
            <w:rtl/>
          </w:rPr>
          <w:t xml:space="preserve"> </w:t>
        </w:r>
        <w:r w:rsidR="00AF7D26" w:rsidRPr="00AF7D26">
          <w:rPr>
            <w:rStyle w:val="Hyperlink"/>
            <w:rFonts w:hint="cs"/>
            <w:b w:val="0"/>
            <w:bCs w:val="0"/>
            <w:rtl/>
          </w:rPr>
          <w:t>المستخدم</w:t>
        </w:r>
        <w:r w:rsidR="00AF7D26" w:rsidRPr="00AF7D26">
          <w:rPr>
            <w:rStyle w:val="Hyperlink"/>
            <w:b w:val="0"/>
            <w:bCs w:val="0"/>
            <w:rtl/>
          </w:rPr>
          <w:t xml:space="preserve"> </w:t>
        </w:r>
        <w:r w:rsidR="00AF7D26" w:rsidRPr="00AF7D26">
          <w:rPr>
            <w:rStyle w:val="Hyperlink"/>
            <w:rFonts w:hint="cs"/>
            <w:b w:val="0"/>
            <w:bCs w:val="0"/>
            <w:rtl/>
          </w:rPr>
          <w:t>النمطية</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_Toc380497240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24</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1"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lang w:val="en-GB" w:bidi="ar"/>
          </w:rPr>
          <w:t>2-1.3</w:t>
        </w:r>
        <w:r w:rsidR="00AF7D26" w:rsidRPr="00AF7D26">
          <w:rPr>
            <w:rStyle w:val="Hyperlink"/>
            <w:b w:val="0"/>
            <w:bCs w:val="0"/>
            <w:rtl/>
            <w:lang w:val="en-GB" w:bidi="ar"/>
          </w:rPr>
          <w:t xml:space="preserve">: </w:t>
        </w:r>
        <w:r w:rsidR="00AF7D26" w:rsidRPr="00AF7D26">
          <w:rPr>
            <w:rStyle w:val="Hyperlink"/>
            <w:rFonts w:hint="cs"/>
            <w:b w:val="0"/>
            <w:bCs w:val="0"/>
            <w:rtl/>
          </w:rPr>
          <w:t>الخلايا</w:t>
        </w:r>
        <w:r w:rsidR="00AF7D26" w:rsidRPr="00AF7D26">
          <w:rPr>
            <w:rStyle w:val="Hyperlink"/>
            <w:b w:val="0"/>
            <w:bCs w:val="0"/>
            <w:rtl/>
          </w:rPr>
          <w:t xml:space="preserve"> </w:t>
        </w:r>
        <w:r w:rsidR="00AF7D26" w:rsidRPr="00AF7D26">
          <w:rPr>
            <w:rStyle w:val="Hyperlink"/>
            <w:rFonts w:hint="cs"/>
            <w:b w:val="0"/>
            <w:bCs w:val="0"/>
            <w:rtl/>
          </w:rPr>
          <w:t>الفيمتوية</w:t>
        </w:r>
        <w:r w:rsidR="00AF7D26" w:rsidRPr="00AF7D26">
          <w:rPr>
            <w:rStyle w:val="Hyperlink"/>
            <w:b w:val="0"/>
            <w:bCs w:val="0"/>
            <w:rtl/>
          </w:rPr>
          <w:t xml:space="preserve"> </w:t>
        </w:r>
        <w:r w:rsidR="00AF7D26" w:rsidRPr="00AF7D26">
          <w:rPr>
            <w:rStyle w:val="Hyperlink"/>
            <w:rFonts w:hint="cs"/>
            <w:b w:val="0"/>
            <w:bCs w:val="0"/>
            <w:rtl/>
          </w:rPr>
          <w:t>المستخدمة</w:t>
        </w:r>
        <w:r w:rsidR="00AF7D26" w:rsidRPr="00AF7D26">
          <w:rPr>
            <w:rStyle w:val="Hyperlink"/>
            <w:b w:val="0"/>
            <w:bCs w:val="0"/>
            <w:rtl/>
          </w:rPr>
          <w:t xml:space="preserve"> </w:t>
        </w:r>
        <w:r w:rsidR="00AF7D26" w:rsidRPr="00AF7D26">
          <w:rPr>
            <w:rStyle w:val="Hyperlink"/>
            <w:rFonts w:hint="cs"/>
            <w:b w:val="0"/>
            <w:bCs w:val="0"/>
            <w:rtl/>
          </w:rPr>
          <w:t>لتوسيع</w:t>
        </w:r>
        <w:r w:rsidR="00AF7D26" w:rsidRPr="00AF7D26">
          <w:rPr>
            <w:rStyle w:val="Hyperlink"/>
            <w:b w:val="0"/>
            <w:bCs w:val="0"/>
            <w:rtl/>
          </w:rPr>
          <w:t xml:space="preserve"> </w:t>
        </w:r>
        <w:r w:rsidR="00AF7D26" w:rsidRPr="00AF7D26">
          <w:rPr>
            <w:rStyle w:val="Hyperlink"/>
            <w:rFonts w:hint="cs"/>
            <w:b w:val="0"/>
            <w:bCs w:val="0"/>
            <w:rtl/>
          </w:rPr>
          <w:t>السعة</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_Toc380497241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25</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2"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lang w:bidi="ar"/>
          </w:rPr>
          <w:t>1-2.3</w:t>
        </w:r>
        <w:r w:rsidR="00AF7D26" w:rsidRPr="00AF7D26">
          <w:rPr>
            <w:rStyle w:val="Hyperlink"/>
            <w:b w:val="0"/>
            <w:bCs w:val="0"/>
            <w:rtl/>
            <w:lang w:bidi="ar"/>
          </w:rPr>
          <w:t xml:space="preserve">: </w:t>
        </w:r>
        <w:r w:rsidR="00AF7D26" w:rsidRPr="00AF7D26">
          <w:rPr>
            <w:rStyle w:val="Hyperlink"/>
            <w:rFonts w:hint="cs"/>
            <w:b w:val="0"/>
            <w:bCs w:val="0"/>
            <w:rtl/>
            <w:lang w:bidi="ar"/>
          </w:rPr>
          <w:t>المقارنة</w:t>
        </w:r>
        <w:r w:rsidR="00AF7D26" w:rsidRPr="00AF7D26">
          <w:rPr>
            <w:rStyle w:val="Hyperlink"/>
            <w:b w:val="0"/>
            <w:bCs w:val="0"/>
            <w:rtl/>
            <w:lang w:bidi="ar"/>
          </w:rPr>
          <w:t xml:space="preserve"> </w:t>
        </w:r>
        <w:r w:rsidR="00AF7D26" w:rsidRPr="00AF7D26">
          <w:rPr>
            <w:rStyle w:val="Hyperlink"/>
            <w:rFonts w:hint="cs"/>
            <w:b w:val="0"/>
            <w:bCs w:val="0"/>
            <w:rtl/>
            <w:lang w:bidi="ar"/>
          </w:rPr>
          <w:t>بين</w:t>
        </w:r>
        <w:r w:rsidR="00AF7D26" w:rsidRPr="00AF7D26">
          <w:rPr>
            <w:rStyle w:val="Hyperlink"/>
            <w:b w:val="0"/>
            <w:bCs w:val="0"/>
            <w:rtl/>
            <w:lang w:bidi="ar"/>
          </w:rPr>
          <w:t xml:space="preserve"> </w:t>
        </w:r>
        <w:r w:rsidR="00AF7D26" w:rsidRPr="00AF7D26">
          <w:rPr>
            <w:rStyle w:val="Hyperlink"/>
            <w:rFonts w:hint="cs"/>
            <w:b w:val="0"/>
            <w:bCs w:val="0"/>
            <w:rtl/>
            <w:lang w:bidi="ar"/>
          </w:rPr>
          <w:t>كفاءة</w:t>
        </w:r>
        <w:r w:rsidR="00AF7D26" w:rsidRPr="00AF7D26">
          <w:rPr>
            <w:rStyle w:val="Hyperlink"/>
            <w:b w:val="0"/>
            <w:bCs w:val="0"/>
            <w:rtl/>
            <w:lang w:bidi="ar"/>
          </w:rPr>
          <w:t xml:space="preserve"> </w:t>
        </w:r>
        <w:r w:rsidR="00AF7D26" w:rsidRPr="00AF7D26">
          <w:rPr>
            <w:rStyle w:val="Hyperlink"/>
            <w:rFonts w:hint="cs"/>
            <w:b w:val="0"/>
            <w:bCs w:val="0"/>
            <w:rtl/>
            <w:lang w:bidi="ar"/>
          </w:rPr>
          <w:t>خلية</w:t>
        </w:r>
        <w:r w:rsidR="00AF7D26" w:rsidRPr="00AF7D26">
          <w:rPr>
            <w:rStyle w:val="Hyperlink"/>
            <w:b w:val="0"/>
            <w:bCs w:val="0"/>
            <w:rtl/>
            <w:lang w:bidi="ar"/>
          </w:rPr>
          <w:t xml:space="preserve"> </w:t>
        </w:r>
        <w:r w:rsidR="00AF7D26" w:rsidRPr="00AF7D26">
          <w:rPr>
            <w:rStyle w:val="Hyperlink"/>
            <w:rFonts w:hint="cs"/>
            <w:b w:val="0"/>
            <w:bCs w:val="0"/>
            <w:rtl/>
            <w:lang w:bidi="ar"/>
          </w:rPr>
          <w:t>ماكروية</w:t>
        </w:r>
        <w:r w:rsidR="00AF7D26" w:rsidRPr="00AF7D26">
          <w:rPr>
            <w:rStyle w:val="Hyperlink"/>
            <w:b w:val="0"/>
            <w:bCs w:val="0"/>
            <w:rtl/>
            <w:lang w:bidi="ar"/>
          </w:rPr>
          <w:t xml:space="preserve"> </w:t>
        </w:r>
        <w:r w:rsidR="00AF7D26" w:rsidRPr="00AF7D26">
          <w:rPr>
            <w:rStyle w:val="Hyperlink"/>
            <w:rFonts w:hint="cs"/>
            <w:b w:val="0"/>
            <w:bCs w:val="0"/>
            <w:rtl/>
            <w:lang w:bidi="ar"/>
          </w:rPr>
          <w:t>وخلية</w:t>
        </w:r>
        <w:r w:rsidR="00AF7D26" w:rsidRPr="00AF7D26">
          <w:rPr>
            <w:rStyle w:val="Hyperlink"/>
            <w:b w:val="0"/>
            <w:bCs w:val="0"/>
            <w:rtl/>
            <w:lang w:bidi="ar"/>
          </w:rPr>
          <w:t xml:space="preserve"> </w:t>
        </w:r>
        <w:r w:rsidR="00AF7D26" w:rsidRPr="00AF7D26">
          <w:rPr>
            <w:rStyle w:val="Hyperlink"/>
            <w:rFonts w:hint="cs"/>
            <w:b w:val="0"/>
            <w:bCs w:val="0"/>
            <w:rtl/>
            <w:lang w:bidi="ar"/>
          </w:rPr>
          <w:t>ميكروية</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_Toc380497242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27</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3"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lang w:bidi="ar"/>
          </w:rPr>
          <w:t>1-3.3</w:t>
        </w:r>
        <w:r w:rsidR="00AF7D26" w:rsidRPr="00AF7D26">
          <w:rPr>
            <w:rStyle w:val="Hyperlink"/>
            <w:b w:val="0"/>
            <w:bCs w:val="0"/>
            <w:rtl/>
          </w:rPr>
          <w:t xml:space="preserve">: </w:t>
        </w:r>
        <w:r w:rsidR="00AF7D26" w:rsidRPr="00AF7D26">
          <w:rPr>
            <w:rStyle w:val="Hyperlink"/>
            <w:rFonts w:hint="cs"/>
            <w:b w:val="0"/>
            <w:bCs w:val="0"/>
            <w:rtl/>
          </w:rPr>
          <w:t>تشكيلة</w:t>
        </w:r>
        <w:r w:rsidR="00AF7D26" w:rsidRPr="00AF7D26">
          <w:rPr>
            <w:rStyle w:val="Hyperlink"/>
            <w:b w:val="0"/>
            <w:bCs w:val="0"/>
            <w:rtl/>
          </w:rPr>
          <w:t xml:space="preserve"> </w:t>
        </w:r>
        <w:r w:rsidR="00AF7D26" w:rsidRPr="00AF7D26">
          <w:rPr>
            <w:rStyle w:val="Hyperlink"/>
            <w:rFonts w:hint="cs"/>
            <w:b w:val="0"/>
            <w:bCs w:val="0"/>
            <w:rtl/>
            <w:lang w:bidi="ar"/>
          </w:rPr>
          <w:t>معدد</w:t>
        </w:r>
        <w:r w:rsidR="00AF7D26" w:rsidRPr="00AF7D26">
          <w:rPr>
            <w:rStyle w:val="Hyperlink"/>
            <w:b w:val="0"/>
            <w:bCs w:val="0"/>
            <w:rtl/>
            <w:lang w:bidi="ar"/>
          </w:rPr>
          <w:t xml:space="preserve"> </w:t>
        </w:r>
        <w:r w:rsidR="00AF7D26" w:rsidRPr="00AF7D26">
          <w:rPr>
            <w:rStyle w:val="Hyperlink"/>
            <w:rFonts w:hint="cs"/>
            <w:b w:val="0"/>
            <w:bCs w:val="0"/>
            <w:rtl/>
            <w:lang w:bidi="ar"/>
          </w:rPr>
          <w:t>إرسال</w:t>
        </w:r>
        <w:r w:rsidR="00AF7D26" w:rsidRPr="00AF7D26">
          <w:rPr>
            <w:rStyle w:val="Hyperlink"/>
            <w:b w:val="0"/>
            <w:bCs w:val="0"/>
            <w:rtl/>
            <w:lang w:bidi="ar"/>
          </w:rPr>
          <w:t xml:space="preserve"> </w:t>
        </w:r>
        <w:r w:rsidR="00AF7D26" w:rsidRPr="00AF7D26">
          <w:rPr>
            <w:rStyle w:val="Hyperlink"/>
            <w:rFonts w:hint="cs"/>
            <w:b w:val="0"/>
            <w:bCs w:val="0"/>
            <w:rtl/>
            <w:lang w:bidi="ar"/>
          </w:rPr>
          <w:t>النفاذ</w:t>
        </w:r>
        <w:r w:rsidR="00AF7D26" w:rsidRPr="00AF7D26">
          <w:rPr>
            <w:rStyle w:val="Hyperlink"/>
            <w:b w:val="0"/>
            <w:bCs w:val="0"/>
            <w:rtl/>
            <w:lang w:bidi="ar"/>
          </w:rPr>
          <w:t xml:space="preserve"> </w:t>
        </w:r>
        <w:r w:rsidR="00AF7D26" w:rsidRPr="00AF7D26">
          <w:rPr>
            <w:rStyle w:val="Hyperlink"/>
            <w:rFonts w:hint="cs"/>
            <w:b w:val="0"/>
            <w:bCs w:val="0"/>
            <w:rtl/>
            <w:lang w:bidi="ar"/>
          </w:rPr>
          <w:t>إلى</w:t>
        </w:r>
        <w:r w:rsidR="00AF7D26" w:rsidRPr="00AF7D26">
          <w:rPr>
            <w:rStyle w:val="Hyperlink"/>
            <w:b w:val="0"/>
            <w:bCs w:val="0"/>
            <w:rtl/>
            <w:lang w:bidi="ar"/>
          </w:rPr>
          <w:t xml:space="preserve"> </w:t>
        </w:r>
        <w:r w:rsidR="00AF7D26" w:rsidRPr="00AF7D26">
          <w:rPr>
            <w:rStyle w:val="Hyperlink"/>
            <w:rFonts w:hint="cs"/>
            <w:b w:val="0"/>
            <w:bCs w:val="0"/>
            <w:rtl/>
            <w:lang w:bidi="ar"/>
          </w:rPr>
          <w:t>الخط</w:t>
        </w:r>
        <w:r w:rsidR="00AF7D26" w:rsidRPr="00AF7D26">
          <w:rPr>
            <w:rStyle w:val="Hyperlink"/>
            <w:b w:val="0"/>
            <w:bCs w:val="0"/>
            <w:rtl/>
            <w:lang w:bidi="ar"/>
          </w:rPr>
          <w:t xml:space="preserve"> </w:t>
        </w:r>
        <w:r w:rsidR="00AF7D26" w:rsidRPr="00AF7D26">
          <w:rPr>
            <w:rStyle w:val="Hyperlink"/>
            <w:rFonts w:hint="cs"/>
            <w:b w:val="0"/>
            <w:bCs w:val="0"/>
            <w:rtl/>
            <w:lang w:bidi="ar"/>
          </w:rPr>
          <w:t>الرقمي</w:t>
        </w:r>
        <w:r w:rsidR="00AF7D26" w:rsidRPr="00AF7D26">
          <w:rPr>
            <w:rStyle w:val="Hyperlink"/>
            <w:b w:val="0"/>
            <w:bCs w:val="0"/>
            <w:rtl/>
            <w:lang w:bidi="ar"/>
          </w:rPr>
          <w:t xml:space="preserve"> </w:t>
        </w:r>
        <w:r w:rsidR="00AF7D26" w:rsidRPr="00AF7D26">
          <w:rPr>
            <w:rStyle w:val="Hyperlink"/>
            <w:rFonts w:hint="cs"/>
            <w:b w:val="0"/>
            <w:bCs w:val="0"/>
            <w:rtl/>
            <w:lang w:bidi="ar"/>
          </w:rPr>
          <w:t>للمشترك</w:t>
        </w:r>
        <w:r w:rsidR="00AF7D26" w:rsidRPr="00AF7D26">
          <w:rPr>
            <w:rStyle w:val="Hyperlink"/>
            <w:b w:val="0"/>
            <w:bCs w:val="0"/>
            <w:rtl/>
            <w:lang w:bidi="ar"/>
          </w:rPr>
          <w:t xml:space="preserve"> </w:t>
        </w:r>
        <w:r w:rsidR="00AF7D26" w:rsidRPr="00AF7D26">
          <w:rPr>
            <w:rStyle w:val="Hyperlink"/>
            <w:b w:val="0"/>
            <w:bCs w:val="0"/>
            <w:lang w:bidi="ar"/>
          </w:rPr>
          <w:t>(DSLAM)</w:t>
        </w:r>
        <w:r w:rsidR="00AF7D26" w:rsidRPr="00AF7D26">
          <w:rPr>
            <w:rStyle w:val="Hyperlink"/>
            <w:b w:val="0"/>
            <w:bCs w:val="0"/>
            <w:rtl/>
            <w:lang w:bidi="ar"/>
          </w:rPr>
          <w:t xml:space="preserve"> </w:t>
        </w:r>
        <w:r w:rsidR="00AF7D26" w:rsidRPr="00AF7D26">
          <w:rPr>
            <w:rStyle w:val="Hyperlink"/>
            <w:rFonts w:hint="cs"/>
            <w:b w:val="0"/>
            <w:bCs w:val="0"/>
            <w:rtl/>
            <w:lang w:bidi="ar"/>
          </w:rPr>
          <w:t>البعيد</w:t>
        </w:r>
        <w:r w:rsidR="00AF7D26" w:rsidRPr="00AF7D26">
          <w:rPr>
            <w:rStyle w:val="Hyperlink"/>
            <w:b w:val="0"/>
            <w:bCs w:val="0"/>
            <w:rtl/>
            <w:lang w:bidi="ar"/>
          </w:rPr>
          <w:t xml:space="preserve"> </w:t>
        </w:r>
        <w:r w:rsidR="00AF7D26" w:rsidRPr="00AF7D26">
          <w:rPr>
            <w:rStyle w:val="Hyperlink"/>
            <w:rFonts w:hint="cs"/>
            <w:b w:val="0"/>
            <w:bCs w:val="0"/>
            <w:rtl/>
            <w:lang w:bidi="ar"/>
          </w:rPr>
          <w:t>بالنسبة</w:t>
        </w:r>
        <w:r w:rsidR="00AF7D26" w:rsidRPr="00AF7D26">
          <w:rPr>
            <w:rStyle w:val="Hyperlink"/>
            <w:b w:val="0"/>
            <w:bCs w:val="0"/>
            <w:rtl/>
            <w:lang w:bidi="ar"/>
          </w:rPr>
          <w:t xml:space="preserve"> </w:t>
        </w:r>
        <w:r w:rsidR="00AF7D26" w:rsidRPr="00AF7D26">
          <w:rPr>
            <w:rStyle w:val="Hyperlink"/>
            <w:rFonts w:hint="cs"/>
            <w:b w:val="0"/>
            <w:bCs w:val="0"/>
            <w:rtl/>
            <w:lang w:bidi="ar"/>
          </w:rPr>
          <w:t>إلى</w:t>
        </w:r>
        <w:r w:rsidR="00AF7D26" w:rsidRPr="00AF7D26">
          <w:rPr>
            <w:rStyle w:val="Hyperlink"/>
            <w:b w:val="0"/>
            <w:bCs w:val="0"/>
            <w:rtl/>
            <w:lang w:bidi="ar"/>
          </w:rPr>
          <w:t xml:space="preserve"> </w:t>
        </w:r>
        <w:r w:rsidR="00AF7D26" w:rsidRPr="00AF7D26">
          <w:rPr>
            <w:rStyle w:val="Hyperlink"/>
            <w:rFonts w:hint="cs"/>
            <w:b w:val="0"/>
            <w:bCs w:val="0"/>
            <w:rtl/>
            <w:lang w:bidi="ar"/>
          </w:rPr>
          <w:t>الخط</w:t>
        </w:r>
        <w:r w:rsidR="00AF7D26" w:rsidRPr="00AF7D26">
          <w:rPr>
            <w:rStyle w:val="Hyperlink"/>
            <w:b w:val="0"/>
            <w:bCs w:val="0"/>
            <w:rtl/>
            <w:lang w:bidi="ar"/>
          </w:rPr>
          <w:t xml:space="preserve"> </w:t>
        </w:r>
        <w:r w:rsidR="00AF7D26" w:rsidRPr="00AF7D26">
          <w:rPr>
            <w:rStyle w:val="Hyperlink"/>
            <w:rFonts w:hint="cs"/>
            <w:b w:val="0"/>
            <w:bCs w:val="0"/>
            <w:rtl/>
            <w:lang w:bidi="ar"/>
          </w:rPr>
          <w:t>الرقمي</w:t>
        </w:r>
        <w:r w:rsidR="00AF7D26">
          <w:rPr>
            <w:rStyle w:val="Hyperlink"/>
            <w:rFonts w:hint="cs"/>
            <w:b w:val="0"/>
            <w:bCs w:val="0"/>
            <w:rtl/>
            <w:lang w:bidi="ar"/>
          </w:rPr>
          <w:br/>
        </w:r>
        <w:r w:rsidR="00AF7D26" w:rsidRPr="00AF7D26">
          <w:rPr>
            <w:rStyle w:val="Hyperlink"/>
            <w:rFonts w:hint="cs"/>
            <w:b w:val="0"/>
            <w:bCs w:val="0"/>
            <w:rtl/>
            <w:lang w:bidi="ar"/>
          </w:rPr>
          <w:t>التناظري</w:t>
        </w:r>
        <w:r w:rsidR="00AF7D26" w:rsidRPr="00AF7D26">
          <w:rPr>
            <w:rStyle w:val="Hyperlink"/>
            <w:b w:val="0"/>
            <w:bCs w:val="0"/>
            <w:rtl/>
            <w:lang w:bidi="ar"/>
          </w:rPr>
          <w:t xml:space="preserve"> </w:t>
        </w:r>
        <w:r w:rsidR="00AF7D26" w:rsidRPr="00AF7D26">
          <w:rPr>
            <w:rStyle w:val="Hyperlink"/>
            <w:rFonts w:hint="cs"/>
            <w:b w:val="0"/>
            <w:bCs w:val="0"/>
            <w:rtl/>
            <w:lang w:bidi="ar"/>
          </w:rPr>
          <w:t>عالي</w:t>
        </w:r>
        <w:r w:rsidR="00AF7D26" w:rsidRPr="00AF7D26">
          <w:rPr>
            <w:rStyle w:val="Hyperlink"/>
            <w:b w:val="0"/>
            <w:bCs w:val="0"/>
            <w:rtl/>
            <w:lang w:bidi="ar"/>
          </w:rPr>
          <w:t xml:space="preserve"> </w:t>
        </w:r>
        <w:r w:rsidR="00AF7D26" w:rsidRPr="00AF7D26">
          <w:rPr>
            <w:rStyle w:val="Hyperlink"/>
            <w:rFonts w:hint="cs"/>
            <w:b w:val="0"/>
            <w:bCs w:val="0"/>
            <w:rtl/>
            <w:lang w:bidi="ar"/>
          </w:rPr>
          <w:t>السرعة</w:t>
        </w:r>
        <w:r w:rsidR="00AF7D26" w:rsidRPr="00AF7D26">
          <w:rPr>
            <w:rStyle w:val="Hyperlink"/>
            <w:b w:val="0"/>
            <w:bCs w:val="0"/>
            <w:rtl/>
            <w:lang w:bidi="ar"/>
          </w:rPr>
          <w:t xml:space="preserve"> </w:t>
        </w:r>
        <w:r w:rsidR="00AF7D26" w:rsidRPr="00AF7D26">
          <w:rPr>
            <w:rStyle w:val="Hyperlink"/>
            <w:rFonts w:hint="cs"/>
            <w:b w:val="0"/>
            <w:bCs w:val="0"/>
            <w:rtl/>
            <w:lang w:bidi="ar"/>
          </w:rPr>
          <w:t>للمشترك</w:t>
        </w:r>
        <w:r w:rsidR="00AF7D26" w:rsidRPr="00AF7D26">
          <w:rPr>
            <w:rStyle w:val="Hyperlink"/>
            <w:b w:val="0"/>
            <w:bCs w:val="0"/>
            <w:rtl/>
            <w:lang w:bidi="ar"/>
          </w:rPr>
          <w:t xml:space="preserve"> </w:t>
        </w:r>
        <w:r w:rsidR="00AF7D26" w:rsidRPr="00AF7D26">
          <w:rPr>
            <w:rStyle w:val="Hyperlink"/>
            <w:b w:val="0"/>
            <w:bCs w:val="0"/>
            <w:lang w:bidi="ar"/>
          </w:rPr>
          <w:t>(SHDSL)</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_Toc380497243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29</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4" w:history="1">
        <w:r w:rsidR="00AF7D26" w:rsidRPr="00AF7D26">
          <w:rPr>
            <w:rStyle w:val="Hyperlink"/>
            <w:rFonts w:hint="cs"/>
            <w:b w:val="0"/>
            <w:bCs w:val="0"/>
            <w:rtl/>
            <w:lang w:bidi="ar"/>
          </w:rPr>
          <w:t>الشكل</w:t>
        </w:r>
        <w:r w:rsidR="00AF7D26" w:rsidRPr="00AF7D26">
          <w:rPr>
            <w:rStyle w:val="Hyperlink"/>
            <w:b w:val="0"/>
            <w:bCs w:val="0"/>
            <w:rtl/>
            <w:lang w:bidi="ar"/>
          </w:rPr>
          <w:t xml:space="preserve"> </w:t>
        </w:r>
        <w:r w:rsidR="00AF7D26" w:rsidRPr="00AF7D26">
          <w:rPr>
            <w:rStyle w:val="Hyperlink"/>
            <w:b w:val="0"/>
            <w:bCs w:val="0"/>
            <w:lang w:bidi="ar"/>
          </w:rPr>
          <w:t>2-3.3</w:t>
        </w:r>
        <w:r w:rsidR="00AF7D26" w:rsidRPr="00AF7D26">
          <w:rPr>
            <w:rStyle w:val="Hyperlink"/>
            <w:b w:val="0"/>
            <w:bCs w:val="0"/>
            <w:rtl/>
          </w:rPr>
          <w:t>:</w:t>
        </w:r>
        <w:r w:rsidR="00AF7D26" w:rsidRPr="00AF7D26">
          <w:rPr>
            <w:rStyle w:val="Hyperlink"/>
            <w:b w:val="0"/>
            <w:bCs w:val="0"/>
            <w:rtl/>
            <w:lang w:bidi="ar-SY"/>
          </w:rPr>
          <w:t xml:space="preserve"> </w:t>
        </w:r>
        <w:r w:rsidR="00AF7D26" w:rsidRPr="00AF7D26">
          <w:rPr>
            <w:rStyle w:val="Hyperlink"/>
            <w:rFonts w:hint="cs"/>
            <w:b w:val="0"/>
            <w:bCs w:val="0"/>
            <w:rtl/>
            <w:lang w:bidi="ar-SY"/>
          </w:rPr>
          <w:t>معمارية</w:t>
        </w:r>
        <w:r w:rsidR="00AF7D26" w:rsidRPr="00AF7D26">
          <w:rPr>
            <w:rStyle w:val="Hyperlink"/>
            <w:b w:val="0"/>
            <w:bCs w:val="0"/>
            <w:rtl/>
            <w:lang w:bidi="ar"/>
          </w:rPr>
          <w:t xml:space="preserve"> </w:t>
        </w:r>
        <w:r w:rsidR="00AF7D26" w:rsidRPr="00AF7D26">
          <w:rPr>
            <w:rStyle w:val="Hyperlink"/>
            <w:rFonts w:hint="cs"/>
            <w:b w:val="0"/>
            <w:bCs w:val="0"/>
            <w:rtl/>
            <w:lang w:bidi="ar"/>
          </w:rPr>
          <w:t>الشبكة</w:t>
        </w:r>
        <w:r w:rsidR="00AF7D26" w:rsidRPr="00AF7D26">
          <w:rPr>
            <w:rStyle w:val="Hyperlink"/>
            <w:b w:val="0"/>
            <w:bCs w:val="0"/>
            <w:rtl/>
            <w:lang w:bidi="ar"/>
          </w:rPr>
          <w:t xml:space="preserve"> </w:t>
        </w:r>
        <w:r w:rsidR="00AF7D26" w:rsidRPr="00AF7D26">
          <w:rPr>
            <w:rStyle w:val="Hyperlink"/>
            <w:rFonts w:hint="cs"/>
            <w:b w:val="0"/>
            <w:bCs w:val="0"/>
            <w:rtl/>
            <w:lang w:bidi="ar"/>
          </w:rPr>
          <w:t>البصرية</w:t>
        </w:r>
        <w:r w:rsidR="00AF7D26" w:rsidRPr="00AF7D26">
          <w:rPr>
            <w:rStyle w:val="Hyperlink"/>
            <w:b w:val="0"/>
            <w:bCs w:val="0"/>
            <w:rtl/>
            <w:lang w:bidi="ar"/>
          </w:rPr>
          <w:t xml:space="preserve"> </w:t>
        </w:r>
        <w:r w:rsidR="00AF7D26" w:rsidRPr="00AF7D26">
          <w:rPr>
            <w:rStyle w:val="Hyperlink"/>
            <w:rFonts w:hint="cs"/>
            <w:b w:val="0"/>
            <w:bCs w:val="0"/>
            <w:rtl/>
            <w:lang w:bidi="ar"/>
          </w:rPr>
          <w:t>المنفعلة</w:t>
        </w:r>
        <w:r w:rsidR="00AF7D26" w:rsidRPr="00AF7D26">
          <w:rPr>
            <w:rStyle w:val="Hyperlink"/>
            <w:b w:val="0"/>
            <w:bCs w:val="0"/>
            <w:rtl/>
            <w:lang w:bidi="ar"/>
          </w:rPr>
          <w:t xml:space="preserve"> </w:t>
        </w:r>
        <w:r w:rsidR="00AF7D26" w:rsidRPr="00AF7D26">
          <w:rPr>
            <w:rStyle w:val="Hyperlink"/>
            <w:b w:val="0"/>
            <w:bCs w:val="0"/>
            <w:lang w:bidi="ar"/>
          </w:rPr>
          <w:t>(PON)</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_Toc380497244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32</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5" w:history="1">
        <w:r w:rsidR="00AF7D26" w:rsidRPr="00AF7D26">
          <w:rPr>
            <w:rStyle w:val="Hyperlink"/>
            <w:rFonts w:hint="cs"/>
            <w:b w:val="0"/>
            <w:bCs w:val="0"/>
            <w:rtl/>
            <w:lang w:bidi="ar"/>
          </w:rPr>
          <w:t>الشكل</w:t>
        </w:r>
        <w:r w:rsidR="00AF7D26" w:rsidRPr="00AF7D26">
          <w:rPr>
            <w:rStyle w:val="Hyperlink"/>
            <w:b w:val="0"/>
            <w:bCs w:val="0"/>
            <w:rtl/>
            <w:lang w:bidi="ar"/>
          </w:rPr>
          <w:t xml:space="preserve"> </w:t>
        </w:r>
        <w:r w:rsidR="00AF7D26" w:rsidRPr="00AF7D26">
          <w:rPr>
            <w:rStyle w:val="Hyperlink"/>
            <w:b w:val="0"/>
            <w:bCs w:val="0"/>
            <w:lang w:bidi="ar"/>
          </w:rPr>
          <w:t>1-1.3.5.3</w:t>
        </w:r>
        <w:r w:rsidR="00AF7D26" w:rsidRPr="00AF7D26">
          <w:rPr>
            <w:rStyle w:val="Hyperlink"/>
            <w:b w:val="0"/>
            <w:bCs w:val="0"/>
            <w:rtl/>
            <w:lang w:bidi="ar"/>
          </w:rPr>
          <w:t xml:space="preserve">: </w:t>
        </w:r>
        <w:r w:rsidR="00AF7D26" w:rsidRPr="00AF7D26">
          <w:rPr>
            <w:rStyle w:val="Hyperlink"/>
            <w:rFonts w:hint="cs"/>
            <w:b w:val="0"/>
            <w:bCs w:val="0"/>
            <w:rtl/>
            <w:lang w:bidi="ar"/>
          </w:rPr>
          <w:t>نظام</w:t>
        </w:r>
        <w:r w:rsidR="00AF7D26" w:rsidRPr="00AF7D26">
          <w:rPr>
            <w:rStyle w:val="Hyperlink"/>
            <w:b w:val="0"/>
            <w:bCs w:val="0"/>
            <w:rtl/>
            <w:lang w:bidi="ar"/>
          </w:rPr>
          <w:t xml:space="preserve"> </w:t>
        </w:r>
        <w:r w:rsidR="00AF7D26" w:rsidRPr="00AF7D26">
          <w:rPr>
            <w:rStyle w:val="Hyperlink"/>
            <w:rFonts w:hint="cs"/>
            <w:b w:val="0"/>
            <w:bCs w:val="0"/>
            <w:rtl/>
            <w:lang w:bidi="ar"/>
          </w:rPr>
          <w:t>ساتلي</w:t>
        </w:r>
        <w:r w:rsidR="00AF7D26" w:rsidRPr="00AF7D26">
          <w:rPr>
            <w:rStyle w:val="Hyperlink"/>
            <w:b w:val="0"/>
            <w:bCs w:val="0"/>
            <w:rtl/>
            <w:lang w:bidi="ar"/>
          </w:rPr>
          <w:t xml:space="preserve"> </w:t>
        </w:r>
        <w:r w:rsidR="00AF7D26" w:rsidRPr="00AF7D26">
          <w:rPr>
            <w:rStyle w:val="Hyperlink"/>
            <w:rFonts w:hint="cs"/>
            <w:b w:val="0"/>
            <w:bCs w:val="0"/>
            <w:rtl/>
            <w:lang w:bidi="ar"/>
          </w:rPr>
          <w:t>متعدد</w:t>
        </w:r>
        <w:r w:rsidR="00AF7D26" w:rsidRPr="00AF7D26">
          <w:rPr>
            <w:rStyle w:val="Hyperlink"/>
            <w:b w:val="0"/>
            <w:bCs w:val="0"/>
            <w:rtl/>
            <w:lang w:bidi="ar"/>
          </w:rPr>
          <w:t xml:space="preserve"> </w:t>
        </w:r>
        <w:r w:rsidR="00AF7D26" w:rsidRPr="00AF7D26">
          <w:rPr>
            <w:rStyle w:val="Hyperlink"/>
            <w:rFonts w:hint="cs"/>
            <w:b w:val="0"/>
            <w:bCs w:val="0"/>
            <w:rtl/>
            <w:lang w:bidi="ar"/>
          </w:rPr>
          <w:t>الحزم</w:t>
        </w:r>
        <w:r w:rsidR="00AF7D26" w:rsidRPr="00AF7D26">
          <w:rPr>
            <w:rStyle w:val="Hyperlink"/>
            <w:b w:val="0"/>
            <w:bCs w:val="0"/>
            <w:rtl/>
            <w:lang w:bidi="ar"/>
          </w:rPr>
          <w:t xml:space="preserve"> </w:t>
        </w:r>
        <w:r w:rsidR="00AF7D26" w:rsidRPr="00AF7D26">
          <w:rPr>
            <w:rStyle w:val="Hyperlink"/>
            <w:rFonts w:hint="cs"/>
            <w:b w:val="0"/>
            <w:bCs w:val="0"/>
            <w:rtl/>
            <w:lang w:bidi="ar"/>
          </w:rPr>
          <w:t>يقدم</w:t>
        </w:r>
        <w:r w:rsidR="00AF7D26" w:rsidRPr="00AF7D26">
          <w:rPr>
            <w:rStyle w:val="Hyperlink"/>
            <w:b w:val="0"/>
            <w:bCs w:val="0"/>
            <w:rtl/>
            <w:lang w:bidi="ar"/>
          </w:rPr>
          <w:t xml:space="preserve"> </w:t>
        </w:r>
        <w:r w:rsidR="00AF7D26" w:rsidRPr="00AF7D26">
          <w:rPr>
            <w:rStyle w:val="Hyperlink"/>
            <w:rFonts w:hint="cs"/>
            <w:b w:val="0"/>
            <w:bCs w:val="0"/>
            <w:rtl/>
            <w:lang w:bidi="ar"/>
          </w:rPr>
          <w:t>خدمات</w:t>
        </w:r>
        <w:r w:rsidR="00AF7D26" w:rsidRPr="00AF7D26">
          <w:rPr>
            <w:rStyle w:val="Hyperlink"/>
            <w:b w:val="0"/>
            <w:bCs w:val="0"/>
            <w:rtl/>
            <w:lang w:bidi="ar"/>
          </w:rPr>
          <w:t xml:space="preserve"> </w:t>
        </w:r>
        <w:r w:rsidR="00AF7D26" w:rsidRPr="00AF7D26">
          <w:rPr>
            <w:rStyle w:val="Hyperlink"/>
            <w:rFonts w:hint="cs"/>
            <w:b w:val="0"/>
            <w:bCs w:val="0"/>
            <w:rtl/>
            <w:lang w:bidi="ar"/>
          </w:rPr>
          <w:t>النطاق</w:t>
        </w:r>
        <w:r w:rsidR="00AF7D26" w:rsidRPr="00AF7D26">
          <w:rPr>
            <w:rStyle w:val="Hyperlink"/>
            <w:b w:val="0"/>
            <w:bCs w:val="0"/>
            <w:rtl/>
            <w:lang w:bidi="ar"/>
          </w:rPr>
          <w:t xml:space="preserve"> </w:t>
        </w:r>
        <w:r w:rsidR="00AF7D26" w:rsidRPr="00AF7D26">
          <w:rPr>
            <w:rStyle w:val="Hyperlink"/>
            <w:rFonts w:hint="cs"/>
            <w:b w:val="0"/>
            <w:bCs w:val="0"/>
            <w:rtl/>
            <w:lang w:bidi="ar"/>
          </w:rPr>
          <w:t>العريض</w:t>
        </w:r>
        <w:r w:rsidR="00AF7D26" w:rsidRPr="00AF7D26">
          <w:rPr>
            <w:rStyle w:val="Hyperlink"/>
            <w:b w:val="0"/>
            <w:bCs w:val="0"/>
            <w:rtl/>
            <w:lang w:bidi="ar"/>
          </w:rPr>
          <w:t xml:space="preserve"> (</w:t>
        </w:r>
        <w:r w:rsidR="00AF7D26" w:rsidRPr="00AF7D26">
          <w:rPr>
            <w:rStyle w:val="Hyperlink"/>
            <w:rFonts w:hint="cs"/>
            <w:b w:val="0"/>
            <w:bCs w:val="0"/>
            <w:rtl/>
            <w:lang w:bidi="ar"/>
          </w:rPr>
          <w:t>برزم</w:t>
        </w:r>
        <w:r w:rsidR="00AF7D26" w:rsidRPr="00AF7D26">
          <w:rPr>
            <w:rStyle w:val="Hyperlink"/>
            <w:b w:val="0"/>
            <w:bCs w:val="0"/>
            <w:rtl/>
            <w:lang w:bidi="ar"/>
          </w:rPr>
          <w:t xml:space="preserve"> </w:t>
        </w:r>
        <w:r w:rsidR="00AF7D26" w:rsidRPr="00AF7D26">
          <w:rPr>
            <w:rStyle w:val="Hyperlink"/>
            <w:rFonts w:hint="cs"/>
            <w:b w:val="0"/>
            <w:bCs w:val="0"/>
            <w:rtl/>
            <w:lang w:bidi="ar"/>
          </w:rPr>
          <w:t>بروتوكول</w:t>
        </w:r>
        <w:r w:rsidR="00AF7D26" w:rsidRPr="00AF7D26">
          <w:rPr>
            <w:rStyle w:val="Hyperlink"/>
            <w:b w:val="0"/>
            <w:bCs w:val="0"/>
            <w:rtl/>
            <w:lang w:bidi="ar"/>
          </w:rPr>
          <w:t xml:space="preserve"> </w:t>
        </w:r>
        <w:r w:rsidR="00AF7D26" w:rsidRPr="00AF7D26">
          <w:rPr>
            <w:rStyle w:val="Hyperlink"/>
            <w:rFonts w:hint="cs"/>
            <w:b w:val="0"/>
            <w:bCs w:val="0"/>
            <w:rtl/>
            <w:lang w:bidi="ar"/>
          </w:rPr>
          <w:t>الإنترنت</w:t>
        </w:r>
        <w:r w:rsidR="00AF7D26" w:rsidRPr="00AF7D26">
          <w:rPr>
            <w:rStyle w:val="Hyperlink"/>
            <w:b w:val="0"/>
            <w:bCs w:val="0"/>
            <w:rtl/>
            <w:lang w:bidi="ar"/>
          </w:rPr>
          <w:t xml:space="preserve"> </w:t>
        </w:r>
        <w:r w:rsidR="00AF7D26" w:rsidRPr="00AF7D26">
          <w:rPr>
            <w:rStyle w:val="Hyperlink"/>
            <w:b w:val="0"/>
            <w:bCs w:val="0"/>
            <w:lang w:bidi="ar"/>
          </w:rPr>
          <w:t>(IP)</w:t>
        </w:r>
        <w:r w:rsidR="00AF7D26" w:rsidRPr="00AF7D26">
          <w:rPr>
            <w:rStyle w:val="Hyperlink"/>
            <w:b w:val="0"/>
            <w:bCs w:val="0"/>
            <w:rtl/>
            <w:lang w:bidi="ar"/>
          </w:rPr>
          <w:t>)</w:t>
        </w:r>
        <w:r w:rsidR="00AF7D26">
          <w:rPr>
            <w:b w:val="0"/>
            <w:bCs w:val="0"/>
            <w:webHidden/>
          </w:rPr>
          <w:tab/>
        </w:r>
        <w:r w:rsidR="00AF7D26" w:rsidRP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_Toc380497245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38</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6"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lang w:bidi="ar"/>
          </w:rPr>
          <w:t>1-1.1.6.3</w:t>
        </w:r>
        <w:r w:rsidR="00AF7D26" w:rsidRPr="00AF7D26">
          <w:rPr>
            <w:rStyle w:val="Hyperlink"/>
            <w:b w:val="0"/>
            <w:bCs w:val="0"/>
            <w:rtl/>
          </w:rPr>
          <w:t xml:space="preserve">: </w:t>
        </w:r>
        <w:r w:rsidR="00AF7D26" w:rsidRPr="00AF7D26">
          <w:rPr>
            <w:rStyle w:val="Hyperlink"/>
            <w:rFonts w:hint="cs"/>
            <w:b w:val="0"/>
            <w:bCs w:val="0"/>
            <w:rtl/>
          </w:rPr>
          <w:t>وصلات</w:t>
        </w:r>
        <w:r w:rsidR="00AF7D26" w:rsidRPr="00AF7D26">
          <w:rPr>
            <w:rStyle w:val="Hyperlink"/>
            <w:b w:val="0"/>
            <w:bCs w:val="0"/>
            <w:rtl/>
          </w:rPr>
          <w:t xml:space="preserve"> </w:t>
        </w:r>
        <w:r w:rsidR="00AF7D26" w:rsidRPr="00AF7D26">
          <w:rPr>
            <w:rStyle w:val="Hyperlink"/>
            <w:rFonts w:hint="cs"/>
            <w:b w:val="0"/>
            <w:bCs w:val="0"/>
            <w:rtl/>
          </w:rPr>
          <w:t>من</w:t>
        </w:r>
        <w:r w:rsidR="00AF7D26" w:rsidRPr="00AF7D26">
          <w:rPr>
            <w:rStyle w:val="Hyperlink"/>
            <w:b w:val="0"/>
            <w:bCs w:val="0"/>
            <w:rtl/>
          </w:rPr>
          <w:t xml:space="preserve"> </w:t>
        </w:r>
        <w:r w:rsidR="00AF7D26" w:rsidRPr="00AF7D26">
          <w:rPr>
            <w:rStyle w:val="Hyperlink"/>
            <w:rFonts w:hint="cs"/>
            <w:b w:val="0"/>
            <w:bCs w:val="0"/>
            <w:rtl/>
          </w:rPr>
          <w:t>نقطة</w:t>
        </w:r>
        <w:r w:rsidR="00AF7D26" w:rsidRPr="00AF7D26">
          <w:rPr>
            <w:rStyle w:val="Hyperlink"/>
            <w:b w:val="0"/>
            <w:bCs w:val="0"/>
            <w:rtl/>
          </w:rPr>
          <w:t xml:space="preserve"> </w:t>
        </w:r>
        <w:r w:rsidR="00AF7D26" w:rsidRPr="00AF7D26">
          <w:rPr>
            <w:rStyle w:val="Hyperlink"/>
            <w:rFonts w:hint="cs"/>
            <w:b w:val="0"/>
            <w:bCs w:val="0"/>
            <w:rtl/>
          </w:rPr>
          <w:t>إلى</w:t>
        </w:r>
        <w:r w:rsidR="00AF7D26" w:rsidRPr="00AF7D26">
          <w:rPr>
            <w:rStyle w:val="Hyperlink"/>
            <w:b w:val="0"/>
            <w:bCs w:val="0"/>
            <w:rtl/>
          </w:rPr>
          <w:t xml:space="preserve"> </w:t>
        </w:r>
        <w:r w:rsidR="00AF7D26" w:rsidRPr="00AF7D26">
          <w:rPr>
            <w:rStyle w:val="Hyperlink"/>
            <w:rFonts w:hint="cs"/>
            <w:b w:val="0"/>
            <w:bCs w:val="0"/>
            <w:rtl/>
          </w:rPr>
          <w:t>نقطة</w:t>
        </w:r>
        <w:r w:rsidR="00AF7D26" w:rsidRPr="00AF7D26">
          <w:rPr>
            <w:rStyle w:val="Hyperlink"/>
            <w:b w:val="0"/>
            <w:bCs w:val="0"/>
            <w:rtl/>
          </w:rPr>
          <w:t xml:space="preserve"> </w:t>
        </w:r>
        <w:r w:rsidR="00AF7D26" w:rsidRPr="00AF7D26">
          <w:rPr>
            <w:rStyle w:val="Hyperlink"/>
            <w:b w:val="0"/>
            <w:bCs w:val="0"/>
            <w:lang w:bidi="ar"/>
          </w:rPr>
          <w:t>(PtP)</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_Toc380497246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44</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7"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2-1.1.6.3</w:t>
        </w:r>
        <w:r w:rsidR="00AF7D26" w:rsidRPr="00AF7D26">
          <w:rPr>
            <w:rStyle w:val="Hyperlink"/>
            <w:b w:val="0"/>
            <w:bCs w:val="0"/>
            <w:rtl/>
          </w:rPr>
          <w:t xml:space="preserve">: </w:t>
        </w:r>
        <w:r w:rsidR="00AF7D26" w:rsidRPr="00AF7D26">
          <w:rPr>
            <w:rStyle w:val="Hyperlink"/>
            <w:rFonts w:hint="cs"/>
            <w:b w:val="0"/>
            <w:bCs w:val="0"/>
            <w:rtl/>
          </w:rPr>
          <w:t>وصلات</w:t>
        </w:r>
        <w:r w:rsidR="00AF7D26" w:rsidRPr="00AF7D26">
          <w:rPr>
            <w:rStyle w:val="Hyperlink"/>
            <w:b w:val="0"/>
            <w:bCs w:val="0"/>
            <w:rtl/>
          </w:rPr>
          <w:t xml:space="preserve"> </w:t>
        </w:r>
        <w:r w:rsidR="00AF7D26" w:rsidRPr="00AF7D26">
          <w:rPr>
            <w:rStyle w:val="Hyperlink"/>
            <w:rFonts w:hint="cs"/>
            <w:b w:val="0"/>
            <w:bCs w:val="0"/>
            <w:rtl/>
          </w:rPr>
          <w:t>من</w:t>
        </w:r>
        <w:r w:rsidR="00AF7D26" w:rsidRPr="00AF7D26">
          <w:rPr>
            <w:rStyle w:val="Hyperlink"/>
            <w:b w:val="0"/>
            <w:bCs w:val="0"/>
            <w:rtl/>
          </w:rPr>
          <w:t xml:space="preserve"> </w:t>
        </w:r>
        <w:r w:rsidR="00AF7D26" w:rsidRPr="00AF7D26">
          <w:rPr>
            <w:rStyle w:val="Hyperlink"/>
            <w:rFonts w:hint="cs"/>
            <w:b w:val="0"/>
            <w:bCs w:val="0"/>
            <w:rtl/>
          </w:rPr>
          <w:t>نقطة</w:t>
        </w:r>
        <w:r w:rsidR="00AF7D26" w:rsidRPr="00AF7D26">
          <w:rPr>
            <w:rStyle w:val="Hyperlink"/>
            <w:b w:val="0"/>
            <w:bCs w:val="0"/>
            <w:rtl/>
          </w:rPr>
          <w:t xml:space="preserve"> </w:t>
        </w:r>
        <w:r w:rsidR="00AF7D26" w:rsidRPr="00AF7D26">
          <w:rPr>
            <w:rStyle w:val="Hyperlink"/>
            <w:rFonts w:hint="cs"/>
            <w:b w:val="0"/>
            <w:bCs w:val="0"/>
            <w:rtl/>
          </w:rPr>
          <w:t>إلى</w:t>
        </w:r>
        <w:r w:rsidR="00AF7D26" w:rsidRPr="00AF7D26">
          <w:rPr>
            <w:rStyle w:val="Hyperlink"/>
            <w:b w:val="0"/>
            <w:bCs w:val="0"/>
            <w:rtl/>
          </w:rPr>
          <w:t xml:space="preserve"> </w:t>
        </w:r>
        <w:r w:rsidR="00AF7D26" w:rsidRPr="00AF7D26">
          <w:rPr>
            <w:rStyle w:val="Hyperlink"/>
            <w:rFonts w:hint="cs"/>
            <w:b w:val="0"/>
            <w:bCs w:val="0"/>
            <w:rtl/>
          </w:rPr>
          <w:t>عدة</w:t>
        </w:r>
        <w:r w:rsidR="00AF7D26" w:rsidRPr="00AF7D26">
          <w:rPr>
            <w:rStyle w:val="Hyperlink"/>
            <w:b w:val="0"/>
            <w:bCs w:val="0"/>
            <w:rtl/>
          </w:rPr>
          <w:t xml:space="preserve"> </w:t>
        </w:r>
        <w:r w:rsidR="00AF7D26" w:rsidRPr="00AF7D26">
          <w:rPr>
            <w:rStyle w:val="Hyperlink"/>
            <w:rFonts w:hint="cs"/>
            <w:b w:val="0"/>
            <w:bCs w:val="0"/>
            <w:rtl/>
          </w:rPr>
          <w:t>نقاط</w:t>
        </w:r>
        <w:r w:rsidR="00AF7D26" w:rsidRPr="00AF7D26">
          <w:rPr>
            <w:rStyle w:val="Hyperlink"/>
            <w:b w:val="0"/>
            <w:bCs w:val="0"/>
            <w:rtl/>
          </w:rPr>
          <w:t xml:space="preserve"> </w:t>
        </w:r>
        <w:r w:rsidR="00AF7D26" w:rsidRPr="00AF7D26">
          <w:rPr>
            <w:rStyle w:val="Hyperlink"/>
            <w:b w:val="0"/>
            <w:bCs w:val="0"/>
          </w:rPr>
          <w:t>(PtMP)</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_Toc380497247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45</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8"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3-1.1.6.3</w:t>
        </w:r>
        <w:r w:rsidR="00AF7D26" w:rsidRPr="00AF7D26">
          <w:rPr>
            <w:rStyle w:val="Hyperlink"/>
            <w:b w:val="0"/>
            <w:bCs w:val="0"/>
            <w:rtl/>
          </w:rPr>
          <w:t xml:space="preserve">: </w:t>
        </w:r>
        <w:r w:rsidR="00AF7D26" w:rsidRPr="00AF7D26">
          <w:rPr>
            <w:rStyle w:val="Hyperlink"/>
            <w:rFonts w:hint="cs"/>
            <w:b w:val="0"/>
            <w:bCs w:val="0"/>
            <w:rtl/>
          </w:rPr>
          <w:t>شبكات</w:t>
        </w:r>
        <w:r w:rsidR="00AF7D26" w:rsidRPr="00AF7D26">
          <w:rPr>
            <w:rStyle w:val="Hyperlink"/>
            <w:b w:val="0"/>
            <w:bCs w:val="0"/>
            <w:rtl/>
          </w:rPr>
          <w:t xml:space="preserve"> </w:t>
        </w:r>
        <w:r w:rsidR="00AF7D26" w:rsidRPr="00AF7D26">
          <w:rPr>
            <w:rStyle w:val="Hyperlink"/>
            <w:rFonts w:hint="cs"/>
            <w:b w:val="0"/>
            <w:bCs w:val="0"/>
            <w:rtl/>
          </w:rPr>
          <w:t>التشابك</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_Toc380497248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46</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49"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1-3.1.6.3</w:t>
        </w:r>
        <w:r w:rsidR="00AF7D26" w:rsidRPr="00AF7D26">
          <w:rPr>
            <w:rStyle w:val="Hyperlink"/>
            <w:b w:val="0"/>
            <w:bCs w:val="0"/>
            <w:rtl/>
          </w:rPr>
          <w:t xml:space="preserve">: </w:t>
        </w:r>
        <w:r w:rsidR="00AF7D26" w:rsidRPr="00AF7D26">
          <w:rPr>
            <w:rStyle w:val="Hyperlink"/>
            <w:rFonts w:hint="cs"/>
            <w:b w:val="0"/>
            <w:bCs w:val="0"/>
            <w:rtl/>
          </w:rPr>
          <w:t>مثال</w:t>
        </w:r>
        <w:r w:rsidR="00AF7D26" w:rsidRPr="00AF7D26">
          <w:rPr>
            <w:rStyle w:val="Hyperlink"/>
            <w:b w:val="0"/>
            <w:bCs w:val="0"/>
            <w:rtl/>
          </w:rPr>
          <w:t xml:space="preserve"> </w:t>
        </w:r>
        <w:r w:rsidR="00AF7D26" w:rsidRPr="00AF7D26">
          <w:rPr>
            <w:rStyle w:val="Hyperlink"/>
            <w:rFonts w:hint="cs"/>
            <w:b w:val="0"/>
            <w:bCs w:val="0"/>
            <w:rtl/>
          </w:rPr>
          <w:t>السيناريو</w:t>
        </w:r>
        <w:r w:rsidR="00AF7D26" w:rsidRPr="00AF7D26">
          <w:rPr>
            <w:rStyle w:val="Hyperlink"/>
            <w:b w:val="0"/>
            <w:bCs w:val="0"/>
            <w:rtl/>
          </w:rPr>
          <w:t xml:space="preserve"> </w:t>
        </w:r>
        <w:r w:rsidR="00AF7D26" w:rsidRPr="00AF7D26">
          <w:rPr>
            <w:rStyle w:val="Hyperlink"/>
            <w:b w:val="0"/>
            <w:bCs w:val="0"/>
          </w:rPr>
          <w:t>1</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_Toc380497249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47</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50"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2-3.1.6.3</w:t>
        </w:r>
        <w:r w:rsidR="00AF7D26" w:rsidRPr="00AF7D26">
          <w:rPr>
            <w:rStyle w:val="Hyperlink"/>
            <w:b w:val="0"/>
            <w:bCs w:val="0"/>
            <w:rtl/>
          </w:rPr>
          <w:t xml:space="preserve">: </w:t>
        </w:r>
        <w:r w:rsidR="00AF7D26" w:rsidRPr="00AF7D26">
          <w:rPr>
            <w:rStyle w:val="Hyperlink"/>
            <w:rFonts w:hint="cs"/>
            <w:b w:val="0"/>
            <w:bCs w:val="0"/>
            <w:rtl/>
          </w:rPr>
          <w:t>مثال</w:t>
        </w:r>
        <w:r w:rsidR="00AF7D26" w:rsidRPr="00AF7D26">
          <w:rPr>
            <w:rStyle w:val="Hyperlink"/>
            <w:b w:val="0"/>
            <w:bCs w:val="0"/>
            <w:rtl/>
          </w:rPr>
          <w:t xml:space="preserve"> </w:t>
        </w:r>
        <w:r w:rsidR="00AF7D26" w:rsidRPr="00AF7D26">
          <w:rPr>
            <w:rStyle w:val="Hyperlink"/>
            <w:rFonts w:hint="cs"/>
            <w:b w:val="0"/>
            <w:bCs w:val="0"/>
            <w:rtl/>
          </w:rPr>
          <w:t>السيناريو</w:t>
        </w:r>
        <w:r w:rsidR="00AF7D26" w:rsidRPr="00AF7D26">
          <w:rPr>
            <w:rStyle w:val="Hyperlink"/>
            <w:b w:val="0"/>
            <w:bCs w:val="0"/>
            <w:rtl/>
          </w:rPr>
          <w:t xml:space="preserve"> </w:t>
        </w:r>
        <w:r w:rsidR="00AF7D26" w:rsidRPr="00AF7D26">
          <w:rPr>
            <w:rStyle w:val="Hyperlink"/>
            <w:b w:val="0"/>
            <w:bCs w:val="0"/>
          </w:rPr>
          <w:t>2</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_Toc380497250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48</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251"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3-3.1.6.3</w:t>
        </w:r>
        <w:r w:rsidR="00AF7D26" w:rsidRPr="00AF7D26">
          <w:rPr>
            <w:rStyle w:val="Hyperlink"/>
            <w:b w:val="0"/>
            <w:bCs w:val="0"/>
            <w:rtl/>
          </w:rPr>
          <w:t xml:space="preserve">: </w:t>
        </w:r>
        <w:r w:rsidR="00AF7D26" w:rsidRPr="00AF7D26">
          <w:rPr>
            <w:rStyle w:val="Hyperlink"/>
            <w:rFonts w:hint="cs"/>
            <w:b w:val="0"/>
            <w:bCs w:val="0"/>
            <w:rtl/>
          </w:rPr>
          <w:t>مفتاح</w:t>
        </w:r>
        <w:r w:rsidR="00AF7D26" w:rsidRPr="00AF7D26">
          <w:rPr>
            <w:rStyle w:val="Hyperlink"/>
            <w:b w:val="0"/>
            <w:bCs w:val="0"/>
            <w:rtl/>
          </w:rPr>
          <w:t xml:space="preserve"> </w:t>
        </w:r>
        <w:r w:rsidR="00AF7D26" w:rsidRPr="00AF7D26">
          <w:rPr>
            <w:rStyle w:val="Hyperlink"/>
            <w:rFonts w:hint="cs"/>
            <w:b w:val="0"/>
            <w:bCs w:val="0"/>
            <w:rtl/>
          </w:rPr>
          <w:t>أمثلة</w:t>
        </w:r>
        <w:r w:rsidR="00AF7D26" w:rsidRPr="00AF7D26">
          <w:rPr>
            <w:rStyle w:val="Hyperlink"/>
            <w:b w:val="0"/>
            <w:bCs w:val="0"/>
            <w:rtl/>
          </w:rPr>
          <w:t xml:space="preserve"> </w:t>
        </w:r>
        <w:r w:rsidR="00AF7D26" w:rsidRPr="00AF7D26">
          <w:rPr>
            <w:rStyle w:val="Hyperlink"/>
            <w:rFonts w:hint="cs"/>
            <w:b w:val="0"/>
            <w:bCs w:val="0"/>
            <w:rtl/>
          </w:rPr>
          <w:t>السيناريوهات</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_Toc380497251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48</w:t>
        </w:r>
        <w:r w:rsidR="00AF7D26" w:rsidRPr="007052FB">
          <w:rPr>
            <w:rStyle w:val="Hyperlink"/>
            <w:rFonts w:cs="Calibri"/>
            <w:b w:val="0"/>
            <w:bCs w:val="0"/>
            <w:szCs w:val="21"/>
          </w:rPr>
          <w:fldChar w:fldCharType="end"/>
        </w:r>
      </w:hyperlink>
    </w:p>
    <w:p w:rsidR="00AF7D26" w:rsidRDefault="00B56FF8" w:rsidP="00AF7D26">
      <w:pPr>
        <w:pStyle w:val="TOC1"/>
        <w:keepNext w:val="0"/>
        <w:keepLines w:val="0"/>
        <w:rPr>
          <w:rFonts w:asciiTheme="minorHAnsi" w:hAnsiTheme="minorHAnsi" w:cstheme="minorBidi"/>
          <w:b w:val="0"/>
          <w:bCs w:val="0"/>
          <w:sz w:val="22"/>
          <w:szCs w:val="22"/>
        </w:rPr>
      </w:pPr>
      <w:hyperlink w:anchor="_Toc380497252" w:history="1">
        <w:r w:rsidR="00AF7D26" w:rsidRPr="00AF7D26">
          <w:rPr>
            <w:rStyle w:val="Hyperlink"/>
            <w:rFonts w:hint="cs"/>
            <w:b w:val="0"/>
            <w:bCs w:val="0"/>
            <w:rtl/>
          </w:rPr>
          <w:t>الشكل</w:t>
        </w:r>
        <w:r w:rsidR="00AF7D26" w:rsidRPr="00AF7D26">
          <w:rPr>
            <w:rStyle w:val="Hyperlink"/>
            <w:b w:val="0"/>
            <w:bCs w:val="0"/>
            <w:rtl/>
          </w:rPr>
          <w:t xml:space="preserve"> </w:t>
        </w:r>
        <w:r w:rsidR="00AF7D26" w:rsidRPr="00AF7D26">
          <w:rPr>
            <w:rStyle w:val="Hyperlink"/>
            <w:b w:val="0"/>
            <w:bCs w:val="0"/>
          </w:rPr>
          <w:t>1-2.6.3</w:t>
        </w:r>
        <w:r w:rsidR="00AF7D26" w:rsidRPr="00AF7D26">
          <w:rPr>
            <w:rStyle w:val="Hyperlink"/>
            <w:b w:val="0"/>
            <w:bCs w:val="0"/>
            <w:rtl/>
          </w:rPr>
          <w:t xml:space="preserve">: </w:t>
        </w:r>
        <w:r w:rsidR="00AF7D26" w:rsidRPr="00AF7D26">
          <w:rPr>
            <w:rStyle w:val="Hyperlink"/>
            <w:rFonts w:hint="cs"/>
            <w:b w:val="0"/>
            <w:bCs w:val="0"/>
            <w:rtl/>
          </w:rPr>
          <w:t>مثال</w:t>
        </w:r>
        <w:r w:rsidR="00AF7D26" w:rsidRPr="00AF7D26">
          <w:rPr>
            <w:rStyle w:val="Hyperlink"/>
            <w:b w:val="0"/>
            <w:bCs w:val="0"/>
            <w:rtl/>
          </w:rPr>
          <w:t xml:space="preserve"> </w:t>
        </w:r>
        <w:r w:rsidR="00AF7D26" w:rsidRPr="00AF7D26">
          <w:rPr>
            <w:rStyle w:val="Hyperlink"/>
            <w:rFonts w:hint="cs"/>
            <w:b w:val="0"/>
            <w:bCs w:val="0"/>
            <w:rtl/>
          </w:rPr>
          <w:t>سيناريو</w:t>
        </w:r>
        <w:r w:rsidR="00AF7D26" w:rsidRPr="00AF7D26">
          <w:rPr>
            <w:rStyle w:val="Hyperlink"/>
            <w:b w:val="0"/>
            <w:bCs w:val="0"/>
            <w:rtl/>
          </w:rPr>
          <w:t xml:space="preserve"> </w:t>
        </w:r>
        <w:r w:rsidR="00AF7D26" w:rsidRPr="00AF7D26">
          <w:rPr>
            <w:rStyle w:val="Hyperlink"/>
            <w:rFonts w:hint="cs"/>
            <w:b w:val="0"/>
            <w:bCs w:val="0"/>
            <w:rtl/>
          </w:rPr>
          <w:t>شبكة</w:t>
        </w:r>
        <w:r w:rsidR="00AF7D26" w:rsidRPr="00AF7D26">
          <w:rPr>
            <w:rStyle w:val="Hyperlink"/>
            <w:b w:val="0"/>
            <w:bCs w:val="0"/>
            <w:rtl/>
          </w:rPr>
          <w:t xml:space="preserve"> </w:t>
        </w:r>
        <w:r w:rsidR="00AF7D26" w:rsidRPr="00AF7D26">
          <w:rPr>
            <w:rStyle w:val="Hyperlink"/>
            <w:rFonts w:hint="cs"/>
            <w:b w:val="0"/>
            <w:bCs w:val="0"/>
            <w:rtl/>
          </w:rPr>
          <w:t>تستخدم</w:t>
        </w:r>
        <w:r w:rsidR="00AF7D26" w:rsidRPr="00AF7D26">
          <w:rPr>
            <w:rStyle w:val="Hyperlink"/>
            <w:b w:val="0"/>
            <w:bCs w:val="0"/>
            <w:rtl/>
          </w:rPr>
          <w:t xml:space="preserve"> </w:t>
        </w:r>
        <w:r w:rsidR="00AF7D26" w:rsidRPr="00AF7D26">
          <w:rPr>
            <w:rStyle w:val="Hyperlink"/>
            <w:rFonts w:hint="cs"/>
            <w:b w:val="0"/>
            <w:bCs w:val="0"/>
            <w:rtl/>
          </w:rPr>
          <w:t>وصلات</w:t>
        </w:r>
        <w:r w:rsidR="00AF7D26" w:rsidRPr="00AF7D26">
          <w:rPr>
            <w:rStyle w:val="Hyperlink"/>
            <w:b w:val="0"/>
            <w:bCs w:val="0"/>
            <w:rtl/>
          </w:rPr>
          <w:t xml:space="preserve"> </w:t>
        </w:r>
        <w:r w:rsidR="00AF7D26" w:rsidRPr="00AF7D26">
          <w:rPr>
            <w:rStyle w:val="Hyperlink"/>
            <w:rFonts w:hint="cs"/>
            <w:b w:val="0"/>
            <w:bCs w:val="0"/>
            <w:rtl/>
          </w:rPr>
          <w:t>وسيطة</w:t>
        </w:r>
        <w:r w:rsidR="00AF7D26" w:rsidRPr="00AF7D26">
          <w:rPr>
            <w:rStyle w:val="Hyperlink"/>
            <w:b w:val="0"/>
            <w:bCs w:val="0"/>
            <w:rtl/>
          </w:rPr>
          <w:t xml:space="preserve"> </w:t>
        </w:r>
        <w:r w:rsidR="00AF7D26" w:rsidRPr="00AF7D26">
          <w:rPr>
            <w:rStyle w:val="Hyperlink"/>
            <w:rFonts w:hint="cs"/>
            <w:b w:val="0"/>
            <w:bCs w:val="0"/>
            <w:rtl/>
          </w:rPr>
          <w:t>ساتلية</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_Toc380497252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50</w:t>
        </w:r>
        <w:r w:rsidR="00AF7D26" w:rsidRPr="007052FB">
          <w:rPr>
            <w:rStyle w:val="Hyperlink"/>
            <w:rFonts w:cs="Calibri"/>
            <w:b w:val="0"/>
            <w:bCs w:val="0"/>
            <w:szCs w:val="21"/>
          </w:rPr>
          <w:fldChar w:fldCharType="end"/>
        </w:r>
      </w:hyperlink>
    </w:p>
    <w:p w:rsidR="00AF7D26" w:rsidRDefault="00AF7D26" w:rsidP="000A316A">
      <w:pPr>
        <w:rPr>
          <w:noProof/>
          <w:rtl/>
          <w:lang w:eastAsia="zh-CN"/>
        </w:rPr>
      </w:pPr>
      <w:r>
        <w:rPr>
          <w:rFonts w:eastAsiaTheme="minorEastAsia"/>
          <w:b/>
          <w:bCs/>
          <w:noProof/>
          <w:rtl/>
          <w:lang w:eastAsia="zh-CN"/>
        </w:rPr>
        <w:fldChar w:fldCharType="end"/>
      </w:r>
    </w:p>
    <w:p w:rsidR="00AF7D26" w:rsidRDefault="00AF7D26">
      <w:pPr>
        <w:tabs>
          <w:tab w:val="clear" w:pos="567"/>
          <w:tab w:val="clear" w:pos="1133"/>
          <w:tab w:val="clear" w:pos="1700"/>
          <w:tab w:val="clear" w:pos="2267"/>
        </w:tabs>
        <w:kinsoku/>
        <w:bidi w:val="0"/>
        <w:spacing w:before="0" w:line="240" w:lineRule="auto"/>
        <w:jc w:val="left"/>
        <w:rPr>
          <w:noProof/>
          <w:rtl/>
          <w:lang w:eastAsia="zh-CN"/>
        </w:rPr>
      </w:pPr>
      <w:r>
        <w:rPr>
          <w:noProof/>
          <w:rtl/>
          <w:lang w:eastAsia="zh-CN"/>
        </w:rPr>
        <w:br w:type="page"/>
      </w:r>
    </w:p>
    <w:p w:rsidR="00AF7D26" w:rsidRPr="009476F2" w:rsidRDefault="00AF7D26" w:rsidP="00AF7D26">
      <w:pPr>
        <w:pStyle w:val="Toc0"/>
        <w:keepNext/>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AF7D26" w:rsidRPr="00AF7D26" w:rsidRDefault="00AF7D26" w:rsidP="00AF7D26">
      <w:pPr>
        <w:pStyle w:val="TOC1"/>
        <w:keepNext w:val="0"/>
        <w:keepLines w:val="0"/>
        <w:rPr>
          <w:rFonts w:asciiTheme="minorHAnsi" w:hAnsiTheme="minorHAnsi" w:cstheme="minorBidi"/>
          <w:b w:val="0"/>
          <w:bCs w:val="0"/>
          <w:sz w:val="22"/>
          <w:szCs w:val="22"/>
        </w:rPr>
      </w:pPr>
      <w:r>
        <w:rPr>
          <w:rtl/>
        </w:rPr>
        <w:fldChar w:fldCharType="begin"/>
      </w:r>
      <w:r>
        <w:rPr>
          <w:rtl/>
        </w:rPr>
        <w:instrText xml:space="preserve"> </w:instrText>
      </w:r>
      <w:r>
        <w:instrText>TOC</w:instrText>
      </w:r>
      <w:r>
        <w:rPr>
          <w:rtl/>
        </w:rPr>
        <w:instrText xml:space="preserve"> \</w:instrText>
      </w:r>
      <w:r>
        <w:instrText>h \z \t "Table title;1;Title;1</w:instrText>
      </w:r>
      <w:r>
        <w:rPr>
          <w:rtl/>
        </w:rPr>
        <w:instrText xml:space="preserve">" </w:instrText>
      </w:r>
      <w:r>
        <w:rPr>
          <w:rtl/>
        </w:rPr>
        <w:fldChar w:fldCharType="separate"/>
      </w:r>
      <w:hyperlink w:anchor="_Toc380497405" w:history="1">
        <w:r w:rsidRPr="00AF7D26">
          <w:rPr>
            <w:rStyle w:val="Hyperlink"/>
            <w:rFonts w:hint="cs"/>
            <w:b w:val="0"/>
            <w:bCs w:val="0"/>
            <w:rtl/>
          </w:rPr>
          <w:t>الجدول</w:t>
        </w:r>
        <w:r w:rsidRPr="00AF7D26">
          <w:rPr>
            <w:rStyle w:val="Hyperlink"/>
            <w:b w:val="0"/>
            <w:bCs w:val="0"/>
            <w:rtl/>
          </w:rPr>
          <w:t xml:space="preserve"> </w:t>
        </w:r>
        <w:r w:rsidRPr="00AF7D26">
          <w:rPr>
            <w:rStyle w:val="Hyperlink"/>
            <w:b w:val="0"/>
            <w:bCs w:val="0"/>
          </w:rPr>
          <w:t>1-3.2</w:t>
        </w:r>
        <w:r w:rsidRPr="00AF7D26">
          <w:rPr>
            <w:rStyle w:val="Hyperlink"/>
            <w:b w:val="0"/>
            <w:bCs w:val="0"/>
            <w:rtl/>
          </w:rPr>
          <w:t xml:space="preserve">: </w:t>
        </w:r>
        <w:r w:rsidRPr="00AF7D26">
          <w:rPr>
            <w:rStyle w:val="Hyperlink"/>
            <w:rFonts w:hint="cs"/>
            <w:b w:val="0"/>
            <w:bCs w:val="0"/>
            <w:rtl/>
          </w:rPr>
          <w:t>الاحتياجات</w:t>
        </w:r>
        <w:r w:rsidRPr="00AF7D26">
          <w:rPr>
            <w:rStyle w:val="Hyperlink"/>
            <w:b w:val="0"/>
            <w:bCs w:val="0"/>
            <w:rtl/>
          </w:rPr>
          <w:t xml:space="preserve"> </w:t>
        </w:r>
        <w:r w:rsidRPr="00AF7D26">
          <w:rPr>
            <w:rStyle w:val="Hyperlink"/>
            <w:rFonts w:hint="cs"/>
            <w:b w:val="0"/>
            <w:bCs w:val="0"/>
            <w:rtl/>
          </w:rPr>
          <w:t>الخاصة</w:t>
        </w:r>
        <w:r w:rsidRPr="00AF7D26">
          <w:rPr>
            <w:rStyle w:val="Hyperlink"/>
            <w:b w:val="0"/>
            <w:bCs w:val="0"/>
            <w:rtl/>
          </w:rPr>
          <w:t xml:space="preserve"> </w:t>
        </w:r>
        <w:r w:rsidRPr="00AF7D26">
          <w:rPr>
            <w:rStyle w:val="Hyperlink"/>
            <w:rFonts w:hint="cs"/>
            <w:b w:val="0"/>
            <w:bCs w:val="0"/>
            <w:rtl/>
          </w:rPr>
          <w:t>للمشغلين</w:t>
        </w:r>
        <w:r w:rsidRPr="00AF7D26">
          <w:rPr>
            <w:b w:val="0"/>
            <w:bCs w:val="0"/>
            <w:webHidden/>
          </w:rPr>
          <w:tab/>
        </w:r>
        <w:r>
          <w:rPr>
            <w:b w:val="0"/>
            <w:bCs w:val="0"/>
            <w:webHidden/>
          </w:rPr>
          <w:tab/>
        </w:r>
        <w:r w:rsidRPr="007052FB">
          <w:rPr>
            <w:rStyle w:val="Hyperlink"/>
            <w:rFonts w:cs="Calibri"/>
            <w:b w:val="0"/>
            <w:bCs w:val="0"/>
            <w:szCs w:val="21"/>
          </w:rPr>
          <w:fldChar w:fldCharType="begin"/>
        </w:r>
        <w:r w:rsidRPr="007052FB">
          <w:rPr>
            <w:rFonts w:cs="Calibri"/>
            <w:b w:val="0"/>
            <w:bCs w:val="0"/>
            <w:webHidden/>
            <w:szCs w:val="21"/>
          </w:rPr>
          <w:instrText xml:space="preserve"> PAGEREF _Toc380497405 \h </w:instrText>
        </w:r>
        <w:r w:rsidRPr="007052FB">
          <w:rPr>
            <w:rStyle w:val="Hyperlink"/>
            <w:rFonts w:cs="Calibri"/>
            <w:b w:val="0"/>
            <w:bCs w:val="0"/>
            <w:szCs w:val="21"/>
          </w:rPr>
        </w:r>
        <w:r w:rsidRPr="007052FB">
          <w:rPr>
            <w:rStyle w:val="Hyperlink"/>
            <w:rFonts w:cs="Calibri"/>
            <w:b w:val="0"/>
            <w:bCs w:val="0"/>
            <w:szCs w:val="21"/>
          </w:rPr>
          <w:fldChar w:fldCharType="separate"/>
        </w:r>
        <w:r w:rsidR="00B56FF8">
          <w:rPr>
            <w:rFonts w:cs="Times New Roman"/>
            <w:b w:val="0"/>
            <w:bCs w:val="0"/>
            <w:webHidden/>
            <w:szCs w:val="21"/>
            <w:rtl/>
          </w:rPr>
          <w:t>22</w:t>
        </w:r>
        <w:r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406" w:history="1">
        <w:r w:rsidR="00AF7D26" w:rsidRPr="00AF7D26">
          <w:rPr>
            <w:rStyle w:val="Hyperlink"/>
            <w:rFonts w:hint="cs"/>
            <w:b w:val="0"/>
            <w:bCs w:val="0"/>
            <w:rtl/>
          </w:rPr>
          <w:t>الجدول</w:t>
        </w:r>
        <w:r w:rsidR="00AF7D26" w:rsidRPr="00AF7D26">
          <w:rPr>
            <w:rStyle w:val="Hyperlink"/>
            <w:b w:val="0"/>
            <w:bCs w:val="0"/>
            <w:rtl/>
          </w:rPr>
          <w:t xml:space="preserve"> </w:t>
        </w:r>
        <w:r w:rsidR="00AF7D26" w:rsidRPr="00AF7D26">
          <w:rPr>
            <w:rStyle w:val="Hyperlink"/>
            <w:b w:val="0"/>
            <w:bCs w:val="0"/>
          </w:rPr>
          <w:t>1-1.3</w:t>
        </w:r>
        <w:r w:rsidR="00AF7D26" w:rsidRPr="00AF7D26">
          <w:rPr>
            <w:rStyle w:val="Hyperlink"/>
            <w:b w:val="0"/>
            <w:bCs w:val="0"/>
            <w:rtl/>
          </w:rPr>
          <w:t xml:space="preserve">: </w:t>
        </w:r>
        <w:r w:rsidR="00AF7D26" w:rsidRPr="00AF7D26">
          <w:rPr>
            <w:rStyle w:val="Hyperlink"/>
            <w:rFonts w:hint="cs"/>
            <w:b w:val="0"/>
            <w:bCs w:val="0"/>
            <w:rtl/>
          </w:rPr>
          <w:t>نقاط</w:t>
        </w:r>
        <w:r w:rsidR="00AF7D26" w:rsidRPr="00AF7D26">
          <w:rPr>
            <w:rStyle w:val="Hyperlink"/>
            <w:b w:val="0"/>
            <w:bCs w:val="0"/>
            <w:rtl/>
          </w:rPr>
          <w:t xml:space="preserve"> </w:t>
        </w:r>
        <w:r w:rsidR="00AF7D26" w:rsidRPr="00AF7D26">
          <w:rPr>
            <w:rStyle w:val="Hyperlink"/>
            <w:rFonts w:hint="cs"/>
            <w:b w:val="0"/>
            <w:bCs w:val="0"/>
            <w:rtl/>
          </w:rPr>
          <w:t>القوة</w:t>
        </w:r>
        <w:r w:rsidR="00AF7D26" w:rsidRPr="00AF7D26">
          <w:rPr>
            <w:rStyle w:val="Hyperlink"/>
            <w:b w:val="0"/>
            <w:bCs w:val="0"/>
            <w:rtl/>
          </w:rPr>
          <w:t xml:space="preserve"> </w:t>
        </w:r>
        <w:r w:rsidR="00AF7D26" w:rsidRPr="00AF7D26">
          <w:rPr>
            <w:rStyle w:val="Hyperlink"/>
            <w:rFonts w:hint="cs"/>
            <w:b w:val="0"/>
            <w:bCs w:val="0"/>
            <w:rtl/>
          </w:rPr>
          <w:t>والضعف</w:t>
        </w:r>
        <w:r w:rsidR="00AF7D26" w:rsidRPr="00AF7D26">
          <w:rPr>
            <w:rStyle w:val="Hyperlink"/>
            <w:b w:val="0"/>
            <w:bCs w:val="0"/>
            <w:rtl/>
          </w:rPr>
          <w:t xml:space="preserve"> </w:t>
        </w:r>
        <w:r w:rsidR="00AF7D26" w:rsidRPr="00AF7D26">
          <w:rPr>
            <w:rStyle w:val="Hyperlink"/>
            <w:rFonts w:hint="cs"/>
            <w:b w:val="0"/>
            <w:bCs w:val="0"/>
            <w:rtl/>
          </w:rPr>
          <w:t>في</w:t>
        </w:r>
        <w:r w:rsidR="00AF7D26" w:rsidRPr="00AF7D26">
          <w:rPr>
            <w:rStyle w:val="Hyperlink"/>
            <w:b w:val="0"/>
            <w:bCs w:val="0"/>
            <w:rtl/>
          </w:rPr>
          <w:t xml:space="preserve"> </w:t>
        </w:r>
        <w:r w:rsidR="00AF7D26" w:rsidRPr="00AF7D26">
          <w:rPr>
            <w:rStyle w:val="Hyperlink"/>
            <w:rFonts w:hint="cs"/>
            <w:b w:val="0"/>
            <w:bCs w:val="0"/>
            <w:rtl/>
          </w:rPr>
          <w:t>نُهُج</w:t>
        </w:r>
        <w:r w:rsidR="00AF7D26" w:rsidRPr="00AF7D26">
          <w:rPr>
            <w:rStyle w:val="Hyperlink"/>
            <w:b w:val="0"/>
            <w:bCs w:val="0"/>
            <w:rtl/>
          </w:rPr>
          <w:t xml:space="preserve"> </w:t>
        </w:r>
        <w:r w:rsidR="00AF7D26" w:rsidRPr="00AF7D26">
          <w:rPr>
            <w:rStyle w:val="Hyperlink"/>
            <w:rFonts w:hint="cs"/>
            <w:b w:val="0"/>
            <w:bCs w:val="0"/>
            <w:rtl/>
          </w:rPr>
          <w:t>النفاذ</w:t>
        </w:r>
        <w:r w:rsidR="00AF7D26" w:rsidRPr="00AF7D26">
          <w:rPr>
            <w:rStyle w:val="Hyperlink"/>
            <w:b w:val="0"/>
            <w:bCs w:val="0"/>
            <w:rtl/>
          </w:rPr>
          <w:t xml:space="preserve"> </w:t>
        </w:r>
        <w:r w:rsidR="00AF7D26" w:rsidRPr="00AF7D26">
          <w:rPr>
            <w:rStyle w:val="Hyperlink"/>
            <w:rFonts w:hint="cs"/>
            <w:b w:val="0"/>
            <w:bCs w:val="0"/>
            <w:rtl/>
          </w:rPr>
          <w:t>عريض</w:t>
        </w:r>
        <w:r w:rsidR="00AF7D26" w:rsidRPr="00AF7D26">
          <w:rPr>
            <w:rStyle w:val="Hyperlink"/>
            <w:b w:val="0"/>
            <w:bCs w:val="0"/>
            <w:rtl/>
          </w:rPr>
          <w:t xml:space="preserve"> </w:t>
        </w:r>
        <w:r w:rsidR="00AF7D26" w:rsidRPr="00AF7D26">
          <w:rPr>
            <w:rStyle w:val="Hyperlink"/>
            <w:rFonts w:hint="cs"/>
            <w:b w:val="0"/>
            <w:bCs w:val="0"/>
            <w:rtl/>
          </w:rPr>
          <w:t>النطاق</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_Toc380497406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25</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407" w:history="1">
        <w:r w:rsidR="00AF7D26" w:rsidRPr="00AF7D26">
          <w:rPr>
            <w:rStyle w:val="Hyperlink"/>
            <w:rFonts w:hint="cs"/>
            <w:b w:val="0"/>
            <w:bCs w:val="0"/>
            <w:rtl/>
          </w:rPr>
          <w:t>الجدول</w:t>
        </w:r>
        <w:r w:rsidR="00AF7D26" w:rsidRPr="00AF7D26">
          <w:rPr>
            <w:rStyle w:val="Hyperlink"/>
            <w:b w:val="0"/>
            <w:bCs w:val="0"/>
            <w:rtl/>
          </w:rPr>
          <w:t xml:space="preserve"> </w:t>
        </w:r>
        <w:r w:rsidR="00AF7D26" w:rsidRPr="00AF7D26">
          <w:rPr>
            <w:rStyle w:val="Hyperlink"/>
            <w:b w:val="0"/>
            <w:bCs w:val="0"/>
          </w:rPr>
          <w:t>1-2.3</w:t>
        </w:r>
        <w:r w:rsidR="00AF7D26" w:rsidRPr="00AF7D26">
          <w:rPr>
            <w:rStyle w:val="Hyperlink"/>
            <w:b w:val="0"/>
            <w:bCs w:val="0"/>
            <w:rtl/>
          </w:rPr>
          <w:t xml:space="preserve">: </w:t>
        </w:r>
        <w:r w:rsidR="00AF7D26" w:rsidRPr="00AF7D26">
          <w:rPr>
            <w:rStyle w:val="Hyperlink"/>
            <w:rFonts w:hint="cs"/>
            <w:b w:val="0"/>
            <w:bCs w:val="0"/>
            <w:rtl/>
          </w:rPr>
          <w:t>أنواع</w:t>
        </w:r>
        <w:r w:rsidR="00AF7D26" w:rsidRPr="00AF7D26">
          <w:rPr>
            <w:rStyle w:val="Hyperlink"/>
            <w:b w:val="0"/>
            <w:bCs w:val="0"/>
            <w:rtl/>
          </w:rPr>
          <w:t xml:space="preserve"> </w:t>
        </w:r>
        <w:r w:rsidR="00AF7D26" w:rsidRPr="00AF7D26">
          <w:rPr>
            <w:rStyle w:val="Hyperlink"/>
            <w:rFonts w:hint="cs"/>
            <w:b w:val="0"/>
            <w:bCs w:val="0"/>
            <w:rtl/>
          </w:rPr>
          <w:t>مختلفة</w:t>
        </w:r>
        <w:r w:rsidR="00AF7D26" w:rsidRPr="00AF7D26">
          <w:rPr>
            <w:rStyle w:val="Hyperlink"/>
            <w:b w:val="0"/>
            <w:bCs w:val="0"/>
            <w:rtl/>
          </w:rPr>
          <w:t xml:space="preserve"> </w:t>
        </w:r>
        <w:r w:rsidR="00AF7D26" w:rsidRPr="00AF7D26">
          <w:rPr>
            <w:rStyle w:val="Hyperlink"/>
            <w:rFonts w:hint="cs"/>
            <w:b w:val="0"/>
            <w:bCs w:val="0"/>
            <w:rtl/>
          </w:rPr>
          <w:t>من</w:t>
        </w:r>
        <w:r w:rsidR="00AF7D26" w:rsidRPr="00AF7D26">
          <w:rPr>
            <w:rStyle w:val="Hyperlink"/>
            <w:b w:val="0"/>
            <w:bCs w:val="0"/>
            <w:rtl/>
          </w:rPr>
          <w:t xml:space="preserve"> </w:t>
        </w:r>
        <w:r w:rsidR="00AF7D26" w:rsidRPr="00AF7D26">
          <w:rPr>
            <w:rStyle w:val="Hyperlink"/>
            <w:rFonts w:hint="cs"/>
            <w:b w:val="0"/>
            <w:bCs w:val="0"/>
            <w:rtl/>
          </w:rPr>
          <w:t>مقاس</w:t>
        </w:r>
        <w:r w:rsidR="00AF7D26" w:rsidRPr="00AF7D26">
          <w:rPr>
            <w:rStyle w:val="Hyperlink"/>
            <w:b w:val="0"/>
            <w:bCs w:val="0"/>
            <w:rtl/>
          </w:rPr>
          <w:t xml:space="preserve"> </w:t>
        </w:r>
        <w:r w:rsidR="00AF7D26" w:rsidRPr="00AF7D26">
          <w:rPr>
            <w:rStyle w:val="Hyperlink"/>
            <w:rFonts w:hint="cs"/>
            <w:b w:val="0"/>
            <w:bCs w:val="0"/>
            <w:rtl/>
          </w:rPr>
          <w:t>الخلية</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_Toc380497407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27</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408" w:history="1">
        <w:r w:rsidR="00AF7D26" w:rsidRPr="00AF7D26">
          <w:rPr>
            <w:rStyle w:val="Hyperlink"/>
            <w:rFonts w:hint="cs"/>
            <w:b w:val="0"/>
            <w:bCs w:val="0"/>
            <w:rtl/>
          </w:rPr>
          <w:t>الجدول</w:t>
        </w:r>
        <w:r w:rsidR="00AF7D26" w:rsidRPr="00AF7D26">
          <w:rPr>
            <w:rStyle w:val="Hyperlink"/>
            <w:b w:val="0"/>
            <w:bCs w:val="0"/>
            <w:rtl/>
          </w:rPr>
          <w:t xml:space="preserve"> </w:t>
        </w:r>
        <w:r w:rsidR="00AF7D26" w:rsidRPr="00AF7D26">
          <w:rPr>
            <w:rStyle w:val="Hyperlink"/>
            <w:b w:val="0"/>
            <w:bCs w:val="0"/>
          </w:rPr>
          <w:t>1-3.3</w:t>
        </w:r>
        <w:r w:rsidR="00AF7D26" w:rsidRPr="00AF7D26">
          <w:rPr>
            <w:rStyle w:val="Hyperlink"/>
            <w:b w:val="0"/>
            <w:bCs w:val="0"/>
            <w:rtl/>
          </w:rPr>
          <w:t xml:space="preserve">: </w:t>
        </w:r>
        <w:r w:rsidR="00AF7D26" w:rsidRPr="00AF7D26">
          <w:rPr>
            <w:rStyle w:val="Hyperlink"/>
            <w:rFonts w:hint="cs"/>
            <w:b w:val="0"/>
            <w:bCs w:val="0"/>
            <w:rtl/>
          </w:rPr>
          <w:t>معايير</w:t>
        </w:r>
        <w:r w:rsidR="00AF7D26" w:rsidRPr="00AF7D26">
          <w:rPr>
            <w:rStyle w:val="Hyperlink"/>
            <w:b w:val="0"/>
            <w:bCs w:val="0"/>
            <w:rtl/>
          </w:rPr>
          <w:t xml:space="preserve"> </w:t>
        </w:r>
        <w:r w:rsidR="00AF7D26" w:rsidRPr="00AF7D26">
          <w:rPr>
            <w:rStyle w:val="Hyperlink"/>
            <w:rFonts w:hint="cs"/>
            <w:b w:val="0"/>
            <w:bCs w:val="0"/>
            <w:rtl/>
          </w:rPr>
          <w:t>إرسال</w:t>
        </w:r>
        <w:r w:rsidR="00AF7D26" w:rsidRPr="00AF7D26">
          <w:rPr>
            <w:rStyle w:val="Hyperlink"/>
            <w:b w:val="0"/>
            <w:bCs w:val="0"/>
            <w:rtl/>
          </w:rPr>
          <w:t xml:space="preserve"> </w:t>
        </w:r>
        <w:r w:rsidR="00AF7D26" w:rsidRPr="00AF7D26">
          <w:rPr>
            <w:rStyle w:val="Hyperlink"/>
            <w:rFonts w:hint="cs"/>
            <w:b w:val="0"/>
            <w:bCs w:val="0"/>
            <w:rtl/>
          </w:rPr>
          <w:t>البيانات</w:t>
        </w:r>
        <w:r w:rsidR="00AF7D26" w:rsidRPr="00AF7D26">
          <w:rPr>
            <w:rStyle w:val="Hyperlink"/>
            <w:b w:val="0"/>
            <w:bCs w:val="0"/>
            <w:rtl/>
          </w:rPr>
          <w:t xml:space="preserve"> </w:t>
        </w:r>
        <w:r w:rsidR="00AF7D26" w:rsidRPr="00AF7D26">
          <w:rPr>
            <w:rStyle w:val="Hyperlink"/>
            <w:rFonts w:hint="cs"/>
            <w:b w:val="0"/>
            <w:bCs w:val="0"/>
            <w:rtl/>
          </w:rPr>
          <w:t>السلكية</w:t>
        </w:r>
        <w:r w:rsidR="00AF7D26" w:rsidRPr="00AF7D26">
          <w:rPr>
            <w:rStyle w:val="Hyperlink"/>
            <w:b w:val="0"/>
            <w:bCs w:val="0"/>
            <w:rtl/>
          </w:rPr>
          <w:t xml:space="preserve"> </w:t>
        </w:r>
        <w:r w:rsidR="00AF7D26" w:rsidRPr="00AF7D26">
          <w:rPr>
            <w:rStyle w:val="Hyperlink"/>
            <w:rFonts w:hint="cs"/>
            <w:b w:val="0"/>
            <w:bCs w:val="0"/>
            <w:rtl/>
          </w:rPr>
          <w:t>لشبكة</w:t>
        </w:r>
        <w:r w:rsidR="00AF7D26" w:rsidRPr="00AF7D26">
          <w:rPr>
            <w:rStyle w:val="Hyperlink"/>
            <w:b w:val="0"/>
            <w:bCs w:val="0"/>
            <w:rtl/>
          </w:rPr>
          <w:t xml:space="preserve"> </w:t>
        </w:r>
        <w:r w:rsidR="00AF7D26" w:rsidRPr="00AF7D26">
          <w:rPr>
            <w:rStyle w:val="Hyperlink"/>
            <w:rFonts w:hint="cs"/>
            <w:b w:val="0"/>
            <w:bCs w:val="0"/>
            <w:rtl/>
          </w:rPr>
          <w:t>نفاذ</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_Toc380497408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30</w:t>
        </w:r>
        <w:r w:rsidR="00AF7D26" w:rsidRPr="007052FB">
          <w:rPr>
            <w:rStyle w:val="Hyperlink"/>
            <w:rFonts w:cs="Calibri"/>
            <w:b w:val="0"/>
            <w:bCs w:val="0"/>
            <w:szCs w:val="21"/>
          </w:rPr>
          <w:fldChar w:fldCharType="end"/>
        </w:r>
      </w:hyperlink>
    </w:p>
    <w:p w:rsidR="00AF7D26" w:rsidRPr="00AF7D26" w:rsidRDefault="00B56FF8" w:rsidP="00AF7D26">
      <w:pPr>
        <w:pStyle w:val="TOC1"/>
        <w:keepNext w:val="0"/>
        <w:keepLines w:val="0"/>
        <w:rPr>
          <w:rFonts w:asciiTheme="minorHAnsi" w:hAnsiTheme="minorHAnsi" w:cstheme="minorBidi"/>
          <w:b w:val="0"/>
          <w:bCs w:val="0"/>
          <w:sz w:val="22"/>
          <w:szCs w:val="22"/>
        </w:rPr>
      </w:pPr>
      <w:hyperlink w:anchor="_Toc380497409" w:history="1">
        <w:r w:rsidR="00AF7D26" w:rsidRPr="00AF7D26">
          <w:rPr>
            <w:rStyle w:val="Hyperlink"/>
            <w:rFonts w:hint="cs"/>
            <w:b w:val="0"/>
            <w:bCs w:val="0"/>
            <w:rtl/>
          </w:rPr>
          <w:t>الجدول</w:t>
        </w:r>
        <w:r w:rsidR="00AF7D26" w:rsidRPr="00AF7D26">
          <w:rPr>
            <w:rStyle w:val="Hyperlink"/>
            <w:b w:val="0"/>
            <w:bCs w:val="0"/>
            <w:rtl/>
          </w:rPr>
          <w:t xml:space="preserve"> </w:t>
        </w:r>
        <w:r w:rsidR="00AF7D26" w:rsidRPr="00AF7D26">
          <w:rPr>
            <w:rStyle w:val="Hyperlink"/>
            <w:b w:val="0"/>
            <w:bCs w:val="0"/>
          </w:rPr>
          <w:t>2-3.3</w:t>
        </w:r>
        <w:r w:rsidR="00AF7D26" w:rsidRPr="00AF7D26">
          <w:rPr>
            <w:rStyle w:val="Hyperlink"/>
            <w:b w:val="0"/>
            <w:bCs w:val="0"/>
            <w:rtl/>
          </w:rPr>
          <w:t xml:space="preserve">: </w:t>
        </w:r>
        <w:r w:rsidR="00AF7D26" w:rsidRPr="00AF7D26">
          <w:rPr>
            <w:rStyle w:val="Hyperlink"/>
            <w:rFonts w:hint="cs"/>
            <w:b w:val="0"/>
            <w:bCs w:val="0"/>
            <w:rtl/>
          </w:rPr>
          <w:t>ملخص</w:t>
        </w:r>
        <w:r w:rsidR="00AF7D26" w:rsidRPr="00AF7D26">
          <w:rPr>
            <w:rStyle w:val="Hyperlink"/>
            <w:b w:val="0"/>
            <w:bCs w:val="0"/>
            <w:rtl/>
          </w:rPr>
          <w:t xml:space="preserve"> </w:t>
        </w:r>
        <w:r w:rsidR="00AF7D26" w:rsidRPr="00AF7D26">
          <w:rPr>
            <w:rStyle w:val="Hyperlink"/>
            <w:rFonts w:hint="cs"/>
            <w:b w:val="0"/>
            <w:bCs w:val="0"/>
            <w:rtl/>
          </w:rPr>
          <w:t>معايير</w:t>
        </w:r>
        <w:r w:rsidR="00AF7D26" w:rsidRPr="00AF7D26">
          <w:rPr>
            <w:rStyle w:val="Hyperlink"/>
            <w:b w:val="0"/>
            <w:bCs w:val="0"/>
            <w:rtl/>
          </w:rPr>
          <w:t xml:space="preserve"> </w:t>
        </w:r>
        <w:r w:rsidR="00AF7D26" w:rsidRPr="00AF7D26">
          <w:rPr>
            <w:rStyle w:val="Hyperlink"/>
            <w:rFonts w:hint="cs"/>
            <w:b w:val="0"/>
            <w:bCs w:val="0"/>
            <w:rtl/>
          </w:rPr>
          <w:t>النطاق</w:t>
        </w:r>
        <w:r w:rsidR="00AF7D26" w:rsidRPr="00AF7D26">
          <w:rPr>
            <w:rStyle w:val="Hyperlink"/>
            <w:b w:val="0"/>
            <w:bCs w:val="0"/>
            <w:rtl/>
          </w:rPr>
          <w:t xml:space="preserve"> </w:t>
        </w:r>
        <w:r w:rsidR="00AF7D26" w:rsidRPr="00AF7D26">
          <w:rPr>
            <w:rStyle w:val="Hyperlink"/>
            <w:rFonts w:hint="cs"/>
            <w:b w:val="0"/>
            <w:bCs w:val="0"/>
            <w:rtl/>
          </w:rPr>
          <w:t>العريض</w:t>
        </w:r>
        <w:r w:rsidR="00AF7D26" w:rsidRPr="00AF7D26">
          <w:rPr>
            <w:rStyle w:val="Hyperlink"/>
            <w:b w:val="0"/>
            <w:bCs w:val="0"/>
            <w:rtl/>
          </w:rPr>
          <w:t xml:space="preserve"> </w:t>
        </w:r>
        <w:r w:rsidR="00AF7D26" w:rsidRPr="00AF7D26">
          <w:rPr>
            <w:rStyle w:val="Hyperlink"/>
            <w:rFonts w:hint="cs"/>
            <w:b w:val="0"/>
            <w:bCs w:val="0"/>
            <w:rtl/>
          </w:rPr>
          <w:t>السلكي</w:t>
        </w:r>
        <w:r w:rsidR="00AF7D26" w:rsidRPr="00AF7D26">
          <w:rPr>
            <w:rStyle w:val="Hyperlink"/>
            <w:b w:val="0"/>
            <w:bCs w:val="0"/>
            <w:rtl/>
          </w:rPr>
          <w:t xml:space="preserve"> </w:t>
        </w:r>
        <w:r w:rsidR="00AF7D26" w:rsidRPr="00AF7D26">
          <w:rPr>
            <w:rStyle w:val="Hyperlink"/>
            <w:rFonts w:hint="cs"/>
            <w:b w:val="0"/>
            <w:bCs w:val="0"/>
            <w:rtl/>
          </w:rPr>
          <w:t>للألياف</w:t>
        </w:r>
        <w:r w:rsidR="00AF7D26" w:rsidRPr="00AF7D26">
          <w:rPr>
            <w:rStyle w:val="Hyperlink"/>
            <w:b w:val="0"/>
            <w:bCs w:val="0"/>
            <w:rtl/>
          </w:rPr>
          <w:t xml:space="preserve"> </w:t>
        </w:r>
        <w:r w:rsidR="00AF7D26" w:rsidRPr="00AF7D26">
          <w:rPr>
            <w:rStyle w:val="Hyperlink"/>
            <w:rFonts w:hint="cs"/>
            <w:b w:val="0"/>
            <w:bCs w:val="0"/>
            <w:rtl/>
          </w:rPr>
          <w:t>البصرية</w:t>
        </w:r>
        <w:r w:rsidR="00AF7D26" w:rsidRPr="00AF7D26">
          <w:rPr>
            <w:rStyle w:val="Hyperlink"/>
            <w:b w:val="0"/>
            <w:bCs w:val="0"/>
            <w:rtl/>
          </w:rPr>
          <w:t xml:space="preserve"> </w:t>
        </w:r>
        <w:r w:rsidR="00AF7D26" w:rsidRPr="00AF7D26">
          <w:rPr>
            <w:rStyle w:val="Hyperlink"/>
            <w:rFonts w:hint="cs"/>
            <w:b w:val="0"/>
            <w:bCs w:val="0"/>
            <w:rtl/>
          </w:rPr>
          <w:t>لدى</w:t>
        </w:r>
        <w:r w:rsidR="00AF7D26" w:rsidRPr="00AF7D26">
          <w:rPr>
            <w:rStyle w:val="Hyperlink"/>
            <w:b w:val="0"/>
            <w:bCs w:val="0"/>
            <w:rtl/>
          </w:rPr>
          <w:t xml:space="preserve"> </w:t>
        </w:r>
        <w:r w:rsidR="00AF7D26" w:rsidRPr="00AF7D26">
          <w:rPr>
            <w:rStyle w:val="Hyperlink"/>
            <w:rFonts w:hint="cs"/>
            <w:b w:val="0"/>
            <w:bCs w:val="0"/>
            <w:rtl/>
          </w:rPr>
          <w:t>قطاع</w:t>
        </w:r>
        <w:r w:rsidR="00AF7D26" w:rsidRPr="00AF7D26">
          <w:rPr>
            <w:rStyle w:val="Hyperlink"/>
            <w:b w:val="0"/>
            <w:bCs w:val="0"/>
            <w:rtl/>
          </w:rPr>
          <w:t xml:space="preserve"> </w:t>
        </w:r>
        <w:r w:rsidR="00AF7D26" w:rsidRPr="00AF7D26">
          <w:rPr>
            <w:rStyle w:val="Hyperlink"/>
            <w:rFonts w:hint="cs"/>
            <w:b w:val="0"/>
            <w:bCs w:val="0"/>
            <w:rtl/>
          </w:rPr>
          <w:t>تقييس</w:t>
        </w:r>
        <w:r w:rsidR="00AF7D26" w:rsidRPr="00AF7D26">
          <w:rPr>
            <w:rStyle w:val="Hyperlink"/>
            <w:b w:val="0"/>
            <w:bCs w:val="0"/>
            <w:rtl/>
          </w:rPr>
          <w:t xml:space="preserve"> </w:t>
        </w:r>
        <w:r w:rsidR="00AF7D26" w:rsidRPr="00AF7D26">
          <w:rPr>
            <w:rStyle w:val="Hyperlink"/>
            <w:rFonts w:hint="cs"/>
            <w:b w:val="0"/>
            <w:bCs w:val="0"/>
            <w:rtl/>
          </w:rPr>
          <w:t>الاتصالات</w:t>
        </w:r>
        <w:r w:rsidR="00AF7D26">
          <w:rPr>
            <w:b w:val="0"/>
            <w:bCs w:val="0"/>
            <w:webHidden/>
          </w:rPr>
          <w:tab/>
        </w:r>
        <w:r w:rsidR="00AF7D26" w:rsidRP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_Toc380497409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32</w:t>
        </w:r>
        <w:r w:rsidR="00AF7D26" w:rsidRPr="007052FB">
          <w:rPr>
            <w:rStyle w:val="Hyperlink"/>
            <w:rFonts w:cs="Calibri"/>
            <w:b w:val="0"/>
            <w:bCs w:val="0"/>
            <w:szCs w:val="21"/>
          </w:rPr>
          <w:fldChar w:fldCharType="end"/>
        </w:r>
      </w:hyperlink>
    </w:p>
    <w:p w:rsidR="00AF7D26" w:rsidRDefault="00B56FF8" w:rsidP="00AF7D26">
      <w:pPr>
        <w:pStyle w:val="TOC1"/>
        <w:keepNext w:val="0"/>
        <w:keepLines w:val="0"/>
        <w:rPr>
          <w:rFonts w:asciiTheme="minorHAnsi" w:hAnsiTheme="minorHAnsi" w:cstheme="minorBidi"/>
          <w:b w:val="0"/>
          <w:bCs w:val="0"/>
          <w:sz w:val="22"/>
          <w:szCs w:val="22"/>
        </w:rPr>
      </w:pPr>
      <w:hyperlink w:anchor="_Toc380497410" w:history="1">
        <w:r w:rsidR="00AF7D26" w:rsidRPr="00AF7D26">
          <w:rPr>
            <w:rStyle w:val="Hyperlink"/>
            <w:rFonts w:hint="cs"/>
            <w:b w:val="0"/>
            <w:bCs w:val="0"/>
            <w:rtl/>
          </w:rPr>
          <w:t>الجدول</w:t>
        </w:r>
        <w:r w:rsidR="00AF7D26" w:rsidRPr="00AF7D26">
          <w:rPr>
            <w:rStyle w:val="Hyperlink"/>
            <w:b w:val="0"/>
            <w:bCs w:val="0"/>
            <w:rtl/>
          </w:rPr>
          <w:t xml:space="preserve"> </w:t>
        </w:r>
        <w:r w:rsidR="00AF7D26" w:rsidRPr="00AF7D26">
          <w:rPr>
            <w:rStyle w:val="Hyperlink"/>
            <w:b w:val="0"/>
            <w:bCs w:val="0"/>
          </w:rPr>
          <w:t>3-3.3</w:t>
        </w:r>
        <w:r w:rsidR="00AF7D26" w:rsidRPr="00AF7D26">
          <w:rPr>
            <w:rStyle w:val="Hyperlink"/>
            <w:b w:val="0"/>
            <w:bCs w:val="0"/>
            <w:rtl/>
          </w:rPr>
          <w:t xml:space="preserve">: </w:t>
        </w:r>
        <w:r w:rsidR="00AF7D26" w:rsidRPr="00AF7D26">
          <w:rPr>
            <w:rStyle w:val="Hyperlink"/>
            <w:rFonts w:hint="cs"/>
            <w:b w:val="0"/>
            <w:bCs w:val="0"/>
            <w:rtl/>
          </w:rPr>
          <w:t>توصيات</w:t>
        </w:r>
        <w:r w:rsidR="00AF7D26" w:rsidRPr="00AF7D26">
          <w:rPr>
            <w:rStyle w:val="Hyperlink"/>
            <w:b w:val="0"/>
            <w:bCs w:val="0"/>
            <w:rtl/>
          </w:rPr>
          <w:t xml:space="preserve"> </w:t>
        </w:r>
        <w:r w:rsidR="00AF7D26" w:rsidRPr="00AF7D26">
          <w:rPr>
            <w:rStyle w:val="Hyperlink"/>
            <w:rFonts w:hint="cs"/>
            <w:b w:val="0"/>
            <w:bCs w:val="0"/>
            <w:rtl/>
          </w:rPr>
          <w:t>قطاع</w:t>
        </w:r>
        <w:r w:rsidR="00AF7D26" w:rsidRPr="00AF7D26">
          <w:rPr>
            <w:rStyle w:val="Hyperlink"/>
            <w:b w:val="0"/>
            <w:bCs w:val="0"/>
            <w:rtl/>
          </w:rPr>
          <w:t xml:space="preserve"> </w:t>
        </w:r>
        <w:r w:rsidR="00AF7D26" w:rsidRPr="00AF7D26">
          <w:rPr>
            <w:rStyle w:val="Hyperlink"/>
            <w:rFonts w:hint="cs"/>
            <w:b w:val="0"/>
            <w:bCs w:val="0"/>
            <w:rtl/>
          </w:rPr>
          <w:t>تقييس</w:t>
        </w:r>
        <w:r w:rsidR="00AF7D26" w:rsidRPr="00AF7D26">
          <w:rPr>
            <w:rStyle w:val="Hyperlink"/>
            <w:b w:val="0"/>
            <w:bCs w:val="0"/>
            <w:rtl/>
          </w:rPr>
          <w:t xml:space="preserve"> </w:t>
        </w:r>
        <w:r w:rsidR="00AF7D26" w:rsidRPr="00AF7D26">
          <w:rPr>
            <w:rStyle w:val="Hyperlink"/>
            <w:rFonts w:hint="cs"/>
            <w:b w:val="0"/>
            <w:bCs w:val="0"/>
            <w:rtl/>
          </w:rPr>
          <w:t>الاتصالات</w:t>
        </w:r>
        <w:r w:rsidR="00AF7D26" w:rsidRPr="00AF7D26">
          <w:rPr>
            <w:rStyle w:val="Hyperlink"/>
            <w:b w:val="0"/>
            <w:bCs w:val="0"/>
            <w:rtl/>
          </w:rPr>
          <w:t xml:space="preserve"> </w:t>
        </w:r>
        <w:r w:rsidR="00AF7D26" w:rsidRPr="00AF7D26">
          <w:rPr>
            <w:rStyle w:val="Hyperlink"/>
            <w:rFonts w:hint="cs"/>
            <w:b w:val="0"/>
            <w:bCs w:val="0"/>
            <w:rtl/>
          </w:rPr>
          <w:t>الموصِّفة</w:t>
        </w:r>
        <w:r w:rsidR="00AF7D26" w:rsidRPr="00AF7D26">
          <w:rPr>
            <w:rStyle w:val="Hyperlink"/>
            <w:b w:val="0"/>
            <w:bCs w:val="0"/>
            <w:rtl/>
          </w:rPr>
          <w:t xml:space="preserve"> </w:t>
        </w:r>
        <w:r w:rsidR="00AF7D26" w:rsidRPr="00AF7D26">
          <w:rPr>
            <w:rStyle w:val="Hyperlink"/>
            <w:rFonts w:hint="cs"/>
            <w:b w:val="0"/>
            <w:bCs w:val="0"/>
            <w:rtl/>
          </w:rPr>
          <w:t>ل</w:t>
        </w:r>
        <w:r w:rsidR="00AF7D26" w:rsidRPr="00AF7D26">
          <w:rPr>
            <w:rStyle w:val="Hyperlink"/>
            <w:rFonts w:hint="cs"/>
            <w:b w:val="0"/>
            <w:bCs w:val="0"/>
            <w:rtl/>
          </w:rPr>
          <w:t>معايير</w:t>
        </w:r>
        <w:r w:rsidR="00AF7D26" w:rsidRPr="00AF7D26">
          <w:rPr>
            <w:rStyle w:val="Hyperlink"/>
            <w:b w:val="0"/>
            <w:bCs w:val="0"/>
            <w:rtl/>
          </w:rPr>
          <w:t xml:space="preserve"> </w:t>
        </w:r>
        <w:r w:rsidR="00AF7D26" w:rsidRPr="00AF7D26">
          <w:rPr>
            <w:rStyle w:val="Hyperlink"/>
            <w:rFonts w:hint="cs"/>
            <w:b w:val="0"/>
            <w:bCs w:val="0"/>
            <w:rtl/>
          </w:rPr>
          <w:t>الربط</w:t>
        </w:r>
        <w:r w:rsidR="00AF7D26" w:rsidRPr="00AF7D26">
          <w:rPr>
            <w:rStyle w:val="Hyperlink"/>
            <w:b w:val="0"/>
            <w:bCs w:val="0"/>
            <w:rtl/>
          </w:rPr>
          <w:t xml:space="preserve"> </w:t>
        </w:r>
        <w:r w:rsidR="00AF7D26" w:rsidRPr="00AF7D26">
          <w:rPr>
            <w:rStyle w:val="Hyperlink"/>
            <w:rFonts w:hint="cs"/>
            <w:b w:val="0"/>
            <w:bCs w:val="0"/>
            <w:rtl/>
          </w:rPr>
          <w:t>الشبكي</w:t>
        </w:r>
        <w:r w:rsidR="00AF7D26" w:rsidRPr="00AF7D26">
          <w:rPr>
            <w:rStyle w:val="Hyperlink"/>
            <w:b w:val="0"/>
            <w:bCs w:val="0"/>
            <w:rtl/>
          </w:rPr>
          <w:t xml:space="preserve"> </w:t>
        </w:r>
        <w:r w:rsidR="00AF7D26" w:rsidRPr="00AF7D26">
          <w:rPr>
            <w:rStyle w:val="Hyperlink"/>
            <w:rFonts w:hint="cs"/>
            <w:b w:val="0"/>
            <w:bCs w:val="0"/>
            <w:rtl/>
          </w:rPr>
          <w:t>المنزلي</w:t>
        </w:r>
        <w:r w:rsidR="00AF7D26" w:rsidRPr="00AF7D26">
          <w:rPr>
            <w:b w:val="0"/>
            <w:bCs w:val="0"/>
            <w:webHidden/>
          </w:rPr>
          <w:tab/>
        </w:r>
        <w:r w:rsidR="00AF7D26">
          <w:rPr>
            <w:b w:val="0"/>
            <w:bCs w:val="0"/>
            <w:webHidden/>
          </w:rPr>
          <w:tab/>
        </w:r>
        <w:r w:rsidR="00AF7D26" w:rsidRPr="007052FB">
          <w:rPr>
            <w:rStyle w:val="Hyperlink"/>
            <w:rFonts w:cs="Calibri"/>
            <w:b w:val="0"/>
            <w:bCs w:val="0"/>
            <w:szCs w:val="21"/>
          </w:rPr>
          <w:fldChar w:fldCharType="begin"/>
        </w:r>
        <w:r w:rsidR="00AF7D26" w:rsidRPr="007052FB">
          <w:rPr>
            <w:rFonts w:cs="Calibri"/>
            <w:b w:val="0"/>
            <w:bCs w:val="0"/>
            <w:webHidden/>
            <w:szCs w:val="21"/>
          </w:rPr>
          <w:instrText xml:space="preserve"> PAGEREF _Toc380497410 \h </w:instrText>
        </w:r>
        <w:r w:rsidR="00AF7D26" w:rsidRPr="007052FB">
          <w:rPr>
            <w:rStyle w:val="Hyperlink"/>
            <w:rFonts w:cs="Calibri"/>
            <w:b w:val="0"/>
            <w:bCs w:val="0"/>
            <w:szCs w:val="21"/>
          </w:rPr>
        </w:r>
        <w:r w:rsidR="00AF7D26" w:rsidRPr="007052FB">
          <w:rPr>
            <w:rStyle w:val="Hyperlink"/>
            <w:rFonts w:cs="Calibri"/>
            <w:b w:val="0"/>
            <w:bCs w:val="0"/>
            <w:szCs w:val="21"/>
          </w:rPr>
          <w:fldChar w:fldCharType="separate"/>
        </w:r>
        <w:r>
          <w:rPr>
            <w:rFonts w:cs="Times New Roman"/>
            <w:b w:val="0"/>
            <w:bCs w:val="0"/>
            <w:webHidden/>
            <w:szCs w:val="21"/>
            <w:rtl/>
          </w:rPr>
          <w:t>33</w:t>
        </w:r>
        <w:r w:rsidR="00AF7D26" w:rsidRPr="007052FB">
          <w:rPr>
            <w:rStyle w:val="Hyperlink"/>
            <w:rFonts w:cs="Calibri"/>
            <w:b w:val="0"/>
            <w:bCs w:val="0"/>
            <w:szCs w:val="21"/>
          </w:rPr>
          <w:fldChar w:fldCharType="end"/>
        </w:r>
      </w:hyperlink>
    </w:p>
    <w:p w:rsidR="00AF7D26" w:rsidRDefault="00AF7D26" w:rsidP="000A316A">
      <w:pPr>
        <w:rPr>
          <w:noProof/>
          <w:lang w:eastAsia="zh-CN"/>
        </w:rPr>
      </w:pPr>
      <w:r>
        <w:rPr>
          <w:noProof/>
          <w:rtl/>
          <w:lang w:eastAsia="zh-CN"/>
        </w:rPr>
        <w:fldChar w:fldCharType="end"/>
      </w:r>
    </w:p>
    <w:p w:rsidR="00D240F2" w:rsidRPr="00EC11C0" w:rsidRDefault="00D240F2" w:rsidP="000A316A">
      <w:pPr>
        <w:rPr>
          <w:noProof/>
          <w:lang w:eastAsia="zh-CN"/>
        </w:rPr>
      </w:pPr>
    </w:p>
    <w:p w:rsidR="00D240F2" w:rsidRPr="00E56349" w:rsidRDefault="00D240F2" w:rsidP="000A316A">
      <w:pPr>
        <w:sectPr w:rsidR="00D240F2" w:rsidRPr="00E56349" w:rsidSect="00E56349">
          <w:headerReference w:type="even" r:id="rId13"/>
          <w:headerReference w:type="default" r:id="rId14"/>
          <w:footerReference w:type="even" r:id="rId15"/>
          <w:headerReference w:type="first" r:id="rId16"/>
          <w:footerReference w:type="first" r:id="rId17"/>
          <w:type w:val="oddPage"/>
          <w:pgSz w:w="11907" w:h="16840" w:code="9"/>
          <w:pgMar w:top="1418" w:right="1418" w:bottom="1418" w:left="1418" w:header="709" w:footer="709" w:gutter="0"/>
          <w:pgNumType w:fmt="lowerRoman" w:start="3"/>
          <w:cols w:space="720"/>
          <w:titlePg/>
          <w:rtlGutter/>
        </w:sectPr>
      </w:pPr>
      <w:bookmarkStart w:id="11" w:name="_Toc220575896"/>
      <w:bookmarkStart w:id="12" w:name="_Toc239479602"/>
      <w:bookmarkStart w:id="13" w:name="_Toc298922036"/>
    </w:p>
    <w:p w:rsidR="00ED3677" w:rsidRPr="00882417" w:rsidRDefault="00191D6A" w:rsidP="005A67D3">
      <w:pPr>
        <w:pStyle w:val="Chapttitle"/>
        <w:spacing w:line="180" w:lineRule="auto"/>
        <w:rPr>
          <w:rtl/>
        </w:rPr>
      </w:pPr>
      <w:bookmarkStart w:id="14" w:name="_Toc375046953"/>
      <w:bookmarkStart w:id="15" w:name="_Toc378594243"/>
      <w:bookmarkStart w:id="16" w:name="_Toc379901513"/>
      <w:bookmarkStart w:id="17" w:name="_Toc380496711"/>
      <w:bookmarkEnd w:id="8"/>
      <w:bookmarkEnd w:id="9"/>
      <w:bookmarkEnd w:id="11"/>
      <w:bookmarkEnd w:id="12"/>
      <w:bookmarkEnd w:id="13"/>
      <w:r>
        <w:rPr>
          <w:rFonts w:hint="cs"/>
          <w:rtl/>
        </w:rPr>
        <w:lastRenderedPageBreak/>
        <w:t>المس</w:t>
      </w:r>
      <w:r w:rsidR="00C067A3">
        <w:rPr>
          <w:rFonts w:hint="cs"/>
          <w:rtl/>
        </w:rPr>
        <w:t>ـ</w:t>
      </w:r>
      <w:r>
        <w:rPr>
          <w:rFonts w:hint="cs"/>
          <w:rtl/>
        </w:rPr>
        <w:t xml:space="preserve">ألة </w:t>
      </w:r>
      <w:bookmarkStart w:id="18" w:name="_Toc377028989"/>
      <w:bookmarkEnd w:id="14"/>
      <w:r w:rsidR="00111C25">
        <w:rPr>
          <w:sz w:val="38"/>
          <w:szCs w:val="50"/>
        </w:rPr>
        <w:t>25</w:t>
      </w:r>
      <w:r w:rsidR="00D71DF6" w:rsidRPr="00D37B90">
        <w:rPr>
          <w:sz w:val="38"/>
          <w:szCs w:val="50"/>
        </w:rPr>
        <w:t>/</w:t>
      </w:r>
      <w:bookmarkEnd w:id="15"/>
      <w:bookmarkEnd w:id="18"/>
      <w:r w:rsidR="00C067A3" w:rsidRPr="00D37B90">
        <w:rPr>
          <w:sz w:val="38"/>
          <w:szCs w:val="50"/>
        </w:rPr>
        <w:t>2</w:t>
      </w:r>
      <w:r w:rsidR="007134EA">
        <w:br/>
      </w:r>
      <w:bookmarkEnd w:id="16"/>
      <w:r w:rsidR="00111C25">
        <w:rPr>
          <w:rtl/>
        </w:rPr>
        <w:t>تكنولوجيا النفاذ الخاصة بالاتصالات عريضة النطاق</w:t>
      </w:r>
      <w:r w:rsidR="007B6FDC">
        <w:rPr>
          <w:rFonts w:hint="cs"/>
          <w:rtl/>
        </w:rPr>
        <w:br/>
      </w:r>
      <w:r w:rsidR="00111C25">
        <w:rPr>
          <w:rtl/>
        </w:rPr>
        <w:t xml:space="preserve">بما في ذلك الاتصالات المتنقلة الدولية، </w:t>
      </w:r>
      <w:r w:rsidR="007B6FDC">
        <w:rPr>
          <w:rFonts w:hint="cs"/>
          <w:rtl/>
        </w:rPr>
        <w:br/>
      </w:r>
      <w:r w:rsidR="00111C25">
        <w:rPr>
          <w:rtl/>
        </w:rPr>
        <w:t>من أجل البلدان النامية</w:t>
      </w:r>
      <w:bookmarkEnd w:id="17"/>
    </w:p>
    <w:p w:rsidR="00111C25" w:rsidRDefault="00111C25" w:rsidP="00111C25">
      <w:pPr>
        <w:pStyle w:val="Heading1"/>
        <w:spacing w:line="184" w:lineRule="auto"/>
      </w:pPr>
      <w:bookmarkStart w:id="19" w:name="_Toc372276103"/>
      <w:bookmarkStart w:id="20" w:name="_Toc380496712"/>
      <w:bookmarkStart w:id="21" w:name="_Toc364254216"/>
      <w:r>
        <w:rPr>
          <w:rtl/>
        </w:rPr>
        <w:t>ملخص إداري</w:t>
      </w:r>
      <w:bookmarkEnd w:id="19"/>
      <w:bookmarkEnd w:id="20"/>
    </w:p>
    <w:p w:rsidR="00111C25" w:rsidRDefault="00111C25" w:rsidP="00111C25">
      <w:pPr>
        <w:rPr>
          <w:rtl/>
        </w:rPr>
      </w:pPr>
      <w:r>
        <w:rPr>
          <w:rtl/>
        </w:rPr>
        <w:t>"تجاوز عدد المشتركين في النطاق العريض المتنقل من جميع أنحاء العالم عددهم في النطاق العريض الثابت بنهاية عام </w:t>
      </w:r>
      <w:r>
        <w:rPr>
          <w:lang w:val="fr-CH" w:bidi="ar"/>
        </w:rPr>
        <w:t>2010</w:t>
      </w:r>
      <w:r>
        <w:rPr>
          <w:rtl/>
        </w:rPr>
        <w:t>. ويعني معدل النمو الاستثنائي هذا في اعتماد النطاق العريض المتنقل أنه سيشكل، في غضون أربع سنوات، نحو </w:t>
      </w:r>
      <w:r>
        <w:rPr>
          <w:lang w:val="fr-CH" w:bidi="ar"/>
        </w:rPr>
        <w:t>80</w:t>
      </w:r>
      <w:r>
        <w:rPr>
          <w:rtl/>
          <w:lang w:val="fr-CH"/>
        </w:rPr>
        <w:t xml:space="preserve"> </w:t>
      </w:r>
      <w:r>
        <w:rPr>
          <w:rtl/>
        </w:rPr>
        <w:t xml:space="preserve">في المائة من مجموع اشتراكات النطاق العريض فيصبح الوسيلة السائدة لتوصيلية الإنترنت. وفي الأسواق الناشئة، يُتوقع لحصة النطاق العريض المتنقل أن تزداد من </w:t>
      </w:r>
      <w:r>
        <w:rPr>
          <w:lang w:val="fr-CH" w:bidi="ar"/>
        </w:rPr>
        <w:t>37</w:t>
      </w:r>
      <w:r>
        <w:rPr>
          <w:rtl/>
        </w:rPr>
        <w:t xml:space="preserve"> إلى </w:t>
      </w:r>
      <w:r>
        <w:rPr>
          <w:lang w:val="fr-CH" w:bidi="ar"/>
        </w:rPr>
        <w:t>79</w:t>
      </w:r>
      <w:r>
        <w:rPr>
          <w:rtl/>
          <w:lang w:val="fr-CH"/>
        </w:rPr>
        <w:t xml:space="preserve"> </w:t>
      </w:r>
      <w:r>
        <w:rPr>
          <w:rtl/>
        </w:rPr>
        <w:t>في المائة من جميع اشتراكات النطاق العريض بين عامي </w:t>
      </w:r>
      <w:r>
        <w:rPr>
          <w:lang w:val="fr-CH" w:bidi="ar"/>
        </w:rPr>
        <w:t>2010</w:t>
      </w:r>
      <w:r>
        <w:rPr>
          <w:rtl/>
          <w:lang w:val="fr-CH"/>
        </w:rPr>
        <w:t xml:space="preserve"> </w:t>
      </w:r>
      <w:r>
        <w:rPr>
          <w:rtl/>
        </w:rPr>
        <w:t>و</w:t>
      </w:r>
      <w:r>
        <w:rPr>
          <w:lang w:val="fr-CH" w:bidi="ar"/>
        </w:rPr>
        <w:t>2015</w:t>
      </w:r>
      <w:r>
        <w:rPr>
          <w:rtl/>
          <w:lang w:val="fr-CH" w:bidi="ar"/>
        </w:rPr>
        <w:t>."</w:t>
      </w:r>
      <w:r>
        <w:rPr>
          <w:rStyle w:val="FootnoteReference"/>
          <w:rtl/>
        </w:rPr>
        <w:footnoteReference w:id="2"/>
      </w:r>
    </w:p>
    <w:p w:rsidR="00111C25" w:rsidRDefault="00111C25" w:rsidP="00111C25">
      <w:pPr>
        <w:rPr>
          <w:rtl/>
        </w:rPr>
      </w:pPr>
      <w:r>
        <w:rPr>
          <w:rtl/>
        </w:rPr>
        <w:t xml:space="preserve">عُهد إلى فريق المسألة </w:t>
      </w:r>
      <w:r>
        <w:rPr>
          <w:lang w:bidi="ar"/>
        </w:rPr>
        <w:t>25</w:t>
      </w:r>
      <w:r>
        <w:rPr>
          <w:rtl/>
        </w:rPr>
        <w:t xml:space="preserve"> التابع للجنة الدراسات </w:t>
      </w:r>
      <w:r>
        <w:rPr>
          <w:lang w:bidi="ar"/>
        </w:rPr>
        <w:t>2</w:t>
      </w:r>
      <w:r>
        <w:rPr>
          <w:rtl/>
        </w:rPr>
        <w:t xml:space="preserve"> </w:t>
      </w:r>
      <w:r>
        <w:rPr>
          <w:rFonts w:hint="cs"/>
          <w:rtl/>
        </w:rPr>
        <w:t xml:space="preserve">لقطاع تنمية الاتصالات أن يحيط </w:t>
      </w:r>
      <w:r>
        <w:rPr>
          <w:rtl/>
          <w:lang w:bidi="ar"/>
        </w:rPr>
        <w:t xml:space="preserve">البلدان النامية علماً بمختلف التكنولوجيات المتاحة للنفاذ عريض النطاق باستخدام التكنولوجيات السلكية واللاسلكية للاتصالات الأرضية والساتلية، بما في ذلك الاتصالات المتنقلة الدولية </w:t>
      </w:r>
      <w:r>
        <w:rPr>
          <w:lang w:val="fr-CH" w:bidi="ar"/>
        </w:rPr>
        <w:t>(</w:t>
      </w:r>
      <w:r>
        <w:rPr>
          <w:lang w:bidi="ar"/>
        </w:rPr>
        <w:t>IMT</w:t>
      </w:r>
      <w:r>
        <w:rPr>
          <w:lang w:val="fr-CH" w:bidi="ar"/>
        </w:rPr>
        <w:t>)</w:t>
      </w:r>
      <w:r>
        <w:rPr>
          <w:rtl/>
          <w:lang w:bidi="ar"/>
        </w:rPr>
        <w:t xml:space="preserve">. ويشمل هذا التقرير المسائل التقنية ذات الصلة بنشر تكنولوجيات النفاذ عريض النطاق عن طريق تحديد العوامل التي تؤثر على النشر الفعال لمثل هذه التكنولوجيات، فضلاً عن تطبيقاتها، مع التركيز على التكنولوجيات والمعايير المعترف بها أو تلك التي تُدرس ضمن قطاعي الاتصالات الراديوية وتقييس الاتصالات. ويهدف هذا التقرير إلى دراسة الاتجاهات المستقبلية لتكنولوجيات النفاذ السلكي واللاسلكي عريض النطاق، وتحديد منهجيات لتخطيط الانتقال إليها وتنفيذه، والنظر في الاتجاهات بما فيها عمليات النشر والخدمات المقدمة والاعتبارات التنظيمية، وتحديد العناصر الرئيسية التي يتعين دراستها من أجل تسهيل نشر أنظمة تضم مكونات ساتلية وأرضية في الاتصالات المتنقلة الدولية، وتقديم معلومات عن أثر هذا التنفيذ، وتقديم معلومات عن الاتصالات المتنقلة الدولية المتقدمة. وتتضمن المعلومات الواردة في هذا التقرير معلومات مستقاة مباشرة من القطاعين الآخرين في الاتحاد، والأعمال التي قام بها </w:t>
      </w:r>
      <w:r>
        <w:rPr>
          <w:rtl/>
        </w:rPr>
        <w:t xml:space="preserve">فريق المسألة </w:t>
      </w:r>
      <w:r>
        <w:rPr>
          <w:lang w:bidi="ar"/>
        </w:rPr>
        <w:t>10</w:t>
      </w:r>
      <w:r>
        <w:rPr>
          <w:rtl/>
        </w:rPr>
        <w:t xml:space="preserve"> التابع للجنة الدراسات </w:t>
      </w:r>
      <w:r>
        <w:rPr>
          <w:lang w:bidi="ar"/>
        </w:rPr>
        <w:t>2</w:t>
      </w:r>
      <w:r>
        <w:rPr>
          <w:rtl/>
        </w:rPr>
        <w:t xml:space="preserve"> </w:t>
      </w:r>
      <w:r>
        <w:rPr>
          <w:rFonts w:hint="cs"/>
          <w:rtl/>
        </w:rPr>
        <w:t xml:space="preserve">لقطاع تنمية الاتصالات بشأن التكنولوجيات الريفية، </w:t>
      </w:r>
      <w:r>
        <w:rPr>
          <w:rtl/>
          <w:lang w:bidi="ar"/>
        </w:rPr>
        <w:t>فضلاً عن الأعمال التي قامت بها لجنة النطاق العريض التابعة للأمم المتحدة في الآونة الأخيرة. ويمكن الحصول على معلومات أوفى من هذه الجهات مباشرة.</w:t>
      </w:r>
    </w:p>
    <w:p w:rsidR="00111C25" w:rsidRDefault="00111C25" w:rsidP="00111C25">
      <w:pPr>
        <w:rPr>
          <w:rtl/>
        </w:rPr>
      </w:pPr>
      <w:r>
        <w:rPr>
          <w:rtl/>
          <w:lang w:bidi="ar"/>
        </w:rPr>
        <w:t xml:space="preserve">وتجدر الإشارة إلى أن هناك العديد من التعاريف المختلفة لمصطلح "النطاق العريض". وتتعدد التعاريف المستخدمة له على اختلاف البلدان والتكنولوجيات والوكالات الدولية. وفي عام </w:t>
      </w:r>
      <w:r>
        <w:rPr>
          <w:lang w:val="fr-CH" w:bidi="ar"/>
        </w:rPr>
        <w:t>1990</w:t>
      </w:r>
      <w:r>
        <w:rPr>
          <w:rtl/>
          <w:lang w:bidi="ar"/>
        </w:rPr>
        <w:t xml:space="preserve">، وضع الاتحاد الدولي للاتصالات تعريفاً للنفاذ اللاسلكي عريض النطاق </w:t>
      </w:r>
      <w:r>
        <w:rPr>
          <w:lang w:val="fr-CH" w:bidi="ar"/>
        </w:rPr>
        <w:t>(</w:t>
      </w:r>
      <w:r>
        <w:rPr>
          <w:lang w:bidi="ar"/>
        </w:rPr>
        <w:t>BWA</w:t>
      </w:r>
      <w:r>
        <w:rPr>
          <w:lang w:val="fr-CH" w:bidi="ar"/>
        </w:rPr>
        <w:t>)</w:t>
      </w:r>
      <w:r>
        <w:rPr>
          <w:rtl/>
          <w:lang w:bidi="ar"/>
        </w:rPr>
        <w:t xml:space="preserve"> على أنه "نفاذ لا سلكي تكون فيه قدرات لتوصيل (لتوصيلات)</w:t>
      </w:r>
      <w:r>
        <w:rPr>
          <w:rtl/>
        </w:rPr>
        <w:t>"</w:t>
      </w:r>
      <w:r>
        <w:rPr>
          <w:rtl/>
          <w:lang w:bidi="ar"/>
        </w:rPr>
        <w:t xml:space="preserve"> أعلى من المعدل الأولي."</w:t>
      </w:r>
      <w:r>
        <w:rPr>
          <w:rStyle w:val="FootnoteReference"/>
          <w:rtl/>
        </w:rPr>
        <w:footnoteReference w:id="3"/>
      </w:r>
      <w:r>
        <w:rPr>
          <w:rtl/>
          <w:lang w:bidi="ar"/>
        </w:rPr>
        <w:t xml:space="preserve"> وضمن فريق المسألة </w:t>
      </w:r>
      <w:r>
        <w:rPr>
          <w:lang w:bidi="ar"/>
        </w:rPr>
        <w:t>25</w:t>
      </w:r>
      <w:r>
        <w:rPr>
          <w:rtl/>
          <w:lang w:bidi="ar"/>
        </w:rPr>
        <w:t xml:space="preserve"> التابع للجنة الدراسات </w:t>
      </w:r>
      <w:r>
        <w:rPr>
          <w:lang w:bidi="ar"/>
        </w:rPr>
        <w:t>2</w:t>
      </w:r>
      <w:r>
        <w:rPr>
          <w:rtl/>
          <w:lang w:bidi="ar"/>
        </w:rPr>
        <w:t xml:space="preserve"> </w:t>
      </w:r>
      <w:r>
        <w:rPr>
          <w:rFonts w:hint="cs"/>
          <w:rtl/>
          <w:lang w:bidi="ar"/>
        </w:rPr>
        <w:t>لقطاع تنمية الاتصالات كانت هناك عدة مقترحات بديلة لتعريف النطاق العريض. ومع ذلك، لم يكن هناك توافق في الآراء بشأن تعريف مقترح واحد، ولم يُعتبر أن من شأن اللجنة أن تضع تعريفاً جديداً بالنيابة عن الاتحاد الدولي للاتصالات.</w:t>
      </w:r>
    </w:p>
    <w:p w:rsidR="00111C25" w:rsidRDefault="00111C25" w:rsidP="00853023">
      <w:pPr>
        <w:pStyle w:val="Heading1"/>
        <w:rPr>
          <w:rtl/>
        </w:rPr>
      </w:pPr>
      <w:bookmarkStart w:id="22" w:name="_Toc372276104"/>
      <w:bookmarkStart w:id="23" w:name="_Toc380496713"/>
      <w:r>
        <w:lastRenderedPageBreak/>
        <w:t>1</w:t>
      </w:r>
      <w:r>
        <w:rPr>
          <w:rtl/>
        </w:rPr>
        <w:tab/>
        <w:t>أهمية النطاق العريض</w:t>
      </w:r>
      <w:bookmarkEnd w:id="22"/>
      <w:bookmarkEnd w:id="23"/>
    </w:p>
    <w:p w:rsidR="00111C25" w:rsidRDefault="00111C25" w:rsidP="00451A0A">
      <w:pPr>
        <w:pStyle w:val="Heading2"/>
        <w:spacing w:before="180"/>
        <w:rPr>
          <w:rtl/>
        </w:rPr>
      </w:pPr>
      <w:bookmarkStart w:id="24" w:name="_Toc372276105"/>
      <w:bookmarkStart w:id="25" w:name="_Toc380496714"/>
      <w:r>
        <w:t>1.1</w:t>
      </w:r>
      <w:r>
        <w:rPr>
          <w:rtl/>
        </w:rPr>
        <w:tab/>
        <w:t>المنافع الاجتماعية والاقتصادية للنطاق العريض</w:t>
      </w:r>
      <w:bookmarkEnd w:id="24"/>
      <w:bookmarkEnd w:id="25"/>
    </w:p>
    <w:p w:rsidR="00111C25" w:rsidRDefault="00111C25" w:rsidP="00451A0A">
      <w:pPr>
        <w:rPr>
          <w:bCs/>
          <w:rtl/>
        </w:rPr>
      </w:pPr>
      <w:r>
        <w:rPr>
          <w:rtl/>
        </w:rPr>
        <w:t>"يمكن للنفاذ إلى الإنترنت عريضة النطاق أن يزيد الإنتاجية ويساهم في النمو الاقتصادي، ولذلك يستحق النطاق العريض دوراً محورياً في استراتيجيات التنمية. وتدعو الضرورة لشبكات النطاق العريض (الثابتة والمتنقلة) من أجل تقديم خدمات الاتصالات والمعلومات الحديثة التي تتطلب معدلات عالية لإرسال البيانات. ومن أمثلة هذه الخدمات نقل ملفات المؤسسات، والتلفزيون، والإنترنت عالية السرعة التي توفر توصيلاتها نفاذاً سريعاً إلى مجموعة واسعة من الخدمات، مثل الصوت والفيديو والموسيقى والأفلام والراديو والألعاب والنشر.</w:t>
      </w:r>
    </w:p>
    <w:p w:rsidR="00111C25" w:rsidRDefault="00111C25" w:rsidP="00111C25">
      <w:pPr>
        <w:keepNext/>
        <w:rPr>
          <w:bCs/>
          <w:rtl/>
        </w:rPr>
      </w:pPr>
      <w:r>
        <w:rPr>
          <w:rtl/>
        </w:rPr>
        <w:t>وتعزز شبكات النطاق العريض كفاءة الخدمات القائمة وامتدادها، وتوفر قدرة إضافية لتطبيقات المستقبل. وفي الواقع، تعدّ شبكات النطاق العريض مفتاح التحول المستمر لقطاع تكنولوجيا المعلومات والاتصالات من خلال التقارب بين الاتصالات ووسائل الإعلام والحوسبة. ويمكن أن تتألف عملية التقارب مما يلي:</w:t>
      </w:r>
    </w:p>
    <w:p w:rsidR="00111C25" w:rsidRDefault="00111C25" w:rsidP="00451A0A">
      <w:pPr>
        <w:pStyle w:val="Enumlevel1"/>
        <w:spacing w:before="60"/>
        <w:rPr>
          <w:bCs/>
          <w:rtl/>
        </w:rPr>
      </w:pPr>
      <w:r>
        <w:rPr>
          <w:rtl/>
        </w:rPr>
        <w:t>-</w:t>
      </w:r>
      <w:r>
        <w:rPr>
          <w:rtl/>
        </w:rPr>
        <w:tab/>
        <w:t>تقارب الخدمات الذي يمكّن مقدمي الخدمات من استخدام شبكة واحدة لتقديم خدمات متعددة؛</w:t>
      </w:r>
    </w:p>
    <w:p w:rsidR="00111C25" w:rsidRDefault="00111C25" w:rsidP="00451A0A">
      <w:pPr>
        <w:pStyle w:val="Enumlevel1"/>
        <w:spacing w:before="60"/>
        <w:rPr>
          <w:bCs/>
          <w:rtl/>
        </w:rPr>
      </w:pPr>
      <w:r>
        <w:rPr>
          <w:rtl/>
        </w:rPr>
        <w:t>-</w:t>
      </w:r>
      <w:r>
        <w:rPr>
          <w:rtl/>
        </w:rPr>
        <w:tab/>
        <w:t>تقارب الشبكات الذي يسمح لخدمة بالانتقال عبر أي مجموعة من الشبكات؛</w:t>
      </w:r>
    </w:p>
    <w:p w:rsidR="00111C25" w:rsidRDefault="00111C25" w:rsidP="00451A0A">
      <w:pPr>
        <w:pStyle w:val="Enumlevel1"/>
        <w:spacing w:before="60"/>
        <w:rPr>
          <w:bCs/>
          <w:rtl/>
        </w:rPr>
      </w:pPr>
      <w:r>
        <w:rPr>
          <w:rtl/>
        </w:rPr>
        <w:t>-</w:t>
      </w:r>
      <w:r>
        <w:rPr>
          <w:rtl/>
        </w:rPr>
        <w:tab/>
        <w:t>تقارب الشركات الذي يتيح لها أن تندمج أو تتعاون عبر القطاعات.</w:t>
      </w:r>
    </w:p>
    <w:p w:rsidR="00111C25" w:rsidRDefault="00111C25" w:rsidP="00111C25">
      <w:pPr>
        <w:rPr>
          <w:bCs/>
          <w:rtl/>
        </w:rPr>
      </w:pPr>
      <w:r>
        <w:rPr>
          <w:rtl/>
        </w:rPr>
        <w:t>ويؤدي التقارب إلى تغييرات كبيرة في هياكل السوق ونماذج الأعمال مدفوعاً بالتكنولوجيا والطلب.</w:t>
      </w:r>
    </w:p>
    <w:p w:rsidR="00111C25" w:rsidRPr="00451A0A" w:rsidRDefault="00111C25" w:rsidP="00451A0A">
      <w:pPr>
        <w:rPr>
          <w:bCs/>
          <w:spacing w:val="-4"/>
          <w:rtl/>
        </w:rPr>
      </w:pPr>
      <w:r w:rsidRPr="00451A0A">
        <w:rPr>
          <w:spacing w:val="-4"/>
          <w:rtl/>
        </w:rPr>
        <w:t xml:space="preserve">وهناك أدلة متزايدة على أن النطاق العريض يؤثر تأثيراً اقتصادياً كبيراً على الأفراد والشركات والمجتمعات المحلية. فيستخدم الأفراد على نحو متزايد النطاق العريض لاكتساب المعرفة والمهارات اللازمة لزيادة فرص العمل المتاحة لهم. وحيثما أُدخل النطاق العريض في المناطق الريفية من البلدان النامية، اكتسب القرويون والمزارعون نفاذاً أفضل إلى أسعار المحاصيل في السوق وإلى التدريب وفرص العمل. وفي البلدان المتقدمة والمناطق الحضرية في البلدان النامية، يقوم عدد متزايد من الأفراد ببناء الشبكات الاجتماعية من خلال جماعات الأقران على شبكة الإنترنت المفعلة بالنطاق العريض، مما يسهل التكامل الاقتصادي ويدفع عجلة التنمية. وتتيح مدونات الإنترنت (سجلات الويب، أو اليوميات على الإنترنت) ومدونات الويكي (المواقع حيث يمكن للمستخدمين أن يساهموا في تقديم وصياغة المحتوى) ومواقع تبادل تسجيلات الفيديو وما شابهها الخروج بمقاربات جديدة ولا مركزية وديناميكية لالتقاط المعلومات ونشرها مما يجهز الأفراد على نحو أفضل لاقتصاد المعرفة (جونسون ومانييكا ويي، </w:t>
      </w:r>
      <w:r w:rsidRPr="00451A0A">
        <w:rPr>
          <w:spacing w:val="-4"/>
          <w:lang w:bidi="ar"/>
        </w:rPr>
        <w:t>2005</w:t>
      </w:r>
      <w:r w:rsidRPr="00451A0A">
        <w:rPr>
          <w:spacing w:val="-4"/>
          <w:rtl/>
        </w:rPr>
        <w:t>)."</w:t>
      </w:r>
      <w:r w:rsidRPr="00451A0A">
        <w:rPr>
          <w:rStyle w:val="FootnoteReference"/>
          <w:spacing w:val="-4"/>
          <w:rtl/>
        </w:rPr>
        <w:footnoteReference w:id="4"/>
      </w:r>
    </w:p>
    <w:p w:rsidR="00111C25" w:rsidRPr="00451A0A" w:rsidRDefault="00111C25" w:rsidP="00451A0A">
      <w:pPr>
        <w:rPr>
          <w:spacing w:val="-6"/>
          <w:rtl/>
          <w:lang w:bidi="ar-EG"/>
        </w:rPr>
      </w:pPr>
      <w:r w:rsidRPr="00451A0A">
        <w:rPr>
          <w:spacing w:val="-6"/>
          <w:rtl/>
          <w:lang w:bidi="ar"/>
        </w:rPr>
        <w:t xml:space="preserve">وبالإضافة إلى التأثير الإيجابي للنطاق العريض في اكتساب الأفراد للمعرفة وفي مهاراتهم، فهو يُعتبر مساهماً فعالاً في استحداث فرص العمل في جميع أنحاء العالم. ففي بنغلاديش على سبيل المثال، تتضمن مساهمة صناعة تكنولوجيا المعلومات والاتصالات (الشاملة إلى حد كبير للنطاق العريض على وجه الخصوص)، أربعة مكونات. وهي العمالة "المباشرة" للصناعة أو العمال الذين يوظَّفون مباشرة من الجهات الفاعلة في سلسلة القيمة، وعمالة "الدعم" المستحدثة بالأعمال المسندة إلى مصادر خارجية والضرائب التي تنفقها الحكومة على أنشطة تولد فرص العمل، والفئة "غير المباشرة" الذي تشمل التكاليف الأخرى، وكذلك الأرباح الناتجة والعمالة "المستحثة" التي تشير إلى فرص العمل الإضافية المستحدثة جراء إنفاق الموظفين وغيرهم من المستفيدين لأجورهم. </w:t>
      </w:r>
      <w:r w:rsidRPr="00451A0A">
        <w:rPr>
          <w:spacing w:val="-6"/>
          <w:rtl/>
        </w:rPr>
        <w:t>و</w:t>
      </w:r>
      <w:r w:rsidRPr="00451A0A">
        <w:rPr>
          <w:spacing w:val="-6"/>
          <w:rtl/>
          <w:lang w:bidi="ar"/>
        </w:rPr>
        <w:t xml:space="preserve">العمالة المستحثة وحدها خلقت مؤخراً </w:t>
      </w:r>
      <w:r w:rsidRPr="00451A0A">
        <w:rPr>
          <w:spacing w:val="-6"/>
          <w:lang w:val="fr-CH" w:bidi="ar"/>
        </w:rPr>
        <w:t>1,1</w:t>
      </w:r>
      <w:r w:rsidRPr="00451A0A">
        <w:rPr>
          <w:spacing w:val="-6"/>
          <w:rtl/>
          <w:lang w:bidi="ar"/>
        </w:rPr>
        <w:t xml:space="preserve"> مليون وظيفة في بنغلاديش.</w:t>
      </w:r>
      <w:r w:rsidRPr="00451A0A">
        <w:rPr>
          <w:rStyle w:val="FootnoteReference"/>
          <w:spacing w:val="-6"/>
          <w:rtl/>
        </w:rPr>
        <w:footnoteReference w:id="5"/>
      </w:r>
      <w:r w:rsidRPr="00451A0A">
        <w:rPr>
          <w:spacing w:val="-6"/>
          <w:rtl/>
          <w:lang w:bidi="ar"/>
        </w:rPr>
        <w:t xml:space="preserve"> وفي الولايات المتحدة، وفقاً لشركة ديلويت، يُتوقع أن تولد الاستثمارات الأمريكية في تكنولوجيا النطاق العريض أكثر من </w:t>
      </w:r>
      <w:r w:rsidRPr="00451A0A">
        <w:rPr>
          <w:spacing w:val="-6"/>
          <w:lang w:val="fr-CH" w:bidi="ar"/>
        </w:rPr>
        <w:t>73</w:t>
      </w:r>
      <w:r w:rsidRPr="00451A0A">
        <w:rPr>
          <w:spacing w:val="-6"/>
          <w:rtl/>
          <w:lang w:bidi="ar"/>
        </w:rPr>
        <w:t xml:space="preserve"> مليار دولار في نمو الناتج المحلي الإجمالي بين عامي </w:t>
      </w:r>
      <w:r w:rsidRPr="00451A0A">
        <w:rPr>
          <w:spacing w:val="-6"/>
          <w:lang w:val="fr-CH" w:bidi="ar"/>
        </w:rPr>
        <w:t>2012</w:t>
      </w:r>
      <w:r w:rsidRPr="00451A0A">
        <w:rPr>
          <w:spacing w:val="-6"/>
          <w:rtl/>
          <w:lang w:bidi="ar"/>
        </w:rPr>
        <w:t xml:space="preserve"> و</w:t>
      </w:r>
      <w:r w:rsidRPr="00451A0A">
        <w:rPr>
          <w:spacing w:val="-6"/>
          <w:lang w:val="fr-CH" w:bidi="ar"/>
        </w:rPr>
        <w:t>2016</w:t>
      </w:r>
      <w:r w:rsidRPr="00451A0A">
        <w:rPr>
          <w:spacing w:val="-6"/>
          <w:rtl/>
          <w:lang w:bidi="ar"/>
        </w:rPr>
        <w:t xml:space="preserve"> وما بين </w:t>
      </w:r>
      <w:r w:rsidRPr="00451A0A">
        <w:rPr>
          <w:spacing w:val="-6"/>
          <w:lang w:val="fr-CH" w:bidi="ar"/>
        </w:rPr>
        <w:t>371 000</w:t>
      </w:r>
      <w:r w:rsidRPr="00451A0A">
        <w:rPr>
          <w:spacing w:val="-6"/>
          <w:rtl/>
          <w:lang w:bidi="ar"/>
        </w:rPr>
        <w:t xml:space="preserve"> و</w:t>
      </w:r>
      <w:r w:rsidRPr="00451A0A">
        <w:rPr>
          <w:spacing w:val="-6"/>
          <w:lang w:val="fr-CH" w:bidi="ar"/>
        </w:rPr>
        <w:t>771 000</w:t>
      </w:r>
      <w:r w:rsidRPr="00451A0A">
        <w:rPr>
          <w:spacing w:val="-6"/>
          <w:rtl/>
          <w:lang w:bidi="ar"/>
        </w:rPr>
        <w:t xml:space="preserve"> وظيفة جديدة.</w:t>
      </w:r>
      <w:r w:rsidRPr="00451A0A">
        <w:rPr>
          <w:rStyle w:val="FootnoteReference"/>
          <w:spacing w:val="-6"/>
          <w:rtl/>
        </w:rPr>
        <w:footnoteReference w:id="6"/>
      </w:r>
    </w:p>
    <w:p w:rsidR="00111C25" w:rsidRDefault="00111C25" w:rsidP="00111C25">
      <w:pPr>
        <w:rPr>
          <w:bCs/>
          <w:spacing w:val="-2"/>
          <w:rtl/>
          <w:lang w:bidi="ar"/>
        </w:rPr>
      </w:pPr>
      <w:r>
        <w:rPr>
          <w:spacing w:val="-2"/>
          <w:rtl/>
        </w:rPr>
        <w:lastRenderedPageBreak/>
        <w:t>"ويوفر النطاق العريض حلاً محتملاً بالنسبة للقدرة على توفير العملية التثقيفية في البلدان النامية والمتقدمة على السواء. حيث يمكن لشبكات النطاق العريض توفير المعلومات والتفاعلية والموارد المشتركة والمساعدة على تكافؤ الفرص للجميع. ويعمل التعليم الشبكي على تخفيف اختناقات الموارد المتعلقة بتدريب المعلمين؛ وطبقاً لتقديرات منظمة الأمم المتحدة للتربية والعلم والثقافة "اليونسكو" فإن العدد الإضافي المطلوب من المعلمين على المستوى العالمي سيصل إلى </w:t>
      </w:r>
      <w:r>
        <w:rPr>
          <w:spacing w:val="-2"/>
          <w:lang w:val="en-GB" w:bidi="ar"/>
        </w:rPr>
        <w:t>10</w:t>
      </w:r>
      <w:r>
        <w:rPr>
          <w:spacing w:val="-2"/>
          <w:rtl/>
        </w:rPr>
        <w:t xml:space="preserve"> ملايين معلم بحلول الموعد النهائي لتحقيق الأهداف الإنمائية للألفية عام </w:t>
      </w:r>
      <w:r>
        <w:rPr>
          <w:spacing w:val="-2"/>
          <w:lang w:val="en-GB" w:bidi="ar"/>
        </w:rPr>
        <w:t>2015</w:t>
      </w:r>
      <w:r>
        <w:rPr>
          <w:spacing w:val="-2"/>
          <w:rtl/>
          <w:lang w:val="en-GB" w:bidi="ar"/>
        </w:rPr>
        <w:t>.</w:t>
      </w:r>
      <w:r>
        <w:rPr>
          <w:rStyle w:val="FootnoteReference"/>
          <w:spacing w:val="-2"/>
        </w:rPr>
        <w:footnoteReference w:id="7"/>
      </w:r>
      <w:r>
        <w:rPr>
          <w:spacing w:val="-2"/>
          <w:rtl/>
        </w:rPr>
        <w:t xml:space="preserve"> وتنشط العديد من البلدان بالفعل في تنفيذ برنامج مكثف لتدريب المعلمين شبكياً، إلا أن الأمر يقتضي بذل المزيد: وعلى وجه الخصوص، فإن من الواجب المبادرة على وجه السرعة لتوفير النفاذ </w:t>
      </w:r>
      <w:r>
        <w:rPr>
          <w:spacing w:val="-2"/>
          <w:rtl/>
          <w:lang w:bidi="ar"/>
        </w:rPr>
        <w:t xml:space="preserve">عريض النطاق </w:t>
      </w:r>
      <w:r>
        <w:rPr>
          <w:spacing w:val="-2"/>
          <w:rtl/>
        </w:rPr>
        <w:t>بتكاليف أرخص، ولا سيما في العالم النامي. وبمقدور علاقات الشراكة بين القطاعين العام والخاص المصممة لا من أجل الطلاب فحسب بل وكذلك لخدمة المجتمعات المحلية التي يعيشون فيها (مثل مبادرة الاتحاد الدولي للاتصالات المعروفة باسم توصيل مدرسة، توصيل مجتمع) أن تحقق الكثير في التعجيل بوتيرة التقدم على طريق سد فجوة النطاق العريض."</w:t>
      </w:r>
      <w:r>
        <w:rPr>
          <w:rStyle w:val="FootnoteReference"/>
          <w:spacing w:val="-2"/>
          <w:rtl/>
        </w:rPr>
        <w:footnoteReference w:id="8"/>
      </w:r>
    </w:p>
    <w:p w:rsidR="00111C25" w:rsidRDefault="00111C25" w:rsidP="00111C25">
      <w:r>
        <w:rPr>
          <w:rtl/>
          <w:lang w:bidi="ar"/>
        </w:rPr>
        <w:t xml:space="preserve">ويحقق الاستثمار في تعليم الأطفال مكاسب كبيرة وهو سيضمن سلاسة التحول لبلد ما إلى مجتمع المعلومات. وتستثمر العديد من البلدان في برامج التحول إلى النطاق العريض القائمة على التعليم. وتستخدم هذه البلدان صندوق الخدمة الشاملة والمصادر الحكومية الأخرى لهذه المشاريع. وتنفق الحكومات كل سنة المليارات من الدولارات الأمريكية على نظم التعليم التقليدية، بما في ذلك توزيع الكتب المدرسية والسبّورات وغيرها مجاناً. ويناهز الإنفاق على التعليم العالمي السنوي للطلاب مبلغ </w:t>
      </w:r>
      <w:r w:rsidRPr="007B6FDC">
        <w:rPr>
          <w:b/>
          <w:bCs/>
        </w:rPr>
        <w:t>3 000</w:t>
      </w:r>
      <w:r w:rsidRPr="007B6FDC">
        <w:rPr>
          <w:b/>
          <w:bCs/>
          <w:rtl/>
        </w:rPr>
        <w:t xml:space="preserve"> </w:t>
      </w:r>
      <w:r>
        <w:rPr>
          <w:rFonts w:ascii="Verdana Bold" w:hAnsi="Verdana Bold"/>
          <w:b/>
          <w:bCs/>
          <w:spacing w:val="-2"/>
          <w:rtl/>
          <w:lang w:bidi="ar"/>
        </w:rPr>
        <w:t>مليار دولار أمريكي</w:t>
      </w:r>
      <w:r>
        <w:rPr>
          <w:rtl/>
          <w:lang w:bidi="ar"/>
        </w:rPr>
        <w:t>.</w:t>
      </w:r>
      <w:r>
        <w:rPr>
          <w:rStyle w:val="FootnoteReference"/>
          <w:rtl/>
        </w:rPr>
        <w:footnoteReference w:id="9"/>
      </w:r>
      <w:r>
        <w:rPr>
          <w:rtl/>
          <w:lang w:bidi="ar"/>
        </w:rPr>
        <w:t xml:space="preserve"> وتشيع في العديد من البلدان أيضاً مشكلة نقص الاستخدام الفعال لصناديق الخدمة الشاملة </w:t>
      </w:r>
      <w:r>
        <w:rPr>
          <w:lang w:val="fr-CH" w:bidi="ar"/>
        </w:rPr>
        <w:t>(</w:t>
      </w:r>
      <w:r>
        <w:rPr>
          <w:lang w:bidi="ar"/>
        </w:rPr>
        <w:t>USF</w:t>
      </w:r>
      <w:r>
        <w:rPr>
          <w:lang w:val="fr-CH" w:bidi="ar"/>
        </w:rPr>
        <w:t>)</w:t>
      </w:r>
      <w:r>
        <w:rPr>
          <w:rtl/>
          <w:lang w:bidi="ar"/>
        </w:rPr>
        <w:t xml:space="preserve"> في الوقت المناسب. إذ إن البلدان ستستفيد كثيراً من الانتقال من نظام التعليم التقليدي إلى نظام التعليم القائم على تكنولوجيا المعلومات والاتصالات، ليس فقط لتوفير تجربة تعليمية أكثر فعالية، بل أيضاً لضمان حصول جميع الطلاب على المهارات اللازمة للنجاح في الاقتصاد والمجتمع القائمين على المعرفة، وهو من الأهمية بمكان بالنسبة للحكومات كي تظل قادرة على المنافسة عالمياً. ومن الأهمية بمكان أيضاً اتباع سياسة فعالة تتماشى مع المسالك والنتائج، المطلوبة لتهيئة الظروف للنجاح وتسريع التحول.</w:t>
      </w:r>
    </w:p>
    <w:p w:rsidR="00111C25" w:rsidRDefault="00111C25" w:rsidP="00111C25">
      <w:pPr>
        <w:rPr>
          <w:rtl/>
          <w:lang w:bidi="ar-EG"/>
        </w:rPr>
      </w:pPr>
      <w:r>
        <w:rPr>
          <w:rtl/>
        </w:rPr>
        <w:t>"وما من داع لكي تقتصر جهود الاستعانة بتكنولوجيات المعلومات والاتصالات والنطاق العريض لتحقيق تعميم التعليم الابتدائي على الفتيان والفتيات، بل إنها يمكن أن تشمل أيضاً الرجال والنساء ممن لم تسنح لهم قط فرصة الالتحاق بالمدارس، وتدل الدراسات بصورة مطردة على أن النساء المتعلمات المثقفات أكثر ن‍زوعاً إلى ضمان التحاق أطفالهن بالمدارس. كما أن تكنولوجيات المعلومات والاتصالات والنطاق العريض تتيح أيضاً التعليم الجامع للأشخاص ذوي الإعاقة. وتتحول العديد من المدارس التي كانت تستخدم قبلاً النظم التلفزيونية والراديوية إلى فرص التعليم الشبكية، بالنظر إلى تفاعليتها المتأصلة. وينبغي النظر إلى تطبيقات تكنولوجيا المعلومات والاتصالات ذات النطاق العريض على أنها في آن معاً أداة تعليمية واختصاص قائم بذاته لتطوير خدمات تعليمية فعالة."</w:t>
      </w:r>
      <w:r>
        <w:rPr>
          <w:rStyle w:val="FootnoteReference"/>
          <w:rtl/>
        </w:rPr>
        <w:footnoteReference w:id="10"/>
      </w:r>
    </w:p>
    <w:p w:rsidR="00111C25" w:rsidRDefault="00111C25" w:rsidP="00111C25">
      <w:pPr>
        <w:rPr>
          <w:rtl/>
        </w:rPr>
      </w:pPr>
      <w:r>
        <w:rPr>
          <w:rtl/>
        </w:rPr>
        <w:t xml:space="preserve">"وتتيح توصيلات الإنترنت عالية السرعة للعاملين في القطاع الصحي خارج المراكز الكبرى تلقي تدريب ممتاز وتبادل الخبرات والمعلومات عبر المؤتمرات الفيديوية وعقد منتديات مناقشات تفاعلية واستخدام مواقع الربط الشبكي الاجتماعي. وتيسر خدمات النطاق العريض للنساء النفاذ إلى المعلومات المتعلقة بتنظيم الأسرة والنظافة الصحية ومسائل الصحة الإنجابية، بما في ذلك مواد عروض بصرية ومعلومات باللغات المحلية ومحتوى مناسب ثقافياً. وبمقدور الحوامل والأمهات الجديدات الحصول على معلومات أفضل عن الولادة وعن علائم الإنذار المبكر بالإصابة بالعدوى أو المرض فيما يتعلق بهن وبأطفالهن. وباستطاعة </w:t>
      </w:r>
      <w:r>
        <w:rPr>
          <w:rtl/>
        </w:rPr>
        <w:lastRenderedPageBreak/>
        <w:t>تطبيقات النطاق العريض الموصولة بالهواتف المتنقلة "الذكية" أو بالحواسيب المحمولة المتصلة بشبكات النطاق العريض أن تمكِّن العمال الصحيين من إنشاء سجلات شبكية للمرضى والنفاذ إليها وإرسال المعلومات الصحية إلى واضعي السياسات والباحثين. وثمة دور هام ومتعاظم للمراكز المجتمعية القادرة على النفاذ إلى الإنترنت في توفير التوصيل الأساسي والمعلومات الصحية، ولا سيما للنساء في المناطق الريفية والنائية."</w:t>
      </w:r>
      <w:r>
        <w:rPr>
          <w:rStyle w:val="FootnoteReference"/>
          <w:rtl/>
        </w:rPr>
        <w:footnoteReference w:id="11"/>
      </w:r>
      <w:r>
        <w:rPr>
          <w:rtl/>
        </w:rPr>
        <w:t xml:space="preserve"> "ويمكن لإنترنت النطاق العريض أيضاً أن توفر أدوات بحث ومراقبة قوية لمعالجة المرض بفعالية أشد، عبر رسم خريطة المجموع الجيني للمتقطرة السلية، مثلاً، أو باستخدام السواتل لوضع خرائط المناطق التي يحتمل أن يتواجد فيها البعوض الناقل للملاريا. وبإمكان المراكز المجتمعية لتكنولوجيا المعلومات والاتصالات أن تزود الفتيات والنساء بالقدرة على النفاذ إلى المعلومات الموضوعية وغير المشوهة عن كيفية منع الأمراض المنقولة جنسياً، بما في ذلك الإيدز. وبمقدور النساء المصابات بفيروس نقص المناعة البشرية أن يتلقين المعلومات عن تدابير العلاج اللازمة لمنع انتقال الفيروس إلى أجنتهن، كما أن باستطاعة القائمات على رعاية الأقارب المصابين بهذا الفيروس الحصول على الدعم والمشورة. ويمكن للمراكز المجتمعية لتكنولوجيا المعلومات والاتصالات أن تزود النساء أيضاً بمعلومات قيمة عن سبل مكافحة ومعالجة الملاريا والسل، وغيرهما من الأمراض."</w:t>
      </w:r>
      <w:r>
        <w:rPr>
          <w:rStyle w:val="FootnoteReference"/>
          <w:rtl/>
        </w:rPr>
        <w:footnoteReference w:id="12"/>
      </w:r>
    </w:p>
    <w:p w:rsidR="00111C25" w:rsidRDefault="00111C25" w:rsidP="00111C25">
      <w:pPr>
        <w:rPr>
          <w:bCs/>
          <w:rtl/>
        </w:rPr>
      </w:pPr>
      <w:r>
        <w:rPr>
          <w:rtl/>
        </w:rPr>
        <w:t xml:space="preserve">وهناك مثال آخر لخدمات النطاق العريض التي تساعد الأطفال على التأهب لحالات الطوارئ والكوارث الطبيعية يمكن الاطلاع عليه في </w:t>
      </w:r>
      <w:r>
        <w:rPr>
          <w:b/>
          <w:bCs/>
          <w:rtl/>
        </w:rPr>
        <w:t xml:space="preserve">الملحق </w:t>
      </w:r>
      <w:r>
        <w:rPr>
          <w:b/>
          <w:bCs/>
        </w:rPr>
        <w:t>I</w:t>
      </w:r>
      <w:r>
        <w:rPr>
          <w:rtl/>
        </w:rPr>
        <w:t xml:space="preserve"> من "مشروع السلامة المتنقلة، فلنكن مستعدين!".</w:t>
      </w:r>
    </w:p>
    <w:p w:rsidR="00111C25" w:rsidRDefault="00111C25" w:rsidP="007B6FDC">
      <w:pPr>
        <w:rPr>
          <w:bCs/>
          <w:spacing w:val="-4"/>
          <w:rtl/>
          <w:lang w:bidi="ar-EG"/>
        </w:rPr>
      </w:pPr>
      <w:r>
        <w:rPr>
          <w:spacing w:val="-4"/>
          <w:rtl/>
        </w:rPr>
        <w:t xml:space="preserve">"ويمكن للنفاذ </w:t>
      </w:r>
      <w:r>
        <w:rPr>
          <w:spacing w:val="-4"/>
          <w:rtl/>
          <w:lang w:bidi="ar"/>
        </w:rPr>
        <w:t xml:space="preserve">عريض النطاق </w:t>
      </w:r>
      <w:r>
        <w:rPr>
          <w:spacing w:val="-4"/>
          <w:rtl/>
        </w:rPr>
        <w:t xml:space="preserve">أيضاً أن يدعم نمو الشركات من خلال خفض تكاليف المعاملات وزيادة الإنتاجية. بيد أن تحقيق هذه التحسينات في الأداء يعتمد على قدرة الشركات على تحقيق التكامل بين استراتيجياتها التكنولوجية والتجارية والتنظيمية. وإذ يُستوعب النطاق العريض تماماً فهو سيتحول إلى قاطرة للاستخدامات الإنتاجية المكثفة لتطبيقات وخدمات الإنترنت بما يتيح تحسين العمليات وإدخال نماذج الأعمال الجديدة ويحرك الابتكار ويوسع نطاق العلاقات </w:t>
      </w:r>
      <w:r>
        <w:rPr>
          <w:spacing w:val="-6"/>
          <w:rtl/>
        </w:rPr>
        <w:t xml:space="preserve">التجارية. وأظهرت دراسة شملت </w:t>
      </w:r>
      <w:r>
        <w:rPr>
          <w:spacing w:val="-6"/>
          <w:lang w:bidi="ar"/>
        </w:rPr>
        <w:t>1 200</w:t>
      </w:r>
      <w:r>
        <w:rPr>
          <w:spacing w:val="-6"/>
          <w:rtl/>
        </w:rPr>
        <w:t xml:space="preserve"> من صانعي القرار التجاري والتكنولوجي في شركات ستة بلدان في أمريكا اللاتينية -</w:t>
      </w:r>
      <w:r>
        <w:rPr>
          <w:spacing w:val="-4"/>
          <w:rtl/>
        </w:rPr>
        <w:t xml:space="preserve"> الأرجنتين والبرازيل وشيلي وكولومبيا وكوستاريكا والمكسيك - ارتباط نشر النطاق العريض بتحسينات كبيرة في تنظيم الأعمال التجارية، بما في ذلك سرعة الأعمال وتوقيتها </w:t>
      </w:r>
      <w:r w:rsidR="007B6FDC">
        <w:rPr>
          <w:rFonts w:hint="cs"/>
          <w:spacing w:val="-4"/>
          <w:rtl/>
        </w:rPr>
        <w:br/>
      </w:r>
      <w:r>
        <w:rPr>
          <w:spacing w:val="-4"/>
          <w:rtl/>
        </w:rPr>
        <w:t>وإعادة هندسة العمليات وأتمتتها ومعالجة البيانات ونشر المعلومات داخل المنظمات (مجموعة أبحاث الزخم</w:t>
      </w:r>
      <w:r w:rsidR="007B6FDC">
        <w:rPr>
          <w:rFonts w:hint="cs"/>
          <w:spacing w:val="-4"/>
          <w:rtl/>
        </w:rPr>
        <w:br/>
      </w:r>
      <w:r>
        <w:rPr>
          <w:spacing w:val="-4"/>
          <w:lang w:bidi="ar"/>
        </w:rPr>
        <w:t>(Momentum Research Group)</w:t>
      </w:r>
      <w:r>
        <w:rPr>
          <w:spacing w:val="-4"/>
          <w:rtl/>
        </w:rPr>
        <w:t xml:space="preserve">، </w:t>
      </w:r>
      <w:r>
        <w:rPr>
          <w:spacing w:val="-4"/>
          <w:lang w:bidi="ar"/>
        </w:rPr>
        <w:t>2005</w:t>
      </w:r>
      <w:r>
        <w:rPr>
          <w:spacing w:val="-4"/>
          <w:rtl/>
        </w:rPr>
        <w:t>).</w:t>
      </w:r>
    </w:p>
    <w:p w:rsidR="00111C25" w:rsidRDefault="00111C25" w:rsidP="00111C25">
      <w:pPr>
        <w:rPr>
          <w:bCs/>
          <w:rtl/>
        </w:rPr>
      </w:pPr>
      <w:r>
        <w:rPr>
          <w:rtl/>
        </w:rPr>
        <w:t xml:space="preserve">والشركات في وسائل الإعلام والتصدير وغيرها من القطاعات المتعطشة للمعلومات استفادت بالدرجة الأكبر من دمج النطاق العريض في مجريات أعمالهم. وقد أجرى كلارك وولستون </w:t>
      </w:r>
      <w:r>
        <w:rPr>
          <w:lang w:bidi="ar"/>
        </w:rPr>
        <w:t>(2006)</w:t>
      </w:r>
      <w:r>
        <w:rPr>
          <w:rtl/>
        </w:rPr>
        <w:t xml:space="preserve"> دراسة على </w:t>
      </w:r>
      <w:r>
        <w:rPr>
          <w:lang w:bidi="ar"/>
        </w:rPr>
        <w:t>27</w:t>
      </w:r>
      <w:r>
        <w:rPr>
          <w:rtl/>
        </w:rPr>
        <w:t xml:space="preserve"> بلداً متقدماً و</w:t>
      </w:r>
      <w:r>
        <w:rPr>
          <w:lang w:bidi="ar"/>
        </w:rPr>
        <w:t>66</w:t>
      </w:r>
      <w:r>
        <w:rPr>
          <w:rtl/>
        </w:rPr>
        <w:t xml:space="preserve"> من البلدان </w:t>
      </w:r>
      <w:r>
        <w:rPr>
          <w:spacing w:val="-4"/>
          <w:rtl/>
        </w:rPr>
        <w:t xml:space="preserve">النامية، فوجدوا أن زيادة بنسبة </w:t>
      </w:r>
      <w:r>
        <w:rPr>
          <w:spacing w:val="-4"/>
          <w:lang w:bidi="ar"/>
        </w:rPr>
        <w:t>1</w:t>
      </w:r>
      <w:r>
        <w:rPr>
          <w:spacing w:val="-4"/>
          <w:rtl/>
        </w:rPr>
        <w:t xml:space="preserve"> في المائة في عدد مستخدمي الإنترنت يقابلها ارتفاع في الصادرات بنسبة </w:t>
      </w:r>
      <w:r>
        <w:rPr>
          <w:spacing w:val="-4"/>
          <w:lang w:bidi="ar"/>
        </w:rPr>
        <w:t>4,3</w:t>
      </w:r>
      <w:r>
        <w:rPr>
          <w:spacing w:val="-4"/>
          <w:rtl/>
        </w:rPr>
        <w:t xml:space="preserve"> في المائة.</w:t>
      </w:r>
      <w:r>
        <w:rPr>
          <w:rtl/>
        </w:rPr>
        <w:t xml:space="preserve"> وقد تم توثيق زيادات بنسبة </w:t>
      </w:r>
      <w:r>
        <w:rPr>
          <w:lang w:bidi="ar"/>
        </w:rPr>
        <w:t>25</w:t>
      </w:r>
      <w:r>
        <w:rPr>
          <w:rtl/>
        </w:rPr>
        <w:t xml:space="preserve"> في المائة أو أكثر في كفاءة المطالبات التي تم تجهيزها في اليوم الواحد </w:t>
      </w:r>
      <w:r>
        <w:rPr>
          <w:spacing w:val="-4"/>
          <w:rtl/>
        </w:rPr>
        <w:t xml:space="preserve">من قبل شركات التأمين الأمريكية التي اعتمدت النطاق العريض اللاسلكي (سبرينت </w:t>
      </w:r>
      <w:r>
        <w:rPr>
          <w:spacing w:val="-4"/>
          <w:lang w:bidi="ar"/>
        </w:rPr>
        <w:t>(Sprint)</w:t>
      </w:r>
      <w:r>
        <w:rPr>
          <w:spacing w:val="-4"/>
          <w:rtl/>
        </w:rPr>
        <w:t xml:space="preserve">، </w:t>
      </w:r>
      <w:r>
        <w:rPr>
          <w:spacing w:val="-4"/>
          <w:lang w:bidi="ar"/>
        </w:rPr>
        <w:t>2006</w:t>
      </w:r>
      <w:r>
        <w:rPr>
          <w:spacing w:val="-4"/>
          <w:rtl/>
        </w:rPr>
        <w:t xml:space="preserve">). واستفادت الصناعات الأخرى بشكل كبير من النفاذ </w:t>
      </w:r>
      <w:r>
        <w:rPr>
          <w:spacing w:val="-4"/>
          <w:rtl/>
          <w:lang w:bidi="ar"/>
        </w:rPr>
        <w:t xml:space="preserve">عريض النطاق </w:t>
      </w:r>
      <w:r>
        <w:rPr>
          <w:spacing w:val="-4"/>
          <w:rtl/>
        </w:rPr>
        <w:t>وهي تشمل الاستشارات والمحاسبة والتسويق والعقارات والسياحة والإعلان.</w:t>
      </w:r>
    </w:p>
    <w:p w:rsidR="00111C25" w:rsidRDefault="00111C25" w:rsidP="00111C25">
      <w:pPr>
        <w:rPr>
          <w:rtl/>
        </w:rPr>
      </w:pPr>
      <w:r>
        <w:rPr>
          <w:rtl/>
        </w:rPr>
        <w:t xml:space="preserve">وقد حققت مجتمعات محلية في جميع أنحاء العالم مكاسب اقتصادية كبيرة وفرصاً جديدة من خدمات النطاق العريض. وأشارت دراسات من كندا والمملكة المتحدة والولايات المتحدة أن توصيلية النطاق العريض لها تأثير اقتصادي إيجابي </w:t>
      </w:r>
      <w:r>
        <w:rPr>
          <w:spacing w:val="-6"/>
          <w:rtl/>
        </w:rPr>
        <w:t xml:space="preserve">على استحداث فرص العمل والاحتفاظ بالمجتمع ومبيعات التجزئة والإيرادات الضريبية (فورد وكوتسكي، </w:t>
      </w:r>
      <w:r>
        <w:rPr>
          <w:spacing w:val="-6"/>
          <w:lang w:bidi="ar"/>
        </w:rPr>
        <w:t>2005</w:t>
      </w:r>
      <w:r>
        <w:rPr>
          <w:spacing w:val="-6"/>
          <w:rtl/>
        </w:rPr>
        <w:t xml:space="preserve">؛ كيلي، </w:t>
      </w:r>
      <w:r>
        <w:rPr>
          <w:spacing w:val="-6"/>
          <w:lang w:bidi="ar"/>
        </w:rPr>
        <w:t>2004</w:t>
      </w:r>
      <w:r>
        <w:rPr>
          <w:spacing w:val="-6"/>
          <w:rtl/>
        </w:rPr>
        <w:t>؛</w:t>
      </w:r>
      <w:r>
        <w:rPr>
          <w:rtl/>
        </w:rPr>
        <w:t xml:space="preserve"> فريق الشبكات الاستراتيجية </w:t>
      </w:r>
      <w:r>
        <w:rPr>
          <w:lang w:bidi="ar"/>
        </w:rPr>
        <w:t>2003</w:t>
      </w:r>
      <w:r>
        <w:rPr>
          <w:rtl/>
        </w:rPr>
        <w:t xml:space="preserve">؛ زيلبر ودجوا وشناير، </w:t>
      </w:r>
      <w:r>
        <w:rPr>
          <w:lang w:bidi="ar"/>
        </w:rPr>
        <w:t>2005</w:t>
      </w:r>
      <w:r>
        <w:rPr>
          <w:rtl/>
        </w:rPr>
        <w:t xml:space="preserve">). وفي المناطق الريفية من البلدان النامية، بدأت المجتمعات في الآونة الأخيرة بإطلاق خدمات وتطبيقات النطاق العريض مانحةً السكان المحليين فرص النفاذ إلى الأسواق والخدمات الجديدة. ومن الأمثلة الساطعة على ذلك، تسهيل تبادل المعلومات وإنتاج القيمة بين المشترين والبائعين للمنتجات الزراعية مما أدى إلى تحسين الدخل </w:t>
      </w:r>
      <w:r>
        <w:rPr>
          <w:rtl/>
        </w:rPr>
        <w:lastRenderedPageBreak/>
        <w:t>وسبل العيش في المناطق الريفية. وسابقاً، كانت هذه الفرص متاحة فقط في التجمعات الأكبر أو الأكثر ثراء."</w:t>
      </w:r>
      <w:r>
        <w:rPr>
          <w:rStyle w:val="FootnoteReference"/>
          <w:rtl/>
        </w:rPr>
        <w:footnoteReference w:id="13"/>
      </w:r>
      <w:r>
        <w:rPr>
          <w:rtl/>
        </w:rPr>
        <w:t xml:space="preserve"> </w:t>
      </w:r>
      <w:r>
        <w:rPr>
          <w:rtl/>
          <w:lang w:bidi="ar"/>
        </w:rPr>
        <w:t>ففي بنغلاديش على سبيل المثال، حيث لا سبيل لكثير من السكان للنفاذ إلى توصيل إنترنت مباشر، فإنهم يستخدمون الإنترنت من خلال مراكز الاتصالات التي تقع في المدن والمناطق الريفية.</w:t>
      </w:r>
      <w:r>
        <w:rPr>
          <w:rtl/>
        </w:rPr>
        <w:t xml:space="preserve"> و</w:t>
      </w:r>
      <w:r>
        <w:rPr>
          <w:rtl/>
          <w:lang w:bidi="ar"/>
        </w:rPr>
        <w:t>العديد من هذه مراكز الاتصالات قد لا تمتلك بنية تحتية ثابتة للإنترنت، بل تستخدم النطاق العريض المتنقل لتشغيل خدماتها. ولم تصبح مراكز المعلومات/نقاط التماس هذه نوافذ تطل على نمط الحياة الرقمية للعديد من سكان الريف فحسب، بل إن خدمات كسداد فواتير المرافق العامة ونقل الأموال المتنقل والمكالمات الأرخص عبر الإنترنت تمكنهم من الارتقاء إلى المستوى التالي في سلَّم الحياة. وتوفر مراكز الخدمة هذه مرافق النطاق العريض الحديثة وتعمل على تعريف السكان في المناطق الريفية بالتكنولوجيا الحديثة.</w:t>
      </w:r>
      <w:r>
        <w:rPr>
          <w:rStyle w:val="FootnoteReference"/>
          <w:rtl/>
        </w:rPr>
        <w:footnoteReference w:id="14"/>
      </w:r>
      <w:r>
        <w:rPr>
          <w:rtl/>
        </w:rPr>
        <w:t xml:space="preserve"> ويمكن الاطلاع على مثال لخدمات النطاق العريض التي تساعد المجتمعات المحلية في الملحق </w:t>
      </w:r>
      <w:r>
        <w:t>1</w:t>
      </w:r>
      <w:r>
        <w:rPr>
          <w:rtl/>
        </w:rPr>
        <w:t xml:space="preserve"> في "الصيد بشبكات الجيل الثالث".</w:t>
      </w:r>
    </w:p>
    <w:p w:rsidR="00111C25" w:rsidRDefault="00111C25" w:rsidP="00111C25">
      <w:pPr>
        <w:rPr>
          <w:bCs/>
          <w:rtl/>
        </w:rPr>
      </w:pPr>
      <w:r>
        <w:rPr>
          <w:rtl/>
        </w:rPr>
        <w:t xml:space="preserve">"وعلاوةً على ذلك، فإن النتائج الأولية للتحليل الكمي الذي أجرته منظمة التعاون الاقتصادي والتنمية </w:t>
      </w:r>
      <w:r>
        <w:rPr>
          <w:lang w:bidi="ar"/>
        </w:rPr>
        <w:t>(OECD)</w:t>
      </w:r>
      <w:r>
        <w:rPr>
          <w:rtl/>
        </w:rPr>
        <w:t xml:space="preserve"> تشير إلى أن التوسع في النطاق العريض يؤثر بشكل كبير على إنتاجية العمل. ووفقاً لهذا التحليل، تبدو أسعار النطاق العريض قاطرة هامة في البلدان ذات الدخل المنخفض في هذه المنظمة، حيث يميل رخص النطاق العريض للتلازم مع ارتفاع معدلات النمو في إنتاجية العمل. ففي بلدان منظمة التعاون والتنمية، كان لرفع معدلات انتشار النطاق العريض بنسبة </w:t>
      </w:r>
      <w:r>
        <w:rPr>
          <w:lang w:bidi="ar"/>
        </w:rPr>
        <w:t>1</w:t>
      </w:r>
      <w:r>
        <w:rPr>
          <w:rtl/>
        </w:rPr>
        <w:t xml:space="preserve"> في المائة في عام </w:t>
      </w:r>
      <w:r>
        <w:rPr>
          <w:lang w:bidi="ar"/>
        </w:rPr>
        <w:t>2009</w:t>
      </w:r>
      <w:r>
        <w:rPr>
          <w:rtl/>
        </w:rPr>
        <w:t xml:space="preserve"> (على سبيل المثال، </w:t>
      </w:r>
      <w:r>
        <w:rPr>
          <w:lang w:bidi="ar"/>
        </w:rPr>
        <w:t>%24,3</w:t>
      </w:r>
      <w:r>
        <w:rPr>
          <w:rtl/>
        </w:rPr>
        <w:t xml:space="preserve"> بدلاً من </w:t>
      </w:r>
      <w:r>
        <w:rPr>
          <w:lang w:bidi="ar"/>
        </w:rPr>
        <w:t>%23,3</w:t>
      </w:r>
      <w:r>
        <w:rPr>
          <w:rtl/>
        </w:rPr>
        <w:t xml:space="preserve">) أن أنتج ارتفاعاً في معدل نمو إنتاجية العمل بنسبة </w:t>
      </w:r>
      <w:r>
        <w:rPr>
          <w:lang w:bidi="ar"/>
        </w:rPr>
        <w:t>0,02</w:t>
      </w:r>
      <w:r>
        <w:rPr>
          <w:rtl/>
        </w:rPr>
        <w:t xml:space="preserve"> في المائة. ويُترجَم ارتفاع في معدلات انتشار النطاق العريض بنسبة </w:t>
      </w:r>
      <w:r>
        <w:rPr>
          <w:lang w:bidi="ar"/>
        </w:rPr>
        <w:t>5</w:t>
      </w:r>
      <w:r>
        <w:rPr>
          <w:rtl/>
        </w:rPr>
        <w:t xml:space="preserve"> نقاط مئوية إلى ارتفاع في معدل نمو إنتاجية العمل قدره </w:t>
      </w:r>
      <w:r>
        <w:rPr>
          <w:lang w:bidi="ar"/>
        </w:rPr>
        <w:t>0,07</w:t>
      </w:r>
      <w:r>
        <w:rPr>
          <w:rtl/>
        </w:rPr>
        <w:t xml:space="preserve"> نقطة مئوية.</w:t>
      </w:r>
    </w:p>
    <w:p w:rsidR="00111C25" w:rsidRPr="007B6FDC" w:rsidRDefault="00111C25" w:rsidP="00111C25">
      <w:pPr>
        <w:rPr>
          <w:bCs/>
          <w:spacing w:val="-2"/>
          <w:rtl/>
        </w:rPr>
      </w:pPr>
      <w:r w:rsidRPr="007B6FDC">
        <w:rPr>
          <w:spacing w:val="-2"/>
          <w:rtl/>
        </w:rPr>
        <w:t>ووجدت دراسة أجراها استشاريون في مجال الإدارة من شركة بوز وشركاه</w:t>
      </w:r>
      <w:r w:rsidRPr="007B6FDC">
        <w:rPr>
          <w:rStyle w:val="FootnoteReference"/>
          <w:spacing w:val="-2"/>
          <w:rtl/>
        </w:rPr>
        <w:footnoteReference w:id="15"/>
      </w:r>
      <w:r w:rsidRPr="007B6FDC">
        <w:rPr>
          <w:spacing w:val="-2"/>
          <w:rtl/>
        </w:rPr>
        <w:t xml:space="preserve"> في عام </w:t>
      </w:r>
      <w:r w:rsidRPr="007B6FDC">
        <w:rPr>
          <w:spacing w:val="-2"/>
          <w:lang w:bidi="ar"/>
        </w:rPr>
        <w:t>2009</w:t>
      </w:r>
      <w:r w:rsidRPr="007B6FDC">
        <w:rPr>
          <w:spacing w:val="-2"/>
          <w:rtl/>
        </w:rPr>
        <w:t xml:space="preserve"> "تلازم زيادة بنسبة </w:t>
      </w:r>
      <w:r w:rsidRPr="007B6FDC">
        <w:rPr>
          <w:spacing w:val="-2"/>
          <w:lang w:bidi="ar"/>
        </w:rPr>
        <w:t>%10</w:t>
      </w:r>
      <w:r w:rsidRPr="007B6FDC">
        <w:rPr>
          <w:spacing w:val="-2"/>
          <w:rtl/>
        </w:rPr>
        <w:t xml:space="preserve"> في انتشار النطاق العريض في سنة معينة مع زيادة بنسبة </w:t>
      </w:r>
      <w:r w:rsidRPr="007B6FDC">
        <w:rPr>
          <w:spacing w:val="-2"/>
          <w:lang w:bidi="ar"/>
        </w:rPr>
        <w:t>%1,5</w:t>
      </w:r>
      <w:r w:rsidRPr="007B6FDC">
        <w:rPr>
          <w:spacing w:val="-2"/>
          <w:rtl/>
        </w:rPr>
        <w:t xml:space="preserve"> في نمو إنتاجية العمل على مدى السنوات الخمس التالية". ويشير تقرير شركة بوز وشركاه أيضاً إلى أن "البلدان التي في الطبقة العليا من انتشار النطاق العريض أظهرت ارتفاعاً بنسبة </w:t>
      </w:r>
      <w:r w:rsidRPr="007B6FDC">
        <w:rPr>
          <w:spacing w:val="-2"/>
          <w:lang w:bidi="ar"/>
        </w:rPr>
        <w:t>%2</w:t>
      </w:r>
      <w:r w:rsidRPr="007B6FDC">
        <w:rPr>
          <w:spacing w:val="-2"/>
          <w:rtl/>
        </w:rPr>
        <w:t xml:space="preserve"> في نمو الناتج المحلي الإجمالي للبلدان في الطبقة السفلى." وتقدر هيئة استشارية أخرى في مجال الإدارة، وهي ماكين</w:t>
      </w:r>
      <w:r w:rsidR="007B6FDC">
        <w:rPr>
          <w:rFonts w:hint="cs"/>
          <w:spacing w:val="-2"/>
          <w:rtl/>
        </w:rPr>
        <w:t>‍</w:t>
      </w:r>
      <w:r w:rsidRPr="007B6FDC">
        <w:rPr>
          <w:spacing w:val="-2"/>
          <w:rtl/>
        </w:rPr>
        <w:t xml:space="preserve">زي وشركاه </w:t>
      </w:r>
      <w:r w:rsidRPr="007B6FDC">
        <w:rPr>
          <w:spacing w:val="-2"/>
          <w:lang w:bidi="ar"/>
        </w:rPr>
        <w:t>3</w:t>
      </w:r>
      <w:r w:rsidRPr="007B6FDC">
        <w:rPr>
          <w:spacing w:val="-2"/>
          <w:rtl/>
        </w:rPr>
        <w:t xml:space="preserve">، "أن ارتفاعاً بنسبة </w:t>
      </w:r>
      <w:r w:rsidRPr="007B6FDC">
        <w:rPr>
          <w:spacing w:val="-2"/>
          <w:lang w:bidi="ar"/>
        </w:rPr>
        <w:t>%10</w:t>
      </w:r>
      <w:r w:rsidRPr="007B6FDC">
        <w:rPr>
          <w:spacing w:val="-2"/>
          <w:rtl/>
        </w:rPr>
        <w:t xml:space="preserve"> </w:t>
      </w:r>
      <w:r w:rsidRPr="007B6FDC">
        <w:rPr>
          <w:rFonts w:hint="cs"/>
          <w:spacing w:val="-2"/>
          <w:rtl/>
        </w:rPr>
        <w:t xml:space="preserve">في انتشار النطاق العريض لدى الأسر يعزز إجمالي الناتج المحلي لبلد بنسبة تتراوح بين </w:t>
      </w:r>
      <w:r w:rsidRPr="007B6FDC">
        <w:rPr>
          <w:spacing w:val="-2"/>
          <w:lang w:bidi="ar"/>
        </w:rPr>
        <w:t>0,1</w:t>
      </w:r>
      <w:r w:rsidRPr="007B6FDC">
        <w:rPr>
          <w:spacing w:val="-2"/>
          <w:rtl/>
        </w:rPr>
        <w:t xml:space="preserve"> و</w:t>
      </w:r>
      <w:r w:rsidRPr="007B6FDC">
        <w:rPr>
          <w:spacing w:val="-2"/>
          <w:lang w:bidi="ar"/>
        </w:rPr>
        <w:t>1,4</w:t>
      </w:r>
      <w:r w:rsidRPr="007B6FDC">
        <w:rPr>
          <w:spacing w:val="-2"/>
          <w:rtl/>
        </w:rPr>
        <w:t xml:space="preserve"> في المائة."</w:t>
      </w:r>
    </w:p>
    <w:p w:rsidR="00111C25" w:rsidRDefault="00111C25" w:rsidP="00111C25">
      <w:pPr>
        <w:rPr>
          <w:bCs/>
          <w:rtl/>
        </w:rPr>
      </w:pPr>
      <w:r>
        <w:rPr>
          <w:rtl/>
        </w:rPr>
        <w:t xml:space="preserve">وبالنسبة للبلدان النامية في فئة البلدان المنخفضة والمتوسطة الدخل، يُعتبر النطاق العريض محركاً رئيسياً للنمو الاقتصادي، ووفقاً لدراسة أجراها البنك الدولي، فهو يوفر تعزيزاً بمقدار </w:t>
      </w:r>
      <w:r>
        <w:rPr>
          <w:lang w:bidi="ar"/>
        </w:rPr>
        <w:t>1,38</w:t>
      </w:r>
      <w:r>
        <w:rPr>
          <w:rtl/>
        </w:rPr>
        <w:t xml:space="preserve"> نقطة مئوية إضافية لنمو الناتج المحلي الإجمالي لكل زيادة بنسبة </w:t>
      </w:r>
      <w:r>
        <w:rPr>
          <w:lang w:bidi="ar"/>
        </w:rPr>
        <w:t>%10</w:t>
      </w:r>
      <w:r>
        <w:rPr>
          <w:rtl/>
        </w:rPr>
        <w:t xml:space="preserve"> في انتشار النطاق العريض - وهو تعزيز أعلى مما تقدمه أي من خدمات الاتصالات الأخرى (انظر الشكل </w:t>
      </w:r>
      <w:r>
        <w:rPr>
          <w:lang w:bidi="ar"/>
        </w:rPr>
        <w:t>1</w:t>
      </w:r>
      <w:r>
        <w:rPr>
          <w:rtl/>
        </w:rPr>
        <w:t>). وعقب الأزمة المالية العالمية الأخيرة، أدرجت العديد من البلدان توسيع شبكات النطاق العريض باعتبارها عناصر حاسمة في خططها لتحفيز الاقتصاد</w:t>
      </w:r>
      <w:r>
        <w:rPr>
          <w:rStyle w:val="FootnoteReference"/>
          <w:rtl/>
        </w:rPr>
        <w:footnoteReference w:id="16"/>
      </w:r>
      <w:r>
        <w:rPr>
          <w:rtl/>
        </w:rPr>
        <w:t>."</w:t>
      </w:r>
      <w:r>
        <w:rPr>
          <w:rStyle w:val="FootnoteReference"/>
          <w:rtl/>
        </w:rPr>
        <w:footnoteReference w:id="17"/>
      </w:r>
    </w:p>
    <w:p w:rsidR="00111C25" w:rsidRDefault="00111C25" w:rsidP="00451A0A">
      <w:pPr>
        <w:pStyle w:val="Figuretitle"/>
        <w:rPr>
          <w:rtl/>
        </w:rPr>
      </w:pPr>
      <w:bookmarkStart w:id="26" w:name="_Toc372276106"/>
      <w:bookmarkStart w:id="27" w:name="_Toc380497236"/>
      <w:r>
        <w:rPr>
          <w:rtl/>
        </w:rPr>
        <w:lastRenderedPageBreak/>
        <w:t xml:space="preserve">الشكل </w:t>
      </w:r>
      <w:r>
        <w:t>1-1.1</w:t>
      </w:r>
      <w:r w:rsidR="00451A0A">
        <w:rPr>
          <w:rFonts w:hint="cs"/>
          <w:rtl/>
        </w:rPr>
        <w:t>:</w:t>
      </w:r>
      <w:r>
        <w:rPr>
          <w:rtl/>
        </w:rPr>
        <w:t xml:space="preserve"> </w:t>
      </w:r>
      <w:r>
        <w:rPr>
          <w:rFonts w:hint="cs"/>
          <w:rtl/>
        </w:rPr>
        <w:t>كيف يمكن للاستثمار في النطاق العريض أن يعزز الاقتصادات</w:t>
      </w:r>
      <w:bookmarkEnd w:id="26"/>
      <w:bookmarkEnd w:id="27"/>
    </w:p>
    <w:p w:rsidR="00111C25" w:rsidRDefault="00451A0A" w:rsidP="007B6FDC">
      <w:pPr>
        <w:pStyle w:val="Figure"/>
        <w:rPr>
          <w:sz w:val="3"/>
          <w:szCs w:val="10"/>
          <w:rtl/>
        </w:rPr>
      </w:pPr>
      <w:r>
        <w:rPr>
          <w:noProof/>
          <w:lang w:val="en-US" w:eastAsia="zh-CN"/>
        </w:rPr>
        <mc:AlternateContent>
          <mc:Choice Requires="wps">
            <w:drawing>
              <wp:anchor distT="0" distB="0" distL="114300" distR="114300" simplePos="0" relativeHeight="251645952" behindDoc="0" locked="0" layoutInCell="1" allowOverlap="1" wp14:anchorId="70504E35" wp14:editId="53D54BCD">
                <wp:simplePos x="0" y="0"/>
                <wp:positionH relativeFrom="column">
                  <wp:posOffset>1029970</wp:posOffset>
                </wp:positionH>
                <wp:positionV relativeFrom="paragraph">
                  <wp:posOffset>1120775</wp:posOffset>
                </wp:positionV>
                <wp:extent cx="175260" cy="676910"/>
                <wp:effectExtent l="0" t="0" r="0" b="8890"/>
                <wp:wrapNone/>
                <wp:docPr id="112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center"/>
                              <w:rPr>
                                <w:b/>
                                <w:bCs/>
                                <w:sz w:val="24"/>
                                <w:szCs w:val="24"/>
                              </w:rPr>
                            </w:pPr>
                            <w:r w:rsidRPr="00451A0A">
                              <w:rPr>
                                <w:b/>
                                <w:bCs/>
                                <w:sz w:val="24"/>
                                <w:szCs w:val="24"/>
                                <w:rtl/>
                              </w:rPr>
                              <w:t>نقاط مئوية</w:t>
                            </w:r>
                          </w:p>
                        </w:txbxContent>
                      </wps:txbx>
                      <wps:bodyPr rot="0" vert="vert270" wrap="square" lIns="12700" tIns="12700" rIns="12700" bIns="12700" anchor="t" anchorCtr="0" upright="1">
                        <a:noAutofit/>
                      </wps:bodyPr>
                    </wps:wsp>
                  </a:graphicData>
                </a:graphic>
                <wp14:sizeRelV relativeFrom="margin">
                  <wp14:pctHeight>0</wp14:pctHeight>
                </wp14:sizeRelV>
              </wp:anchor>
            </w:drawing>
          </mc:Choice>
          <mc:Fallback>
            <w:pict>
              <v:rect id="Rectangle 58" o:spid="_x0000_s1026" style="position:absolute;left:0;text-align:left;margin-left:81.1pt;margin-top:88.25pt;width:13.8pt;height:53.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hgrgIAALYFAAAOAAAAZHJzL2Uyb0RvYy54bWysVNuO0zAQfUfiHyy/Z3MhTZNo09Vu0yCk&#10;BVYsfICbOI2FYwfbbbpC/Dtj9959QUAeLI89njkz52Ru77Y9RxuqNJOiwOFNgBEVtWyYWBX429fK&#10;SzHShoiGcClogV+oxnezt29uxyGnkewkb6hCEETofBwK3Bkz5L6v6472RN/IgQq4bKXqiQFTrfxG&#10;kRGi99yPgiDxR6maQcmaag2n5e4Sz1z8tqW1+dy2mhrECwzYjFuVW5d29We3JF8pMnSs3sMgf4Gi&#10;J0xA0mOokhiC1oq9CtWzWkktW3NTy96Xbctq6mqAasLgqprnjgzU1QLN0cOxTfr/ha0/bZ4UYg1w&#10;F0YRRoL0wNIX6BsRK07RJLUtGgedg+fz8KRskXp4lPV3jYScd+BG75WSY0dJA8BC6+9fPLCGhqdo&#10;OX6UDYQnayNdt7at6m1A6APaOlJejqTQrUE1HIbTSZQAdTVcJdMkCx1pPskPjwelzXsqe2Q3BVaA&#10;3QUnm0dtLBiSH1xsLiErxrnjnYuLA3DcnUBqeGrvLAhH488syBbpIo29OEoWXhyUpXdfzWMvqQBg&#10;+a6cz8vwl80bxnnHmoYKm+YgqTD+M8r24t6J4SgqLTlrbDgLSavVcs4V2hCQdOU+13K4Obn5lzBc&#10;E6CWq5LCKA4eosyrknTqxVU88bJpkHpBmD1kSRBncVldlvTIBP33ktBY4GwSTRxLZ6Cvagvc97o2&#10;kvfMwNDgrC9wenQiuVXgQjSOWkMY3+3PWmHhn1oBdB+Idnq1Et1J3WyXW4hidbuUzQsoV0lQFogQ&#10;Jh1s7BpNwRxhcBRY/1gTRTHiH4T9AeDGTppzQ50by3ODiLqTMI8MRrvt3Oym03pQbNVBstC1Sch7&#10;+Gla5gR9Arb/1WA4uLr2g8xOn3PbeZ3G7ew3AAAA//8DAFBLAwQUAAYACAAAACEAp1Pu8OAAAAAL&#10;AQAADwAAAGRycy9kb3ducmV2LnhtbEyPTU+DQBCG7yb+h82YeDF2gaaIyNI0GhJvjbUHj1t2CqTs&#10;LGGXFv+901O9zZt58n4U69n24oyj7xwpiBcRCKTamY4aBfvv6jkD4YMmo3tHqOAXPazL+7tC58Zd&#10;6AvPu9AINiGfawVtCEMupa9btNov3IDEv6MbrQ4sx0aaUV/Y3PYyiaJUWt0RJ7R6wPcW69Nusgo2&#10;yZRtV1WcflT74+mz+Zm6ZfWk1OPDvHkDEXAONxiu9bk6lNzp4CYyXvSs0yRhlI+XdAXiSmSvPOag&#10;IMmWMciykP83lH8AAAD//wMAUEsBAi0AFAAGAAgAAAAhALaDOJL+AAAA4QEAABMAAAAAAAAAAAAA&#10;AAAAAAAAAFtDb250ZW50X1R5cGVzXS54bWxQSwECLQAUAAYACAAAACEAOP0h/9YAAACUAQAACwAA&#10;AAAAAAAAAAAAAAAvAQAAX3JlbHMvLnJlbHNQSwECLQAUAAYACAAAACEADfO4YK4CAAC2BQAADgAA&#10;AAAAAAAAAAAAAAAuAgAAZHJzL2Uyb0RvYy54bWxQSwECLQAUAAYACAAAACEAp1Pu8OAAAAALAQAA&#10;DwAAAAAAAAAAAAAAAAAIBQAAZHJzL2Rvd25yZXYueG1sUEsFBgAAAAAEAAQA8wAAABUGAAAAAA==&#10;" filled="f" stroked="f">
                <v:textbox style="layout-flow:vertical;mso-layout-flow-alt:bottom-to-top" inset="1pt,1pt,1pt,1pt">
                  <w:txbxContent>
                    <w:p w:rsidR="005A67D3" w:rsidRPr="00451A0A" w:rsidRDefault="005A67D3" w:rsidP="00111C25">
                      <w:pPr>
                        <w:spacing w:before="40" w:after="40" w:line="140" w:lineRule="exact"/>
                        <w:jc w:val="center"/>
                        <w:rPr>
                          <w:b/>
                          <w:bCs/>
                          <w:sz w:val="24"/>
                          <w:szCs w:val="24"/>
                        </w:rPr>
                      </w:pPr>
                      <w:r w:rsidRPr="00451A0A">
                        <w:rPr>
                          <w:b/>
                          <w:bCs/>
                          <w:sz w:val="24"/>
                          <w:szCs w:val="24"/>
                          <w:rtl/>
                        </w:rPr>
                        <w:t>نقاط مئوية</w:t>
                      </w:r>
                    </w:p>
                  </w:txbxContent>
                </v:textbox>
              </v:rect>
            </w:pict>
          </mc:Fallback>
        </mc:AlternateContent>
      </w:r>
      <w:r>
        <w:rPr>
          <w:noProof/>
          <w:lang w:val="en-US" w:eastAsia="zh-CN"/>
        </w:rPr>
        <mc:AlternateContent>
          <mc:Choice Requires="wps">
            <w:drawing>
              <wp:anchor distT="0" distB="0" distL="114300" distR="114300" simplePos="0" relativeHeight="251643904" behindDoc="0" locked="0" layoutInCell="1" allowOverlap="1" wp14:anchorId="38C9DDC0" wp14:editId="334CE644">
                <wp:simplePos x="0" y="0"/>
                <wp:positionH relativeFrom="column">
                  <wp:posOffset>2894330</wp:posOffset>
                </wp:positionH>
                <wp:positionV relativeFrom="paragraph">
                  <wp:posOffset>2468457</wp:posOffset>
                </wp:positionV>
                <wp:extent cx="1585595" cy="163830"/>
                <wp:effectExtent l="0" t="0" r="0" b="7620"/>
                <wp:wrapNone/>
                <wp:docPr id="11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right"/>
                              <w:rPr>
                                <w:b/>
                                <w:bCs/>
                                <w:sz w:val="24"/>
                                <w:szCs w:val="24"/>
                              </w:rPr>
                            </w:pPr>
                            <w:r w:rsidRPr="00451A0A">
                              <w:rPr>
                                <w:b/>
                                <w:sz w:val="24"/>
                                <w:szCs w:val="24"/>
                                <w:rtl/>
                              </w:rPr>
                              <w:t>اقتصادات منخفضة ومتوسطة الدخل</w:t>
                            </w:r>
                          </w:p>
                        </w:txbxContent>
                      </wps:txbx>
                      <wps:bodyPr rot="0" vert="horz" wrap="square" lIns="12700" tIns="12700" rIns="12700" bIns="12700" anchor="t" anchorCtr="0" upright="1">
                        <a:noAutofit/>
                      </wps:bodyPr>
                    </wps:wsp>
                  </a:graphicData>
                </a:graphic>
              </wp:anchor>
            </w:drawing>
          </mc:Choice>
          <mc:Fallback>
            <w:pict>
              <v:rect id="Rectangle 57" o:spid="_x0000_s1027" style="position:absolute;left:0;text-align:left;margin-left:227.9pt;margin-top:194.35pt;width:124.85pt;height:12.9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WtQIAALsFAAAOAAAAZHJzL2Uyb0RvYy54bWysVG1vmzAQ/j5p/8Hyd8pLIQFUUrUhTJO6&#10;rVq3H+CACdaMzWynpJv233c2SZq0X6ZtfEA++3y+557n7up613P0SJVmUhQ4vAgwoqKWDRObAn/9&#10;UnkpRtoQ0RAuBS3wE9X4evH2zdU45DSSneQNVQiCCJ2PQ4E7Y4bc93Xd0Z7oCzlQAYetVD0xYKqN&#10;3ygyQvSe+1EQzPxRqmZQsqZaw245HeKFi9+2tDaf2lZTg3iBITfj/sr91/bvL65IvlFk6Fi9T4P8&#10;RRY9YQIePYYqiSFoq9irUD2rldSyNRe17H3ZtqymDgOgCYMXaB46MlCHBYqjh2OZ9P8LW398vFeI&#10;NcBdGEGBBOmBpc9QNyI2nKJkbks0DjoHz4fhXlmQeriT9TeNhFx24EZvlJJjR0kDiYXW3z+7YA0N&#10;V9F6/CAbCE+2Rrpq7VrV24BQB7RzpDwdSaE7g2rYDJM0SbIEoxrOwtlleulY80l+uD0obd5R2SO7&#10;KLCC5F108ninjc2G5AcX+5iQFePcEc/F2QY4TjvwNly1ZzYLx+PPLMhW6SqNvTiarbw4KEvvplrG&#10;3qwK50l5WS6XZfjLvhvGeceahgr7zEFTYfxnnO3VPanhqCotOWtsOJuSVpv1kiv0SEDTlftczeHk&#10;2c0/T8MVAbC8gBRGcXAbZV41S+deXMWJl82D1AvC7DabBXEWl9U5pDsm6L9DQmOBsyRKHEsnSb/A&#10;FrjvNTaS98zA1OCsL3B6dCK5leBKNI5aQxif1ielsOk/lwLoPhDtBGs1Omnd7Na7qSkO6l/L5gkU&#10;rCQIDNoEJh4sOql+YDTC9Ciw/r4limLE3wvbBdE8sOPm1FCnxvrUIKKGUAU2GE3LpZlG1HZQbNPB&#10;S6ErlZA30Dktc6K2XTVlte83mBAO236a2RF0ajuv55m7+A0AAP//AwBQSwMEFAAGAAgAAAAhAOTE&#10;kQjgAAAACwEAAA8AAABkcnMvZG93bnJldi54bWxMj0FLxDAUhO+C/yE8wYu4aXWzLbXpooIgshfX&#10;hb2+bZ5tsUlKk3brv/d50uMww8w35XaxvZhpDJ13GtJVAoJc7U3nGg2Hj5fbHESI6Az23pGGbwqw&#10;rS4vSiyMP7t3mvexEVziQoEa2hiHQspQt2QxrPxAjr1PP1qMLMdGmhHPXG57eZckG2mxc7zQ4kDP&#10;LdVf+8lqmI/H3RMdJpnOGLOb17cpdhvS+vpqeXwAEWmJf2H4xWd0qJjp5Cdngug1rJVi9KjhPs8z&#10;EJzIEqVAnNhK1wpkVcr/H6ofAAAA//8DAFBLAQItABQABgAIAAAAIQC2gziS/gAAAOEBAAATAAAA&#10;AAAAAAAAAAAAAAAAAABbQ29udGVudF9UeXBlc10ueG1sUEsBAi0AFAAGAAgAAAAhADj9If/WAAAA&#10;lAEAAAsAAAAAAAAAAAAAAAAALwEAAF9yZWxzLy5yZWxzUEsBAi0AFAAGAAgAAAAhAM/w2Va1AgAA&#10;uwUAAA4AAAAAAAAAAAAAAAAALgIAAGRycy9lMm9Eb2MueG1sUEsBAi0AFAAGAAgAAAAhAOTEkQjg&#10;AAAACwEAAA8AAAAAAAAAAAAAAAAADwUAAGRycy9kb3ducmV2LnhtbFBLBQYAAAAABAAEAPMAAAAc&#10;BgAAAAA=&#10;" filled="f" stroked="f">
                <v:textbox inset="1pt,1pt,1pt,1pt">
                  <w:txbxContent>
                    <w:p w:rsidR="005A67D3" w:rsidRPr="00451A0A" w:rsidRDefault="005A67D3" w:rsidP="00111C25">
                      <w:pPr>
                        <w:spacing w:before="40" w:after="40" w:line="140" w:lineRule="exact"/>
                        <w:jc w:val="right"/>
                        <w:rPr>
                          <w:b/>
                          <w:bCs/>
                          <w:sz w:val="24"/>
                          <w:szCs w:val="24"/>
                        </w:rPr>
                      </w:pPr>
                      <w:r w:rsidRPr="00451A0A">
                        <w:rPr>
                          <w:b/>
                          <w:sz w:val="24"/>
                          <w:szCs w:val="24"/>
                          <w:rtl/>
                        </w:rPr>
                        <w:t>اقتصادات منخفضة ومتوسطة الدخل</w:t>
                      </w:r>
                    </w:p>
                  </w:txbxContent>
                </v:textbox>
              </v:rect>
            </w:pict>
          </mc:Fallback>
        </mc:AlternateContent>
      </w:r>
      <w:r>
        <w:rPr>
          <w:noProof/>
          <w:lang w:val="en-US" w:eastAsia="zh-CN"/>
        </w:rPr>
        <mc:AlternateContent>
          <mc:Choice Requires="wps">
            <w:drawing>
              <wp:anchor distT="0" distB="0" distL="114300" distR="114300" simplePos="0" relativeHeight="251646976" behindDoc="0" locked="0" layoutInCell="1" allowOverlap="1" wp14:anchorId="282A9E8A" wp14:editId="0610D3D3">
                <wp:simplePos x="0" y="0"/>
                <wp:positionH relativeFrom="column">
                  <wp:posOffset>1670050</wp:posOffset>
                </wp:positionH>
                <wp:positionV relativeFrom="paragraph">
                  <wp:posOffset>2458932</wp:posOffset>
                </wp:positionV>
                <wp:extent cx="1057910" cy="163830"/>
                <wp:effectExtent l="0" t="0" r="8890" b="7620"/>
                <wp:wrapNone/>
                <wp:docPr id="11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right"/>
                              <w:rPr>
                                <w:b/>
                                <w:bCs/>
                                <w:sz w:val="24"/>
                                <w:szCs w:val="24"/>
                              </w:rPr>
                            </w:pPr>
                            <w:r w:rsidRPr="00451A0A">
                              <w:rPr>
                                <w:b/>
                                <w:sz w:val="24"/>
                                <w:szCs w:val="24"/>
                                <w:rtl/>
                              </w:rPr>
                              <w:t>اقتصادات مرتفعة الدخل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6" o:spid="_x0000_s1028" style="position:absolute;left:0;text-align:left;margin-left:131.5pt;margin-top:193.6pt;width:83.3pt;height:1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HtgIAALsFAAAOAAAAZHJzL2Uyb0RvYy54bWysVG1v0zAQ/o7Ef7D8PctL0zaJlk5b0yCk&#10;ARODH+AmTmPh2MF2mw7Ef+fstF27fUFAPkQ++3z33D2P7/pm33G0o0ozKXIcXgUYUVHJmolNjr9+&#10;Kb0EI22IqAmXgub4iWp8s3j75nroMxrJVvKaKgRBhM6GPsetMX3m+7pqaUf0leypgMNGqo4YMNXG&#10;rxUZIHrH/SgIZv4gVd0rWVGtYbcYD/HCxW8aWplPTaOpQTzHgM24v3L/tf37i2uSbRTpW1YdYJC/&#10;QNERJiDpKVRBDEFbxV6F6lilpJaNuapk58umYRV1NUA1YfCimseW9NTVAs3R/alN+v+FrT7uHhRi&#10;NXAXRhOMBOmApc/QNyI2nKLpzLZo6HUGno/9g7JF6v5eVt80EnLZghu9VUoOLSU1AAutv39xwRoa&#10;rqL18EHWEJ5sjXTd2jeqswGhD2jvSHk6kUL3BlWwGQbTeRoCdxWchbNJMnGs+SQ73u6VNu+o7JBd&#10;5FgBeBed7O61sWhIdnSxyYQsGeeOeC4uNsBx3IHccNWeWRSOx59pkK6SVRJ7cTRbeXFQFN5tuYy9&#10;WRnOp8WkWC6L8JfNG8ZZy+qaCpvmqKkw/jPODuoe1XBSlZac1TachaTVZr3kCu0IaLp0n+s5nDy7&#10;+ZcwXBOglhclhVEc3EWpV86SuReX8dRL50HiBWF6l86COI2L8rKkeybov5eEhhyn02jqWDoD/aK2&#10;wH2vayNZxwxMDc66HCcnJ5JZCa5E7ag1hPFxfdYKC/+5FUD3kWgnWKvRUetmv967RxEd1b+W9RMo&#10;WEkQGGgRJh4sWql+YDTA9Mix/r4limLE3wv7CqJ5YMfNuaHOjfW5QUQFoXJsMBqXSzOOqG2v2KaF&#10;TKFrlZC38HIa5kRtX9WI6vDeYEK42g7TzI6gc9t5Pc/cxW8AAAD//wMAUEsDBBQABgAIAAAAIQBp&#10;wGk/4AAAAAsBAAAPAAAAZHJzL2Rvd25yZXYueG1sTI9BS8NAEIXvgv9hGcGL2E1SSWuaTVFBEOnF&#10;Wuh1m0yTYHY2ZCdp/PeOJ73N4z3efC/fzq5TEw6h9WQgXkSgkEpftVQbOHy+3q9BBbZU2c4TGvjG&#10;ANvi+iq3WeUv9IHTnmslJRQya6Bh7jOtQ9mgs2HheyTxzn5wlkUOta4Ge5Fy1+kkilLtbEvyobE9&#10;vjRYfu1HZ2A6HnfPeBh1PFle3b29j9ymaMztzfy0AcU4818YfvEFHQphOvmRqqA6A0m6lC1sYLle&#10;JaAk8ZA8pqBOcsRi6SLX/zcUPwAAAP//AwBQSwECLQAUAAYACAAAACEAtoM4kv4AAADhAQAAEwAA&#10;AAAAAAAAAAAAAAAAAAAAW0NvbnRlbnRfVHlwZXNdLnhtbFBLAQItABQABgAIAAAAIQA4/SH/1gAA&#10;AJQBAAALAAAAAAAAAAAAAAAAAC8BAABfcmVscy8ucmVsc1BLAQItABQABgAIAAAAIQBwS+CHtgIA&#10;ALsFAAAOAAAAAAAAAAAAAAAAAC4CAABkcnMvZTJvRG9jLnhtbFBLAQItABQABgAIAAAAIQBpwGk/&#10;4AAAAAsBAAAPAAAAAAAAAAAAAAAAABAFAABkcnMvZG93bnJldi54bWxQSwUGAAAAAAQABADzAAAA&#10;HQYAAAAA&#10;" filled="f" stroked="f">
                <v:textbox inset="1pt,1pt,1pt,1pt">
                  <w:txbxContent>
                    <w:p w:rsidR="005A67D3" w:rsidRPr="00451A0A" w:rsidRDefault="005A67D3" w:rsidP="00111C25">
                      <w:pPr>
                        <w:spacing w:before="40" w:after="40" w:line="140" w:lineRule="exact"/>
                        <w:jc w:val="right"/>
                        <w:rPr>
                          <w:b/>
                          <w:bCs/>
                          <w:sz w:val="24"/>
                          <w:szCs w:val="24"/>
                        </w:rPr>
                      </w:pPr>
                      <w:r w:rsidRPr="00451A0A">
                        <w:rPr>
                          <w:b/>
                          <w:sz w:val="24"/>
                          <w:szCs w:val="24"/>
                          <w:rtl/>
                        </w:rPr>
                        <w:t>اقتصادات مرتفعة الدخل</w:t>
                      </w:r>
                    </w:p>
                  </w:txbxContent>
                </v:textbox>
              </v:rect>
            </w:pict>
          </mc:Fallback>
        </mc:AlternateContent>
      </w:r>
      <w:r>
        <w:rPr>
          <w:noProof/>
          <w:lang w:val="en-US" w:eastAsia="zh-CN"/>
        </w:rPr>
        <mc:AlternateContent>
          <mc:Choice Requires="wps">
            <w:drawing>
              <wp:anchor distT="0" distB="0" distL="114300" distR="114300" simplePos="0" relativeHeight="251648000" behindDoc="0" locked="0" layoutInCell="1" allowOverlap="1" wp14:anchorId="4E9B0843" wp14:editId="2C98DE8A">
                <wp:simplePos x="0" y="0"/>
                <wp:positionH relativeFrom="column">
                  <wp:posOffset>2621280</wp:posOffset>
                </wp:positionH>
                <wp:positionV relativeFrom="paragraph">
                  <wp:posOffset>2329392</wp:posOffset>
                </wp:positionV>
                <wp:extent cx="690245" cy="147955"/>
                <wp:effectExtent l="0" t="0" r="0" b="4445"/>
                <wp:wrapNone/>
                <wp:docPr id="112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center"/>
                              <w:rPr>
                                <w:b/>
                                <w:bCs/>
                                <w:sz w:val="25"/>
                                <w:szCs w:val="25"/>
                              </w:rPr>
                            </w:pPr>
                            <w:r w:rsidRPr="00451A0A">
                              <w:rPr>
                                <w:b/>
                                <w:bCs/>
                                <w:sz w:val="25"/>
                                <w:szCs w:val="25"/>
                                <w:rtl/>
                              </w:rPr>
                              <w:t>التكنولوجيا</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id="Rectangle 55" o:spid="_x0000_s1029" style="position:absolute;left:0;text-align:left;margin-left:206.4pt;margin-top:183.4pt;width:54.35pt;height:1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oztAIAALoFAAAOAAAAZHJzL2Uyb0RvYy54bWysVG1v0zAQ/o7Ef7D8PcvLkraJlk5b0yCk&#10;ARODH+AmTmPh2MF2mw7Ef+fstF3bfUFAPkQ++3z3PHeP7+Z213G0pUozKXIcXgUYUVHJmol1jr9+&#10;Kb0ZRtoQURMuBc3xM9X4dv72zc3QZzSSreQ1VQiCCJ0NfY5bY/rM93XV0o7oK9lTAYeNVB0xYKq1&#10;XysyQPSO+1EQTPxBqrpXsqJaw24xHuK5i980tDKfmkZTg3iOAZtxf+X+K/v35zckWyvSt6zawyB/&#10;gaIjTEDSY6iCGII2ir0K1bFKSS0bc1XJzpdNwyrqOACbMLhg89SSnjouUBzdH8uk/1/Y6uP2USFW&#10;Q+/CKMZIkA669BnqRsSaU5QktkRDrzPwfOoflSWp+wdZfdNIyEULbvROKTm0lNQALLT+/tkFa2i4&#10;ilbDB1lDeLIx0lVr16jOBoQ6oJ1ryvOxKXRnUAWbkzSI4gSjCo7CeJqOiHySHS73Spt3VHbILnKs&#10;ALsLTrYP2lgwJDu42FxCloxz13cuzjbAcdyB1HDVnlkQro0/0yBdzpaz2IujydKLg6Lw7spF7E3K&#10;cJoU18ViUYS/bN4wzlpW11TYNAdJhfGftWwv7lEMR1FpyVltw1lIWq1XC67QloCkS/e5ksPJi5t/&#10;DsMVAbhcUIKOB/dR6pWT2dSLyzjx0mkw84IwvU8nQZzGRXlO6YEJ+u+U0JDjNIkS16UT0BfcAve9&#10;5kayjhkYGpx1OZ4dnUhmFbgUtWutIYyP65NSWPgvpYB2Hxrt9GolOkrd7FY79yauD+JfyfoZBKwk&#10;CAzGCAw8WLRS/cBogOGRY/19QxTFiL8X9hFE08BOm1NDnRqrU4OICkLl2GA0LhdmnFCbXrF1C5lC&#10;Vyoh7+DhNMyJ2j6qEdX+ucGAcNz2w8xOoFPbeb2M3PlvAAAA//8DAFBLAwQUAAYACAAAACEAxbM/&#10;T+AAAAALAQAADwAAAGRycy9kb3ducmV2LnhtbEyPQUvEQAyF74L/YYjgRdzpVLdq7XRRQRDx4rqw&#10;19k2tsVOpnTSbv33xpPekpfHe1+KzeJ7NeMYu0AWzCoBhVSFuqPGwu7j+fIWVGRHtesDoYVvjLAp&#10;T08Kl9fhSO84b7lREkIxdxZa5iHXOlYtehdXYUCS22cYvWNZx0bXoztKuO91miSZ9q4jaWjdgE8t&#10;Vl/byVuY9/u3R9xN2syOby5eXifuMrT2/Gx5uAfFuPCfGX7xBR1KYTqEieqoegvXJhV0tnCVZTKI&#10;Y52aNaiDKHeJAV0W+v8P5Q8AAAD//wMAUEsBAi0AFAAGAAgAAAAhALaDOJL+AAAA4QEAABMAAAAA&#10;AAAAAAAAAAAAAAAAAFtDb250ZW50X1R5cGVzXS54bWxQSwECLQAUAAYACAAAACEAOP0h/9YAAACU&#10;AQAACwAAAAAAAAAAAAAAAAAvAQAAX3JlbHMvLnJlbHNQSwECLQAUAAYACAAAACEAjeTaM7QCAAC6&#10;BQAADgAAAAAAAAAAAAAAAAAuAgAAZHJzL2Uyb0RvYy54bWxQSwECLQAUAAYACAAAACEAxbM/T+AA&#10;AAALAQAADwAAAAAAAAAAAAAAAAAOBQAAZHJzL2Rvd25yZXYueG1sUEsFBgAAAAAEAAQA8wAAABsG&#10;AAAAAA==&#10;" filled="f" stroked="f">
                <v:textbox inset="1pt,1pt,1pt,1pt">
                  <w:txbxContent>
                    <w:p w:rsidR="005A67D3" w:rsidRPr="00451A0A" w:rsidRDefault="005A67D3" w:rsidP="00111C25">
                      <w:pPr>
                        <w:spacing w:before="40" w:after="40" w:line="140" w:lineRule="exact"/>
                        <w:jc w:val="center"/>
                        <w:rPr>
                          <w:b/>
                          <w:bCs/>
                          <w:sz w:val="25"/>
                          <w:szCs w:val="25"/>
                        </w:rPr>
                      </w:pPr>
                      <w:r w:rsidRPr="00451A0A">
                        <w:rPr>
                          <w:b/>
                          <w:bCs/>
                          <w:sz w:val="25"/>
                          <w:szCs w:val="25"/>
                          <w:rtl/>
                        </w:rPr>
                        <w:t>التكنولوجيا</w:t>
                      </w:r>
                    </w:p>
                  </w:txbxContent>
                </v:textbox>
              </v:rect>
            </w:pict>
          </mc:Fallback>
        </mc:AlternateContent>
      </w:r>
      <w:r>
        <w:rPr>
          <w:noProof/>
          <w:lang w:val="en-US" w:eastAsia="zh-CN"/>
        </w:rPr>
        <mc:AlternateContent>
          <mc:Choice Requires="wps">
            <w:drawing>
              <wp:anchor distT="0" distB="0" distL="114300" distR="114300" simplePos="0" relativeHeight="251650048" behindDoc="0" locked="0" layoutInCell="1" allowOverlap="1" wp14:anchorId="7F9E12B2" wp14:editId="6E402A33">
                <wp:simplePos x="0" y="0"/>
                <wp:positionH relativeFrom="column">
                  <wp:posOffset>3771900</wp:posOffset>
                </wp:positionH>
                <wp:positionV relativeFrom="paragraph">
                  <wp:posOffset>2200063</wp:posOffset>
                </wp:positionV>
                <wp:extent cx="690245" cy="180975"/>
                <wp:effectExtent l="0" t="0" r="0" b="9525"/>
                <wp:wrapNone/>
                <wp:docPr id="11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center"/>
                              <w:rPr>
                                <w:b/>
                                <w:bCs/>
                                <w:sz w:val="24"/>
                                <w:szCs w:val="24"/>
                              </w:rPr>
                            </w:pPr>
                            <w:r w:rsidRPr="00451A0A">
                              <w:rPr>
                                <w:b/>
                                <w:sz w:val="24"/>
                                <w:szCs w:val="24"/>
                                <w:rtl/>
                              </w:rPr>
                              <w:t>النطاق العريض</w:t>
                            </w:r>
                          </w:p>
                        </w:txbxContent>
                      </wps:txbx>
                      <wps:bodyPr rot="0" vert="horz" wrap="square" lIns="12700" tIns="12700" rIns="12700" bIns="12700" anchor="t" anchorCtr="0" upright="1">
                        <a:noAutofit/>
                      </wps:bodyPr>
                    </wps:wsp>
                  </a:graphicData>
                </a:graphic>
              </wp:anchor>
            </w:drawing>
          </mc:Choice>
          <mc:Fallback>
            <w:pict>
              <v:rect id="Rectangle 7" o:spid="_x0000_s1030" style="position:absolute;left:0;text-align:left;margin-left:297pt;margin-top:173.25pt;width:54.35pt;height:14.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eSsgIAALkFAAAOAAAAZHJzL2Uyb0RvYy54bWysVNuO0zAQfUfiHyy/Z3MhbZNo09XSNAhp&#10;gRULH+AmTmPh2MF2my6If2fstN109wUBeYg89njmnJnjub45dBztqdJMihyHVwFGVFSyZmKb469f&#10;Si/BSBsiasKloDl+pBrfLF+/uh76jEaylbymCkEQobOhz3FrTJ/5vq5a2hF9JXsq4LCRqiMGTLX1&#10;a0UGiN5xPwqCuT9IVfdKVlRr2C3GQ7x08ZuGVuZT02hqEM8xYDPur9x/Y//+8ppkW0X6llVHGOQv&#10;UHSECUh6DlUQQ9BOsRehOlYpqWVjrirZ+bJpWEUdB2ATBs/YPLSkp44LFEf35zLp/xe2+ri/V4jV&#10;0LswmmMkSAdd+gx1I2LLKVrYCg29zsDxob9XlqPu72T1TSMhVy140Vul5NBSUgOu0Pr7FxesoeEq&#10;2gwfZA3Ryc5IV6xDozobEMqADq4nj+ee0INBFWzO0yCKZxhVcBQmQbqYuQwkO13ulTbvqOyQXeRY&#10;AXQXnOzvtLFgSHZysbmELBnnru1cXGyA47gDqeGqPbMgXBd/pkG6TtZJ7MXRfO3FQVF4t+Uq9uZl&#10;uJgVb4rVqgh/2bxhnLWsrqmwaU6KCuM/69hR26MWzprSkrPahrOQtNpuVlyhPQFFl+47FmTi5l/C&#10;cEUALs8ohVEcvI1Sr5wnCy8u45mXLoLEC8L0bToP4jQuyktKd0zQf6eEhhyns2jmujQB/Yxb4L6X&#10;3EjWMQMzg7Mux8nZiWRWgWtRu9Yawvi4npTCwn8qBbT71GinVyvRUermsDm4JxHb7Fa+G1k/goCV&#10;BIHBFIF5B4tWqh8YDTA7cqy/74iiGPH3wj6CaBHYYTM11NTYTA0iKgiVY4PRuFyZcUDtesW2LWQK&#10;XamEvIWH0zAn6idUx+cG88FxO84yO4CmtvN6mrjL3wAAAP//AwBQSwMEFAAGAAgAAAAhAO0wjVHh&#10;AAAACwEAAA8AAABkcnMvZG93bnJldi54bWxMj8FOwzAQRO9I/IO1SFwQtVuapA1xKkBCQogLpVKv&#10;brwkEfE6ijdp+HvMCY6zM5p9U+xm14kJh9B60rBcKBBIlbct1RoOH8+3GxCBDVnTeUIN3xhgV15e&#10;FCa3/kzvOO25FrGEQm40NMx9LmWoGnQmLHyPFL1PPzjDUQ61tIM5x3LXyZVSqXSmpfihMT0+NVh9&#10;7UenYToe3x7xMMrlZDi7eXkduU1R6+ur+eEeBOPMf2H4xY/oUEamkx/JBtFpSLbruIU13K3TBERM&#10;ZGqVgTjFS5YokGUh/28ofwAAAP//AwBQSwECLQAUAAYACAAAACEAtoM4kv4AAADhAQAAEwAAAAAA&#10;AAAAAAAAAAAAAAAAW0NvbnRlbnRfVHlwZXNdLnhtbFBLAQItABQABgAIAAAAIQA4/SH/1gAAAJQB&#10;AAALAAAAAAAAAAAAAAAAAC8BAABfcmVscy8ucmVsc1BLAQItABQABgAIAAAAIQDYmAeSsgIAALkF&#10;AAAOAAAAAAAAAAAAAAAAAC4CAABkcnMvZTJvRG9jLnhtbFBLAQItABQABgAIAAAAIQDtMI1R4QAA&#10;AAsBAAAPAAAAAAAAAAAAAAAAAAwFAABkcnMvZG93bnJldi54bWxQSwUGAAAAAAQABADzAAAAGgYA&#10;AAAA&#10;" filled="f" stroked="f">
                <v:textbox inset="1pt,1pt,1pt,1pt">
                  <w:txbxContent>
                    <w:p w:rsidR="005A67D3" w:rsidRPr="00451A0A" w:rsidRDefault="005A67D3" w:rsidP="00111C25">
                      <w:pPr>
                        <w:spacing w:before="40" w:after="40" w:line="140" w:lineRule="exact"/>
                        <w:jc w:val="center"/>
                        <w:rPr>
                          <w:b/>
                          <w:bCs/>
                          <w:sz w:val="24"/>
                          <w:szCs w:val="24"/>
                        </w:rPr>
                      </w:pPr>
                      <w:r w:rsidRPr="00451A0A">
                        <w:rPr>
                          <w:b/>
                          <w:sz w:val="24"/>
                          <w:szCs w:val="24"/>
                          <w:rtl/>
                        </w:rPr>
                        <w:t>النطاق العريض</w:t>
                      </w:r>
                    </w:p>
                  </w:txbxContent>
                </v:textbox>
              </v:rect>
            </w:pict>
          </mc:Fallback>
        </mc:AlternateContent>
      </w:r>
      <w:r>
        <w:rPr>
          <w:noProof/>
          <w:lang w:val="en-US" w:eastAsia="zh-CN"/>
        </w:rPr>
        <mc:AlternateContent>
          <mc:Choice Requires="wps">
            <w:drawing>
              <wp:anchor distT="0" distB="0" distL="114300" distR="114300" simplePos="0" relativeHeight="251649024" behindDoc="0" locked="0" layoutInCell="1" allowOverlap="1" wp14:anchorId="2E9FEA2E" wp14:editId="47E79FBB">
                <wp:simplePos x="0" y="0"/>
                <wp:positionH relativeFrom="column">
                  <wp:posOffset>3038475</wp:posOffset>
                </wp:positionH>
                <wp:positionV relativeFrom="paragraph">
                  <wp:posOffset>2201333</wp:posOffset>
                </wp:positionV>
                <wp:extent cx="690245" cy="154940"/>
                <wp:effectExtent l="0" t="0" r="0" b="0"/>
                <wp:wrapNone/>
                <wp:docPr id="11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center"/>
                              <w:rPr>
                                <w:b/>
                                <w:bCs/>
                                <w:sz w:val="24"/>
                                <w:szCs w:val="24"/>
                              </w:rPr>
                            </w:pPr>
                            <w:r w:rsidRPr="00451A0A">
                              <w:rPr>
                                <w:b/>
                                <w:sz w:val="24"/>
                                <w:szCs w:val="24"/>
                                <w:rtl/>
                              </w:rPr>
                              <w:t>الإنترنت</w:t>
                            </w:r>
                          </w:p>
                        </w:txbxContent>
                      </wps:txbx>
                      <wps:bodyPr rot="0" vert="horz" wrap="square" lIns="12700" tIns="12700" rIns="12700" bIns="12700" anchor="t" anchorCtr="0" upright="1">
                        <a:noAutofit/>
                      </wps:bodyPr>
                    </wps:wsp>
                  </a:graphicData>
                </a:graphic>
              </wp:anchor>
            </w:drawing>
          </mc:Choice>
          <mc:Fallback>
            <w:pict>
              <v:rect id="Rectangle 8" o:spid="_x0000_s1031" style="position:absolute;left:0;text-align:left;margin-left:239.25pt;margin-top:173.35pt;width:54.35pt;height:12.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1ksgIAALkFAAAOAAAAZHJzL2Uyb0RvYy54bWysVNtu2zAMfR+wfxD07voyJ7GNOkUbx8OA&#10;bivW7QMUW46FyZInKXHaYf8+Ss61fRm2+cEQJYo8hzzi9c2u42hLlWZS5Di8CjCiopI1E+scf/ta&#10;eglG2hBREy4FzfET1fhm/vbN9dBnNJKt5DVVCIIInQ19jltj+sz3ddXSjugr2VMBh41UHTFgqrVf&#10;KzJA9I77URBM/UGquleyolrDbjEe4rmL3zS0Mp+bRlODeI4Bm3F/5f4r+/fn1yRbK9K3rNrDIH+B&#10;oiNMQNJjqIIYgjaKvQrVsUpJLRtzVcnOl03DKuo4AJsweMHmsSU9dVygOLo/lkn/v7DVp+2DQqyG&#10;3oXRBCNBOujSF6gbEWtOUWIrNPQ6A8fH/kFZjrq/l9V3jYRctOBFb5WSQ0tJDbhC6+9fXLCGhqto&#10;NXyUNUQnGyNdsXaN6mxAKAPauZ48HXtCdwZVsDlNgygGYBUchZM4jV3PfJIdLvdKm/dUdsgucqwA&#10;ugtOtvfaWDAkO7jYXEKWjHPXdi4uNsBx3IHUcNWeWRCuiz/TIF0myyT24mi69OKgKLzbchF70zKc&#10;TYp3xWJRhL9s3jDOWlbXVNg0B0WF8Z91bK/tUQtHTWnJWW3DWUharVcLrtCWgKJL97mSw8nJzb+E&#10;4YoAXF5QCqM4uItSr5wmMy8u44mXzoLEC8L0Lp0GUOqivKR0zwT9d0poyHE6AbE5OifQL7gF7nvN&#10;jWQdMzAzOOtynBydSGYVuBS1a60hjI/rs1JY+KdSQLsPjXZ6tRIdpW52q517EpOD+FeyfgIBKwkC&#10;gykC8w4WrVTPGA0wO3Ksf2yIohjxD8I+gmgW2GFzbqhzY3VuEFFBqBwbjMblwowDatMrtm4hU+hK&#10;JeQtPJyGOVHbRzWi2j83mA+O236W2QF0bjuv08Sd/wYAAP//AwBQSwMEFAAGAAgAAAAhADekgujg&#10;AAAACwEAAA8AAABkcnMvZG93bnJldi54bWxMj8FKxDAQhu+C7xBG8CJu2nW3KbXpooIg4sV1Ya/Z&#10;ZmyLzaQ0abe+veNJjzPz8c/3l7vF9WLGMXSeNKSrBARS7W1HjYbDx/NtDiJEQ9b0nlDDNwbYVZcX&#10;pSmsP9M7zvvYCA6hUBgNbYxDIWWoW3QmrPyAxLdPPzoTeRwbaUdz5nDXy3WSZNKZjvhDawZ8arH+&#10;2k9Ow3w8vj3iYZLpbKK6eXmdYpeh1tdXy8M9iIhL/IPhV5/VoWKnk5/IBtFr2Kh8y6iGu02mQDCx&#10;zdUaxIk3Kk1BVqX836H6AQAA//8DAFBLAQItABQABgAIAAAAIQC2gziS/gAAAOEBAAATAAAAAAAA&#10;AAAAAAAAAAAAAABbQ29udGVudF9UeXBlc10ueG1sUEsBAi0AFAAGAAgAAAAhADj9If/WAAAAlAEA&#10;AAsAAAAAAAAAAAAAAAAALwEAAF9yZWxzLy5yZWxzUEsBAi0AFAAGAAgAAAAhAHUs/WSyAgAAuQUA&#10;AA4AAAAAAAAAAAAAAAAALgIAAGRycy9lMm9Eb2MueG1sUEsBAi0AFAAGAAgAAAAhADekgujgAAAA&#10;CwEAAA8AAAAAAAAAAAAAAAAADAUAAGRycy9kb3ducmV2LnhtbFBLBQYAAAAABAAEAPMAAAAZBgAA&#10;AAA=&#10;" filled="f" stroked="f">
                <v:textbox inset="1pt,1pt,1pt,1pt">
                  <w:txbxContent>
                    <w:p w:rsidR="005A67D3" w:rsidRPr="00451A0A" w:rsidRDefault="005A67D3" w:rsidP="00111C25">
                      <w:pPr>
                        <w:spacing w:before="40" w:after="40" w:line="140" w:lineRule="exact"/>
                        <w:jc w:val="center"/>
                        <w:rPr>
                          <w:b/>
                          <w:bCs/>
                          <w:sz w:val="24"/>
                          <w:szCs w:val="24"/>
                        </w:rPr>
                      </w:pPr>
                      <w:r w:rsidRPr="00451A0A">
                        <w:rPr>
                          <w:b/>
                          <w:sz w:val="24"/>
                          <w:szCs w:val="24"/>
                          <w:rtl/>
                        </w:rPr>
                        <w:t>الإنترنت</w:t>
                      </w:r>
                    </w:p>
                  </w:txbxContent>
                </v:textbox>
              </v:rect>
            </w:pict>
          </mc:Fallback>
        </mc:AlternateContent>
      </w:r>
      <w:r>
        <w:rPr>
          <w:noProof/>
          <w:lang w:val="en-US" w:eastAsia="zh-CN"/>
        </w:rPr>
        <mc:AlternateContent>
          <mc:Choice Requires="wps">
            <w:drawing>
              <wp:anchor distT="0" distB="0" distL="114300" distR="114300" simplePos="0" relativeHeight="251651072" behindDoc="0" locked="0" layoutInCell="1" allowOverlap="1" wp14:anchorId="1BE7AB8B" wp14:editId="21ACA879">
                <wp:simplePos x="0" y="0"/>
                <wp:positionH relativeFrom="column">
                  <wp:posOffset>1495425</wp:posOffset>
                </wp:positionH>
                <wp:positionV relativeFrom="paragraph">
                  <wp:posOffset>2195618</wp:posOffset>
                </wp:positionV>
                <wp:extent cx="763905" cy="236855"/>
                <wp:effectExtent l="0" t="0" r="0" b="0"/>
                <wp:wrapNone/>
                <wp:docPr id="112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center"/>
                              <w:rPr>
                                <w:b/>
                                <w:bCs/>
                                <w:sz w:val="24"/>
                                <w:szCs w:val="24"/>
                              </w:rPr>
                            </w:pPr>
                            <w:r w:rsidRPr="00451A0A">
                              <w:rPr>
                                <w:b/>
                                <w:sz w:val="24"/>
                                <w:szCs w:val="24"/>
                                <w:rtl/>
                              </w:rPr>
                              <w:t>الاتصالات الثابتة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4" o:spid="_x0000_s1032" style="position:absolute;left:0;text-align:left;margin-left:117.75pt;margin-top:172.9pt;width:60.15pt;height:1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TUswIAALoFAAAOAAAAZHJzL2Uyb0RvYy54bWysVG1vmzAQ/j5p/8Hyd8pLgQAqqdoQpknd&#10;Vq3bD3DABGtgM9sJ6ab9951Nkibpl2kbH5DPPt89z93ju7nd9R3aUqmY4Dn2rzyMKK9Ezfg6x1+/&#10;lE6CkdKE16QTnOb4mSp8O3/75mYcMhqIVnQ1lQiCcJWNQ45brYfMdVXV0p6oKzFQDoeNkD3RYMq1&#10;W0syQvS+cwPPi91RyHqQoqJKwW4xHeK5jd80tNKfmkZRjbocAzZt/9L+V+bvzm9ItpZkaFm1h0H+&#10;AkVPGIekx1AF0QRtJHsVqmeVFEo0+qoSvSuahlXUcgA2vnfB5qklA7VcoDhqOJZJ/b+w1cfto0Ss&#10;ht75wQwjTnro0meoG+HrjqIoNCUaB5WB59PwKA1JNTyI6ptCXCxacKN3UoqxpaQGYL7xd88uGEPB&#10;VbQaP4gawpONFrZau0b2JiDUAe1sU56PTaE7jSrYnMXXqRdhVMFRcB0nUWQzkOxweZBKv6OiR2aR&#10;YwnYbXCyfVDagCHZwcXk4qJkXWf73vGzDXCcdiA1XDVnBoRt48/US5fJMgmdMIiXTugVhXNXLkIn&#10;Lv1ZVFwXi0Xh/zJ5/TBrWV1TbtIcJOWHf9ayvbgnMRxFpUTHahPOQFJyvVp0Em0JSLq0374gJ27u&#10;OQxbBOByQckPQu8+SJ0yTmZOWIaRk868xPH89D6NvTANi/Kc0gPj9N8poTHHaRREtksnoC+4efZ7&#10;zY1kPdMwNDrW5zg5OpHMKHDJa9taTVg3rU9KYeC/lALafWi01auR6CR1vVvt7JuITXYj35Won0HA&#10;UoDAYIzAwINFK+QPjEYYHjlW3zdEUoy699w8gmDmmWlzashTY3VqEF5BqBxrjKblQk8TajNItm4h&#10;k29LxcUdPJyGWVG/oNo/NxgQltt+mJkJdGpbr5eRO/8NAAD//wMAUEsDBBQABgAIAAAAIQCEEBhZ&#10;3wAAAAsBAAAPAAAAZHJzL2Rvd25yZXYueG1sTI9BS8NAEIXvgv9hGcGL2E0aU0uaTVFBEOnFWuh1&#10;mkyTYHY2ZDdp/PeOJ729mXm8+V6+nW2nJhp869hAvIhAEZeuark2cPh8vV+D8gG5ws4xGfgmD9vi&#10;+irHrHIX/qBpH2olIewzNNCE0Gda+7Ihi37hemK5nd1gMcg41Loa8CLhttPLKFppiy3LhwZ7emmo&#10;/NqP1sB0PO6e6TDqeMLwePf2PoZ2Rcbc3sxPG1CB5vBnhl98QYdCmE5u5MqrzsAySVOxGkgeUukg&#10;DlmIOIlYJzHoItf/OxQ/AAAA//8DAFBLAQItABQABgAIAAAAIQC2gziS/gAAAOEBAAATAAAAAAAA&#10;AAAAAAAAAAAAAABbQ29udGVudF9UeXBlc10ueG1sUEsBAi0AFAAGAAgAAAAhADj9If/WAAAAlAEA&#10;AAsAAAAAAAAAAAAAAAAALwEAAF9yZWxzLy5yZWxzUEsBAi0AFAAGAAgAAAAhAJpN9NSzAgAAugUA&#10;AA4AAAAAAAAAAAAAAAAALgIAAGRycy9lMm9Eb2MueG1sUEsBAi0AFAAGAAgAAAAhAIQQGFnfAAAA&#10;CwEAAA8AAAAAAAAAAAAAAAAADQUAAGRycy9kb3ducmV2LnhtbFBLBQYAAAAABAAEAPMAAAAZBgAA&#10;AAA=&#10;" filled="f" stroked="f">
                <v:textbox inset="1pt,1pt,1pt,1pt">
                  <w:txbxContent>
                    <w:p w:rsidR="005A67D3" w:rsidRPr="00451A0A" w:rsidRDefault="005A67D3" w:rsidP="00111C25">
                      <w:pPr>
                        <w:spacing w:before="40" w:after="40" w:line="140" w:lineRule="exact"/>
                        <w:jc w:val="center"/>
                        <w:rPr>
                          <w:b/>
                          <w:bCs/>
                          <w:sz w:val="24"/>
                          <w:szCs w:val="24"/>
                        </w:rPr>
                      </w:pPr>
                      <w:r w:rsidRPr="00451A0A">
                        <w:rPr>
                          <w:b/>
                          <w:sz w:val="24"/>
                          <w:szCs w:val="24"/>
                          <w:rtl/>
                        </w:rPr>
                        <w:t>الاتصالات الثابتة</w:t>
                      </w:r>
                    </w:p>
                  </w:txbxContent>
                </v:textbox>
              </v:rect>
            </w:pict>
          </mc:Fallback>
        </mc:AlternateContent>
      </w:r>
      <w:r>
        <w:rPr>
          <w:noProof/>
          <w:lang w:val="en-US" w:eastAsia="zh-CN"/>
        </w:rPr>
        <mc:AlternateContent>
          <mc:Choice Requires="wps">
            <w:drawing>
              <wp:anchor distT="0" distB="0" distL="114300" distR="114300" simplePos="0" relativeHeight="251644928" behindDoc="0" locked="0" layoutInCell="1" allowOverlap="1" wp14:anchorId="77C7ED8A" wp14:editId="4BF0C131">
                <wp:simplePos x="0" y="0"/>
                <wp:positionH relativeFrom="column">
                  <wp:posOffset>2254885</wp:posOffset>
                </wp:positionH>
                <wp:positionV relativeFrom="paragraph">
                  <wp:posOffset>2203027</wp:posOffset>
                </wp:positionV>
                <wp:extent cx="756285" cy="163195"/>
                <wp:effectExtent l="0" t="0" r="5715" b="8255"/>
                <wp:wrapNone/>
                <wp:docPr id="112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451A0A" w:rsidRDefault="005A67D3" w:rsidP="00111C25">
                            <w:pPr>
                              <w:spacing w:before="40" w:after="40" w:line="140" w:lineRule="exact"/>
                              <w:jc w:val="center"/>
                              <w:rPr>
                                <w:b/>
                                <w:bCs/>
                                <w:sz w:val="24"/>
                                <w:szCs w:val="24"/>
                              </w:rPr>
                            </w:pPr>
                            <w:r w:rsidRPr="00451A0A">
                              <w:rPr>
                                <w:b/>
                                <w:sz w:val="24"/>
                                <w:szCs w:val="24"/>
                                <w:rtl/>
                              </w:rPr>
                              <w:t>الاتصالات المتنقلة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56" o:spid="_x0000_s1033" style="position:absolute;left:0;text-align:left;margin-left:177.55pt;margin-top:173.45pt;width:59.55pt;height:1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X6tAIAALsFAAAOAAAAZHJzL2Uyb0RvYy54bWysVG1vmzAQ/j5p/8Hyd8pLgQAqqdoQpknd&#10;Vq3bD3DABGtgM9sJ6ab9951Nkibpl2kbH5DPPt89z93ju7nd9R3aUqmY4Dn2rzyMKK9Ezfg6x1+/&#10;lE6CkdKE16QTnOb4mSp8O3/75mYcMhqIVnQ1lQiCcJWNQ45brYfMdVXV0p6oKzFQDoeNkD3RYMq1&#10;W0syQvS+cwPPi91RyHqQoqJKwW4xHeK5jd80tNKfmkZRjbocAzZt/9L+V+bvzm9ItpZkaFm1h0H+&#10;AkVPGIekx1AF0QRtJHsVqmeVFEo0+qoSvSuahlXUcgA2vnfB5qklA7VcoDhqOJZJ/b+w1cfto0Ss&#10;ht75gY8RJz106TPUjfB1R9F1FJsajYPKwPVpeJSGpRoeRPVNIS4WLfjROynF2FJSAzLf+LtnF4yh&#10;4CpajR9EDfHJRgtbrl0jexMQCoF2tivPx67QnUYVbM6iOEgijCo48uNrP41sBpIdLg9S6XdU9Mgs&#10;ciwBvA1Otg9KGzAkO7iYXFyUrOts4zt+tgGO0w6khqvmzICwffyZeukyWSahEwbx0gm9onDuykXo&#10;xKU/i4rrYrEo/F8mrx9mLatryk2ag6b88M96tlf3pIajqpToWG3CGUhKrleLTqItAU2X9tsX5MTN&#10;PYdhiwBcLij5QejdB6lTxsnMCcswctKZlzien96nsRemYVGeU3pgnP47JTTmOI2CyHbpBPQFN89+&#10;r7mRrGcapkbH+hwnRyeSGQUueW1bqwnrpvVJKQz8l1JAuw+Ntno1Ep2krnernX0UM5PdyHcl6mcQ&#10;sBQgMJgjMPFg0Qr5A6MRpkeO1fcNkRSj7j03jyCYeWbcnBry1FidGoRXECrHGqNpudDTiNoMkq1b&#10;yOTbUnFxBw+nYVbUL6j2zw0mhOW2n2ZmBJ3a1utl5s5/AwAA//8DAFBLAwQUAAYACAAAACEA2IJS&#10;7OAAAAALAQAADwAAAGRycy9kb3ducmV2LnhtbEyPTU+DQBCG7yb+h82YeDF2ASm0yNKoiYkxXqxN&#10;ep2yIxDZXcIuFP+940lv8/HknWfK3WJ6MdPoO2cVxKsIBNna6c42Cg4fz7cbED6g1dg7Swq+ycOu&#10;urwosdDubN9p3odGcIj1BSpoQxgKKX3dkkG/cgNZ3n260WDgdmykHvHM4aaXSRRl0mBn+UKLAz21&#10;VH/tJ6NgPh7fHukwyXjGkN+8vE6hy0ip66vl4R5EoCX8wfCrz+pQsdPJTVZ70Su4W69jRrlIsy0I&#10;JtI8TUCceJInGciqlP9/qH4AAAD//wMAUEsBAi0AFAAGAAgAAAAhALaDOJL+AAAA4QEAABMAAAAA&#10;AAAAAAAAAAAAAAAAAFtDb250ZW50X1R5cGVzXS54bWxQSwECLQAUAAYACAAAACEAOP0h/9YAAACU&#10;AQAACwAAAAAAAAAAAAAAAAAvAQAAX3JlbHMvLnJlbHNQSwECLQAUAAYACAAAACEARhMl+rQCAAC7&#10;BQAADgAAAAAAAAAAAAAAAAAuAgAAZHJzL2Uyb0RvYy54bWxQSwECLQAUAAYACAAAACEA2IJS7OAA&#10;AAALAQAADwAAAAAAAAAAAAAAAAAOBQAAZHJzL2Rvd25yZXYueG1sUEsFBgAAAAAEAAQA8wAAABsG&#10;AAAAAA==&#10;" filled="f" stroked="f">
                <v:textbox inset="1pt,1pt,1pt,1pt">
                  <w:txbxContent>
                    <w:p w:rsidR="005A67D3" w:rsidRPr="00451A0A" w:rsidRDefault="005A67D3" w:rsidP="00111C25">
                      <w:pPr>
                        <w:spacing w:before="40" w:after="40" w:line="140" w:lineRule="exact"/>
                        <w:jc w:val="center"/>
                        <w:rPr>
                          <w:b/>
                          <w:bCs/>
                          <w:sz w:val="24"/>
                          <w:szCs w:val="24"/>
                        </w:rPr>
                      </w:pPr>
                      <w:r w:rsidRPr="00451A0A">
                        <w:rPr>
                          <w:b/>
                          <w:sz w:val="24"/>
                          <w:szCs w:val="24"/>
                          <w:rtl/>
                        </w:rPr>
                        <w:t>الاتصالات المتنقلة</w:t>
                      </w:r>
                    </w:p>
                  </w:txbxContent>
                </v:textbox>
              </v:rect>
            </w:pict>
          </mc:Fallback>
        </mc:AlternateContent>
      </w:r>
      <w:r w:rsidR="00111C25">
        <w:rPr>
          <w:noProof/>
          <w:lang w:val="en-US" w:eastAsia="zh-CN"/>
        </w:rPr>
        <w:drawing>
          <wp:inline distT="0" distB="0" distL="0" distR="0" wp14:anchorId="6E304A97" wp14:editId="4DAA823C">
            <wp:extent cx="3704007" cy="27855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301" t="12991" r="14029" b="6145"/>
                    <a:stretch>
                      <a:fillRect/>
                    </a:stretch>
                  </pic:blipFill>
                  <pic:spPr bwMode="auto">
                    <a:xfrm>
                      <a:off x="0" y="0"/>
                      <a:ext cx="3704007" cy="2785534"/>
                    </a:xfrm>
                    <a:prstGeom prst="rect">
                      <a:avLst/>
                    </a:prstGeom>
                    <a:solidFill>
                      <a:srgbClr val="00B0F0"/>
                    </a:solidFill>
                    <a:ln>
                      <a:noFill/>
                    </a:ln>
                  </pic:spPr>
                </pic:pic>
              </a:graphicData>
            </a:graphic>
          </wp:inline>
        </w:drawing>
      </w:r>
    </w:p>
    <w:p w:rsidR="00111C25" w:rsidRDefault="007B6FDC" w:rsidP="007B6FDC">
      <w:pPr>
        <w:pStyle w:val="figuresource"/>
        <w:rPr>
          <w:rtl/>
          <w:lang w:bidi="ar-EG"/>
        </w:rPr>
      </w:pPr>
      <w:r>
        <w:rPr>
          <w:rFonts w:hint="cs"/>
          <w:rtl/>
        </w:rPr>
        <w:t xml:space="preserve"> </w:t>
      </w:r>
      <w:r w:rsidR="00111C25">
        <w:rPr>
          <w:rtl/>
        </w:rPr>
        <w:t xml:space="preserve">المصدر: البنك الدولي، </w:t>
      </w:r>
      <w:r w:rsidR="00111C25">
        <w:t>(2009)</w:t>
      </w:r>
    </w:p>
    <w:p w:rsidR="00111C25" w:rsidRDefault="007B6FDC" w:rsidP="00451A0A">
      <w:pPr>
        <w:pStyle w:val="figuresource"/>
        <w:spacing w:before="60" w:after="60"/>
        <w:rPr>
          <w:rtl/>
        </w:rPr>
      </w:pPr>
      <w:r>
        <w:rPr>
          <w:rFonts w:ascii="Verdana Bold" w:hAnsi="Verdana Bold" w:hint="cs"/>
          <w:b/>
          <w:rtl/>
        </w:rPr>
        <w:t xml:space="preserve"> </w:t>
      </w:r>
      <w:r w:rsidR="00111C25">
        <w:rPr>
          <w:rFonts w:ascii="Verdana Bold" w:hAnsi="Verdana Bold"/>
          <w:b/>
          <w:rtl/>
        </w:rPr>
        <w:t>ملاحظة</w:t>
      </w:r>
      <w:r w:rsidR="00111C25">
        <w:rPr>
          <w:rtl/>
        </w:rPr>
        <w:t xml:space="preserve">: يمثل المحور الرأسي النسبة المئوية للارتفاع في النمو الاقتصادي الذي يقابل ارتفاعاً في الانتشار بنسبة </w:t>
      </w:r>
      <w:r w:rsidR="00111C25">
        <w:rPr>
          <w:lang w:bidi="ar"/>
        </w:rPr>
        <w:t>%10</w:t>
      </w:r>
      <w:r w:rsidR="00111C25">
        <w:rPr>
          <w:rtl/>
        </w:rPr>
        <w:t>.</w:t>
      </w:r>
    </w:p>
    <w:p w:rsidR="00111C25" w:rsidRDefault="00111C25" w:rsidP="00111C25">
      <w:pPr>
        <w:keepLines/>
        <w:spacing w:before="360"/>
        <w:rPr>
          <w:rtl/>
        </w:rPr>
      </w:pPr>
      <w:r>
        <w:rPr>
          <w:rtl/>
        </w:rPr>
        <w:t xml:space="preserve">وبرهنت دراسات حديثة على استمرار العلاقة بين النفاذ إلى النطاق العريض والنمو الاقتصادي. وفي نوفمبر </w:t>
      </w:r>
      <w:r>
        <w:t>2012</w:t>
      </w:r>
      <w:r>
        <w:rPr>
          <w:rtl/>
        </w:rPr>
        <w:t xml:space="preserve">، أصدر بنك التنمية للبلدان الأمريكية </w:t>
      </w:r>
      <w:r>
        <w:t>(IDB)</w:t>
      </w:r>
      <w:r>
        <w:rPr>
          <w:rtl/>
        </w:rPr>
        <w:t xml:space="preserve"> تقريراً بشأن "الآثار الاجتماعية الاقتصادية للنطاق العريض في بلدان أمريكا اللاتينية والبحر الكاريبي" أظهر أن "زيادة بنسبة </w:t>
      </w:r>
      <w:r>
        <w:t>%10</w:t>
      </w:r>
      <w:r>
        <w:rPr>
          <w:rtl/>
        </w:rPr>
        <w:t xml:space="preserve"> في تغلغل النطاق العريض تؤدي إلى زيادة في المتوسط بنسبة </w:t>
      </w:r>
      <w:r>
        <w:t>%3.19</w:t>
      </w:r>
      <w:r>
        <w:rPr>
          <w:rtl/>
        </w:rPr>
        <w:t xml:space="preserve"> في الناتج المحلي الإجمالي للفرد."</w:t>
      </w:r>
      <w:r>
        <w:rPr>
          <w:rStyle w:val="FootnoteReference"/>
          <w:rtl/>
        </w:rPr>
        <w:footnoteReference w:id="18"/>
      </w:r>
      <w:r>
        <w:rPr>
          <w:rtl/>
        </w:rPr>
        <w:t xml:space="preserve"> وكما يتبين من الشكل </w:t>
      </w:r>
      <w:r>
        <w:t>2-1.1</w:t>
      </w:r>
      <w:r>
        <w:rPr>
          <w:rtl/>
        </w:rPr>
        <w:t xml:space="preserve"> أدناه، تؤكد النتائج أنه "كلما زاد عدد الاشتراكات في النطاق العريض للفرد في البلد، زاد أثر ذلك على الناتج المحلي الإجمالي."</w:t>
      </w:r>
      <w:r>
        <w:rPr>
          <w:rStyle w:val="FootnoteReference"/>
          <w:rtl/>
        </w:rPr>
        <w:footnoteReference w:id="19"/>
      </w:r>
    </w:p>
    <w:p w:rsidR="00111C25" w:rsidRDefault="00111C25" w:rsidP="000F5521">
      <w:pPr>
        <w:pStyle w:val="Figuretitle"/>
        <w:rPr>
          <w:rtl/>
        </w:rPr>
      </w:pPr>
      <w:bookmarkStart w:id="28" w:name="_Toc372276107"/>
      <w:bookmarkStart w:id="29" w:name="_Toc380497237"/>
      <w:r>
        <w:rPr>
          <w:rtl/>
        </w:rPr>
        <w:lastRenderedPageBreak/>
        <w:t xml:space="preserve">الشكل </w:t>
      </w:r>
      <w:r>
        <w:t>2-1.1</w:t>
      </w:r>
      <w:r w:rsidR="000F5521">
        <w:rPr>
          <w:rFonts w:hint="cs"/>
          <w:rtl/>
        </w:rPr>
        <w:t>:</w:t>
      </w:r>
      <w:r>
        <w:rPr>
          <w:rtl/>
        </w:rPr>
        <w:t xml:space="preserve"> </w:t>
      </w:r>
      <w:r>
        <w:rPr>
          <w:rFonts w:hint="cs"/>
          <w:rtl/>
        </w:rPr>
        <w:t xml:space="preserve">أثر زيادة قدرها </w:t>
      </w:r>
      <w:r>
        <w:t>%10</w:t>
      </w:r>
      <w:r>
        <w:rPr>
          <w:rtl/>
        </w:rPr>
        <w:t xml:space="preserve"> في نسبة تغلغل النطاق العريض الناتج المحلي الإجمالي بمرور الوقت</w:t>
      </w:r>
      <w:bookmarkEnd w:id="28"/>
      <w:bookmarkEnd w:id="29"/>
    </w:p>
    <w:p w:rsidR="00111C25" w:rsidRDefault="00111C25" w:rsidP="000F5521">
      <w:pPr>
        <w:pStyle w:val="Figure"/>
        <w:rPr>
          <w:rtl/>
        </w:rPr>
      </w:pPr>
      <w:r>
        <w:rPr>
          <w:noProof/>
          <w:rtl/>
          <w:lang w:val="en-US" w:eastAsia="zh-CN"/>
        </w:rPr>
        <mc:AlternateContent>
          <mc:Choice Requires="wps">
            <w:drawing>
              <wp:anchor distT="0" distB="0" distL="114300" distR="114300" simplePos="0" relativeHeight="251652096" behindDoc="0" locked="0" layoutInCell="1" allowOverlap="1" wp14:anchorId="2153098C" wp14:editId="09A1F9DC">
                <wp:simplePos x="0" y="0"/>
                <wp:positionH relativeFrom="column">
                  <wp:posOffset>2139950</wp:posOffset>
                </wp:positionH>
                <wp:positionV relativeFrom="paragraph">
                  <wp:posOffset>111760</wp:posOffset>
                </wp:positionV>
                <wp:extent cx="1752600" cy="316865"/>
                <wp:effectExtent l="0" t="0" r="3175"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7D3" w:rsidRDefault="005A67D3" w:rsidP="00111C25">
                            <w:pPr>
                              <w:spacing w:before="0"/>
                              <w:jc w:val="center"/>
                              <w:rPr>
                                <w:b/>
                                <w:bCs/>
                              </w:rPr>
                            </w:pPr>
                            <w:r>
                              <w:rPr>
                                <w:b/>
                                <w:bCs/>
                                <w:rtl/>
                              </w:rPr>
                              <w:t>الناتج المحلي الإجمالي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8" o:spid="_x0000_s1034" type="#_x0000_t202" style="position:absolute;left:0;text-align:left;margin-left:168.5pt;margin-top:8.8pt;width:138pt;height:2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rZ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Rlw&#10;pUgHLD3wwaNrPaC4CT3qjavA9d6Asx/AAv6xXmfuNP3skNI3LVFbfmWt7ltOGOSYhe4mZ0dHHBdA&#10;Nv07zSAS2XkdgYbGdqGB0BIE6MDV44mfkA0NIefTfJaCiYLtVTZbzKYxBKmOp411/g3XHQqTGlvg&#10;P6KT/Z3zIRtSHV1CMKelYGshZVzY7eZGWrQnoJV1/A7oz9ykCs5Kh2Mj4rgDSUKMYAvpRu6/lVle&#10;pNd5OVnPFvNJsS6mk3KeLiZpVl6Xs7Qoi9v195BgVlStYIyrO6H4UYdZ8Xc8H27EqKCoRNTXuJzm&#10;05GiPxaZxu93RXbCw7WUoqvx4uREqkDsa8WgbFJ5IuQ4T56nH7sMPTj+Y1eiDALzowb8sBmi6hYh&#10;epDIRrNH0IXVQBswDE8KTFptv2LUw/WssfuyI5ZjJN8q0FaZFUW4z3FRTOc5LOy5ZXNuIYoCVI09&#10;RuP0xo9vwM5YsW0h0qhmpa9Aj42IUnnK6qBiuIKxpsNzEe74+Tp6PT1qqx8AAAD//wMAUEsDBBQA&#10;BgAIAAAAIQAzgdOP3QAAAAkBAAAPAAAAZHJzL2Rvd25yZXYueG1sTI/BTsMwEETvSPyDtUhcEHVK&#10;aEzTOBUggbi29AM2sZtExOsodpv071lO9La7M5p9U2xn14uzHUPnScNykYCwVHvTUaPh8P3x+AIi&#10;RCSDvSer4WIDbMvbmwJz4yfa2fM+NoJDKOSooY1xyKUMdWsdhoUfLLF29KPDyOvYSDPixOGul09J&#10;kkmHHfGHFgf73tr6Z39yGo5f08NqPVWf8aB2z9kbdqryF63v7+bXDYho5/hvhj98RoeSmSp/IhNE&#10;ryFNFXeJLKgMBBuyZcqHige1AlkW8rpB+QsAAP//AwBQSwECLQAUAAYACAAAACEAtoM4kv4AAADh&#10;AQAAEwAAAAAAAAAAAAAAAAAAAAAAW0NvbnRlbnRfVHlwZXNdLnhtbFBLAQItABQABgAIAAAAIQA4&#10;/SH/1gAAAJQBAAALAAAAAAAAAAAAAAAAAC8BAABfcmVscy8ucmVsc1BLAQItABQABgAIAAAAIQBK&#10;w3rZhgIAABwFAAAOAAAAAAAAAAAAAAAAAC4CAABkcnMvZTJvRG9jLnhtbFBLAQItABQABgAIAAAA&#10;IQAzgdOP3QAAAAkBAAAPAAAAAAAAAAAAAAAAAOAEAABkcnMvZG93bnJldi54bWxQSwUGAAAAAAQA&#10;BADzAAAA6gUAAAAA&#10;" stroked="f">
                <v:textbox>
                  <w:txbxContent>
                    <w:p w:rsidR="005A67D3" w:rsidRDefault="005A67D3" w:rsidP="00111C25">
                      <w:pPr>
                        <w:spacing w:before="0"/>
                        <w:jc w:val="center"/>
                        <w:rPr>
                          <w:b/>
                          <w:bCs/>
                        </w:rPr>
                      </w:pPr>
                      <w:r>
                        <w:rPr>
                          <w:b/>
                          <w:bCs/>
                          <w:rtl/>
                        </w:rPr>
                        <w:t>الناتج المحلي الإجمالي</w:t>
                      </w:r>
                    </w:p>
                  </w:txbxContent>
                </v:textbox>
              </v:shape>
            </w:pict>
          </mc:Fallback>
        </mc:AlternateContent>
      </w:r>
      <w:r>
        <w:rPr>
          <w:noProof/>
          <w:lang w:val="en-US" w:eastAsia="zh-CN"/>
        </w:rPr>
        <w:drawing>
          <wp:inline distT="0" distB="0" distL="0" distR="0" wp14:anchorId="25FB10AA" wp14:editId="2BBB15E3">
            <wp:extent cx="4038600" cy="2247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p w:rsidR="00111C25" w:rsidRDefault="000F5521" w:rsidP="000F5521">
      <w:pPr>
        <w:pStyle w:val="figuresource"/>
        <w:rPr>
          <w:rtl/>
          <w:lang w:bidi="ar-EG"/>
        </w:rPr>
      </w:pPr>
      <w:r>
        <w:rPr>
          <w:rFonts w:hint="cs"/>
          <w:rtl/>
        </w:rPr>
        <w:t xml:space="preserve"> </w:t>
      </w:r>
      <w:r w:rsidR="00111C25">
        <w:rPr>
          <w:rtl/>
        </w:rPr>
        <w:t xml:space="preserve">المصدر: بنك التنمية للبلدان الأمريكية </w:t>
      </w:r>
      <w:r w:rsidR="00111C25">
        <w:t>(2012)</w:t>
      </w:r>
    </w:p>
    <w:p w:rsidR="00111C25" w:rsidRDefault="00111C25" w:rsidP="00111C25">
      <w:pPr>
        <w:keepLines/>
        <w:spacing w:before="360"/>
        <w:rPr>
          <w:rtl/>
          <w:lang w:bidi="ar-EG"/>
        </w:rPr>
      </w:pPr>
      <w:r>
        <w:rPr>
          <w:rtl/>
        </w:rPr>
        <w:t xml:space="preserve">وخلص البنك كذلك إلى أن العلاقة بين نسبة تغلغل النطاق العريض والناتج المحلي الإجمالي للفرد عبارة عن دالة تربيعية. وكما يتبين من الشكل </w:t>
      </w:r>
      <w:r>
        <w:t>3-1.1</w:t>
      </w:r>
      <w:r>
        <w:rPr>
          <w:rtl/>
        </w:rPr>
        <w:t xml:space="preserve"> أدناه، "عندما تزداد نسبة تغلغل النطاق العريض، فإن الناتج المحلي الإجمالي في البلدان الأكثر فقراً (تلك البلدان ذات عدد الاشتراكات الأقل في النطاق العريض) يزداد بمعدل أكبر من البلدان الأكثر ثراءً (تلك البلدان ذات عدد الاشتراكات الأكبر في النطاق العريض)."</w:t>
      </w:r>
      <w:r>
        <w:rPr>
          <w:rStyle w:val="FootnoteReference"/>
          <w:rtl/>
        </w:rPr>
        <w:footnoteReference w:id="20"/>
      </w:r>
    </w:p>
    <w:p w:rsidR="00111C25" w:rsidRDefault="00111C25" w:rsidP="000F5521">
      <w:pPr>
        <w:pStyle w:val="Figuretitle"/>
        <w:rPr>
          <w:rtl/>
        </w:rPr>
      </w:pPr>
      <w:bookmarkStart w:id="30" w:name="_Toc372276108"/>
      <w:bookmarkStart w:id="31" w:name="_Toc380497238"/>
      <w:r>
        <w:rPr>
          <w:rtl/>
        </w:rPr>
        <w:t xml:space="preserve">الشكل </w:t>
      </w:r>
      <w:r>
        <w:t>3-1.1</w:t>
      </w:r>
      <w:r w:rsidR="000F5521">
        <w:rPr>
          <w:rFonts w:hint="cs"/>
          <w:rtl/>
        </w:rPr>
        <w:t>:</w:t>
      </w:r>
      <w:r>
        <w:rPr>
          <w:rtl/>
        </w:rPr>
        <w:t xml:space="preserve"> </w:t>
      </w:r>
      <w:r>
        <w:rPr>
          <w:rFonts w:hint="cs"/>
          <w:rtl/>
        </w:rPr>
        <w:t>أثر النطاق العريض على الناتج المحلي الإجمالي في بلدان أمريكا اللاتينية والبحر الكاريبي</w:t>
      </w:r>
      <w:bookmarkEnd w:id="30"/>
      <w:bookmarkEnd w:id="31"/>
    </w:p>
    <w:p w:rsidR="00111C25" w:rsidRDefault="00111C25" w:rsidP="000F5521">
      <w:pPr>
        <w:pStyle w:val="Figure"/>
        <w:rPr>
          <w:sz w:val="3"/>
          <w:szCs w:val="10"/>
          <w:rtl/>
        </w:rPr>
      </w:pPr>
      <w:r>
        <w:rPr>
          <w:noProof/>
          <w:lang w:val="en-US" w:eastAsia="zh-CN"/>
        </w:rPr>
        <w:drawing>
          <wp:inline distT="0" distB="0" distL="0" distR="0" wp14:anchorId="43436DEC" wp14:editId="0CDCC304">
            <wp:extent cx="3930650" cy="269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t="2083" r="3026" b="2412"/>
                    <a:stretch>
                      <a:fillRect/>
                    </a:stretch>
                  </pic:blipFill>
                  <pic:spPr bwMode="auto">
                    <a:xfrm>
                      <a:off x="0" y="0"/>
                      <a:ext cx="3930650" cy="2692400"/>
                    </a:xfrm>
                    <a:prstGeom prst="rect">
                      <a:avLst/>
                    </a:prstGeom>
                    <a:noFill/>
                    <a:ln>
                      <a:noFill/>
                    </a:ln>
                  </pic:spPr>
                </pic:pic>
              </a:graphicData>
            </a:graphic>
          </wp:inline>
        </w:drawing>
      </w:r>
    </w:p>
    <w:p w:rsidR="00111C25" w:rsidRDefault="000F5521" w:rsidP="000F5521">
      <w:pPr>
        <w:pStyle w:val="figuresource"/>
        <w:rPr>
          <w:rtl/>
          <w:lang w:bidi="ar-EG"/>
        </w:rPr>
      </w:pPr>
      <w:r>
        <w:rPr>
          <w:rFonts w:hint="cs"/>
          <w:rtl/>
        </w:rPr>
        <w:t xml:space="preserve"> </w:t>
      </w:r>
      <w:r w:rsidR="00111C25">
        <w:rPr>
          <w:rtl/>
        </w:rPr>
        <w:t xml:space="preserve">المصدر: بنك التنمية للبلدان الأمريكية </w:t>
      </w:r>
      <w:r w:rsidR="00111C25">
        <w:t>(2012)</w:t>
      </w:r>
    </w:p>
    <w:p w:rsidR="00111C25" w:rsidRDefault="00111C25" w:rsidP="00111C25">
      <w:pPr>
        <w:keepLines/>
        <w:spacing w:before="360"/>
        <w:rPr>
          <w:rtl/>
          <w:lang w:bidi="ar-EG"/>
        </w:rPr>
      </w:pPr>
      <w:r>
        <w:rPr>
          <w:rtl/>
        </w:rPr>
        <w:lastRenderedPageBreak/>
        <w:t>وبالنسبة لاستعمال النطاق العريض اللاسلكي وأثره على الناتج المحلي الإجمالي، فإن دراسة حديثة صدرت عن الرابطة </w:t>
      </w:r>
      <w:r>
        <w:t>GSM</w:t>
      </w:r>
      <w:r>
        <w:rPr>
          <w:rtl/>
        </w:rPr>
        <w:t xml:space="preserve"> وشركتي </w:t>
      </w:r>
      <w:r>
        <w:t>Deloitte</w:t>
      </w:r>
      <w:r>
        <w:rPr>
          <w:rtl/>
        </w:rPr>
        <w:t xml:space="preserve"> و</w:t>
      </w:r>
      <w:r>
        <w:t>Cisco</w:t>
      </w:r>
      <w:r>
        <w:rPr>
          <w:rtl/>
        </w:rPr>
        <w:t xml:space="preserve"> لتقييم التحليل الاقتصادي للعلاقة بين التوصيلات </w:t>
      </w:r>
      <w:r>
        <w:t>3G</w:t>
      </w:r>
      <w:r>
        <w:rPr>
          <w:rtl/>
        </w:rPr>
        <w:t xml:space="preserve"> والنمو الاقتصادي في أسواق البلدان المتقدمة والنامية تبين أن "البلدان ذات الحصة الأكبر نسبياً من التوصيلات </w:t>
      </w:r>
      <w:r>
        <w:t>3G</w:t>
      </w:r>
      <w:r>
        <w:rPr>
          <w:rtl/>
        </w:rPr>
        <w:t xml:space="preserve"> تشهد نمواً أكبر في الناتج المحلي الإجمالي للفرد، مقارنة بالبلدان التي تضاهيها في التغلغل الإجمالي للاتصالات المتنقلة ولكن بنسبة تغلغل أقل في الجيل الثالث </w:t>
      </w:r>
      <w:r>
        <w:t>(3G)</w:t>
      </w:r>
      <w:r>
        <w:rPr>
          <w:rtl/>
        </w:rPr>
        <w:t>."</w:t>
      </w:r>
      <w:r>
        <w:rPr>
          <w:rStyle w:val="FootnoteReference"/>
          <w:rtl/>
        </w:rPr>
        <w:footnoteReference w:id="21"/>
      </w:r>
      <w:r>
        <w:rPr>
          <w:rtl/>
        </w:rPr>
        <w:t xml:space="preserve"> وتظهر الدراسة أنه "إذا شهدت البلدان زيادة قدرها </w:t>
      </w:r>
      <w:r>
        <w:t>%10</w:t>
      </w:r>
      <w:r>
        <w:rPr>
          <w:rtl/>
        </w:rPr>
        <w:t xml:space="preserve"> في تغلغل الجيل الثالث بين </w:t>
      </w:r>
      <w:r>
        <w:t>2008</w:t>
      </w:r>
      <w:r>
        <w:rPr>
          <w:rtl/>
        </w:rPr>
        <w:t xml:space="preserve"> و</w:t>
      </w:r>
      <w:r>
        <w:t>2011</w:t>
      </w:r>
      <w:r>
        <w:rPr>
          <w:rtl/>
        </w:rPr>
        <w:t xml:space="preserve">، فإنها تكون قد شهدت زيادة في متوسط معدل النمو السنوي في الناتج المحلي الإجمالي للفرد بمقدار </w:t>
      </w:r>
      <w:r>
        <w:t>%0,15</w:t>
      </w:r>
      <w:r>
        <w:rPr>
          <w:rtl/>
        </w:rPr>
        <w:t xml:space="preserve">." فمثلاً، تبين الدراسة أنه "في إندونيسيا، حيث كان متوسط الزيادة في نسبة التغلغل لخدمات الجيل الثالث </w:t>
      </w:r>
      <w:r>
        <w:t>%10</w:t>
      </w:r>
      <w:r>
        <w:rPr>
          <w:rtl/>
        </w:rPr>
        <w:t xml:space="preserve"> خلال الفترة </w:t>
      </w:r>
      <w:r>
        <w:t>2011-2008</w:t>
      </w:r>
      <w:r>
        <w:rPr>
          <w:rtl/>
        </w:rPr>
        <w:t xml:space="preserve">، أي زيادة مقدارها </w:t>
      </w:r>
      <w:r>
        <w:t>10</w:t>
      </w:r>
      <w:r>
        <w:rPr>
          <w:rtl/>
        </w:rPr>
        <w:t xml:space="preserve"> وصلات </w:t>
      </w:r>
      <w:r>
        <w:t>3G</w:t>
      </w:r>
      <w:r>
        <w:rPr>
          <w:rtl/>
        </w:rPr>
        <w:t xml:space="preserve"> لكل </w:t>
      </w:r>
      <w:r>
        <w:t>100</w:t>
      </w:r>
      <w:r>
        <w:rPr>
          <w:rtl/>
        </w:rPr>
        <w:t xml:space="preserve"> وصلة (زيادة </w:t>
      </w:r>
      <w:r>
        <w:t>%100</w:t>
      </w:r>
      <w:r>
        <w:rPr>
          <w:rtl/>
        </w:rPr>
        <w:t xml:space="preserve"> عن معدل التغلغل الفعلي للجيل الثالث البالغ </w:t>
      </w:r>
      <w:r>
        <w:t>%10</w:t>
      </w:r>
      <w:r>
        <w:rPr>
          <w:rtl/>
        </w:rPr>
        <w:t xml:space="preserve">) فقد شهدت زيادة في الناتج المحلي الإجمالي للفرد بنسبة </w:t>
      </w:r>
      <w:r>
        <w:t>%1,5</w:t>
      </w:r>
      <w:r>
        <w:rPr>
          <w:rtl/>
        </w:rPr>
        <w:t xml:space="preserve"> نقطة."</w:t>
      </w:r>
      <w:r>
        <w:rPr>
          <w:rStyle w:val="FootnoteReference"/>
          <w:rtl/>
        </w:rPr>
        <w:footnoteReference w:id="22"/>
      </w:r>
    </w:p>
    <w:p w:rsidR="00111C25" w:rsidRDefault="00111C25" w:rsidP="000F5521">
      <w:pPr>
        <w:rPr>
          <w:rtl/>
        </w:rPr>
      </w:pPr>
      <w:r>
        <w:rPr>
          <w:rtl/>
        </w:rPr>
        <w:t xml:space="preserve">وإضافة إلى ذلك، تظهر دراسة الرابطة </w:t>
      </w:r>
      <w:r>
        <w:t>GSM</w:t>
      </w:r>
      <w:r>
        <w:rPr>
          <w:rtl/>
        </w:rPr>
        <w:t xml:space="preserve"> أيضاً أن هناك علاقة موجبة بين كم البيانات المتنقلة المستعملة لكل وصلة </w:t>
      </w:r>
      <w:r>
        <w:t>3G</w:t>
      </w:r>
      <w:r>
        <w:rPr>
          <w:rtl/>
        </w:rPr>
        <w:t xml:space="preserve">، حيث يمكن أن تزيد النمو الاقتصادي كذلك. وتبين الدراسة أنه "إذا ضاعفت البلدان من استهلاكها من البيانات المتنقلة لكل وصلة </w:t>
      </w:r>
      <w:r>
        <w:t>3G</w:t>
      </w:r>
      <w:r>
        <w:rPr>
          <w:rtl/>
        </w:rPr>
        <w:t xml:space="preserve"> في الفترة بين </w:t>
      </w:r>
      <w:r>
        <w:t>2005</w:t>
      </w:r>
      <w:r>
        <w:rPr>
          <w:rtl/>
        </w:rPr>
        <w:t xml:space="preserve"> و</w:t>
      </w:r>
      <w:r>
        <w:t>2010</w:t>
      </w:r>
      <w:r>
        <w:rPr>
          <w:rtl/>
        </w:rPr>
        <w:t xml:space="preserve">، فإنها تشهد زيادة سنوية في معدل نمو الناتج المحلي الإجمالي مقدارها </w:t>
      </w:r>
      <w:r>
        <w:t>%0,5</w:t>
      </w:r>
      <w:r>
        <w:rPr>
          <w:rtl/>
        </w:rPr>
        <w:t xml:space="preserve">." (انظر الشكل </w:t>
      </w:r>
      <w:r>
        <w:t>4-1.1</w:t>
      </w:r>
      <w:r>
        <w:rPr>
          <w:rtl/>
        </w:rPr>
        <w:t>).</w:t>
      </w:r>
      <w:r>
        <w:rPr>
          <w:rStyle w:val="FootnoteReference"/>
          <w:rtl/>
        </w:rPr>
        <w:footnoteReference w:id="23"/>
      </w:r>
    </w:p>
    <w:p w:rsidR="00111C25" w:rsidRDefault="00111C25" w:rsidP="000F5521">
      <w:pPr>
        <w:pStyle w:val="Figuretitle"/>
        <w:rPr>
          <w:rtl/>
        </w:rPr>
      </w:pPr>
      <w:bookmarkStart w:id="32" w:name="_Toc372276109"/>
      <w:bookmarkStart w:id="33" w:name="_Toc380497239"/>
      <w:r>
        <w:rPr>
          <w:rtl/>
        </w:rPr>
        <w:t xml:space="preserve">الشكل </w:t>
      </w:r>
      <w:r>
        <w:t>4-1.1</w:t>
      </w:r>
      <w:r>
        <w:rPr>
          <w:rtl/>
        </w:rPr>
        <w:t xml:space="preserve"> </w:t>
      </w:r>
      <w:r>
        <w:rPr>
          <w:rFonts w:hint="cs"/>
          <w:rtl/>
        </w:rPr>
        <w:t xml:space="preserve">- أثر مضاعفة استعمال البيانات المتنقلة لكل وصلة </w:t>
      </w:r>
      <w:r>
        <w:t>3G</w:t>
      </w:r>
      <w:r>
        <w:rPr>
          <w:rtl/>
        </w:rPr>
        <w:t xml:space="preserve"> على نمو الناتج المحلي الإجمالي للفرد</w:t>
      </w:r>
      <w:bookmarkEnd w:id="32"/>
      <w:bookmarkEnd w:id="33"/>
    </w:p>
    <w:p w:rsidR="00111C25" w:rsidRDefault="00111C25" w:rsidP="000F5521">
      <w:pPr>
        <w:pStyle w:val="Figure"/>
        <w:rPr>
          <w:sz w:val="3"/>
          <w:szCs w:val="10"/>
          <w:rtl/>
        </w:rPr>
      </w:pPr>
      <w:r>
        <w:rPr>
          <w:noProof/>
          <w:rtl/>
          <w:lang w:val="en-US" w:eastAsia="zh-CN"/>
        </w:rPr>
        <mc:AlternateContent>
          <mc:Choice Requires="wpg">
            <w:drawing>
              <wp:anchor distT="0" distB="0" distL="114300" distR="114300" simplePos="0" relativeHeight="251654144" behindDoc="0" locked="0" layoutInCell="1" allowOverlap="1" wp14:anchorId="0C32207C" wp14:editId="7A14F914">
                <wp:simplePos x="0" y="0"/>
                <wp:positionH relativeFrom="column">
                  <wp:posOffset>234103</wp:posOffset>
                </wp:positionH>
                <wp:positionV relativeFrom="paragraph">
                  <wp:posOffset>185420</wp:posOffset>
                </wp:positionV>
                <wp:extent cx="4172585" cy="2952115"/>
                <wp:effectExtent l="0" t="0" r="0" b="635"/>
                <wp:wrapNone/>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2585" cy="2952115"/>
                          <a:chOff x="1798" y="1900"/>
                          <a:chExt cx="6571" cy="4649"/>
                        </a:xfrm>
                      </wpg:grpSpPr>
                      <wps:wsp>
                        <wps:cNvPr id="1114" name="Rectangle 989"/>
                        <wps:cNvSpPr>
                          <a:spLocks noChangeArrowheads="1"/>
                        </wps:cNvSpPr>
                        <wps:spPr bwMode="auto">
                          <a:xfrm>
                            <a:off x="1845" y="2028"/>
                            <a:ext cx="3606"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990"/>
                        <wps:cNvSpPr>
                          <a:spLocks noChangeArrowheads="1"/>
                        </wps:cNvSpPr>
                        <wps:spPr bwMode="auto">
                          <a:xfrm>
                            <a:off x="3806" y="6082"/>
                            <a:ext cx="4563"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Text Box 991"/>
                        <wps:cNvSpPr txBox="1">
                          <a:spLocks noChangeArrowheads="1"/>
                        </wps:cNvSpPr>
                        <wps:spPr bwMode="auto">
                          <a:xfrm>
                            <a:off x="1798" y="1900"/>
                            <a:ext cx="2335"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Default="005A67D3" w:rsidP="00111C25">
                              <w:pPr>
                                <w:spacing w:before="0" w:line="156" w:lineRule="auto"/>
                                <w:jc w:val="right"/>
                                <w:rPr>
                                  <w:sz w:val="14"/>
                                  <w:szCs w:val="20"/>
                                </w:rPr>
                              </w:pPr>
                              <w:r>
                                <w:rPr>
                                  <w:sz w:val="14"/>
                                  <w:szCs w:val="20"/>
                                  <w:rtl/>
                                </w:rPr>
                                <w:t>الزيادة في معدل نمو</w:t>
                              </w:r>
                              <w:r>
                                <w:rPr>
                                  <w:sz w:val="14"/>
                                  <w:szCs w:val="20"/>
                                  <w:rtl/>
                                </w:rPr>
                                <w:br/>
                                <w:t>الناتج المحلي الإجمالي للفرد</w:t>
                              </w:r>
                            </w:p>
                          </w:txbxContent>
                        </wps:txbx>
                        <wps:bodyPr rot="0" vert="horz" wrap="square" lIns="91440" tIns="45720" rIns="91440" bIns="45720" anchor="t" anchorCtr="0" upright="1">
                          <a:noAutofit/>
                        </wps:bodyPr>
                      </wps:wsp>
                      <wps:wsp>
                        <wps:cNvPr id="1117" name="Text Box 992"/>
                        <wps:cNvSpPr txBox="1">
                          <a:spLocks noChangeArrowheads="1"/>
                        </wps:cNvSpPr>
                        <wps:spPr bwMode="auto">
                          <a:xfrm>
                            <a:off x="4403" y="6082"/>
                            <a:ext cx="338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Default="005A67D3" w:rsidP="00111C25">
                              <w:pPr>
                                <w:spacing w:before="0" w:line="156" w:lineRule="auto"/>
                                <w:jc w:val="center"/>
                                <w:rPr>
                                  <w:sz w:val="14"/>
                                  <w:szCs w:val="20"/>
                                </w:rPr>
                              </w:pPr>
                              <w:r>
                                <w:rPr>
                                  <w:sz w:val="14"/>
                                  <w:szCs w:val="20"/>
                                  <w:rtl/>
                                </w:rPr>
                                <w:t xml:space="preserve">متوسط استعمال التوصيلة </w:t>
                              </w:r>
                              <w:r>
                                <w:rPr>
                                  <w:sz w:val="14"/>
                                  <w:szCs w:val="20"/>
                                </w:rPr>
                                <w:t>3G</w:t>
                              </w:r>
                              <w:r>
                                <w:rPr>
                                  <w:sz w:val="14"/>
                                  <w:szCs w:val="20"/>
                                  <w:rtl/>
                                </w:rPr>
                                <w:t xml:space="preserve"> </w:t>
                              </w:r>
                              <w:r>
                                <w:rPr>
                                  <w:sz w:val="14"/>
                                  <w:szCs w:val="20"/>
                                </w:rPr>
                                <w:t>(GB/year)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3" o:spid="_x0000_s1035" style="position:absolute;left:0;text-align:left;margin-left:18.45pt;margin-top:14.6pt;width:328.55pt;height:232.45pt;z-index:251654144" coordorigin="1798,1900" coordsize="657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Jy6wMAAD4SAAAOAAAAZHJzL2Uyb0RvYy54bWzsWG1v2zYQ/j6g/4HQd0eiRMmSEKVI/BIM&#10;yLZi7X4ALVEvqESqpBw5G/bfdyRlx85SpG3QAgXsDzIpkqe75+65O+ny7a5r0T2TqhE8c/CF5yDG&#10;c1E0vMqcvz6sZ7GD1EB5QVvBWeY8MOW8vXrzy+XYp8wXtWgLJhEI4Sod+8yph6FPXVflNeuouhA9&#10;47BYCtnRAaaycgtJR5Deta7veZE7Cln0UuRMKbi7tIvOlZFfliwf/ihLxQbUZg7oNpirNNeNvrpX&#10;lzStJO3rJp/UoN+gRUcbDg89iFrSgaKtbP4nqmtyKZQoh4tcdK4oyyZnxgawBntPrLmVYtsbW6p0&#10;rPoDTADtE5y+WWz++/07iZoCfIdx4CBOO/CSeTAydwCgsa9S2Hcr+/f9O2mthOGdyD8qWHafrut5&#10;ZTejzfibKEAi3Q7CALQrZadFgOloZ/zwcPAD2w0oh5sEz/0wDh2Uw5qfhD7GofVUXoM79Tk8TyCy&#10;YBkn3uTFvF5N56Nwju1hEpFEn3Rpah9slJ2U05ZB1KlHYNXrgH1f054ZfykN2COwZA/snxCQlFct&#10;Q0lsFNMawNY9sMqiirhY1LCPXUspxprRAjTDxpCTA3qiwCcvwoxjAnBqND0/tlDuwQ4iL7JgBTE5&#10;wYqmvVTDLRMd0oPMkaC9cSK9v1ODhXW/RftUibYp1k3bmomsNotWonsK1Fub3yT9ZFvL9WYu9DEr&#10;0d4B9eAZek0raqj0T4J94t34yWwdxfMZWZNwlsy9eObh5CaJPJKQ5fpfrSAmad0UBeN3DWd7WmPy&#10;Zd6dEowlpCE2GjMHojA0tp9or46N9MzvOSO7ZoAs1zZd5sSHTTTVjl3xAsym6UCb1o7dU/VN8AIG&#10;+3+DCoSx9byN4Y0oHiAKpAAnQZaDfAyDWsi/HTRCbssc9WlLJXNQ+yuHSEowIToZmgkJ5z5M5PHK&#10;5niF8hxEZc7gIDtcDDaBbnvZVDU8CRtguLgGkpeNCQytn9XKJAhDsx/HN4h1m8iO+JaYNHFCH4jY&#10;78S3INakAr5FXuyf8o2EEeRZndkCPzrzje0L+plvExN/Qr5BrFu+fdDJ+kbsUJKYcnVENzTsYGGf&#10;LL4X8Z7pC7RKuqvwg2BqKSJg4HFT8NWF7lCuaPpV9ctLVvEqJjPiR6sZ8ZbL2fV6QWbRGs/DZbBc&#10;LJb4tH7pqvj6+qXry+fL1udq81EdsjUdmihTh84lWfeTL5TkYbfZmb760Oadi/RpUzx/JmmYWvnD&#10;kwZ0Q1CSn63WQRBP3TGJ5uek8WJDf04ar+njD0kDH5rVnyVrmBdr+EhhXlOmDyr6K8jx3LwKPH72&#10;ufoPAAD//wMAUEsDBBQABgAIAAAAIQClgKky4AAAAAkBAAAPAAAAZHJzL2Rvd25yZXYueG1sTI9B&#10;a4NAFITvhf6H5RV6a1aNlWpdQwhtT6HQpBBy2+iLSty34m7U/Pu+ntrjMMPMN/lqNp0YcXCtJQXh&#10;IgCBVNqqpVrB9/796QWE85oq3VlCBTd0sCru73KdVXaiLxx3vhZcQi7TChrv+0xKVzZotFvYHom9&#10;sx2M9iyHWlaDnrjcdDIKgkQa3RIvNLrHTYPlZXc1Cj4mPa2X4du4vZw3t+P++fOwDVGpx4d5/QrC&#10;4+z/wvCLz+hQMNPJXqlyolOwTFJOKojSCAT7SRrzt5OCOI1DkEUu/z8ofgAAAP//AwBQSwECLQAU&#10;AAYACAAAACEAtoM4kv4AAADhAQAAEwAAAAAAAAAAAAAAAAAAAAAAW0NvbnRlbnRfVHlwZXNdLnht&#10;bFBLAQItABQABgAIAAAAIQA4/SH/1gAAAJQBAAALAAAAAAAAAAAAAAAAAC8BAABfcmVscy8ucmVs&#10;c1BLAQItABQABgAIAAAAIQCZY3Jy6wMAAD4SAAAOAAAAAAAAAAAAAAAAAC4CAABkcnMvZTJvRG9j&#10;LnhtbFBLAQItABQABgAIAAAAIQClgKky4AAAAAkBAAAPAAAAAAAAAAAAAAAAAEUGAABkcnMvZG93&#10;bnJldi54bWxQSwUGAAAAAAQABADzAAAAUgcAAAAA&#10;">
                <v:rect id="Rectangle 989" o:spid="_x0000_s1036" style="position:absolute;left:1845;top:2028;width:360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YCMMA&#10;AADdAAAADwAAAGRycy9kb3ducmV2LnhtbERPS2vCQBC+C/0PyxS86W5aGzRmlVIQBNtDY8HrkJ08&#10;aHY2za4a/323UPA2H99z8u1oO3GhwbeONSRzBYK4dKblWsPXcTdbgvAB2WDnmDTcyMN28zDJMTPu&#10;yp90KUItYgj7DDU0IfSZlL5syKKfu544cpUbLIYIh1qaAa8x3HbySalUWmw5NjTY01tD5Xdxthow&#10;XZifj+r5/Xg4p7iqR7V7OSmtp4/j6xpEoDHcxf/uvYnzk2Q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uYCMMAAADdAAAADwAAAAAAAAAAAAAAAACYAgAAZHJzL2Rv&#10;d25yZXYueG1sUEsFBgAAAAAEAAQA9QAAAIgDAAAAAA==&#10;" stroked="f"/>
                <v:rect id="Rectangle 990" o:spid="_x0000_s1037" style="position:absolute;left:3806;top:6082;width:456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9k8MA&#10;AADdAAAADwAAAGRycy9kb3ducmV2LnhtbERPS2sCMRC+F/wPYYTearKtLrpulFIQCm0PPsDrsJl9&#10;4GaybqJu/70pFLzNx/ecfD3YVlyp941jDclEgSAunGm40nDYb17mIHxANtg6Jg2/5GG9Gj3lmBl3&#10;4y1dd6ESMYR9hhrqELpMSl/UZNFPXEccudL1FkOEfSVNj7cYblv5qlQqLTYcG2rs6KOm4rS7WA2Y&#10;Ts35p3z73n9dUlxUg9rMjkrr5/HwvgQRaAgP8b/708T5STKDv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c9k8MAAADdAAAADwAAAAAAAAAAAAAAAACYAgAAZHJzL2Rv&#10;d25yZXYueG1sUEsFBgAAAAAEAAQA9QAAAIgDAAAAAA==&#10;" stroked="f"/>
                <v:shape id="Text Box 991" o:spid="_x0000_s1038" type="#_x0000_t202" style="position:absolute;left:1798;top:1900;width:2335;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5A67D3" w:rsidRDefault="005A67D3" w:rsidP="00111C25">
                        <w:pPr>
                          <w:spacing w:before="0" w:line="156" w:lineRule="auto"/>
                          <w:jc w:val="right"/>
                          <w:rPr>
                            <w:sz w:val="14"/>
                            <w:szCs w:val="20"/>
                          </w:rPr>
                        </w:pPr>
                        <w:r>
                          <w:rPr>
                            <w:sz w:val="14"/>
                            <w:szCs w:val="20"/>
                            <w:rtl/>
                          </w:rPr>
                          <w:t>الزيادة في معدل نمو</w:t>
                        </w:r>
                        <w:r>
                          <w:rPr>
                            <w:sz w:val="14"/>
                            <w:szCs w:val="20"/>
                            <w:rtl/>
                          </w:rPr>
                          <w:br/>
                          <w:t>الناتج المحلي الإجمالي للفرد</w:t>
                        </w:r>
                      </w:p>
                    </w:txbxContent>
                  </v:textbox>
                </v:shape>
                <v:shape id="Text Box 992" o:spid="_x0000_s1039" type="#_x0000_t202" style="position:absolute;left:4403;top:6082;width:338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5A67D3" w:rsidRDefault="005A67D3" w:rsidP="00111C25">
                        <w:pPr>
                          <w:spacing w:before="0" w:line="156" w:lineRule="auto"/>
                          <w:jc w:val="center"/>
                          <w:rPr>
                            <w:sz w:val="14"/>
                            <w:szCs w:val="20"/>
                          </w:rPr>
                        </w:pPr>
                        <w:r>
                          <w:rPr>
                            <w:sz w:val="14"/>
                            <w:szCs w:val="20"/>
                            <w:rtl/>
                          </w:rPr>
                          <w:t xml:space="preserve">متوسط استعمال التوصيلة </w:t>
                        </w:r>
                        <w:r>
                          <w:rPr>
                            <w:sz w:val="14"/>
                            <w:szCs w:val="20"/>
                          </w:rPr>
                          <w:t>3G</w:t>
                        </w:r>
                        <w:r>
                          <w:rPr>
                            <w:sz w:val="14"/>
                            <w:szCs w:val="20"/>
                            <w:rtl/>
                          </w:rPr>
                          <w:t xml:space="preserve"> </w:t>
                        </w:r>
                        <w:r>
                          <w:rPr>
                            <w:sz w:val="14"/>
                            <w:szCs w:val="20"/>
                          </w:rPr>
                          <w:t>(GB/year)</w:t>
                        </w:r>
                      </w:p>
                    </w:txbxContent>
                  </v:textbox>
                </v:shape>
              </v:group>
            </w:pict>
          </mc:Fallback>
        </mc:AlternateContent>
      </w:r>
      <w:r>
        <w:rPr>
          <w:noProof/>
          <w:lang w:val="en-US" w:eastAsia="zh-CN"/>
        </w:rPr>
        <w:drawing>
          <wp:inline distT="0" distB="0" distL="0" distR="0" wp14:anchorId="11A471C6" wp14:editId="6CAD75FE">
            <wp:extent cx="5321076" cy="2882699"/>
            <wp:effectExtent l="57150" t="57150" r="108585" b="1085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noChangeArrowheads="1"/>
                    </pic:cNvPicPr>
                  </pic:nvPicPr>
                  <pic:blipFill>
                    <a:blip r:embed="rId21" cstate="print"/>
                    <a:srcRect r="-69" b="8954"/>
                    <a:stretch>
                      <a:fillRect/>
                    </a:stretch>
                  </pic:blipFill>
                  <pic:spPr bwMode="auto">
                    <a:xfrm>
                      <a:off x="0" y="0"/>
                      <a:ext cx="5320665" cy="28822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1C25" w:rsidRDefault="000F5521" w:rsidP="000F5521">
      <w:pPr>
        <w:pStyle w:val="figuresource"/>
        <w:rPr>
          <w:rtl/>
          <w:lang w:bidi="ar-EG"/>
        </w:rPr>
      </w:pPr>
      <w:r>
        <w:rPr>
          <w:rFonts w:hint="cs"/>
          <w:rtl/>
        </w:rPr>
        <w:t xml:space="preserve"> </w:t>
      </w:r>
      <w:r w:rsidR="00111C25">
        <w:rPr>
          <w:rtl/>
        </w:rPr>
        <w:t xml:space="preserve">المصدر: تحليل شركة </w:t>
      </w:r>
      <w:r w:rsidR="00111C25">
        <w:t>Deloitte</w:t>
      </w:r>
      <w:r w:rsidR="00111C25">
        <w:rPr>
          <w:rtl/>
          <w:lang w:bidi="ar-EG"/>
        </w:rPr>
        <w:t xml:space="preserve"> (تقرير الرابطة </w:t>
      </w:r>
      <w:r w:rsidR="00111C25">
        <w:rPr>
          <w:lang w:bidi="ar-EG"/>
        </w:rPr>
        <w:t>GSM</w:t>
      </w:r>
      <w:r w:rsidR="00111C25">
        <w:rPr>
          <w:rtl/>
          <w:lang w:bidi="ar-EG"/>
        </w:rPr>
        <w:t>، نوفمبر </w:t>
      </w:r>
      <w:r w:rsidR="00111C25">
        <w:t>2012</w:t>
      </w:r>
      <w:r w:rsidR="00111C25">
        <w:rPr>
          <w:rtl/>
        </w:rPr>
        <w:t>)</w:t>
      </w:r>
    </w:p>
    <w:p w:rsidR="00111C25" w:rsidRDefault="00111C25" w:rsidP="00111C25">
      <w:pPr>
        <w:keepLines/>
        <w:spacing w:before="360"/>
        <w:rPr>
          <w:rFonts w:ascii="Simplified Arabic" w:hAnsi="Simplified Arabic"/>
          <w:rtl/>
          <w:lang w:bidi="ar-EG"/>
        </w:rPr>
      </w:pPr>
      <w:r>
        <w:rPr>
          <w:rFonts w:ascii="Simplified Arabic" w:hAnsi="Simplified Arabic"/>
          <w:rtl/>
        </w:rPr>
        <w:lastRenderedPageBreak/>
        <w:t>"</w:t>
      </w:r>
      <w:r>
        <w:rPr>
          <w:rtl/>
        </w:rPr>
        <w:t xml:space="preserve">في ماليزيا تعيّن مبادرة النطاق العريض الوطنية هدفاً يحقق بموجبه هذا النطاق اختراقاً للمنازل نسبته </w:t>
      </w:r>
      <w:r>
        <w:rPr>
          <w:lang w:bidi="ar"/>
        </w:rPr>
        <w:t>%50</w:t>
      </w:r>
      <w:r>
        <w:rPr>
          <w:rtl/>
        </w:rPr>
        <w:t xml:space="preserve"> بحلول نهاية عام </w:t>
      </w:r>
      <w:r>
        <w:rPr>
          <w:lang w:bidi="ar"/>
        </w:rPr>
        <w:t>2010</w:t>
      </w:r>
      <w:r>
        <w:rPr>
          <w:rtl/>
        </w:rPr>
        <w:t xml:space="preserve">. واستناداً إلى إحصاءات عام </w:t>
      </w:r>
      <w:r>
        <w:rPr>
          <w:lang w:bidi="ar"/>
        </w:rPr>
        <w:t>2008</w:t>
      </w:r>
      <w:r>
        <w:rPr>
          <w:rtl/>
        </w:rPr>
        <w:t xml:space="preserve">، فقد أسهمت صناعة الاتصالات والوسائط المتعددة بنسبة عائدات قدرها </w:t>
      </w:r>
      <w:r>
        <w:rPr>
          <w:lang w:bidi="ar"/>
        </w:rPr>
        <w:t>%6,1</w:t>
      </w:r>
      <w:r>
        <w:rPr>
          <w:rtl/>
        </w:rPr>
        <w:t xml:space="preserve"> في الناتج المحلي الإجمالي للبلد.</w:t>
      </w:r>
      <w:r>
        <w:rPr>
          <w:rStyle w:val="FootnoteReference"/>
          <w:rtl/>
        </w:rPr>
        <w:footnoteReference w:id="24"/>
      </w:r>
      <w:r>
        <w:rPr>
          <w:rtl/>
        </w:rPr>
        <w:t xml:space="preserve"> وفي جمهورية كوريا ازدادت النسبة المئوية لمساهمة خدمات الاتصالات والنطاق العريض في الناتج المحلي الإجمالي إلى أكثر من الضعف من </w:t>
      </w:r>
      <w:r>
        <w:rPr>
          <w:lang w:bidi="ar"/>
        </w:rPr>
        <w:t>2,05</w:t>
      </w:r>
      <w:r>
        <w:rPr>
          <w:rtl/>
        </w:rPr>
        <w:t xml:space="preserve"> إلى </w:t>
      </w:r>
      <w:r>
        <w:rPr>
          <w:lang w:bidi="ar"/>
        </w:rPr>
        <w:t>4,99</w:t>
      </w:r>
      <w:r>
        <w:rPr>
          <w:rtl/>
        </w:rPr>
        <w:t xml:space="preserve"> </w:t>
      </w:r>
      <w:r>
        <w:rPr>
          <w:rFonts w:hint="cs"/>
          <w:rtl/>
        </w:rPr>
        <w:t xml:space="preserve">في المائة في الفترة الواقعة بين عامي </w:t>
      </w:r>
      <w:r>
        <w:rPr>
          <w:lang w:bidi="ar"/>
        </w:rPr>
        <w:t>1995</w:t>
      </w:r>
      <w:r>
        <w:rPr>
          <w:rtl/>
        </w:rPr>
        <w:t xml:space="preserve"> و</w:t>
      </w:r>
      <w:r>
        <w:rPr>
          <w:lang w:bidi="ar"/>
        </w:rPr>
        <w:t>2005</w:t>
      </w:r>
      <w:r>
        <w:rPr>
          <w:rtl/>
        </w:rPr>
        <w:t>، وهو العقد الذي شهد توسع النطاق العريض في اقتصاد البلد.</w:t>
      </w:r>
      <w:r>
        <w:rPr>
          <w:rFonts w:ascii="Simplified Arabic" w:hAnsi="Simplified Arabic"/>
          <w:rtl/>
        </w:rPr>
        <w:t>"</w:t>
      </w:r>
      <w:r>
        <w:rPr>
          <w:rStyle w:val="FootnoteReference"/>
          <w:rtl/>
        </w:rPr>
        <w:footnoteReference w:id="25"/>
      </w:r>
    </w:p>
    <w:p w:rsidR="00111C25" w:rsidRDefault="00111C25" w:rsidP="00111C25">
      <w:pPr>
        <w:rPr>
          <w:rFonts w:ascii="Verdana" w:hAnsi="Verdana"/>
          <w:rtl/>
        </w:rPr>
      </w:pPr>
      <w:r>
        <w:rPr>
          <w:spacing w:val="6"/>
          <w:rtl/>
        </w:rPr>
        <w:t xml:space="preserve">"ونظراً لأن شبكات النطاق العريض لديها القدرة على الإسهام كثيراً في التنمية الاقتصادية، ينبغي أن تكون متاحة على نطاق واسع وبأسعار معقولة ويجب أن تصبح جزءاً لا يتجزأ من استراتيجيات التنمية الوطنية. ولكن قليلاً من الناس في الاقتصادات النامية حالياً يمكنهم النفاذ إلى شبكات النطاق العريض. ففي عام </w:t>
      </w:r>
      <w:r>
        <w:rPr>
          <w:spacing w:val="6"/>
          <w:lang w:bidi="ar"/>
        </w:rPr>
        <w:t>2007</w:t>
      </w:r>
      <w:r>
        <w:rPr>
          <w:spacing w:val="6"/>
          <w:rtl/>
        </w:rPr>
        <w:t xml:space="preserve">، كان أقل من </w:t>
      </w:r>
      <w:r>
        <w:rPr>
          <w:spacing w:val="6"/>
          <w:lang w:bidi="ar"/>
        </w:rPr>
        <w:t>5</w:t>
      </w:r>
      <w:r>
        <w:rPr>
          <w:rtl/>
        </w:rPr>
        <w:t xml:space="preserve"> في المائة في المتوسط من سكان البلدان المنخفضة الدخل موصولاً بشبكات النطاق العريض، وكان ذلك في الغالب في المراكز الحضرية. في ضوء ذلك، فإن البلدان النامية تفوتها فرصة تنموية كبيرة."</w:t>
      </w:r>
      <w:r>
        <w:rPr>
          <w:rStyle w:val="FootnoteReference"/>
          <w:rtl/>
        </w:rPr>
        <w:footnoteReference w:id="26"/>
      </w:r>
      <w:r>
        <w:rPr>
          <w:rtl/>
        </w:rPr>
        <w:t xml:space="preserve"> وإذ تدرك بنغلاديش هذا التفاوت فهي تسعى جاهدة، بين العديد من البلدان الأخرى، لبلورة تصور من أجل "توصيل من ينقصهم التوصيل" </w:t>
      </w:r>
      <w:r>
        <w:rPr>
          <w:spacing w:val="-4"/>
          <w:rtl/>
        </w:rPr>
        <w:t xml:space="preserve">من خلال خطة "بنغلاديش الرقمية" التي تعتمد كثيراً على ابتكارات النطاق العريض مثل الاتصالات المتنقلة الدولية </w:t>
      </w:r>
      <w:r>
        <w:rPr>
          <w:spacing w:val="-4"/>
          <w:lang w:bidi="ar"/>
        </w:rPr>
        <w:t>(IMT)</w:t>
      </w:r>
      <w:r>
        <w:rPr>
          <w:rtl/>
        </w:rPr>
        <w:t xml:space="preserve"> </w:t>
      </w:r>
      <w:r>
        <w:rPr>
          <w:rFonts w:hint="cs"/>
          <w:rtl/>
        </w:rPr>
        <w:t>لتحقيق التنمية الاجتماعية والاقتصادية الحقيقية عبر النشر المناسب لتكنولوجيات النطاق العريض في بنغلاديش.</w:t>
      </w:r>
      <w:r>
        <w:rPr>
          <w:rStyle w:val="FootnoteReference"/>
          <w:rtl/>
        </w:rPr>
        <w:footnoteReference w:id="27"/>
      </w:r>
    </w:p>
    <w:p w:rsidR="00111C25" w:rsidRPr="000F5521" w:rsidRDefault="00111C25" w:rsidP="00111C25">
      <w:pPr>
        <w:rPr>
          <w:spacing w:val="-4"/>
          <w:rtl/>
        </w:rPr>
      </w:pPr>
      <w:r w:rsidRPr="000F5521">
        <w:rPr>
          <w:spacing w:val="-4"/>
          <w:rtl/>
        </w:rPr>
        <w:t>"بات النطاق العريض معروفاً على نحو متزايد كخدمة تستأثر باهتمام اقتصادي عام في السنوات الأخيرة. ويمكن وضع الأهمية الاقتصادية للنطاق العريض في سياقها بالإشارة إلى تغييرات مماثلة في جوانب أخرى من البنية التحتية مثل الطرق والسكك الحديدية والكهرباء. فكل من خدمات البنية التحتية هذه تحدث تحولاً في الأنشطة الاقتصادية للمواطنين والشركات والحكومات؛ وتفعّل أنشطة جديدة، وتزود الأمم بالقدرة على اكتساب ميزات تنافسية ونسبية. ورغم قلة ما كان متوقعاً من هذه المزايا عند القيام بالاستثمارات الأصلية، سرعان ما أصبحت تلك الأنواع من البنية التحتية جزءاً أساسياً من أنماط الحياة والأنشطة الاقتصادية. وكان لافتراض مماثل بشأن الفوائد التحويلية المتوقعة للنطاق العريض على المتغيرات الاقتصادية والاجتماعية أن حدا بالعديد من الحكومات إلى وضع أهداف طموحة لنشره. وتلخص دراسة البنك الدولي النتائج الرئيسية وآثارها على البلدان النامية. والاستنتاج الرئيسي هو أن للنطاق العريض تأثيراً كبيراً على النمو ويستحق دوراً مركزياً في التنمية القطرية واستراتيجيات المنافسة.</w:t>
      </w:r>
    </w:p>
    <w:p w:rsidR="00111C25" w:rsidRDefault="00111C25" w:rsidP="00111C25">
      <w:pPr>
        <w:rPr>
          <w:bCs/>
          <w:spacing w:val="-4"/>
          <w:rtl/>
        </w:rPr>
      </w:pPr>
      <w:r>
        <w:rPr>
          <w:spacing w:val="-4"/>
          <w:rtl/>
        </w:rPr>
        <w:t xml:space="preserve">وعلى الرغم من تاريخه القصير، يبدو أن للنطاق العريض أثر نمو أعلى نسبةً إلى تقنيات الاتصالات مثل الاتصالات الهاتفية الثابتة والمتنقلة والإنترنت (الشكل </w:t>
      </w:r>
      <w:r>
        <w:rPr>
          <w:spacing w:val="-4"/>
          <w:lang w:bidi="ar"/>
        </w:rPr>
        <w:t>1</w:t>
      </w:r>
      <w:r>
        <w:rPr>
          <w:spacing w:val="-4"/>
          <w:rtl/>
        </w:rPr>
        <w:t>). ومن ثم، فإن الاختلافات الحالية في انتشار النطاق العريض بين البلدان يمكن أن تولد فوائد نمو كبيرة على المدى الطويل لمن يتبنى النطاق العريض في وقت مبكر. وعلاوةً على ذلك، هناك مؤثرات نمو أهم وأقوى لتكنولوجيا المعلومات والاتصالات في البلدان النامية منها في البلدان المتقدمة.</w:t>
      </w:r>
    </w:p>
    <w:p w:rsidR="00111C25" w:rsidRDefault="00111C25" w:rsidP="00111C25">
      <w:pPr>
        <w:rPr>
          <w:bCs/>
          <w:rtl/>
        </w:rPr>
      </w:pPr>
      <w:r>
        <w:rPr>
          <w:rtl/>
        </w:rPr>
        <w:t>وتشير النتائج التجريبية في دراسة البنك الدولي إلى أن فوائد النطاق العريض كبيرة وقوية في البلدان المتقدمة والبلدان النامية على السواء. ولئن كان سجل البلدان المتقدمة في نشر النطاق العريض أطول، لعل قدراً أكبر من الفائدة يعود عليها حتى الآن. وبازدياد عدد الاشتراكات في النطاق العريض وبلوغ التطبيقات التي يدعمها النطاق العريض كتلة حرجة، يمكن للاقتصادات النامية الاستفادة من مزايا النطاق العريض، كما هو الحال مع جميع تقنيات الاتصالات الأخرى.</w:t>
      </w:r>
      <w:r>
        <w:rPr>
          <w:bCs/>
          <w:rtl/>
        </w:rPr>
        <w:t>"</w:t>
      </w:r>
      <w:r>
        <w:rPr>
          <w:rStyle w:val="FootnoteReference"/>
          <w:rtl/>
        </w:rPr>
        <w:footnoteReference w:id="28"/>
      </w:r>
    </w:p>
    <w:p w:rsidR="00111C25" w:rsidRDefault="00111C25" w:rsidP="00111C25">
      <w:pPr>
        <w:rPr>
          <w:rtl/>
        </w:rPr>
      </w:pPr>
      <w:r>
        <w:rPr>
          <w:rtl/>
        </w:rPr>
        <w:lastRenderedPageBreak/>
        <w:t>ويتمثل أحد المفعلات</w:t>
      </w:r>
      <w:r>
        <w:rPr>
          <w:rtl/>
          <w:lang w:bidi="ar"/>
        </w:rPr>
        <w:t xml:space="preserve"> الرئيسية لهذا النمو الاقتصادي الأقوى في النظام البيئي الأوسع من المنتجات والخدمات التي تستخدم النطاق العريض وتوفر خدمات مبتكرة وتحقق مكاسب في الكفاءة. وستؤدي الأنظمة الفعالة في استهلاك الطاقة دوراً رئيسياً في مستقبل النظام البيئي لمنتجات وخدمات النطاق العريض إذ تزداد أعداد مستخدمي النطاق العريض. ويمكن للحوسبة منخفضة التكلفة أن تساعد على خفض تكلفة المنتجات والخدمات، بما يعود بالنفع على المستهلكين ويجعل الاقتصاد أقدر على المنافسة. وسيفعل ذلك فعله في تزويد الناس بالأدوات اللازمة لإنشاء تطبيقات وخدمات جديدة على شبكات النطاق العريض.</w:t>
      </w:r>
    </w:p>
    <w:p w:rsidR="00111C25" w:rsidRDefault="00111C25" w:rsidP="00111C25">
      <w:pPr>
        <w:rPr>
          <w:rtl/>
        </w:rPr>
      </w:pPr>
      <w:r>
        <w:rPr>
          <w:rtl/>
          <w:lang w:bidi="ar"/>
        </w:rPr>
        <w:t xml:space="preserve">والجيل الجديد من رقائق الحاسوب هي السمة الأساسية للمنتجات الإلكترونية الرقمية الأذكى التي يمكنها قياس وإدارة وضبط أداء الأجهزة الإلكترونية الاستهلاكية ومعدات تكنولوجيا المعلومات. </w:t>
      </w:r>
    </w:p>
    <w:p w:rsidR="00111C25" w:rsidRDefault="00111C25" w:rsidP="00111C25">
      <w:pPr>
        <w:rPr>
          <w:rtl/>
        </w:rPr>
      </w:pPr>
      <w:r>
        <w:rPr>
          <w:rtl/>
          <w:lang w:bidi="ar"/>
        </w:rPr>
        <w:t>وفي الصميم من الجهود الرامية إلى زيادة النفاذ عريض النطاق، هناك سوق تنافسية لمنتجات مصممة خصيصاً لتلبية متطلبات الأسواق الناشئة.</w:t>
      </w:r>
    </w:p>
    <w:p w:rsidR="00111C25" w:rsidRDefault="00111C25" w:rsidP="00111C25">
      <w:pPr>
        <w:rPr>
          <w:spacing w:val="-2"/>
          <w:rtl/>
        </w:rPr>
      </w:pPr>
      <w:r>
        <w:rPr>
          <w:spacing w:val="-2"/>
          <w:rtl/>
        </w:rPr>
        <w:t>"وسيعتمد تحقق الإمكانات العظيمة للنطاق العريض في المساهمة في النمو والقدرة التنافسية على ما إذا كانت الحكومات ستغتنم الفرصة وتضمن إيجاد ظروف داعمة من خلال إصلاحات تنظيمية وسياساتية، فضلاً عن الاستثمارات الاستراتيجية والشراكات بين القطاعين العام والخاص. كما يتطلب تحقيق الاستفادة الكاملة من النطاق العريض تطوير الجديد من المحتويات والخدمات والتطبيقات وكذلك زيادة القدرات البشرية لإدماج هذه التكنولوجيات في الأنشطة الاقتصادية. فالنطاق العريض يستحق بوضوح دوراً مركزياً في استراتيجيات التنمية الوطنية."</w:t>
      </w:r>
      <w:r>
        <w:rPr>
          <w:rStyle w:val="FootnoteReference"/>
          <w:spacing w:val="-2"/>
          <w:rtl/>
        </w:rPr>
        <w:footnoteReference w:id="29"/>
      </w:r>
    </w:p>
    <w:p w:rsidR="00111C25" w:rsidRDefault="00111C25" w:rsidP="00111C25">
      <w:pPr>
        <w:pStyle w:val="Heading2"/>
        <w:rPr>
          <w:rtl/>
        </w:rPr>
      </w:pPr>
      <w:bookmarkStart w:id="34" w:name="_Toc372276110"/>
      <w:bookmarkStart w:id="35" w:name="_Toc299438657"/>
      <w:bookmarkStart w:id="36" w:name="_Toc380496715"/>
      <w:r>
        <w:t>2.1</w:t>
      </w:r>
      <w:r>
        <w:tab/>
      </w:r>
      <w:r>
        <w:rPr>
          <w:rtl/>
        </w:rPr>
        <w:t>تطبيقات النطاق العريض</w:t>
      </w:r>
      <w:bookmarkEnd w:id="34"/>
      <w:bookmarkEnd w:id="35"/>
      <w:bookmarkEnd w:id="36"/>
    </w:p>
    <w:p w:rsidR="00111C25" w:rsidRDefault="00111C25" w:rsidP="00111C25">
      <w:pPr>
        <w:rPr>
          <w:bCs/>
        </w:rPr>
      </w:pPr>
      <w:r>
        <w:rPr>
          <w:rtl/>
        </w:rPr>
        <w:t>"لا بد من إنشاء تطبيقات باستخدام النطاق العريض في الوقت نفسه الذي يبدأ فيه تنفيذ شبكات النطاق العريض وتحسن السعات، لأن التحسن في الطلب يمكن يدفع عجلة العرض. وفيما يلي لمحة موجزة عن بعض من مجموعة واسعة ومتوسعة بسرعة من الخدمات التي يمكن لشبكات النطاق العريض أن تقدمها، وتوضح أثرها على المجتمع.</w:t>
      </w:r>
    </w:p>
    <w:p w:rsidR="00111C25" w:rsidRDefault="00111C25" w:rsidP="00111C25">
      <w:pPr>
        <w:rPr>
          <w:bCs/>
          <w:rtl/>
        </w:rPr>
      </w:pPr>
      <w:r>
        <w:rPr>
          <w:rtl/>
        </w:rPr>
        <w:t>والتجارة الإلكترونية، على سبيل المثال، هي مجال مألوف على نحو متزايد. ووفقاً لأحد التقارير،</w:t>
      </w:r>
      <w:r>
        <w:rPr>
          <w:rStyle w:val="FootnoteReference"/>
          <w:rtl/>
        </w:rPr>
        <w:footnoteReference w:id="30"/>
      </w:r>
      <w:r>
        <w:rPr>
          <w:rtl/>
        </w:rPr>
        <w:t xml:space="preserve"> في عام </w:t>
      </w:r>
      <w:r>
        <w:rPr>
          <w:lang w:bidi="ar"/>
        </w:rPr>
        <w:t>2012</w:t>
      </w:r>
      <w:r>
        <w:rPr>
          <w:rtl/>
        </w:rPr>
        <w:t>، سينفق أكثر من مليار شخص في العالم ما يعادل أكثر من تريليون دولار أمريكي على المعاملات من مصالح الأعمال إلى المستهلكين في حين ستكون قيمة التبادل التجاري فيما بين المصالح التجارية أكبر بعشر مرات. فالنطاق العريض يعجل العملية بأكملها، مما يجعلها أسرع وأكثر ملاءمة وجاذبية للبائعين والمشترين.</w:t>
      </w:r>
    </w:p>
    <w:p w:rsidR="00111C25" w:rsidRDefault="00111C25" w:rsidP="009C04F6">
      <w:pPr>
        <w:rPr>
          <w:bCs/>
          <w:rtl/>
        </w:rPr>
      </w:pPr>
      <w:r>
        <w:rPr>
          <w:rtl/>
        </w:rPr>
        <w:t xml:space="preserve">كما تشهد المعاملات المالية والمصرفية تطبيقات عبر النطاق العريض تنمو نمواً سريعاً. وفي الأجهزة المتنقلة، تعد الأعمال المصرفية المتنقلة ذات شأن خاص في البلدان النامية، حيث لا يتسنى للعديد من الناس النفاذ إلى هذه الخدمات بدونها. وتفيد التوقعات أنه بحلول عام </w:t>
      </w:r>
      <w:r>
        <w:rPr>
          <w:lang w:bidi="ar"/>
        </w:rPr>
        <w:t>2012</w:t>
      </w:r>
      <w:r>
        <w:rPr>
          <w:rtl/>
        </w:rPr>
        <w:t xml:space="preserve">، سيقوم نحو </w:t>
      </w:r>
      <w:r>
        <w:rPr>
          <w:lang w:bidi="ar"/>
        </w:rPr>
        <w:t>190</w:t>
      </w:r>
      <w:r>
        <w:rPr>
          <w:rtl/>
        </w:rPr>
        <w:t xml:space="preserve"> مليون مستهلك بسداد دفعات عبر الاتصالات المتنقلة في جميع أنحاء العالم، حيث التزايد الأسرع في الأسواق الناشئة.</w:t>
      </w:r>
      <w:r>
        <w:rPr>
          <w:rStyle w:val="FootnoteReference"/>
          <w:rtl/>
        </w:rPr>
        <w:footnoteReference w:id="31"/>
      </w:r>
    </w:p>
    <w:p w:rsidR="00111C25" w:rsidRDefault="00111C25" w:rsidP="00111C25">
      <w:pPr>
        <w:rPr>
          <w:bCs/>
          <w:rtl/>
        </w:rPr>
      </w:pPr>
      <w:r>
        <w:rPr>
          <w:rtl/>
        </w:rPr>
        <w:t>وتستخدم الحكومات أيضاً النطاق العريض على نحو متزايد لتوفر بوابات الإنترنت حيث يمكن للمواطنين الحصول على المعلومات والتفاعل مع الإدارة على حد سواء - من خلال طلب الحصول على تراخيص مثلاً. وتصبح الدوائر الحكومية نفسها أكثر كفاءة عندما تنسق أنظمتها من خلال شبكات النطاق العريض</w:t>
      </w:r>
      <w:r>
        <w:rPr>
          <w:lang w:bidi="ar"/>
        </w:rPr>
        <w:t>.</w:t>
      </w:r>
    </w:p>
    <w:p w:rsidR="00111C25" w:rsidRDefault="00111C25" w:rsidP="00111C25">
      <w:pPr>
        <w:rPr>
          <w:bCs/>
          <w:rtl/>
          <w:lang w:bidi="ar"/>
        </w:rPr>
      </w:pPr>
      <w:r>
        <w:rPr>
          <w:rtl/>
        </w:rPr>
        <w:lastRenderedPageBreak/>
        <w:t xml:space="preserve">ويوجد نحو </w:t>
      </w:r>
      <w:r>
        <w:rPr>
          <w:lang w:bidi="ar"/>
        </w:rPr>
        <w:t>%17</w:t>
      </w:r>
      <w:r>
        <w:rPr>
          <w:rtl/>
        </w:rPr>
        <w:t xml:space="preserve"> من البالغين في العالم - أي </w:t>
      </w:r>
      <w:r>
        <w:rPr>
          <w:lang w:bidi="ar"/>
        </w:rPr>
        <w:t>796</w:t>
      </w:r>
      <w:r>
        <w:rPr>
          <w:rtl/>
        </w:rPr>
        <w:t xml:space="preserve"> مليون نسمة - ممّن لا يزالون يفتقرون إلى مهارات القراءة والكتابة الأساسية، وتستأثر النساء بثلثي هذا العدد تقريباً. وما انفكت جودة التعليم متدنية للغاية في كثير من البلدان، إذ يتخرج ملايين الأطفال من المدارس الابتدائية بمهارات قراءة وكتابة وحساب أدنى بكثير من المستويات المتوقعة. وقد أثبتت فعلاً تكنولوجيا المعلومات والاتصالات، وخصوصاً الإنترنت، قدرتها على أن تسهم إسهاماً كبيراً في تحقيق هدف "التعليم للجميع"، وهو أحد العناصر الرئيسية اللازمة لإقامة مجتمعات مستنيرة بالمعرفة. ويتيح ظهور الإنترنت، وبالأخص النطاق العريض، فرصة هائلة لمواصلة تسخير تكنولوجيا المعلومات والاتصالات على الصعيد العالمي لأغراض تعميق المعارف وخلقها من خلال التعليم، ولكي يعزّز التعليم ثقافة التسامح وبناء السلام والتفاهم في عالمنا الذي يزداد ترابطاً.</w:t>
      </w:r>
    </w:p>
    <w:p w:rsidR="00111C25" w:rsidRDefault="00111C25" w:rsidP="00111C25">
      <w:pPr>
        <w:rPr>
          <w:bCs/>
        </w:rPr>
      </w:pPr>
      <w:r>
        <w:rPr>
          <w:rtl/>
        </w:rPr>
        <w:t>والرعاية الصحية هي أحد أهم المجالات التي يمكن أن يكون للنطاق العريض فيها تأثير. وتذهب التقديرات إلى أن ما لا يقل عن خمسة تريليونات من الدولارات تنفق في جميع أنحاء العالم لتقديم الرعاية الصحية،</w:t>
      </w:r>
      <w:r>
        <w:rPr>
          <w:rStyle w:val="FootnoteReference"/>
          <w:rtl/>
        </w:rPr>
        <w:footnoteReference w:id="32"/>
      </w:r>
      <w:r>
        <w:rPr>
          <w:rtl/>
        </w:rPr>
        <w:t xml:space="preserve"> ولكن يمكن تحقيق وفورات في التكاليف تتراوح بين </w:t>
      </w:r>
      <w:r>
        <w:rPr>
          <w:lang w:bidi="ar"/>
        </w:rPr>
        <w:t>%10</w:t>
      </w:r>
      <w:r>
        <w:rPr>
          <w:rtl/>
        </w:rPr>
        <w:t xml:space="preserve"> و</w:t>
      </w:r>
      <w:r>
        <w:rPr>
          <w:lang w:bidi="ar"/>
        </w:rPr>
        <w:t>%20</w:t>
      </w:r>
      <w:r>
        <w:rPr>
          <w:rtl/>
        </w:rPr>
        <w:t xml:space="preserve"> من خلال استخدام التطبيب عن بُعد الممرَر عبر النطاق العريض. ولولا هذه الأنظمة لحُرم العديد من الناس من الرعاية الكافية. فقد كشف تقرير لمنظمة الصحة العالمية</w:t>
      </w:r>
      <w:r>
        <w:rPr>
          <w:rStyle w:val="FootnoteReference"/>
          <w:rtl/>
        </w:rPr>
        <w:footnoteReference w:id="33"/>
      </w:r>
      <w:r>
        <w:rPr>
          <w:rtl/>
        </w:rPr>
        <w:t xml:space="preserve"> نقصاً يقدر بما يقرب من </w:t>
      </w:r>
      <w:r>
        <w:rPr>
          <w:lang w:bidi="ar"/>
        </w:rPr>
        <w:t>4,3</w:t>
      </w:r>
      <w:r>
        <w:rPr>
          <w:rtl/>
        </w:rPr>
        <w:t xml:space="preserve"> مليون فرد في الطاقم الطبي في جميع أنحاء العالم، ويظهر هذا النقص على أشده في البلدان الأكثر فقراً. ومن شأن ما يتم عبر النطاق العريض من مشورات طبية ومراقبة وتشخيص وتدريب أن يساعد كثيراً في التغلب على هذه الفجوات</w:t>
      </w:r>
      <w:r>
        <w:rPr>
          <w:lang w:bidi="ar"/>
        </w:rPr>
        <w:t>.</w:t>
      </w:r>
      <w:r>
        <w:rPr>
          <w:bCs/>
          <w:rtl/>
        </w:rPr>
        <w:t>"</w:t>
      </w:r>
      <w:r>
        <w:rPr>
          <w:rStyle w:val="FootnoteReference"/>
          <w:rtl/>
        </w:rPr>
        <w:footnoteReference w:id="34"/>
      </w:r>
    </w:p>
    <w:p w:rsidR="00111C25" w:rsidRDefault="00111C25" w:rsidP="00111C25">
      <w:pPr>
        <w:rPr>
          <w:rtl/>
          <w:lang w:bidi="ar-EG"/>
        </w:rPr>
      </w:pPr>
      <w:r>
        <w:rPr>
          <w:rtl/>
        </w:rPr>
        <w:t xml:space="preserve">ويجري استعمال التكنولوجيات اللاسلكية في القطاع الصحي في العديد من مناطق العالم، خاصة من خلال مبادرات شراكات القطاعين العام والخاص. ويمكن الاطلاع على مثال لهذه الشراكة في الملحق </w:t>
      </w:r>
      <w:r>
        <w:t>I</w:t>
      </w:r>
      <w:r>
        <w:rPr>
          <w:rtl/>
        </w:rPr>
        <w:t xml:space="preserve"> في "</w:t>
      </w:r>
      <w:r>
        <w:rPr>
          <w:spacing w:val="-4"/>
          <w:rtl/>
        </w:rPr>
        <w:t xml:space="preserve"> نظام المعلومات المتنقل بشأن الصحة: إتاحة نفاذ العاملين في مجال الرعاية الصحية إلى المعلومات".</w:t>
      </w:r>
    </w:p>
    <w:p w:rsidR="00111C25" w:rsidRDefault="00111C25" w:rsidP="000F5521">
      <w:pPr>
        <w:rPr>
          <w:rtl/>
        </w:rPr>
      </w:pPr>
      <w:r>
        <w:rPr>
          <w:rtl/>
        </w:rPr>
        <w:t xml:space="preserve">ويمكن أن يكون فيديو النطاق العريض أداة قوية لتوفير التدريب للعاملين في جميع القطاعات. ويمكن تطبيق فيديو </w:t>
      </w:r>
      <w:r>
        <w:rPr>
          <w:spacing w:val="-2"/>
          <w:rtl/>
        </w:rPr>
        <w:t>النطاق العريض وغيره من التطبيقات في التعليم على جميع المستويات، سواء في المدارس أو في المنازل، أو في مواقع</w:t>
      </w:r>
      <w:r>
        <w:rPr>
          <w:rtl/>
        </w:rPr>
        <w:t xml:space="preserve"> أخرى - مهما بعدت. ومن أمثلة البرامج التي تجلب منافع التعليم إلى المناطق الريفية والمناطق النائية برنامج يمكَّن من تحميل المواد الدراسية بأكملها من جامعة إلى الهواتف المتنقلة. ولهذا البرنامج القدرة الكامنة على الوصول إلى ما يقرب من </w:t>
      </w:r>
      <w:r>
        <w:rPr>
          <w:lang w:bidi="ar"/>
        </w:rPr>
        <w:t>2,5</w:t>
      </w:r>
      <w:r>
        <w:rPr>
          <w:rtl/>
        </w:rPr>
        <w:t xml:space="preserve"> </w:t>
      </w:r>
      <w:r>
        <w:rPr>
          <w:rFonts w:hint="cs"/>
          <w:rtl/>
        </w:rPr>
        <w:t xml:space="preserve">مليون طالب وطالبة في جميع أنحاء العالم. وهناك مثال آخر على مستوى المدارس الابتدائية، وهو برنامج تموله الحكومة ويوفر جهاز حاسوب محمول لكل طفل وإمكانية النفاذ إلى الإنترنت لكل مدرسة. وستُنتج </w:t>
      </w:r>
      <w:r>
        <w:rPr>
          <w:rFonts w:hint="cs"/>
          <w:spacing w:val="-2"/>
          <w:rtl/>
        </w:rPr>
        <w:t>هذه التوليفة جيلاً من الأطفال "الموصولين" الذين سيتمكنون من الانتفاع من جميع المواد التعليمية على شبكة الإنترنت.</w:t>
      </w:r>
    </w:p>
    <w:p w:rsidR="00111C25" w:rsidRDefault="00111C25" w:rsidP="00111C25">
      <w:pPr>
        <w:rPr>
          <w:bCs/>
          <w:rtl/>
        </w:rPr>
      </w:pPr>
      <w:r>
        <w:rPr>
          <w:b/>
          <w:rtl/>
        </w:rPr>
        <w:t>"وتتيح الرقمنة في الوقت نفسه المزيد والمزيد من المعلومات عن طريق النطاق العريض. فالصحف والكتب الإلكترونية والمجلات العلمية المنشورة على الإنترنت والمكتبات الرقمية تعمل مثلاً على تغيير نمط الوصول إلى المحتويات القيمة في العديد من البلدان، وعلى تغيير طريقتنا في القراءة أو إجراء البحوث."</w:t>
      </w:r>
      <w:r>
        <w:rPr>
          <w:rStyle w:val="FootnoteReference"/>
          <w:rtl/>
        </w:rPr>
        <w:footnoteReference w:id="35"/>
      </w:r>
    </w:p>
    <w:p w:rsidR="00111C25" w:rsidRDefault="00111C25" w:rsidP="00111C25">
      <w:pPr>
        <w:rPr>
          <w:bCs/>
          <w:rtl/>
        </w:rPr>
      </w:pPr>
      <w:r>
        <w:rPr>
          <w:rtl/>
        </w:rPr>
        <w:t>"وتشكل قوة النطاق العريض ركيزة جمع البيانات الحيوية عن البيئة، عبر الساتل مثلاً أو عبر تكنولوجيا الاستشعار المباشر، وركيزة التشارك في هذه البيانات وتحليلها. ويمكن استخدام هذه المعلومات للتنبؤ بالكوارث الطبيعية مثل الفيضانات أو المجاعات</w:t>
      </w:r>
      <w:r>
        <w:rPr>
          <w:lang w:bidi="ar"/>
        </w:rPr>
        <w:t>.</w:t>
      </w:r>
    </w:p>
    <w:p w:rsidR="00111C25" w:rsidRDefault="00111C25" w:rsidP="00111C25">
      <w:pPr>
        <w:rPr>
          <w:bCs/>
          <w:rtl/>
        </w:rPr>
      </w:pPr>
      <w:r>
        <w:rPr>
          <w:rtl/>
        </w:rPr>
        <w:lastRenderedPageBreak/>
        <w:t>كما يوفر النطاق العريض اللاسلكي على وجه الخصوص منصة لاتصالات موثوقة في حالة الكوارث الطبيعية حين يكثر تضرر شبكات الاتصالات الأرضية أو دمارها. وبالإضافة إلى ذلك، يمكن للنطاق العريض أن يقدم خدمات مثل التطبيب عن بُعد في مواقع الكوارث.</w:t>
      </w:r>
      <w:r>
        <w:rPr>
          <w:bCs/>
          <w:rtl/>
        </w:rPr>
        <w:t>"</w:t>
      </w:r>
      <w:r>
        <w:rPr>
          <w:rStyle w:val="FootnoteReference"/>
          <w:rtl/>
        </w:rPr>
        <w:footnoteReference w:id="36"/>
      </w:r>
    </w:p>
    <w:p w:rsidR="00111C25" w:rsidRDefault="00111C25" w:rsidP="00111C25">
      <w:pPr>
        <w:rPr>
          <w:rtl/>
        </w:rPr>
      </w:pPr>
      <w:r>
        <w:rPr>
          <w:rtl/>
        </w:rPr>
        <w:t>وتساعد كثيراً شبكات النطاق العريض في إجراء البحوث العلمية على نطاق واسع. وليس بمقدور الباحثين أن يتبادلوا الآن بسرعة فائقة كميات هائلة من البيانات بشتى أنواعها فحسب، وإنما هناك طرق جديدة ظهرت لمعالجة المواضيع البالغة التعقيد. وتمكّن الحوسبة الموزّعة أو "الشبكية" من ربط الآلاف من أجهزة الحاسوب الصغيرة ببعضها البعض لأغراض تحليل كميات هائلة من البيانات وإحالة النتائج إلى نقطة مركزية.</w:t>
      </w:r>
    </w:p>
    <w:p w:rsidR="00111C25" w:rsidRDefault="00111C25" w:rsidP="00111C25">
      <w:pPr>
        <w:rPr>
          <w:bCs/>
          <w:rtl/>
        </w:rPr>
      </w:pPr>
      <w:r>
        <w:rPr>
          <w:rtl/>
        </w:rPr>
        <w:t>وبشكل عام فإن تطبيق "الحوسبة السحابية" يسهّل تبادل المعلومات ويغني فرادى المستعملين والشركات عن الاضطرار إلى تخزين البيانات والبرامج على أجهزة الحواسيب الخاصة بهم. وتقوم هذه النظم على شبكات النطاق العريض وتحقق وفورات كبيرة في التكاليف المتكبدة عن العتاد والبرمجيات والمباني وكوادر الموظفين. ويشير أحد التوقعات التي خرج</w:t>
      </w:r>
      <w:r>
        <w:rPr>
          <w:spacing w:val="-6"/>
          <w:rtl/>
        </w:rPr>
        <w:t xml:space="preserve"> بها محللون لشؤون الأسواق</w:t>
      </w:r>
      <w:r>
        <w:rPr>
          <w:rStyle w:val="FootnoteReference"/>
          <w:spacing w:val="-6"/>
          <w:rtl/>
        </w:rPr>
        <w:footnoteReference w:id="37"/>
      </w:r>
      <w:r>
        <w:rPr>
          <w:spacing w:val="-6"/>
          <w:rtl/>
        </w:rPr>
        <w:t xml:space="preserve"> إلى أن بإمكان </w:t>
      </w:r>
      <w:r>
        <w:rPr>
          <w:spacing w:val="-6"/>
          <w:lang w:bidi="ar"/>
        </w:rPr>
        <w:t>52</w:t>
      </w:r>
      <w:r>
        <w:rPr>
          <w:spacing w:val="-6"/>
          <w:rtl/>
        </w:rPr>
        <w:t xml:space="preserve"> بلداً على الأقل أن تستفيد من خدمات الحوسبة السحابية من خلال إضافة نحو </w:t>
      </w:r>
      <w:r>
        <w:rPr>
          <w:spacing w:val="-6"/>
          <w:lang w:bidi="ar"/>
        </w:rPr>
        <w:t>800</w:t>
      </w:r>
      <w:r>
        <w:rPr>
          <w:spacing w:val="-6"/>
          <w:rtl/>
        </w:rPr>
        <w:t xml:space="preserve"> مليار دولار أمريكي إلى صافي الإيرادات التجارية الجديدة التي تحققها في الفترة الواقعة بين عامي </w:t>
      </w:r>
      <w:r>
        <w:rPr>
          <w:spacing w:val="-6"/>
          <w:lang w:bidi="ar"/>
        </w:rPr>
        <w:t>2009</w:t>
      </w:r>
      <w:r>
        <w:rPr>
          <w:spacing w:val="-6"/>
          <w:rtl/>
        </w:rPr>
        <w:t xml:space="preserve"> و</w:t>
      </w:r>
      <w:r>
        <w:rPr>
          <w:spacing w:val="-6"/>
          <w:lang w:bidi="ar"/>
        </w:rPr>
        <w:t>2013</w:t>
      </w:r>
      <w:r>
        <w:rPr>
          <w:spacing w:val="-6"/>
          <w:rtl/>
        </w:rPr>
        <w:t>.</w:t>
      </w:r>
    </w:p>
    <w:p w:rsidR="00111C25" w:rsidRDefault="00111C25" w:rsidP="00111C25">
      <w:pPr>
        <w:rPr>
          <w:bCs/>
          <w:rtl/>
        </w:rPr>
      </w:pPr>
      <w:r>
        <w:rPr>
          <w:rtl/>
        </w:rPr>
        <w:t xml:space="preserve">ويمكن التصدي لتغير المناخ - وهو أصل الظواهر الجوية المتطرفة - من خلال كفاءة استخدام الطاقة التي يجلبها النطاق العريض إلى جميع القطاعات الصناعية. وإذ تتحسن مراقبة المخزونات وتوزيعها بفضل استخدام شبكات لتتبع وسوم التعرّف الراديوي </w:t>
      </w:r>
      <w:r>
        <w:rPr>
          <w:lang w:bidi="ar"/>
        </w:rPr>
        <w:t>(RFID)</w:t>
      </w:r>
      <w:r>
        <w:rPr>
          <w:rtl/>
        </w:rPr>
        <w:t xml:space="preserve"> على السلع، يقل عدد الشاحنات في الطرقات.</w:t>
      </w:r>
    </w:p>
    <w:p w:rsidR="00111C25" w:rsidRDefault="00111C25" w:rsidP="000F5521">
      <w:pPr>
        <w:rPr>
          <w:bCs/>
          <w:rtl/>
        </w:rPr>
      </w:pPr>
      <w:r>
        <w:rPr>
          <w:rtl/>
        </w:rPr>
        <w:t>وفيما يتعلق بمصادر التغذية بالقدرة نفسها، تتيح "الشبكات الكهربائية الذكية" لشركات الكهرباء الحد من الفواقد ومنع انقطاع التيار، وتوافي العملاء في الوقت الفعلي بمعلومات يمكن الاستفادة منها لإدارة استخدام الطاقة في المنزل أو في مكان العمل. وبالإضافة إلى ذلك، تسهل الشبكات الكهربائية الذكية دمج الكهرباء المولدة محلياً (بما فيها تلك المولدة من مصادر الطاقة المتجددة) وتخزينها وتقاسمها إذ يتقلب الطلب عبر الشبكة.</w:t>
      </w:r>
      <w:r>
        <w:rPr>
          <w:bCs/>
          <w:rtl/>
        </w:rPr>
        <w:t>"</w:t>
      </w:r>
      <w:r>
        <w:rPr>
          <w:rStyle w:val="FootnoteReference"/>
          <w:rtl/>
        </w:rPr>
        <w:footnoteReference w:id="38"/>
      </w:r>
    </w:p>
    <w:p w:rsidR="00111C25" w:rsidRDefault="00111C25" w:rsidP="00111C25">
      <w:pPr>
        <w:pStyle w:val="Heading2"/>
        <w:rPr>
          <w:rtl/>
        </w:rPr>
      </w:pPr>
      <w:bookmarkStart w:id="37" w:name="_Toc372276111"/>
      <w:bookmarkStart w:id="38" w:name="_Toc299438649"/>
      <w:bookmarkStart w:id="39" w:name="_Toc380496716"/>
      <w:r>
        <w:t>3.1</w:t>
      </w:r>
      <w:r>
        <w:tab/>
      </w:r>
      <w:r>
        <w:rPr>
          <w:rtl/>
        </w:rPr>
        <w:t>قضايا الجنسين التي تكتنف نشر تكنولوجيا النطاق العريض</w:t>
      </w:r>
      <w:bookmarkEnd w:id="37"/>
      <w:bookmarkEnd w:id="38"/>
      <w:bookmarkEnd w:id="39"/>
    </w:p>
    <w:p w:rsidR="00111C25" w:rsidRDefault="00111C25" w:rsidP="00111C25">
      <w:pPr>
        <w:rPr>
          <w:bCs/>
          <w:spacing w:val="-2"/>
          <w:rtl/>
        </w:rPr>
      </w:pPr>
      <w:r>
        <w:rPr>
          <w:spacing w:val="-2"/>
          <w:rtl/>
        </w:rPr>
        <w:t xml:space="preserve">"في كثير من الاقتصادات الناشئة والمناطق الريفية، لا تزال المرأة مهمشة اقتصادياً واجتماعياً وغير مستوفية حقها من التعليم وتضيق آفاق فرص العمل أمامها نسبياً. وفي حين أن العديد من البلدان قد حققت أو كادت تحقق المساواة بين الجنسين على مستوى التعليم الابتدائي - إذ تقلصت فجوة الالتحاق بالمدارس من </w:t>
      </w:r>
      <w:r>
        <w:rPr>
          <w:spacing w:val="-2"/>
          <w:lang w:bidi="ar"/>
        </w:rPr>
        <w:t>91</w:t>
      </w:r>
      <w:r>
        <w:rPr>
          <w:spacing w:val="-2"/>
          <w:rtl/>
        </w:rPr>
        <w:t xml:space="preserve"> إلى </w:t>
      </w:r>
      <w:r>
        <w:rPr>
          <w:spacing w:val="-2"/>
          <w:lang w:bidi="ar"/>
        </w:rPr>
        <w:t>96</w:t>
      </w:r>
      <w:r>
        <w:rPr>
          <w:spacing w:val="-2"/>
          <w:rtl/>
        </w:rPr>
        <w:t xml:space="preserve"> بنتاً مقابل كل </w:t>
      </w:r>
      <w:r>
        <w:rPr>
          <w:spacing w:val="-2"/>
          <w:lang w:bidi="ar"/>
        </w:rPr>
        <w:t>100</w:t>
      </w:r>
      <w:r>
        <w:rPr>
          <w:spacing w:val="-2"/>
          <w:rtl/>
        </w:rPr>
        <w:t xml:space="preserve"> صبي في العالم النامي بين عامي </w:t>
      </w:r>
      <w:r>
        <w:rPr>
          <w:spacing w:val="-2"/>
          <w:lang w:bidi="ar"/>
        </w:rPr>
        <w:t>1999</w:t>
      </w:r>
      <w:r>
        <w:rPr>
          <w:spacing w:val="-2"/>
          <w:rtl/>
        </w:rPr>
        <w:t xml:space="preserve"> و</w:t>
      </w:r>
      <w:r>
        <w:rPr>
          <w:spacing w:val="-2"/>
          <w:lang w:bidi="ar"/>
        </w:rPr>
        <w:t>2008</w:t>
      </w:r>
      <w:r>
        <w:rPr>
          <w:spacing w:val="-2"/>
          <w:rtl/>
        </w:rPr>
        <w:t xml:space="preserve"> </w:t>
      </w:r>
      <w:r>
        <w:rPr>
          <w:rFonts w:hint="cs"/>
          <w:spacing w:val="-2"/>
          <w:rtl/>
        </w:rPr>
        <w:t xml:space="preserve">- لا يزال التقدم بطيئاً في مجالات أخرى. وتمثل النساء بشكل غير متكافئ في مجال العمالة الضعيفة أو غير المضمونة. وفي بعض البلدان، لا تمثل المرأة سوى </w:t>
      </w:r>
      <w:r>
        <w:rPr>
          <w:spacing w:val="-2"/>
          <w:lang w:bidi="ar"/>
        </w:rPr>
        <w:t>20</w:t>
      </w:r>
      <w:r>
        <w:rPr>
          <w:spacing w:val="-2"/>
          <w:rtl/>
        </w:rPr>
        <w:t> في المائة من القوى العاملة الموظفة خارج القطاع الزراعي، بينما يظل الدخل منخفضاً في الزراعة.</w:t>
      </w:r>
      <w:r>
        <w:rPr>
          <w:rStyle w:val="FootnoteReference"/>
          <w:spacing w:val="-2"/>
          <w:rtl/>
        </w:rPr>
        <w:footnoteReference w:id="39"/>
      </w:r>
    </w:p>
    <w:p w:rsidR="00111C25" w:rsidRDefault="00111C25" w:rsidP="005A67D3">
      <w:pPr>
        <w:rPr>
          <w:rtl/>
        </w:rPr>
      </w:pPr>
      <w:r>
        <w:rPr>
          <w:rtl/>
        </w:rPr>
        <w:t xml:space="preserve">وبما أن النساء يعانين من الفقر أكثر من الرجال، فإن تمكين المرأة لخلق العمالة و/أو الحصول على عمل هو استراتيجية فعالة لمكافحة الفقر، وتعتبر تكنولوجيات المعلومات والاتصالات والنطاق العريض عنصراً أساسياً في مساعدة النساء على محو أميتهن الوظيفية للحصول على قدر أكبر من التدريب على المهارات. وتدل تجربة مصرف غرامين في بنغلاديش أن النساء ذوات الخبرة </w:t>
      </w:r>
      <w:r>
        <w:rPr>
          <w:rtl/>
        </w:rPr>
        <w:lastRenderedPageBreak/>
        <w:t xml:space="preserve">المتعلقة حتى بالهواتف المتنقلة الأساسية أكثر استعداداً لاستخدام تكنولوجيا المعلومات والاتصالات الأخرى والاستفادة منها للحصول على المعلومات أو على فرص العمل. ويمكن الاطلاع في الملحق </w:t>
      </w:r>
      <w:r>
        <w:t>I</w:t>
      </w:r>
      <w:r>
        <w:rPr>
          <w:rtl/>
        </w:rPr>
        <w:t xml:space="preserve"> في "مبادرات ِ</w:t>
      </w:r>
      <w:r>
        <w:t>AppLab</w:t>
      </w:r>
      <w:r>
        <w:rPr>
          <w:rtl/>
        </w:rPr>
        <w:t xml:space="preserve"> للامتيازات متناهية الصغر في مجال الاتصالات المتنقلة" على مثال لسكان محرومين من الخدمات، أغلبهم من النساء، يستعملون تكنولوجيا الاتصالات المتنقلة للحصول على فرص عمل فريدة واكتساب المهارات اللازمة لكي ينتشلوا أنفسهم من بين براثن الفقر.</w:t>
      </w:r>
    </w:p>
    <w:p w:rsidR="00111C25" w:rsidRPr="005A67D3" w:rsidRDefault="00111C25" w:rsidP="00111C25">
      <w:pPr>
        <w:rPr>
          <w:spacing w:val="-4"/>
          <w:rtl/>
          <w:lang w:bidi="ar"/>
        </w:rPr>
      </w:pPr>
      <w:r w:rsidRPr="005A67D3">
        <w:rPr>
          <w:spacing w:val="-4"/>
          <w:rtl/>
        </w:rPr>
        <w:t>وتكنولوجيا المعلومات والاتصالات والنطاق العريض هما مفتاح تحقيق المساواة بين الجنسين وتمكين المرأة. فهما يوفران وسيلة ممتازة لفتح فرص في التعليم والتوظيف وكذلك في النفاذ إلى المعلومات، ولهما القدرة على تحييد الكثير من التمييز الذي تواجهه النساء تقليدياً. ويمكن أن المرونة التي يتيحها استخدام تكنولوجيا المعلومات والاتصالات والنطاق العريض في التعليم والعمل أن يمكّن المرأة من الوفاء بالتزامات عملها بشكل أفضل، ويمكن أن تساعد في التغلب على مشاكل التنقل. ويمكن أيضاً استخدام تكنولوجيا المعلومات والاتصالات والنطاق العريض للتأثير على مواقف العامة لتحقيق المساواة بين الجنسين، وإتاحة الفرص للنساء كمعلمات وناشطات، وتعزيز فرص التواصل والتنظيم من أجل المساواة بين الجنسين، فضلاً عن مشاركة المرأة في العمليات السياسية.</w:t>
      </w:r>
    </w:p>
    <w:p w:rsidR="00111C25" w:rsidRDefault="00111C25" w:rsidP="00111C25">
      <w:pPr>
        <w:rPr>
          <w:lang w:bidi="ar-EG"/>
        </w:rPr>
      </w:pPr>
      <w:r>
        <w:rPr>
          <w:rtl/>
        </w:rPr>
        <w:t>ولتكنولوجيا المعلومات والاتصالات والنطاق العريض صلة مباشرة بالمساواة بين الجنسين وتمكين المرأة من حيث السبب والنتيجة على السواء - فزيادة نفاذ المرأة إلى تكنولوجيا المعلومات والاتصالات والنطاق العريض سوف تساعد على تحقيق هذه الأهداف وتحقيق المساواة بين الجنسين. وعلى أصحاب المصلحة الرئيسيين أن يطوروا تكنولوجيا تركز على قضايا الجنسين أو تكنولوجيا حيادية إزاء الجنسين، وأن يضعوا برامج تطبيقات تضمن أن يقلص النطاق العريض الفجوات بين الجنسين لا أن يوسعها."</w:t>
      </w:r>
      <w:r>
        <w:rPr>
          <w:rStyle w:val="FootnoteReference"/>
          <w:rtl/>
        </w:rPr>
        <w:footnoteReference w:id="40"/>
      </w:r>
    </w:p>
    <w:p w:rsidR="00111C25" w:rsidRDefault="00111C25" w:rsidP="00111C25">
      <w:pPr>
        <w:pStyle w:val="Heading2"/>
        <w:rPr>
          <w:rtl/>
        </w:rPr>
      </w:pPr>
      <w:bookmarkStart w:id="40" w:name="_Toc372276112"/>
      <w:bookmarkStart w:id="41" w:name="_Toc380496717"/>
      <w:r>
        <w:t>4.1</w:t>
      </w:r>
      <w:r>
        <w:rPr>
          <w:rtl/>
        </w:rPr>
        <w:tab/>
        <w:t>نفاذ الأشخاص ذوي الإعاقة إلى خدمات النطاق العريض</w:t>
      </w:r>
      <w:bookmarkEnd w:id="40"/>
      <w:bookmarkEnd w:id="41"/>
    </w:p>
    <w:p w:rsidR="00111C25" w:rsidRPr="005A67D3" w:rsidRDefault="00111C25" w:rsidP="00111C25">
      <w:pPr>
        <w:rPr>
          <w:spacing w:val="-4"/>
          <w:rtl/>
          <w:lang w:bidi="ar"/>
        </w:rPr>
      </w:pPr>
      <w:r w:rsidRPr="005A67D3">
        <w:rPr>
          <w:spacing w:val="-4"/>
          <w:rtl/>
        </w:rPr>
        <w:t xml:space="preserve">تمثل إتاحة فرص الانتفاع من النطاق العريض إحدى الركائز الأساسية </w:t>
      </w:r>
      <w:r w:rsidRPr="005A67D3">
        <w:rPr>
          <w:spacing w:val="-4"/>
          <w:rtl/>
          <w:lang w:bidi="ar"/>
        </w:rPr>
        <w:t>لعمل الاتحاد. وما برح قطاع تنمية الاتصالات ينشط في</w:t>
      </w:r>
      <w:r w:rsidRPr="005A67D3">
        <w:rPr>
          <w:spacing w:val="-4"/>
          <w:lang w:bidi="ar"/>
        </w:rPr>
        <w:t> </w:t>
      </w:r>
      <w:r w:rsidRPr="005A67D3">
        <w:rPr>
          <w:spacing w:val="-4"/>
          <w:rtl/>
          <w:lang w:bidi="ar"/>
        </w:rPr>
        <w:t xml:space="preserve">معالجة هذه القضية، وهو شريك في مجموعة الأدوات التي وضعها الاتحاد مع المبادرة العالمية لتكنولوجيا المعلومات والاتصالات الشاملة </w:t>
      </w:r>
      <w:r w:rsidRPr="005A67D3">
        <w:rPr>
          <w:spacing w:val="-4"/>
          <w:lang w:bidi="ar"/>
        </w:rPr>
        <w:t>(</w:t>
      </w:r>
      <w:r w:rsidRPr="005A67D3">
        <w:rPr>
          <w:bCs/>
          <w:spacing w:val="-4"/>
          <w:lang w:bidi="ar"/>
        </w:rPr>
        <w:t>G3ict</w:t>
      </w:r>
      <w:r w:rsidRPr="005A67D3">
        <w:rPr>
          <w:spacing w:val="-4"/>
          <w:lang w:bidi="ar"/>
        </w:rPr>
        <w:t>)</w:t>
      </w:r>
      <w:r w:rsidRPr="005A67D3">
        <w:rPr>
          <w:spacing w:val="-4"/>
          <w:rtl/>
          <w:lang w:bidi="ar"/>
        </w:rPr>
        <w:t xml:space="preserve"> بشأن السياسات الخاصة بفرص الانتفاع الإلكتروني للأشخاص ذوي الإعاقة. وهي مجموعة أدوات أُعدت لصانعي السياسات المعنيين بتنفيذ اتفاقية حقوق الأشخاص ذوي الإعاقة، وهي المورد الوافي بشأن</w:t>
      </w:r>
      <w:r w:rsidRPr="005A67D3">
        <w:rPr>
          <w:spacing w:val="-4"/>
          <w:rtl/>
        </w:rPr>
        <w:t xml:space="preserve"> إتاحة</w:t>
      </w:r>
      <w:r w:rsidRPr="005A67D3">
        <w:rPr>
          <w:spacing w:val="-4"/>
          <w:rtl/>
          <w:lang w:bidi="ar"/>
        </w:rPr>
        <w:t xml:space="preserve"> فرص النفاذ للأشخاص ذوي الإعاقة، ويمكن الوصول إليه</w:t>
      </w:r>
      <w:r w:rsidRPr="005A67D3">
        <w:rPr>
          <w:spacing w:val="-4"/>
          <w:rtl/>
          <w:lang w:bidi="ar-SY"/>
        </w:rPr>
        <w:t>ا</w:t>
      </w:r>
      <w:r w:rsidRPr="005A67D3">
        <w:rPr>
          <w:spacing w:val="-4"/>
          <w:rtl/>
          <w:lang w:bidi="ar"/>
        </w:rPr>
        <w:t xml:space="preserve"> عبر الرابط التالي: </w:t>
      </w:r>
      <w:hyperlink r:id="rId22" w:history="1">
        <w:r w:rsidRPr="005A67D3">
          <w:rPr>
            <w:rStyle w:val="Hyperlink"/>
            <w:bCs/>
            <w:spacing w:val="-4"/>
            <w:lang w:bidi="ar"/>
          </w:rPr>
          <w:t>http://www.e-accessibilitytoolkit.org/</w:t>
        </w:r>
      </w:hyperlink>
      <w:r w:rsidRPr="005A67D3">
        <w:rPr>
          <w:spacing w:val="-4"/>
          <w:rtl/>
          <w:lang w:bidi="ar"/>
        </w:rPr>
        <w:t>.</w:t>
      </w:r>
    </w:p>
    <w:p w:rsidR="00111C25" w:rsidRDefault="00111C25" w:rsidP="00111C25">
      <w:pPr>
        <w:rPr>
          <w:rtl/>
          <w:lang w:bidi="ar"/>
        </w:rPr>
      </w:pPr>
      <w:r>
        <w:rPr>
          <w:rtl/>
          <w:lang w:bidi="ar"/>
        </w:rPr>
        <w:t xml:space="preserve">وضمن قطاع تنمية الاتصالات، كُلف فريق المسألة </w:t>
      </w:r>
      <w:r>
        <w:rPr>
          <w:bCs/>
          <w:lang w:bidi="ar"/>
        </w:rPr>
        <w:t>20-1/1</w:t>
      </w:r>
      <w:r>
        <w:rPr>
          <w:bCs/>
          <w:rtl/>
        </w:rPr>
        <w:t xml:space="preserve"> </w:t>
      </w:r>
      <w:r>
        <w:rPr>
          <w:rtl/>
          <w:lang w:bidi="ar"/>
        </w:rPr>
        <w:t>بمعالجة</w:t>
      </w:r>
      <w:r>
        <w:rPr>
          <w:rtl/>
        </w:rPr>
        <w:t xml:space="preserve"> "</w:t>
      </w:r>
      <w:r>
        <w:rPr>
          <w:rtl/>
          <w:lang w:bidi="ar"/>
        </w:rPr>
        <w:t xml:space="preserve">نفاذ الأشخاص ذوي الإعاقة وذوي الاحتياجات الخاصة إلى خدمات الاتصالات/تكنولوجيا المعلومات والاتصالات". ويتضمن </w:t>
      </w:r>
      <w:hyperlink r:id="rId23" w:history="1">
        <w:r>
          <w:rPr>
            <w:rStyle w:val="Hyperlink"/>
            <w:rtl/>
            <w:lang w:bidi="ar"/>
          </w:rPr>
          <w:t xml:space="preserve">تقرير عام </w:t>
        </w:r>
        <w:r>
          <w:rPr>
            <w:rStyle w:val="Hyperlink"/>
            <w:lang w:bidi="ar"/>
          </w:rPr>
          <w:t>2010</w:t>
        </w:r>
      </w:hyperlink>
      <w:r>
        <w:rPr>
          <w:rtl/>
          <w:lang w:bidi="ar"/>
        </w:rPr>
        <w:t xml:space="preserve"> عن هذه المسألة المعنون </w:t>
      </w:r>
      <w:r>
        <w:rPr>
          <w:rtl/>
        </w:rPr>
        <w:t>"</w:t>
      </w:r>
      <w:r>
        <w:rPr>
          <w:rtl/>
          <w:lang w:bidi="ar"/>
        </w:rPr>
        <w:t xml:space="preserve">نفاذ الأشخاص ذوي الإعاقة وذوي الاحتياجات الخاصة إلى خدمات الاتصالات" تفاصيل المبادئ التوجيهية والممارسات الفضلى التي يمكن للجهات التنظيمية أن تنظر فيها. </w:t>
      </w:r>
    </w:p>
    <w:p w:rsidR="00111C25" w:rsidRDefault="00111C25" w:rsidP="00853023">
      <w:pPr>
        <w:pStyle w:val="Heading1"/>
      </w:pPr>
      <w:bookmarkStart w:id="42" w:name="_Toc372276113"/>
      <w:bookmarkStart w:id="43" w:name="_Toc380496718"/>
      <w:r>
        <w:t>2</w:t>
      </w:r>
      <w:r w:rsidR="00853023">
        <w:rPr>
          <w:rtl/>
        </w:rPr>
        <w:tab/>
      </w:r>
      <w:r>
        <w:rPr>
          <w:rtl/>
        </w:rPr>
        <w:t>سياسة النطاق العريض</w:t>
      </w:r>
      <w:bookmarkEnd w:id="42"/>
      <w:bookmarkEnd w:id="43"/>
    </w:p>
    <w:p w:rsidR="00111C25" w:rsidRDefault="00111C25" w:rsidP="000F5521">
      <w:pPr>
        <w:pStyle w:val="Heading2"/>
        <w:spacing w:before="180"/>
        <w:rPr>
          <w:rtl/>
        </w:rPr>
      </w:pPr>
      <w:bookmarkStart w:id="44" w:name="_Toc372276114"/>
      <w:bookmarkStart w:id="45" w:name="_Toc299438652"/>
      <w:bookmarkStart w:id="46" w:name="_Toc380496719"/>
      <w:r>
        <w:t>1.2</w:t>
      </w:r>
      <w:r>
        <w:tab/>
      </w:r>
      <w:r>
        <w:rPr>
          <w:rtl/>
        </w:rPr>
        <w:t xml:space="preserve">استراتيجيات هيئة التنظيم لتسريع النطاق العريض </w:t>
      </w:r>
      <w:r w:rsidRPr="000F5521">
        <w:rPr>
          <w:rtl/>
        </w:rPr>
        <w:t>(أي خطط وطنية وصناديق الخدمة الشاملة)</w:t>
      </w:r>
      <w:bookmarkEnd w:id="44"/>
      <w:bookmarkEnd w:id="45"/>
      <w:bookmarkEnd w:id="46"/>
    </w:p>
    <w:p w:rsidR="00111C25" w:rsidRDefault="00111C25" w:rsidP="00111C25">
      <w:pPr>
        <w:rPr>
          <w:rtl/>
        </w:rPr>
      </w:pPr>
      <w:r>
        <w:rPr>
          <w:b/>
          <w:rtl/>
        </w:rPr>
        <w:t>"تكنولوجيات اليوم على استعداد لتقديم خدمات النطاق العريض بتكلفة معقولة. ومن العوامل الرئيسية لتقديم هذه الخدمات المنافسة وسياسات الدعم الحكومي واستراتيجيات المشغلين. ويتسبب التأخر في وضع الصحيح من السياسات واللوائح التنظيمية في هذا المضمار أو عدم القيام بشيء في تكبد البلدان النامية خسائر اقتصادية بمليارات الدولارات وفي التأثير سلباً على نوعية حياة المواطنين.</w:t>
      </w:r>
      <w:r>
        <w:rPr>
          <w:rtl/>
        </w:rPr>
        <w:t>"</w:t>
      </w:r>
      <w:r>
        <w:rPr>
          <w:rStyle w:val="FootnoteReference"/>
          <w:rtl/>
        </w:rPr>
        <w:footnoteReference w:id="41"/>
      </w:r>
    </w:p>
    <w:p w:rsidR="00111C25" w:rsidRDefault="00111C25" w:rsidP="00111C25">
      <w:pPr>
        <w:rPr>
          <w:rtl/>
        </w:rPr>
      </w:pPr>
      <w:r>
        <w:rPr>
          <w:rtl/>
        </w:rPr>
        <w:lastRenderedPageBreak/>
        <w:t>"وتدعو الحاجة إلى إرادة وقيادة سياسيتين على مستوى رئيس الوزراء أو رئيس الدولة: فالمجتمع والاقتصاد المتسمان بالربط الشبكي والوجهة المستقبلية يتطلبان رؤيا، وطريقة تفكير، وأولويات تستشرف المستقبل. ومن الواجب أن يندرج النطاق العريض بصورة جلية في السياسات الإنمائية الوطنية للاستفادة من هذا النطاق كعامل معجِّل بوتيرة التنمية. وقد </w:t>
      </w:r>
      <w:r>
        <w:rPr>
          <w:spacing w:val="-6"/>
          <w:rtl/>
        </w:rPr>
        <w:t>ضمّن عدد كبير من البلدان خطط التحفيز الخاصة به الاستثمارات الموظفة في النطاق العريض وتكنولوجيا المعلومات والاتصالات، وهو عاكف على استكشاف مجموعات جديدة من التمويل الحكومي اللازم للبنية التحتية الوطنية للنطاق العريض.</w:t>
      </w:r>
    </w:p>
    <w:p w:rsidR="00111C25" w:rsidRDefault="00111C25" w:rsidP="00111C25">
      <w:pPr>
        <w:rPr>
          <w:rtl/>
        </w:rPr>
      </w:pPr>
      <w:r>
        <w:rPr>
          <w:rtl/>
        </w:rPr>
        <w:t>وقد تؤدي السلطات العامة دوراً رئيسياً في إلغاء الحواجز والعوامل القائمة حالياً التي تحول دون اعتماد النطاق العريض على نطاق واسع، وكذلك الحواجز التي تعترض سبيل الاستثمار. كما أن بمقدور الحكومات أن تستفيد من السياسات الضريبية في تقديم حوافز طويلة الأجل فيما يخص الاستثمارات الموظفة في النطاق العريض وأن تستعمل الحكومة الإلكترونية لأغراض زيادة الطلب. ويكتسي النظر في كيفية تلبية الطلب المتزايد على طيف الترددات الراديوية لخدمة النطاق العريض المتنقلة أهمية خاصة في الأجل القصير. ويتعين توجيه اهتمام خاص إلى زيادة توافر طيف التردد الراديوي وخفض تكاليفه إذ إنه يمثل عامل تمكين حاسم لنمو النطاق العريض اللاسلكي. ومن الواجب مراعاة عناصر المنافسة العادلة والخدمات الجديدة، وكذلك الإصلاح التنظيمي والإجراءات المنصفة لمنح التراخيص، عند توزيع طيف التردد الراديوي، في ظل نهج محايد إزاء التكنولوجيات والخدمات."</w:t>
      </w:r>
      <w:r>
        <w:rPr>
          <w:rStyle w:val="FootnoteReference"/>
          <w:rtl/>
        </w:rPr>
        <w:footnoteReference w:id="42"/>
      </w:r>
      <w:r>
        <w:rPr>
          <w:rtl/>
          <w:lang w:bidi="ar"/>
        </w:rPr>
        <w:t xml:space="preserve"> </w:t>
      </w:r>
      <w:r>
        <w:rPr>
          <w:rtl/>
        </w:rPr>
        <w:t>وأصدرت لجنة النطاق العريض دراسة حديثة عن الخطط الوطنية للنطاق العريض تشير إلى أن عدد الخطط المعمول بها في العالم في منتصف عام </w:t>
      </w:r>
      <w:r>
        <w:t>2013</w:t>
      </w:r>
      <w:r>
        <w:rPr>
          <w:rtl/>
        </w:rPr>
        <w:t xml:space="preserve"> وصل إلى أكثر من </w:t>
      </w:r>
      <w:r>
        <w:t>134</w:t>
      </w:r>
      <w:r>
        <w:rPr>
          <w:rtl/>
        </w:rPr>
        <w:t xml:space="preserve"> خطة.</w:t>
      </w:r>
      <w:r>
        <w:rPr>
          <w:rStyle w:val="FootnoteReference"/>
          <w:rtl/>
        </w:rPr>
        <w:footnoteReference w:id="43"/>
      </w:r>
      <w:r>
        <w:rPr>
          <w:rtl/>
        </w:rPr>
        <w:t xml:space="preserve"> وترد خطتان من تلك الخطط في </w:t>
      </w:r>
      <w:r>
        <w:rPr>
          <w:b/>
          <w:bCs/>
          <w:rtl/>
        </w:rPr>
        <w:t xml:space="preserve">الملحق </w:t>
      </w:r>
      <w:r>
        <w:rPr>
          <w:b/>
          <w:bCs/>
        </w:rPr>
        <w:t>I</w:t>
      </w:r>
      <w:r>
        <w:rPr>
          <w:rtl/>
        </w:rPr>
        <w:t xml:space="preserve"> في "توصيل الأرجنتين" و"خطة مرجعية لتنفيذ النطاق العريض".</w:t>
      </w:r>
    </w:p>
    <w:p w:rsidR="00111C25" w:rsidRDefault="00111C25" w:rsidP="00111C25">
      <w:pPr>
        <w:rPr>
          <w:rtl/>
        </w:rPr>
      </w:pPr>
      <w:r>
        <w:rPr>
          <w:rtl/>
        </w:rPr>
        <w:t xml:space="preserve">وقبل الشروع في مهمة وضع سياسات فعالة بشأن النطاق العريض، يجب أن تنسَّق عملية صنع القرار مع العديد من الأطراف بما في ذلك السلطات التنظيمية والبلديات ومقدمي المرافق والقطاعات الأخرى في الاقتصاد غير الاتصالات. وإذ تتسع رحاب النظام البيئي للنطاق العريض، يصبح فهم الوظائف الاقتصادية للعرض والطلب أمراً جوهرياً. وهناك العديد من العوامل التي تؤثر في الطلب على خدمات النطاق العريض مثل أسعار خدمة النطاق العريض، ومستويات الدخل والقدرة على تحمل التكاليف، والجوانب الاجتماعية والثقافية وإمكانية النفاذ. وبالمثل، هناك العديد من العوامل التي تؤثر على عرض (نشر) شبكات النطاق العريض، مثل تكاليف نشر الشبكة، والقيود من ناحية التكنولوجيا، والسياسات التنظيمية. ويجب اعتبار كل من هذه العوامل المؤثرة في العرض والطلب خلال عملية صنع السياسة. ففي كثير من الحالات، على سبيل المثال، قد تكون هناك حاجة لمبادرات من الحكومة تحفز الطلب. </w:t>
      </w:r>
      <w:r>
        <w:rPr>
          <w:spacing w:val="-2"/>
          <w:rtl/>
        </w:rPr>
        <w:t>وبالإضافة إلى ذلك، تدعو الحاجة إلى سلسلة توريد سليمة، ونماذج تجارية معقولة ولوائح فعالة في جميع القطاعات (نفاذ، وشبكة فقرية وتوصيلية دولية) من أجل تشجيع نشر شبكات النطاق العريض ووضع سياسات لتقديم الدعم لها.</w:t>
      </w:r>
      <w:r>
        <w:rPr>
          <w:rStyle w:val="FootnoteReference"/>
          <w:spacing w:val="-2"/>
          <w:rtl/>
        </w:rPr>
        <w:footnoteReference w:id="44"/>
      </w:r>
    </w:p>
    <w:p w:rsidR="00111C25" w:rsidRDefault="00111C25" w:rsidP="00111C25">
      <w:pPr>
        <w:rPr>
          <w:bCs/>
          <w:rtl/>
          <w:lang w:bidi="ar-EG"/>
        </w:rPr>
      </w:pPr>
      <w:r>
        <w:rPr>
          <w:rtl/>
        </w:rPr>
        <w:t xml:space="preserve">ويتمثل هدف سياسة النطاق العريض لمعظم المنظمين في تقديم خدمة النطاق العريض </w:t>
      </w:r>
      <w:r>
        <w:rPr>
          <w:bCs/>
          <w:rtl/>
        </w:rPr>
        <w:t>"</w:t>
      </w:r>
      <w:r>
        <w:rPr>
          <w:rtl/>
        </w:rPr>
        <w:t xml:space="preserve">بجودة عالية على نطاق واسع وبسعر مقدور عليه. ومن أجل تحقيق هذا الهدف للنطاق العريض عالمياً، ينبغي أن تشمل الخطة الوطنية للنطاق العريض/تكنولوجيا المعلومات والاتصالات في كل بلد أهدافاً للنطاق العريض في المجالات التالية: </w:t>
      </w:r>
      <w:r>
        <w:rPr>
          <w:lang w:bidi="ar"/>
        </w:rPr>
        <w:t>(1</w:t>
      </w:r>
      <w:r>
        <w:rPr>
          <w:rtl/>
        </w:rPr>
        <w:t> النشر (تغطية الشبكة)؛ و</w:t>
      </w:r>
      <w:r>
        <w:rPr>
          <w:lang w:bidi="ar"/>
        </w:rPr>
        <w:t>(2</w:t>
      </w:r>
      <w:r>
        <w:rPr>
          <w:rtl/>
        </w:rPr>
        <w:t> الاعتماد (اشتراك في/خدمة النطاق العريض وأجهزته)؛ و</w:t>
      </w:r>
      <w:r>
        <w:rPr>
          <w:lang w:bidi="ar"/>
        </w:rPr>
        <w:t>(3</w:t>
      </w:r>
      <w:r>
        <w:rPr>
          <w:rtl/>
        </w:rPr>
        <w:t> المقاييس والإفصاح (معايير وجودة الخدمة)؛ و</w:t>
      </w:r>
      <w:r>
        <w:rPr>
          <w:lang w:bidi="ar"/>
        </w:rPr>
        <w:t>(4</w:t>
      </w:r>
      <w:r>
        <w:rPr>
          <w:rtl/>
        </w:rPr>
        <w:t> صناديق الخدمة الشاملة (الدعم المالي)؛ و</w:t>
      </w:r>
      <w:r>
        <w:rPr>
          <w:lang w:bidi="ar"/>
        </w:rPr>
        <w:t>(5</w:t>
      </w:r>
      <w:r>
        <w:rPr>
          <w:rtl/>
        </w:rPr>
        <w:t> الطيف الترددي (التخصيص).</w:t>
      </w:r>
      <w:r>
        <w:rPr>
          <w:bCs/>
          <w:rtl/>
        </w:rPr>
        <w:t>"</w:t>
      </w:r>
      <w:r>
        <w:rPr>
          <w:rStyle w:val="FootnoteReference"/>
          <w:rtl/>
        </w:rPr>
        <w:footnoteReference w:id="45"/>
      </w:r>
    </w:p>
    <w:p w:rsidR="00111C25" w:rsidRDefault="00111C25" w:rsidP="005A67D3">
      <w:pPr>
        <w:keepNext/>
        <w:rPr>
          <w:bCs/>
          <w:rtl/>
          <w:lang w:bidi="ar"/>
        </w:rPr>
      </w:pPr>
      <w:r>
        <w:rPr>
          <w:rtl/>
        </w:rPr>
        <w:lastRenderedPageBreak/>
        <w:t>ويجري تناول كل من هذه الجوانب في الفقرات التالية:</w:t>
      </w:r>
    </w:p>
    <w:p w:rsidR="00111C25" w:rsidRDefault="00111C25" w:rsidP="00111C25">
      <w:pPr>
        <w:pStyle w:val="Heading3"/>
      </w:pPr>
      <w:bookmarkStart w:id="47" w:name="_Toc372276115"/>
      <w:bookmarkStart w:id="48" w:name="_Toc380496720"/>
      <w:r>
        <w:t>1.1.2</w:t>
      </w:r>
      <w:r>
        <w:rPr>
          <w:rtl/>
        </w:rPr>
        <w:tab/>
        <w:t>نشر النطاق العريض</w:t>
      </w:r>
      <w:bookmarkEnd w:id="47"/>
      <w:bookmarkEnd w:id="48"/>
    </w:p>
    <w:p w:rsidR="00111C25" w:rsidRDefault="00111C25" w:rsidP="00111C25">
      <w:pPr>
        <w:rPr>
          <w:bCs/>
          <w:spacing w:val="-2"/>
          <w:rtl/>
        </w:rPr>
      </w:pPr>
      <w:r>
        <w:rPr>
          <w:spacing w:val="-2"/>
          <w:rtl/>
        </w:rPr>
        <w:t>"المسألة: يقاس مستوى نشر البنية التحتية للنطاق العريض في البلاد من خلال النسبة المئوية للناس والشركات الصغيرة والمتوسطة </w:t>
      </w:r>
      <w:r>
        <w:rPr>
          <w:spacing w:val="-2"/>
        </w:rPr>
        <w:t>(SMB)</w:t>
      </w:r>
      <w:r>
        <w:rPr>
          <w:spacing w:val="-2"/>
          <w:rtl/>
        </w:rPr>
        <w:t xml:space="preserve"> والمدارس والمرافق الصحية و/أو الأسر النافذة إلى شبكة النطاق العريض (بغض النظر عن وجود اشتراك في الخدمة أم لا). ويُوصى عموماً باتباع نهج على مرحلتين للنشر على النحو المبين أدناه.</w:t>
      </w:r>
    </w:p>
    <w:p w:rsidR="00111C25" w:rsidRDefault="00111C25" w:rsidP="000F5521">
      <w:pPr>
        <w:rPr>
          <w:bCs/>
          <w:rtl/>
        </w:rPr>
      </w:pPr>
      <w:r>
        <w:rPr>
          <w:rtl/>
        </w:rPr>
        <w:t xml:space="preserve">فيما تُعتبر عدة عوامل لأداء وجودة النطاق العريض هامة لاعتماده (انظر بحث الاعتماد في الفقرة التالية)، فإن العامل الأكثر ارتباطاً بالنشر هو سرعة الشبكة. وتتعدد التعاريف المختلفة لسرعة النطاق العريض التي تتغاير حسب البلد والتكنولوجيا والمنظمة الدولية. فالاتحاد الدولي للاتصالات، على سبيل المثال، يعرّف النطاق العريض على أنه أعلى من معدل التوصيل الأولي </w:t>
      </w:r>
      <w:r>
        <w:rPr>
          <w:lang w:bidi="ar"/>
        </w:rPr>
        <w:t>1,544/2,048)</w:t>
      </w:r>
      <w:r>
        <w:rPr>
          <w:rtl/>
        </w:rPr>
        <w:t> </w:t>
      </w:r>
      <w:r>
        <w:rPr>
          <w:lang w:bidi="ar"/>
        </w:rPr>
        <w:t>(Mbps</w:t>
      </w:r>
      <w:r>
        <w:rPr>
          <w:rtl/>
          <w:lang w:bidi="ar"/>
        </w:rPr>
        <w:t>.</w:t>
      </w:r>
      <w:r>
        <w:rPr>
          <w:rStyle w:val="FootnoteReference"/>
          <w:rtl/>
        </w:rPr>
        <w:footnoteReference w:id="46"/>
      </w:r>
    </w:p>
    <w:p w:rsidR="00111C25" w:rsidRDefault="00111C25" w:rsidP="00111C25">
      <w:pPr>
        <w:rPr>
          <w:rtl/>
        </w:rPr>
      </w:pPr>
      <w:r>
        <w:rPr>
          <w:rFonts w:ascii="Verdana Bold" w:hAnsi="Verdana Bold"/>
          <w:b/>
          <w:bCs/>
          <w:rtl/>
        </w:rPr>
        <w:t>الهدف</w:t>
      </w:r>
      <w:r>
        <w:rPr>
          <w:rtl/>
        </w:rPr>
        <w:t>: ينبغي للبلدان أن تركز على هدف طويل الأجل لنشر النطاق العريض عالي الجودة إلى كل بيت ومستخدم محتمل. ولكن في موازاة ذلك، ينبغي لخطط النطاق العريض/تكنولوجيا المعلومات والاتصالات على الصعيد الوطني أن تنظر أيضاً في الأهداف والإعانات الحكومية لتوصيل من هم في مؤسسات المجتمع المحلي مثل المباني الحكومية والمدارس والمستشفيات ومقاهي الإنترنت والأعمال التجارية والمراكز المجتمعية وغيرها من المحافل العامة (انظر بحث الخدمة الشاملة أدناه). وينبغي أن تتخذ مثل هذه الأهداف شكل جدول زمني وتحدد النسبة المئوية لكل من هذه القطاعات التي ستشملها بمرور الوقت، فضلاً عن المطلوب من حيث الأداء والجودة (في الحد الأدنى مثلاً، سرعة النطاق العريض الفعلية المحققة في فترة الذروة). وحالما توصل الجهات المجتمعية بسرعة معقولة للنطاق العريض، ينبغي إيلاء المزيد من التركيز على توسيع نطاق التغطية إلى كل</w:t>
      </w:r>
      <w:r>
        <w:rPr>
          <w:lang w:bidi="ar"/>
        </w:rPr>
        <w:t> </w:t>
      </w:r>
      <w:r>
        <w:rPr>
          <w:rtl/>
        </w:rPr>
        <w:t>أسرة.</w:t>
      </w:r>
    </w:p>
    <w:p w:rsidR="00111C25" w:rsidRDefault="00111C25" w:rsidP="00111C25">
      <w:pPr>
        <w:rPr>
          <w:bCs/>
          <w:rtl/>
          <w:lang w:bidi="ar"/>
        </w:rPr>
      </w:pPr>
      <w:r>
        <w:rPr>
          <w:rtl/>
        </w:rPr>
        <w:t>وإذ تؤخذ في الاعتبار المستويات الحالية والمتوقعة للنشر الخاص، ينبغي لهذه الأهداف أن تحدد النسبة المئوية من السكان (على سبيل المثال: الأسر والمدارس، إلخ.) المُزمع تغطيتها خلال الفترة الزمنية المحددة، فضلاً عن الأهداف التي يتوخى تحقيقها بالنشر من حيث الأداء والجودة.</w:t>
      </w:r>
    </w:p>
    <w:p w:rsidR="00111C25" w:rsidRDefault="00111C25" w:rsidP="00111C25">
      <w:pPr>
        <w:rPr>
          <w:bCs/>
          <w:lang w:bidi="ar-EG"/>
        </w:rPr>
      </w:pPr>
      <w:r>
        <w:rPr>
          <w:rtl/>
        </w:rPr>
        <w:t xml:space="preserve">وفي الأسواق الناشئة، وحسب الظروف المحلية، ينبغي للبلدان ضمان قدرة معظم المواطنين على الحصول على ما لا يقل عن </w:t>
      </w:r>
      <w:r>
        <w:rPr>
          <w:lang w:bidi="ar"/>
        </w:rPr>
        <w:t>Mbps 2</w:t>
      </w:r>
      <w:r>
        <w:rPr>
          <w:lang w:bidi="ar"/>
        </w:rPr>
        <w:noBreakHyphen/>
        <w:t>1</w:t>
      </w:r>
      <w:r>
        <w:rPr>
          <w:rtl/>
        </w:rPr>
        <w:t xml:space="preserve"> في البداية بجودة عالية وأسعار معقولة وبأسرع وقت ممكن. بالإضافة إلى ذلك، في الأسواق الناشئة يكون فيها نشر النطاق العريض للأسر قليلاً أو معدوماً، يمكن أن تتماثل أهداف أداء النطاق العريض في البداية عبر جميع المنصات. ولكن إذ يخطط بلد لنشر شبكات الاتصالات السلكية واللاسلكية على حد سواء للمستخدمين النهائيين على المدى الأطول، ينبغي أن يُحسب في خطة النطاق العريض الوطنية حساب تغير السرعات عبر منصات مختلفة في السنوات اللاحقة جراء الاختلافات الذاتية في التغطية والخدمة والبنية التحتية.</w:t>
      </w:r>
    </w:p>
    <w:p w:rsidR="00111C25" w:rsidRDefault="00111C25" w:rsidP="00111C25">
      <w:pPr>
        <w:rPr>
          <w:bCs/>
          <w:rtl/>
          <w:lang w:bidi="ar"/>
        </w:rPr>
      </w:pPr>
      <w:r>
        <w:rPr>
          <w:spacing w:val="-4"/>
          <w:rtl/>
        </w:rPr>
        <w:t xml:space="preserve">وإذ تتوسع رقعة التغطية في كل مكان وتترسخ عبر أنواع مختلفة من تكنولوجيات النفاذ، ينبغي وضع أهداف سرعة مختلفة لمختلف منصات المرحلة النهائية من توصيلية النطاق العريض. وتتمثل عينات الأهداف على مدى خمس سنوات انطلاقاً من هذه النقطة فيما يلي: السلكي: </w:t>
      </w:r>
      <w:r>
        <w:rPr>
          <w:spacing w:val="-4"/>
          <w:lang w:bidi="ar"/>
        </w:rPr>
        <w:t>Mbps 100/20</w:t>
      </w:r>
      <w:r>
        <w:rPr>
          <w:spacing w:val="-4"/>
          <w:rtl/>
        </w:rPr>
        <w:t xml:space="preserve">؛ اللاسلكي الثابت: </w:t>
      </w:r>
      <w:r>
        <w:rPr>
          <w:spacing w:val="-4"/>
          <w:lang w:bidi="ar"/>
        </w:rPr>
        <w:t>Mbps 20/5</w:t>
      </w:r>
      <w:r>
        <w:rPr>
          <w:spacing w:val="-4"/>
          <w:rtl/>
        </w:rPr>
        <w:t xml:space="preserve">؛ اللاسلكي المتنقل: </w:t>
      </w:r>
      <w:r>
        <w:rPr>
          <w:spacing w:val="-4"/>
          <w:lang w:bidi="ar"/>
        </w:rPr>
        <w:t>Mbps 10/2</w:t>
      </w:r>
      <w:r>
        <w:rPr>
          <w:spacing w:val="-4"/>
          <w:rtl/>
        </w:rPr>
        <w:t>.</w:t>
      </w:r>
      <w:r>
        <w:rPr>
          <w:rtl/>
        </w:rPr>
        <w:t xml:space="preserve"> وكذلك، فيما يمكن للبلدان التي تتعدد فيها الشبكات والسرعات الدنيا المقبولة أن تضع أهداف نشر لتحسين السرعة على فترات لمدة خمس سنوات، ينبغي للبلدان الأقل نشراً للنطاق العريض أن تحدد أهدافاً تمتد على  فترات أسرع وأن تركز على نشر خدمات النطاق العريض الأساسية على النحو الموضح سابقاً.</w:t>
      </w:r>
    </w:p>
    <w:p w:rsidR="00111C25" w:rsidRDefault="00111C25" w:rsidP="00111C25">
      <w:pPr>
        <w:pStyle w:val="Heading3"/>
      </w:pPr>
      <w:bookmarkStart w:id="49" w:name="_Toc372276116"/>
      <w:bookmarkStart w:id="50" w:name="_Toc380496721"/>
      <w:r>
        <w:lastRenderedPageBreak/>
        <w:t>2.1.2</w:t>
      </w:r>
      <w:r>
        <w:rPr>
          <w:rtl/>
        </w:rPr>
        <w:tab/>
        <w:t>اعتماد النطاق العريض</w:t>
      </w:r>
      <w:bookmarkEnd w:id="49"/>
      <w:bookmarkEnd w:id="50"/>
    </w:p>
    <w:p w:rsidR="00111C25" w:rsidRDefault="00111C25" w:rsidP="00111C25">
      <w:pPr>
        <w:rPr>
          <w:bCs/>
          <w:rtl/>
        </w:rPr>
      </w:pPr>
      <w:r>
        <w:rPr>
          <w:rFonts w:ascii="Verdana Bold" w:hAnsi="Verdana Bold"/>
          <w:b/>
          <w:bCs/>
          <w:rtl/>
        </w:rPr>
        <w:t>المسألة</w:t>
      </w:r>
      <w:r>
        <w:rPr>
          <w:b/>
          <w:rtl/>
        </w:rPr>
        <w:t>:</w:t>
      </w:r>
      <w:r>
        <w:rPr>
          <w:rtl/>
        </w:rPr>
        <w:t xml:space="preserve"> يشير اعتماد النطاق العريض إلى استخدام تكنولوجيا النطاق العريض والأجهزة المفعلة بالنطاق العريض (مثل أجهزة الحاسوب الشخصية وأجهزة الحاسوب المحمولة وأجهزة الحاسوب المحمولة الصغيرة، وأجهزة المساعد الرقمي الشخصي </w:t>
      </w:r>
      <w:r>
        <w:rPr>
          <w:lang w:bidi="ar"/>
        </w:rPr>
        <w:t>(PDA)</w:t>
      </w:r>
      <w:r>
        <w:rPr>
          <w:rtl/>
        </w:rPr>
        <w:t xml:space="preserve"> والهواتف الذكية) للنفاذ إلى الإنترنت. وفي حين يركز صانعو السياسات عادة على نشر النطاق العريض، فإن المسائل التي ينطوي عليها اعتماد النطاق العريض هي على نفس القدر من الأهمية. ولعل أبسط قياس لمستوى الاعتماد في بلد ما يتم عن طريق النسبة المئوية للأسر/السكان الذين يستخدمون النطاق العريض بانتظام. وفي بعض الأسواق، يكون الدفع لقاء كل استخدام الشكل الشائع للنفاذ. لذا، قد يكون هدف الاعتماد في بعض الأحيان أوسع من قياس حسابات الاشتراك الشهري (في خدمة النطاق العريض). وحيثما يقل أو ينعدم نشر النطاق العريض، قد يرغب البلد في البداية في التشديد على هدف اعتماد النطاق العريض (استخدامه) على أساس مستوى الاستخدام من قبل الجهات الحكومية والمدارس والمستشفيات ومقاهي الإنترنت ومصالح الأعمال التجارية والمراكز المجتمعية وغيرها من المحافل العامة. وإذ يمكن لاعتماد الأهداف التي تشمل النفاذ المجتمعي أن يكون مجدياً في الأجل العاجل، تحث الإدارات على التركيز بالتوازي على اعتماد النطاق العريض على مستوى الأسرة من باب التأكيد على الأجل الطويل.</w:t>
      </w:r>
    </w:p>
    <w:p w:rsidR="00111C25" w:rsidRDefault="00111C25" w:rsidP="00111C25">
      <w:pPr>
        <w:rPr>
          <w:bCs/>
          <w:rtl/>
          <w:lang w:bidi="ar"/>
        </w:rPr>
      </w:pPr>
      <w:r>
        <w:rPr>
          <w:rFonts w:ascii="Verdana Bold" w:hAnsi="Verdana Bold"/>
          <w:b/>
          <w:bCs/>
          <w:rtl/>
        </w:rPr>
        <w:t>الهدف</w:t>
      </w:r>
      <w:r>
        <w:rPr>
          <w:rtl/>
        </w:rPr>
        <w:t>: ينبغي لخطط النطاق العريض/تكنولوجيا المعلومات والاتصالات على الصعيد الوطني أن تركز على تحقيق شمولية اعتماد النطاق العريض على مستوى الأسر، بما في ذلك برامج جعل الحاسوب الشخصي/النطاق العريض في متناول الناس إلى جانب تدريبهم على المعارف الرقمية. فلا يكفي مجرد نشر شبكات النطاق العريض لحمل العديد من المواطنين على اعتماده. ومن الناحية المثالية، ينبغي للبلدان أن توفر آليات لمساعدة محدودي الدخل والأقل تعليماً والمواطنين الضعفاء الآخرين للحصول على خدمة النطاق العريض ومعداتها، فضلاً عن خدمات الحكومة الإلكترونية والتدريب المناسب لفهم أهمية النطاق العريض لحياتهم (انظر بحث الخدمة الشاملة أدناه).</w:t>
      </w:r>
    </w:p>
    <w:p w:rsidR="00111C25" w:rsidRDefault="00111C25" w:rsidP="005A67D3">
      <w:pPr>
        <w:rPr>
          <w:bCs/>
          <w:lang w:bidi="ar-EG"/>
        </w:rPr>
      </w:pPr>
      <w:r>
        <w:rPr>
          <w:rtl/>
        </w:rPr>
        <w:t xml:space="preserve">وفي بلد سبق أن نشر النطاق العريض لكثير من الأسر، ينبغي أن تسعى خطة النطاق العريض الوطنية إلى زيادة اعتماد الأسر له بمعدل سنوي طموح بناءً على الظروف المحلية وسجل النمو. ومثال ذلك زيادة اعتماد الأسر للنطاق العريض على مدى خمس سنوات من نسبة </w:t>
      </w:r>
      <w:r>
        <w:rPr>
          <w:lang w:bidi="ar"/>
        </w:rPr>
        <w:t>%X</w:t>
      </w:r>
      <w:r>
        <w:rPr>
          <w:rtl/>
        </w:rPr>
        <w:t xml:space="preserve"> الحالية إلى نسبة </w:t>
      </w:r>
      <w:r>
        <w:rPr>
          <w:lang w:bidi="ar"/>
        </w:rPr>
        <w:t>%Y</w:t>
      </w:r>
      <w:r>
        <w:rPr>
          <w:rtl/>
        </w:rPr>
        <w:t xml:space="preserve"> (من </w:t>
      </w:r>
      <w:r>
        <w:rPr>
          <w:lang w:bidi="ar"/>
        </w:rPr>
        <w:t>%65</w:t>
      </w:r>
      <w:r>
        <w:rPr>
          <w:rtl/>
        </w:rPr>
        <w:t xml:space="preserve"> الحالية مثلاً إلى </w:t>
      </w:r>
      <w:r>
        <w:rPr>
          <w:lang w:bidi="ar"/>
        </w:rPr>
        <w:t>%85</w:t>
      </w:r>
      <w:r>
        <w:rPr>
          <w:rtl/>
        </w:rPr>
        <w:t xml:space="preserve">). وعلى النقيض من ذلك، في البلدان التي تفتقر إلى أي مستوى ذي مغزى للبنية التحتية للنطاق العريض للأسر، ينبغي أن تكون أهداف اعتماد النطاق العريض متزامنة مع أهداف نشره </w:t>
      </w:r>
      <w:r w:rsidR="005A67D3">
        <w:rPr>
          <w:rFonts w:hint="cs"/>
          <w:rtl/>
        </w:rPr>
        <w:t>-</w:t>
      </w:r>
      <w:r>
        <w:rPr>
          <w:rtl/>
        </w:rPr>
        <w:t xml:space="preserve"> حيث يُنتظر نمو سريع في النسبة المئوية للنشر والاعتماد منذ البداية. وستعتمد الأهداف المحددة على الظروف المحلية، وتوصي البلدان، مع ذلك، بوضع أهداف طموحة للنشر والاعتماد على حد سواء، إلى جانب مراقبة التقدم السنوي.</w:t>
      </w:r>
    </w:p>
    <w:p w:rsidR="00111C25" w:rsidRDefault="00111C25" w:rsidP="00111C25">
      <w:pPr>
        <w:pStyle w:val="Heading3"/>
        <w:rPr>
          <w:rtl/>
        </w:rPr>
      </w:pPr>
      <w:bookmarkStart w:id="51" w:name="_Toc372276117"/>
      <w:bookmarkStart w:id="52" w:name="_Toc380496722"/>
      <w:r>
        <w:t>3.1.2</w:t>
      </w:r>
      <w:r>
        <w:rPr>
          <w:rtl/>
        </w:rPr>
        <w:tab/>
        <w:t>القياسات والإفصاح</w:t>
      </w:r>
      <w:bookmarkEnd w:id="51"/>
      <w:bookmarkEnd w:id="52"/>
    </w:p>
    <w:p w:rsidR="00111C25" w:rsidRDefault="00111C25" w:rsidP="00111C25">
      <w:pPr>
        <w:rPr>
          <w:bCs/>
          <w:rtl/>
        </w:rPr>
      </w:pPr>
      <w:r>
        <w:rPr>
          <w:rFonts w:ascii="Verdana Bold" w:hAnsi="Verdana Bold"/>
          <w:b/>
          <w:bCs/>
          <w:rtl/>
        </w:rPr>
        <w:t>المسألة</w:t>
      </w:r>
      <w:r>
        <w:rPr>
          <w:rtl/>
        </w:rPr>
        <w:t xml:space="preserve">: يتطلب تتبع التقدم المحرز نحو تحقيق الأهداف الوطنية للنطاق العريض قياسات وأساليب دقيقة ومتسقة وذات صلة. ويمكن تقسيم هذه القياسات إلى فئتين: </w:t>
      </w:r>
      <w:r>
        <w:rPr>
          <w:lang w:bidi="ar"/>
        </w:rPr>
        <w:t>(1</w:t>
      </w:r>
      <w:r>
        <w:rPr>
          <w:rtl/>
        </w:rPr>
        <w:t xml:space="preserve"> مؤشرات المستوى الأعلى في جميع أنحاء البلاد مثل عدد من الأسر التي تتوفر لديها خدمة النطاق العريض و</w:t>
      </w:r>
      <w:r>
        <w:rPr>
          <w:lang w:bidi="ar"/>
        </w:rPr>
        <w:t>(2</w:t>
      </w:r>
      <w:r>
        <w:rPr>
          <w:rtl/>
        </w:rPr>
        <w:t xml:space="preserve"> </w:t>
      </w:r>
      <w:r>
        <w:rPr>
          <w:rFonts w:hint="cs"/>
          <w:rtl/>
        </w:rPr>
        <w:t>قياسات المستوى الثانوي (جودة الخدمة) الخاصة بعرض خدمة معينة، مثل معدل التحميل/التنزيل، والكمون، وفاقد الرزم.</w:t>
      </w:r>
    </w:p>
    <w:p w:rsidR="00111C25" w:rsidRDefault="00111C25" w:rsidP="00111C25">
      <w:pPr>
        <w:rPr>
          <w:bCs/>
          <w:rtl/>
        </w:rPr>
      </w:pPr>
      <w:r>
        <w:rPr>
          <w:rtl/>
        </w:rPr>
        <w:t>وتلزم بيانات ومؤشرات المستوى الأعلى للنطاق العريض/تكنولوجيا المعلومات والاتصالات لقياس الفجوة الرقمية.</w:t>
      </w:r>
      <w:r>
        <w:rPr>
          <w:rStyle w:val="FootnoteReference"/>
          <w:rtl/>
        </w:rPr>
        <w:footnoteReference w:id="47"/>
      </w:r>
      <w:r>
        <w:rPr>
          <w:rtl/>
        </w:rPr>
        <w:t xml:space="preserve"> فتقيّم هذه القياسات النفاذ إلى (نشر) تكنولوجيا المعلومات والاتصالات واستخدامها (اعتمادها) وتأثيرها. وهذه المؤشرات </w:t>
      </w:r>
      <w:r>
        <w:rPr>
          <w:spacing w:val="-2"/>
          <w:rtl/>
        </w:rPr>
        <w:t>هي في المقام الأول أداة لصانعي السياسة - لتقييم حالة النطاق العريض وتكنولوجيا المعلومات والاتصالات في بلد ما، ولوضع سياسات تعظّم فوائد تكنولوجيا المعلومات والاتصالات.</w:t>
      </w:r>
      <w:r>
        <w:rPr>
          <w:rStyle w:val="FootnoteReference"/>
          <w:spacing w:val="-2"/>
          <w:rtl/>
        </w:rPr>
        <w:footnoteReference w:id="48"/>
      </w:r>
    </w:p>
    <w:p w:rsidR="00111C25" w:rsidRDefault="00111C25" w:rsidP="00111C25">
      <w:pPr>
        <w:rPr>
          <w:bCs/>
          <w:rtl/>
        </w:rPr>
      </w:pPr>
      <w:r>
        <w:rPr>
          <w:rtl/>
        </w:rPr>
        <w:lastRenderedPageBreak/>
        <w:t xml:space="preserve">وقد وضع مؤتمر الأمم المتحدة للتجارة والتنمية (الأونكتاد </w:t>
      </w:r>
      <w:r>
        <w:rPr>
          <w:lang w:bidi="ar"/>
        </w:rPr>
        <w:t>(UNCTAD)</w:t>
      </w:r>
      <w:r>
        <w:rPr>
          <w:rtl/>
        </w:rPr>
        <w:t>) برنامجاً لتطوير مؤشرات المستوى الأعلى أو مقاييس قياس تكنولوجيا المعلومات والاتصالات وتنسيقها.</w:t>
      </w:r>
      <w:r>
        <w:rPr>
          <w:rStyle w:val="FootnoteReference"/>
          <w:rtl/>
        </w:rPr>
        <w:footnoteReference w:id="49"/>
      </w:r>
      <w:r>
        <w:rPr>
          <w:rtl/>
        </w:rPr>
        <w:t xml:space="preserve"> وتقيس قائمة الأونكتاد الأساسية لخمسين من مؤشرات تكنولوجيا المعلومات والاتصالات العديد من جوانب البنية التحتية لتكنولوجيا المعلومات والاتصالات والنفاذ إليها؛ ونفاذ الأسر والأفراد إلى تكنولوجيا المعلومات والاتصالات واستخدامهم لها؛ ونفاذ المؤسسات إلى تكنولوجيا المعلومات والاتصالات واستخدامها لها وقطاع سلع تكنولوجيا المعلومات والاتصالات والمتاجرة فيها؛ وتكنولوجيا المعلومات والاتصالات في مجال التعليم.</w:t>
      </w:r>
      <w:r>
        <w:rPr>
          <w:rStyle w:val="FootnoteReference"/>
          <w:rtl/>
        </w:rPr>
        <w:footnoteReference w:id="50"/>
      </w:r>
    </w:p>
    <w:p w:rsidR="00111C25" w:rsidRDefault="00111C25" w:rsidP="00111C25">
      <w:pPr>
        <w:rPr>
          <w:bCs/>
          <w:rtl/>
        </w:rPr>
      </w:pPr>
      <w:r>
        <w:rPr>
          <w:rtl/>
        </w:rPr>
        <w:t>وتجدر الإشارة إلى أن هذه المؤشرات، رغم بعدها عن الكمال، تُعتمد من قبل مجموعة واسعة من الهيئات الدولية بما في ذلك جميع وكالات الأمم المتحدة والبنك الدولي والاتحاد الدولي للاتصالات. وهي باختصار "منطلق مقبول في جميع أنحاء العالم"، ولكن ينبغي ألا تقيّد البلدان التي تستخدم القياسات الداخلية الموسعة الخاصة بها.</w:t>
      </w:r>
    </w:p>
    <w:p w:rsidR="00111C25" w:rsidRDefault="00111C25" w:rsidP="00111C25">
      <w:pPr>
        <w:rPr>
          <w:spacing w:val="-4"/>
          <w:rtl/>
        </w:rPr>
      </w:pPr>
      <w:r>
        <w:rPr>
          <w:rFonts w:ascii="Verdana Bold" w:hAnsi="Verdana Bold"/>
          <w:b/>
          <w:bCs/>
          <w:spacing w:val="-4"/>
          <w:rtl/>
        </w:rPr>
        <w:t>الهدف</w:t>
      </w:r>
      <w:r>
        <w:rPr>
          <w:spacing w:val="-4"/>
          <w:rtl/>
        </w:rPr>
        <w:t>: ينبغي لخطة النطاق العريض الوطنية أن تشمل بالحد الأدنى هذه المجموعة الفرعية الموصى بها من مؤشرات المستوى الأعلى المعترف بها دولياً. وتارة أخرى، يجب على الحكومات وضع أهداف لكل من مؤشرات تكنولوجيا المعلومات والاتصالات هذه، وبرنامج لإعداد التقارير السنوية لتتبع الأداء. وبالنسبة إلى مقاييس المستوى الثانوي، يمكن للحكومة أن تشجع مقاييس جودة وأداء تضعها دوائر الصناعة من تلقاء ذاتها لتتبع تحسينات جودة الخدمة و/أو ترديها بمرور الوقت.</w:t>
      </w:r>
    </w:p>
    <w:p w:rsidR="00111C25" w:rsidRDefault="00111C25" w:rsidP="00111C25">
      <w:pPr>
        <w:rPr>
          <w:bCs/>
          <w:rtl/>
        </w:rPr>
      </w:pPr>
      <w:r>
        <w:rPr>
          <w:rtl/>
        </w:rPr>
        <w:t>وإذ تنضج سوق النطاق العريض في بلد ما، ينبغي للحكومة أن تحدد قاعدة مرجعية لمقاييس أداء النطاق العريض،</w:t>
      </w:r>
      <w:r>
        <w:rPr>
          <w:rStyle w:val="FootnoteReference"/>
          <w:rtl/>
        </w:rPr>
        <w:footnoteReference w:id="51"/>
      </w:r>
      <w:r>
        <w:rPr>
          <w:rtl/>
        </w:rPr>
        <w:t xml:space="preserve"> وأن تسهل الإفصاح الطوعي ذا المغزى عن النواحي المادية (مثل سرعات الرفع/التحميل الفعلية والسعر وفاقد الرزم والكمون). وينبغي لمقدمي النطاق العريض أن يوافوا المستهلكين ببيانات ذات مغزى بشأن خطط الخدمة بحيث يمكن للمستخدمين الاختيار من خيارات الخدمة عن بيّنة.</w:t>
      </w:r>
    </w:p>
    <w:p w:rsidR="00111C25" w:rsidRDefault="00111C25" w:rsidP="00111C25">
      <w:pPr>
        <w:pStyle w:val="Heading3"/>
        <w:rPr>
          <w:rtl/>
        </w:rPr>
      </w:pPr>
      <w:bookmarkStart w:id="53" w:name="_Toc372276118"/>
      <w:bookmarkStart w:id="54" w:name="_Toc380496723"/>
      <w:r>
        <w:t>4.1.2</w:t>
      </w:r>
      <w:r>
        <w:rPr>
          <w:rtl/>
        </w:rPr>
        <w:tab/>
        <w:t>صناديق الخدمة الشاملة</w:t>
      </w:r>
      <w:bookmarkEnd w:id="53"/>
      <w:bookmarkEnd w:id="54"/>
    </w:p>
    <w:p w:rsidR="00111C25" w:rsidRDefault="00111C25" w:rsidP="00111C25">
      <w:pPr>
        <w:rPr>
          <w:bCs/>
          <w:lang w:bidi="ar"/>
        </w:rPr>
      </w:pPr>
      <w:r>
        <w:rPr>
          <w:rFonts w:ascii="Verdana Bold" w:hAnsi="Verdana Bold"/>
          <w:b/>
          <w:bCs/>
          <w:rtl/>
        </w:rPr>
        <w:t>المسألة</w:t>
      </w:r>
      <w:r>
        <w:rPr>
          <w:rtl/>
        </w:rPr>
        <w:t xml:space="preserve">: تُعتبر إعانات دعم الخدمة الشاملة أداة هامة لتعزيز توصيلية الاتصالات للأشخاص الذين يعانون من نقص في الخدمات. وقد أنشأت بلدان كثيرة صناديق خدمة شاملة </w:t>
      </w:r>
      <w:r>
        <w:rPr>
          <w:lang w:bidi="ar"/>
        </w:rPr>
        <w:t>(USF)</w:t>
      </w:r>
      <w:r>
        <w:rPr>
          <w:rtl/>
        </w:rPr>
        <w:t>، ولكن الاستفادة من معظم هذه الصناديق أبعد ما تكون عن استفادة كاملة ولا سيما في البلدان النامية. وفيما أُسست غالبية صناديق الخدمة الشاملة مع أخذ خدمة الصوت فقط في الاعتبار، يدعم العديد من البلدان ووكالات التنمية والمنظمات غير الحكومية تطوير برامج صناديق الخدمة الشاملة وإصلاحها للمساعدة في توسيعها وضمان الفوائد للمستهلكين. وينبغي للحكومات أن تنشئ تجمع توزيعات صناديق الخدمة الشاملة أو توسعه ليتجاوز الاتصالات الصوتية التقليدية فيشمل اعتماد ونشر النطاق العريض/تكنولوجيا المعلومات والاتصالات.</w:t>
      </w:r>
    </w:p>
    <w:p w:rsidR="00111C25" w:rsidRDefault="00111C25" w:rsidP="00111C25">
      <w:pPr>
        <w:rPr>
          <w:bCs/>
          <w:lang w:bidi="ar-EG"/>
        </w:rPr>
      </w:pPr>
      <w:r>
        <w:rPr>
          <w:rFonts w:ascii="Verdana Bold" w:hAnsi="Verdana Bold"/>
          <w:b/>
          <w:bCs/>
          <w:rtl/>
        </w:rPr>
        <w:t>الهدف</w:t>
      </w:r>
      <w:r>
        <w:rPr>
          <w:rtl/>
        </w:rPr>
        <w:t xml:space="preserve">: ينبغي لخطة النطاق العريض الوطنية أن تصحح أوجه القصور في صناديق الخدمة الشاملة </w:t>
      </w:r>
      <w:r>
        <w:rPr>
          <w:lang w:bidi="ar"/>
        </w:rPr>
        <w:t>(USF)</w:t>
      </w:r>
      <w:r>
        <w:rPr>
          <w:rtl/>
        </w:rPr>
        <w:t xml:space="preserve"> وتغيّر تركيز برامج الخدمة الشاملة نحو دعم نشر النطاق العريض واعتماده. ويمكن أيضاً وضع برامج هادفة لدعم النطاق العريض/تكنولوجيا المعلومات والاتصالات. وينبغي للبلدان إنشاء صندوق للخدمة الشاملة أو بدلاً من ذلك صناديق هادفة للنطاق العريض/تكنولوجيا المعلومات والاتصالات من أجل خدمات ومعدات النطاق العريض، فضلاً عن الانتقال بأي توزيعات لصناديق الخدمة الشاملة الموجودة من الخدمات الهاتفية الأساسية إلى النطاق العريض في أسرع وقت ممكن. وينبغي للبلدان، من الناحية المثالية، تمويل هذه البرامج مع عائدات الضرائب العامة، وإن تعذر ذلك، ينبغي للبلدان أن تمول هذه الصناديق من رسوم ثابتة تجبى من المستخدمين النهائيين.</w:t>
      </w:r>
    </w:p>
    <w:p w:rsidR="00111C25" w:rsidRDefault="00111C25" w:rsidP="00111C25">
      <w:pPr>
        <w:rPr>
          <w:rtl/>
        </w:rPr>
      </w:pPr>
      <w:r>
        <w:rPr>
          <w:rtl/>
        </w:rPr>
        <w:lastRenderedPageBreak/>
        <w:t>وينبغي لخطة النطاق العريض/تكنولوجيا المعلومات والاتصالات على الصعيد الوطني أن تدعم الآليات القائمة على السوق مثل المناقصات لإسناد تمويل الخدمة الشاملة على أساس الحياد تجاه التكنولوجيا والمنافسة. وينبغي لخطة النطاق العريض الوطنية أن تدعم استخدام الخدمة الشاملة للسير قدماً بالأهداف في جانب الطلب (أي من أجل زيادة اعتماد النطاق العريض). وفي هذا الصدد، يمكن استخدام صناديق الخدمة الشاملة و/أو النطاق العريض/تكنولوجيا المعلومات والاتصالات الهادفة للمساعدة في تمويل خدمات ومعدات النطاق العريض (مثل أجهزة النطاق العريض للمستهلك) للأسر ذات الدخل المنخفض.</w:t>
      </w:r>
    </w:p>
    <w:p w:rsidR="00111C25" w:rsidRDefault="00111C25" w:rsidP="000F5521">
      <w:pPr>
        <w:rPr>
          <w:rtl/>
        </w:rPr>
      </w:pPr>
      <w:r>
        <w:rPr>
          <w:rtl/>
        </w:rPr>
        <w:t xml:space="preserve">وفي البلدان النامية، يمكن أن تركز أهداف خطة النطاق العريض/تكنولوجيا المعلومات والاتصالات على الصعيد الوطني في البداية على استخدام صناديق الخدمة الشاملة </w:t>
      </w:r>
      <w:r>
        <w:rPr>
          <w:lang w:bidi="ar"/>
        </w:rPr>
        <w:t>(USF)</w:t>
      </w:r>
      <w:r>
        <w:rPr>
          <w:rtl/>
        </w:rPr>
        <w:t xml:space="preserve"> </w:t>
      </w:r>
      <w:r>
        <w:rPr>
          <w:rFonts w:hint="cs"/>
          <w:rtl/>
        </w:rPr>
        <w:t>لتوسيع الدعم لخدمات النطاق العريض واعتماده في المراكز المجتمعية وأكشاك الإنترنت أو غيرها من الأماكن العامة. وفي حين أن ذلك قد يشكّل خطوة أولى ذات قيمة، ينبغي للبلدان وضع أهداف لإنشاء صندوق خدمة شاملة لدعم خدمات النطاق العريض للأسر على المدى الطويل. وكما جاء في فقرة الاعتماد في هذه الوثيقة، ينبغي للبلدان وضع أهداف لاعتماد النطاق العريض في كل مكان بجودة عالية وبأسعار معقولة على مستوى الأسرة على المدى الطويل.</w:t>
      </w:r>
    </w:p>
    <w:p w:rsidR="00111C25" w:rsidRDefault="00111C25" w:rsidP="00096506">
      <w:pPr>
        <w:pStyle w:val="Heading4"/>
        <w:rPr>
          <w:rtl/>
          <w:lang w:bidi="ar-EG"/>
        </w:rPr>
      </w:pPr>
      <w:r>
        <w:rPr>
          <w:rtl/>
          <w:lang w:bidi="ar-EG"/>
        </w:rPr>
        <w:t>التحول إلى النطاق العريض القائم على التعليم</w:t>
      </w:r>
    </w:p>
    <w:p w:rsidR="00111C25" w:rsidRDefault="00111C25" w:rsidP="00111C25">
      <w:pPr>
        <w:rPr>
          <w:rtl/>
          <w:lang w:bidi="ar-EG"/>
        </w:rPr>
      </w:pPr>
      <w:r>
        <w:rPr>
          <w:rtl/>
          <w:lang w:bidi="ar"/>
        </w:rPr>
        <w:t xml:space="preserve">يتطلب التحول إلى النطاق العريض القائم على التعليم، التعاون والتنسيق بين الوزارات المختلفة، إلى جانب استخدام </w:t>
      </w:r>
      <w:r>
        <w:rPr>
          <w:rtl/>
        </w:rPr>
        <w:t xml:space="preserve">صناديق الخدمة الشاملة </w:t>
      </w:r>
      <w:r>
        <w:rPr>
          <w:rtl/>
          <w:lang w:bidi="ar"/>
        </w:rPr>
        <w:t>ومصادر حكومية أخرى. ويمكن لكل إدارة أن تبدأ من خلال إنشاء "لجنة التخطيط لتحول التعليم الوطني" بالتعاون مع وزارة تكنولوجيا المعلومات والاتصالات. ويمكن أن تتكون اللجنة من ممثلين عن وزارات تكنولوجيا المعلومات والاتصالات والتعليم والمالية والاقتصاد والتنمية/التخطيط والعلوم، فضلاً عن هيئة التنظيم وإدارة صندوق</w:t>
      </w:r>
      <w:r>
        <w:rPr>
          <w:rtl/>
        </w:rPr>
        <w:t xml:space="preserve"> الخدمة الشاملة.</w:t>
      </w:r>
      <w:r>
        <w:rPr>
          <w:rtl/>
          <w:lang w:bidi="ar"/>
        </w:rPr>
        <w:t xml:space="preserve"> وينبغي لهذه اللجنة أن تضع برنامجاً لتحول التعليم الوطني وخطة لتنفيذه. ويتمثل عامل رئيسي آخر في كسب التأييد على أعلى مستوى من الحكومة؛ من رؤساء الدول ورؤساء الوزراء. ولذلك، تقتضي الضرورة إشراك الأشخاص المعنيين من مكاتب الرؤساء ورؤساء الوزراء في اللجنة أيضاً. وسيوفر نشر برنامج تحول التعليم الوطني تحولاً نافعاً إلى النطاق العريض يقوم على التعليم، مما سيؤدي أيضاً إلى زيادة كبيرة في انتشار النطاق العريض وتكنولوجيا المعلومات والاتصالات في المدى القصير وإلى تسريع وصولهما إلى جميع المواطنين. ويمكن للإدارات أن تبدأ في التخطيط من خلال تنظيم "تحول التعليم الوطني" وإجراء لقاءات مع، وتوجيه دعوات إلى، وزارات تكنولوجيا المعلومات والاتصالات والتعليم والمالية والاقتصاد والتخطيط والعلوم وإدارة صندوق</w:t>
      </w:r>
      <w:r>
        <w:rPr>
          <w:rtl/>
        </w:rPr>
        <w:t xml:space="preserve"> الخدمة الشاملة،</w:t>
      </w:r>
      <w:r>
        <w:rPr>
          <w:rtl/>
          <w:lang w:bidi="ar"/>
        </w:rPr>
        <w:t xml:space="preserve"> وأيضاً مكاتب رئاسة الجمهورية ورئاسة الوزارة.</w:t>
      </w:r>
    </w:p>
    <w:p w:rsidR="00111C25" w:rsidRDefault="00111C25" w:rsidP="00096506">
      <w:pPr>
        <w:pStyle w:val="Heading4"/>
        <w:rPr>
          <w:rtl/>
          <w:lang w:bidi="ar-EG"/>
        </w:rPr>
      </w:pPr>
      <w:r>
        <w:rPr>
          <w:rtl/>
          <w:lang w:bidi="ar-EG"/>
        </w:rPr>
        <w:t>تخطيط تحول التعليم الوطني</w:t>
      </w:r>
    </w:p>
    <w:p w:rsidR="00111C25" w:rsidRDefault="00111C25" w:rsidP="00096506">
      <w:pPr>
        <w:pStyle w:val="Enumlevel1"/>
        <w:spacing w:before="60"/>
        <w:rPr>
          <w:rtl/>
          <w:lang w:bidi="ar"/>
        </w:rPr>
      </w:pPr>
      <w:r>
        <w:sym w:font="Symbol" w:char="F02D"/>
      </w:r>
      <w:r>
        <w:tab/>
      </w:r>
      <w:r>
        <w:rPr>
          <w:rtl/>
        </w:rPr>
        <w:t>وضع خطة لتوصيل جميع المدارس بالنطاق العريض.</w:t>
      </w:r>
    </w:p>
    <w:p w:rsidR="00111C25" w:rsidRDefault="00111C25" w:rsidP="00096506">
      <w:pPr>
        <w:pStyle w:val="Enumlevel1"/>
        <w:spacing w:before="60"/>
        <w:rPr>
          <w:rtl/>
          <w:lang w:bidi="ar"/>
        </w:rPr>
      </w:pPr>
      <w:r>
        <w:sym w:font="Symbol" w:char="F02D"/>
      </w:r>
      <w:r>
        <w:tab/>
      </w:r>
      <w:r>
        <w:rPr>
          <w:rtl/>
        </w:rPr>
        <w:t>وضع خطة لتوفير ألواح الكتابة التفاعلية في المدارس.</w:t>
      </w:r>
    </w:p>
    <w:p w:rsidR="00111C25" w:rsidRDefault="00111C25" w:rsidP="00096506">
      <w:pPr>
        <w:pStyle w:val="Enumlevel1"/>
        <w:spacing w:before="60"/>
        <w:rPr>
          <w:rtl/>
          <w:lang w:bidi="ar"/>
        </w:rPr>
      </w:pPr>
      <w:r>
        <w:sym w:font="Symbol" w:char="F02D"/>
      </w:r>
      <w:r>
        <w:tab/>
      </w:r>
      <w:r>
        <w:rPr>
          <w:rtl/>
        </w:rPr>
        <w:t>وضع خطة لانتفاع جميع الطلاب والمعلمين، وأسرهم، من أجهزة الحاسوب.</w:t>
      </w:r>
    </w:p>
    <w:p w:rsidR="00111C25" w:rsidRDefault="00111C25" w:rsidP="00096506">
      <w:pPr>
        <w:pStyle w:val="Enumlevel1"/>
        <w:spacing w:before="60"/>
        <w:rPr>
          <w:rtl/>
          <w:lang w:bidi="ar"/>
        </w:rPr>
      </w:pPr>
      <w:r>
        <w:sym w:font="Symbol" w:char="F02D"/>
      </w:r>
      <w:r>
        <w:tab/>
      </w:r>
      <w:r>
        <w:rPr>
          <w:rtl/>
        </w:rPr>
        <w:t>وضع خطة لتثقيف جميع المعلمين والطلاب فيما يتعلق باستخدام تكنولوجيا المعلومات والاتصالات.</w:t>
      </w:r>
    </w:p>
    <w:p w:rsidR="00111C25" w:rsidRDefault="00111C25" w:rsidP="00096506">
      <w:pPr>
        <w:pStyle w:val="Enumlevel1"/>
        <w:spacing w:before="60"/>
        <w:rPr>
          <w:rtl/>
          <w:lang w:bidi="ar"/>
        </w:rPr>
      </w:pPr>
      <w:r>
        <w:sym w:font="Symbol" w:char="F02D"/>
      </w:r>
      <w:r>
        <w:tab/>
      </w:r>
      <w:r>
        <w:rPr>
          <w:rtl/>
        </w:rPr>
        <w:t>وضع خطة لتوفير المحتوى الرقمي للتعليم.</w:t>
      </w:r>
    </w:p>
    <w:p w:rsidR="00111C25" w:rsidRDefault="00111C25" w:rsidP="00096506">
      <w:pPr>
        <w:pStyle w:val="Enumlevel1"/>
        <w:spacing w:before="60"/>
        <w:rPr>
          <w:rtl/>
          <w:lang w:bidi="ar"/>
        </w:rPr>
      </w:pPr>
      <w:r>
        <w:sym w:font="Symbol" w:char="F02D"/>
      </w:r>
      <w:r>
        <w:tab/>
      </w:r>
      <w:r>
        <w:rPr>
          <w:rtl/>
        </w:rPr>
        <w:t>وضع خطة لدعم توصيلية النطاق العريض المن</w:t>
      </w:r>
      <w:r w:rsidR="00096506">
        <w:rPr>
          <w:rFonts w:hint="cs"/>
          <w:rtl/>
        </w:rPr>
        <w:t>‍</w:t>
      </w:r>
      <w:r>
        <w:rPr>
          <w:rtl/>
        </w:rPr>
        <w:t>زلية مالياً لأسر الطلاب منخفضة الدخل.</w:t>
      </w:r>
    </w:p>
    <w:p w:rsidR="00111C25" w:rsidRDefault="00111C25" w:rsidP="00096506">
      <w:pPr>
        <w:pStyle w:val="Enumlevel1"/>
        <w:spacing w:before="60"/>
        <w:rPr>
          <w:rtl/>
          <w:lang w:bidi="ar"/>
        </w:rPr>
      </w:pPr>
      <w:r>
        <w:sym w:font="Symbol" w:char="F02D"/>
      </w:r>
      <w:r>
        <w:tab/>
      </w:r>
      <w:r>
        <w:rPr>
          <w:rtl/>
        </w:rPr>
        <w:t>وضع خطة لنفاذ العموم إلى الإنترنت في المدارس (مراكز نفاذ مجتمعية) لتقديم خدمات الحكومة الإلكترونية، والصحة الإلكترونية، والزراعة الإلكترونية، وما إلى ذلك.</w:t>
      </w:r>
    </w:p>
    <w:p w:rsidR="00111C25" w:rsidRDefault="00111C25" w:rsidP="00096506">
      <w:pPr>
        <w:pStyle w:val="Enumlevel1"/>
        <w:spacing w:before="60"/>
        <w:rPr>
          <w:rtl/>
          <w:lang w:bidi="ar-EG"/>
        </w:rPr>
      </w:pPr>
      <w:r>
        <w:sym w:font="Symbol" w:char="F02D"/>
      </w:r>
      <w:r>
        <w:tab/>
      </w:r>
      <w:r>
        <w:rPr>
          <w:rtl/>
        </w:rPr>
        <w:t>وضع خطة لدمج التدريب على المعارف الرقمية ضمن خدمات الحكومة الإلكترونية.</w:t>
      </w:r>
    </w:p>
    <w:p w:rsidR="00111C25" w:rsidRDefault="00111C25" w:rsidP="00111C25">
      <w:pPr>
        <w:pStyle w:val="Heading3"/>
        <w:rPr>
          <w:rtl/>
        </w:rPr>
      </w:pPr>
      <w:bookmarkStart w:id="55" w:name="_Toc372276119"/>
      <w:bookmarkStart w:id="56" w:name="_Toc380496724"/>
      <w:r>
        <w:t>5.1.2</w:t>
      </w:r>
      <w:r>
        <w:rPr>
          <w:rtl/>
        </w:rPr>
        <w:tab/>
        <w:t>الطيف الترددي</w:t>
      </w:r>
      <w:bookmarkEnd w:id="55"/>
      <w:bookmarkEnd w:id="56"/>
    </w:p>
    <w:p w:rsidR="00111C25" w:rsidRDefault="00111C25" w:rsidP="00111C25">
      <w:pPr>
        <w:rPr>
          <w:bCs/>
          <w:lang w:bidi="ar"/>
        </w:rPr>
      </w:pPr>
      <w:r>
        <w:rPr>
          <w:rFonts w:ascii="Verdana Bold" w:hAnsi="Verdana Bold"/>
          <w:b/>
          <w:bCs/>
          <w:rtl/>
        </w:rPr>
        <w:t>المسألة</w:t>
      </w:r>
      <w:r>
        <w:rPr>
          <w:rtl/>
        </w:rPr>
        <w:t xml:space="preserve">: يمكن للنطاق العريض اللاسلكي في كثير من الأحيان أن يكون الآلية الأكثر كفاءة لتحقيق النفاذ </w:t>
      </w:r>
      <w:r>
        <w:rPr>
          <w:rtl/>
          <w:lang w:bidi="ar"/>
        </w:rPr>
        <w:t xml:space="preserve">عريض النطاق </w:t>
      </w:r>
      <w:r>
        <w:rPr>
          <w:rtl/>
        </w:rPr>
        <w:t xml:space="preserve">في كل مكان وبأسعار معقولة. ومع ظهور تكنولوجيات النطاق العريض اللاسلكية القوية الجديدة مثل الاتصالات المتنقلة </w:t>
      </w:r>
      <w:r>
        <w:rPr>
          <w:rtl/>
        </w:rPr>
        <w:lastRenderedPageBreak/>
        <w:t>الدولية، يمكن للمستهلكين أن يجنوا فوائد النطاق العريض المتنقل عالي الجودة، شريطة وجود السياسات العامة المناسبة في مكانها الصحيح. وإذ ينمو الطلب العالمي على النطاق العريض المتنقل بمعدل هائل، يشح الطيف الجديد الملائم لهذه الخدمات في كثير من البلدان. وتاريخياً، أمضت البلدان عدة سنوات في تخصيص الطيف أو تغيير الغرض منه ليُستخدم على نحو أكثر كفاءة. ومع مطالب اليوم ووتيرة التقدم السريعة للتكنولوجيا، فإن عمليات ترشيد توزيع الطيف وتخصيصه تكتسي أهمية أكثر من أي وقت مضى للتعجيل بالفوائد للمستهلكين.</w:t>
      </w:r>
    </w:p>
    <w:p w:rsidR="00111C25" w:rsidRDefault="00111C25" w:rsidP="00111C25">
      <w:pPr>
        <w:rPr>
          <w:lang w:bidi="ar-EG"/>
        </w:rPr>
      </w:pPr>
      <w:r>
        <w:rPr>
          <w:rFonts w:ascii="Verdana Bold" w:hAnsi="Verdana Bold"/>
          <w:b/>
          <w:bCs/>
          <w:rtl/>
        </w:rPr>
        <w:t>الهدف</w:t>
      </w:r>
      <w:r>
        <w:rPr>
          <w:rtl/>
        </w:rPr>
        <w:t>: ينبغي لخطة النطاق العريض/تكنولوجيا المعلومات والاتصالات على الصعيد الوطني أن تدعم سياسات طيف محايدة من حيث التكنولوجيا ومرنة من حيث الخدمات للترويج للاستثمار في النطاق العريض، وأن تدعم المنافسة القائمة على المرافق.</w:t>
      </w:r>
      <w:r>
        <w:rPr>
          <w:rStyle w:val="FootnoteReference"/>
          <w:rtl/>
        </w:rPr>
        <w:footnoteReference w:id="52"/>
      </w:r>
      <w:r>
        <w:rPr>
          <w:rtl/>
        </w:rPr>
        <w:t xml:space="preserve"> وعند وضع خططها بشأن النطاق العريض/تكنولوجيا المعلومات والاتصالات على الصعيد الوطني، ينبغي للإدارات أن تنظر فيما يلي:</w:t>
      </w:r>
    </w:p>
    <w:p w:rsidR="00111C25" w:rsidRDefault="00111C25" w:rsidP="00111C25">
      <w:pPr>
        <w:pStyle w:val="Enumlevel1"/>
        <w:rPr>
          <w:rtl/>
          <w:lang w:bidi="ar"/>
        </w:rPr>
      </w:pPr>
      <w:r>
        <w:sym w:font="Symbol" w:char="F02D"/>
      </w:r>
      <w:r>
        <w:tab/>
      </w:r>
      <w:r>
        <w:rPr>
          <w:rtl/>
          <w:lang w:bidi="ar"/>
        </w:rPr>
        <w:t>إن استخدام الطيف هو الهدف المناسب لتوزيع الطيف الترددي على نحو يحقق المنافع الاجتماعية والاقتصادية الكبيرة من تغطية النطاق العريض.</w:t>
      </w:r>
    </w:p>
    <w:p w:rsidR="00111C25" w:rsidRDefault="00111C25" w:rsidP="00111C25">
      <w:pPr>
        <w:pStyle w:val="Enumlevel1"/>
        <w:rPr>
          <w:rtl/>
          <w:lang w:bidi="ar"/>
        </w:rPr>
      </w:pPr>
      <w:r>
        <w:sym w:font="Symbol" w:char="F02D"/>
      </w:r>
      <w:r>
        <w:tab/>
      </w:r>
      <w:r>
        <w:rPr>
          <w:rtl/>
          <w:lang w:bidi="ar"/>
        </w:rPr>
        <w:t>إن أسلوبها في توزيع الطيف ينبغي أن يقدم الحوافز للمشغلين لتسريع نشر الشبكة.</w:t>
      </w:r>
    </w:p>
    <w:p w:rsidR="00111C25" w:rsidRDefault="00111C25" w:rsidP="00111C25">
      <w:pPr>
        <w:pStyle w:val="Enumlevel1"/>
        <w:rPr>
          <w:rtl/>
          <w:lang w:bidi="ar"/>
        </w:rPr>
      </w:pPr>
      <w:r>
        <w:sym w:font="Symbol" w:char="F02D"/>
      </w:r>
      <w:r>
        <w:tab/>
      </w:r>
      <w:r>
        <w:rPr>
          <w:rtl/>
          <w:lang w:bidi="ar"/>
        </w:rPr>
        <w:t xml:space="preserve">إن مخططات ترشيد البنية التحتية والتشارك في الموارد يمكن أن تحسن اقتصاديات نشر الشبكة </w:t>
      </w:r>
      <w:r>
        <w:rPr>
          <w:lang w:bidi="ar"/>
        </w:rPr>
        <w:t>(ROI)</w:t>
      </w:r>
      <w:r>
        <w:rPr>
          <w:rtl/>
          <w:lang w:bidi="ar"/>
        </w:rPr>
        <w:t>.</w:t>
      </w:r>
    </w:p>
    <w:p w:rsidR="00111C25" w:rsidRDefault="00111C25" w:rsidP="00111C25">
      <w:pPr>
        <w:pStyle w:val="Enumlevel1"/>
        <w:rPr>
          <w:rtl/>
          <w:lang w:bidi="ar-EG"/>
        </w:rPr>
      </w:pPr>
      <w:r>
        <w:sym w:font="Symbol" w:char="F02D"/>
      </w:r>
      <w:r>
        <w:tab/>
      </w:r>
      <w:r>
        <w:rPr>
          <w:rtl/>
          <w:lang w:bidi="ar"/>
        </w:rPr>
        <w:t>إن الاصطفاف في صف الطيف المنسَّق إقليمياً أو عالمياً يعزز وفورات الحجم اللازمة لخفض تكاليف المعدات.</w:t>
      </w:r>
    </w:p>
    <w:p w:rsidR="00111C25" w:rsidRDefault="00111C25" w:rsidP="00111C25">
      <w:pPr>
        <w:rPr>
          <w:spacing w:val="-2"/>
          <w:rtl/>
        </w:rPr>
      </w:pPr>
      <w:r>
        <w:rPr>
          <w:spacing w:val="-2"/>
          <w:rtl/>
        </w:rPr>
        <w:t xml:space="preserve">وينشر قطاع الاتصالات الراديوية توصيات بشأن الترتيبات الترددية لتكنولوجيات النطاق العريض اللاسلكية، بما في ذلك التوصية </w:t>
      </w:r>
      <w:r>
        <w:rPr>
          <w:spacing w:val="-2"/>
          <w:lang w:val="en-GB" w:bidi="ar"/>
        </w:rPr>
        <w:t>ITU-R M.1036</w:t>
      </w:r>
      <w:r>
        <w:rPr>
          <w:spacing w:val="-2"/>
          <w:rtl/>
        </w:rPr>
        <w:t xml:space="preserve"> - "ترتيبات التردد لتنفيذ مكونة الأرض في الاتصالات المتنقلة الدولية </w:t>
      </w:r>
      <w:r>
        <w:rPr>
          <w:spacing w:val="-2"/>
        </w:rPr>
        <w:t>(IMT)</w:t>
      </w:r>
      <w:r>
        <w:rPr>
          <w:spacing w:val="-2"/>
          <w:rtl/>
        </w:rPr>
        <w:t xml:space="preserve"> في النطاقات المحددة لهذه الاتصالات في لوائح الراديو </w:t>
      </w:r>
      <w:r>
        <w:rPr>
          <w:spacing w:val="-2"/>
          <w:lang w:bidi="ar"/>
        </w:rPr>
        <w:t>(2012/03) </w:t>
      </w:r>
      <w:r>
        <w:rPr>
          <w:spacing w:val="-2"/>
        </w:rPr>
        <w:t>(</w:t>
      </w:r>
      <w:r>
        <w:rPr>
          <w:spacing w:val="-2"/>
          <w:lang w:val="en-GB" w:bidi="ar"/>
        </w:rPr>
        <w:t>RR</w:t>
      </w:r>
      <w:r>
        <w:rPr>
          <w:spacing w:val="-2"/>
        </w:rPr>
        <w:t>)</w:t>
      </w:r>
      <w:r>
        <w:rPr>
          <w:spacing w:val="-2"/>
          <w:rtl/>
        </w:rPr>
        <w:t>" التي تشجع على استخدام الطيف المنسق.</w:t>
      </w:r>
    </w:p>
    <w:p w:rsidR="00111C25" w:rsidRDefault="00111C25" w:rsidP="00111C25">
      <w:pPr>
        <w:pStyle w:val="Heading2"/>
        <w:rPr>
          <w:rtl/>
        </w:rPr>
      </w:pPr>
      <w:bookmarkStart w:id="57" w:name="_Toc372276120"/>
      <w:bookmarkStart w:id="58" w:name="_Toc299438653"/>
      <w:bookmarkStart w:id="59" w:name="_Toc380496725"/>
      <w:r>
        <w:t>2.2</w:t>
      </w:r>
      <w:r>
        <w:tab/>
      </w:r>
      <w:r>
        <w:rPr>
          <w:rtl/>
        </w:rPr>
        <w:t>المبادئ التوجيهية للممارسات</w:t>
      </w:r>
      <w:r>
        <w:rPr>
          <w:rFonts w:hint="cs"/>
        </w:rPr>
        <w:t xml:space="preserve"> </w:t>
      </w:r>
      <w:r>
        <w:rPr>
          <w:rtl/>
        </w:rPr>
        <w:t>الفضلى في تعزيز النطاق العريض منخفض التكلفة</w:t>
      </w:r>
      <w:bookmarkEnd w:id="57"/>
      <w:bookmarkEnd w:id="58"/>
      <w:bookmarkEnd w:id="59"/>
    </w:p>
    <w:p w:rsidR="00111C25" w:rsidRDefault="00111C25" w:rsidP="00111C25">
      <w:pPr>
        <w:rPr>
          <w:bCs/>
          <w:spacing w:val="-2"/>
          <w:lang w:bidi="ar"/>
        </w:rPr>
      </w:pPr>
      <w:r>
        <w:rPr>
          <w:spacing w:val="-2"/>
          <w:rtl/>
        </w:rPr>
        <w:t>خَلُصت لجنة النطاق العريض إلى أن التدابير التالية تُعتبر حاسمة للنجاح في نشر البنية التحتية الوطنية للنطاق العريض:</w:t>
      </w:r>
    </w:p>
    <w:p w:rsidR="00111C25" w:rsidRDefault="00111C25" w:rsidP="00111C25">
      <w:pPr>
        <w:pStyle w:val="Enumlevel1"/>
        <w:rPr>
          <w:bCs/>
          <w:lang w:bidi="ar"/>
        </w:rPr>
      </w:pPr>
      <w:r>
        <w:sym w:font="Symbol" w:char="F02D"/>
      </w:r>
      <w:r>
        <w:tab/>
      </w:r>
      <w:r>
        <w:rPr>
          <w:rtl/>
        </w:rPr>
        <w:t>"ينبغي لسياسة البنية التحتية أن تأخذ في الاعتبار التطورات التقنية السريعة وأن تركز على أهداف أكبر، وألا تتوجه نحو مزيج محدد من التكنولوجيا. أما البنية التحتية التقليدية (أو غيابها) فتشكل قيداً وفرصة على حد سواء.</w:t>
      </w:r>
    </w:p>
    <w:p w:rsidR="00111C25" w:rsidRDefault="00111C25" w:rsidP="00111C25">
      <w:pPr>
        <w:pStyle w:val="Enumlevel1"/>
        <w:rPr>
          <w:bCs/>
          <w:lang w:bidi="ar-EG"/>
        </w:rPr>
      </w:pPr>
      <w:r>
        <w:sym w:font="Symbol" w:char="F02D"/>
      </w:r>
      <w:r>
        <w:tab/>
      </w:r>
      <w:r>
        <w:rPr>
          <w:rtl/>
        </w:rPr>
        <w:t>فصل أهداف البنية التحتية عن مسائل الملكية العامة للمرافق ودور المنافسة في تحفيز الاستثمار الخاص.</w:t>
      </w:r>
    </w:p>
    <w:p w:rsidR="00111C25" w:rsidRDefault="00111C25" w:rsidP="00111C25">
      <w:pPr>
        <w:pStyle w:val="Enumlevel1"/>
        <w:rPr>
          <w:rFonts w:eastAsia="Times New Roman"/>
          <w:bCs/>
          <w:rtl/>
          <w:lang w:bidi="ar"/>
        </w:rPr>
      </w:pPr>
      <w:r>
        <w:sym w:font="Symbol" w:char="F02D"/>
      </w:r>
      <w:r>
        <w:tab/>
      </w:r>
      <w:r>
        <w:rPr>
          <w:rtl/>
        </w:rPr>
        <w:t xml:space="preserve">يجب بأقصى حد ممكن إزالة الحواجز، كالأسعار أو غيرها، التي تحد من النفاذ إلى الشبكات أو البنية التحتية. ويجب أن يكون التوصيل البيني ما بين الشبكات متيناً ورخيصاً وفعالاً. </w:t>
      </w:r>
    </w:p>
    <w:p w:rsidR="00111C25" w:rsidRDefault="00111C25" w:rsidP="00111C25">
      <w:pPr>
        <w:pStyle w:val="Enumlevel1"/>
        <w:rPr>
          <w:bCs/>
        </w:rPr>
      </w:pPr>
      <w:r>
        <w:sym w:font="Symbol" w:char="F02D"/>
      </w:r>
      <w:r>
        <w:tab/>
      </w:r>
      <w:r>
        <w:rPr>
          <w:rtl/>
        </w:rPr>
        <w:t>لا بد من الحفاظ على المرونة والابتكار عند حواف الشبكة. ويجب أن يكون في الإمكان ربط الشبكة بالتطبيقات وأجهزة النفاذ الجديدة، حيث إن ذلك أسهل وأرخص من تبديل البنية التحتية الأساسية</w:t>
      </w:r>
      <w:r>
        <w:rPr>
          <w:bCs/>
          <w:rtl/>
        </w:rPr>
        <w:t>.</w:t>
      </w:r>
    </w:p>
    <w:p w:rsidR="00111C25" w:rsidRDefault="00111C25" w:rsidP="00111C25">
      <w:pPr>
        <w:pStyle w:val="Enumlevel1"/>
        <w:rPr>
          <w:bCs/>
          <w:rtl/>
          <w:lang w:bidi="ar-EG"/>
        </w:rPr>
      </w:pPr>
      <w:r>
        <w:sym w:font="Symbol" w:char="F02D"/>
      </w:r>
      <w:r>
        <w:tab/>
      </w:r>
      <w:r>
        <w:rPr>
          <w:rtl/>
        </w:rPr>
        <w:t>تتمايز الشبكة المادية عن الخدمات والوظائف التي تنتقل عبرها. وحرصاً على المنافسة والتقدم التقني، ينبغي تجنب المبالغة في توثيق عرى الترابط بين البنية التحتية وخدمة معينة.</w:t>
      </w:r>
    </w:p>
    <w:p w:rsidR="00111C25" w:rsidRDefault="00111C25" w:rsidP="00111C25">
      <w:pPr>
        <w:pStyle w:val="Enumlevel1"/>
        <w:rPr>
          <w:bCs/>
          <w:rtl/>
        </w:rPr>
      </w:pPr>
      <w:r>
        <w:sym w:font="Symbol" w:char="F02D"/>
      </w:r>
      <w:r>
        <w:tab/>
      </w:r>
      <w:r>
        <w:rPr>
          <w:rtl/>
        </w:rPr>
        <w:t>يرجح تفضيل شبكات الألياف البصرية للبنية التحتية الفقرية السلكية، ولكن يجب أن تُستكمل ببنية تحتية لا سلكية تتطور بسرعة ومن شأنها أن توفر المزيد من عرض النطاق بتكلفة أقل مع تطور التكنولوجيا.</w:t>
      </w:r>
    </w:p>
    <w:p w:rsidR="00111C25" w:rsidRDefault="00111C25" w:rsidP="00111C25">
      <w:pPr>
        <w:pStyle w:val="Enumlevel1"/>
        <w:rPr>
          <w:bCs/>
          <w:rtl/>
          <w:lang w:bidi="ar"/>
        </w:rPr>
      </w:pPr>
      <w:r>
        <w:sym w:font="Symbol" w:char="F02D"/>
      </w:r>
      <w:r>
        <w:tab/>
      </w:r>
      <w:r>
        <w:rPr>
          <w:rtl/>
        </w:rPr>
        <w:t>ينبغي تسهيل التشارك في البنى التحتية وتشجيعه، وينبغي لصانعي السياسات النظر في أفضل السبل لضمان التآزر بين التطبيقات والخدمات. وهذا يعني اعتماد نهج متكامل عبر القطاعات.</w:t>
      </w:r>
    </w:p>
    <w:p w:rsidR="00111C25" w:rsidRDefault="00111C25" w:rsidP="00111C25">
      <w:pPr>
        <w:keepNext/>
        <w:rPr>
          <w:bCs/>
          <w:lang w:bidi="ar-EG"/>
        </w:rPr>
      </w:pPr>
      <w:r>
        <w:rPr>
          <w:rtl/>
        </w:rPr>
        <w:lastRenderedPageBreak/>
        <w:t>وفيما يلي بعض الخيارات المفتوحة أمام المنظمين:</w:t>
      </w:r>
      <w:r>
        <w:rPr>
          <w:rStyle w:val="FootnoteReference"/>
          <w:rtl/>
        </w:rPr>
        <w:footnoteReference w:id="53"/>
      </w:r>
    </w:p>
    <w:p w:rsidR="00111C25" w:rsidRDefault="00111C25" w:rsidP="00111C25">
      <w:pPr>
        <w:pStyle w:val="Enumlevel1"/>
        <w:rPr>
          <w:rtl/>
        </w:rPr>
      </w:pPr>
      <w:r>
        <w:sym w:font="Symbol" w:char="F02D"/>
      </w:r>
      <w:r>
        <w:tab/>
      </w:r>
      <w:r>
        <w:rPr>
          <w:rtl/>
        </w:rPr>
        <w:t>السعي إلى تحقيق أقصى قدر من تدفقات الاستثمارات من خلال تحرير الأسواق والسماح بالملكية الأجنبية. ويشمل ذلك السماح لمقدمي خدمات النطاق العريض بتقديم مجموعة كاملة من الخدمات والتطبيقات، مثل "باقة متعددة" من خدمات الصوت والنفاذ إلى الإنترنت وبرامج فيديوية/متعددة الوسائط.</w:t>
      </w:r>
    </w:p>
    <w:p w:rsidR="00111C25" w:rsidRDefault="00111C25" w:rsidP="00111C25">
      <w:pPr>
        <w:pStyle w:val="Enumlevel1"/>
        <w:rPr>
          <w:rFonts w:eastAsia="Times New Roman"/>
          <w:rtl/>
        </w:rPr>
      </w:pPr>
      <w:r>
        <w:sym w:font="Symbol" w:char="F02D"/>
      </w:r>
      <w:r>
        <w:tab/>
      </w:r>
      <w:r>
        <w:rPr>
          <w:rtl/>
        </w:rPr>
        <w:t>إنشاء إطار تنظيمي قادر على التكيف باعتماد نهج محايد تكنولوجياً، ونظام ترخيص مبسط ومرن إدارياً يسهل دخول أطراف فاعلة جديدة إلى الأسواق، من خلال مثلاً التخويل العام وتراخيص لخدمات متعددة/موحدة.</w:t>
      </w:r>
    </w:p>
    <w:p w:rsidR="00111C25" w:rsidRDefault="00111C25" w:rsidP="00111C25">
      <w:pPr>
        <w:pStyle w:val="Enumlevel1"/>
        <w:rPr>
          <w:rtl/>
        </w:rPr>
      </w:pPr>
      <w:r>
        <w:sym w:font="Symbol" w:char="F02D"/>
      </w:r>
      <w:r>
        <w:tab/>
      </w:r>
      <w:r>
        <w:rPr>
          <w:rtl/>
        </w:rPr>
        <w:t>إنشاء إطار تنظيمي يشجع جميع مقدمي خدمات النطاق العريض المحتملين. وبتجاوز مشغلي الشبكات الوطنية واسعة النطاق، يمكن للمنظمين أن يمكّنوا، على سبيل المثال، الجامعات والمكاتب الحكومية والمجتمعات المحلية وأصحاب المشاريع الصغيرة لينشروا شبكات النطاق العريض. وقد يتضمن ذلك تفصيل الأطر التنظيمية على مقاس كل مجموعة من موردي النطاق العريض المحتملين:</w:t>
      </w:r>
    </w:p>
    <w:p w:rsidR="00111C25" w:rsidRDefault="00111C25" w:rsidP="00111C25">
      <w:pPr>
        <w:pStyle w:val="Enumlevel2"/>
        <w:rPr>
          <w:rtl/>
        </w:rPr>
      </w:pPr>
      <w:r>
        <w:sym w:font="Symbol" w:char="F0B7"/>
      </w:r>
      <w:r>
        <w:rPr>
          <w:rtl/>
        </w:rPr>
        <w:tab/>
        <w:t xml:space="preserve">إن وجود إطار تنظيمي مفصل على مقاس صغار موردي النطاق العريض من شأنه أن يمكّن موردي </w:t>
      </w:r>
      <w:r>
        <w:rPr>
          <w:spacing w:val="-2"/>
          <w:rtl/>
        </w:rPr>
        <w:t>المجتمع المحلي ويشجعهم على الاستفادة من إمكانات تكنولوجيا النطاق العريض وتفعيل المزيد من النفاذ</w:t>
      </w:r>
      <w:r>
        <w:rPr>
          <w:rtl/>
        </w:rPr>
        <w:t xml:space="preserve"> </w:t>
      </w:r>
      <w:r>
        <w:rPr>
          <w:rtl/>
          <w:lang w:bidi="ar"/>
        </w:rPr>
        <w:t xml:space="preserve">عريض النطاق </w:t>
      </w:r>
      <w:r>
        <w:rPr>
          <w:rtl/>
        </w:rPr>
        <w:t>في المناطق الريفية؛</w:t>
      </w:r>
    </w:p>
    <w:p w:rsidR="00111C25" w:rsidRDefault="00111C25" w:rsidP="00111C25">
      <w:pPr>
        <w:pStyle w:val="Enumlevel2"/>
        <w:rPr>
          <w:rtl/>
        </w:rPr>
      </w:pPr>
      <w:r>
        <w:sym w:font="Symbol" w:char="F0B7"/>
      </w:r>
      <w:r>
        <w:rPr>
          <w:rtl/>
        </w:rPr>
        <w:tab/>
        <w:t>ويمكن تشجيع المشغلين التنافسيين على نطاق واسع كي يتوسعوا بشبكاتهم إلى المناطق الريفية من خلال ترتيبات التشارك في البنية التحتية التي تضمن نفاذاً مفتوحاً لجميع المشغلين التنافسيين؛</w:t>
      </w:r>
    </w:p>
    <w:p w:rsidR="00111C25" w:rsidRDefault="00111C25" w:rsidP="00111C25">
      <w:pPr>
        <w:pStyle w:val="Enumlevel2"/>
        <w:rPr>
          <w:rtl/>
        </w:rPr>
      </w:pPr>
      <w:r>
        <w:sym w:font="Symbol" w:char="F0B7"/>
      </w:r>
      <w:r>
        <w:rPr>
          <w:rtl/>
        </w:rPr>
        <w:tab/>
        <w:t>ويمكن تحفيز المشغلين التنافسيين على نطاق واسع لنشر شبكات لقاء مكافآت مناسبة؛</w:t>
      </w:r>
    </w:p>
    <w:p w:rsidR="00111C25" w:rsidRDefault="00111C25" w:rsidP="00111C25">
      <w:pPr>
        <w:pStyle w:val="Enumlevel2"/>
        <w:rPr>
          <w:rtl/>
          <w:lang w:bidi="ar"/>
        </w:rPr>
      </w:pPr>
      <w:r>
        <w:sym w:font="Symbol" w:char="F0B7"/>
      </w:r>
      <w:r>
        <w:rPr>
          <w:rtl/>
        </w:rPr>
        <w:tab/>
        <w:t xml:space="preserve">ويمكن للمنظمين أن يسعوا إلى تشجيع نشر شبكات النفاذ </w:t>
      </w:r>
      <w:r>
        <w:rPr>
          <w:rtl/>
          <w:lang w:bidi="ar"/>
        </w:rPr>
        <w:t xml:space="preserve">عريض النطاق </w:t>
      </w:r>
      <w:r>
        <w:rPr>
          <w:rtl/>
        </w:rPr>
        <w:t>بتقديم إعانات مالية مباشرة وهادفة من صناديق النفاذ الشامل أو منافع مالية غير مباشرة (مثل الإعفاءات الضريبية) لمجموعة كاملة من مقدمي خدمات النطاق العريض.</w:t>
      </w:r>
    </w:p>
    <w:p w:rsidR="00111C25" w:rsidRDefault="00111C25" w:rsidP="00111C25">
      <w:pPr>
        <w:pStyle w:val="Enumlevel1"/>
        <w:rPr>
          <w:lang w:bidi="ar-EG"/>
        </w:rPr>
      </w:pPr>
      <w:r>
        <w:sym w:font="Symbol" w:char="F02D"/>
      </w:r>
      <w:r>
        <w:tab/>
      </w:r>
      <w:r>
        <w:rPr>
          <w:rtl/>
        </w:rPr>
        <w:t>تحويل الاهتمام التنظيمي من أسواق التجزئة إلى أسواق الجملة، أي من خلال ضمان نفاذ المشغلين البدلاء إلى البنية التحتية للجهات الفاعلة المهيمنة (من خلال التشارك الهامد كالتشارك في مجاري الكبلات، وتفكيك العروة المحلية والعروة الفرعية، والنفاذ إلى تدفق البتات، والتشارك في الشبكات والمرافق، وما إلى ذلك) لتقديم خدمات تنافسية متقاربة، وبالتالي تجنب الازدواجية غير الضرورية في البنية التحتية وتخفيض التكاليف.</w:t>
      </w:r>
    </w:p>
    <w:p w:rsidR="00111C25" w:rsidRDefault="00111C25" w:rsidP="00111C25">
      <w:pPr>
        <w:pStyle w:val="Enumlevel1"/>
        <w:rPr>
          <w:rtl/>
        </w:rPr>
      </w:pPr>
      <w:r>
        <w:sym w:font="Symbol" w:char="F02D"/>
      </w:r>
      <w:r>
        <w:tab/>
      </w:r>
      <w:r>
        <w:rPr>
          <w:rtl/>
        </w:rPr>
        <w:t xml:space="preserve">إنشاء نظام تنظيمي غير متناظر لمنع المشغل المهيمن من كبح تطور المنافسة في سوق النفاذ </w:t>
      </w:r>
      <w:r>
        <w:rPr>
          <w:rtl/>
          <w:lang w:bidi="ar"/>
        </w:rPr>
        <w:t>عريض النطاق</w:t>
      </w:r>
      <w:r>
        <w:rPr>
          <w:rtl/>
        </w:rPr>
        <w:t>.</w:t>
      </w:r>
    </w:p>
    <w:p w:rsidR="00111C25" w:rsidRDefault="00111C25" w:rsidP="00111C25">
      <w:pPr>
        <w:pStyle w:val="Enumlevel1"/>
        <w:rPr>
          <w:rtl/>
        </w:rPr>
      </w:pPr>
      <w:r>
        <w:sym w:font="Symbol" w:char="F02D"/>
      </w:r>
      <w:r>
        <w:tab/>
      </w:r>
      <w:r>
        <w:rPr>
          <w:rtl/>
        </w:rPr>
        <w:t>العمل مع وكالات أو وزارات حكومية أخرى لتطوير مبادرات تحفز الطلب على الخدمات والتطبيقات في إطار الأهداف الاستراتيجية الأوسع نطاقاً، مثل توصيل المؤسسات العامة (وخصوصاً الإدارات العامة والمدارس والمكتبات والمستشفيات) ومصالح الأعمال والمستخدمين في المناطق السكنية بالنطاق العريض وتعزيز التنمية الاقتصادية والشمول الرقمي والتماسك الاجتماعي وتكافؤ الفرص.</w:t>
      </w:r>
    </w:p>
    <w:p w:rsidR="00111C25" w:rsidRDefault="00111C25" w:rsidP="00111C25">
      <w:pPr>
        <w:pStyle w:val="Enumlevel1"/>
        <w:rPr>
          <w:rtl/>
          <w:lang w:bidi="ar"/>
        </w:rPr>
      </w:pPr>
      <w:r>
        <w:sym w:font="Symbol" w:char="F02D"/>
      </w:r>
      <w:r>
        <w:tab/>
      </w:r>
      <w:r>
        <w:rPr>
          <w:rtl/>
        </w:rPr>
        <w:t xml:space="preserve">تشجيع نشر شبكات النفاذ </w:t>
      </w:r>
      <w:r>
        <w:rPr>
          <w:rtl/>
          <w:lang w:bidi="ar"/>
        </w:rPr>
        <w:t xml:space="preserve">عريض النطاق </w:t>
      </w:r>
      <w:r>
        <w:rPr>
          <w:rtl/>
        </w:rPr>
        <w:t>اللاسلكية عن طريق إخلاء الطيف اللازم، مع الأخذ في الاعتبار كل مصادر الطلب عليه. ويمكن تعزيز هذه الاستراتيجية من خلال اتباع نهج الحياد التكنولوجي تجاه تخصيصات الطيف.</w:t>
      </w:r>
    </w:p>
    <w:p w:rsidR="00111C25" w:rsidRDefault="00111C25" w:rsidP="00111C25">
      <w:pPr>
        <w:pStyle w:val="Enumlevel1"/>
        <w:rPr>
          <w:lang w:bidi="ar-EG"/>
        </w:rPr>
      </w:pPr>
      <w:r>
        <w:sym w:font="Symbol" w:char="F02D"/>
      </w:r>
      <w:r>
        <w:tab/>
      </w:r>
      <w:r>
        <w:rPr>
          <w:rtl/>
        </w:rPr>
        <w:t xml:space="preserve">تشجيع إدخال تحسينات على شبكات الألياف البصرية الفقرية لتعزيز قدرة تكنولوجيا النطاق العريض السلكية واللاسلكية على السواء. وتشمل هذه الخطوات إقامة التآزر مع مشاريع البنية التحتية للنقل والطاقة وتقديم حوافز لمشغلي الاتصالات المتنقلة من الجيل الثاني </w:t>
      </w:r>
      <w:r>
        <w:rPr>
          <w:lang w:bidi="ar"/>
        </w:rPr>
        <w:t>(G2)</w:t>
      </w:r>
      <w:r>
        <w:rPr>
          <w:rtl/>
        </w:rPr>
        <w:t xml:space="preserve"> لتبديل وصلاتهم العاملة على الموجات الصغرية بشبكات الألياف </w:t>
      </w:r>
      <w:r>
        <w:rPr>
          <w:rtl/>
        </w:rPr>
        <w:lastRenderedPageBreak/>
        <w:t>البصرية. ومفاد ذلك أيضاً تمكين جميع مالكي موارد الاتصالات هذه من تأجير السعات غير المستخدمة للآخرين من أجل النشر التجاري.</w:t>
      </w:r>
    </w:p>
    <w:p w:rsidR="00111C25" w:rsidRDefault="00111C25" w:rsidP="00111C25">
      <w:pPr>
        <w:pStyle w:val="Enumlevel1"/>
        <w:rPr>
          <w:rtl/>
        </w:rPr>
      </w:pPr>
      <w:r>
        <w:sym w:font="Symbol" w:char="F02D"/>
      </w:r>
      <w:r>
        <w:tab/>
      </w:r>
      <w:r>
        <w:rPr>
          <w:rtl/>
        </w:rPr>
        <w:t xml:space="preserve">الربط بين استراتيجيات تطوير النفاذ </w:t>
      </w:r>
      <w:r>
        <w:rPr>
          <w:rtl/>
          <w:lang w:bidi="ar"/>
        </w:rPr>
        <w:t xml:space="preserve">عريض النطاق </w:t>
      </w:r>
      <w:r>
        <w:rPr>
          <w:rtl/>
        </w:rPr>
        <w:t>والجهود المبذولة لمساعدة الناس على الحصول على أجهزة الحاسوب الشخصي أو أجهزة أخرى. وبناء أكشاك إنترنت ترعاها الحكومة ومطاريف نفاذ، ولا</w:t>
      </w:r>
      <w:r>
        <w:rPr>
          <w:lang w:bidi="ar"/>
        </w:rPr>
        <w:t> </w:t>
      </w:r>
      <w:r>
        <w:rPr>
          <w:rtl/>
        </w:rPr>
        <w:t>سيما في المناطق التي يزمَع نشر شبكات النطاق العريض فيها.</w:t>
      </w:r>
    </w:p>
    <w:p w:rsidR="00111C25" w:rsidRDefault="00111C25" w:rsidP="00111C25">
      <w:pPr>
        <w:rPr>
          <w:bCs/>
          <w:rtl/>
        </w:rPr>
      </w:pPr>
      <w:r>
        <w:rPr>
          <w:rtl/>
        </w:rPr>
        <w:t>وإذ تنظر الجهات التنظيمية في استراتيجيات جديدة وتنفذها، يجب أن تبقى مرنة</w:t>
      </w:r>
      <w:r>
        <w:rPr>
          <w:lang w:bidi="ar"/>
        </w:rPr>
        <w:t>.</w:t>
      </w:r>
      <w:r>
        <w:rPr>
          <w:bCs/>
          <w:rtl/>
        </w:rPr>
        <w:t>"</w:t>
      </w:r>
      <w:r>
        <w:rPr>
          <w:rStyle w:val="FootnoteReference"/>
          <w:rtl/>
        </w:rPr>
        <w:footnoteReference w:id="54"/>
      </w:r>
    </w:p>
    <w:p w:rsidR="00111C25" w:rsidRDefault="00111C25" w:rsidP="005A67D3">
      <w:pPr>
        <w:keepNext/>
        <w:rPr>
          <w:rtl/>
        </w:rPr>
      </w:pPr>
      <w:r>
        <w:rPr>
          <w:rtl/>
          <w:lang w:bidi="ar"/>
        </w:rPr>
        <w:t>وينبغي أن تسعى سياسات النطاق العريض لتشجيع كل التكنولوجيات على قدم المساواة. ويوصى المنظمون وصانعو السياسات بالممارسات الفضلى التالية للمساعدة في تعزيز الحلول الساتلية لنشر النطاق العريض:</w:t>
      </w:r>
    </w:p>
    <w:p w:rsidR="00111C25" w:rsidRDefault="00111C25" w:rsidP="00111C25">
      <w:pPr>
        <w:pStyle w:val="Enumlevel1"/>
        <w:rPr>
          <w:rtl/>
        </w:rPr>
      </w:pPr>
      <w:r>
        <w:sym w:font="Symbol" w:char="F02D"/>
      </w:r>
      <w:r>
        <w:tab/>
      </w:r>
      <w:r>
        <w:rPr>
          <w:rtl/>
          <w:lang w:bidi="ar"/>
        </w:rPr>
        <w:t>خطط النطاق العريض - إدراج التكنولوجيات الساتلية في خطط النطاق العريض الوطنية (النفاذ إلى الطيف، والتمويل، وإدخال التحسينات، وما إلى ذلك).</w:t>
      </w:r>
    </w:p>
    <w:p w:rsidR="00111C25" w:rsidRDefault="00111C25" w:rsidP="00111C25">
      <w:pPr>
        <w:pStyle w:val="Enumlevel1"/>
        <w:rPr>
          <w:rtl/>
          <w:lang w:bidi="ar"/>
        </w:rPr>
      </w:pPr>
      <w:r>
        <w:sym w:font="Symbol" w:char="F02D"/>
      </w:r>
      <w:r>
        <w:tab/>
      </w:r>
      <w:r>
        <w:rPr>
          <w:rtl/>
        </w:rPr>
        <w:t xml:space="preserve">النفاذ إلى الطيف - مواءمة توزيعات الخدمة الثابتة الساتلية، بما في ذلك ضمن النطاق </w:t>
      </w:r>
      <w:r>
        <w:rPr>
          <w:lang w:bidi="ar"/>
        </w:rPr>
        <w:t>Ka</w:t>
      </w:r>
      <w:r>
        <w:rPr>
          <w:rtl/>
        </w:rPr>
        <w:t>، في جداول الترددات الوطنية مع توزيعات جداول الاتحاد الدولي للاتصالات.</w:t>
      </w:r>
    </w:p>
    <w:p w:rsidR="00111C25" w:rsidRDefault="00111C25" w:rsidP="00111C25">
      <w:pPr>
        <w:pStyle w:val="Enumlevel1"/>
        <w:rPr>
          <w:rtl/>
          <w:lang w:bidi="ar"/>
        </w:rPr>
      </w:pPr>
      <w:r>
        <w:sym w:font="Symbol" w:char="F02D"/>
      </w:r>
      <w:r>
        <w:tab/>
      </w:r>
      <w:r>
        <w:rPr>
          <w:rtl/>
        </w:rPr>
        <w:t>التشارك الأولي المشترك - اتباع لوائح الراديو في الاتحاد بشأن التشارك بين الأنظمة الساتلية والأنظمة اللاسلكية للأرض.</w:t>
      </w:r>
    </w:p>
    <w:p w:rsidR="00111C25" w:rsidRDefault="00111C25" w:rsidP="005A67D3">
      <w:pPr>
        <w:pStyle w:val="Enumlevel1"/>
        <w:rPr>
          <w:rtl/>
          <w:lang w:bidi="ar"/>
        </w:rPr>
      </w:pPr>
      <w:r>
        <w:sym w:font="Symbol" w:char="F02D"/>
      </w:r>
      <w:r>
        <w:tab/>
      </w:r>
      <w:r>
        <w:rPr>
          <w:rtl/>
        </w:rPr>
        <w:t xml:space="preserve">الترخيص </w:t>
      </w:r>
      <w:r w:rsidR="005A67D3">
        <w:rPr>
          <w:rFonts w:hint="cs"/>
          <w:rtl/>
        </w:rPr>
        <w:t>-</w:t>
      </w:r>
      <w:r>
        <w:rPr>
          <w:rtl/>
        </w:rPr>
        <w:t xml:space="preserve"> تبسيط الترخيص للمشغل الساتلي ومقدم الخدمة الوطنية بشأن خدمات النطاق العريض للسماح بنفاذ خدمة "الأجواء المفتوحة" إلى السعات المتاحة.</w:t>
      </w:r>
    </w:p>
    <w:p w:rsidR="00111C25" w:rsidRDefault="00111C25" w:rsidP="00111C25">
      <w:pPr>
        <w:pStyle w:val="Enumlevel1"/>
        <w:rPr>
          <w:rtl/>
          <w:lang w:bidi="ar"/>
        </w:rPr>
      </w:pPr>
      <w:r>
        <w:sym w:font="Symbol" w:char="F02D"/>
      </w:r>
      <w:r>
        <w:tab/>
      </w:r>
      <w:r>
        <w:rPr>
          <w:rtl/>
        </w:rPr>
        <w:t>المعدات الساتلية - التعجيل بالموافقات على المعدات الساتلية الجديدة القادرة على التعامل مع النطاق العريض: الموافقات على الأنماط، وإقرار المعدات، ورسوم وإجراءات الاستيراد/التصدير.</w:t>
      </w:r>
    </w:p>
    <w:p w:rsidR="00111C25" w:rsidRDefault="00111C25" w:rsidP="00111C25">
      <w:pPr>
        <w:pStyle w:val="Enumlevel1"/>
        <w:rPr>
          <w:rtl/>
          <w:lang w:bidi="ar"/>
        </w:rPr>
      </w:pPr>
      <w:r>
        <w:sym w:font="Symbol" w:char="F02D"/>
      </w:r>
      <w:r>
        <w:tab/>
      </w:r>
      <w:r>
        <w:rPr>
          <w:rtl/>
        </w:rPr>
        <w:t xml:space="preserve">رسوم الطيف الترددي - النظر في نهج خفض الرسوم، مع الأخذ بعين الاعتبار، التنمية الاقتصادية </w:t>
      </w:r>
      <w:r>
        <w:rPr>
          <w:spacing w:val="-2"/>
          <w:rtl/>
        </w:rPr>
        <w:t>والاجتماعية وغيرها من الاحتياجات المخدَّمة، وإبقاء تكاليف خدمات النطاق الأعلى الممررة إلى المستخدمين</w:t>
      </w:r>
      <w:r>
        <w:rPr>
          <w:rtl/>
        </w:rPr>
        <w:t xml:space="preserve"> النهائيين منخفضة لتحقيق أهداف سياسة نشر النطاق العريض.</w:t>
      </w:r>
    </w:p>
    <w:p w:rsidR="00111C25" w:rsidRDefault="00111C25" w:rsidP="00111C25">
      <w:pPr>
        <w:pStyle w:val="Heading2"/>
        <w:rPr>
          <w:rtl/>
        </w:rPr>
      </w:pPr>
      <w:bookmarkStart w:id="60" w:name="_Toc372276121"/>
      <w:bookmarkStart w:id="61" w:name="_Toc299438655"/>
      <w:bookmarkStart w:id="62" w:name="_Toc380496726"/>
      <w:r>
        <w:t>3.2</w:t>
      </w:r>
      <w:r>
        <w:tab/>
      </w:r>
      <w:r>
        <w:rPr>
          <w:rtl/>
        </w:rPr>
        <w:t>استراتيجيات المشغل لتعزيز نشر النطاق العريض</w:t>
      </w:r>
      <w:bookmarkEnd w:id="60"/>
      <w:bookmarkEnd w:id="61"/>
      <w:bookmarkEnd w:id="62"/>
    </w:p>
    <w:p w:rsidR="00111C25" w:rsidRDefault="00111C25" w:rsidP="00111C25">
      <w:pPr>
        <w:rPr>
          <w:rtl/>
        </w:rPr>
      </w:pPr>
      <w:r>
        <w:rPr>
          <w:rtl/>
        </w:rPr>
        <w:t>"إن اختصار تكاليف البنية التحتية إلى أدنى حد يشغُل المشغلين في البلدان المتقدمة فضلاً عن البلدان النامية. ولكن نظراً لانخفاض معدلات الانتشار ومتوسّط العائد على أساس كل مستخدم في البلدان النامية فإن هذا القيد أثقل في هذه البلدان. إذن، من وجهة نظر المشغلين هناك حاجة لبيئة تنظيمية من شأنها أن تقلل من تكاليف التنفيذ وبدء التنفيذ (مثل التزامات التغطية المستدامة، ورسوم ترخيص منخفضة، والاختيار بين تكنولوجيات بديلة تتيح نشر الشبكات بتكلفة مجزية، وإمكانية استخدام نطاقات ترددات أدنى، والتشارك في البنية التحتية). وعلاوةً على ذلك، بما أن شبكات الاتصالات المتنقلة في معظم البلدان النامية توفر تغطية أوسع نطاقاً من التي توفرها شبكات الاتصالات الثابتة، فإن الإدارات في هذه الدول قد ترغب في دعم استخدام هذه الشبكات لتطبيقات الاتصالات الثابتة/البيانات."</w:t>
      </w:r>
      <w:r>
        <w:rPr>
          <w:rStyle w:val="FootnoteReference"/>
          <w:rtl/>
        </w:rPr>
        <w:footnoteReference w:id="55"/>
      </w:r>
    </w:p>
    <w:p w:rsidR="00111C25" w:rsidRDefault="00111C25" w:rsidP="005A67D3">
      <w:pPr>
        <w:pStyle w:val="Tabletitle"/>
      </w:pPr>
      <w:bookmarkStart w:id="63" w:name="_Toc372276122"/>
      <w:bookmarkStart w:id="64" w:name="_Toc380497405"/>
      <w:r>
        <w:rPr>
          <w:rtl/>
        </w:rPr>
        <w:lastRenderedPageBreak/>
        <w:t xml:space="preserve">الجدول </w:t>
      </w:r>
      <w:r>
        <w:t>1-3.2</w:t>
      </w:r>
      <w:r w:rsidR="005A67D3">
        <w:rPr>
          <w:rFonts w:hint="cs"/>
          <w:rtl/>
        </w:rPr>
        <w:t>:</w:t>
      </w:r>
      <w:r>
        <w:rPr>
          <w:rtl/>
        </w:rPr>
        <w:t xml:space="preserve"> الاحتياجات الخاصة للمشغلين</w:t>
      </w:r>
      <w:bookmarkEnd w:id="63"/>
      <w:bookmarkEnd w:id="64"/>
    </w:p>
    <w:tbl>
      <w:tblPr>
        <w:bidiVisual/>
        <w:tblW w:w="0" w:type="auto"/>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7072"/>
      </w:tblGrid>
      <w:tr w:rsidR="00111C25" w:rsidRPr="00096506" w:rsidTr="008E5F1C">
        <w:trPr>
          <w:cantSplit/>
          <w:tblHeader/>
          <w:jc w:val="center"/>
        </w:trPr>
        <w:tc>
          <w:tcPr>
            <w:tcW w:w="1967" w:type="dxa"/>
            <w:tcBorders>
              <w:top w:val="single" w:sz="4" w:space="0" w:color="auto"/>
              <w:left w:val="single" w:sz="4" w:space="0" w:color="auto"/>
              <w:bottom w:val="single" w:sz="4" w:space="0" w:color="auto"/>
              <w:right w:val="single" w:sz="4" w:space="0" w:color="auto"/>
            </w:tcBorders>
            <w:shd w:val="clear" w:color="auto" w:fill="005173"/>
            <w:hideMark/>
          </w:tcPr>
          <w:p w:rsidR="00111C25" w:rsidRPr="00096506" w:rsidRDefault="00111C25" w:rsidP="00096506">
            <w:pPr>
              <w:pStyle w:val="Tablehead"/>
              <w:bidi/>
            </w:pPr>
            <w:r w:rsidRPr="00096506">
              <w:rPr>
                <w:rtl/>
              </w:rPr>
              <w:t>البند</w:t>
            </w:r>
          </w:p>
        </w:tc>
        <w:tc>
          <w:tcPr>
            <w:tcW w:w="7072" w:type="dxa"/>
            <w:tcBorders>
              <w:top w:val="single" w:sz="4" w:space="0" w:color="auto"/>
              <w:left w:val="single" w:sz="4" w:space="0" w:color="auto"/>
              <w:bottom w:val="single" w:sz="4" w:space="0" w:color="auto"/>
              <w:right w:val="single" w:sz="4" w:space="0" w:color="auto"/>
            </w:tcBorders>
            <w:shd w:val="clear" w:color="auto" w:fill="005173"/>
            <w:hideMark/>
          </w:tcPr>
          <w:p w:rsidR="00111C25" w:rsidRPr="00096506" w:rsidRDefault="00111C25" w:rsidP="00096506">
            <w:pPr>
              <w:pStyle w:val="Tablehead"/>
              <w:bidi/>
            </w:pPr>
            <w:r w:rsidRPr="00096506">
              <w:rPr>
                <w:rtl/>
              </w:rPr>
              <w:t>احتياجات المشغلين ومنطقها</w:t>
            </w:r>
            <w:r w:rsidRPr="00096506">
              <w:rPr>
                <w:rStyle w:val="FootnoteReference"/>
                <w:rFonts w:ascii="Calibri" w:hAnsi="Calibri"/>
                <w:rtl/>
              </w:rPr>
              <w:footnoteReference w:id="56"/>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التكاليف</w:t>
            </w:r>
          </w:p>
        </w:tc>
        <w:tc>
          <w:tcPr>
            <w:tcW w:w="7072"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rPr>
                <w:rtl/>
              </w:rPr>
            </w:pPr>
            <w:r w:rsidRPr="00096506">
              <w:rPr>
                <w:rtl/>
              </w:rPr>
              <w:t>ينبغي تقليل التكاليف إلى أدنى حد ممكن لأن لدى الغالبية العظمى من السكان ميزانية ضئيلة لإنفاقها على الاتصالات/التسلية.</w:t>
            </w:r>
          </w:p>
          <w:p w:rsidR="00111C25" w:rsidRPr="00096506" w:rsidRDefault="00111C25" w:rsidP="00096506">
            <w:pPr>
              <w:pStyle w:val="Tabletext"/>
            </w:pPr>
            <w:r w:rsidRPr="00096506">
              <w:rPr>
                <w:rtl/>
              </w:rPr>
              <w:t>استرداد النفقات الرأسمالية للتطوير </w:t>
            </w:r>
            <w:r w:rsidRPr="00096506">
              <w:t>(CAPEX)</w:t>
            </w:r>
            <w:r w:rsidRPr="00096506">
              <w:rPr>
                <w:rtl/>
              </w:rPr>
              <w:t>/للنقل وتكاليف التشغيل </w:t>
            </w:r>
            <w:r w:rsidRPr="00096506">
              <w:t>(OPEX)</w:t>
            </w:r>
            <w:r w:rsidRPr="00096506">
              <w:rPr>
                <w:rtl/>
              </w:rPr>
              <w:t>.</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النفاذ اللاسلكي الثابت</w:t>
            </w:r>
          </w:p>
        </w:tc>
        <w:tc>
          <w:tcPr>
            <w:tcW w:w="7072"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 xml:space="preserve">قد يوفر بعض المشغلين في المناطق الحضرية نفاذاً لا سلكياً ثابتاً لخدمات الاتصالات المتنقلة الدولية </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التزامات التغطية والانتشار</w:t>
            </w:r>
          </w:p>
        </w:tc>
        <w:tc>
          <w:tcPr>
            <w:tcW w:w="7072"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5A67D3" w:rsidRDefault="00111C25" w:rsidP="00096506">
            <w:pPr>
              <w:pStyle w:val="Tabletext"/>
              <w:rPr>
                <w:spacing w:val="-4"/>
                <w:rtl/>
              </w:rPr>
            </w:pPr>
            <w:r w:rsidRPr="005A67D3">
              <w:rPr>
                <w:spacing w:val="-4"/>
                <w:rtl/>
              </w:rPr>
              <w:t>التغطية المستهدفة/انتشار الخدمة والجدول الزمني للانتشار، الذي تضعه الهيئات التنظيمية في بعض الحالات.</w:t>
            </w:r>
          </w:p>
          <w:p w:rsidR="00111C25" w:rsidRPr="00096506" w:rsidRDefault="00111C25" w:rsidP="005A67D3">
            <w:pPr>
              <w:pStyle w:val="Tabletext"/>
              <w:rPr>
                <w:rtl/>
              </w:rPr>
            </w:pPr>
            <w:r w:rsidRPr="00096506">
              <w:rPr>
                <w:rtl/>
              </w:rPr>
              <w:t>ينبغي أن يكون هدف التغطية بأنظمة الاتصالات المتنقلة الدولية، الذي سيتحقق بمرور الوقت، متفقاً مع الأنظمة الحالية السابقة على الاتصالات المتنقلة الدولية-</w:t>
            </w:r>
            <w:r w:rsidRPr="00096506">
              <w:t>2000</w:t>
            </w:r>
            <w:r w:rsidRPr="00096506">
              <w:rPr>
                <w:rtl/>
              </w:rPr>
              <w:t>.</w:t>
            </w:r>
          </w:p>
          <w:p w:rsidR="00111C25" w:rsidRPr="00096506" w:rsidRDefault="00111C25" w:rsidP="00096506">
            <w:pPr>
              <w:pStyle w:val="Tabletext"/>
            </w:pPr>
            <w:r w:rsidRPr="00096506">
              <w:rPr>
                <w:rtl/>
              </w:rPr>
              <w:t>يجب تحديد التزامات الانتشار مع مراعاة العملية التجارية للمشغل ومصلحة المستعمل.</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مدة الانتقال</w:t>
            </w:r>
          </w:p>
        </w:tc>
        <w:tc>
          <w:tcPr>
            <w:tcW w:w="7072"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الإطار الزمني للانتقال من الأنظمة الحالية "المتنقلة"/"الثابتة" إلى الاتصالات المتنقلة الدولية. وينبغي أن يكون للمشغلين المرونة القصوى في تحديد عملية الانتقال وإنجازها.</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التطبيق الجماهيري</w:t>
            </w:r>
          </w:p>
        </w:tc>
        <w:tc>
          <w:tcPr>
            <w:tcW w:w="7072"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قد تحتاج التطبيقات التي من قبيل التعليم عن بُعد والطب عن بُعد والحكومة الإلكترونية إلى تكنولوجيات الاتصالات المتنقلة.</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الدعم الحكومي</w:t>
            </w:r>
          </w:p>
        </w:tc>
        <w:tc>
          <w:tcPr>
            <w:tcW w:w="7072"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دور الدعم الحكومي للبنية التحتية و/أو التطبيقات المتقدمة (لا للبنية التحتية بل لكي تكون الخدمات في متناول الجميع، بما في ذلك التزامات الخدمة العامة).</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انخفاض القيمة</w:t>
            </w:r>
          </w:p>
        </w:tc>
        <w:tc>
          <w:tcPr>
            <w:tcW w:w="7072"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إمكانية تقادم الاستثمارات في البنية التحتية الجديدة أثناء انتظار نشوء الطلب على الاتصالات المتنقلة الدولية.</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نطاقات الاتصالات المتنقلة الدولية</w:t>
            </w:r>
          </w:p>
        </w:tc>
        <w:tc>
          <w:tcPr>
            <w:tcW w:w="7072" w:type="dxa"/>
            <w:tcBorders>
              <w:top w:val="single" w:sz="4" w:space="0" w:color="auto"/>
              <w:left w:val="single" w:sz="4" w:space="0" w:color="auto"/>
              <w:bottom w:val="single" w:sz="4" w:space="0" w:color="auto"/>
              <w:right w:val="single" w:sz="4" w:space="0" w:color="auto"/>
            </w:tcBorders>
            <w:hideMark/>
          </w:tcPr>
          <w:p w:rsidR="00111C25" w:rsidRPr="005A67D3" w:rsidRDefault="00111C25" w:rsidP="005A67D3">
            <w:pPr>
              <w:pStyle w:val="Tabletext"/>
              <w:rPr>
                <w:spacing w:val="-4"/>
              </w:rPr>
            </w:pPr>
            <w:r w:rsidRPr="005A67D3">
              <w:rPr>
                <w:spacing w:val="-4"/>
                <w:rtl/>
              </w:rPr>
              <w:t>يلزم النفاذ إلى نطاقات ترددية مناسبة وجزء كاف من الطيف. وقد يكون استعمال الترددات الأدنى من</w:t>
            </w:r>
            <w:r w:rsidR="005A67D3" w:rsidRPr="005A67D3">
              <w:rPr>
                <w:rFonts w:hint="cs"/>
                <w:spacing w:val="-4"/>
                <w:rtl/>
              </w:rPr>
              <w:t xml:space="preserve"> </w:t>
            </w:r>
            <w:r w:rsidRPr="005A67D3">
              <w:rPr>
                <w:spacing w:val="-4"/>
              </w:rPr>
              <w:t>1</w:t>
            </w:r>
            <w:r w:rsidR="005A67D3" w:rsidRPr="005A67D3">
              <w:rPr>
                <w:rFonts w:hint="cs"/>
                <w:spacing w:val="-4"/>
                <w:rtl/>
              </w:rPr>
              <w:t> </w:t>
            </w:r>
            <w:r w:rsidRPr="005A67D3">
              <w:rPr>
                <w:spacing w:val="-4"/>
              </w:rPr>
              <w:t>GHz</w:t>
            </w:r>
            <w:r w:rsidRPr="005A67D3">
              <w:rPr>
                <w:spacing w:val="-4"/>
                <w:rtl/>
              </w:rPr>
              <w:t xml:space="preserve"> وتخصيص النطاقات الترددية في المستقبل حسب قرارات المؤتمر العالمي للاتصالات الراديوية/المؤتمر العالمي الإداري للراديو مفيداً في توفير تغطية تحقق فعالية التكاليف. وإن استعمال النطاقات المتوافقة للاتصالات المتنقلة الدولية يقلل من تكاليف المعدات وييسر التجول على الصعيد العالمي.</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الشروط التقنية والإدارية</w:t>
            </w:r>
          </w:p>
        </w:tc>
        <w:tc>
          <w:tcPr>
            <w:tcW w:w="7072"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شروط استخدام الطيف (إصدار الرخص/التجول/التغطية/الالتزامات الأخرى للمشغل).</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تقاسم البنية التحتية</w:t>
            </w:r>
          </w:p>
        </w:tc>
        <w:tc>
          <w:tcPr>
            <w:tcW w:w="7072"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يمكن التشجيع على تقاسم الموارد (الراديوية/موارد الشبكة) من أجل سرعة الانتشار والتغطية (مشغل الشبكة الافتراضية) لتيسير الانتشار السريع للتكنولوجيات الجديدة وخفض التكاليف التي يتكبدها المشغلون.</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العنصر الساتلي</w:t>
            </w:r>
          </w:p>
        </w:tc>
        <w:tc>
          <w:tcPr>
            <w:tcW w:w="7072"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استعمال العنصر الساتلي للاتصالات المتنقلة الدولية-</w:t>
            </w:r>
            <w:r w:rsidRPr="00096506">
              <w:t>2000</w:t>
            </w:r>
            <w:r w:rsidRPr="00096506">
              <w:rPr>
                <w:rtl/>
              </w:rPr>
              <w:t>.</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تحليل السوق وحالات الأعمال</w:t>
            </w:r>
          </w:p>
        </w:tc>
        <w:tc>
          <w:tcPr>
            <w:tcW w:w="7072" w:type="dxa"/>
            <w:tcBorders>
              <w:top w:val="single" w:sz="4" w:space="0" w:color="auto"/>
              <w:left w:val="single" w:sz="4" w:space="0" w:color="auto"/>
              <w:bottom w:val="single" w:sz="4" w:space="0" w:color="auto"/>
              <w:right w:val="single" w:sz="4" w:space="0" w:color="auto"/>
            </w:tcBorders>
            <w:hideMark/>
          </w:tcPr>
          <w:p w:rsidR="00111C25" w:rsidRPr="00096506" w:rsidRDefault="00111C25" w:rsidP="00096506">
            <w:pPr>
              <w:pStyle w:val="Tabletext"/>
            </w:pPr>
            <w:r w:rsidRPr="00096506">
              <w:rPr>
                <w:rtl/>
              </w:rPr>
              <w:t>كيف يجري تحليل السوق أو تطوير حالة أعمال؟ (درجة الإلمام بالقراءة والكتابة بين السكان، والدخل المتاح، ...).</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096506">
            <w:pPr>
              <w:pStyle w:val="Tabletext"/>
            </w:pPr>
            <w:r w:rsidRPr="00096506">
              <w:rPr>
                <w:rtl/>
              </w:rPr>
              <w:t>الخدمات والتطبيقات</w:t>
            </w:r>
          </w:p>
        </w:tc>
        <w:tc>
          <w:tcPr>
            <w:tcW w:w="7072" w:type="dxa"/>
            <w:tcBorders>
              <w:top w:val="single" w:sz="4" w:space="0" w:color="auto"/>
              <w:left w:val="single" w:sz="4" w:space="0" w:color="auto"/>
              <w:bottom w:val="single" w:sz="4" w:space="0" w:color="auto"/>
              <w:right w:val="single" w:sz="4" w:space="0" w:color="auto"/>
            </w:tcBorders>
            <w:shd w:val="clear" w:color="auto" w:fill="E8F8FD"/>
            <w:hideMark/>
          </w:tcPr>
          <w:p w:rsidR="00111C25" w:rsidRPr="00096506" w:rsidRDefault="00111C25" w:rsidP="005A67D3">
            <w:pPr>
              <w:pStyle w:val="Tabletext"/>
              <w:tabs>
                <w:tab w:val="clear" w:pos="567"/>
                <w:tab w:val="left" w:pos="271"/>
              </w:tabs>
              <w:ind w:left="271" w:hanging="271"/>
              <w:rPr>
                <w:rtl/>
              </w:rPr>
            </w:pPr>
            <w:r w:rsidRPr="00096506">
              <w:rPr>
                <w:rtl/>
              </w:rPr>
              <w:t>-</w:t>
            </w:r>
            <w:r w:rsidRPr="00096506">
              <w:rPr>
                <w:rtl/>
              </w:rPr>
              <w:tab/>
              <w:t>من شأن انخفاض رسوم الدخول خفض تكاليف دخول مقدم الخدمة.</w:t>
            </w:r>
          </w:p>
          <w:p w:rsidR="00111C25" w:rsidRPr="00096506" w:rsidRDefault="00111C25" w:rsidP="005A67D3">
            <w:pPr>
              <w:pStyle w:val="Tabletext"/>
              <w:tabs>
                <w:tab w:val="clear" w:pos="567"/>
                <w:tab w:val="left" w:pos="271"/>
              </w:tabs>
              <w:ind w:left="271" w:hanging="271"/>
            </w:pPr>
            <w:r w:rsidRPr="00096506">
              <w:rPr>
                <w:rtl/>
              </w:rPr>
              <w:t>-</w:t>
            </w:r>
            <w:r w:rsidRPr="00096506">
              <w:rPr>
                <w:rtl/>
              </w:rPr>
              <w:tab/>
              <w:t>استعمال الاتصالات المتنقلة الدولية في القرى النائية للنفاذ إلى التعليم والتنمية الاقتصادية الريفية، والنفاذ إلى الإنترنت بسعر في متناول الناس.</w:t>
            </w:r>
          </w:p>
        </w:tc>
      </w:tr>
      <w:tr w:rsidR="00111C25" w:rsidTr="008E5F1C">
        <w:trPr>
          <w:cantSplit/>
          <w:jc w:val="center"/>
        </w:trPr>
        <w:tc>
          <w:tcPr>
            <w:tcW w:w="1967" w:type="dxa"/>
            <w:tcBorders>
              <w:top w:val="single" w:sz="4" w:space="0" w:color="auto"/>
              <w:left w:val="single" w:sz="4" w:space="0" w:color="auto"/>
              <w:bottom w:val="single" w:sz="4" w:space="0" w:color="auto"/>
              <w:right w:val="single" w:sz="4" w:space="0" w:color="auto"/>
            </w:tcBorders>
            <w:hideMark/>
          </w:tcPr>
          <w:p w:rsidR="00111C25" w:rsidRPr="00096506" w:rsidRDefault="00111C25" w:rsidP="008E5F1C">
            <w:pPr>
              <w:pStyle w:val="Tabletext"/>
              <w:keepNext/>
            </w:pPr>
            <w:r w:rsidRPr="00096506">
              <w:rPr>
                <w:rtl/>
              </w:rPr>
              <w:t>توافر المعدات من عدة بائعين</w:t>
            </w:r>
          </w:p>
        </w:tc>
        <w:tc>
          <w:tcPr>
            <w:tcW w:w="7072" w:type="dxa"/>
            <w:tcBorders>
              <w:top w:val="single" w:sz="4" w:space="0" w:color="auto"/>
              <w:left w:val="single" w:sz="4" w:space="0" w:color="auto"/>
              <w:bottom w:val="single" w:sz="4" w:space="0" w:color="auto"/>
              <w:right w:val="single" w:sz="4" w:space="0" w:color="auto"/>
            </w:tcBorders>
            <w:hideMark/>
          </w:tcPr>
          <w:p w:rsidR="00111C25" w:rsidRPr="00096506" w:rsidRDefault="00111C25" w:rsidP="008E5F1C">
            <w:pPr>
              <w:pStyle w:val="Tabletext"/>
              <w:keepNext/>
              <w:tabs>
                <w:tab w:val="clear" w:pos="567"/>
                <w:tab w:val="left" w:pos="271"/>
              </w:tabs>
              <w:spacing w:after="20"/>
              <w:ind w:left="271" w:hanging="271"/>
              <w:rPr>
                <w:rtl/>
              </w:rPr>
            </w:pPr>
            <w:r w:rsidRPr="00096506">
              <w:rPr>
                <w:rtl/>
              </w:rPr>
              <w:t>-</w:t>
            </w:r>
            <w:r w:rsidRPr="00096506">
              <w:rPr>
                <w:rtl/>
              </w:rPr>
              <w:tab/>
              <w:t>وجود عدة بائعين يزيد المنافسة وتترتب على ذلك آثار إيجابية في السعر لصالح المشغلين.</w:t>
            </w:r>
          </w:p>
          <w:p w:rsidR="00111C25" w:rsidRPr="00096506" w:rsidRDefault="00111C25" w:rsidP="008E5F1C">
            <w:pPr>
              <w:pStyle w:val="Tabletext"/>
              <w:keepNext/>
              <w:tabs>
                <w:tab w:val="clear" w:pos="567"/>
                <w:tab w:val="left" w:pos="271"/>
              </w:tabs>
              <w:spacing w:before="20" w:after="20"/>
              <w:ind w:left="272" w:hanging="272"/>
              <w:rPr>
                <w:rtl/>
              </w:rPr>
            </w:pPr>
            <w:r w:rsidRPr="00096506">
              <w:rPr>
                <w:rtl/>
              </w:rPr>
              <w:t>-</w:t>
            </w:r>
            <w:r w:rsidRPr="00096506">
              <w:rPr>
                <w:rtl/>
              </w:rPr>
              <w:tab/>
              <w:t>انخفاض درجة اعتماد المشغلين على البائعين.</w:t>
            </w:r>
          </w:p>
          <w:p w:rsidR="00111C25" w:rsidRPr="00096506" w:rsidRDefault="00111C25" w:rsidP="008E5F1C">
            <w:pPr>
              <w:pStyle w:val="Tabletext"/>
              <w:keepNext/>
              <w:tabs>
                <w:tab w:val="clear" w:pos="567"/>
                <w:tab w:val="left" w:pos="271"/>
              </w:tabs>
              <w:spacing w:before="20"/>
              <w:ind w:left="272" w:hanging="272"/>
              <w:rPr>
                <w:rtl/>
              </w:rPr>
            </w:pPr>
            <w:r w:rsidRPr="00096506">
              <w:rPr>
                <w:rtl/>
              </w:rPr>
              <w:t>-</w:t>
            </w:r>
            <w:r w:rsidRPr="00096506">
              <w:rPr>
                <w:rtl/>
              </w:rPr>
              <w:tab/>
              <w:t>تقتضي الأنظمة التي يتعامل فيها عدة بائعين التنميط من جانب مجتمع واسع النطاق، ويؤدي ذلك إلى معايير مفتوحة.</w:t>
            </w:r>
          </w:p>
        </w:tc>
      </w:tr>
    </w:tbl>
    <w:p w:rsidR="00111C25" w:rsidRDefault="00111C25" w:rsidP="000D7A17">
      <w:pPr>
        <w:pStyle w:val="Tablesource"/>
        <w:rPr>
          <w:rFonts w:ascii="Verdana" w:hAnsi="Verdana" w:cs="Simplified Arabic"/>
          <w:bCs/>
          <w:sz w:val="19"/>
          <w:szCs w:val="26"/>
          <w:rtl/>
          <w:lang w:bidi="ar-EG"/>
        </w:rPr>
      </w:pPr>
      <w:r>
        <w:rPr>
          <w:rtl/>
        </w:rPr>
        <w:t xml:space="preserve">انظر أيضاً دراسات الحالة المدرجة في </w:t>
      </w:r>
      <w:r>
        <w:rPr>
          <w:b/>
          <w:bCs/>
          <w:rtl/>
        </w:rPr>
        <w:t xml:space="preserve">الملحق </w:t>
      </w:r>
      <w:r>
        <w:rPr>
          <w:b/>
          <w:bCs/>
        </w:rPr>
        <w:t>I</w:t>
      </w:r>
      <w:r>
        <w:rPr>
          <w:rtl/>
        </w:rPr>
        <w:t>.</w:t>
      </w:r>
    </w:p>
    <w:p w:rsidR="00111C25" w:rsidRDefault="00111C25" w:rsidP="00853023">
      <w:pPr>
        <w:pStyle w:val="Heading1"/>
        <w:rPr>
          <w:rtl/>
        </w:rPr>
      </w:pPr>
      <w:bookmarkStart w:id="65" w:name="_Toc372276123"/>
      <w:bookmarkStart w:id="66" w:name="_Toc380496727"/>
      <w:r>
        <w:lastRenderedPageBreak/>
        <w:t>3</w:t>
      </w:r>
      <w:r>
        <w:rPr>
          <w:rtl/>
        </w:rPr>
        <w:tab/>
        <w:t>تكنولوجيا النطاق العريض</w:t>
      </w:r>
      <w:bookmarkEnd w:id="65"/>
      <w:bookmarkEnd w:id="66"/>
    </w:p>
    <w:p w:rsidR="00111C25" w:rsidRDefault="00111C25" w:rsidP="008E5F1C">
      <w:pPr>
        <w:pStyle w:val="Heading2"/>
        <w:spacing w:before="240"/>
        <w:rPr>
          <w:rtl/>
        </w:rPr>
      </w:pPr>
      <w:bookmarkStart w:id="67" w:name="_Toc372276124"/>
      <w:bookmarkStart w:id="68" w:name="_Toc380496728"/>
      <w:r>
        <w:t>1.3</w:t>
      </w:r>
      <w:r>
        <w:rPr>
          <w:rtl/>
        </w:rPr>
        <w:tab/>
        <w:t>اعتبارات النشر: السلكي مقابل اللاسلكي</w:t>
      </w:r>
      <w:r>
        <w:rPr>
          <w:rStyle w:val="FootnoteReference"/>
          <w:rFonts w:ascii="Verdana Bold" w:hAnsi="Verdana Bold"/>
          <w:rtl/>
        </w:rPr>
        <w:footnoteReference w:id="57"/>
      </w:r>
      <w:bookmarkEnd w:id="67"/>
      <w:bookmarkEnd w:id="68"/>
    </w:p>
    <w:p w:rsidR="00111C25" w:rsidRDefault="00111C25" w:rsidP="00111C25">
      <w:pPr>
        <w:rPr>
          <w:bCs/>
          <w:spacing w:val="-6"/>
          <w:rtl/>
        </w:rPr>
      </w:pPr>
      <w:r>
        <w:rPr>
          <w:spacing w:val="-6"/>
          <w:rtl/>
        </w:rPr>
        <w:t xml:space="preserve">تمثل التكنولوجيا اللاسلكية جزءاً متنامياً من البنية التحتية للاتصالات العالمية، وهي هامة لفهم الاتجاهات العامة للنطاق العريض ودوره بين التكنولوجيات اللاسلكية والسلكية. وإذ تتنافس التكنولوجيات اللاسلكية والسلكية فيما بينها أحياناً، فإنها تتكامل فيما بينها في معظم الأحيان. ويغلب أن تكون البنية التحتية الأساسية لنقل وصلة الربط ولشبكات الاتصالات اللاسلكية قائمة على نُهُج سلكية، سواء كانت بصرية أو نحاسية. وهذا ينطبق على شبكات </w:t>
      </w:r>
      <w:r>
        <w:rPr>
          <w:spacing w:val="-6"/>
          <w:lang w:bidi="ar"/>
        </w:rPr>
        <w:t>Wi-Fi</w:t>
      </w:r>
      <w:r>
        <w:rPr>
          <w:spacing w:val="-6"/>
          <w:rtl/>
        </w:rPr>
        <w:t xml:space="preserve"> وعلى الشبكات الخلوية سواء بسواء.</w:t>
      </w:r>
    </w:p>
    <w:p w:rsidR="00111C25" w:rsidRDefault="00111C25" w:rsidP="00111C25">
      <w:pPr>
        <w:rPr>
          <w:bCs/>
          <w:rtl/>
        </w:rPr>
      </w:pPr>
      <w:r>
        <w:rPr>
          <w:rtl/>
        </w:rPr>
        <w:t xml:space="preserve">وبما أن السعة الكامنة لوصلة الألياف البصرية تفوق كامل طيف الترددات الراديوية </w:t>
      </w:r>
      <w:r>
        <w:rPr>
          <w:lang w:bidi="ar"/>
        </w:rPr>
        <w:t>(RF)</w:t>
      </w:r>
      <w:r>
        <w:rPr>
          <w:rtl/>
        </w:rPr>
        <w:t xml:space="preserve"> المتاح، فإن تدفق البيانات عبر وصلات لا سلكية لا يشكل أبداً أكثر من نسبة ضئيلة من إجمالي حركة الاتصالات العالمية. ومع ذلك، تؤدي التكنولوجيا اللاسلكية دوراً كبيراً في مجال الشبكات والاتصالات لأنها توفر مقدرتين أساسيتين: التنقلية والنفاذ. وتشير التنقلية إلى ما إذا كانت الاتصالات غير المربوطة ساكنة أو في طور الحركة. أما النفاذ فيشير إلى خدمات الاتصالات، سواء المهاتفة أو الإنترنت، المقدمة بسهولة عبر المناطق الجغرافية، وغالباً ما يكون إنجاز النفاذ أسهل بالنهج السلكية، وبخاصة في الحالات التأسيسية حيث تقل البنية التحتية للاتصالات القائمة. وبالتالي، ونظراً لهذه الخصائص، قد يقل حجم الاتصالات المتنقلة عن حجم الاتصالات السلكية، ولكن المساهمة الإجمالية للاتصالات المتنقلة في الاتصالات في العالم ليس أقل أهمية، وكذا أثرها الاجتماعي والسياسي والاقتصادي.</w:t>
      </w:r>
    </w:p>
    <w:p w:rsidR="00111C25" w:rsidRDefault="00111C25" w:rsidP="00111C25">
      <w:pPr>
        <w:rPr>
          <w:rtl/>
          <w:lang w:bidi="ar"/>
        </w:rPr>
      </w:pPr>
      <w:r>
        <w:rPr>
          <w:rtl/>
        </w:rPr>
        <w:t xml:space="preserve">إن النجاح العالمي الساحق للهواتف المتنقلة واعتماد البيانات المتنقلة على نحو متزايد الآن، يبيّن بشكل قاطع الرغبة في الاتصالات ذات التوجه المتنقل. وتوقعت مؤسسة البحوث بورتيو </w:t>
      </w:r>
      <w:r>
        <w:rPr>
          <w:lang w:bidi="ar"/>
        </w:rPr>
        <w:t>(Portio)</w:t>
      </w:r>
      <w:r>
        <w:rPr>
          <w:rtl/>
        </w:rPr>
        <w:t xml:space="preserve"> </w:t>
      </w:r>
      <w:r>
        <w:rPr>
          <w:rFonts w:hint="cs"/>
          <w:rtl/>
        </w:rPr>
        <w:t xml:space="preserve">في أبريل </w:t>
      </w:r>
      <w:r>
        <w:rPr>
          <w:lang w:bidi="ar"/>
        </w:rPr>
        <w:t>2012</w:t>
      </w:r>
      <w:r>
        <w:rPr>
          <w:rtl/>
        </w:rPr>
        <w:t xml:space="preserve"> </w:t>
      </w:r>
      <w:r>
        <w:rPr>
          <w:rFonts w:hint="cs"/>
          <w:rtl/>
        </w:rPr>
        <w:t xml:space="preserve">أن إيرادات البيانات </w:t>
      </w:r>
      <w:r>
        <w:rPr>
          <w:rFonts w:hint="cs"/>
          <w:spacing w:val="-2"/>
          <w:rtl/>
        </w:rPr>
        <w:t xml:space="preserve">المتنقلة في جميع أنحاء العالم من شأنها أن تزداد بمعدل نمو سنوي مركب قدره </w:t>
      </w:r>
      <w:r>
        <w:rPr>
          <w:spacing w:val="-2"/>
          <w:lang w:bidi="ar"/>
        </w:rPr>
        <w:t>13,2</w:t>
      </w:r>
      <w:r>
        <w:rPr>
          <w:spacing w:val="-2"/>
          <w:rtl/>
        </w:rPr>
        <w:t xml:space="preserve"> </w:t>
      </w:r>
      <w:r>
        <w:rPr>
          <w:rFonts w:hint="cs"/>
          <w:spacing w:val="-2"/>
          <w:rtl/>
        </w:rPr>
        <w:t xml:space="preserve">في المائة لتصل إلى </w:t>
      </w:r>
      <w:r>
        <w:rPr>
          <w:spacing w:val="-2"/>
          <w:lang w:bidi="ar"/>
        </w:rPr>
        <w:t>539,9</w:t>
      </w:r>
      <w:r>
        <w:rPr>
          <w:spacing w:val="-2"/>
          <w:rtl/>
        </w:rPr>
        <w:t xml:space="preserve"> مليار</w:t>
      </w:r>
      <w:r>
        <w:rPr>
          <w:rtl/>
        </w:rPr>
        <w:t xml:space="preserve"> دولار بنهاية عام </w:t>
      </w:r>
      <w:r>
        <w:rPr>
          <w:lang w:bidi="ar"/>
        </w:rPr>
        <w:t>2015</w:t>
      </w:r>
      <w:r>
        <w:rPr>
          <w:rtl/>
        </w:rPr>
        <w:t>.</w:t>
      </w:r>
      <w:r>
        <w:rPr>
          <w:rStyle w:val="FootnoteReference"/>
          <w:rtl/>
        </w:rPr>
        <w:footnoteReference w:id="58"/>
      </w:r>
      <w:r>
        <w:rPr>
          <w:rtl/>
        </w:rPr>
        <w:t xml:space="preserve"> سوى أن مسألة استخدام التكنولوجيا اللاسلكية للنفاذ أكثر تعقيداً. فلا بد من النظر في أداء وسعة التكنولوجيات اللاسلكية نسبةً إلى النهج السلكية، وماهية البنية التحتية السلكية التي قد تكون موجودة بالفعل، ومستجدات تكنولوجيا الاتصالات السلكية. سيما وأن شبكات الاتصالات السلكية كانت دائماً ذات سعة أكبر، وسجلها التاريخي يُنبئ بتمرير معدلات صبيب أسرع. ويبين الشكل </w:t>
      </w:r>
      <w:r>
        <w:rPr>
          <w:lang w:bidi="ar"/>
        </w:rPr>
        <w:t>1-1.3</w:t>
      </w:r>
      <w:r>
        <w:rPr>
          <w:rtl/>
        </w:rPr>
        <w:t xml:space="preserve"> التقدم المحرز في معدلات الصبيب لمستخدم نمطي، وتفوق ثابت بمقدار عشرة أمثال للتكنولوجيات السلكية مقارنةً بالتكنولوجيات اللاسلكية</w:t>
      </w:r>
      <w:r>
        <w:rPr>
          <w:rtl/>
          <w:lang w:bidi="ar"/>
        </w:rPr>
        <w:t>.</w:t>
      </w:r>
    </w:p>
    <w:p w:rsidR="00111C25" w:rsidRDefault="00111C25" w:rsidP="00853023">
      <w:pPr>
        <w:pStyle w:val="Figuretitle"/>
        <w:rPr>
          <w:rtl/>
        </w:rPr>
      </w:pPr>
      <w:bookmarkStart w:id="69" w:name="_Toc372276125"/>
      <w:bookmarkStart w:id="70" w:name="_Toc380497240"/>
      <w:r>
        <w:rPr>
          <w:rtl/>
        </w:rPr>
        <w:lastRenderedPageBreak/>
        <w:t xml:space="preserve">الشكل </w:t>
      </w:r>
      <w:r>
        <w:rPr>
          <w:lang w:bidi="ar"/>
        </w:rPr>
        <w:t>1-1.3</w:t>
      </w:r>
      <w:r w:rsidR="00853023">
        <w:rPr>
          <w:rFonts w:hint="cs"/>
          <w:rtl/>
          <w:lang w:bidi="ar"/>
        </w:rPr>
        <w:t>:</w:t>
      </w:r>
      <w:r>
        <w:rPr>
          <w:rtl/>
          <w:lang w:bidi="ar"/>
        </w:rPr>
        <w:t xml:space="preserve"> </w:t>
      </w:r>
      <w:r>
        <w:rPr>
          <w:rtl/>
        </w:rPr>
        <w:t>التقدم المحرز للتكنولوجيات السلكية واللاسلكية في معدلات صبيب المستخدم النمطية</w:t>
      </w:r>
      <w:bookmarkEnd w:id="69"/>
      <w:bookmarkEnd w:id="70"/>
    </w:p>
    <w:p w:rsidR="00111C25" w:rsidRDefault="00853023" w:rsidP="00853023">
      <w:pPr>
        <w:pStyle w:val="Figure"/>
        <w:rPr>
          <w:rtl/>
        </w:rPr>
      </w:pPr>
      <w:r>
        <w:object w:dxaOrig="8077" w:dyaOrig="4500">
          <v:shape id="_x0000_i1026" type="#_x0000_t75" style="width:403.55pt;height:224.35pt" o:ole="">
            <v:imagedata r:id="rId24" o:title=""/>
          </v:shape>
          <o:OLEObject Type="Embed" ProgID="Word.Document.12" ShapeID="_x0000_i1026" DrawAspect="Content" ObjectID="_1455084583" r:id="rId25">
            <o:FieldCodes>\s</o:FieldCodes>
          </o:OLEObject>
        </w:object>
      </w:r>
    </w:p>
    <w:p w:rsidR="00111C25" w:rsidRDefault="00111C25" w:rsidP="00111C25">
      <w:pPr>
        <w:spacing w:before="360"/>
        <w:rPr>
          <w:bCs/>
          <w:rtl/>
        </w:rPr>
      </w:pPr>
      <w:r>
        <w:rPr>
          <w:rtl/>
        </w:rPr>
        <w:t xml:space="preserve">يجمع النطاق العريض المتنقل خدمات البيانات عالية السرعة مع التنقلية بصورة مقنعة. وبالتالي، لا حدود للفرص عند النظر في العديد من الأسواق المتنوعة التي يمكن للنطاق العريض المتنقل أن يلبيها بنجاح. وفي البلدان النامية، لا شك في أن تكنولوجيا النطاق العريض المتنقل ستلبي المؤسسات الخاصة وكبار العاملين والمستهلكين فيها، حيث يمكن أن يكون النطاق العريض المتنقل بالنسبة لهم خياراً ذا تكلفة مجزية يضاهي الخط الرقمي للمشترك </w:t>
      </w:r>
      <w:r>
        <w:rPr>
          <w:lang w:bidi="ar"/>
        </w:rPr>
        <w:t>(DSL)</w:t>
      </w:r>
      <w:r>
        <w:rPr>
          <w:rtl/>
        </w:rPr>
        <w:t xml:space="preserve"> </w:t>
      </w:r>
      <w:r>
        <w:rPr>
          <w:rFonts w:hint="cs"/>
          <w:rtl/>
        </w:rPr>
        <w:t>للاستخدام المنزلي.</w:t>
      </w:r>
      <w:r>
        <w:rPr>
          <w:rFonts w:hint="cs"/>
          <w:bCs/>
          <w:rtl/>
        </w:rPr>
        <w:t xml:space="preserve"> </w:t>
      </w:r>
      <w:r>
        <w:rPr>
          <w:rFonts w:hint="cs"/>
          <w:rtl/>
        </w:rPr>
        <w:t>في بعض الحالات، قد لا يتاح البتة خيار الحصول على خدمة النطاق العريض عبر الخط الرقمي للمشترك، مما يجعل النطاق العريض المتنقل خيار التوصيلية الوحيد الذي يُعتد به.</w:t>
      </w:r>
    </w:p>
    <w:p w:rsidR="00111C25" w:rsidRDefault="00111C25" w:rsidP="00111C25">
      <w:pPr>
        <w:rPr>
          <w:bCs/>
          <w:rtl/>
        </w:rPr>
      </w:pPr>
      <w:r>
        <w:rPr>
          <w:rtl/>
        </w:rPr>
        <w:t xml:space="preserve">وستكون رغبة المستخدم في أن يكون موصولاً في أي وقت وفي أي مكان مصدراً رئيسياً للطلب. وفي حين أن إقبال المستخدمين على الشبكات الاجتماعية وخدمات معلومات البحث، فضلاً عن مصالح الأعمال على شبكة الإنترنت، يزيد الطلب على قدرات النطاق العريض المتنقل، كانت الغالبية العظمى من أوائل من تبنى النطاق العريض المتنقل هي المؤسسات الخاصة. فتحسّن التوصيلية يترجم إلى تحسن في كفاءة الأعمال. ونتيجة لذلك، فإن اعتماد توصيلية النطاق العريض في المؤسسات الخاصة يماثل باكورة اعتماد خدمة الهاتف المتنقل من حيث "الشكل والمعايشة". ففي أوائل التسعينات من القرن الماضي، كان لدى الأطباء والمحامين ومندوبي المبيعات والمديرين التنفيذيين هواتف منزلية وهواتف مكتبية في مكاتبهم، وحتى موظفو استقبال. إلا أن الزيادات في الإنتاجية المرتبطة بكونهم موصولين بالشبكة الخلوية هي التي عجلت بنمو النطاق العريض المتنقل في جميع أنحاء العالم. وإجمالاً، سواء في العمل </w:t>
      </w:r>
      <w:r>
        <w:rPr>
          <w:spacing w:val="-2"/>
          <w:rtl/>
        </w:rPr>
        <w:t xml:space="preserve">أو في حياتنا الشخصية، سرعان ما يتحتم على عالم الصوت والبيانات أن </w:t>
      </w:r>
      <w:r>
        <w:rPr>
          <w:i/>
          <w:iCs/>
          <w:spacing w:val="-2"/>
          <w:rtl/>
        </w:rPr>
        <w:t>ينفلت من رباطه، على أن يظل موصولاً دوماً</w:t>
      </w:r>
      <w:r>
        <w:rPr>
          <w:spacing w:val="-2"/>
          <w:rtl/>
        </w:rPr>
        <w:t>.</w:t>
      </w:r>
    </w:p>
    <w:p w:rsidR="00111C25" w:rsidRDefault="00111C25" w:rsidP="00111C25">
      <w:pPr>
        <w:rPr>
          <w:bCs/>
          <w:rtl/>
        </w:rPr>
      </w:pPr>
      <w:r>
        <w:rPr>
          <w:rtl/>
        </w:rPr>
        <w:t xml:space="preserve">ورغم أن معظم أنظمة النفاذ اللاسلكي إلى النطاق العريض </w:t>
      </w:r>
      <w:r>
        <w:rPr>
          <w:lang w:bidi="ar"/>
        </w:rPr>
        <w:t>(BWA)</w:t>
      </w:r>
      <w:r>
        <w:rPr>
          <w:rtl/>
        </w:rPr>
        <w:t xml:space="preserve"> تقدم الآن معدلات صبيب بحدود </w:t>
      </w:r>
      <w:r>
        <w:rPr>
          <w:lang w:bidi="ar"/>
        </w:rPr>
        <w:t>Mbit/s 2</w:t>
      </w:r>
      <w:r>
        <w:rPr>
          <w:rtl/>
        </w:rPr>
        <w:t xml:space="preserve"> وهي معدلات تقارَن بما يتلقاه العديد من المستخدمين من خدمة الخط الرقمي للمشترك </w:t>
      </w:r>
      <w:r>
        <w:rPr>
          <w:lang w:bidi="ar"/>
        </w:rPr>
        <w:t>(DSL)</w:t>
      </w:r>
      <w:r>
        <w:rPr>
          <w:rtl/>
        </w:rPr>
        <w:t xml:space="preserve"> الأساسية أو من خدمة المودم الكبلي. وتقل السعة الإجمالية للأنظمة اللاسلكية عموماً عن سعة الأنظمة السلكية. ويصح ذلك خصوصاً عندما تقارَن الأنظمة اللاسلكية مع الألياف البصرية التي ينشرها بعض المشغلين الآن إلى بيوت الناس.</w:t>
      </w:r>
      <w:r>
        <w:rPr>
          <w:rFonts w:hint="cs"/>
          <w:lang w:bidi="ar"/>
        </w:rPr>
        <w:t xml:space="preserve"> </w:t>
      </w:r>
      <w:r>
        <w:rPr>
          <w:rtl/>
        </w:rPr>
        <w:t xml:space="preserve">وإذ يتطلع مشغلو الاتصالات السلكية إلى تقديم </w:t>
      </w:r>
      <w:r>
        <w:rPr>
          <w:lang w:bidi="ar"/>
        </w:rPr>
        <w:t>20</w:t>
      </w:r>
      <w:r>
        <w:rPr>
          <w:rtl/>
        </w:rPr>
        <w:t xml:space="preserve"> إلى </w:t>
      </w:r>
      <w:r>
        <w:rPr>
          <w:lang w:bidi="ar"/>
        </w:rPr>
        <w:t>Mbit/s 100</w:t>
      </w:r>
      <w:r>
        <w:rPr>
          <w:rtl/>
        </w:rPr>
        <w:t xml:space="preserve"> إلى منازل أو مصالح أعمال الناس عبر خدمات المودم الكبلي أو الخط الرقمي للمشترك</w:t>
      </w:r>
      <w:r>
        <w:rPr>
          <w:lang w:bidi="ar"/>
        </w:rPr>
        <w:t xml:space="preserve"> (DSL) </w:t>
      </w:r>
      <w:r>
        <w:rPr>
          <w:rtl/>
        </w:rPr>
        <w:t xml:space="preserve">ذي السرعة الفائقة </w:t>
      </w:r>
      <w:r>
        <w:rPr>
          <w:lang w:bidi="ar"/>
        </w:rPr>
        <w:t>(VDSL)</w:t>
      </w:r>
      <w:r>
        <w:rPr>
          <w:rtl/>
        </w:rPr>
        <w:t xml:space="preserve"> أو الألياف البصرية مثل تلفزيون بروتوكول الإنترنت </w:t>
      </w:r>
      <w:r>
        <w:rPr>
          <w:lang w:bidi="ar"/>
        </w:rPr>
        <w:t>(IPTV)</w:t>
      </w:r>
      <w:r>
        <w:rPr>
          <w:rtl/>
        </w:rPr>
        <w:t xml:space="preserve"> عالي الوضوح، يصبح السؤال، هل من الممكن مجاراة هذه المعدلات باستخدام نهج لا سلكية؟ والجواب هو "نعم" من منظور تقني بحت، و"لا" من الناحية العملية. فلا سبيل لتحقيق هذه المعدلات إلا باستخدام حيز كبير من الطيف يزيد، بصفة عامة، عما هو متاح لأنظمة النفاذ اللاسلكي </w:t>
      </w:r>
      <w:r>
        <w:rPr>
          <w:rtl/>
        </w:rPr>
        <w:lastRenderedPageBreak/>
        <w:t>إلى النطاق العريض الحالية، وباستخدام خلايا صغيرة المقاس نسبياً. وبخلاف ذلك، سيتعذر تمرير مئات الغيغابايتات كل شهر التي سرعان ما سيستهلكها المستخدمون عبر توصيلاتهم عريضة النطاق مع الشبكات اللاسلكية لمنطقة واسعة. وحسبنا اليوم محتوى التلفزيون عالي الوضوح </w:t>
      </w:r>
      <w:r>
        <w:t>(HD)</w:t>
      </w:r>
      <w:r>
        <w:rPr>
          <w:rtl/>
        </w:rPr>
        <w:t xml:space="preserve"> الذي يتطلب توصيلية مستمرة بمعدل </w:t>
      </w:r>
      <w:r>
        <w:rPr>
          <w:lang w:bidi="ar"/>
        </w:rPr>
        <w:t>6</w:t>
      </w:r>
      <w:r>
        <w:rPr>
          <w:rtl/>
        </w:rPr>
        <w:t xml:space="preserve"> إلى </w:t>
      </w:r>
      <w:r>
        <w:rPr>
          <w:lang w:bidi="ar"/>
        </w:rPr>
        <w:t>Mbit/s 9</w:t>
      </w:r>
      <w:r>
        <w:rPr>
          <w:rtl/>
        </w:rPr>
        <w:t xml:space="preserve"> حيث يمكن لمشترك واحد أن يستهلك أساساً كامل سعة قطاع خلوي. وثمة نهج لا سلكي ممكن لمعالجة مثل هذا الاستهلاك العالي للبيانات يتمثل في النُهُج الخلوية التراتبية، كالخلايا الفيمتوية على النحو المبين في الشكل </w:t>
      </w:r>
      <w:r>
        <w:rPr>
          <w:lang w:bidi="ar"/>
        </w:rPr>
        <w:t>2</w:t>
      </w:r>
      <w:r>
        <w:rPr>
          <w:lang w:bidi="ar"/>
        </w:rPr>
        <w:sym w:font="Symbol" w:char="F02D"/>
      </w:r>
      <w:r>
        <w:rPr>
          <w:lang w:bidi="ar"/>
        </w:rPr>
        <w:t>1.3</w:t>
      </w:r>
      <w:r>
        <w:rPr>
          <w:rtl/>
        </w:rPr>
        <w:t xml:space="preserve">. ولكن هذا يفترض مسبقاً توصيل سلكي قائم بالإنترنت السلكية (مثل </w:t>
      </w:r>
      <w:r>
        <w:rPr>
          <w:lang w:bidi="ar"/>
        </w:rPr>
        <w:t>DSL</w:t>
      </w:r>
      <w:r>
        <w:rPr>
          <w:rtl/>
        </w:rPr>
        <w:t>).</w:t>
      </w:r>
    </w:p>
    <w:p w:rsidR="00111C25" w:rsidRDefault="00111C25" w:rsidP="00853023">
      <w:pPr>
        <w:pStyle w:val="Figuretitle"/>
        <w:rPr>
          <w:rtl/>
        </w:rPr>
      </w:pPr>
      <w:bookmarkStart w:id="71" w:name="_Toc372276126"/>
      <w:bookmarkStart w:id="72" w:name="_Toc380497241"/>
      <w:r>
        <w:rPr>
          <w:rtl/>
        </w:rPr>
        <w:t xml:space="preserve">الشكل </w:t>
      </w:r>
      <w:r>
        <w:rPr>
          <w:lang w:val="en-GB" w:bidi="ar"/>
        </w:rPr>
        <w:t>2-1.3</w:t>
      </w:r>
      <w:r w:rsidR="00853023">
        <w:rPr>
          <w:rFonts w:hint="cs"/>
          <w:rtl/>
          <w:lang w:val="en-GB" w:bidi="ar"/>
        </w:rPr>
        <w:t>:</w:t>
      </w:r>
      <w:r>
        <w:rPr>
          <w:rtl/>
          <w:lang w:val="en-GB" w:bidi="ar"/>
        </w:rPr>
        <w:t xml:space="preserve"> </w:t>
      </w:r>
      <w:r>
        <w:rPr>
          <w:rtl/>
        </w:rPr>
        <w:t>الخلايا الفيمتوية المستخدمة لتوسيع السعة</w:t>
      </w:r>
      <w:bookmarkEnd w:id="71"/>
      <w:bookmarkEnd w:id="72"/>
    </w:p>
    <w:p w:rsidR="00111C25" w:rsidRDefault="008E5F1C" w:rsidP="008E5F1C">
      <w:pPr>
        <w:pStyle w:val="Figure"/>
        <w:spacing w:before="0"/>
        <w:rPr>
          <w:rtl/>
          <w:lang w:bidi="ar"/>
        </w:rPr>
      </w:pPr>
      <w:r>
        <w:rPr>
          <w:noProof/>
          <w:lang w:val="en-US" w:eastAsia="zh-CN"/>
        </w:rPr>
        <mc:AlternateContent>
          <mc:Choice Requires="wpg">
            <w:drawing>
              <wp:anchor distT="0" distB="0" distL="114300" distR="114300" simplePos="0" relativeHeight="251656192" behindDoc="0" locked="0" layoutInCell="1" allowOverlap="1">
                <wp:simplePos x="0" y="0"/>
                <wp:positionH relativeFrom="column">
                  <wp:posOffset>1139825</wp:posOffset>
                </wp:positionH>
                <wp:positionV relativeFrom="paragraph">
                  <wp:posOffset>317288</wp:posOffset>
                </wp:positionV>
                <wp:extent cx="3430905" cy="873760"/>
                <wp:effectExtent l="0" t="0" r="0" b="2540"/>
                <wp:wrapNone/>
                <wp:docPr id="1164" name="Group 1164"/>
                <wp:cNvGraphicFramePr/>
                <a:graphic xmlns:a="http://schemas.openxmlformats.org/drawingml/2006/main">
                  <a:graphicData uri="http://schemas.microsoft.com/office/word/2010/wordprocessingGroup">
                    <wpg:wgp>
                      <wpg:cNvGrpSpPr/>
                      <wpg:grpSpPr>
                        <a:xfrm>
                          <a:off x="0" y="0"/>
                          <a:ext cx="3430905" cy="873760"/>
                          <a:chOff x="0" y="0"/>
                          <a:chExt cx="3430905" cy="873760"/>
                        </a:xfrm>
                      </wpg:grpSpPr>
                      <wps:wsp>
                        <wps:cNvPr id="1066" name="Rectangle 1066"/>
                        <wps:cNvSpPr>
                          <a:spLocks noChangeArrowheads="1"/>
                        </wps:cNvSpPr>
                        <wps:spPr bwMode="auto">
                          <a:xfrm>
                            <a:off x="2971800" y="0"/>
                            <a:ext cx="459105" cy="241300"/>
                          </a:xfrm>
                          <a:prstGeom prst="rect">
                            <a:avLst/>
                          </a:prstGeom>
                          <a:solidFill>
                            <a:srgbClr val="E8F8FD"/>
                          </a:solidFill>
                          <a:ln>
                            <a:noFill/>
                          </a:ln>
                          <a:effectLst/>
                          <a:extLst/>
                        </wps:spPr>
                        <wps:txbx>
                          <w:txbxContent>
                            <w:p w:rsidR="005A67D3" w:rsidRDefault="005A67D3" w:rsidP="00E06206">
                              <w:pPr>
                                <w:spacing w:before="20" w:after="20" w:line="140" w:lineRule="exact"/>
                                <w:jc w:val="center"/>
                                <w:rPr>
                                  <w:b/>
                                  <w:bCs/>
                                  <w:sz w:val="18"/>
                                  <w:szCs w:val="18"/>
                                </w:rPr>
                              </w:pPr>
                              <w:r>
                                <w:rPr>
                                  <w:b/>
                                  <w:sz w:val="18"/>
                                  <w:szCs w:val="18"/>
                                  <w:rtl/>
                                </w:rPr>
                                <w:t>تغطية خلية</w:t>
                              </w:r>
                              <w:r>
                                <w:rPr>
                                  <w:rFonts w:hint="cs"/>
                                  <w:b/>
                                  <w:sz w:val="18"/>
                                  <w:szCs w:val="18"/>
                                  <w:rtl/>
                                </w:rPr>
                                <w:br/>
                              </w:r>
                              <w:r>
                                <w:rPr>
                                  <w:b/>
                                  <w:sz w:val="18"/>
                                  <w:szCs w:val="18"/>
                                  <w:rtl/>
                                </w:rPr>
                                <w:t>ماكروية</w:t>
                              </w:r>
                            </w:p>
                          </w:txbxContent>
                        </wps:txbx>
                        <wps:bodyPr rot="0" vert="horz" wrap="square" lIns="12700" tIns="12700" rIns="12700" bIns="12700" anchor="t" anchorCtr="0" upright="1">
                          <a:noAutofit/>
                        </wps:bodyPr>
                      </wps:wsp>
                      <wps:wsp>
                        <wps:cNvPr id="1067" name="Rectangle 1067"/>
                        <wps:cNvSpPr>
                          <a:spLocks noChangeArrowheads="1"/>
                        </wps:cNvSpPr>
                        <wps:spPr bwMode="auto">
                          <a:xfrm>
                            <a:off x="2336800" y="423333"/>
                            <a:ext cx="679450" cy="241300"/>
                          </a:xfrm>
                          <a:prstGeom prst="rect">
                            <a:avLst/>
                          </a:prstGeom>
                          <a:solidFill>
                            <a:srgbClr val="E8F8FD"/>
                          </a:solidFill>
                          <a:ln>
                            <a:noFill/>
                          </a:ln>
                          <a:effectLst/>
                          <a:extLst/>
                        </wps:spPr>
                        <wps:txbx>
                          <w:txbxContent>
                            <w:p w:rsidR="005A67D3" w:rsidRDefault="005A67D3" w:rsidP="00111C25">
                              <w:pPr>
                                <w:spacing w:before="20" w:after="20" w:line="140" w:lineRule="exact"/>
                                <w:jc w:val="center"/>
                                <w:rPr>
                                  <w:b/>
                                  <w:bCs/>
                                  <w:sz w:val="18"/>
                                  <w:szCs w:val="18"/>
                                </w:rPr>
                              </w:pPr>
                              <w:r>
                                <w:rPr>
                                  <w:b/>
                                  <w:sz w:val="18"/>
                                  <w:szCs w:val="18"/>
                                  <w:rtl/>
                                </w:rPr>
                                <w:t>تغطية خلية</w:t>
                              </w:r>
                              <w:r>
                                <w:rPr>
                                  <w:b/>
                                  <w:sz w:val="18"/>
                                  <w:szCs w:val="18"/>
                                  <w:rtl/>
                                </w:rPr>
                                <w:br/>
                                <w:t>فمتوية</w:t>
                              </w:r>
                            </w:p>
                          </w:txbxContent>
                        </wps:txbx>
                        <wps:bodyPr rot="0" vert="horz" wrap="square" lIns="12700" tIns="12700" rIns="12700" bIns="12700" anchor="t" anchorCtr="0" upright="1">
                          <a:noAutofit/>
                        </wps:bodyPr>
                      </wps:wsp>
                      <wps:wsp>
                        <wps:cNvPr id="1" name="Rectangle 819"/>
                        <wps:cNvSpPr>
                          <a:spLocks noChangeArrowheads="1"/>
                        </wps:cNvSpPr>
                        <wps:spPr bwMode="auto">
                          <a:xfrm>
                            <a:off x="0" y="203200"/>
                            <a:ext cx="841375" cy="670560"/>
                          </a:xfrm>
                          <a:prstGeom prst="rect">
                            <a:avLst/>
                          </a:prstGeom>
                          <a:solidFill>
                            <a:srgbClr val="E8F8FD"/>
                          </a:solidFill>
                          <a:ln>
                            <a:noFill/>
                          </a:ln>
                          <a:extLst/>
                        </wps:spPr>
                        <wps:txbx>
                          <w:txbxContent>
                            <w:p w:rsidR="005A67D3" w:rsidRDefault="005A67D3" w:rsidP="00853023">
                              <w:pPr>
                                <w:spacing w:before="20" w:after="20" w:line="220" w:lineRule="exact"/>
                                <w:jc w:val="left"/>
                                <w:rPr>
                                  <w:b/>
                                  <w:bCs/>
                                  <w:sz w:val="18"/>
                                  <w:szCs w:val="18"/>
                                </w:rPr>
                              </w:pPr>
                              <w:r>
                                <w:rPr>
                                  <w:b/>
                                  <w:sz w:val="18"/>
                                  <w:szCs w:val="18"/>
                                  <w:rtl/>
                                </w:rPr>
                                <w:t>تفوق السعة الإجمالية</w:t>
                              </w:r>
                              <w:r>
                                <w:rPr>
                                  <w:b/>
                                  <w:sz w:val="18"/>
                                  <w:szCs w:val="18"/>
                                </w:rPr>
                                <w:br/>
                              </w:r>
                              <w:r>
                                <w:rPr>
                                  <w:b/>
                                  <w:sz w:val="18"/>
                                  <w:szCs w:val="18"/>
                                  <w:rtl/>
                                </w:rPr>
                                <w:t>للخلية الفمتوية كثيرا</w:t>
                              </w:r>
                              <w:r>
                                <w:rPr>
                                  <w:b/>
                                  <w:sz w:val="18"/>
                                  <w:szCs w:val="18"/>
                                  <w:rtl/>
                                </w:rPr>
                                <w:br/>
                                <w:t>سعة الخلية الماكروية</w:t>
                              </w:r>
                              <w:r>
                                <w:rPr>
                                  <w:b/>
                                  <w:sz w:val="18"/>
                                  <w:szCs w:val="18"/>
                                </w:rPr>
                                <w:br/>
                              </w:r>
                              <w:r>
                                <w:rPr>
                                  <w:b/>
                                  <w:sz w:val="18"/>
                                  <w:szCs w:val="18"/>
                                  <w:rtl/>
                                </w:rPr>
                                <w:t>في نفس الحيز من الطيف</w:t>
                              </w:r>
                            </w:p>
                          </w:txbxContent>
                        </wps:txbx>
                        <wps:bodyPr rot="0" vert="horz" wrap="square" lIns="12700" tIns="12700" rIns="12700" bIns="12700" anchor="t" anchorCtr="0" upright="1">
                          <a:noAutofit/>
                        </wps:bodyPr>
                      </wps:wsp>
                    </wpg:wgp>
                  </a:graphicData>
                </a:graphic>
              </wp:anchor>
            </w:drawing>
          </mc:Choice>
          <mc:Fallback>
            <w:pict>
              <v:group id="Group 1164" o:spid="_x0000_s1040" style="position:absolute;left:0;text-align:left;margin-left:89.75pt;margin-top:25pt;width:270.15pt;height:68.8pt;z-index:251656192" coordsize="34309,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h42AIAADwKAAAOAAAAZHJzL2Uyb0RvYy54bWzsVm1v0zAQ/o7Ef7D8neWtTdJo6TRt64Q0&#10;YGLwA1zHeRGJbWy36fj1nJ2kKysCaYhpSPRDmnPO9/Lcc2efnu26Fm2Z0o3gOQ5OfIwYp6JoeJXj&#10;z59Wb1KMtCG8IK3gLMf3TOOz5etXp73MWChq0RZMITDCddbLHNfGyMzzNK1ZR/SJkIzDx1KojhgQ&#10;VeUVivRgvWu90PdjrxeqkEpQpjWsXg4f8dLZL0tGzYey1MygNscQm3FP5Z5r+/SWpySrFJF1Q8cw&#10;yBOi6EjDwene1CUxBG1Uc2Sqa6gSWpTmhIrOE2XZUOZygGwC/1E210pspMulyvpK7mECaB/h9GSz&#10;9P32VqGmgNoF8QwjTjqoknOM3AoA1MsqA71rJe/krRoXqkGyOe9K1dl/yAbtHLT3e2jZziAKi9Es&#10;8hf+HCMK39IkSuIRe1pDgY620frq1xu9ya1no9sH00ugkX5ASv8ZUnc1kcwVQFsEJqT8OJ6Q+ggM&#10;I7xqGQrsqgPH6VqoLCha3gj6RSMuLmpQZOdKib5mpIDQAqsPCRxssIKGrWjdvxMFlIJsjHDMeoRy&#10;uEiC1AdKH2M9my+CCepwFkSgZf1MiJFMKm2umeiQfcmxghycC7K90WZQnVRcCqJtilXTtk5Q1fqi&#10;VWhLoKOu0lW6uhyt60O1lltlLuy2weKwwlxPDm5IBuwYPU55W7bpzOzWu5GUE6RrUdwDLEoMLQwj&#10;B15qob5h1EP75lh/3RDFMGrfcgttmFhwzKGgDoX1oUA4BVM5NhgNrxdmmBEbqZqqBk+BA4iLcyhH&#10;2TiQbKBDVGMRgXhD+M/BwOSnDEwmuICtf52BURRPDJyFEfysc1dU1/JxspjNoQa24/91GoYTrv9p&#10;eDgIjzmYBosJqmeg4DD+Qj+Cq8CP5Eth7iXjcRMn/nw4bl7IDPzt1HOd9DBfXv7Uc6cwXFHcMTNe&#10;p+wd6FB2U/Lh0rf8DgAA//8DAFBLAwQUAAYACAAAACEADd/a2N8AAAAKAQAADwAAAGRycy9kb3du&#10;cmV2LnhtbEyPQUvDQBSE74L/YXmCN7uJkqZNsymlqKci2ArS2zb7moRm34bsNkn/vc+THocZZr7J&#10;15NtxYC9bxwpiGcRCKTSmYYqBV+Ht6cFCB80Gd06QgU39LAu7u9ynRk30icO+1AJLiGfaQV1CF0m&#10;pS9rtNrPXIfE3tn1VgeWfSVNr0cut618jqK5tLohXqh1h9say8v+ahW8j3rcvMSvw+5y3t6Oh+Tj&#10;exejUo8P02YFIuAU/sLwi8/oUDDTyV3JeNGyTpcJRxUkEX/iQBov+cuJnUU6B1nk8v+F4gcAAP//&#10;AwBQSwECLQAUAAYACAAAACEAtoM4kv4AAADhAQAAEwAAAAAAAAAAAAAAAAAAAAAAW0NvbnRlbnRf&#10;VHlwZXNdLnhtbFBLAQItABQABgAIAAAAIQA4/SH/1gAAAJQBAAALAAAAAAAAAAAAAAAAAC8BAABf&#10;cmVscy8ucmVsc1BLAQItABQABgAIAAAAIQDbcXh42AIAADwKAAAOAAAAAAAAAAAAAAAAAC4CAABk&#10;cnMvZTJvRG9jLnhtbFBLAQItABQABgAIAAAAIQAN39rY3wAAAAoBAAAPAAAAAAAAAAAAAAAAADIF&#10;AABkcnMvZG93bnJldi54bWxQSwUGAAAAAAQABADzAAAAPgYAAAAA&#10;">
                <v:rect id="Rectangle 1066" o:spid="_x0000_s1041" style="position:absolute;left:29718;width:459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RAMIA&#10;AADdAAAADwAAAGRycy9kb3ducmV2LnhtbERPzWrCQBC+F/oOyxS81V09pJq6iigNQi9t9AGG7JiE&#10;ZmfD7tbEt3cFwdt8fL+z2oy2ExfyoXWsYTZVIIgrZ1quNZyOX+8LECEiG+wck4YrBdisX19WmBs3&#10;8C9dyliLFMIhRw1NjH0uZagashimridO3Nl5izFBX0vjcUjhtpNzpTJpseXU0GBPu4aqv/Lfalhy&#10;URxKPy7O6ud72A1781GcllpP3sbtJ4hIY3yKH+6DSfNVlsH9m3S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JEAwgAAAN0AAAAPAAAAAAAAAAAAAAAAAJgCAABkcnMvZG93&#10;bnJldi54bWxQSwUGAAAAAAQABAD1AAAAhwMAAAAA&#10;" fillcolor="#e8f8fd" stroked="f">
                  <v:textbox inset="1pt,1pt,1pt,1pt">
                    <w:txbxContent>
                      <w:p w:rsidR="005A67D3" w:rsidRDefault="005A67D3" w:rsidP="00E06206">
                        <w:pPr>
                          <w:spacing w:before="20" w:after="20" w:line="140" w:lineRule="exact"/>
                          <w:jc w:val="center"/>
                          <w:rPr>
                            <w:b/>
                            <w:bCs/>
                            <w:sz w:val="18"/>
                            <w:szCs w:val="18"/>
                          </w:rPr>
                        </w:pPr>
                        <w:r>
                          <w:rPr>
                            <w:b/>
                            <w:sz w:val="18"/>
                            <w:szCs w:val="18"/>
                            <w:rtl/>
                          </w:rPr>
                          <w:t>تغطية خلية</w:t>
                        </w:r>
                        <w:r>
                          <w:rPr>
                            <w:rFonts w:hint="cs"/>
                            <w:b/>
                            <w:sz w:val="18"/>
                            <w:szCs w:val="18"/>
                            <w:rtl/>
                          </w:rPr>
                          <w:br/>
                        </w:r>
                        <w:r>
                          <w:rPr>
                            <w:b/>
                            <w:sz w:val="18"/>
                            <w:szCs w:val="18"/>
                            <w:rtl/>
                          </w:rPr>
                          <w:t>ماكروية</w:t>
                        </w:r>
                      </w:p>
                    </w:txbxContent>
                  </v:textbox>
                </v:rect>
                <v:rect id="Rectangle 1067" o:spid="_x0000_s1042" style="position:absolute;left:23368;top:4233;width:679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0m8MA&#10;AADdAAAADwAAAGRycy9kb3ducmV2LnhtbERPS2rDMBDdF3IHMYHuGildJLEb2ZSEmkA2rZsDDNbE&#10;NrVGRlJj9/ZVoNDdPN539uVsB3EjH3rHGtYrBYK4cabnVsPl8+1pByJEZIODY9LwQwHKYvGwx9y4&#10;iT/oVsdWpBAOOWroYhxzKUPTkcWwciNx4q7OW4wJ+lYaj1MKt4N8VmojLfacGjoc6dBR81V/Ww0Z&#10;V9Wp9vPuqt7P02E6mm11ybR+XM6vLyAizfFf/Oc+mTRfbb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A0m8MAAADdAAAADwAAAAAAAAAAAAAAAACYAgAAZHJzL2Rv&#10;d25yZXYueG1sUEsFBgAAAAAEAAQA9QAAAIgDAAAAAA==&#10;" fillcolor="#e8f8fd" stroked="f">
                  <v:textbox inset="1pt,1pt,1pt,1pt">
                    <w:txbxContent>
                      <w:p w:rsidR="005A67D3" w:rsidRDefault="005A67D3" w:rsidP="00111C25">
                        <w:pPr>
                          <w:spacing w:before="20" w:after="20" w:line="140" w:lineRule="exact"/>
                          <w:jc w:val="center"/>
                          <w:rPr>
                            <w:b/>
                            <w:bCs/>
                            <w:sz w:val="18"/>
                            <w:szCs w:val="18"/>
                          </w:rPr>
                        </w:pPr>
                        <w:r>
                          <w:rPr>
                            <w:b/>
                            <w:sz w:val="18"/>
                            <w:szCs w:val="18"/>
                            <w:rtl/>
                          </w:rPr>
                          <w:t>تغطية خلية</w:t>
                        </w:r>
                        <w:r>
                          <w:rPr>
                            <w:b/>
                            <w:sz w:val="18"/>
                            <w:szCs w:val="18"/>
                            <w:rtl/>
                          </w:rPr>
                          <w:br/>
                          <w:t>فمتوية</w:t>
                        </w:r>
                      </w:p>
                    </w:txbxContent>
                  </v:textbox>
                </v:rect>
                <v:rect id="Rectangle 819" o:spid="_x0000_s1043" style="position:absolute;top:2032;width:8413;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We74A&#10;AADaAAAADwAAAGRycy9kb3ducmV2LnhtbERPzYrCMBC+L/gOYQRva6oHV6tRRNki7EWrDzA0Y1ts&#10;JiXJ2vr2RhA8DR/f76w2vWnEnZyvLSuYjBMQxIXVNZcKLuff7zkIH5A1NpZJwYM8bNaDrxWm2nZ8&#10;onseShFD2KeooAqhTaX0RUUG/di2xJG7WmcwROhKqR12Mdw0cpokM2mw5thQYUu7iopb/m8ULDjL&#10;Drnr59fk+Nftur3+yS4LpUbDfrsEEagPH/HbfdBxPrxeeV2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Olnu+AAAA2gAAAA8AAAAAAAAAAAAAAAAAmAIAAGRycy9kb3ducmV2&#10;LnhtbFBLBQYAAAAABAAEAPUAAACDAwAAAAA=&#10;" fillcolor="#e8f8fd" stroked="f">
                  <v:textbox inset="1pt,1pt,1pt,1pt">
                    <w:txbxContent>
                      <w:p w:rsidR="005A67D3" w:rsidRDefault="005A67D3" w:rsidP="00853023">
                        <w:pPr>
                          <w:spacing w:before="20" w:after="20" w:line="220" w:lineRule="exact"/>
                          <w:jc w:val="left"/>
                          <w:rPr>
                            <w:b/>
                            <w:bCs/>
                            <w:sz w:val="18"/>
                            <w:szCs w:val="18"/>
                          </w:rPr>
                        </w:pPr>
                        <w:r>
                          <w:rPr>
                            <w:b/>
                            <w:sz w:val="18"/>
                            <w:szCs w:val="18"/>
                            <w:rtl/>
                          </w:rPr>
                          <w:t>تفوق السعة الإجمالية</w:t>
                        </w:r>
                        <w:r>
                          <w:rPr>
                            <w:b/>
                            <w:sz w:val="18"/>
                            <w:szCs w:val="18"/>
                          </w:rPr>
                          <w:br/>
                        </w:r>
                        <w:r>
                          <w:rPr>
                            <w:b/>
                            <w:sz w:val="18"/>
                            <w:szCs w:val="18"/>
                            <w:rtl/>
                          </w:rPr>
                          <w:t>للخلية الفمتوية كثيرا</w:t>
                        </w:r>
                        <w:r>
                          <w:rPr>
                            <w:b/>
                            <w:sz w:val="18"/>
                            <w:szCs w:val="18"/>
                            <w:rtl/>
                          </w:rPr>
                          <w:br/>
                          <w:t>سعة الخلية الماكروية</w:t>
                        </w:r>
                        <w:r>
                          <w:rPr>
                            <w:b/>
                            <w:sz w:val="18"/>
                            <w:szCs w:val="18"/>
                          </w:rPr>
                          <w:br/>
                        </w:r>
                        <w:r>
                          <w:rPr>
                            <w:b/>
                            <w:sz w:val="18"/>
                            <w:szCs w:val="18"/>
                            <w:rtl/>
                          </w:rPr>
                          <w:t>في نفس الحيز من الطيف</w:t>
                        </w:r>
                      </w:p>
                    </w:txbxContent>
                  </v:textbox>
                </v:rect>
              </v:group>
            </w:pict>
          </mc:Fallback>
        </mc:AlternateContent>
      </w:r>
      <w:r w:rsidR="00853023">
        <w:object w:dxaOrig="8182" w:dyaOrig="4490">
          <v:shape id="_x0000_i1027" type="#_x0000_t75" style="width:408.55pt;height:225.2pt" o:ole="">
            <v:imagedata r:id="rId26" o:title=""/>
          </v:shape>
          <o:OLEObject Type="Embed" ProgID="Word.Document.12" ShapeID="_x0000_i1027" DrawAspect="Content" ObjectID="_1455084584" r:id="rId27">
            <o:FieldCodes>\s</o:FieldCodes>
          </o:OLEObject>
        </w:object>
      </w:r>
    </w:p>
    <w:p w:rsidR="00111C25" w:rsidRPr="00E06206" w:rsidRDefault="00111C25" w:rsidP="00E06206">
      <w:pPr>
        <w:spacing w:before="240"/>
        <w:rPr>
          <w:spacing w:val="-2"/>
          <w:lang w:bidi="ar-EG"/>
        </w:rPr>
      </w:pPr>
      <w:r w:rsidRPr="00E06206">
        <w:rPr>
          <w:spacing w:val="-2"/>
          <w:rtl/>
        </w:rPr>
        <w:t xml:space="preserve">الأجدى اليوم هو عدم استخدام التكنولوجيا اللاسلكية للنفاذ إلا عند غياب بدائل جيدة من التكنولوجيا السلكية. ويفسر ذلك اهتمام البلدان النامية في النطاق العريض والتكنولوجيات اللاسلكية. والأمر الذي يغير حراك نموذج الأعمال في هذه المجالات هو ما إذا كان بوسع المشغلين أن ينشروا خدمات الصوت (ذات عرض النطاق الضيق بطبيعة الحال) وخدمات البيانات ذات السرعة المتدنية، لغياب عروض التكنولوجيا السلكية غالباً. ويؤدي النشر بسعة أخفض </w:t>
      </w:r>
      <w:r w:rsidR="00E06206" w:rsidRPr="00E06206">
        <w:rPr>
          <w:rFonts w:hint="cs"/>
          <w:spacing w:val="-2"/>
          <w:rtl/>
        </w:rPr>
        <w:t>-</w:t>
      </w:r>
      <w:r w:rsidRPr="00E06206">
        <w:rPr>
          <w:spacing w:val="-2"/>
          <w:rtl/>
        </w:rPr>
        <w:t xml:space="preserve"> بمقياس انخفاض معدل البتات في الثانية </w:t>
      </w:r>
      <w:r w:rsidRPr="00E06206">
        <w:rPr>
          <w:spacing w:val="-2"/>
          <w:lang w:bidi="ar"/>
        </w:rPr>
        <w:t>(bit/s)</w:t>
      </w:r>
      <w:r w:rsidRPr="00E06206">
        <w:rPr>
          <w:spacing w:val="-2"/>
          <w:rtl/>
        </w:rPr>
        <w:t xml:space="preserve"> لكل كيلو متر مربع </w:t>
      </w:r>
      <w:r w:rsidR="00E06206" w:rsidRPr="00E06206">
        <w:rPr>
          <w:rFonts w:hint="cs"/>
          <w:spacing w:val="-2"/>
          <w:rtl/>
        </w:rPr>
        <w:t>-</w:t>
      </w:r>
      <w:r w:rsidRPr="00E06206">
        <w:rPr>
          <w:spacing w:val="-2"/>
          <w:rtl/>
        </w:rPr>
        <w:t xml:space="preserve"> إلى توسع مقاس الخلايا وانخفاض عددها وبالتالي إلى انخفاض كبير في تكاليف نشرها.</w:t>
      </w:r>
    </w:p>
    <w:p w:rsidR="00111C25" w:rsidRDefault="00111C25" w:rsidP="00111C25">
      <w:pPr>
        <w:rPr>
          <w:rtl/>
        </w:rPr>
      </w:pPr>
      <w:r>
        <w:rPr>
          <w:rtl/>
        </w:rPr>
        <w:t xml:space="preserve">ويلخص الجدول </w:t>
      </w:r>
      <w:r>
        <w:rPr>
          <w:lang w:bidi="ar"/>
        </w:rPr>
        <w:t>1</w:t>
      </w:r>
      <w:r>
        <w:rPr>
          <w:lang w:bidi="ar"/>
        </w:rPr>
        <w:sym w:font="Symbol" w:char="F02D"/>
      </w:r>
      <w:r>
        <w:rPr>
          <w:lang w:bidi="ar"/>
        </w:rPr>
        <w:t>1.3</w:t>
      </w:r>
      <w:r>
        <w:rPr>
          <w:rtl/>
        </w:rPr>
        <w:t xml:space="preserve"> نقاط القوة والضعف في النُهُج اللاسلكية مقابل السلكية في النفاذ </w:t>
      </w:r>
      <w:r>
        <w:rPr>
          <w:rtl/>
          <w:lang w:bidi="ar"/>
        </w:rPr>
        <w:t>عريض النطاق</w:t>
      </w:r>
      <w:r>
        <w:rPr>
          <w:rtl/>
        </w:rPr>
        <w:t>.</w:t>
      </w:r>
    </w:p>
    <w:p w:rsidR="00111C25" w:rsidRDefault="00111C25" w:rsidP="008E5F1C">
      <w:pPr>
        <w:pStyle w:val="Tabletitle"/>
        <w:spacing w:after="60"/>
        <w:rPr>
          <w:rtl/>
        </w:rPr>
      </w:pPr>
      <w:bookmarkStart w:id="73" w:name="_Toc372276127"/>
      <w:bookmarkStart w:id="74" w:name="_Toc380497406"/>
      <w:r>
        <w:rPr>
          <w:rtl/>
        </w:rPr>
        <w:t xml:space="preserve">الجدول </w:t>
      </w:r>
      <w:r>
        <w:t>1-1.3</w:t>
      </w:r>
      <w:r w:rsidR="00E06206">
        <w:rPr>
          <w:rFonts w:hint="cs"/>
          <w:rtl/>
        </w:rPr>
        <w:t>:</w:t>
      </w:r>
      <w:r>
        <w:rPr>
          <w:rtl/>
        </w:rPr>
        <w:t xml:space="preserve"> نقاط القوة والضعف في نُهُج النفاذ عريض النطاق</w:t>
      </w:r>
      <w:bookmarkEnd w:id="73"/>
      <w:bookmarkEnd w:id="7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3600"/>
        <w:gridCol w:w="3157"/>
        <w:gridCol w:w="14"/>
      </w:tblGrid>
      <w:tr w:rsidR="00111C25" w:rsidTr="009E322E">
        <w:trPr>
          <w:gridAfter w:val="1"/>
          <w:wAfter w:w="14" w:type="dxa"/>
          <w:tblHeader/>
          <w:jc w:val="center"/>
        </w:trPr>
        <w:tc>
          <w:tcPr>
            <w:tcW w:w="2392" w:type="dxa"/>
            <w:tcBorders>
              <w:top w:val="single" w:sz="4" w:space="0" w:color="000000"/>
              <w:left w:val="single" w:sz="4" w:space="0" w:color="000000"/>
              <w:bottom w:val="single" w:sz="4" w:space="0" w:color="000000"/>
              <w:right w:val="single" w:sz="4" w:space="0" w:color="000000"/>
            </w:tcBorders>
            <w:shd w:val="clear" w:color="auto" w:fill="005173"/>
          </w:tcPr>
          <w:p w:rsidR="00111C25" w:rsidRDefault="00111C25" w:rsidP="00E06206">
            <w:pPr>
              <w:pStyle w:val="Tablehead"/>
              <w:bidi/>
            </w:pPr>
          </w:p>
        </w:tc>
        <w:tc>
          <w:tcPr>
            <w:tcW w:w="3600" w:type="dxa"/>
            <w:tcBorders>
              <w:top w:val="single" w:sz="4" w:space="0" w:color="000000"/>
              <w:left w:val="single" w:sz="4" w:space="0" w:color="000000"/>
              <w:bottom w:val="single" w:sz="4" w:space="0" w:color="000000"/>
              <w:right w:val="single" w:sz="4" w:space="0" w:color="000000"/>
            </w:tcBorders>
            <w:shd w:val="clear" w:color="auto" w:fill="005173"/>
            <w:hideMark/>
          </w:tcPr>
          <w:p w:rsidR="00111C25" w:rsidRDefault="00111C25" w:rsidP="00E06206">
            <w:pPr>
              <w:pStyle w:val="Tablehead"/>
              <w:bidi/>
            </w:pPr>
            <w:r>
              <w:rPr>
                <w:rtl/>
              </w:rPr>
              <w:t>نقاط القوة</w:t>
            </w:r>
          </w:p>
        </w:tc>
        <w:tc>
          <w:tcPr>
            <w:tcW w:w="3157" w:type="dxa"/>
            <w:tcBorders>
              <w:top w:val="single" w:sz="4" w:space="0" w:color="000000"/>
              <w:left w:val="single" w:sz="4" w:space="0" w:color="000000"/>
              <w:bottom w:val="single" w:sz="4" w:space="0" w:color="000000"/>
              <w:right w:val="single" w:sz="4" w:space="0" w:color="000000"/>
            </w:tcBorders>
            <w:shd w:val="clear" w:color="auto" w:fill="005173"/>
            <w:hideMark/>
          </w:tcPr>
          <w:p w:rsidR="00111C25" w:rsidRDefault="00111C25" w:rsidP="00E06206">
            <w:pPr>
              <w:pStyle w:val="Tablehead"/>
              <w:bidi/>
            </w:pPr>
            <w:r>
              <w:rPr>
                <w:rtl/>
              </w:rPr>
              <w:t>نقاط الضعف</w:t>
            </w:r>
          </w:p>
        </w:tc>
      </w:tr>
      <w:tr w:rsidR="00111C25" w:rsidTr="009E322E">
        <w:trPr>
          <w:jc w:val="center"/>
        </w:trPr>
        <w:tc>
          <w:tcPr>
            <w:tcW w:w="2392" w:type="dxa"/>
            <w:tcBorders>
              <w:top w:val="single" w:sz="4" w:space="0" w:color="000000"/>
              <w:left w:val="single" w:sz="4" w:space="0" w:color="000000"/>
              <w:bottom w:val="single" w:sz="4" w:space="0" w:color="000000"/>
              <w:right w:val="single" w:sz="4" w:space="0" w:color="000000"/>
            </w:tcBorders>
            <w:shd w:val="clear" w:color="auto" w:fill="E8F8FD"/>
            <w:hideMark/>
          </w:tcPr>
          <w:p w:rsidR="00111C25" w:rsidRPr="00E06206" w:rsidRDefault="00111C25" w:rsidP="00E06206">
            <w:pPr>
              <w:pStyle w:val="Tabletext"/>
              <w:rPr>
                <w:b/>
                <w:bCs/>
              </w:rPr>
            </w:pPr>
            <w:r w:rsidRPr="00E06206">
              <w:rPr>
                <w:b/>
                <w:bCs/>
                <w:rtl/>
              </w:rPr>
              <w:t xml:space="preserve">النطاق العريض المتنقل الخلوي </w:t>
            </w:r>
          </w:p>
        </w:tc>
        <w:tc>
          <w:tcPr>
            <w:tcW w:w="3600" w:type="dxa"/>
            <w:tcBorders>
              <w:top w:val="single" w:sz="4" w:space="0" w:color="000000"/>
              <w:left w:val="single" w:sz="4" w:space="0" w:color="000000"/>
              <w:bottom w:val="single" w:sz="4" w:space="0" w:color="000000"/>
              <w:right w:val="single" w:sz="4" w:space="0" w:color="000000"/>
            </w:tcBorders>
            <w:shd w:val="clear" w:color="auto" w:fill="E8F8FD"/>
            <w:hideMark/>
          </w:tcPr>
          <w:p w:rsidR="00111C25" w:rsidRPr="00E06206" w:rsidRDefault="00111C25" w:rsidP="00E06206">
            <w:pPr>
              <w:pStyle w:val="Tabletext"/>
              <w:rPr>
                <w:rtl/>
              </w:rPr>
            </w:pPr>
            <w:r w:rsidRPr="00E06206">
              <w:rPr>
                <w:rtl/>
              </w:rPr>
              <w:t>توصيلية ثابتة</w:t>
            </w:r>
          </w:p>
          <w:p w:rsidR="00111C25" w:rsidRPr="00E06206" w:rsidRDefault="00111C25" w:rsidP="00E06206">
            <w:pPr>
              <w:pStyle w:val="Tabletext"/>
            </w:pPr>
            <w:r w:rsidRPr="00E06206">
              <w:rPr>
                <w:rtl/>
              </w:rPr>
              <w:t>قدرة نطاق عريض عبر مناطق واسعة</w:t>
            </w:r>
          </w:p>
          <w:p w:rsidR="00111C25" w:rsidRPr="00E06206" w:rsidRDefault="00111C25" w:rsidP="00E06206">
            <w:pPr>
              <w:pStyle w:val="Tabletext"/>
            </w:pPr>
            <w:r w:rsidRPr="00E06206">
              <w:rPr>
                <w:rtl/>
              </w:rPr>
              <w:t xml:space="preserve">حل جيد للنفاذ في المناطق التي تفتقر إلى البنية التحتية السلكية </w:t>
            </w:r>
          </w:p>
          <w:p w:rsidR="00111C25" w:rsidRPr="00E06206" w:rsidRDefault="00111C25" w:rsidP="00E06206">
            <w:pPr>
              <w:pStyle w:val="Tabletext"/>
            </w:pPr>
            <w:r w:rsidRPr="00E06206">
              <w:rPr>
                <w:rtl/>
              </w:rPr>
              <w:t xml:space="preserve">خيارات تعزيز السعة/التغطية عبر الخلايا الفيمتوية </w:t>
            </w: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E8F8FD"/>
            <w:hideMark/>
          </w:tcPr>
          <w:p w:rsidR="00111C25" w:rsidRPr="00E06206" w:rsidRDefault="00111C25" w:rsidP="00E06206">
            <w:pPr>
              <w:pStyle w:val="Tabletext"/>
              <w:rPr>
                <w:rtl/>
              </w:rPr>
            </w:pPr>
            <w:r w:rsidRPr="00E06206">
              <w:rPr>
                <w:rtl/>
              </w:rPr>
              <w:t xml:space="preserve">سعة أقل من النهج السلكية </w:t>
            </w:r>
          </w:p>
          <w:p w:rsidR="00111C25" w:rsidRPr="00E06206" w:rsidRDefault="00111C25" w:rsidP="00E06206">
            <w:pPr>
              <w:pStyle w:val="Tabletext"/>
            </w:pPr>
            <w:r w:rsidRPr="00E06206">
              <w:rPr>
                <w:rtl/>
              </w:rPr>
              <w:t xml:space="preserve">التطور المستقبلي إلى خدمة تطبيقات تستهلك الكثير من عرض النطاق مثل </w:t>
            </w:r>
            <w:r w:rsidRPr="00E06206">
              <w:t>IP TV</w:t>
            </w:r>
          </w:p>
        </w:tc>
      </w:tr>
      <w:tr w:rsidR="00111C25" w:rsidTr="009E322E">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111C25" w:rsidRPr="00E06206" w:rsidRDefault="00111C25" w:rsidP="00E06206">
            <w:pPr>
              <w:pStyle w:val="Tabletext"/>
              <w:rPr>
                <w:b/>
                <w:bCs/>
              </w:rPr>
            </w:pPr>
            <w:r w:rsidRPr="00E06206">
              <w:rPr>
                <w:b/>
                <w:bCs/>
                <w:rtl/>
              </w:rPr>
              <w:t>النطاق العريض السلكي</w:t>
            </w:r>
          </w:p>
        </w:tc>
        <w:tc>
          <w:tcPr>
            <w:tcW w:w="3600" w:type="dxa"/>
            <w:tcBorders>
              <w:top w:val="single" w:sz="4" w:space="0" w:color="000000"/>
              <w:left w:val="single" w:sz="4" w:space="0" w:color="000000"/>
              <w:bottom w:val="single" w:sz="4" w:space="0" w:color="000000"/>
              <w:right w:val="single" w:sz="4" w:space="0" w:color="000000"/>
            </w:tcBorders>
            <w:hideMark/>
          </w:tcPr>
          <w:p w:rsidR="00111C25" w:rsidRPr="00E06206" w:rsidRDefault="00111C25" w:rsidP="00E06206">
            <w:pPr>
              <w:pStyle w:val="Tabletext"/>
              <w:rPr>
                <w:rtl/>
              </w:rPr>
            </w:pPr>
            <w:r w:rsidRPr="00E06206">
              <w:rPr>
                <w:rtl/>
              </w:rPr>
              <w:t xml:space="preserve">نطاق عريض عالي السعة بمعدلات بيانات عالية جداً </w:t>
            </w:r>
          </w:p>
          <w:p w:rsidR="00111C25" w:rsidRPr="00E06206" w:rsidRDefault="00111C25" w:rsidP="00E06206">
            <w:pPr>
              <w:pStyle w:val="Tabletext"/>
            </w:pPr>
            <w:r w:rsidRPr="00E06206">
              <w:rPr>
                <w:rtl/>
              </w:rPr>
              <w:t>تطور إلى معدلات صبيب عالية للغاية</w:t>
            </w:r>
          </w:p>
        </w:tc>
        <w:tc>
          <w:tcPr>
            <w:tcW w:w="3171" w:type="dxa"/>
            <w:gridSpan w:val="2"/>
            <w:tcBorders>
              <w:top w:val="single" w:sz="4" w:space="0" w:color="000000"/>
              <w:left w:val="single" w:sz="4" w:space="0" w:color="000000"/>
              <w:bottom w:val="single" w:sz="4" w:space="0" w:color="000000"/>
              <w:right w:val="single" w:sz="4" w:space="0" w:color="000000"/>
            </w:tcBorders>
            <w:hideMark/>
          </w:tcPr>
          <w:p w:rsidR="00111C25" w:rsidRPr="00E06206" w:rsidRDefault="00111C25" w:rsidP="00E06206">
            <w:pPr>
              <w:pStyle w:val="Tabletext"/>
            </w:pPr>
            <w:r w:rsidRPr="00E06206">
              <w:rPr>
                <w:rtl/>
              </w:rPr>
              <w:t>التكلفة العالية لنشر شبكات جديدة، وخصوصاً في الاقتصادات النامية التي تفتقر إلى البنية التحتية</w:t>
            </w:r>
          </w:p>
        </w:tc>
      </w:tr>
    </w:tbl>
    <w:p w:rsidR="00111C25" w:rsidRDefault="00111C25" w:rsidP="00111C25">
      <w:pPr>
        <w:spacing w:before="240"/>
        <w:rPr>
          <w:rFonts w:ascii="Verdana" w:hAnsi="Verdana" w:cs="Simplified Arabic"/>
          <w:sz w:val="19"/>
          <w:szCs w:val="26"/>
          <w:rtl/>
          <w:lang w:bidi="ar"/>
        </w:rPr>
      </w:pPr>
      <w:r>
        <w:rPr>
          <w:rtl/>
        </w:rPr>
        <w:lastRenderedPageBreak/>
        <w:t>ولكن هذا الوضع ليس ثابتاً. فعلى المدى الطويل، هناك عدد من التطورات قد تجعل أنظمة النطاق العريض اللاسلكية ذات السعة العالية أقدر على المنافسة مع النهج السلكية. ومن بين هذه التطورات قدرات التشابك للحد من تكاليف النشر، وزيادة الكفاءة الطيفية، وانخفاض تكلفة محطات القاعدة السلعية وتوزيعات الطيف المستقبلية على أنظمة النطاق العريض المتنقلة. بيد أن أي نجاح مستقبلي من هذا القبيل هو من باب التكهنات إلى حد ما ويعتمد على العديد من التطورات بما في ذلك ارتقاء التكنولوجيا وتطبيقات النطاق العريض</w:t>
      </w:r>
      <w:r>
        <w:rPr>
          <w:lang w:bidi="ar"/>
        </w:rPr>
        <w:t>.</w:t>
      </w:r>
    </w:p>
    <w:p w:rsidR="00111C25" w:rsidRDefault="00111C25" w:rsidP="009E322E">
      <w:pPr>
        <w:rPr>
          <w:rtl/>
          <w:lang w:bidi="ar-EG"/>
        </w:rPr>
      </w:pPr>
      <w:r>
        <w:rPr>
          <w:spacing w:val="6"/>
          <w:rtl/>
          <w:lang w:bidi="ar"/>
        </w:rPr>
        <w:t>وهناك تكنولوجيات نفاذ جديدة إلى النطاق العريض تتاح عبر أجهزة لا سلكية تستخدم تقنيات الأنظمة الراديوية الإدراكية </w:t>
      </w:r>
      <w:r>
        <w:rPr>
          <w:spacing w:val="6"/>
          <w:lang w:bidi="ar"/>
        </w:rPr>
        <w:t>(CRS)</w:t>
      </w:r>
      <w:r>
        <w:rPr>
          <w:rtl/>
          <w:lang w:bidi="ar"/>
        </w:rPr>
        <w:t xml:space="preserve"> عن طريق نفاذ دينامي إلى الطيف </w:t>
      </w:r>
      <w:r>
        <w:rPr>
          <w:lang w:bidi="ar"/>
        </w:rPr>
        <w:t>(DSA)</w:t>
      </w:r>
      <w:r>
        <w:rPr>
          <w:rtl/>
        </w:rPr>
        <w:t xml:space="preserve"> لتحديد الترددات المتاحة. وهناك عمليات نشر تجاري وتجارب مستمرة في بعض البلدان تستخدم فيها هذه التقنيات في نطاقات التلفزيون غير المستغلة ("نطاقات التلفزيون الخالية") حيث تسمح اللوائح المحلية بذلك. ويرد في </w:t>
      </w:r>
      <w:r>
        <w:rPr>
          <w:b/>
          <w:bCs/>
          <w:rtl/>
        </w:rPr>
        <w:t xml:space="preserve">الملحق </w:t>
      </w:r>
      <w:r>
        <w:rPr>
          <w:b/>
          <w:bCs/>
        </w:rPr>
        <w:t>I</w:t>
      </w:r>
      <w:r>
        <w:rPr>
          <w:rtl/>
        </w:rPr>
        <w:t xml:space="preserve"> مثال لمشروع تجريبي تجاري.</w:t>
      </w:r>
    </w:p>
    <w:p w:rsidR="00111C25" w:rsidRDefault="00111C25" w:rsidP="009E322E">
      <w:pPr>
        <w:rPr>
          <w:bCs/>
          <w:rtl/>
        </w:rPr>
      </w:pPr>
      <w:r>
        <w:rPr>
          <w:rtl/>
        </w:rPr>
        <w:t>ويخضع هذا الحل التقني للدراسة في العديد من لجان دراسات قطاع الاتصالات الراديوية ويتعين أن تؤخذ نتائج الدراسة في الاعتبار، إلى جانب غيرها من البحوث ذات الصلة، وذلك عند تقييم الجوانب التقنية والتجارية والتنظيمية لتنفيذ هذا الحل، خاصة في البلدان النامية.</w:t>
      </w:r>
    </w:p>
    <w:p w:rsidR="00111C25" w:rsidRDefault="00111C25" w:rsidP="009E322E">
      <w:pPr>
        <w:rPr>
          <w:bCs/>
          <w:rtl/>
        </w:rPr>
      </w:pPr>
      <w:r>
        <w:rPr>
          <w:rtl/>
        </w:rPr>
        <w:t>ومن الواضح أن تكنولوجيات النطاق العريض المتنقل الخلوي تتناول احتياجات المستخدم، وهذا يفسر نجاحها. ثم إن خارطة طريق النطاق العريض المتنقل الخلوي، التي تتوقع استمرار التحسينات في الأداء والسعة، توفر الوسائل التقنية للوفاء بما تعد به نماذج الأعمال التي أثبتت جدواها. وإذ تواصل تطبيقات النطاق العريض المتنقل توسعها، ستستمر التكنولوجيات الخلوية في تقديم منصة تنافسية لفرص أعمال جديدة غداً.</w:t>
      </w:r>
      <w:r>
        <w:rPr>
          <w:rStyle w:val="FootnoteReference"/>
          <w:rtl/>
        </w:rPr>
        <w:footnoteReference w:id="59"/>
      </w:r>
    </w:p>
    <w:p w:rsidR="00111C25" w:rsidRDefault="00111C25" w:rsidP="009E322E">
      <w:pPr>
        <w:rPr>
          <w:rtl/>
          <w:lang w:bidi="ar-EG"/>
        </w:rPr>
      </w:pPr>
      <w:r>
        <w:rPr>
          <w:rtl/>
          <w:lang w:bidi="ar"/>
        </w:rPr>
        <w:t xml:space="preserve">يرد في </w:t>
      </w:r>
      <w:r>
        <w:rPr>
          <w:b/>
          <w:bCs/>
          <w:rtl/>
          <w:lang w:bidi="ar"/>
        </w:rPr>
        <w:t xml:space="preserve">الملحق </w:t>
      </w:r>
      <w:r>
        <w:rPr>
          <w:b/>
          <w:bCs/>
          <w:lang w:bidi="ar"/>
        </w:rPr>
        <w:t>I</w:t>
      </w:r>
      <w:r>
        <w:rPr>
          <w:rtl/>
          <w:lang w:bidi="ar"/>
        </w:rPr>
        <w:t xml:space="preserve"> مثال على تحليل إحدى الإدارات لتكنولوجيات النفاذ المختلفة إلى النطاق العريض ضمن فقرة "تقييم مختلف خيارات تكنولوجيا النفاذ". وتبين دراسات الحالة المقدمة إلى مسألة الدراسة هذه أن الإدارات تميل إلى دعم التكنولوجيات التي تلبي احتياجات مواطنيها. ومن بين هذه التكنولوجيات الاتصالات المتنقلة الدولية والسواتل والألياف وغيرها. ويتضمن </w:t>
      </w:r>
      <w:r>
        <w:rPr>
          <w:b/>
          <w:bCs/>
          <w:rtl/>
          <w:lang w:bidi="ar"/>
        </w:rPr>
        <w:t xml:space="preserve">الملحق </w:t>
      </w:r>
      <w:r>
        <w:rPr>
          <w:b/>
          <w:bCs/>
          <w:lang w:bidi="ar"/>
        </w:rPr>
        <w:t>I</w:t>
      </w:r>
      <w:r>
        <w:rPr>
          <w:rtl/>
        </w:rPr>
        <w:t xml:space="preserve"> أمثلة من دراسات الحالة هذه.</w:t>
      </w:r>
    </w:p>
    <w:p w:rsidR="00111C25" w:rsidRDefault="00111C25" w:rsidP="00111C25">
      <w:pPr>
        <w:pStyle w:val="Heading2"/>
        <w:rPr>
          <w:rtl/>
        </w:rPr>
      </w:pPr>
      <w:bookmarkStart w:id="75" w:name="_Toc372276128"/>
      <w:bookmarkStart w:id="76" w:name="_Toc380496729"/>
      <w:r>
        <w:t>2.3</w:t>
      </w:r>
      <w:r>
        <w:rPr>
          <w:rtl/>
        </w:rPr>
        <w:tab/>
        <w:t>التدابير التقنية من أجل الاستخدام الفعال للاتصالات اللاسلكية</w:t>
      </w:r>
      <w:bookmarkEnd w:id="75"/>
      <w:bookmarkEnd w:id="76"/>
    </w:p>
    <w:p w:rsidR="00111C25" w:rsidRDefault="00111C25" w:rsidP="00111C25">
      <w:pPr>
        <w:keepLines/>
        <w:rPr>
          <w:rtl/>
        </w:rPr>
      </w:pPr>
      <w:r>
        <w:rPr>
          <w:rtl/>
          <w:lang w:bidi="ar"/>
        </w:rPr>
        <w:t>في حالة الاتصالات اللاسلكية، على عكس الاتصالات السلكية، تتمثل القضية الرئيسية في ضمان السعة الكافية. وهكذا، فإن الشاغل الرئيسي لمشغلي الاتصالات اللاسلكية هو الحصول على الطيف الكافي لتلبية الطلب على السعة. بيد أن الطيف المتاح للاتصالات اللاسلكية محدود. وبالتالي، علينا أن ننظر في تدابير أخرى لضمان استخدام الطيف المتاح بمزيد من الفعالية.</w:t>
      </w:r>
    </w:p>
    <w:p w:rsidR="00111C25" w:rsidRDefault="00111C25" w:rsidP="009C04F6">
      <w:pPr>
        <w:pStyle w:val="HeadingB"/>
        <w:rPr>
          <w:rtl/>
        </w:rPr>
      </w:pPr>
      <w:r>
        <w:rPr>
          <w:rtl/>
        </w:rPr>
        <w:t>•</w:t>
      </w:r>
      <w:r>
        <w:rPr>
          <w:rtl/>
        </w:rPr>
        <w:tab/>
        <w:t>تطبيق واستخدام مقاسات أصغر للخلية</w:t>
      </w:r>
    </w:p>
    <w:p w:rsidR="00111C25" w:rsidRDefault="00111C25" w:rsidP="00111C25">
      <w:pPr>
        <w:rPr>
          <w:rtl/>
        </w:rPr>
      </w:pPr>
      <w:r>
        <w:rPr>
          <w:rtl/>
          <w:lang w:bidi="ar"/>
        </w:rPr>
        <w:t xml:space="preserve">تغطي محطات قاعدة خلية ماكروية مناطق واسعة عموماً بمحطة واحدة. ومن ناحية أخرى، فإن عدد المستخدمين النشطين في إطار محطة قاعدة خلية ماكروية في المنطقة المغطاة يقل في كثير من الأحيان عن عدد المستخدمين الذين يمكن أن يخدَّموا في نفس المنطقة من خلال استخدام خلايا ماكروية متعددة (انظر الشكل </w:t>
      </w:r>
      <w:r>
        <w:rPr>
          <w:lang w:bidi="ar"/>
        </w:rPr>
        <w:t>1-2.3</w:t>
      </w:r>
      <w:r>
        <w:rPr>
          <w:rtl/>
        </w:rPr>
        <w:t xml:space="preserve">). </w:t>
      </w:r>
      <w:r>
        <w:rPr>
          <w:rtl/>
          <w:lang w:bidi="ar"/>
        </w:rPr>
        <w:t xml:space="preserve">وبعبارة أخرى، فإن كفاءة استخدام التردد في خلية ماكروية تقل عنها في خلية ميكروية. </w:t>
      </w:r>
    </w:p>
    <w:p w:rsidR="00111C25" w:rsidRDefault="00111C25" w:rsidP="00111C25">
      <w:pPr>
        <w:spacing w:after="240"/>
        <w:rPr>
          <w:rtl/>
          <w:lang w:bidi="ar"/>
        </w:rPr>
      </w:pPr>
      <w:r>
        <w:rPr>
          <w:rtl/>
          <w:lang w:bidi="ar"/>
        </w:rPr>
        <w:t>في حالة خلية ميكروية، يكون خرج القدرة من محطة القاعدة أضعف فلا تصل الإشارات الراديوية إلى مسافات بعيدة. وهذا يعني إمكانية إعادة استخدام نفس التردد مع التقليل من التداخل.</w:t>
      </w:r>
    </w:p>
    <w:p w:rsidR="009E322E" w:rsidRDefault="009E322E" w:rsidP="009E322E">
      <w:pPr>
        <w:pStyle w:val="Figuretitle"/>
      </w:pPr>
      <w:bookmarkStart w:id="77" w:name="_Toc372276129"/>
      <w:bookmarkStart w:id="78" w:name="_Toc380497242"/>
      <w:r>
        <w:rPr>
          <w:rtl/>
        </w:rPr>
        <w:lastRenderedPageBreak/>
        <w:t xml:space="preserve">الشكل </w:t>
      </w:r>
      <w:r>
        <w:rPr>
          <w:lang w:bidi="ar"/>
        </w:rPr>
        <w:t>1-2.3</w:t>
      </w:r>
      <w:r>
        <w:rPr>
          <w:rFonts w:hint="cs"/>
          <w:rtl/>
          <w:lang w:bidi="ar"/>
        </w:rPr>
        <w:t>:</w:t>
      </w:r>
      <w:r>
        <w:rPr>
          <w:rtl/>
          <w:lang w:bidi="ar"/>
        </w:rPr>
        <w:t xml:space="preserve"> </w:t>
      </w:r>
      <w:r>
        <w:rPr>
          <w:rFonts w:hint="cs"/>
          <w:rtl/>
          <w:lang w:bidi="ar"/>
        </w:rPr>
        <w:t>المقارنة بين كفاءة خلية ماكروية وخلية ميكروية</w:t>
      </w:r>
      <w:bookmarkEnd w:id="77"/>
      <w:bookmarkEnd w:id="78"/>
    </w:p>
    <w:p w:rsidR="009E322E" w:rsidRDefault="00364C2C" w:rsidP="00364C2C">
      <w:pPr>
        <w:pStyle w:val="Figure"/>
        <w:rPr>
          <w:rtl/>
        </w:rPr>
      </w:pPr>
      <w:r>
        <w:rPr>
          <w:rFonts w:hint="cs"/>
          <w:noProof/>
          <w:rtl/>
          <w:lang w:val="en-US" w:eastAsia="zh-CN"/>
        </w:rPr>
        <mc:AlternateContent>
          <mc:Choice Requires="wps">
            <w:drawing>
              <wp:anchor distT="0" distB="0" distL="114300" distR="114300" simplePos="0" relativeHeight="251629568" behindDoc="0" locked="0" layoutInCell="1" allowOverlap="1" wp14:anchorId="2C74A019" wp14:editId="112E97F5">
                <wp:simplePos x="0" y="0"/>
                <wp:positionH relativeFrom="column">
                  <wp:posOffset>4528820</wp:posOffset>
                </wp:positionH>
                <wp:positionV relativeFrom="paragraph">
                  <wp:posOffset>440690</wp:posOffset>
                </wp:positionV>
                <wp:extent cx="925195" cy="226695"/>
                <wp:effectExtent l="0" t="0" r="0" b="1905"/>
                <wp:wrapNone/>
                <wp:docPr id="657"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364C2C" w:rsidRDefault="005A67D3" w:rsidP="009E322E">
                            <w:pPr>
                              <w:pStyle w:val="NormalWeb"/>
                              <w:spacing w:before="0"/>
                              <w:jc w:val="center"/>
                              <w:rPr>
                                <w:rFonts w:cs="Traditional Arabic"/>
                                <w:sz w:val="18"/>
                                <w:szCs w:val="26"/>
                              </w:rPr>
                            </w:pPr>
                            <w:r w:rsidRPr="00364C2C">
                              <w:rPr>
                                <w:rFonts w:ascii="Calibri" w:hAnsi="Calibri" w:cs="Traditional Arabic"/>
                                <w:color w:val="000000"/>
                                <w:kern w:val="24"/>
                                <w:sz w:val="18"/>
                                <w:szCs w:val="26"/>
                              </w:rPr>
                              <w:t xml:space="preserve">: </w:t>
                            </w:r>
                            <w:r w:rsidRPr="00364C2C">
                              <w:rPr>
                                <w:rFonts w:ascii="Calibri" w:hAnsi="Calibri" w:cs="Traditional Arabic"/>
                                <w:color w:val="000000"/>
                                <w:kern w:val="24"/>
                                <w:sz w:val="18"/>
                                <w:szCs w:val="26"/>
                                <w:rtl/>
                              </w:rPr>
                              <w:t>محطة قاعدة</w:t>
                            </w:r>
                          </w:p>
                        </w:txbxContent>
                      </wps:txbx>
                      <wps:bodyPr rot="0" vert="horz" wrap="square" lIns="91440" tIns="45720" rIns="91440" bIns="0" anchor="t" anchorCtr="0" upright="1">
                        <a:noAutofit/>
                      </wps:bodyPr>
                    </wps:wsp>
                  </a:graphicData>
                </a:graphic>
              </wp:anchor>
            </w:drawing>
          </mc:Choice>
          <mc:Fallback>
            <w:pict>
              <v:shape id="テキスト ボックス 121" o:spid="_x0000_s1044" type="#_x0000_t202" style="position:absolute;left:0;text-align:left;margin-left:356.6pt;margin-top:34.7pt;width:72.85pt;height:17.8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Y2wIAANEFAAAOAAAAZHJzL2Uyb0RvYy54bWysVEtu2zAQ3RfoHQjuFX0q2ZYQOUgsqyiQ&#10;foC0B6AlyiIqkSpJR06LbmKg6CF6haLrnscX6ZCyHSdBgaKtFgKHnzfzZt7M6dm6bdA1lYoJnmL/&#10;xMOI8kKUjC9T/O5t7kwwUprwkjSC0xTfUIXPpk+fnPZdQgNRi6akEgEIV0nfpbjWuktcVxU1bYk6&#10;ER3lcFgJ2RINply6pSQ9oLeNG3jeyO2FLDspCqoU7GbDIZ5a/KqihX5dVYpq1KQYYtP2L+1/Yf7u&#10;9JQkS0m6mhW7MMhfRNESxsHpASojmqCVZI+gWlZIoUSlTwrRuqKqWEEtB2Djew/YXNWko5YLJEd1&#10;hzSp/wdbvLp+IxErUzyKxhhx0kKRtpsv29vv29uf281XtN18224229sfYCM/8E3K+k4l8PKqg7d6&#10;fSHWUHpLX3WXonivEBezmvAlPZdS9DUlJYRsX7pHTwccZUAW/UtRgmey0sICrSvZmnxChhCgQ+lu&#10;DuWia40K2IyDyI8jjAo4CoLRCNYQm0uS/eNOKv2cihaZRYolqMGCk+tLpYer+yvGFxc5axqriIbf&#10;2wDMYQdcw1NzZoKwBf4Ue/F8Mp+EThiM5k7oZZlzns9CZ5T74yh7ls1mmf/Z+PXDpGZlSblxsxeb&#10;H/5ZMXeyH2RykJsSDSsNnAlJyeVi1kh0TUDsuf12CTm65t4Pw+YLuDyg5AehdxHETj6ajJ0wDyMn&#10;HnsTx/Pji3jkhXGY5fcpXTJO/50S6qGqURANWvotN89+j7mRpGUaxknD2hRPDpdIYhQ456UtrSas&#10;GdZHqTDh36UCyr0vtNWrkeggVr1erG23+OG+DxaivAEFSwEKA5nCLIRFLeRHjHqYKylWH1ZEUoya&#10;Fxy6IPbD0Awia4TROABDHp8srAG7hBcAk2K9X870MLhWnWTLGrwMPcfFOXRNxayiTXsNEQEdY8Dc&#10;sMR2M84MpmPb3rqbxNNfAAAA//8DAFBLAwQUAAYACAAAACEAJRbnceAAAAAKAQAADwAAAGRycy9k&#10;b3ducmV2LnhtbEyPy07DMBBF90j8gzVI7KidQto0xKkQEgtWFQUhdTeNp0nAj8h22uTvMStYju7R&#10;vWeq7WQ0O5MPvbMSsoUARrZxqrethI/3l7sCWIhoFWpnScJMAbb19VWFpXIX+0bnfWxZKrGhRAld&#10;jEPJeWg6MhgWbiCbspPzBmM6fcuVx0sqN5ovhVhxg71NCx0O9NxR870fjYTXeXbN5/Ql+sGvcdRq&#10;5/PDTsrbm+npEVikKf7B8Kuf1KFOTkc3WhWYlrDO7pcJlbDaPABLQJEXG2DHRIo8A15X/P8L9Q8A&#10;AAD//wMAUEsBAi0AFAAGAAgAAAAhALaDOJL+AAAA4QEAABMAAAAAAAAAAAAAAAAAAAAAAFtDb250&#10;ZW50X1R5cGVzXS54bWxQSwECLQAUAAYACAAAACEAOP0h/9YAAACUAQAACwAAAAAAAAAAAAAAAAAv&#10;AQAAX3JlbHMvLnJlbHNQSwECLQAUAAYACAAAACEA/2VBWNsCAADRBQAADgAAAAAAAAAAAAAAAAAu&#10;AgAAZHJzL2Uyb0RvYy54bWxQSwECLQAUAAYACAAAACEAJRbnceAAAAAKAQAADwAAAAAAAAAAAAAA&#10;AAA1BQAAZHJzL2Rvd25yZXYueG1sUEsFBgAAAAAEAAQA8wAAAEIGAAAAAA==&#10;" filled="f" stroked="f">
                <v:textbox inset=",,,0">
                  <w:txbxContent>
                    <w:p w:rsidR="005A67D3" w:rsidRPr="00364C2C" w:rsidRDefault="005A67D3" w:rsidP="009E322E">
                      <w:pPr>
                        <w:pStyle w:val="NormalWeb"/>
                        <w:spacing w:before="0"/>
                        <w:jc w:val="center"/>
                        <w:rPr>
                          <w:rFonts w:cs="Traditional Arabic"/>
                          <w:sz w:val="18"/>
                          <w:szCs w:val="26"/>
                        </w:rPr>
                      </w:pPr>
                      <w:r w:rsidRPr="00364C2C">
                        <w:rPr>
                          <w:rFonts w:ascii="Calibri" w:hAnsi="Calibri" w:cs="Traditional Arabic"/>
                          <w:color w:val="000000"/>
                          <w:kern w:val="24"/>
                          <w:sz w:val="18"/>
                          <w:szCs w:val="26"/>
                        </w:rPr>
                        <w:t xml:space="preserve">: </w:t>
                      </w:r>
                      <w:r w:rsidRPr="00364C2C">
                        <w:rPr>
                          <w:rFonts w:ascii="Calibri" w:hAnsi="Calibri" w:cs="Traditional Arabic"/>
                          <w:color w:val="000000"/>
                          <w:kern w:val="24"/>
                          <w:sz w:val="18"/>
                          <w:szCs w:val="26"/>
                          <w:rtl/>
                        </w:rPr>
                        <w:t>محطة قاعدة</w:t>
                      </w:r>
                    </w:p>
                  </w:txbxContent>
                </v:textbox>
              </v:shape>
            </w:pict>
          </mc:Fallback>
        </mc:AlternateContent>
      </w:r>
      <w:r>
        <w:rPr>
          <w:rFonts w:hint="cs"/>
          <w:noProof/>
          <w:rtl/>
          <w:lang w:val="en-US" w:eastAsia="zh-CN"/>
        </w:rPr>
        <mc:AlternateContent>
          <mc:Choice Requires="wps">
            <w:drawing>
              <wp:anchor distT="0" distB="0" distL="114300" distR="114300" simplePos="0" relativeHeight="251630592" behindDoc="0" locked="0" layoutInCell="1" allowOverlap="1" wp14:anchorId="4388404F" wp14:editId="5D17FA47">
                <wp:simplePos x="0" y="0"/>
                <wp:positionH relativeFrom="column">
                  <wp:posOffset>4512098</wp:posOffset>
                </wp:positionH>
                <wp:positionV relativeFrom="paragraph">
                  <wp:posOffset>307340</wp:posOffset>
                </wp:positionV>
                <wp:extent cx="836295" cy="203835"/>
                <wp:effectExtent l="0" t="0" r="1905" b="5715"/>
                <wp:wrapNone/>
                <wp:docPr id="658"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364C2C" w:rsidRDefault="005A67D3" w:rsidP="009E322E">
                            <w:pPr>
                              <w:pStyle w:val="NormalWeb"/>
                              <w:spacing w:before="0"/>
                              <w:jc w:val="center"/>
                              <w:rPr>
                                <w:rFonts w:cs="Traditional Arabic"/>
                                <w:sz w:val="18"/>
                                <w:szCs w:val="26"/>
                              </w:rPr>
                            </w:pPr>
                            <w:r w:rsidRPr="00364C2C">
                              <w:rPr>
                                <w:rFonts w:ascii="Calibri" w:hAnsi="Calibri" w:cs="Traditional Arabic"/>
                                <w:color w:val="000000"/>
                                <w:kern w:val="24"/>
                                <w:sz w:val="18"/>
                                <w:szCs w:val="26"/>
                              </w:rPr>
                              <w:t xml:space="preserve">: </w:t>
                            </w:r>
                            <w:r w:rsidRPr="00364C2C">
                              <w:rPr>
                                <w:rFonts w:ascii="Calibri" w:hAnsi="Calibri" w:cs="Traditional Arabic"/>
                                <w:color w:val="000000"/>
                                <w:kern w:val="24"/>
                                <w:sz w:val="18"/>
                                <w:szCs w:val="26"/>
                                <w:rtl/>
                              </w:rPr>
                              <w:t>مطراف متنقل</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テキスト ボックス 122" o:spid="_x0000_s1045" type="#_x0000_t202" style="position:absolute;left:0;text-align:left;margin-left:355.3pt;margin-top:24.2pt;width:65.85pt;height:16.0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WF0wIAAMUFAAAOAAAAZHJzL2Uyb0RvYy54bWysVEtu2zAQ3RfoHQjuFX0sO5YQOUgsqyiQ&#10;foC0B6AlyiIqkSpJW06DbmKg6CF6haLrnscX6ZCyHSdBgaKtFsLwM2/mzTzO2fm6qdGKSsUET7B/&#10;4mFEeS4KxhcJfv8uc8YYKU14QWrBaYJvqMLnk+fPzro2poGoRF1QiQCEq7hrE1xp3cauq/KKNkSd&#10;iJZyOCyFbIiGpVy4hSQdoDe1G3jeyO2ELFopcqoU7Kb9IZ5Y/LKkuX5TlopqVCcYctP2L+1/bv7u&#10;5IzEC0naiuW7NMhfZNEQxiHoASolmqClZE+gGpZLoUSpT3LRuKIsWU4tB2Dje4/YXFekpZYLFEe1&#10;hzKp/webv169lYgVCR4NoVWcNNCk7ebL9u779u7ndvMVbTfftpvN9u4HrJEfBKZkXati8LxuwVev&#10;L8UaWm/pq/ZK5B8U4mJaEb6gF1KKrqKkgJR94+keufY4yoDMu1eigMhkqYUFWpeyMfWECiFAh9bd&#10;HNpF1xrlsDkejIJoiFEOR4E3GA+GNgKJ986tVPoFFQ0yRoIlqMGCk9WV0iYZEu+vmFhcZKyurSJq&#10;/mADLvY7EBpczZlJwjb4NvKi2Xg2Dp0wGM2c0EtT5yKbhs4o80+H6SCdTlP/s4nrh3HFioJyE2Yv&#10;Nj/8s2buZN/L5CA3JWpWGDiTkpKL+bSWaEVA7Jn9dgU5uuY+TMMWAbg8ouQHoXcZRE42Gp86YRYO&#10;nejUGzueH11GIy+MwjR7SOmKcfrvlFCX4GgYDHst/ZabZ7+n3EjcMA3jpGYNqONwicRGgTNe2NZq&#10;wurePiqFSf++FNDufaOtXo1Ee7Hq9XxtX4tvtWbEPBfFDShYClAYyBRmIRiVkJ8w6mCuJFh9XBJJ&#10;MapfcngFZgjtDbk35nuD8BxcE6wx6s2p7ofVspVsUQFy/864uICXUjKr4vssdu8LZoUls5trZhgd&#10;r+2t++k7+QUAAP//AwBQSwMEFAAGAAgAAAAhADYCJwXfAAAACQEAAA8AAABkcnMvZG93bnJldi54&#10;bWxMj8FOwzAMhu9IvENkJG4s2SilK02nCcEJCdGVw45pk7XRGqc02VbeHnOCmy1/+v39xWZ2Azub&#10;KViPEpYLAcxg67XFTsJn/XqXAQtRoVaDRyPh2wTYlNdXhcq1v2BlzrvYMQrBkCsJfYxjznloe+NU&#10;WPjRIN0OfnIq0jp1XE/qQuFu4CshUu6URfrQq9E896Y97k5OwnaP1Yv9em8+qkNl63ot8C09Snl7&#10;M2+fgEUzxz8YfvVJHUpyavwJdWCDhMelSAmVkGQJMAKyZHUPrKFBPAAvC/6/QfkDAAD//wMAUEsB&#10;Ai0AFAAGAAgAAAAhALaDOJL+AAAA4QEAABMAAAAAAAAAAAAAAAAAAAAAAFtDb250ZW50X1R5cGVz&#10;XS54bWxQSwECLQAUAAYACAAAACEAOP0h/9YAAACUAQAACwAAAAAAAAAAAAAAAAAvAQAAX3JlbHMv&#10;LnJlbHNQSwECLQAUAAYACAAAACEARGBlhdMCAADFBQAADgAAAAAAAAAAAAAAAAAuAgAAZHJzL2Uy&#10;b0RvYy54bWxQSwECLQAUAAYACAAAACEANgInBd8AAAAJAQAADwAAAAAAAAAAAAAAAAAtBQAAZHJz&#10;L2Rvd25yZXYueG1sUEsFBgAAAAAEAAQA8wAAADkGAAAAAA==&#10;" filled="f" stroked="f">
                <v:textbox inset="0,0,0,0">
                  <w:txbxContent>
                    <w:p w:rsidR="005A67D3" w:rsidRPr="00364C2C" w:rsidRDefault="005A67D3" w:rsidP="009E322E">
                      <w:pPr>
                        <w:pStyle w:val="NormalWeb"/>
                        <w:spacing w:before="0"/>
                        <w:jc w:val="center"/>
                        <w:rPr>
                          <w:rFonts w:cs="Traditional Arabic"/>
                          <w:sz w:val="18"/>
                          <w:szCs w:val="26"/>
                        </w:rPr>
                      </w:pPr>
                      <w:r w:rsidRPr="00364C2C">
                        <w:rPr>
                          <w:rFonts w:ascii="Calibri" w:hAnsi="Calibri" w:cs="Traditional Arabic"/>
                          <w:color w:val="000000"/>
                          <w:kern w:val="24"/>
                          <w:sz w:val="18"/>
                          <w:szCs w:val="26"/>
                        </w:rPr>
                        <w:t xml:space="preserve">: </w:t>
                      </w:r>
                      <w:r w:rsidRPr="00364C2C">
                        <w:rPr>
                          <w:rFonts w:ascii="Calibri" w:hAnsi="Calibri" w:cs="Traditional Arabic"/>
                          <w:color w:val="000000"/>
                          <w:kern w:val="24"/>
                          <w:sz w:val="18"/>
                          <w:szCs w:val="26"/>
                          <w:rtl/>
                        </w:rPr>
                        <w:t>مطراف متنقل</w:t>
                      </w:r>
                    </w:p>
                  </w:txbxContent>
                </v:textbox>
              </v:shape>
            </w:pict>
          </mc:Fallback>
        </mc:AlternateContent>
      </w:r>
      <w:r>
        <w:rPr>
          <w:rFonts w:hint="cs"/>
          <w:noProof/>
          <w:rtl/>
          <w:lang w:val="en-US" w:eastAsia="zh-CN"/>
        </w:rPr>
        <mc:AlternateContent>
          <mc:Choice Requires="wps">
            <w:drawing>
              <wp:anchor distT="0" distB="0" distL="114300" distR="114300" simplePos="0" relativeHeight="251679744" behindDoc="0" locked="0" layoutInCell="1" allowOverlap="1" wp14:anchorId="7BE95EFD" wp14:editId="42EE1103">
                <wp:simplePos x="0" y="0"/>
                <wp:positionH relativeFrom="column">
                  <wp:posOffset>4426585</wp:posOffset>
                </wp:positionH>
                <wp:positionV relativeFrom="paragraph">
                  <wp:posOffset>328507</wp:posOffset>
                </wp:positionV>
                <wp:extent cx="68045" cy="66405"/>
                <wp:effectExtent l="0" t="0" r="27305" b="10160"/>
                <wp:wrapNone/>
                <wp:docPr id="1159" name="円/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5" cy="66405"/>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26" o:spid="_x0000_s1046" style="position:absolute;left:0;text-align:left;margin-left:348.55pt;margin-top:25.85pt;width:5.35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BsSAIAAL8EAAAOAAAAZHJzL2Uyb0RvYy54bWysVF2O0zAQfkfiDpbfaZKqLbtR09WqyyKk&#10;BVZaOMDUcRoLxzZjt2k5wN6AI+zR4ByMnW4p8FbRB9cz4/nm55vJ/GrXabaV6JU1FS9GOWfSCFsr&#10;s67450+3ry448wFMDdoaWfG99Pxq8fLFvHelHNvW6loiIxDjy95VvA3BlVnmRSs78CPrpCFjY7GD&#10;QCKusxqhJ/ROZ+M8n2W9xdqhFdJ70t4MRr5I+E0jRfjYNF4GpitOuYV0YjpX8cwWcyjXCK5V4pAG&#10;nJFFB8pQ0CPUDQRgG1T/QHVKoPW2CSNhu8w2jRIy1UDVFPlf1Ty04GSqhZrj3bFN/v/Big/be2Sq&#10;Ju6K6SVnBjpi6cfjY/bz6Tv9sfEs9qh3vqSnD+4eY5Xe3VnxxTNjly2YtbxGtH0roabMivg++8Mh&#10;Cp5c2ap/b2vCh02wqV27BrsISI1gu8TK/siK3AUmSDm7yCdTzgRZZrNJPk34UD67OvThrbQdi5eK&#10;S62V87FrUML2zoeYDZTPr1L2Vqv6VmmdhDhpcqmRbYFmBISQJhTJXW86SnfQF3n8DeNCehqqQZ9U&#10;hJ8GNsKkaP40gjasr/h4OiH/c8NPz46OdmPqNOWRnzeHewClhzvlrs2BsMjRwHXYrXbDVBzpX9l6&#10;TxSiHXaIdp4urcVvnPW0PxX3XzeAkjP9ztAYXBaTSVy4JEymr8ck4KlldWoBIwiq4iIgZ4OwDMOa&#10;bhyqdUuxBlKMvabhaVTiNQ7WkNehAtqSRMBho+Mansrp1e/vzuIXAAAA//8DAFBLAwQUAAYACAAA&#10;ACEAym8Z5uAAAAAJAQAADwAAAGRycy9kb3ducmV2LnhtbEyPQU+DQBCF7yb+h82YeDHtAomgyNJY&#10;k3rRg9Ya9TaFEYjsLLLbFv31jic9Tt6XN98rFpPt1Z5G3zk2EM8jUMSVqztuDGyeVrMLUD4g19g7&#10;JgNf5GFRHh8VmNfuwI+0X4dGSQn7HA20IQy51r5qyaKfu4FYsnc3Wgxyjo2uRzxIue11EkWpttix&#10;fGhxoJuWqo/1zhp4S1dLTh/uzvh+8NXy+Ra/X18+jTk9ma6vQAWawh8Mv/qiDqU4bd2Oa696A+ll&#10;Fgtq4DzOQAmQRZls2UqSJKDLQv9fUP4AAAD//wMAUEsBAi0AFAAGAAgAAAAhALaDOJL+AAAA4QEA&#10;ABMAAAAAAAAAAAAAAAAAAAAAAFtDb250ZW50X1R5cGVzXS54bWxQSwECLQAUAAYACAAAACEAOP0h&#10;/9YAAACUAQAACwAAAAAAAAAAAAAAAAAvAQAAX3JlbHMvLnJlbHNQSwECLQAUAAYACAAAACEAw5HA&#10;bEgCAAC/BAAADgAAAAAAAAAAAAAAAAAuAgAAZHJzL2Uyb0RvYy54bWxQSwECLQAUAAYACAAAACEA&#10;ym8Z5uAAAAAJAQAADwAAAAAAAAAAAAAAAACiBAAAZHJzL2Rvd25yZXYueG1sUEsFBgAAAAAEAAQA&#10;8wAAAK8FAAAAAA==&#10;" fillcolor="#4f81bd [3204]" strokecolor="#243f60 [1604]" strokeweight="2pt">
                <v:textbox>
                  <w:txbxContent>
                    <w:p w:rsidR="005A67D3" w:rsidRDefault="005A67D3" w:rsidP="009E322E"/>
                  </w:txbxContent>
                </v:textbox>
              </v:oval>
            </w:pict>
          </mc:Fallback>
        </mc:AlternateContent>
      </w:r>
    </w:p>
    <w:p w:rsidR="009E322E" w:rsidRDefault="00364C2C" w:rsidP="00364C2C">
      <w:pPr>
        <w:pStyle w:val="Figure"/>
        <w:rPr>
          <w:rtl/>
        </w:rPr>
      </w:pPr>
      <w:r>
        <w:rPr>
          <w:rFonts w:hint="cs"/>
          <w:noProof/>
          <w:rtl/>
          <w:lang w:val="en-US" w:eastAsia="zh-CN"/>
        </w:rPr>
        <mc:AlternateContent>
          <mc:Choice Requires="wps">
            <w:drawing>
              <wp:anchor distT="0" distB="0" distL="114300" distR="114300" simplePos="0" relativeHeight="251658240" behindDoc="0" locked="0" layoutInCell="1" allowOverlap="1" wp14:anchorId="420F78BB" wp14:editId="66977333">
                <wp:simplePos x="0" y="0"/>
                <wp:positionH relativeFrom="column">
                  <wp:posOffset>2842048</wp:posOffset>
                </wp:positionH>
                <wp:positionV relativeFrom="paragraph">
                  <wp:posOffset>52262</wp:posOffset>
                </wp:positionV>
                <wp:extent cx="2236047" cy="2182154"/>
                <wp:effectExtent l="0" t="0" r="12065" b="27940"/>
                <wp:wrapNone/>
                <wp:docPr id="7" name="円/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047" cy="2182154"/>
                        </a:xfrm>
                        <a:prstGeom prst="ellipse">
                          <a:avLst/>
                        </a:prstGeom>
                        <a:solidFill>
                          <a:schemeClr val="bg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3" o:spid="_x0000_s1047" style="position:absolute;left:0;text-align:left;margin-left:223.8pt;margin-top:4.1pt;width:176.05pt;height:17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OTwIAALsEAAAOAAAAZHJzL2Uyb0RvYy54bWysVF1uEzEQfkfiDpbfyWa3SVtW3VRVSxFS&#10;gUqFA0y83qyF12NsJ7vlAL1Bj8DR4ByMvUkI9AGpIg+OZ8bzzc83s2fnQ6fZRjqv0FQ8n0w5k0Zg&#10;rcyq4p8/Xb865cwHMDVoNLLi99Lz88XLF2e9LWWBLepaOkYgxpe9rXgbgi2zzItWduAnaKUhY4Ou&#10;g0CiW2W1g57QO50V0+lx1qOrrUMhvSft1Wjki4TfNFKEj03jZWC64pRbSKdL5zKe2eIMypUD2yqx&#10;TQOekUUHylDQPdQVBGBrp55AdUo49NiEicAuw6ZRQqYaqJp8+lc1dy1YmWqh5ni7b5P/f7Diw+bW&#10;MVVX/IQzAx1R9OPhIfv5/ZH+2FHsT299Sc/u7K2LFXp7g+KLZwYvWzAreeEc9q2EmrLK4/vsD4co&#10;eHJly/491gQP64CpVUPjughITWBDYuR+z4gcAhOkLIqj4+mMUhNkK/LTIp/PUgwod+7W+fBWYsfi&#10;peJSa2V97BqUsLnxIWYE5e5VqgC1qq+V1kmIkyYvtWMboBlZrvLkqtcdpTvq8mn8jaNCehqoUZ9U&#10;hJ2GNUKkSP4QXRvWU+LzGfn/KzQIIU14Gn7+7OgO16ZOEx75ebO9B1B6vFPu2mwJixyNXIdhOaSJ&#10;yE929C+xvicKHY77Q/tOlxbdN8562p2K+69rcJIz/c7QGLzOZ7O4bEmYzU8KEtyhZXloASMIquIi&#10;OM5G4TKMK7q2Tq1aijV2xeAFDU+jEqdxsMa8thXQhiQCttscV/BQTq9+f3MWvwAAAP//AwBQSwME&#10;FAAGAAgAAAAhALk6cETgAAAACQEAAA8AAABkcnMvZG93bnJldi54bWxMj91Og0AUhO9NfIfNMfHG&#10;2AX6A0WWBjWm0Rtj2wc4wBGI7FnCbgu+veuVXk5mMvNNtpt1Ly402s6wgnARgCCuTN1xo+B0fLlP&#10;QFiHXGNvmBR8k4Vdfn2VYVqbiT/ocnCN8CVsU1TQOjekUtqqJY12YQZi732aUaPzcmxkPeLky3Uv&#10;oyDYSI0d+4UWB3pqqfo6nLWC97dieSoxjKbi8Tm6O+5fqVsPSt3ezMUDCEez+wvDL75Hh9wzlebM&#10;tRW9gtUq3viogiQC4f14u41BlAqW6zABmWfy/4P8BwAA//8DAFBLAQItABQABgAIAAAAIQC2gziS&#10;/gAAAOEBAAATAAAAAAAAAAAAAAAAAAAAAABbQ29udGVudF9UeXBlc10ueG1sUEsBAi0AFAAGAAgA&#10;AAAhADj9If/WAAAAlAEAAAsAAAAAAAAAAAAAAAAALwEAAF9yZWxzLy5yZWxzUEsBAi0AFAAGAAgA&#10;AAAhAPjZD85PAgAAuwQAAA4AAAAAAAAAAAAAAAAALgIAAGRycy9lMm9Eb2MueG1sUEsBAi0AFAAG&#10;AAgAAAAhALk6cETgAAAACQEAAA8AAAAAAAAAAAAAAAAAqQQAAGRycy9kb3ducmV2LnhtbFBLBQYA&#10;AAAABAAEAPMAAAC2BQAAAAA=&#10;" fillcolor="white [3212]" strokecolor="#243f60 [1604]" strokeweight="2pt">
                <v:textbox>
                  <w:txbxContent>
                    <w:p w:rsidR="005A67D3" w:rsidRDefault="005A67D3" w:rsidP="009E322E"/>
                  </w:txbxContent>
                </v:textbox>
              </v:oval>
            </w:pict>
          </mc:Fallback>
        </mc:AlternateContent>
      </w:r>
      <w:r>
        <w:rPr>
          <w:rFonts w:hint="cs"/>
          <w:noProof/>
          <w:rtl/>
          <w:lang w:val="en-US" w:eastAsia="zh-CN"/>
        </w:rPr>
        <mc:AlternateContent>
          <mc:Choice Requires="wpg">
            <w:drawing>
              <wp:anchor distT="0" distB="0" distL="114300" distR="114300" simplePos="0" relativeHeight="251659264" behindDoc="0" locked="0" layoutInCell="1" allowOverlap="1" wp14:anchorId="5B2B607D" wp14:editId="2A218A02">
                <wp:simplePos x="0" y="0"/>
                <wp:positionH relativeFrom="column">
                  <wp:posOffset>217170</wp:posOffset>
                </wp:positionH>
                <wp:positionV relativeFrom="paragraph">
                  <wp:posOffset>52262</wp:posOffset>
                </wp:positionV>
                <wp:extent cx="2236047" cy="2182154"/>
                <wp:effectExtent l="0" t="0" r="12065" b="27940"/>
                <wp:wrapNone/>
                <wp:docPr id="8"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047" cy="2182154"/>
                          <a:chOff x="2880" y="4320"/>
                          <a:chExt cx="33123" cy="33123"/>
                        </a:xfrm>
                      </wpg:grpSpPr>
                      <wps:wsp>
                        <wps:cNvPr id="9" name="円/楕円 56"/>
                        <wps:cNvSpPr>
                          <a:spLocks noChangeArrowheads="1"/>
                        </wps:cNvSpPr>
                        <wps:spPr bwMode="auto">
                          <a:xfrm>
                            <a:off x="2880" y="4320"/>
                            <a:ext cx="33124"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5A67D3" w:rsidRDefault="005A67D3" w:rsidP="009E322E">
                              <w:pPr>
                                <w:rPr>
                                  <w:rFonts w:eastAsia="MS Mincho"/>
                                  <w:lang w:eastAsia="ja-JP"/>
                                </w:rPr>
                              </w:pPr>
                            </w:p>
                          </w:txbxContent>
                        </wps:txbx>
                        <wps:bodyPr rot="0" vert="horz" wrap="square" lIns="91440" tIns="45720" rIns="91440" bIns="45720" anchor="ctr" anchorCtr="0" upright="1">
                          <a:noAutofit/>
                        </wps:bodyPr>
                      </wps:wsp>
                      <wps:wsp>
                        <wps:cNvPr id="10" name="円/楕円 57"/>
                        <wps:cNvSpPr>
                          <a:spLocks noChangeArrowheads="1"/>
                        </wps:cNvSpPr>
                        <wps:spPr bwMode="auto">
                          <a:xfrm>
                            <a:off x="14401" y="7920"/>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 name="円/楕円 58"/>
                        <wps:cNvSpPr>
                          <a:spLocks noChangeArrowheads="1"/>
                        </wps:cNvSpPr>
                        <wps:spPr bwMode="auto">
                          <a:xfrm>
                            <a:off x="7920" y="16561"/>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2" name="円/楕円 59"/>
                        <wps:cNvSpPr>
                          <a:spLocks noChangeArrowheads="1"/>
                        </wps:cNvSpPr>
                        <wps:spPr bwMode="auto">
                          <a:xfrm>
                            <a:off x="12241" y="28045"/>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3" name="円/楕円 60"/>
                        <wps:cNvSpPr>
                          <a:spLocks noChangeArrowheads="1"/>
                        </wps:cNvSpPr>
                        <wps:spPr bwMode="auto">
                          <a:xfrm>
                            <a:off x="26395" y="12961"/>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4" name="円/楕円 61"/>
                        <wps:cNvSpPr>
                          <a:spLocks noChangeArrowheads="1"/>
                        </wps:cNvSpPr>
                        <wps:spPr bwMode="auto">
                          <a:xfrm>
                            <a:off x="24774" y="28045"/>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5" name="二等辺三角形 62"/>
                        <wps:cNvSpPr>
                          <a:spLocks noChangeArrowheads="1"/>
                        </wps:cNvSpPr>
                        <wps:spPr bwMode="auto">
                          <a:xfrm>
                            <a:off x="18722" y="18362"/>
                            <a:ext cx="1440"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5A67D3" w:rsidRDefault="005A67D3" w:rsidP="009E322E"/>
                          </w:txbxContent>
                        </wps:txbx>
                        <wps:bodyPr rot="0" vert="horz" wrap="square" lIns="91440" tIns="45720" rIns="91440" bIns="45720" anchor="ctr" anchorCtr="0" upright="1">
                          <a:noAutofit/>
                        </wps:bodyPr>
                      </wps:wsp>
                    </wpg:wgp>
                  </a:graphicData>
                </a:graphic>
              </wp:anchor>
            </w:drawing>
          </mc:Choice>
          <mc:Fallback>
            <w:pict>
              <v:group id="グループ化 4" o:spid="_x0000_s1048" style="position:absolute;left:0;text-align:left;margin-left:17.1pt;margin-top:4.1pt;width:176.05pt;height:171.8pt;z-index:251659264" coordorigin="2880,4320" coordsize="33123,3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6WdQQAAGEZAAAOAAAAZHJzL2Uyb0RvYy54bWzsWc2O2zYQvhfoOxC6d23SsmwL6w2CTXYR&#10;IG0DpH0AWqJ+WkpUSXrlzbELBAiQU4G29wJFD0WBHIOg7ctsts1jdEhKsrLeJMU2cRrAF5sUqeHw&#10;m/lmyNH+jVXB0QmTKhfl3MN7Qw+xMhJxXqZz78svjj6ZekhpWsaUi5LNvVOmvBsHH3+0X1chIyIT&#10;PGYSgZBShXU19zKtq3AwUFHGCqr2RMVKGEyELKiGrkwHsaQ1SC/4gAyHwaAWMq6kiJhS8PSWG/QO&#10;rPwkYZH+PEkU04jPPdBN219pfxfmd3CwT8NU0irLo0YNeg0tCpqXsGgn6hbVFC1lviGqyCMplEj0&#10;XiSKgUiSPGJ2D7AbPLy0m2MplpXdSxrWadXBBNBewunaYqPPTu5JlMdzDwxV0gJMdP7tk/OzX8/P&#10;fj8/+/Hi8Q/INyDVVRrC3GNZ3a/uSbdTaN4V0dcKhgeXx00/dZPRov5UxCCYLrWwIK0SWRgRsH20&#10;srY47WzBVhpF8JCQUTD0Jx6KYIzgKcFjqwgNowxMat4j0ymYFIb9EWksGWW3m/dHI0xG7m3XNFrS&#10;0C1t1W3UM3sD31NreNV/g/d+RitmraYMZA28sxbei4cPB3/9/D38oXHgoLXzWlyVAxWV4jCjZcpu&#10;SinqjNEY1MJmPijfe8F0FJjkjShfgVaLtQHIX2Nlce6womEllT5mokCmMfcY53mlzA5pSE/uKu2Q&#10;bWeZx0rwPD7KObcdw2V2yCU6ocBCvSL2Vb4swC3cM2DysLEgPDbmtVOn7WNQxkYEI8Wa8aUFeIlq&#10;8IaxDzLetDqNIlZqvKHBuF2Khn0NrFKvXx04WsYAAQ2NkW43bU1z7trwNi8bqxlDOX/Tq8XK0g5P&#10;Wx9YiPgU7CiFC1IQVKGRCfnAQzUEqLmnvllSyTzE75TgCzPs+yai2Y4/ngAFkOyPLPojtIxA1NyL&#10;tPSQ6xxqFweXlczTDNZyqJTiJvA0ya1ZjXc5vZodAE+2RBgM+3EBqc+YSYsWMOtdM8YAjG2Amcza&#10;ANNRJjBDJjZBmHK0bIPL2ybMq1wWG5e9gjX/wmc/bMbMWh/YMcZlgibFYPDITcZ08WULjLE8MRkZ&#10;B+PAsoKGO8a0We695RgXvNaxfJdjWsaQqxjTxZctMAYT4rscQ6ZDf2wi20uUgSS4SzIWlO0ey4iN&#10;XjvKwEHZgLC+x2C4VG0kmcCeOZqJ7/pYRoLRbGyPZZjMXptl2pNQe99sryhv5yKzO5dZ1+huMoTs&#10;zmVXXv0x3K03KdMFmC1kGeJPJqCEqaTsssz/6PIPFSrIbbsss5llIMA7yjx/9vjv3x69+PPZ86eP&#10;Xvzy3cUfP6GgCzRboA6eTiCw2TvNdORWXh/QXAnGHND8AGqRYMtXl820zKGcx3t1M3PUS+NmnzT+&#10;ykNJwaH6DLUv1N0VQKAtslnRbQLbrHLJdNFV2I6O2sKAqVz1S3Hv995f5Bpq/TwvoNjcq11cq2wG&#10;9coPjjm26gx1fGvK5puD+VDQ70O7/2Xk4B8AAAD//wMAUEsDBBQABgAIAAAAIQB6OSTu3wAAAAgB&#10;AAAPAAAAZHJzL2Rvd25yZXYueG1sTI9Ba8JAEIXvBf/DMkJvdRNTJaTZiEjbkxSqhdLbmB2TYHY3&#10;ZNck/vtOT/U0M7zHm+/lm8m0YqDeN84qiBcRCLKl042tFHwd355SED6g1dg6Swpu5GFTzB5yzLQb&#10;7ScNh1AJDrE+QwV1CF0mpS9rMugXriPL2tn1BgOffSV1jyOHm1Yuo2gtDTaWP9TY0a6m8nK4GgXv&#10;I47bJH4d9pfz7vZzXH1872NS6nE+bV9ABJrCvxn+8BkdCmY6uavVXrQKkuclOxWkPFhO0nUC4sTL&#10;Kk5BFrm8L1D8AgAA//8DAFBLAQItABQABgAIAAAAIQC2gziS/gAAAOEBAAATAAAAAAAAAAAAAAAA&#10;AAAAAABbQ29udGVudF9UeXBlc10ueG1sUEsBAi0AFAAGAAgAAAAhADj9If/WAAAAlAEAAAsAAAAA&#10;AAAAAAAAAAAALwEAAF9yZWxzLy5yZWxzUEsBAi0AFAAGAAgAAAAhAI2E3pZ1BAAAYRkAAA4AAAAA&#10;AAAAAAAAAAAALgIAAGRycy9lMm9Eb2MueG1sUEsBAi0AFAAGAAgAAAAhAHo5JO7fAAAACAEAAA8A&#10;AAAAAAAAAAAAAAAAzwYAAGRycy9kb3ducmV2LnhtbFBLBQYAAAAABAAEAPMAAADbBwAAAAA=&#10;">
                <v:oval id="円/楕円 56" o:spid="_x0000_s1049" style="position:absolute;left:2880;top:4320;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wsMA&#10;AADaAAAADwAAAGRycy9kb3ducmV2LnhtbESPS4vCQBCE7wv+h6EFb+tEwVfMKCIseFE0qwdvTabN&#10;w0xPyMxq/PfOwsIei6r6ikrWnanFg1pXWlYwGkYgiDOrS84VnL+/PucgnEfWWFsmBS9ysF71PhKM&#10;tX3yiR6pz0WAsItRQeF9E0vpsoIMuqFtiIN3s61BH2SbS93iM8BNLcdRNJUGSw4LBTa0LSi7pz9G&#10;weRwpP0Wq9OuShd4PY9ml8t9ptSg322WIDx1/j/8195pBQv4vRJu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nvwsMAAADaAAAADwAAAAAAAAAAAAAAAACYAgAAZHJzL2Rv&#10;d25yZXYueG1sUEsFBgAAAAAEAAQA9QAAAIgDAAAAAA==&#10;" fillcolor="#c6d9f1 [671]" strokecolor="#243f60 [1604]" strokeweight="2pt">
                  <v:textbox>
                    <w:txbxContent>
                      <w:p w:rsidR="005A67D3" w:rsidRDefault="005A67D3" w:rsidP="009E322E">
                        <w:pPr>
                          <w:rPr>
                            <w:rFonts w:eastAsia="MS Mincho"/>
                            <w:lang w:eastAsia="ja-JP"/>
                          </w:rPr>
                        </w:pPr>
                      </w:p>
                    </w:txbxContent>
                  </v:textbox>
                </v:oval>
                <v:oval id="円/楕円 57" o:spid="_x0000_s1050" style="position:absolute;left:14401;top:7920;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gF8YA&#10;AADbAAAADwAAAGRycy9kb3ducmV2LnhtbESPQWvCQBCF70L/wzIFL6Kb9hAkukotWAp6UNvSehuy&#10;YxKanU2zq0Z/vXMQepvhvXnvm+m8c7U6URsqzwaeRgko4tzbigsDnx/L4RhUiMgWa89k4EIB5rOH&#10;3hQz68+8pdMuFkpCOGRooIyxybQOeUkOw8g3xKIdfOswytoW2rZ4lnBX6+ckSbXDiqWhxIZeS8p/&#10;d0dnYJ8uF5xuVgNeNyFffL3h9ef7z5j+Y/cyARWpi//m+/W7FXyhl1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gF8YAAADbAAAADwAAAAAAAAAAAAAAAACYAgAAZHJz&#10;L2Rvd25yZXYueG1sUEsFBgAAAAAEAAQA9QAAAIsDAAAAAA==&#10;" fillcolor="#4f81bd [3204]" strokecolor="#243f60 [1604]" strokeweight="2pt">
                  <v:textbox>
                    <w:txbxContent>
                      <w:p w:rsidR="005A67D3" w:rsidRDefault="005A67D3" w:rsidP="009E322E"/>
                    </w:txbxContent>
                  </v:textbox>
                </v:oval>
                <v:oval id="円/楕円 58" o:spid="_x0000_s1051" style="position:absolute;left:7920;top:16561;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FjMMA&#10;AADbAAAADwAAAGRycy9kb3ducmV2LnhtbERPTWvCQBC9C/6HZYReRDf2ECRmlSooQj1Uq2hvQ3aa&#10;hGZnY3arsb/eFYTe5vE+J521phIXalxpWcFoGIEgzqwuOVew/1wOxiCcR9ZYWSYFN3Iwm3Y7KSba&#10;XnlLl53PRQhhl6CCwvs6kdJlBRl0Q1sTB+7bNgZ9gE0udYPXEG4q+RpFsTRYcmgosKZFQdnP7tco&#10;+IqXc44/3vu8qV02P6zw73Q8K/XSa98mIDy1/l/8dK91mD+Cxy/h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sFjMMAAADbAAAADwAAAAAAAAAAAAAAAACYAgAAZHJzL2Rv&#10;d25yZXYueG1sUEsFBgAAAAAEAAQA9QAAAIgDAAAAAA==&#10;" fillcolor="#4f81bd [3204]" strokecolor="#243f60 [1604]" strokeweight="2pt">
                  <v:textbox>
                    <w:txbxContent>
                      <w:p w:rsidR="005A67D3" w:rsidRDefault="005A67D3" w:rsidP="009E322E"/>
                    </w:txbxContent>
                  </v:textbox>
                </v:oval>
                <v:oval id="円/楕円 59" o:spid="_x0000_s1052" style="position:absolute;left:12241;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textbox>
                    <w:txbxContent>
                      <w:p w:rsidR="005A67D3" w:rsidRDefault="005A67D3" w:rsidP="009E322E"/>
                    </w:txbxContent>
                  </v:textbox>
                </v:oval>
                <v:oval id="円/楕円 60" o:spid="_x0000_s1053" style="position:absolute;left:26395;top:12961;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YMMA&#10;AADbAAAADwAAAGRycy9kb3ducmV2LnhtbERPTWvCQBC9C/6HZQQvohst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YMMAAADbAAAADwAAAAAAAAAAAAAAAACYAgAAZHJzL2Rv&#10;d25yZXYueG1sUEsFBgAAAAAEAAQA9QAAAIgDAAAAAA==&#10;" fillcolor="#4f81bd [3204]" strokecolor="#243f60 [1604]" strokeweight="2pt">
                  <v:textbox>
                    <w:txbxContent>
                      <w:p w:rsidR="005A67D3" w:rsidRDefault="005A67D3" w:rsidP="009E322E"/>
                    </w:txbxContent>
                  </v:textbox>
                </v:oval>
                <v:oval id="円/楕円 61" o:spid="_x0000_s1054" style="position:absolute;left:24774;top:28045;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FMMA&#10;AADbAAAADwAAAGRycy9kb3ducmV2LnhtbERPTWvCQBC9C/6HZQQvohul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FMMAAADbAAAADwAAAAAAAAAAAAAAAACYAgAAZHJzL2Rv&#10;d25yZXYueG1sUEsFBgAAAAAEAAQA9QAAAIgDAAAAAA==&#10;" fillcolor="#4f81bd [3204]" strokecolor="#243f60 [1604]" strokeweight="2pt">
                  <v:textbox>
                    <w:txbxContent>
                      <w:p w:rsidR="005A67D3" w:rsidRDefault="005A67D3" w:rsidP="009E322E"/>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 o:spid="_x0000_s1055" type="#_x0000_t5" style="position:absolute;left:18722;top:18362;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VzcIA&#10;AADbAAAADwAAAGRycy9kb3ducmV2LnhtbERPTWsCMRC9C/0PYQreNKuitKtRWmGl9FDo2ou3YTPd&#10;LN1MdpOo239vCgVv83ifs9kNthUX8qFxrGA2zUAQV043XCv4OhaTJxAhImtsHZOCXwqw2z6MNphr&#10;d+VPupSxFimEQ44KTIxdLmWoDFkMU9cRJ+7beYsxQV9L7fGawm0r51m2khYbTg0GO9obqn7Ks1VQ&#10;HmeL08G/mkzr9+fGFX05fPRKjR+HlzWISEO8i//dbzrNX8LfL+k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VXNwgAAANsAAAAPAAAAAAAAAAAAAAAAAJgCAABkcnMvZG93&#10;bnJldi54bWxQSwUGAAAAAAQABAD1AAAAhwMAAAAA&#10;" fillcolor="red" strokecolor="#243f60 [1604]" strokeweight="2pt">
                  <v:textbox>
                    <w:txbxContent>
                      <w:p w:rsidR="005A67D3" w:rsidRDefault="005A67D3" w:rsidP="009E322E"/>
                    </w:txbxContent>
                  </v:textbox>
                </v:shape>
              </v:group>
            </w:pict>
          </mc:Fallback>
        </mc:AlternateContent>
      </w:r>
      <w:r>
        <w:rPr>
          <w:rFonts w:hint="cs"/>
          <w:noProof/>
          <w:rtl/>
          <w:lang w:val="en-US" w:eastAsia="zh-CN"/>
        </w:rPr>
        <mc:AlternateContent>
          <mc:Choice Requires="wps">
            <w:drawing>
              <wp:anchor distT="0" distB="0" distL="114300" distR="114300" simplePos="0" relativeHeight="251668480" behindDoc="0" locked="0" layoutInCell="1" allowOverlap="1" wp14:anchorId="63B82619" wp14:editId="2A9A6FD7">
                <wp:simplePos x="0" y="0"/>
                <wp:positionH relativeFrom="column">
                  <wp:posOffset>1359495</wp:posOffset>
                </wp:positionH>
                <wp:positionV relativeFrom="paragraph">
                  <wp:posOffset>147127</wp:posOffset>
                </wp:positionV>
                <wp:extent cx="457146" cy="984354"/>
                <wp:effectExtent l="0" t="38100" r="57785" b="25400"/>
                <wp:wrapNone/>
                <wp:docPr id="33"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46" cy="984354"/>
                        </a:xfrm>
                        <a:prstGeom prst="straightConnector1">
                          <a:avLst/>
                        </a:prstGeom>
                        <a:noFill/>
                        <a:ln w="2540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o:spid="_x0000_s1026" type="#_x0000_t32" style="position:absolute;margin-left:107.05pt;margin-top:11.6pt;width:36pt;height:7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SLgQIAALQEAAAOAAAAZHJzL2Uyb0RvYy54bWysVMuO0zAU3SPxD5b3nSRtWtpo0hFKWzYD&#10;jDQDe4/tNBaOHdlu0wqxGdbzA7BA4gdAAoklH1Oh+Q2unU6HgQ1CbBy/7rnnXJ+b45NNLdGaGyu0&#10;ynFyFGPEFdVMqGWOX1wsemOMrCOKEakVz/GWW3wyffjguG0y3teVlowbBCDKZm2T48q5JosiSyte&#10;E3ukG67gsNSmJg6WZhkxQ1pAr2XUj+NR1GrDGqMptxZ2Z90hngb8suTUPS9Lyx2SOQZuLowmjJd+&#10;jKbHJFsa0lSC7mmQf2BRE6Eg6QFqRhxBKyP+gKoFNdrq0h1RXUe6LAXlQQOoSeLf1JxXpOFBCxTH&#10;Nocy2f8HS5+tzwwSLMeDAUaK1PBGN++/3nx7d/Ph44/rz7urL7u317urT7ur7ygZ+Hq1jc0grFBn&#10;xiumG3XenGr6yiKli4qoJQ+8L7YNYCU+IroX4he2gayX7VPN4A5ZOR2KtylNjUopmpc+0INDgdAm&#10;vNb28Fp84xCFzXT4KElHGFE4mozTwTANuUjmYXxwY6x7wnWN/CTH1hkilpUrtFLgC226FGR9ap0n&#10;eRfgg5VeCCmDPaRCbY77wzSOAymrpWD+1N8LTuWFNGhNwGOEUq5chyxXNQjs9ifDGKI7uFUNnuy2&#10;wxZkPqAEHvcSGL1SLARWnLD5fu6IkDBHLlSZGKNb7FnWnGEkOfSin3WypPJEoWwgdD/rvPl6Ek/m&#10;4/k47aX90byXxrNZ7/GiSHujRfJoOBvMimKWvPGakzSrBGNcedm3fZKkf+fDfcd2Dj90yqHA0X30&#10;UAEge/sNpIODvGk6+11qtj0zXp03E7RGuLxvY997v67DrbufzfQnAAAA//8DAFBLAwQUAAYACAAA&#10;ACEAsymgh94AAAAKAQAADwAAAGRycy9kb3ducmV2LnhtbEyPPWvDMBCG90L/g7hCt0a2WhLjWg6h&#10;0CVkaZpAx4slW8aWZCw5sf99rlO73cfDe88V29n27KrH0HonIV0lwLSrvGpdI+H0/fmSAQsRncLe&#10;Oy1h0QG25eNDgbnyN/elr8fYMApxIUcJJsYh5zxURlsMKz9oR7vajxYjtWPD1Yg3Crc9F0my5hZb&#10;RxcMDvrD6Ko7TlYC+uVnOh26dL+Ys9qd93XsQi3l89O8ewcW9Rz/YPjVJ3UoyeniJ6cC6yWI9C0l&#10;lIpXAYwAka1pcCFykwngZcH/v1DeAQAA//8DAFBLAQItABQABgAIAAAAIQC2gziS/gAAAOEBAAAT&#10;AAAAAAAAAAAAAAAAAAAAAABbQ29udGVudF9UeXBlc10ueG1sUEsBAi0AFAAGAAgAAAAhADj9If/W&#10;AAAAlAEAAAsAAAAAAAAAAAAAAAAALwEAAF9yZWxzLy5yZWxzUEsBAi0AFAAGAAgAAAAhAFN/lIuB&#10;AgAAtAQAAA4AAAAAAAAAAAAAAAAALgIAAGRycy9lMm9Eb2MueG1sUEsBAi0AFAAGAAgAAAAhALMp&#10;oIfeAAAACgEAAA8AAAAAAAAAAAAAAAAA2wQAAGRycy9kb3ducmV2LnhtbFBLBQYAAAAABAAEAPMA&#10;AADmBQAAAAA=&#10;" strokecolor="#4579b8 [3044]" strokeweight="2pt">
                <v:stroke endarrow="open"/>
              </v:shape>
            </w:pict>
          </mc:Fallback>
        </mc:AlternateContent>
      </w:r>
      <w:r>
        <w:rPr>
          <w:rFonts w:hint="cs"/>
          <w:noProof/>
          <w:rtl/>
          <w:lang w:val="en-US" w:eastAsia="zh-CN"/>
        </w:rPr>
        <mc:AlternateContent>
          <mc:Choice Requires="wpg">
            <w:drawing>
              <wp:anchor distT="0" distB="0" distL="114300" distR="114300" simplePos="0" relativeHeight="251673600" behindDoc="0" locked="0" layoutInCell="1" allowOverlap="1" wp14:anchorId="01C14E05" wp14:editId="6FDAD128">
                <wp:simplePos x="0" y="0"/>
                <wp:positionH relativeFrom="column">
                  <wp:posOffset>3213935</wp:posOffset>
                </wp:positionH>
                <wp:positionV relativeFrom="paragraph">
                  <wp:posOffset>277171</wp:posOffset>
                </wp:positionV>
                <wp:extent cx="625775" cy="610692"/>
                <wp:effectExtent l="0" t="0" r="22225" b="18415"/>
                <wp:wrapNone/>
                <wp:docPr id="1137"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75" cy="610692"/>
                          <a:chOff x="47273" y="7734"/>
                          <a:chExt cx="33123" cy="33123"/>
                        </a:xfrm>
                      </wpg:grpSpPr>
                      <wps:wsp>
                        <wps:cNvPr id="1138" name="円/楕円 35"/>
                        <wps:cNvSpPr>
                          <a:spLocks noChangeArrowheads="1"/>
                        </wps:cNvSpPr>
                        <wps:spPr bwMode="auto">
                          <a:xfrm>
                            <a:off x="47273" y="7734"/>
                            <a:ext cx="33123"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39" name="円/楕円 36"/>
                        <wps:cNvSpPr>
                          <a:spLocks noChangeArrowheads="1"/>
                        </wps:cNvSpPr>
                        <wps:spPr bwMode="auto">
                          <a:xfrm>
                            <a:off x="58794" y="11334"/>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40" name="円/楕円 37"/>
                        <wps:cNvSpPr>
                          <a:spLocks noChangeArrowheads="1"/>
                        </wps:cNvSpPr>
                        <wps:spPr bwMode="auto">
                          <a:xfrm>
                            <a:off x="52313" y="19975"/>
                            <a:ext cx="3601"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41" name="円/楕円 38"/>
                        <wps:cNvSpPr>
                          <a:spLocks noChangeArrowheads="1"/>
                        </wps:cNvSpPr>
                        <wps:spPr bwMode="auto">
                          <a:xfrm>
                            <a:off x="56634" y="3145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42" name="円/楕円 39"/>
                        <wps:cNvSpPr>
                          <a:spLocks noChangeArrowheads="1"/>
                        </wps:cNvSpPr>
                        <wps:spPr bwMode="auto">
                          <a:xfrm>
                            <a:off x="70788" y="16375"/>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43" name="円/楕円 40"/>
                        <wps:cNvSpPr>
                          <a:spLocks noChangeArrowheads="1"/>
                        </wps:cNvSpPr>
                        <wps:spPr bwMode="auto">
                          <a:xfrm>
                            <a:off x="69167" y="3145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44" name="二等辺三角形 41"/>
                        <wps:cNvSpPr>
                          <a:spLocks noChangeArrowheads="1"/>
                        </wps:cNvSpPr>
                        <wps:spPr bwMode="auto">
                          <a:xfrm>
                            <a:off x="63114" y="21776"/>
                            <a:ext cx="1441"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5A67D3" w:rsidRDefault="005A67D3" w:rsidP="009E322E"/>
                          </w:txbxContent>
                        </wps:txbx>
                        <wps:bodyPr rot="0" vert="horz" wrap="square" lIns="91440" tIns="45720" rIns="91440" bIns="45720" anchor="ctr" anchorCtr="0" upright="1">
                          <a:noAutofit/>
                        </wps:bodyPr>
                      </wps:wsp>
                    </wpg:wgp>
                  </a:graphicData>
                </a:graphic>
              </wp:anchor>
            </w:drawing>
          </mc:Choice>
          <mc:Fallback>
            <w:pict>
              <v:group id="グループ化 18" o:spid="_x0000_s1056" style="position:absolute;left:0;text-align:left;margin-left:253.05pt;margin-top:21.8pt;width:49.25pt;height:48.1pt;z-index:251673600" coordorigin="47273,7734" coordsize="33123,3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gmaAQAAHYZAAAOAAAAZHJzL2Uyb0RvYy54bWzsWd2O3DQUvkfiHSzfszP5mWQm2mxVbbsr&#10;pAKVCg/gSZwfcOJgezazXHalSpV6hQTcIyEuEBKXqAJeZrvQx+DYTrLTmaWLZtuFSnMz438ff+d8&#10;59gn+3eWFUMnVMiS1zF29sYY0TrhaVnnMf7s06MPphhJReqUMF7TGJ9Sie8cvP/efttE1OUFZykV&#10;CBapZdQ2MS6UaqLRSCYFrYjc4w2toTPjoiIKqiIfpYK0sHrFRu54HIxaLtJG8IRKCa33bCc+MOtn&#10;GU3UJ1kmqUIsxiCbMr/C/M717+hgn0S5IE1RJp0YZAspKlLWsOmw1D2iCFqIcmOpqkwElzxTewmv&#10;RjzLyoSaM8BpnPHaaY4FXzTmLHnU5s0AE0C7htPWyyYfnzwUqExBd44XYlSTCrR0/viX87Ofzs9+&#10;Oz/77uLZt8iZaqDaJo9g/LFoHjUPhT0tFB/w5AsJ3aP1fl3P7WA0bz/iKaxMFooboJaZqPQSAAFa&#10;Gn2cDvqgS4USaAzcSRhOMEqgK3DGwcy1+koKUKqe5Ydu6GEE3WHo+X3n/W665zku9OrZtqiFJJHd&#10;2UjbSaePBuYnLxGWN0P4UUEaahQnNWKXCAMbLMIXT56M/vzhG/hD3sSCa4b2yEoLK6r5YUHqnN4V&#10;grcFJSlI5ujxIP/KBF2RoJRrcb4KsR7uNbwMngNeJGqEVMeUV0gXYkwZKxupT0kicvJAKotuP0o3&#10;S87K9KhkzFQ0pekhE+iEABnV0jVT2aICy7BtQOhxR0lo1jo2Q6d9MwhjHINexajylQ1YjdoYuxMf&#10;1rhud5IktFbOhgSTfisSrUpghHr97kDVOgUISKS1dL8rK1IyW4bZrO7UpjVlbU4t50vDPncwgjlP&#10;T0GRgltfBb4VCgUXX2HUgp+KsfxyQQTFiH1YgzHMHN/Xjs1U/EnoQkWs9sxXe0idwFIxTpTAyFYO&#10;lXWHi0aUeQF7WVRqfheompVGrdq8rFzdCYArt0ea2VWkCW6RNJNpOPONmwEn2fuZgTUB2Jt1MsHY&#10;UrP3MW+aM/9ktY622iuI8y/M9t0mzWAEO9LYaDBEGu0TNiNNeJukcT3HxmZnNoMobnzjCmmcHWm2&#10;o+xNI81gBDvSrJMGbHKTNN3dd+W2BdeQt3Q9mwQBxBd9ofUcfzLbIM0u0mwZ525KmsEIdqRZJ417&#10;FWmM6b7yRHl7pAnH4RQeVkAaJ/BeG2n6C1H/+OwfK2/mSbO7npl39OWbZjCCHWnWSQM3o41IA3c2&#10;uCTdEmmCmRNAvmcXaf5niQBvMIIdadZJAzcjS5oXz5/99fPTl388f/Hr05c/fn3x+/fIN0/v2yKP&#10;5zj2muY6YWheoSTq3zaQkOneNn4wvSbiKFFCdo+tZNF0BilPu3OS9HOMsopBShoyYWjITkEyyaTc&#10;TBKsD2KbOS+Rz4d829FRnyPQeazVxNx/mwKoSgUfAFhZxdjk+QxgWybRvMEG3h3umDw0JPeNKrsP&#10;EfrrwWrdJN0uP5cc/A0AAP//AwBQSwMEFAAGAAgAAAAhABTVgCDhAAAACgEAAA8AAABkcnMvZG93&#10;bnJldi54bWxMj8FKw0AQhu+C77CM4M3uxrShjdmUUtRTEWwF6W2aTJPQ7G7IbpP07R1PepthPv75&#10;/mw9mVYM1PvGWQ3RTIEgW7iysZWGr8Pb0xKED2hLbJ0lDTfysM7v7zJMSzfaTxr2oRIcYn2KGuoQ&#10;ulRKX9Rk0M9cR5ZvZ9cbDLz2lSx7HDnctPJZqUQabCx/qLGjbU3FZX81Gt5HHDdx9DrsLuft7XhY&#10;fHzvItL68WHavIAINIU/GH71WR1ydjq5qy29aDUsVBIxqmEeJyAYSNSchxOT8WoJMs/k/wr5DwAA&#10;AP//AwBQSwECLQAUAAYACAAAACEAtoM4kv4AAADhAQAAEwAAAAAAAAAAAAAAAAAAAAAAW0NvbnRl&#10;bnRfVHlwZXNdLnhtbFBLAQItABQABgAIAAAAIQA4/SH/1gAAAJQBAAALAAAAAAAAAAAAAAAAAC8B&#10;AABfcmVscy8ucmVsc1BLAQItABQABgAIAAAAIQAOvZgmaAQAAHYZAAAOAAAAAAAAAAAAAAAAAC4C&#10;AABkcnMvZTJvRG9jLnhtbFBLAQItABQABgAIAAAAIQAU1YAg4QAAAAoBAAAPAAAAAAAAAAAAAAAA&#10;AMIGAABkcnMvZG93bnJldi54bWxQSwUGAAAAAAQABADzAAAA0AcAAAAA&#10;">
                <v:oval id="円/楕円 35" o:spid="_x0000_s1057" style="position:absolute;left:47273;top:7734;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ie8cA&#10;AADdAAAADwAAAGRycy9kb3ducmV2LnhtbESPQWvCQBCF74X+h2UKvdVNlNYaXUUEwUtLTfXgbciO&#10;STQ7G7Jbjf/eORS8zfDevPfNbNG7Rl2oC7VnA+kgAUVceFtzaWD3u377BBUissXGMxm4UYDF/Plp&#10;hpn1V97SJY+lkhAOGRqoYmwzrUNRkcMw8C2xaEffOYyydqW2HV4l3DV6mCQf2mHN0lBhS6uKinP+&#10;5wy8f//Q1wpP280pn+Bhl473+/PYmNeXfjkFFamPD/P/9cYKfjoSXP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onvHAAAA3QAAAA8AAAAAAAAAAAAAAAAAmAIAAGRy&#10;cy9kb3ducmV2LnhtbFBLBQYAAAAABAAEAPUAAACMAwAAAAA=&#10;" fillcolor="#c6d9f1 [671]" strokecolor="#243f60 [1604]" strokeweight="2pt">
                  <v:textbox>
                    <w:txbxContent>
                      <w:p w:rsidR="005A67D3" w:rsidRDefault="005A67D3" w:rsidP="009E322E"/>
                    </w:txbxContent>
                  </v:textbox>
                </v:oval>
                <v:oval id="円/楕円 36" o:spid="_x0000_s1058" style="position:absolute;left:58794;top:11334;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l1cYA&#10;AADdAAAADwAAAGRycy9kb3ducmV2LnhtbERPTWvCQBC9C/0PyxS8iNlYIdToKiooBXuw2tJ6G7LT&#10;JDQ7m2ZXjf76rlDwNo/3OZNZaypxosaVlhUMohgEcWZ1ybmC9/2q/wzCeWSNlWVScCEHs+lDZ4Kp&#10;tmd+o9PO5yKEsEtRQeF9nUrpsoIMusjWxIH7to1BH2CTS93gOYSbSj7FcSINlhwaCqxpWVD2szsa&#10;BYdkteBku+nxa+2yxccar1+fv0p1H9v5GISn1t/F/+4XHeYPhiO4fR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l1cYAAADdAAAADwAAAAAAAAAAAAAAAACYAgAAZHJz&#10;L2Rvd25yZXYueG1sUEsFBgAAAAAEAAQA9QAAAIsDAAAAAA==&#10;" fillcolor="#4f81bd [3204]" strokecolor="#243f60 [1604]" strokeweight="2pt">
                  <v:textbox>
                    <w:txbxContent>
                      <w:p w:rsidR="005A67D3" w:rsidRDefault="005A67D3" w:rsidP="009E322E"/>
                    </w:txbxContent>
                  </v:textbox>
                </v:oval>
                <v:oval id="円/楕円 37" o:spid="_x0000_s1059" style="position:absolute;left:52313;top:19975;width:360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NcgA&#10;AADdAAAADwAAAGRycy9kb3ducmV2LnhtbESPQWvCQBCF74X+h2UKvRTdWEqQ1FVUUAr1UG2lehuy&#10;YxLMzsbsVtP+eudQ8DbDe/PeN6NJ52p1pjZUng0M+gko4tzbigsDX5+L3hBUiMgWa89k4JcCTMb3&#10;dyPMrL/wms6bWCgJ4ZChgTLGJtM65CU5DH3fEIt28K3DKGtbaNviRcJdrZ+TJNUOK5aGEhual5Qf&#10;Nz/OwD5dzDj9eH/iVRPy2XaJf7vvkzGPD930FVSkLt7M/9dvVvAHL8Iv38gIe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81yAAAAN0AAAAPAAAAAAAAAAAAAAAAAJgCAABk&#10;cnMvZG93bnJldi54bWxQSwUGAAAAAAQABAD1AAAAjQMAAAAA&#10;" fillcolor="#4f81bd [3204]" strokecolor="#243f60 [1604]" strokeweight="2pt">
                  <v:textbox>
                    <w:txbxContent>
                      <w:p w:rsidR="005A67D3" w:rsidRDefault="005A67D3" w:rsidP="009E322E"/>
                    </w:txbxContent>
                  </v:textbox>
                </v:oval>
                <v:oval id="円/楕円 38" o:spid="_x0000_s1060" style="position:absolute;left:56634;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arsUA&#10;AADdAAAADwAAAGRycy9kb3ducmV2LnhtbERPTWvCQBC9C/6HZYRepNmklCDRVVSwFNqD1ZbqbciO&#10;STA7G7NbTf31XaHgbR7vcyazztTiTK2rLCtIohgEcW51xYWCz+3qcQTCeWSNtWVS8EsOZtN+b4KZ&#10;thf+oPPGFyKEsMtQQel9k0np8pIMusg2xIE72NagD7AtpG7xEsJNLZ/iOJUGKw4NJTa0LCk/bn6M&#10;gn26WnC6fhvye+PyxdcLXnffJ6UeBt18DMJT5+/if/erDvOT5wRu34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1quxQAAAN0AAAAPAAAAAAAAAAAAAAAAAJgCAABkcnMv&#10;ZG93bnJldi54bWxQSwUGAAAAAAQABAD1AAAAigMAAAAA&#10;" fillcolor="#4f81bd [3204]" strokecolor="#243f60 [1604]" strokeweight="2pt">
                  <v:textbox>
                    <w:txbxContent>
                      <w:p w:rsidR="005A67D3" w:rsidRDefault="005A67D3" w:rsidP="009E322E"/>
                    </w:txbxContent>
                  </v:textbox>
                </v:oval>
                <v:oval id="円/楕円 39" o:spid="_x0000_s1061" style="position:absolute;left:70788;top:16375;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E2cUA&#10;AADdAAAADwAAAGRycy9kb3ducmV2LnhtbERPS2vCQBC+F/wPywheim4UCSW6ihYsQj3UF+ptyI5J&#10;aHY2zW41+utdodDbfHzPGU8bU4oL1a6wrKDfi0AQp1YXnCnYbRfdNxDOI2ssLZOCGzmYTlovY0y0&#10;vfKaLhufiRDCLkEFufdVIqVLczLoerYiDtzZ1gZ9gHUmdY3XEG5KOYiiWBosODTkWNF7Tun35tco&#10;OMWLOcdfn6+8qlw633/g/Xj4UarTbmYjEJ4a/y/+cy91mN8fDuD5TT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cTZxQAAAN0AAAAPAAAAAAAAAAAAAAAAAJgCAABkcnMv&#10;ZG93bnJldi54bWxQSwUGAAAAAAQABAD1AAAAigMAAAAA&#10;" fillcolor="#4f81bd [3204]" strokecolor="#243f60 [1604]" strokeweight="2pt">
                  <v:textbox>
                    <w:txbxContent>
                      <w:p w:rsidR="005A67D3" w:rsidRDefault="005A67D3" w:rsidP="009E322E"/>
                    </w:txbxContent>
                  </v:textbox>
                </v:oval>
                <v:oval id="円/楕円 40" o:spid="_x0000_s1062" style="position:absolute;left:69167;top:3145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hQsYA&#10;AADdAAAADwAAAGRycy9kb3ducmV2LnhtbERPS2vCQBC+C/0PyxS8iG60JUh0lVpQhHrw0dJ6G7LT&#10;JDQ7G7OrRn+9KxS8zcf3nPG0MaU4Ue0Kywr6vQgEcWp1wZmCz928OwThPLLG0jIpuJCD6eSpNcZE&#10;2zNv6LT1mQgh7BJUkHtfJVK6NCeDrmcr4sD92tqgD7DOpK7xHMJNKQdRFEuDBYeGHCt6zyn92x6N&#10;gn08n3G8/ujwqnLp7GuB15/vg1Lt5+ZtBMJT4x/if/dSh/n91xe4fxNO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VhQsYAAADdAAAADwAAAAAAAAAAAAAAAACYAgAAZHJz&#10;L2Rvd25yZXYueG1sUEsFBgAAAAAEAAQA9QAAAIsDAAAAAA==&#10;" fillcolor="#4f81bd [3204]" strokecolor="#243f60 [1604]" strokeweight="2pt">
                  <v:textbox>
                    <w:txbxContent>
                      <w:p w:rsidR="005A67D3" w:rsidRDefault="005A67D3" w:rsidP="009E322E"/>
                    </w:txbxContent>
                  </v:textbox>
                </v:oval>
                <v:shape id="二等辺三角形 41" o:spid="_x0000_s1063" type="#_x0000_t5" style="position:absolute;left:63114;top:21776;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XTMMA&#10;AADdAAAADwAAAGRycy9kb3ducmV2LnhtbERPTWsCMRC9C/6HMEJvml0r0q5G0YJFeii49tLbsBk3&#10;i5vJmqS6/femUPA2j/c5y3VvW3ElHxrHCvJJBoK4crrhWsHXcTd+AREissbWMSn4pQDr1XCwxEK7&#10;Gx/oWsZapBAOBSowMXaFlKEyZDFMXEecuJPzFmOCvpba4y2F21ZOs2wuLTacGgx29GaoOpc/VkF5&#10;zJ+/3/3WZFp/vDZudyn7z4tST6N+swARqY8P8b97r9P8fDaDv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XTMMAAADdAAAADwAAAAAAAAAAAAAAAACYAgAAZHJzL2Rv&#10;d25yZXYueG1sUEsFBgAAAAAEAAQA9QAAAIgDAAAAAA==&#10;" fillcolor="red" strokecolor="#243f60 [1604]" strokeweight="2pt">
                  <v:textbox>
                    <w:txbxContent>
                      <w:p w:rsidR="005A67D3" w:rsidRDefault="005A67D3" w:rsidP="009E322E"/>
                    </w:txbxContent>
                  </v:textbox>
                </v:shape>
              </v:group>
            </w:pict>
          </mc:Fallback>
        </mc:AlternateContent>
      </w:r>
      <w:r>
        <w:rPr>
          <w:rFonts w:hint="cs"/>
          <w:noProof/>
          <w:rtl/>
          <w:lang w:val="en-US" w:eastAsia="zh-CN"/>
        </w:rPr>
        <mc:AlternateContent>
          <mc:Choice Requires="wps">
            <w:drawing>
              <wp:anchor distT="0" distB="0" distL="114300" distR="114300" simplePos="0" relativeHeight="251680768" behindDoc="0" locked="0" layoutInCell="1" allowOverlap="1" wp14:anchorId="3896E658" wp14:editId="100F7D49">
                <wp:simplePos x="0" y="0"/>
                <wp:positionH relativeFrom="column">
                  <wp:posOffset>4446177</wp:posOffset>
                </wp:positionH>
                <wp:positionV relativeFrom="paragraph">
                  <wp:posOffset>4830</wp:posOffset>
                </wp:positionV>
                <wp:extent cx="27205" cy="86301"/>
                <wp:effectExtent l="19050" t="38100" r="30480" b="28575"/>
                <wp:wrapNone/>
                <wp:docPr id="1160" name="二等辺三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5" cy="86301"/>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二等辺三角形 27" o:spid="_x0000_s1064" type="#_x0000_t5" style="position:absolute;left:0;text-align:left;margin-left:350.1pt;margin-top:.4pt;width:2.15pt;height:6.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N/fQIAAMYEAAAOAAAAZHJzL2Uyb0RvYy54bWysVM1uEzEQviPxDpbvZDdp0pZVNlWVEoRU&#10;oFLhASa2N2vwz2I72ZQ3qMSJR+DCiTuqBE9TRB+DsTcJgd4QOVg7tufzN983k/HJWiuyEs5La0ra&#10;7+WUCMMsl2ZR0tevZo+OKfEBDAdljSjplfD0ZPLwwbhtCjGwtVVcOIIgxhdtU9I6hKbIMs9qocH3&#10;bCMMHlbWaQgYukXGHbSIrlU2yPPDrLWON84y4T3unnWHdJLwq0qw8LKqvAhElRS5hbS6tM7jmk3G&#10;UCwcNLVkGxrwDyw0SIOP7qDOIABZOnkPSkvmrLdV6DGrM1tVkolUA1bTz/+q5rKGRqRaUBzf7GTy&#10;/w+WvVhdOCI5etc/RIEMaHTp9ubDzy/Xd99vbr9e333++OPbJzI4ilq1jS8w5bK5cLFa35xb9tYT&#10;Y6c1mIU4dc62tQCODPvxfvZHQgw8ppJ5+9xyfAeWwSbZ1pXTERAFIevkztXOHbEOhOHm4GiQjyhh&#10;eHJ8eJB3+FBsUxvnw1NhNYkfJQ1OIiMV5YMCVuc+JHv4pkLgbyiptEKzV6DIKMdfIry7nEGxhUyl&#10;WiX5TCqVAreYT5UjmFrS2Wwv2e9fU4a0yHs0ROz7GLHFxQ4FGBMm9NM9tdSoT4e+YwYFbmMzd9tb&#10;smlQIgpqjX7sv65lwNFSUqNekeGm2aM9TwxPjR9Aqu4bk5XZ+BUt6qwO6/k6NcfBYOv+3PIrdNDZ&#10;bpRw9PGjtu49JS2OUUn9uyU4QYl6ZrALHveHwzh3KRiO0EJK3P7JfP8EDEOokrLgKOmCaeimddk4&#10;uajxrU4iY0+xdyoZtk3W8dpUgMOS9NgMdpzG/Tjd+v33M/kFAAD//wMAUEsDBBQABgAIAAAAIQCT&#10;xO2J3AAAAAcBAAAPAAAAZHJzL2Rvd25yZXYueG1sTI8xT8MwEIV3JP6DdUhs1G4JFEKcCpDKwFCJ&#10;lIXNjY84Ij6nttuGf88xwXh6n977rlpNfhBHjKkPpGE+UyCQ2mB76jS8b9dXdyBSNmTNEAg1fGOC&#10;VX1+VpnShhO94bHJneASSqXR4HIeSylT69CbNAsjEmefIXqT+YydtNGcuNwPcqHUrfSmJ15wZsRn&#10;h+1Xc/Aamu38+uMlPjll7et9H9b7Ztrstb68mB4fQGSc8h8Mv/qsDjU77cKBbBKDhqVSC0Y18AMc&#10;L1VxA2LHXFGArCv537/+AQAA//8DAFBLAQItABQABgAIAAAAIQC2gziS/gAAAOEBAAATAAAAAAAA&#10;AAAAAAAAAAAAAABbQ29udGVudF9UeXBlc10ueG1sUEsBAi0AFAAGAAgAAAAhADj9If/WAAAAlAEA&#10;AAsAAAAAAAAAAAAAAAAALwEAAF9yZWxzLy5yZWxzUEsBAi0AFAAGAAgAAAAhAGbfw399AgAAxgQA&#10;AA4AAAAAAAAAAAAAAAAALgIAAGRycy9lMm9Eb2MueG1sUEsBAi0AFAAGAAgAAAAhAJPE7YncAAAA&#10;BwEAAA8AAAAAAAAAAAAAAAAA1wQAAGRycy9kb3ducmV2LnhtbFBLBQYAAAAABAAEAPMAAADgBQAA&#10;AAA=&#10;" fillcolor="red" strokecolor="#243f60 [1604]" strokeweight="2pt">
                <v:textbox>
                  <w:txbxContent>
                    <w:p w:rsidR="005A67D3" w:rsidRDefault="005A67D3" w:rsidP="009E322E"/>
                  </w:txbxContent>
                </v:textbox>
              </v:shape>
            </w:pict>
          </mc:Fallback>
        </mc:AlternateContent>
      </w:r>
    </w:p>
    <w:p w:rsidR="009E322E" w:rsidRDefault="00364C2C" w:rsidP="00364C2C">
      <w:pPr>
        <w:pStyle w:val="Figure"/>
        <w:rPr>
          <w:rtl/>
        </w:rPr>
      </w:pPr>
      <w:r>
        <w:rPr>
          <w:rFonts w:hint="cs"/>
          <w:noProof/>
          <w:rtl/>
          <w:lang w:val="en-US" w:eastAsia="zh-CN"/>
        </w:rPr>
        <mc:AlternateContent>
          <mc:Choice Requires="wps">
            <w:drawing>
              <wp:anchor distT="0" distB="0" distL="114300" distR="114300" simplePos="0" relativeHeight="251661312" behindDoc="0" locked="0" layoutInCell="1" allowOverlap="1" wp14:anchorId="3D461FA7" wp14:editId="4639241B">
                <wp:simplePos x="0" y="0"/>
                <wp:positionH relativeFrom="column">
                  <wp:posOffset>4306509</wp:posOffset>
                </wp:positionH>
                <wp:positionV relativeFrom="paragraph">
                  <wp:posOffset>5788</wp:posOffset>
                </wp:positionV>
                <wp:extent cx="625775" cy="610692"/>
                <wp:effectExtent l="0" t="0" r="22225" b="18415"/>
                <wp:wrapNone/>
                <wp:docPr id="24"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75" cy="610692"/>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6" o:spid="_x0000_s1065" style="position:absolute;left:0;text-align:left;margin-left:339.1pt;margin-top:.45pt;width:49.25pt;height:4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VwIAAL0EAAAOAAAAZHJzL2Uyb0RvYy54bWysVFFuEzEQ/UfiDpb/6SbbJG1X2VRVShFS&#10;gUqFA0y83qyF1zZjJ7vlAL0BR+BocA7G3iQEKoGE+PF6xvabN/Nmdn7Zt5ptJXplTcnHJyPOpBG2&#10;UmZd8g/vb16cc+YDmAq0NbLkD9Lzy8XzZ/POFTK3jdWVREYgxhedK3kTgiuyzItGtuBPrJOGDmuL&#10;LQQycZ1VCB2htzrLR6NZ1lmsHFohvSfv9XDIFwm/rqUI7+ray8B0yYlbSCumdRXXbDGHYo3gGiV2&#10;NOAfWLSgDAU9QF1DALZB9QSqVQKtt3U4EbbNbF0rIVMOlM149Fs29w04mXKh4nh3KJP/f7Di7fYO&#10;mapKnk84M9CSRt8eH7PvX7/Qh81igTrnC7p37+4wpujdrRUfPTN22YBZyytE2zUSKqI1jvezXx5E&#10;w9NTture2IrgYRNsqlVfYxsBqQqsT5I8HCSRfWCCnLN8enY25UzQ0Ww8ml3kKQIU+8cOfXglbcvi&#10;puRSa+V8LBoUsL31IfKBYn8r8bdaVTdK62TERpNLjWwL1CKhz9NTvWmJ7OCjNhvtGoXc1E6D+3zv&#10;JvjUrhElBfPHAbRhHRV3OiGMv0UHIaQJ4ycMpvtQUBwzSKT+HB3txlSpx6NAL3f7AEoPe3qtzU6x&#10;KNIgduhXfeqJ09O9/itbPZCGaIcJoomnTWPxM2cdTU/J/acNoORMvzbUBxfjySSOWzIm07OcDDw+&#10;WR2fgBEEVXIRkLPBWIZhSDcO1bqhWENVjL2i7qlVkjV21sBrlwHNSBJgN89xCI/tdOvnX2fxAwAA&#10;//8DAFBLAwQUAAYACAAAACEAUWaL2N0AAAAHAQAADwAAAGRycy9kb3ducmV2LnhtbEyOwU7DMBBE&#10;70j8g7VI3KiTSsRtiFOhSkhcQDS0B27beEnSxnYUu234e5ZTOY5m9OYVq8n24kxj6LzTkM4SEORq&#10;bzrXaNh+vjwsQISIzmDvHWn4oQCr8vamwNz4i9vQuYqNYIgLOWpoYxxyKUPdksUw8wM57r79aDFy&#10;HBtpRrww3PZyniSZtNg5fmhxoHVL9bE6WQ2P7x/0tsbD5vVQLfFrm6rd7qi0vr+bnp9ARJridQx/&#10;+qwOJTvt/cmZIHoNmVrMeaphCYJrpTIFYs9RpSDLQv73L38BAAD//wMAUEsBAi0AFAAGAAgAAAAh&#10;ALaDOJL+AAAA4QEAABMAAAAAAAAAAAAAAAAAAAAAAFtDb250ZW50X1R5cGVzXS54bWxQSwECLQAU&#10;AAYACAAAACEAOP0h/9YAAACUAQAACwAAAAAAAAAAAAAAAAAvAQAAX3JlbHMvLnJlbHNQSwECLQAU&#10;AAYACAAAACEArxMvvlcCAAC9BAAADgAAAAAAAAAAAAAAAAAuAgAAZHJzL2Uyb0RvYy54bWxQSwEC&#10;LQAUAAYACAAAACEAUWaL2N0AAAAHAQAADwAAAAAAAAAAAAAAAACxBAAAZHJzL2Rvd25yZXYueG1s&#10;UEsFBgAAAAAEAAQA8wAAALsFAAAAAA==&#10;" fillcolor="#c6d9f1 [671]" strokecolor="#243f60 [1604]" strokeweight="2pt">
                <v:textbox>
                  <w:txbxContent>
                    <w:p w:rsidR="005A67D3" w:rsidRDefault="005A67D3" w:rsidP="009E322E"/>
                  </w:txbxContent>
                </v:textbox>
              </v:oval>
            </w:pict>
          </mc:Fallback>
        </mc:AlternateContent>
      </w:r>
      <w:r>
        <w:rPr>
          <w:rFonts w:hint="cs"/>
          <w:noProof/>
          <w:rtl/>
          <w:lang w:val="en-US" w:eastAsia="zh-CN"/>
        </w:rPr>
        <mc:AlternateContent>
          <mc:Choice Requires="wps">
            <w:drawing>
              <wp:anchor distT="0" distB="0" distL="114300" distR="114300" simplePos="0" relativeHeight="251662336" behindDoc="0" locked="0" layoutInCell="1" allowOverlap="1" wp14:anchorId="192B02DE" wp14:editId="2219B712">
                <wp:simplePos x="0" y="0"/>
                <wp:positionH relativeFrom="column">
                  <wp:posOffset>4524146</wp:posOffset>
                </wp:positionH>
                <wp:positionV relativeFrom="paragraph">
                  <wp:posOffset>72193</wp:posOffset>
                </wp:positionV>
                <wp:extent cx="68045" cy="66339"/>
                <wp:effectExtent l="0" t="0" r="27305" b="10160"/>
                <wp:wrapNone/>
                <wp:docPr id="25" name="円/楕円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5" cy="66339"/>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7" o:spid="_x0000_s1066" style="position:absolute;left:0;text-align:left;margin-left:356.25pt;margin-top:5.7pt;width:5.35pt;height: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opRgIAALwEAAAOAAAAZHJzL2Uyb0RvYy54bWysVF1uEzEQfkfiDpbf6eavabvqpqpaipAK&#10;VCocYOL1Zi28HjN2sikH6A04AkeDczD2piXAW0QeHM+M55ufb2bPL7adFRtNwaCr5PhoJIV2Cmvj&#10;VpX89PHm1akUIYKrwaLTlXzQQV4sXr44732pJ9iirTUJBnGh7H0l2xh9WRRBtbqDcIReOzY2SB1E&#10;FmlV1AQ9o3e2mIxG86JHqj2h0iGw9nowykXGbxqt4oemCToKW0nOLeaT8rlMZ7E4h3JF4FujdmnA&#10;AVl0YBwHfYa6hghiTeYfqM4owoBNPFLYFdg0RulcA1czHv1VzX0LXudauDnBP7cp/D9Y9X5zR8LU&#10;lZwcS+GgY45+PD4WP79/4z9xkhrU+1Dyu3t/R6nE4G9RfQ7C4VULbqUvibBvNdSc1ji9L/5wSEJg&#10;V7Hs32HN8LCOmHu1bahLgNwFsc2UPDxTordRKFbOT0czTkyxZT6fTs8yPpRPrp5CfKOxE+lSSW2t&#10;8SG1DErY3IaYsoHy6VXOHq2pb4y1WUhjpq8siQ3wgIBS2sVxdrfrjtMd9ONR+g2zwnqeqEGfVYyf&#10;pzXB5GhhP4J1ok+9nbH/oeGPD45OuHZ1HvHEz+vdPYKxw51zt25HWOJo4Dpul9s8EtPZE/1LrB+Y&#10;QsJhgXjh+dIifZWi5+WpZPiyBtJS2LeOx+BsPJulbcvC7PhkwgLtW5b7FnCKoSqpIkkxCFdx2NG1&#10;J7NqOdZAisNLHp7GZF7TYA157SrgFckE7NY57eC+nF/9/ugsfgEAAP//AwBQSwMEFAAGAAgAAAAh&#10;AAakZA/hAAAACQEAAA8AAABkcnMvZG93bnJldi54bWxMj8FOwzAQRO9I/IO1SFxQ68RAWoU4FUUq&#10;FzhACwJubrwkEfE6xG4b+HqWExxX8zTztliMrhN7HELrSUM6TUAgVd62VGt42qwmcxAhGrKm84Qa&#10;vjDAojw+Kkxu/YEecb+OteASCrnR0MTY51KGqkFnwtT3SJy9+8GZyOdQSzuYA5e7TqokyaQzLfFC&#10;Y3q8abD6WO+chrdstaTs4e6M7vtQLZ9vzffry6fWpyfj9RWIiGP8g+FXn9WhZKet35ENotMwS9Ul&#10;oxykFyAYmKlzBWKrQaVzkGUh/39Q/gAAAP//AwBQSwECLQAUAAYACAAAACEAtoM4kv4AAADhAQAA&#10;EwAAAAAAAAAAAAAAAAAAAAAAW0NvbnRlbnRfVHlwZXNdLnhtbFBLAQItABQABgAIAAAAIQA4/SH/&#10;1gAAAJQBAAALAAAAAAAAAAAAAAAAAC8BAABfcmVscy8ucmVsc1BLAQItABQABgAIAAAAIQAa8Uop&#10;RgIAALwEAAAOAAAAAAAAAAAAAAAAAC4CAABkcnMvZTJvRG9jLnhtbFBLAQItABQABgAIAAAAIQAG&#10;pGQP4QAAAAkBAAAPAAAAAAAAAAAAAAAAAKAEAABkcnMvZG93bnJldi54bWxQSwUGAAAAAAQABADz&#10;AAAArgUAAAAA&#10;" fillcolor="#4f81bd [3204]" strokecolor="#243f60 [1604]" strokeweight="2pt">
                <v:textbox>
                  <w:txbxContent>
                    <w:p w:rsidR="005A67D3" w:rsidRDefault="005A67D3" w:rsidP="009E322E"/>
                  </w:txbxContent>
                </v:textbox>
              </v:oval>
            </w:pict>
          </mc:Fallback>
        </mc:AlternateContent>
      </w:r>
      <w:r>
        <w:rPr>
          <w:rFonts w:hint="cs"/>
          <w:noProof/>
          <w:rtl/>
          <w:lang w:val="en-US" w:eastAsia="zh-CN"/>
        </w:rPr>
        <mc:AlternateContent>
          <mc:Choice Requires="wps">
            <w:drawing>
              <wp:anchor distT="0" distB="0" distL="114300" distR="114300" simplePos="0" relativeHeight="251663360" behindDoc="0" locked="0" layoutInCell="1" allowOverlap="1" wp14:anchorId="4F90FEC3" wp14:editId="088A54C9">
                <wp:simplePos x="0" y="0"/>
                <wp:positionH relativeFrom="column">
                  <wp:posOffset>4401691</wp:posOffset>
                </wp:positionH>
                <wp:positionV relativeFrom="paragraph">
                  <wp:posOffset>256784</wp:posOffset>
                </wp:positionV>
                <wp:extent cx="68045" cy="66339"/>
                <wp:effectExtent l="0" t="0" r="27305" b="10160"/>
                <wp:wrapNone/>
                <wp:docPr id="26" name="円/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5" cy="66339"/>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8" o:spid="_x0000_s1067" style="position:absolute;left:0;text-align:left;margin-left:346.6pt;margin-top:20.2pt;width:5.35pt;height: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iCSAIAALwEAAAOAAAAZHJzL2Uyb0RvYy54bWysVF1uEzEQfkfiDpbf6SZpEtJVN1XVUoRU&#10;oFLhABOvN2vh9Zixk005QG/QI3A0OAdjb1oCvFXkwfHMeL75+Wb29GzXWbHVFAy6So6PRlJop7A2&#10;bl3Jz5+uXi2kCBFcDRadruSdDvJs+fLFae9LPcEWba1JMIgLZe8r2cboy6IIqtUdhCP02rGxQeog&#10;skjroiboGb2zxWQ0mhc9Uu0JlQ6BtZeDUS4zftNoFT82TdBR2EpybjGflM9VOovlKZRrAt8atU8D&#10;npFFB8Zx0CeoS4ggNmT+geqMIgzYxCOFXYFNY5TONXA149Ff1dy24HWuhZsT/FObwv+DVR+2NyRM&#10;XcnJXAoHHXP04/6++Pn9gf/EIjWo96Hkd7f+hlKJwV+j+hKEw4sW3FqfE2Hfaqg5rXF6X/zhkITA&#10;rmLVv8ea4WETMfdq11CXALkLYpcpuXuiRO+iUKycL0bTmRSKLfP58fFJxofy0dVTiG81diJdKqmt&#10;NT6klkEJ2+sQUzZQPr7K2aM19ZWxNgtpzPSFJbEFHhBQSrs4zu5203G6g348Sr9hVljPEzXos4rx&#10;87QmmBwtHEawTvTc29mU/Z8bfvbs6IQbV+cRT/y82d8jGDvcOXfr9oQljgau4261yyNxPHukf4X1&#10;HVNIOCwQLzxfWqRvUvS8PJUMXzdAWgr7zvEYnIyn07RtWZjOXk9YoEPL6tACTjFUJVUkKQbhIg47&#10;uvFk1i3HGkhxeM7D05jMaxqsIa99BbwimYD9OqcdPJTzq98fneUvAAAA//8DAFBLAwQUAAYACAAA&#10;ACEAsh2stuIAAAAJAQAADwAAAGRycy9kb3ducmV2LnhtbEyPwU7DMBBE70j8g7VIXBC1aUtoQzYV&#10;RSoXOEABAbdtsiQR8TrEbhv4eswJjqt5mnmbLQbbqh33vnGCcDYyoFgKVzZSITw9rk5noHwgKal1&#10;wghf7GGRHx5klJZuLw+8W4dKxRLxKSHUIXSp1r6o2ZIfuY4lZu+utxTi2Ve67Gkfy22rx8Yk2lIj&#10;caGmjq9rLj7WW4vwlqyWktzfnshd54vl8w19v758Ih4fDVeXoAIP4Q+GX/2oDnl02ritlF61CMl8&#10;Mo4owtRMQUXgwkzmoDYI52YGOs/0/w/yHwAAAP//AwBQSwECLQAUAAYACAAAACEAtoM4kv4AAADh&#10;AQAAEwAAAAAAAAAAAAAAAAAAAAAAW0NvbnRlbnRfVHlwZXNdLnhtbFBLAQItABQABgAIAAAAIQA4&#10;/SH/1gAAAJQBAAALAAAAAAAAAAAAAAAAAC8BAABfcmVscy8ucmVsc1BLAQItABQABgAIAAAAIQAQ&#10;i8iCSAIAALwEAAAOAAAAAAAAAAAAAAAAAC4CAABkcnMvZTJvRG9jLnhtbFBLAQItABQABgAIAAAA&#10;IQCyHay24gAAAAkBAAAPAAAAAAAAAAAAAAAAAKIEAABkcnMvZG93bnJldi54bWxQSwUGAAAAAAQA&#10;BADzAAAAsQUAAAAA&#10;" fillcolor="#4f81bd [3204]" strokecolor="#243f60 [1604]" strokeweight="2pt">
                <v:textbox>
                  <w:txbxContent>
                    <w:p w:rsidR="005A67D3" w:rsidRDefault="005A67D3" w:rsidP="009E322E"/>
                  </w:txbxContent>
                </v:textbox>
              </v:oval>
            </w:pict>
          </mc:Fallback>
        </mc:AlternateContent>
      </w:r>
      <w:r>
        <w:rPr>
          <w:rFonts w:hint="cs"/>
          <w:noProof/>
          <w:rtl/>
          <w:lang w:val="en-US" w:eastAsia="zh-CN"/>
        </w:rPr>
        <mc:AlternateContent>
          <mc:Choice Requires="wps">
            <w:drawing>
              <wp:anchor distT="0" distB="0" distL="114300" distR="114300" simplePos="0" relativeHeight="251665408" behindDoc="0" locked="0" layoutInCell="1" allowOverlap="1" wp14:anchorId="3DE3639C" wp14:editId="5771212D">
                <wp:simplePos x="0" y="0"/>
                <wp:positionH relativeFrom="column">
                  <wp:posOffset>4750762</wp:posOffset>
                </wp:positionH>
                <wp:positionV relativeFrom="paragraph">
                  <wp:posOffset>165148</wp:posOffset>
                </wp:positionV>
                <wp:extent cx="67978" cy="66339"/>
                <wp:effectExtent l="0" t="0" r="27305" b="10160"/>
                <wp:wrapNone/>
                <wp:docPr id="30" name="円/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8" cy="66339"/>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10" o:spid="_x0000_s1068" style="position:absolute;left:0;text-align:left;margin-left:374.1pt;margin-top:13pt;width:5.35pt;height:5.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fwSAIAAL0EAAAOAAAAZHJzL2Uyb0RvYy54bWysVF1uEzEQfkfiDpbf6WbTNKWrbqqqpQip&#10;QKXCASZeb9bC6zFjJ5tygN6AI3A0OAdjb9oGeKvIg+OZ8Xzz982enm17KzaagkFXy/JgIoV2Chvj&#10;VrX8/Onq1WspQgTXgEWna3mngzxbvHxxOvhKT7FD22gSDOJCNfhadjH6qiiC6nQP4QC9dmxskXqI&#10;LNKqaAgGRu9tMZ1M5sWA1HhCpUNg7eVolIuM37ZaxY9tG3QUtpacW8wn5XOZzmJxCtWKwHdG7dKA&#10;Z2TRg3Ec9BHqEiKINZl/oHqjCAO28UBhX2DbGqVzDVxNOfmrmtsOvM61cHOCf2xT+H+w6sPmhoRp&#10;annI7XHQ84x+3t8Xv3585z9R5g4NPlT88NbfUKox+GtUX4JweNGBW+lzIhw6DQ3nVaaOFn84JCGw&#10;q1gO77FhfFhHzM3attQnQG6D2OaZ3D3ORG+jUKycH58cM4cUW+bzw8OTjA/Vg6unEN9q7EW61FJb&#10;a3xIPYMKNtchpmygeniVs0drmitjbRYSz/SFJbEBZggopV0ss7td95zuqC8n6TeShfVMqVGfVYyf&#10;6ZpgcrSwH8E6MdRyejRj/+eGP3p2dMK1azLH03ze7O4RjB3vnLt1u4GlGaW9CVXcLrcjJ+ap5qRa&#10;YnPHIyQcN4g3ni8d0jcpBt6eWoavayAthX3nmAYn5WyW1i0Ls6PjKQu0b1nuW8AphqqliiTFKFzE&#10;cUnXnsyq41jjUByeM3lak+f6lNeuAt6RPIDdPqcl3Jfzq6evzuI3AAAA//8DAFBLAwQUAAYACAAA&#10;ACEAtuBFUeIAAAAJAQAADwAAAGRycy9kb3ducmV2LnhtbEyPwU7DMBBE70j8g7VIXBB1CMUNIZuK&#10;IpVLOUABATc3NklEvA6x2wa+nuUEx9U+zbwp5qPrxM4OofWEcDZJQFiqvGmpRnh6XJ5mIELUZHTn&#10;ySJ82QDz8vCg0Lnxe3qwu3WsBYdQyDVCE2OfSxmqxjodJr63xL93Pzgd+RxqaQa953DXyTRJlHS6&#10;JW5odG9vGlt9rLcO4U0tF6TuVyd014dq8Xyrv19fPhGPj8brKxDRjvEPhl99VoeSnTZ+SyaIDmE2&#10;zVJGEVLFmxiYXWSXIDYI52oKsizk/wXlDwAAAP//AwBQSwECLQAUAAYACAAAACEAtoM4kv4AAADh&#10;AQAAEwAAAAAAAAAAAAAAAAAAAAAAW0NvbnRlbnRfVHlwZXNdLnhtbFBLAQItABQABgAIAAAAIQA4&#10;/SH/1gAAAJQBAAALAAAAAAAAAAAAAAAAAC8BAABfcmVscy8ucmVsc1BLAQItABQABgAIAAAAIQAC&#10;CKfwSAIAAL0EAAAOAAAAAAAAAAAAAAAAAC4CAABkcnMvZTJvRG9jLnhtbFBLAQItABQABgAIAAAA&#10;IQC24EVR4gAAAAkBAAAPAAAAAAAAAAAAAAAAAKIEAABkcnMvZG93bnJldi54bWxQSwUGAAAAAAQA&#10;BADzAAAAsQUAAAAA&#10;" fillcolor="#4f81bd [3204]" strokecolor="#243f60 [1604]" strokeweight="2pt">
                <v:textbox>
                  <w:txbxContent>
                    <w:p w:rsidR="005A67D3" w:rsidRDefault="005A67D3" w:rsidP="009E322E"/>
                  </w:txbxContent>
                </v:textbox>
              </v:oval>
            </w:pict>
          </mc:Fallback>
        </mc:AlternateContent>
      </w:r>
      <w:r>
        <w:rPr>
          <w:rFonts w:hint="cs"/>
          <w:noProof/>
          <w:rtl/>
          <w:lang w:val="en-US" w:eastAsia="zh-CN"/>
        </w:rPr>
        <mc:AlternateContent>
          <mc:Choice Requires="wps">
            <w:drawing>
              <wp:anchor distT="0" distB="0" distL="114300" distR="114300" simplePos="0" relativeHeight="251667456" behindDoc="0" locked="0" layoutInCell="1" allowOverlap="1" wp14:anchorId="2A129C75" wp14:editId="2708F791">
                <wp:simplePos x="0" y="0"/>
                <wp:positionH relativeFrom="column">
                  <wp:posOffset>4605760</wp:posOffset>
                </wp:positionH>
                <wp:positionV relativeFrom="paragraph">
                  <wp:posOffset>264690</wp:posOffset>
                </wp:positionV>
                <wp:extent cx="27205" cy="86301"/>
                <wp:effectExtent l="19050" t="38100" r="30480" b="28575"/>
                <wp:wrapNone/>
                <wp:docPr id="32" name="二等辺三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5" cy="86301"/>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二等辺三角形 12" o:spid="_x0000_s1069" type="#_x0000_t5" style="position:absolute;left:0;text-align:left;margin-left:362.65pt;margin-top:20.85pt;width:2.15pt;height: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1DfAIAAMQEAAAOAAAAZHJzL2Uyb0RvYy54bWysVM1uEzEQviPxDpbvZDdp0pZVNlWVEoRU&#10;oFLhASa2N2vwz2I72ZQ3qMSJR+DCiTuqBE9TRB+DsTcJgd4QOVg7tufzN983k/HJWiuyEs5La0ra&#10;7+WUCMMsl2ZR0tevZo+OKfEBDAdljSjplfD0ZPLwwbhtCjGwtVVcOIIgxhdtU9I6hKbIMs9qocH3&#10;bCMMHlbWaQgYukXGHbSIrlU2yPPDrLWON84y4T3unnWHdJLwq0qw8LKqvAhElRS5hbS6tM7jmk3G&#10;UCwcNLVkGxrwDyw0SIOP7qDOIABZOnkPSkvmrLdV6DGrM1tVkolUA1bTz/+q5rKGRqRaUBzf7GTy&#10;/w+WvVhdOCJ5SQ8GlBjQ6NHtzYefX67vvt/cfr2++/zxx7dPpD+ISrWNLzDhsrlwsVbfnFv21hNj&#10;pzWYhTh1zra1AI78+vF+9kdCDDymknn73HJ8B5bBJtHWldMREOUg6+TN1c4bsQ6E4ebgaJCPKGF4&#10;cnx4kHf4UGxTG+fDU2E1iR8lDU4iIxXFgwJW5z4kc/imQuBvKKm0QqtXoMgox18ivLucQbGFTKVa&#10;JflMKpUCt5hPlSOYWtLZbC/Z719ThrTIezRE7PsYscHFDgUYEyb00z211KhPh75jBgVuYyt321uy&#10;aUwiCmqNfuy/rmXAwVJSo16R4abVoz1PDE9tH0Cq7huTldn4FS3qrA7r+bprjaOt+3PLr9BBZ7tB&#10;wsHHj9q695S0OEQl9e+W4AQl6pnBLnjcHw7j1KVgOEILKXH7J/P9EzAMoUrKgqOkC6ahm9Vl4+Si&#10;xrc6iYw9xd6pZNg2WcdrUwGOStJjM9ZxFvfjdOv3n8/kFwAAAP//AwBQSwMEFAAGAAgAAAAhAHA0&#10;W4LfAAAACQEAAA8AAABkcnMvZG93bnJldi54bWxMjzFPwzAQhXck/oN1SGzUSUobGnKpAKkMDEik&#10;LGxufMQR8TmN3Tb8+7oTjKf36b3vyvVke3Gk0XeOEdJZAoK4cbrjFuFzu7l7AOGDYq16x4TwSx7W&#10;1fVVqQrtTvxBxzq0IpawLxSCCWEopPSNIav8zA3EMft2o1UhnmMr9ahOsdz2MkuSpbSq47hg1EAv&#10;hpqf+mAR6m06/3odn02i9duqc5t9Pb3vEW9vpqdHEIGm8AfDRT+qQxWddu7A2oseIc8W84gi3Kc5&#10;iAjk2WoJYoewiIGsSvn/g+oMAAD//wMAUEsBAi0AFAAGAAgAAAAhALaDOJL+AAAA4QEAABMAAAAA&#10;AAAAAAAAAAAAAAAAAFtDb250ZW50X1R5cGVzXS54bWxQSwECLQAUAAYACAAAACEAOP0h/9YAAACU&#10;AQAACwAAAAAAAAAAAAAAAAAvAQAAX3JlbHMvLnJlbHNQSwECLQAUAAYACAAAACEAgNjNQ3wCAADE&#10;BAAADgAAAAAAAAAAAAAAAAAuAgAAZHJzL2Uyb0RvYy54bWxQSwECLQAUAAYACAAAACEAcDRbgt8A&#10;AAAJAQAADwAAAAAAAAAAAAAAAADWBAAAZHJzL2Rvd25yZXYueG1sUEsFBgAAAAAEAAQA8wAAAOIF&#10;AAAAAA==&#10;" fillcolor="red" strokecolor="#243f60 [1604]" strokeweight="2pt">
                <v:textbox>
                  <w:txbxContent>
                    <w:p w:rsidR="005A67D3" w:rsidRDefault="005A67D3" w:rsidP="009E322E"/>
                  </w:txbxContent>
                </v:textbox>
              </v:shape>
            </w:pict>
          </mc:Fallback>
        </mc:AlternateContent>
      </w:r>
      <w:r>
        <w:rPr>
          <w:rFonts w:hint="cs"/>
          <w:noProof/>
          <w:rtl/>
          <w:lang w:val="en-US" w:eastAsia="zh-CN"/>
        </w:rPr>
        <mc:AlternateContent>
          <mc:Choice Requires="wps">
            <w:drawing>
              <wp:anchor distT="0" distB="0" distL="114300" distR="114300" simplePos="0" relativeHeight="251670528" behindDoc="0" locked="0" layoutInCell="1" allowOverlap="1" wp14:anchorId="1E0E3EF5" wp14:editId="23920935">
                <wp:simplePos x="0" y="0"/>
                <wp:positionH relativeFrom="column">
                  <wp:posOffset>3991529</wp:posOffset>
                </wp:positionH>
                <wp:positionV relativeFrom="paragraph">
                  <wp:posOffset>350002</wp:posOffset>
                </wp:positionV>
                <wp:extent cx="625100" cy="1822392"/>
                <wp:effectExtent l="0" t="0" r="22860" b="26035"/>
                <wp:wrapNone/>
                <wp:docPr id="1119"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100" cy="1822392"/>
                        </a:xfrm>
                        <a:custGeom>
                          <a:avLst/>
                          <a:gdLst>
                            <a:gd name="T0" fmla="*/ 9260 w 925974"/>
                            <a:gd name="T1" fmla="*/ 0 h 2766349"/>
                            <a:gd name="T2" fmla="*/ 2199 w 925974"/>
                            <a:gd name="T3" fmla="*/ 10301 h 2766349"/>
                            <a:gd name="T4" fmla="*/ 0 w 925974"/>
                            <a:gd name="T5" fmla="*/ 27663 h 2766349"/>
                            <a:gd name="T6" fmla="*/ 0 60000 65536"/>
                            <a:gd name="T7" fmla="*/ 0 60000 65536"/>
                            <a:gd name="T8" fmla="*/ 0 60000 65536"/>
                            <a:gd name="T9" fmla="*/ 0 w 925974"/>
                            <a:gd name="T10" fmla="*/ 0 h 2766349"/>
                            <a:gd name="T11" fmla="*/ 925974 w 925974"/>
                            <a:gd name="T12" fmla="*/ 2766349 h 2766349"/>
                          </a:gdLst>
                          <a:ahLst/>
                          <a:cxnLst>
                            <a:cxn ang="T6">
                              <a:pos x="T0" y="T1"/>
                            </a:cxn>
                            <a:cxn ang="T7">
                              <a:pos x="T2" y="T3"/>
                            </a:cxn>
                            <a:cxn ang="T8">
                              <a:pos x="T4" y="T5"/>
                            </a:cxn>
                          </a:cxnLst>
                          <a:rect l="T9" t="T10" r="T11" b="T12"/>
                          <a:pathLst>
                            <a:path w="925974" h="2766349">
                              <a:moveTo>
                                <a:pt x="925974" y="0"/>
                              </a:moveTo>
                              <a:cubicBezTo>
                                <a:pt x="650111" y="284544"/>
                                <a:pt x="374248" y="569089"/>
                                <a:pt x="219919" y="1030147"/>
                              </a:cubicBezTo>
                              <a:cubicBezTo>
                                <a:pt x="65590" y="1491205"/>
                                <a:pt x="0" y="2766349"/>
                                <a:pt x="0" y="2766349"/>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フリーフォーム 15" o:spid="_x0000_s1070" style="position:absolute;left:0;text-align:left;margin-left:314.3pt;margin-top:27.55pt;width:49.2pt;height:143.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925974,2766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vCAgQAAH4JAAAOAAAAZHJzL2Uyb0RvYy54bWysVt2OozYUvq/Ud7C4rJQBEyAhGma1TSZV&#10;pe12pU0fwAETUAFT2/mZrXrTeYa97237DH2beZGec4AMmW5Wq6pcgM35/Pn8+RzfvjrVFTtIbUrV&#10;JA6/8Rwmm1RlZbNLnJ8268ncYcaKJhOVamTiPEjjvLr7+qvbY7uQvipUlUnNgKQxi2ObOIW17cJ1&#10;TVrIWpgb1coGhLnStbAw1Ts30+II7HXl+p4XuUels1arVBoDf1ed0Lkj/jyXqf0xz420rEoc0M3S&#10;W9N7i2/37lYsdlq0RZn2aoj/oEUtygY2PVOthBVsr8t/UdVlqpVRub1JVe2qPC9TSTaANdx7Yc37&#10;QrSSbAHnmPbsJvP/0aZvD+80KzOIHeexwxpRQ5SeHj8+Pf719Pg3Dn7/kwZ/MB6iu46tWcCq9+07&#10;jQab9o1KfzYgcC8kODGAYdvjDyoDTrG3ilx0ynWNK8F4dqJIPJwjIU+WpfAz8kPuQbxSEPG5709j&#10;H/d2xWJYne6N/U4qYhKHN8Z2kcxgRHHIelM2wJLXFQT1G5fFfuSxI3zCeBb0sT8D+QjosYL5syia&#10;BvFLmD+C+TyOr/JNR0DuTT1+nTMYQa8rGI5QpNx1wmgE9VjkwcOiMJxGL62ZfSkQzvHZjZ9lhCQa&#10;Aa86exyWz3ibj6PSxe2qw/lFaLroXboI8mc3ZIgohqRJT02fNTBiAivXJqJUbZXBFMUcgkTc8D4H&#10;AYY59oyeXaBBDURPr6HnF2iIPaLpbIF+xN19e6U0FDEsXxvwLNSvDQdtoIJt0DVQwzZgNuV+Kyya&#10;hJrhkB0Tp090ViTOkM0ortVBbhQBLdo3wEAPqoiw/TMk3W/L9Fv5YbwgCj0oF6S4Pw/CoD9LLbFN&#10;Z4EfQLoAWxjF3rw/QZ0QTwzWGRDSmQhmg5cutvn0pmHcBYIHMfc98hjYSpt2gsHIzh+fFqBvR3vB&#10;FL1FteXsQcI815dGrcuqItKqQb/6YQDVCR1oVFVmKKUJdi25rDQ7CAiYPXHCVPsaSmD3D6oaPF3A&#10;4D80p+7/4HdqfEhBCl2w16WFVlmVdeLMRyyFFNl9k5F2VpRVNwYLKkpSqKh9UmBtpZb0a+zF9/P7&#10;eTAJ/Oh+Enir1eT1ehlMojWfhavparlc8d9QdR4sijLLZIMWDu2RB1/WfvpG3TW2c4O8MMno3fbs&#10;rjU9fTqMYO6lGuQYsGX4knXUe7DddP3JnrYnamrTOfJhL9qq7AG6kVbdFQCuLDAolP7gsCO0/8Qx&#10;v+yFlg6rvm+gv8Y8CCCnLE2CcObjoRtLtmOJaFKgSpzUagcKCE6WFuawaN/qclfAXl0uNOo19MG8&#10;xHZFSnd69RNo8mRWfyHBW8R4Tqjna9PdPwAAAP//AwBQSwMEFAAGAAgAAAAhALJnhn/gAAAACgEA&#10;AA8AAABkcnMvZG93bnJldi54bWxMj0FPg0AQhe8m/ofNmHizC1RogwyNaUJMPBitevC2sCOQsrOE&#10;3Rb8964ne5zMl/e+V+wWM4gzTa63jBCvIhDEjdU9twgf79XdFoTzirUaLBPCDznYlddXhcq1nfmN&#10;zgffihDCLlcInfdjLqVrOjLKrexIHH7fdjLKh3NqpZ7UHMLNIJMoyqRRPYeGTo2076g5Hk4GoXpe&#10;Vy/Hr/aT9FyP+/T1KeOeEW9vlscHEJ4W/w/Dn35QhzI41fbE2okBIUu2WUAR0jQGEYBNsgnjaoT1&#10;fRKDLAt5OaH8BQAA//8DAFBLAQItABQABgAIAAAAIQC2gziS/gAAAOEBAAATAAAAAAAAAAAAAAAA&#10;AAAAAABbQ29udGVudF9UeXBlc10ueG1sUEsBAi0AFAAGAAgAAAAhADj9If/WAAAAlAEAAAsAAAAA&#10;AAAAAAAAAAAALwEAAF9yZWxzLy5yZWxzUEsBAi0AFAAGAAgAAAAhAJ3we8ICBAAAfgkAAA4AAAAA&#10;AAAAAAAAAAAALgIAAGRycy9lMm9Eb2MueG1sUEsBAi0AFAAGAAgAAAAhALJnhn/gAAAACgEAAA8A&#10;AAAAAAAAAAAAAAAAXAYAAGRycy9kb3ducmV2LnhtbFBLBQYAAAAABAAEAPMAAABpBwAAAAA=&#10;" adj="-11796480,,5400" path="m925974,c650111,284544,374248,569089,219919,1030147,65590,1491205,,2766349,,2766349e" filled="f" strokecolor="black [3213]" strokeweight="2pt">
                <v:stroke joinstyle="miter"/>
                <v:formulas/>
                <v:path arrowok="t" o:connecttype="custom" o:connectlocs="6251,0;1484,6786;0,18224" o:connectangles="0,0,0" textboxrect="0,0,925974,2766349"/>
                <v:textbox>
                  <w:txbxContent>
                    <w:p w:rsidR="005A67D3" w:rsidRDefault="005A67D3" w:rsidP="009E322E"/>
                  </w:txbxContent>
                </v:textbox>
              </v:shape>
            </w:pict>
          </mc:Fallback>
        </mc:AlternateContent>
      </w:r>
      <w:r>
        <w:rPr>
          <w:rFonts w:hint="cs"/>
          <w:noProof/>
          <w:rtl/>
          <w:lang w:val="en-US" w:eastAsia="zh-CN"/>
        </w:rPr>
        <mc:AlternateContent>
          <mc:Choice Requires="wps">
            <w:drawing>
              <wp:anchor distT="0" distB="0" distL="114300" distR="114300" simplePos="0" relativeHeight="251674624" behindDoc="0" locked="0" layoutInCell="1" allowOverlap="1" wp14:anchorId="347805AE" wp14:editId="7B7EAC5D">
                <wp:simplePos x="0" y="0"/>
                <wp:positionH relativeFrom="column">
                  <wp:posOffset>3511228</wp:posOffset>
                </wp:positionH>
                <wp:positionV relativeFrom="paragraph">
                  <wp:posOffset>189852</wp:posOffset>
                </wp:positionV>
                <wp:extent cx="497582" cy="1974900"/>
                <wp:effectExtent l="0" t="0" r="17145" b="25400"/>
                <wp:wrapNone/>
                <wp:docPr id="1145"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82" cy="1974900"/>
                        </a:xfrm>
                        <a:custGeom>
                          <a:avLst/>
                          <a:gdLst>
                            <a:gd name="T0" fmla="*/ 54 w 737079"/>
                            <a:gd name="T1" fmla="*/ 0 h 2997843"/>
                            <a:gd name="T2" fmla="*/ 980 w 737079"/>
                            <a:gd name="T3" fmla="*/ 9144 h 2997843"/>
                            <a:gd name="T4" fmla="*/ 6768 w 737079"/>
                            <a:gd name="T5" fmla="*/ 18288 h 2997843"/>
                            <a:gd name="T6" fmla="*/ 7231 w 737079"/>
                            <a:gd name="T7" fmla="*/ 29978 h 2997843"/>
                            <a:gd name="T8" fmla="*/ 0 60000 65536"/>
                            <a:gd name="T9" fmla="*/ 0 60000 65536"/>
                            <a:gd name="T10" fmla="*/ 0 60000 65536"/>
                            <a:gd name="T11" fmla="*/ 0 60000 65536"/>
                            <a:gd name="T12" fmla="*/ 0 w 737079"/>
                            <a:gd name="T13" fmla="*/ 0 h 2997843"/>
                            <a:gd name="T14" fmla="*/ 737079 w 737079"/>
                            <a:gd name="T15" fmla="*/ 2997843 h 2997843"/>
                          </a:gdLst>
                          <a:ahLst/>
                          <a:cxnLst>
                            <a:cxn ang="T8">
                              <a:pos x="T0" y="T1"/>
                            </a:cxn>
                            <a:cxn ang="T9">
                              <a:pos x="T2" y="T3"/>
                            </a:cxn>
                            <a:cxn ang="T10">
                              <a:pos x="T4" y="T5"/>
                            </a:cxn>
                            <a:cxn ang="T11">
                              <a:pos x="T6" y="T7"/>
                            </a:cxn>
                          </a:cxnLst>
                          <a:rect l="T12" t="T13" r="T14" b="T15"/>
                          <a:pathLst>
                            <a:path w="737079" h="2997843">
                              <a:moveTo>
                                <a:pt x="5435" y="0"/>
                              </a:moveTo>
                              <a:cubicBezTo>
                                <a:pt x="-4211" y="304800"/>
                                <a:pt x="-13857" y="609600"/>
                                <a:pt x="98032" y="914400"/>
                              </a:cubicBezTo>
                              <a:cubicBezTo>
                                <a:pt x="209921" y="1219200"/>
                                <a:pt x="572595" y="1481560"/>
                                <a:pt x="676767" y="1828800"/>
                              </a:cubicBezTo>
                              <a:cubicBezTo>
                                <a:pt x="780939" y="2176040"/>
                                <a:pt x="717278" y="2801074"/>
                                <a:pt x="723065" y="2997843"/>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フリーフォーム 19" o:spid="_x0000_s1071" style="position:absolute;left:0;text-align:left;margin-left:276.45pt;margin-top:14.95pt;width:39.2pt;height:155.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737079,29978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5XgQAAKsKAAAOAAAAZHJzL2Uyb0RvYy54bWysVt1u40QUvkfiHUa+RErtcfwbNV0tTYuQ&#10;FlhpwwNM/BNb2B4z4zTZRdzQZ+CeW3gG3qYvwnfGjmsvpFoQqeTO+Bx/M+d85+/61amu2EOmdCmb&#10;tcWvHItlTSLTstmvre+394vIYroTTSoq2WRr632mrVc3n392fWxXmSsLWaWZYgBp9OrYrq2i69qV&#10;beukyGqhr2SbNRDmUtWiw1bt7VSJI9DrynYdJ7CPUqWtkkmmNd5ueqF1Y/DzPEu67/JcZx2r1hbu&#10;1pmnMs8dPe2ba7HaK9EWZTJcQ/yHW9SibHDoCLURnWAHVf4Nqi4TJbXMu6tE1rbM8zLJjA2whjsf&#10;WfOuEG1mbIFzdDu6Sf9/sMm3D28VK1Nwxz3fYo2owdLT469Pj388Pf5Ji19+N4vfGI/JXcdWr/DV&#10;u/atIoN1+0YmP2gI7JmENho6bHf8RqbAFIdOGhedclXTlzCenQwT70cmslPHErz04tCPXIslEPE4&#10;9GLHUGWL1fnr5KC7rzJpkMTDG931TKZYGR7SwZQtWM/rCqR+YTPfY0cWLkMnNKaArlGNT9QcVjA3&#10;jsPIWw4BMqrhTiNaHDkX4ZZTPe55lxG9iWYQBtFFSLAzHs0jN4ouYwYT1dBd8ouY4UTRWHwZE4k8&#10;Hu+wwMGPBb6/DD52UfypinxKzYuQfM7OC4fzKUGX6eFTfl6gm0/Z6QPnoi/5lKAhfObuRPjuzwEq&#10;inPMJqdmCFqsmKDCuY1MprRSU4ZQCCMPtpw8DQyoUYg/a8czbXiAtE3o/pM23E6fn8FhIan7l8Dh&#10;+6k6QovUw6l6f8pghELNpWq7JSpQb7fka1TcLfkSNXcLP5lcbUVHPjDgWLLj2hpSkxVr65x/JK7l&#10;Q7aVRrEjh/jeEr7GNc5F4VkhOezK5Mvsw1R94bkUQNBfOl7UVxLYb6AWfBn5yAIIAydGYA13M0Ik&#10;+LL3ZowUHkvQ/Iz5rkd1nTh2+yO5y2M0qimsH7p+3BvAvYj7wUyKGoA/cyOT5f/i2DBy4iXSD8a4&#10;PAwcbwYc8tANkcUkjdBsQm96KZQJJ+gvdXb9EG0Tj4JoYs1E4UgfsT8pxo28L6vKMFw1RKrrk+uI&#10;PS2rMiWp2VCLz24rxR4EwqU79XFWHWr0i/4dpyIz2ID36OT9e/MKx5opgSDMhWboddlhrqjKem2B&#10;8RGlyER616Tmdp0oq34NqMqkFNrPEJHUiEz//il24rvoLvIQRcHdwnM2m8Xr+1tvEdzz0N8sN7e3&#10;G/4zmce9VVGmadaQhedZgnuf1quHqaafAsZpYmaSVvvd6K578yMCyQ/PfrXn1zBi2HL+b6wzjZp6&#10;c9/Mu9PuZCYAhA7wqHHvZPoerVvJfl7CfIdFIdUHix0xK60t/eNBqMxi1dcNhhGTHUh2s/EQ3ihY&#10;airZTSWiSQC1tpJOWSh3tLntsMdHh1aV+wJn9bHQyNcYGvKSeru5dH+vYYOJyJg1TG80ck33Rut5&#10;xrz5CwAA//8DAFBLAwQUAAYACAAAACEAurMrc+EAAAAKAQAADwAAAGRycy9kb3ducmV2LnhtbEyP&#10;QU7DMBBF90jcwRokNhV14pCKpHEqVMECiS5IOYAbT+PQeBzFbhtuj1nBajSapz/vV5vZDuyCk+8d&#10;SUiXCTCk1umeOgmf+9eHJ2A+KNJqcIQSvtHDpr69qVSp3ZU+8NKEjsUQ8qWSYEIYS859a9Aqv3Qj&#10;Urwd3WRViOvUcT2pawy3AxdJsuJW9RQ/GDXi1mB7as5WgmpEaha7/F28Eb0sTulXP2/3Ut7fzc9r&#10;YAHn8AfDr35Uhzo6HdyZtGeDhDwXRUQliCLOCKyyNAN2kJA9JgXwuuL/K9Q/AAAA//8DAFBLAQIt&#10;ABQABgAIAAAAIQC2gziS/gAAAOEBAAATAAAAAAAAAAAAAAAAAAAAAABbQ29udGVudF9UeXBlc10u&#10;eG1sUEsBAi0AFAAGAAgAAAAhADj9If/WAAAAlAEAAAsAAAAAAAAAAAAAAAAALwEAAF9yZWxzLy5y&#10;ZWxzUEsBAi0AFAAGAAgAAAAhAKt5j7leBAAAqwoAAA4AAAAAAAAAAAAAAAAALgIAAGRycy9lMm9E&#10;b2MueG1sUEsBAi0AFAAGAAgAAAAhALqzK3PhAAAACgEAAA8AAAAAAAAAAAAAAAAAuAYAAGRycy9k&#10;b3ducmV2LnhtbFBLBQYAAAAABAAEAPMAAADGBwAAAAA=&#10;" adj="-11796480,,5400" path="m5435,c-4211,304800,-13857,609600,98032,914400v111889,304800,474563,567160,578735,914400c780939,2176040,717278,2801074,723065,2997843e" filled="f" strokecolor="black [3213]" strokeweight="2pt">
                <v:stroke joinstyle="miter"/>
                <v:formulas/>
                <v:path arrowok="t" o:connecttype="custom" o:connectlocs="36,0;662,6024;4569,12048;4881,19749" o:connectangles="0,0,0,0" textboxrect="0,0,737079,2997843"/>
                <v:textbox>
                  <w:txbxContent>
                    <w:p w:rsidR="005A67D3" w:rsidRDefault="005A67D3" w:rsidP="009E322E"/>
                  </w:txbxContent>
                </v:textbox>
              </v:shape>
            </w:pict>
          </mc:Fallback>
        </mc:AlternateContent>
      </w:r>
    </w:p>
    <w:p w:rsidR="009E322E" w:rsidRDefault="00364C2C" w:rsidP="00364C2C">
      <w:pPr>
        <w:pStyle w:val="Figure"/>
        <w:rPr>
          <w:rtl/>
        </w:rPr>
      </w:pPr>
      <w:r>
        <w:rPr>
          <w:rFonts w:hint="cs"/>
          <w:noProof/>
          <w:rtl/>
          <w:lang w:val="en-US" w:eastAsia="zh-CN"/>
        </w:rPr>
        <mc:AlternateContent>
          <mc:Choice Requires="wpg">
            <w:drawing>
              <wp:anchor distT="0" distB="0" distL="114300" distR="114300" simplePos="0" relativeHeight="251660288" behindDoc="0" locked="0" layoutInCell="1" allowOverlap="1" wp14:anchorId="45A768EA" wp14:editId="4270BFE2">
                <wp:simplePos x="0" y="0"/>
                <wp:positionH relativeFrom="column">
                  <wp:posOffset>3625987</wp:posOffset>
                </wp:positionH>
                <wp:positionV relativeFrom="paragraph">
                  <wp:posOffset>5431</wp:posOffset>
                </wp:positionV>
                <wp:extent cx="625707" cy="610692"/>
                <wp:effectExtent l="0" t="0" r="22225" b="18415"/>
                <wp:wrapNone/>
                <wp:docPr id="16"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07" cy="610692"/>
                          <a:chOff x="53377" y="15841"/>
                          <a:chExt cx="33123" cy="33123"/>
                        </a:xfrm>
                      </wpg:grpSpPr>
                      <wps:wsp>
                        <wps:cNvPr id="17" name="円/楕円 49"/>
                        <wps:cNvSpPr>
                          <a:spLocks noChangeArrowheads="1"/>
                        </wps:cNvSpPr>
                        <wps:spPr bwMode="auto">
                          <a:xfrm>
                            <a:off x="53377" y="15841"/>
                            <a:ext cx="33123"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8" name="円/楕円 50"/>
                        <wps:cNvSpPr>
                          <a:spLocks noChangeArrowheads="1"/>
                        </wps:cNvSpPr>
                        <wps:spPr bwMode="auto">
                          <a:xfrm>
                            <a:off x="64898" y="19442"/>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9" name="円/楕円 51"/>
                        <wps:cNvSpPr>
                          <a:spLocks noChangeArrowheads="1"/>
                        </wps:cNvSpPr>
                        <wps:spPr bwMode="auto">
                          <a:xfrm>
                            <a:off x="58417" y="28083"/>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20" name="円/楕円 52"/>
                        <wps:cNvSpPr>
                          <a:spLocks noChangeArrowheads="1"/>
                        </wps:cNvSpPr>
                        <wps:spPr bwMode="auto">
                          <a:xfrm>
                            <a:off x="62738" y="39567"/>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21" name="円/楕円 53"/>
                        <wps:cNvSpPr>
                          <a:spLocks noChangeArrowheads="1"/>
                        </wps:cNvSpPr>
                        <wps:spPr bwMode="auto">
                          <a:xfrm>
                            <a:off x="76892" y="24482"/>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22" name="円/楕円 54"/>
                        <wps:cNvSpPr>
                          <a:spLocks noChangeArrowheads="1"/>
                        </wps:cNvSpPr>
                        <wps:spPr bwMode="auto">
                          <a:xfrm>
                            <a:off x="75270" y="39567"/>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23" name="二等辺三角形 55"/>
                        <wps:cNvSpPr>
                          <a:spLocks noChangeArrowheads="1"/>
                        </wps:cNvSpPr>
                        <wps:spPr bwMode="auto">
                          <a:xfrm>
                            <a:off x="69218" y="29883"/>
                            <a:ext cx="1441"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5A67D3" w:rsidRDefault="005A67D3" w:rsidP="009E322E"/>
                          </w:txbxContent>
                        </wps:txbx>
                        <wps:bodyPr rot="0" vert="horz" wrap="square" lIns="91440" tIns="45720" rIns="91440" bIns="45720" anchor="ctr" anchorCtr="0" upright="1">
                          <a:noAutofit/>
                        </wps:bodyPr>
                      </wps:wsp>
                    </wpg:wgp>
                  </a:graphicData>
                </a:graphic>
              </wp:anchor>
            </w:drawing>
          </mc:Choice>
          <mc:Fallback>
            <w:pict>
              <v:group id="グループ化 5" o:spid="_x0000_s1072" style="position:absolute;left:0;text-align:left;margin-left:285.5pt;margin-top:.45pt;width:49.25pt;height:48.1pt;z-index:251660288" coordorigin="53377,15841" coordsize="33123,3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HoWwQAAGcZAAAOAAAAZHJzL2Uyb0RvYy54bWzsWd2O3DQUvkfiHSzfszPJJJlMtNmq2nZX&#10;SAUqFR7Akzg/kMTB9mxmuWSlSpV6hQS9r4S4QEhcogp4me1CH4NjO8kMk21XzNKpKs3NjB3H9vF3&#10;/J1jfzm8sywLdEa5yFkVYutgjBGtIhbnVRriLz4/+cjHSEhSxaRgFQ3xORX4ztGHHxw2dUBtlrEi&#10;phzBIJUImjrEmZR1MBqJKKMlEQesphU0JoyXREKVp6OYkwZGL4uRPR57o4bxuOYsokLA03umER/p&#10;8ZOERvKzJBFUoiLEYJvUv1z/ztXv6OiQBCkndZZHrRlkCytKklcwaT/UPSIJWvB8MFSZR5wJlsiD&#10;iJUjliR5RPUaYDXWeGM1p5wtar2WNGjSuocJoN3Aaetho0/PHnKUx+A7D6OKlOCjy29/vbz4+fLi&#10;98uLZ1dPf0CuQqmp0wBePuX1o/ohN0uF4gMWfSWgebTZruqpeRnNm09YDAOThWQapWXCSzUErB8t&#10;tTPOe2fQpUQRPPRsdzqeYhRBk2eNvZltnBVl4FHVy51MptAOzZbrO1bXer/tP5lY9sR0N0VlJQnM&#10;1Nrc1jy1Nth8YoWvuB2+jzJSU+02oSDr8AVbDb5Xjx+P/vrxe/hDzsxgq1/sgBUGVVSx44xUKb3L&#10;OWsySmKwSy8TrF/roCoCfHIjzNcC1sG9AZej7OrhIkHNhTylrESqEGJaFHkt1CJJQM4eCGne7t5S&#10;jwUr8vgkLwpdUXymxwVHZwSYKJe27losStgZ5hmwedzyER4rH+tX/e4xGKOjghpFm/avCYoKNSG2&#10;XQfGuGl2EkW0ktbAArebigTrFmij3jw78LSKAQISKDfdb8uS5IUpQ++i0iQxrjJbTi7nS009R0+h&#10;/Dhn8Tl4kjMTqCCwQiFj/BuMGghSIRZfLwinGBUfV7AbZpYDfZHUFced2lDh6y3z9RZSRTBUiCPJ&#10;MTKVY2li4aLmeZrBXAaVit0Fqia5duvKrnYFQJVdcQayx4Azbo8WkOttc8Zz/BkYoYLMzHHaENRz&#10;xoPdpgPURJXeJmNet2cttWf11P95077flNGBcLU195Tp0szsOsr0aO2AMioZm7xs+2N/YvLyGmWs&#10;PWW2I+xts4yOXnvKQN5XIKxOZiprDrNMj9YOKOPZ04nJMpOZ600HlNlnmS1z3G0po6PXnjJDykAQ&#10;H1KmR2sHlJl6PtwI1cHMdhz/TQczc2Xqbn7/91VmfzDT0XR1l9E3xz1lhpSB3TqkTI/WLijj2lPI&#10;JECZ67PM/mD2jrJMK7Dtr/+bBzPQ7wxlXr54+vcvT179+eLlb09e/fTd1R/PkdujtgPqgPpomQOa&#10;PfM37zQgwrTUcTz/BhlA8hwkvWJNOVOqURq36yTxlxglZQEaNKhfqFekQEDSMpsWvl6vsvF03mts&#10;JyedMqC0q3Ux7t1e/MtcguJf5GWItbbX3oW2E848dVR+v5KNlp5BzdeubL88qM8F63UttK2+jxz9&#10;AwAA//8DAFBLAwQUAAYACAAAACEA2uQFbN4AAAAHAQAADwAAAGRycy9kb3ducmV2LnhtbEyPQUvD&#10;QBSE74L/YXmCN7uJktSm2ZRS1FMRbAXp7TX7moRm34bsNkn/vevJHocZZr7JV5NpxUC9aywriGcR&#10;COLS6oYrBd/796dXEM4ja2wtk4IrOVgV93c5ZtqO/EXDzlcilLDLUEHtfZdJ6cqaDLqZ7YiDd7K9&#10;QR9kX0nd4xjKTSufoyiVBhsOCzV2tKmpPO8uRsHHiOP6JX4btufT5nrYJ58/25iUenyY1ksQnib/&#10;H4Y//IAORWA62gtrJ1oFyTwOX7yCBYhgp+kiAXEMch6DLHJ5y1/8AgAA//8DAFBLAQItABQABgAI&#10;AAAAIQC2gziS/gAAAOEBAAATAAAAAAAAAAAAAAAAAAAAAABbQ29udGVudF9UeXBlc10ueG1sUEsB&#10;Ai0AFAAGAAgAAAAhADj9If/WAAAAlAEAAAsAAAAAAAAAAAAAAAAALwEAAF9yZWxzLy5yZWxzUEsB&#10;Ai0AFAAGAAgAAAAhAKJ5MehbBAAAZxkAAA4AAAAAAAAAAAAAAAAALgIAAGRycy9lMm9Eb2MueG1s&#10;UEsBAi0AFAAGAAgAAAAhANrkBWzeAAAABwEAAA8AAAAAAAAAAAAAAAAAtQYAAGRycy9kb3ducmV2&#10;LnhtbFBLBQYAAAAABAAEAPMAAADABwAAAAA=&#10;">
                <v:oval id="円/楕円 49" o:spid="_x0000_s1073" style="position:absolute;left:53377;top:15841;width:33123;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zDcIA&#10;AADbAAAADwAAAGRycy9kb3ducmV2LnhtbERPTWvCQBC9F/wPywi9NRsLbWp0I0UQvLRoag7ehuyY&#10;xGRnQ3bV9N+7hYK3ebzPWa5G04krDa6xrGAWxSCIS6sbrhQcfjYvHyCcR9bYWSYFv+RglU2elphq&#10;e+M9XXNfiRDCLkUFtfd9KqUrazLoItsTB+5kB4M+wKGSesBbCDedfI3jd2mw4dBQY0/rmso2vxgF&#10;b987+lrjeb8953M8HmZJUbSJUs/T8XMBwtPoH+J/91aH+Qn8/RI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rMNwgAAANsAAAAPAAAAAAAAAAAAAAAAAJgCAABkcnMvZG93&#10;bnJldi54bWxQSwUGAAAAAAQABAD1AAAAhwMAAAAA&#10;" fillcolor="#c6d9f1 [671]" strokecolor="#243f60 [1604]" strokeweight="2pt">
                  <v:textbox>
                    <w:txbxContent>
                      <w:p w:rsidR="005A67D3" w:rsidRDefault="005A67D3" w:rsidP="009E322E"/>
                    </w:txbxContent>
                  </v:textbox>
                </v:oval>
                <v:oval id="円/楕円 50" o:spid="_x0000_s1074" style="position:absolute;left:64898;top:19442;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sEcYA&#10;AADbAAAADwAAAGRycy9kb3ducmV2LnhtbESPQWvCQBCF70L/wzIFL6Kb9hAkukotWAp6UNvSehuy&#10;YxKanU2zq0Z/vXMQepvhvXnvm+m8c7U6URsqzwaeRgko4tzbigsDnx/L4RhUiMgWa89k4EIB5rOH&#10;3hQz68+8pdMuFkpCOGRooIyxybQOeUkOw8g3xKIdfOswytoW2rZ4lnBX6+ckSbXDiqWhxIZeS8p/&#10;d0dnYJ8uF5xuVgNeNyFffL3h9ef7z5j+Y/cyARWpi//m+/W7FXyBlV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sEcYAAADbAAAADwAAAAAAAAAAAAAAAACYAgAAZHJz&#10;L2Rvd25yZXYueG1sUEsFBgAAAAAEAAQA9QAAAIsDAAAAAA==&#10;" fillcolor="#4f81bd [3204]" strokecolor="#243f60 [1604]" strokeweight="2pt">
                  <v:textbox>
                    <w:txbxContent>
                      <w:p w:rsidR="005A67D3" w:rsidRDefault="005A67D3" w:rsidP="009E322E"/>
                    </w:txbxContent>
                  </v:textbox>
                </v:oval>
                <v:oval id="円/楕円 51" o:spid="_x0000_s1075" style="position:absolute;left:58417;top:28083;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JisMA&#10;AADbAAAADwAAAGRycy9kb3ducmV2LnhtbERPS2vCQBC+C/6HZYReim7sIdTUVVSwFOqhvqjehuyY&#10;BLOzMbvV6K93C4K3+fieMxw3phRnql1hWUG/F4EgTq0uOFOwWc+77yCcR9ZYWiYFV3IwHrVbQ0y0&#10;vfCSziufiRDCLkEFufdVIqVLczLoerYiDtzB1gZ9gHUmdY2XEG5K+RZFsTRYcGjIsaJZTulx9WcU&#10;7OP5lOOf71deVC6dbj/xtvs9KfXSaSYfIDw1/il+uL90mD+A/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JisMAAADbAAAADwAAAAAAAAAAAAAAAACYAgAAZHJzL2Rv&#10;d25yZXYueG1sUEsFBgAAAAAEAAQA9QAAAIgDAAAAAA==&#10;" fillcolor="#4f81bd [3204]" strokecolor="#243f60 [1604]" strokeweight="2pt">
                  <v:textbox>
                    <w:txbxContent>
                      <w:p w:rsidR="005A67D3" w:rsidRDefault="005A67D3" w:rsidP="009E322E"/>
                    </w:txbxContent>
                  </v:textbox>
                </v:oval>
                <v:oval id="円/楕円 52" o:spid="_x0000_s1076" style="position:absolute;left:62738;top:39567;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qqsMA&#10;AADbAAAADwAAAGRycy9kb3ducmV2LnhtbERPTWvCQBC9F/oflil4Kc1GD6GkWUULlkJ7sNFSvQ3Z&#10;MQnNzsbsaqK/3j0IHh/vO5sNphEn6lxtWcE4ikEQF1bXXCrYrJcvryCcR9bYWCYFZ3Iwmz4+ZJhq&#10;2/MPnXJfihDCLkUFlfdtKqUrKjLoItsSB25vO4M+wK6UusM+hJtGTuI4kQZrDg0VtvReUfGfH42C&#10;XbJccLL6eubv1hWL3w+8bP8OSo2ehvkbCE+Dv4tv7k+tYBLWhy/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qqsMAAADbAAAADwAAAAAAAAAAAAAAAACYAgAAZHJzL2Rv&#10;d25yZXYueG1sUEsFBgAAAAAEAAQA9QAAAIgDAAAAAA==&#10;" fillcolor="#4f81bd [3204]" strokecolor="#243f60 [1604]" strokeweight="2pt">
                  <v:textbox>
                    <w:txbxContent>
                      <w:p w:rsidR="005A67D3" w:rsidRDefault="005A67D3" w:rsidP="009E322E"/>
                    </w:txbxContent>
                  </v:textbox>
                </v:oval>
                <v:oval id="円/楕円 53" o:spid="_x0000_s1077" style="position:absolute;left:76892;top:24482;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PMcYA&#10;AADbAAAADwAAAGRycy9kb3ducmV2LnhtbESPQWvCQBSE74L/YXlCL6KbeAglzSpViBTqodoW29sj&#10;+5oEs29jdquxv94VCh6HmfmGyRa9acSJOldbVhBPIxDEhdU1lwo+3vPJIwjnkTU2lknBhRws5sNB&#10;hqm2Z97SaedLESDsUlRQed+mUrqiIoNualvi4P3YzqAPsiul7vAc4KaRsyhKpMGaw0KFLa0qKg67&#10;X6PgO8mXnLy9jnnTumL5uca/r/1RqYdR//wEwlPv7+H/9otWMIv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fPMcYAAADbAAAADwAAAAAAAAAAAAAAAACYAgAAZHJz&#10;L2Rvd25yZXYueG1sUEsFBgAAAAAEAAQA9QAAAIsDAAAAAA==&#10;" fillcolor="#4f81bd [3204]" strokecolor="#243f60 [1604]" strokeweight="2pt">
                  <v:textbox>
                    <w:txbxContent>
                      <w:p w:rsidR="005A67D3" w:rsidRDefault="005A67D3" w:rsidP="009E322E"/>
                    </w:txbxContent>
                  </v:textbox>
                </v:oval>
                <v:oval id="円/楕円 54" o:spid="_x0000_s1078" style="position:absolute;left:75270;top:39567;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RRsYA&#10;AADbAAAADwAAAGRycy9kb3ducmV2LnhtbESPQWvCQBSE70L/w/IKvYhumkOQ6CZowVLQQ6strbdH&#10;9pkEs2/T7Kqxv74rCB6HmfmGmeW9acSJOldbVvA8jkAQF1bXXCr43C5HExDOI2tsLJOCCznIs4fB&#10;DFNtz/xBp40vRYCwS1FB5X2bSumKigy6sW2Jg7e3nUEfZFdK3eE5wE0j4yhKpMGaw0KFLb1UVBw2&#10;R6NglywXnLyvhrxuXbH4esW/n+9fpZ4e+/kUhKfe38O39ptWEMd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VRRsYAAADbAAAADwAAAAAAAAAAAAAAAACYAgAAZHJz&#10;L2Rvd25yZXYueG1sUEsFBgAAAAAEAAQA9QAAAIsDAAAAAA==&#10;" fillcolor="#4f81bd [3204]" strokecolor="#243f60 [1604]" strokeweight="2pt">
                  <v:textbox>
                    <w:txbxContent>
                      <w:p w:rsidR="005A67D3" w:rsidRDefault="005A67D3" w:rsidP="009E322E"/>
                    </w:txbxContent>
                  </v:textbox>
                </v:oval>
                <v:shape id="二等辺三角形 55" o:spid="_x0000_s1079" type="#_x0000_t5" style="position:absolute;left:69218;top:29883;width:144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in8QA&#10;AADbAAAADwAAAGRycy9kb3ducmV2LnhtbESPQWsCMRSE70L/Q3iF3jSrguhqdrEFS/EguPbS22Pz&#10;3CxuXtYk1e2/b4RCj8PMfMNsysF24kY+tI4VTCcZCOLa6ZYbBZ+n3XgJIkRkjZ1jUvBDAcriabTB&#10;XLs7H+lWxUYkCIccFZgY+1zKUBuyGCauJ07e2XmLMUnfSO3xnuC2k7MsW0iLLacFgz29Gaov1bdV&#10;UJ2m8693/2oyrfer1u2u1XC4KvXyPGzXICIN8T/81/7QCmZzeHx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8op/EAAAA2wAAAA8AAAAAAAAAAAAAAAAAmAIAAGRycy9k&#10;b3ducmV2LnhtbFBLBQYAAAAABAAEAPUAAACJAwAAAAA=&#10;" fillcolor="red" strokecolor="#243f60 [1604]" strokeweight="2pt">
                  <v:textbox>
                    <w:txbxContent>
                      <w:p w:rsidR="005A67D3" w:rsidRDefault="005A67D3" w:rsidP="009E322E"/>
                    </w:txbxContent>
                  </v:textbox>
                </v:shape>
              </v:group>
            </w:pict>
          </mc:Fallback>
        </mc:AlternateContent>
      </w:r>
      <w:r>
        <w:rPr>
          <w:rFonts w:hint="cs"/>
          <w:noProof/>
          <w:rtl/>
          <w:lang w:val="en-US" w:eastAsia="zh-CN"/>
        </w:rPr>
        <mc:AlternateContent>
          <mc:Choice Requires="wps">
            <w:drawing>
              <wp:anchor distT="0" distB="0" distL="114300" distR="114300" simplePos="0" relativeHeight="251664384" behindDoc="0" locked="0" layoutInCell="1" allowOverlap="1" wp14:anchorId="7A7E29FF" wp14:editId="551E273A">
                <wp:simplePos x="0" y="0"/>
                <wp:positionH relativeFrom="column">
                  <wp:posOffset>4523944</wp:posOffset>
                </wp:positionH>
                <wp:positionV relativeFrom="paragraph">
                  <wp:posOffset>128821</wp:posOffset>
                </wp:positionV>
                <wp:extent cx="68045" cy="66405"/>
                <wp:effectExtent l="0" t="0" r="27305" b="10160"/>
                <wp:wrapNone/>
                <wp:docPr id="27"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5" cy="66405"/>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9" o:spid="_x0000_s1080" style="position:absolute;left:0;text-align:left;margin-left:356.2pt;margin-top:10.15pt;width:5.35pt;height: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DVRwIAALwEAAAOAAAAZHJzL2Uyb0RvYy54bWysVF2O0zAQfkfiDpbfadIqbXejTVerLouQ&#10;Flhp4QBTx2ksHNuM3ablAHsDjsDR4ByMnW4p8FbRB9cz4/nm55vJ1fWu02wr0StrKj4e5ZxJI2yt&#10;zLrinz7evbrgzAcwNWhrZMX30vPrxcsXV70r5cS2VtcSGYEYX/au4m0IrswyL1rZgR9ZJw0ZG4sd&#10;BBJxndUIPaF3Opvk+SzrLdYOrZDek/Z2MPJFwm8aKcKHpvEyMF1xyi2kE9O5ime2uIJyjeBaJQ5p&#10;wBlZdKAMBT1C3UIAtkH1D1SnBFpvmzAStsts0yghUw1UzTj/q5rHFpxMtVBzvDu2yf8/WPF++4BM&#10;1RWfzDkz0BFHP56esp/fv9Efu4wN6p0v6d2je8BYonf3Vnz2zNhlC2YtbxBt30qoKa1xfJ/94RAF&#10;T65s1b+zNcHDJtjUq12DXQSkLrBdomR/pETuAhOknF3kxZQzQZbZrMinCR/KZ1eHPryRtmPxUnGp&#10;tXI+tgxK2N77ELOB8vlVyt5qVd8prZMQx0wuNbIt0ICAENKEcXLXm47SHfTjPP6GWSE9TdSgTyrC&#10;T9MaYVI0fxpBG9ZTb6cF+Z8bfnp2dLQbU6cRj/y8PtwDKD3cKXdtDoRFjgauw261SyNRzJ/pX9l6&#10;TxSiHRaIFp4urcWvnPW0PBX3XzaAkjP91tAYXI6LIm5bEorpfEICnlpWpxYwgqAqLgJyNgjLMOzo&#10;xqFatxRrIMXYGxqeRiVe42ANeR0qoBVJBBzWOe7gqZxe/f7oLH4BAAD//wMAUEsDBBQABgAIAAAA&#10;IQBuPc394QAAAAkBAAAPAAAAZHJzL2Rvd25yZXYueG1sTI/BTsMwEETvSPyDtUhcELWToLQKcSqK&#10;VC5wgAICbtt4SSLidYjdNvD1mBMcV/M087ZcTrYXexp951hDMlMgiGtnOm40PD2uzxcgfEA22Dsm&#10;DV/kYVkdH5VYGHfgB9pvQiNiCfsCNbQhDIWUvm7Jop+5gThm7260GOI5NtKMeIjltpepUrm02HFc&#10;aHGg65bqj83OanjL1yvO72/P+G7w9er5Br9fXz61Pj2Zri5BBJrCHwy/+lEdqui0dTs2XvQa5kl6&#10;EVENqcpARGCeZgmIrYZMLUBWpfz/QfUDAAD//wMAUEsBAi0AFAAGAAgAAAAhALaDOJL+AAAA4QEA&#10;ABMAAAAAAAAAAAAAAAAAAAAAAFtDb250ZW50X1R5cGVzXS54bWxQSwECLQAUAAYACAAAACEAOP0h&#10;/9YAAACUAQAACwAAAAAAAAAAAAAAAAAvAQAAX3JlbHMvLnJlbHNQSwECLQAUAAYACAAAACEAUJuA&#10;1UcCAAC8BAAADgAAAAAAAAAAAAAAAAAuAgAAZHJzL2Uyb0RvYy54bWxQSwECLQAUAAYACAAAACEA&#10;bj3N/eEAAAAJAQAADwAAAAAAAAAAAAAAAAChBAAAZHJzL2Rvd25yZXYueG1sUEsFBgAAAAAEAAQA&#10;8wAAAK8FAAAAAA==&#10;" fillcolor="#4f81bd [3204]" strokecolor="#243f60 [1604]" strokeweight="2pt">
                <v:textbox>
                  <w:txbxContent>
                    <w:p w:rsidR="005A67D3" w:rsidRDefault="005A67D3" w:rsidP="009E322E"/>
                  </w:txbxContent>
                </v:textbox>
              </v:oval>
            </w:pict>
          </mc:Fallback>
        </mc:AlternateContent>
      </w:r>
      <w:r>
        <w:rPr>
          <w:rFonts w:hint="cs"/>
          <w:noProof/>
          <w:rtl/>
          <w:lang w:val="en-US" w:eastAsia="zh-CN"/>
        </w:rPr>
        <mc:AlternateContent>
          <mc:Choice Requires="wps">
            <w:drawing>
              <wp:anchor distT="0" distB="0" distL="114300" distR="114300" simplePos="0" relativeHeight="251666432" behindDoc="0" locked="0" layoutInCell="1" allowOverlap="1" wp14:anchorId="00D3C533" wp14:editId="5740E2EF">
                <wp:simplePos x="0" y="0"/>
                <wp:positionH relativeFrom="column">
                  <wp:posOffset>4720114</wp:posOffset>
                </wp:positionH>
                <wp:positionV relativeFrom="paragraph">
                  <wp:posOffset>78095</wp:posOffset>
                </wp:positionV>
                <wp:extent cx="67978" cy="66405"/>
                <wp:effectExtent l="0" t="0" r="27305" b="10160"/>
                <wp:wrapNone/>
                <wp:docPr id="3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8" cy="66405"/>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oval id="円/楕円 11" o:spid="_x0000_s1081" style="position:absolute;left:0;text-align:left;margin-left:371.65pt;margin-top:6.15pt;width:5.35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E1RwIAAL0EAAAOAAAAZHJzL2Uyb0RvYy54bWysVF1uEzEQfkfiDpbfyWZDkrarbKoqpQip&#10;QKXCARyvN2vh9Zixk004QG/QI3A0OAdjbxICvEXkwfH8eOab+WZ2dr1tDdso9BpsyfPBkDNlJVTa&#10;rkr++dPdq0vOfBC2EgasKvlOeX49f/li1rlCjaABUylkFMT6onMlb0JwRZZ52ahW+AE4ZclYA7Yi&#10;kIirrELRUfTWZKPhcJp1gJVDkMp70t72Rj5P8etayfCxrr0KzJScsIV0YjqX8czmM1GsULhGyz0M&#10;cQaKVmhLSY+hbkUQbI36n1Ctlgge6jCQ0GZQ11qqVANVkw//quaxEU6lWqg53h3b5P9fWPlh84BM&#10;VyV/nXNmRUsc/Xh6yn5+f6Y/luexQ53zBTk+ugeMNXp3D/KLZxYWjbArdYMIXaNERbiSf/bHgyh4&#10;esqW3XuoKL5YB0jN2tbYxoDUBrZNnOyOnKhtYJKU04urC5ohSZbpdDycRDyZKA5PHfrwVkHL4qXk&#10;yhjtfOyZKMTm3ofe++CV0IPR1Z02JglxztTCINsImhAhpbIhT8/NuiW4vT4fxl8/LKSnker1SUVo&#10;0rjGMAmbP81gLOtKPpqM6f256SdnZ0dY2yrNeOTnzf4ehDb9nbAbS6APHPVch+1ym2ZifHmgfwnV&#10;jihE6DeINp4uDeA3zjranpL7r2uBijPzztIYXOXjcVy3JIwnFyMS8NSyPLUIKylUyWVAznphEfol&#10;XTvUq4Zy9aRYuKHhqXXiNYLuce0roB1JBOz3OS7hqZy8fn915r8AAAD//wMAUEsDBBQABgAIAAAA&#10;IQA3c5OJ4QAAAAkBAAAPAAAAZHJzL2Rvd25yZXYueG1sTI9BT8JAEIXvJv6HzZh4MbC1YCG1WyIm&#10;eJGDoka9De3YNnZna3eB6q93PMlp8vK+vHkvWwy2VXvqfePYwOU4AkVcuLLhysDz02o0B+UDcomt&#10;YzLwTR4W+elJhmnpDvxI+02olISwT9FAHUKXau2Lmiz6seuIxftwvcUgsq902eNBwm2r4yhKtMWG&#10;5UONHd3WVHxudtbAe7JacvJwf8HrzhfLlzv8eXv9Mub8bLi5BhVoCP8w/NWX6pBLp63bcelVa2A2&#10;nUwEFSOWK8DsairjtgbieA46z/TxgvwXAAD//wMAUEsBAi0AFAAGAAgAAAAhALaDOJL+AAAA4QEA&#10;ABMAAAAAAAAAAAAAAAAAAAAAAFtDb250ZW50X1R5cGVzXS54bWxQSwECLQAUAAYACAAAACEAOP0h&#10;/9YAAACUAQAACwAAAAAAAAAAAAAAAAAvAQAAX3JlbHMvLnJlbHNQSwECLQAUAAYACAAAACEAKqth&#10;NUcCAAC9BAAADgAAAAAAAAAAAAAAAAAuAgAAZHJzL2Uyb0RvYy54bWxQSwECLQAUAAYACAAAACEA&#10;N3OTieEAAAAJAQAADwAAAAAAAAAAAAAAAAChBAAAZHJzL2Rvd25yZXYueG1sUEsFBgAAAAAEAAQA&#10;8wAAAK8FAAAAAA==&#10;" fillcolor="#4f81bd [3204]" strokecolor="#243f60 [1604]" strokeweight="2pt">
                <v:textbox>
                  <w:txbxContent>
                    <w:p w:rsidR="005A67D3" w:rsidRDefault="005A67D3" w:rsidP="009E322E"/>
                  </w:txbxContent>
                </v:textbox>
              </v:oval>
            </w:pict>
          </mc:Fallback>
        </mc:AlternateContent>
      </w:r>
      <w:r>
        <w:rPr>
          <w:rFonts w:hint="cs"/>
          <w:noProof/>
          <w:rtl/>
          <w:lang w:val="en-US" w:eastAsia="zh-CN"/>
        </w:rPr>
        <mc:AlternateContent>
          <mc:Choice Requires="wps">
            <w:drawing>
              <wp:anchor distT="0" distB="0" distL="114300" distR="114300" simplePos="0" relativeHeight="251669504" behindDoc="0" locked="0" layoutInCell="1" allowOverlap="1" wp14:anchorId="6F4EC782" wp14:editId="3C48C5FB">
                <wp:simplePos x="0" y="0"/>
                <wp:positionH relativeFrom="column">
                  <wp:posOffset>3945625</wp:posOffset>
                </wp:positionH>
                <wp:positionV relativeFrom="paragraph">
                  <wp:posOffset>35472</wp:posOffset>
                </wp:positionV>
                <wp:extent cx="138994" cy="272012"/>
                <wp:effectExtent l="0" t="38100" r="52070" b="13970"/>
                <wp:wrapNone/>
                <wp:docPr id="3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994" cy="272012"/>
                        </a:xfrm>
                        <a:prstGeom prst="straightConnector1">
                          <a:avLst/>
                        </a:prstGeom>
                        <a:noFill/>
                        <a:ln w="2540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直線矢印コネクタ 14" o:spid="_x0000_s1026" type="#_x0000_t32" style="position:absolute;margin-left:310.7pt;margin-top:2.8pt;width:10.95pt;height:21.4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N9fwIAALQEAAAOAAAAZHJzL2Uyb0RvYy54bWysVMtu1DAU3SPxD5b30yTTtJ2JmqlQMsOm&#10;QKUW9q7tTCwcO7I9kxkhNu26PwALJH4AJJBY8jEj1N/g2plOKWwQYuP4dc895/rcHJ+sGomW3Fih&#10;VY6TvRgjrqhmQs1z/PJiNhhhZB1RjEiteI7X3OKTyeNHx12b8aGutWTcIABRNuvaHNfOtVkUWVrz&#10;htg93XIFh5U2DXGwNPOIGdIBeiOjYRwfRp02rDWacmtht+wP8STgVxWn7kVVWe6QzDFwc2E0Ybz0&#10;YzQ5JtnckLYWdEuD/AOLhggFSXdQJXEELYz4A6oR1GirK7dHdRPpqhKUBw2gJol/U3Nek5YHLVAc&#10;2+7KZP8fLH2+PDNIsBzvpxgp0sAb3b7/evvt3e2Hjz9uPm+uvmyubzZXnzZX31GS+np1rc0grFBn&#10;xiumK3Xenmr62iKli5qoOQ+8L9YtYCU+InoQ4he2hayX3TPN4A5ZOB2Kt6pMgyop2lc+0INDgdAq&#10;vNZ691p85RCFzWR/NB4DaQpHwyMo3zDkIpmH8cGtse4p1w3ykxxbZ4iY167QSoEvtOlTkOWpdZ7k&#10;fYAPVnompAz2kAp1kOIgjeNAymopmD/194JTeSENWhLwGKGUK9cjy0UDAvv98UEM0T3cogFP9tth&#10;CzLvUAKPBwmMXigWAmtO2HQ7d0RImCMXqkyM0R32LBvOMJIcetHPellSeaJQNhC6nfXefDOOx9PR&#10;dJQO0uHhdJDGZTl4MivSweEsOToo98uiKJO3XnOSZrVgjCsv+65PkvTvfLjt2N7hu07ZFTh6iB4q&#10;AGTvvoF0cJA3TW+/S83WZ8ar82aC1giXt23se+/Xdbh1/7OZ/AQAAP//AwBQSwMEFAAGAAgAAAAh&#10;AGnTsHHeAAAACAEAAA8AAABkcnMvZG93bnJldi54bWxMj81qwzAQhO+FvoPYQm+N7MQ1wfU6hEIv&#10;oZemCeSoWOsfbK2MJSf221c9tcdhhplv8t1senGj0bWWEeJVBIK4tLrlGuH0/fGyBeG8Yq16y4Sw&#10;kINd8fiQq0zbO3/R7ehrEUrYZQqh8X7IpHRlQ0a5lR2Ig1fZ0Sgf5FhLPap7KDe9XEdRKo1qOSw0&#10;aqD3hsruOBkEZZfLdPrs4sPSnPX+fKh85yrE56d5/wbC0+z/wvCLH9ChCExXO7F2okdI13ESogiv&#10;KYjgp8lmA+KKkGwTkEUu/x8ofgAAAP//AwBQSwECLQAUAAYACAAAACEAtoM4kv4AAADhAQAAEwAA&#10;AAAAAAAAAAAAAAAAAAAAW0NvbnRlbnRfVHlwZXNdLnhtbFBLAQItABQABgAIAAAAIQA4/SH/1gAA&#10;AJQBAAALAAAAAAAAAAAAAAAAAC8BAABfcmVscy8ucmVsc1BLAQItABQABgAIAAAAIQDYRzN9fwIA&#10;ALQEAAAOAAAAAAAAAAAAAAAAAC4CAABkcnMvZTJvRG9jLnhtbFBLAQItABQABgAIAAAAIQBp07Bx&#10;3gAAAAgBAAAPAAAAAAAAAAAAAAAAANkEAABkcnMvZG93bnJldi54bWxQSwUGAAAAAAQABADzAAAA&#10;5AUAAAAA&#10;" strokecolor="#4579b8 [3044]" strokeweight="2pt">
                <v:stroke endarrow="open"/>
              </v:shape>
            </w:pict>
          </mc:Fallback>
        </mc:AlternateContent>
      </w:r>
      <w:r>
        <w:rPr>
          <w:rFonts w:hint="cs"/>
          <w:noProof/>
          <w:rtl/>
          <w:lang w:val="en-US" w:eastAsia="zh-CN"/>
        </w:rPr>
        <mc:AlternateContent>
          <mc:Choice Requires="wps">
            <w:drawing>
              <wp:anchor distT="0" distB="0" distL="114300" distR="114300" simplePos="0" relativeHeight="251675648" behindDoc="0" locked="0" layoutInCell="1" allowOverlap="1" wp14:anchorId="4EDFFC7C" wp14:editId="01E5F3C6">
                <wp:simplePos x="0" y="0"/>
                <wp:positionH relativeFrom="column">
                  <wp:posOffset>3936850</wp:posOffset>
                </wp:positionH>
                <wp:positionV relativeFrom="paragraph">
                  <wp:posOffset>343255</wp:posOffset>
                </wp:positionV>
                <wp:extent cx="78171" cy="1456372"/>
                <wp:effectExtent l="0" t="0" r="17145" b="10795"/>
                <wp:wrapNone/>
                <wp:docPr id="1146" name="フリーフォーム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71" cy="1456372"/>
                        </a:xfrm>
                        <a:custGeom>
                          <a:avLst/>
                          <a:gdLst>
                            <a:gd name="T0" fmla="*/ 0 w 115747"/>
                            <a:gd name="T1" fmla="*/ 0 h 2210765"/>
                            <a:gd name="T2" fmla="*/ 811 w 115747"/>
                            <a:gd name="T3" fmla="*/ 6250 h 2210765"/>
                            <a:gd name="T4" fmla="*/ 1158 w 115747"/>
                            <a:gd name="T5" fmla="*/ 11922 h 2210765"/>
                            <a:gd name="T6" fmla="*/ 811 w 115747"/>
                            <a:gd name="T7" fmla="*/ 22107 h 2210765"/>
                            <a:gd name="T8" fmla="*/ 0 60000 65536"/>
                            <a:gd name="T9" fmla="*/ 0 60000 65536"/>
                            <a:gd name="T10" fmla="*/ 0 60000 65536"/>
                            <a:gd name="T11" fmla="*/ 0 60000 65536"/>
                            <a:gd name="T12" fmla="*/ 0 w 115747"/>
                            <a:gd name="T13" fmla="*/ 0 h 2210765"/>
                            <a:gd name="T14" fmla="*/ 115747 w 115747"/>
                            <a:gd name="T15" fmla="*/ 2210765 h 2210765"/>
                          </a:gdLst>
                          <a:ahLst/>
                          <a:cxnLst>
                            <a:cxn ang="T8">
                              <a:pos x="T0" y="T1"/>
                            </a:cxn>
                            <a:cxn ang="T9">
                              <a:pos x="T2" y="T3"/>
                            </a:cxn>
                            <a:cxn ang="T10">
                              <a:pos x="T4" y="T5"/>
                            </a:cxn>
                            <a:cxn ang="T11">
                              <a:pos x="T6" y="T7"/>
                            </a:cxn>
                          </a:cxnLst>
                          <a:rect l="T12" t="T13" r="T14" b="T15"/>
                          <a:pathLst>
                            <a:path w="115747" h="2210765">
                              <a:moveTo>
                                <a:pt x="0" y="0"/>
                              </a:moveTo>
                              <a:cubicBezTo>
                                <a:pt x="30866" y="213167"/>
                                <a:pt x="61732" y="426335"/>
                                <a:pt x="81023" y="625033"/>
                              </a:cubicBezTo>
                              <a:cubicBezTo>
                                <a:pt x="100314" y="823731"/>
                                <a:pt x="115747" y="927903"/>
                                <a:pt x="115747" y="1192192"/>
                              </a:cubicBezTo>
                              <a:cubicBezTo>
                                <a:pt x="115747" y="1456481"/>
                                <a:pt x="98385" y="1833623"/>
                                <a:pt x="81023" y="2210765"/>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フリーフォーム 20" o:spid="_x0000_s1082" style="position:absolute;left:0;text-align:left;margin-left:310pt;margin-top:27.05pt;width:6.15pt;height:114.6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15747,2210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9IRgQAAKAKAAAOAAAAZHJzL2Uyb0RvYy54bWysVl2O2zYQfi/QOxB6LOCVKMn6MdYbpPa6&#10;KJCmAeIegJYoS6gkqiS99qboS/cMee9re4beZi/S4ehnJSd2g6KCIZOc0ceZ+WbIuX11qkrywKUq&#10;RL206I1jEV4nIi3q/dL6abuZRRZRmtUpK0XNl9YjV9aru6+/uj02C+6KXJQplwRAarU4Nksr17pZ&#10;2LZKcl4xdSMaXoMwE7JiGqZyb6eSHQG9Km3XcQL7KGTaSJFwpWB13QqtO8TPMp7oH7NMcU3KpQW2&#10;aXxLfO/M2767ZYu9ZE1eJJ0Z7D9YUbGihk0HqDXTjBxk8QlUVSRSKJHpm0RUtsiyIuHoA3hDnTNv&#10;3ues4egLBEc1Q5jU/webvH14J0mRAnfUDyxSswpYen76+Pz01/PT32bw+584+IO4GK5joxbw1fvm&#10;nTQOq+aNSH5WEEd7IjETBTpkd/xBpIDJDlpgiE6ZrMyX4Dw5IROPAxP8pEkCi2FEQ2qRBCTUnwde&#10;6BqmbLboP04OSn/HBQKxhzdKt0SmMEIa0s6TLZCeVSVw+o1NHHIklM5DP+x4H7Rgr5FWTlyXOmEw&#10;P1dzR2oRpRfhvJFe4M4dchHRH2mCadFFyPlEMXbdy5hA4+DMNSvDkR46fBkSqniAdEjgwEOC+dwL&#10;ziMUf6kinRJzBZJOybmmOebnCtljeq5wQ8/Igby5SA8d89NlzzSckLz7Pj1Z3mdscqq7lIURYebU&#10;3EZYJo1QpjxMAkMVbGlXAKBmEvxFO55oQwSMtndJG8JuPu/BwUOjjokOBn4CDrEfq0NmGXUsn169&#10;/e+ckHDgmqN2S8EQOGy3FGINx+3WxBIO3C3ECSu1YdrEAMFhSI7mAMLKJPnS6svPiCvxwLcCFfXZ&#10;eQFbv0iTw65IvuUfxrqeEwWtzS71aNCVfYM4AQ29Nlq+G3hebxfKIuq4YDj4aqrXG6I52eJzG1LH&#10;8Yyr8GXkeqGHrEG4EbV3EISxG8YOwn5GSGnswq+n8N837QIHuOaw9KPJrnHkRZCcRhh5XgB+tQSc&#10;OdqHHISG0dGmMDVs4fpAG+q8HMG12BRlicBlbch0577TppoSZZEaqaEQ73W+KiV5YJAm+tTmV3mo&#10;4JJo1yCE8LRGwjpc3+06LsG2AwQaNEGvCg3NRFlUEP0RSs5Zel+naJ1mRdmOAarEUoI7p8tEc/vg&#10;pf1r7MT30X3kzyA37me+s17PXm9W/izY0HC+9tar1Zr+ZkqD+ou8SFNeGw/7BoL6X3ZBd61Me/UP&#10;LcTEJSX3uyFcG3y6vBip2VMzMDDgS/+P3uHtbC5k0xqphT7tTnjt+7HBM0s7kT7CfS1F2yRBUweD&#10;XMgPFjlCg7S01C8HJrlFyu9r6EBi6vumo8KJPw+hOyByLNmNJaxOAGppJVpacMyZyUrDHD46NLLY&#10;57BXmwu1eA2dQlaYGx2Nbu3qJtAGoVtdy2b6rPEctV4ay7t/AAAA//8DAFBLAwQUAAYACAAAACEA&#10;gycPluAAAAAKAQAADwAAAGRycy9kb3ducmV2LnhtbEyPTUvDQBBA74L/YRnBm918GUrMpoigCIol&#10;rSLetsl0E8zOhuy2jf56x5Meh3m8eVOuZjuII06+d6QgXkQgkBrX9mQUvG7vr5YgfNDU6sERKvhC&#10;D6vq/KzURetOVONxE4xgCflCK+hCGAspfdOh1X7hRiTe7d1kdeBxMrKd9InldpBJFOXS6p74QqdH&#10;vOuw+dwcrILr77e6fl9/bF+ix2cTm0w+5E97pS4v5tsbEAHn8AfDbz6nQ8VNO3eg1otBQc56RlmW&#10;xSAYyNMkBbFTkCzTDGRVyv8vVD8AAAD//wMAUEsBAi0AFAAGAAgAAAAhALaDOJL+AAAA4QEAABMA&#10;AAAAAAAAAAAAAAAAAAAAAFtDb250ZW50X1R5cGVzXS54bWxQSwECLQAUAAYACAAAACEAOP0h/9YA&#10;AACUAQAACwAAAAAAAAAAAAAAAAAvAQAAX3JlbHMvLnJlbHNQSwECLQAUAAYACAAAACEAt2b/SEYE&#10;AACgCgAADgAAAAAAAAAAAAAAAAAuAgAAZHJzL2Uyb0RvYy54bWxQSwECLQAUAAYACAAAACEAgycP&#10;luAAAAAKAQAADwAAAAAAAAAAAAAAAACgBgAAZHJzL2Rvd25yZXYueG1sUEsFBgAAAAAEAAQA8wAA&#10;AK0HAAAAAA==&#10;" adj="-11796480,,5400" path="m,c30866,213167,61732,426335,81023,625033v19291,198698,34724,302870,34724,567159c115747,1456481,98385,1833623,81023,2210765e" filled="f" strokecolor="black [3213]" strokeweight="2pt">
                <v:stroke joinstyle="miter"/>
                <v:formulas/>
                <v:path arrowok="t" o:connecttype="custom" o:connectlocs="0,0;548,4117;782,7854;548,14563" o:connectangles="0,0,0,0" textboxrect="0,0,115747,2210765"/>
                <v:textbox>
                  <w:txbxContent>
                    <w:p w:rsidR="005A67D3" w:rsidRDefault="005A67D3" w:rsidP="009E322E"/>
                  </w:txbxContent>
                </v:textbox>
              </v:shape>
            </w:pict>
          </mc:Fallback>
        </mc:AlternateContent>
      </w:r>
    </w:p>
    <w:p w:rsidR="009E322E" w:rsidRDefault="00364C2C" w:rsidP="00364C2C">
      <w:pPr>
        <w:pStyle w:val="Figure"/>
        <w:rPr>
          <w:rtl/>
        </w:rPr>
      </w:pPr>
      <w:r>
        <w:rPr>
          <w:rFonts w:hint="cs"/>
          <w:noProof/>
          <w:rtl/>
          <w:lang w:val="en-US" w:eastAsia="zh-CN"/>
        </w:rPr>
        <mc:AlternateContent>
          <mc:Choice Requires="wpg">
            <w:drawing>
              <wp:anchor distT="0" distB="0" distL="114300" distR="114300" simplePos="0" relativeHeight="251671552" behindDoc="0" locked="0" layoutInCell="1" allowOverlap="1" wp14:anchorId="6DC5946C" wp14:editId="4FDBD47E">
                <wp:simplePos x="0" y="0"/>
                <wp:positionH relativeFrom="column">
                  <wp:posOffset>4204441</wp:posOffset>
                </wp:positionH>
                <wp:positionV relativeFrom="paragraph">
                  <wp:posOffset>129585</wp:posOffset>
                </wp:positionV>
                <wp:extent cx="625775" cy="610692"/>
                <wp:effectExtent l="0" t="0" r="22225" b="18415"/>
                <wp:wrapNone/>
                <wp:docPr id="1128"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75" cy="610692"/>
                          <a:chOff x="61946" y="23268"/>
                          <a:chExt cx="33123" cy="33123"/>
                        </a:xfrm>
                      </wpg:grpSpPr>
                      <wps:wsp>
                        <wps:cNvPr id="1129" name="円/楕円 42"/>
                        <wps:cNvSpPr>
                          <a:spLocks noChangeArrowheads="1"/>
                        </wps:cNvSpPr>
                        <wps:spPr bwMode="auto">
                          <a:xfrm>
                            <a:off x="61946" y="23268"/>
                            <a:ext cx="33124" cy="33124"/>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30" name="円/楕円 43"/>
                        <wps:cNvSpPr>
                          <a:spLocks noChangeArrowheads="1"/>
                        </wps:cNvSpPr>
                        <wps:spPr bwMode="auto">
                          <a:xfrm>
                            <a:off x="73468" y="26869"/>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31" name="円/楕円 44"/>
                        <wps:cNvSpPr>
                          <a:spLocks noChangeArrowheads="1"/>
                        </wps:cNvSpPr>
                        <wps:spPr bwMode="auto">
                          <a:xfrm>
                            <a:off x="66987" y="35510"/>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32" name="円/楕円 45"/>
                        <wps:cNvSpPr>
                          <a:spLocks noChangeArrowheads="1"/>
                        </wps:cNvSpPr>
                        <wps:spPr bwMode="auto">
                          <a:xfrm>
                            <a:off x="71307" y="46994"/>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33" name="円/楕円 46"/>
                        <wps:cNvSpPr>
                          <a:spLocks noChangeArrowheads="1"/>
                        </wps:cNvSpPr>
                        <wps:spPr bwMode="auto">
                          <a:xfrm>
                            <a:off x="85462" y="31909"/>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34" name="円/楕円 47"/>
                        <wps:cNvSpPr>
                          <a:spLocks noChangeArrowheads="1"/>
                        </wps:cNvSpPr>
                        <wps:spPr bwMode="auto">
                          <a:xfrm>
                            <a:off x="83840" y="46994"/>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35" name="二等辺三角形 48"/>
                        <wps:cNvSpPr>
                          <a:spLocks noChangeArrowheads="1"/>
                        </wps:cNvSpPr>
                        <wps:spPr bwMode="auto">
                          <a:xfrm>
                            <a:off x="77788" y="37310"/>
                            <a:ext cx="1440" cy="4680"/>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5A67D3" w:rsidRDefault="005A67D3" w:rsidP="009E322E"/>
                          </w:txbxContent>
                        </wps:txbx>
                        <wps:bodyPr rot="0" vert="horz" wrap="square" lIns="91440" tIns="45720" rIns="91440" bIns="45720" anchor="ctr" anchorCtr="0" upright="1">
                          <a:noAutofit/>
                        </wps:bodyPr>
                      </wps:wsp>
                    </wpg:wgp>
                  </a:graphicData>
                </a:graphic>
              </wp:anchor>
            </w:drawing>
          </mc:Choice>
          <mc:Fallback>
            <w:pict>
              <v:group id="グループ化 16" o:spid="_x0000_s1083" style="position:absolute;left:0;text-align:left;margin-left:331.05pt;margin-top:10.2pt;width:49.25pt;height:48.1pt;z-index:251671552" coordorigin="61946,23268" coordsize="33123,3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ZcbAQAAHgZAAAOAAAAZHJzL2Uyb0RvYy54bWzsWd2O3DQUvkfiHSzfszP5z0Q7W1Xb7gqp&#10;QKXCA3gS5weSONiezSyXrFSpUq+QgHskxAVC4hJVwMtsF/oYHNtJJp3ZttLCTgHNzYwdx/b58Xd8&#10;zpfDO6uqRGeUi4LVc2wdTDGidcySos7m+JOPT94LMRKS1AkpWU3n+JwKfOfo3XcO2yaiNstZmVCO&#10;YJFaRG0zx7mUTTSZiDinFREHrKE1DKaMV0RCl2eThJMWVq/KiT2d+pOW8aThLKZCwNN7ZhAf6fXT&#10;lMbyozQVVKJyjkE2qX+5/l2o38nRIYkyTpq8iDsxyA2kqEhRw6bDUveIJGjJi62lqiLmTLBUHsSs&#10;mrA0LWKqdQBtrOmGNqecLRutSxa1WTOYCUy7YacbLxt/ePaQoyIB31k2+KomFXjp8sufLy9+vLz4&#10;9fLi26un3yDLV4ZqmyyC909586h5yI220HzA4s8EDE82x1U/My+jRfsBS2BlspRMG2qV8kotASZA&#10;K+2P88EfdCVRDA992wsCD6MYhnxr6s9s4684B6eqWb41c32MYNh2bD/sR+938x3Hsh0z3TSVlCQy&#10;W2txO/GUbnD+xNrE4u+Z+FFOGqo9J5TJ1iae9Sa+evx48sf3X8MfcrVaSgJ4tTetMHZFNTvOSZ3R&#10;u5yzNqckAckspSjIP5qgOgK88kZDX2uy3uDKSu7aYK7epzcYiRou5CllFVKNOaZlWTRCqUkicvZA&#10;SGPe/i31WLCySE6KstQdBWp6XHJ0RgCOcmXrqeWygrNhngGkpx0o4bHysn417B+D93RoUKtoX760&#10;QVmjFo6C58Iab9qdxDGtpbUlgddvRaKxBFqo1+8OYK0TMAGJlJvud21JitK0YXZZd35TrjKHTq4W&#10;K40/T2+h/LhgyTl4kjMTrSC6QiNn/AuMWohUcyw+XxJOMSrfr+E0zCzXVaFNd1wvsKHDxyOL8Qip&#10;Y1hqjmPJMTKdY2kC4rLhRZbDXsYqNbsLYE0L7da1XJ0GAJadocYBjUxgGqPGUafzJRDA4bgl1ASO&#10;C+FFBxo/9Gcm0Ayo8eG86SDlqJZBQR/fejT8M5h51am11Km9Bji9NP9b0OhQuD6ce9AMV41jXQca&#10;HdJ3BBrfn4WBBo3jeVZ3Oveg6e+6t3fTDPnG/qYxOdQaNPZ1oPF2edNYztSAxvVnMw1XEo1AA6hW&#10;6fD+ptl1ejakG3vQbIIGaqzt9KwrGUc1yu2lZ6Hn+oBchQtrNn1demZKp9sqafbpmU7I1zXNkG7s&#10;QbMJGqizt0ET7PCmCZ1Q1Y0Amv1N868iAoZ0Yw+aTdAAGWhA8/zZ0z9/evLi92fPf3ny4oevrn77&#10;Drma/9tRbRMEQWgIASdwNmsbQ8ioNA1Yg74EfwUhIHkB9F45YtEUg5QlnZ4k+RSjtCqBlAYmDA01&#10;A5BJmnLTJFjPMWxzXjxbDHzbyUnPESgea0zMvV3erCokfAIoi2qONc/XFYo3I9GGrOO/gx1NRAO9&#10;r13ZfYpQ3w/GfU26rT+YHP0FAAD//wMAUEsDBBQABgAIAAAAIQA3BbHZ4AAAAAoBAAAPAAAAZHJz&#10;L2Rvd25yZXYueG1sTI9RS8MwFIXfBf9DuIJvLknVKLXpGEN9GoKbIL5lzV1b1iSlydru33t9co+X&#10;83HOd4vl7Do24hDb4DXIhQCGvgq29bWGr93b3TOwmIy3pgseNZwxwrK8vipMbsPkP3HcpppRiY+5&#10;0dCk1Oecx6pBZ+Ii9OgpO4TBmUTnUHM7mInKXcczIRR3pvW00Jge1w1Wx+3JaXifzLS6l6/j5nhY&#10;n392jx/fG4la397MqxdgCef0D8OfPqlDSU77cPI2sk6DUpkkVEMmHoAR8KSEArYnUioFvCz45Qvl&#10;LwAAAP//AwBQSwECLQAUAAYACAAAACEAtoM4kv4AAADhAQAAEwAAAAAAAAAAAAAAAAAAAAAAW0Nv&#10;bnRlbnRfVHlwZXNdLnhtbFBLAQItABQABgAIAAAAIQA4/SH/1gAAAJQBAAALAAAAAAAAAAAAAAAA&#10;AC8BAABfcmVscy8ucmVsc1BLAQItABQABgAIAAAAIQAR5lZcbAQAAHgZAAAOAAAAAAAAAAAAAAAA&#10;AC4CAABkcnMvZTJvRG9jLnhtbFBLAQItABQABgAIAAAAIQA3BbHZ4AAAAAoBAAAPAAAAAAAAAAAA&#10;AAAAAMYGAABkcnMvZG93bnJldi54bWxQSwUGAAAAAAQABADzAAAA0wcAAAAA&#10;">
                <v:oval id="円/楕円 42" o:spid="_x0000_s1084" style="position:absolute;left:61946;top:23268;width:33124;height:3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RPcQA&#10;AADdAAAADwAAAGRycy9kb3ducmV2LnhtbERPTWvCQBC9F/wPyxS81U0EG01dRYRCLi0a9dDbkJ0m&#10;0exsyG6T9N+7hYK3ebzPWW9H04ieOldbVhDPIhDEhdU1lwrOp/eXJQjnkTU2lknBLznYbiZPa0y1&#10;HfhIfe5LEULYpaig8r5NpXRFRQbdzLbEgfu2nUEfYFdK3eEQwk0j51H0Kg3WHBoqbGlfUXHLf4yC&#10;xeeBPvZ4PWbXfIVf5zi5XG6JUtPncfcGwtPoH+J/d6bD/Hi+gr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kT3EAAAA3QAAAA8AAAAAAAAAAAAAAAAAmAIAAGRycy9k&#10;b3ducmV2LnhtbFBLBQYAAAAABAAEAPUAAACJAwAAAAA=&#10;" fillcolor="#c6d9f1 [671]" strokecolor="#243f60 [1604]" strokeweight="2pt">
                  <v:textbox>
                    <w:txbxContent>
                      <w:p w:rsidR="005A67D3" w:rsidRDefault="005A67D3" w:rsidP="009E322E"/>
                    </w:txbxContent>
                  </v:textbox>
                </v:oval>
                <v:oval id="円/楕円 43" o:spid="_x0000_s1085" style="position:absolute;left:73468;top:26869;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MSMgA&#10;AADdAAAADwAAAGRycy9kb3ducmV2LnhtbESPQWvCQBCF74X+h2UKvRTd2EKQ1FVUUAr1UG2lehuy&#10;YxLMzsbsVtP+eudQ8DbDe/PeN6NJ52p1pjZUng0M+gko4tzbigsDX5+L3hBUiMgWa89k4JcCTMb3&#10;dyPMrL/wms6bWCgJ4ZChgTLGJtM65CU5DH3fEIt28K3DKGtbaNviRcJdrZ+TJNUOK5aGEhual5Qf&#10;Nz/OwD5dzDj9eH/iVRPy2XaJf7vvkzGPD930FVSkLt7M/9dvVvAHL8Iv38gIe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YxIyAAAAN0AAAAPAAAAAAAAAAAAAAAAAJgCAABk&#10;cnMvZG93bnJldi54bWxQSwUGAAAAAAQABAD1AAAAjQMAAAAA&#10;" fillcolor="#4f81bd [3204]" strokecolor="#243f60 [1604]" strokeweight="2pt">
                  <v:textbox>
                    <w:txbxContent>
                      <w:p w:rsidR="005A67D3" w:rsidRDefault="005A67D3" w:rsidP="009E322E"/>
                    </w:txbxContent>
                  </v:textbox>
                </v:oval>
                <v:oval id="円/楕円 44" o:spid="_x0000_s1086" style="position:absolute;left:66987;top:3551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p08UA&#10;AADdAAAADwAAAGRycy9kb3ducmV2LnhtbERPTWvCQBC9C/6HZYRepNmkhSDRVVSwFNqD1ZbqbciO&#10;STA7G7NbTf31XaHgbR7vcyazztTiTK2rLCtIohgEcW51xYWCz+3qcQTCeWSNtWVS8EsOZtN+b4KZ&#10;thf+oPPGFyKEsMtQQel9k0np8pIMusg2xIE72NagD7AtpG7xEsJNLZ/iOJUGKw4NJTa0LCk/bn6M&#10;gn26WnC6fhvye+PyxdcLXnffJ6UeBt18DMJT5+/if/erDvOT5wRu34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SnTxQAAAN0AAAAPAAAAAAAAAAAAAAAAAJgCAABkcnMv&#10;ZG93bnJldi54bWxQSwUGAAAAAAQABAD1AAAAigMAAAAA&#10;" fillcolor="#4f81bd [3204]" strokecolor="#243f60 [1604]" strokeweight="2pt">
                  <v:textbox>
                    <w:txbxContent>
                      <w:p w:rsidR="005A67D3" w:rsidRDefault="005A67D3" w:rsidP="009E322E"/>
                    </w:txbxContent>
                  </v:textbox>
                </v:oval>
                <v:oval id="円/楕円 45" o:spid="_x0000_s1087" style="position:absolute;left:71307;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pMUA&#10;AADdAAAADwAAAGRycy9kb3ducmV2LnhtbERPS2vCQBC+F/wPywheim5UCCW6ihYsQj3UF+ptyI5J&#10;aHY2zW41+utdodDbfHzPGU8bU4oL1a6wrKDfi0AQp1YXnCnYbRfdNxDOI2ssLZOCGzmYTlovY0y0&#10;vfKaLhufiRDCLkEFufdVIqVLczLoerYiDtzZ1gZ9gHUmdY3XEG5KOYiiWBosODTkWNF7Tun35tco&#10;OMWLOcdfn6+8qlw633/g/Xj4UarTbmYjEJ4a/y/+cy91mN8fDuD5TT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7ekxQAAAN0AAAAPAAAAAAAAAAAAAAAAAJgCAABkcnMv&#10;ZG93bnJldi54bWxQSwUGAAAAAAQABAD1AAAAigMAAAAA&#10;" fillcolor="#4f81bd [3204]" strokecolor="#243f60 [1604]" strokeweight="2pt">
                  <v:textbox>
                    <w:txbxContent>
                      <w:p w:rsidR="005A67D3" w:rsidRDefault="005A67D3" w:rsidP="009E322E"/>
                    </w:txbxContent>
                  </v:textbox>
                </v:oval>
                <v:oval id="円/楕円 46" o:spid="_x0000_s1088" style="position:absolute;left:85462;top:31909;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SP8UA&#10;AADdAAAADwAAAGRycy9kb3ducmV2LnhtbERPS2vCQBC+F/oflin0UnRjhSDRVVRQCnqoL9TbkB2T&#10;YHY2Zrca++vdgtDbfHzPGYwaU4or1a6wrKDTjkAQp1YXnCnYbmatHgjnkTWWlknBnRyMhq8vA0y0&#10;vfGKrmufiRDCLkEFufdVIqVLczLo2rYiDtzJ1gZ9gHUmdY23EG5K+RlFsTRYcGjIsaJpTul5/WMU&#10;HOPZhOPvxQcvK5dOdnP8PewvSr2/NeM+CE+N/xc/3V86zO90u/D3TThBD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xI/xQAAAN0AAAAPAAAAAAAAAAAAAAAAAJgCAABkcnMv&#10;ZG93bnJldi54bWxQSwUGAAAAAAQABAD1AAAAigMAAAAA&#10;" fillcolor="#4f81bd [3204]" strokecolor="#243f60 [1604]" strokeweight="2pt">
                  <v:textbox>
                    <w:txbxContent>
                      <w:p w:rsidR="005A67D3" w:rsidRDefault="005A67D3" w:rsidP="009E322E"/>
                    </w:txbxContent>
                  </v:textbox>
                </v:oval>
                <v:oval id="円/楕円 47" o:spid="_x0000_s1089" style="position:absolute;left:83840;top:46994;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KS8YA&#10;AADdAAAADwAAAGRycy9kb3ducmV2LnhtbERPS2vCQBC+C/0PyxS8iG60JUh0lVpQhHrw0dJ6G7LT&#10;JDQ7G7OrRn+9KxS8zcf3nPG0MaU4Ue0Kywr6vQgEcWp1wZmCz928OwThPLLG0jIpuJCD6eSpNcZE&#10;2zNv6LT1mQgh7BJUkHtfJVK6NCeDrmcr4sD92tqgD7DOpK7xHMJNKQdRFEuDBYeGHCt6zyn92x6N&#10;gn08n3G8/ujwqnLp7GuB15/vg1Lt5+ZtBMJT4x/if/dSh/n9l1e4fxNO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qKS8YAAADdAAAADwAAAAAAAAAAAAAAAACYAgAAZHJz&#10;L2Rvd25yZXYueG1sUEsFBgAAAAAEAAQA9QAAAIsDAAAAAA==&#10;" fillcolor="#4f81bd [3204]" strokecolor="#243f60 [1604]" strokeweight="2pt">
                  <v:textbox>
                    <w:txbxContent>
                      <w:p w:rsidR="005A67D3" w:rsidRDefault="005A67D3" w:rsidP="009E322E"/>
                    </w:txbxContent>
                  </v:textbox>
                </v:oval>
                <v:shape id="二等辺三角形 48" o:spid="_x0000_s1090" type="#_x0000_t5" style="position:absolute;left:77788;top:37310;width:14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BqsMA&#10;AADdAAAADwAAAGRycy9kb3ducmV2LnhtbERPTWsCMRC9C/6HMEJvml2l0q5G0YKleCi49tLbsBk3&#10;i5vJmqS6/feNUPA2j/c5y3VvW3ElHxrHCvJJBoK4crrhWsHXcTd+AREissbWMSn4pQDr1XCwxEK7&#10;Gx/oWsZapBAOBSowMXaFlKEyZDFMXEecuJPzFmOCvpba4y2F21ZOs2wuLTacGgx29GaoOpc/VkF5&#10;zGff735rMq33r43bXcr+86LU06jfLEBE6uND/O/+0Gl+PnuG+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DBqsMAAADdAAAADwAAAAAAAAAAAAAAAACYAgAAZHJzL2Rv&#10;d25yZXYueG1sUEsFBgAAAAAEAAQA9QAAAIgDAAAAAA==&#10;" fillcolor="red" strokecolor="#243f60 [1604]" strokeweight="2pt">
                  <v:textbox>
                    <w:txbxContent>
                      <w:p w:rsidR="005A67D3" w:rsidRDefault="005A67D3" w:rsidP="009E322E"/>
                    </w:txbxContent>
                  </v:textbox>
                </v:shape>
              </v:group>
            </w:pict>
          </mc:Fallback>
        </mc:AlternateContent>
      </w:r>
      <w:r>
        <w:rPr>
          <w:rFonts w:hint="cs"/>
          <w:noProof/>
          <w:rtl/>
          <w:lang w:val="en-US" w:eastAsia="zh-CN"/>
        </w:rPr>
        <mc:AlternateContent>
          <mc:Choice Requires="wpg">
            <w:drawing>
              <wp:anchor distT="0" distB="0" distL="114300" distR="114300" simplePos="0" relativeHeight="251676672" behindDoc="0" locked="0" layoutInCell="1" allowOverlap="1" wp14:anchorId="3F73CDB3" wp14:editId="58A72364">
                <wp:simplePos x="0" y="0"/>
                <wp:positionH relativeFrom="column">
                  <wp:posOffset>3095463</wp:posOffset>
                </wp:positionH>
                <wp:positionV relativeFrom="paragraph">
                  <wp:posOffset>169441</wp:posOffset>
                </wp:positionV>
                <wp:extent cx="625707" cy="610692"/>
                <wp:effectExtent l="0" t="0" r="22225" b="18415"/>
                <wp:wrapNone/>
                <wp:docPr id="1147"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07" cy="610692"/>
                          <a:chOff x="45518" y="23873"/>
                          <a:chExt cx="33123" cy="33123"/>
                        </a:xfrm>
                      </wpg:grpSpPr>
                      <wps:wsp>
                        <wps:cNvPr id="1148" name="円/楕円 28"/>
                        <wps:cNvSpPr>
                          <a:spLocks noChangeArrowheads="1"/>
                        </wps:cNvSpPr>
                        <wps:spPr bwMode="auto">
                          <a:xfrm>
                            <a:off x="45518" y="23873"/>
                            <a:ext cx="33123" cy="33123"/>
                          </a:xfrm>
                          <a:prstGeom prst="ellipse">
                            <a:avLst/>
                          </a:prstGeom>
                          <a:solidFill>
                            <a:schemeClr val="tx2">
                              <a:lumMod val="20000"/>
                              <a:lumOff val="8000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49" name="円/楕円 29"/>
                        <wps:cNvSpPr>
                          <a:spLocks noChangeArrowheads="1"/>
                        </wps:cNvSpPr>
                        <wps:spPr bwMode="auto">
                          <a:xfrm>
                            <a:off x="57039" y="27473"/>
                            <a:ext cx="3600" cy="3601"/>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50" name="円/楕円 30"/>
                        <wps:cNvSpPr>
                          <a:spLocks noChangeArrowheads="1"/>
                        </wps:cNvSpPr>
                        <wps:spPr bwMode="auto">
                          <a:xfrm>
                            <a:off x="50558" y="36114"/>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51" name="円/楕円 31"/>
                        <wps:cNvSpPr>
                          <a:spLocks noChangeArrowheads="1"/>
                        </wps:cNvSpPr>
                        <wps:spPr bwMode="auto">
                          <a:xfrm>
                            <a:off x="54879" y="47598"/>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52" name="円/楕円 32"/>
                        <wps:cNvSpPr>
                          <a:spLocks noChangeArrowheads="1"/>
                        </wps:cNvSpPr>
                        <wps:spPr bwMode="auto">
                          <a:xfrm>
                            <a:off x="69033" y="32514"/>
                            <a:ext cx="3600"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53" name="円/楕円 33"/>
                        <wps:cNvSpPr>
                          <a:spLocks noChangeArrowheads="1"/>
                        </wps:cNvSpPr>
                        <wps:spPr bwMode="auto">
                          <a:xfrm>
                            <a:off x="67411" y="47598"/>
                            <a:ext cx="3601" cy="3600"/>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5A67D3" w:rsidRDefault="005A67D3" w:rsidP="009E322E"/>
                          </w:txbxContent>
                        </wps:txbx>
                        <wps:bodyPr rot="0" vert="horz" wrap="square" lIns="91440" tIns="45720" rIns="91440" bIns="45720" anchor="ctr" anchorCtr="0" upright="1">
                          <a:noAutofit/>
                        </wps:bodyPr>
                      </wps:wsp>
                      <wps:wsp>
                        <wps:cNvPr id="1154" name="二等辺三角形 34"/>
                        <wps:cNvSpPr>
                          <a:spLocks noChangeArrowheads="1"/>
                        </wps:cNvSpPr>
                        <wps:spPr bwMode="auto">
                          <a:xfrm>
                            <a:off x="61359" y="37914"/>
                            <a:ext cx="1440" cy="4681"/>
                          </a:xfrm>
                          <a:prstGeom prst="triangle">
                            <a:avLst>
                              <a:gd name="adj" fmla="val 50000"/>
                            </a:avLst>
                          </a:prstGeom>
                          <a:solidFill>
                            <a:srgbClr val="FF0000"/>
                          </a:solidFill>
                          <a:ln w="25400">
                            <a:solidFill>
                              <a:schemeClr val="accent1">
                                <a:lumMod val="50000"/>
                                <a:lumOff val="0"/>
                              </a:schemeClr>
                            </a:solidFill>
                            <a:miter lim="800000"/>
                            <a:headEnd/>
                            <a:tailEnd/>
                          </a:ln>
                        </wps:spPr>
                        <wps:txbx>
                          <w:txbxContent>
                            <w:p w:rsidR="005A67D3" w:rsidRDefault="005A67D3" w:rsidP="009E322E"/>
                          </w:txbxContent>
                        </wps:txbx>
                        <wps:bodyPr rot="0" vert="horz" wrap="square" lIns="91440" tIns="45720" rIns="91440" bIns="45720" anchor="ctr" anchorCtr="0" upright="1">
                          <a:noAutofit/>
                        </wps:bodyPr>
                      </wps:wsp>
                    </wpg:wgp>
                  </a:graphicData>
                </a:graphic>
              </wp:anchor>
            </w:drawing>
          </mc:Choice>
          <mc:Fallback>
            <w:pict>
              <v:group id="グループ化 21" o:spid="_x0000_s1091" style="position:absolute;left:0;text-align:left;margin-left:243.75pt;margin-top:13.35pt;width:49.25pt;height:48.1pt;z-index:251676672" coordorigin="45518,23873" coordsize="33123,3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GEcwQAAHgZAAAOAAAAZHJzL2Uyb0RvYy54bWzsWc1uGzcQvhfoOxB7r7X/Ky0sB4ETGwXS&#10;NkCaB6B2uT8td7klKa/cYwwECJBTgSb3AkUPQYAci6Dtyzhu8xgdktqVLKl24cQ2Augi8Z/Dmflm&#10;yG9378wqio4IFyWrx5azY1uI1AlLyzofW4+/PfhiaCEhcZ1iymoyto6JsO7sff7ZbtvExGUFoynh&#10;CBapRdw2Y6uQsokHA5EUpMJihzWkhs6M8QpLqPJ8kHLcwuoVHbi2HQ5axtOGs4QIAa33TKe1p9fP&#10;MpLIb7JMEIno2ALZpP7l+neifgd7uzjOOW6KMpmLga8gRYXLGjbtl7qHJUZTXq4tVZUJZ4Jlcidh&#10;1YBlWZkQfQY4jWOvnOaQs2mjz5LHbd70agLVrujpyssmXx895KhMwXaOH1moxhVY6fTJm9OTV6cn&#10;f5yevDx7/gK5jlJU2+QxjD/kzaPmITenheIDlnwvoHuw2q/quRmMJu1XLIWV8VQyrahZxiu1BKgA&#10;zbQ9jnt7kJlECTSGbhDZIFQCXaFjhyPX2CspwKhqlh8EDjgYdLveMPK63vvz+Z7nuJ6ZbopKShyb&#10;rbW4c/HU2cD/xELF4sNU/KjADdGWE0plCxWDtEbFZ0+fDv7+9Wf4Q+7QaFcP7VQrjF5RzfYLXOfk&#10;LuesLQhOQTJtDZB/aYKqCLDKpYreqLJO4RcqDMcNF/KQsAqpwtgilJaNUMfEMT56IKRRbzdKNQtG&#10;y/SgpFRXFKjJPuXoCAMc5czVU+m0At8wbQBpew5KaFZW1kOHXTNYT4cGtYq25bkNaI1acIXAhzUu&#10;2x0nCamlsyZB0G2F42UJtFAX7w5grVNQAY6Vme7PyxKX1JRhNq01TIypjNPJ2WSm8RdEnRdMWHoM&#10;luTMRCuIrlAoGP/RQi1EqrElfphiTixEv6zBG0aO76vQpit+ELlQ4cs9k+UeXCew1NhKJLeQqexL&#10;ExCnDS/zAvYyWqnZXQBrVmqzKv8ycs1PAGC5OdSMNqFm1OkLAHbdqIE45IEQKtBEfhdoetSE4G86&#10;SHmhbbDZBZmPjZn/8lpHee0G4PwPt/20QdOHzi1oTDroU00APrmWajztEOcyB0TUa0o1gR0EJjt7&#10;IdwuTHbeCJrOTbtLQZdCPk6i2YJGX28WmaaPnFvQrILG2QSa+e136bp1jaDxh5HJNH4UjHR4w/EW&#10;NN0F8dauZ2EfObegWQWNuwk0+q12Q5kmHNkePPTgeua5wTbTqDfI8qvq9kDTR84taFZBA/66fj3T&#10;FMZNgSbyHUh3AJrNmQb6FPECb5rt9WxBRXS6uICG+EAiIOwj5xY0q6DxO9C8e/v8n9fP3v/19t3v&#10;z97/9tPZn78gT78wbgo8jheYa5oXAQFz/m1jCBkFHj8cXkIISF4CvUeXWDQVvfN0Hhxw+p2FsooC&#10;KQ1MGOojOZBJmnLTJFj3XFrnvHg+6fm2g4OOI1A81jIxd7sUQFVK+ARAy2psaZ5PI+yKJFrYB9BP&#10;BzuaiAZ6X5ty/ilCfT9YrmvSbfHBZO9fAAAA//8DAFBLAwQUAAYACAAAACEAyXUxxOAAAAAKAQAA&#10;DwAAAGRycy9kb3ducmV2LnhtbEyPQU+DQBCF7yb+h82YeLMLKBSRpWka9dQ0sTUx3qYwBVJ2l7Bb&#10;oP/e8aTHyXx573v5atadGGlwrTUKwkUAgkxpq9bUCj4Pbw8pCOfRVNhZQwqu5GBV3N7kmFV2Mh80&#10;7n0tOMS4DBU03veZlK5sSKNb2J4M/0520Oj5HGpZDThxuO5kFASJ1Ngabmiwp01D5Xl/0QreJ5zW&#10;j+HruD2fNtfvQ7z72oak1P3dvH4B4Wn2fzD86rM6FOx0tBdTOdEpeEqXMaMKomQJgoE4TXjckcko&#10;egZZ5PL/hOIHAAD//wMAUEsBAi0AFAAGAAgAAAAhALaDOJL+AAAA4QEAABMAAAAAAAAAAAAAAAAA&#10;AAAAAFtDb250ZW50X1R5cGVzXS54bWxQSwECLQAUAAYACAAAACEAOP0h/9YAAACUAQAACwAAAAAA&#10;AAAAAAAAAAAvAQAAX3JlbHMvLnJlbHNQSwECLQAUAAYACAAAACEA5fNBhHMEAAB4GQAADgAAAAAA&#10;AAAAAAAAAAAuAgAAZHJzL2Uyb0RvYy54bWxQSwECLQAUAAYACAAAACEAyXUxxOAAAAAKAQAADwAA&#10;AAAAAAAAAAAAAADNBgAAZHJzL2Rvd25yZXYueG1sUEsFBgAAAAAEAAQA8wAAANoHAAAAAA==&#10;">
                <v:oval id="円/楕円 28" o:spid="_x0000_s1092" style="position:absolute;left:45518;top:23873;width:33123;height:3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RBscA&#10;AADdAAAADwAAAGRycy9kb3ducmV2LnhtbESPQWvCQBCF74X+h2UKvdVNxNYaXUUEwUtLTfXgbciO&#10;STQ7G7Jbjf/eORS8zfDevPfNbNG7Rl2oC7VnA+kgAUVceFtzaWD3u377BBUissXGMxm4UYDF/Plp&#10;hpn1V97SJY+lkhAOGRqoYmwzrUNRkcMw8C2xaEffOYyydqW2HV4l3DV6mCQf2mHN0lBhS6uKinP+&#10;5wy8f//Q1wpP280pn+Bhl473+/PYmNeXfjkFFamPD/P/9cYKfjoSXP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10QbHAAAA3QAAAA8AAAAAAAAAAAAAAAAAmAIAAGRy&#10;cy9kb3ducmV2LnhtbFBLBQYAAAAABAAEAPUAAACMAwAAAAA=&#10;" fillcolor="#c6d9f1 [671]" strokecolor="#243f60 [1604]" strokeweight="2pt">
                  <v:textbox>
                    <w:txbxContent>
                      <w:p w:rsidR="005A67D3" w:rsidRDefault="005A67D3" w:rsidP="009E322E"/>
                    </w:txbxContent>
                  </v:textbox>
                </v:oval>
                <v:oval id="円/楕円 29" o:spid="_x0000_s1093" style="position:absolute;left:57039;top:27473;width:360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WqMYA&#10;AADdAAAADwAAAGRycy9kb3ducmV2LnhtbERPTWvCQBC9C/0PyxS8iNlYJNToKiooBXuw2tJ6G7LT&#10;JDQ7m2ZXjf76rlDwNo/3OZNZaypxosaVlhUMohgEcWZ1ybmC9/2q/wzCeWSNlWVScCEHs+lDZ4Kp&#10;tmd+o9PO5yKEsEtRQeF9nUrpsoIMusjWxIH7to1BH2CTS93gOYSbSj7FcSINlhwaCqxpWVD2szsa&#10;BYdkteBku+nxa+2yxccar1+fv0p1H9v5GISn1t/F/+4XHeYPhiO4fR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1WqMYAAADdAAAADwAAAAAAAAAAAAAAAACYAgAAZHJz&#10;L2Rvd25yZXYueG1sUEsFBgAAAAAEAAQA9QAAAIsDAAAAAA==&#10;" fillcolor="#4f81bd [3204]" strokecolor="#243f60 [1604]" strokeweight="2pt">
                  <v:textbox>
                    <w:txbxContent>
                      <w:p w:rsidR="005A67D3" w:rsidRDefault="005A67D3" w:rsidP="009E322E"/>
                    </w:txbxContent>
                  </v:textbox>
                </v:oval>
                <v:oval id="円/楕円 30" o:spid="_x0000_s1094" style="position:absolute;left:50558;top:361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p6MgA&#10;AADdAAAADwAAAGRycy9kb3ducmV2LnhtbESPQWvCQBCF74X+h2UKvRTdWGiQ1FVUUAr1UG2lehuy&#10;YxLMzsbsVtP+eudQ8DbDe/PeN6NJ52p1pjZUng0M+gko4tzbigsDX5+L3hBUiMgWa89k4JcCTMb3&#10;dyPMrL/wms6bWCgJ4ZChgTLGJtM65CU5DH3fEIt28K3DKGtbaNviRcJdrZ+TJNUOK5aGEhual5Qf&#10;Nz/OwD5dzDj9eH/iVRPy2XaJf7vvkzGPD930FVSkLt7M/9dvVvAHL8Iv38gIe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mnoyAAAAN0AAAAPAAAAAAAAAAAAAAAAAJgCAABk&#10;cnMvZG93bnJldi54bWxQSwUGAAAAAAQABAD1AAAAjQMAAAAA&#10;" fillcolor="#4f81bd [3204]" strokecolor="#243f60 [1604]" strokeweight="2pt">
                  <v:textbox>
                    <w:txbxContent>
                      <w:p w:rsidR="005A67D3" w:rsidRDefault="005A67D3" w:rsidP="009E322E"/>
                    </w:txbxContent>
                  </v:textbox>
                </v:oval>
                <v:oval id="円/楕円 31" o:spid="_x0000_s1095" style="position:absolute;left:54879;top:47598;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Mc8UA&#10;AADdAAAADwAAAGRycy9kb3ducmV2LnhtbERPTWvCQBC9C/6HZYRepNmk0CDRVVSwFNqD1ZbqbciO&#10;STA7G7NbTf31XaHgbR7vcyazztTiTK2rLCtIohgEcW51xYWCz+3qcQTCeWSNtWVS8EsOZtN+b4KZ&#10;thf+oPPGFyKEsMtQQel9k0np8pIMusg2xIE72NagD7AtpG7xEsJNLZ/iOJUGKw4NJTa0LCk/bn6M&#10;gn26WnC6fhvye+PyxdcLXnffJ6UeBt18DMJT5+/if/erDvOT5wRu34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sxzxQAAAN0AAAAPAAAAAAAAAAAAAAAAAJgCAABkcnMv&#10;ZG93bnJldi54bWxQSwUGAAAAAAQABAD1AAAAigMAAAAA&#10;" fillcolor="#4f81bd [3204]" strokecolor="#243f60 [1604]" strokeweight="2pt">
                  <v:textbox>
                    <w:txbxContent>
                      <w:p w:rsidR="005A67D3" w:rsidRDefault="005A67D3" w:rsidP="009E322E"/>
                    </w:txbxContent>
                  </v:textbox>
                </v:oval>
                <v:oval id="円/楕円 32" o:spid="_x0000_s1096" style="position:absolute;left:69033;top:32514;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SBMUA&#10;AADdAAAADwAAAGRycy9kb3ducmV2LnhtbERPS2vCQBC+F/wPywheim4UDCW6ihYsQj3UF+ptyI5J&#10;aHY2zW41+utdodDbfHzPGU8bU4oL1a6wrKDfi0AQp1YXnCnYbRfdNxDOI2ssLZOCGzmYTlovY0y0&#10;vfKaLhufiRDCLkEFufdVIqVLczLoerYiDtzZ1gZ9gHUmdY3XEG5KOYiiWBosODTkWNF7Tun35tco&#10;OMWLOcdfn6+8qlw633/g/Xj4UarTbmYjEJ4a/y/+cy91mN8fDuD5TT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FIExQAAAN0AAAAPAAAAAAAAAAAAAAAAAJgCAABkcnMv&#10;ZG93bnJldi54bWxQSwUGAAAAAAQABAD1AAAAigMAAAAA&#10;" fillcolor="#4f81bd [3204]" strokecolor="#243f60 [1604]" strokeweight="2pt">
                  <v:textbox>
                    <w:txbxContent>
                      <w:p w:rsidR="005A67D3" w:rsidRDefault="005A67D3" w:rsidP="009E322E"/>
                    </w:txbxContent>
                  </v:textbox>
                </v:oval>
                <v:oval id="円/楕円 33" o:spid="_x0000_s1097" style="position:absolute;left:67411;top:47598;width:3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3n8YA&#10;AADdAAAADwAAAGRycy9kb3ducmV2LnhtbERPS2vCQBC+C/0PyxS8iG60NEh0lVpQhHrw0dJ6G7LT&#10;JDQ7G7OrRn+9KxS8zcf3nPG0MaU4Ue0Kywr6vQgEcWp1wZmCz928OwThPLLG0jIpuJCD6eSpNcZE&#10;2zNv6LT1mQgh7BJUkHtfJVK6NCeDrmcr4sD92tqgD7DOpK7xHMJNKQdRFEuDBYeGHCt6zyn92x6N&#10;gn08n3G8/ujwqnLp7GuB15/vg1Lt5+ZtBMJT4x/if/dSh/n91xe4fxNO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z3n8YAAADdAAAADwAAAAAAAAAAAAAAAACYAgAAZHJz&#10;L2Rvd25yZXYueG1sUEsFBgAAAAAEAAQA9QAAAIsDAAAAAA==&#10;" fillcolor="#4f81bd [3204]" strokecolor="#243f60 [1604]" strokeweight="2pt">
                  <v:textbox>
                    <w:txbxContent>
                      <w:p w:rsidR="005A67D3" w:rsidRDefault="005A67D3" w:rsidP="009E322E"/>
                    </w:txbxContent>
                  </v:textbox>
                </v:oval>
                <v:shape id="二等辺三角形 34" o:spid="_x0000_s1098" type="#_x0000_t5" style="position:absolute;left:61359;top:37914;width:1440;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BkcQA&#10;AADdAAAADwAAAGRycy9kb3ducmV2LnhtbERPTWsCMRC9F/wPYYTeanZrK7oaxQqW0oPg6sXbsBk3&#10;i5vJmqS6/fdNodDbPN7nLFa9bcWNfGgcK8hHGQjiyumGawXHw/ZpCiJEZI2tY1LwTQFWy8HDAgvt&#10;7rynWxlrkUI4FKjAxNgVUobKkMUwch1x4s7OW4wJ+lpqj/cUblv5nGUTabHh1GCwo42h6lJ+WQXl&#10;IR+f3v2bybT+nDVuey373VWpx2G/noOI1Md/8Z/7Q6f5+esL/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gZHEAAAA3QAAAA8AAAAAAAAAAAAAAAAAmAIAAGRycy9k&#10;b3ducmV2LnhtbFBLBQYAAAAABAAEAPUAAACJAwAAAAA=&#10;" fillcolor="red" strokecolor="#243f60 [1604]" strokeweight="2pt">
                  <v:textbox>
                    <w:txbxContent>
                      <w:p w:rsidR="005A67D3" w:rsidRDefault="005A67D3" w:rsidP="009E322E"/>
                    </w:txbxContent>
                  </v:textbox>
                </v:shape>
              </v:group>
            </w:pict>
          </mc:Fallback>
        </mc:AlternateContent>
      </w:r>
      <w:r>
        <w:rPr>
          <w:rFonts w:hint="cs"/>
          <w:noProof/>
          <w:rtl/>
          <w:lang w:val="en-US" w:eastAsia="zh-CN"/>
        </w:rPr>
        <mc:AlternateContent>
          <mc:Choice Requires="wps">
            <w:drawing>
              <wp:anchor distT="0" distB="0" distL="114300" distR="114300" simplePos="0" relativeHeight="251677696" behindDoc="0" locked="0" layoutInCell="1" allowOverlap="1" wp14:anchorId="1F05AB97" wp14:editId="379487CA">
                <wp:simplePos x="0" y="0"/>
                <wp:positionH relativeFrom="column">
                  <wp:posOffset>1335194</wp:posOffset>
                </wp:positionH>
                <wp:positionV relativeFrom="paragraph">
                  <wp:posOffset>110941</wp:posOffset>
                </wp:positionV>
                <wp:extent cx="148242" cy="1361705"/>
                <wp:effectExtent l="0" t="0" r="23495" b="10160"/>
                <wp:wrapNone/>
                <wp:docPr id="1155" name="フリーフォーム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242" cy="1361705"/>
                        </a:xfrm>
                        <a:custGeom>
                          <a:avLst/>
                          <a:gdLst>
                            <a:gd name="T0" fmla="*/ 0 w 231494"/>
                            <a:gd name="T1" fmla="*/ 0 h 2199190"/>
                            <a:gd name="T2" fmla="*/ 1771 w 231494"/>
                            <a:gd name="T3" fmla="*/ 12679 h 2199190"/>
                            <a:gd name="T4" fmla="*/ 2083 w 231494"/>
                            <a:gd name="T5" fmla="*/ 19428 h 2199190"/>
                            <a:gd name="T6" fmla="*/ 0 60000 65536"/>
                            <a:gd name="T7" fmla="*/ 0 60000 65536"/>
                            <a:gd name="T8" fmla="*/ 0 60000 65536"/>
                            <a:gd name="T9" fmla="*/ 0 w 231494"/>
                            <a:gd name="T10" fmla="*/ 0 h 2199190"/>
                            <a:gd name="T11" fmla="*/ 231494 w 231494"/>
                            <a:gd name="T12" fmla="*/ 2199190 h 2199190"/>
                          </a:gdLst>
                          <a:ahLst/>
                          <a:cxnLst>
                            <a:cxn ang="T6">
                              <a:pos x="T0" y="T1"/>
                            </a:cxn>
                            <a:cxn ang="T7">
                              <a:pos x="T2" y="T3"/>
                            </a:cxn>
                            <a:cxn ang="T8">
                              <a:pos x="T4" y="T5"/>
                            </a:cxn>
                          </a:cxnLst>
                          <a:rect l="T9" t="T10" r="T11" b="T12"/>
                          <a:pathLst>
                            <a:path w="231494" h="2199190">
                              <a:moveTo>
                                <a:pt x="0" y="0"/>
                              </a:moveTo>
                              <a:cubicBezTo>
                                <a:pt x="79094" y="534364"/>
                                <a:pt x="158188" y="1068729"/>
                                <a:pt x="196770" y="1435261"/>
                              </a:cubicBezTo>
                              <a:cubicBezTo>
                                <a:pt x="235352" y="1801793"/>
                                <a:pt x="223778" y="2081514"/>
                                <a:pt x="231494" y="2199190"/>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フリーフォーム 22" o:spid="_x0000_s1099" style="position:absolute;left:0;text-align:left;margin-left:105.15pt;margin-top:8.75pt;width:11.65pt;height:107.2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1494,2199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lECwQAAIQJAAAOAAAAZHJzL2Uyb0RvYy54bWysVs2O2zYQvhfoOxA6FvBK1L+M9QapvS4K&#10;pG2AKA9AS5QlVBJVkv7ZFL10n6H3Xttn6Nvsi3Q4krXSJg6Coj7IJGf4ceab4QxvX52bmhy5VJVo&#10;Vxa9cSzC20zkVbtfWe/T7SK2iNKszVktWr6yHriyXt19/dXtqVtyV5SizrkkANKq5albWaXW3dK2&#10;VVbyhqkb0fEWhIWQDdMwlXs7l+wE6E1tu44T2ich806KjCsFq5teaN0hflHwTP9UFIprUq8ssE3j&#10;V+J3Z7723S1b7iXryiobzGD/wYqGVS0cOkJtmGbkIKuPoJoqk0KJQt9korFFUVQZRx/AG+q88OZd&#10;yTqOvgA5qhtpUv8fbPbj8a0kVQ6xo0FgkZY1EKWnxz+eHv9+evzHDH7/Cwd/Etc1dJ06tYRd77q3&#10;0jisujci+1mBwJ5JzESBDtmdfhA5YLKDFkjRuZCN2QnOkzNG4mGMBD9rksEi9WPXdy2SgYh6IY2c&#10;wJxts+Vld3ZQ+jsuEIkd3yjdRzKHEcYhH1xJIepFU0NQv7GJQ07E9aif+EPgRy060yqJS5OEJpf8&#10;GNXApBGMRhG9iudNFd0wSshVTH+i6jqxdxUTwvN8eOK78XXMcKLqkNCBHwmDwAtf+h19qSLc4/Hw&#10;zyImM8WrfM/DcpUcOg1MH7qr/NBpdIYAzimC/NlfMoSVl6TJzu2QNTAizFSuNMRU7YQyKWpyCBIx&#10;pUMOgprJsWftaKYNZhht75p2PNOG8BvtS34jNtgJ/4NREoqYKV8pMAv1K6VgDVSw1FADNSwFtzH3&#10;O6aNS8YyMySnlTXkOilhOCS0ETfiyFOBivrFFYSTn6XZYVdl3/IPU90oceD2GJMDz/fC4SJ1iEOD&#10;mMaQKCCkThhHbjJY1kuTMIp6JqnvBW440jk75lOHul4AG3rg2KFRgtyCnwjsul4U9cfC/aEBnRl1&#10;4QCMunDQV5LpQeC24QwrzMijicKkyrRiW9U1Ul23yG7gOw7GUom6yo3UcIq9i69rSY4MwqbPFHXq&#10;QwOFsF+j5kIOxQXWoUX167gEx44QaNAMvak0NMy6alZWPEEpOcvv2xyt06yq+zFA1ZiqUFeH1DAV&#10;FhvTrxDI+/g+9he+G94vfGezWbzerv1FuKVRsPE26/WG/mZMp/6yrPKct8bDS5Ok/pc1oaFd9+1t&#10;bJMzl5Tc70a6tvgbrs5EzZ6bgcSAL5d/9A47kGk6fZfS590ZW1ufpaYj7UT+AD1Jiv4hAA8XGJRC&#10;frDICR4BK0v9cmCSW6T+voUum1Dfh4zVOPGDyDVXbyrZTSWszQBqZWVaWlBGzGStYQ6bDp2s9iWc&#10;1edCK15DNywq07TQ6N6uYQKtHt0aniXmLTGdo9bz4+nuXwAAAP//AwBQSwMEFAAGAAgAAAAhALwd&#10;tmHfAAAACgEAAA8AAABkcnMvZG93bnJldi54bWxMj01PwzAMhu9I/IfISNxY+iE2VppOUyXQBCcK&#10;3N3Gaysap2qytfDryU5ws/U+ev043y1mEGeaXG9ZQbyKQBA3VvfcKvh4f7p7AOE8ssbBMin4Jge7&#10;4voqx0zbmd/oXPlWhBJ2GSrovB8zKV3TkUG3siNxyI52MujDOrVSTziHcjPIJIrW0mDP4UKHI5Ud&#10;NV/VySj4mavn8RBvti/7Tz5ifSiT17RU6vZm2T+C8LT4Pxgu+kEdiuBU2xNrJwYFSRylAQ3B5h5E&#10;AJI0XYOoL0O8BVnk8v8LxS8AAAD//wMAUEsBAi0AFAAGAAgAAAAhALaDOJL+AAAA4QEAABMAAAAA&#10;AAAAAAAAAAAAAAAAAFtDb250ZW50X1R5cGVzXS54bWxQSwECLQAUAAYACAAAACEAOP0h/9YAAACU&#10;AQAACwAAAAAAAAAAAAAAAAAvAQAAX3JlbHMvLnJlbHNQSwECLQAUAAYACAAAACEAE6Q5RAsEAACE&#10;CQAADgAAAAAAAAAAAAAAAAAuAgAAZHJzL2Uyb0RvYy54bWxQSwECLQAUAAYACAAAACEAvB22Yd8A&#10;AAAKAQAADwAAAAAAAAAAAAAAAABlBgAAZHJzL2Rvd25yZXYueG1sUEsFBgAAAAAEAAQA8wAAAHEH&#10;AAAAAA==&#10;" adj="-11796480,,5400" path="m,c79094,534364,158188,1068729,196770,1435261v38582,366532,27008,646253,34724,763929e" filled="f" strokecolor="black [3213]" strokeweight="2pt">
                <v:stroke joinstyle="miter"/>
                <v:formulas/>
                <v:path arrowok="t" o:connecttype="custom" o:connectlocs="0,0;1134,7851;1334,12030" o:connectangles="0,0,0" textboxrect="0,0,231494,2199190"/>
                <v:textbox>
                  <w:txbxContent>
                    <w:p w:rsidR="005A67D3" w:rsidRDefault="005A67D3" w:rsidP="009E322E"/>
                  </w:txbxContent>
                </v:textbox>
              </v:shape>
            </w:pict>
          </mc:Fallback>
        </mc:AlternateContent>
      </w:r>
    </w:p>
    <w:p w:rsidR="009E322E" w:rsidRDefault="00364C2C" w:rsidP="00364C2C">
      <w:pPr>
        <w:pStyle w:val="Figure"/>
        <w:rPr>
          <w:rtl/>
        </w:rPr>
      </w:pPr>
      <w:r>
        <w:rPr>
          <w:rFonts w:hint="cs"/>
          <w:noProof/>
          <w:rtl/>
          <w:lang w:val="en-US" w:eastAsia="zh-CN"/>
        </w:rPr>
        <mc:AlternateContent>
          <mc:Choice Requires="wps">
            <w:drawing>
              <wp:anchor distT="0" distB="0" distL="114300" distR="114300" simplePos="0" relativeHeight="251672576" behindDoc="0" locked="0" layoutInCell="1" allowOverlap="1" wp14:anchorId="582A123E" wp14:editId="610AC7C3">
                <wp:simplePos x="0" y="0"/>
                <wp:positionH relativeFrom="column">
                  <wp:posOffset>3999360</wp:posOffset>
                </wp:positionH>
                <wp:positionV relativeFrom="paragraph">
                  <wp:posOffset>93390</wp:posOffset>
                </wp:positionV>
                <wp:extent cx="523504" cy="975987"/>
                <wp:effectExtent l="0" t="0" r="10160" b="15240"/>
                <wp:wrapNone/>
                <wp:docPr id="1136" name="フリーフォーム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504" cy="975987"/>
                        </a:xfrm>
                        <a:custGeom>
                          <a:avLst/>
                          <a:gdLst>
                            <a:gd name="T0" fmla="*/ 7755 w 775504"/>
                            <a:gd name="T1" fmla="*/ 0 h 1481560"/>
                            <a:gd name="T2" fmla="*/ 3704 w 775504"/>
                            <a:gd name="T3" fmla="*/ 1620 h 1481560"/>
                            <a:gd name="T4" fmla="*/ 810 w 775504"/>
                            <a:gd name="T5" fmla="*/ 7755 h 1481560"/>
                            <a:gd name="T6" fmla="*/ 0 w 775504"/>
                            <a:gd name="T7" fmla="*/ 14815 h 1481560"/>
                            <a:gd name="T8" fmla="*/ 0 60000 65536"/>
                            <a:gd name="T9" fmla="*/ 0 60000 65536"/>
                            <a:gd name="T10" fmla="*/ 0 60000 65536"/>
                            <a:gd name="T11" fmla="*/ 0 60000 65536"/>
                            <a:gd name="T12" fmla="*/ 0 w 775504"/>
                            <a:gd name="T13" fmla="*/ 0 h 1481560"/>
                            <a:gd name="T14" fmla="*/ 775504 w 775504"/>
                            <a:gd name="T15" fmla="*/ 1481560 h 1481560"/>
                          </a:gdLst>
                          <a:ahLst/>
                          <a:cxnLst>
                            <a:cxn ang="T8">
                              <a:pos x="T0" y="T1"/>
                            </a:cxn>
                            <a:cxn ang="T9">
                              <a:pos x="T2" y="T3"/>
                            </a:cxn>
                            <a:cxn ang="T10">
                              <a:pos x="T4" y="T5"/>
                            </a:cxn>
                            <a:cxn ang="T11">
                              <a:pos x="T6" y="T7"/>
                            </a:cxn>
                          </a:cxnLst>
                          <a:rect l="T12" t="T13" r="T14" b="T15"/>
                          <a:pathLst>
                            <a:path w="775504" h="1481560">
                              <a:moveTo>
                                <a:pt x="775504" y="0"/>
                              </a:moveTo>
                              <a:cubicBezTo>
                                <a:pt x="630820" y="16397"/>
                                <a:pt x="486137" y="32795"/>
                                <a:pt x="370390" y="162046"/>
                              </a:cubicBezTo>
                              <a:cubicBezTo>
                                <a:pt x="254643" y="291297"/>
                                <a:pt x="142755" y="555585"/>
                                <a:pt x="81023" y="775504"/>
                              </a:cubicBezTo>
                              <a:cubicBezTo>
                                <a:pt x="19291" y="995423"/>
                                <a:pt x="15433" y="1365813"/>
                                <a:pt x="0" y="1481560"/>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フリーフォーム 17" o:spid="_x0000_s1100" style="position:absolute;left:0;text-align:left;margin-left:314.9pt;margin-top:7.35pt;width:41.2pt;height: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75504,148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8PRwQAAJ4KAAAOAAAAZHJzL2Uyb0RvYy54bWysVt1u40QUvkfiHUa+RGrt8V/sqOlqaVqE&#10;tMBKGx5g4p/YwvaY8aRJd8UNfQbuuYVn4G36InxzbKd2UcoKkQvH4znzzfnO/9WbY12x+0x1pWxW&#10;Fr90LJY1iUzLZreyftzcXUQW67RoUlHJJltZD1lnvbn+8ourQ7vMXFnIKs0UA0jTLQ/tyiq0bpe2&#10;3SVFVovuUrZZg81cqlpoLNXOTpU4AL2ubNdxQvsgVdoqmWRdh6/rftO6Jvw8zxL9Q553mWbVyoJu&#10;mp6KnlvztK+vxHKnRFuUyaCG+A9a1KJscOkJai20YHtV/gOqLhMlO5nry0TWtszzMsmIA9hw5wWb&#10;D4VoM+IC43TtyUzd/webfH//XrEyhe+4F1qsETW89PT429Pjn0+Pf5mXX/+gl98ZXxhzHdpuiVMf&#10;2vfKEO7adzL5qcOGPdsxiw4ybHv4TqbAFHstyUTHXNXmJMizI3ni4eSJ7KhZgo+B6wWOb7EEW/Ei&#10;iCO62hbL8XCy7/Q3mSQgcf+u070jU7yRG9KByQZOz+sKPv3KZotFELAD/QF8ODEK8omgwwrG/YgH&#10;4RghJzx3IuYtHP8snjcR5KH7CiR4nlSMuHMWMZjIEZWzSsKRJ8TzeIuJFLE9zxpZPAEMHfxYGASI&#10;mBdWjD9XkE8dA7DzkHzumdckp845z5tPXfOKX/jUMcbgr3ibT50zhM7cnAje3RieohgjNjk2Q8ji&#10;jQlTNTcRpUkrO5MeJoCRBBtuLA0MiJkAf5aOZ9KwgJH2zknD7Ob4CA6GRjw4K85n4ogrIz4mI+nS&#10;6zSQUCi4ptRuOBRBsd0YW6PcbowtUXA3sBNFTCu0sQHpgld2WFm9hS1WoBYNuWe2a3mfbSQJamOQ&#10;UQyKUHLi/meRZL8tk6+zj9MDoedEbm9FHnoxKQ8LEJgfhdxDHgDMcxfxqBztIbu9eDznOj7FumE7&#10;u2O+6lHdwA99EAeqG3N3fiX3XYQSbQb4RbM7kf5uf3CgOTj9X6/kMW4i0DgOfGD0ViYiPPC9HhQl&#10;PojgksnmQPC52L1giKXxFcXeyWkk81yAG3lXVhWBVo1xJQzg9IHWyapMza5xIHX17KZS7F4gSPSx&#10;j65qX6NF9N+4qQND0cV3NO/+++jqEwQpNEOvS41RoirrlRVNUIpMpLdNStppUVb9OxhUlEjoOEMc&#10;mt5DLftT7MS30W3kX/hueHvhO+v1xdu7G/8ivOOLYO2tb27W/BeTGNxfFmWaZo1hOI4P3P+89jwM&#10;Mn3jPw0QM0qd2m1P5rqj35CpEzF7rgYZBlzGf2JHvdm0475/6+P2SE0/pOgzvXor0wd0ayX7EQkj&#10;HV4KqT5a7IDxaGV1P++FyixWfdtg/oi57yN0NC38YGESTE13ttMd0SSAWlmJVhaKnFncaKxxaN+q&#10;clfgrj4WGvkWc0Jemn5OSvd6DQsMQURrGNjMlDVdk9TzWHn9NwAAAP//AwBQSwMEFAAGAAgAAAAh&#10;AGf8GsncAAAACgEAAA8AAABkcnMvZG93bnJldi54bWxMj8FOwzAMhu9IvENkJG4sbVV1o2s6ISTE&#10;cWJDnLPGNB2JUzXZWt4ec4Kj/f/6/LnZLd6JK05xCKQgX2UgkLpgBuoVvB9fHjYgYtJktAuECr4x&#10;wq69vWl0bcJMb3g9pF4whGKtFdiUxlrK2Fn0Oq7CiMTZZ5i8TjxOvTSTnhnunSyyrJJeD8QXrB7x&#10;2WL3dbh4BVWe9hnl1Wj3H+f5NZS5k0en1P3d8rQFkXBJf2X41Wd1aNnpFC5konDMKB5ZPXFQrkFw&#10;YZ0XBYgTL6pNCbJt5P8X2h8AAAD//wMAUEsBAi0AFAAGAAgAAAAhALaDOJL+AAAA4QEAABMAAAAA&#10;AAAAAAAAAAAAAAAAAFtDb250ZW50X1R5cGVzXS54bWxQSwECLQAUAAYACAAAACEAOP0h/9YAAACU&#10;AQAACwAAAAAAAAAAAAAAAAAvAQAAX3JlbHMvLnJlbHNQSwECLQAUAAYACAAAACEAcZDvD0cEAACe&#10;CgAADgAAAAAAAAAAAAAAAAAuAgAAZHJzL2Uyb0RvYy54bWxQSwECLQAUAAYACAAAACEAZ/waydwA&#10;AAAKAQAADwAAAAAAAAAAAAAAAAChBgAAZHJzL2Rvd25yZXYueG1sUEsFBgAAAAAEAAQA8wAAAKoH&#10;AAAAAA==&#10;" adj="-11796480,,5400" path="m775504,c630820,16397,486137,32795,370390,162046,254643,291297,142755,555585,81023,775504,19291,995423,15433,1365813,,1481560e" filled="f" strokecolor="black [3213]" strokeweight="2pt">
                <v:stroke joinstyle="miter"/>
                <v:formulas/>
                <v:path arrowok="t" o:connecttype="custom" o:connectlocs="5235,0;2500,1067;547,5109;0,9759" o:connectangles="0,0,0,0" textboxrect="0,0,775504,1481560"/>
                <v:textbox>
                  <w:txbxContent>
                    <w:p w:rsidR="005A67D3" w:rsidRDefault="005A67D3" w:rsidP="009E322E"/>
                  </w:txbxContent>
                </v:textbox>
              </v:shape>
            </w:pict>
          </mc:Fallback>
        </mc:AlternateContent>
      </w:r>
      <w:r>
        <w:rPr>
          <w:rFonts w:hint="cs"/>
          <w:noProof/>
          <w:rtl/>
          <w:lang w:val="en-US" w:eastAsia="zh-CN"/>
        </w:rPr>
        <mc:AlternateContent>
          <mc:Choice Requires="wps">
            <w:drawing>
              <wp:anchor distT="0" distB="0" distL="114300" distR="114300" simplePos="0" relativeHeight="251678720" behindDoc="0" locked="0" layoutInCell="1" allowOverlap="1" wp14:anchorId="759E6B9D" wp14:editId="599355D4">
                <wp:simplePos x="0" y="0"/>
                <wp:positionH relativeFrom="column">
                  <wp:posOffset>3405515</wp:posOffset>
                </wp:positionH>
                <wp:positionV relativeFrom="paragraph">
                  <wp:posOffset>139110</wp:posOffset>
                </wp:positionV>
                <wp:extent cx="603633" cy="930268"/>
                <wp:effectExtent l="0" t="0" r="25400" b="22860"/>
                <wp:wrapNone/>
                <wp:docPr id="1156" name="フリーフォーム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3" cy="930268"/>
                        </a:xfrm>
                        <a:custGeom>
                          <a:avLst/>
                          <a:gdLst>
                            <a:gd name="T0" fmla="*/ 0 w 894124"/>
                            <a:gd name="T1" fmla="*/ 0 h 1412112"/>
                            <a:gd name="T2" fmla="*/ 5556 w 894124"/>
                            <a:gd name="T3" fmla="*/ 1620 h 1412112"/>
                            <a:gd name="T4" fmla="*/ 8103 w 894124"/>
                            <a:gd name="T5" fmla="*/ 4283 h 1412112"/>
                            <a:gd name="T6" fmla="*/ 8913 w 894124"/>
                            <a:gd name="T7" fmla="*/ 6713 h 1412112"/>
                            <a:gd name="T8" fmla="*/ 8682 w 894124"/>
                            <a:gd name="T9" fmla="*/ 14121 h 1412112"/>
                            <a:gd name="T10" fmla="*/ 0 60000 65536"/>
                            <a:gd name="T11" fmla="*/ 0 60000 65536"/>
                            <a:gd name="T12" fmla="*/ 0 60000 65536"/>
                            <a:gd name="T13" fmla="*/ 0 60000 65536"/>
                            <a:gd name="T14" fmla="*/ 0 60000 65536"/>
                            <a:gd name="T15" fmla="*/ 0 w 894124"/>
                            <a:gd name="T16" fmla="*/ 0 h 1412112"/>
                            <a:gd name="T17" fmla="*/ 894124 w 894124"/>
                            <a:gd name="T18" fmla="*/ 1412112 h 1412112"/>
                          </a:gdLst>
                          <a:ahLst/>
                          <a:cxnLst>
                            <a:cxn ang="T10">
                              <a:pos x="T0" y="T1"/>
                            </a:cxn>
                            <a:cxn ang="T11">
                              <a:pos x="T2" y="T3"/>
                            </a:cxn>
                            <a:cxn ang="T12">
                              <a:pos x="T4" y="T5"/>
                            </a:cxn>
                            <a:cxn ang="T13">
                              <a:pos x="T6" y="T7"/>
                            </a:cxn>
                            <a:cxn ang="T14">
                              <a:pos x="T8" y="T9"/>
                            </a:cxn>
                          </a:cxnLst>
                          <a:rect l="T15" t="T16" r="T17" b="T18"/>
                          <a:pathLst>
                            <a:path w="894124" h="1412112">
                              <a:moveTo>
                                <a:pt x="0" y="0"/>
                              </a:moveTo>
                              <a:cubicBezTo>
                                <a:pt x="210273" y="45334"/>
                                <a:pt x="420547" y="90669"/>
                                <a:pt x="555585" y="162046"/>
                              </a:cubicBezTo>
                              <a:cubicBezTo>
                                <a:pt x="690623" y="233423"/>
                                <a:pt x="754284" y="343382"/>
                                <a:pt x="810228" y="428263"/>
                              </a:cubicBezTo>
                              <a:cubicBezTo>
                                <a:pt x="866172" y="513144"/>
                                <a:pt x="881605" y="507357"/>
                                <a:pt x="891251" y="671332"/>
                              </a:cubicBezTo>
                              <a:cubicBezTo>
                                <a:pt x="900897" y="835307"/>
                                <a:pt x="884499" y="1123709"/>
                                <a:pt x="868102" y="1412112"/>
                              </a:cubicBezTo>
                            </a:path>
                          </a:pathLst>
                        </a:cu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67D3" w:rsidRDefault="005A67D3" w:rsidP="009E322E"/>
                        </w:txbxContent>
                      </wps:txbx>
                      <wps:bodyPr rot="0" vert="horz" wrap="square" lIns="91440" tIns="45720" rIns="91440" bIns="45720" anchor="ctr" anchorCtr="0" upright="1">
                        <a:noAutofit/>
                      </wps:bodyPr>
                    </wps:wsp>
                  </a:graphicData>
                </a:graphic>
              </wp:anchor>
            </w:drawing>
          </mc:Choice>
          <mc:Fallback>
            <w:pict>
              <v:shape id="フリーフォーム 23" o:spid="_x0000_s1101" style="position:absolute;left:0;text-align:left;margin-left:268.15pt;margin-top:10.95pt;width:47.55pt;height:73.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894124,1412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clgQAAMYLAAAOAAAAZHJzL2Uyb0RvYy54bWysVk1u4zYY3RfoHQgtCyQWKYmWjDiDaZwU&#10;BabtAOMegNaPJVQSVUqOnSm6ac7QfbftGXqbXKSPpCxLGdgdFM3CIfU9Pn7//G7eHKqSPKaqLWS9&#10;dOi165C0jmVS1Nul8+P64Sp0SNuJOhGlrNOl85S2zpvbL7+42TeLlMlclkmqCEjqdrFvlk7edc1i&#10;NmvjPK1Eey2btIYwk6oSHbZqO0uU2IO9KmfMdflsL1XSKBmnbYuvKyt0bg1/lqVx90OWtWlHyqUD&#10;3Trzq8zvRv/Obm/EYqtEkxdxr4b4D1pUoqhx6UC1Ep0gO1V8QlUVsZKtzLrrWFYzmWVFnBobYA11&#10;X1nzIRdNamyBc9pmcFP7/9HG3z++V6RIEDsacIfUokKUXp5/f3n+6+X5b7347U+z+IMwT7tr37QL&#10;nPrQvFfa4LZ5J+OfWghmE4netMCQzf47mYBT7DppXHTIVKVPwnhyMJF4GiKRHjoS4yN3Pe55Dokh&#10;ijyX8VBfPROL4+F413bfpNIQicd3bWcDmWBlwpD0lqwR9KwqEdOvZsQlexJGPmV+H/cBRSeonFCA&#10;KGWvYWwEC4KAn+WD6sOtlDOXnKX0R8iQut5ZymAE9FnonadEGIfLw4iep5yPgHwO4FktUcUnSh6y&#10;s1pGI6Bx4nlOOg0Nd/FHeBB4/LXb6TQ8l5DjCIHtAuc4RJeR4xBdRo5jdCHZxgG6kBp0HB+bt2f9&#10;TscR6rN36noUz/ZYHiI/Vkx8qPuSwYoI3bXXCIyuoUa2uj51BaEK17SvQOC0dASnEzgioOGmV+DO&#10;T+FsAodzNTw4y+5N4HCdhs/Pwv0JHF7R8GgMt0r1Viu8EPptWFPEDq/DmuIGvA9r7Xy8EGs41rSW&#10;RnTaacYxWJL90ulbCcnRPPt+ocWVfEzX0gC7Vw0OV5+k8W5TxF+nH8dYRl02R2ZCaT/wvL5PNYbH&#10;Z27gQyvIIpdzYxOiZGRoRkEICyDT7cY3JaQNndwx3dmTHFxo7Pokw4W2xx9p5wE6jY2Q53te2DdE&#10;exLdijHrYKAYHyL+r3eGnNO5zZOAetSfmBmGlLvWlMCde4EJ9VEhtDMWoBtAW92wPKPQZ9kZuW4Y&#10;We+FXuC5U9rQ9yO0Lu0+yry5O3FuyLWpVnp6F17diq1OEfNIDbliMKeHqpYPRVmadCprnUEs8F1b&#10;bK0si0RLdd6Y6Se9KxV5FMjN7mArrNxVeErtN6o7Wz++4DuGHPvdfMK1A4VRaMJeFR1GrrKokMEj&#10;ljwVyX2dGO06UZR2DarS1Dte5j799RttRptfIje6D+9D/8pn/P7Kd1erq7cPd/4Vf6DzYOWt7u5W&#10;9Fddj9Rf5EWSpLW28DhmUf/zxph+4LMD0jBoTUxq1XYzuOvB/PUVP4LNpmoYx8CW439jnZlh9Nhi&#10;55zusDmY4YibgtIzzUYmT5hqlLSjJEZfLHKpPjpkjzFy6bQ/74RKHVJ+W2NOi5Ddeu40Gz+YM2zU&#10;WLIZS0Qdg2rpxJ1y0Iz15q7DHod2jSq2Oe6yuVDLt5inskLPPUZpq1e/wbBozOoHWz2NjvcGdRq/&#10;b/8BAAD//wMAUEsDBBQABgAIAAAAIQB4/ym13wAAAAoBAAAPAAAAZHJzL2Rvd25yZXYueG1sTI/L&#10;asMwEEX3hf6DmEI3pZFfEY5jOYRAodskLXSpWBPbxJKMpCTu33e6apfDPdx7pt7MZmQ39GFwVkK6&#10;SIChbZ0ebCfh4/j2WgILUVmtRmdRwjcG2DSPD7WqtLvbPd4OsWNUYkOlJPQxThXnoe3RqLBwE1rK&#10;zs4bFen0Hdde3ancjDxLEsGNGiwt9GrCXY/t5XA1Enai4EsxjO/Zi99+lnFV7LPzl5TPT/N2DSzi&#10;HP9g+NUndWjI6eSuVgc2SljmIidUQpaugBEg8rQAdiJSlAXwpub/X2h+AAAA//8DAFBLAQItABQA&#10;BgAIAAAAIQC2gziS/gAAAOEBAAATAAAAAAAAAAAAAAAAAAAAAABbQ29udGVudF9UeXBlc10ueG1s&#10;UEsBAi0AFAAGAAgAAAAhADj9If/WAAAAlAEAAAsAAAAAAAAAAAAAAAAALwEAAF9yZWxzLy5yZWxz&#10;UEsBAi0AFAAGAAgAAAAhAL60UdyWBAAAxgsAAA4AAAAAAAAAAAAAAAAALgIAAGRycy9lMm9Eb2Mu&#10;eG1sUEsBAi0AFAAGAAgAAAAhAHj/KbXfAAAACgEAAA8AAAAAAAAAAAAAAAAA8AYAAGRycy9kb3du&#10;cmV2LnhtbFBLBQYAAAAABAAEAPMAAAD8BwAAAAA=&#10;" adj="-11796480,,5400" path="m,c210273,45334,420547,90669,555585,162046v135038,71377,198699,181336,254643,266217c866172,513144,881605,507357,891251,671332v9646,163975,-6752,452377,-23149,740780e" filled="f" strokecolor="black [3213]" strokeweight="2pt">
                <v:stroke joinstyle="miter"/>
                <v:formulas/>
                <v:path arrowok="t" o:connecttype="custom" o:connectlocs="0,0;3751,1067;5470,2822;6017,4422;5861,9303" o:connectangles="0,0,0,0,0" textboxrect="0,0,894124,1412112"/>
                <v:textbox>
                  <w:txbxContent>
                    <w:p w:rsidR="005A67D3" w:rsidRDefault="005A67D3" w:rsidP="009E322E"/>
                  </w:txbxContent>
                </v:textbox>
              </v:shape>
            </w:pict>
          </mc:Fallback>
        </mc:AlternateContent>
      </w:r>
    </w:p>
    <w:p w:rsidR="009E322E" w:rsidRDefault="009E322E" w:rsidP="00364C2C">
      <w:pPr>
        <w:pStyle w:val="Figure"/>
        <w:rPr>
          <w:rtl/>
        </w:rPr>
      </w:pPr>
    </w:p>
    <w:p w:rsidR="00364C2C" w:rsidRDefault="00364C2C" w:rsidP="00364C2C">
      <w:pPr>
        <w:pStyle w:val="Figure"/>
        <w:rPr>
          <w:rtl/>
        </w:rPr>
      </w:pPr>
    </w:p>
    <w:p w:rsidR="009E322E" w:rsidRDefault="00364C2C" w:rsidP="00364C2C">
      <w:pPr>
        <w:pStyle w:val="Figure"/>
        <w:rPr>
          <w:rtl/>
        </w:rPr>
      </w:pPr>
      <w:r>
        <w:rPr>
          <w:rFonts w:hint="cs"/>
          <w:noProof/>
          <w:rtl/>
          <w:lang w:val="en-US" w:eastAsia="zh-CN"/>
        </w:rPr>
        <mc:AlternateContent>
          <mc:Choice Requires="wps">
            <w:drawing>
              <wp:anchor distT="0" distB="0" distL="114300" distR="114300" simplePos="0" relativeHeight="251634688" behindDoc="0" locked="0" layoutInCell="1" allowOverlap="1" wp14:anchorId="04508029" wp14:editId="1F5145B7">
                <wp:simplePos x="0" y="0"/>
                <wp:positionH relativeFrom="column">
                  <wp:posOffset>3544570</wp:posOffset>
                </wp:positionH>
                <wp:positionV relativeFrom="paragraph">
                  <wp:posOffset>20320</wp:posOffset>
                </wp:positionV>
                <wp:extent cx="1050290" cy="245110"/>
                <wp:effectExtent l="0" t="0" r="16510" b="2540"/>
                <wp:wrapNone/>
                <wp:docPr id="66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364C2C" w:rsidRDefault="005A67D3" w:rsidP="00111C25">
                            <w:pPr>
                              <w:pStyle w:val="NormalWeb"/>
                              <w:spacing w:before="0"/>
                              <w:jc w:val="center"/>
                              <w:rPr>
                                <w:rFonts w:ascii="Calibri" w:hAnsi="Calibri" w:cs="Traditional Arabic"/>
                                <w:b/>
                                <w:bCs/>
                                <w:color w:val="000000"/>
                                <w:kern w:val="24"/>
                                <w:sz w:val="18"/>
                                <w:szCs w:val="26"/>
                              </w:rPr>
                            </w:pPr>
                            <w:r w:rsidRPr="00364C2C">
                              <w:rPr>
                                <w:rFonts w:ascii="Calibri" w:hAnsi="Calibri" w:cs="Traditional Arabic"/>
                                <w:b/>
                                <w:bCs/>
                                <w:color w:val="000000"/>
                                <w:kern w:val="24"/>
                                <w:sz w:val="18"/>
                                <w:szCs w:val="26"/>
                                <w:rtl/>
                              </w:rPr>
                              <w:t>خلية ميكروية</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102" type="#_x0000_t202" style="position:absolute;left:0;text-align:left;margin-left:279.1pt;margin-top:1.6pt;width:82.7pt;height:19.3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711AIAAMYFAAAOAAAAZHJzL2Uyb0RvYy54bWysVNuO0zAQfUfiHyy/Z3MhvSTaFO02DUJa&#10;LtLCB7iJ01gkdrDdpgviZSshPoJfQDzzPf0Rxk7T7uUFAXmIxh7PmduZOX++bWq0oVIxwRPsn3kY&#10;UZ6LgvFVgt+/y5wpRkoTXpBacJrgG6rw89nTJ+ddG9NAVKIuqEQAwlXctQmutG5j11V5RRuizkRL&#10;OShLIRui4ShXbiFJB+hN7QaeN3Y7IYtWipwqBbdpr8Qzi1+WNNdvylJRjeoEQ2za/qX9L83fnZ2T&#10;eCVJW7H8EAb5iygawjg4PUKlRBO0luwRVMNyKZQo9VkuGleUJcupzQGy8b0H2VxXpKU2FyiOao9l&#10;Uv8PNn+9eSsRKxI8HgcYcdJAk/a7r/vbH/vbX/vdN7Tffd/vdvvbn3BGfhCYknWtisHyugVbvb0U&#10;W2i9TV+1VyL/oBAX84rwFb2QUnQVJQWE7BtL945pj6MMyLJ7JQrwTNZaWKBtKRtTT6gQAnRo3c2x&#10;XXSrUW5ceiMviECVgy4IR75v++mSeLBupdIvqGiQERIsgQ4WnWyulDbRkHh4YpxxkbG6tpSo+b0L&#10;eNjfgG8wNToThe3w58iLFtPFNHTCYLxwQi9NnYtsHjrjzJ+M0mfpfJ76X4xfP4wrVhSUGzcD2/zw&#10;z7p54H3PkyPflKhZYeBMSEqulvNaog0Btmf2szUHzemZez8MWwTI5UFKfhB6l0HkZOPpxAmzcORE&#10;E2/qeH50GY29MArT7H5KV4zTf08JdQmORsGoJ9Mp6Ae5efZ7nBuJG6Zhn9SsSfD0+IjEhoILXtjW&#10;asLqXr5TChP+qRTQ7qHRlrCGoz1b9Xa57cdlMgzCUhQ3QGEpgGFARliGIFRCfsKog8WSYPVxTSTF&#10;qH7JYQzMFhoEOQjLQSA8B9MEa4x6ca77bbVuJVtVgNwPGhcXMColsyw2M9VHcRgwWBY2mcNiM9vo&#10;7tm+Oq3f2W8AAAD//wMAUEsDBBQABgAIAAAAIQC0kt4m3wAAAAgBAAAPAAAAZHJzL2Rvd25yZXYu&#10;eG1sTI9BT4NAEIXvJv6HzZh4s0upRUSWpjF6MjGlePC4sFMgZWeR3bb47x1PenqZvJf3vsk3sx3E&#10;GSffO1KwXEQgkBpnemoVfFSvdykIHzQZPThCBd/oYVNcX+U6M+5CJZ73oRVcQj7TCroQxkxK33Ro&#10;tV+4EYm9g5usDnxOrTSTvnC5HWQcRYm0uide6PSIzx02x/3JKth+UvnSf73Xu/JQ9lX1GNFbclTq&#10;9mbePoEIOIe/MPziMzoUzFS7ExkvBgXrdRpzVMGKhf2HeJWAqBXcL1OQRS7/P1D8AAAA//8DAFBL&#10;AQItABQABgAIAAAAIQC2gziS/gAAAOEBAAATAAAAAAAAAAAAAAAAAAAAAABbQ29udGVudF9UeXBl&#10;c10ueG1sUEsBAi0AFAAGAAgAAAAhADj9If/WAAAAlAEAAAsAAAAAAAAAAAAAAAAALwEAAF9yZWxz&#10;Ly5yZWxzUEsBAi0AFAAGAAgAAAAhAIJJ/vXUAgAAxgUAAA4AAAAAAAAAAAAAAAAALgIAAGRycy9l&#10;Mm9Eb2MueG1sUEsBAi0AFAAGAAgAAAAhALSS3ibfAAAACAEAAA8AAAAAAAAAAAAAAAAALgUAAGRy&#10;cy9kb3ducmV2LnhtbFBLBQYAAAAABAAEAPMAAAA6BgAAAAA=&#10;" filled="f" stroked="f">
                <v:textbox inset="0,0,0,0">
                  <w:txbxContent>
                    <w:p w:rsidR="005A67D3" w:rsidRPr="00364C2C" w:rsidRDefault="005A67D3" w:rsidP="00111C25">
                      <w:pPr>
                        <w:pStyle w:val="NormalWeb"/>
                        <w:spacing w:before="0"/>
                        <w:jc w:val="center"/>
                        <w:rPr>
                          <w:rFonts w:ascii="Calibri" w:hAnsi="Calibri" w:cs="Traditional Arabic"/>
                          <w:b/>
                          <w:bCs/>
                          <w:color w:val="000000"/>
                          <w:kern w:val="24"/>
                          <w:sz w:val="18"/>
                          <w:szCs w:val="26"/>
                        </w:rPr>
                      </w:pPr>
                      <w:r w:rsidRPr="00364C2C">
                        <w:rPr>
                          <w:rFonts w:ascii="Calibri" w:hAnsi="Calibri" w:cs="Traditional Arabic"/>
                          <w:b/>
                          <w:bCs/>
                          <w:color w:val="000000"/>
                          <w:kern w:val="24"/>
                          <w:sz w:val="18"/>
                          <w:szCs w:val="26"/>
                          <w:rtl/>
                        </w:rPr>
                        <w:t>خلية ميكروية</w:t>
                      </w:r>
                    </w:p>
                  </w:txbxContent>
                </v:textbox>
              </v:shape>
            </w:pict>
          </mc:Fallback>
        </mc:AlternateContent>
      </w:r>
      <w:r>
        <w:rPr>
          <w:rFonts w:hint="cs"/>
          <w:noProof/>
          <w:rtl/>
          <w:lang w:val="en-US" w:eastAsia="zh-CN"/>
        </w:rPr>
        <mc:AlternateContent>
          <mc:Choice Requires="wps">
            <w:drawing>
              <wp:anchor distT="0" distB="0" distL="114300" distR="114300" simplePos="0" relativeHeight="251633664" behindDoc="0" locked="0" layoutInCell="1" allowOverlap="1" wp14:anchorId="0BEC4664" wp14:editId="025513B1">
                <wp:simplePos x="0" y="0"/>
                <wp:positionH relativeFrom="column">
                  <wp:posOffset>962237</wp:posOffset>
                </wp:positionH>
                <wp:positionV relativeFrom="paragraph">
                  <wp:posOffset>20320</wp:posOffset>
                </wp:positionV>
                <wp:extent cx="1050290" cy="245533"/>
                <wp:effectExtent l="0" t="0" r="16510" b="2540"/>
                <wp:wrapNone/>
                <wp:docPr id="661"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4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Pr="00364C2C" w:rsidRDefault="005A67D3" w:rsidP="00111C25">
                            <w:pPr>
                              <w:pStyle w:val="NormalWeb"/>
                              <w:spacing w:before="0"/>
                              <w:jc w:val="center"/>
                              <w:rPr>
                                <w:rFonts w:ascii="Calibri" w:hAnsi="Calibri" w:cs="Traditional Arabic"/>
                                <w:b/>
                                <w:bCs/>
                                <w:color w:val="000000"/>
                                <w:kern w:val="24"/>
                                <w:sz w:val="18"/>
                                <w:szCs w:val="26"/>
                              </w:rPr>
                            </w:pPr>
                            <w:r w:rsidRPr="00364C2C">
                              <w:rPr>
                                <w:rFonts w:ascii="Calibri" w:hAnsi="Calibri" w:cs="Traditional Arabic"/>
                                <w:b/>
                                <w:bCs/>
                                <w:color w:val="000000"/>
                                <w:kern w:val="24"/>
                                <w:sz w:val="18"/>
                                <w:szCs w:val="26"/>
                                <w:rtl/>
                              </w:rPr>
                              <w:t>خلية ماكروية</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103" type="#_x0000_t202" style="position:absolute;left:0;text-align:left;margin-left:75.75pt;margin-top:1.6pt;width:82.7pt;height:19.3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kq0wIAAMYFAAAOAAAAZHJzL2Uyb0RvYy54bWysVEtu2zAQ3RfoHQjuFX0iO5YQuUgsqyiQ&#10;foC0B6AlyiIqkSpJW06LbmKg6CF6haLrnscX6ZCyHCdBgaKtFsLwM2/mzTzO+bNNU6M1lYoJnmD/&#10;xMOI8lwUjC8T/O5t5kwwUprwgtSC0wTfUIWfTZ8+Oe/amAaiEnVBJQIQruKuTXCldRu7rsor2hB1&#10;IlrK4bAUsiEalnLpFpJ0gN7UbuB5Y7cTsmilyKlSsJv2h3hq8cuS5vp1WSqqUZ1gyE3bv7T/hfm7&#10;03MSLyVpK5bv0yB/kUVDGIegB6iUaIJWkj2CalguhRKlPslF44qyZDm1HICN7z1gc12RllouUBzV&#10;Hsqk/h9s/mr9RiJWJHg89jHipIEm7bZfdrffd7c/d9uvaLf9tttud7c/YI38IDAl61oVg+d1C756&#10;cyk20HpLX7VXIn+vEBezivAlvZBSdBUlBaTsG0/3yLXHUQZk0b0UBUQmKy0s0KaUjaknVAgBOrTu&#10;5tAuutEoNyG9kRdEcJTDWRCORqenNgSJB+9WKv2cigYZI8ES5GDRyfpKaZMNiYcrJhgXGatrK4ma&#10;39uAi/0OxAZXc2aysB3+FHnRfDKfhE4YjOdO6KWpc5HNQmec+Wej9DSdzVL/s4nrh3HFioJyE2ZQ&#10;mx/+WTf3uu91ctCbEjUrDJxJScnlYlZLtCag9sx++4IcXXPvp2GLAFweUPKD0LsMIicbT86cMAtH&#10;TnTmTRzPjy6jsRdGYZrdp3TFOP13SqhLcDQKRr2YfsvNs99jbiRumIZ5UrMmwZPDJRIbCc55YVur&#10;Cat7+6gUJv27UkC7h0ZbwRqN9mrVm8Wmfy4TE96oeSGKG5CwFKAwECMMQzAqIT9i1MFgSbD6sCKS&#10;YlS/4PAMzBQaDDkYi8EgPAfXBGuMenOm+2m1aiVbVoDcPzQuLuCplMyq+C6L/QODYWHJ7AebmUbH&#10;a3vrbvxOfwEAAP//AwBQSwMEFAAGAAgAAAAhAFs/xzjeAAAACAEAAA8AAABkcnMvZG93bnJldi54&#10;bWxMj0FPg0AUhO8m/ofNM/FmF1pLBFmaxujJpJHiwePCvgIp+xbZbYv/vs+THiczmfkm38x2EGec&#10;fO9IQbyIQCA1zvTUKvis3h6eQPigyejBESr4QQ+b4vYm15lxFyrxvA+t4BLymVbQhTBmUvqmQ6v9&#10;wo1I7B3cZHVgObXSTPrC5XaQyyhKpNU98UKnR3zpsDnuT1bB9ovK1/57V3+Uh7KvqjSi9+So1P3d&#10;vH0GEXAOf2H4xWd0KJipdicyXgys1/GaowpWSxDsr+IkBVEreIxTkEUu/x8orgAAAP//AwBQSwEC&#10;LQAUAAYACAAAACEAtoM4kv4AAADhAQAAEwAAAAAAAAAAAAAAAAAAAAAAW0NvbnRlbnRfVHlwZXNd&#10;LnhtbFBLAQItABQABgAIAAAAIQA4/SH/1gAAAJQBAAALAAAAAAAAAAAAAAAAAC8BAABfcmVscy8u&#10;cmVsc1BLAQItABQABgAIAAAAIQAiEykq0wIAAMYFAAAOAAAAAAAAAAAAAAAAAC4CAABkcnMvZTJv&#10;RG9jLnhtbFBLAQItABQABgAIAAAAIQBbP8c43gAAAAgBAAAPAAAAAAAAAAAAAAAAAC0FAABkcnMv&#10;ZG93bnJldi54bWxQSwUGAAAAAAQABADzAAAAOAYAAAAA&#10;" filled="f" stroked="f">
                <v:textbox inset="0,0,0,0">
                  <w:txbxContent>
                    <w:p w:rsidR="005A67D3" w:rsidRPr="00364C2C" w:rsidRDefault="005A67D3" w:rsidP="00111C25">
                      <w:pPr>
                        <w:pStyle w:val="NormalWeb"/>
                        <w:spacing w:before="0"/>
                        <w:jc w:val="center"/>
                        <w:rPr>
                          <w:rFonts w:ascii="Calibri" w:hAnsi="Calibri" w:cs="Traditional Arabic"/>
                          <w:b/>
                          <w:bCs/>
                          <w:color w:val="000000"/>
                          <w:kern w:val="24"/>
                          <w:sz w:val="18"/>
                          <w:szCs w:val="26"/>
                        </w:rPr>
                      </w:pPr>
                      <w:r w:rsidRPr="00364C2C">
                        <w:rPr>
                          <w:rFonts w:ascii="Calibri" w:hAnsi="Calibri" w:cs="Traditional Arabic"/>
                          <w:b/>
                          <w:bCs/>
                          <w:color w:val="000000"/>
                          <w:kern w:val="24"/>
                          <w:sz w:val="18"/>
                          <w:szCs w:val="26"/>
                          <w:rtl/>
                        </w:rPr>
                        <w:t>خلية ماكروية</w:t>
                      </w:r>
                    </w:p>
                  </w:txbxContent>
                </v:textbox>
              </v:shape>
            </w:pict>
          </mc:Fallback>
        </mc:AlternateContent>
      </w:r>
    </w:p>
    <w:p w:rsidR="00111C25" w:rsidRDefault="00111C25" w:rsidP="00111C25">
      <w:pPr>
        <w:rPr>
          <w:lang w:bidi="ar"/>
        </w:rPr>
      </w:pPr>
    </w:p>
    <w:p w:rsidR="00111C25" w:rsidRDefault="00111C25" w:rsidP="00111C25">
      <w:pPr>
        <w:rPr>
          <w:spacing w:val="-6"/>
          <w:rtl/>
        </w:rPr>
      </w:pPr>
      <w:r>
        <w:rPr>
          <w:spacing w:val="-6"/>
          <w:rtl/>
        </w:rPr>
        <w:t xml:space="preserve">غير أن المشغلين يمتلكون </w:t>
      </w:r>
      <w:r>
        <w:rPr>
          <w:spacing w:val="-6"/>
          <w:rtl/>
          <w:lang w:bidi="ar"/>
        </w:rPr>
        <w:t>بعض المرونة في تصاميم شبكتهم تتيح لهم استخدام تغطية خلية ماكروية يقل نصف قطرها عن الحد الأقصى المتاح لمحطة قاعدة معينة. وبعبارة أخرى، يمكن للمشغلين أن يغيّروا مقاس الخلية من أجل تلبية مطالب السعة. ويتيح لهم ذلك رص الخلايا معاً رصاً أوثق، واستخدام خلايا ميكروية حيث أنصاف الأقطار المطلوبة أصغر.</w:t>
      </w:r>
    </w:p>
    <w:p w:rsidR="00111C25" w:rsidRDefault="00111C25" w:rsidP="00364C2C">
      <w:pPr>
        <w:pStyle w:val="Tabletitle"/>
        <w:rPr>
          <w:rtl/>
        </w:rPr>
      </w:pPr>
      <w:bookmarkStart w:id="79" w:name="_Toc372276130"/>
      <w:bookmarkStart w:id="80" w:name="_Toc380497407"/>
      <w:r>
        <w:rPr>
          <w:rtl/>
        </w:rPr>
        <w:t xml:space="preserve">الجدول </w:t>
      </w:r>
      <w:r>
        <w:t>1-2.3</w:t>
      </w:r>
      <w:r w:rsidR="00364C2C">
        <w:rPr>
          <w:rFonts w:hint="cs"/>
          <w:rtl/>
        </w:rPr>
        <w:t>:</w:t>
      </w:r>
      <w:r>
        <w:rPr>
          <w:rtl/>
        </w:rPr>
        <w:t xml:space="preserve"> </w:t>
      </w:r>
      <w:r>
        <w:rPr>
          <w:rFonts w:hint="cs"/>
          <w:rtl/>
        </w:rPr>
        <w:t>أنواع مختلفة من مقاس الخلية</w:t>
      </w:r>
      <w:bookmarkEnd w:id="79"/>
      <w:bookmarkEnd w:id="80"/>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950"/>
        <w:gridCol w:w="1950"/>
        <w:gridCol w:w="1950"/>
        <w:gridCol w:w="1948"/>
      </w:tblGrid>
      <w:tr w:rsidR="00111C25" w:rsidTr="00364C2C">
        <w:tc>
          <w:tcPr>
            <w:tcW w:w="801" w:type="pct"/>
            <w:tcBorders>
              <w:top w:val="single" w:sz="4" w:space="0" w:color="auto"/>
              <w:left w:val="single" w:sz="4" w:space="0" w:color="auto"/>
              <w:bottom w:val="single" w:sz="4" w:space="0" w:color="auto"/>
              <w:right w:val="single" w:sz="4" w:space="0" w:color="auto"/>
            </w:tcBorders>
            <w:shd w:val="clear" w:color="auto" w:fill="005173"/>
            <w:hideMark/>
          </w:tcPr>
          <w:p w:rsidR="00111C25" w:rsidRDefault="00111C25" w:rsidP="00096506">
            <w:pPr>
              <w:pStyle w:val="Tablehead"/>
              <w:bidi/>
              <w:rPr>
                <w:lang w:bidi="ar"/>
              </w:rPr>
            </w:pPr>
            <w:r>
              <w:rPr>
                <w:rtl/>
              </w:rPr>
              <w:t>مقاس الخلية</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111C25" w:rsidRDefault="00111C25" w:rsidP="00096506">
            <w:pPr>
              <w:pStyle w:val="Tablehead"/>
              <w:bidi/>
              <w:rPr>
                <w:lang w:bidi="ar"/>
              </w:rPr>
            </w:pPr>
            <w:r>
              <w:rPr>
                <w:rtl/>
              </w:rPr>
              <w:t>خلية ماكروية</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111C25" w:rsidRDefault="00111C25" w:rsidP="00096506">
            <w:pPr>
              <w:pStyle w:val="Tablehead"/>
              <w:bidi/>
              <w:rPr>
                <w:lang w:bidi="ar"/>
              </w:rPr>
            </w:pPr>
            <w:r>
              <w:rPr>
                <w:rtl/>
              </w:rPr>
              <w:t>خلية ميكروية</w:t>
            </w:r>
          </w:p>
        </w:tc>
        <w:tc>
          <w:tcPr>
            <w:tcW w:w="1050" w:type="pct"/>
            <w:tcBorders>
              <w:top w:val="single" w:sz="4" w:space="0" w:color="auto"/>
              <w:left w:val="single" w:sz="4" w:space="0" w:color="auto"/>
              <w:bottom w:val="single" w:sz="4" w:space="0" w:color="auto"/>
              <w:right w:val="single" w:sz="4" w:space="0" w:color="auto"/>
            </w:tcBorders>
            <w:shd w:val="clear" w:color="auto" w:fill="005173"/>
            <w:hideMark/>
          </w:tcPr>
          <w:p w:rsidR="00111C25" w:rsidRDefault="00111C25" w:rsidP="00096506">
            <w:pPr>
              <w:pStyle w:val="Tablehead"/>
              <w:bidi/>
              <w:rPr>
                <w:lang w:bidi="ar"/>
              </w:rPr>
            </w:pPr>
            <w:r>
              <w:rPr>
                <w:rtl/>
              </w:rPr>
              <w:t>خلية بيكوية</w:t>
            </w:r>
          </w:p>
        </w:tc>
        <w:tc>
          <w:tcPr>
            <w:tcW w:w="1049" w:type="pct"/>
            <w:tcBorders>
              <w:top w:val="single" w:sz="4" w:space="0" w:color="auto"/>
              <w:left w:val="single" w:sz="4" w:space="0" w:color="auto"/>
              <w:bottom w:val="single" w:sz="4" w:space="0" w:color="auto"/>
              <w:right w:val="single" w:sz="4" w:space="0" w:color="auto"/>
            </w:tcBorders>
            <w:shd w:val="clear" w:color="auto" w:fill="005173"/>
            <w:hideMark/>
          </w:tcPr>
          <w:p w:rsidR="00111C25" w:rsidRDefault="00111C25" w:rsidP="00096506">
            <w:pPr>
              <w:pStyle w:val="Tablehead"/>
              <w:bidi/>
              <w:rPr>
                <w:lang w:bidi="ar"/>
              </w:rPr>
            </w:pPr>
            <w:r>
              <w:rPr>
                <w:rtl/>
              </w:rPr>
              <w:t>خلية فيمتوية</w:t>
            </w:r>
          </w:p>
        </w:tc>
      </w:tr>
      <w:tr w:rsidR="00111C25" w:rsidTr="00364C2C">
        <w:tc>
          <w:tcPr>
            <w:tcW w:w="801" w:type="pct"/>
            <w:tcBorders>
              <w:top w:val="single" w:sz="4" w:space="0" w:color="auto"/>
              <w:left w:val="single" w:sz="4" w:space="0" w:color="auto"/>
              <w:bottom w:val="single" w:sz="4" w:space="0" w:color="auto"/>
              <w:right w:val="single" w:sz="4" w:space="0" w:color="auto"/>
            </w:tcBorders>
            <w:shd w:val="clear" w:color="auto" w:fill="E8F8FD"/>
            <w:hideMark/>
          </w:tcPr>
          <w:p w:rsidR="00111C25" w:rsidRDefault="00111C25" w:rsidP="00364C2C">
            <w:pPr>
              <w:pStyle w:val="Tabletext"/>
              <w:rPr>
                <w:lang w:bidi="ar"/>
              </w:rPr>
            </w:pPr>
            <w:r>
              <w:rPr>
                <w:rtl/>
              </w:rPr>
              <w:t>مدى مقاس الخلية</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111C25" w:rsidRDefault="00111C25" w:rsidP="00364C2C">
            <w:pPr>
              <w:pStyle w:val="Tabletext"/>
              <w:rPr>
                <w:lang w:bidi="ar"/>
              </w:rPr>
            </w:pPr>
            <w:r>
              <w:rPr>
                <w:rtl/>
                <w:lang w:bidi="ar"/>
              </w:rPr>
              <w:t>من مئات الأمتار إلى عدة كيلومترات</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111C25" w:rsidRDefault="00111C25" w:rsidP="00364C2C">
            <w:pPr>
              <w:pStyle w:val="Tabletext"/>
              <w:rPr>
                <w:lang w:bidi="ar"/>
              </w:rPr>
            </w:pPr>
            <w:r>
              <w:rPr>
                <w:rtl/>
                <w:lang w:bidi="ar"/>
              </w:rPr>
              <w:t>من عشرات الأمتار إلى عدة مئات من الأمتار</w:t>
            </w:r>
          </w:p>
        </w:tc>
        <w:tc>
          <w:tcPr>
            <w:tcW w:w="1050" w:type="pct"/>
            <w:tcBorders>
              <w:top w:val="single" w:sz="4" w:space="0" w:color="auto"/>
              <w:left w:val="single" w:sz="4" w:space="0" w:color="auto"/>
              <w:bottom w:val="single" w:sz="4" w:space="0" w:color="auto"/>
              <w:right w:val="single" w:sz="4" w:space="0" w:color="auto"/>
            </w:tcBorders>
            <w:shd w:val="clear" w:color="auto" w:fill="E8F8FD"/>
            <w:hideMark/>
          </w:tcPr>
          <w:p w:rsidR="00111C25" w:rsidRDefault="00111C25" w:rsidP="00364C2C">
            <w:pPr>
              <w:pStyle w:val="Tabletext"/>
              <w:rPr>
                <w:lang w:bidi="ar"/>
              </w:rPr>
            </w:pPr>
            <w:r>
              <w:rPr>
                <w:rtl/>
              </w:rPr>
              <w:t>من بضعة أمتار إلى عشرات الأمتار</w:t>
            </w:r>
          </w:p>
        </w:tc>
        <w:tc>
          <w:tcPr>
            <w:tcW w:w="1049" w:type="pct"/>
            <w:tcBorders>
              <w:top w:val="single" w:sz="4" w:space="0" w:color="auto"/>
              <w:left w:val="single" w:sz="4" w:space="0" w:color="auto"/>
              <w:bottom w:val="single" w:sz="4" w:space="0" w:color="auto"/>
              <w:right w:val="single" w:sz="4" w:space="0" w:color="auto"/>
            </w:tcBorders>
            <w:shd w:val="clear" w:color="auto" w:fill="E8F8FD"/>
            <w:hideMark/>
          </w:tcPr>
          <w:p w:rsidR="00111C25" w:rsidRDefault="00111C25" w:rsidP="00364C2C">
            <w:pPr>
              <w:pStyle w:val="Tabletext"/>
              <w:rPr>
                <w:lang w:bidi="ar"/>
              </w:rPr>
            </w:pPr>
            <w:r>
              <w:rPr>
                <w:rtl/>
              </w:rPr>
              <w:t>بضعة أمتار</w:t>
            </w:r>
          </w:p>
        </w:tc>
      </w:tr>
      <w:tr w:rsidR="00111C25" w:rsidTr="00111C25">
        <w:tc>
          <w:tcPr>
            <w:tcW w:w="801" w:type="pct"/>
            <w:tcBorders>
              <w:top w:val="single" w:sz="4" w:space="0" w:color="auto"/>
              <w:left w:val="single" w:sz="4" w:space="0" w:color="auto"/>
              <w:bottom w:val="single" w:sz="4" w:space="0" w:color="auto"/>
              <w:right w:val="single" w:sz="4" w:space="0" w:color="auto"/>
            </w:tcBorders>
            <w:hideMark/>
          </w:tcPr>
          <w:p w:rsidR="00111C25" w:rsidRDefault="00111C25" w:rsidP="00364C2C">
            <w:pPr>
              <w:pStyle w:val="Tabletext"/>
              <w:rPr>
                <w:lang w:bidi="ar"/>
              </w:rPr>
            </w:pPr>
            <w:r>
              <w:rPr>
                <w:rtl/>
              </w:rPr>
              <w:t>الاستخدام النمطي</w:t>
            </w:r>
          </w:p>
        </w:tc>
        <w:tc>
          <w:tcPr>
            <w:tcW w:w="1050" w:type="pct"/>
            <w:tcBorders>
              <w:top w:val="single" w:sz="4" w:space="0" w:color="auto"/>
              <w:left w:val="single" w:sz="4" w:space="0" w:color="auto"/>
              <w:bottom w:val="single" w:sz="4" w:space="0" w:color="auto"/>
              <w:right w:val="single" w:sz="4" w:space="0" w:color="auto"/>
            </w:tcBorders>
            <w:hideMark/>
          </w:tcPr>
          <w:p w:rsidR="00111C25" w:rsidRDefault="00111C25" w:rsidP="00364C2C">
            <w:pPr>
              <w:pStyle w:val="Tabletext"/>
              <w:rPr>
                <w:lang w:bidi="ar"/>
              </w:rPr>
            </w:pPr>
            <w:r>
              <w:rPr>
                <w:rtl/>
              </w:rPr>
              <w:t>في الخلاء</w:t>
            </w:r>
          </w:p>
        </w:tc>
        <w:tc>
          <w:tcPr>
            <w:tcW w:w="1050" w:type="pct"/>
            <w:tcBorders>
              <w:top w:val="single" w:sz="4" w:space="0" w:color="auto"/>
              <w:left w:val="single" w:sz="4" w:space="0" w:color="auto"/>
              <w:bottom w:val="single" w:sz="4" w:space="0" w:color="auto"/>
              <w:right w:val="single" w:sz="4" w:space="0" w:color="auto"/>
            </w:tcBorders>
            <w:hideMark/>
          </w:tcPr>
          <w:p w:rsidR="00111C25" w:rsidRDefault="00111C25" w:rsidP="00364C2C">
            <w:pPr>
              <w:pStyle w:val="Tabletext"/>
              <w:rPr>
                <w:lang w:bidi="ar"/>
              </w:rPr>
            </w:pPr>
            <w:r>
              <w:rPr>
                <w:rtl/>
              </w:rPr>
              <w:t>في الخلاء/داخل المباني</w:t>
            </w:r>
          </w:p>
        </w:tc>
        <w:tc>
          <w:tcPr>
            <w:tcW w:w="1050" w:type="pct"/>
            <w:tcBorders>
              <w:top w:val="single" w:sz="4" w:space="0" w:color="auto"/>
              <w:left w:val="single" w:sz="4" w:space="0" w:color="auto"/>
              <w:bottom w:val="single" w:sz="4" w:space="0" w:color="auto"/>
              <w:right w:val="single" w:sz="4" w:space="0" w:color="auto"/>
            </w:tcBorders>
            <w:hideMark/>
          </w:tcPr>
          <w:p w:rsidR="00111C25" w:rsidRDefault="00111C25" w:rsidP="00364C2C">
            <w:pPr>
              <w:pStyle w:val="Tabletext"/>
              <w:rPr>
                <w:lang w:bidi="ar"/>
              </w:rPr>
            </w:pPr>
            <w:r>
              <w:rPr>
                <w:rtl/>
                <w:lang w:bidi="ar"/>
              </w:rPr>
              <w:t>في المقام الأول داخل المنازل والأقبية والطوابق العلوية في مبنى شاهق</w:t>
            </w:r>
          </w:p>
        </w:tc>
        <w:tc>
          <w:tcPr>
            <w:tcW w:w="1049" w:type="pct"/>
            <w:tcBorders>
              <w:top w:val="single" w:sz="4" w:space="0" w:color="auto"/>
              <w:left w:val="single" w:sz="4" w:space="0" w:color="auto"/>
              <w:bottom w:val="single" w:sz="4" w:space="0" w:color="auto"/>
              <w:right w:val="single" w:sz="4" w:space="0" w:color="auto"/>
            </w:tcBorders>
            <w:hideMark/>
          </w:tcPr>
          <w:p w:rsidR="00111C25" w:rsidRDefault="00111C25" w:rsidP="00364C2C">
            <w:pPr>
              <w:pStyle w:val="Tabletext"/>
              <w:rPr>
                <w:lang w:bidi="ar"/>
              </w:rPr>
            </w:pPr>
            <w:r>
              <w:rPr>
                <w:rtl/>
                <w:lang w:bidi="ar"/>
              </w:rPr>
              <w:t>عادة داخل منزل/غرفة، أو مكتب</w:t>
            </w:r>
          </w:p>
        </w:tc>
      </w:tr>
    </w:tbl>
    <w:p w:rsidR="00BE1085" w:rsidRDefault="00BE1085" w:rsidP="00BE1085">
      <w:pPr>
        <w:spacing w:before="0"/>
        <w:rPr>
          <w:rtl/>
        </w:rPr>
      </w:pPr>
    </w:p>
    <w:p w:rsidR="00111C25" w:rsidRDefault="00111C25" w:rsidP="00BE1085">
      <w:pPr>
        <w:pStyle w:val="HeadingB"/>
        <w:rPr>
          <w:rFonts w:cs="Times New Roman"/>
          <w:rtl/>
        </w:rPr>
      </w:pPr>
      <w:r>
        <w:rPr>
          <w:rtl/>
        </w:rPr>
        <w:t>•</w:t>
      </w:r>
      <w:r>
        <w:rPr>
          <w:rtl/>
        </w:rPr>
        <w:tab/>
        <w:t xml:space="preserve">تدابير </w:t>
      </w:r>
      <w:r w:rsidRPr="00BE1085">
        <w:rPr>
          <w:rtl/>
        </w:rPr>
        <w:t>أخرى</w:t>
      </w:r>
      <w:r>
        <w:rPr>
          <w:rtl/>
        </w:rPr>
        <w:t xml:space="preserve"> بشأن الزيادة السريعة في الحركة اللاسلكية</w:t>
      </w:r>
    </w:p>
    <w:p w:rsidR="00111C25" w:rsidRDefault="00111C25" w:rsidP="00111C25">
      <w:pPr>
        <w:pStyle w:val="Enumlevel1"/>
        <w:rPr>
          <w:rtl/>
          <w:lang w:bidi="ar"/>
        </w:rPr>
      </w:pPr>
      <w:r>
        <w:sym w:font="Symbol" w:char="F02D"/>
      </w:r>
      <w:r>
        <w:tab/>
      </w:r>
      <w:r>
        <w:rPr>
          <w:rtl/>
        </w:rPr>
        <w:t>اعتماد الترسيم حسب حجم الحركة</w:t>
      </w:r>
    </w:p>
    <w:p w:rsidR="00111C25" w:rsidRDefault="00111C25" w:rsidP="00111C25">
      <w:pPr>
        <w:pStyle w:val="Enumlevel1"/>
        <w:rPr>
          <w:rtl/>
          <w:lang w:bidi="ar"/>
        </w:rPr>
      </w:pPr>
      <w:r>
        <w:sym w:font="Symbol" w:char="F02D"/>
      </w:r>
      <w:r>
        <w:tab/>
      </w:r>
      <w:r>
        <w:rPr>
          <w:rtl/>
        </w:rPr>
        <w:t>تقييد الاستخدام المكثف (للغاية)</w:t>
      </w:r>
    </w:p>
    <w:p w:rsidR="00111C25" w:rsidRDefault="00111C25" w:rsidP="00111C25">
      <w:pPr>
        <w:pStyle w:val="Enumlevel1"/>
        <w:rPr>
          <w:rtl/>
          <w:lang w:bidi="ar"/>
        </w:rPr>
      </w:pPr>
      <w:r>
        <w:sym w:font="Symbol" w:char="F02D"/>
      </w:r>
      <w:r>
        <w:tab/>
      </w:r>
      <w:r>
        <w:rPr>
          <w:rtl/>
        </w:rPr>
        <w:t>تفريغ البيانات</w:t>
      </w:r>
    </w:p>
    <w:p w:rsidR="00111C25" w:rsidRDefault="00111C25" w:rsidP="00111C25">
      <w:pPr>
        <w:rPr>
          <w:spacing w:val="-6"/>
          <w:rtl/>
          <w:lang w:bidi="ar"/>
        </w:rPr>
      </w:pPr>
      <w:r>
        <w:rPr>
          <w:spacing w:val="-6"/>
          <w:rtl/>
          <w:lang w:bidi="ar"/>
        </w:rPr>
        <w:t xml:space="preserve">لتوفير بيانات لا سلكية عالية السرعة على نحو فعال، يشجع المشغلون المستخدمين في بعض الأحيان على الاستفادة من محطات قاعدة أصغر مثل الخلايا الفمتوية، أو نقاط نفاذ واي فاي </w:t>
      </w:r>
      <w:r>
        <w:rPr>
          <w:spacing w:val="-6"/>
          <w:lang w:bidi="ar"/>
        </w:rPr>
        <w:t>(</w:t>
      </w:r>
      <w:r>
        <w:rPr>
          <w:bCs/>
          <w:spacing w:val="-6"/>
          <w:lang w:bidi="ar"/>
        </w:rPr>
        <w:t>Wi-Fi</w:t>
      </w:r>
      <w:r>
        <w:rPr>
          <w:spacing w:val="-6"/>
          <w:lang w:bidi="ar"/>
        </w:rPr>
        <w:t>)</w:t>
      </w:r>
      <w:r>
        <w:rPr>
          <w:spacing w:val="-6"/>
          <w:rtl/>
          <w:lang w:bidi="ar"/>
        </w:rPr>
        <w:t>، حيث كفاءة استخدام الترددات عالية جداً. ثم تسيَّر الحركة إلى نظام الاتصالات السلكية، الذي لا يقلق بشأن التداخل. ويشار إلى مثل هذا النهج بنهج "تفريغ البيانات".</w:t>
      </w:r>
    </w:p>
    <w:p w:rsidR="00111C25" w:rsidRDefault="00111C25" w:rsidP="00111C25">
      <w:pPr>
        <w:rPr>
          <w:spacing w:val="-6"/>
          <w:rtl/>
          <w:lang w:bidi="ar"/>
        </w:rPr>
      </w:pPr>
      <w:r>
        <w:rPr>
          <w:spacing w:val="-6"/>
          <w:rtl/>
          <w:lang w:bidi="ar"/>
        </w:rPr>
        <w:lastRenderedPageBreak/>
        <w:t xml:space="preserve">ويمكن الاطلاع على مزيد من المعلومات عن تقنيات مواجهة الزيادة في الحركة اللاسلكية في الملحق </w:t>
      </w:r>
      <w:r>
        <w:rPr>
          <w:spacing w:val="-6"/>
          <w:lang w:bidi="ar"/>
        </w:rPr>
        <w:t>5</w:t>
      </w:r>
      <w:r>
        <w:rPr>
          <w:spacing w:val="-6"/>
          <w:rtl/>
          <w:lang w:bidi="ar"/>
        </w:rPr>
        <w:t xml:space="preserve"> </w:t>
      </w:r>
      <w:hyperlink r:id="rId28" w:history="1">
        <w:r>
          <w:rPr>
            <w:rStyle w:val="Hyperlink"/>
            <w:spacing w:val="-6"/>
            <w:rtl/>
            <w:lang w:bidi="ar"/>
          </w:rPr>
          <w:t>بالتقرير </w:t>
        </w:r>
        <w:r>
          <w:rPr>
            <w:rStyle w:val="Hyperlink"/>
            <w:spacing w:val="-6"/>
            <w:lang w:bidi="ar"/>
          </w:rPr>
          <w:t>ITU</w:t>
        </w:r>
        <w:r>
          <w:rPr>
            <w:rStyle w:val="Hyperlink"/>
            <w:spacing w:val="-6"/>
            <w:lang w:bidi="ar"/>
          </w:rPr>
          <w:noBreakHyphen/>
          <w:t>R M.2243</w:t>
        </w:r>
      </w:hyperlink>
      <w:r>
        <w:rPr>
          <w:rFonts w:hint="cs"/>
          <w:spacing w:val="-6"/>
          <w:rtl/>
          <w:lang w:bidi="ar"/>
        </w:rPr>
        <w:t xml:space="preserve"> عن "تقييم عمليات النشر والتنبؤات المتعلقة بالنطاق العريض المتنقل من أجل الاتصالات المتنقلة الدولية" ويحمل الملحق عنوان: "تدابير مختلفة للرد على زيادة حركة الاتصالات المتنقلة ذات النطاق العريض".</w:t>
      </w:r>
    </w:p>
    <w:p w:rsidR="00111C25" w:rsidRDefault="00111C25" w:rsidP="00111C25">
      <w:pPr>
        <w:pStyle w:val="Heading2"/>
        <w:rPr>
          <w:rtl/>
        </w:rPr>
      </w:pPr>
      <w:bookmarkStart w:id="81" w:name="_Toc372276131"/>
      <w:bookmarkStart w:id="82" w:name="_Toc380496730"/>
      <w:r>
        <w:t>3.3</w:t>
      </w:r>
      <w:r>
        <w:rPr>
          <w:rtl/>
        </w:rPr>
        <w:tab/>
        <w:t>تكنولوجيات النفاذ عريض النطاق السلكي</w:t>
      </w:r>
      <w:r>
        <w:rPr>
          <w:rStyle w:val="FootnoteReference"/>
          <w:rFonts w:ascii="Verdana Bold" w:hAnsi="Verdana Bold"/>
          <w:rtl/>
        </w:rPr>
        <w:footnoteReference w:id="60"/>
      </w:r>
      <w:bookmarkEnd w:id="81"/>
      <w:bookmarkEnd w:id="82"/>
    </w:p>
    <w:p w:rsidR="00111C25" w:rsidRDefault="00111C25" w:rsidP="00BE1085">
      <w:pPr>
        <w:pStyle w:val="Heading4"/>
        <w:rPr>
          <w:rtl/>
          <w:lang w:bidi="ar-EG"/>
        </w:rPr>
      </w:pPr>
      <w:r>
        <w:rPr>
          <w:rtl/>
          <w:lang w:bidi="ar-EG"/>
        </w:rPr>
        <w:t xml:space="preserve">شبكة النطاق العريض السلكية - الشبكة الرقمية متكاملة الخدمات </w:t>
      </w:r>
      <w:r>
        <w:rPr>
          <w:lang w:bidi="ar-EG"/>
        </w:rPr>
        <w:t>(ISDN)</w:t>
      </w:r>
    </w:p>
    <w:p w:rsidR="00111C25" w:rsidRPr="00BE1085" w:rsidRDefault="00111C25" w:rsidP="00BE1085">
      <w:pPr>
        <w:rPr>
          <w:spacing w:val="-4"/>
          <w:rtl/>
          <w:lang w:bidi="ar-SY"/>
        </w:rPr>
      </w:pPr>
      <w:r w:rsidRPr="00BE1085">
        <w:rPr>
          <w:spacing w:val="-4"/>
          <w:rtl/>
          <w:lang w:bidi="ar"/>
        </w:rPr>
        <w:t xml:space="preserve">كانت الشبكة الرقمية متكاملة الخدمات </w:t>
      </w:r>
      <w:r w:rsidRPr="00BE1085">
        <w:rPr>
          <w:spacing w:val="-4"/>
          <w:lang w:bidi="ar"/>
        </w:rPr>
        <w:t>(ISDN)</w:t>
      </w:r>
      <w:r w:rsidRPr="00BE1085">
        <w:rPr>
          <w:spacing w:val="-4"/>
          <w:rtl/>
          <w:lang w:bidi="ar"/>
        </w:rPr>
        <w:t xml:space="preserve"> أول محاولة لتحقيق شبكة هاتف/اتصالات رقمية بالكامل (بدلاً من استخدام أجهزة المودم عبر الدارات التماثلية المبدلة). وتوفر الشبكة الرقمية متكاملة الخدمات لكل مشترك قناة أو قناتين من الخدمة الرقمية بمعدل </w:t>
      </w:r>
      <w:r w:rsidRPr="00BE1085">
        <w:rPr>
          <w:spacing w:val="-4"/>
          <w:lang w:bidi="ar"/>
        </w:rPr>
        <w:t>64</w:t>
      </w:r>
      <w:r w:rsidRPr="00BE1085">
        <w:rPr>
          <w:spacing w:val="-4"/>
          <w:rtl/>
          <w:lang w:bidi="ar"/>
        </w:rPr>
        <w:t xml:space="preserve"> </w:t>
      </w:r>
      <w:r w:rsidRPr="00BE1085">
        <w:rPr>
          <w:spacing w:val="-4"/>
          <w:lang w:bidi="ar"/>
        </w:rPr>
        <w:t>kb/s</w:t>
      </w:r>
      <w:r w:rsidRPr="00BE1085">
        <w:rPr>
          <w:spacing w:val="-4"/>
          <w:rtl/>
        </w:rPr>
        <w:t xml:space="preserve"> وقناة إشارة رقمية بمعدل </w:t>
      </w:r>
      <w:r w:rsidRPr="00BE1085">
        <w:rPr>
          <w:spacing w:val="-4"/>
          <w:lang w:bidi="ar"/>
        </w:rPr>
        <w:t>16</w:t>
      </w:r>
      <w:r w:rsidRPr="00BE1085">
        <w:rPr>
          <w:spacing w:val="-4"/>
          <w:rtl/>
        </w:rPr>
        <w:t xml:space="preserve"> </w:t>
      </w:r>
      <w:r w:rsidRPr="00BE1085">
        <w:rPr>
          <w:spacing w:val="-4"/>
          <w:lang w:bidi="ar"/>
        </w:rPr>
        <w:t>kb/s</w:t>
      </w:r>
      <w:r w:rsidRPr="00BE1085">
        <w:rPr>
          <w:spacing w:val="-4"/>
          <w:rtl/>
        </w:rPr>
        <w:t>.</w:t>
      </w:r>
      <w:r w:rsidRPr="00BE1085">
        <w:rPr>
          <w:spacing w:val="-4"/>
          <w:rtl/>
          <w:lang w:bidi="ar"/>
        </w:rPr>
        <w:t xml:space="preserve"> وقد صُممت الشبكة لنقل الصوت والبيانات والصور والفيديو، في نسق رقمي، بشبكة معيارية وسطح الجهاز البيني عبر الشبكة الهاتفية العمومية التبديلية </w:t>
      </w:r>
      <w:r w:rsidRPr="00BE1085">
        <w:rPr>
          <w:spacing w:val="-4"/>
          <w:lang w:bidi="ar"/>
        </w:rPr>
        <w:t>(PSTN)</w:t>
      </w:r>
      <w:r w:rsidRPr="00BE1085">
        <w:rPr>
          <w:spacing w:val="-4"/>
          <w:rtl/>
          <w:lang w:bidi="ar"/>
        </w:rPr>
        <w:t xml:space="preserve"> أساساً. وترقى توصيات قطاع تقييس الاتصالات التي تصف هذا التطبيق إلى عام </w:t>
      </w:r>
      <w:r w:rsidRPr="00BE1085">
        <w:rPr>
          <w:spacing w:val="-4"/>
          <w:lang w:bidi="ar"/>
        </w:rPr>
        <w:t>1980</w:t>
      </w:r>
      <w:r w:rsidRPr="00BE1085">
        <w:rPr>
          <w:spacing w:val="-4"/>
          <w:rtl/>
          <w:lang w:bidi="ar"/>
        </w:rPr>
        <w:t>، وهي سلسلة التوصيات </w:t>
      </w:r>
      <w:r w:rsidRPr="00BE1085">
        <w:rPr>
          <w:spacing w:val="-4"/>
          <w:lang w:bidi="ar"/>
        </w:rPr>
        <w:t>I</w:t>
      </w:r>
      <w:r w:rsidRPr="00BE1085">
        <w:rPr>
          <w:spacing w:val="-4"/>
          <w:rtl/>
          <w:lang w:bidi="ar-SY"/>
        </w:rPr>
        <w:t>، وبالأخص منها التوصيتان </w:t>
      </w:r>
      <w:r w:rsidRPr="00BE1085">
        <w:rPr>
          <w:bCs/>
          <w:spacing w:val="-4"/>
          <w:lang w:bidi="ar"/>
        </w:rPr>
        <w:t xml:space="preserve"> ITU-T I.120</w:t>
      </w:r>
      <w:r w:rsidRPr="00BE1085">
        <w:rPr>
          <w:bCs/>
          <w:spacing w:val="-4"/>
          <w:rtl/>
        </w:rPr>
        <w:t xml:space="preserve"> </w:t>
      </w:r>
      <w:r w:rsidRPr="00BE1085">
        <w:rPr>
          <w:spacing w:val="-4"/>
          <w:rtl/>
          <w:lang w:bidi="ar-SY"/>
        </w:rPr>
        <w:t>و</w:t>
      </w:r>
      <w:r w:rsidRPr="00BE1085">
        <w:rPr>
          <w:bCs/>
          <w:spacing w:val="-4"/>
          <w:lang w:bidi="ar"/>
        </w:rPr>
        <w:t>ITU-T I.210</w:t>
      </w:r>
      <w:r w:rsidRPr="00BE1085">
        <w:rPr>
          <w:spacing w:val="-4"/>
          <w:rtl/>
          <w:lang w:bidi="ar-SY"/>
        </w:rPr>
        <w:t>.</w:t>
      </w:r>
    </w:p>
    <w:p w:rsidR="00111C25" w:rsidRDefault="00111C25" w:rsidP="00111C25">
      <w:pPr>
        <w:rPr>
          <w:rtl/>
          <w:lang w:bidi="ar"/>
        </w:rPr>
      </w:pPr>
      <w:r>
        <w:rPr>
          <w:rtl/>
          <w:lang w:bidi="ar"/>
        </w:rPr>
        <w:t xml:space="preserve">وفي عام </w:t>
      </w:r>
      <w:r>
        <w:rPr>
          <w:lang w:bidi="ar"/>
        </w:rPr>
        <w:t>1988</w:t>
      </w:r>
      <w:r>
        <w:rPr>
          <w:rtl/>
          <w:lang w:bidi="ar"/>
        </w:rPr>
        <w:t xml:space="preserve"> نشرت التوصية </w:t>
      </w:r>
      <w:r>
        <w:rPr>
          <w:lang w:bidi="ar"/>
        </w:rPr>
        <w:t>ITU-T I.121</w:t>
      </w:r>
      <w:r>
        <w:rPr>
          <w:rtl/>
          <w:lang w:bidi="ar"/>
        </w:rPr>
        <w:t xml:space="preserve"> التي وصفت خدمة </w:t>
      </w:r>
      <w:r>
        <w:rPr>
          <w:lang w:bidi="ar"/>
        </w:rPr>
        <w:t>ISDN</w:t>
      </w:r>
      <w:r>
        <w:rPr>
          <w:rtl/>
          <w:lang w:bidi="ar"/>
        </w:rPr>
        <w:t xml:space="preserve"> المعززة المنشأة بتعدد إرسال قنوات متعددة معدلها </w:t>
      </w:r>
      <w:r>
        <w:rPr>
          <w:lang w:bidi="ar"/>
        </w:rPr>
        <w:t>64</w:t>
      </w:r>
      <w:r>
        <w:rPr>
          <w:rtl/>
          <w:lang w:bidi="ar"/>
        </w:rPr>
        <w:t xml:space="preserve"> </w:t>
      </w:r>
      <w:r>
        <w:rPr>
          <w:lang w:bidi="ar"/>
        </w:rPr>
        <w:t>kb/s</w:t>
      </w:r>
      <w:r>
        <w:rPr>
          <w:rtl/>
          <w:lang w:bidi="ar"/>
        </w:rPr>
        <w:t xml:space="preserve"> والمدارة بأسلوب نقل غير متزامن </w:t>
      </w:r>
      <w:r>
        <w:rPr>
          <w:lang w:bidi="ar"/>
        </w:rPr>
        <w:t>(</w:t>
      </w:r>
      <w:r>
        <w:rPr>
          <w:bCs/>
          <w:lang w:bidi="ar"/>
        </w:rPr>
        <w:t>ATM</w:t>
      </w:r>
      <w:r>
        <w:rPr>
          <w:lang w:bidi="ar"/>
        </w:rPr>
        <w:t>)</w:t>
      </w:r>
      <w:r>
        <w:rPr>
          <w:rtl/>
          <w:lang w:bidi="ar"/>
        </w:rPr>
        <w:t xml:space="preserve">. وعلى الرغم من أن الشبكة الرقمية متكاملة الخدمات وجدت لها العديد من التطبيقات المتخصصة الهامة مثل مؤتمرات الفيديو والتسجيل السمعي، فهي لم تزدهر أبداً بوصفها تكنولوجيا نفاذ المستهلك إلى النطاق العريض، باستثناء حالة ألمانيا الملحوظة – حيث وُجدت </w:t>
      </w:r>
      <w:r>
        <w:rPr>
          <w:lang w:bidi="ar"/>
        </w:rPr>
        <w:t>25</w:t>
      </w:r>
      <w:r>
        <w:rPr>
          <w:rtl/>
          <w:lang w:bidi="ar"/>
        </w:rPr>
        <w:t xml:space="preserve"> مليون قناة من قنوات الشبكة الرقمية متكاملة الخدمات في وقت من الأوقات.</w:t>
      </w:r>
    </w:p>
    <w:p w:rsidR="00111C25" w:rsidRDefault="00111C25" w:rsidP="00BE1085">
      <w:pPr>
        <w:pStyle w:val="Heading4"/>
        <w:rPr>
          <w:rtl/>
          <w:lang w:bidi="ar-EG"/>
        </w:rPr>
      </w:pPr>
      <w:r>
        <w:rPr>
          <w:rtl/>
          <w:lang w:bidi="ar-EG"/>
        </w:rPr>
        <w:t xml:space="preserve">شبكة النطاق العريض السلكية - الخط الرقمي للمشترك </w:t>
      </w:r>
      <w:r>
        <w:rPr>
          <w:lang w:bidi="ar-EG"/>
        </w:rPr>
        <w:t>(DSL)</w:t>
      </w:r>
    </w:p>
    <w:p w:rsidR="00111C25" w:rsidRDefault="00111C25" w:rsidP="00111C25">
      <w:pPr>
        <w:rPr>
          <w:spacing w:val="-4"/>
          <w:rtl/>
          <w:lang w:bidi="ar"/>
        </w:rPr>
      </w:pPr>
      <w:r>
        <w:rPr>
          <w:spacing w:val="-4"/>
          <w:rtl/>
          <w:lang w:bidi="ar"/>
        </w:rPr>
        <w:t>إن ضعف اعتماد الشبكة الرقمية متكاملة الخدمات كتكنولوجيا للنفاذ عريض النطاق السلكي يعزى إلى عدة عوامل، منها تأخر تقييسها وعدم مواكبتها التقدم في تطبيقات مثل الفيديو والتفاعل، وتعقيد الحلول الاستهلاكية والتسويق المحدود من جانب مشغلي الشبكة. سوى أن سرعة تطور وتسويق الخط الرقمي للمشترك (</w:t>
      </w:r>
      <w:r>
        <w:rPr>
          <w:spacing w:val="-4"/>
          <w:lang w:bidi="ar"/>
        </w:rPr>
        <w:t>DSL</w:t>
      </w:r>
      <w:r>
        <w:rPr>
          <w:spacing w:val="-4"/>
          <w:rtl/>
          <w:lang w:bidi="ar"/>
        </w:rPr>
        <w:t xml:space="preserve"> </w:t>
      </w:r>
      <w:r>
        <w:rPr>
          <w:rFonts w:hint="cs"/>
          <w:spacing w:val="-4"/>
          <w:rtl/>
          <w:lang w:bidi="ar"/>
        </w:rPr>
        <w:t>– الذي كان يدعى في الأصل "العروة الرقمية للمشترك") بوصفه تكنولوجيا النطاق العريض السلكي سدد الضربة القاضية لنشر الشبكة الرقمية متكاملة الخدمات.</w:t>
      </w:r>
    </w:p>
    <w:p w:rsidR="00111C25" w:rsidRDefault="00111C25" w:rsidP="00111C25">
      <w:pPr>
        <w:rPr>
          <w:rtl/>
          <w:lang w:bidi="ar"/>
        </w:rPr>
      </w:pPr>
      <w:r>
        <w:rPr>
          <w:rtl/>
          <w:lang w:bidi="ar"/>
        </w:rPr>
        <w:t xml:space="preserve">ويحمل الخط الرقمي للمشترك إشارات النطاق العريض الرقمية عبر الشبكة الهاتفية العمومية التبديلية </w:t>
      </w:r>
      <w:r>
        <w:rPr>
          <w:lang w:bidi="ar"/>
        </w:rPr>
        <w:t>(PSTN)</w:t>
      </w:r>
      <w:r>
        <w:rPr>
          <w:rtl/>
          <w:lang w:bidi="ar"/>
        </w:rPr>
        <w:t xml:space="preserve"> باستخدام ترددات أعلى من تلك المستخدمة لحركة الاتصالات الصوتية. وهكذا، وبخلاف أجهزة المودم، يمكن للعميل استخدام الهاتف والحاسوب في وقت واحد والاحتفاظ بالسطوح البينية والمعدات القديمة (كالهاتف التماثلي). فعلى سبيل المثال، التنفيذ الاستهلاكي الأكثر شيوعاً للخط الرقمي للمشترك هو الخط الرقمي غير التناظري للمشترك </w:t>
      </w:r>
      <w:r>
        <w:rPr>
          <w:lang w:bidi="ar"/>
        </w:rPr>
        <w:t>(ADSL)</w:t>
      </w:r>
      <w:r>
        <w:rPr>
          <w:rtl/>
          <w:lang w:bidi="ar"/>
        </w:rPr>
        <w:t xml:space="preserve">، وتُحمل فيه إشارات النطاق العريض الرقمية على ترددات بين </w:t>
      </w:r>
      <w:r>
        <w:rPr>
          <w:lang w:bidi="ar"/>
        </w:rPr>
        <w:t>25</w:t>
      </w:r>
      <w:r>
        <w:rPr>
          <w:rtl/>
          <w:lang w:bidi="ar"/>
        </w:rPr>
        <w:t xml:space="preserve"> و</w:t>
      </w:r>
      <w:r>
        <w:rPr>
          <w:lang w:bidi="ar"/>
        </w:rPr>
        <w:t>1 104</w:t>
      </w:r>
      <w:r>
        <w:rPr>
          <w:rtl/>
          <w:lang w:bidi="ar"/>
        </w:rPr>
        <w:t xml:space="preserve"> </w:t>
      </w:r>
      <w:r>
        <w:rPr>
          <w:bCs/>
          <w:lang w:bidi="ar"/>
        </w:rPr>
        <w:t>kHz</w:t>
      </w:r>
      <w:r>
        <w:rPr>
          <w:rtl/>
          <w:lang w:bidi="ar"/>
        </w:rPr>
        <w:t>.</w:t>
      </w:r>
    </w:p>
    <w:p w:rsidR="00111C25" w:rsidRDefault="00111C25" w:rsidP="00111C25">
      <w:pPr>
        <w:rPr>
          <w:rtl/>
          <w:lang w:bidi="ar"/>
        </w:rPr>
      </w:pPr>
      <w:r>
        <w:rPr>
          <w:rtl/>
          <w:lang w:bidi="ar"/>
        </w:rPr>
        <w:t>ملاحظة - في هذه الورقة التقنية، يُستخدم مصطلح "النطاق العريض" عند توصيف نظام يتطلب قنوات إرسال قادرة على دعم معدلات أعلى من المعدل الأولي.</w:t>
      </w:r>
    </w:p>
    <w:p w:rsidR="00111C25" w:rsidRDefault="00111C25" w:rsidP="00111C25">
      <w:pPr>
        <w:rPr>
          <w:spacing w:val="-6"/>
          <w:rtl/>
          <w:lang w:bidi="ar"/>
        </w:rPr>
      </w:pPr>
      <w:r>
        <w:rPr>
          <w:spacing w:val="-6"/>
          <w:rtl/>
          <w:lang w:bidi="ar"/>
        </w:rPr>
        <w:t xml:space="preserve">وقد جرى تطوير عدة أنواع من الخط الرقمي للمشترك </w:t>
      </w:r>
      <w:r>
        <w:rPr>
          <w:spacing w:val="-6"/>
          <w:lang w:bidi="ar"/>
        </w:rPr>
        <w:t>(DSL)</w:t>
      </w:r>
      <w:r>
        <w:rPr>
          <w:spacing w:val="-6"/>
          <w:rtl/>
          <w:lang w:bidi="ar"/>
        </w:rPr>
        <w:t xml:space="preserve"> لتلبية التطبيقات المختلفة، كالتجارية منها (التناظري، أو </w:t>
      </w:r>
      <w:r>
        <w:rPr>
          <w:spacing w:val="-6"/>
          <w:lang w:bidi="ar"/>
        </w:rPr>
        <w:t>SDSL</w:t>
      </w:r>
      <w:r>
        <w:rPr>
          <w:spacing w:val="-6"/>
          <w:rtl/>
          <w:lang w:bidi="ar"/>
        </w:rPr>
        <w:t xml:space="preserve">)، والأكاديمية (التناظري عالي السرعة، أو </w:t>
      </w:r>
      <w:r>
        <w:rPr>
          <w:spacing w:val="-6"/>
          <w:lang w:bidi="ar"/>
        </w:rPr>
        <w:t>SHDSL</w:t>
      </w:r>
      <w:r>
        <w:rPr>
          <w:spacing w:val="-6"/>
          <w:rtl/>
          <w:lang w:bidi="ar"/>
        </w:rPr>
        <w:t>) والفيديوية (الخط الرقمي فائق السرعة للمشترك، أو </w:t>
      </w:r>
      <w:r>
        <w:rPr>
          <w:spacing w:val="-6"/>
          <w:lang w:bidi="ar"/>
        </w:rPr>
        <w:t>VDSL</w:t>
      </w:r>
      <w:r>
        <w:rPr>
          <w:spacing w:val="-6"/>
          <w:rtl/>
          <w:lang w:bidi="ar"/>
        </w:rPr>
        <w:t xml:space="preserve">). وتتحقق اختلافات الأداء بتغيير مستويات القدرة وخصائص الطيف، وتقنيات التشكيل المتطورة، والجمع بين السطوح البينية وإدارة الضوضاء. وتتوفر أيضاً إصدارات متقدمة من </w:t>
      </w:r>
      <w:r>
        <w:rPr>
          <w:spacing w:val="-6"/>
          <w:lang w:bidi="ar"/>
        </w:rPr>
        <w:t>ADSL</w:t>
      </w:r>
      <w:r>
        <w:rPr>
          <w:spacing w:val="-6"/>
          <w:rtl/>
          <w:lang w:bidi="ar"/>
        </w:rPr>
        <w:t xml:space="preserve"> و</w:t>
      </w:r>
      <w:r>
        <w:rPr>
          <w:spacing w:val="-6"/>
          <w:lang w:bidi="ar"/>
        </w:rPr>
        <w:t>VDSL</w:t>
      </w:r>
      <w:r>
        <w:rPr>
          <w:spacing w:val="-6"/>
          <w:rtl/>
          <w:lang w:bidi="ar"/>
        </w:rPr>
        <w:t xml:space="preserve"> مثل </w:t>
      </w:r>
      <w:r>
        <w:rPr>
          <w:spacing w:val="-6"/>
          <w:lang w:bidi="ar"/>
        </w:rPr>
        <w:t>ADSL2</w:t>
      </w:r>
      <w:r>
        <w:rPr>
          <w:spacing w:val="-6"/>
          <w:rtl/>
          <w:lang w:bidi="ar"/>
        </w:rPr>
        <w:t>، و</w:t>
      </w:r>
      <w:r>
        <w:rPr>
          <w:spacing w:val="-6"/>
          <w:lang w:bidi="ar"/>
        </w:rPr>
        <w:t>VDSL2</w:t>
      </w:r>
      <w:r>
        <w:rPr>
          <w:spacing w:val="-6"/>
          <w:rtl/>
          <w:lang w:bidi="ar"/>
        </w:rPr>
        <w:t xml:space="preserve"> و</w:t>
      </w:r>
      <w:r>
        <w:rPr>
          <w:spacing w:val="-6"/>
          <w:lang w:bidi="ar"/>
        </w:rPr>
        <w:t>ADSL2</w:t>
      </w:r>
      <w:r>
        <w:rPr>
          <w:spacing w:val="-6"/>
          <w:rtl/>
          <w:lang w:bidi="ar"/>
        </w:rPr>
        <w:t>+.</w:t>
      </w:r>
    </w:p>
    <w:p w:rsidR="00111C25" w:rsidRDefault="00111C25" w:rsidP="00111C25">
      <w:pPr>
        <w:rPr>
          <w:rtl/>
          <w:lang w:bidi="ar"/>
        </w:rPr>
      </w:pPr>
      <w:r>
        <w:rPr>
          <w:spacing w:val="-6"/>
          <w:rtl/>
          <w:lang w:bidi="ar"/>
        </w:rPr>
        <w:lastRenderedPageBreak/>
        <w:t xml:space="preserve">وميزة الخط الرقمي للمشترك </w:t>
      </w:r>
      <w:r>
        <w:rPr>
          <w:spacing w:val="-6"/>
          <w:lang w:bidi="ar"/>
        </w:rPr>
        <w:t>(DSL)</w:t>
      </w:r>
      <w:r>
        <w:rPr>
          <w:spacing w:val="-6"/>
          <w:rtl/>
          <w:lang w:bidi="ar"/>
        </w:rPr>
        <w:t xml:space="preserve"> المتمثلة في استخدامه للمنشأة المادية التقليدية للشبكة الهاتفية العمومية التبديلية </w:t>
      </w:r>
      <w:r>
        <w:rPr>
          <w:spacing w:val="-6"/>
          <w:lang w:bidi="ar"/>
        </w:rPr>
        <w:t>(PSTN)</w:t>
      </w:r>
      <w:r>
        <w:rPr>
          <w:rtl/>
          <w:lang w:bidi="ar"/>
        </w:rPr>
        <w:t xml:space="preserve"> تشوبها بضعة عوامل سلبية. فتنخفض معدلات أو سرعات بيانات المشترك بازدياد المسافة من مودم </w:t>
      </w:r>
      <w:r>
        <w:rPr>
          <w:lang w:bidi="ar"/>
        </w:rPr>
        <w:t>DSL</w:t>
      </w:r>
      <w:r>
        <w:rPr>
          <w:rtl/>
          <w:lang w:bidi="ar"/>
        </w:rPr>
        <w:t xml:space="preserve"> العائد لمشغل الشبكة (</w:t>
      </w:r>
      <w:r>
        <w:rPr>
          <w:lang w:bidi="ar"/>
        </w:rPr>
        <w:t>DSLAM</w:t>
      </w:r>
      <w:r>
        <w:rPr>
          <w:rtl/>
          <w:lang w:bidi="ar"/>
        </w:rPr>
        <w:t xml:space="preserve">، معدد إرسال النفاذ إلى الخط الرقمي للمشترك </w:t>
      </w:r>
      <w:r>
        <w:rPr>
          <w:lang w:bidi="ar"/>
        </w:rPr>
        <w:t>(DSL)</w:t>
      </w:r>
      <w:r>
        <w:rPr>
          <w:rtl/>
          <w:lang w:bidi="ar"/>
        </w:rPr>
        <w:t xml:space="preserve">) إلى مودم </w:t>
      </w:r>
      <w:r>
        <w:rPr>
          <w:lang w:bidi="ar"/>
        </w:rPr>
        <w:t>DSL</w:t>
      </w:r>
      <w:r>
        <w:rPr>
          <w:rtl/>
          <w:lang w:bidi="ar"/>
        </w:rPr>
        <w:t xml:space="preserve"> العائد للمشترك. ومن الحلول الشائعة، وضع معدد إرسال النفاذ إلى الخط الرقمي للمشترك </w:t>
      </w:r>
      <w:r>
        <w:rPr>
          <w:lang w:bidi="ar"/>
        </w:rPr>
        <w:t>(DSLAM)</w:t>
      </w:r>
      <w:r>
        <w:rPr>
          <w:rtl/>
          <w:lang w:bidi="ar"/>
        </w:rPr>
        <w:t xml:space="preserve"> ضمن الشبكة في مطراف بعيد </w:t>
      </w:r>
      <w:r>
        <w:rPr>
          <w:lang w:bidi="ar"/>
        </w:rPr>
        <w:t>(RT)</w:t>
      </w:r>
      <w:r>
        <w:rPr>
          <w:rtl/>
          <w:lang w:bidi="ar"/>
        </w:rPr>
        <w:t xml:space="preserve">، مما يقصر من طول العروة إلى المشترك. ويرد مثال على هذه التشكيلة بالنسبة إلى الخط الرقمي التناظري عالي السرعة للمشترك </w:t>
      </w:r>
      <w:r>
        <w:rPr>
          <w:lang w:bidi="ar"/>
        </w:rPr>
        <w:t>(SHDSL)</w:t>
      </w:r>
      <w:r>
        <w:rPr>
          <w:rtl/>
          <w:lang w:bidi="ar"/>
        </w:rPr>
        <w:t xml:space="preserve"> في الشكل </w:t>
      </w:r>
      <w:r>
        <w:rPr>
          <w:lang w:bidi="ar"/>
        </w:rPr>
        <w:t>1</w:t>
      </w:r>
      <w:r>
        <w:rPr>
          <w:lang w:bidi="ar"/>
        </w:rPr>
        <w:sym w:font="Symbol" w:char="F02D"/>
      </w:r>
      <w:r>
        <w:rPr>
          <w:lang w:bidi="ar"/>
        </w:rPr>
        <w:t>3.3</w:t>
      </w:r>
      <w:r>
        <w:rPr>
          <w:rtl/>
          <w:lang w:bidi="ar"/>
        </w:rPr>
        <w:t>.</w:t>
      </w:r>
    </w:p>
    <w:p w:rsidR="00BE1085" w:rsidRDefault="00BE1085" w:rsidP="00BE1085">
      <w:pPr>
        <w:pStyle w:val="Figuretitle"/>
        <w:jc w:val="left"/>
      </w:pPr>
      <w:bookmarkStart w:id="83" w:name="_Toc372276132"/>
      <w:bookmarkStart w:id="84" w:name="_Toc380497243"/>
      <w:r>
        <w:rPr>
          <w:rtl/>
        </w:rPr>
        <w:t xml:space="preserve">الشكل </w:t>
      </w:r>
      <w:r>
        <w:rPr>
          <w:lang w:bidi="ar"/>
        </w:rPr>
        <w:t>1-3.3</w:t>
      </w:r>
      <w:r>
        <w:rPr>
          <w:rFonts w:hint="cs"/>
          <w:rtl/>
        </w:rPr>
        <w:t>:</w:t>
      </w:r>
      <w:r>
        <w:rPr>
          <w:rtl/>
        </w:rPr>
        <w:t xml:space="preserve"> </w:t>
      </w:r>
      <w:r>
        <w:rPr>
          <w:rFonts w:hint="cs"/>
          <w:rtl/>
        </w:rPr>
        <w:t xml:space="preserve">تشكيلة </w:t>
      </w:r>
      <w:r>
        <w:rPr>
          <w:rtl/>
          <w:lang w:bidi="ar"/>
        </w:rPr>
        <w:t xml:space="preserve">معدد إرسال النفاذ إلى الخط الرقمي للمشترك </w:t>
      </w:r>
      <w:r>
        <w:rPr>
          <w:lang w:bidi="ar"/>
        </w:rPr>
        <w:t>(DSLAM)</w:t>
      </w:r>
      <w:r>
        <w:rPr>
          <w:rtl/>
          <w:lang w:bidi="ar"/>
        </w:rPr>
        <w:t xml:space="preserve"> البعيد بالنسبة</w:t>
      </w:r>
      <w:r>
        <w:rPr>
          <w:rFonts w:hint="cs"/>
          <w:rtl/>
          <w:lang w:bidi="ar"/>
        </w:rPr>
        <w:t xml:space="preserve"> </w:t>
      </w:r>
      <w:r>
        <w:rPr>
          <w:rtl/>
          <w:lang w:bidi="ar"/>
        </w:rPr>
        <w:t xml:space="preserve">إلى الخط الرقمي التناظري عالي السرعة للمشترك </w:t>
      </w:r>
      <w:r>
        <w:rPr>
          <w:lang w:bidi="ar"/>
        </w:rPr>
        <w:t>(SHDSL)</w:t>
      </w:r>
      <w:bookmarkEnd w:id="83"/>
      <w:bookmarkEnd w:id="84"/>
    </w:p>
    <w:bookmarkStart w:id="85" w:name="_MON_1453288288"/>
    <w:bookmarkEnd w:id="85"/>
    <w:p w:rsidR="00BE1085" w:rsidRDefault="00BE1085" w:rsidP="00BE1085">
      <w:pPr>
        <w:pStyle w:val="Figure"/>
        <w:rPr>
          <w:rtl/>
          <w:lang w:bidi="ar"/>
        </w:rPr>
      </w:pPr>
      <w:r>
        <w:object w:dxaOrig="8340" w:dyaOrig="5310">
          <v:shape id="_x0000_i1028" type="#_x0000_t75" style="width:417.75pt;height:265.4pt" o:ole="">
            <v:imagedata r:id="rId29" o:title=""/>
          </v:shape>
          <o:OLEObject Type="Embed" ProgID="Word.Document.12" ShapeID="_x0000_i1028" DrawAspect="Content" ObjectID="_1455084585" r:id="rId30">
            <o:FieldCodes>\s</o:FieldCodes>
          </o:OLEObject>
        </w:object>
      </w:r>
    </w:p>
    <w:p w:rsidR="00111C25" w:rsidRDefault="00111C25" w:rsidP="00111C25">
      <w:pPr>
        <w:bidi w:val="0"/>
        <w:spacing w:before="0" w:line="240" w:lineRule="auto"/>
        <w:ind w:left="-284" w:right="-284"/>
        <w:jc w:val="center"/>
        <w:rPr>
          <w:rtl/>
          <w:lang w:bidi="ar-EG"/>
        </w:rPr>
      </w:pPr>
      <w:r>
        <w:rPr>
          <w:noProof/>
          <w:rtl/>
          <w:lang w:eastAsia="zh-CN"/>
        </w:rPr>
        <mc:AlternateContent>
          <mc:Choice Requires="wps">
            <w:drawing>
              <wp:anchor distT="0" distB="0" distL="114300" distR="114300" simplePos="0" relativeHeight="251635712" behindDoc="0" locked="0" layoutInCell="1" allowOverlap="1" wp14:anchorId="14E12AF8" wp14:editId="1D3A3262">
                <wp:simplePos x="0" y="0"/>
                <wp:positionH relativeFrom="column">
                  <wp:posOffset>7336790</wp:posOffset>
                </wp:positionH>
                <wp:positionV relativeFrom="paragraph">
                  <wp:posOffset>2582545</wp:posOffset>
                </wp:positionV>
                <wp:extent cx="626110" cy="78740"/>
                <wp:effectExtent l="12065" t="10795" r="9525" b="5715"/>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78740"/>
                        </a:xfrm>
                        <a:prstGeom prst="rect">
                          <a:avLst/>
                        </a:prstGeom>
                        <a:solidFill>
                          <a:srgbClr val="DADEF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577.7pt;margin-top:203.35pt;width:49.3pt;height:6.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EOJAIAAD4EAAAOAAAAZHJzL2Uyb0RvYy54bWysU9uO0zAQfUfiHyy/0zRVbxs1XVW9IKSF&#10;XbHwAa7jJBa+MXablq9n7HRLF3hC5MHyeMYnZ84ZL+5PWpGjAC+tKWk+GFIiDLeVNE1Jv37ZvZtT&#10;4gMzFVPWiJKehaf3y7dvFp0rxMi2VlUCCIIYX3SupG0Irsgyz1uhmR9YJwwmawuaBQyhySpgHaJr&#10;lY2Gw2nWWagcWC68x9NNn6TLhF/XgofHuvYiEFVS5BbSCmndxzVbLljRAHOt5Bca7B9YaCYN/vQK&#10;tWGBkQPIP6C05GC9rcOAW53ZupZcpB6wm3z4WzfPLXMi9YLieHeVyf8/WP7p+AREViWdzEaUGKbR&#10;pM8oGzONEiQeokSd8wVWPrsniE1692D5N0+MXbdYJ1YAtmsFq5BYHuuzVxdi4PEq2XcfbYX47BBs&#10;UutUg46AqAM5JVPOV1PEKRCOh9PRNM/ROo6p2Xw2Tp5lrHi568CH98JqEjclBeSesNnxwYfIhRUv&#10;JYm7VbLaSaVSAM1+rYAcGY7HZrXZ7raJPrZ4W6YM6Up6NxlNEvKrnL+FGKbvbxBaBpxzJXVJ59ci&#10;VkTRtqZKUxiYVP0eKStzUTEK1xuwt9UZRQTbDzE+Oty0Fn5Q0uEAl9R/PzAQlKgPBo24y8eoFQkp&#10;GKORGMBtZn+bYYYjVEkDJf12HfpXcnAgmxb/lKfejV2hebVMykZje1YXsjikSfDLg4qv4DZOVb+e&#10;/fInAAAA//8DAFBLAwQUAAYACAAAACEAehIImeIAAAANAQAADwAAAGRycy9kb3ducmV2LnhtbEyP&#10;zW7CMBCE75X6DtZW6gWBE5RQSOOg/gjBtZSqPTr2No4a21FsILx9l1N7nNlPszPlerQdO+EQWu8E&#10;pLMEGDrldesaAYf3zXQJLETptOy8QwEXDLCubm9KWWh/dm942seGUYgLhRRgYuwLzoMyaGWY+R4d&#10;3b79YGUkOTRcD/JM4bbj8yRZcCtbRx+M7PHFoPrZH62AL7WNZlt/DOZ596mWejW5bF4nQtzfjU+P&#10;wCKO8Q+Ga32qDhV1qv3R6cA60mmeZ8QKyJLFA7ArMs8z2leTla5S4FXJ/6+ofgEAAP//AwBQSwEC&#10;LQAUAAYACAAAACEAtoM4kv4AAADhAQAAEwAAAAAAAAAAAAAAAAAAAAAAW0NvbnRlbnRfVHlwZXNd&#10;LnhtbFBLAQItABQABgAIAAAAIQA4/SH/1gAAAJQBAAALAAAAAAAAAAAAAAAAAC8BAABfcmVscy8u&#10;cmVsc1BLAQItABQABgAIAAAAIQD7pVEOJAIAAD4EAAAOAAAAAAAAAAAAAAAAAC4CAABkcnMvZTJv&#10;RG9jLnhtbFBLAQItABQABgAIAAAAIQB6EgiZ4gAAAA0BAAAPAAAAAAAAAAAAAAAAAH4EAABkcnMv&#10;ZG93bnJldi54bWxQSwUGAAAAAAQABADzAAAAjQUAAAAA&#10;" fillcolor="#dadefe"/>
            </w:pict>
          </mc:Fallback>
        </mc:AlternateContent>
      </w:r>
    </w:p>
    <w:p w:rsidR="00111C25" w:rsidRDefault="00111C25" w:rsidP="00111C25">
      <w:pPr>
        <w:spacing w:before="240"/>
        <w:rPr>
          <w:rtl/>
        </w:rPr>
      </w:pPr>
      <w:r>
        <w:rPr>
          <w:rtl/>
        </w:rPr>
        <w:t xml:space="preserve">ويكون أداء </w:t>
      </w:r>
      <w:r>
        <w:rPr>
          <w:rtl/>
          <w:lang w:bidi="ar"/>
        </w:rPr>
        <w:t xml:space="preserve">الخط الرقمي للمشترك </w:t>
      </w:r>
      <w:r>
        <w:rPr>
          <w:lang w:bidi="ar"/>
        </w:rPr>
        <w:t>(DSL)</w:t>
      </w:r>
      <w:r>
        <w:rPr>
          <w:rtl/>
        </w:rPr>
        <w:t xml:space="preserve"> على </w:t>
      </w:r>
      <w:r>
        <w:rPr>
          <w:rtl/>
          <w:lang w:bidi="ar"/>
        </w:rPr>
        <w:t xml:space="preserve">الشبكة الهاتفية العمومية التبديلية </w:t>
      </w:r>
      <w:r>
        <w:rPr>
          <w:lang w:bidi="ar"/>
        </w:rPr>
        <w:t>(PSTN)</w:t>
      </w:r>
      <w:r>
        <w:rPr>
          <w:rtl/>
          <w:lang w:bidi="ar"/>
        </w:rPr>
        <w:t xml:space="preserve"> </w:t>
      </w:r>
      <w:r>
        <w:rPr>
          <w:rtl/>
        </w:rPr>
        <w:t xml:space="preserve">محدوداً أيضاً بجودة المنشأة المادية. إذ يمكن أن تتراجع قدرة </w:t>
      </w:r>
      <w:r>
        <w:rPr>
          <w:rtl/>
          <w:lang w:bidi="ar"/>
        </w:rPr>
        <w:t>الخط الرقمي للمشترك جراء قدم الكبلات وتضررها بفعل قدمها أو إجهادها أو تآكلها أو حتى سوء التعامل معها وسوء مدها.</w:t>
      </w:r>
      <w:r>
        <w:rPr>
          <w:rtl/>
        </w:rPr>
        <w:t xml:space="preserve"> ويمكن أن تتراجع قدرة </w:t>
      </w:r>
      <w:r>
        <w:rPr>
          <w:rtl/>
          <w:lang w:bidi="ar"/>
        </w:rPr>
        <w:t xml:space="preserve">الخط الرقمي للمشترك وتتضرر خدمته حتى بصغر أقطار الأسلاك (التي يمكن أن تتراوح بين </w:t>
      </w:r>
      <w:r>
        <w:rPr>
          <w:lang w:bidi="ar"/>
        </w:rPr>
        <w:t>mm 0,4</w:t>
      </w:r>
      <w:r>
        <w:rPr>
          <w:rtl/>
          <w:lang w:bidi="ar"/>
        </w:rPr>
        <w:t xml:space="preserve"> و</w:t>
      </w:r>
      <w:r>
        <w:rPr>
          <w:lang w:bidi="ar"/>
        </w:rPr>
        <w:t>mm 0,9</w:t>
      </w:r>
      <w:r>
        <w:rPr>
          <w:rtl/>
          <w:lang w:bidi="ar"/>
        </w:rPr>
        <w:t>) أو بوجود مزيج من أقطار مختلفة للأسلاك.</w:t>
      </w:r>
    </w:p>
    <w:p w:rsidR="00BE1085" w:rsidRDefault="00BE1085">
      <w:pPr>
        <w:tabs>
          <w:tab w:val="clear" w:pos="567"/>
          <w:tab w:val="clear" w:pos="1133"/>
          <w:tab w:val="clear" w:pos="1700"/>
          <w:tab w:val="clear" w:pos="2267"/>
        </w:tabs>
        <w:kinsoku/>
        <w:bidi w:val="0"/>
        <w:spacing w:before="0" w:line="240" w:lineRule="auto"/>
        <w:jc w:val="left"/>
        <w:rPr>
          <w:b/>
          <w:bCs/>
          <w:color w:val="005173"/>
          <w:szCs w:val="30"/>
          <w:rtl/>
        </w:rPr>
      </w:pPr>
      <w:bookmarkStart w:id="86" w:name="_Toc372276133"/>
      <w:r>
        <w:rPr>
          <w:rtl/>
        </w:rPr>
        <w:br w:type="page"/>
      </w:r>
    </w:p>
    <w:p w:rsidR="00111C25" w:rsidRDefault="00111C25" w:rsidP="00BE1085">
      <w:pPr>
        <w:pStyle w:val="Tabletitle"/>
        <w:rPr>
          <w:rtl/>
        </w:rPr>
      </w:pPr>
      <w:bookmarkStart w:id="87" w:name="_Toc380497408"/>
      <w:r>
        <w:rPr>
          <w:rtl/>
        </w:rPr>
        <w:lastRenderedPageBreak/>
        <w:t xml:space="preserve">الجدول </w:t>
      </w:r>
      <w:r>
        <w:t>1-3.3</w:t>
      </w:r>
      <w:r w:rsidR="00BE1085">
        <w:rPr>
          <w:rFonts w:hint="cs"/>
          <w:rtl/>
        </w:rPr>
        <w:t>:</w:t>
      </w:r>
      <w:r>
        <w:rPr>
          <w:rtl/>
        </w:rPr>
        <w:t xml:space="preserve"> معايير إرسال البيانات السلكية لشبكة نفاذ</w:t>
      </w:r>
      <w:bookmarkEnd w:id="86"/>
      <w:bookmarkEnd w:id="87"/>
    </w:p>
    <w:tbl>
      <w:tblPr>
        <w:bidiVisual/>
        <w:tblW w:w="0" w:type="auto"/>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1952"/>
        <w:gridCol w:w="2976"/>
        <w:gridCol w:w="1947"/>
      </w:tblGrid>
      <w:tr w:rsidR="00111C25" w:rsidTr="00BE1085">
        <w:trPr>
          <w:trHeight w:val="98"/>
          <w:tblHeader/>
          <w:jc w:val="center"/>
        </w:trPr>
        <w:tc>
          <w:tcPr>
            <w:tcW w:w="2143" w:type="dxa"/>
            <w:tcBorders>
              <w:bottom w:val="single" w:sz="4" w:space="0" w:color="auto"/>
            </w:tcBorders>
            <w:shd w:val="clear" w:color="auto" w:fill="005173"/>
            <w:hideMark/>
          </w:tcPr>
          <w:p w:rsidR="00111C25" w:rsidRDefault="00111C25" w:rsidP="00096506">
            <w:pPr>
              <w:pStyle w:val="Tablehead"/>
              <w:bidi/>
              <w:rPr>
                <w:lang w:bidi="ar"/>
              </w:rPr>
            </w:pPr>
            <w:r>
              <w:rPr>
                <w:rtl/>
              </w:rPr>
              <w:t>الموديم</w:t>
            </w:r>
          </w:p>
        </w:tc>
        <w:tc>
          <w:tcPr>
            <w:tcW w:w="1952" w:type="dxa"/>
            <w:tcBorders>
              <w:bottom w:val="single" w:sz="4" w:space="0" w:color="auto"/>
            </w:tcBorders>
            <w:shd w:val="clear" w:color="auto" w:fill="005173"/>
            <w:hideMark/>
          </w:tcPr>
          <w:p w:rsidR="00111C25" w:rsidRDefault="00111C25" w:rsidP="00096506">
            <w:pPr>
              <w:pStyle w:val="Tablehead"/>
              <w:bidi/>
              <w:rPr>
                <w:lang w:bidi="ar"/>
              </w:rPr>
            </w:pPr>
            <w:r>
              <w:rPr>
                <w:rtl/>
              </w:rPr>
              <w:t>معدل البيانات*</w:t>
            </w:r>
          </w:p>
        </w:tc>
        <w:tc>
          <w:tcPr>
            <w:tcW w:w="2976" w:type="dxa"/>
            <w:tcBorders>
              <w:bottom w:val="single" w:sz="4" w:space="0" w:color="auto"/>
            </w:tcBorders>
            <w:shd w:val="clear" w:color="auto" w:fill="005173"/>
            <w:hideMark/>
          </w:tcPr>
          <w:p w:rsidR="00111C25" w:rsidRDefault="00111C25" w:rsidP="00096506">
            <w:pPr>
              <w:pStyle w:val="Tablehead"/>
              <w:bidi/>
              <w:rPr>
                <w:lang w:bidi="ar"/>
              </w:rPr>
            </w:pPr>
            <w:r>
              <w:rPr>
                <w:rtl/>
              </w:rPr>
              <w:t>التطبيق</w:t>
            </w:r>
          </w:p>
        </w:tc>
        <w:tc>
          <w:tcPr>
            <w:tcW w:w="1947" w:type="dxa"/>
            <w:tcBorders>
              <w:bottom w:val="single" w:sz="4" w:space="0" w:color="auto"/>
            </w:tcBorders>
            <w:shd w:val="clear" w:color="auto" w:fill="005173"/>
            <w:hideMark/>
          </w:tcPr>
          <w:p w:rsidR="00111C25" w:rsidRDefault="00111C25" w:rsidP="00096506">
            <w:pPr>
              <w:pStyle w:val="Tablehead"/>
              <w:bidi/>
              <w:rPr>
                <w:lang w:bidi="ar"/>
              </w:rPr>
            </w:pPr>
            <w:r>
              <w:rPr>
                <w:rtl/>
              </w:rPr>
              <w:t>التوصية</w:t>
            </w:r>
          </w:p>
        </w:tc>
      </w:tr>
      <w:tr w:rsidR="00111C25" w:rsidTr="00BE1085">
        <w:trPr>
          <w:trHeight w:val="100"/>
          <w:jc w:val="center"/>
        </w:trPr>
        <w:tc>
          <w:tcPr>
            <w:tcW w:w="2143" w:type="dxa"/>
            <w:shd w:val="clear" w:color="auto" w:fill="E8F8FD"/>
            <w:hideMark/>
          </w:tcPr>
          <w:p w:rsidR="00111C25" w:rsidRDefault="00111C25" w:rsidP="00BE1085">
            <w:pPr>
              <w:pStyle w:val="Tabletext"/>
              <w:rPr>
                <w:bCs/>
              </w:rPr>
            </w:pPr>
            <w:r>
              <w:t>ITU-T V.90</w:t>
            </w:r>
          </w:p>
        </w:tc>
        <w:tc>
          <w:tcPr>
            <w:tcW w:w="1952" w:type="dxa"/>
            <w:shd w:val="clear" w:color="auto" w:fill="E8F8FD"/>
            <w:hideMark/>
          </w:tcPr>
          <w:p w:rsidR="00111C25" w:rsidRDefault="00111C25" w:rsidP="00BE1085">
            <w:pPr>
              <w:pStyle w:val="Tabletext"/>
              <w:rPr>
                <w:bCs/>
              </w:rPr>
            </w:pPr>
            <w:r>
              <w:t>kbit/s 56</w:t>
            </w:r>
          </w:p>
        </w:tc>
        <w:tc>
          <w:tcPr>
            <w:tcW w:w="2976" w:type="dxa"/>
            <w:shd w:val="clear" w:color="auto" w:fill="E8F8FD"/>
            <w:hideMark/>
          </w:tcPr>
          <w:p w:rsidR="00111C25" w:rsidRDefault="00111C25" w:rsidP="00BE1085">
            <w:pPr>
              <w:pStyle w:val="Tabletext"/>
              <w:rPr>
                <w:bCs/>
              </w:rPr>
            </w:pPr>
            <w:r>
              <w:rPr>
                <w:rtl/>
              </w:rPr>
              <w:t>نفاذ إلى البيانات والإنترنت</w:t>
            </w:r>
          </w:p>
        </w:tc>
        <w:tc>
          <w:tcPr>
            <w:tcW w:w="1947" w:type="dxa"/>
            <w:shd w:val="clear" w:color="auto" w:fill="E8F8FD"/>
            <w:hideMark/>
          </w:tcPr>
          <w:p w:rsidR="00111C25" w:rsidRDefault="00111C25" w:rsidP="00BE1085">
            <w:pPr>
              <w:pStyle w:val="Tabletext"/>
              <w:rPr>
                <w:bCs/>
              </w:rPr>
            </w:pPr>
            <w:r>
              <w:t>ITU-T V.90</w:t>
            </w:r>
          </w:p>
        </w:tc>
      </w:tr>
      <w:tr w:rsidR="00111C25" w:rsidTr="00BE1085">
        <w:trPr>
          <w:trHeight w:val="226"/>
          <w:jc w:val="center"/>
        </w:trPr>
        <w:tc>
          <w:tcPr>
            <w:tcW w:w="2143" w:type="dxa"/>
            <w:tcBorders>
              <w:bottom w:val="single" w:sz="4" w:space="0" w:color="auto"/>
            </w:tcBorders>
            <w:hideMark/>
          </w:tcPr>
          <w:p w:rsidR="00111C25" w:rsidRDefault="00111C25" w:rsidP="00BE1085">
            <w:pPr>
              <w:pStyle w:val="Tabletext"/>
              <w:rPr>
                <w:bCs/>
              </w:rPr>
            </w:pPr>
            <w:r>
              <w:t>ISDN BRI</w:t>
            </w:r>
          </w:p>
        </w:tc>
        <w:tc>
          <w:tcPr>
            <w:tcW w:w="1952" w:type="dxa"/>
            <w:tcBorders>
              <w:bottom w:val="single" w:sz="4" w:space="0" w:color="auto"/>
            </w:tcBorders>
            <w:hideMark/>
          </w:tcPr>
          <w:p w:rsidR="00111C25" w:rsidRDefault="00111C25" w:rsidP="00BE1085">
            <w:pPr>
              <w:pStyle w:val="Tabletext"/>
              <w:rPr>
                <w:bCs/>
              </w:rPr>
            </w:pPr>
            <w:r>
              <w:t>kbit/s 144</w:t>
            </w:r>
          </w:p>
        </w:tc>
        <w:tc>
          <w:tcPr>
            <w:tcW w:w="2976" w:type="dxa"/>
            <w:tcBorders>
              <w:bottom w:val="single" w:sz="4" w:space="0" w:color="auto"/>
            </w:tcBorders>
            <w:hideMark/>
          </w:tcPr>
          <w:p w:rsidR="00111C25" w:rsidRDefault="00111C25" w:rsidP="00BE1085">
            <w:pPr>
              <w:pStyle w:val="Tabletext"/>
              <w:rPr>
                <w:bCs/>
              </w:rPr>
            </w:pPr>
            <w:r>
              <w:t>2B (2 x 64 kbit/s) + D (16 kbit/s)</w:t>
            </w:r>
            <w:r>
              <w:rPr>
                <w:rtl/>
              </w:rPr>
              <w:t xml:space="preserve"> </w:t>
            </w:r>
          </w:p>
        </w:tc>
        <w:tc>
          <w:tcPr>
            <w:tcW w:w="1947" w:type="dxa"/>
            <w:tcBorders>
              <w:bottom w:val="single" w:sz="4" w:space="0" w:color="auto"/>
            </w:tcBorders>
            <w:hideMark/>
          </w:tcPr>
          <w:p w:rsidR="00111C25" w:rsidRDefault="00111C25" w:rsidP="00BE1085">
            <w:pPr>
              <w:pStyle w:val="Tabletext"/>
              <w:rPr>
                <w:bCs/>
                <w:lang w:val="fr-CH"/>
              </w:rPr>
            </w:pPr>
            <w:r>
              <w:rPr>
                <w:rtl/>
              </w:rPr>
              <w:t xml:space="preserve">سلسلة </w:t>
            </w:r>
            <w:r>
              <w:rPr>
                <w:lang w:val="fr-CH"/>
              </w:rPr>
              <w:t>TU-T I.432.x</w:t>
            </w:r>
            <w:r>
              <w:rPr>
                <w:rtl/>
                <w:lang w:val="fr-CH"/>
              </w:rPr>
              <w:t xml:space="preserve"> </w:t>
            </w:r>
          </w:p>
        </w:tc>
      </w:tr>
      <w:tr w:rsidR="00111C25" w:rsidTr="00BE1085">
        <w:trPr>
          <w:trHeight w:val="226"/>
          <w:jc w:val="center"/>
        </w:trPr>
        <w:tc>
          <w:tcPr>
            <w:tcW w:w="2143" w:type="dxa"/>
            <w:shd w:val="clear" w:color="auto" w:fill="E8F8FD"/>
            <w:hideMark/>
          </w:tcPr>
          <w:p w:rsidR="00111C25" w:rsidRDefault="00111C25" w:rsidP="00BE1085">
            <w:pPr>
              <w:pStyle w:val="Tabletext"/>
              <w:rPr>
                <w:bCs/>
              </w:rPr>
            </w:pPr>
            <w:r>
              <w:t>HDSL</w:t>
            </w:r>
          </w:p>
        </w:tc>
        <w:tc>
          <w:tcPr>
            <w:tcW w:w="1952" w:type="dxa"/>
            <w:shd w:val="clear" w:color="auto" w:fill="E8F8FD"/>
            <w:hideMark/>
          </w:tcPr>
          <w:p w:rsidR="00111C25" w:rsidRDefault="00111C25" w:rsidP="00BE1085">
            <w:pPr>
              <w:pStyle w:val="Tabletext"/>
              <w:rPr>
                <w:bCs/>
              </w:rPr>
            </w:pPr>
            <w:r>
              <w:t>kbit/s 2,048</w:t>
            </w:r>
          </w:p>
        </w:tc>
        <w:tc>
          <w:tcPr>
            <w:tcW w:w="2976" w:type="dxa"/>
            <w:shd w:val="clear" w:color="auto" w:fill="E8F8FD"/>
            <w:hideMark/>
          </w:tcPr>
          <w:p w:rsidR="00111C25" w:rsidRDefault="00111C25" w:rsidP="00BE1085">
            <w:pPr>
              <w:pStyle w:val="Tabletext"/>
            </w:pPr>
            <w:r>
              <w:rPr>
                <w:rtl/>
              </w:rPr>
              <w:t xml:space="preserve">خدمة تناظرية بمعدل </w:t>
            </w:r>
            <w:r>
              <w:t>2,0</w:t>
            </w:r>
            <w:r>
              <w:noBreakHyphen/>
              <w:t>1,5</w:t>
            </w:r>
            <w:r>
              <w:rPr>
                <w:rtl/>
              </w:rPr>
              <w:t> </w:t>
            </w:r>
            <w:r>
              <w:t>Mbit/s</w:t>
            </w:r>
            <w:r>
              <w:rPr>
                <w:rtl/>
              </w:rPr>
              <w:t xml:space="preserve"> على زوجين-ثلاثة أزواج من الأسلاك</w:t>
            </w:r>
          </w:p>
        </w:tc>
        <w:tc>
          <w:tcPr>
            <w:tcW w:w="1947" w:type="dxa"/>
            <w:shd w:val="clear" w:color="auto" w:fill="E8F8FD"/>
            <w:hideMark/>
          </w:tcPr>
          <w:p w:rsidR="00111C25" w:rsidRDefault="00111C25" w:rsidP="00BE1085">
            <w:pPr>
              <w:pStyle w:val="Tabletext"/>
              <w:rPr>
                <w:bCs/>
              </w:rPr>
            </w:pPr>
            <w:r>
              <w:t>ITU-T G.991.1</w:t>
            </w:r>
          </w:p>
        </w:tc>
      </w:tr>
      <w:tr w:rsidR="00111C25" w:rsidTr="00BE1085">
        <w:trPr>
          <w:trHeight w:val="100"/>
          <w:jc w:val="center"/>
        </w:trPr>
        <w:tc>
          <w:tcPr>
            <w:tcW w:w="2143" w:type="dxa"/>
            <w:tcBorders>
              <w:bottom w:val="single" w:sz="4" w:space="0" w:color="auto"/>
            </w:tcBorders>
            <w:hideMark/>
          </w:tcPr>
          <w:p w:rsidR="00111C25" w:rsidRDefault="00111C25" w:rsidP="00BE1085">
            <w:pPr>
              <w:pStyle w:val="Tabletext"/>
              <w:rPr>
                <w:bCs/>
              </w:rPr>
            </w:pPr>
            <w:r>
              <w:t>SHDSL</w:t>
            </w:r>
          </w:p>
        </w:tc>
        <w:tc>
          <w:tcPr>
            <w:tcW w:w="1952" w:type="dxa"/>
            <w:tcBorders>
              <w:bottom w:val="single" w:sz="4" w:space="0" w:color="auto"/>
            </w:tcBorders>
            <w:hideMark/>
          </w:tcPr>
          <w:p w:rsidR="00111C25" w:rsidRDefault="00111C25" w:rsidP="00BE1085">
            <w:pPr>
              <w:pStyle w:val="Tabletext"/>
              <w:rPr>
                <w:bCs/>
              </w:rPr>
            </w:pPr>
            <w:r>
              <w:t>kbit/s 768</w:t>
            </w:r>
          </w:p>
        </w:tc>
        <w:tc>
          <w:tcPr>
            <w:tcW w:w="2976" w:type="dxa"/>
            <w:tcBorders>
              <w:bottom w:val="single" w:sz="4" w:space="0" w:color="auto"/>
            </w:tcBorders>
            <w:hideMark/>
          </w:tcPr>
          <w:p w:rsidR="00111C25" w:rsidRDefault="00111C25" w:rsidP="00BE1085">
            <w:pPr>
              <w:pStyle w:val="Tabletext"/>
              <w:rPr>
                <w:bCs/>
                <w:spacing w:val="6"/>
              </w:rPr>
            </w:pPr>
            <w:r>
              <w:rPr>
                <w:spacing w:val="6"/>
              </w:rPr>
              <w:t>HDSL</w:t>
            </w:r>
            <w:r>
              <w:rPr>
                <w:spacing w:val="6"/>
                <w:rtl/>
              </w:rPr>
              <w:t xml:space="preserve"> على زوج واحد من الأسلاك</w:t>
            </w:r>
          </w:p>
        </w:tc>
        <w:tc>
          <w:tcPr>
            <w:tcW w:w="1947" w:type="dxa"/>
            <w:tcBorders>
              <w:bottom w:val="single" w:sz="4" w:space="0" w:color="auto"/>
            </w:tcBorders>
            <w:hideMark/>
          </w:tcPr>
          <w:p w:rsidR="00111C25" w:rsidRDefault="00111C25" w:rsidP="00BE1085">
            <w:pPr>
              <w:pStyle w:val="Tabletext"/>
              <w:rPr>
                <w:bCs/>
              </w:rPr>
            </w:pPr>
            <w:r>
              <w:t>ITU-T G.991.2</w:t>
            </w:r>
          </w:p>
        </w:tc>
      </w:tr>
      <w:tr w:rsidR="00111C25" w:rsidTr="00BE1085">
        <w:trPr>
          <w:trHeight w:val="399"/>
          <w:jc w:val="center"/>
        </w:trPr>
        <w:tc>
          <w:tcPr>
            <w:tcW w:w="2143" w:type="dxa"/>
            <w:shd w:val="clear" w:color="auto" w:fill="E8F8FD"/>
            <w:hideMark/>
          </w:tcPr>
          <w:p w:rsidR="00111C25" w:rsidRDefault="00111C25" w:rsidP="00BE1085">
            <w:pPr>
              <w:pStyle w:val="Tabletext"/>
              <w:rPr>
                <w:bCs/>
              </w:rPr>
            </w:pPr>
            <w:r>
              <w:t>ADSL</w:t>
            </w:r>
          </w:p>
        </w:tc>
        <w:tc>
          <w:tcPr>
            <w:tcW w:w="1952" w:type="dxa"/>
            <w:shd w:val="clear" w:color="auto" w:fill="E8F8FD"/>
            <w:hideMark/>
          </w:tcPr>
          <w:p w:rsidR="00111C25" w:rsidRDefault="00111C25" w:rsidP="00BE1085">
            <w:pPr>
              <w:pStyle w:val="Tabletext"/>
              <w:rPr>
                <w:bCs/>
              </w:rPr>
            </w:pPr>
            <w:r>
              <w:t>kbit/s 640/Mbit/s 6</w:t>
            </w:r>
          </w:p>
        </w:tc>
        <w:tc>
          <w:tcPr>
            <w:tcW w:w="2976" w:type="dxa"/>
            <w:vMerge w:val="restart"/>
            <w:shd w:val="clear" w:color="auto" w:fill="E8F8FD"/>
            <w:hideMark/>
          </w:tcPr>
          <w:p w:rsidR="00111C25" w:rsidRDefault="00111C25" w:rsidP="00BE1085">
            <w:pPr>
              <w:pStyle w:val="Tabletext"/>
            </w:pPr>
            <w:r>
              <w:rPr>
                <w:rtl/>
              </w:rPr>
              <w:t>نفاذ إلى الإنترنت وقواعد بيانات متعددة الوسائط، وتوزيع فيديوي</w:t>
            </w:r>
          </w:p>
        </w:tc>
        <w:tc>
          <w:tcPr>
            <w:tcW w:w="1947" w:type="dxa"/>
            <w:shd w:val="clear" w:color="auto" w:fill="E8F8FD"/>
            <w:hideMark/>
          </w:tcPr>
          <w:p w:rsidR="00111C25" w:rsidRDefault="00111C25" w:rsidP="00BE1085">
            <w:pPr>
              <w:pStyle w:val="Tabletext"/>
              <w:rPr>
                <w:bCs/>
              </w:rPr>
            </w:pPr>
            <w:r>
              <w:t>ITU-T G.992.1</w:t>
            </w:r>
          </w:p>
        </w:tc>
      </w:tr>
      <w:tr w:rsidR="00111C25" w:rsidTr="00BE1085">
        <w:trPr>
          <w:trHeight w:val="100"/>
          <w:jc w:val="center"/>
        </w:trPr>
        <w:tc>
          <w:tcPr>
            <w:tcW w:w="2143" w:type="dxa"/>
            <w:tcBorders>
              <w:bottom w:val="single" w:sz="4" w:space="0" w:color="auto"/>
            </w:tcBorders>
            <w:hideMark/>
          </w:tcPr>
          <w:p w:rsidR="00111C25" w:rsidRDefault="00111C25" w:rsidP="00BE1085">
            <w:pPr>
              <w:pStyle w:val="Tabletext"/>
              <w:tabs>
                <w:tab w:val="clear" w:pos="567"/>
                <w:tab w:val="left" w:pos="290"/>
              </w:tabs>
              <w:rPr>
                <w:bCs/>
              </w:rPr>
            </w:pPr>
            <w:r>
              <w:t>ADSL2</w:t>
            </w:r>
          </w:p>
        </w:tc>
        <w:tc>
          <w:tcPr>
            <w:tcW w:w="1952" w:type="dxa"/>
            <w:tcBorders>
              <w:bottom w:val="single" w:sz="4" w:space="0" w:color="auto"/>
            </w:tcBorders>
            <w:hideMark/>
          </w:tcPr>
          <w:p w:rsidR="00111C25" w:rsidRDefault="00111C25" w:rsidP="00BE1085">
            <w:pPr>
              <w:pStyle w:val="Tabletext"/>
              <w:rPr>
                <w:bCs/>
              </w:rPr>
            </w:pPr>
            <w:r>
              <w:t>kbit/s 800/Mbit/s 8</w:t>
            </w:r>
          </w:p>
        </w:tc>
        <w:tc>
          <w:tcPr>
            <w:tcW w:w="2976" w:type="dxa"/>
            <w:vMerge/>
            <w:tcBorders>
              <w:bottom w:val="single" w:sz="4" w:space="0" w:color="auto"/>
            </w:tcBorders>
            <w:vAlign w:val="center"/>
            <w:hideMark/>
          </w:tcPr>
          <w:p w:rsidR="00111C25" w:rsidRDefault="00111C25" w:rsidP="00BE1085">
            <w:pPr>
              <w:pStyle w:val="Tabletext"/>
              <w:rPr>
                <w:rFonts w:ascii="Verdana" w:hAnsi="Verdana" w:cs="Simplified Arabic"/>
                <w:sz w:val="16"/>
                <w:szCs w:val="22"/>
                <w:lang w:val="en-GB"/>
              </w:rPr>
            </w:pPr>
          </w:p>
        </w:tc>
        <w:tc>
          <w:tcPr>
            <w:tcW w:w="1947" w:type="dxa"/>
            <w:tcBorders>
              <w:bottom w:val="single" w:sz="4" w:space="0" w:color="auto"/>
            </w:tcBorders>
            <w:hideMark/>
          </w:tcPr>
          <w:p w:rsidR="00111C25" w:rsidRDefault="00111C25" w:rsidP="00BE1085">
            <w:pPr>
              <w:pStyle w:val="Tabletext"/>
              <w:rPr>
                <w:bCs/>
              </w:rPr>
            </w:pPr>
            <w:r>
              <w:t>ITU-T G.992.3</w:t>
            </w:r>
          </w:p>
        </w:tc>
      </w:tr>
      <w:tr w:rsidR="00111C25" w:rsidTr="00BE1085">
        <w:trPr>
          <w:trHeight w:val="100"/>
          <w:jc w:val="center"/>
        </w:trPr>
        <w:tc>
          <w:tcPr>
            <w:tcW w:w="2143" w:type="dxa"/>
            <w:shd w:val="clear" w:color="auto" w:fill="E8F8FD"/>
            <w:hideMark/>
          </w:tcPr>
          <w:p w:rsidR="00111C25" w:rsidRDefault="00111C25" w:rsidP="00BE1085">
            <w:pPr>
              <w:pStyle w:val="Tabletext"/>
              <w:rPr>
                <w:bCs/>
              </w:rPr>
            </w:pPr>
            <w:r>
              <w:t>ADSL2+</w:t>
            </w:r>
          </w:p>
        </w:tc>
        <w:tc>
          <w:tcPr>
            <w:tcW w:w="1952" w:type="dxa"/>
            <w:shd w:val="clear" w:color="auto" w:fill="E8F8FD"/>
            <w:hideMark/>
          </w:tcPr>
          <w:p w:rsidR="00111C25" w:rsidRDefault="00111C25" w:rsidP="00BE1085">
            <w:pPr>
              <w:pStyle w:val="Tabletext"/>
              <w:rPr>
                <w:bCs/>
              </w:rPr>
            </w:pPr>
            <w:r>
              <w:t>kbit/s 800/Mbit/s 16</w:t>
            </w:r>
          </w:p>
        </w:tc>
        <w:tc>
          <w:tcPr>
            <w:tcW w:w="2976" w:type="dxa"/>
            <w:vMerge/>
            <w:shd w:val="clear" w:color="auto" w:fill="E8F8FD"/>
            <w:vAlign w:val="center"/>
            <w:hideMark/>
          </w:tcPr>
          <w:p w:rsidR="00111C25" w:rsidRDefault="00111C25" w:rsidP="00BE1085">
            <w:pPr>
              <w:pStyle w:val="Tabletext"/>
              <w:rPr>
                <w:rFonts w:ascii="Verdana" w:hAnsi="Verdana" w:cs="Simplified Arabic"/>
                <w:sz w:val="16"/>
                <w:szCs w:val="22"/>
                <w:lang w:val="en-GB"/>
              </w:rPr>
            </w:pPr>
          </w:p>
        </w:tc>
        <w:tc>
          <w:tcPr>
            <w:tcW w:w="1947" w:type="dxa"/>
            <w:shd w:val="clear" w:color="auto" w:fill="E8F8FD"/>
            <w:hideMark/>
          </w:tcPr>
          <w:p w:rsidR="00111C25" w:rsidRDefault="00111C25" w:rsidP="00BE1085">
            <w:pPr>
              <w:pStyle w:val="Tabletext"/>
              <w:rPr>
                <w:bCs/>
              </w:rPr>
            </w:pPr>
            <w:r>
              <w:t>ITU-T G.992.5</w:t>
            </w:r>
          </w:p>
        </w:tc>
      </w:tr>
      <w:tr w:rsidR="00111C25" w:rsidTr="00BE1085">
        <w:trPr>
          <w:trHeight w:val="381"/>
          <w:jc w:val="center"/>
        </w:trPr>
        <w:tc>
          <w:tcPr>
            <w:tcW w:w="2143" w:type="dxa"/>
            <w:tcBorders>
              <w:bottom w:val="single" w:sz="4" w:space="0" w:color="auto"/>
            </w:tcBorders>
            <w:hideMark/>
          </w:tcPr>
          <w:p w:rsidR="00111C25" w:rsidRDefault="00111C25" w:rsidP="00BE1085">
            <w:pPr>
              <w:pStyle w:val="Tabletext"/>
              <w:rPr>
                <w:bCs/>
              </w:rPr>
            </w:pPr>
            <w:r>
              <w:t>VDSL</w:t>
            </w:r>
          </w:p>
        </w:tc>
        <w:tc>
          <w:tcPr>
            <w:tcW w:w="1952" w:type="dxa"/>
            <w:tcBorders>
              <w:bottom w:val="single" w:sz="4" w:space="0" w:color="auto"/>
            </w:tcBorders>
            <w:hideMark/>
          </w:tcPr>
          <w:p w:rsidR="00111C25" w:rsidRDefault="00111C25" w:rsidP="00BE1085">
            <w:pPr>
              <w:pStyle w:val="Tabletext"/>
              <w:rPr>
                <w:bCs/>
              </w:rPr>
            </w:pPr>
            <w:r>
              <w:t>kbit/s 2,3/Mbit/s 52</w:t>
            </w:r>
          </w:p>
        </w:tc>
        <w:tc>
          <w:tcPr>
            <w:tcW w:w="2976" w:type="dxa"/>
            <w:vMerge w:val="restart"/>
            <w:tcBorders>
              <w:bottom w:val="single" w:sz="4" w:space="0" w:color="auto"/>
            </w:tcBorders>
          </w:tcPr>
          <w:p w:rsidR="00111C25" w:rsidRDefault="00111C25" w:rsidP="00BE1085">
            <w:pPr>
              <w:pStyle w:val="Tabletext"/>
              <w:rPr>
                <w:bCs/>
                <w:rtl/>
              </w:rPr>
            </w:pPr>
            <w:r>
              <w:rPr>
                <w:rtl/>
              </w:rPr>
              <w:t xml:space="preserve">نفاذ إلى الإنترنت + </w:t>
            </w:r>
            <w:r>
              <w:t>HDTV</w:t>
            </w:r>
          </w:p>
          <w:p w:rsidR="00111C25" w:rsidRDefault="00111C25" w:rsidP="00BE1085">
            <w:pPr>
              <w:pStyle w:val="Tabletext"/>
              <w:rPr>
                <w:bCs/>
              </w:rPr>
            </w:pPr>
          </w:p>
        </w:tc>
        <w:tc>
          <w:tcPr>
            <w:tcW w:w="1947" w:type="dxa"/>
            <w:tcBorders>
              <w:bottom w:val="single" w:sz="4" w:space="0" w:color="auto"/>
            </w:tcBorders>
            <w:hideMark/>
          </w:tcPr>
          <w:p w:rsidR="00111C25" w:rsidRDefault="00111C25" w:rsidP="00BE1085">
            <w:pPr>
              <w:pStyle w:val="Tabletext"/>
              <w:rPr>
                <w:bCs/>
              </w:rPr>
            </w:pPr>
            <w:r>
              <w:t>ITU-T G.993.1</w:t>
            </w:r>
          </w:p>
        </w:tc>
      </w:tr>
      <w:tr w:rsidR="00111C25" w:rsidTr="00BE1085">
        <w:trPr>
          <w:trHeight w:val="249"/>
          <w:jc w:val="center"/>
        </w:trPr>
        <w:tc>
          <w:tcPr>
            <w:tcW w:w="2143" w:type="dxa"/>
            <w:shd w:val="clear" w:color="auto" w:fill="E8F8FD"/>
            <w:hideMark/>
          </w:tcPr>
          <w:p w:rsidR="00111C25" w:rsidRDefault="00111C25" w:rsidP="00BE1085">
            <w:pPr>
              <w:pStyle w:val="Tabletext"/>
              <w:rPr>
                <w:bCs/>
              </w:rPr>
            </w:pPr>
            <w:r>
              <w:t>VDSL2</w:t>
            </w:r>
          </w:p>
        </w:tc>
        <w:tc>
          <w:tcPr>
            <w:tcW w:w="1952" w:type="dxa"/>
            <w:vMerge w:val="restart"/>
            <w:shd w:val="clear" w:color="auto" w:fill="E8F8FD"/>
          </w:tcPr>
          <w:p w:rsidR="00111C25" w:rsidRDefault="00111C25" w:rsidP="00BE1085">
            <w:pPr>
              <w:pStyle w:val="Tabletext"/>
              <w:rPr>
                <w:bCs/>
                <w:rtl/>
              </w:rPr>
            </w:pPr>
            <w:r>
              <w:t>Mbit/s 100</w:t>
            </w:r>
          </w:p>
          <w:p w:rsidR="00111C25" w:rsidRDefault="00111C25" w:rsidP="00BE1085">
            <w:pPr>
              <w:pStyle w:val="Tabletext"/>
              <w:rPr>
                <w:bCs/>
              </w:rPr>
            </w:pPr>
          </w:p>
        </w:tc>
        <w:tc>
          <w:tcPr>
            <w:tcW w:w="2976" w:type="dxa"/>
            <w:vMerge/>
            <w:shd w:val="clear" w:color="auto" w:fill="E8F8FD"/>
            <w:vAlign w:val="center"/>
            <w:hideMark/>
          </w:tcPr>
          <w:p w:rsidR="00111C25" w:rsidRDefault="00111C25" w:rsidP="00BE1085">
            <w:pPr>
              <w:pStyle w:val="Tabletext"/>
              <w:rPr>
                <w:rFonts w:ascii="Verdana" w:hAnsi="Verdana" w:cs="Simplified Arabic"/>
                <w:bCs/>
                <w:sz w:val="16"/>
                <w:szCs w:val="22"/>
                <w:lang w:val="en-GB"/>
              </w:rPr>
            </w:pPr>
          </w:p>
        </w:tc>
        <w:tc>
          <w:tcPr>
            <w:tcW w:w="1947" w:type="dxa"/>
            <w:shd w:val="clear" w:color="auto" w:fill="E8F8FD"/>
            <w:hideMark/>
          </w:tcPr>
          <w:p w:rsidR="00111C25" w:rsidRDefault="00111C25" w:rsidP="00BE1085">
            <w:pPr>
              <w:pStyle w:val="Tabletext"/>
              <w:rPr>
                <w:bCs/>
              </w:rPr>
            </w:pPr>
            <w:r>
              <w:t>ITU-T G.993.2</w:t>
            </w:r>
          </w:p>
        </w:tc>
      </w:tr>
      <w:tr w:rsidR="00111C25" w:rsidTr="00BE1085">
        <w:trPr>
          <w:trHeight w:val="226"/>
          <w:jc w:val="center"/>
        </w:trPr>
        <w:tc>
          <w:tcPr>
            <w:tcW w:w="2143" w:type="dxa"/>
            <w:hideMark/>
          </w:tcPr>
          <w:p w:rsidR="00111C25" w:rsidRDefault="00111C25" w:rsidP="00BE1085">
            <w:pPr>
              <w:pStyle w:val="Tabletext"/>
              <w:rPr>
                <w:bCs/>
              </w:rPr>
            </w:pPr>
            <w:r>
              <w:rPr>
                <w:rtl/>
              </w:rPr>
              <w:t xml:space="preserve">إرسال </w:t>
            </w:r>
            <w:r>
              <w:t>VDSL2</w:t>
            </w:r>
            <w:r>
              <w:rPr>
                <w:rtl/>
              </w:rPr>
              <w:t xml:space="preserve"> بتنسيق إشارات الخط</w:t>
            </w:r>
          </w:p>
        </w:tc>
        <w:tc>
          <w:tcPr>
            <w:tcW w:w="1952" w:type="dxa"/>
            <w:vMerge/>
            <w:vAlign w:val="center"/>
            <w:hideMark/>
          </w:tcPr>
          <w:p w:rsidR="00111C25" w:rsidRDefault="00111C25" w:rsidP="00BE1085">
            <w:pPr>
              <w:pStyle w:val="Tabletext"/>
              <w:rPr>
                <w:rFonts w:ascii="Verdana" w:hAnsi="Verdana" w:cs="Simplified Arabic"/>
                <w:bCs/>
                <w:sz w:val="16"/>
                <w:szCs w:val="22"/>
                <w:lang w:val="en-GB"/>
              </w:rPr>
            </w:pPr>
          </w:p>
        </w:tc>
        <w:tc>
          <w:tcPr>
            <w:tcW w:w="2976" w:type="dxa"/>
            <w:hideMark/>
          </w:tcPr>
          <w:p w:rsidR="00111C25" w:rsidRDefault="00111C25" w:rsidP="00BE1085">
            <w:pPr>
              <w:pStyle w:val="Tabletext"/>
              <w:rPr>
                <w:bCs/>
              </w:rPr>
            </w:pPr>
            <w:r>
              <w:rPr>
                <w:rtl/>
              </w:rPr>
              <w:t xml:space="preserve">نفاذ إلى الإنترنت + </w:t>
            </w:r>
            <w:r>
              <w:t>HDTV</w:t>
            </w:r>
            <w:r>
              <w:rPr>
                <w:rtl/>
              </w:rPr>
              <w:t xml:space="preserve"> عبر عرى أطول وبمزيد من المستخدمين</w:t>
            </w:r>
          </w:p>
        </w:tc>
        <w:tc>
          <w:tcPr>
            <w:tcW w:w="1947" w:type="dxa"/>
            <w:hideMark/>
          </w:tcPr>
          <w:p w:rsidR="00111C25" w:rsidRDefault="00111C25" w:rsidP="00BE1085">
            <w:pPr>
              <w:pStyle w:val="Tabletext"/>
              <w:rPr>
                <w:bCs/>
              </w:rPr>
            </w:pPr>
            <w:r>
              <w:t>ITU-T G.993.5</w:t>
            </w:r>
          </w:p>
        </w:tc>
      </w:tr>
    </w:tbl>
    <w:p w:rsidR="00111C25" w:rsidRDefault="00111C25" w:rsidP="00BE1085">
      <w:pPr>
        <w:pStyle w:val="Tablesource"/>
        <w:tabs>
          <w:tab w:val="clear" w:pos="567"/>
          <w:tab w:val="left" w:pos="282"/>
        </w:tabs>
        <w:rPr>
          <w:rFonts w:ascii="Verdana" w:hAnsi="Verdana" w:cs="Simplified Arabic"/>
          <w:sz w:val="16"/>
          <w:szCs w:val="22"/>
          <w:rtl/>
        </w:rPr>
      </w:pPr>
      <w:r w:rsidRPr="00A40024">
        <w:rPr>
          <w:i w:val="0"/>
          <w:iCs w:val="0"/>
          <w:rtl/>
        </w:rPr>
        <w:t>*</w:t>
      </w:r>
      <w:r>
        <w:rPr>
          <w:rtl/>
        </w:rPr>
        <w:tab/>
        <w:t xml:space="preserve">نحو المقصد (من الشبكة إلى المشترك)/نحو المصدر (من المشترك إلى الشبكة). وفرادى القيم تناظرية. وسرعات </w:t>
      </w:r>
      <w:r>
        <w:rPr>
          <w:lang w:bidi="ar"/>
        </w:rPr>
        <w:t>DSL</w:t>
      </w:r>
      <w:r>
        <w:rPr>
          <w:rtl/>
        </w:rPr>
        <w:t xml:space="preserve"> </w:t>
      </w:r>
      <w:r>
        <w:rPr>
          <w:rtl/>
          <w:lang w:bidi="ar"/>
        </w:rPr>
        <w:t>"ترتفع إلى حد" القيم الواردة في الجدول.</w:t>
      </w:r>
    </w:p>
    <w:p w:rsidR="00111C25" w:rsidRDefault="00111C25" w:rsidP="00A40024">
      <w:pPr>
        <w:spacing w:before="240"/>
        <w:rPr>
          <w:rtl/>
        </w:rPr>
      </w:pPr>
      <w:r>
        <w:rPr>
          <w:rtl/>
          <w:lang w:bidi="ar"/>
        </w:rPr>
        <w:t>وأخيرا</w:t>
      </w:r>
      <w:r>
        <w:rPr>
          <w:rtl/>
        </w:rPr>
        <w:t>ً</w:t>
      </w:r>
      <w:r>
        <w:rPr>
          <w:rtl/>
          <w:lang w:bidi="ar"/>
        </w:rPr>
        <w:t xml:space="preserve">، يتأثر أداء الخط الرقمي للمشترك </w:t>
      </w:r>
      <w:r>
        <w:rPr>
          <w:lang w:bidi="ar"/>
        </w:rPr>
        <w:t>(DSL)</w:t>
      </w:r>
      <w:r>
        <w:rPr>
          <w:rtl/>
        </w:rPr>
        <w:t xml:space="preserve"> ب</w:t>
      </w:r>
      <w:r>
        <w:rPr>
          <w:rtl/>
          <w:lang w:bidi="ar"/>
        </w:rPr>
        <w:t xml:space="preserve">عدد المشتركين المخدَّمين ضمن منطقة التوزيع، فضلاً عن التعايش بين الخدمات المختلفة في الكبل نفسه. وتتسبب الضوضاء من </w:t>
      </w:r>
      <w:r>
        <w:rPr>
          <w:rtl/>
        </w:rPr>
        <w:t>زوج الأسلاك المبروم</w:t>
      </w:r>
      <w:r>
        <w:rPr>
          <w:rtl/>
          <w:lang w:bidi="ar"/>
        </w:rPr>
        <w:t xml:space="preserve"> الذي يحمل الخط الرقمي للمشترك بتردي الخدمة على الأزواج الأخرى في كبل التوزيع. وتتمثل العلاجات في تقنيات إلغاء الضوضاء واختيار الطيف الشائعة في تقنيات الخط الرقمي للمشترك المتقدمة مثل المواصفات الأكثر حداثة</w:t>
      </w:r>
      <w:r>
        <w:rPr>
          <w:rtl/>
        </w:rPr>
        <w:t xml:space="preserve"> لإرسال </w:t>
      </w:r>
      <w:r>
        <w:rPr>
          <w:lang w:bidi="ar"/>
        </w:rPr>
        <w:t>VDSL2</w:t>
      </w:r>
      <w:r>
        <w:rPr>
          <w:rtl/>
        </w:rPr>
        <w:t xml:space="preserve"> بتنسيق إشارات الخط</w:t>
      </w:r>
      <w:r>
        <w:rPr>
          <w:rtl/>
          <w:lang w:bidi="ar"/>
        </w:rPr>
        <w:t xml:space="preserve">. وهذه التقنيات واستخدام الجمع بين (مزاوجة) السطوح البينية، توسع عرض النطاق النظري المسلَّم إلى المستهلكين عبر أزواج الأسلاك النحاسية إلى حوالي </w:t>
      </w:r>
      <w:r>
        <w:rPr>
          <w:lang w:bidi="ar"/>
        </w:rPr>
        <w:t>1</w:t>
      </w:r>
      <w:r w:rsidR="00A40024">
        <w:rPr>
          <w:rFonts w:hint="cs"/>
          <w:rtl/>
          <w:lang w:bidi="ar"/>
        </w:rPr>
        <w:t> </w:t>
      </w:r>
      <w:r>
        <w:rPr>
          <w:bCs/>
          <w:lang w:bidi="ar"/>
        </w:rPr>
        <w:t>Gbit/s</w:t>
      </w:r>
      <w:r>
        <w:rPr>
          <w:rtl/>
          <w:lang w:bidi="ar"/>
        </w:rPr>
        <w:t xml:space="preserve"> حسب المسافة.</w:t>
      </w:r>
    </w:p>
    <w:p w:rsidR="00111C25" w:rsidRDefault="00111C25" w:rsidP="00111C25">
      <w:pPr>
        <w:rPr>
          <w:rtl/>
          <w:lang w:bidi="ar-EG"/>
        </w:rPr>
      </w:pPr>
      <w:r>
        <w:rPr>
          <w:spacing w:val="-4"/>
          <w:rtl/>
          <w:lang w:bidi="ar"/>
        </w:rPr>
        <w:t xml:space="preserve">وقد نشر قطاع تقييس الاتصالات معايير الخط الرقمي للمشترك منذ أواخر التسعينات. ويرد ملخص لها في الجدول </w:t>
      </w:r>
      <w:r>
        <w:rPr>
          <w:spacing w:val="-4"/>
          <w:lang w:bidi="ar"/>
        </w:rPr>
        <w:t>1</w:t>
      </w:r>
      <w:r>
        <w:rPr>
          <w:spacing w:val="-4"/>
          <w:lang w:bidi="ar"/>
        </w:rPr>
        <w:sym w:font="Symbol" w:char="F02D"/>
      </w:r>
      <w:r>
        <w:rPr>
          <w:spacing w:val="-4"/>
          <w:lang w:bidi="ar"/>
        </w:rPr>
        <w:t>3.3</w:t>
      </w:r>
      <w:r>
        <w:rPr>
          <w:rtl/>
          <w:lang w:bidi="ar"/>
        </w:rPr>
        <w:t xml:space="preserve"> إلى جانب معايير الهاتف والموديم والشبكة الرقمية متكاملة الخدمات </w:t>
      </w:r>
      <w:r>
        <w:rPr>
          <w:lang w:bidi="ar"/>
        </w:rPr>
        <w:t>(ISDN)</w:t>
      </w:r>
      <w:r>
        <w:rPr>
          <w:rtl/>
          <w:lang w:bidi="ar"/>
        </w:rPr>
        <w:t>.</w:t>
      </w:r>
    </w:p>
    <w:p w:rsidR="00111C25" w:rsidRDefault="00111C25" w:rsidP="00A40024">
      <w:pPr>
        <w:pStyle w:val="Heading4"/>
        <w:rPr>
          <w:rtl/>
          <w:lang w:bidi="ar-EG"/>
        </w:rPr>
      </w:pPr>
      <w:r>
        <w:rPr>
          <w:rtl/>
          <w:lang w:bidi="ar-EG"/>
        </w:rPr>
        <w:t xml:space="preserve">شبكة النطاق العريض السلكية </w:t>
      </w:r>
      <w:r w:rsidR="00A40024">
        <w:rPr>
          <w:rFonts w:hint="cs"/>
          <w:rtl/>
          <w:lang w:bidi="ar-EG"/>
        </w:rPr>
        <w:t>-</w:t>
      </w:r>
      <w:r>
        <w:rPr>
          <w:rtl/>
          <w:lang w:bidi="ar-EG"/>
        </w:rPr>
        <w:t xml:space="preserve"> مواصفات السطح البيني لخدمة البيانات عبر الكبل </w:t>
      </w:r>
      <w:r>
        <w:rPr>
          <w:lang w:bidi="ar-EG"/>
        </w:rPr>
        <w:t>(DOCSIS)</w:t>
      </w:r>
    </w:p>
    <w:p w:rsidR="00111C25" w:rsidRDefault="00111C25" w:rsidP="00A40024">
      <w:pPr>
        <w:rPr>
          <w:rtl/>
          <w:lang w:bidi="ar"/>
        </w:rPr>
      </w:pPr>
      <w:r>
        <w:rPr>
          <w:rtl/>
          <w:lang w:bidi="ar"/>
        </w:rPr>
        <w:t xml:space="preserve">خلال أعوام الستينات والسبعينات، جاء الطلب على خدمات الفيديو ليفرض ويمول مد شبكات الكبل التلفزيوني حتى صار انتفاع المشترك منها منافساً في تكلفته للشبكة الهاتفية العمومية التبديلية </w:t>
      </w:r>
      <w:r>
        <w:rPr>
          <w:lang w:bidi="ar"/>
        </w:rPr>
        <w:t>(PSTN)</w:t>
      </w:r>
      <w:r>
        <w:rPr>
          <w:rtl/>
          <w:lang w:bidi="ar"/>
        </w:rPr>
        <w:t xml:space="preserve">. وبحلول التسعينات، اتحدت العديد من هذه الأنظمة الصغرى ضمن مؤسسات كبيرة "لمشغلي الخدمات المتعددة" </w:t>
      </w:r>
      <w:r>
        <w:rPr>
          <w:lang w:bidi="ar"/>
        </w:rPr>
        <w:t>(</w:t>
      </w:r>
      <w:r>
        <w:rPr>
          <w:bCs/>
          <w:lang w:bidi="ar"/>
        </w:rPr>
        <w:t>MSO</w:t>
      </w:r>
      <w:r>
        <w:rPr>
          <w:lang w:bidi="ar"/>
        </w:rPr>
        <w:t>)</w:t>
      </w:r>
      <w:r>
        <w:rPr>
          <w:rtl/>
          <w:lang w:bidi="ar"/>
        </w:rPr>
        <w:t xml:space="preserve"> الذين وجدوا في الاتصالات الرقمية فرصة سانحة للنمو ومصدراً للدخل والإيرادات من استثماراتهم في الشبكة. ونُشرت مواصفات السطح البيني لخدمة البيانات عبر الكبل </w:t>
      </w:r>
      <w:r>
        <w:rPr>
          <w:lang w:bidi="ar"/>
        </w:rPr>
        <w:t>(DOCSIS)</w:t>
      </w:r>
      <w:r>
        <w:rPr>
          <w:rtl/>
          <w:lang w:bidi="ar"/>
        </w:rPr>
        <w:t xml:space="preserve"> في عام </w:t>
      </w:r>
      <w:r>
        <w:rPr>
          <w:lang w:bidi="ar"/>
        </w:rPr>
        <w:t>1997</w:t>
      </w:r>
      <w:r>
        <w:rPr>
          <w:rtl/>
          <w:lang w:bidi="ar"/>
        </w:rPr>
        <w:t xml:space="preserve">. وهي تعرِّف إضافة اتصالات البيانات عالية السرعة إلى نظام الكبل التلفزيوني القائم. وباستخدام مواصفات </w:t>
      </w:r>
      <w:r>
        <w:rPr>
          <w:lang w:bidi="ar"/>
        </w:rPr>
        <w:t>DOCSIS</w:t>
      </w:r>
      <w:r>
        <w:rPr>
          <w:rtl/>
          <w:lang w:bidi="ar"/>
        </w:rPr>
        <w:t xml:space="preserve">، عرض مشغلو الخدمات المتعددة اتصالات بيانات بأسعار منافسة على شبكتهم الفيديوية، ومع تطور الاتصالات الصوتية عبر بروتوكول الإنترنت </w:t>
      </w:r>
      <w:r>
        <w:rPr>
          <w:lang w:bidi="ar"/>
        </w:rPr>
        <w:t>(VoIP)</w:t>
      </w:r>
      <w:r>
        <w:rPr>
          <w:rtl/>
          <w:lang w:bidi="ar"/>
        </w:rPr>
        <w:t xml:space="preserve">، </w:t>
      </w:r>
      <w:r>
        <w:rPr>
          <w:spacing w:val="-2"/>
          <w:rtl/>
          <w:lang w:bidi="ar"/>
        </w:rPr>
        <w:t xml:space="preserve">عُرضت خدمة تضاهي الخدمة الهاتفية التقليدية العادية </w:t>
      </w:r>
      <w:r>
        <w:rPr>
          <w:spacing w:val="-2"/>
          <w:lang w:bidi="ar"/>
        </w:rPr>
        <w:t>(POTS)</w:t>
      </w:r>
      <w:r>
        <w:rPr>
          <w:spacing w:val="-2"/>
          <w:rtl/>
          <w:lang w:bidi="ar"/>
        </w:rPr>
        <w:t xml:space="preserve">. وتجمع أحدث نسخة من هذا المعيار، </w:t>
      </w:r>
      <w:r>
        <w:rPr>
          <w:spacing w:val="-2"/>
          <w:lang w:bidi="ar"/>
        </w:rPr>
        <w:t>DOCSIS 3.0</w:t>
      </w:r>
      <w:r>
        <w:rPr>
          <w:spacing w:val="-2"/>
          <w:rtl/>
          <w:lang w:bidi="ar"/>
        </w:rPr>
        <w:t>،</w:t>
      </w:r>
      <w:r>
        <w:rPr>
          <w:rtl/>
          <w:lang w:bidi="ar"/>
        </w:rPr>
        <w:t xml:space="preserve"> ما يصل إلى </w:t>
      </w:r>
      <w:r>
        <w:rPr>
          <w:lang w:bidi="ar"/>
        </w:rPr>
        <w:t>8</w:t>
      </w:r>
      <w:r>
        <w:rPr>
          <w:rtl/>
          <w:lang w:bidi="ar"/>
        </w:rPr>
        <w:t xml:space="preserve"> قنوات من الشبكة في مطراف، لإيصال معدل يصل إلى </w:t>
      </w:r>
      <w:r>
        <w:rPr>
          <w:lang w:bidi="ar"/>
        </w:rPr>
        <w:t>343</w:t>
      </w:r>
      <w:r w:rsidR="00A40024">
        <w:rPr>
          <w:rFonts w:hint="cs"/>
          <w:rtl/>
          <w:lang w:bidi="ar"/>
        </w:rPr>
        <w:t> </w:t>
      </w:r>
      <w:r>
        <w:rPr>
          <w:bCs/>
          <w:lang w:bidi="ar"/>
        </w:rPr>
        <w:t>Mbit/s</w:t>
      </w:r>
      <w:r>
        <w:rPr>
          <w:bCs/>
          <w:rtl/>
          <w:lang w:bidi="ar"/>
        </w:rPr>
        <w:t xml:space="preserve"> </w:t>
      </w:r>
      <w:r>
        <w:rPr>
          <w:rtl/>
          <w:lang w:bidi="ar"/>
        </w:rPr>
        <w:t xml:space="preserve">إلى العقدة البصرية. ويقدم مشغلو الخدمات المتعددة سرعات نفاذ إلى المشتركين ترتفع إلى حد </w:t>
      </w:r>
      <w:r>
        <w:rPr>
          <w:lang w:bidi="ar"/>
        </w:rPr>
        <w:t>100</w:t>
      </w:r>
      <w:r w:rsidR="00A40024">
        <w:rPr>
          <w:rFonts w:hint="cs"/>
          <w:rtl/>
          <w:lang w:bidi="ar"/>
        </w:rPr>
        <w:t> </w:t>
      </w:r>
      <w:r>
        <w:rPr>
          <w:bCs/>
          <w:lang w:bidi="ar"/>
        </w:rPr>
        <w:t>Mbit/s</w:t>
      </w:r>
      <w:r>
        <w:rPr>
          <w:rtl/>
          <w:lang w:bidi="ar"/>
        </w:rPr>
        <w:t xml:space="preserve"> باستخدام هذه التكنولوجيا.</w:t>
      </w:r>
    </w:p>
    <w:p w:rsidR="00111C25" w:rsidRDefault="00111C25" w:rsidP="00A40024">
      <w:pPr>
        <w:rPr>
          <w:rtl/>
          <w:lang w:bidi="ar"/>
        </w:rPr>
      </w:pPr>
      <w:r>
        <w:rPr>
          <w:rtl/>
          <w:lang w:bidi="ar"/>
        </w:rPr>
        <w:t xml:space="preserve">ويقع استخدام شبكة الكبل التلفزيوني لتقديم الخدمات الرقمية من خلال مواصفات </w:t>
      </w:r>
      <w:r>
        <w:rPr>
          <w:lang w:bidi="ar"/>
        </w:rPr>
        <w:t>DOCSIS</w:t>
      </w:r>
      <w:r>
        <w:rPr>
          <w:rtl/>
          <w:lang w:bidi="ar"/>
        </w:rPr>
        <w:t xml:space="preserve"> خارج نطاق هذه الورقة التقنية. بيد أن معايير قطاع تقييس الاتصالات التي تشرح هذا التطبيق ترد في توصيات</w:t>
      </w:r>
      <w:r w:rsidR="00A40024">
        <w:rPr>
          <w:rFonts w:hint="cs"/>
          <w:rtl/>
          <w:lang w:bidi="ar"/>
        </w:rPr>
        <w:t xml:space="preserve"> السلسلة</w:t>
      </w:r>
      <w:r>
        <w:rPr>
          <w:rtl/>
          <w:lang w:bidi="ar"/>
        </w:rPr>
        <w:t xml:space="preserve"> </w:t>
      </w:r>
      <w:r>
        <w:rPr>
          <w:bCs/>
          <w:lang w:bidi="ar"/>
        </w:rPr>
        <w:t>ITU-T J</w:t>
      </w:r>
      <w:r>
        <w:rPr>
          <w:rtl/>
          <w:lang w:bidi="ar"/>
        </w:rPr>
        <w:t>.</w:t>
      </w:r>
    </w:p>
    <w:p w:rsidR="00111C25" w:rsidRDefault="00111C25" w:rsidP="00A40024">
      <w:pPr>
        <w:pStyle w:val="Heading4"/>
        <w:rPr>
          <w:rtl/>
          <w:lang w:val="en-US"/>
        </w:rPr>
      </w:pPr>
      <w:r>
        <w:rPr>
          <w:rtl/>
          <w:lang w:bidi="ar-EG"/>
        </w:rPr>
        <w:lastRenderedPageBreak/>
        <w:t xml:space="preserve">شبكة النطاق العريض السلكية </w:t>
      </w:r>
      <w:r w:rsidR="00A40024">
        <w:rPr>
          <w:rFonts w:hint="cs"/>
          <w:rtl/>
          <w:lang w:bidi="ar-EG"/>
        </w:rPr>
        <w:t>-</w:t>
      </w:r>
      <w:r>
        <w:rPr>
          <w:rtl/>
          <w:lang w:bidi="ar-EG"/>
        </w:rPr>
        <w:t xml:space="preserve"> الألياف البصرية</w:t>
      </w:r>
      <w:r>
        <w:rPr>
          <w:rtl/>
        </w:rPr>
        <w:t> </w:t>
      </w:r>
      <w:r>
        <w:rPr>
          <w:lang w:bidi="ar-EG"/>
        </w:rPr>
        <w:t>(FTTx)</w:t>
      </w:r>
    </w:p>
    <w:p w:rsidR="00111C25" w:rsidRDefault="00111C25" w:rsidP="00111C25">
      <w:pPr>
        <w:rPr>
          <w:rFonts w:ascii="Verdana" w:hAnsi="Verdana"/>
          <w:lang w:bidi="ar"/>
        </w:rPr>
      </w:pPr>
      <w:r>
        <w:rPr>
          <w:rtl/>
          <w:lang w:bidi="ar"/>
        </w:rPr>
        <w:t xml:space="preserve">جاء الرد الفعال من شركات تشغيل الهاتف بإحلال الألياف البصرية محل الشبكة الهاتفية العمومية التبديلية </w:t>
      </w:r>
      <w:r>
        <w:rPr>
          <w:lang w:bidi="ar"/>
        </w:rPr>
        <w:t>(PSTN)</w:t>
      </w:r>
      <w:r>
        <w:rPr>
          <w:rtl/>
          <w:lang w:bidi="ar"/>
        </w:rPr>
        <w:t xml:space="preserve">. فالألياف البصرية قادرة على إيصال خدمات الصوت والبيانات والفيديو المتكاملة المتطلبة لكثير من عرض النطاق في شبكة النفاذ إلى مسافات تربو على </w:t>
      </w:r>
      <w:r>
        <w:rPr>
          <w:lang w:bidi="ar"/>
        </w:rPr>
        <w:t>km 20</w:t>
      </w:r>
      <w:r>
        <w:rPr>
          <w:rtl/>
          <w:lang w:bidi="ar"/>
        </w:rPr>
        <w:t xml:space="preserve">، أي أكثر من </w:t>
      </w:r>
      <w:r>
        <w:rPr>
          <w:lang w:bidi="ar"/>
        </w:rPr>
        <w:t>4</w:t>
      </w:r>
      <w:r>
        <w:rPr>
          <w:rtl/>
          <w:lang w:bidi="ar"/>
        </w:rPr>
        <w:t xml:space="preserve"> أمثال المسافات المسموح بها بكبلات أزواج الأسلاك المبرومة عبر أنظمة الخط الرقمي للمشترك </w:t>
      </w:r>
      <w:r>
        <w:rPr>
          <w:lang w:bidi="ar"/>
        </w:rPr>
        <w:t>(DSL)</w:t>
      </w:r>
      <w:r>
        <w:rPr>
          <w:rtl/>
          <w:lang w:bidi="ar"/>
        </w:rPr>
        <w:t>.</w:t>
      </w:r>
    </w:p>
    <w:p w:rsidR="00111C25" w:rsidRDefault="00111C25" w:rsidP="00111C25">
      <w:pPr>
        <w:rPr>
          <w:rtl/>
          <w:lang w:bidi="ar"/>
        </w:rPr>
      </w:pPr>
      <w:r>
        <w:rPr>
          <w:spacing w:val="-4"/>
          <w:rtl/>
          <w:lang w:bidi="ar"/>
        </w:rPr>
        <w:t xml:space="preserve">ويمكن أن تتعدد تشكيلات شبكة النطاق العريض السلكية بالألياف البصرية، من قبيل الألياف البصرية إلى المنازل </w:t>
      </w:r>
      <w:r>
        <w:rPr>
          <w:spacing w:val="-4"/>
          <w:lang w:bidi="ar"/>
        </w:rPr>
        <w:t>(</w:t>
      </w:r>
      <w:r>
        <w:rPr>
          <w:bCs/>
          <w:spacing w:val="-4"/>
          <w:lang w:bidi="ar"/>
        </w:rPr>
        <w:t>FTTH</w:t>
      </w:r>
      <w:r>
        <w:rPr>
          <w:spacing w:val="-4"/>
          <w:lang w:bidi="ar"/>
        </w:rPr>
        <w:t>)</w:t>
      </w:r>
      <w:r>
        <w:rPr>
          <w:rtl/>
          <w:lang w:bidi="ar"/>
        </w:rPr>
        <w:t xml:space="preserve"> </w:t>
      </w:r>
      <w:r>
        <w:rPr>
          <w:rFonts w:hint="cs"/>
          <w:spacing w:val="-6"/>
          <w:rtl/>
          <w:lang w:bidi="ar"/>
        </w:rPr>
        <w:t xml:space="preserve">والألياف البصرية إلى المباني </w:t>
      </w:r>
      <w:r>
        <w:rPr>
          <w:spacing w:val="-6"/>
          <w:lang w:bidi="ar"/>
        </w:rPr>
        <w:t>(</w:t>
      </w:r>
      <w:r>
        <w:rPr>
          <w:bCs/>
          <w:spacing w:val="-6"/>
          <w:lang w:bidi="ar"/>
        </w:rPr>
        <w:t>FTTB</w:t>
      </w:r>
      <w:r>
        <w:rPr>
          <w:spacing w:val="-6"/>
          <w:lang w:bidi="ar"/>
        </w:rPr>
        <w:t>)</w:t>
      </w:r>
      <w:r>
        <w:rPr>
          <w:spacing w:val="-6"/>
          <w:rtl/>
          <w:lang w:bidi="ar"/>
        </w:rPr>
        <w:t xml:space="preserve"> والألياف البصرية إلى رصيف الشارع </w:t>
      </w:r>
      <w:r>
        <w:rPr>
          <w:spacing w:val="-6"/>
          <w:lang w:bidi="ar"/>
        </w:rPr>
        <w:t>(</w:t>
      </w:r>
      <w:r>
        <w:rPr>
          <w:bCs/>
          <w:spacing w:val="-6"/>
          <w:lang w:bidi="ar"/>
        </w:rPr>
        <w:t>FTTC</w:t>
      </w:r>
      <w:r>
        <w:rPr>
          <w:spacing w:val="-6"/>
          <w:lang w:bidi="ar"/>
        </w:rPr>
        <w:t>)</w:t>
      </w:r>
      <w:r>
        <w:rPr>
          <w:spacing w:val="-6"/>
          <w:rtl/>
          <w:lang w:bidi="ar"/>
        </w:rPr>
        <w:t xml:space="preserve"> والألياف البصرية إلى العقدة </w:t>
      </w:r>
      <w:r>
        <w:rPr>
          <w:spacing w:val="-6"/>
          <w:lang w:bidi="ar"/>
        </w:rPr>
        <w:t>(</w:t>
      </w:r>
      <w:r>
        <w:rPr>
          <w:bCs/>
          <w:spacing w:val="-6"/>
          <w:lang w:bidi="ar"/>
        </w:rPr>
        <w:t>FTTN</w:t>
      </w:r>
      <w:r>
        <w:rPr>
          <w:spacing w:val="-6"/>
          <w:lang w:bidi="ar"/>
        </w:rPr>
        <w:t>)</w:t>
      </w:r>
      <w:r>
        <w:rPr>
          <w:spacing w:val="-6"/>
          <w:rtl/>
          <w:lang w:bidi="ar"/>
        </w:rPr>
        <w:t>.</w:t>
      </w:r>
      <w:r>
        <w:rPr>
          <w:rtl/>
          <w:lang w:bidi="ar"/>
        </w:rPr>
        <w:t xml:space="preserve"> </w:t>
      </w:r>
      <w:r>
        <w:rPr>
          <w:spacing w:val="-6"/>
          <w:rtl/>
          <w:lang w:bidi="ar"/>
        </w:rPr>
        <w:t xml:space="preserve">وفي كل حالة تُنهى الشبكة البصرية بوحدة الشبكة البصرية </w:t>
      </w:r>
      <w:r>
        <w:rPr>
          <w:spacing w:val="-6"/>
          <w:lang w:bidi="ar"/>
        </w:rPr>
        <w:t>ONU)</w:t>
      </w:r>
      <w:r>
        <w:rPr>
          <w:spacing w:val="-6"/>
          <w:rtl/>
          <w:lang w:bidi="ar"/>
        </w:rPr>
        <w:t xml:space="preserve"> - المعروفة أيضاً باسم مطراف الشبكة البصرية أو </w:t>
      </w:r>
      <w:r>
        <w:rPr>
          <w:spacing w:val="-6"/>
          <w:lang w:bidi="ar"/>
        </w:rPr>
        <w:t>(ONT</w:t>
      </w:r>
      <w:r>
        <w:rPr>
          <w:spacing w:val="-6"/>
          <w:rtl/>
          <w:lang w:bidi="ar"/>
        </w:rPr>
        <w:t>.</w:t>
      </w:r>
    </w:p>
    <w:p w:rsidR="00111C25" w:rsidRDefault="00111C25" w:rsidP="00111C25">
      <w:pPr>
        <w:rPr>
          <w:rtl/>
          <w:lang w:bidi="ar"/>
        </w:rPr>
      </w:pPr>
      <w:r>
        <w:rPr>
          <w:rtl/>
          <w:lang w:bidi="ar"/>
        </w:rPr>
        <w:t xml:space="preserve">وتتمايز إصدارات الألياف البصرية فيما بينها بموقع وحدة الشبكة البصرية </w:t>
      </w:r>
      <w:r>
        <w:rPr>
          <w:lang w:bidi="ar"/>
        </w:rPr>
        <w:t>(ONU)</w:t>
      </w:r>
      <w:r>
        <w:rPr>
          <w:rtl/>
          <w:lang w:bidi="ar"/>
        </w:rPr>
        <w:t xml:space="preserve">. ففي الألياف البصرية الممددة إلى المنازل </w:t>
      </w:r>
      <w:r>
        <w:rPr>
          <w:lang w:bidi="ar"/>
        </w:rPr>
        <w:t>(</w:t>
      </w:r>
      <w:r>
        <w:rPr>
          <w:bCs/>
          <w:lang w:bidi="ar"/>
        </w:rPr>
        <w:t>FTTH</w:t>
      </w:r>
      <w:r>
        <w:rPr>
          <w:lang w:bidi="ar"/>
        </w:rPr>
        <w:t>)</w:t>
      </w:r>
      <w:r>
        <w:rPr>
          <w:rtl/>
          <w:lang w:bidi="ar"/>
        </w:rPr>
        <w:t>، تقع وحدة الشبكة البصرية في مقر المشترك وتعد بمثابة الحد الفاصل بين مرافق المشغل ومرافق العميل. وفي الألياف البصرية الممددة إلى المباني ورصيف الشارع، تكون وحدة الشبكة البصرية بمثابة السطح البيني المشترك لعدة مشتركين (على سبيل المثال، في الطابق السفلي من مبنى سكني أو في عمود الهاتف)، ويجري إيصال الخدمة عبر كبلات التوصيل بأزواج الأسلاك المبرومة القائمة لدى العملاء. وفي الألياف البصرية الممددة إلى العقدة </w:t>
      </w:r>
      <w:r>
        <w:rPr>
          <w:lang w:bidi="ar"/>
        </w:rPr>
        <w:t>(</w:t>
      </w:r>
      <w:r>
        <w:rPr>
          <w:bCs/>
          <w:lang w:bidi="ar"/>
        </w:rPr>
        <w:t>FTTN</w:t>
      </w:r>
      <w:r>
        <w:rPr>
          <w:lang w:bidi="ar"/>
        </w:rPr>
        <w:t>)</w:t>
      </w:r>
      <w:r>
        <w:rPr>
          <w:rtl/>
          <w:lang w:bidi="ar"/>
        </w:rPr>
        <w:t>، تقع وحدة الشبكة البصرية في العقدة الفاعلة ضمن الشبكة التي تخدم عشرات إلى مئات من المشتركين وتسلَّم من خلالها الخدمة بالعرى المحلية لأزواج الأسلاك المبرومة القائمة.</w:t>
      </w:r>
    </w:p>
    <w:p w:rsidR="00111C25" w:rsidRDefault="00111C25" w:rsidP="00111C25">
      <w:pPr>
        <w:rPr>
          <w:rtl/>
          <w:lang w:bidi="ar"/>
        </w:rPr>
      </w:pPr>
      <w:r>
        <w:rPr>
          <w:rtl/>
          <w:lang w:bidi="ar"/>
        </w:rPr>
        <w:t xml:space="preserve">وفي الواقع تمثل هذه التشكيلات درجات مختلفة من نشر الألياف البصرية ضمن شبكة النفاذ وتتكامل مع غيرها من تكنولوجيات النطاق العريض (السلكية واللاسلكية). فعلى سبيل المثال، كثيراً ما توصل المطاريف البعيدة </w:t>
      </w:r>
      <w:r>
        <w:rPr>
          <w:lang w:bidi="ar"/>
        </w:rPr>
        <w:t>(RT)</w:t>
      </w:r>
      <w:r>
        <w:rPr>
          <w:rtl/>
          <w:lang w:bidi="ar"/>
        </w:rPr>
        <w:t xml:space="preserve"> المستخدمة لتقصير أطوال عروة المشترك وتحسين تيسر الخط الرقمي للمشترك </w:t>
      </w:r>
      <w:r>
        <w:rPr>
          <w:lang w:bidi="ar"/>
        </w:rPr>
        <w:t>(DSL)</w:t>
      </w:r>
      <w:r>
        <w:rPr>
          <w:rtl/>
          <w:lang w:bidi="ar"/>
        </w:rPr>
        <w:t xml:space="preserve"> (توصيلاً وسيطاً) مع البدالة الهاتفية بواسطة الألياف البصرية - خاصة عند تحول تلك المطاريف البعيدة إلى بروتوكول العمل بالإنترنت </w:t>
      </w:r>
      <w:r>
        <w:rPr>
          <w:lang w:bidi="ar"/>
        </w:rPr>
        <w:t>(IP)</w:t>
      </w:r>
      <w:r>
        <w:rPr>
          <w:rtl/>
          <w:lang w:bidi="ar"/>
        </w:rPr>
        <w:t xml:space="preserve">. وكثيراً ما يستخدم الخط الرقمي للمشترك ذو السرعة الفائقة </w:t>
      </w:r>
      <w:r>
        <w:rPr>
          <w:lang w:bidi="ar"/>
        </w:rPr>
        <w:t>(VDSL)</w:t>
      </w:r>
      <w:r>
        <w:rPr>
          <w:rtl/>
          <w:lang w:bidi="ar"/>
        </w:rPr>
        <w:t xml:space="preserve"> لتقديم خدمة من وحدة الشبكة البصرية </w:t>
      </w:r>
      <w:r>
        <w:rPr>
          <w:lang w:bidi="ar"/>
        </w:rPr>
        <w:t>(ONU)</w:t>
      </w:r>
      <w:r>
        <w:rPr>
          <w:rtl/>
          <w:lang w:bidi="ar"/>
        </w:rPr>
        <w:t xml:space="preserve"> لدى نشر الألياف البصرية الممددة إلى المباني ورصيف الشارع ويشيع "التوصيل الوسيط" للنفاذ اللاسلكي إلى النطاق العريض بواسطة الألياف البصرية، وخاصة لخدمات الجيل الرابع </w:t>
      </w:r>
      <w:r>
        <w:rPr>
          <w:lang w:bidi="ar"/>
        </w:rPr>
        <w:t>(G4)</w:t>
      </w:r>
      <w:r>
        <w:rPr>
          <w:rtl/>
          <w:lang w:bidi="ar"/>
        </w:rPr>
        <w:t xml:space="preserve">، مثل التطور طويل الأمد </w:t>
      </w:r>
      <w:r>
        <w:rPr>
          <w:lang w:bidi="ar"/>
        </w:rPr>
        <w:t>(LTE)</w:t>
      </w:r>
      <w:r>
        <w:rPr>
          <w:rtl/>
          <w:lang w:bidi="ar"/>
        </w:rPr>
        <w:t>.</w:t>
      </w:r>
    </w:p>
    <w:p w:rsidR="00111C25" w:rsidRDefault="00111C25" w:rsidP="00A40024">
      <w:pPr>
        <w:spacing w:after="240"/>
        <w:rPr>
          <w:rtl/>
          <w:lang w:bidi="ar-SY"/>
        </w:rPr>
      </w:pPr>
      <w:r>
        <w:rPr>
          <w:rtl/>
        </w:rPr>
        <w:t xml:space="preserve">وهناك معماريتان شائعتان للألياف البصرية: تشكيلة "نقطة إلى نقطة" </w:t>
      </w:r>
      <w:r>
        <w:rPr>
          <w:lang w:bidi="ar"/>
        </w:rPr>
        <w:t>(PtP)</w:t>
      </w:r>
      <w:r>
        <w:rPr>
          <w:rtl/>
        </w:rPr>
        <w:t xml:space="preserve"> والشبكة البصرية المنفعلة </w:t>
      </w:r>
      <w:r>
        <w:rPr>
          <w:lang w:bidi="ar"/>
        </w:rPr>
        <w:t>(PON)</w:t>
      </w:r>
      <w:r>
        <w:rPr>
          <w:rtl/>
        </w:rPr>
        <w:t xml:space="preserve">. وفي تشكيلة "نقطة إلى نقطة، تطبَّق معمارية الشبكة المحلية </w:t>
      </w:r>
      <w:r>
        <w:rPr>
          <w:lang w:bidi="ar"/>
        </w:rPr>
        <w:t>(LAN)</w:t>
      </w:r>
      <w:r>
        <w:rPr>
          <w:rtl/>
        </w:rPr>
        <w:t xml:space="preserve"> المؤسسسية على شبكة النفاذ الهاتفية بتوصيلة ألياف بصرية مخصصة (واحد أو اثنين من الألياف) من وحدة الشبكة البصرية إلى البدالة الهاتفية. وفي الشبكة البصرية المنفعلة يتشارك عدد من وحدات الشبكة البصرية </w:t>
      </w:r>
      <w:r w:rsidR="00A40024">
        <w:rPr>
          <w:rFonts w:hint="cs"/>
          <w:rtl/>
        </w:rPr>
        <w:t>-</w:t>
      </w:r>
      <w:r>
        <w:rPr>
          <w:rtl/>
        </w:rPr>
        <w:t xml:space="preserve"> بما لا يزيد عن </w:t>
      </w:r>
      <w:r>
        <w:rPr>
          <w:lang w:bidi="ar"/>
        </w:rPr>
        <w:t>32</w:t>
      </w:r>
      <w:r>
        <w:rPr>
          <w:rtl/>
        </w:rPr>
        <w:t xml:space="preserve"> منها عادة </w:t>
      </w:r>
      <w:r w:rsidR="00A40024">
        <w:rPr>
          <w:rFonts w:hint="cs"/>
          <w:rtl/>
        </w:rPr>
        <w:t>-</w:t>
      </w:r>
      <w:r>
        <w:rPr>
          <w:rtl/>
        </w:rPr>
        <w:t xml:space="preserve"> في توصيلة ليفية واحدة إلى الشبكة التي تُقسم عادة في عقدة الشبكة المنفعلة. ويرد مثال على ذلك في الشكل </w:t>
      </w:r>
      <w:r>
        <w:rPr>
          <w:lang w:bidi="ar"/>
        </w:rPr>
        <w:t>2</w:t>
      </w:r>
      <w:r>
        <w:rPr>
          <w:lang w:bidi="ar"/>
        </w:rPr>
        <w:sym w:font="Symbol" w:char="F02D"/>
      </w:r>
      <w:r>
        <w:rPr>
          <w:lang w:bidi="ar"/>
        </w:rPr>
        <w:t>3.3</w:t>
      </w:r>
      <w:r>
        <w:rPr>
          <w:rtl/>
        </w:rPr>
        <w:t xml:space="preserve">. وفي تشكيلة مستقبلية للشبكة البصرية المنفعلة هي الشبكة البصرية المنفعلة العاملة بتعدد الإرسال بتقسيم طول الموجة </w:t>
      </w:r>
      <w:r>
        <w:rPr>
          <w:lang w:bidi="ar"/>
        </w:rPr>
        <w:t>(</w:t>
      </w:r>
      <w:r>
        <w:rPr>
          <w:bCs/>
          <w:lang w:bidi="ar"/>
        </w:rPr>
        <w:t>WDM</w:t>
      </w:r>
      <w:r>
        <w:rPr>
          <w:lang w:bidi="ar"/>
        </w:rPr>
        <w:t>)</w:t>
      </w:r>
      <w:r>
        <w:rPr>
          <w:rtl/>
        </w:rPr>
        <w:t>، يستعاض عن المقسم بمُحزَزَة بحيث يمكن تخديم كل مشترك بقناة مخصصة، أي بطول موجي.</w:t>
      </w:r>
    </w:p>
    <w:p w:rsidR="00A40024" w:rsidRDefault="00A40024" w:rsidP="00A40024">
      <w:pPr>
        <w:spacing w:after="240"/>
        <w:rPr>
          <w:rtl/>
          <w:lang w:bidi="ar-SY"/>
        </w:rPr>
      </w:pPr>
    </w:p>
    <w:p w:rsidR="00111C25" w:rsidRDefault="00111C25" w:rsidP="00A40024">
      <w:pPr>
        <w:pStyle w:val="Figuretitle"/>
        <w:rPr>
          <w:rtl/>
          <w:lang w:bidi="ar"/>
        </w:rPr>
      </w:pPr>
      <w:bookmarkStart w:id="88" w:name="_Toc372276134"/>
      <w:bookmarkStart w:id="89" w:name="_Toc380497244"/>
      <w:r>
        <w:rPr>
          <w:rtl/>
          <w:lang w:bidi="ar"/>
        </w:rPr>
        <w:lastRenderedPageBreak/>
        <w:t xml:space="preserve">الشكل </w:t>
      </w:r>
      <w:r>
        <w:rPr>
          <w:lang w:bidi="ar"/>
        </w:rPr>
        <w:t>2-3.3</w:t>
      </w:r>
      <w:r w:rsidR="00A40024">
        <w:rPr>
          <w:rFonts w:hint="cs"/>
          <w:rtl/>
        </w:rPr>
        <w:t>:</w:t>
      </w:r>
      <w:r>
        <w:rPr>
          <w:rtl/>
          <w:lang w:bidi="ar-SY"/>
        </w:rPr>
        <w:t xml:space="preserve"> معمارية</w:t>
      </w:r>
      <w:r>
        <w:rPr>
          <w:rtl/>
          <w:lang w:bidi="ar"/>
        </w:rPr>
        <w:t xml:space="preserve"> الشبكة البصرية المنفعلة </w:t>
      </w:r>
      <w:r>
        <w:rPr>
          <w:lang w:bidi="ar"/>
        </w:rPr>
        <w:t>(PON)</w:t>
      </w:r>
      <w:bookmarkEnd w:id="88"/>
      <w:bookmarkEnd w:id="89"/>
    </w:p>
    <w:p w:rsidR="00A40024" w:rsidRDefault="00A40024" w:rsidP="00A40024">
      <w:pPr>
        <w:pStyle w:val="Figure"/>
        <w:spacing w:before="0"/>
        <w:rPr>
          <w:spacing w:val="-2"/>
          <w:rtl/>
          <w:lang w:bidi="ar"/>
        </w:rPr>
      </w:pPr>
      <w:r>
        <w:object w:dxaOrig="8677" w:dyaOrig="4500">
          <v:shape id="_x0000_i1029" type="#_x0000_t75" style="width:433.65pt;height:224.35pt" o:ole="">
            <v:imagedata r:id="rId31" o:title=""/>
          </v:shape>
          <o:OLEObject Type="Embed" ProgID="Word.Document.12" ShapeID="_x0000_i1029" DrawAspect="Content" ObjectID="_1455084586" r:id="rId32">
            <o:FieldCodes>\s</o:FieldCodes>
          </o:OLEObject>
        </w:object>
      </w:r>
    </w:p>
    <w:p w:rsidR="00111C25" w:rsidRDefault="00111C25" w:rsidP="00A40024">
      <w:pPr>
        <w:spacing w:before="240"/>
        <w:rPr>
          <w:spacing w:val="-2"/>
          <w:rtl/>
          <w:lang w:bidi="ar"/>
        </w:rPr>
      </w:pPr>
      <w:r>
        <w:rPr>
          <w:spacing w:val="-2"/>
          <w:rtl/>
          <w:lang w:bidi="ar"/>
        </w:rPr>
        <w:t xml:space="preserve">دأب قطاع تقييس الاتصالات على كتابة معايير الألياف البصرية منذ عام </w:t>
      </w:r>
      <w:r>
        <w:rPr>
          <w:spacing w:val="-2"/>
          <w:lang w:bidi="ar"/>
        </w:rPr>
        <w:t>1990</w:t>
      </w:r>
      <w:r>
        <w:rPr>
          <w:spacing w:val="-2"/>
          <w:rtl/>
          <w:lang w:bidi="ar"/>
        </w:rPr>
        <w:t xml:space="preserve">. وترد هذه المعايير طي سلسلة التوصيات </w:t>
      </w:r>
      <w:r>
        <w:rPr>
          <w:spacing w:val="-2"/>
          <w:lang w:bidi="ar"/>
        </w:rPr>
        <w:t>ITU</w:t>
      </w:r>
      <w:r w:rsidR="00A40024">
        <w:rPr>
          <w:spacing w:val="-2"/>
          <w:lang w:bidi="ar"/>
        </w:rPr>
        <w:noBreakHyphen/>
      </w:r>
      <w:r>
        <w:rPr>
          <w:spacing w:val="-2"/>
          <w:lang w:bidi="ar"/>
        </w:rPr>
        <w:t>T</w:t>
      </w:r>
      <w:r w:rsidR="00A40024">
        <w:rPr>
          <w:spacing w:val="-2"/>
          <w:lang w:bidi="ar"/>
        </w:rPr>
        <w:t> </w:t>
      </w:r>
      <w:r>
        <w:rPr>
          <w:spacing w:val="-2"/>
          <w:lang w:bidi="ar"/>
        </w:rPr>
        <w:t>G.98x</w:t>
      </w:r>
      <w:r>
        <w:rPr>
          <w:spacing w:val="-2"/>
          <w:rtl/>
          <w:lang w:bidi="ar"/>
        </w:rPr>
        <w:t xml:space="preserve"> بشأن أنظمة الخطوط البصرية للشبكات المحلية وشبكات النفاذ. فتصف معايير النقطة إلى نقطة </w:t>
      </w:r>
      <w:r>
        <w:rPr>
          <w:spacing w:val="-2"/>
          <w:lang w:bidi="ar"/>
        </w:rPr>
        <w:t>(PtP)</w:t>
      </w:r>
      <w:r>
        <w:rPr>
          <w:spacing w:val="-2"/>
          <w:rtl/>
          <w:lang w:bidi="ar"/>
        </w:rPr>
        <w:t xml:space="preserve"> خدمة ثنائية الاتجاه معدلها </w:t>
      </w:r>
      <w:r>
        <w:rPr>
          <w:spacing w:val="-2"/>
          <w:lang w:bidi="ar"/>
        </w:rPr>
        <w:t>100</w:t>
      </w:r>
      <w:r>
        <w:rPr>
          <w:spacing w:val="-2"/>
          <w:rtl/>
          <w:lang w:bidi="ar"/>
        </w:rPr>
        <w:t xml:space="preserve"> </w:t>
      </w:r>
      <w:r>
        <w:rPr>
          <w:spacing w:val="-2"/>
          <w:lang w:bidi="ar"/>
        </w:rPr>
        <w:t>Mbit/s</w:t>
      </w:r>
      <w:r>
        <w:rPr>
          <w:spacing w:val="-2"/>
          <w:rtl/>
          <w:lang w:bidi="ar"/>
        </w:rPr>
        <w:t xml:space="preserve"> و</w:t>
      </w:r>
      <w:r>
        <w:rPr>
          <w:spacing w:val="-2"/>
          <w:lang w:bidi="ar"/>
        </w:rPr>
        <w:t>1</w:t>
      </w:r>
      <w:r>
        <w:rPr>
          <w:spacing w:val="-2"/>
          <w:rtl/>
          <w:lang w:bidi="ar"/>
        </w:rPr>
        <w:t xml:space="preserve"> </w:t>
      </w:r>
      <w:r>
        <w:rPr>
          <w:spacing w:val="-2"/>
          <w:lang w:bidi="ar"/>
        </w:rPr>
        <w:t>Gbit/s</w:t>
      </w:r>
      <w:r>
        <w:rPr>
          <w:spacing w:val="-2"/>
          <w:rtl/>
          <w:lang w:bidi="ar"/>
        </w:rPr>
        <w:t>. وقد تطورت أنظمة الشبكة البصرية المنفعلة </w:t>
      </w:r>
      <w:r>
        <w:rPr>
          <w:spacing w:val="-2"/>
          <w:lang w:bidi="ar"/>
        </w:rPr>
        <w:t>(PON)</w:t>
      </w:r>
      <w:r>
        <w:rPr>
          <w:spacing w:val="-2"/>
          <w:rtl/>
          <w:lang w:bidi="ar"/>
        </w:rPr>
        <w:t xml:space="preserve"> من عرض نطاق قائم على المعدلات الأولية للشبكة الرقمية متكاملة الخدمات </w:t>
      </w:r>
      <w:r>
        <w:rPr>
          <w:spacing w:val="-2"/>
          <w:lang w:bidi="ar"/>
        </w:rPr>
        <w:t>(ISDN)</w:t>
      </w:r>
      <w:r>
        <w:rPr>
          <w:spacing w:val="-2"/>
          <w:rtl/>
          <w:lang w:bidi="ar"/>
        </w:rPr>
        <w:t xml:space="preserve"> إلى خدمة معدلها بضع </w:t>
      </w:r>
      <w:r>
        <w:rPr>
          <w:spacing w:val="-2"/>
          <w:lang w:bidi="ar"/>
        </w:rPr>
        <w:t>Mbit/s</w:t>
      </w:r>
      <w:r>
        <w:rPr>
          <w:spacing w:val="-2"/>
          <w:rtl/>
          <w:lang w:bidi="ar"/>
        </w:rPr>
        <w:t xml:space="preserve"> وصولاً إلى </w:t>
      </w:r>
      <w:r>
        <w:rPr>
          <w:spacing w:val="-2"/>
          <w:lang w:bidi="ar"/>
        </w:rPr>
        <w:t>10</w:t>
      </w:r>
      <w:r>
        <w:rPr>
          <w:spacing w:val="-2"/>
          <w:rtl/>
          <w:lang w:bidi="ar"/>
        </w:rPr>
        <w:t xml:space="preserve"> </w:t>
      </w:r>
      <w:r>
        <w:rPr>
          <w:spacing w:val="-2"/>
          <w:lang w:bidi="ar"/>
        </w:rPr>
        <w:t>Gbit/s</w:t>
      </w:r>
      <w:r>
        <w:rPr>
          <w:spacing w:val="-2"/>
          <w:rtl/>
          <w:lang w:bidi="ar"/>
        </w:rPr>
        <w:t xml:space="preserve"> من البدالة الهاتفية إلى الشبكة. وقد نشرت أيضاً عدة إضافات إعلامية وأدلة للمنفذين. ويرد ملخص المعايير الرئيسية للألياف البصرية </w:t>
      </w:r>
      <w:r>
        <w:rPr>
          <w:spacing w:val="-2"/>
          <w:rtl/>
        </w:rPr>
        <w:t>لدى قطاع تقييس الاتصالات</w:t>
      </w:r>
      <w:r>
        <w:rPr>
          <w:spacing w:val="-2"/>
          <w:rtl/>
          <w:lang w:bidi="ar"/>
        </w:rPr>
        <w:t xml:space="preserve"> في الجدول </w:t>
      </w:r>
      <w:r>
        <w:rPr>
          <w:spacing w:val="-2"/>
          <w:lang w:bidi="ar"/>
        </w:rPr>
        <w:t>2-3.3</w:t>
      </w:r>
      <w:r>
        <w:rPr>
          <w:spacing w:val="-2"/>
          <w:rtl/>
          <w:lang w:bidi="ar"/>
        </w:rPr>
        <w:t>.</w:t>
      </w:r>
    </w:p>
    <w:p w:rsidR="00111C25" w:rsidRDefault="00111C25" w:rsidP="00A40024">
      <w:pPr>
        <w:pStyle w:val="Tabletitle"/>
        <w:rPr>
          <w:rtl/>
        </w:rPr>
      </w:pPr>
      <w:bookmarkStart w:id="90" w:name="_Toc372276135"/>
      <w:bookmarkStart w:id="91" w:name="_Toc380497409"/>
      <w:r>
        <w:rPr>
          <w:rtl/>
        </w:rPr>
        <w:t xml:space="preserve">الجدول </w:t>
      </w:r>
      <w:r>
        <w:t>2-3.3</w:t>
      </w:r>
      <w:r w:rsidR="00A40024">
        <w:rPr>
          <w:rFonts w:hint="cs"/>
          <w:rtl/>
        </w:rPr>
        <w:t>:</w:t>
      </w:r>
      <w:r>
        <w:rPr>
          <w:rtl/>
        </w:rPr>
        <w:t xml:space="preserve"> ملخص معايير النطاق العريض السلكي للألياف البصرية لدى قطاع تقييس الاتصالات</w:t>
      </w:r>
      <w:bookmarkEnd w:id="90"/>
      <w:bookmarkEnd w:id="91"/>
    </w:p>
    <w:tbl>
      <w:tblPr>
        <w:bidiVisual/>
        <w:tblW w:w="0" w:type="auto"/>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5974"/>
      </w:tblGrid>
      <w:tr w:rsidR="00111C25" w:rsidTr="00A40024">
        <w:trPr>
          <w:trHeight w:val="227"/>
          <w:jc w:val="center"/>
        </w:trPr>
        <w:tc>
          <w:tcPr>
            <w:tcW w:w="3048" w:type="dxa"/>
            <w:tcBorders>
              <w:bottom w:val="single" w:sz="4" w:space="0" w:color="auto"/>
            </w:tcBorders>
            <w:shd w:val="clear" w:color="auto" w:fill="005173"/>
            <w:hideMark/>
          </w:tcPr>
          <w:p w:rsidR="00111C25" w:rsidRPr="00A40024" w:rsidRDefault="00111C25" w:rsidP="00A40024">
            <w:pPr>
              <w:pStyle w:val="Tablehead"/>
              <w:bidi/>
              <w:rPr>
                <w:lang w:val="en-US"/>
              </w:rPr>
            </w:pPr>
            <w:r>
              <w:t>ITU-T G.982</w:t>
            </w:r>
          </w:p>
        </w:tc>
        <w:tc>
          <w:tcPr>
            <w:tcW w:w="5974" w:type="dxa"/>
            <w:tcBorders>
              <w:bottom w:val="single" w:sz="4" w:space="0" w:color="auto"/>
            </w:tcBorders>
            <w:shd w:val="clear" w:color="auto" w:fill="005173"/>
            <w:hideMark/>
          </w:tcPr>
          <w:p w:rsidR="00111C25" w:rsidRDefault="00111C25" w:rsidP="00A40024">
            <w:pPr>
              <w:pStyle w:val="Tablehead"/>
              <w:bidi/>
            </w:pPr>
            <w:r>
              <w:rPr>
                <w:rtl/>
              </w:rPr>
              <w:t>شبكات النفاذ البصرية لدعم الخدمات إلى حد المعدل الأولي لشبكة رقمية</w:t>
            </w:r>
            <w:r w:rsidR="00A40024">
              <w:rPr>
                <w:rFonts w:hint="cs"/>
                <w:rtl/>
              </w:rPr>
              <w:br/>
            </w:r>
            <w:r>
              <w:rPr>
                <w:rtl/>
              </w:rPr>
              <w:t>متكاملة الخدمات أو معدلات بتات مقابلة</w:t>
            </w:r>
          </w:p>
        </w:tc>
      </w:tr>
      <w:tr w:rsidR="00111C25" w:rsidTr="00A40024">
        <w:trPr>
          <w:trHeight w:val="227"/>
          <w:jc w:val="center"/>
        </w:trPr>
        <w:tc>
          <w:tcPr>
            <w:tcW w:w="3048" w:type="dxa"/>
            <w:shd w:val="clear" w:color="auto" w:fill="E8F8FD"/>
            <w:hideMark/>
          </w:tcPr>
          <w:p w:rsidR="00111C25" w:rsidRDefault="00111C25" w:rsidP="00A40024">
            <w:pPr>
              <w:pStyle w:val="Tabletext"/>
            </w:pPr>
            <w:r>
              <w:t>ITU-T G.983.x</w:t>
            </w:r>
          </w:p>
        </w:tc>
        <w:tc>
          <w:tcPr>
            <w:tcW w:w="5974" w:type="dxa"/>
            <w:shd w:val="clear" w:color="auto" w:fill="E8F8FD"/>
            <w:hideMark/>
          </w:tcPr>
          <w:p w:rsidR="00111C25" w:rsidRDefault="00111C25" w:rsidP="00A40024">
            <w:pPr>
              <w:pStyle w:val="Tabletext"/>
              <w:rPr>
                <w:spacing w:val="-2"/>
              </w:rPr>
            </w:pPr>
            <w:r>
              <w:rPr>
                <w:spacing w:val="-2"/>
                <w:rtl/>
              </w:rPr>
              <w:t xml:space="preserve">أنظمة النفاذ البصرية عريضة النطاق المعتمدة على الشبكات البصرية المنفعلة </w:t>
            </w:r>
            <w:r>
              <w:rPr>
                <w:spacing w:val="-2"/>
              </w:rPr>
              <w:t>(PON)</w:t>
            </w:r>
          </w:p>
        </w:tc>
      </w:tr>
      <w:tr w:rsidR="00111C25" w:rsidTr="00A40024">
        <w:trPr>
          <w:trHeight w:val="100"/>
          <w:jc w:val="center"/>
        </w:trPr>
        <w:tc>
          <w:tcPr>
            <w:tcW w:w="3048" w:type="dxa"/>
            <w:tcBorders>
              <w:bottom w:val="single" w:sz="4" w:space="0" w:color="auto"/>
            </w:tcBorders>
            <w:hideMark/>
          </w:tcPr>
          <w:p w:rsidR="00111C25" w:rsidRDefault="00111C25" w:rsidP="00A40024">
            <w:pPr>
              <w:pStyle w:val="Tabletext"/>
            </w:pPr>
            <w:r>
              <w:t>ITU-T G.984.x</w:t>
            </w:r>
          </w:p>
        </w:tc>
        <w:tc>
          <w:tcPr>
            <w:tcW w:w="5974" w:type="dxa"/>
            <w:tcBorders>
              <w:bottom w:val="single" w:sz="4" w:space="0" w:color="auto"/>
            </w:tcBorders>
            <w:hideMark/>
          </w:tcPr>
          <w:p w:rsidR="00111C25" w:rsidRDefault="00111C25" w:rsidP="00A40024">
            <w:pPr>
              <w:pStyle w:val="Tabletext"/>
            </w:pPr>
            <w:r>
              <w:rPr>
                <w:rtl/>
              </w:rPr>
              <w:t xml:space="preserve">الشبكات البصرية المنفعلة العاملة بمعدلات بالجيغابتات </w:t>
            </w:r>
            <w:r>
              <w:t>(GPON)</w:t>
            </w:r>
          </w:p>
        </w:tc>
      </w:tr>
      <w:tr w:rsidR="00111C25" w:rsidTr="00A40024">
        <w:trPr>
          <w:trHeight w:val="100"/>
          <w:jc w:val="center"/>
        </w:trPr>
        <w:tc>
          <w:tcPr>
            <w:tcW w:w="3048" w:type="dxa"/>
            <w:shd w:val="clear" w:color="auto" w:fill="E8F8FD"/>
            <w:hideMark/>
          </w:tcPr>
          <w:p w:rsidR="00111C25" w:rsidRDefault="00111C25" w:rsidP="00A40024">
            <w:pPr>
              <w:pStyle w:val="Tabletext"/>
            </w:pPr>
            <w:r>
              <w:t>ITU-T G.985</w:t>
            </w:r>
          </w:p>
        </w:tc>
        <w:tc>
          <w:tcPr>
            <w:tcW w:w="5974" w:type="dxa"/>
            <w:shd w:val="clear" w:color="auto" w:fill="E8F8FD"/>
            <w:hideMark/>
          </w:tcPr>
          <w:p w:rsidR="00111C25" w:rsidRDefault="00111C25" w:rsidP="00A40024">
            <w:pPr>
              <w:pStyle w:val="Tabletext"/>
            </w:pPr>
            <w:r>
              <w:rPr>
                <w:rtl/>
              </w:rPr>
              <w:t xml:space="preserve">نظام النفاذ البصري القائم على الإثرنت من نقطة إلى نقطة بمعدل </w:t>
            </w:r>
            <w:r>
              <w:t>100</w:t>
            </w:r>
            <w:r>
              <w:rPr>
                <w:rtl/>
              </w:rPr>
              <w:t xml:space="preserve"> </w:t>
            </w:r>
            <w:r>
              <w:t>Mbit/s</w:t>
            </w:r>
          </w:p>
        </w:tc>
      </w:tr>
      <w:tr w:rsidR="00111C25" w:rsidTr="00A40024">
        <w:trPr>
          <w:trHeight w:val="100"/>
          <w:jc w:val="center"/>
        </w:trPr>
        <w:tc>
          <w:tcPr>
            <w:tcW w:w="3048" w:type="dxa"/>
            <w:tcBorders>
              <w:bottom w:val="single" w:sz="4" w:space="0" w:color="auto"/>
            </w:tcBorders>
            <w:hideMark/>
          </w:tcPr>
          <w:p w:rsidR="00111C25" w:rsidRDefault="00111C25" w:rsidP="00A40024">
            <w:pPr>
              <w:pStyle w:val="Tabletext"/>
            </w:pPr>
            <w:r>
              <w:t>ITU-T G.986</w:t>
            </w:r>
          </w:p>
        </w:tc>
        <w:tc>
          <w:tcPr>
            <w:tcW w:w="5974" w:type="dxa"/>
            <w:tcBorders>
              <w:bottom w:val="single" w:sz="4" w:space="0" w:color="auto"/>
            </w:tcBorders>
            <w:hideMark/>
          </w:tcPr>
          <w:p w:rsidR="00111C25" w:rsidRDefault="00111C25" w:rsidP="00A40024">
            <w:pPr>
              <w:pStyle w:val="Tabletext"/>
            </w:pPr>
            <w:r>
              <w:rPr>
                <w:rtl/>
              </w:rPr>
              <w:t xml:space="preserve">نظام النفاذ البصري القائم على الإثرنت من نقطة إلى نقطة بمعدل </w:t>
            </w:r>
            <w:r>
              <w:t>Gbit/s 1</w:t>
            </w:r>
          </w:p>
        </w:tc>
      </w:tr>
      <w:tr w:rsidR="00111C25" w:rsidTr="00A40024">
        <w:trPr>
          <w:trHeight w:val="100"/>
          <w:jc w:val="center"/>
        </w:trPr>
        <w:tc>
          <w:tcPr>
            <w:tcW w:w="3048" w:type="dxa"/>
            <w:shd w:val="clear" w:color="auto" w:fill="E8F8FD"/>
            <w:hideMark/>
          </w:tcPr>
          <w:p w:rsidR="00111C25" w:rsidRDefault="00111C25" w:rsidP="00A40024">
            <w:pPr>
              <w:pStyle w:val="Tabletext"/>
            </w:pPr>
            <w:r>
              <w:t>ITU-T G.987.x</w:t>
            </w:r>
          </w:p>
        </w:tc>
        <w:tc>
          <w:tcPr>
            <w:tcW w:w="5974" w:type="dxa"/>
            <w:shd w:val="clear" w:color="auto" w:fill="E8F8FD"/>
            <w:hideMark/>
          </w:tcPr>
          <w:p w:rsidR="00111C25" w:rsidRDefault="00111C25" w:rsidP="00A40024">
            <w:pPr>
              <w:pStyle w:val="Tabletext"/>
            </w:pPr>
            <w:r>
              <w:rPr>
                <w:rtl/>
              </w:rPr>
              <w:t xml:space="preserve">أنظمة الشبكات البصرية المنفعلة العاملة بمعدل عشر جيغابتات </w:t>
            </w:r>
            <w:r>
              <w:t>(XG-PON)</w:t>
            </w:r>
          </w:p>
        </w:tc>
      </w:tr>
      <w:tr w:rsidR="00111C25" w:rsidTr="00A40024">
        <w:trPr>
          <w:trHeight w:val="100"/>
          <w:jc w:val="center"/>
        </w:trPr>
        <w:tc>
          <w:tcPr>
            <w:tcW w:w="3048" w:type="dxa"/>
            <w:hideMark/>
          </w:tcPr>
          <w:p w:rsidR="00111C25" w:rsidRDefault="00111C25" w:rsidP="00A40024">
            <w:pPr>
              <w:pStyle w:val="Tabletext"/>
            </w:pPr>
            <w:r>
              <w:t>ITU-T G.988</w:t>
            </w:r>
          </w:p>
        </w:tc>
        <w:tc>
          <w:tcPr>
            <w:tcW w:w="5974" w:type="dxa"/>
            <w:hideMark/>
          </w:tcPr>
          <w:p w:rsidR="00111C25" w:rsidRDefault="00111C25" w:rsidP="00A40024">
            <w:pPr>
              <w:pStyle w:val="Tabletext"/>
            </w:pPr>
            <w:r>
              <w:rPr>
                <w:rtl/>
              </w:rPr>
              <w:t xml:space="preserve">توصيف الإدارة والسطح البيني للتحكم في وحدة الشبكة البصرية </w:t>
            </w:r>
            <w:r>
              <w:t>(OMCI)</w:t>
            </w:r>
          </w:p>
        </w:tc>
      </w:tr>
    </w:tbl>
    <w:p w:rsidR="00111C25" w:rsidRDefault="00111C25" w:rsidP="00A40024">
      <w:pPr>
        <w:pStyle w:val="Heading4"/>
        <w:rPr>
          <w:rFonts w:ascii="Verdana Bold" w:hAnsi="Verdana Bold" w:cs="Simplified Arabic"/>
          <w:sz w:val="19"/>
          <w:szCs w:val="26"/>
          <w:rtl/>
          <w:lang w:bidi="ar-EG"/>
        </w:rPr>
      </w:pPr>
      <w:r>
        <w:rPr>
          <w:rtl/>
          <w:lang w:bidi="ar-EG"/>
        </w:rPr>
        <w:t>الربط الشبكي المن</w:t>
      </w:r>
      <w:r w:rsidR="009C04F6">
        <w:rPr>
          <w:rFonts w:hint="cs"/>
          <w:rtl/>
          <w:lang w:bidi="ar-EG"/>
        </w:rPr>
        <w:t>‍</w:t>
      </w:r>
      <w:r>
        <w:rPr>
          <w:rtl/>
          <w:lang w:bidi="ar-EG"/>
        </w:rPr>
        <w:t>زلي</w:t>
      </w:r>
    </w:p>
    <w:p w:rsidR="00111C25" w:rsidRDefault="00111C25" w:rsidP="00111C25">
      <w:pPr>
        <w:rPr>
          <w:rtl/>
          <w:lang w:bidi="ar"/>
        </w:rPr>
      </w:pPr>
      <w:r>
        <w:rPr>
          <w:spacing w:val="4"/>
          <w:rtl/>
          <w:lang w:bidi="ar"/>
        </w:rPr>
        <w:t>بارتقاء أداء شبكة النطاق العريض السلكية الواصلة إلى المنزل، دعت الحاجة إلى ارتقاء مماثل لأداء الشبكة داخل المنزل. وقد طرأ تحسن هائل على قدرات فرادى المعدات ضمن المنزل، حيث تصادَف: أجهزة تلفزيون بشاشة</w:t>
      </w:r>
      <w:r>
        <w:rPr>
          <w:rtl/>
          <w:lang w:bidi="ar"/>
        </w:rPr>
        <w:t xml:space="preserve"> كبيرة عالية الوضوح </w:t>
      </w:r>
      <w:r>
        <w:rPr>
          <w:lang w:bidi="ar"/>
        </w:rPr>
        <w:t>(HDTV)</w:t>
      </w:r>
      <w:r>
        <w:rPr>
          <w:rtl/>
          <w:lang w:bidi="ar"/>
        </w:rPr>
        <w:t xml:space="preserve">؛ وحواسيب شخصية متعددة لكل منها قوة حوسبة تفوق قوة النماذج الصناعية لجيل واحد قبلها؛ وأجهزة الترفيه الشخصية التي تقلصت فيها وحدة الألعاب الكبيرة إلى حجم علبة أعواد الثقاب. وتلوح فرصة كبيرة الآن لربطها جميعاً شبكياً. وبالإضافة </w:t>
      </w:r>
      <w:r w:rsidR="00096506">
        <w:rPr>
          <w:rFonts w:hint="cs"/>
          <w:rtl/>
          <w:lang w:bidi="ar"/>
        </w:rPr>
        <w:t>إلى</w:t>
      </w:r>
      <w:r>
        <w:rPr>
          <w:rtl/>
          <w:lang w:bidi="ar"/>
        </w:rPr>
        <w:t xml:space="preserve"> ذلك، يتوقع المتنبئون بالمستقبل ربطاً شبكياً للأجهزة الشائعة (الثلاجات ومقاييس الحرارة)، وأنظمة الأمن، واستخدام الطاقة والتطبيقات غير المألوفة مثل فتح وإغلاق الحُجُب والستائر في الصباح والمساء.</w:t>
      </w:r>
    </w:p>
    <w:p w:rsidR="00111C25" w:rsidRDefault="00111C25" w:rsidP="00111C25">
      <w:pPr>
        <w:rPr>
          <w:rtl/>
          <w:lang w:bidi="ar"/>
        </w:rPr>
      </w:pPr>
      <w:r>
        <w:rPr>
          <w:rtl/>
          <w:lang w:bidi="ar"/>
        </w:rPr>
        <w:lastRenderedPageBreak/>
        <w:t xml:space="preserve">لكن العديد من التحديات تعترض هذه الرؤية الطوباوية لمنزل مربوط شبكياً بالكامل. وما لم تتمكن الشبكات المنزلية من استخدام المنشأة المادية القائمة (كشبكة الكهرباء أو الهاتف أو الكبلات متحدة المحور في المنزل)، فإن مد شبكة </w:t>
      </w:r>
      <w:r>
        <w:rPr>
          <w:spacing w:val="4"/>
          <w:rtl/>
          <w:lang w:bidi="ar"/>
        </w:rPr>
        <w:t>منزلية سلكية يكون مكلفاً في أي منزل، وباهظاً من منظور مجتمعي. وتختلف أيضاً الكفاءة الرقمية لعامة الناس عن</w:t>
      </w:r>
      <w:r>
        <w:rPr>
          <w:rtl/>
          <w:lang w:bidi="ar"/>
        </w:rPr>
        <w:t xml:space="preserve"> تلك التي تتسم بها فرق التركيب المدربة لدى شركة الهاتف. فمقابل كل هاوٍ من هواة تركيب شبكة منزلية معقدة، هناك مستهلك محبط يعجز عن توصيل كبلين معاً. </w:t>
      </w:r>
    </w:p>
    <w:p w:rsidR="00111C25" w:rsidRDefault="00111C25" w:rsidP="00111C25">
      <w:pPr>
        <w:rPr>
          <w:rtl/>
          <w:lang w:bidi="ar"/>
        </w:rPr>
      </w:pPr>
      <w:r>
        <w:rPr>
          <w:spacing w:val="2"/>
          <w:rtl/>
          <w:lang w:bidi="ar"/>
        </w:rPr>
        <w:t xml:space="preserve">فشرع قطاع تقييس الاتصالات مؤخراً بمعالجة هذه المشكلة عن طريق صياغة سلسلة التوصيات </w:t>
      </w:r>
      <w:r>
        <w:rPr>
          <w:spacing w:val="2"/>
          <w:lang w:bidi="ar"/>
        </w:rPr>
        <w:t>ITU-T-G.99xx</w:t>
      </w:r>
      <w:r>
        <w:rPr>
          <w:spacing w:val="2"/>
          <w:rtl/>
          <w:lang w:bidi="ar"/>
        </w:rPr>
        <w:t xml:space="preserve"> التي</w:t>
      </w:r>
      <w:r>
        <w:rPr>
          <w:rtl/>
          <w:lang w:bidi="ar"/>
        </w:rPr>
        <w:t xml:space="preserve"> توفر معايير الإرسال والاستقبال باستخدام الأسلاك المنزلية الشائعة القائمة كشبكة النطاق العريض المنزلية. ويرد في الجدول </w:t>
      </w:r>
      <w:r>
        <w:rPr>
          <w:lang w:bidi="ar"/>
        </w:rPr>
        <w:t>3</w:t>
      </w:r>
      <w:r>
        <w:rPr>
          <w:lang w:bidi="ar"/>
        </w:rPr>
        <w:sym w:font="Symbol" w:char="F02D"/>
      </w:r>
      <w:r>
        <w:rPr>
          <w:lang w:bidi="ar"/>
        </w:rPr>
        <w:t>3.3</w:t>
      </w:r>
      <w:r>
        <w:rPr>
          <w:rtl/>
        </w:rPr>
        <w:t xml:space="preserve"> </w:t>
      </w:r>
      <w:r>
        <w:rPr>
          <w:rtl/>
          <w:lang w:bidi="ar"/>
        </w:rPr>
        <w:t>ملخص التوصيات الرئيسية لقطاع تقييس الاتصالات التي تقوم بمقام معايير الشبكة المنزلية.</w:t>
      </w:r>
    </w:p>
    <w:p w:rsidR="00111C25" w:rsidRDefault="00111C25" w:rsidP="00FF4CBD">
      <w:pPr>
        <w:pStyle w:val="Tabletitle"/>
        <w:rPr>
          <w:rtl/>
        </w:rPr>
      </w:pPr>
      <w:bookmarkStart w:id="92" w:name="_Toc372276136"/>
      <w:bookmarkStart w:id="93" w:name="_Toc380497410"/>
      <w:bookmarkStart w:id="94" w:name="_GoBack"/>
      <w:bookmarkEnd w:id="94"/>
      <w:r>
        <w:rPr>
          <w:rtl/>
        </w:rPr>
        <w:t xml:space="preserve">الجدول </w:t>
      </w:r>
      <w:r>
        <w:t>3-3.3</w:t>
      </w:r>
      <w:r w:rsidR="00FF4CBD">
        <w:rPr>
          <w:rFonts w:hint="cs"/>
          <w:rtl/>
        </w:rPr>
        <w:t>:</w:t>
      </w:r>
      <w:r>
        <w:rPr>
          <w:rtl/>
        </w:rPr>
        <w:t xml:space="preserve"> </w:t>
      </w:r>
      <w:r>
        <w:rPr>
          <w:rFonts w:hint="cs"/>
          <w:rtl/>
        </w:rPr>
        <w:t>توصيات قطاع تقييس الاتصالات الموصِّفة لمعايير الربط الشبكي المن</w:t>
      </w:r>
      <w:r w:rsidR="00096506">
        <w:rPr>
          <w:rFonts w:hint="cs"/>
          <w:rtl/>
        </w:rPr>
        <w:t>‍</w:t>
      </w:r>
      <w:r>
        <w:rPr>
          <w:rFonts w:hint="cs"/>
          <w:rtl/>
        </w:rPr>
        <w:t>زلي</w:t>
      </w:r>
      <w:bookmarkEnd w:id="92"/>
      <w:bookmarkEnd w:id="93"/>
    </w:p>
    <w:tbl>
      <w:tblPr>
        <w:bidiVisual/>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4679"/>
      </w:tblGrid>
      <w:tr w:rsidR="00111C25" w:rsidTr="00FF4CBD">
        <w:trPr>
          <w:trHeight w:val="479"/>
          <w:jc w:val="center"/>
        </w:trPr>
        <w:tc>
          <w:tcPr>
            <w:tcW w:w="3544" w:type="dxa"/>
            <w:shd w:val="clear" w:color="auto" w:fill="E8F8FD"/>
            <w:hideMark/>
          </w:tcPr>
          <w:p w:rsidR="00111C25" w:rsidRDefault="00111C25" w:rsidP="00FF4CBD">
            <w:pPr>
              <w:pStyle w:val="Tabletext"/>
            </w:pPr>
            <w:r>
              <w:t>ITU-T G.9901</w:t>
            </w:r>
            <w:r>
              <w:rPr>
                <w:rtl/>
              </w:rPr>
              <w:t>،</w:t>
            </w:r>
            <w:r w:rsidR="00FF4CBD">
              <w:rPr>
                <w:rFonts w:hint="cs"/>
                <w:rtl/>
              </w:rPr>
              <w:br/>
            </w:r>
            <w:r>
              <w:t>ITU-T G.9902</w:t>
            </w:r>
            <w:r>
              <w:rPr>
                <w:rtl/>
              </w:rPr>
              <w:t>،</w:t>
            </w:r>
            <w:r w:rsidR="00FF4CBD">
              <w:rPr>
                <w:rFonts w:hint="cs"/>
                <w:rtl/>
              </w:rPr>
              <w:br/>
            </w:r>
            <w:r>
              <w:t>ITU-T G.9903</w:t>
            </w:r>
            <w:r>
              <w:rPr>
                <w:rtl/>
              </w:rPr>
              <w:t>،</w:t>
            </w:r>
            <w:r w:rsidR="00FF4CBD">
              <w:rPr>
                <w:rFonts w:hint="cs"/>
                <w:rtl/>
              </w:rPr>
              <w:br/>
            </w:r>
            <w:r>
              <w:t>ITU-T G.9904</w:t>
            </w:r>
          </w:p>
        </w:tc>
        <w:tc>
          <w:tcPr>
            <w:tcW w:w="4679" w:type="dxa"/>
            <w:shd w:val="clear" w:color="auto" w:fill="E8F8FD"/>
            <w:hideMark/>
          </w:tcPr>
          <w:p w:rsidR="00111C25" w:rsidRDefault="00111C25" w:rsidP="00FF4CBD">
            <w:pPr>
              <w:pStyle w:val="Tabletext"/>
            </w:pPr>
            <w:r>
              <w:rPr>
                <w:rtl/>
              </w:rPr>
              <w:t>مرسلات-مستقبلات الربط الشبكي المنزلي المعدة للتشغيل عبر خطوط القدرة الكهربائية</w:t>
            </w:r>
          </w:p>
        </w:tc>
      </w:tr>
      <w:tr w:rsidR="00111C25" w:rsidTr="00FF4CBD">
        <w:trPr>
          <w:trHeight w:val="352"/>
          <w:jc w:val="center"/>
        </w:trPr>
        <w:tc>
          <w:tcPr>
            <w:tcW w:w="3544" w:type="dxa"/>
            <w:tcBorders>
              <w:bottom w:val="single" w:sz="4" w:space="0" w:color="auto"/>
            </w:tcBorders>
            <w:hideMark/>
          </w:tcPr>
          <w:p w:rsidR="00111C25" w:rsidRDefault="00111C25" w:rsidP="00FF4CBD">
            <w:pPr>
              <w:pStyle w:val="Tabletext"/>
            </w:pPr>
            <w:r>
              <w:t>ITU-T G.9951</w:t>
            </w:r>
            <w:r>
              <w:rPr>
                <w:rtl/>
              </w:rPr>
              <w:t>،</w:t>
            </w:r>
            <w:r w:rsidR="00FF4CBD">
              <w:rPr>
                <w:rFonts w:hint="cs"/>
                <w:rtl/>
              </w:rPr>
              <w:br/>
            </w:r>
            <w:r>
              <w:t>ITU-T G.9952</w:t>
            </w:r>
            <w:r>
              <w:rPr>
                <w:rtl/>
              </w:rPr>
              <w:t>،</w:t>
            </w:r>
            <w:r w:rsidR="00FF4CBD">
              <w:rPr>
                <w:rFonts w:hint="cs"/>
                <w:rtl/>
              </w:rPr>
              <w:br/>
            </w:r>
            <w:r>
              <w:t>ITU-T G.9953</w:t>
            </w:r>
          </w:p>
        </w:tc>
        <w:tc>
          <w:tcPr>
            <w:tcW w:w="4679" w:type="dxa"/>
            <w:tcBorders>
              <w:bottom w:val="single" w:sz="4" w:space="0" w:color="auto"/>
            </w:tcBorders>
            <w:hideMark/>
          </w:tcPr>
          <w:p w:rsidR="00111C25" w:rsidRDefault="00111C25" w:rsidP="00FF4CBD">
            <w:pPr>
              <w:pStyle w:val="Tabletext"/>
            </w:pPr>
            <w:r>
              <w:rPr>
                <w:rtl/>
              </w:rPr>
              <w:t>مرسلات-مستقبلات الربط الشبكي المنزلي المعدة للتشغيل عبر الخط الهاتفي</w:t>
            </w:r>
          </w:p>
        </w:tc>
      </w:tr>
      <w:tr w:rsidR="00111C25" w:rsidTr="00FF4CBD">
        <w:trPr>
          <w:trHeight w:val="226"/>
          <w:jc w:val="center"/>
        </w:trPr>
        <w:tc>
          <w:tcPr>
            <w:tcW w:w="3544" w:type="dxa"/>
            <w:shd w:val="clear" w:color="auto" w:fill="E8F8FD"/>
            <w:hideMark/>
          </w:tcPr>
          <w:p w:rsidR="00111C25" w:rsidRDefault="00111C25" w:rsidP="00FF4CBD">
            <w:pPr>
              <w:pStyle w:val="Tabletext"/>
            </w:pPr>
            <w:r>
              <w:t>ITU-T G.9954</w:t>
            </w:r>
          </w:p>
        </w:tc>
        <w:tc>
          <w:tcPr>
            <w:tcW w:w="4679" w:type="dxa"/>
            <w:shd w:val="clear" w:color="auto" w:fill="E8F8FD"/>
            <w:hideMark/>
          </w:tcPr>
          <w:p w:rsidR="00111C25" w:rsidRDefault="00111C25" w:rsidP="00FF4CBD">
            <w:pPr>
              <w:pStyle w:val="Tabletext"/>
            </w:pPr>
            <w:r>
              <w:rPr>
                <w:rtl/>
              </w:rPr>
              <w:t>مرسلات-مستقبلات الربط الشبكي المنزلي المعدة للتشغيل عبر الخط الهاتفي والكبلات متحدة المحور</w:t>
            </w:r>
          </w:p>
        </w:tc>
      </w:tr>
      <w:tr w:rsidR="00111C25" w:rsidTr="00FF4CBD">
        <w:trPr>
          <w:trHeight w:val="226"/>
          <w:jc w:val="center"/>
        </w:trPr>
        <w:tc>
          <w:tcPr>
            <w:tcW w:w="3544" w:type="dxa"/>
            <w:tcBorders>
              <w:bottom w:val="single" w:sz="4" w:space="0" w:color="auto"/>
            </w:tcBorders>
            <w:hideMark/>
          </w:tcPr>
          <w:p w:rsidR="00111C25" w:rsidRDefault="00111C25" w:rsidP="00FF4CBD">
            <w:pPr>
              <w:pStyle w:val="Tabletext"/>
            </w:pPr>
            <w:r>
              <w:t>ITU-T G.996x</w:t>
            </w:r>
          </w:p>
        </w:tc>
        <w:tc>
          <w:tcPr>
            <w:tcW w:w="4679" w:type="dxa"/>
            <w:tcBorders>
              <w:bottom w:val="single" w:sz="4" w:space="0" w:color="auto"/>
            </w:tcBorders>
            <w:hideMark/>
          </w:tcPr>
          <w:p w:rsidR="00111C25" w:rsidRDefault="00111C25" w:rsidP="00FF4CBD">
            <w:pPr>
              <w:pStyle w:val="Tabletext"/>
            </w:pPr>
            <w:r>
              <w:rPr>
                <w:rtl/>
              </w:rPr>
              <w:t>مرسلات-مستقبلات الربط الشبكي المنزلي المعدة للتشغيل عبر الخط الهاتفي والكبلات متحدة المحور وخطوط القدرة الكهربائية</w:t>
            </w:r>
          </w:p>
        </w:tc>
      </w:tr>
      <w:tr w:rsidR="00111C25" w:rsidTr="00FF4CBD">
        <w:trPr>
          <w:trHeight w:val="226"/>
          <w:jc w:val="center"/>
        </w:trPr>
        <w:tc>
          <w:tcPr>
            <w:tcW w:w="3544" w:type="dxa"/>
            <w:shd w:val="clear" w:color="auto" w:fill="E8F8FD"/>
            <w:hideMark/>
          </w:tcPr>
          <w:p w:rsidR="00111C25" w:rsidRDefault="00111C25" w:rsidP="00FF4CBD">
            <w:pPr>
              <w:pStyle w:val="Tabletext"/>
            </w:pPr>
            <w:r>
              <w:t>ITU-T G.9972</w:t>
            </w:r>
          </w:p>
        </w:tc>
        <w:tc>
          <w:tcPr>
            <w:tcW w:w="4679" w:type="dxa"/>
            <w:shd w:val="clear" w:color="auto" w:fill="E8F8FD"/>
            <w:hideMark/>
          </w:tcPr>
          <w:p w:rsidR="00111C25" w:rsidRDefault="00111C25" w:rsidP="00FF4CBD">
            <w:pPr>
              <w:pStyle w:val="Tabletext"/>
            </w:pPr>
            <w:r>
              <w:rPr>
                <w:rtl/>
              </w:rPr>
              <w:t>آلية التعايش لمرسلات-مستقبلات الربط الشبكي السلكي المن‍زلي (عبر الخط الهاتفي والكبلات متحدة المحور وخطوط القدرة الكهربائية)</w:t>
            </w:r>
          </w:p>
        </w:tc>
      </w:tr>
      <w:tr w:rsidR="00111C25" w:rsidTr="00FF4CBD">
        <w:trPr>
          <w:trHeight w:val="100"/>
          <w:jc w:val="center"/>
        </w:trPr>
        <w:tc>
          <w:tcPr>
            <w:tcW w:w="3544" w:type="dxa"/>
            <w:tcBorders>
              <w:bottom w:val="single" w:sz="4" w:space="0" w:color="auto"/>
            </w:tcBorders>
            <w:hideMark/>
          </w:tcPr>
          <w:p w:rsidR="00111C25" w:rsidRDefault="00111C25" w:rsidP="00FF4CBD">
            <w:pPr>
              <w:pStyle w:val="Tabletext"/>
            </w:pPr>
            <w:r>
              <w:t>ITU-T G.9970</w:t>
            </w:r>
          </w:p>
        </w:tc>
        <w:tc>
          <w:tcPr>
            <w:tcW w:w="4679" w:type="dxa"/>
            <w:tcBorders>
              <w:bottom w:val="single" w:sz="4" w:space="0" w:color="auto"/>
            </w:tcBorders>
            <w:hideMark/>
          </w:tcPr>
          <w:p w:rsidR="00111C25" w:rsidRDefault="00111C25" w:rsidP="00FF4CBD">
            <w:pPr>
              <w:pStyle w:val="Tabletext"/>
            </w:pPr>
            <w:r>
              <w:rPr>
                <w:rtl/>
              </w:rPr>
              <w:t>المعمارية العامة للنقل في الشبكة المن‍زلية</w:t>
            </w:r>
          </w:p>
        </w:tc>
      </w:tr>
      <w:tr w:rsidR="00111C25" w:rsidTr="00FF4CBD">
        <w:trPr>
          <w:trHeight w:val="100"/>
          <w:jc w:val="center"/>
        </w:trPr>
        <w:tc>
          <w:tcPr>
            <w:tcW w:w="3544" w:type="dxa"/>
            <w:shd w:val="clear" w:color="auto" w:fill="E8F8FD"/>
            <w:hideMark/>
          </w:tcPr>
          <w:p w:rsidR="00111C25" w:rsidRDefault="00111C25" w:rsidP="00FF4CBD">
            <w:pPr>
              <w:pStyle w:val="Tabletext"/>
            </w:pPr>
            <w:r>
              <w:t>ITU-T G.9971</w:t>
            </w:r>
          </w:p>
        </w:tc>
        <w:tc>
          <w:tcPr>
            <w:tcW w:w="4679" w:type="dxa"/>
            <w:shd w:val="clear" w:color="auto" w:fill="E8F8FD"/>
            <w:hideMark/>
          </w:tcPr>
          <w:p w:rsidR="00111C25" w:rsidRDefault="00111C25" w:rsidP="00FF4CBD">
            <w:pPr>
              <w:pStyle w:val="Tabletext"/>
            </w:pPr>
            <w:r>
              <w:rPr>
                <w:rtl/>
              </w:rPr>
              <w:t>متطلبات وظائف النقل في الشبكات المن‍زلية القائمة على بروتوكول الإنترنت</w:t>
            </w:r>
          </w:p>
        </w:tc>
      </w:tr>
    </w:tbl>
    <w:p w:rsidR="00111C25" w:rsidRDefault="00111C25" w:rsidP="00111C25">
      <w:pPr>
        <w:spacing w:before="240"/>
        <w:rPr>
          <w:rFonts w:ascii="Verdana" w:hAnsi="Verdana" w:cs="Simplified Arabic"/>
          <w:sz w:val="19"/>
          <w:szCs w:val="26"/>
          <w:rtl/>
          <w:lang w:bidi="ar"/>
        </w:rPr>
      </w:pPr>
      <w:r>
        <w:rPr>
          <w:rtl/>
          <w:lang w:bidi="ar"/>
        </w:rPr>
        <w:t xml:space="preserve">نظراً إلى الحاجة لقوة القيادة والتنسيق خلال وضع معايير لشبكات النفاذ عريض النطاق السلكي وللربط الشبكي المنزلي، أسند قطاع تقييس الاتصالات إلى لجنة الدراسات </w:t>
      </w:r>
      <w:r>
        <w:rPr>
          <w:lang w:bidi="ar"/>
        </w:rPr>
        <w:t>15</w:t>
      </w:r>
      <w:r>
        <w:rPr>
          <w:rtl/>
          <w:lang w:bidi="ar"/>
        </w:rPr>
        <w:t xml:space="preserve"> وصف "لجنة الدراسات الرئيسية المعنية بالنقل في شبكة النفاذ" </w:t>
      </w:r>
      <w:r>
        <w:rPr>
          <w:lang w:bidi="ar"/>
        </w:rPr>
        <w:t>(ANT)</w:t>
      </w:r>
      <w:r>
        <w:rPr>
          <w:rtl/>
          <w:lang w:bidi="ar"/>
        </w:rPr>
        <w:t xml:space="preserve">. وهكذا وضعت لجنة الدراسات </w:t>
      </w:r>
      <w:r>
        <w:rPr>
          <w:lang w:bidi="ar"/>
        </w:rPr>
        <w:t>15</w:t>
      </w:r>
      <w:r>
        <w:rPr>
          <w:rtl/>
          <w:lang w:bidi="ar"/>
        </w:rPr>
        <w:t xml:space="preserve"> </w:t>
      </w:r>
      <w:r>
        <w:rPr>
          <w:rFonts w:hint="cs"/>
          <w:rtl/>
          <w:lang w:bidi="ar"/>
        </w:rPr>
        <w:t>لقطاع تقييس الاتصالات هذه الورقة التقنية ونشرتها لمساعدة جميع الأطراف المعنية - أي الإدارات ومشغلي الشبكات والبائعين والمشتركين - بشأن توفر واستخدام توصيات قطاع تقييس الاتصالات الموصِّفة لمعايير شبكات النفاذ عريض النطاق السلكية والربط الشبكي المنزلي.</w:t>
      </w:r>
    </w:p>
    <w:p w:rsidR="00111C25" w:rsidRDefault="00111C25" w:rsidP="00111C25">
      <w:pPr>
        <w:rPr>
          <w:rtl/>
          <w:lang w:bidi="ar"/>
        </w:rPr>
      </w:pPr>
      <w:r>
        <w:rPr>
          <w:rtl/>
          <w:lang w:bidi="ar"/>
        </w:rPr>
        <w:t xml:space="preserve">يرجى الرجوع إلى </w:t>
      </w:r>
      <w:r>
        <w:rPr>
          <w:b/>
          <w:bCs/>
          <w:rtl/>
          <w:lang w:bidi="ar"/>
        </w:rPr>
        <w:t xml:space="preserve">الملحق </w:t>
      </w:r>
      <w:r>
        <w:rPr>
          <w:b/>
          <w:bCs/>
          <w:lang w:bidi="ar"/>
        </w:rPr>
        <w:t>III</w:t>
      </w:r>
      <w:r>
        <w:rPr>
          <w:rtl/>
          <w:lang w:bidi="ar"/>
        </w:rPr>
        <w:t xml:space="preserve"> للاطلاع على وثائق الاتحاد الدولي للاتصالات التي يمكن أن توفر مراجع مفيدة عن الأنظمة السلكية.</w:t>
      </w:r>
    </w:p>
    <w:p w:rsidR="00111C25" w:rsidRDefault="00111C25" w:rsidP="00111C25">
      <w:pPr>
        <w:pStyle w:val="Heading2"/>
        <w:rPr>
          <w:rtl/>
        </w:rPr>
      </w:pPr>
      <w:bookmarkStart w:id="95" w:name="_Toc372276137"/>
      <w:bookmarkStart w:id="96" w:name="_Toc380496731"/>
      <w:r>
        <w:t>4.3</w:t>
      </w:r>
      <w:r>
        <w:rPr>
          <w:rtl/>
        </w:rPr>
        <w:tab/>
        <w:t>تكنولوجيات النفاذ عريض النطاق اللاسلكية، بما فيها الاتصالات المتنقلة الدولية</w:t>
      </w:r>
      <w:bookmarkEnd w:id="95"/>
      <w:bookmarkEnd w:id="96"/>
    </w:p>
    <w:p w:rsidR="00111C25" w:rsidRDefault="00111C25" w:rsidP="00111C25">
      <w:pPr>
        <w:rPr>
          <w:rtl/>
          <w:lang w:bidi="ar"/>
        </w:rPr>
      </w:pPr>
      <w:r>
        <w:rPr>
          <w:rtl/>
          <w:lang w:bidi="ar"/>
        </w:rPr>
        <w:t xml:space="preserve">"يتوفر عدد من أنظمة وتطبيقات النفاذ عريض النطاق </w:t>
      </w:r>
      <w:r>
        <w:rPr>
          <w:lang w:bidi="ar"/>
        </w:rPr>
        <w:t>(BWA)</w:t>
      </w:r>
      <w:r>
        <w:rPr>
          <w:rtl/>
          <w:lang w:bidi="ar"/>
        </w:rPr>
        <w:t xml:space="preserve"> استناداً إلى معايير مختلفة، ويعتمد مدى ملاءمة كل منها على الاستخدام (ثابت مقابل جوال/متنقل)، وعلى متطلبات الأداء والمتطلبات الجغرافية وغيرها. ففي البلدان التي لم تترسخ فيها البنية التحتية السلكية، يمكن نشر أنظمة النفاذ عريض النطاق بسهولة أكبر لإيصال الخدمات إلى القواعد السكانية في البيئات الحضرية الكثيفة، فضلاً عن تلك الموجودة في المناطق الأبعد. وقد يتطلب بعض المستخدمين مجرد النفاذ عريض النطاق إلى </w:t>
      </w:r>
      <w:r>
        <w:rPr>
          <w:rtl/>
          <w:lang w:bidi="ar"/>
        </w:rPr>
        <w:lastRenderedPageBreak/>
        <w:t>الإنترنت لمسافات قصيرة، فيما يمكن أن يتطلب مستخدمون آخرون النفاذ عريض النطاق عبر مسافات أطول. وعلاوة على ذلك، قد يتطلب هؤلاء المستخدمون عينهم أن تكون تطبيقات النفاذ عريض النطاق الخاصة بهم جوالة أو متنقلة أو ثابتة أو مزيجاً من الثلاثة. وخلاصة القول، تتعدد حلول النفاذ المتعدد، وتعتمد خيارات تنفيذها على التفاعل بين المتطلبات، واستخدام التكنولوجيات المتنوعة لتلبية هذه المتطلبات، وعلى مدى تيسر الطيف (المرخص منه مقابل غير المرخص)، وعلى امتداد الشبكة المطلوب لإيصال تطبيقات وخدمات النفاذ عريض النطاق (شبكات محلية مقابل الحضرية)</w:t>
      </w:r>
      <w:r>
        <w:rPr>
          <w:lang w:bidi="ar"/>
        </w:rPr>
        <w:t>.</w:t>
      </w:r>
      <w:r>
        <w:rPr>
          <w:rtl/>
          <w:lang w:bidi="ar"/>
        </w:rPr>
        <w:t>"</w:t>
      </w:r>
      <w:r>
        <w:rPr>
          <w:rStyle w:val="FootnoteReference"/>
          <w:rtl/>
        </w:rPr>
        <w:footnoteReference w:id="61"/>
      </w:r>
    </w:p>
    <w:p w:rsidR="00111C25" w:rsidRDefault="00111C25" w:rsidP="00111C25">
      <w:pPr>
        <w:keepLines/>
        <w:rPr>
          <w:rtl/>
          <w:lang w:bidi="ar"/>
        </w:rPr>
      </w:pPr>
      <w:r>
        <w:rPr>
          <w:spacing w:val="-2"/>
          <w:rtl/>
          <w:lang w:bidi="ar"/>
        </w:rPr>
        <w:t xml:space="preserve">وترد في </w:t>
      </w:r>
      <w:hyperlink r:id="rId33" w:history="1">
        <w:r>
          <w:rPr>
            <w:rStyle w:val="Hyperlink"/>
            <w:spacing w:val="-2"/>
            <w:rtl/>
            <w:lang w:bidi="ar"/>
          </w:rPr>
          <w:t xml:space="preserve">التوصية </w:t>
        </w:r>
        <w:r>
          <w:rPr>
            <w:rStyle w:val="Hyperlink"/>
            <w:spacing w:val="-2"/>
            <w:lang w:bidi="ar"/>
          </w:rPr>
          <w:t>ITU-R M.1801</w:t>
        </w:r>
      </w:hyperlink>
      <w:r>
        <w:rPr>
          <w:spacing w:val="-2"/>
          <w:rtl/>
          <w:lang w:bidi="ar"/>
        </w:rPr>
        <w:t xml:space="preserve"> "معايير السطوح البينية الراديوية لأنظمة النفاذ اللاسلكي عريض النطاق، بما في ذلك</w:t>
      </w:r>
      <w:r>
        <w:rPr>
          <w:rtl/>
          <w:lang w:bidi="ar"/>
        </w:rPr>
        <w:t xml:space="preserve"> التطبيقات المتنقلة والجوالة في الخدمة المتنقلة العاملة دون التردد </w:t>
      </w:r>
      <w:r>
        <w:rPr>
          <w:lang w:bidi="ar"/>
        </w:rPr>
        <w:t>GHz 6</w:t>
      </w:r>
      <w:r>
        <w:rPr>
          <w:rtl/>
          <w:lang w:bidi="ar"/>
        </w:rPr>
        <w:t xml:space="preserve">". وتدعم هذه المعايير مجموعة واسعة من التطبيقات في المناطق الحضرية والضواحي والمناطق الريفية للبيانات العامة في شبكة الإنترنت ذات النطاق العريض والبيانات في الوقت الفعلي على حد سواء، بما في ذلك تطبيقات مثل الصوت والمؤتمرات الفيديوية. وترد المعايير التالية في التوصية </w:t>
      </w:r>
      <w:r>
        <w:rPr>
          <w:lang w:bidi="ar"/>
        </w:rPr>
        <w:t>ITU-R M.1801</w:t>
      </w:r>
      <w:r>
        <w:rPr>
          <w:rtl/>
          <w:lang w:bidi="ar"/>
        </w:rPr>
        <w:t>:</w:t>
      </w:r>
    </w:p>
    <w:p w:rsidR="00111C25" w:rsidRDefault="00111C25" w:rsidP="00111C25">
      <w:pPr>
        <w:pStyle w:val="Enumlevel1"/>
        <w:rPr>
          <w:rtl/>
          <w:lang w:bidi="ar"/>
        </w:rPr>
      </w:pPr>
      <w:r>
        <w:sym w:font="Symbol" w:char="F02D"/>
      </w:r>
      <w:r>
        <w:rPr>
          <w:rtl/>
        </w:rPr>
        <w:tab/>
        <w:t xml:space="preserve">(الملحق </w:t>
      </w:r>
      <w:r>
        <w:t>1</w:t>
      </w:r>
      <w:r>
        <w:rPr>
          <w:rtl/>
        </w:rPr>
        <w:t xml:space="preserve">) </w:t>
      </w:r>
      <w:r>
        <w:rPr>
          <w:lang w:bidi="ar"/>
        </w:rPr>
        <w:t>ARIB HiSWANa</w:t>
      </w:r>
    </w:p>
    <w:p w:rsidR="00111C25" w:rsidRDefault="00111C25" w:rsidP="00111C25">
      <w:pPr>
        <w:pStyle w:val="Enumlevel1"/>
        <w:rPr>
          <w:lang w:bidi="ar"/>
        </w:rPr>
      </w:pPr>
      <w:r>
        <w:sym w:font="Symbol" w:char="F02D"/>
      </w:r>
      <w:r>
        <w:rPr>
          <w:rtl/>
        </w:rPr>
        <w:tab/>
        <w:t xml:space="preserve">(الملحق </w:t>
      </w:r>
      <w:r>
        <w:t>1</w:t>
      </w:r>
      <w:r>
        <w:rPr>
          <w:rtl/>
        </w:rPr>
        <w:t xml:space="preserve">) </w:t>
      </w:r>
      <w:r>
        <w:rPr>
          <w:lang w:bidi="ar"/>
        </w:rPr>
        <w:t>ETSI BRAN HIPERLAN 2</w:t>
      </w:r>
    </w:p>
    <w:p w:rsidR="00111C25" w:rsidRDefault="00111C25" w:rsidP="00111C25">
      <w:pPr>
        <w:pStyle w:val="Enumlevel1"/>
        <w:rPr>
          <w:lang w:bidi="ar-EG"/>
        </w:rPr>
      </w:pPr>
      <w:r>
        <w:sym w:font="Symbol" w:char="F02D"/>
      </w:r>
      <w:r>
        <w:rPr>
          <w:rtl/>
        </w:rPr>
        <w:tab/>
        <w:t xml:space="preserve">(الملحق </w:t>
      </w:r>
      <w:r>
        <w:t>1</w:t>
      </w:r>
      <w:r>
        <w:rPr>
          <w:rtl/>
        </w:rPr>
        <w:t xml:space="preserve">) </w:t>
      </w:r>
      <w:r>
        <w:rPr>
          <w:lang w:bidi="ar"/>
        </w:rPr>
        <w:t>IEEE 802.11-2012</w:t>
      </w:r>
      <w:r>
        <w:rPr>
          <w:rtl/>
        </w:rPr>
        <w:t xml:space="preserve"> الفقرة الفرعية </w:t>
      </w:r>
      <w:r>
        <w:t>17</w:t>
      </w:r>
      <w:r>
        <w:rPr>
          <w:rtl/>
        </w:rPr>
        <w:t xml:space="preserve"> (المعروفة سابقاً باسم المعيار </w:t>
      </w:r>
      <w:r>
        <w:t>802.11a</w:t>
      </w:r>
      <w:r>
        <w:rPr>
          <w:rtl/>
        </w:rPr>
        <w:t>)</w:t>
      </w:r>
    </w:p>
    <w:p w:rsidR="00111C25" w:rsidRDefault="00111C25" w:rsidP="00111C25">
      <w:pPr>
        <w:pStyle w:val="Enumlevel1"/>
        <w:rPr>
          <w:rtl/>
        </w:rPr>
      </w:pPr>
      <w:r>
        <w:sym w:font="Symbol" w:char="F02D"/>
      </w:r>
      <w:r>
        <w:rPr>
          <w:rtl/>
        </w:rPr>
        <w:tab/>
        <w:t xml:space="preserve">(الملحق </w:t>
      </w:r>
      <w:r>
        <w:t>1</w:t>
      </w:r>
      <w:r>
        <w:rPr>
          <w:rtl/>
        </w:rPr>
        <w:t xml:space="preserve">) </w:t>
      </w:r>
      <w:r>
        <w:rPr>
          <w:lang w:bidi="ar"/>
        </w:rPr>
        <w:t>IEEE 802.11-2012</w:t>
      </w:r>
      <w:r>
        <w:rPr>
          <w:rtl/>
        </w:rPr>
        <w:t xml:space="preserve"> الفقرة الفرعية </w:t>
      </w:r>
      <w:r>
        <w:t>18</w:t>
      </w:r>
      <w:r>
        <w:rPr>
          <w:rtl/>
        </w:rPr>
        <w:t xml:space="preserve"> (المعروفة سابقاً باسم المعيار </w:t>
      </w:r>
      <w:r>
        <w:t>802.11b</w:t>
      </w:r>
      <w:r>
        <w:rPr>
          <w:rtl/>
        </w:rPr>
        <w:t>)</w:t>
      </w:r>
    </w:p>
    <w:p w:rsidR="00111C25" w:rsidRDefault="00111C25" w:rsidP="00111C25">
      <w:pPr>
        <w:pStyle w:val="Enumlevel1"/>
        <w:rPr>
          <w:rtl/>
        </w:rPr>
      </w:pPr>
      <w:r>
        <w:sym w:font="Symbol" w:char="F02D"/>
      </w:r>
      <w:r>
        <w:rPr>
          <w:rtl/>
        </w:rPr>
        <w:tab/>
        <w:t xml:space="preserve">(الملحق </w:t>
      </w:r>
      <w:r>
        <w:t>1</w:t>
      </w:r>
      <w:r>
        <w:rPr>
          <w:rtl/>
        </w:rPr>
        <w:t xml:space="preserve">) </w:t>
      </w:r>
      <w:r>
        <w:rPr>
          <w:lang w:bidi="ar"/>
        </w:rPr>
        <w:t>IEEE 802.11-2012</w:t>
      </w:r>
      <w:r>
        <w:rPr>
          <w:rtl/>
        </w:rPr>
        <w:t xml:space="preserve"> الفقرة الفرعية </w:t>
      </w:r>
      <w:r>
        <w:t>19</w:t>
      </w:r>
      <w:r>
        <w:rPr>
          <w:rtl/>
        </w:rPr>
        <w:t xml:space="preserve"> (المعروفة سابقاً باسم المعيار </w:t>
      </w:r>
      <w:r>
        <w:t>802.11g</w:t>
      </w:r>
      <w:r>
        <w:rPr>
          <w:rtl/>
        </w:rPr>
        <w:t>)</w:t>
      </w:r>
    </w:p>
    <w:p w:rsidR="00111C25" w:rsidRDefault="00111C25" w:rsidP="00111C25">
      <w:pPr>
        <w:pStyle w:val="Enumlevel1"/>
        <w:rPr>
          <w:rtl/>
        </w:rPr>
      </w:pPr>
      <w:r>
        <w:sym w:font="Symbol" w:char="F02D"/>
      </w:r>
      <w:r>
        <w:rPr>
          <w:rtl/>
        </w:rPr>
        <w:tab/>
        <w:t xml:space="preserve">(الملحق </w:t>
      </w:r>
      <w:r>
        <w:t>1</w:t>
      </w:r>
      <w:r>
        <w:rPr>
          <w:rtl/>
        </w:rPr>
        <w:t xml:space="preserve">) </w:t>
      </w:r>
      <w:r>
        <w:rPr>
          <w:lang w:bidi="ar"/>
        </w:rPr>
        <w:t>IEEE 802.11-2012</w:t>
      </w:r>
      <w:r>
        <w:rPr>
          <w:rtl/>
        </w:rPr>
        <w:t xml:space="preserve"> على النحو المعدل بالمعيار </w:t>
      </w:r>
      <w:r>
        <w:rPr>
          <w:lang w:bidi="ar"/>
        </w:rPr>
        <w:t>IEEE 802.11n</w:t>
      </w:r>
      <w:r>
        <w:rPr>
          <w:rtl/>
        </w:rPr>
        <w:t xml:space="preserve"> (الفقرة الفرعية </w:t>
      </w:r>
      <w:r>
        <w:t>20</w:t>
      </w:r>
      <w:r>
        <w:rPr>
          <w:rtl/>
        </w:rPr>
        <w:t>)</w:t>
      </w:r>
    </w:p>
    <w:p w:rsidR="00111C25" w:rsidRDefault="00111C25" w:rsidP="00111C25">
      <w:pPr>
        <w:pStyle w:val="Enumlevel1"/>
        <w:rPr>
          <w:rtl/>
        </w:rPr>
      </w:pPr>
      <w:r>
        <w:sym w:font="Symbol" w:char="F02D"/>
      </w:r>
      <w:r>
        <w:rPr>
          <w:rtl/>
        </w:rPr>
        <w:tab/>
        <w:t xml:space="preserve">(الملحق </w:t>
      </w:r>
      <w:r>
        <w:t>2</w:t>
      </w:r>
      <w:r>
        <w:rPr>
          <w:rtl/>
        </w:rPr>
        <w:t xml:space="preserve">) </w:t>
      </w:r>
      <w:r>
        <w:rPr>
          <w:lang w:bidi="ar"/>
        </w:rPr>
        <w:t>IMT-2000 CDMA</w:t>
      </w:r>
      <w:r>
        <w:rPr>
          <w:rtl/>
        </w:rPr>
        <w:t xml:space="preserve"> امتداد مباشر</w:t>
      </w:r>
    </w:p>
    <w:p w:rsidR="00111C25" w:rsidRDefault="00111C25" w:rsidP="00111C25">
      <w:pPr>
        <w:pStyle w:val="Enumlevel1"/>
        <w:rPr>
          <w:rtl/>
          <w:lang w:bidi="ar"/>
        </w:rPr>
      </w:pPr>
      <w:r>
        <w:sym w:font="Symbol" w:char="F02D"/>
      </w:r>
      <w:r>
        <w:rPr>
          <w:rtl/>
        </w:rPr>
        <w:tab/>
        <w:t xml:space="preserve">(الملحق </w:t>
      </w:r>
      <w:r>
        <w:t>2</w:t>
      </w:r>
      <w:r>
        <w:rPr>
          <w:rtl/>
        </w:rPr>
        <w:t xml:space="preserve">) </w:t>
      </w:r>
      <w:r>
        <w:rPr>
          <w:lang w:bidi="ar"/>
        </w:rPr>
        <w:t>IMT-2000 CDMA</w:t>
      </w:r>
      <w:r>
        <w:rPr>
          <w:rtl/>
        </w:rPr>
        <w:t xml:space="preserve"> متعدد النفاذ</w:t>
      </w:r>
    </w:p>
    <w:p w:rsidR="00111C25" w:rsidRDefault="00111C25" w:rsidP="00111C25">
      <w:pPr>
        <w:pStyle w:val="Enumlevel1"/>
        <w:rPr>
          <w:rtl/>
          <w:lang w:bidi="ar"/>
        </w:rPr>
      </w:pPr>
      <w:r>
        <w:sym w:font="Symbol" w:char="F02D"/>
      </w:r>
      <w:r>
        <w:rPr>
          <w:rtl/>
        </w:rPr>
        <w:tab/>
        <w:t xml:space="preserve">(الملحق </w:t>
      </w:r>
      <w:r>
        <w:t>2</w:t>
      </w:r>
      <w:r>
        <w:rPr>
          <w:rtl/>
        </w:rPr>
        <w:t xml:space="preserve">) </w:t>
      </w:r>
      <w:r>
        <w:rPr>
          <w:lang w:bidi="ar"/>
        </w:rPr>
        <w:t>IMT-2000 CDMA TDD</w:t>
      </w:r>
    </w:p>
    <w:p w:rsidR="00111C25" w:rsidRDefault="00111C25" w:rsidP="00111C25">
      <w:pPr>
        <w:pStyle w:val="Enumlevel1"/>
        <w:rPr>
          <w:rtl/>
          <w:lang w:bidi="ar"/>
        </w:rPr>
      </w:pPr>
      <w:r>
        <w:sym w:font="Symbol" w:char="F02D"/>
      </w:r>
      <w:r>
        <w:rPr>
          <w:rtl/>
        </w:rPr>
        <w:tab/>
        <w:t xml:space="preserve">(الملحق </w:t>
      </w:r>
      <w:r>
        <w:t>2</w:t>
      </w:r>
      <w:r>
        <w:rPr>
          <w:rtl/>
        </w:rPr>
        <w:t xml:space="preserve">) </w:t>
      </w:r>
      <w:r>
        <w:rPr>
          <w:lang w:bidi="ar"/>
        </w:rPr>
        <w:t>IMT-2000 FDMA/TDMA</w:t>
      </w:r>
    </w:p>
    <w:p w:rsidR="00111C25" w:rsidRDefault="00111C25" w:rsidP="00111C25">
      <w:pPr>
        <w:pStyle w:val="Enumlevel1"/>
        <w:rPr>
          <w:rtl/>
          <w:lang w:bidi="ar"/>
        </w:rPr>
      </w:pPr>
      <w:r>
        <w:sym w:font="Symbol" w:char="F02D"/>
      </w:r>
      <w:r>
        <w:rPr>
          <w:rtl/>
        </w:rPr>
        <w:tab/>
        <w:t xml:space="preserve">(الملحق </w:t>
      </w:r>
      <w:r>
        <w:t>2</w:t>
      </w:r>
      <w:r>
        <w:rPr>
          <w:rtl/>
        </w:rPr>
        <w:t xml:space="preserve">) </w:t>
      </w:r>
      <w:r>
        <w:rPr>
          <w:lang w:bidi="ar"/>
        </w:rPr>
        <w:t>IMT-2000 OFDMA TDD WMAN</w:t>
      </w:r>
    </w:p>
    <w:p w:rsidR="00111C25" w:rsidRDefault="00111C25" w:rsidP="00111C25">
      <w:pPr>
        <w:pStyle w:val="Enumlevel1"/>
        <w:rPr>
          <w:rtl/>
          <w:lang w:bidi="ar"/>
        </w:rPr>
      </w:pPr>
      <w:r>
        <w:sym w:font="Symbol" w:char="F02D"/>
      </w:r>
      <w:r>
        <w:rPr>
          <w:rtl/>
        </w:rPr>
        <w:tab/>
        <w:t xml:space="preserve">(الملحق </w:t>
      </w:r>
      <w:r>
        <w:t>2</w:t>
      </w:r>
      <w:r>
        <w:rPr>
          <w:rtl/>
        </w:rPr>
        <w:t xml:space="preserve">) </w:t>
      </w:r>
      <w:r>
        <w:rPr>
          <w:lang w:bidi="ar"/>
        </w:rPr>
        <w:t>IMT-2000 TDMA</w:t>
      </w:r>
      <w:r>
        <w:rPr>
          <w:rtl/>
        </w:rPr>
        <w:t xml:space="preserve"> أحادي النفاذ</w:t>
      </w:r>
    </w:p>
    <w:p w:rsidR="00111C25" w:rsidRDefault="00111C25" w:rsidP="00111C25">
      <w:pPr>
        <w:pStyle w:val="Enumlevel1"/>
        <w:rPr>
          <w:rtl/>
          <w:lang w:bidi="ar"/>
        </w:rPr>
      </w:pPr>
      <w:r>
        <w:sym w:font="Symbol" w:char="F02D"/>
      </w:r>
      <w:r>
        <w:rPr>
          <w:rtl/>
        </w:rPr>
        <w:tab/>
        <w:t xml:space="preserve">(الملحق </w:t>
      </w:r>
      <w:r>
        <w:t>3</w:t>
      </w:r>
      <w:r>
        <w:rPr>
          <w:rtl/>
        </w:rPr>
        <w:t xml:space="preserve">) التطور طويل الأمد </w:t>
      </w:r>
      <w:r>
        <w:t>(</w:t>
      </w:r>
      <w:r>
        <w:rPr>
          <w:lang w:bidi="ar"/>
        </w:rPr>
        <w:t>LTE</w:t>
      </w:r>
      <w:r>
        <w:t>)</w:t>
      </w:r>
      <w:r>
        <w:rPr>
          <w:rtl/>
        </w:rPr>
        <w:t xml:space="preserve"> – المتقدم</w:t>
      </w:r>
    </w:p>
    <w:p w:rsidR="00111C25" w:rsidRDefault="00111C25" w:rsidP="00111C25">
      <w:pPr>
        <w:pStyle w:val="Enumlevel1"/>
        <w:rPr>
          <w:rtl/>
          <w:lang w:bidi="ar"/>
        </w:rPr>
      </w:pPr>
      <w:r>
        <w:sym w:font="Symbol" w:char="F02D"/>
      </w:r>
      <w:r>
        <w:rPr>
          <w:rtl/>
        </w:rPr>
        <w:tab/>
        <w:t xml:space="preserve">(الملحق </w:t>
      </w:r>
      <w:r>
        <w:t>4</w:t>
      </w:r>
      <w:r>
        <w:rPr>
          <w:rtl/>
        </w:rPr>
        <w:t xml:space="preserve">) </w:t>
      </w:r>
      <w:r>
        <w:rPr>
          <w:lang w:bidi="ar"/>
        </w:rPr>
        <w:t>IEEE 802.16 WirelessMAN/ETSI HiperMAN</w:t>
      </w:r>
    </w:p>
    <w:p w:rsidR="00111C25" w:rsidRDefault="00111C25" w:rsidP="00111C25">
      <w:pPr>
        <w:pStyle w:val="Enumlevel1"/>
        <w:rPr>
          <w:rtl/>
          <w:lang w:bidi="ar"/>
        </w:rPr>
      </w:pPr>
      <w:r>
        <w:sym w:font="Symbol" w:char="F02D"/>
      </w:r>
      <w:r>
        <w:rPr>
          <w:rtl/>
        </w:rPr>
        <w:tab/>
        <w:t xml:space="preserve">(الملحق </w:t>
      </w:r>
      <w:r>
        <w:t>5</w:t>
      </w:r>
      <w:r>
        <w:rPr>
          <w:rtl/>
        </w:rPr>
        <w:t xml:space="preserve">) </w:t>
      </w:r>
      <w:r>
        <w:rPr>
          <w:lang w:bidi="ar"/>
        </w:rPr>
        <w:t>ATIS-0700004.2005</w:t>
      </w:r>
      <w:r>
        <w:rPr>
          <w:rtl/>
        </w:rPr>
        <w:t xml:space="preserve"> النفاذ المتعدد بالتقسيم المكاني عالي السعة </w:t>
      </w:r>
      <w:r>
        <w:t>(</w:t>
      </w:r>
      <w:r>
        <w:rPr>
          <w:lang w:bidi="ar"/>
        </w:rPr>
        <w:t>HC-SDMA</w:t>
      </w:r>
      <w:r>
        <w:t>)</w:t>
      </w:r>
    </w:p>
    <w:p w:rsidR="00111C25" w:rsidRDefault="00111C25" w:rsidP="00111C25">
      <w:pPr>
        <w:pStyle w:val="Enumlevel1"/>
        <w:rPr>
          <w:rtl/>
          <w:lang w:bidi="ar"/>
        </w:rPr>
      </w:pPr>
      <w:r>
        <w:sym w:font="Symbol" w:char="F02D"/>
      </w:r>
      <w:r>
        <w:rPr>
          <w:rtl/>
        </w:rPr>
        <w:tab/>
        <w:t xml:space="preserve">(الملحق </w:t>
      </w:r>
      <w:r>
        <w:t>6</w:t>
      </w:r>
      <w:r>
        <w:rPr>
          <w:rtl/>
        </w:rPr>
        <w:t xml:space="preserve">) المنصة الشاملة الموسعة: </w:t>
      </w:r>
      <w:r>
        <w:rPr>
          <w:lang w:bidi="ar"/>
        </w:rPr>
        <w:t>XGP</w:t>
      </w:r>
    </w:p>
    <w:p w:rsidR="00111C25" w:rsidRDefault="00111C25" w:rsidP="00111C25">
      <w:pPr>
        <w:pStyle w:val="Enumlevel1"/>
        <w:rPr>
          <w:rtl/>
          <w:lang w:bidi="ar"/>
        </w:rPr>
      </w:pPr>
      <w:r>
        <w:sym w:font="Symbol" w:char="F02D"/>
      </w:r>
      <w:r>
        <w:rPr>
          <w:rtl/>
        </w:rPr>
        <w:tab/>
        <w:t xml:space="preserve">(الملحق </w:t>
      </w:r>
      <w:r>
        <w:t>7</w:t>
      </w:r>
      <w:r>
        <w:rPr>
          <w:rtl/>
        </w:rPr>
        <w:t xml:space="preserve">) </w:t>
      </w:r>
      <w:r>
        <w:rPr>
          <w:lang w:bidi="ar"/>
        </w:rPr>
        <w:t>IEEE 802.20</w:t>
      </w:r>
    </w:p>
    <w:p w:rsidR="00111C25" w:rsidRDefault="00111C25" w:rsidP="00111C25">
      <w:pPr>
        <w:pStyle w:val="Enumlevel1"/>
        <w:rPr>
          <w:rtl/>
        </w:rPr>
      </w:pPr>
      <w:r>
        <w:sym w:font="Symbol" w:char="F02D"/>
      </w:r>
      <w:r>
        <w:rPr>
          <w:rtl/>
        </w:rPr>
        <w:tab/>
        <w:t xml:space="preserve">(الملحق </w:t>
      </w:r>
      <w:r>
        <w:t>8</w:t>
      </w:r>
      <w:r>
        <w:rPr>
          <w:rtl/>
        </w:rPr>
        <w:t xml:space="preserve">) </w:t>
      </w:r>
      <w:r>
        <w:rPr>
          <w:lang w:bidi="ar"/>
        </w:rPr>
        <w:t>YD/T 1956-2009</w:t>
      </w:r>
      <w:r>
        <w:rPr>
          <w:rtl/>
        </w:rPr>
        <w:t xml:space="preserve"> سطح الهواء البيني لمعيار نظام النفاذ اللاسلكي عريض النطاق وفق النفاذ المتعدد بالتقسيم المكاني </w:t>
      </w:r>
      <w:r>
        <w:t>(</w:t>
      </w:r>
      <w:r>
        <w:rPr>
          <w:lang w:bidi="ar"/>
        </w:rPr>
        <w:t>SCDMA</w:t>
      </w:r>
      <w:r>
        <w:t>)</w:t>
      </w:r>
      <w:r>
        <w:rPr>
          <w:rtl/>
        </w:rPr>
        <w:t>.</w:t>
      </w:r>
    </w:p>
    <w:p w:rsidR="00111C25" w:rsidRDefault="00111C25" w:rsidP="00111C25">
      <w:pPr>
        <w:rPr>
          <w:rtl/>
        </w:rPr>
      </w:pPr>
      <w:r>
        <w:rPr>
          <w:rtl/>
        </w:rPr>
        <w:t xml:space="preserve">وتوفر التوصيتان </w:t>
      </w:r>
      <w:r>
        <w:rPr>
          <w:lang w:bidi="ar"/>
        </w:rPr>
        <w:t>ITU-R M.1457</w:t>
      </w:r>
      <w:r>
        <w:rPr>
          <w:rtl/>
        </w:rPr>
        <w:t xml:space="preserve"> و</w:t>
      </w:r>
      <w:r>
        <w:rPr>
          <w:lang w:bidi="ar"/>
        </w:rPr>
        <w:t>ITU-R M.2012</w:t>
      </w:r>
      <w:r>
        <w:rPr>
          <w:rtl/>
        </w:rPr>
        <w:t>، على التوالي، المواصفات التفصيلية للسطوح البينية الراديوية للاتصالات المتنقلة الدولية-</w:t>
      </w:r>
      <w:r>
        <w:t>2000</w:t>
      </w:r>
      <w:r>
        <w:rPr>
          <w:rtl/>
        </w:rPr>
        <w:t xml:space="preserve"> </w:t>
      </w:r>
      <w:r>
        <w:t>(</w:t>
      </w:r>
      <w:r>
        <w:rPr>
          <w:bCs/>
          <w:lang w:bidi="ar"/>
        </w:rPr>
        <w:t>IMT-2000</w:t>
      </w:r>
      <w:r>
        <w:t>)</w:t>
      </w:r>
      <w:r>
        <w:rPr>
          <w:rtl/>
        </w:rPr>
        <w:t xml:space="preserve"> وللاتصالات المتنقلة الدولية-المتقدمة </w:t>
      </w:r>
      <w:r>
        <w:t>(</w:t>
      </w:r>
      <w:r>
        <w:rPr>
          <w:lang w:bidi="ar"/>
        </w:rPr>
        <w:t>IMT-Advanced</w:t>
      </w:r>
      <w:r>
        <w:t>)</w:t>
      </w:r>
      <w:r>
        <w:rPr>
          <w:rtl/>
        </w:rPr>
        <w:t xml:space="preserve">. وتوفر هاتان التوصيتان معلومات محددة بشأن سطوح الهواء البينية التي تُستخدم في كل المهاتفة المتنقلة التجارية وشبكات </w:t>
      </w:r>
      <w:r>
        <w:rPr>
          <w:spacing w:val="-2"/>
          <w:rtl/>
        </w:rPr>
        <w:t xml:space="preserve">النطاق العريض المتنقل </w:t>
      </w:r>
      <w:r>
        <w:rPr>
          <w:spacing w:val="-2"/>
          <w:rtl/>
        </w:rPr>
        <w:lastRenderedPageBreak/>
        <w:t xml:space="preserve">الحديثة. وترد في التوصية </w:t>
      </w:r>
      <w:r>
        <w:rPr>
          <w:spacing w:val="-2"/>
          <w:lang w:bidi="ar"/>
        </w:rPr>
        <w:t>ITU-R M.1457</w:t>
      </w:r>
      <w:r>
        <w:rPr>
          <w:spacing w:val="-2"/>
          <w:rtl/>
        </w:rPr>
        <w:t xml:space="preserve"> لمحات عامة ومواصفات تفصيلية لكل من السطوح</w:t>
      </w:r>
      <w:r>
        <w:rPr>
          <w:rtl/>
        </w:rPr>
        <w:t xml:space="preserve"> البينية الراديوية للاتصالات المتنقلة الدولية-</w:t>
      </w:r>
      <w:r>
        <w:t>2000</w:t>
      </w:r>
      <w:r>
        <w:rPr>
          <w:rtl/>
        </w:rPr>
        <w:t>:</w:t>
      </w:r>
    </w:p>
    <w:p w:rsidR="00111C25" w:rsidRDefault="00111C25" w:rsidP="00111C25">
      <w:pPr>
        <w:pStyle w:val="Enumlevel1"/>
        <w:rPr>
          <w:rtl/>
          <w:lang w:bidi="ar"/>
        </w:rPr>
      </w:pPr>
      <w:r>
        <w:sym w:font="Symbol" w:char="F02D"/>
      </w:r>
      <w:r>
        <w:tab/>
      </w:r>
      <w:r>
        <w:rPr>
          <w:rtl/>
        </w:rPr>
        <w:t xml:space="preserve">(الفقرة </w:t>
      </w:r>
      <w:r>
        <w:t>1.5</w:t>
      </w:r>
      <w:r>
        <w:rPr>
          <w:rtl/>
        </w:rPr>
        <w:t xml:space="preserve">) </w:t>
      </w:r>
      <w:r>
        <w:rPr>
          <w:lang w:bidi="ar"/>
        </w:rPr>
        <w:t>IMT-2000 CDMA</w:t>
      </w:r>
      <w:r>
        <w:rPr>
          <w:rtl/>
        </w:rPr>
        <w:t xml:space="preserve"> امتداد مباشر</w:t>
      </w:r>
    </w:p>
    <w:p w:rsidR="00111C25" w:rsidRDefault="00111C25" w:rsidP="00111C25">
      <w:pPr>
        <w:pStyle w:val="Enumlevel1"/>
        <w:rPr>
          <w:rtl/>
          <w:lang w:bidi="ar"/>
        </w:rPr>
      </w:pPr>
      <w:r>
        <w:sym w:font="Symbol" w:char="F02D"/>
      </w:r>
      <w:r>
        <w:tab/>
      </w:r>
      <w:r>
        <w:rPr>
          <w:rtl/>
        </w:rPr>
        <w:t xml:space="preserve">(الفقرة </w:t>
      </w:r>
      <w:r>
        <w:t>2.5</w:t>
      </w:r>
      <w:r>
        <w:rPr>
          <w:rtl/>
        </w:rPr>
        <w:t xml:space="preserve">) </w:t>
      </w:r>
      <w:r>
        <w:rPr>
          <w:lang w:bidi="ar"/>
        </w:rPr>
        <w:t>IMT-2000 CDMA</w:t>
      </w:r>
      <w:r>
        <w:rPr>
          <w:rtl/>
        </w:rPr>
        <w:t xml:space="preserve"> متعدد النفاذ</w:t>
      </w:r>
    </w:p>
    <w:p w:rsidR="00111C25" w:rsidRDefault="00111C25" w:rsidP="00111C25">
      <w:pPr>
        <w:pStyle w:val="Enumlevel1"/>
        <w:rPr>
          <w:rtl/>
          <w:lang w:bidi="ar"/>
        </w:rPr>
      </w:pPr>
      <w:r>
        <w:sym w:font="Symbol" w:char="F02D"/>
      </w:r>
      <w:r>
        <w:tab/>
      </w:r>
      <w:r>
        <w:rPr>
          <w:rtl/>
        </w:rPr>
        <w:t xml:space="preserve">(الفقرة </w:t>
      </w:r>
      <w:r>
        <w:t>3.5</w:t>
      </w:r>
      <w:r>
        <w:rPr>
          <w:rtl/>
        </w:rPr>
        <w:t xml:space="preserve">) </w:t>
      </w:r>
      <w:r>
        <w:rPr>
          <w:lang w:bidi="ar"/>
        </w:rPr>
        <w:t>IMT-2000 CDMA TDD</w:t>
      </w:r>
    </w:p>
    <w:p w:rsidR="00111C25" w:rsidRDefault="00111C25" w:rsidP="00111C25">
      <w:pPr>
        <w:pStyle w:val="Enumlevel1"/>
        <w:rPr>
          <w:rtl/>
          <w:lang w:bidi="ar"/>
        </w:rPr>
      </w:pPr>
      <w:r>
        <w:sym w:font="Symbol" w:char="F02D"/>
      </w:r>
      <w:r>
        <w:tab/>
      </w:r>
      <w:r>
        <w:rPr>
          <w:rtl/>
        </w:rPr>
        <w:t xml:space="preserve">(الفقرة </w:t>
      </w:r>
      <w:r>
        <w:t>4.5</w:t>
      </w:r>
      <w:r>
        <w:rPr>
          <w:rtl/>
        </w:rPr>
        <w:t xml:space="preserve">) </w:t>
      </w:r>
      <w:r>
        <w:rPr>
          <w:lang w:bidi="ar"/>
        </w:rPr>
        <w:t>IMT-2000 TDMA</w:t>
      </w:r>
      <w:r>
        <w:rPr>
          <w:rtl/>
        </w:rPr>
        <w:t xml:space="preserve"> أحادي النفاذ</w:t>
      </w:r>
    </w:p>
    <w:p w:rsidR="00111C25" w:rsidRDefault="00111C25" w:rsidP="00111C25">
      <w:pPr>
        <w:pStyle w:val="Enumlevel1"/>
        <w:rPr>
          <w:rtl/>
          <w:lang w:bidi="ar"/>
        </w:rPr>
      </w:pPr>
      <w:r>
        <w:sym w:font="Symbol" w:char="F02D"/>
      </w:r>
      <w:r>
        <w:tab/>
      </w:r>
      <w:r>
        <w:rPr>
          <w:rtl/>
        </w:rPr>
        <w:t xml:space="preserve">(الفقرة </w:t>
      </w:r>
      <w:r>
        <w:t>5.5</w:t>
      </w:r>
      <w:r>
        <w:rPr>
          <w:rtl/>
        </w:rPr>
        <w:t xml:space="preserve">) </w:t>
      </w:r>
      <w:r>
        <w:rPr>
          <w:lang w:bidi="ar"/>
        </w:rPr>
        <w:t>IMT-2000 FDMA/TDMA</w:t>
      </w:r>
    </w:p>
    <w:p w:rsidR="00111C25" w:rsidRDefault="00111C25" w:rsidP="00111C25">
      <w:pPr>
        <w:pStyle w:val="Enumlevel1"/>
        <w:rPr>
          <w:rtl/>
        </w:rPr>
      </w:pPr>
      <w:r>
        <w:sym w:font="Symbol" w:char="F02D"/>
      </w:r>
      <w:r>
        <w:tab/>
      </w:r>
      <w:r>
        <w:rPr>
          <w:rtl/>
        </w:rPr>
        <w:t xml:space="preserve">(الفقرة </w:t>
      </w:r>
      <w:r>
        <w:t>6.5</w:t>
      </w:r>
      <w:r>
        <w:rPr>
          <w:rtl/>
        </w:rPr>
        <w:t xml:space="preserve">) </w:t>
      </w:r>
      <w:r>
        <w:rPr>
          <w:lang w:bidi="ar"/>
        </w:rPr>
        <w:t>IMT-2000 OFDMA TDD WMAN</w:t>
      </w:r>
    </w:p>
    <w:p w:rsidR="00111C25" w:rsidRDefault="00111C25" w:rsidP="00111C25">
      <w:pPr>
        <w:rPr>
          <w:rtl/>
          <w:lang w:bidi="ar"/>
        </w:rPr>
      </w:pPr>
      <w:r>
        <w:rPr>
          <w:rtl/>
          <w:lang w:bidi="ar"/>
        </w:rPr>
        <w:t xml:space="preserve">وترد في التوصية </w:t>
      </w:r>
      <w:r>
        <w:rPr>
          <w:lang w:bidi="ar"/>
        </w:rPr>
        <w:t>ITU-R M.2012</w:t>
      </w:r>
      <w:r>
        <w:rPr>
          <w:rtl/>
          <w:lang w:bidi="ar"/>
        </w:rPr>
        <w:t xml:space="preserve"> </w:t>
      </w:r>
      <w:r>
        <w:rPr>
          <w:rFonts w:hint="cs"/>
          <w:rtl/>
          <w:lang w:bidi="ar"/>
        </w:rPr>
        <w:t>"المواصفات التفصيلية للسطوح البينية الراديوية الأرضية للاتصالات المتنقلة الدولية المتقدمة". وترد في هذه التوصية لمحات عامة ومواصفات تفصيلية للسطحين البينيين الراديويين للاتصالات المتنقلة الدولية المتقدمة:</w:t>
      </w:r>
    </w:p>
    <w:p w:rsidR="00111C25" w:rsidRDefault="00111C25" w:rsidP="00111C25">
      <w:pPr>
        <w:pStyle w:val="Enumlevel1"/>
        <w:rPr>
          <w:rtl/>
          <w:lang w:bidi="ar"/>
        </w:rPr>
      </w:pPr>
      <w:r>
        <w:sym w:font="Symbol" w:char="F02D"/>
      </w:r>
      <w:r>
        <w:tab/>
      </w:r>
      <w:r>
        <w:rPr>
          <w:rtl/>
        </w:rPr>
        <w:t xml:space="preserve">(الملحق </w:t>
      </w:r>
      <w:r>
        <w:t>1</w:t>
      </w:r>
      <w:r>
        <w:rPr>
          <w:rtl/>
        </w:rPr>
        <w:t xml:space="preserve">) توصيف تكنولوجيا السطح البيني الراديوي للتطور طويل الأمد </w:t>
      </w:r>
      <w:r>
        <w:t>(</w:t>
      </w:r>
      <w:r>
        <w:rPr>
          <w:lang w:bidi="ar"/>
        </w:rPr>
        <w:t>LTE</w:t>
      </w:r>
      <w:r>
        <w:t>)</w:t>
      </w:r>
      <w:r>
        <w:rPr>
          <w:rtl/>
        </w:rPr>
        <w:t xml:space="preserve"> المتقدم</w:t>
      </w:r>
    </w:p>
    <w:p w:rsidR="00111C25" w:rsidRDefault="00111C25" w:rsidP="00111C25">
      <w:pPr>
        <w:pStyle w:val="Enumlevel1"/>
        <w:rPr>
          <w:rtl/>
          <w:lang w:val="en-US" w:bidi="ar-EG"/>
        </w:rPr>
      </w:pPr>
      <w:r>
        <w:sym w:font="Symbol" w:char="F02D"/>
      </w:r>
      <w:r>
        <w:tab/>
      </w:r>
      <w:r>
        <w:rPr>
          <w:rtl/>
        </w:rPr>
        <w:t xml:space="preserve">(الملحق </w:t>
      </w:r>
      <w:r>
        <w:t>2</w:t>
      </w:r>
      <w:r>
        <w:rPr>
          <w:rtl/>
        </w:rPr>
        <w:t xml:space="preserve">) توصيف تكنولوجيا السطح البيني الراديوي للشبكات اللاسلكية المتقدمة للمناطق الحضرية </w:t>
      </w:r>
      <w:r>
        <w:rPr>
          <w:lang w:val="en-US"/>
        </w:rPr>
        <w:t>(</w:t>
      </w:r>
      <w:r>
        <w:rPr>
          <w:lang w:bidi="ar"/>
        </w:rPr>
        <w:t>WirelessMAN-Advanced</w:t>
      </w:r>
      <w:r>
        <w:rPr>
          <w:lang w:val="en-US"/>
        </w:rPr>
        <w:t>)</w:t>
      </w:r>
      <w:r>
        <w:rPr>
          <w:rtl/>
          <w:lang w:val="en-US"/>
        </w:rPr>
        <w:t>. </w:t>
      </w:r>
    </w:p>
    <w:p w:rsidR="00111C25" w:rsidRDefault="00111C25" w:rsidP="00111C25">
      <w:pPr>
        <w:rPr>
          <w:rtl/>
        </w:rPr>
      </w:pPr>
      <w:r>
        <w:rPr>
          <w:rtl/>
          <w:lang w:bidi="ar"/>
        </w:rPr>
        <w:t xml:space="preserve">وترد في التوصية </w:t>
      </w:r>
      <w:r>
        <w:rPr>
          <w:lang w:bidi="ar"/>
        </w:rPr>
        <w:t>ITU R M.1450</w:t>
      </w:r>
      <w:r>
        <w:rPr>
          <w:rtl/>
          <w:lang w:bidi="ar"/>
        </w:rPr>
        <w:t xml:space="preserve"> "خصائص الشبكات المحلية الراديوية العريضة النطاق"، وهي تتضمن المعايير التقنية، ومعلومات عن معايير الشبكات المحلية الراديوية </w:t>
      </w:r>
      <w:r>
        <w:rPr>
          <w:lang w:bidi="ar"/>
        </w:rPr>
        <w:t>(RLAN)</w:t>
      </w:r>
      <w:r>
        <w:rPr>
          <w:rtl/>
          <w:lang w:bidi="ar"/>
        </w:rPr>
        <w:t xml:space="preserve"> وخصائصها التشغيلية. وتتناول هذه التوصية أيضاً الخصائص الأساسية للشبكات المحلية الراديوية وإرشادات عامة لتصميم نظامها. وتضم التوصية أيضاً كل معيار للشبكات المحلية الراديوية العريضة النطاق، ويمكن استخدام المعلومات الواردة في الملحقات للحصول على معلومات عامة عن الشبكات المحلية الراديوية، بما في ذلك خصائصها. وتقدَّم أيضاً معلومات عن كيفية الحصول على معايير كاملة يرد وصفها في هذه التوصية. </w:t>
      </w:r>
    </w:p>
    <w:p w:rsidR="00111C25" w:rsidRDefault="00111C25" w:rsidP="009C04F6">
      <w:pPr>
        <w:keepNext/>
        <w:rPr>
          <w:rtl/>
          <w:lang w:bidi="ar"/>
        </w:rPr>
      </w:pPr>
      <w:r>
        <w:rPr>
          <w:rtl/>
          <w:lang w:bidi="ar"/>
        </w:rPr>
        <w:t xml:space="preserve">وترد المعايير التالية في التوصية </w:t>
      </w:r>
      <w:r>
        <w:rPr>
          <w:lang w:bidi="ar"/>
        </w:rPr>
        <w:t>ITU-R M.1450</w:t>
      </w:r>
      <w:r>
        <w:rPr>
          <w:rtl/>
          <w:lang w:bidi="ar"/>
        </w:rPr>
        <w:t>:</w:t>
      </w:r>
    </w:p>
    <w:p w:rsidR="00111C25" w:rsidRDefault="00111C25" w:rsidP="00111C25">
      <w:pPr>
        <w:pStyle w:val="Enumlevel1"/>
        <w:rPr>
          <w:rtl/>
          <w:lang w:bidi="ar-EG"/>
        </w:rPr>
      </w:pPr>
      <w:r>
        <w:rPr>
          <w:rtl/>
        </w:rPr>
        <w:t>-</w:t>
      </w:r>
      <w:r>
        <w:tab/>
      </w:r>
      <w:r>
        <w:rPr>
          <w:rtl/>
        </w:rPr>
        <w:t xml:space="preserve">الفقرة </w:t>
      </w:r>
      <w:r>
        <w:t>17</w:t>
      </w:r>
      <w:r>
        <w:rPr>
          <w:rtl/>
        </w:rPr>
        <w:t xml:space="preserve"> من المعيار </w:t>
      </w:r>
      <w:r>
        <w:rPr>
          <w:lang w:bidi="ar"/>
        </w:rPr>
        <w:t>IEEE 802.11-2012</w:t>
      </w:r>
      <w:r>
        <w:rPr>
          <w:rtl/>
        </w:rPr>
        <w:t xml:space="preserve">، المعروفة باسم المعيار </w:t>
      </w:r>
      <w:r>
        <w:t>802.11b</w:t>
      </w:r>
    </w:p>
    <w:p w:rsidR="00111C25" w:rsidRDefault="00111C25" w:rsidP="00111C25">
      <w:pPr>
        <w:pStyle w:val="Enumlevel1"/>
        <w:rPr>
          <w:rtl/>
        </w:rPr>
      </w:pPr>
      <w:r>
        <w:rPr>
          <w:rtl/>
        </w:rPr>
        <w:t>-</w:t>
      </w:r>
      <w:r>
        <w:tab/>
      </w:r>
      <w:r>
        <w:rPr>
          <w:rtl/>
        </w:rPr>
        <w:t xml:space="preserve">الفقرة </w:t>
      </w:r>
      <w:r>
        <w:t>18</w:t>
      </w:r>
      <w:r>
        <w:rPr>
          <w:rtl/>
        </w:rPr>
        <w:t xml:space="preserve"> من المعيار </w:t>
      </w:r>
      <w:r>
        <w:rPr>
          <w:lang w:bidi="ar"/>
        </w:rPr>
        <w:t>IEEE 802.11-2012</w:t>
      </w:r>
      <w:r>
        <w:rPr>
          <w:rtl/>
        </w:rPr>
        <w:t xml:space="preserve">، المعروفة باسم المعيار </w:t>
      </w:r>
      <w:r>
        <w:t>802.11a</w:t>
      </w:r>
    </w:p>
    <w:p w:rsidR="00111C25" w:rsidRDefault="00111C25" w:rsidP="00111C25">
      <w:pPr>
        <w:pStyle w:val="Enumlevel1"/>
        <w:rPr>
          <w:rtl/>
        </w:rPr>
      </w:pPr>
      <w:r>
        <w:rPr>
          <w:rtl/>
        </w:rPr>
        <w:t>-</w:t>
      </w:r>
      <w:r>
        <w:tab/>
      </w:r>
      <w:r>
        <w:rPr>
          <w:rtl/>
        </w:rPr>
        <w:t xml:space="preserve">الفقرة </w:t>
      </w:r>
      <w:r>
        <w:t>19</w:t>
      </w:r>
      <w:r>
        <w:rPr>
          <w:rtl/>
        </w:rPr>
        <w:t xml:space="preserve"> من المعيار </w:t>
      </w:r>
      <w:r>
        <w:rPr>
          <w:lang w:bidi="ar"/>
        </w:rPr>
        <w:t>IEEE 802.11-2012</w:t>
      </w:r>
      <w:r>
        <w:rPr>
          <w:rtl/>
        </w:rPr>
        <w:t xml:space="preserve">، المعروفة باسم المعيار </w:t>
      </w:r>
      <w:r>
        <w:t>802.11i</w:t>
      </w:r>
    </w:p>
    <w:p w:rsidR="00111C25" w:rsidRDefault="00111C25" w:rsidP="00111C25">
      <w:pPr>
        <w:pStyle w:val="Enumlevel1"/>
        <w:rPr>
          <w:rtl/>
        </w:rPr>
      </w:pPr>
      <w:r>
        <w:rPr>
          <w:rtl/>
        </w:rPr>
        <w:t>-</w:t>
      </w:r>
      <w:r>
        <w:tab/>
      </w:r>
      <w:r>
        <w:rPr>
          <w:rtl/>
        </w:rPr>
        <w:t xml:space="preserve">الفقرة </w:t>
      </w:r>
      <w:r>
        <w:t>20</w:t>
      </w:r>
      <w:r>
        <w:rPr>
          <w:rtl/>
        </w:rPr>
        <w:t xml:space="preserve"> من المعيار </w:t>
      </w:r>
      <w:r>
        <w:rPr>
          <w:lang w:bidi="ar"/>
        </w:rPr>
        <w:t>IEEE 802.11-2012</w:t>
      </w:r>
      <w:r>
        <w:rPr>
          <w:rtl/>
        </w:rPr>
        <w:t xml:space="preserve">، المعروفة باسم المعيار </w:t>
      </w:r>
      <w:r>
        <w:t>802.11n</w:t>
      </w:r>
    </w:p>
    <w:p w:rsidR="00111C25" w:rsidRDefault="00111C25" w:rsidP="00111C25">
      <w:pPr>
        <w:pStyle w:val="Enumlevel1"/>
        <w:rPr>
          <w:rtl/>
        </w:rPr>
      </w:pPr>
      <w:r>
        <w:sym w:font="Symbol" w:char="F02D"/>
      </w:r>
      <w:r>
        <w:tab/>
      </w:r>
      <w:r>
        <w:rPr>
          <w:lang w:bidi="ar"/>
        </w:rPr>
        <w:t>IEEE 802.11ac</w:t>
      </w:r>
    </w:p>
    <w:p w:rsidR="00111C25" w:rsidRDefault="00111C25" w:rsidP="00111C25">
      <w:pPr>
        <w:pStyle w:val="Enumlevel1"/>
        <w:rPr>
          <w:rtl/>
          <w:lang w:bidi="ar"/>
        </w:rPr>
      </w:pPr>
      <w:r>
        <w:sym w:font="Symbol" w:char="F02D"/>
      </w:r>
      <w:r>
        <w:tab/>
      </w:r>
      <w:r>
        <w:rPr>
          <w:rtl/>
        </w:rPr>
        <w:t xml:space="preserve">المعيار </w:t>
      </w:r>
      <w:r>
        <w:rPr>
          <w:lang w:bidi="ar"/>
        </w:rPr>
        <w:t>IEEE 802.11ad-2012</w:t>
      </w:r>
    </w:p>
    <w:p w:rsidR="00111C25" w:rsidRDefault="00111C25" w:rsidP="00111C25">
      <w:pPr>
        <w:pStyle w:val="Enumlevel1"/>
        <w:rPr>
          <w:lang w:bidi="ar"/>
        </w:rPr>
      </w:pPr>
      <w:r>
        <w:sym w:font="Symbol" w:char="F02D"/>
      </w:r>
      <w:r>
        <w:tab/>
      </w:r>
      <w:r>
        <w:rPr>
          <w:lang w:bidi="ar"/>
        </w:rPr>
        <w:t>ESTI BRAN HIPERLAN2</w:t>
      </w:r>
    </w:p>
    <w:p w:rsidR="00111C25" w:rsidRDefault="00111C25" w:rsidP="00111C25">
      <w:pPr>
        <w:pStyle w:val="Enumlevel1"/>
      </w:pPr>
      <w:r>
        <w:sym w:font="Symbol" w:char="F02D"/>
      </w:r>
      <w:r>
        <w:tab/>
      </w:r>
      <w:r>
        <w:rPr>
          <w:lang w:bidi="ar"/>
        </w:rPr>
        <w:t>ARIB HiSWANa</w:t>
      </w:r>
    </w:p>
    <w:p w:rsidR="00111C25" w:rsidRDefault="00111C25" w:rsidP="009C04F6">
      <w:pPr>
        <w:keepNext/>
        <w:rPr>
          <w:rtl/>
          <w:lang w:bidi="ar"/>
        </w:rPr>
      </w:pPr>
      <w:r>
        <w:rPr>
          <w:rtl/>
          <w:lang w:bidi="ar"/>
        </w:rPr>
        <w:t xml:space="preserve">وتحتوي الملحقات في التوصية </w:t>
      </w:r>
      <w:r>
        <w:rPr>
          <w:lang w:bidi="ar"/>
        </w:rPr>
        <w:t>ITU-R M.1450</w:t>
      </w:r>
      <w:r>
        <w:rPr>
          <w:rtl/>
          <w:lang w:bidi="ar"/>
        </w:rPr>
        <w:t xml:space="preserve"> على المعلومات التالية:</w:t>
      </w:r>
    </w:p>
    <w:p w:rsidR="00111C25" w:rsidRDefault="00111C25" w:rsidP="00111C25">
      <w:pPr>
        <w:pStyle w:val="Enumlevel1"/>
        <w:rPr>
          <w:rtl/>
        </w:rPr>
      </w:pPr>
      <w:r>
        <w:sym w:font="Symbol" w:char="F02D"/>
      </w:r>
      <w:r>
        <w:tab/>
      </w:r>
      <w:r>
        <w:rPr>
          <w:rtl/>
        </w:rPr>
        <w:t xml:space="preserve">الملحق </w:t>
      </w:r>
      <w:r>
        <w:t>1</w:t>
      </w:r>
      <w:r>
        <w:rPr>
          <w:rtl/>
        </w:rPr>
        <w:t xml:space="preserve"> - الحصول على معلومات إضافية بشأن معايير الشبكات المحلية الراديوية </w:t>
      </w:r>
      <w:r>
        <w:t>(</w:t>
      </w:r>
      <w:r>
        <w:rPr>
          <w:lang w:bidi="ar"/>
        </w:rPr>
        <w:t>RLAN</w:t>
      </w:r>
      <w:r>
        <w:t>)</w:t>
      </w:r>
    </w:p>
    <w:p w:rsidR="00111C25" w:rsidRDefault="00111C25" w:rsidP="00111C25">
      <w:pPr>
        <w:pStyle w:val="Enumlevel1"/>
        <w:rPr>
          <w:rtl/>
          <w:lang w:bidi="ar"/>
        </w:rPr>
      </w:pPr>
      <w:r>
        <w:sym w:font="Symbol" w:char="F02D"/>
      </w:r>
      <w:r>
        <w:tab/>
      </w:r>
      <w:r>
        <w:rPr>
          <w:rtl/>
        </w:rPr>
        <w:t xml:space="preserve">الملحق </w:t>
      </w:r>
      <w:r>
        <w:t>2</w:t>
      </w:r>
      <w:r>
        <w:rPr>
          <w:rtl/>
        </w:rPr>
        <w:t xml:space="preserve"> - الخصائص الأساسية للشبكات المحلية الراديوية العريضة النطاق وإرشادات عامة لنشرها</w:t>
      </w:r>
    </w:p>
    <w:p w:rsidR="00111C25" w:rsidRDefault="00111C25" w:rsidP="00FF4CBD">
      <w:pPr>
        <w:pStyle w:val="Enumlevel2"/>
        <w:spacing w:before="60"/>
        <w:ind w:left="1134" w:hanging="567"/>
        <w:rPr>
          <w:rtl/>
        </w:rPr>
      </w:pPr>
      <w:r>
        <w:sym w:font="Symbol" w:char="F0B7"/>
      </w:r>
      <w:r>
        <w:tab/>
      </w:r>
      <w:r>
        <w:rPr>
          <w:rtl/>
        </w:rPr>
        <w:t>التنقل</w:t>
      </w:r>
    </w:p>
    <w:p w:rsidR="00111C25" w:rsidRDefault="00111C25" w:rsidP="00FF4CBD">
      <w:pPr>
        <w:pStyle w:val="Enumlevel2"/>
        <w:spacing w:before="60"/>
        <w:ind w:left="1134" w:hanging="567"/>
        <w:rPr>
          <w:rtl/>
        </w:rPr>
      </w:pPr>
      <w:r>
        <w:sym w:font="Symbol" w:char="F0B7"/>
      </w:r>
      <w:r>
        <w:tab/>
      </w:r>
      <w:r>
        <w:rPr>
          <w:rtl/>
        </w:rPr>
        <w:t>البيئة التشغيلية واعتبارات السطح البيني</w:t>
      </w:r>
    </w:p>
    <w:p w:rsidR="00111C25" w:rsidRDefault="00111C25" w:rsidP="00FF4CBD">
      <w:pPr>
        <w:pStyle w:val="Enumlevel2"/>
        <w:spacing w:before="60"/>
        <w:ind w:left="1134" w:hanging="567"/>
        <w:rPr>
          <w:rtl/>
        </w:rPr>
      </w:pPr>
      <w:r>
        <w:sym w:font="Symbol" w:char="F0B7"/>
      </w:r>
      <w:r>
        <w:tab/>
      </w:r>
      <w:r>
        <w:rPr>
          <w:rtl/>
        </w:rPr>
        <w:t>معمارية النظام بما في ذلك التطبيقات الثابتة</w:t>
      </w:r>
    </w:p>
    <w:p w:rsidR="00111C25" w:rsidRDefault="00111C25" w:rsidP="00FF4CBD">
      <w:pPr>
        <w:pStyle w:val="Enumlevel2"/>
        <w:spacing w:before="60"/>
        <w:ind w:left="1134" w:hanging="567"/>
        <w:rPr>
          <w:rtl/>
        </w:rPr>
      </w:pPr>
      <w:r>
        <w:sym w:font="Symbol" w:char="F0B7"/>
      </w:r>
      <w:r>
        <w:tab/>
      </w:r>
      <w:r>
        <w:rPr>
          <w:rtl/>
        </w:rPr>
        <w:t>تقنيات تخفيف السطح البيني ضمن بيئات التشارك في الترددات</w:t>
      </w:r>
    </w:p>
    <w:p w:rsidR="00111C25" w:rsidRDefault="00111C25" w:rsidP="00FF4CBD">
      <w:pPr>
        <w:pStyle w:val="Enumlevel2"/>
        <w:spacing w:before="60"/>
        <w:ind w:left="1134" w:hanging="567"/>
        <w:rPr>
          <w:rtl/>
          <w:lang w:bidi="ar-EG"/>
        </w:rPr>
      </w:pPr>
      <w:r>
        <w:sym w:font="Symbol" w:char="F0B7"/>
      </w:r>
      <w:r>
        <w:tab/>
      </w:r>
      <w:r>
        <w:rPr>
          <w:rtl/>
        </w:rPr>
        <w:t>الخصائص العامة.</w:t>
      </w:r>
    </w:p>
    <w:p w:rsidR="00111C25" w:rsidRDefault="00111C25" w:rsidP="00111C25">
      <w:pPr>
        <w:pStyle w:val="Heading2"/>
        <w:rPr>
          <w:rtl/>
        </w:rPr>
      </w:pPr>
      <w:bookmarkStart w:id="97" w:name="_Toc372276138"/>
      <w:bookmarkStart w:id="98" w:name="_Toc380496732"/>
      <w:r>
        <w:lastRenderedPageBreak/>
        <w:t>5.3</w:t>
      </w:r>
      <w:r>
        <w:rPr>
          <w:rtl/>
        </w:rPr>
        <w:tab/>
        <w:t>تقنيات وحلول النفاذ عريض النطاق الساتلي</w:t>
      </w:r>
      <w:bookmarkEnd w:id="97"/>
      <w:bookmarkEnd w:id="98"/>
    </w:p>
    <w:p w:rsidR="00111C25" w:rsidRDefault="00111C25" w:rsidP="00111C25">
      <w:pPr>
        <w:pStyle w:val="Heading3"/>
        <w:rPr>
          <w:rtl/>
        </w:rPr>
      </w:pPr>
      <w:bookmarkStart w:id="99" w:name="_Toc372276139"/>
      <w:bookmarkStart w:id="100" w:name="_Toc380496733"/>
      <w:r>
        <w:t>1.5.3</w:t>
      </w:r>
      <w:r>
        <w:rPr>
          <w:rtl/>
        </w:rPr>
        <w:tab/>
        <w:t>لمحة عامة</w:t>
      </w:r>
      <w:bookmarkEnd w:id="99"/>
      <w:bookmarkEnd w:id="100"/>
    </w:p>
    <w:p w:rsidR="00111C25" w:rsidRDefault="00111C25" w:rsidP="00111C25">
      <w:pPr>
        <w:rPr>
          <w:rtl/>
          <w:lang w:bidi="ar"/>
        </w:rPr>
      </w:pPr>
      <w:r>
        <w:rPr>
          <w:rtl/>
          <w:lang w:bidi="ar"/>
        </w:rPr>
        <w:t xml:space="preserve">يعد النفاذ عريض النطاق مؤشراً مهماً للتنمية الاقتصادية. وعلى نحو متزايد، وضعت الحكومات الأهداف والاستراتيجيات لضمان انتفاع جميع المواطنين، ولكنها تواجه تحدي تحقيق هذه الأهداف في المناطق الريفية والمناطق النائية. إذ يتعذر تحقيق أهداف النطاق العريض في العديد من البلدان دون مزيج من تكنولوجيات النطاق العريض، بما فيها الكبل والألياف البصرية واللاسلكي - والساتل. وكثيراً ما تتركز البنية التحتية الأرضية في المراكز الحضرية، مع تغطية محدودة للمناطق الريفية والمناطق النائية، على نحو يحرم شرائح من السكان من الاستفادة من مجتمع </w:t>
      </w:r>
      <w:r>
        <w:rPr>
          <w:spacing w:val="-4"/>
          <w:rtl/>
          <w:lang w:bidi="ar"/>
        </w:rPr>
        <w:t>المعلومات. وأكثر فأكثر، فإن التطورات الجارية في شبكات السواتل والمعدات والتطبيقات الأرضية، تجعل من التكنولوجيات</w:t>
      </w:r>
      <w:r>
        <w:rPr>
          <w:rtl/>
          <w:lang w:bidi="ar"/>
        </w:rPr>
        <w:t xml:space="preserve"> الساتلية حلاً فعالاً من حيث التكلفة - ومكوناً حاسماً في استراتيجيات الاتصالات والنفاذ عريض النطاق وخطط النطاق العريض على الصعيد الوطني، وخاصة لضمان التغطية في المناطق النائية والمناطق الريفية.</w:t>
      </w:r>
    </w:p>
    <w:p w:rsidR="00111C25" w:rsidRDefault="00111C25" w:rsidP="00111C25">
      <w:pPr>
        <w:rPr>
          <w:rtl/>
          <w:lang w:bidi="ar"/>
        </w:rPr>
      </w:pPr>
      <w:r>
        <w:rPr>
          <w:rtl/>
          <w:lang w:bidi="ar"/>
        </w:rPr>
        <w:t>وتتيح الإنترنت وخدمات النطاق العريض عبر السواتل الفرصة لتوسيع نطاق التوصيلية إلى أنأى المناطق حيث لا تتوفر الخدمات الأرضية (السلكية أو اللاسلكية) أو حيث يكون نشرها مكلفاً. ومع زيادة الطلب ووضع استراتيجيات لانتفاع الريف أو الجميع من النطاق العريض، تزايد الطلب على الحلول المستندة إلى السواتل للمناطق الريفية والمناطق النائية، بما في ذلك من خلال المشاريع التي تقودها الحكومة أو الشراكات بين القطاعين العام والخاص التي تهدف إلى زيادة النفاذ. وتقدم هذه الفقرة لمحة عامة على بعض من الحلول المتاحة والناشئة للنفاذ عريض النطاق القائم على السواتل، وهي حلول نُفِّذ كثير منها حالياً في أسواق البلدان النامية.</w:t>
      </w:r>
    </w:p>
    <w:p w:rsidR="00111C25" w:rsidRDefault="00111C25" w:rsidP="00111C25">
      <w:pPr>
        <w:rPr>
          <w:rtl/>
          <w:lang w:bidi="ar"/>
        </w:rPr>
      </w:pPr>
      <w:r>
        <w:rPr>
          <w:rtl/>
          <w:lang w:bidi="ar"/>
        </w:rPr>
        <w:t>وتهدف بعض تكنولوجيات النفاذ الساتلية في المقام الأول إلى توفير النطاق العريض إلى موقع ثابت، فيما يوفر البعض الآخر منها النطاق العريض إلى المطاريف المتنقلة، التي يمكن استخدامها أثناء الحركة، أو من موقع ثابت مؤقت.</w:t>
      </w:r>
    </w:p>
    <w:p w:rsidR="00111C25" w:rsidRDefault="00111C25" w:rsidP="00111C25">
      <w:pPr>
        <w:pStyle w:val="Heading3"/>
        <w:rPr>
          <w:rtl/>
        </w:rPr>
      </w:pPr>
      <w:bookmarkStart w:id="101" w:name="_Toc372276140"/>
      <w:bookmarkStart w:id="102" w:name="_Toc380496734"/>
      <w:r>
        <w:t>2.5.3</w:t>
      </w:r>
      <w:r>
        <w:rPr>
          <w:rtl/>
        </w:rPr>
        <w:tab/>
        <w:t>قدرات وخصائص النطاق العريض الساتلي</w:t>
      </w:r>
      <w:bookmarkEnd w:id="101"/>
      <w:bookmarkEnd w:id="102"/>
    </w:p>
    <w:p w:rsidR="00111C25" w:rsidRDefault="00111C25" w:rsidP="00111C25">
      <w:pPr>
        <w:rPr>
          <w:rtl/>
          <w:lang w:bidi="ar"/>
        </w:rPr>
      </w:pPr>
      <w:r>
        <w:rPr>
          <w:rtl/>
          <w:lang w:bidi="ar"/>
        </w:rPr>
        <w:t>ويتزايد تنفيذ الخدمات الساتلية كحل للنفاذ إلى الإنترنت والنطاق العريض في أسواق البلدان المتقدمة والبلدان النامية على حد سواء. وتوفر الخدمات الساتلية العديد من المزايا، لا سيما في المناطق النائية والمناطق الريفية حيث البنية التحتية الأرضية محدودة، ومن أمثلة هذه المزايا:</w:t>
      </w:r>
    </w:p>
    <w:p w:rsidR="00111C25" w:rsidRDefault="00111C25" w:rsidP="00111C25">
      <w:pPr>
        <w:pStyle w:val="Enumlevel1"/>
        <w:rPr>
          <w:rtl/>
          <w:lang w:bidi="ar"/>
        </w:rPr>
      </w:pPr>
      <w:r>
        <w:sym w:font="Symbol" w:char="F02D"/>
      </w:r>
      <w:r>
        <w:tab/>
      </w:r>
      <w:r>
        <w:rPr>
          <w:rtl/>
        </w:rPr>
        <w:t>التغطية في كل مكان الشاملة لكل ركن من أركان المعمورة؛</w:t>
      </w:r>
    </w:p>
    <w:p w:rsidR="00111C25" w:rsidRDefault="00111C25" w:rsidP="00111C25">
      <w:pPr>
        <w:pStyle w:val="Enumlevel1"/>
        <w:rPr>
          <w:rtl/>
          <w:lang w:bidi="ar"/>
        </w:rPr>
      </w:pPr>
      <w:r>
        <w:sym w:font="Symbol" w:char="F02D"/>
      </w:r>
      <w:r>
        <w:tab/>
      </w:r>
      <w:r>
        <w:rPr>
          <w:rtl/>
        </w:rPr>
        <w:t>حلول فعالة من حيث التكلفة وسهلة التركيب، وحتى للمناطق النائية والمناطق الريفية؛</w:t>
      </w:r>
    </w:p>
    <w:p w:rsidR="00111C25" w:rsidRDefault="00111C25" w:rsidP="00111C25">
      <w:pPr>
        <w:pStyle w:val="Enumlevel1"/>
        <w:rPr>
          <w:rtl/>
          <w:lang w:bidi="ar"/>
        </w:rPr>
      </w:pPr>
      <w:r>
        <w:sym w:font="Symbol" w:char="F02D"/>
      </w:r>
      <w:r>
        <w:tab/>
      </w:r>
      <w:r>
        <w:rPr>
          <w:rtl/>
        </w:rPr>
        <w:t>لا لزوم لاستثمارات كبيرة في البنية التحتية الأرضية؛</w:t>
      </w:r>
    </w:p>
    <w:p w:rsidR="00111C25" w:rsidRDefault="00111C25" w:rsidP="00111C25">
      <w:pPr>
        <w:pStyle w:val="Enumlevel1"/>
        <w:rPr>
          <w:rtl/>
          <w:lang w:bidi="ar"/>
        </w:rPr>
      </w:pPr>
      <w:r>
        <w:rPr>
          <w:rtl/>
          <w:lang w:bidi="ar"/>
        </w:rPr>
        <w:t>-</w:t>
      </w:r>
      <w:r>
        <w:rPr>
          <w:lang w:bidi="ar"/>
        </w:rPr>
        <w:tab/>
      </w:r>
      <w:r>
        <w:rPr>
          <w:rtl/>
          <w:lang w:bidi="ar"/>
        </w:rPr>
        <w:t>تخديم مجموعات كبيرة من المستخدمين النهائيين؛</w:t>
      </w:r>
    </w:p>
    <w:p w:rsidR="00111C25" w:rsidRDefault="00111C25" w:rsidP="00111C25">
      <w:pPr>
        <w:pStyle w:val="Enumlevel1"/>
        <w:rPr>
          <w:rtl/>
        </w:rPr>
      </w:pPr>
      <w:r>
        <w:rPr>
          <w:rtl/>
        </w:rPr>
        <w:t>-</w:t>
      </w:r>
      <w:r>
        <w:tab/>
      </w:r>
      <w:r>
        <w:rPr>
          <w:rtl/>
        </w:rPr>
        <w:t>القدرة على نشر الشبكة على نطاق واسع؛</w:t>
      </w:r>
    </w:p>
    <w:p w:rsidR="00111C25" w:rsidRDefault="00111C25" w:rsidP="00111C25">
      <w:pPr>
        <w:pStyle w:val="Enumlevel1"/>
        <w:rPr>
          <w:rtl/>
        </w:rPr>
      </w:pPr>
      <w:r>
        <w:sym w:font="Symbol" w:char="F02D"/>
      </w:r>
      <w:r>
        <w:tab/>
      </w:r>
      <w:r>
        <w:rPr>
          <w:rtl/>
        </w:rPr>
        <w:t>تطبيقات ثابتة ومتنقلة؛</w:t>
      </w:r>
    </w:p>
    <w:p w:rsidR="00111C25" w:rsidRDefault="00111C25" w:rsidP="00111C25">
      <w:pPr>
        <w:pStyle w:val="Enumlevel1"/>
        <w:rPr>
          <w:rtl/>
          <w:lang w:bidi="ar"/>
        </w:rPr>
      </w:pPr>
      <w:r>
        <w:sym w:font="Symbol" w:char="F02D"/>
      </w:r>
      <w:r>
        <w:tab/>
      </w:r>
      <w:r>
        <w:rPr>
          <w:rtl/>
        </w:rPr>
        <w:t>خدمات موثوقة وخدمات رديفة في حال وقوع الكوارث أو الطوارئ.</w:t>
      </w:r>
    </w:p>
    <w:p w:rsidR="00111C25" w:rsidRDefault="00111C25" w:rsidP="00801459">
      <w:pPr>
        <w:pStyle w:val="Heading4"/>
        <w:rPr>
          <w:rtl/>
          <w:lang w:bidi="ar-EG"/>
        </w:rPr>
      </w:pPr>
      <w:r>
        <w:rPr>
          <w:rtl/>
          <w:lang w:bidi="ar-EG"/>
        </w:rPr>
        <w:t xml:space="preserve">جاهزية للنشر </w:t>
      </w:r>
      <w:r w:rsidR="00801459">
        <w:rPr>
          <w:rFonts w:hint="cs"/>
          <w:rtl/>
          <w:lang w:bidi="ar-EG"/>
        </w:rPr>
        <w:t>-</w:t>
      </w:r>
      <w:r>
        <w:rPr>
          <w:rtl/>
          <w:lang w:bidi="ar-EG"/>
        </w:rPr>
        <w:t xml:space="preserve"> على الصعيد العالمي</w:t>
      </w:r>
    </w:p>
    <w:p w:rsidR="00111C25" w:rsidRDefault="00111C25" w:rsidP="00111C25">
      <w:pPr>
        <w:rPr>
          <w:rtl/>
          <w:lang w:bidi="ar"/>
        </w:rPr>
      </w:pPr>
      <w:r>
        <w:rPr>
          <w:rtl/>
          <w:lang w:bidi="ar"/>
        </w:rPr>
        <w:t xml:space="preserve">نظراً للقدرات التي تنفرد بها السواتل في التغطية الإقليمية والعالمية، فهي قادرة على الإيصال الفوري لتوصيلية الإنترنت والنطاق العريض حتى إلى المناطق النائية باستخدام الموارد الساتلية القائمة. وهذا يعطي المرونة والقدرة على توسيع رقعة الخدمة على أساس الطلب في السوق، وتغطية المناطق الريفية على الفور وبسهولة. وعلى نحو هام، ولا سيما بالنسبة للمناطق النامية، تمكن توصيلية المستخدم النهائي والتوصيلية المجتمعية بدون استثمارات رأسمالية ضخمة أو برامج واسعة النطاق لتهيئة المرافق. فحالما يصبح نظام ساتلي جاهزاً للعمل، يمكن التوسع بالتوصيلية إلى مواقع المستخدمين بواسطة مطاريف أرضية يسهل نشرها </w:t>
      </w:r>
      <w:r>
        <w:rPr>
          <w:rtl/>
          <w:lang w:bidi="ar"/>
        </w:rPr>
        <w:lastRenderedPageBreak/>
        <w:t>وتركيبها. وإذ تزداد أعداد المستخدمين، تتيح وفورات الحجم أجهزة أرخص، مما يجعل الحل الساتلي أقدر على المنافسة لأن تهيئة المرافق بموجبه غير ذات صلة بالمسافات أو المواقع كحال الألياف البصرية.</w:t>
      </w:r>
    </w:p>
    <w:p w:rsidR="00111C25" w:rsidRDefault="00111C25" w:rsidP="009C04F6">
      <w:pPr>
        <w:rPr>
          <w:rtl/>
          <w:lang w:bidi="ar"/>
        </w:rPr>
      </w:pPr>
      <w:r>
        <w:rPr>
          <w:rtl/>
          <w:lang w:bidi="ar"/>
        </w:rPr>
        <w:t>وعلاوة على ذلك، فإن خدمات الصحون الصغيرة عالية الكثافة التي يمكن تفعيلها بمستويات أعلى من كثافة تدفق القدرة </w:t>
      </w:r>
      <w:r>
        <w:rPr>
          <w:lang w:bidi="ar"/>
        </w:rPr>
        <w:t>(PFD)</w:t>
      </w:r>
      <w:r>
        <w:rPr>
          <w:rtl/>
          <w:lang w:bidi="ar"/>
        </w:rPr>
        <w:t xml:space="preserve"> تتيح فرصة لإقامة توصيلية أكثر فعالية من حيث التكلفة. وإذ يُطلق الجيل التالي من الشبكات الساتلية، تزداد السعة، وتجعل خيارات السرعة الأعلى والكمون الأقصر من الحل الساتلي حلاً أكثر جاذبية من ذي قبل.</w:t>
      </w:r>
    </w:p>
    <w:p w:rsidR="00111C25" w:rsidRDefault="00111C25" w:rsidP="00111C25">
      <w:pPr>
        <w:pStyle w:val="Heading3"/>
        <w:rPr>
          <w:rtl/>
        </w:rPr>
      </w:pPr>
      <w:bookmarkStart w:id="103" w:name="_Toc372276141"/>
      <w:bookmarkStart w:id="104" w:name="_Toc380496735"/>
      <w:r>
        <w:t>3.5.3</w:t>
      </w:r>
      <w:r>
        <w:rPr>
          <w:rtl/>
        </w:rPr>
        <w:tab/>
        <w:t>خصائص كوكبة السواتل</w:t>
      </w:r>
      <w:bookmarkEnd w:id="103"/>
      <w:bookmarkEnd w:id="104"/>
    </w:p>
    <w:p w:rsidR="00111C25" w:rsidRDefault="00111C25" w:rsidP="00111C25">
      <w:pPr>
        <w:rPr>
          <w:rtl/>
          <w:lang w:bidi="ar"/>
        </w:rPr>
      </w:pPr>
      <w:r>
        <w:rPr>
          <w:rtl/>
          <w:lang w:bidi="ar"/>
        </w:rPr>
        <w:t xml:space="preserve">يمكن أن يكون النظام الساتلي إما في مدار مستقر بالنسبة إلى الأرض </w:t>
      </w:r>
      <w:r>
        <w:rPr>
          <w:lang w:bidi="ar"/>
        </w:rPr>
        <w:t>(GSO)</w:t>
      </w:r>
      <w:r>
        <w:rPr>
          <w:rtl/>
          <w:lang w:bidi="ar"/>
        </w:rPr>
        <w:t xml:space="preserve"> أو في مدار غير مستقر بالنسبة إلى الأرض </w:t>
      </w:r>
      <w:r>
        <w:rPr>
          <w:lang w:bidi="ar"/>
        </w:rPr>
        <w:t>(NGSO)</w:t>
      </w:r>
      <w:r>
        <w:rPr>
          <w:rtl/>
          <w:lang w:bidi="ar"/>
        </w:rPr>
        <w:t>، ولكل منهما خصائصه المميزة.</w:t>
      </w:r>
    </w:p>
    <w:p w:rsidR="00111C25" w:rsidRDefault="00111C25" w:rsidP="00111C25">
      <w:pPr>
        <w:pStyle w:val="Heading4"/>
        <w:rPr>
          <w:rtl/>
        </w:rPr>
      </w:pPr>
      <w:r>
        <w:t>1.3.5.3</w:t>
      </w:r>
      <w:r>
        <w:rPr>
          <w:rtl/>
        </w:rPr>
        <w:tab/>
        <w:t xml:space="preserve">المدار المستقر بالنسبة إلى الأرض </w:t>
      </w:r>
      <w:r>
        <w:t>(GSO)</w:t>
      </w:r>
    </w:p>
    <w:p w:rsidR="00111C25" w:rsidRDefault="00111C25" w:rsidP="00111C25">
      <w:pPr>
        <w:rPr>
          <w:lang w:bidi="ar"/>
        </w:rPr>
      </w:pPr>
      <w:r>
        <w:rPr>
          <w:rtl/>
          <w:lang w:bidi="ar"/>
        </w:rPr>
        <w:t xml:space="preserve">يمكن لنظام اتصالات ساتلي في مدار مستقر بالنسبة إلى الأرض </w:t>
      </w:r>
      <w:r>
        <w:rPr>
          <w:lang w:bidi="ar"/>
        </w:rPr>
        <w:t>(GSO)</w:t>
      </w:r>
      <w:r>
        <w:rPr>
          <w:rtl/>
          <w:lang w:bidi="ar"/>
        </w:rPr>
        <w:t xml:space="preserve"> أن يوفر خدمات النطاق العريض إلى مطاريف المستخدم الثابتة أو المتنقلة. وباستخدام هوائي (هوائيات) ساتلي كبير يمكن توفير خدمات النطاق العريض إلى مطاريف المستخدمين بالاستفادة من الكسب الكبير للهوائي الساتلي. وتكون سعة نظام ساتلي مزود بهوائيات متعددة الحزم في مدار مستقر بالنسبة إلى الأرض، أكبر منها في نظام ذي حزمة واحدة بتغطية عالمية فوق منطقة الخدمة ذاتها.</w:t>
      </w:r>
      <w:r>
        <w:rPr>
          <w:rStyle w:val="FootnoteReference"/>
          <w:rtl/>
          <w:lang w:bidi="ar"/>
        </w:rPr>
        <w:footnoteReference w:id="62"/>
      </w:r>
    </w:p>
    <w:p w:rsidR="00111C25" w:rsidRDefault="00111C25" w:rsidP="00111C25">
      <w:pPr>
        <w:rPr>
          <w:rtl/>
          <w:lang w:bidi="ar"/>
        </w:rPr>
      </w:pPr>
      <w:r>
        <w:rPr>
          <w:rtl/>
          <w:lang w:bidi="ar"/>
        </w:rPr>
        <w:t xml:space="preserve">ويوضح الشكل أدناه نظاماً ساتلياً متعدد الحزم يقدم خدمات النطاق العريض (برزم بروتوكول الإنترنت </w:t>
      </w:r>
      <w:r>
        <w:rPr>
          <w:lang w:bidi="ar"/>
        </w:rPr>
        <w:t>(IP)</w:t>
      </w:r>
      <w:r>
        <w:rPr>
          <w:rtl/>
          <w:lang w:bidi="ar"/>
        </w:rPr>
        <w:t xml:space="preserve">). وتوصل الخدمات المقدمة للمستخدمين المتنقلين إلى شبكة أساسية أرضية من خلال محطة أرضية ثابتة </w:t>
      </w:r>
      <w:r>
        <w:rPr>
          <w:lang w:bidi="ar"/>
        </w:rPr>
        <w:t>(FES)</w:t>
      </w:r>
      <w:r>
        <w:rPr>
          <w:rtl/>
          <w:lang w:bidi="ar"/>
        </w:rPr>
        <w:t xml:space="preserve"> والساتل. والمحطة الأرضية الثابتة هي بوابة توصل خدمات المستخدمين إلى الشبكة الأرضية. وعندما يمتلك الساتل قدرة المعالجة على متنه </w:t>
      </w:r>
      <w:r>
        <w:rPr>
          <w:lang w:bidi="ar"/>
        </w:rPr>
        <w:t>(OBP)</w:t>
      </w:r>
      <w:r>
        <w:rPr>
          <w:rtl/>
          <w:lang w:bidi="ar"/>
        </w:rPr>
        <w:t>، يمكنه القيام بالتوزيع المتكيف للموارد.</w:t>
      </w:r>
      <w:r>
        <w:rPr>
          <w:rStyle w:val="FootnoteReference"/>
          <w:rtl/>
          <w:lang w:bidi="ar"/>
        </w:rPr>
        <w:footnoteReference w:id="63"/>
      </w:r>
    </w:p>
    <w:p w:rsidR="00111C25" w:rsidRDefault="00111C25" w:rsidP="00FF4CBD">
      <w:pPr>
        <w:pStyle w:val="Figuretitle"/>
        <w:rPr>
          <w:rtl/>
        </w:rPr>
      </w:pPr>
      <w:bookmarkStart w:id="105" w:name="_Toc372276142"/>
      <w:bookmarkStart w:id="106" w:name="_Toc380497245"/>
      <w:r>
        <w:rPr>
          <w:rtl/>
          <w:lang w:bidi="ar"/>
        </w:rPr>
        <w:lastRenderedPageBreak/>
        <w:t xml:space="preserve">الشكل </w:t>
      </w:r>
      <w:r>
        <w:rPr>
          <w:lang w:bidi="ar"/>
        </w:rPr>
        <w:t>1-1.3.5.3</w:t>
      </w:r>
      <w:r w:rsidR="00FF4CBD">
        <w:rPr>
          <w:rFonts w:hint="cs"/>
          <w:rtl/>
          <w:lang w:bidi="ar"/>
        </w:rPr>
        <w:t>:</w:t>
      </w:r>
      <w:r>
        <w:rPr>
          <w:rtl/>
          <w:lang w:bidi="ar"/>
        </w:rPr>
        <w:t xml:space="preserve"> نظام ساتلي متعدد الحزم يقدم خدمات النطاق العريض (برزم بروتوكول الإنترنت </w:t>
      </w:r>
      <w:r>
        <w:rPr>
          <w:lang w:bidi="ar"/>
        </w:rPr>
        <w:t>(IP)</w:t>
      </w:r>
      <w:r>
        <w:rPr>
          <w:rtl/>
          <w:lang w:bidi="ar"/>
        </w:rPr>
        <w:t>)</w:t>
      </w:r>
      <w:bookmarkEnd w:id="105"/>
      <w:bookmarkEnd w:id="106"/>
    </w:p>
    <w:p w:rsidR="00FF4CBD" w:rsidRDefault="00FF4CBD" w:rsidP="00FF4CBD">
      <w:pPr>
        <w:pStyle w:val="Figure"/>
        <w:rPr>
          <w:rtl/>
          <w:lang w:eastAsia="zh-CN"/>
        </w:rPr>
      </w:pPr>
      <w:r>
        <w:object w:dxaOrig="8047" w:dyaOrig="5684">
          <v:shape id="_x0000_i1030" type="#_x0000_t75" style="width:401.85pt;height:283.8pt" o:ole="">
            <v:imagedata r:id="rId34" o:title=""/>
          </v:shape>
          <o:OLEObject Type="Embed" ProgID="Word.Document.12" ShapeID="_x0000_i1030" DrawAspect="Content" ObjectID="_1455084587" r:id="rId35">
            <o:FieldCodes>\s</o:FieldCodes>
          </o:OLEObject>
        </w:object>
      </w:r>
    </w:p>
    <w:p w:rsidR="00111C25" w:rsidRDefault="00111C25" w:rsidP="00801459">
      <w:pPr>
        <w:pStyle w:val="Heading4"/>
        <w:spacing w:before="240"/>
        <w:rPr>
          <w:rtl/>
          <w:lang w:bidi="ar-EG"/>
        </w:rPr>
      </w:pPr>
      <w:r>
        <w:rPr>
          <w:rtl/>
          <w:lang w:bidi="ar-EG"/>
        </w:rPr>
        <w:t>أرقى التقنيات</w:t>
      </w:r>
    </w:p>
    <w:p w:rsidR="00111C25" w:rsidRDefault="00111C25" w:rsidP="009C04F6">
      <w:pPr>
        <w:rPr>
          <w:rtl/>
          <w:lang w:bidi="ar"/>
        </w:rPr>
      </w:pPr>
      <w:r>
        <w:rPr>
          <w:rtl/>
          <w:lang w:bidi="ar"/>
        </w:rPr>
        <w:t>يمكن أن يكون الساتل ذو النطاق العريض وسيلة ناجعة لتحقيق انتشار النطاق العريض لسكان المجتمعات التي تعاني من نقص التخديم، وحيث يكون بناء البنية التحتية الأرضية للنطاق العريض مكلفاً للغاية.</w:t>
      </w:r>
      <w:r>
        <w:rPr>
          <w:rStyle w:val="FootnoteReference"/>
          <w:rtl/>
          <w:lang w:bidi="ar"/>
        </w:rPr>
        <w:footnoteReference w:id="64"/>
      </w:r>
      <w:r>
        <w:rPr>
          <w:rtl/>
          <w:lang w:bidi="ar"/>
        </w:rPr>
        <w:t xml:space="preserve"> وحالياً، تقدَّم معظم خدمات الإنترنت الساتلية بمعدلات بيانات تقل عن الحد الأدنى لمعدلات البيانات المنصوص عليه في.</w:t>
      </w:r>
      <w:r>
        <w:rPr>
          <w:rStyle w:val="FootnoteReference"/>
          <w:rtl/>
          <w:lang w:bidi="ar"/>
        </w:rPr>
        <w:footnoteReference w:id="65"/>
      </w:r>
      <w:r>
        <w:rPr>
          <w:rtl/>
          <w:lang w:bidi="ar"/>
        </w:rPr>
        <w:t xml:space="preserve"> بيد أن هناك العديد من التكنولوجيات المتطورة التي يمكن تطبيقها في مجال تقديم خدمات الإنترنت عبر السواتل وتأهيلها كخدمات نطاق عريض. وللانتفاع من الدعم الحكومي في تقديم خدمات الإنترنت ذات النطاق العريض، سيتعين على شركات السواتل أن تحقق الحد الأدنى من معدلات البيانات على النحو المحدد في كل استراتيجية وطنية.</w:t>
      </w:r>
    </w:p>
    <w:p w:rsidR="00111C25" w:rsidRDefault="00111C25" w:rsidP="00111C25">
      <w:pPr>
        <w:rPr>
          <w:rtl/>
          <w:lang w:bidi="ar"/>
        </w:rPr>
      </w:pPr>
      <w:r>
        <w:rPr>
          <w:rtl/>
          <w:lang w:bidi="ar"/>
        </w:rPr>
        <w:t xml:space="preserve">وتطور العديد من الشركات في جميع أنحاء العالم سواتل عالية الصبيب </w:t>
      </w:r>
      <w:r>
        <w:rPr>
          <w:lang w:bidi="ar"/>
        </w:rPr>
        <w:t>(HTS)</w:t>
      </w:r>
      <w:r>
        <w:rPr>
          <w:rtl/>
          <w:lang w:bidi="ar"/>
        </w:rPr>
        <w:t xml:space="preserve"> يمكنها أن تلبي الحد الأدنى من معدلات البيانات المحددة للنطاق العريض. فعلى سبيل المثال، يُتوقع لمطوري السواتل عالية الصبيب في الولايات المتحدة أن يوفروا معدلات تحميل بيانات إلى المستخدم بواقع </w:t>
      </w:r>
      <w:r>
        <w:rPr>
          <w:lang w:bidi="ar"/>
        </w:rPr>
        <w:t>10</w:t>
      </w:r>
      <w:r>
        <w:rPr>
          <w:lang w:bidi="ar"/>
        </w:rPr>
        <w:noBreakHyphen/>
        <w:t>2</w:t>
      </w:r>
      <w:r>
        <w:rPr>
          <w:rtl/>
          <w:lang w:bidi="ar"/>
        </w:rPr>
        <w:t xml:space="preserve"> </w:t>
      </w:r>
      <w:r>
        <w:rPr>
          <w:lang w:bidi="ar"/>
        </w:rPr>
        <w:t>Mbit/s</w:t>
      </w:r>
      <w:r>
        <w:rPr>
          <w:rtl/>
          <w:lang w:bidi="ar"/>
        </w:rPr>
        <w:t xml:space="preserve"> و</w:t>
      </w:r>
      <w:r>
        <w:rPr>
          <w:lang w:bidi="ar"/>
        </w:rPr>
        <w:t>25</w:t>
      </w:r>
      <w:r>
        <w:rPr>
          <w:lang w:bidi="ar"/>
        </w:rPr>
        <w:noBreakHyphen/>
        <w:t>5</w:t>
      </w:r>
      <w:r>
        <w:rPr>
          <w:rtl/>
          <w:lang w:bidi="ar"/>
        </w:rPr>
        <w:t xml:space="preserve"> </w:t>
      </w:r>
      <w:r>
        <w:rPr>
          <w:lang w:bidi="ar"/>
        </w:rPr>
        <w:t>Mbit/s</w:t>
      </w:r>
      <w:r>
        <w:rPr>
          <w:rtl/>
          <w:lang w:bidi="ar"/>
        </w:rPr>
        <w:t xml:space="preserve"> على التوالي.</w:t>
      </w:r>
      <w:r>
        <w:rPr>
          <w:rStyle w:val="FootnoteReference"/>
          <w:rtl/>
          <w:lang w:bidi="ar"/>
        </w:rPr>
        <w:footnoteReference w:id="66"/>
      </w:r>
      <w:r>
        <w:rPr>
          <w:rtl/>
          <w:lang w:bidi="ar"/>
        </w:rPr>
        <w:t xml:space="preserve"> غير أن هذه السواتل عالية الصبيب ستعمل في مدار مستقر بالنسبة إلى الأرض، ونتيجة لذلك، ستكون أكثر عرضة للكمون من السواتل العاملة في المدار الأرضي المنخفض </w:t>
      </w:r>
      <w:r>
        <w:rPr>
          <w:lang w:bidi="ar"/>
        </w:rPr>
        <w:t>(LEO)</w:t>
      </w:r>
      <w:r>
        <w:rPr>
          <w:rtl/>
          <w:lang w:bidi="ar"/>
        </w:rPr>
        <w:t xml:space="preserve"> والمدار الأرضي المتوسط </w:t>
      </w:r>
      <w:r>
        <w:rPr>
          <w:lang w:bidi="ar"/>
        </w:rPr>
        <w:t>(MEO)</w:t>
      </w:r>
      <w:r>
        <w:rPr>
          <w:rtl/>
          <w:lang w:bidi="ar"/>
        </w:rPr>
        <w:t xml:space="preserve">. ويمكن لفرط الكمون أن يعوق استخدام التطبيقات التفاعلية في الوقت الفعلي. سوى أن </w:t>
      </w:r>
      <w:r>
        <w:rPr>
          <w:rtl/>
          <w:lang w:bidi="ar"/>
        </w:rPr>
        <w:lastRenderedPageBreak/>
        <w:t>قضية الكمون أقل أهمية للتطبيقات التي تتطلب أداء أفضل جهد من الشبكة، مثل البريد الإلكتروني وتصفح الإنترنت. وفي محاولة للتغلب على مشكلة الكمون، تعكف إحدى الشركات حالياً على تطوير خدمة إنترنت ذات نطاق عريض تقدمها سواتل تعمل في المدار الأرضي المتوسط.</w:t>
      </w:r>
      <w:r>
        <w:rPr>
          <w:rStyle w:val="FootnoteReference"/>
          <w:rtl/>
          <w:lang w:bidi="ar"/>
        </w:rPr>
        <w:footnoteReference w:id="67"/>
      </w:r>
      <w:r>
        <w:rPr>
          <w:rtl/>
          <w:lang w:bidi="ar"/>
        </w:rPr>
        <w:t xml:space="preserve"> ويشمل هذا التطوير نشر عدة سواتل في المدار الأرضي المتوسط – على بُعد خمس مسافة السواتل الواقعة في مدار مستقر بالنسبة إلى الأرض – تستخدم حزم موضعية مرنة لتقديم خدمات الإنترنت ذات النطاق العريض للدول النامية. وبتقصير المسافة الفاصلة بين الساتل والأرض، يقل كمون تأخير الذهاب والإياب.</w:t>
      </w:r>
    </w:p>
    <w:p w:rsidR="00111C25" w:rsidRDefault="00111C25" w:rsidP="00FF4CBD">
      <w:pPr>
        <w:pStyle w:val="Heading4"/>
        <w:rPr>
          <w:rtl/>
          <w:lang w:bidi="ar-EG"/>
        </w:rPr>
      </w:pPr>
      <w:r>
        <w:rPr>
          <w:rtl/>
          <w:lang w:bidi="ar-EG"/>
        </w:rPr>
        <w:t xml:space="preserve">الأنظمة الساتلية ذات النطاق العريض المستخدمة لنطاقي </w:t>
      </w:r>
      <w:r>
        <w:rPr>
          <w:lang w:bidi="ar-EG"/>
        </w:rPr>
        <w:t>Ku</w:t>
      </w:r>
      <w:r>
        <w:rPr>
          <w:rtl/>
          <w:lang w:bidi="ar-EG"/>
        </w:rPr>
        <w:t xml:space="preserve"> و</w:t>
      </w:r>
      <w:r>
        <w:rPr>
          <w:lang w:bidi="ar-EG"/>
        </w:rPr>
        <w:t>Ka</w:t>
      </w:r>
    </w:p>
    <w:p w:rsidR="00111C25" w:rsidRDefault="00111C25" w:rsidP="00111C25">
      <w:pPr>
        <w:rPr>
          <w:rtl/>
          <w:lang w:bidi="ar"/>
        </w:rPr>
      </w:pPr>
      <w:r>
        <w:rPr>
          <w:rtl/>
          <w:lang w:bidi="ar"/>
        </w:rPr>
        <w:t xml:space="preserve">يمكن التعامل مع الطلب المتزايد على خدمات النطاق العريض على نحو فعال عن طريق نظام ساتلي يستخدم نطاقات الترددات العالية كنطاقي </w:t>
      </w:r>
      <w:r>
        <w:rPr>
          <w:lang w:bidi="ar"/>
        </w:rPr>
        <w:t>Ku</w:t>
      </w:r>
      <w:r>
        <w:rPr>
          <w:rtl/>
          <w:lang w:bidi="ar"/>
        </w:rPr>
        <w:t xml:space="preserve"> و</w:t>
      </w:r>
      <w:r>
        <w:rPr>
          <w:lang w:bidi="ar"/>
        </w:rPr>
        <w:t>Ka</w:t>
      </w:r>
      <w:r>
        <w:rPr>
          <w:rtl/>
          <w:lang w:bidi="ar"/>
        </w:rPr>
        <w:t>. وعلى وجه الخصوص، قد يكون النظام الساتلي الخيار الوحيد الممكن لتقديم خدمات الإنترنت والتلفزيون فائقة السرعة للمركبات البحرية والجوية. وفي هذه الحالة، يُستخدم هوائي المصفوفة النشطة المنصوب على مركبة متحركة لتعقب الساتل وتوفير توصيلات سلسة.</w:t>
      </w:r>
    </w:p>
    <w:p w:rsidR="00111C25" w:rsidRDefault="00111C25" w:rsidP="00111C25">
      <w:pPr>
        <w:rPr>
          <w:rtl/>
          <w:lang w:bidi="ar"/>
        </w:rPr>
      </w:pPr>
      <w:r>
        <w:rPr>
          <w:rtl/>
          <w:lang w:bidi="ar"/>
        </w:rPr>
        <w:t xml:space="preserve">وفي الأنظمة الساتلية ذات النطاق العريض المستخدمة لنطاق </w:t>
      </w:r>
      <w:r>
        <w:rPr>
          <w:lang w:bidi="ar"/>
        </w:rPr>
        <w:t>Ka</w:t>
      </w:r>
      <w:r>
        <w:rPr>
          <w:rtl/>
          <w:lang w:bidi="ar"/>
        </w:rPr>
        <w:t xml:space="preserve">، يكون حجم الحركة على الوصلة الأمامية، التي توفر توصيلات من البوابة الساتلية إلى مطاريف المستخدمين، أكبر كثيراً منه على وصلة العودة، التي توفر توصيلات من مطاريف المستخدمين إلى البوابة الساتلية. وترد في التوصية </w:t>
      </w:r>
      <w:r>
        <w:rPr>
          <w:lang w:bidi="ar"/>
        </w:rPr>
        <w:t>ITU-R S.1709</w:t>
      </w:r>
      <w:r>
        <w:rPr>
          <w:rtl/>
          <w:lang w:bidi="ar"/>
        </w:rPr>
        <w:t xml:space="preserve"> ثلاثة معايير لسطح الهواء البيني، والتي [يمكن] أن تستخدم لتنفيذ الشبكات الساتلية ذات النطاق العريض.</w:t>
      </w:r>
      <w:r>
        <w:rPr>
          <w:rStyle w:val="FootnoteReference"/>
          <w:rtl/>
          <w:lang w:bidi="ar"/>
        </w:rPr>
        <w:footnoteReference w:id="68"/>
      </w:r>
    </w:p>
    <w:p w:rsidR="00111C25" w:rsidRDefault="00111C25" w:rsidP="00FF4CBD">
      <w:pPr>
        <w:pStyle w:val="Heading4"/>
        <w:rPr>
          <w:rtl/>
          <w:lang w:bidi="ar-EG"/>
        </w:rPr>
      </w:pPr>
      <w:r>
        <w:rPr>
          <w:rtl/>
          <w:lang w:bidi="ar-EG"/>
        </w:rPr>
        <w:t xml:space="preserve">الأنظمة الساتلية ذات النطاق العريض المستخدمة للنطاق </w:t>
      </w:r>
      <w:r>
        <w:rPr>
          <w:lang w:bidi="ar-EG"/>
        </w:rPr>
        <w:t>L</w:t>
      </w:r>
      <w:r>
        <w:rPr>
          <w:rtl/>
          <w:lang w:bidi="ar-EG"/>
        </w:rPr>
        <w:t xml:space="preserve"> </w:t>
      </w:r>
      <w:r>
        <w:rPr>
          <w:lang w:bidi="ar-EG"/>
        </w:rPr>
        <w:t>(GHz 1,6/1,5)</w:t>
      </w:r>
    </w:p>
    <w:p w:rsidR="00111C25" w:rsidRDefault="00111C25" w:rsidP="00111C25">
      <w:pPr>
        <w:rPr>
          <w:spacing w:val="-8"/>
          <w:rtl/>
          <w:lang w:bidi="ar"/>
        </w:rPr>
      </w:pPr>
      <w:r>
        <w:rPr>
          <w:spacing w:val="-8"/>
          <w:rtl/>
          <w:lang w:bidi="ar"/>
        </w:rPr>
        <w:t xml:space="preserve">تستخدم شبكات الخدمة المتنقلة الساتلية </w:t>
      </w:r>
      <w:r>
        <w:rPr>
          <w:spacing w:val="-8"/>
          <w:lang w:bidi="ar"/>
        </w:rPr>
        <w:t>(MSS)</w:t>
      </w:r>
      <w:r>
        <w:rPr>
          <w:spacing w:val="-8"/>
          <w:rtl/>
          <w:lang w:bidi="ar"/>
        </w:rPr>
        <w:t xml:space="preserve"> في المدارات المستقرة وغير المستقرة بالنسبة إلى الأرض نطاقات الترددات الموزعة للخدمة المتنقلة الساتلية حول </w:t>
      </w:r>
      <w:r>
        <w:rPr>
          <w:spacing w:val="-8"/>
          <w:lang w:bidi="ar"/>
        </w:rPr>
        <w:t>1,6/1,5</w:t>
      </w:r>
      <w:r>
        <w:rPr>
          <w:spacing w:val="-8"/>
          <w:rtl/>
          <w:lang w:bidi="ar"/>
        </w:rPr>
        <w:t xml:space="preserve"> </w:t>
      </w:r>
      <w:r>
        <w:rPr>
          <w:spacing w:val="-8"/>
          <w:lang w:bidi="ar"/>
        </w:rPr>
        <w:t>GHz</w:t>
      </w:r>
      <w:r>
        <w:rPr>
          <w:spacing w:val="-8"/>
          <w:rtl/>
          <w:lang w:bidi="ar"/>
        </w:rPr>
        <w:t>. وتتراوح الخدمات الحالية المتاحة للمستخدمين بين معدل البيانات المنخفض (مثل الصوت و</w:t>
      </w:r>
      <w:r>
        <w:rPr>
          <w:rStyle w:val="FootnoteReference"/>
          <w:spacing w:val="-8"/>
        </w:rPr>
        <w:footnoteReference w:id="69"/>
      </w:r>
      <w:r>
        <w:rPr>
          <w:spacing w:val="-8"/>
          <w:lang w:bidi="ar"/>
        </w:rPr>
        <w:t>SCADA</w:t>
      </w:r>
      <w:r>
        <w:rPr>
          <w:spacing w:val="-8"/>
          <w:rtl/>
          <w:lang w:bidi="ar"/>
        </w:rPr>
        <w:t xml:space="preserve">) ومعدلات النطاق العريض لأنظمة الخدمة المتنقلة الساتلية في المدارات المستقرة بالنسبة </w:t>
      </w:r>
      <w:r>
        <w:rPr>
          <w:spacing w:val="-2"/>
          <w:rtl/>
          <w:lang w:bidi="ar"/>
        </w:rPr>
        <w:t>إلى الأرض </w:t>
      </w:r>
      <w:r>
        <w:rPr>
          <w:spacing w:val="-2"/>
          <w:lang w:bidi="ar"/>
        </w:rPr>
        <w:t>(GSO MSS)</w:t>
      </w:r>
      <w:r>
        <w:rPr>
          <w:spacing w:val="-2"/>
          <w:rtl/>
          <w:lang w:bidi="ar"/>
        </w:rPr>
        <w:t xml:space="preserve"> حول </w:t>
      </w:r>
      <w:r>
        <w:rPr>
          <w:spacing w:val="-2"/>
          <w:lang w:bidi="ar"/>
        </w:rPr>
        <w:t>500</w:t>
      </w:r>
      <w:r>
        <w:rPr>
          <w:spacing w:val="-2"/>
          <w:rtl/>
          <w:lang w:bidi="ar"/>
        </w:rPr>
        <w:t xml:space="preserve"> </w:t>
      </w:r>
      <w:r>
        <w:rPr>
          <w:spacing w:val="-2"/>
          <w:lang w:bidi="ar"/>
        </w:rPr>
        <w:t>kbit/s</w:t>
      </w:r>
      <w:r>
        <w:rPr>
          <w:spacing w:val="-2"/>
          <w:rtl/>
          <w:lang w:bidi="ar"/>
        </w:rPr>
        <w:t>. وقد تزيد معدلات البيانات في المستقبل. وتتوفر مجموعة من المطاريف،</w:t>
      </w:r>
      <w:r>
        <w:rPr>
          <w:rtl/>
          <w:lang w:bidi="ar"/>
        </w:rPr>
        <w:t xml:space="preserve"> </w:t>
      </w:r>
      <w:r>
        <w:rPr>
          <w:spacing w:val="-2"/>
          <w:rtl/>
          <w:lang w:bidi="ar"/>
        </w:rPr>
        <w:t>بما في ذلك المطاريف المزودة بهوائيات تتبع المعدة للاستخدام على متن السفن والطائرات، والمطاريف الصغيرة المحمولة</w:t>
      </w:r>
      <w:r>
        <w:rPr>
          <w:rtl/>
          <w:lang w:bidi="ar"/>
        </w:rPr>
        <w:t xml:space="preserve"> باليد</w:t>
      </w:r>
      <w:r>
        <w:rPr>
          <w:spacing w:val="-8"/>
          <w:rtl/>
          <w:lang w:bidi="ar"/>
        </w:rPr>
        <w:t xml:space="preserve"> والقابلة للنقل.</w:t>
      </w:r>
    </w:p>
    <w:p w:rsidR="00111C25" w:rsidRDefault="00111C25" w:rsidP="00111C25">
      <w:pPr>
        <w:rPr>
          <w:rtl/>
          <w:lang w:bidi="ar"/>
        </w:rPr>
      </w:pPr>
      <w:r>
        <w:rPr>
          <w:rtl/>
          <w:lang w:bidi="ar"/>
        </w:rPr>
        <w:t xml:space="preserve">وتستخدم بعض من الخدمات المقدمة حالياً سطوح بينية راديوية تندرج في عداد عائلة المكونات الساتلية للاتصالات المتنقلة الدولية – </w:t>
      </w:r>
      <w:r>
        <w:rPr>
          <w:lang w:bidi="ar"/>
        </w:rPr>
        <w:t>2000</w:t>
      </w:r>
      <w:r>
        <w:rPr>
          <w:rtl/>
          <w:lang w:bidi="ar"/>
        </w:rPr>
        <w:t xml:space="preserve"> التي يرد وصفها في التوصية </w:t>
      </w:r>
      <w:r>
        <w:rPr>
          <w:lang w:bidi="ar"/>
        </w:rPr>
        <w:t>ITU-R M.1850</w:t>
      </w:r>
      <w:r>
        <w:rPr>
          <w:rtl/>
          <w:lang w:bidi="ar"/>
        </w:rPr>
        <w:t>.</w:t>
      </w:r>
    </w:p>
    <w:p w:rsidR="00111C25" w:rsidRDefault="00111C25" w:rsidP="00111C25">
      <w:pPr>
        <w:pStyle w:val="Heading4"/>
        <w:rPr>
          <w:rtl/>
        </w:rPr>
      </w:pPr>
      <w:r>
        <w:t>2.3.5.3</w:t>
      </w:r>
      <w:r>
        <w:rPr>
          <w:rtl/>
        </w:rPr>
        <w:tab/>
        <w:t xml:space="preserve">المدار غير المستقر بالنسبة إلى الأرض </w:t>
      </w:r>
      <w:r>
        <w:t>(NGSO)</w:t>
      </w:r>
    </w:p>
    <w:p w:rsidR="00111C25" w:rsidRDefault="00111C25" w:rsidP="00801459">
      <w:pPr>
        <w:rPr>
          <w:lang w:bidi="ar"/>
        </w:rPr>
      </w:pPr>
      <w:r>
        <w:rPr>
          <w:rtl/>
          <w:lang w:bidi="ar"/>
        </w:rPr>
        <w:t xml:space="preserve">إن الأنظمة الساتلية التي تستخدم المدارات الساتلية غير المستقرة بالنسبة إلى الأرض </w:t>
      </w:r>
      <w:r>
        <w:rPr>
          <w:lang w:bidi="ar"/>
        </w:rPr>
        <w:t>(NGSO)</w:t>
      </w:r>
      <w:r>
        <w:rPr>
          <w:rtl/>
          <w:lang w:bidi="ar"/>
        </w:rPr>
        <w:t xml:space="preserve"> عادة ما تقع في مدار ارتفاعه أقل من ارتفاع السواتل المستقرة بالنسبة إلى الأرض </w:t>
      </w:r>
      <w:r>
        <w:rPr>
          <w:lang w:bidi="ar"/>
        </w:rPr>
        <w:t>(GSO)</w:t>
      </w:r>
      <w:r>
        <w:rPr>
          <w:rtl/>
          <w:lang w:bidi="ar"/>
        </w:rPr>
        <w:t xml:space="preserve"> التي تعمل على ارتفاع يناهز </w:t>
      </w:r>
      <w:r>
        <w:rPr>
          <w:lang w:bidi="ar"/>
        </w:rPr>
        <w:t>km 36 000</w:t>
      </w:r>
      <w:r>
        <w:rPr>
          <w:rtl/>
          <w:lang w:bidi="ar"/>
        </w:rPr>
        <w:t xml:space="preserve">. ويستخدم أحد أنماط النظام الساتلي غير المستقر بالنسبة إلى الأرض المدار الأرضي المتوسط </w:t>
      </w:r>
      <w:r>
        <w:rPr>
          <w:lang w:bidi="ar"/>
        </w:rPr>
        <w:t>("MEO")</w:t>
      </w:r>
      <w:r>
        <w:rPr>
          <w:rtl/>
          <w:lang w:bidi="ar"/>
        </w:rPr>
        <w:t xml:space="preserve"> الذي يتبع مدارات دائرية حول خط الاستواء. ويعمل نظام ساتلي آخر غير مستقر بالنسبة إلى الأرض في المدارات الأرضية المنخفضة </w:t>
      </w:r>
      <w:r>
        <w:rPr>
          <w:lang w:bidi="ar"/>
        </w:rPr>
        <w:t>(LEO)</w:t>
      </w:r>
      <w:r>
        <w:rPr>
          <w:rtl/>
          <w:lang w:bidi="ar"/>
        </w:rPr>
        <w:t xml:space="preserve"> التي تدور أحياناً في مدارات دائرية ولكن مائلة توفر تغطية أفضل لخطوط العرض الأعلى، مثل البلدان الاسكندنافية. فيما تستخدم أنظمة أخرى في المدار الأرضي المتوسط مدارات إهليلجية هي الأقرب إلى الأرض في إحدى نقاط مدارها والأبعد عن الأرض في النقطة المقابلة.</w:t>
      </w:r>
    </w:p>
    <w:p w:rsidR="00111C25" w:rsidRDefault="00111C25" w:rsidP="00FF4CBD">
      <w:pPr>
        <w:pStyle w:val="Heading4"/>
        <w:rPr>
          <w:rtl/>
          <w:lang w:bidi="ar-EG"/>
        </w:rPr>
      </w:pPr>
      <w:r>
        <w:rPr>
          <w:rtl/>
          <w:lang w:bidi="ar-EG"/>
        </w:rPr>
        <w:lastRenderedPageBreak/>
        <w:t xml:space="preserve">تصميم الساتل في المدار الأرضي المتوسط </w:t>
      </w:r>
      <w:r>
        <w:rPr>
          <w:lang w:bidi="ar-EG"/>
        </w:rPr>
        <w:t>(MEO)</w:t>
      </w:r>
      <w:r>
        <w:rPr>
          <w:rtl/>
          <w:lang w:bidi="ar-EG"/>
        </w:rPr>
        <w:t xml:space="preserve"> يوفر عدة مزايا رئيسية:</w:t>
      </w:r>
    </w:p>
    <w:p w:rsidR="00111C25" w:rsidRDefault="00111C25" w:rsidP="00FF4CBD">
      <w:pPr>
        <w:keepNext/>
        <w:rPr>
          <w:rtl/>
          <w:lang w:bidi="ar"/>
        </w:rPr>
      </w:pPr>
      <w:r>
        <w:rPr>
          <w:rtl/>
          <w:lang w:bidi="ar"/>
        </w:rPr>
        <w:t xml:space="preserve">نسبة تيسر مرتفعة: لا تتوفر الألياف دوماً، وخاصة للأمم غير المطلة على البحار وللمناطق الريفية والنائية في البلاد. وبالإضافة إلى ذلك، قد لا تكتمل تغطية السواتل المستقرة بالنسبة إلى الأرض </w:t>
      </w:r>
      <w:r>
        <w:rPr>
          <w:lang w:bidi="ar"/>
        </w:rPr>
        <w:t>(GSO)</w:t>
      </w:r>
      <w:r>
        <w:rPr>
          <w:rtl/>
          <w:lang w:bidi="ar"/>
        </w:rPr>
        <w:t xml:space="preserve"> فوق بعض البلدان أو المناطق (مثل الدول الجزرية في المحيط الهادئ).</w:t>
      </w:r>
    </w:p>
    <w:p w:rsidR="00111C25" w:rsidRDefault="00111C25" w:rsidP="00111C25">
      <w:pPr>
        <w:pStyle w:val="Enumlevel1"/>
        <w:rPr>
          <w:rtl/>
          <w:lang w:bidi="ar"/>
        </w:rPr>
      </w:pPr>
      <w:r>
        <w:rPr>
          <w:rtl/>
        </w:rPr>
        <w:t>-</w:t>
      </w:r>
      <w:r>
        <w:tab/>
      </w:r>
      <w:r>
        <w:rPr>
          <w:rtl/>
        </w:rPr>
        <w:t xml:space="preserve">تكلفة ميسورة: يمكن لتصميم الساتل في المدار الأرضي المتوسط أن يخلق وفورات كبيرة مقارنة بسعة تصميمه في المدار المستقر بالنسبة إلى الأرض </w:t>
      </w:r>
      <w:r>
        <w:t>(</w:t>
      </w:r>
      <w:r>
        <w:rPr>
          <w:lang w:bidi="ar"/>
        </w:rPr>
        <w:t>GSO</w:t>
      </w:r>
      <w:r>
        <w:t>)</w:t>
      </w:r>
      <w:r>
        <w:rPr>
          <w:rtl/>
        </w:rPr>
        <w:t xml:space="preserve"> أو ببناء وصيانة آلاف الكيلومترات من البنية التحتية من الألياف البصرية أو المئات من الأبراج الراديوية لتوصيل المدن والبلدات بينياً. وستتمكن المناطق الريفية، مع العديد من المدن الصغيرة إلى المتوسطة الحجم، من الحصول على الكمون المنخفض وتوصيلية إنترنت بمعدل مرتفع وبالنذر اليسير من النفقات الرأسمالية ما قبل الشروع في الخدمة.</w:t>
      </w:r>
    </w:p>
    <w:p w:rsidR="00111C25" w:rsidRDefault="00111C25" w:rsidP="00111C25">
      <w:pPr>
        <w:pStyle w:val="Enumlevel1"/>
        <w:rPr>
          <w:rtl/>
          <w:lang w:bidi="ar"/>
        </w:rPr>
      </w:pPr>
      <w:r>
        <w:rPr>
          <w:rtl/>
        </w:rPr>
        <w:t>-</w:t>
      </w:r>
      <w:r>
        <w:tab/>
      </w:r>
      <w:r>
        <w:rPr>
          <w:rtl/>
          <w:lang w:bidi="ar"/>
        </w:rPr>
        <w:t xml:space="preserve">صبيب عال: يقاس الصبيب في تدفق الحالة المستمرة للميغابتات في الثانية </w:t>
      </w:r>
      <w:r>
        <w:rPr>
          <w:lang w:bidi="ar"/>
        </w:rPr>
        <w:t>(Mbps)</w:t>
      </w:r>
      <w:r>
        <w:rPr>
          <w:rtl/>
          <w:lang w:bidi="ar"/>
        </w:rPr>
        <w:t xml:space="preserve"> وهو مهم لتحميل الملفات الكبيرة، أو مشاهدة الفيديو، أو غير ذلك من الاستخدامات المكثفة لعرض النطاق. وتوفر الأنظمة التي تستخدم المدارات غير المستقرة بالنسبة إلى الأرض </w:t>
      </w:r>
      <w:r>
        <w:rPr>
          <w:lang w:bidi="ar"/>
        </w:rPr>
        <w:t>(NGSO)</w:t>
      </w:r>
      <w:r>
        <w:rPr>
          <w:rtl/>
          <w:lang w:bidi="ar"/>
        </w:rPr>
        <w:t xml:space="preserve"> عرض نطاق استيعابي وحزم موضعية يمكن توجيهها إلى أي مكان أمام الألياف البصرية وتحريكها مع تغير التركيبة السكانية أو وفق متطلبات السوق، على نحو يوفر مرونة إضافية لدى البدء بتنفيذ خدمات النطاق العريض والخدمات الصوتية المتنقلة على الصعيد الوطني.</w:t>
      </w:r>
    </w:p>
    <w:p w:rsidR="00111C25" w:rsidRDefault="00111C25" w:rsidP="00111C25">
      <w:pPr>
        <w:pStyle w:val="Enumlevel1"/>
        <w:rPr>
          <w:rtl/>
          <w:lang w:bidi="ar"/>
        </w:rPr>
      </w:pPr>
      <w:r>
        <w:rPr>
          <w:rtl/>
        </w:rPr>
        <w:t>-</w:t>
      </w:r>
      <w:r>
        <w:tab/>
      </w:r>
      <w:r>
        <w:rPr>
          <w:rtl/>
        </w:rPr>
        <w:t xml:space="preserve">كمون منخفض: الكمون هو الوقت الذي تستغرقه كل رزمة ذهاباً وإياباً ما بين الحاسوب والمخدم. ويملي الكمون مدى سرعة تحميل صفحات الويب ومدى تعاونية وظيفة تطبيقات الإنترنت. ومقارنة مع السواتل المستقرة بالنسبة إلى الأرض </w:t>
      </w:r>
      <w:r>
        <w:t>(</w:t>
      </w:r>
      <w:r>
        <w:rPr>
          <w:lang w:bidi="ar"/>
        </w:rPr>
        <w:t>GSO</w:t>
      </w:r>
      <w:r>
        <w:t>)</w:t>
      </w:r>
      <w:r>
        <w:rPr>
          <w:rtl/>
        </w:rPr>
        <w:t xml:space="preserve"> التي يقارب كمونها </w:t>
      </w:r>
      <w:r>
        <w:t>600</w:t>
      </w:r>
      <w:r>
        <w:noBreakHyphen/>
        <w:t>500</w:t>
      </w:r>
      <w:r>
        <w:rPr>
          <w:rtl/>
        </w:rPr>
        <w:t xml:space="preserve"> </w:t>
      </w:r>
      <w:r>
        <w:rPr>
          <w:lang w:bidi="ar"/>
        </w:rPr>
        <w:t>ms</w:t>
      </w:r>
      <w:r>
        <w:rPr>
          <w:rtl/>
        </w:rPr>
        <w:t xml:space="preserve">، يمكّن ارتفاع المدار الأرضي المتوسط </w:t>
      </w:r>
      <w:r>
        <w:t>(</w:t>
      </w:r>
      <w:r>
        <w:rPr>
          <w:lang w:bidi="ar"/>
        </w:rPr>
        <w:t>MEO</w:t>
      </w:r>
      <w:r>
        <w:t>)</w:t>
      </w:r>
      <w:r>
        <w:rPr>
          <w:rtl/>
        </w:rPr>
        <w:t xml:space="preserve">، البالغ </w:t>
      </w:r>
      <w:r>
        <w:t>km 8 000</w:t>
      </w:r>
      <w:r>
        <w:rPr>
          <w:rtl/>
        </w:rPr>
        <w:t xml:space="preserve"> مثلاً، كمونات تقل عن </w:t>
      </w:r>
      <w:r>
        <w:t>150</w:t>
      </w:r>
      <w:r>
        <w:rPr>
          <w:rtl/>
        </w:rPr>
        <w:t xml:space="preserve"> </w:t>
      </w:r>
      <w:r>
        <w:rPr>
          <w:lang w:bidi="ar"/>
        </w:rPr>
        <w:t>ms</w:t>
      </w:r>
      <w:r>
        <w:rPr>
          <w:rtl/>
        </w:rPr>
        <w:t xml:space="preserve"> ذهاباً وإياباً بين العميل والبوابة؛ وهي قيمة قريبة جداً من تلك التي تصادَف في شبكة محض أرضية قائمة على الألياف البصرية، وقيمة حاسمة لتوفير التطبيقات التفاعلية في الوقت الفعلي. وعلاوة على ذلك، يقدم هذا الكمون المنخفض في المدار الأرضي المتوسط اتصالات صوتية عالية الجودة وحلاً جيداً جداً للوصلات الوسيطة، لأن الوصلات الوسيطة الخلوية تتكون اليوم أساساً من حركة الاتصالات الصوتية. فإذا أريدَ للبنية التحتية الرقمية أن تكون محركاً اقتصادياً حقيقياً في المستقبل، يجب أن يأخذ مشغلو الشبكات بعين الاعتبار الكمون المنخفض بالإضافة إلى الصبيب العالي، كمحرك رئيسي في نجاح تنفيذ شبكة النطاق العريض.</w:t>
      </w:r>
    </w:p>
    <w:p w:rsidR="00111C25" w:rsidRDefault="00111C25" w:rsidP="00111C25">
      <w:pPr>
        <w:pStyle w:val="Enumlevel1"/>
        <w:rPr>
          <w:rtl/>
          <w:lang w:bidi="ar-EG"/>
        </w:rPr>
      </w:pPr>
      <w:r>
        <w:rPr>
          <w:rtl/>
        </w:rPr>
        <w:t>-</w:t>
      </w:r>
      <w:r>
        <w:tab/>
      </w:r>
      <w:r>
        <w:rPr>
          <w:rtl/>
        </w:rPr>
        <w:t xml:space="preserve">فوائد جمة للعموم: فيما ينظر مشغلو الاتصالات والخدمات المتنقلة في كيفية تهيئة شبكاتهم للوفاء بالتزاماتهم الخدمية في المناطق الريفية والنائية من بلدانهم، تقيِّم الحكومات أيضاً دورها في تسريع نشر تكنولوجيا النطاق العريض لتصل إلى الفئات الأحوج من سكانها. وتزود مرونة حزمة الساتل الواقع في المدار الأرضي المتوسط </w:t>
      </w:r>
      <w:r>
        <w:t>(</w:t>
      </w:r>
      <w:r>
        <w:rPr>
          <w:lang w:bidi="ar"/>
        </w:rPr>
        <w:t>MEO</w:t>
      </w:r>
      <w:r>
        <w:t>)</w:t>
      </w:r>
      <w:r>
        <w:rPr>
          <w:rtl/>
        </w:rPr>
        <w:t xml:space="preserve"> الحكومات بأداة هامة لإنجاز خططها الوطنية بشأن النطاق العريض ضمن الأطر الزمنية الطموحة التي أعلنت العديد منها عنها. وبالإضافة إلى ذلك، يمكن لسعة ساتل في المدار الأرضي المتوسط أن تقوم بمقام وصلة اتصالات وسيطة عالية السرعة سهلة النشر في إطار جهود استعادة القدرة على العمل بعد الكوارث، وأن توفر سعة رديفة لكبلات الألياف البصرية الممتدة لمسافات طويلة (سواء داخل البلد أو في الكبلات البحرية التي تخدم البلد).</w:t>
      </w:r>
    </w:p>
    <w:p w:rsidR="00111C25" w:rsidRDefault="00111C25" w:rsidP="00111C25">
      <w:pPr>
        <w:rPr>
          <w:spacing w:val="-2"/>
          <w:rtl/>
        </w:rPr>
      </w:pPr>
      <w:r>
        <w:rPr>
          <w:spacing w:val="-2"/>
          <w:rtl/>
        </w:rPr>
        <w:t>ويتيح العالم الموصول مستويات جديدة من التفاهم، وتبادل الأفكار، ويؤثر تأثيراً واضحاً على النمو الاقتصادي، وتطور المعرفة، وكفاءة الحكومة. بيد أن هذا العالم الموصول يتطلب بنية تحتية للاتصالات تتسم بالحداثة والمرونة.</w:t>
      </w:r>
    </w:p>
    <w:p w:rsidR="00111C25" w:rsidRDefault="00111C25" w:rsidP="00FF4CBD">
      <w:pPr>
        <w:pStyle w:val="Heading4"/>
        <w:rPr>
          <w:rtl/>
          <w:lang w:bidi="ar-EG"/>
        </w:rPr>
      </w:pPr>
      <w:r>
        <w:rPr>
          <w:rtl/>
          <w:lang w:bidi="ar-EG"/>
        </w:rPr>
        <w:t>وسائط الإرسال متوسط المدى</w:t>
      </w:r>
    </w:p>
    <w:p w:rsidR="00111C25" w:rsidRDefault="00111C25" w:rsidP="00111C25">
      <w:pPr>
        <w:rPr>
          <w:rtl/>
          <w:lang w:bidi="ar-EG"/>
        </w:rPr>
      </w:pPr>
      <w:r>
        <w:rPr>
          <w:rtl/>
        </w:rPr>
        <w:t xml:space="preserve">تُعتبر الأنظمة الساتلية في "المدار الأرضي المتوسط" </w:t>
      </w:r>
      <w:r>
        <w:t>(</w:t>
      </w:r>
      <w:r>
        <w:rPr>
          <w:lang w:bidi="ar"/>
        </w:rPr>
        <w:t>MEO</w:t>
      </w:r>
      <w:r>
        <w:t>)</w:t>
      </w:r>
      <w:r>
        <w:rPr>
          <w:rtl/>
        </w:rPr>
        <w:t xml:space="preserve"> </w:t>
      </w:r>
      <w:r>
        <w:rPr>
          <w:rFonts w:hint="cs"/>
          <w:rtl/>
        </w:rPr>
        <w:t>مثالية لتوفير سعة القطاع الواصل بين شبكة المشغل الأساسية ومنشأة الشبكة المحلية وسعة الوصلات الوسيطة لمشغلي الاتصالات ومشغلي الخدمة المتنقلة ومقدمي خدمات الإنترنت والشركات الكبيرة والوكالات الحكومية على الصعيد الوطني. ونظراً لأن النظام الساتلي في المدار الأرضي المتوسط أقرب كثيراً إلى الأرض من الساتل المستقر بالنسبة إلى الأرض، يكون الكمون أقل كثيراً في إشاراته، وهو أمر ضروري لأنواع عديدة من الخدمات القائمة على بروتوكول الإنترنت والنطاق العريض اليوم.</w:t>
      </w:r>
    </w:p>
    <w:p w:rsidR="00111C25" w:rsidRDefault="00111C25" w:rsidP="00111C25">
      <w:pPr>
        <w:rPr>
          <w:rtl/>
        </w:rPr>
      </w:pPr>
      <w:r>
        <w:rPr>
          <w:rtl/>
        </w:rPr>
        <w:lastRenderedPageBreak/>
        <w:t xml:space="preserve">وبالجمع بين الكمون المنخفض ورحابة النطاق العريض والصبيب العالي، يمكن للنظام الساتلي في المدار الأرضي المتوسط أن يكون بمثابة القطاع الواصل بين شبكة المشغل الأساسية ومنشأة الشبكة المحلية الذي تشتد الحاجة إليه في المناطق النائية والريفية حيث التكنولوجيات الأرضية التقليدية أو الساتلية المستقرة بالنسبة إلى الأرض لم توفر، أو عجزت عن توفير، سعة النطاق العريض اللازمة. </w:t>
      </w:r>
    </w:p>
    <w:p w:rsidR="00111C25" w:rsidRDefault="00111C25" w:rsidP="00111C25">
      <w:pPr>
        <w:pStyle w:val="Heading3"/>
        <w:rPr>
          <w:rtl/>
        </w:rPr>
      </w:pPr>
      <w:bookmarkStart w:id="107" w:name="_Toc372276143"/>
      <w:bookmarkStart w:id="108" w:name="_Toc380496736"/>
      <w:r>
        <w:t>4.5.3</w:t>
      </w:r>
      <w:r>
        <w:rPr>
          <w:rtl/>
        </w:rPr>
        <w:tab/>
        <w:t>خيارات واعتبارات النظام والنشر</w:t>
      </w:r>
      <w:bookmarkEnd w:id="107"/>
      <w:bookmarkEnd w:id="108"/>
    </w:p>
    <w:p w:rsidR="00111C25" w:rsidRDefault="00111C25" w:rsidP="00111C25">
      <w:pPr>
        <w:rPr>
          <w:rtl/>
        </w:rPr>
      </w:pPr>
      <w:r>
        <w:rPr>
          <w:rtl/>
        </w:rPr>
        <w:t>خلال السنوات القليلة الماضية، أدت السواتل دوراً أساسياً في تقديم خدمات النطاق العريض للمستخدمين القاطنين في مناطق يتعذر على البنية التحتية الأرضية، مثل أنواع الخط الرقمي للمشترك أو الكبلات، الوصول إليها، وهي تقدم طبقة رديفة للوصلات الأرضية في حال وقوع كارثة أو تعطل آخر.</w:t>
      </w:r>
    </w:p>
    <w:p w:rsidR="00111C25" w:rsidRDefault="00111C25" w:rsidP="00111C25">
      <w:pPr>
        <w:pStyle w:val="Heading4"/>
        <w:rPr>
          <w:rtl/>
        </w:rPr>
      </w:pPr>
      <w:r>
        <w:t>1.4.5.3</w:t>
      </w:r>
      <w:r>
        <w:rPr>
          <w:rtl/>
        </w:rPr>
        <w:tab/>
        <w:t xml:space="preserve">المطراف ذو الفتحة الصغيرة جداً </w:t>
      </w:r>
      <w:r>
        <w:t>(VSAT)</w:t>
      </w:r>
    </w:p>
    <w:p w:rsidR="00111C25" w:rsidRPr="00801459" w:rsidRDefault="00111C25" w:rsidP="00111C25">
      <w:pPr>
        <w:rPr>
          <w:spacing w:val="-2"/>
          <w:rtl/>
        </w:rPr>
      </w:pPr>
      <w:r w:rsidRPr="00801459">
        <w:rPr>
          <w:spacing w:val="-2"/>
          <w:rtl/>
        </w:rPr>
        <w:t xml:space="preserve">تشهد البلدان في جميع أنحاء العالم النامي نمواً هائلاً في نشر مطاريف </w:t>
      </w:r>
      <w:r w:rsidRPr="00801459">
        <w:rPr>
          <w:spacing w:val="-2"/>
          <w:lang w:bidi="ar"/>
        </w:rPr>
        <w:t>VSAT</w:t>
      </w:r>
      <w:r w:rsidRPr="00801459">
        <w:rPr>
          <w:spacing w:val="-2"/>
          <w:rtl/>
        </w:rPr>
        <w:t xml:space="preserve">، على وقع تزايد مبادرات الحكومة الإلكترونية وشبكات الشركات والطلب الريفي على النطاق العريض والتلفزيون والهاتف المتنقل وخدمات النطاق العريض المتنقلة. وأصبحت شبكات </w:t>
      </w:r>
      <w:r w:rsidRPr="00801459">
        <w:rPr>
          <w:spacing w:val="-2"/>
          <w:lang w:bidi="ar"/>
        </w:rPr>
        <w:t>VSAT</w:t>
      </w:r>
      <w:r w:rsidRPr="00801459">
        <w:rPr>
          <w:spacing w:val="-2"/>
          <w:rtl/>
        </w:rPr>
        <w:t xml:space="preserve"> </w:t>
      </w:r>
      <w:r w:rsidRPr="00801459">
        <w:rPr>
          <w:rFonts w:hint="cs"/>
          <w:spacing w:val="-2"/>
          <w:rtl/>
        </w:rPr>
        <w:t>العائدة للشركات أو المنظمات حيوية على نحو متزايد، إذ تعتمد الشركات وقواها العاملة الحضرية والريفية على توصيلية موثوقة واستيعابية في كل شيء من البريد الإلكتروني حتى النفاذ إلى الإنترنت وإلى الشبكة الداخلية. وتتسم هذه الشبكات بأهمية بالغة أيضاً في توفير التوصيلية الرديفة أو الاحتياطية للشبكات الحرجة في حال وقوع كارثة أو تعطل آخر.</w:t>
      </w:r>
    </w:p>
    <w:p w:rsidR="00111C25" w:rsidRDefault="00111C25" w:rsidP="00111C25">
      <w:pPr>
        <w:rPr>
          <w:rtl/>
        </w:rPr>
      </w:pPr>
      <w:r>
        <w:rPr>
          <w:rtl/>
        </w:rPr>
        <w:t>وعلاوة على ذلك، صار النطاق العريض الساتلي المباشر إلى المنازل خياراً خدمياً متنامياً في البلدان النامية. فمقدمو الخدمة الباحثون عن حلول بديلة للنفاذ إلى الإنترنت من الأماكن الريفية والنائية وجدوا ضالتهم في النطاق العريض الساتلي - كحل مُثْبت وسهل التنفيذ.</w:t>
      </w:r>
    </w:p>
    <w:p w:rsidR="00111C25" w:rsidRDefault="00111C25" w:rsidP="00111C25">
      <w:pPr>
        <w:pStyle w:val="Heading4"/>
        <w:rPr>
          <w:rtl/>
        </w:rPr>
      </w:pPr>
      <w:r>
        <w:t>2.4.5.3</w:t>
      </w:r>
      <w:r>
        <w:rPr>
          <w:rtl/>
        </w:rPr>
        <w:tab/>
        <w:t>نقاط النفاذ المجتمعية</w:t>
      </w:r>
    </w:p>
    <w:p w:rsidR="00111C25" w:rsidRDefault="00111C25" w:rsidP="00111C25">
      <w:pPr>
        <w:keepNext/>
        <w:keepLines/>
      </w:pPr>
      <w:r>
        <w:rPr>
          <w:spacing w:val="-4"/>
          <w:rtl/>
        </w:rPr>
        <w:t xml:space="preserve">يقدم الجمع بين </w:t>
      </w:r>
      <w:r>
        <w:rPr>
          <w:spacing w:val="-4"/>
          <w:lang w:bidi="ar"/>
        </w:rPr>
        <w:t>VSAT</w:t>
      </w:r>
      <w:r>
        <w:rPr>
          <w:spacing w:val="-4"/>
          <w:rtl/>
        </w:rPr>
        <w:t xml:space="preserve"> واللاسلكي حلاً فعالاً للعديد من التطبيقات الريفية. فكثيراً ما يتجمع سكان الريف في القرى أو في أكنافها،</w:t>
      </w:r>
      <w:r>
        <w:rPr>
          <w:rtl/>
        </w:rPr>
        <w:t xml:space="preserve"> وجلُّهم على مبعدة كيلومتر واحد إلى </w:t>
      </w:r>
      <w:r>
        <w:t>5</w:t>
      </w:r>
      <w:r>
        <w:rPr>
          <w:rtl/>
        </w:rPr>
        <w:t xml:space="preserve"> كيلومترات فيما بينهم. ويمكن لمطراف </w:t>
      </w:r>
      <w:r>
        <w:rPr>
          <w:lang w:bidi="ar"/>
        </w:rPr>
        <w:t>VSAT</w:t>
      </w:r>
      <w:r>
        <w:rPr>
          <w:rtl/>
        </w:rPr>
        <w:t xml:space="preserve"> واحد أن يقدم الخدمة لقرية بأكملها باستخدام حل العروة المحلية اللاسلكية لتوصيلية المرحلة الأخيرة من تسليم الخدمة. وللاسلكي ميزة إضافية تتمثل في عبوره الأنهار أو غيرها من العوائق وفي إتاحته توصيلاً أكثر موثوقية إن وُجدت مشكلة سرقة الكبلات.</w:t>
      </w:r>
    </w:p>
    <w:p w:rsidR="00111C25" w:rsidRDefault="00111C25" w:rsidP="00111C25">
      <w:pPr>
        <w:rPr>
          <w:rtl/>
        </w:rPr>
      </w:pPr>
      <w:r>
        <w:rPr>
          <w:rtl/>
        </w:rPr>
        <w:t xml:space="preserve">وينطوي أحد الحلول الممكنة على نظام متكامل يضم مطراف </w:t>
      </w:r>
      <w:r>
        <w:rPr>
          <w:lang w:bidi="ar"/>
        </w:rPr>
        <w:t>VSAT</w:t>
      </w:r>
      <w:r>
        <w:rPr>
          <w:rtl/>
        </w:rPr>
        <w:t xml:space="preserve"> ومحطة قاعدة العروة المحلية اللاسلكية ونظام طاقة شمسية، ويُنصب هذا النظام المتكامل كله على عمود ارتفاعه </w:t>
      </w:r>
      <w:r>
        <w:t>10</w:t>
      </w:r>
      <w:r>
        <w:rPr>
          <w:rtl/>
        </w:rPr>
        <w:t xml:space="preserve"> أمتار. ويسهل تركيب مثل هذا الحل الذي يساعد على تخطي عوائق المباني ويغني عن الانشغال بضمان مصدر الطاقة وهو آمن جداً.</w:t>
      </w:r>
    </w:p>
    <w:p w:rsidR="00111C25" w:rsidRDefault="00111C25" w:rsidP="00111C25">
      <w:pPr>
        <w:rPr>
          <w:rtl/>
        </w:rPr>
      </w:pPr>
      <w:r>
        <w:rPr>
          <w:rtl/>
        </w:rPr>
        <w:t xml:space="preserve">ويمكن لعدة مستخدمين الجمع بين توصيل </w:t>
      </w:r>
      <w:r>
        <w:rPr>
          <w:lang w:bidi="ar"/>
        </w:rPr>
        <w:t>VSAT</w:t>
      </w:r>
      <w:r>
        <w:rPr>
          <w:rtl/>
        </w:rPr>
        <w:t xml:space="preserve"> </w:t>
      </w:r>
      <w:r>
        <w:rPr>
          <w:rFonts w:hint="cs"/>
          <w:rtl/>
        </w:rPr>
        <w:t xml:space="preserve">الساتلي إلى شبكة الإنترنت وبين تقنية واي فاي </w:t>
      </w:r>
      <w:r>
        <w:t>(</w:t>
      </w:r>
      <w:r>
        <w:rPr>
          <w:lang w:bidi="ar"/>
        </w:rPr>
        <w:t>WiFi</w:t>
      </w:r>
      <w:r>
        <w:t>)</w:t>
      </w:r>
      <w:r>
        <w:rPr>
          <w:rtl/>
        </w:rPr>
        <w:t xml:space="preserve"> </w:t>
      </w:r>
      <w:r>
        <w:rPr>
          <w:rFonts w:hint="cs"/>
          <w:rtl/>
        </w:rPr>
        <w:t>للنفاذ المحلي من أجل خفض التكاليف التي يتكبدها كل مشترك، طبقاً لما يتطلبه السوق، ولا سيما في المناطق الريفية والنائية. وإذ يجلب التوصيل الساتلي تدفق الإنترنت إلى القرية، تمد نقاط النفاذ بتقنية واي فاي تلك التوصيلية إلى المنازل، والمدارس والمباني العامة. ويمكن للمستخدمين تقاسم تكاليف المعدات والتوصيل على السواء من خلال اشتراك أو غيره من خطط السداد المشترك.</w:t>
      </w:r>
    </w:p>
    <w:p w:rsidR="00111C25" w:rsidRDefault="00111C25" w:rsidP="00111C25">
      <w:pPr>
        <w:keepNext/>
        <w:rPr>
          <w:rtl/>
        </w:rPr>
      </w:pPr>
      <w:r>
        <w:rPr>
          <w:rtl/>
        </w:rPr>
        <w:t>والعوامل الأساسية لخفض التكاليف هي التالية:</w:t>
      </w:r>
    </w:p>
    <w:p w:rsidR="00111C25" w:rsidRDefault="00111C25" w:rsidP="00111C25">
      <w:pPr>
        <w:pStyle w:val="Enumlevel1"/>
        <w:rPr>
          <w:rtl/>
        </w:rPr>
      </w:pPr>
      <w:r>
        <w:rPr>
          <w:lang w:bidi="ar"/>
        </w:rPr>
        <w:sym w:font="Symbol" w:char="F02D"/>
      </w:r>
      <w:r>
        <w:rPr>
          <w:rtl/>
          <w:lang w:bidi="ar"/>
        </w:rPr>
        <w:tab/>
        <w:t>استخدام معدات منخفضة التكلفة - فالمعدات المتاحة في الأسواق ذات المعايير المفتوحة (</w:t>
      </w:r>
      <w:r>
        <w:rPr>
          <w:lang w:bidi="ar"/>
        </w:rPr>
        <w:t>DSL</w:t>
      </w:r>
      <w:r>
        <w:rPr>
          <w:rtl/>
          <w:lang w:bidi="ar"/>
        </w:rPr>
        <w:t>/واي فاي/ مودم كبلي) تستفيد من الإنتاج بِالجُملَة. وتجميع المعدات الساتلية القائمة على المعايير العالمية المقبولة على نطاق واسع يقلل كثيراً من تكلفة المعدات.</w:t>
      </w:r>
    </w:p>
    <w:p w:rsidR="00111C25" w:rsidRDefault="00111C25" w:rsidP="00111C25">
      <w:pPr>
        <w:pStyle w:val="Enumlevel1"/>
        <w:rPr>
          <w:rtl/>
        </w:rPr>
      </w:pPr>
      <w:r>
        <w:rPr>
          <w:rtl/>
        </w:rPr>
        <w:t>-</w:t>
      </w:r>
      <w:r>
        <w:rPr>
          <w:rtl/>
        </w:rPr>
        <w:tab/>
      </w:r>
      <w:r>
        <w:rPr>
          <w:spacing w:val="-2"/>
          <w:rtl/>
        </w:rPr>
        <w:t>حشد أكبر عدد من المشتركين في كل بوابة – فزيادة عديد المشتركين تقلل من تكلفة المعدات على المشترك</w:t>
      </w:r>
      <w:r>
        <w:rPr>
          <w:rtl/>
        </w:rPr>
        <w:t xml:space="preserve"> الواحد. وإذ تتسع قاعدة المشتركين تزداد أيضاً كفاءة التشارك في توصيل واحد. وتتمثل القضية الأساسية في توسيع مدى معدات واي فاي العادية للسماح لمطراف </w:t>
      </w:r>
      <w:r>
        <w:rPr>
          <w:lang w:bidi="ar"/>
        </w:rPr>
        <w:t>VSAT</w:t>
      </w:r>
      <w:r>
        <w:rPr>
          <w:rtl/>
        </w:rPr>
        <w:t xml:space="preserve"> واحد بتخديم قرية بأكملها.</w:t>
      </w:r>
    </w:p>
    <w:p w:rsidR="00111C25" w:rsidRDefault="00111C25" w:rsidP="00111C25">
      <w:pPr>
        <w:rPr>
          <w:rtl/>
        </w:rPr>
      </w:pPr>
      <w:r>
        <w:rPr>
          <w:rtl/>
        </w:rPr>
        <w:lastRenderedPageBreak/>
        <w:t xml:space="preserve">وتدمج مثل هذه الحلول خدمة النطاق العريض الساتلي التفاعلية مع البنية التحتية القائمة لمرحلة الإيصال الأخيرة، مثل الخط النحاسي أو كبل التلفزيون أو شبكة لا سلكية. ويُنصب هوائي ساتلي مركزي واحد في نقطة التجميع – أي مقصورة الشارع في الحي، أو وحدة استقبال وتوزيع التلفزيون الكبلي، أو صاري واي فاي. ثم يورَّد توصيل النطاق العريض إلى المستخدمين النهائيين عبر البنية التحتية القائمة لمرحلة الإيصال الأخيرة أو النفاذ عبر تقنية واي فاي، على نحو يتيح لجميع الأسر النفاذ إلى الإنترنت بسرعة تصل إلى </w:t>
      </w:r>
      <w:r>
        <w:t>8</w:t>
      </w:r>
      <w:r>
        <w:rPr>
          <w:rtl/>
        </w:rPr>
        <w:t xml:space="preserve"> </w:t>
      </w:r>
      <w:r>
        <w:rPr>
          <w:lang w:bidi="ar"/>
        </w:rPr>
        <w:t>Mbit/s</w:t>
      </w:r>
      <w:r>
        <w:rPr>
          <w:rtl/>
        </w:rPr>
        <w:t xml:space="preserve">. ولا يتعين على المستخدمين النهائيين تركيب هوائي ساتلي في المنزل، بل مجرد دفع مستحقات توصيل الخط الرقمي للمشترك </w:t>
      </w:r>
      <w:r>
        <w:t>(</w:t>
      </w:r>
      <w:r>
        <w:rPr>
          <w:lang w:bidi="ar"/>
        </w:rPr>
        <w:t>DSL</w:t>
      </w:r>
      <w:r>
        <w:t>)</w:t>
      </w:r>
      <w:r>
        <w:rPr>
          <w:rtl/>
        </w:rPr>
        <w:t xml:space="preserve"> ومعدات النطاق العريض العادية.</w:t>
      </w:r>
    </w:p>
    <w:p w:rsidR="00111C25" w:rsidRDefault="00111C25" w:rsidP="00111C25">
      <w:pPr>
        <w:pStyle w:val="Heading4"/>
        <w:rPr>
          <w:rtl/>
        </w:rPr>
      </w:pPr>
      <w:r>
        <w:t>3.4.5.3</w:t>
      </w:r>
      <w:r>
        <w:rPr>
          <w:rtl/>
        </w:rPr>
        <w:tab/>
        <w:t>اعتبارات الطيف</w:t>
      </w:r>
    </w:p>
    <w:p w:rsidR="00111C25" w:rsidRDefault="00111C25" w:rsidP="00111C25">
      <w:r>
        <w:rPr>
          <w:rtl/>
        </w:rPr>
        <w:t>يمكن للنطاقات الترددية المستخدمة أن تؤثر على مقاس الصحن المطلوب وقدراته:</w:t>
      </w:r>
    </w:p>
    <w:p w:rsidR="00111C25" w:rsidRDefault="00111C25" w:rsidP="00111C25">
      <w:pPr>
        <w:pStyle w:val="Enumlevel1"/>
        <w:rPr>
          <w:rtl/>
        </w:rPr>
      </w:pPr>
      <w:r>
        <w:rPr>
          <w:rtl/>
        </w:rPr>
        <w:t>-</w:t>
      </w:r>
      <w:r>
        <w:rPr>
          <w:rtl/>
        </w:rPr>
        <w:tab/>
        <w:t xml:space="preserve">تستخدم أنظمة الخدمة المتنقلة الساتلية </w:t>
      </w:r>
      <w:r>
        <w:t>(</w:t>
      </w:r>
      <w:r>
        <w:rPr>
          <w:lang w:bidi="ar"/>
        </w:rPr>
        <w:t>MSS</w:t>
      </w:r>
      <w:r>
        <w:t>)</w:t>
      </w:r>
      <w:r>
        <w:rPr>
          <w:rtl/>
        </w:rPr>
        <w:t xml:space="preserve"> في المدارات المستقرة وغير المستقرة بالنسبة إلى الأرض النطاق </w:t>
      </w:r>
      <w:r>
        <w:rPr>
          <w:lang w:bidi="ar"/>
        </w:rPr>
        <w:t>L</w:t>
      </w:r>
      <w:r>
        <w:rPr>
          <w:rtl/>
          <w:lang w:bidi="ar"/>
        </w:rPr>
        <w:t> </w:t>
      </w:r>
      <w:r>
        <w:rPr>
          <w:lang w:bidi="ar"/>
        </w:rPr>
        <w:t>1,6/1,5)</w:t>
      </w:r>
      <w:r>
        <w:rPr>
          <w:rtl/>
          <w:lang w:bidi="ar"/>
        </w:rPr>
        <w:t> </w:t>
      </w:r>
      <w:r>
        <w:rPr>
          <w:lang w:bidi="ar"/>
        </w:rPr>
        <w:t>(GHz</w:t>
      </w:r>
      <w:r>
        <w:rPr>
          <w:rtl/>
        </w:rPr>
        <w:t xml:space="preserve">. وتُستخدم لأنظمة الخدمة المتنقلة الساتلية في المدارات المستقرة بالنسبة إلى الأرض الهوائيات الكبيرة (كتلك التي يبلغ قطرها </w:t>
      </w:r>
      <w:r>
        <w:t>20</w:t>
      </w:r>
      <w:r>
        <w:noBreakHyphen/>
        <w:t>10</w:t>
      </w:r>
      <w:r>
        <w:rPr>
          <w:rtl/>
        </w:rPr>
        <w:t xml:space="preserve"> متراً) على منصة ساتلية لتوفير عدد كبير من الحزم الموضعية الصغيرة على سطح الأرض. وهذا يسمح باستخدام المطاريف المتنقلة الصغيرة (بحجم الحاسوب المحمول مثلاً) لتوفير توصيلية النطاق العريض. ونظراً لمحدودية الطيف المتاح في هذا المدى، تكون معدلات البيانات محدودة (بنحو </w:t>
      </w:r>
      <w:r>
        <w:t>500</w:t>
      </w:r>
      <w:r>
        <w:rPr>
          <w:rtl/>
        </w:rPr>
        <w:t xml:space="preserve"> </w:t>
      </w:r>
      <w:r>
        <w:rPr>
          <w:lang w:bidi="ar"/>
        </w:rPr>
        <w:t>kbit/s</w:t>
      </w:r>
      <w:r>
        <w:rPr>
          <w:rtl/>
        </w:rPr>
        <w:t xml:space="preserve"> حالياً). وتكاد لا تتأثر ترددات النطاق </w:t>
      </w:r>
      <w:r>
        <w:rPr>
          <w:lang w:bidi="ar"/>
        </w:rPr>
        <w:t>L</w:t>
      </w:r>
      <w:r>
        <w:rPr>
          <w:rtl/>
        </w:rPr>
        <w:t xml:space="preserve"> بالتردي جراء الانتشار. وتشمل التطبيقات خدمة الإنترنت للعاملين عن بُعد، كأولئك العاملين في المناجم والعاملين في وكالة إغاثة والصحفيين.</w:t>
      </w:r>
    </w:p>
    <w:p w:rsidR="00111C25" w:rsidRDefault="00111C25" w:rsidP="00111C25">
      <w:pPr>
        <w:pStyle w:val="Enumlevel1"/>
        <w:rPr>
          <w:rtl/>
        </w:rPr>
      </w:pPr>
      <w:r>
        <w:rPr>
          <w:rtl/>
        </w:rPr>
        <w:t>-</w:t>
      </w:r>
      <w:r>
        <w:tab/>
      </w:r>
      <w:r>
        <w:rPr>
          <w:rtl/>
        </w:rPr>
        <w:t>يتطلب الإرسال في النطاق </w:t>
      </w:r>
      <w:r>
        <w:rPr>
          <w:lang w:bidi="ar"/>
        </w:rPr>
        <w:t>C</w:t>
      </w:r>
      <w:r>
        <w:rPr>
          <w:rtl/>
          <w:lang w:bidi="ar"/>
        </w:rPr>
        <w:t> </w:t>
      </w:r>
      <w:r>
        <w:rPr>
          <w:lang w:bidi="ar"/>
        </w:rPr>
        <w:t>4/6)</w:t>
      </w:r>
      <w:r>
        <w:rPr>
          <w:rtl/>
          <w:lang w:bidi="ar"/>
        </w:rPr>
        <w:t> </w:t>
      </w:r>
      <w:r>
        <w:rPr>
          <w:lang w:bidi="ar"/>
        </w:rPr>
        <w:t>(GHz</w:t>
      </w:r>
      <w:r>
        <w:rPr>
          <w:rtl/>
        </w:rPr>
        <w:t xml:space="preserve"> صحون أكبر بسبب طول الموجة الأطول للإرسال في هذا النطاق الترددي. والإرسال في النطاق </w:t>
      </w:r>
      <w:r>
        <w:rPr>
          <w:lang w:bidi="ar"/>
        </w:rPr>
        <w:t>C</w:t>
      </w:r>
      <w:r>
        <w:rPr>
          <w:rtl/>
        </w:rPr>
        <w:t xml:space="preserve"> أقل تأثراً بالخبو الناجم عن الأمطار والأحوال الجوية الأخرى مقارنة مع الترددات الأعلى بسبب خصائص الانتشار المؤاتية للغاية لهذا الطيف. وتشمل التطبيقات الوصلات الوسيطة للنظام العالمي للاتصالات المتنقلة </w:t>
      </w:r>
      <w:r>
        <w:t>(</w:t>
      </w:r>
      <w:r>
        <w:rPr>
          <w:lang w:bidi="ar"/>
        </w:rPr>
        <w:t>GSM</w:t>
      </w:r>
      <w:r>
        <w:t>)</w:t>
      </w:r>
      <w:r>
        <w:rPr>
          <w:rtl/>
        </w:rPr>
        <w:t xml:space="preserve"> والشبكات العمومية التبديلية وشبكات الشركات وإتاحة النفاذ إلى الإنترنت عبر البوابات المشتركة.</w:t>
      </w:r>
    </w:p>
    <w:p w:rsidR="00111C25" w:rsidRDefault="00111C25" w:rsidP="00111C25">
      <w:pPr>
        <w:pStyle w:val="Enumlevel1"/>
        <w:rPr>
          <w:rtl/>
        </w:rPr>
      </w:pPr>
      <w:r>
        <w:rPr>
          <w:rtl/>
        </w:rPr>
        <w:t>-</w:t>
      </w:r>
      <w:r>
        <w:tab/>
      </w:r>
      <w:r>
        <w:rPr>
          <w:rtl/>
        </w:rPr>
        <w:t>ويكون الطول الموجي في النطاق </w:t>
      </w:r>
      <w:r>
        <w:rPr>
          <w:lang w:bidi="ar"/>
        </w:rPr>
        <w:t>Ku</w:t>
      </w:r>
      <w:r>
        <w:rPr>
          <w:rtl/>
          <w:lang w:bidi="ar"/>
        </w:rPr>
        <w:t> </w:t>
      </w:r>
      <w:r>
        <w:rPr>
          <w:lang w:bidi="ar"/>
        </w:rPr>
        <w:t>14/12-11)</w:t>
      </w:r>
      <w:r>
        <w:rPr>
          <w:rtl/>
          <w:lang w:bidi="ar"/>
        </w:rPr>
        <w:t> </w:t>
      </w:r>
      <w:r>
        <w:rPr>
          <w:lang w:bidi="ar"/>
        </w:rPr>
        <w:t>(GHz</w:t>
      </w:r>
      <w:r>
        <w:rPr>
          <w:rtl/>
        </w:rPr>
        <w:t xml:space="preserve"> أقصر مما يسمح باستخدام صحون أصغر منها في النطاق </w:t>
      </w:r>
      <w:r>
        <w:rPr>
          <w:lang w:bidi="ar"/>
        </w:rPr>
        <w:t>C</w:t>
      </w:r>
      <w:r>
        <w:rPr>
          <w:rtl/>
        </w:rPr>
        <w:t xml:space="preserve">. غير أن الترددات الأعلى تجعل النطاق </w:t>
      </w:r>
      <w:r>
        <w:rPr>
          <w:lang w:bidi="ar"/>
        </w:rPr>
        <w:t>Ku</w:t>
      </w:r>
      <w:r>
        <w:rPr>
          <w:rtl/>
        </w:rPr>
        <w:t xml:space="preserve"> أكثر تأثراً بالظروف الجوية مثل الخبو الناجم عن الأمطار. وتشمل التطبيقات مطاريف </w:t>
      </w:r>
      <w:r>
        <w:rPr>
          <w:lang w:bidi="ar"/>
        </w:rPr>
        <w:t>VSAT</w:t>
      </w:r>
      <w:r>
        <w:rPr>
          <w:rtl/>
        </w:rPr>
        <w:t>، والمهاتفة والنطاق العريض في الأرياف، وجمع الأخبار بواسطة السواتل، والوصلات الوسيطة، ومؤتمرات الفيديو والوسائط المتعددة.</w:t>
      </w:r>
    </w:p>
    <w:p w:rsidR="00111C25" w:rsidRDefault="00111C25" w:rsidP="00111C25">
      <w:pPr>
        <w:pStyle w:val="Enumlevel1"/>
        <w:rPr>
          <w:rtl/>
        </w:rPr>
      </w:pPr>
      <w:r>
        <w:rPr>
          <w:rtl/>
        </w:rPr>
        <w:t>-</w:t>
      </w:r>
      <w:r>
        <w:tab/>
      </w:r>
      <w:r>
        <w:rPr>
          <w:rtl/>
        </w:rPr>
        <w:t>ويكون الطول الموجي في النطاق </w:t>
      </w:r>
      <w:r>
        <w:rPr>
          <w:lang w:bidi="ar"/>
        </w:rPr>
        <w:t>Ka</w:t>
      </w:r>
      <w:r>
        <w:rPr>
          <w:rtl/>
          <w:lang w:bidi="ar"/>
        </w:rPr>
        <w:t> </w:t>
      </w:r>
      <w:r>
        <w:rPr>
          <w:lang w:bidi="ar"/>
        </w:rPr>
        <w:t>20/30)</w:t>
      </w:r>
      <w:r>
        <w:rPr>
          <w:rtl/>
          <w:lang w:bidi="ar"/>
        </w:rPr>
        <w:t> </w:t>
      </w:r>
      <w:r>
        <w:rPr>
          <w:lang w:bidi="ar"/>
        </w:rPr>
        <w:t>(GHz</w:t>
      </w:r>
      <w:r>
        <w:rPr>
          <w:rtl/>
        </w:rPr>
        <w:t xml:space="preserve"> أقصر حتى منه في النطاق </w:t>
      </w:r>
      <w:r>
        <w:rPr>
          <w:lang w:bidi="ar"/>
        </w:rPr>
        <w:t>Ku</w:t>
      </w:r>
      <w:r>
        <w:rPr>
          <w:rtl/>
        </w:rPr>
        <w:t>، مما يسمح بصحون أصغر مقاساً، سوى أن الإرسال هو أيضاً أكثر تأثراً بسوء الأحوال الجوية. ويمكن في هذا النطاق تقديم خدمات تفاعلية في عرض النطاق العالي، بما في ذلك الإنترنت عالية السرعة، ومؤتمرات الفيديو، وتطبيقات الوسائط المتعددة.</w:t>
      </w:r>
    </w:p>
    <w:p w:rsidR="00111C25" w:rsidRDefault="00111C25" w:rsidP="00111C25">
      <w:pPr>
        <w:rPr>
          <w:rtl/>
        </w:rPr>
      </w:pPr>
      <w:r>
        <w:rPr>
          <w:rtl/>
        </w:rPr>
        <w:t xml:space="preserve">وما برحت الخدمات المقدمة عن طريق النطاق </w:t>
      </w:r>
      <w:r>
        <w:rPr>
          <w:lang w:bidi="ar"/>
        </w:rPr>
        <w:t>C</w:t>
      </w:r>
      <w:r>
        <w:rPr>
          <w:rtl/>
        </w:rPr>
        <w:t xml:space="preserve"> تشكل عنصراً أساسياً من البنية التحتية للاتصالات العالمية. وتوفر الخدمات الثابتة الساتلية في النطاق </w:t>
      </w:r>
      <w:r>
        <w:rPr>
          <w:lang w:bidi="ar"/>
        </w:rPr>
        <w:t>C</w:t>
      </w:r>
      <w:r>
        <w:rPr>
          <w:rtl/>
        </w:rPr>
        <w:t xml:space="preserve"> </w:t>
      </w:r>
      <w:r>
        <w:rPr>
          <w:rFonts w:hint="cs"/>
          <w:rtl/>
        </w:rPr>
        <w:t xml:space="preserve">درجة أعلى من الموثوقية والتيسر منها في شبكات النطاقين </w:t>
      </w:r>
      <w:r>
        <w:rPr>
          <w:lang w:bidi="ar"/>
        </w:rPr>
        <w:t>Ku</w:t>
      </w:r>
      <w:r>
        <w:rPr>
          <w:rtl/>
        </w:rPr>
        <w:t xml:space="preserve"> و</w:t>
      </w:r>
      <w:r>
        <w:rPr>
          <w:lang w:bidi="ar"/>
        </w:rPr>
        <w:t>Ka</w:t>
      </w:r>
      <w:r>
        <w:rPr>
          <w:rtl/>
        </w:rPr>
        <w:t xml:space="preserve"> في ظروف الخبو الناجم عن الأمطار، وتسمح بتغطية إقليمية واسعة باستخدام الحزم العالمية. ولهذه الأسباب يقع الاختيار عموماً على النطاق </w:t>
      </w:r>
      <w:r>
        <w:rPr>
          <w:lang w:bidi="ar"/>
        </w:rPr>
        <w:t>C</w:t>
      </w:r>
      <w:r>
        <w:rPr>
          <w:rtl/>
        </w:rPr>
        <w:t xml:space="preserve"> لتوصيل المناطق النائية في البلدان النامية مترامية الأطراف التي تعاني من سوء الأحوال الجوية بكثرة.</w:t>
      </w:r>
    </w:p>
    <w:p w:rsidR="00111C25" w:rsidRDefault="00111C25" w:rsidP="00111C25">
      <w:pPr>
        <w:pStyle w:val="Heading4"/>
        <w:rPr>
          <w:rtl/>
        </w:rPr>
      </w:pPr>
      <w:r>
        <w:t>4.4.5.3</w:t>
      </w:r>
      <w:r>
        <w:rPr>
          <w:rtl/>
        </w:rPr>
        <w:tab/>
        <w:t>تخفيف التداخل</w:t>
      </w:r>
    </w:p>
    <w:p w:rsidR="00111C25" w:rsidRDefault="00111C25" w:rsidP="00111C25">
      <w:r>
        <w:rPr>
          <w:rtl/>
        </w:rPr>
        <w:t>إن البلدان التي تنظر في نشر الاتصالات الساتلية دعماً لاستراتيجية أوسع ترمي إلى نشر النطاق العريض ينبغي أن تتخذ خطوات لضمان أن الشبكات الساتلية والأرضية قادرة على العمل في بيئة خالية من التداخل. وقد درس قطاع الاتصالات الراديوية تأثير التشارك بين الشبكات الساتلية والأرضية فيما يتعلق بنشر الاتصالات المتنقلة الدولية، وهو يقدم إرشادات بشأن النشر الفعال.</w:t>
      </w:r>
    </w:p>
    <w:p w:rsidR="00111C25" w:rsidRDefault="00111C25" w:rsidP="00801459">
      <w:pPr>
        <w:rPr>
          <w:rtl/>
          <w:lang w:bidi="ar"/>
        </w:rPr>
      </w:pPr>
      <w:r>
        <w:rPr>
          <w:rtl/>
        </w:rPr>
        <w:t xml:space="preserve">فعلى سبيل المثال، لتوفير وصلات ساتلية وسيطة آمنة لشبكات الاتصالات المتنقلة الدولية في البلدان الأكثر تأثراً بالخبو الناجم عن الأمطار (المناطق الاستوائية حول خط الاستواء) أو لدعم نشر النطاق العريض الساتلي، تنبغي حماية الطيف </w:t>
      </w:r>
      <w:r>
        <w:rPr>
          <w:rtl/>
        </w:rPr>
        <w:lastRenderedPageBreak/>
        <w:t>ما</w:t>
      </w:r>
      <w:r w:rsidR="00801459">
        <w:rPr>
          <w:rFonts w:hint="cs"/>
          <w:rtl/>
        </w:rPr>
        <w:t> </w:t>
      </w:r>
      <w:r>
        <w:rPr>
          <w:rtl/>
        </w:rPr>
        <w:t>دون </w:t>
      </w:r>
      <w:r>
        <w:t>4 200</w:t>
      </w:r>
      <w:r>
        <w:rPr>
          <w:rtl/>
        </w:rPr>
        <w:t> </w:t>
      </w:r>
      <w:r>
        <w:rPr>
          <w:lang w:bidi="ar"/>
        </w:rPr>
        <w:t>MHz</w:t>
      </w:r>
      <w:r>
        <w:rPr>
          <w:rtl/>
        </w:rPr>
        <w:t xml:space="preserve"> الموزع للخدمة الثابتة الساتلية </w:t>
      </w:r>
      <w:r>
        <w:t>(</w:t>
      </w:r>
      <w:r>
        <w:rPr>
          <w:lang w:bidi="ar"/>
        </w:rPr>
        <w:t>FSS</w:t>
      </w:r>
      <w:r>
        <w:t>)</w:t>
      </w:r>
      <w:r>
        <w:rPr>
          <w:rtl/>
        </w:rPr>
        <w:t xml:space="preserve"> من التداخل الضار من الخدمات الأخرى. ومن بين تقارير الاتحاد الدولي للاتصالات ذات الصلة بهذا الشأن ما يلي:</w:t>
      </w:r>
    </w:p>
    <w:p w:rsidR="00111C25" w:rsidRDefault="00111C25" w:rsidP="00111C25">
      <w:pPr>
        <w:pStyle w:val="Enumlevel1"/>
        <w:rPr>
          <w:rtl/>
          <w:lang w:bidi="ar-EG"/>
        </w:rPr>
      </w:pPr>
      <w:r>
        <w:rPr>
          <w:lang w:bidi="ar"/>
        </w:rPr>
        <w:sym w:font="Symbol" w:char="F02D"/>
      </w:r>
      <w:r>
        <w:rPr>
          <w:lang w:bidi="ar"/>
        </w:rPr>
        <w:tab/>
      </w:r>
      <w:r>
        <w:rPr>
          <w:rtl/>
          <w:lang w:bidi="ar"/>
        </w:rPr>
        <w:t xml:space="preserve">التقرير </w:t>
      </w:r>
      <w:r>
        <w:rPr>
          <w:lang w:bidi="ar"/>
        </w:rPr>
        <w:t>ITU-R S.2199</w:t>
      </w:r>
      <w:r>
        <w:rPr>
          <w:rtl/>
          <w:lang w:bidi="ar"/>
        </w:rPr>
        <w:t xml:space="preserve"> المعنون "دراسات بشأن توافق أنظمة النفاذ اللاسلكي عريض النطاق </w:t>
      </w:r>
      <w:r>
        <w:rPr>
          <w:lang w:bidi="ar"/>
        </w:rPr>
        <w:t>(BWA)</w:t>
      </w:r>
      <w:r>
        <w:rPr>
          <w:rtl/>
          <w:lang w:bidi="ar"/>
        </w:rPr>
        <w:t xml:space="preserve"> وشبكات الخدمة الثابتة الساتلية </w:t>
      </w:r>
      <w:r>
        <w:rPr>
          <w:lang w:bidi="ar"/>
        </w:rPr>
        <w:t>(FSS)</w:t>
      </w:r>
      <w:r>
        <w:rPr>
          <w:rtl/>
          <w:lang w:bidi="ar"/>
        </w:rPr>
        <w:t xml:space="preserve"> في النطاق </w:t>
      </w:r>
      <w:r>
        <w:rPr>
          <w:lang w:bidi="ar"/>
        </w:rPr>
        <w:t>MHz 4 200</w:t>
      </w:r>
      <w:r>
        <w:rPr>
          <w:lang w:bidi="ar"/>
        </w:rPr>
        <w:noBreakHyphen/>
        <w:t>3 400</w:t>
      </w:r>
      <w:r>
        <w:rPr>
          <w:rtl/>
          <w:lang w:bidi="ar"/>
        </w:rPr>
        <w:t>"</w:t>
      </w:r>
      <w:r>
        <w:rPr>
          <w:rtl/>
        </w:rPr>
        <w:t>.</w:t>
      </w:r>
    </w:p>
    <w:p w:rsidR="00111C25" w:rsidRDefault="00111C25" w:rsidP="00111C25">
      <w:pPr>
        <w:pStyle w:val="Enumlevel1"/>
        <w:rPr>
          <w:rtl/>
        </w:rPr>
      </w:pPr>
      <w:r>
        <w:rPr>
          <w:rtl/>
        </w:rPr>
        <w:t>-</w:t>
      </w:r>
      <w:r>
        <w:tab/>
      </w:r>
      <w:r>
        <w:rPr>
          <w:rtl/>
        </w:rPr>
        <w:t xml:space="preserve">التقرير </w:t>
      </w:r>
      <w:r>
        <w:rPr>
          <w:lang w:bidi="ar"/>
        </w:rPr>
        <w:t>ITU-R S.2109</w:t>
      </w:r>
      <w:r>
        <w:rPr>
          <w:rtl/>
        </w:rPr>
        <w:t xml:space="preserve"> المعنون - دراسات التشارك بين أنظمة الاتصالات المتنقلة الدولية المتقدمة والشبكات الساتلية المستقرة بالنسبة إلى الأرض في الخدمة الثابتة الساتلية في نطاقي الترددات </w:t>
      </w:r>
      <w:r>
        <w:rPr>
          <w:lang w:bidi="ar"/>
        </w:rPr>
        <w:t>MHz 4 200</w:t>
      </w:r>
      <w:r>
        <w:rPr>
          <w:lang w:bidi="ar"/>
        </w:rPr>
        <w:noBreakHyphen/>
      </w:r>
      <w:r>
        <w:t>3 400</w:t>
      </w:r>
      <w:r>
        <w:rPr>
          <w:rtl/>
        </w:rPr>
        <w:t xml:space="preserve"> و</w:t>
      </w:r>
      <w:r>
        <w:rPr>
          <w:lang w:bidi="ar"/>
        </w:rPr>
        <w:t>MHz 4 800</w:t>
      </w:r>
      <w:r>
        <w:rPr>
          <w:lang w:bidi="ar"/>
        </w:rPr>
        <w:noBreakHyphen/>
      </w:r>
      <w:r>
        <w:t>4 500</w:t>
      </w:r>
      <w:r>
        <w:rPr>
          <w:rtl/>
        </w:rPr>
        <w:t>.</w:t>
      </w:r>
    </w:p>
    <w:p w:rsidR="00111C25" w:rsidRDefault="00111C25" w:rsidP="00111C25">
      <w:pPr>
        <w:rPr>
          <w:rtl/>
          <w:lang w:bidi="ar"/>
        </w:rPr>
      </w:pPr>
      <w:r>
        <w:rPr>
          <w:rtl/>
        </w:rPr>
        <w:t>وهذه الاعتبارات ضرورية بوجه خاص لشبكات النطاق العريض الساتلية التي تدعم الخدمات الحرجة مثل تطبيقات الحكومة الإلكترونية أو الاتصالات في حالات الطوارئ.</w:t>
      </w:r>
    </w:p>
    <w:p w:rsidR="00111C25" w:rsidRDefault="00111C25" w:rsidP="00111C25">
      <w:pPr>
        <w:rPr>
          <w:spacing w:val="-6"/>
          <w:rtl/>
          <w:lang w:bidi="ar"/>
        </w:rPr>
      </w:pPr>
      <w:r>
        <w:rPr>
          <w:spacing w:val="-6"/>
          <w:rtl/>
        </w:rPr>
        <w:t xml:space="preserve">راجع الملحق </w:t>
      </w:r>
      <w:r>
        <w:rPr>
          <w:spacing w:val="-6"/>
        </w:rPr>
        <w:t>III</w:t>
      </w:r>
      <w:r>
        <w:rPr>
          <w:spacing w:val="-6"/>
          <w:rtl/>
        </w:rPr>
        <w:t xml:space="preserve"> </w:t>
      </w:r>
      <w:r>
        <w:rPr>
          <w:rFonts w:hint="cs"/>
          <w:spacing w:val="-6"/>
          <w:rtl/>
        </w:rPr>
        <w:t>للاطلاع على قائمة توصيات قطاع الاتصالات الراديوية التي يمكن أن توفر مرجعاً مفيداً للأنظمة الساتلية.</w:t>
      </w:r>
    </w:p>
    <w:p w:rsidR="00111C25" w:rsidRDefault="00111C25" w:rsidP="00111C25">
      <w:pPr>
        <w:pStyle w:val="Heading2"/>
      </w:pPr>
      <w:bookmarkStart w:id="109" w:name="_Toc372276144"/>
      <w:bookmarkStart w:id="110" w:name="_Toc380496737"/>
      <w:r>
        <w:t>6.3</w:t>
      </w:r>
      <w:r>
        <w:tab/>
      </w:r>
      <w:r>
        <w:rPr>
          <w:rtl/>
        </w:rPr>
        <w:t>الوصلات الوسيطة للنفاذ عريض النطاق</w:t>
      </w:r>
      <w:r>
        <w:rPr>
          <w:rStyle w:val="FootnoteReference"/>
          <w:rFonts w:ascii="Verdana Bold" w:hAnsi="Verdana Bold"/>
          <w:rtl/>
        </w:rPr>
        <w:footnoteReference w:id="70"/>
      </w:r>
      <w:bookmarkEnd w:id="109"/>
      <w:bookmarkEnd w:id="110"/>
    </w:p>
    <w:p w:rsidR="00111C25" w:rsidRDefault="00111C25" w:rsidP="00111C25">
      <w:pPr>
        <w:rPr>
          <w:spacing w:val="-4"/>
          <w:rtl/>
          <w:lang w:bidi="ar"/>
        </w:rPr>
      </w:pPr>
      <w:r>
        <w:rPr>
          <w:spacing w:val="-4"/>
          <w:rtl/>
        </w:rPr>
        <w:t>تشكل الوصلات الوسيطة أحد المكونات الرئيسية لأي خدمة بيانات، فهي تسيّر من مواقع الخلايا إلى داخل الشبكة الأساسية.</w:t>
      </w:r>
    </w:p>
    <w:p w:rsidR="00111C25" w:rsidRDefault="00111C25" w:rsidP="00111C25">
      <w:pPr>
        <w:rPr>
          <w:spacing w:val="-2"/>
          <w:lang w:bidi="ar-EG"/>
        </w:rPr>
      </w:pPr>
      <w:r>
        <w:rPr>
          <w:spacing w:val="-2"/>
          <w:rtl/>
        </w:rPr>
        <w:t>ويمكن إنشاء الوصلات الوسيطة عبر حلول سلكية أو لا سلكية. وتقدم الفقرات التالية لمحات عامة عن حلول الوصلات الوسيطة عبر اللاسلكي الأرضي والوصلات الوسيطة الساتلية، والألياف البصرية بما فيها الكبلات البحرية.</w:t>
      </w:r>
    </w:p>
    <w:p w:rsidR="00111C25" w:rsidRDefault="00111C25" w:rsidP="00111C25">
      <w:pPr>
        <w:pStyle w:val="Heading3"/>
        <w:rPr>
          <w:rtl/>
        </w:rPr>
      </w:pPr>
      <w:bookmarkStart w:id="111" w:name="_Toc372276145"/>
      <w:bookmarkStart w:id="112" w:name="_Toc380496738"/>
      <w:r>
        <w:t>1.6.3</w:t>
      </w:r>
      <w:r>
        <w:rPr>
          <w:rtl/>
        </w:rPr>
        <w:tab/>
        <w:t>الوصلات الوسيطة اللاسلكية الأرضية</w:t>
      </w:r>
      <w:bookmarkEnd w:id="111"/>
      <w:bookmarkEnd w:id="112"/>
    </w:p>
    <w:p w:rsidR="00111C25" w:rsidRDefault="00111C25" w:rsidP="000A14D1">
      <w:pPr>
        <w:keepNext/>
      </w:pPr>
      <w:r>
        <w:rPr>
          <w:rtl/>
        </w:rPr>
        <w:t>يمكن استخدام عدد من التكنولوجيات لتوصيل مواقع الخلية إلى الشبكة الأساسية، ولا سيما:</w:t>
      </w:r>
    </w:p>
    <w:p w:rsidR="00111C25" w:rsidRDefault="00111C25" w:rsidP="00111C25">
      <w:pPr>
        <w:pStyle w:val="Enumlevel1"/>
        <w:rPr>
          <w:rtl/>
        </w:rPr>
      </w:pPr>
      <w:r>
        <w:rPr>
          <w:lang w:bidi="ar"/>
        </w:rPr>
        <w:sym w:font="Symbol" w:char="F02D"/>
      </w:r>
      <w:r>
        <w:rPr>
          <w:rtl/>
          <w:lang w:bidi="ar"/>
        </w:rPr>
        <w:tab/>
        <w:t xml:space="preserve">من نقطة إلى نقطة </w:t>
      </w:r>
      <w:r>
        <w:rPr>
          <w:lang w:bidi="ar"/>
        </w:rPr>
        <w:t>(PtP)</w:t>
      </w:r>
      <w:r>
        <w:rPr>
          <w:rtl/>
          <w:lang w:bidi="ar"/>
        </w:rPr>
        <w:t>: وهذا ما استُخدم تقليدياً، بحزم ضيقة مثل قلم رصاص توصل نقطتين، واحدة منها هي موقع الخلية</w:t>
      </w:r>
      <w:r>
        <w:rPr>
          <w:rtl/>
        </w:rPr>
        <w:t>.</w:t>
      </w:r>
    </w:p>
    <w:p w:rsidR="00111C25" w:rsidRDefault="00111C25" w:rsidP="00111C25">
      <w:pPr>
        <w:pStyle w:val="Enumlevel1"/>
        <w:rPr>
          <w:rtl/>
        </w:rPr>
      </w:pPr>
      <w:r>
        <w:rPr>
          <w:lang w:bidi="ar"/>
        </w:rPr>
        <w:sym w:font="Symbol" w:char="F02D"/>
      </w:r>
      <w:r>
        <w:rPr>
          <w:rtl/>
          <w:lang w:bidi="ar"/>
        </w:rPr>
        <w:tab/>
        <w:t xml:space="preserve">من نقطة إلى عدة نقاط </w:t>
      </w:r>
      <w:r>
        <w:rPr>
          <w:lang w:bidi="ar"/>
        </w:rPr>
        <w:t>(PtMP)</w:t>
      </w:r>
      <w:r>
        <w:rPr>
          <w:rtl/>
          <w:lang w:bidi="ar"/>
        </w:rPr>
        <w:t>: في هذا النهج تُستخدم حزمة أوسع في أحد الأطراف بحيث تغطي منطقة واسعة نسبياً يمكن أن تقع ضمنها عدة مواقع لخلايا</w:t>
      </w:r>
      <w:r>
        <w:rPr>
          <w:rtl/>
        </w:rPr>
        <w:t>.</w:t>
      </w:r>
    </w:p>
    <w:p w:rsidR="00111C25" w:rsidRDefault="00111C25" w:rsidP="00111C25">
      <w:pPr>
        <w:pStyle w:val="Enumlevel1"/>
        <w:rPr>
          <w:rtl/>
        </w:rPr>
      </w:pPr>
      <w:r>
        <w:rPr>
          <w:rtl/>
        </w:rPr>
        <w:t>-</w:t>
      </w:r>
      <w:r>
        <w:tab/>
      </w:r>
      <w:r>
        <w:rPr>
          <w:rtl/>
        </w:rPr>
        <w:t>من عدة نقاط إلى عدة نقاط أو تشابك: وهنا تتواصل مواقع الخلايا مع عدة مواقع محتملة لخلايا أخرى وتسيَّر الحركة فيما بينها.</w:t>
      </w:r>
    </w:p>
    <w:p w:rsidR="00111C25" w:rsidRDefault="00111C25" w:rsidP="00111C25">
      <w:pPr>
        <w:rPr>
          <w:spacing w:val="-4"/>
          <w:rtl/>
        </w:rPr>
      </w:pPr>
      <w:r>
        <w:rPr>
          <w:spacing w:val="-4"/>
          <w:rtl/>
        </w:rPr>
        <w:t xml:space="preserve">ويمكن للوصلات الوسيطة أن تعمل بأسلوب الإزدواج بتقسيم الترددات </w:t>
      </w:r>
      <w:r>
        <w:rPr>
          <w:spacing w:val="-4"/>
        </w:rPr>
        <w:t>(</w:t>
      </w:r>
      <w:r>
        <w:rPr>
          <w:spacing w:val="-4"/>
          <w:lang w:bidi="ar"/>
        </w:rPr>
        <w:t>FDD</w:t>
      </w:r>
      <w:r>
        <w:rPr>
          <w:spacing w:val="-4"/>
        </w:rPr>
        <w:t>)</w:t>
      </w:r>
      <w:r>
        <w:rPr>
          <w:spacing w:val="-4"/>
          <w:rtl/>
        </w:rPr>
        <w:t xml:space="preserve"> </w:t>
      </w:r>
      <w:r>
        <w:rPr>
          <w:rFonts w:hint="cs"/>
          <w:spacing w:val="-4"/>
          <w:rtl/>
        </w:rPr>
        <w:t xml:space="preserve">بزوج من الترددات، مستخدمةً تردد واحد لكل اتجاه، أو بأسلوب الإزدواج بتقسيم الزمن </w:t>
      </w:r>
      <w:r>
        <w:rPr>
          <w:spacing w:val="-4"/>
        </w:rPr>
        <w:t>(</w:t>
      </w:r>
      <w:r>
        <w:rPr>
          <w:spacing w:val="-4"/>
          <w:lang w:bidi="ar"/>
        </w:rPr>
        <w:t>TDD</w:t>
      </w:r>
      <w:r>
        <w:rPr>
          <w:spacing w:val="-4"/>
        </w:rPr>
        <w:t>)</w:t>
      </w:r>
      <w:r>
        <w:rPr>
          <w:spacing w:val="-4"/>
          <w:rtl/>
        </w:rPr>
        <w:t xml:space="preserve"> متشاركةً في السعة بين اتجاهي الوصلة الصاعدة والوصلة الهابطة.</w:t>
      </w:r>
    </w:p>
    <w:p w:rsidR="00111C25" w:rsidRDefault="00111C25" w:rsidP="00111C25">
      <w:pPr>
        <w:keepNext/>
        <w:rPr>
          <w:rtl/>
        </w:rPr>
      </w:pPr>
      <w:r>
        <w:rPr>
          <w:rtl/>
        </w:rPr>
        <w:t>وسيعتمد الحل التكنولوجي الأكثر فعالية على متطلبات الوصلات الوسيطة التي ستشمل ما يلي:</w:t>
      </w:r>
    </w:p>
    <w:p w:rsidR="00111C25" w:rsidRDefault="00111C25" w:rsidP="00111C25">
      <w:pPr>
        <w:pStyle w:val="Enumlevel1"/>
        <w:rPr>
          <w:rtl/>
        </w:rPr>
      </w:pPr>
      <w:r>
        <w:rPr>
          <w:lang w:bidi="ar"/>
        </w:rPr>
        <w:sym w:font="Symbol" w:char="F02D"/>
      </w:r>
      <w:r>
        <w:rPr>
          <w:lang w:bidi="ar"/>
        </w:rPr>
        <w:tab/>
      </w:r>
      <w:r>
        <w:rPr>
          <w:rtl/>
          <w:lang w:bidi="ar"/>
        </w:rPr>
        <w:t>عدد المواقع التي يتعين توصيلها</w:t>
      </w:r>
      <w:r>
        <w:rPr>
          <w:rtl/>
        </w:rPr>
        <w:t>؛</w:t>
      </w:r>
    </w:p>
    <w:p w:rsidR="00111C25" w:rsidRDefault="00111C25" w:rsidP="00111C25">
      <w:pPr>
        <w:pStyle w:val="Enumlevel1"/>
        <w:rPr>
          <w:rtl/>
        </w:rPr>
      </w:pPr>
      <w:r>
        <w:rPr>
          <w:lang w:bidi="ar"/>
        </w:rPr>
        <w:sym w:font="Symbol" w:char="F02D"/>
      </w:r>
      <w:r>
        <w:rPr>
          <w:lang w:bidi="ar"/>
        </w:rPr>
        <w:tab/>
      </w:r>
      <w:r>
        <w:rPr>
          <w:rtl/>
          <w:lang w:bidi="ar"/>
        </w:rPr>
        <w:t>مواقع الوصلات الوسيطة وسهولة الوصول إليها؛</w:t>
      </w:r>
    </w:p>
    <w:p w:rsidR="00111C25" w:rsidRDefault="00111C25" w:rsidP="00111C25">
      <w:pPr>
        <w:pStyle w:val="Enumlevel1"/>
        <w:rPr>
          <w:rtl/>
        </w:rPr>
      </w:pPr>
      <w:r>
        <w:rPr>
          <w:lang w:bidi="ar"/>
        </w:rPr>
        <w:sym w:font="Symbol" w:char="F02D"/>
      </w:r>
      <w:r>
        <w:rPr>
          <w:lang w:bidi="ar"/>
        </w:rPr>
        <w:tab/>
      </w:r>
      <w:r>
        <w:rPr>
          <w:rtl/>
          <w:lang w:bidi="ar"/>
        </w:rPr>
        <w:t>مرافق الاتصالات الموجودة في كل موقع</w:t>
      </w:r>
      <w:r>
        <w:rPr>
          <w:rtl/>
        </w:rPr>
        <w:t>؛</w:t>
      </w:r>
    </w:p>
    <w:p w:rsidR="00111C25" w:rsidRDefault="00111C25" w:rsidP="00111C25">
      <w:pPr>
        <w:pStyle w:val="Enumlevel1"/>
        <w:rPr>
          <w:rtl/>
        </w:rPr>
      </w:pPr>
      <w:r>
        <w:rPr>
          <w:rtl/>
        </w:rPr>
        <w:t>-</w:t>
      </w:r>
      <w:r>
        <w:tab/>
      </w:r>
      <w:r>
        <w:rPr>
          <w:rtl/>
        </w:rPr>
        <w:t>البيانات الوصفية للحركة (متوسطها، ذروتها وتواتر تقلباتها، وما إلى ذلك)؛</w:t>
      </w:r>
    </w:p>
    <w:p w:rsidR="00111C25" w:rsidRDefault="00111C25" w:rsidP="00111C25">
      <w:pPr>
        <w:pStyle w:val="Enumlevel1"/>
        <w:rPr>
          <w:rtl/>
        </w:rPr>
      </w:pPr>
      <w:r>
        <w:rPr>
          <w:lang w:bidi="ar"/>
        </w:rPr>
        <w:sym w:font="Symbol" w:char="F02D"/>
      </w:r>
      <w:r>
        <w:rPr>
          <w:lang w:bidi="ar"/>
        </w:rPr>
        <w:tab/>
      </w:r>
      <w:r>
        <w:rPr>
          <w:rtl/>
          <w:lang w:bidi="ar"/>
        </w:rPr>
        <w:t>السعة الاستيعابية على مدى عمر النشر</w:t>
      </w:r>
      <w:r>
        <w:rPr>
          <w:rtl/>
        </w:rPr>
        <w:t>؛</w:t>
      </w:r>
    </w:p>
    <w:p w:rsidR="00111C25" w:rsidRDefault="00111C25" w:rsidP="00111C25">
      <w:pPr>
        <w:pStyle w:val="Enumlevel1"/>
        <w:rPr>
          <w:rtl/>
        </w:rPr>
      </w:pPr>
      <w:r>
        <w:rPr>
          <w:lang w:bidi="ar"/>
        </w:rPr>
        <w:lastRenderedPageBreak/>
        <w:sym w:font="Symbol" w:char="F02D"/>
      </w:r>
      <w:r>
        <w:rPr>
          <w:lang w:bidi="ar"/>
        </w:rPr>
        <w:tab/>
      </w:r>
      <w:r>
        <w:rPr>
          <w:rtl/>
          <w:lang w:bidi="ar"/>
        </w:rPr>
        <w:t>الموثوقية والمرونة</w:t>
      </w:r>
      <w:r>
        <w:rPr>
          <w:rtl/>
        </w:rPr>
        <w:t>.</w:t>
      </w:r>
    </w:p>
    <w:p w:rsidR="00111C25" w:rsidRDefault="00111C25" w:rsidP="00111C25">
      <w:pPr>
        <w:pStyle w:val="Enumlevel1"/>
        <w:rPr>
          <w:rtl/>
        </w:rPr>
      </w:pPr>
      <w:r>
        <w:rPr>
          <w:rtl/>
        </w:rPr>
        <w:t>وعلاوة على ذلك، هناك بالطبع قيود تفرضها الميزانية، ومقارنة تكاليف المعدات.</w:t>
      </w:r>
    </w:p>
    <w:p w:rsidR="00111C25" w:rsidRDefault="00111C25" w:rsidP="00111C25">
      <w:pPr>
        <w:rPr>
          <w:rtl/>
        </w:rPr>
      </w:pPr>
      <w:r>
        <w:rPr>
          <w:spacing w:val="-4"/>
          <w:rtl/>
        </w:rPr>
        <w:t xml:space="preserve">ويرجح أن يأتي الحل مواكباً لتغيرات المتطلبات والتكنولوجيا ويمكن أن يشمل توليفة من تكنولوجيات نقطة إلى نقطة </w:t>
      </w:r>
      <w:r>
        <w:rPr>
          <w:spacing w:val="-4"/>
        </w:rPr>
        <w:t>(</w:t>
      </w:r>
      <w:r>
        <w:rPr>
          <w:spacing w:val="-4"/>
          <w:lang w:bidi="ar"/>
        </w:rPr>
        <w:t>PtP</w:t>
      </w:r>
      <w:r>
        <w:rPr>
          <w:spacing w:val="-4"/>
        </w:rPr>
        <w:t>)</w:t>
      </w:r>
      <w:r>
        <w:rPr>
          <w:rtl/>
        </w:rPr>
        <w:t xml:space="preserve"> ومن نقطة إلى عدة نقاط </w:t>
      </w:r>
      <w:r>
        <w:t>(</w:t>
      </w:r>
      <w:r>
        <w:rPr>
          <w:lang w:bidi="ar"/>
        </w:rPr>
        <w:t>PtMP</w:t>
      </w:r>
      <w:r>
        <w:t>)</w:t>
      </w:r>
      <w:r>
        <w:rPr>
          <w:rtl/>
        </w:rPr>
        <w:t xml:space="preserve"> والتشابك.</w:t>
      </w:r>
    </w:p>
    <w:p w:rsidR="00111C25" w:rsidRDefault="00111C25" w:rsidP="00111C25">
      <w:pPr>
        <w:keepNext/>
        <w:rPr>
          <w:rtl/>
        </w:rPr>
      </w:pPr>
      <w:r>
        <w:rPr>
          <w:rtl/>
        </w:rPr>
        <w:t>وهناك عدد من المهام يتعين الاضطلاع بها:</w:t>
      </w:r>
    </w:p>
    <w:p w:rsidR="00111C25" w:rsidRDefault="00111C25" w:rsidP="00111C25">
      <w:pPr>
        <w:pStyle w:val="Enumlevel1"/>
        <w:rPr>
          <w:rtl/>
        </w:rPr>
      </w:pPr>
      <w:r>
        <w:rPr>
          <w:lang w:bidi="ar"/>
        </w:rPr>
        <w:sym w:font="Symbol" w:char="F02D"/>
      </w:r>
      <w:r>
        <w:rPr>
          <w:lang w:bidi="ar"/>
        </w:rPr>
        <w:tab/>
      </w:r>
      <w:r>
        <w:rPr>
          <w:rtl/>
          <w:lang w:bidi="ar"/>
        </w:rPr>
        <w:t>اختيار معماريات وطبولوجيات مناسبة</w:t>
      </w:r>
      <w:r>
        <w:rPr>
          <w:rtl/>
        </w:rPr>
        <w:t>؛</w:t>
      </w:r>
    </w:p>
    <w:p w:rsidR="00111C25" w:rsidRDefault="00111C25" w:rsidP="00111C25">
      <w:pPr>
        <w:pStyle w:val="Enumlevel1"/>
        <w:rPr>
          <w:rtl/>
        </w:rPr>
      </w:pPr>
      <w:r>
        <w:rPr>
          <w:lang w:bidi="ar"/>
        </w:rPr>
        <w:sym w:font="Symbol" w:char="F02D"/>
      </w:r>
      <w:r>
        <w:rPr>
          <w:lang w:bidi="ar"/>
        </w:rPr>
        <w:tab/>
      </w:r>
      <w:r>
        <w:rPr>
          <w:rtl/>
          <w:lang w:bidi="ar"/>
        </w:rPr>
        <w:t>اختيار النطاقات الترددية</w:t>
      </w:r>
      <w:r>
        <w:rPr>
          <w:rtl/>
        </w:rPr>
        <w:t>؛</w:t>
      </w:r>
    </w:p>
    <w:p w:rsidR="00111C25" w:rsidRDefault="00111C25" w:rsidP="00111C25">
      <w:pPr>
        <w:pStyle w:val="Enumlevel1"/>
        <w:rPr>
          <w:rtl/>
        </w:rPr>
      </w:pPr>
      <w:r>
        <w:rPr>
          <w:lang w:bidi="ar"/>
        </w:rPr>
        <w:sym w:font="Symbol" w:char="F02D"/>
      </w:r>
      <w:r>
        <w:rPr>
          <w:lang w:bidi="ar"/>
        </w:rPr>
        <w:tab/>
      </w:r>
      <w:r>
        <w:rPr>
          <w:rtl/>
          <w:lang w:bidi="ar"/>
        </w:rPr>
        <w:t>النفاذ إلى الطيف المناسب</w:t>
      </w:r>
      <w:r>
        <w:rPr>
          <w:rtl/>
        </w:rPr>
        <w:t>؛</w:t>
      </w:r>
    </w:p>
    <w:p w:rsidR="00111C25" w:rsidRDefault="00111C25" w:rsidP="00111C25">
      <w:pPr>
        <w:pStyle w:val="Enumlevel1"/>
        <w:rPr>
          <w:rtl/>
        </w:rPr>
      </w:pPr>
      <w:r>
        <w:rPr>
          <w:lang w:bidi="ar"/>
        </w:rPr>
        <w:sym w:font="Symbol" w:char="F02D"/>
      </w:r>
      <w:r>
        <w:rPr>
          <w:lang w:bidi="ar"/>
        </w:rPr>
        <w:tab/>
      </w:r>
      <w:r>
        <w:rPr>
          <w:rtl/>
          <w:lang w:bidi="ar"/>
        </w:rPr>
        <w:t>تخطيط الترددات وتحليل التداخل</w:t>
      </w:r>
      <w:r>
        <w:rPr>
          <w:rtl/>
        </w:rPr>
        <w:t>.</w:t>
      </w:r>
    </w:p>
    <w:p w:rsidR="00111C25" w:rsidRDefault="00111C25" w:rsidP="00111C25">
      <w:pPr>
        <w:pStyle w:val="Heading4"/>
        <w:rPr>
          <w:rtl/>
        </w:rPr>
      </w:pPr>
      <w:r>
        <w:t>1.1.6.3</w:t>
      </w:r>
      <w:r>
        <w:rPr>
          <w:rtl/>
        </w:rPr>
        <w:tab/>
        <w:t>اختيار المعمارية</w:t>
      </w:r>
    </w:p>
    <w:p w:rsidR="00111C25" w:rsidRDefault="00111C25" w:rsidP="00111C25">
      <w:pPr>
        <w:rPr>
          <w:lang w:bidi="ar"/>
        </w:rPr>
      </w:pPr>
      <w:r>
        <w:rPr>
          <w:rtl/>
        </w:rPr>
        <w:t>لكل نوع من أنواع الوصلات الوسيطة اللاسلكية نقاط قوة ونقاط ضعف.</w:t>
      </w:r>
    </w:p>
    <w:p w:rsidR="00111C25" w:rsidRDefault="00111C25" w:rsidP="000A14D1">
      <w:pPr>
        <w:pStyle w:val="Figuretitle"/>
      </w:pPr>
      <w:bookmarkStart w:id="113" w:name="_Toc372276146"/>
      <w:bookmarkStart w:id="114" w:name="_Toc380497246"/>
      <w:r>
        <w:rPr>
          <w:rtl/>
        </w:rPr>
        <w:t xml:space="preserve">الشكل </w:t>
      </w:r>
      <w:r>
        <w:rPr>
          <w:lang w:bidi="ar"/>
        </w:rPr>
        <w:t>1</w:t>
      </w:r>
      <w:r w:rsidR="000A14D1">
        <w:rPr>
          <w:lang w:bidi="ar"/>
        </w:rPr>
        <w:t>-</w:t>
      </w:r>
      <w:r>
        <w:rPr>
          <w:lang w:bidi="ar"/>
        </w:rPr>
        <w:t>1.1.6.3</w:t>
      </w:r>
      <w:r w:rsidR="000A14D1">
        <w:rPr>
          <w:rFonts w:hint="cs"/>
          <w:rtl/>
        </w:rPr>
        <w:t>:</w:t>
      </w:r>
      <w:r>
        <w:rPr>
          <w:rtl/>
        </w:rPr>
        <w:t xml:space="preserve"> وصلات من نقطة إلى نقطة </w:t>
      </w:r>
      <w:r>
        <w:rPr>
          <w:lang w:bidi="ar"/>
        </w:rPr>
        <w:t>(PtP)</w:t>
      </w:r>
      <w:bookmarkEnd w:id="113"/>
      <w:bookmarkEnd w:id="114"/>
    </w:p>
    <w:p w:rsidR="00111C25" w:rsidRDefault="00111C25" w:rsidP="000A14D1">
      <w:pPr>
        <w:pStyle w:val="Figure"/>
        <w:rPr>
          <w:rtl/>
        </w:rPr>
      </w:pPr>
      <w:r>
        <w:rPr>
          <w:noProof/>
          <w:lang w:val="en-US" w:eastAsia="zh-CN"/>
        </w:rPr>
        <w:drawing>
          <wp:inline distT="0" distB="0" distL="0" distR="0" wp14:anchorId="5CAB8C40" wp14:editId="3C306B5C">
            <wp:extent cx="755650" cy="13716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650" cy="1371600"/>
                    </a:xfrm>
                    <a:prstGeom prst="rect">
                      <a:avLst/>
                    </a:prstGeom>
                    <a:noFill/>
                    <a:ln>
                      <a:noFill/>
                    </a:ln>
                  </pic:spPr>
                </pic:pic>
              </a:graphicData>
            </a:graphic>
          </wp:inline>
        </w:drawing>
      </w:r>
    </w:p>
    <w:p w:rsidR="000A14D1" w:rsidRDefault="000A14D1" w:rsidP="000A14D1">
      <w:pPr>
        <w:pStyle w:val="Figure"/>
        <w:rPr>
          <w:rtl/>
        </w:rPr>
      </w:pPr>
    </w:p>
    <w:p w:rsidR="00111C25" w:rsidRDefault="00111C25" w:rsidP="000A14D1">
      <w:pPr>
        <w:spacing w:before="240"/>
        <w:rPr>
          <w:rtl/>
        </w:rPr>
      </w:pPr>
      <w:r>
        <w:rPr>
          <w:rtl/>
        </w:rPr>
        <w:t xml:space="preserve">تستخدم هذه الوصلات هوائي شديد الاتجاهية لإتاحة السعة بين اثنين من المواقع الثابتة. وهي تتميز بكفاءة طيفية عالية ويمكنها أن توفر معدلات نقل بيانات عالية جداً (تصل إلى </w:t>
      </w:r>
      <w:r>
        <w:rPr>
          <w:lang w:bidi="ar"/>
        </w:rPr>
        <w:t>Gbps</w:t>
      </w:r>
      <w:r>
        <w:rPr>
          <w:rtl/>
        </w:rPr>
        <w:t xml:space="preserve">) وجودة خدمة (مثل تيسر بنسبة </w:t>
      </w:r>
      <w:r>
        <w:t>%99,999</w:t>
      </w:r>
      <w:r>
        <w:rPr>
          <w:rtl/>
        </w:rPr>
        <w:t>).</w:t>
      </w:r>
    </w:p>
    <w:p w:rsidR="00111C25" w:rsidRDefault="00111C25" w:rsidP="00111C25">
      <w:pPr>
        <w:rPr>
          <w:rtl/>
        </w:rPr>
      </w:pPr>
      <w:r>
        <w:rPr>
          <w:rtl/>
        </w:rPr>
        <w:t xml:space="preserve">والمعدات متاحة بسهولة من جهات مصنعة متعددة وهي توفر مجموعة من الميزات لتحسين استقرار وأداء الوصلة (ومثال ذلك، انخفاض مستوى الضجيج، وتشكيلات أعلى، وتشكيل تكيفي، والتحكم في القدرة التكيفي). والطيف متاح بسهولة أيضاً في عدد من النطاقات الترددية، ويمكن نشر الوصلات بسرعة وبنفقات رأسمالية منخفضة. ويتمثل العيب في أن كل موقع خلية سيتطلب هوائي واحد على الأقل، ويمكن أن تكون هناك صعوبات في تركيب معدات نقطة إلى نقطة </w:t>
      </w:r>
      <w:r>
        <w:t>(</w:t>
      </w:r>
      <w:r>
        <w:rPr>
          <w:lang w:bidi="ar"/>
        </w:rPr>
        <w:t>PtP</w:t>
      </w:r>
      <w:r>
        <w:t>)</w:t>
      </w:r>
      <w:r>
        <w:rPr>
          <w:rtl/>
        </w:rPr>
        <w:t xml:space="preserve"> </w:t>
      </w:r>
      <w:r>
        <w:rPr>
          <w:rFonts w:hint="cs"/>
          <w:rtl/>
        </w:rPr>
        <w:t>في خلايا بيكوية وتلك التي تستخدم أثاث الشوارع مثل أعمدة الإنارة. وللوصول إلى الشبكة الأساسية، قد تقتضي الضرورة ربط الوصلات معاً في سلسلة مستديرة، ولا سيما في المناطق الحضرية التي يقل فيها احتمال وجود خط بصر بين موقعين.</w:t>
      </w:r>
    </w:p>
    <w:p w:rsidR="00111C25" w:rsidRDefault="00111C25" w:rsidP="000A14D1">
      <w:pPr>
        <w:pStyle w:val="Figuretitle"/>
        <w:rPr>
          <w:rtl/>
        </w:rPr>
      </w:pPr>
      <w:bookmarkStart w:id="115" w:name="_Toc372276147"/>
      <w:bookmarkStart w:id="116" w:name="_Toc380497247"/>
      <w:r>
        <w:rPr>
          <w:rtl/>
        </w:rPr>
        <w:lastRenderedPageBreak/>
        <w:t xml:space="preserve">الشكل </w:t>
      </w:r>
      <w:r>
        <w:t>2</w:t>
      </w:r>
      <w:r w:rsidR="000A14D1">
        <w:t>-</w:t>
      </w:r>
      <w:r>
        <w:t>1.1.6.3</w:t>
      </w:r>
      <w:r w:rsidR="000A14D1">
        <w:rPr>
          <w:rFonts w:hint="cs"/>
          <w:rtl/>
        </w:rPr>
        <w:t>:</w:t>
      </w:r>
      <w:r>
        <w:rPr>
          <w:rtl/>
        </w:rPr>
        <w:t xml:space="preserve"> </w:t>
      </w:r>
      <w:r>
        <w:rPr>
          <w:rFonts w:hint="cs"/>
          <w:rtl/>
        </w:rPr>
        <w:t xml:space="preserve">وصلات من نقطة إلى عدة نقاط </w:t>
      </w:r>
      <w:r>
        <w:t>(PtMP)</w:t>
      </w:r>
      <w:bookmarkEnd w:id="115"/>
      <w:bookmarkEnd w:id="116"/>
    </w:p>
    <w:p w:rsidR="00111C25" w:rsidRDefault="00111C25" w:rsidP="000A14D1">
      <w:pPr>
        <w:pStyle w:val="Figure"/>
        <w:rPr>
          <w:rtl/>
        </w:rPr>
      </w:pPr>
      <w:r>
        <w:rPr>
          <w:noProof/>
          <w:lang w:val="en-US" w:eastAsia="zh-CN"/>
        </w:rPr>
        <w:drawing>
          <wp:inline distT="0" distB="0" distL="0" distR="0" wp14:anchorId="289388C8" wp14:editId="3EF32AC3">
            <wp:extent cx="3111500" cy="19367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0" cy="1936750"/>
                    </a:xfrm>
                    <a:prstGeom prst="rect">
                      <a:avLst/>
                    </a:prstGeom>
                    <a:noFill/>
                    <a:ln>
                      <a:noFill/>
                    </a:ln>
                  </pic:spPr>
                </pic:pic>
              </a:graphicData>
            </a:graphic>
          </wp:inline>
        </w:drawing>
      </w:r>
    </w:p>
    <w:p w:rsidR="000A14D1" w:rsidRDefault="000A14D1" w:rsidP="000A14D1">
      <w:pPr>
        <w:pStyle w:val="Figure"/>
        <w:rPr>
          <w:rtl/>
        </w:rPr>
      </w:pPr>
    </w:p>
    <w:p w:rsidR="00111C25" w:rsidRDefault="00111C25" w:rsidP="000A14D1">
      <w:pPr>
        <w:spacing w:before="240"/>
        <w:rPr>
          <w:rtl/>
          <w:lang w:bidi="ar-EG"/>
        </w:rPr>
      </w:pPr>
      <w:r>
        <w:rPr>
          <w:rtl/>
        </w:rPr>
        <w:t>تتمثل إحدى مشاكل وصلات النقطة إلى نقطة في أنه في كل مرة يُنشأ موقع خلية جديدة فإنها تحتاج إلى هوائي مخصص في بعض المواقع الأخرى للتوصيل معه. وبالإضافة إلى ذلك، تتحدد سعة الوصلة بحاجة الخدمة لذروة معدل البيانات في الخلية، الأمر الذي سيؤدي وجود سعات غير مستخدمة في معظم الوقت.</w:t>
      </w:r>
    </w:p>
    <w:p w:rsidR="00111C25" w:rsidRDefault="00111C25" w:rsidP="00111C25">
      <w:pPr>
        <w:rPr>
          <w:rtl/>
        </w:rPr>
      </w:pPr>
      <w:r>
        <w:rPr>
          <w:rtl/>
        </w:rPr>
        <w:t xml:space="preserve">ويتفادى نظام النقطة إلى عدة نقاط </w:t>
      </w:r>
      <w:r>
        <w:t>(</w:t>
      </w:r>
      <w:r>
        <w:rPr>
          <w:lang w:bidi="ar"/>
        </w:rPr>
        <w:t>PtMP</w:t>
      </w:r>
      <w:r>
        <w:t>)</w:t>
      </w:r>
      <w:r>
        <w:rPr>
          <w:rtl/>
        </w:rPr>
        <w:t xml:space="preserve"> هذه المشكلة باستخدام هوائي قطاعي في نقطة مركزية يمكن أن تغطي مساحة واسعة يمكن أن تتضمن العديد من مواقع الخلايا. وبإدخال المزيد من الخلايا، لا حاجة لتعديل المحطة المحورية نظراً لإمكانية إعادة استخدام الهوائي القائم. وعلاوة على ذلك، تتشارك جميع المواقع في السعة المتاحة بحيث يتحدد عرض النطاق اللازم بذروة الطلب على امتداد جميع الخلايا التي يقل فيها كثيراً تواتر ذرى الحركة، كحركة تصفح الإنترنت، عن مجموع ذرى الطلب في كل خلية.</w:t>
      </w:r>
    </w:p>
    <w:p w:rsidR="00111C25" w:rsidRDefault="00111C25" w:rsidP="000A14D1">
      <w:pPr>
        <w:rPr>
          <w:rtl/>
        </w:rPr>
      </w:pPr>
      <w:r>
        <w:rPr>
          <w:rtl/>
        </w:rPr>
        <w:t xml:space="preserve">وتتمثل إحدى مشاكل أنظمة النقطة إلى عدة نقاط </w:t>
      </w:r>
      <w:r>
        <w:t>(</w:t>
      </w:r>
      <w:r>
        <w:rPr>
          <w:lang w:bidi="ar"/>
        </w:rPr>
        <w:t>PtMP</w:t>
      </w:r>
      <w:r>
        <w:t>)</w:t>
      </w:r>
      <w:r>
        <w:rPr>
          <w:rtl/>
        </w:rPr>
        <w:t xml:space="preserve"> في اتساع حزمة هوائي المحطة المركزية الذي يقلل من كفاءة الطيف عنها لدى استخدام هوائيات متعددة شديدة الاتجاهية. ويمكن أن تعترض المشاكل بعض أدوات التخطيط الراديوي في إدارة نظامي النقطة إلى نقطة </w:t>
      </w:r>
      <w:r>
        <w:t>(</w:t>
      </w:r>
      <w:r>
        <w:rPr>
          <w:lang w:bidi="ar"/>
        </w:rPr>
        <w:t>PtP</w:t>
      </w:r>
      <w:r>
        <w:t>)</w:t>
      </w:r>
      <w:r>
        <w:rPr>
          <w:rtl/>
        </w:rPr>
        <w:t xml:space="preserve"> والنقطة إلى عدة نقاط </w:t>
      </w:r>
      <w:r>
        <w:t>(</w:t>
      </w:r>
      <w:r>
        <w:rPr>
          <w:lang w:bidi="ar"/>
        </w:rPr>
        <w:t>PtMP</w:t>
      </w:r>
      <w:r>
        <w:t>)</w:t>
      </w:r>
      <w:r>
        <w:rPr>
          <w:rtl/>
        </w:rPr>
        <w:t xml:space="preserve"> معاً عند تشغيلهما </w:t>
      </w:r>
      <w:r>
        <w:rPr>
          <w:spacing w:val="-4"/>
          <w:rtl/>
        </w:rPr>
        <w:t>على ترددات مشتركة. ولهذا السبب لا تمنح كل الهيئات التنظيمية تراخيص لاستخدام طيف تسمح بالترخيص في كل موقع</w:t>
      </w:r>
      <w:r>
        <w:rPr>
          <w:rtl/>
        </w:rPr>
        <w:t xml:space="preserve"> على حدة، مما يتطلب شراء كتل الطيف في</w:t>
      </w:r>
      <w:r w:rsidR="000A14D1">
        <w:rPr>
          <w:rFonts w:hint="cs"/>
          <w:rtl/>
        </w:rPr>
        <w:t> </w:t>
      </w:r>
      <w:r>
        <w:rPr>
          <w:rtl/>
        </w:rPr>
        <w:t>مزاد.</w:t>
      </w:r>
    </w:p>
    <w:p w:rsidR="00111C25" w:rsidRDefault="00111C25" w:rsidP="00111C25">
      <w:pPr>
        <w:rPr>
          <w:rtl/>
        </w:rPr>
      </w:pPr>
      <w:r>
        <w:rPr>
          <w:rtl/>
        </w:rPr>
        <w:t>وعندما تتضاءل مساحات الخلايا كثيراً يصبح من المهم أن تكون علب المعدات مدمجة - ومثالها تلك التي تعلق على أثاث الشوارع مثل أضواء الشوارع. وقد تضيق مساحة هذه العلب بهوائي اتجاهي، وقد يصعب عليها الحفاظ على دقة التوجيه العالية اللازمة لهوائيات الصحن المكافئي، وفي المناطق الحضرية غالباً، قد يصعب عليها إيجاد خط بصر إلى المحطة المركزية.</w:t>
      </w:r>
    </w:p>
    <w:p w:rsidR="00111C25" w:rsidRDefault="00111C25" w:rsidP="00111C25">
      <w:pPr>
        <w:rPr>
          <w:rtl/>
        </w:rPr>
      </w:pPr>
      <w:r>
        <w:rPr>
          <w:rtl/>
        </w:rPr>
        <w:t>ونظراً لهذه السيناريوهات فكرت بعض المنظمات في النظر في وصلات وسيطة بأسلوب التشابك.</w:t>
      </w:r>
    </w:p>
    <w:p w:rsidR="00111C25" w:rsidRDefault="00111C25" w:rsidP="000A14D1">
      <w:pPr>
        <w:pStyle w:val="Figuretitle"/>
        <w:rPr>
          <w:rtl/>
        </w:rPr>
      </w:pPr>
      <w:bookmarkStart w:id="117" w:name="_Toc372276148"/>
      <w:bookmarkStart w:id="118" w:name="_Toc380497248"/>
      <w:r>
        <w:rPr>
          <w:rtl/>
        </w:rPr>
        <w:lastRenderedPageBreak/>
        <w:t xml:space="preserve">الشكل </w:t>
      </w:r>
      <w:r>
        <w:t>3-1.1.6.3</w:t>
      </w:r>
      <w:r w:rsidR="000A14D1">
        <w:rPr>
          <w:rFonts w:hint="cs"/>
          <w:rtl/>
        </w:rPr>
        <w:t>:</w:t>
      </w:r>
      <w:r>
        <w:rPr>
          <w:rtl/>
        </w:rPr>
        <w:t xml:space="preserve"> </w:t>
      </w:r>
      <w:r>
        <w:rPr>
          <w:rFonts w:hint="cs"/>
          <w:rtl/>
        </w:rPr>
        <w:t>شبكات التشابك</w:t>
      </w:r>
      <w:bookmarkEnd w:id="117"/>
      <w:bookmarkEnd w:id="118"/>
    </w:p>
    <w:p w:rsidR="00111C25" w:rsidRDefault="00111C25" w:rsidP="000A14D1">
      <w:pPr>
        <w:pStyle w:val="Figure"/>
        <w:rPr>
          <w:rtl/>
          <w:lang w:bidi="ar-SY"/>
        </w:rPr>
      </w:pPr>
      <w:r>
        <w:rPr>
          <w:noProof/>
          <w:lang w:val="en-US" w:eastAsia="zh-CN"/>
        </w:rPr>
        <w:drawing>
          <wp:inline distT="0" distB="0" distL="0" distR="0" wp14:anchorId="11BC46F8" wp14:editId="7EFB608C">
            <wp:extent cx="2616200" cy="19558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6200" cy="1955800"/>
                    </a:xfrm>
                    <a:prstGeom prst="rect">
                      <a:avLst/>
                    </a:prstGeom>
                    <a:noFill/>
                    <a:ln>
                      <a:noFill/>
                    </a:ln>
                  </pic:spPr>
                </pic:pic>
              </a:graphicData>
            </a:graphic>
          </wp:inline>
        </w:drawing>
      </w:r>
    </w:p>
    <w:p w:rsidR="000A14D1" w:rsidRDefault="000A14D1" w:rsidP="000A14D1">
      <w:pPr>
        <w:pStyle w:val="Figure"/>
        <w:spacing w:before="0"/>
        <w:rPr>
          <w:rtl/>
          <w:lang w:bidi="ar-SY"/>
        </w:rPr>
      </w:pPr>
    </w:p>
    <w:p w:rsidR="00111C25" w:rsidRDefault="00111C25" w:rsidP="000A14D1">
      <w:pPr>
        <w:spacing w:before="240"/>
        <w:rPr>
          <w:rtl/>
          <w:lang w:bidi="ar-EG"/>
        </w:rPr>
      </w:pPr>
      <w:r>
        <w:rPr>
          <w:rtl/>
        </w:rPr>
        <w:t>حيثما تقع العديد من الخلايا الصغيرة تحت الأسطح، في أضواء الشوارع مثلاً، قد يصعب الحصول على خط البصر اللازم للوصلات الوسيطة.</w:t>
      </w:r>
    </w:p>
    <w:p w:rsidR="00111C25" w:rsidRDefault="00111C25" w:rsidP="00111C25">
      <w:pPr>
        <w:rPr>
          <w:rtl/>
        </w:rPr>
      </w:pPr>
      <w:r>
        <w:rPr>
          <w:rtl/>
        </w:rPr>
        <w:t>وإذ تكثر أيضاً المواقع التي يتعين نشرها، يصبح من المهم الحفاظ على تكاليف التركيب عند أدنى مستوى ممكن. ويتمثل أحد الحلول في أن تتخاطب المواقع فيما بينها كما العقد في تشابك، ويفضل تشكيل المكون الراديوي تلقائياً على هذا النحو. فالحركة تحتشد عبر التشابك حتى تصل إلى عقدة نفاذ يمكن أن تكون وصلة ألياف بصرية أو من نقطة إلى نقطة. ويعمل كل موقع كعقدة داخل شبكة مسيّراً الحركة من مواقع أخرى بطريقة تتيح المرونة وتسمح أيضاً بإدخال مواقع جديدة تلقائياً.</w:t>
      </w:r>
    </w:p>
    <w:p w:rsidR="00111C25" w:rsidRDefault="00111C25" w:rsidP="00111C25">
      <w:pPr>
        <w:rPr>
          <w:rtl/>
        </w:rPr>
      </w:pPr>
      <w:r>
        <w:rPr>
          <w:rtl/>
        </w:rPr>
        <w:t>وتتمثل إحدى مشاكل شبكات التشابك في تراكم الحركة وإمكانية اكتظاظ الوصلات الأقرب إلى عقدة النفاذ. وعلاوة على ذلك، يمكن أن تكون هناك صعوبات في بعض أدوات التخطيط من حيث إدراج شبكات تشابك منخفضة الكسب في تخطيط الطيف. ولهذا السبب مرة أخرى تحصر بعض الهيئات التنظيمية استخدام هذا النوع من التكنولوجيا في النطاقات المرخصة ترخيصاً متهاوناً. ويمكن أن تزدحم هذه النطاقات مما يؤدي إلى انخفاض جودة الخدمة.</w:t>
      </w:r>
    </w:p>
    <w:p w:rsidR="00111C25" w:rsidRDefault="00111C25" w:rsidP="00111C25">
      <w:pPr>
        <w:pStyle w:val="Heading4"/>
        <w:rPr>
          <w:rtl/>
        </w:rPr>
      </w:pPr>
      <w:r>
        <w:t>2.1.6.3</w:t>
      </w:r>
      <w:r>
        <w:rPr>
          <w:rtl/>
        </w:rPr>
        <w:tab/>
        <w:t>نماذج الترخيص</w:t>
      </w:r>
    </w:p>
    <w:p w:rsidR="00111C25" w:rsidRDefault="00111C25" w:rsidP="00111C25">
      <w:pPr>
        <w:keepNext/>
        <w:rPr>
          <w:spacing w:val="-6"/>
        </w:rPr>
      </w:pPr>
      <w:r>
        <w:rPr>
          <w:spacing w:val="-6"/>
          <w:rtl/>
        </w:rPr>
        <w:t>هناك مجموعة واسعة من النطاقات الترددية المتاحة لاستخدام الوصلات الوسيطة اللاسلكية، حسب المعمارية المستخدمة غالباً.</w:t>
      </w:r>
    </w:p>
    <w:p w:rsidR="00111C25" w:rsidRDefault="00111C25" w:rsidP="00111C25">
      <w:pPr>
        <w:keepNext/>
        <w:rPr>
          <w:rtl/>
        </w:rPr>
      </w:pPr>
      <w:r>
        <w:rPr>
          <w:rtl/>
        </w:rPr>
        <w:t>ويمكن استخدام عدد من النماذج التنظيمية المختلفة لتوفير النفاذ إلى الطيف، بما في ذلك:</w:t>
      </w:r>
    </w:p>
    <w:p w:rsidR="00111C25" w:rsidRDefault="00111C25" w:rsidP="00111C25">
      <w:pPr>
        <w:rPr>
          <w:rtl/>
          <w:lang w:bidi="ar"/>
        </w:rPr>
      </w:pPr>
      <w:r>
        <w:rPr>
          <w:b/>
          <w:bCs/>
          <w:rtl/>
        </w:rPr>
        <w:t>الإعفاء من الترخيص</w:t>
      </w:r>
      <w:r>
        <w:rPr>
          <w:rtl/>
        </w:rPr>
        <w:t>: والأمثلة على ذلك نطاق واي فاي </w:t>
      </w:r>
      <w:r>
        <w:rPr>
          <w:lang w:bidi="ar"/>
        </w:rPr>
        <w:t>(WiFi GHz 2,4)</w:t>
      </w:r>
      <w:r>
        <w:rPr>
          <w:rtl/>
        </w:rPr>
        <w:t xml:space="preserve"> ونطاقات الشبكات المحلية الراديوية</w:t>
      </w:r>
      <w:r>
        <w:rPr>
          <w:rFonts w:hint="cs"/>
          <w:lang w:bidi="ar"/>
        </w:rPr>
        <w:t xml:space="preserve"> </w:t>
      </w:r>
      <w:r>
        <w:rPr>
          <w:lang w:bidi="ar"/>
        </w:rPr>
        <w:t>5,1)</w:t>
      </w:r>
      <w:r>
        <w:rPr>
          <w:rtl/>
          <w:lang w:bidi="ar"/>
        </w:rPr>
        <w:t> </w:t>
      </w:r>
      <w:r>
        <w:rPr>
          <w:lang w:bidi="ar"/>
        </w:rPr>
        <w:t>(RLAN GHz</w:t>
      </w:r>
      <w:r>
        <w:rPr>
          <w:rtl/>
        </w:rPr>
        <w:t xml:space="preserve"> </w:t>
      </w:r>
      <w:r>
        <w:rPr>
          <w:rFonts w:hint="cs"/>
          <w:rtl/>
        </w:rPr>
        <w:t>حيث يمكن شراء المعدات وتشغيلها دون الحاجة إلى ترخيص.</w:t>
      </w:r>
    </w:p>
    <w:p w:rsidR="00111C25" w:rsidRDefault="00111C25" w:rsidP="00111C25">
      <w:pPr>
        <w:rPr>
          <w:lang w:bidi="ar-EG"/>
        </w:rPr>
      </w:pPr>
      <w:r>
        <w:rPr>
          <w:b/>
          <w:bCs/>
          <w:rtl/>
        </w:rPr>
        <w:t>النطاقات المرخصة ترخيصاً متهاوناً</w:t>
      </w:r>
      <w:r>
        <w:rPr>
          <w:rtl/>
        </w:rPr>
        <w:t xml:space="preserve">: هناك في بعض البلدان عملية تسجيل بسيطة لنطاقات مثل نطاقات </w:t>
      </w:r>
      <w:r>
        <w:t>5</w:t>
      </w:r>
      <w:r>
        <w:rPr>
          <w:rtl/>
        </w:rPr>
        <w:t xml:space="preserve"> </w:t>
      </w:r>
      <w:r>
        <w:rPr>
          <w:lang w:bidi="ar"/>
        </w:rPr>
        <w:t>GHz</w:t>
      </w:r>
      <w:r>
        <w:rPr>
          <w:rtl/>
        </w:rPr>
        <w:t xml:space="preserve"> و</w:t>
      </w:r>
      <w:r>
        <w:t>60</w:t>
      </w:r>
      <w:r>
        <w:rPr>
          <w:rtl/>
        </w:rPr>
        <w:t> </w:t>
      </w:r>
      <w:r>
        <w:rPr>
          <w:lang w:bidi="ar"/>
        </w:rPr>
        <w:t>GHz</w:t>
      </w:r>
      <w:r>
        <w:rPr>
          <w:rtl/>
        </w:rPr>
        <w:t xml:space="preserve"> و</w:t>
      </w:r>
      <w:r>
        <w:t>80/70</w:t>
      </w:r>
      <w:r>
        <w:rPr>
          <w:rtl/>
        </w:rPr>
        <w:t> </w:t>
      </w:r>
      <w:r>
        <w:rPr>
          <w:lang w:bidi="ar"/>
        </w:rPr>
        <w:t>GHz</w:t>
      </w:r>
      <w:r>
        <w:rPr>
          <w:rtl/>
        </w:rPr>
        <w:t xml:space="preserve"> العليا. ولا تقوم هيئة التنظيم بأي مهام توافق أو تخطيط، لكن يمكن للمستخدمين استخدام قائمة الأنظمة المسجلة لإدارة هذه النطاقات ذاتياً. فعلى سبيل المثال، كثيراً ما يُفترض في حالة تداخل أن الأولوية تعود إلى المنظمة التي سجلت قبل غيرها.</w:t>
      </w:r>
    </w:p>
    <w:p w:rsidR="00111C25" w:rsidRDefault="00111C25" w:rsidP="00111C25">
      <w:pPr>
        <w:rPr>
          <w:rtl/>
        </w:rPr>
      </w:pPr>
      <w:r>
        <w:rPr>
          <w:b/>
          <w:bCs/>
          <w:rtl/>
        </w:rPr>
        <w:t>ترخيص الموقع</w:t>
      </w:r>
      <w:r>
        <w:rPr>
          <w:rtl/>
        </w:rPr>
        <w:t xml:space="preserve">: هذه هي الطريقة التقليدية لتوفير الوصلة الوسيطة من نقطة إلى نقطة </w:t>
      </w:r>
      <w:r>
        <w:t>(</w:t>
      </w:r>
      <w:r>
        <w:rPr>
          <w:lang w:bidi="ar"/>
        </w:rPr>
        <w:t>PtP</w:t>
      </w:r>
      <w:r>
        <w:t>)</w:t>
      </w:r>
      <w:r>
        <w:rPr>
          <w:rtl/>
        </w:rPr>
        <w:t xml:space="preserve">، وهي تنطوي على قيام هيئة تنظيمية أو طرف ثالث معتمد بمهام إدارة الطيف بما في ذلك التخطيط وتحليل التداخل. وهناك مجموعة واسعة من النطاقات المتاحة بما في ذلك، على سبيل المثال لا الحصر، إلى </w:t>
      </w:r>
      <w:r>
        <w:t>1,4</w:t>
      </w:r>
      <w:r>
        <w:rPr>
          <w:rtl/>
        </w:rPr>
        <w:t xml:space="preserve"> </w:t>
      </w:r>
      <w:r>
        <w:rPr>
          <w:rFonts w:hint="cs"/>
          <w:rtl/>
        </w:rPr>
        <w:t>و</w:t>
      </w:r>
      <w:r>
        <w:t>6</w:t>
      </w:r>
      <w:r>
        <w:rPr>
          <w:rtl/>
        </w:rPr>
        <w:t xml:space="preserve"> </w:t>
      </w:r>
      <w:r>
        <w:rPr>
          <w:rFonts w:hint="cs"/>
          <w:rtl/>
        </w:rPr>
        <w:t>و</w:t>
      </w:r>
      <w:r>
        <w:t>7</w:t>
      </w:r>
      <w:r>
        <w:rPr>
          <w:rtl/>
        </w:rPr>
        <w:t xml:space="preserve"> </w:t>
      </w:r>
      <w:r>
        <w:rPr>
          <w:rFonts w:hint="cs"/>
          <w:rtl/>
        </w:rPr>
        <w:t>و</w:t>
      </w:r>
      <w:r>
        <w:t>12</w:t>
      </w:r>
      <w:r>
        <w:rPr>
          <w:rtl/>
        </w:rPr>
        <w:t xml:space="preserve"> </w:t>
      </w:r>
      <w:r>
        <w:rPr>
          <w:rFonts w:hint="cs"/>
          <w:rtl/>
        </w:rPr>
        <w:t>و</w:t>
      </w:r>
      <w:r>
        <w:t>14</w:t>
      </w:r>
      <w:r>
        <w:rPr>
          <w:rtl/>
        </w:rPr>
        <w:t xml:space="preserve"> </w:t>
      </w:r>
      <w:r>
        <w:rPr>
          <w:rFonts w:hint="cs"/>
          <w:rtl/>
        </w:rPr>
        <w:t>و</w:t>
      </w:r>
      <w:r>
        <w:t>18</w:t>
      </w:r>
      <w:r>
        <w:rPr>
          <w:rtl/>
        </w:rPr>
        <w:t xml:space="preserve"> </w:t>
      </w:r>
      <w:r>
        <w:rPr>
          <w:rFonts w:hint="cs"/>
          <w:rtl/>
        </w:rPr>
        <w:t>و</w:t>
      </w:r>
      <w:r>
        <w:t>23</w:t>
      </w:r>
      <w:r>
        <w:rPr>
          <w:rtl/>
        </w:rPr>
        <w:t xml:space="preserve"> </w:t>
      </w:r>
      <w:r>
        <w:rPr>
          <w:rFonts w:hint="cs"/>
          <w:rtl/>
        </w:rPr>
        <w:t>و</w:t>
      </w:r>
      <w:r>
        <w:t>25</w:t>
      </w:r>
      <w:r>
        <w:rPr>
          <w:rtl/>
        </w:rPr>
        <w:t xml:space="preserve"> </w:t>
      </w:r>
      <w:r>
        <w:rPr>
          <w:rFonts w:hint="cs"/>
          <w:rtl/>
        </w:rPr>
        <w:t>و</w:t>
      </w:r>
      <w:r>
        <w:t>28</w:t>
      </w:r>
      <w:r>
        <w:rPr>
          <w:rtl/>
        </w:rPr>
        <w:t xml:space="preserve"> </w:t>
      </w:r>
      <w:r>
        <w:rPr>
          <w:rFonts w:hint="cs"/>
          <w:rtl/>
        </w:rPr>
        <w:t>و</w:t>
      </w:r>
      <w:r>
        <w:t>32</w:t>
      </w:r>
      <w:r>
        <w:rPr>
          <w:rtl/>
        </w:rPr>
        <w:t xml:space="preserve"> </w:t>
      </w:r>
      <w:r>
        <w:rPr>
          <w:rFonts w:hint="cs"/>
          <w:rtl/>
        </w:rPr>
        <w:t>و</w:t>
      </w:r>
      <w:r>
        <w:t>36</w:t>
      </w:r>
      <w:r>
        <w:rPr>
          <w:rtl/>
        </w:rPr>
        <w:t xml:space="preserve"> و</w:t>
      </w:r>
      <w:r>
        <w:t>42</w:t>
      </w:r>
      <w:r>
        <w:rPr>
          <w:rtl/>
        </w:rPr>
        <w:t> </w:t>
      </w:r>
      <w:r>
        <w:rPr>
          <w:lang w:bidi="ar"/>
        </w:rPr>
        <w:t>GHz</w:t>
      </w:r>
      <w:r>
        <w:rPr>
          <w:rtl/>
        </w:rPr>
        <w:t>.</w:t>
      </w:r>
    </w:p>
    <w:p w:rsidR="00111C25" w:rsidRDefault="00111C25" w:rsidP="00111C25">
      <w:pPr>
        <w:rPr>
          <w:rtl/>
        </w:rPr>
      </w:pPr>
      <w:r>
        <w:rPr>
          <w:b/>
          <w:bCs/>
          <w:rtl/>
        </w:rPr>
        <w:t>ترخيص كتل</w:t>
      </w:r>
      <w:r>
        <w:rPr>
          <w:rtl/>
        </w:rPr>
        <w:t>: في هذه الحالة يتيح المنظم، عن طريق المزادات عادة، كتل كاملة من الطيف يمكن للمستخدم (مشغل مثلاً) أن يديرها بنفسه.</w:t>
      </w:r>
    </w:p>
    <w:p w:rsidR="00111C25" w:rsidRDefault="00111C25" w:rsidP="00111C25">
      <w:pPr>
        <w:rPr>
          <w:rtl/>
        </w:rPr>
      </w:pPr>
      <w:r>
        <w:rPr>
          <w:rtl/>
        </w:rPr>
        <w:lastRenderedPageBreak/>
        <w:t xml:space="preserve">وفي هذه الحالة هناك قيود عامة (من حيث الترددات والجغرافيا والقدرة المشعة المكافئة المتناحية </w:t>
      </w:r>
      <w:r>
        <w:t>(</w:t>
      </w:r>
      <w:r>
        <w:rPr>
          <w:lang w:bidi="ar"/>
        </w:rPr>
        <w:t>EIRP</w:t>
      </w:r>
      <w:r>
        <w:t>)</w:t>
      </w:r>
      <w:r>
        <w:rPr>
          <w:rtl/>
        </w:rPr>
        <w:t xml:space="preserve"> القصوى </w:t>
      </w:r>
      <w:r>
        <w:rPr>
          <w:spacing w:val="2"/>
          <w:rtl/>
        </w:rPr>
        <w:t xml:space="preserve">وأقنعة حافة الكتلة، وغيرها) يجب الالتزام بها، ولكن بغض النظر عن ذلك هناك مرونة في استخدام هذا الترخيص. </w:t>
      </w:r>
      <w:r>
        <w:rPr>
          <w:spacing w:val="6"/>
          <w:rtl/>
        </w:rPr>
        <w:t>وستعتمد النطاقات الترددية المتاحة على هيئة التنظيم الوطنية، ولكن النطاقات المتاحة في المملكة المتحدة هي</w:t>
      </w:r>
      <w:r>
        <w:rPr>
          <w:rtl/>
        </w:rPr>
        <w:t> </w:t>
      </w:r>
      <w:r>
        <w:t>10</w:t>
      </w:r>
      <w:r>
        <w:rPr>
          <w:rtl/>
        </w:rPr>
        <w:t xml:space="preserve"> </w:t>
      </w:r>
      <w:r>
        <w:rPr>
          <w:rFonts w:hint="cs"/>
          <w:rtl/>
        </w:rPr>
        <w:t>و</w:t>
      </w:r>
      <w:r>
        <w:t>28</w:t>
      </w:r>
      <w:r>
        <w:rPr>
          <w:rtl/>
        </w:rPr>
        <w:t xml:space="preserve"> </w:t>
      </w:r>
      <w:r>
        <w:rPr>
          <w:rFonts w:hint="cs"/>
          <w:rtl/>
        </w:rPr>
        <w:t>و</w:t>
      </w:r>
      <w:r>
        <w:t>32</w:t>
      </w:r>
      <w:r>
        <w:rPr>
          <w:rtl/>
        </w:rPr>
        <w:t xml:space="preserve"> و</w:t>
      </w:r>
      <w:r>
        <w:t>40</w:t>
      </w:r>
      <w:r>
        <w:rPr>
          <w:rtl/>
        </w:rPr>
        <w:t> </w:t>
      </w:r>
      <w:r>
        <w:rPr>
          <w:lang w:bidi="ar"/>
        </w:rPr>
        <w:t>GHz</w:t>
      </w:r>
      <w:r>
        <w:rPr>
          <w:rtl/>
        </w:rPr>
        <w:t>.</w:t>
      </w:r>
    </w:p>
    <w:p w:rsidR="00111C25" w:rsidRDefault="00111C25" w:rsidP="00111C25">
      <w:pPr>
        <w:pStyle w:val="Heading4"/>
        <w:rPr>
          <w:rtl/>
        </w:rPr>
      </w:pPr>
      <w:r>
        <w:t>3.1.6.3</w:t>
      </w:r>
      <w:r>
        <w:rPr>
          <w:rtl/>
        </w:rPr>
        <w:tab/>
        <w:t xml:space="preserve"> مثال سيناريو</w:t>
      </w:r>
    </w:p>
    <w:p w:rsidR="00111C25" w:rsidRDefault="00111C25" w:rsidP="00111C25">
      <w:pPr>
        <w:rPr>
          <w:rtl/>
        </w:rPr>
      </w:pPr>
      <w:r>
        <w:rPr>
          <w:rtl/>
        </w:rPr>
        <w:t>يمكن أن تدعو الضرورة للجمع بين كل هذه التكنولوجيات ونماذج الترخيص للخروج بحل متكامل للوصلات الوسيطة فعال من حيث التكلفة.</w:t>
      </w:r>
    </w:p>
    <w:p w:rsidR="00111C25" w:rsidRDefault="00111C25" w:rsidP="00111C25">
      <w:pPr>
        <w:rPr>
          <w:rtl/>
        </w:rPr>
      </w:pPr>
      <w:r>
        <w:rPr>
          <w:rtl/>
        </w:rPr>
        <w:t xml:space="preserve">لننظر في مثال السيناريو أدناه. في البداية عندما تسود في الشبكة حركة الاتصالات الصوتية أو رسائل البيانات ذات المعدل المنخفض يمكن أن يكتفى بمحطة قاعدة واحدة تستخدم وصلة النقطة إلى نقطة </w:t>
      </w:r>
      <w:r>
        <w:t>(</w:t>
      </w:r>
      <w:r>
        <w:rPr>
          <w:lang w:bidi="ar"/>
        </w:rPr>
        <w:t>PtP</w:t>
      </w:r>
      <w:r>
        <w:t>)</w:t>
      </w:r>
      <w:r>
        <w:rPr>
          <w:rtl/>
        </w:rPr>
        <w:t xml:space="preserve"> كوصلة وسيطة:</w:t>
      </w:r>
    </w:p>
    <w:p w:rsidR="00111C25" w:rsidRDefault="00111C25" w:rsidP="000A14D1">
      <w:pPr>
        <w:pStyle w:val="Figuretitle"/>
        <w:rPr>
          <w:rtl/>
        </w:rPr>
      </w:pPr>
      <w:bookmarkStart w:id="119" w:name="_Toc372276149"/>
      <w:bookmarkStart w:id="120" w:name="_Toc380497249"/>
      <w:r>
        <w:rPr>
          <w:rtl/>
        </w:rPr>
        <w:t xml:space="preserve">الشكل </w:t>
      </w:r>
      <w:r>
        <w:t>1</w:t>
      </w:r>
      <w:r w:rsidR="000A14D1">
        <w:t>-</w:t>
      </w:r>
      <w:r>
        <w:t>3.1.6.3</w:t>
      </w:r>
      <w:r w:rsidR="000A14D1">
        <w:rPr>
          <w:rFonts w:hint="cs"/>
          <w:rtl/>
        </w:rPr>
        <w:t>:</w:t>
      </w:r>
      <w:r>
        <w:rPr>
          <w:rtl/>
        </w:rPr>
        <w:t xml:space="preserve"> </w:t>
      </w:r>
      <w:r>
        <w:rPr>
          <w:rFonts w:hint="cs"/>
          <w:rtl/>
        </w:rPr>
        <w:t xml:space="preserve">مثال السيناريو </w:t>
      </w:r>
      <w:r>
        <w:t>1</w:t>
      </w:r>
      <w:bookmarkEnd w:id="119"/>
      <w:bookmarkEnd w:id="120"/>
    </w:p>
    <w:p w:rsidR="00111C25" w:rsidRDefault="00111C25" w:rsidP="000A14D1">
      <w:pPr>
        <w:pStyle w:val="Figure"/>
        <w:rPr>
          <w:rtl/>
        </w:rPr>
      </w:pPr>
      <w:r>
        <w:rPr>
          <w:noProof/>
          <w:rtl/>
          <w:lang w:val="en-US" w:eastAsia="zh-CN"/>
        </w:rPr>
        <mc:AlternateContent>
          <mc:Choice Requires="wpg">
            <w:drawing>
              <wp:anchor distT="0" distB="0" distL="114300" distR="114300" simplePos="0" relativeHeight="251640832" behindDoc="0" locked="0" layoutInCell="1" allowOverlap="1" wp14:anchorId="0CB3CD81" wp14:editId="68DF7DE4">
                <wp:simplePos x="0" y="0"/>
                <wp:positionH relativeFrom="column">
                  <wp:posOffset>4065905</wp:posOffset>
                </wp:positionH>
                <wp:positionV relativeFrom="paragraph">
                  <wp:posOffset>132080</wp:posOffset>
                </wp:positionV>
                <wp:extent cx="513080" cy="455295"/>
                <wp:effectExtent l="0" t="0" r="2540" b="3175"/>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455295"/>
                          <a:chOff x="7600" y="1626"/>
                          <a:chExt cx="808" cy="717"/>
                        </a:xfrm>
                      </wpg:grpSpPr>
                      <wps:wsp>
                        <wps:cNvPr id="562" name="Rectangle 956"/>
                        <wps:cNvSpPr>
                          <a:spLocks noChangeArrowheads="1"/>
                        </wps:cNvSpPr>
                        <wps:spPr bwMode="auto">
                          <a:xfrm>
                            <a:off x="7741" y="1746"/>
                            <a:ext cx="509" cy="462"/>
                          </a:xfrm>
                          <a:prstGeom prst="rect">
                            <a:avLst/>
                          </a:prstGeom>
                          <a:gradFill rotWithShape="0">
                            <a:gsLst>
                              <a:gs pos="0">
                                <a:srgbClr val="B3D9FF">
                                  <a:gamma/>
                                  <a:tint val="20000"/>
                                  <a:invGamma/>
                                </a:srgbClr>
                              </a:gs>
                              <a:gs pos="100000">
                                <a:srgbClr val="B3D9FF"/>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Text Box 957"/>
                        <wps:cNvSpPr txBox="1">
                          <a:spLocks noChangeArrowheads="1"/>
                        </wps:cNvSpPr>
                        <wps:spPr bwMode="auto">
                          <a:xfrm>
                            <a:off x="7600" y="1626"/>
                            <a:ext cx="80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7D3" w:rsidRDefault="005A67D3" w:rsidP="00111C25">
                              <w:pPr>
                                <w:pStyle w:val="TableText1"/>
                                <w:spacing w:line="220" w:lineRule="exact"/>
                                <w:jc w:val="center"/>
                                <w:rPr>
                                  <w:sz w:val="14"/>
                                  <w:szCs w:val="20"/>
                                  <w:lang w:bidi="ar-EG"/>
                                </w:rPr>
                              </w:pPr>
                              <w:r>
                                <w:rPr>
                                  <w:sz w:val="14"/>
                                  <w:szCs w:val="20"/>
                                  <w:rtl/>
                                  <w:lang w:bidi="ar-EG"/>
                                </w:rPr>
                                <w:t>شبكة أساسية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 o:spid="_x0000_s1104" style="position:absolute;left:0;text-align:left;margin-left:320.15pt;margin-top:10.4pt;width:40.4pt;height:35.85pt;z-index:251640832" coordorigin="7600,1626" coordsize="80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8P2AMAAFELAAAOAAAAZHJzL2Uyb0RvYy54bWzsVk1v4zYQvRfofyB4dywp+rCEKIvEtoIC&#10;abvobtEzLVESUYlUSTpytuh/75CUvHK2i3ZTtOihOSgkhxzOvDfzzJs3p75DT1QqJniO/SsPI8pL&#10;UTHe5PjH98Vqg5HShFekE5zm+Jkq/Ob2669uxiGjgWhFV1GJwAlX2TjkuNV6yNZrVba0J+pKDJSD&#10;sRayJxqmsllXkozgve/WgefF61HIapCipErB6s4Z8a31X9e01N/XtaIadTmG2LT9Svs9mO/69oZk&#10;jSRDy8opDPKKKHrCOFx6drUjmqCjZJ+46lkphRK1vipFvxZ1zUpqc4BsfO9FNg9SHAebS5ONzXCG&#10;CaB9gdOr3ZbfPb2ViFU5jmIfI056IMnei8wCwDMOTQa7HuTwbngrXY4wfBTlzwrM65d2M2/cZnQY&#10;vxUVOCRHLSw8p1r2xgUkjk6WheczC/SkUQmLkX/tbYCrEkxhFAVp5FgqW6DSnEpiD8xg9eMgnm37&#10;6fTGg4ozRxM/MbY1ydylNtApMJMV1Jv6CKn6e5C+a8lALVPKgHWGNJgh/QEqkfCmoyiNbMwmANg5&#10;Y6ocoIiLbQv76J2UYmwpqSAwSwOEvzhgJgro+FOEkyQEWg1WSThhdcbZSyeQ4+ACKZINUukHKnpk&#10;BjmWELyljzw9Ku1AnbdMRV8VrOuQFPonpluLhuHVGhWccQM0CEjHLSvZHLadRE8EOvP+epcWhdtO&#10;+p7AFSTTjGtnhkYHxu0i408P0w5gdnJiWW7U8hLfHPn8TS4HcwS8NHOEHeMIwM9xkLjjSJWko9Ac&#10;jgLb3jZTc1XHzZcLk7nz51YA3yljg7QVgV9TPwi9+yBdFfEmWYVFGK3SxNusPD+9T2MvTMNd8ZvJ&#10;3w+zllUV5Y+M01mQ/PCvVeckjU5KrCShMcdpFEQWWiU6do7+An+brUXYgLrc1jMN+tyxPscbh4ml&#10;wVTmnld2rAnr3Hh9Gb4FFzCY/1tUbB2b0nU9eBDVM5QxFI4pDPNLAoNWyA8YjaDKOVa/HImkGHXf&#10;cKid1A9DI+N2EkZJABO5tByWFsJLcJVjjYFWM9xqJ/3HQbKmhZt8CwwXdyBQNbOlbVrLRQVxmwnI&#10;xL+mF9ezXrw3tXMvTiAXVsYW3Y/0CQxz7P+YcHwqsiYkI9CfldgvFo5z83xhN3npfrPfhKswiPer&#10;0NvtVnfFNlzFhZ9Eu+vddrvzL7vJqpN7ZUCNvrabTL9fdMdFExX2b1LSxbZFV5gw5m4wzv4XCIvB&#10;DMkfCYQ+HU72fRKnBtqP3fnf1wz74oB3m01vemOah+FyDuPlS/j2dwAAAP//AwBQSwMEFAAGAAgA&#10;AAAhAGZB+1PgAAAACQEAAA8AAABkcnMvZG93bnJldi54bWxMj0FLw0AQhe+C/2EZwZvd3dRWjZmU&#10;UtRTEWwF8bZNpklodjdkt0n67x1Pehzm473vZavJtmKgPjTeIeiZAkGu8GXjKoTP/evdI4gQjStN&#10;6x0hXCjAKr++ykxa+tF90LCLleAQF1KDUMfYpVKGoiZrwsx35Ph39L01kc++kmVvRg63rUyUWkpr&#10;GscNteloU1Nx2p0twttoxvVcvwzb03Fz+d4v3r+2mhBvb6b1M4hIU/yD4Vef1SFnp4M/uzKIFmF5&#10;r+aMIiSKJzDwkGgN4oDwlCxA5pn8vyD/AQAA//8DAFBLAQItABQABgAIAAAAIQC2gziS/gAAAOEB&#10;AAATAAAAAAAAAAAAAAAAAAAAAABbQ29udGVudF9UeXBlc10ueG1sUEsBAi0AFAAGAAgAAAAhADj9&#10;If/WAAAAlAEAAAsAAAAAAAAAAAAAAAAALwEAAF9yZWxzLy5yZWxzUEsBAi0AFAAGAAgAAAAhALgS&#10;Dw/YAwAAUQsAAA4AAAAAAAAAAAAAAAAALgIAAGRycy9lMm9Eb2MueG1sUEsBAi0AFAAGAAgAAAAh&#10;AGZB+1PgAAAACQEAAA8AAAAAAAAAAAAAAAAAMgYAAGRycy9kb3ducmV2LnhtbFBLBQYAAAAABAAE&#10;APMAAAA/BwAAAAA=&#10;">
                <v:rect id="Rectangle 956" o:spid="_x0000_s1105" style="position:absolute;left:7741;top:1746;width:5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4c8QA&#10;AADcAAAADwAAAGRycy9kb3ducmV2LnhtbESPT2vCQBDF74V+h2WE3urGiCKpq0hbi56Ktpfehuzk&#10;D2ZnQ3bU5Nu7gtDj4837vXnLde8adaEu1J4NTMYJKOLc25pLA78/29cFqCDIFhvPZGCgAOvV89MS&#10;M+uvfKDLUUoVIRwyNFCJtJnWIa/IYRj7ljh6he8cSpRdqW2H1wh3jU6TZK4d1hwbKmzpvaL8dDy7&#10;+MbnYRqazf77ozgNxfCVCv1NxZiXUb95AyXUy//xI72zBmbzFO5jIgH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eHPEAAAA3AAAAA8AAAAAAAAAAAAAAAAAmAIAAGRycy9k&#10;b3ducmV2LnhtbFBLBQYAAAAABAAEAPUAAACJAwAAAAA=&#10;" fillcolor="#f0f7ff" stroked="f">
                  <v:fill color2="#b3d9ff" angle="45" focus="100%" type="gradient"/>
                </v:rect>
                <v:shape id="Text Box 957" o:spid="_x0000_s1106" type="#_x0000_t202" style="position:absolute;left:7600;top:1626;width:80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5A67D3" w:rsidRDefault="005A67D3" w:rsidP="00111C25">
                        <w:pPr>
                          <w:pStyle w:val="TableText1"/>
                          <w:spacing w:line="220" w:lineRule="exact"/>
                          <w:jc w:val="center"/>
                          <w:rPr>
                            <w:sz w:val="14"/>
                            <w:szCs w:val="20"/>
                            <w:lang w:bidi="ar-EG"/>
                          </w:rPr>
                        </w:pPr>
                        <w:r>
                          <w:rPr>
                            <w:sz w:val="14"/>
                            <w:szCs w:val="20"/>
                            <w:rtl/>
                            <w:lang w:bidi="ar-EG"/>
                          </w:rPr>
                          <w:t>شبكة أساسية</w:t>
                        </w:r>
                      </w:p>
                    </w:txbxContent>
                  </v:textbox>
                </v:shape>
              </v:group>
            </w:pict>
          </mc:Fallback>
        </mc:AlternateContent>
      </w:r>
      <w:r>
        <w:rPr>
          <w:noProof/>
          <w:lang w:val="en-US" w:eastAsia="zh-CN"/>
        </w:rPr>
        <w:drawing>
          <wp:inline distT="0" distB="0" distL="0" distR="0" wp14:anchorId="60ED7E3A" wp14:editId="12104E37">
            <wp:extent cx="3111500" cy="2578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1500" cy="2578100"/>
                    </a:xfrm>
                    <a:prstGeom prst="rect">
                      <a:avLst/>
                    </a:prstGeom>
                    <a:noFill/>
                    <a:ln>
                      <a:noFill/>
                    </a:ln>
                  </pic:spPr>
                </pic:pic>
              </a:graphicData>
            </a:graphic>
          </wp:inline>
        </w:drawing>
      </w:r>
    </w:p>
    <w:p w:rsidR="000A14D1" w:rsidRDefault="000A14D1" w:rsidP="000A14D1">
      <w:pPr>
        <w:pStyle w:val="Figure"/>
        <w:rPr>
          <w:rtl/>
        </w:rPr>
      </w:pPr>
    </w:p>
    <w:p w:rsidR="000A14D1" w:rsidRDefault="000A14D1" w:rsidP="000A14D1">
      <w:pPr>
        <w:rPr>
          <w:rtl/>
        </w:rPr>
      </w:pPr>
    </w:p>
    <w:p w:rsidR="00111C25" w:rsidRDefault="00111C25" w:rsidP="000A14D1">
      <w:pPr>
        <w:rPr>
          <w:rtl/>
          <w:lang w:bidi="ar-EG"/>
        </w:rPr>
      </w:pPr>
      <w:r>
        <w:rPr>
          <w:rtl/>
        </w:rPr>
        <w:t>وبازدياد مستويات الحركة هناك حاجة إلى حل أكثر شمولاً:</w:t>
      </w:r>
    </w:p>
    <w:p w:rsidR="00111C25" w:rsidRDefault="00111C25" w:rsidP="000A14D1">
      <w:pPr>
        <w:pStyle w:val="Figuretitle"/>
        <w:rPr>
          <w:rtl/>
        </w:rPr>
      </w:pPr>
      <w:bookmarkStart w:id="121" w:name="_Toc372276150"/>
      <w:bookmarkStart w:id="122" w:name="_Toc380497250"/>
      <w:r>
        <w:rPr>
          <w:rtl/>
        </w:rPr>
        <w:lastRenderedPageBreak/>
        <w:t xml:space="preserve">الشكل </w:t>
      </w:r>
      <w:r>
        <w:t>2-3.1.6.3</w:t>
      </w:r>
      <w:r w:rsidR="000A14D1">
        <w:rPr>
          <w:rFonts w:hint="cs"/>
          <w:rtl/>
        </w:rPr>
        <w:t>:</w:t>
      </w:r>
      <w:r>
        <w:rPr>
          <w:rtl/>
        </w:rPr>
        <w:t xml:space="preserve"> </w:t>
      </w:r>
      <w:r>
        <w:rPr>
          <w:rFonts w:hint="cs"/>
          <w:rtl/>
        </w:rPr>
        <w:t xml:space="preserve">مثال السيناريو </w:t>
      </w:r>
      <w:r>
        <w:t>2</w:t>
      </w:r>
      <w:bookmarkEnd w:id="121"/>
      <w:bookmarkEnd w:id="122"/>
    </w:p>
    <w:p w:rsidR="00111C25" w:rsidRDefault="00111C25" w:rsidP="000A14D1">
      <w:pPr>
        <w:pStyle w:val="Figure"/>
        <w:rPr>
          <w:rtl/>
        </w:rPr>
      </w:pPr>
      <w:r>
        <w:rPr>
          <w:noProof/>
          <w:lang w:val="en-US" w:eastAsia="zh-CN"/>
        </w:rPr>
        <w:drawing>
          <wp:inline distT="0" distB="0" distL="0" distR="0" wp14:anchorId="169550FA" wp14:editId="795034C0">
            <wp:extent cx="31115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1500" cy="2578100"/>
                    </a:xfrm>
                    <a:prstGeom prst="rect">
                      <a:avLst/>
                    </a:prstGeom>
                    <a:noFill/>
                    <a:ln>
                      <a:noFill/>
                    </a:ln>
                  </pic:spPr>
                </pic:pic>
              </a:graphicData>
            </a:graphic>
          </wp:inline>
        </w:drawing>
      </w:r>
    </w:p>
    <w:p w:rsidR="000A14D1" w:rsidRDefault="000A14D1" w:rsidP="000A14D1">
      <w:pPr>
        <w:pStyle w:val="Figure"/>
      </w:pPr>
    </w:p>
    <w:p w:rsidR="000A14D1" w:rsidRDefault="000A14D1" w:rsidP="000A14D1">
      <w:pPr>
        <w:rPr>
          <w:rtl/>
        </w:rPr>
      </w:pPr>
    </w:p>
    <w:p w:rsidR="00111C25" w:rsidRDefault="00111C25" w:rsidP="00111C25">
      <w:pPr>
        <w:keepNext/>
        <w:rPr>
          <w:rtl/>
          <w:lang w:bidi="ar-SY"/>
        </w:rPr>
      </w:pPr>
      <w:r>
        <w:rPr>
          <w:rtl/>
        </w:rPr>
        <w:t>وتتوفر التغطية الآن بما يلي:</w:t>
      </w:r>
    </w:p>
    <w:p w:rsidR="00111C25" w:rsidRDefault="00111C25" w:rsidP="00111C25">
      <w:pPr>
        <w:pStyle w:val="Enumlevel1"/>
        <w:rPr>
          <w:rtl/>
          <w:lang w:bidi="ar"/>
        </w:rPr>
      </w:pPr>
      <w:r>
        <w:rPr>
          <w:lang w:bidi="ar"/>
        </w:rPr>
        <w:sym w:font="Symbol" w:char="F02D"/>
      </w:r>
      <w:r>
        <w:rPr>
          <w:lang w:bidi="ar"/>
        </w:rPr>
        <w:tab/>
        <w:t>3</w:t>
      </w:r>
      <w:r>
        <w:rPr>
          <w:rtl/>
          <w:lang w:bidi="ar"/>
        </w:rPr>
        <w:t xml:space="preserve"> محطات قاعدة منصوبة على الأسطح؛</w:t>
      </w:r>
    </w:p>
    <w:p w:rsidR="00111C25" w:rsidRDefault="00111C25" w:rsidP="00111C25">
      <w:pPr>
        <w:pStyle w:val="Enumlevel1"/>
        <w:rPr>
          <w:rtl/>
          <w:lang w:bidi="ar-EG"/>
        </w:rPr>
      </w:pPr>
      <w:r>
        <w:rPr>
          <w:lang w:bidi="ar"/>
        </w:rPr>
        <w:sym w:font="Symbol" w:char="F02D"/>
      </w:r>
      <w:r>
        <w:rPr>
          <w:lang w:bidi="ar"/>
        </w:rPr>
        <w:tab/>
        <w:t>15</w:t>
      </w:r>
      <w:r>
        <w:rPr>
          <w:rtl/>
          <w:lang w:bidi="ar"/>
        </w:rPr>
        <w:t xml:space="preserve"> خلية بيكوية تعلَّق على أضواء الشوارع</w:t>
      </w:r>
      <w:r>
        <w:rPr>
          <w:rtl/>
        </w:rPr>
        <w:t>.</w:t>
      </w:r>
    </w:p>
    <w:p w:rsidR="00111C25" w:rsidRDefault="00111C25" w:rsidP="00111C25">
      <w:pPr>
        <w:rPr>
          <w:rtl/>
        </w:rPr>
      </w:pPr>
      <w:r>
        <w:rPr>
          <w:rtl/>
        </w:rPr>
        <w:t xml:space="preserve">ويوضح هذا المثال كيف يمكن استخدام توليفة من وصلات النقطة إلى نقطة </w:t>
      </w:r>
      <w:r>
        <w:t>(</w:t>
      </w:r>
      <w:r>
        <w:rPr>
          <w:lang w:bidi="ar"/>
        </w:rPr>
        <w:t>PtP</w:t>
      </w:r>
      <w:r>
        <w:t>)</w:t>
      </w:r>
      <w:r>
        <w:rPr>
          <w:rtl/>
        </w:rPr>
        <w:t xml:space="preserve"> والنقطة إلى عدة نقاط </w:t>
      </w:r>
      <w:r>
        <w:t>(</w:t>
      </w:r>
      <w:r>
        <w:rPr>
          <w:lang w:bidi="ar"/>
        </w:rPr>
        <w:t>PtMP</w:t>
      </w:r>
      <w:r>
        <w:t>)</w:t>
      </w:r>
      <w:r>
        <w:rPr>
          <w:rtl/>
        </w:rPr>
        <w:t xml:space="preserve"> والتشابك لتوفير الوصلات الوسيطة، على النحو المحدد في الشكل باستخدام المفتاح التالي:</w:t>
      </w:r>
    </w:p>
    <w:p w:rsidR="00111C25" w:rsidRDefault="00111C25" w:rsidP="000A14D1">
      <w:pPr>
        <w:pStyle w:val="Figuretitle"/>
        <w:rPr>
          <w:rtl/>
        </w:rPr>
      </w:pPr>
      <w:bookmarkStart w:id="123" w:name="_Toc372276151"/>
      <w:bookmarkStart w:id="124" w:name="_Toc380497251"/>
      <w:r>
        <w:rPr>
          <w:rtl/>
        </w:rPr>
        <w:t xml:space="preserve">الشكل </w:t>
      </w:r>
      <w:r>
        <w:t>3</w:t>
      </w:r>
      <w:r w:rsidR="000A14D1">
        <w:t>-</w:t>
      </w:r>
      <w:r>
        <w:t>3.1.6.3</w:t>
      </w:r>
      <w:r w:rsidR="000A14D1">
        <w:rPr>
          <w:rFonts w:hint="cs"/>
          <w:rtl/>
        </w:rPr>
        <w:t>:</w:t>
      </w:r>
      <w:r>
        <w:rPr>
          <w:rtl/>
        </w:rPr>
        <w:t xml:space="preserve"> </w:t>
      </w:r>
      <w:r>
        <w:rPr>
          <w:rFonts w:hint="cs"/>
          <w:rtl/>
        </w:rPr>
        <w:t>مفتاح أمثلة السيناريوهات</w:t>
      </w:r>
      <w:bookmarkEnd w:id="123"/>
      <w:bookmarkEnd w:id="124"/>
    </w:p>
    <w:p w:rsidR="00111C25" w:rsidRDefault="00111C25" w:rsidP="000A14D1">
      <w:pPr>
        <w:pStyle w:val="Figure"/>
        <w:rPr>
          <w:rtl/>
          <w:lang w:bidi="ar-SY"/>
        </w:rPr>
      </w:pPr>
      <w:r>
        <w:rPr>
          <w:noProof/>
          <w:lang w:val="en-US" w:eastAsia="zh-CN"/>
        </w:rPr>
        <w:drawing>
          <wp:inline distT="0" distB="0" distL="0" distR="0" wp14:anchorId="150490DB" wp14:editId="6B35D2A2">
            <wp:extent cx="1676400" cy="97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0" cy="977900"/>
                    </a:xfrm>
                    <a:prstGeom prst="rect">
                      <a:avLst/>
                    </a:prstGeom>
                    <a:noFill/>
                    <a:ln>
                      <a:noFill/>
                    </a:ln>
                  </pic:spPr>
                </pic:pic>
              </a:graphicData>
            </a:graphic>
          </wp:inline>
        </w:drawing>
      </w:r>
    </w:p>
    <w:p w:rsidR="000A14D1" w:rsidRDefault="000A14D1" w:rsidP="00111C25">
      <w:pPr>
        <w:rPr>
          <w:rtl/>
        </w:rPr>
      </w:pPr>
    </w:p>
    <w:p w:rsidR="00111C25" w:rsidRDefault="00111C25" w:rsidP="00111C25">
      <w:pPr>
        <w:rPr>
          <w:rtl/>
          <w:lang w:bidi="ar-EG"/>
        </w:rPr>
      </w:pPr>
      <w:r>
        <w:rPr>
          <w:rtl/>
        </w:rPr>
        <w:t xml:space="preserve">راجع الملحق </w:t>
      </w:r>
      <w:r>
        <w:t>III</w:t>
      </w:r>
      <w:r>
        <w:rPr>
          <w:rtl/>
        </w:rPr>
        <w:t xml:space="preserve"> </w:t>
      </w:r>
      <w:r>
        <w:rPr>
          <w:rFonts w:hint="cs"/>
          <w:rtl/>
        </w:rPr>
        <w:t>للاطلاع على قائمة توصيات قطاع الاتصالات الراديوية التي يمكن أن توفر مرجعاً مفيداً بشأن الوصلات الوسيطة اللاسلكية.</w:t>
      </w:r>
    </w:p>
    <w:p w:rsidR="00111C25" w:rsidRDefault="00111C25" w:rsidP="00111C25">
      <w:pPr>
        <w:pStyle w:val="Heading3"/>
        <w:rPr>
          <w:rtl/>
        </w:rPr>
      </w:pPr>
      <w:bookmarkStart w:id="125" w:name="_Toc372276152"/>
      <w:bookmarkStart w:id="126" w:name="_Toc380496739"/>
      <w:r>
        <w:t>2.6.3</w:t>
      </w:r>
      <w:r>
        <w:rPr>
          <w:rtl/>
        </w:rPr>
        <w:tab/>
        <w:t>حلول الوصلات الوسيطة الساتلية</w:t>
      </w:r>
      <w:bookmarkEnd w:id="125"/>
      <w:bookmarkEnd w:id="126"/>
    </w:p>
    <w:p w:rsidR="00111C25" w:rsidRDefault="00111C25" w:rsidP="00111C25">
      <w:r>
        <w:rPr>
          <w:rtl/>
        </w:rPr>
        <w:t xml:space="preserve">أدت الوصلات الوسيطة للنظام العالمي للاتصالات المتنقلة </w:t>
      </w:r>
      <w:r>
        <w:t>(</w:t>
      </w:r>
      <w:r>
        <w:rPr>
          <w:lang w:bidi="ar"/>
        </w:rPr>
        <w:t>GSM</w:t>
      </w:r>
      <w:r>
        <w:t>)</w:t>
      </w:r>
      <w:r>
        <w:rPr>
          <w:rtl/>
        </w:rPr>
        <w:t xml:space="preserve"> </w:t>
      </w:r>
      <w:r>
        <w:rPr>
          <w:rFonts w:hint="cs"/>
          <w:rtl/>
        </w:rPr>
        <w:t xml:space="preserve">القائمة على السواتل دوراً متزايد الأهمية في توسيع نطاق وتغطية المهاتفة المتنقلة وشبكات النطاق العريض المتنقل في جميع أنحاء العالم، لا سيما في الأسواق النامية. وقد أدت التطورات في مجال </w:t>
      </w:r>
      <w:r>
        <w:rPr>
          <w:rtl/>
        </w:rPr>
        <w:t xml:space="preserve">التكنولوجيا إلى حلول ساتلية محكمة وأكثر فعالية من حيث التكلفة، مما يجعلها جزءاً أساسياً من نشر شبكة الاتصالات المتنقلة، وخاصة في المناطق الريفية والنائية. وبينما تسعى الحكومات لضمان التوصيلية المتنقلة لجميع المواطنين، </w:t>
      </w:r>
      <w:r>
        <w:rPr>
          <w:rtl/>
        </w:rPr>
        <w:lastRenderedPageBreak/>
        <w:t>ستستمر الوصلات الوسيطة الساتلية في القيام بدور في توفير التوصيلية إلى المناطق التي تعجز التكنولوجيات الأرضية وحدها عن أن تقدم لها حلاً مجدياً اقتصادياً.</w:t>
      </w:r>
    </w:p>
    <w:p w:rsidR="00111C25" w:rsidRDefault="00111C25" w:rsidP="00111C25">
      <w:pPr>
        <w:rPr>
          <w:rtl/>
        </w:rPr>
      </w:pPr>
      <w:r>
        <w:rPr>
          <w:rtl/>
        </w:rPr>
        <w:t xml:space="preserve">وتشكل الاتصالات الساتلية عنصراً رئيسياً في تصميم البنية التحتية الخلوية من خلال توفير وصلات وسيطة عريضة </w:t>
      </w:r>
      <w:r>
        <w:rPr>
          <w:spacing w:val="-4"/>
          <w:rtl/>
        </w:rPr>
        <w:t xml:space="preserve">النطاق موثوقة وبأسعار معقولة إلى الشبكة الأساسية. ويمكن التوصيل بين مراكز التبديل المتنقلة ووحدات التحكم في محطة </w:t>
      </w:r>
      <w:r>
        <w:rPr>
          <w:rtl/>
        </w:rPr>
        <w:t>القاعدة عبر الساتل، وتخطي كل حواجز المسافات أو التضاريس أو البنية التحتية الأرضية مما يوسع تغطية الشبكة.</w:t>
      </w:r>
    </w:p>
    <w:p w:rsidR="00111C25" w:rsidRDefault="00111C25" w:rsidP="00111C25">
      <w:pPr>
        <w:keepNext/>
        <w:rPr>
          <w:rtl/>
        </w:rPr>
      </w:pPr>
      <w:r>
        <w:rPr>
          <w:rtl/>
        </w:rPr>
        <w:t>ويمكن للخدمات الثابتة الساتلية القيام بما يلي:</w:t>
      </w:r>
    </w:p>
    <w:p w:rsidR="00111C25" w:rsidRDefault="00111C25" w:rsidP="00111C25">
      <w:pPr>
        <w:pStyle w:val="Enumlevel1"/>
        <w:rPr>
          <w:rtl/>
        </w:rPr>
      </w:pPr>
      <w:r>
        <w:rPr>
          <w:lang w:bidi="ar"/>
        </w:rPr>
        <w:sym w:font="Symbol" w:char="F02D"/>
      </w:r>
      <w:r>
        <w:rPr>
          <w:lang w:bidi="ar"/>
        </w:rPr>
        <w:tab/>
      </w:r>
      <w:r>
        <w:rPr>
          <w:rtl/>
          <w:lang w:bidi="ar"/>
        </w:rPr>
        <w:t>توفير الوصلات الوسيطة لدعم التغطية في المناطق البعيدة التي لا تطالها التوصيلات الأرضية</w:t>
      </w:r>
      <w:r>
        <w:rPr>
          <w:rtl/>
        </w:rPr>
        <w:t>؛</w:t>
      </w:r>
    </w:p>
    <w:p w:rsidR="00111C25" w:rsidRDefault="00111C25" w:rsidP="00111C25">
      <w:pPr>
        <w:pStyle w:val="Enumlevel1"/>
        <w:rPr>
          <w:rtl/>
        </w:rPr>
      </w:pPr>
      <w:r>
        <w:rPr>
          <w:lang w:bidi="ar"/>
        </w:rPr>
        <w:sym w:font="Symbol" w:char="F02D"/>
      </w:r>
      <w:r>
        <w:rPr>
          <w:lang w:bidi="ar"/>
        </w:rPr>
        <w:tab/>
      </w:r>
      <w:r>
        <w:rPr>
          <w:rtl/>
          <w:lang w:bidi="ar"/>
        </w:rPr>
        <w:t>توسيع مطال الشبكة بسرعة بواسطة الوصلات الوسيطة المتنقلة بأسعار معقولة</w:t>
      </w:r>
      <w:r>
        <w:rPr>
          <w:rtl/>
        </w:rPr>
        <w:t>؛</w:t>
      </w:r>
    </w:p>
    <w:p w:rsidR="00111C25" w:rsidRDefault="00111C25" w:rsidP="00111C25">
      <w:pPr>
        <w:pStyle w:val="Enumlevel1"/>
        <w:rPr>
          <w:rtl/>
        </w:rPr>
      </w:pPr>
      <w:r>
        <w:rPr>
          <w:lang w:bidi="ar"/>
        </w:rPr>
        <w:sym w:font="Symbol" w:char="F02D"/>
      </w:r>
      <w:r>
        <w:rPr>
          <w:lang w:bidi="ar"/>
        </w:rPr>
        <w:tab/>
      </w:r>
      <w:r>
        <w:rPr>
          <w:rtl/>
          <w:lang w:bidi="ar"/>
        </w:rPr>
        <w:t>رفع السعة الاستيعابية للشبكات مع نمو الأعمال التجارية أو لتلبية متطلبات النقاط الساخنة المؤقتة مثل الحفلات الموسيقية أو المعارض أو الأحداث الرياضية؛</w:t>
      </w:r>
    </w:p>
    <w:p w:rsidR="00111C25" w:rsidRDefault="00111C25" w:rsidP="00111C25">
      <w:pPr>
        <w:pStyle w:val="Enumlevel1"/>
        <w:rPr>
          <w:rtl/>
        </w:rPr>
      </w:pPr>
      <w:r>
        <w:rPr>
          <w:lang w:bidi="ar"/>
        </w:rPr>
        <w:sym w:font="Symbol" w:char="F02D"/>
      </w:r>
      <w:r>
        <w:rPr>
          <w:lang w:bidi="ar"/>
        </w:rPr>
        <w:tab/>
      </w:r>
      <w:r>
        <w:rPr>
          <w:rtl/>
          <w:lang w:bidi="ar"/>
        </w:rPr>
        <w:t>تنويع الشبكات، بما في ذلك تقديم سعة رديفة في حال وقوع كارثة؛</w:t>
      </w:r>
    </w:p>
    <w:p w:rsidR="00111C25" w:rsidRDefault="00111C25" w:rsidP="00111C25">
      <w:pPr>
        <w:pStyle w:val="Enumlevel1"/>
        <w:rPr>
          <w:rtl/>
        </w:rPr>
      </w:pPr>
      <w:r>
        <w:rPr>
          <w:lang w:bidi="ar"/>
        </w:rPr>
        <w:sym w:font="Symbol" w:char="F02D"/>
      </w:r>
      <w:r>
        <w:rPr>
          <w:lang w:bidi="ar"/>
        </w:rPr>
        <w:tab/>
      </w:r>
      <w:r>
        <w:rPr>
          <w:rtl/>
          <w:lang w:bidi="ar"/>
        </w:rPr>
        <w:t>تخديم المركبات المتحركة أو البيئات المعزولة التي لا سبيل آخر لها للتوصيل بالخدمات، مثل السفن والطائرات أو منصات النفط والغاز.</w:t>
      </w:r>
    </w:p>
    <w:p w:rsidR="00111C25" w:rsidRDefault="00111C25" w:rsidP="000A14D1">
      <w:pPr>
        <w:pStyle w:val="Heading4"/>
        <w:rPr>
          <w:rtl/>
        </w:rPr>
      </w:pPr>
      <w:r>
        <w:rPr>
          <w:rtl/>
        </w:rPr>
        <w:t>فوائد الوصلات الوسيطة الساتلية</w:t>
      </w:r>
    </w:p>
    <w:p w:rsidR="00111C25" w:rsidRDefault="00111C25" w:rsidP="00111C25">
      <w:pPr>
        <w:rPr>
          <w:rtl/>
        </w:rPr>
      </w:pPr>
      <w:r>
        <w:rPr>
          <w:rtl/>
        </w:rPr>
        <w:t>إن استخدام الوصلات الوسيطة الساتلية لتقديم خدمات النطاق العريض يوفر فوائد من حيث التغطية والتكلفة والأمن والسعة الرديفة. ويمكن للسواتل في المدار المستقر بالنسبة إلى الأرض أن تقدم خدمات الوصلات الوسيطة لمنطقة كبيرة بمجرد الحد الأدنى من الإنفاق على البنية التحتية. وتمكِّن حلول الوصلات الوسيطة الساتلية المشغلين من وضع محطات القاعدة حيثما تقدم أكبر قدر من الفائدة للمواطنين، دون أي ارتباط يذكر بموقع البنية التحتية الأرضية. وبما أن تكاليف التهيئة للألياف البصرية حساسة للغاية للمسافة من الشبكة الأساسية وللموقع، لعل الساتل هو الحل الأقل تكلفة للوصلات الوسيطة الداعمة لمحطات القاعدة الواقعة في المناطق الريفية أو النائية.</w:t>
      </w:r>
    </w:p>
    <w:p w:rsidR="00111C25" w:rsidRDefault="00111C25" w:rsidP="00111C25">
      <w:pPr>
        <w:rPr>
          <w:rtl/>
        </w:rPr>
      </w:pPr>
      <w:r>
        <w:rPr>
          <w:rtl/>
        </w:rPr>
        <w:t>ويوفر استخدام الوصلات الوسيطة الساتلية أيضاً توصيلية رديفة. ويمكن أن تؤدي الأضرار التي تتعرض لها شبكة الألياف البصرية الفقرية إلى قطع المحطات الأرضية عن الشبكات الرئيسية، في حين أن التنوع الإضافي الذي توفره الوصلات الوسيطة الساتلية سيضمن بقاء التوصيلية بلا انقطاع، حتى إذا ألمَّت أضرار جسيمة بالبنية التحتية الأرضية.</w:t>
      </w:r>
    </w:p>
    <w:p w:rsidR="00111C25" w:rsidRDefault="00111C25" w:rsidP="00111C25">
      <w:pPr>
        <w:rPr>
          <w:rtl/>
        </w:rPr>
      </w:pPr>
      <w:r>
        <w:rPr>
          <w:rtl/>
        </w:rPr>
        <w:t>وإذ تسعى البلدان بشكل متزايد لنشر شبكات التطور طويل الأمد، فقد سبق للأنظمة الساتلية أن أثبتت، من خلال الوصلات الوسيطة الساتلية عالية الصبيب، قدرتها على دعم هذه الإرسالات ذات عرض النطاق الأعلى.</w:t>
      </w:r>
    </w:p>
    <w:p w:rsidR="00111C25" w:rsidRDefault="00111C25" w:rsidP="000A14D1">
      <w:pPr>
        <w:pStyle w:val="Heading4"/>
        <w:rPr>
          <w:rtl/>
        </w:rPr>
      </w:pPr>
      <w:r>
        <w:rPr>
          <w:rtl/>
        </w:rPr>
        <w:t xml:space="preserve">الوصلات الوسيطة الساتلية في المدار الأرضي المتوسط </w:t>
      </w:r>
      <w:r>
        <w:t>(MEO)</w:t>
      </w:r>
    </w:p>
    <w:p w:rsidR="00111C25" w:rsidRDefault="00111C25" w:rsidP="00111C25">
      <w:pPr>
        <w:keepLines/>
        <w:rPr>
          <w:rtl/>
        </w:rPr>
      </w:pPr>
      <w:r>
        <w:rPr>
          <w:rtl/>
        </w:rPr>
        <w:t xml:space="preserve">بما أن النظام الساتلي في المدار الأرضي المتوسط أقرب بكثير إلى الأرض (بقدر </w:t>
      </w:r>
      <w:r>
        <w:t>4</w:t>
      </w:r>
      <w:r>
        <w:rPr>
          <w:rtl/>
        </w:rPr>
        <w:t xml:space="preserve"> مرات أقرب) من النظام الساتلي في المدار المستقر بالنسبة إلى الأرض، يكون كمون الإشارات أقل بكثير. وهذا أمر مرغوب فيه للوصلات الوسيطة الخلوية وأنواع عديدة من الخدمات القائمة على بروتوكول الإنترنت وخدمات النطاق العريض اليوم. وسواتل المدار الأرضي المتوسط أصغر من سواتل المدار المستقر بالنسبة إلى الأرض، ومن ثم فإن بناءها وإطلاقها أقل تكلفة. ولسواتل المدار الأرضي المتوسط حزم موضعية دينامية قابلة للتوجيه يمكنها أن تستهدف بسهولة مناطق نائية أو معزولة عن الوصلات الوسيطة، ويمكن نقلها إلى مناطق أخرى حسب الحاجة.</w:t>
      </w:r>
    </w:p>
    <w:p w:rsidR="00111C25" w:rsidRDefault="00111C25" w:rsidP="000A14D1">
      <w:pPr>
        <w:pStyle w:val="Heading4"/>
        <w:rPr>
          <w:rtl/>
        </w:rPr>
      </w:pPr>
      <w:r>
        <w:rPr>
          <w:rtl/>
        </w:rPr>
        <w:lastRenderedPageBreak/>
        <w:t>مثال شبكة تستخدم وصلات وسيطة ساتلية</w:t>
      </w:r>
    </w:p>
    <w:p w:rsidR="00111C25" w:rsidRDefault="00111C25" w:rsidP="000A14D1">
      <w:pPr>
        <w:pStyle w:val="Figuretitle"/>
        <w:rPr>
          <w:rtl/>
        </w:rPr>
      </w:pPr>
      <w:bookmarkStart w:id="127" w:name="_Toc372276153"/>
      <w:bookmarkStart w:id="128" w:name="_Toc380497252"/>
      <w:r>
        <w:rPr>
          <w:rtl/>
        </w:rPr>
        <w:t xml:space="preserve">الشكل </w:t>
      </w:r>
      <w:r>
        <w:t>1-2.6.3</w:t>
      </w:r>
      <w:r w:rsidR="000A14D1">
        <w:rPr>
          <w:rFonts w:hint="cs"/>
          <w:rtl/>
        </w:rPr>
        <w:t>:</w:t>
      </w:r>
      <w:r>
        <w:rPr>
          <w:rtl/>
        </w:rPr>
        <w:t xml:space="preserve"> </w:t>
      </w:r>
      <w:r>
        <w:rPr>
          <w:rFonts w:hint="cs"/>
          <w:rtl/>
        </w:rPr>
        <w:t>مثال سيناريو شبكة تستخدم وصلات وسيطة ساتلية</w:t>
      </w:r>
      <w:bookmarkEnd w:id="127"/>
      <w:bookmarkEnd w:id="128"/>
    </w:p>
    <w:p w:rsidR="00111C25" w:rsidRDefault="00FC1025" w:rsidP="00FC1025">
      <w:pPr>
        <w:pStyle w:val="Figure"/>
        <w:bidi w:val="0"/>
        <w:rPr>
          <w:rtl/>
        </w:rPr>
      </w:pPr>
      <w:r w:rsidRPr="00BF1FAE">
        <w:object w:dxaOrig="9637" w:dyaOrig="6762">
          <v:shape id="_x0000_i1031" type="#_x0000_t75" style="width:481.4pt;height:338.25pt" o:ole="">
            <v:imagedata r:id="rId42" o:title=""/>
          </v:shape>
          <o:OLEObject Type="Embed" ProgID="Word.Document.12" ShapeID="_x0000_i1031" DrawAspect="Content" ObjectID="_1455084588" r:id="rId43">
            <o:FieldCodes>\s</o:FieldCodes>
          </o:OLEObject>
        </w:object>
      </w:r>
    </w:p>
    <w:p w:rsidR="000A14D1" w:rsidRDefault="000A14D1" w:rsidP="000A14D1">
      <w:pPr>
        <w:rPr>
          <w:rtl/>
        </w:rPr>
      </w:pPr>
    </w:p>
    <w:p w:rsidR="00111C25" w:rsidRDefault="00111C25" w:rsidP="00111C25">
      <w:pPr>
        <w:spacing w:before="240"/>
        <w:rPr>
          <w:rtl/>
          <w:lang w:bidi="ar-EG"/>
        </w:rPr>
      </w:pPr>
      <w:r>
        <w:rPr>
          <w:rtl/>
        </w:rPr>
        <w:t>فيما تصبح معدلات انتشار الاتصالات المتنقلة في المناطق المأهولة بالسكان أكثر كثافة، يستخدم مشغلو شبكات الاتصالات المتنقلة في الأسواق النامية بشكل متزايد الوصلات الوسيطة الساتلية للنظام العالمي للاتصالات المتنقلة </w:t>
      </w:r>
      <w:r>
        <w:t>(</w:t>
      </w:r>
      <w:r>
        <w:rPr>
          <w:lang w:bidi="ar"/>
        </w:rPr>
        <w:t>GSM</w:t>
      </w:r>
      <w:r>
        <w:t>)</w:t>
      </w:r>
      <w:r>
        <w:rPr>
          <w:rtl/>
        </w:rPr>
        <w:t xml:space="preserve"> </w:t>
      </w:r>
      <w:r>
        <w:rPr>
          <w:rFonts w:hint="cs"/>
          <w:rtl/>
        </w:rPr>
        <w:t>لتوسيع انتشارهم أكثر فأكثر في الأسواق الريفية. والساتل هو السبيل الوحيد المجدي اقتصادياً لجلب سعة التوصيل للفئات غير الموصولة أو التي تعاني من نقص التوصيل. ويرجح أن يشهد الطلب على الوصلات الوسيطة نمواً هائلاً في ضوء المزادات الأخيرة لتراخيص الاتصالات المتنقلة الدولية والبدء في تنفيذ خدمات بيانات عالية الصبيب عبر الشبكات.</w:t>
      </w:r>
    </w:p>
    <w:p w:rsidR="00111C25" w:rsidRDefault="00111C25" w:rsidP="00111C25">
      <w:pPr>
        <w:pStyle w:val="Heading3"/>
        <w:rPr>
          <w:rtl/>
        </w:rPr>
      </w:pPr>
      <w:bookmarkStart w:id="129" w:name="_Toc372276154"/>
      <w:bookmarkStart w:id="130" w:name="_Toc380496740"/>
      <w:r>
        <w:t>3.6.3</w:t>
      </w:r>
      <w:r>
        <w:rPr>
          <w:rtl/>
        </w:rPr>
        <w:tab/>
        <w:t>وصلات الألياف البصرية الوسيطة</w:t>
      </w:r>
      <w:bookmarkEnd w:id="129"/>
      <w:bookmarkEnd w:id="130"/>
    </w:p>
    <w:p w:rsidR="00111C25" w:rsidRDefault="00111C25" w:rsidP="00FC1025">
      <w:pPr>
        <w:rPr>
          <w:rtl/>
        </w:rPr>
      </w:pPr>
      <w:r>
        <w:rPr>
          <w:rtl/>
        </w:rPr>
        <w:t xml:space="preserve">انظر الفقرة </w:t>
      </w:r>
      <w:r>
        <w:t>3.3</w:t>
      </w:r>
      <w:r>
        <w:rPr>
          <w:rtl/>
        </w:rPr>
        <w:t xml:space="preserve"> أعلاه، فضلاً عن المراجع في الملحق </w:t>
      </w:r>
      <w:r>
        <w:t>III</w:t>
      </w:r>
      <w:r>
        <w:rPr>
          <w:rtl/>
        </w:rPr>
        <w:t>.</w:t>
      </w:r>
    </w:p>
    <w:p w:rsidR="00111C25" w:rsidRDefault="00111C25" w:rsidP="00111C25">
      <w:pPr>
        <w:pStyle w:val="Heading3"/>
        <w:rPr>
          <w:rtl/>
        </w:rPr>
      </w:pPr>
      <w:bookmarkStart w:id="131" w:name="_Toc372276155"/>
      <w:bookmarkStart w:id="132" w:name="_Toc380496741"/>
      <w:r>
        <w:t>4.6.3</w:t>
      </w:r>
      <w:r>
        <w:rPr>
          <w:rtl/>
        </w:rPr>
        <w:tab/>
        <w:t>وصلات الكبل البحري الوسيطة</w:t>
      </w:r>
      <w:bookmarkEnd w:id="131"/>
      <w:bookmarkEnd w:id="132"/>
    </w:p>
    <w:p w:rsidR="00111C25" w:rsidRDefault="00111C25" w:rsidP="00FC1025">
      <w:pPr>
        <w:rPr>
          <w:rtl/>
        </w:rPr>
      </w:pPr>
      <w:r>
        <w:rPr>
          <w:rtl/>
        </w:rPr>
        <w:t>توفر الكبلات البحرية وصلات الاتصالات الدولية الحيوية بين البلدان في جميع أنحاء العالم. وتنتهي الكبلات البحرية في البلاد من خلال محطات توصيل الكبلات البحرية بالشبكة الأرضية.</w:t>
      </w:r>
    </w:p>
    <w:p w:rsidR="00111C25" w:rsidRDefault="00111C25" w:rsidP="00FC1025">
      <w:pPr>
        <w:pStyle w:val="Heading4"/>
        <w:rPr>
          <w:rtl/>
        </w:rPr>
      </w:pPr>
      <w:r>
        <w:rPr>
          <w:rtl/>
        </w:rPr>
        <w:lastRenderedPageBreak/>
        <w:t>لوائح بشأن النفاذ غير التمييزي إلى محطة توصيل الكبلات البحرية بالشبكة الأرضية</w:t>
      </w:r>
    </w:p>
    <w:p w:rsidR="00111C25" w:rsidRDefault="00111C25" w:rsidP="00111C25">
      <w:pPr>
        <w:keepNext/>
        <w:keepLines/>
        <w:rPr>
          <w:rtl/>
        </w:rPr>
      </w:pPr>
      <w:r>
        <w:rPr>
          <w:rtl/>
        </w:rPr>
        <w:t>ترد أدناه النقاط البارزة التي أدرجتها الإدارات في لوائحها من أجل ضمان النفاذ العادل:</w:t>
      </w:r>
    </w:p>
    <w:p w:rsidR="00111C25" w:rsidRPr="00801459" w:rsidRDefault="00FC1025" w:rsidP="00111C25">
      <w:pPr>
        <w:pStyle w:val="Enumlevel1"/>
        <w:rPr>
          <w:spacing w:val="-2"/>
          <w:rtl/>
        </w:rPr>
      </w:pPr>
      <w:r w:rsidRPr="00801459">
        <w:rPr>
          <w:spacing w:val="-2"/>
          <w:lang w:val="en-US"/>
        </w:rPr>
        <w:t>(1</w:t>
      </w:r>
      <w:r w:rsidR="00111C25" w:rsidRPr="00801459">
        <w:rPr>
          <w:spacing w:val="-2"/>
        </w:rPr>
        <w:tab/>
      </w:r>
      <w:r w:rsidR="00111C25" w:rsidRPr="00801459">
        <w:rPr>
          <w:spacing w:val="-2"/>
          <w:rtl/>
        </w:rPr>
        <w:t xml:space="preserve">يتعين على صاحب محطة توصيل الكبلات البحرية بالشبكة الأرضية </w:t>
      </w:r>
      <w:r w:rsidR="00111C25" w:rsidRPr="00801459">
        <w:rPr>
          <w:spacing w:val="-2"/>
        </w:rPr>
        <w:t>(</w:t>
      </w:r>
      <w:r w:rsidR="00111C25" w:rsidRPr="00801459">
        <w:rPr>
          <w:spacing w:val="-2"/>
          <w:lang w:bidi="ar"/>
        </w:rPr>
        <w:t>OCLS</w:t>
      </w:r>
      <w:r w:rsidR="00111C25" w:rsidRPr="00801459">
        <w:rPr>
          <w:spacing w:val="-2"/>
        </w:rPr>
        <w:t>)</w:t>
      </w:r>
      <w:r w:rsidR="00111C25" w:rsidRPr="00801459">
        <w:rPr>
          <w:spacing w:val="-2"/>
          <w:rtl/>
        </w:rPr>
        <w:t xml:space="preserve"> أن يتيح النفاذ إلى أي جهة اتصالات دولية مؤهلة، وفقاً لأحكام وشروط عادلة وغير تمييزية، في محطات توصيل الكبلات البحرية بالشبكة الأرضية العائدة له.</w:t>
      </w:r>
    </w:p>
    <w:p w:rsidR="00111C25" w:rsidRDefault="00FC1025" w:rsidP="00111C25">
      <w:pPr>
        <w:pStyle w:val="Enumlevel1"/>
        <w:rPr>
          <w:rtl/>
        </w:rPr>
      </w:pPr>
      <w:r>
        <w:t>(</w:t>
      </w:r>
      <w:r w:rsidR="00111C25">
        <w:t>2</w:t>
      </w:r>
      <w:r w:rsidR="00111C25">
        <w:tab/>
      </w:r>
      <w:r w:rsidR="00111C25">
        <w:rPr>
          <w:rtl/>
        </w:rPr>
        <w:t xml:space="preserve">يتعين على صاحب محطة توصيل الكبلات البحرية بالشبكة الأرضية </w:t>
      </w:r>
      <w:r w:rsidR="00111C25">
        <w:t>(</w:t>
      </w:r>
      <w:r w:rsidR="00111C25">
        <w:rPr>
          <w:lang w:bidi="ar"/>
        </w:rPr>
        <w:t>OCLS</w:t>
      </w:r>
      <w:r w:rsidR="00111C25">
        <w:t>)</w:t>
      </w:r>
      <w:r w:rsidR="00111C25">
        <w:rPr>
          <w:rtl/>
        </w:rPr>
        <w:t xml:space="preserve"> أن يقدم إلى هيئة التنظيم "عرض توصيل بيني مرجعي بمحطة توصيل الكبلات البحرية بالشبكة الأرضية </w:t>
      </w:r>
      <w:r w:rsidR="00111C25">
        <w:t>(</w:t>
      </w:r>
      <w:r w:rsidR="00111C25">
        <w:rPr>
          <w:lang w:bidi="ar"/>
        </w:rPr>
        <w:t>CLS RIO</w:t>
      </w:r>
      <w:r w:rsidR="00111C25">
        <w:t>)</w:t>
      </w:r>
      <w:r w:rsidR="00111C25">
        <w:rPr>
          <w:rtl/>
        </w:rPr>
        <w:t>"، في نسق محدد، يحتوي على أحكام وشروط مرافق النفاذ ومرافق التشارك في الموقع بما في ذلك مرافق محطات توصيل الكبلات البحرية بالشبكة الأرضية، للحصول على موافقة هيئة التنظيم عليه.</w:t>
      </w:r>
    </w:p>
    <w:p w:rsidR="00111C25" w:rsidRDefault="00FC1025" w:rsidP="00111C25">
      <w:pPr>
        <w:pStyle w:val="Enumlevel1"/>
        <w:rPr>
          <w:rtl/>
        </w:rPr>
      </w:pPr>
      <w:r>
        <w:t>(</w:t>
      </w:r>
      <w:r w:rsidR="00111C25">
        <w:t>3</w:t>
      </w:r>
      <w:r w:rsidR="00111C25">
        <w:tab/>
      </w:r>
      <w:r w:rsidR="00111C25">
        <w:rPr>
          <w:rtl/>
        </w:rPr>
        <w:t>بعد الحصول على موافقة هيئة التنظيم، يتعين على أصحاب محطات توصيل الكبلات البحرية بالشبكة الأرضية </w:t>
      </w:r>
      <w:r w:rsidR="00111C25">
        <w:rPr>
          <w:lang w:val="en-US"/>
        </w:rPr>
        <w:t>(OCLS)</w:t>
      </w:r>
      <w:r w:rsidR="00111C25">
        <w:rPr>
          <w:rtl/>
        </w:rPr>
        <w:t xml:space="preserve"> أن ينشروا في مواقعهم على شبكة الإنترنت عرض التوصيل البيني المرجعي بمحطة توصيل الكبلات البحرية بالشبكة الأرضية </w:t>
      </w:r>
      <w:r w:rsidR="00111C25">
        <w:t>(</w:t>
      </w:r>
      <w:r w:rsidR="00111C25">
        <w:rPr>
          <w:lang w:bidi="ar"/>
        </w:rPr>
        <w:t>CLS RIO</w:t>
      </w:r>
      <w:r w:rsidR="00111C25">
        <w:t>)</w:t>
      </w:r>
      <w:r w:rsidR="00111C25">
        <w:rPr>
          <w:rtl/>
        </w:rPr>
        <w:t xml:space="preserve">. </w:t>
      </w:r>
    </w:p>
    <w:p w:rsidR="00111C25" w:rsidRDefault="00FC1025" w:rsidP="00111C25">
      <w:pPr>
        <w:pStyle w:val="Enumlevel1"/>
        <w:rPr>
          <w:rtl/>
        </w:rPr>
      </w:pPr>
      <w:r>
        <w:t xml:space="preserve"> (4</w:t>
      </w:r>
      <w:r w:rsidR="00111C25">
        <w:tab/>
      </w:r>
      <w:r w:rsidR="00111C25">
        <w:rPr>
          <w:rtl/>
        </w:rPr>
        <w:t xml:space="preserve">رسوم تسهيل النفاذ </w:t>
      </w:r>
      <w:r w:rsidR="00111C25">
        <w:t>(AFC)</w:t>
      </w:r>
      <w:r w:rsidR="00111C25">
        <w:rPr>
          <w:rtl/>
        </w:rPr>
        <w:t xml:space="preserve"> هي رسوم يدفعها مشغلو اتصالات المسافات الطويلة الدولية </w:t>
      </w:r>
      <w:r w:rsidR="00111C25">
        <w:t>(ILDO)</w:t>
      </w:r>
      <w:r w:rsidR="00111C25">
        <w:rPr>
          <w:rtl/>
        </w:rPr>
        <w:t xml:space="preserve">/مقدمو خدمة الإنترنت </w:t>
      </w:r>
      <w:r w:rsidR="00111C25">
        <w:t>(ISP)</w:t>
      </w:r>
      <w:r w:rsidR="00111C25">
        <w:rPr>
          <w:rtl/>
        </w:rPr>
        <w:t xml:space="preserve"> لصاحب محطة توصيل الكبلات من أجل النفاذ إلى عرض النطاق الدولي المكتسب في كبل بحري. تعزيزاً لضمان استقرار العلاقة بين صاحب محطة توصيل الكبلات البحرية بالشبكة الأرضية </w:t>
      </w:r>
      <w:r w:rsidR="00111C25">
        <w:t>(</w:t>
      </w:r>
      <w:r w:rsidR="00111C25">
        <w:rPr>
          <w:lang w:bidi="ar"/>
        </w:rPr>
        <w:t>OCLS</w:t>
      </w:r>
      <w:r w:rsidR="00111C25">
        <w:t>)</w:t>
      </w:r>
      <w:r w:rsidR="00111C25">
        <w:rPr>
          <w:rtl/>
        </w:rPr>
        <w:t xml:space="preserve"> ومشغلي اتصالات المسافات الطويلة الدولية </w:t>
      </w:r>
      <w:r w:rsidR="00111C25">
        <w:t>(</w:t>
      </w:r>
      <w:r w:rsidR="00111C25">
        <w:rPr>
          <w:lang w:bidi="ar"/>
        </w:rPr>
        <w:t>ILDO</w:t>
      </w:r>
      <w:r w:rsidR="00111C25">
        <w:t>)</w:t>
      </w:r>
      <w:r w:rsidR="00111C25">
        <w:rPr>
          <w:rtl/>
        </w:rPr>
        <w:t xml:space="preserve">/مقدمي خدمة الإنترنت </w:t>
      </w:r>
      <w:r w:rsidR="00111C25">
        <w:t>(</w:t>
      </w:r>
      <w:r w:rsidR="00111C25">
        <w:rPr>
          <w:lang w:bidi="ar"/>
        </w:rPr>
        <w:t>ISP</w:t>
      </w:r>
      <w:r w:rsidR="00111C25">
        <w:t>)</w:t>
      </w:r>
      <w:r w:rsidR="00111C25">
        <w:rPr>
          <w:rtl/>
        </w:rPr>
        <w:t>، يمكن للهيئات التنظيمية أن تحدد رسوم تيسير النفاذ التقديرية ورسوم تيسير النفاذ المحددة لمحطات توصيل الكبلات البحرية بالشبكة الأرضية.</w:t>
      </w:r>
    </w:p>
    <w:p w:rsidR="00111C25" w:rsidRDefault="00111C25" w:rsidP="00111C25">
      <w:pPr>
        <w:rPr>
          <w:sz w:val="19"/>
          <w:szCs w:val="26"/>
          <w:rtl/>
          <w:lang w:val="x-none" w:eastAsia="en-US"/>
        </w:rPr>
      </w:pPr>
    </w:p>
    <w:p w:rsidR="001E36AB" w:rsidRDefault="001E36AB" w:rsidP="00D71DF6">
      <w:pPr>
        <w:rPr>
          <w:rtl/>
        </w:rPr>
      </w:pPr>
    </w:p>
    <w:p w:rsidR="001E36AB" w:rsidRDefault="001E36AB" w:rsidP="00D71DF6">
      <w:pPr>
        <w:rPr>
          <w:rtl/>
        </w:rPr>
        <w:sectPr w:rsidR="001E36AB" w:rsidSect="00C067A3">
          <w:headerReference w:type="even" r:id="rId44"/>
          <w:headerReference w:type="default" r:id="rId45"/>
          <w:footerReference w:type="even" r:id="rId46"/>
          <w:footerReference w:type="default" r:id="rId47"/>
          <w:endnotePr>
            <w:numFmt w:val="decimal"/>
          </w:endnotePr>
          <w:type w:val="oddPage"/>
          <w:pgSz w:w="11907" w:h="16840" w:code="9"/>
          <w:pgMar w:top="1418" w:right="1418" w:bottom="1418" w:left="1418" w:header="709" w:footer="709" w:gutter="0"/>
          <w:pgNumType w:start="1"/>
          <w:cols w:space="708"/>
          <w:rtlGutter/>
          <w:docGrid w:linePitch="360"/>
        </w:sectPr>
      </w:pPr>
    </w:p>
    <w:p w:rsidR="00FC1025" w:rsidRPr="00FC1025" w:rsidRDefault="00FC1025" w:rsidP="00FC1025">
      <w:pPr>
        <w:keepNext/>
        <w:keepLines/>
        <w:tabs>
          <w:tab w:val="clear" w:pos="567"/>
          <w:tab w:val="clear" w:pos="1133"/>
          <w:tab w:val="clear" w:pos="1700"/>
          <w:tab w:val="clear" w:pos="2267"/>
          <w:tab w:val="left" w:pos="851"/>
        </w:tabs>
        <w:kinsoku/>
        <w:bidi w:val="0"/>
        <w:spacing w:after="120" w:line="240" w:lineRule="auto"/>
        <w:ind w:left="1418" w:hanging="1418"/>
        <w:outlineLvl w:val="0"/>
        <w:rPr>
          <w:rFonts w:eastAsia="Times New Roman" w:cs="Helvetica"/>
          <w:b/>
          <w:bCs/>
          <w:color w:val="005173"/>
          <w:sz w:val="28"/>
          <w:szCs w:val="19"/>
        </w:rPr>
      </w:pPr>
      <w:bookmarkStart w:id="133" w:name="_Toc379796515"/>
      <w:bookmarkStart w:id="134" w:name="_Toc379796845"/>
      <w:bookmarkStart w:id="135" w:name="_Toc379983844"/>
      <w:bookmarkStart w:id="136" w:name="_Toc380496742"/>
      <w:bookmarkEnd w:id="10"/>
      <w:bookmarkEnd w:id="21"/>
      <w:r w:rsidRPr="00FC1025">
        <w:rPr>
          <w:rFonts w:eastAsia="Times New Roman" w:cs="Helvetica"/>
          <w:b/>
          <w:bCs/>
          <w:color w:val="005173"/>
          <w:sz w:val="28"/>
          <w:szCs w:val="19"/>
        </w:rPr>
        <w:lastRenderedPageBreak/>
        <w:t>I</w:t>
      </w:r>
      <w:r w:rsidRPr="00FC1025">
        <w:rPr>
          <w:rFonts w:eastAsia="Times New Roman" w:cs="Helvetica"/>
          <w:b/>
          <w:bCs/>
          <w:color w:val="005173"/>
          <w:sz w:val="28"/>
          <w:szCs w:val="19"/>
        </w:rPr>
        <w:tab/>
        <w:t>Annexes</w:t>
      </w:r>
      <w:bookmarkEnd w:id="133"/>
      <w:bookmarkEnd w:id="134"/>
      <w:bookmarkEnd w:id="135"/>
      <w:bookmarkEnd w:id="136"/>
    </w:p>
    <w:p w:rsidR="00FC1025" w:rsidRPr="00FC1025" w:rsidRDefault="00FC1025" w:rsidP="00FC1025">
      <w:pPr>
        <w:keepNext/>
        <w:keepLines/>
        <w:tabs>
          <w:tab w:val="clear" w:pos="567"/>
          <w:tab w:val="clear" w:pos="1133"/>
          <w:tab w:val="clear" w:pos="1700"/>
          <w:tab w:val="clear" w:pos="2267"/>
          <w:tab w:val="left" w:pos="851"/>
        </w:tabs>
        <w:kinsoku/>
        <w:bidi w:val="0"/>
        <w:spacing w:after="120" w:line="240" w:lineRule="auto"/>
        <w:outlineLvl w:val="0"/>
        <w:rPr>
          <w:rFonts w:asciiTheme="minorHAnsi" w:eastAsia="Times New Roman" w:hAnsiTheme="minorHAnsi" w:cs="Times New Roman"/>
          <w:b/>
          <w:bCs/>
          <w:szCs w:val="21"/>
        </w:rPr>
      </w:pPr>
      <w:bookmarkStart w:id="137" w:name="_Toc369245882"/>
      <w:bookmarkStart w:id="138" w:name="_Toc379796516"/>
      <w:bookmarkStart w:id="139" w:name="_Toc379796846"/>
      <w:bookmarkStart w:id="140" w:name="_Toc379983845"/>
      <w:bookmarkStart w:id="141" w:name="_Toc380496743"/>
      <w:r w:rsidRPr="00FC1025">
        <w:rPr>
          <w:rFonts w:asciiTheme="minorHAnsi" w:eastAsia="Times New Roman" w:hAnsiTheme="minorHAnsi" w:cs="Times New Roman"/>
          <w:b/>
          <w:bCs/>
          <w:szCs w:val="21"/>
        </w:rPr>
        <w:t>Annex I: Country Experiences</w:t>
      </w:r>
      <w:bookmarkEnd w:id="137"/>
      <w:bookmarkEnd w:id="138"/>
      <w:bookmarkEnd w:id="139"/>
      <w:bookmarkEnd w:id="140"/>
      <w:bookmarkEnd w:id="141"/>
    </w:p>
    <w:p w:rsidR="00FC1025" w:rsidRPr="00FC1025" w:rsidRDefault="00FC1025" w:rsidP="00FC1025">
      <w:pPr>
        <w:keepNext/>
        <w:keepLines/>
        <w:tabs>
          <w:tab w:val="clear" w:pos="567"/>
          <w:tab w:val="clear" w:pos="1133"/>
          <w:tab w:val="clear" w:pos="1700"/>
          <w:tab w:val="clear" w:pos="2267"/>
          <w:tab w:val="left" w:pos="851"/>
        </w:tabs>
        <w:kinsoku/>
        <w:bidi w:val="0"/>
        <w:spacing w:after="120" w:line="240" w:lineRule="auto"/>
        <w:outlineLvl w:val="0"/>
        <w:rPr>
          <w:rFonts w:asciiTheme="minorHAnsi" w:eastAsia="Times New Roman" w:hAnsiTheme="minorHAnsi" w:cs="Times New Roman"/>
          <w:b/>
          <w:bCs/>
          <w:szCs w:val="21"/>
        </w:rPr>
      </w:pPr>
      <w:bookmarkStart w:id="142" w:name="_Toc369245883"/>
      <w:bookmarkStart w:id="143" w:name="_Toc379796517"/>
      <w:bookmarkStart w:id="144" w:name="_Toc379796847"/>
      <w:bookmarkStart w:id="145" w:name="_Toc379983846"/>
      <w:bookmarkStart w:id="146" w:name="_Toc380496744"/>
      <w:r w:rsidRPr="00FC1025">
        <w:rPr>
          <w:rFonts w:asciiTheme="minorHAnsi" w:eastAsia="Times New Roman" w:hAnsiTheme="minorHAnsi" w:cs="Times New Roman"/>
          <w:b/>
          <w:bCs/>
          <w:szCs w:val="21"/>
        </w:rPr>
        <w:t>Annex II: Definition of Question 25/2</w:t>
      </w:r>
      <w:bookmarkEnd w:id="142"/>
      <w:bookmarkEnd w:id="143"/>
      <w:bookmarkEnd w:id="144"/>
      <w:bookmarkEnd w:id="145"/>
      <w:bookmarkEnd w:id="146"/>
    </w:p>
    <w:p w:rsidR="00FC1025" w:rsidRPr="00FC1025" w:rsidRDefault="00FC1025" w:rsidP="00FC1025">
      <w:pPr>
        <w:keepNext/>
        <w:keepLines/>
        <w:tabs>
          <w:tab w:val="clear" w:pos="567"/>
          <w:tab w:val="clear" w:pos="1133"/>
          <w:tab w:val="clear" w:pos="1700"/>
          <w:tab w:val="clear" w:pos="2267"/>
          <w:tab w:val="left" w:pos="851"/>
        </w:tabs>
        <w:kinsoku/>
        <w:bidi w:val="0"/>
        <w:spacing w:after="120" w:line="240" w:lineRule="auto"/>
        <w:outlineLvl w:val="0"/>
        <w:rPr>
          <w:rFonts w:asciiTheme="minorHAnsi" w:eastAsia="Times New Roman" w:hAnsiTheme="minorHAnsi" w:cs="Times New Roman"/>
          <w:b/>
          <w:bCs/>
          <w:szCs w:val="21"/>
        </w:rPr>
      </w:pPr>
      <w:bookmarkStart w:id="147" w:name="_Toc369245884"/>
      <w:bookmarkStart w:id="148" w:name="_Toc379796518"/>
      <w:bookmarkStart w:id="149" w:name="_Toc379796848"/>
      <w:bookmarkStart w:id="150" w:name="_Toc379983847"/>
      <w:bookmarkStart w:id="151" w:name="_Toc380496745"/>
      <w:r w:rsidRPr="00FC1025">
        <w:rPr>
          <w:rFonts w:asciiTheme="minorHAnsi" w:eastAsia="Times New Roman" w:hAnsiTheme="minorHAnsi" w:cs="Times New Roman"/>
          <w:b/>
          <w:bCs/>
          <w:szCs w:val="21"/>
        </w:rPr>
        <w:t>Annex III: Other ITU Sector Relevant Recommendations and Reports</w:t>
      </w:r>
      <w:bookmarkEnd w:id="147"/>
      <w:bookmarkEnd w:id="148"/>
      <w:bookmarkEnd w:id="149"/>
      <w:bookmarkEnd w:id="150"/>
      <w:bookmarkEnd w:id="151"/>
    </w:p>
    <w:p w:rsidR="00FC1025" w:rsidRPr="00FC1025" w:rsidRDefault="00FC1025" w:rsidP="00FC1025">
      <w:pPr>
        <w:keepNext/>
        <w:keepLines/>
        <w:tabs>
          <w:tab w:val="clear" w:pos="567"/>
          <w:tab w:val="clear" w:pos="1133"/>
          <w:tab w:val="clear" w:pos="1700"/>
          <w:tab w:val="clear" w:pos="2267"/>
          <w:tab w:val="left" w:pos="851"/>
        </w:tabs>
        <w:kinsoku/>
        <w:bidi w:val="0"/>
        <w:spacing w:before="240" w:after="120" w:line="240" w:lineRule="auto"/>
        <w:ind w:left="1418" w:hanging="1418"/>
        <w:outlineLvl w:val="0"/>
        <w:rPr>
          <w:rFonts w:eastAsia="Times New Roman" w:cs="Helvetica"/>
          <w:b/>
          <w:bCs/>
          <w:color w:val="005173"/>
          <w:sz w:val="28"/>
          <w:szCs w:val="19"/>
        </w:rPr>
      </w:pPr>
      <w:bookmarkStart w:id="152" w:name="_Toc369245885"/>
      <w:bookmarkStart w:id="153" w:name="_Toc379796519"/>
      <w:bookmarkStart w:id="154" w:name="_Toc379796849"/>
      <w:bookmarkStart w:id="155" w:name="_Toc379983848"/>
      <w:bookmarkStart w:id="156" w:name="_Toc380496746"/>
      <w:r w:rsidRPr="00FC1025">
        <w:rPr>
          <w:rFonts w:eastAsia="Times New Roman" w:cs="Helvetica"/>
          <w:b/>
          <w:bCs/>
          <w:color w:val="005173"/>
          <w:sz w:val="28"/>
          <w:szCs w:val="19"/>
        </w:rPr>
        <w:t>II</w:t>
      </w:r>
      <w:r w:rsidRPr="00FC1025">
        <w:rPr>
          <w:rFonts w:eastAsia="Times New Roman" w:cs="Helvetica"/>
          <w:b/>
          <w:bCs/>
          <w:color w:val="005173"/>
          <w:sz w:val="28"/>
          <w:szCs w:val="19"/>
        </w:rPr>
        <w:tab/>
        <w:t>Acronyms/Glossary</w:t>
      </w:r>
      <w:bookmarkEnd w:id="152"/>
      <w:bookmarkEnd w:id="153"/>
      <w:bookmarkEnd w:id="154"/>
      <w:bookmarkEnd w:id="155"/>
      <w:bookmarkEnd w:id="156"/>
    </w:p>
    <w:p w:rsidR="00FC1025" w:rsidRPr="00FC1025" w:rsidRDefault="00FC1025" w:rsidP="00FC1025">
      <w:pPr>
        <w:keepNext/>
        <w:keepLines/>
        <w:tabs>
          <w:tab w:val="clear" w:pos="567"/>
          <w:tab w:val="clear" w:pos="1133"/>
          <w:tab w:val="clear" w:pos="1700"/>
          <w:tab w:val="clear" w:pos="2267"/>
          <w:tab w:val="left" w:pos="851"/>
        </w:tabs>
        <w:kinsoku/>
        <w:bidi w:val="0"/>
        <w:spacing w:before="240" w:after="120" w:line="240" w:lineRule="auto"/>
        <w:ind w:left="1418" w:hanging="1418"/>
        <w:outlineLvl w:val="0"/>
        <w:rPr>
          <w:rFonts w:eastAsia="Times New Roman" w:cs="Helvetica"/>
          <w:b/>
          <w:bCs/>
          <w:color w:val="005173"/>
          <w:sz w:val="28"/>
          <w:szCs w:val="19"/>
        </w:rPr>
      </w:pPr>
      <w:bookmarkStart w:id="157" w:name="_Toc369245886"/>
      <w:bookmarkStart w:id="158" w:name="_Toc379796520"/>
      <w:bookmarkStart w:id="159" w:name="_Toc379796850"/>
      <w:bookmarkStart w:id="160" w:name="_Toc379983849"/>
      <w:bookmarkStart w:id="161" w:name="_Toc380496747"/>
      <w:r w:rsidRPr="00FC1025">
        <w:rPr>
          <w:rFonts w:eastAsia="Times New Roman" w:cs="Helvetica"/>
          <w:b/>
          <w:bCs/>
          <w:color w:val="005173"/>
          <w:sz w:val="28"/>
          <w:szCs w:val="19"/>
        </w:rPr>
        <w:t>III</w:t>
      </w:r>
      <w:r w:rsidRPr="00FC1025">
        <w:rPr>
          <w:rFonts w:eastAsia="Times New Roman" w:cs="Helvetica"/>
          <w:b/>
          <w:bCs/>
          <w:color w:val="005173"/>
          <w:sz w:val="28"/>
          <w:szCs w:val="19"/>
        </w:rPr>
        <w:tab/>
        <w:t>References</w:t>
      </w:r>
      <w:bookmarkEnd w:id="157"/>
      <w:bookmarkEnd w:id="158"/>
      <w:bookmarkEnd w:id="159"/>
      <w:bookmarkEnd w:id="160"/>
      <w:bookmarkEnd w:id="161"/>
    </w:p>
    <w:p w:rsidR="002F53FB" w:rsidRP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1E36AB" w:rsidRPr="006A09D8" w:rsidRDefault="001E36AB" w:rsidP="001E36AB">
      <w:pPr>
        <w:tabs>
          <w:tab w:val="clear" w:pos="567"/>
          <w:tab w:val="clear" w:pos="1133"/>
          <w:tab w:val="clear" w:pos="1700"/>
          <w:tab w:val="clear" w:pos="2267"/>
        </w:tabs>
        <w:kinsoku/>
        <w:bidi w:val="0"/>
        <w:spacing w:line="240" w:lineRule="auto"/>
        <w:rPr>
          <w:rFonts w:cs="Times New Roman"/>
          <w:szCs w:val="22"/>
        </w:rPr>
        <w:sectPr w:rsidR="001E36AB" w:rsidRPr="006A09D8" w:rsidSect="00846C6B">
          <w:headerReference w:type="default" r:id="rId48"/>
          <w:footerReference w:type="default" r:id="rId49"/>
          <w:endnotePr>
            <w:numFmt w:val="decimal"/>
          </w:endnotePr>
          <w:type w:val="oddPage"/>
          <w:pgSz w:w="11907" w:h="16840" w:code="9"/>
          <w:pgMar w:top="1418" w:right="1418" w:bottom="1418" w:left="1418" w:header="709" w:footer="709" w:gutter="0"/>
          <w:cols w:space="708"/>
          <w:rtlGutter/>
          <w:docGrid w:linePitch="360"/>
        </w:sectPr>
      </w:pPr>
    </w:p>
    <w:p w:rsidR="00AE6422" w:rsidRPr="00AE6422" w:rsidRDefault="00AE6422" w:rsidP="00AE6422">
      <w:pPr>
        <w:keepNext/>
        <w:keepLines/>
        <w:tabs>
          <w:tab w:val="clear" w:pos="567"/>
          <w:tab w:val="clear" w:pos="1133"/>
          <w:tab w:val="clear" w:pos="1700"/>
          <w:tab w:val="clear" w:pos="2267"/>
          <w:tab w:val="left" w:pos="851"/>
        </w:tabs>
        <w:kinsoku/>
        <w:bidi w:val="0"/>
        <w:spacing w:before="0" w:line="240" w:lineRule="auto"/>
        <w:ind w:left="851" w:hanging="851"/>
        <w:outlineLvl w:val="0"/>
        <w:rPr>
          <w:rFonts w:eastAsia="Times New Roman" w:cs="Helvetica"/>
          <w:b/>
          <w:bCs/>
          <w:color w:val="005173"/>
          <w:sz w:val="28"/>
        </w:rPr>
      </w:pPr>
      <w:bookmarkStart w:id="162" w:name="_Toc363805280"/>
      <w:bookmarkStart w:id="163" w:name="_Toc379796521"/>
      <w:bookmarkStart w:id="164" w:name="_Toc379796851"/>
      <w:bookmarkStart w:id="165" w:name="_Toc379983850"/>
      <w:bookmarkStart w:id="166" w:name="_Toc380496748"/>
      <w:r w:rsidRPr="00AE6422">
        <w:rPr>
          <w:rFonts w:eastAsia="Times New Roman" w:cs="Helvetica"/>
          <w:b/>
          <w:bCs/>
          <w:color w:val="005173"/>
          <w:sz w:val="28"/>
        </w:rPr>
        <w:lastRenderedPageBreak/>
        <w:t>Annex I: Country Experiences</w:t>
      </w:r>
      <w:bookmarkEnd w:id="162"/>
      <w:bookmarkEnd w:id="163"/>
      <w:bookmarkEnd w:id="164"/>
      <w:bookmarkEnd w:id="165"/>
      <w:bookmarkEnd w:id="166"/>
    </w:p>
    <w:p w:rsidR="00AE6422" w:rsidRPr="00AE6422" w:rsidRDefault="00AE6422" w:rsidP="00AE6422">
      <w:pPr>
        <w:tabs>
          <w:tab w:val="clear" w:pos="567"/>
          <w:tab w:val="clear" w:pos="1133"/>
          <w:tab w:val="clear" w:pos="1700"/>
          <w:tab w:val="clear" w:pos="2267"/>
        </w:tabs>
        <w:kinsoku/>
        <w:bidi w:val="0"/>
        <w:spacing w:line="240" w:lineRule="auto"/>
        <w:rPr>
          <w:rFonts w:cs="Times New Roman"/>
          <w:sz w:val="4"/>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1314"/>
        <w:gridCol w:w="2477"/>
        <w:gridCol w:w="2576"/>
      </w:tblGrid>
      <w:tr w:rsidR="00AE6422" w:rsidRPr="00AE6422" w:rsidTr="005A67D3">
        <w:trPr>
          <w:jc w:val="center"/>
        </w:trPr>
        <w:tc>
          <w:tcPr>
            <w:tcW w:w="2943" w:type="dxa"/>
            <w:tcBorders>
              <w:bottom w:val="single" w:sz="4" w:space="0" w:color="auto"/>
            </w:tcBorders>
            <w:shd w:val="clear" w:color="auto" w:fill="005173"/>
            <w:vAlign w:val="center"/>
          </w:tcPr>
          <w:p w:rsidR="00AE6422" w:rsidRPr="00AE6422" w:rsidRDefault="00AE6422"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
                <w:sz w:val="19"/>
                <w:szCs w:val="19"/>
              </w:rPr>
            </w:pPr>
            <w:r w:rsidRPr="00AE6422">
              <w:rPr>
                <w:rFonts w:asciiTheme="minorHAnsi" w:hAnsiTheme="minorHAnsi" w:cs="Times New Roman"/>
                <w:b/>
                <w:sz w:val="19"/>
                <w:szCs w:val="19"/>
              </w:rPr>
              <w:t>Country/Entity</w:t>
            </w:r>
          </w:p>
        </w:tc>
        <w:tc>
          <w:tcPr>
            <w:tcW w:w="1418" w:type="dxa"/>
            <w:tcBorders>
              <w:bottom w:val="single" w:sz="4" w:space="0" w:color="auto"/>
            </w:tcBorders>
            <w:shd w:val="clear" w:color="auto" w:fill="005173"/>
            <w:vAlign w:val="center"/>
          </w:tcPr>
          <w:p w:rsidR="00AE6422" w:rsidRPr="00AE6422" w:rsidRDefault="00AE6422"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
                <w:sz w:val="19"/>
                <w:szCs w:val="19"/>
              </w:rPr>
            </w:pPr>
            <w:r w:rsidRPr="00AE6422">
              <w:rPr>
                <w:rFonts w:asciiTheme="minorHAnsi" w:hAnsiTheme="minorHAnsi" w:cs="Times New Roman"/>
                <w:b/>
                <w:sz w:val="19"/>
                <w:szCs w:val="19"/>
              </w:rPr>
              <w:t>Source Document</w:t>
            </w:r>
          </w:p>
        </w:tc>
        <w:tc>
          <w:tcPr>
            <w:tcW w:w="2693" w:type="dxa"/>
            <w:tcBorders>
              <w:bottom w:val="single" w:sz="4" w:space="0" w:color="auto"/>
            </w:tcBorders>
            <w:shd w:val="clear" w:color="auto" w:fill="005173"/>
            <w:vAlign w:val="center"/>
          </w:tcPr>
          <w:p w:rsidR="00AE6422" w:rsidRPr="00AE6422" w:rsidRDefault="00AE6422"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
                <w:sz w:val="19"/>
                <w:szCs w:val="19"/>
              </w:rPr>
            </w:pPr>
            <w:r w:rsidRPr="00AE6422">
              <w:rPr>
                <w:rFonts w:asciiTheme="minorHAnsi" w:hAnsiTheme="minorHAnsi" w:cs="Times New Roman"/>
                <w:b/>
                <w:sz w:val="19"/>
                <w:szCs w:val="19"/>
              </w:rPr>
              <w:t>Technology</w:t>
            </w:r>
          </w:p>
        </w:tc>
        <w:tc>
          <w:tcPr>
            <w:tcW w:w="2801" w:type="dxa"/>
            <w:tcBorders>
              <w:bottom w:val="single" w:sz="4" w:space="0" w:color="auto"/>
            </w:tcBorders>
            <w:shd w:val="clear" w:color="auto" w:fill="005173"/>
            <w:vAlign w:val="center"/>
          </w:tcPr>
          <w:p w:rsidR="00AE6422" w:rsidRPr="00AE6422" w:rsidRDefault="00AE6422"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
                <w:sz w:val="19"/>
                <w:szCs w:val="19"/>
              </w:rPr>
            </w:pPr>
            <w:r w:rsidRPr="00AE6422">
              <w:rPr>
                <w:rFonts w:asciiTheme="minorHAnsi" w:hAnsiTheme="minorHAnsi" w:cs="Times New Roman"/>
                <w:b/>
                <w:sz w:val="19"/>
                <w:szCs w:val="19"/>
              </w:rPr>
              <w:t>Hyperlink to documents on Case Study website</w:t>
            </w:r>
          </w:p>
        </w:tc>
      </w:tr>
      <w:tr w:rsidR="00AE6422" w:rsidRPr="00AE6422" w:rsidTr="005A67D3">
        <w:trPr>
          <w:jc w:val="center"/>
        </w:trPr>
        <w:tc>
          <w:tcPr>
            <w:tcW w:w="294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BDT</w:t>
            </w:r>
          </w:p>
        </w:tc>
        <w:tc>
          <w:tcPr>
            <w:tcW w:w="1418" w:type="dxa"/>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50" w:history="1">
              <w:r w:rsidR="00AE6422" w:rsidRPr="00AE6422">
                <w:rPr>
                  <w:rFonts w:asciiTheme="minorHAnsi" w:hAnsiTheme="minorHAnsi" w:cs="Times New Roman"/>
                  <w:bCs/>
                  <w:color w:val="0000FF"/>
                  <w:sz w:val="19"/>
                  <w:szCs w:val="19"/>
                  <w:u w:val="single"/>
                </w:rPr>
                <w:t>25/2/5</w:t>
              </w:r>
            </w:hyperlink>
          </w:p>
        </w:tc>
        <w:tc>
          <w:tcPr>
            <w:tcW w:w="269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WiMAX/Microwave Backhaul</w:t>
            </w:r>
          </w:p>
        </w:tc>
        <w:tc>
          <w:tcPr>
            <w:tcW w:w="2801"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Case study on project in Burundi is not available in case study library</w:t>
            </w:r>
          </w:p>
        </w:tc>
      </w:tr>
      <w:tr w:rsidR="00AE6422" w:rsidRPr="00AE6422" w:rsidTr="005A67D3">
        <w:trPr>
          <w:jc w:val="center"/>
        </w:trPr>
        <w:tc>
          <w:tcPr>
            <w:tcW w:w="294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Democratic Republic of Congo/ARPTC</w:t>
            </w:r>
          </w:p>
        </w:tc>
        <w:tc>
          <w:tcPr>
            <w:tcW w:w="1418" w:type="dxa"/>
            <w:tcBorders>
              <w:bottom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51" w:history="1">
              <w:r w:rsidR="00AE6422" w:rsidRPr="00AE6422">
                <w:rPr>
                  <w:rFonts w:asciiTheme="minorHAnsi" w:hAnsiTheme="minorHAnsi" w:cs="Times New Roman"/>
                  <w:bCs/>
                  <w:color w:val="0000FF"/>
                  <w:sz w:val="19"/>
                  <w:szCs w:val="19"/>
                  <w:u w:val="single"/>
                </w:rPr>
                <w:t>25/2/6</w:t>
              </w:r>
            </w:hyperlink>
          </w:p>
        </w:tc>
        <w:tc>
          <w:tcPr>
            <w:tcW w:w="269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WiMAX/WiFi/VSat/GSM/CDMA/Fiber Optic Cable</w:t>
            </w:r>
          </w:p>
        </w:tc>
        <w:tc>
          <w:tcPr>
            <w:tcW w:w="2801"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Case study from D.R. Congo is not available in case study library</w:t>
            </w:r>
          </w:p>
        </w:tc>
      </w:tr>
      <w:tr w:rsidR="00AE6422" w:rsidRPr="00AE6422" w:rsidTr="005A67D3">
        <w:trPr>
          <w:jc w:val="center"/>
        </w:trPr>
        <w:tc>
          <w:tcPr>
            <w:tcW w:w="294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Rwanda/Rwanda Utilities Regulatory Agency</w:t>
            </w:r>
          </w:p>
        </w:tc>
        <w:tc>
          <w:tcPr>
            <w:tcW w:w="1418" w:type="dxa"/>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52" w:history="1">
              <w:r w:rsidR="00AE6422" w:rsidRPr="00AE6422">
                <w:rPr>
                  <w:rFonts w:asciiTheme="minorHAnsi" w:hAnsiTheme="minorHAnsi" w:cs="Times New Roman"/>
                  <w:bCs/>
                  <w:color w:val="0000FF"/>
                  <w:sz w:val="19"/>
                  <w:szCs w:val="19"/>
                  <w:u w:val="single"/>
                </w:rPr>
                <w:t>25/2/7</w:t>
              </w:r>
            </w:hyperlink>
          </w:p>
        </w:tc>
        <w:tc>
          <w:tcPr>
            <w:tcW w:w="269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WiMAX/WCDMA</w:t>
            </w:r>
          </w:p>
        </w:tc>
        <w:tc>
          <w:tcPr>
            <w:tcW w:w="2801"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Case study from Rwanda is not available in case study library</w:t>
            </w:r>
          </w:p>
        </w:tc>
      </w:tr>
      <w:tr w:rsidR="00AE6422" w:rsidRPr="00AE6422" w:rsidTr="005A67D3">
        <w:trPr>
          <w:jc w:val="center"/>
        </w:trPr>
        <w:tc>
          <w:tcPr>
            <w:tcW w:w="294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Egypt/NTRA</w:t>
            </w:r>
          </w:p>
        </w:tc>
        <w:tc>
          <w:tcPr>
            <w:tcW w:w="1418" w:type="dxa"/>
            <w:tcBorders>
              <w:bottom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53" w:history="1">
              <w:r w:rsidR="00AE6422" w:rsidRPr="00AE6422">
                <w:rPr>
                  <w:rFonts w:asciiTheme="minorHAnsi" w:hAnsiTheme="minorHAnsi" w:cs="Times New Roman"/>
                  <w:bCs/>
                  <w:color w:val="0000FF"/>
                  <w:sz w:val="19"/>
                  <w:szCs w:val="19"/>
                  <w:u w:val="single"/>
                </w:rPr>
                <w:t>25/2/40</w:t>
              </w:r>
            </w:hyperlink>
            <w:r w:rsidR="00AE6422" w:rsidRPr="00AE6422">
              <w:rPr>
                <w:rFonts w:asciiTheme="minorHAnsi" w:hAnsiTheme="minorHAnsi" w:cs="Times New Roman"/>
                <w:bCs/>
                <w:sz w:val="19"/>
                <w:szCs w:val="19"/>
              </w:rPr>
              <w:t xml:space="preserve"> and </w:t>
            </w:r>
            <w:hyperlink r:id="rId54" w:history="1">
              <w:r w:rsidR="00AE6422" w:rsidRPr="00AE6422">
                <w:rPr>
                  <w:rFonts w:asciiTheme="minorHAnsi" w:hAnsiTheme="minorHAnsi" w:cs="Times New Roman"/>
                  <w:bCs/>
                  <w:color w:val="0000FF"/>
                  <w:sz w:val="19"/>
                  <w:szCs w:val="19"/>
                  <w:u w:val="single"/>
                </w:rPr>
                <w:t>2/312</w:t>
              </w:r>
            </w:hyperlink>
          </w:p>
        </w:tc>
        <w:tc>
          <w:tcPr>
            <w:tcW w:w="269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
                <w:bCs/>
                <w:i/>
                <w:iCs/>
                <w:sz w:val="19"/>
                <w:szCs w:val="19"/>
              </w:rPr>
            </w:pPr>
            <w:r w:rsidRPr="00AE6422">
              <w:rPr>
                <w:rFonts w:asciiTheme="minorHAnsi" w:hAnsiTheme="minorHAnsi" w:cs="Times New Roman"/>
                <w:bCs/>
                <w:sz w:val="19"/>
                <w:szCs w:val="19"/>
              </w:rPr>
              <w:t>A variety of access technologies</w:t>
            </w:r>
          </w:p>
        </w:tc>
        <w:tc>
          <w:tcPr>
            <w:tcW w:w="2801" w:type="dxa"/>
            <w:tcBorders>
              <w:bottom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55" w:history="1">
              <w:r w:rsidR="00AE6422" w:rsidRPr="00AE6422">
                <w:rPr>
                  <w:rFonts w:asciiTheme="minorHAnsi" w:hAnsiTheme="minorHAnsi" w:cs="Times New Roman"/>
                  <w:bCs/>
                  <w:color w:val="0000FF"/>
                  <w:sz w:val="19"/>
                  <w:szCs w:val="19"/>
                  <w:u w:val="single"/>
                </w:rPr>
                <w:t xml:space="preserve">Evaluating different access technology options </w:t>
              </w:r>
            </w:hyperlink>
          </w:p>
        </w:tc>
      </w:tr>
      <w:tr w:rsidR="00AE6422" w:rsidRPr="00AE6422" w:rsidTr="005A67D3">
        <w:trPr>
          <w:jc w:val="center"/>
        </w:trPr>
        <w:tc>
          <w:tcPr>
            <w:tcW w:w="294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Japan/KDDI</w:t>
            </w:r>
          </w:p>
        </w:tc>
        <w:tc>
          <w:tcPr>
            <w:tcW w:w="1418" w:type="dxa"/>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56" w:history="1">
              <w:r w:rsidR="00AE6422" w:rsidRPr="00AE6422">
                <w:rPr>
                  <w:rFonts w:asciiTheme="minorHAnsi" w:hAnsiTheme="minorHAnsi" w:cs="Times New Roman"/>
                  <w:bCs/>
                  <w:color w:val="0000FF"/>
                  <w:sz w:val="19"/>
                  <w:szCs w:val="19"/>
                  <w:u w:val="single"/>
                </w:rPr>
                <w:t>25/2/43</w:t>
              </w:r>
            </w:hyperlink>
          </w:p>
        </w:tc>
        <w:tc>
          <w:tcPr>
            <w:tcW w:w="269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WiMAX</w:t>
            </w:r>
          </w:p>
        </w:tc>
        <w:tc>
          <w:tcPr>
            <w:tcW w:w="2801" w:type="dxa"/>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57" w:history="1">
              <w:r w:rsidR="00AE6422" w:rsidRPr="00AE6422">
                <w:rPr>
                  <w:rFonts w:asciiTheme="minorHAnsi" w:hAnsiTheme="minorHAnsi" w:cs="Times New Roman"/>
                  <w:bCs/>
                  <w:color w:val="0000FF"/>
                  <w:sz w:val="19"/>
                  <w:szCs w:val="19"/>
                  <w:u w:val="single"/>
                </w:rPr>
                <w:t>Mobile WiMAX in Japan</w:t>
              </w:r>
            </w:hyperlink>
          </w:p>
        </w:tc>
      </w:tr>
      <w:tr w:rsidR="00AE6422" w:rsidRPr="00AE6422" w:rsidTr="005A67D3">
        <w:trPr>
          <w:jc w:val="center"/>
        </w:trPr>
        <w:tc>
          <w:tcPr>
            <w:tcW w:w="294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Qualcomm Inc. (United States) (Project in  South Africa)</w:t>
            </w:r>
          </w:p>
        </w:tc>
        <w:tc>
          <w:tcPr>
            <w:tcW w:w="1418" w:type="dxa"/>
            <w:tcBorders>
              <w:bottom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58" w:history="1">
              <w:r w:rsidR="00AE6422" w:rsidRPr="00AE6422">
                <w:rPr>
                  <w:rFonts w:asciiTheme="minorHAnsi" w:hAnsiTheme="minorHAnsi" w:cs="Times New Roman"/>
                  <w:bCs/>
                  <w:color w:val="0000FF"/>
                  <w:sz w:val="19"/>
                  <w:szCs w:val="19"/>
                  <w:u w:val="single"/>
                </w:rPr>
                <w:t>25/2/50</w:t>
              </w:r>
            </w:hyperlink>
          </w:p>
        </w:tc>
        <w:tc>
          <w:tcPr>
            <w:tcW w:w="269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IMT</w:t>
            </w:r>
          </w:p>
        </w:tc>
        <w:tc>
          <w:tcPr>
            <w:tcW w:w="2801" w:type="dxa"/>
            <w:tcBorders>
              <w:bottom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59" w:history="1">
              <w:r w:rsidR="00AE6422" w:rsidRPr="00AE6422">
                <w:rPr>
                  <w:rFonts w:asciiTheme="minorHAnsi" w:hAnsiTheme="minorHAnsi" w:cs="Times New Roman"/>
                  <w:bCs/>
                  <w:color w:val="0000FF"/>
                  <w:sz w:val="19"/>
                  <w:szCs w:val="19"/>
                  <w:u w:val="single"/>
                </w:rPr>
                <w:t>Mobile Health Information System: Providing Access to Information for Health Care Workers</w:t>
              </w:r>
            </w:hyperlink>
          </w:p>
        </w:tc>
      </w:tr>
      <w:tr w:rsidR="00AE6422" w:rsidRPr="00AE6422" w:rsidTr="005A67D3">
        <w:trPr>
          <w:jc w:val="center"/>
        </w:trPr>
        <w:tc>
          <w:tcPr>
            <w:tcW w:w="294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Qualcomm Inc. (United States) (Project in Indonesia)</w:t>
            </w:r>
          </w:p>
        </w:tc>
        <w:tc>
          <w:tcPr>
            <w:tcW w:w="1418" w:type="dxa"/>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60" w:history="1">
              <w:r w:rsidR="00AE6422" w:rsidRPr="00AE6422">
                <w:rPr>
                  <w:rFonts w:asciiTheme="minorHAnsi" w:hAnsiTheme="minorHAnsi" w:cs="Times New Roman"/>
                  <w:bCs/>
                  <w:color w:val="0000FF"/>
                  <w:sz w:val="19"/>
                  <w:szCs w:val="19"/>
                  <w:u w:val="single"/>
                </w:rPr>
                <w:t>25/2/51</w:t>
              </w:r>
            </w:hyperlink>
          </w:p>
        </w:tc>
        <w:tc>
          <w:tcPr>
            <w:tcW w:w="2693"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IMT</w:t>
            </w:r>
          </w:p>
        </w:tc>
        <w:tc>
          <w:tcPr>
            <w:tcW w:w="2801" w:type="dxa"/>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61" w:history="1">
              <w:r w:rsidR="00AE6422" w:rsidRPr="00AE6422">
                <w:rPr>
                  <w:rFonts w:asciiTheme="minorHAnsi" w:hAnsiTheme="minorHAnsi" w:cs="Times New Roman"/>
                  <w:bCs/>
                  <w:color w:val="0000FF"/>
                  <w:sz w:val="19"/>
                  <w:szCs w:val="19"/>
                  <w:u w:val="single"/>
                </w:rPr>
                <w:t>Mobile Microfranchising &amp; AppLab Initiatives</w:t>
              </w:r>
            </w:hyperlink>
          </w:p>
        </w:tc>
      </w:tr>
      <w:tr w:rsidR="00AE6422" w:rsidRPr="00AE6422" w:rsidTr="005A67D3">
        <w:trPr>
          <w:jc w:val="center"/>
        </w:trPr>
        <w:tc>
          <w:tcPr>
            <w:tcW w:w="294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Argentine Republic</w:t>
            </w:r>
          </w:p>
        </w:tc>
        <w:tc>
          <w:tcPr>
            <w:tcW w:w="1418" w:type="dxa"/>
            <w:tcBorders>
              <w:bottom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62" w:history="1">
              <w:r w:rsidR="00AE6422" w:rsidRPr="00AE6422">
                <w:rPr>
                  <w:rFonts w:asciiTheme="minorHAnsi" w:hAnsiTheme="minorHAnsi" w:cs="Times New Roman"/>
                  <w:bCs/>
                  <w:color w:val="0000FF"/>
                  <w:sz w:val="19"/>
                  <w:szCs w:val="19"/>
                  <w:u w:val="single"/>
                </w:rPr>
                <w:t>25/2/52</w:t>
              </w:r>
            </w:hyperlink>
          </w:p>
        </w:tc>
        <w:tc>
          <w:tcPr>
            <w:tcW w:w="2693"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Satellite, Terrestrial Broadcast, Fiber</w:t>
            </w:r>
          </w:p>
        </w:tc>
        <w:tc>
          <w:tcPr>
            <w:tcW w:w="2801" w:type="dxa"/>
            <w:tcBorders>
              <w:bottom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63" w:history="1">
              <w:r w:rsidR="00AE6422" w:rsidRPr="00AE6422">
                <w:rPr>
                  <w:rFonts w:asciiTheme="minorHAnsi" w:hAnsiTheme="minorHAnsi" w:cs="Times New Roman"/>
                  <w:bCs/>
                  <w:color w:val="0000FF"/>
                  <w:sz w:val="19"/>
                  <w:szCs w:val="19"/>
                  <w:u w:val="single"/>
                </w:rPr>
                <w:t>Argentina Conectada (Argentina Connected)</w:t>
              </w:r>
            </w:hyperlink>
          </w:p>
        </w:tc>
      </w:tr>
      <w:tr w:rsidR="00AE6422" w:rsidRPr="00AE6422" w:rsidTr="005A67D3">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Qualcomm Inc. (United States) (Project in Brazil)</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64" w:history="1">
              <w:r w:rsidR="00AE6422" w:rsidRPr="00AE6422">
                <w:rPr>
                  <w:rFonts w:asciiTheme="minorHAnsi" w:hAnsiTheme="minorHAnsi" w:cs="Times New Roman"/>
                  <w:bCs/>
                  <w:color w:val="0000FF"/>
                  <w:sz w:val="19"/>
                  <w:szCs w:val="19"/>
                  <w:u w:val="single"/>
                </w:rPr>
                <w:t>2/339</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IMT</w:t>
            </w: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65" w:history="1">
              <w:r w:rsidR="00AE6422" w:rsidRPr="00AE6422">
                <w:rPr>
                  <w:rFonts w:asciiTheme="minorHAnsi" w:hAnsiTheme="minorHAnsi" w:cs="Times New Roman"/>
                  <w:bCs/>
                  <w:color w:val="0000FF"/>
                  <w:sz w:val="19"/>
                  <w:szCs w:val="19"/>
                  <w:u w:val="single"/>
                </w:rPr>
                <w:t>Fishing the 3G Nets</w:t>
              </w:r>
            </w:hyperlink>
          </w:p>
        </w:tc>
      </w:tr>
      <w:tr w:rsidR="00AE6422" w:rsidRPr="00AE6422" w:rsidTr="005A67D3">
        <w:trPr>
          <w:jc w:val="center"/>
        </w:trPr>
        <w:tc>
          <w:tcPr>
            <w:tcW w:w="2943"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Qualcomm Inc. (United States) (Project in P.R. China)</w:t>
            </w:r>
          </w:p>
        </w:tc>
        <w:tc>
          <w:tcPr>
            <w:tcW w:w="1418" w:type="dxa"/>
            <w:tcBorders>
              <w:top w:val="single" w:sz="4" w:space="0" w:color="auto"/>
              <w:left w:val="single" w:sz="4" w:space="0" w:color="auto"/>
              <w:bottom w:val="single" w:sz="4" w:space="0" w:color="auto"/>
              <w:right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66" w:history="1">
              <w:r w:rsidR="00AE6422" w:rsidRPr="00AE6422">
                <w:rPr>
                  <w:rFonts w:asciiTheme="minorHAnsi" w:hAnsiTheme="minorHAnsi" w:cs="Times New Roman"/>
                  <w:bCs/>
                  <w:color w:val="0000FF"/>
                  <w:sz w:val="19"/>
                  <w:szCs w:val="19"/>
                  <w:u w:val="single"/>
                </w:rPr>
                <w:t>2/340</w:t>
              </w:r>
            </w:hyperlink>
          </w:p>
        </w:tc>
        <w:tc>
          <w:tcPr>
            <w:tcW w:w="2693"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IMT</w:t>
            </w:r>
          </w:p>
        </w:tc>
        <w:tc>
          <w:tcPr>
            <w:tcW w:w="2801" w:type="dxa"/>
            <w:tcBorders>
              <w:top w:val="single" w:sz="4" w:space="0" w:color="auto"/>
              <w:left w:val="single" w:sz="4" w:space="0" w:color="auto"/>
              <w:bottom w:val="single" w:sz="4" w:space="0" w:color="auto"/>
              <w:right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67" w:history="1">
              <w:r w:rsidR="00AE6422" w:rsidRPr="00AE6422">
                <w:rPr>
                  <w:rFonts w:asciiTheme="minorHAnsi" w:hAnsiTheme="minorHAnsi" w:cs="Times New Roman"/>
                  <w:bCs/>
                  <w:color w:val="0000FF"/>
                  <w:sz w:val="19"/>
                  <w:szCs w:val="19"/>
                  <w:u w:val="single"/>
                </w:rPr>
                <w:t>Let’s Get Ready! Mobile Safety Project</w:t>
              </w:r>
            </w:hyperlink>
          </w:p>
        </w:tc>
      </w:tr>
      <w:tr w:rsidR="00AE6422" w:rsidRPr="00AE6422" w:rsidTr="005A67D3">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China Telecommunications Corporation (P.R. China)</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68" w:history="1">
              <w:r w:rsidR="00AE6422" w:rsidRPr="00AE6422">
                <w:rPr>
                  <w:rFonts w:asciiTheme="minorHAnsi" w:hAnsiTheme="minorHAnsi" w:cs="Times New Roman"/>
                  <w:bCs/>
                  <w:color w:val="0000FF"/>
                  <w:sz w:val="19"/>
                  <w:szCs w:val="19"/>
                  <w:u w:val="single"/>
                </w:rPr>
                <w:t>2/321</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69" w:history="1">
              <w:r w:rsidR="00AE6422" w:rsidRPr="00AE6422">
                <w:rPr>
                  <w:rFonts w:asciiTheme="minorHAnsi" w:hAnsiTheme="minorHAnsi" w:cs="Times New Roman"/>
                  <w:bCs/>
                  <w:color w:val="0000FF"/>
                  <w:sz w:val="19"/>
                  <w:szCs w:val="19"/>
                  <w:u w:val="single"/>
                </w:rPr>
                <w:t>Introduction of China Telecom’s fiber Cities Broadband Development Experience</w:t>
              </w:r>
            </w:hyperlink>
          </w:p>
        </w:tc>
      </w:tr>
      <w:tr w:rsidR="00AE6422" w:rsidRPr="00AE6422" w:rsidTr="005A67D3">
        <w:trPr>
          <w:jc w:val="center"/>
        </w:trPr>
        <w:tc>
          <w:tcPr>
            <w:tcW w:w="2943"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Intel Corporation (United States)</w:t>
            </w:r>
          </w:p>
        </w:tc>
        <w:tc>
          <w:tcPr>
            <w:tcW w:w="1418" w:type="dxa"/>
            <w:tcBorders>
              <w:top w:val="single" w:sz="4" w:space="0" w:color="auto"/>
              <w:left w:val="single" w:sz="4" w:space="0" w:color="auto"/>
              <w:bottom w:val="single" w:sz="4" w:space="0" w:color="auto"/>
              <w:right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70" w:history="1">
              <w:r w:rsidR="00AE6422" w:rsidRPr="00AE6422">
                <w:rPr>
                  <w:rFonts w:asciiTheme="minorHAnsi" w:hAnsiTheme="minorHAnsi" w:cs="Times New Roman"/>
                  <w:bCs/>
                  <w:color w:val="0000FF"/>
                  <w:sz w:val="19"/>
                  <w:szCs w:val="19"/>
                  <w:u w:val="single"/>
                </w:rPr>
                <w:t>2/333</w:t>
              </w:r>
            </w:hyperlink>
          </w:p>
        </w:tc>
        <w:tc>
          <w:tcPr>
            <w:tcW w:w="2693"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p>
        </w:tc>
        <w:tc>
          <w:tcPr>
            <w:tcW w:w="2801" w:type="dxa"/>
            <w:tcBorders>
              <w:top w:val="single" w:sz="4" w:space="0" w:color="auto"/>
              <w:left w:val="single" w:sz="4" w:space="0" w:color="auto"/>
              <w:bottom w:val="single" w:sz="4" w:space="0" w:color="auto"/>
              <w:right w:val="single" w:sz="4" w:space="0" w:color="auto"/>
            </w:tcBorders>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71" w:history="1">
              <w:r w:rsidR="00AE6422" w:rsidRPr="00AE6422">
                <w:rPr>
                  <w:rFonts w:asciiTheme="minorHAnsi" w:hAnsiTheme="minorHAnsi" w:cs="Times New Roman"/>
                  <w:bCs/>
                  <w:color w:val="0000FF"/>
                  <w:sz w:val="19"/>
                  <w:szCs w:val="19"/>
                  <w:u w:val="single"/>
                </w:rPr>
                <w:t>Reference Broadband Implementation Plan</w:t>
              </w:r>
            </w:hyperlink>
          </w:p>
        </w:tc>
      </w:tr>
      <w:tr w:rsidR="00AE6422" w:rsidRPr="00AE6422" w:rsidTr="005A67D3">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r w:rsidRPr="00AE6422">
              <w:rPr>
                <w:rFonts w:asciiTheme="minorHAnsi" w:hAnsiTheme="minorHAnsi" w:cs="Times New Roman"/>
                <w:bCs/>
                <w:sz w:val="19"/>
                <w:szCs w:val="19"/>
              </w:rPr>
              <w:t>Microsoft Corporation (United States)</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center"/>
              <w:rPr>
                <w:rFonts w:asciiTheme="minorHAnsi" w:hAnsiTheme="minorHAnsi" w:cs="Times New Roman"/>
                <w:bCs/>
                <w:sz w:val="19"/>
                <w:szCs w:val="19"/>
              </w:rPr>
            </w:pPr>
            <w:hyperlink r:id="rId72" w:history="1">
              <w:r w:rsidR="00AE6422" w:rsidRPr="00AE6422">
                <w:rPr>
                  <w:rFonts w:asciiTheme="minorHAnsi" w:hAnsiTheme="minorHAnsi" w:cs="Times New Roman"/>
                  <w:bCs/>
                  <w:color w:val="0000FF"/>
                  <w:sz w:val="19"/>
                  <w:szCs w:val="19"/>
                  <w:u w:val="single"/>
                </w:rPr>
                <w:t>2/338</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B56FF8" w:rsidP="00AE6422">
            <w:pPr>
              <w:tabs>
                <w:tab w:val="clear" w:pos="567"/>
                <w:tab w:val="clear" w:pos="1133"/>
                <w:tab w:val="clear" w:pos="1700"/>
                <w:tab w:val="clear" w:pos="2267"/>
              </w:tabs>
              <w:kinsoku/>
              <w:bidi w:val="0"/>
              <w:spacing w:before="60" w:after="60" w:line="240" w:lineRule="auto"/>
              <w:jc w:val="left"/>
              <w:rPr>
                <w:rFonts w:asciiTheme="minorHAnsi" w:hAnsiTheme="minorHAnsi" w:cs="Times New Roman"/>
                <w:bCs/>
                <w:sz w:val="19"/>
                <w:szCs w:val="19"/>
              </w:rPr>
            </w:pPr>
            <w:hyperlink r:id="rId73" w:history="1">
              <w:r w:rsidR="00AE6422" w:rsidRPr="00AE6422">
                <w:rPr>
                  <w:rFonts w:asciiTheme="minorHAnsi" w:hAnsiTheme="minorHAnsi" w:cs="Times New Roman"/>
                  <w:bCs/>
                  <w:color w:val="0000FF"/>
                  <w:sz w:val="19"/>
                  <w:szCs w:val="19"/>
                  <w:u w:val="single"/>
                </w:rPr>
                <w:t>Mawingu: Providing broadband access using TV White Spaces in Kenya</w:t>
              </w:r>
            </w:hyperlink>
          </w:p>
        </w:tc>
      </w:tr>
    </w:tbl>
    <w:p w:rsidR="00AE6422" w:rsidRPr="00AE6422" w:rsidRDefault="00AE6422" w:rsidP="00AE6422">
      <w:pPr>
        <w:tabs>
          <w:tab w:val="clear" w:pos="567"/>
          <w:tab w:val="clear" w:pos="1133"/>
          <w:tab w:val="clear" w:pos="1700"/>
          <w:tab w:val="clear" w:pos="2267"/>
        </w:tabs>
        <w:kinsoku/>
        <w:bidi w:val="0"/>
        <w:spacing w:line="240" w:lineRule="auto"/>
        <w:rPr>
          <w:rFonts w:cs="Times New Roman"/>
          <w:bCs/>
          <w:szCs w:val="22"/>
        </w:rPr>
      </w:pPr>
    </w:p>
    <w:p w:rsidR="00AE6422" w:rsidRPr="00AE6422" w:rsidRDefault="00AE6422" w:rsidP="00AE6422">
      <w:pPr>
        <w:tabs>
          <w:tab w:val="clear" w:pos="567"/>
          <w:tab w:val="clear" w:pos="1133"/>
          <w:tab w:val="clear" w:pos="1700"/>
          <w:tab w:val="clear" w:pos="2267"/>
        </w:tabs>
        <w:kinsoku/>
        <w:bidi w:val="0"/>
        <w:spacing w:before="0" w:line="240" w:lineRule="auto"/>
        <w:jc w:val="left"/>
        <w:rPr>
          <w:rFonts w:eastAsia="Times New Roman" w:cs="Helvetica"/>
          <w:b/>
          <w:bCs/>
          <w:color w:val="005173"/>
          <w:sz w:val="28"/>
        </w:rPr>
      </w:pPr>
      <w:bookmarkStart w:id="167" w:name="_Toc363805281"/>
      <w:r w:rsidRPr="00AE6422">
        <w:rPr>
          <w:rFonts w:cs="Times New Roman"/>
          <w:szCs w:val="22"/>
        </w:rPr>
        <w:br w:type="page"/>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ind w:left="851" w:hanging="851"/>
        <w:outlineLvl w:val="0"/>
        <w:rPr>
          <w:rFonts w:eastAsia="Times New Roman" w:cs="Helvetica"/>
          <w:b/>
          <w:bCs/>
          <w:color w:val="005173"/>
          <w:sz w:val="28"/>
        </w:rPr>
      </w:pPr>
      <w:bookmarkStart w:id="168" w:name="_Toc379796522"/>
      <w:bookmarkStart w:id="169" w:name="_Toc379796852"/>
      <w:bookmarkStart w:id="170" w:name="_Toc379983851"/>
      <w:bookmarkStart w:id="171" w:name="_Toc380496749"/>
      <w:r w:rsidRPr="00AE6422">
        <w:rPr>
          <w:rFonts w:eastAsia="Times New Roman" w:cs="Helvetica"/>
          <w:b/>
          <w:bCs/>
          <w:color w:val="005173"/>
          <w:sz w:val="28"/>
        </w:rPr>
        <w:lastRenderedPageBreak/>
        <w:t>Annex II: Definition of Question 25/2</w:t>
      </w:r>
      <w:bookmarkEnd w:id="167"/>
      <w:bookmarkEnd w:id="168"/>
      <w:bookmarkEnd w:id="169"/>
      <w:bookmarkEnd w:id="170"/>
      <w:bookmarkEnd w:id="171"/>
    </w:p>
    <w:p w:rsidR="00AE6422" w:rsidRPr="00AE6422" w:rsidRDefault="00AE6422" w:rsidP="00AE6422">
      <w:pPr>
        <w:keepNext/>
        <w:keepLines/>
        <w:tabs>
          <w:tab w:val="clear" w:pos="567"/>
          <w:tab w:val="clear" w:pos="1133"/>
          <w:tab w:val="clear" w:pos="1700"/>
          <w:tab w:val="clear" w:pos="2267"/>
          <w:tab w:val="left" w:pos="851"/>
        </w:tabs>
        <w:kinsoku/>
        <w:bidi w:val="0"/>
        <w:spacing w:before="240" w:line="240" w:lineRule="auto"/>
        <w:ind w:left="851" w:hanging="851"/>
        <w:outlineLvl w:val="0"/>
        <w:rPr>
          <w:rFonts w:eastAsia="Times New Roman" w:cs="Helvetica"/>
          <w:b/>
          <w:bCs/>
          <w:color w:val="005173"/>
          <w:sz w:val="28"/>
        </w:rPr>
      </w:pPr>
      <w:bookmarkStart w:id="172" w:name="_Toc379796523"/>
      <w:bookmarkStart w:id="173" w:name="_Toc379796853"/>
      <w:bookmarkStart w:id="174" w:name="_Toc379983852"/>
      <w:bookmarkStart w:id="175" w:name="_Toc380496750"/>
      <w:r w:rsidRPr="00AE6422">
        <w:rPr>
          <w:rFonts w:eastAsia="Times New Roman" w:cs="Helvetica"/>
          <w:b/>
          <w:bCs/>
          <w:color w:val="005173"/>
          <w:sz w:val="28"/>
        </w:rPr>
        <w:t>Question 25/2: Access technology for broadband telecommunications including IMT, for developing countries</w:t>
      </w:r>
      <w:bookmarkEnd w:id="172"/>
      <w:bookmarkEnd w:id="173"/>
      <w:bookmarkEnd w:id="174"/>
      <w:bookmarkEnd w:id="175"/>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176" w:name="_Toc379796524"/>
      <w:bookmarkStart w:id="177" w:name="_Toc379796854"/>
      <w:bookmarkStart w:id="178" w:name="_Toc379983853"/>
      <w:bookmarkStart w:id="179" w:name="_Toc380496751"/>
      <w:r w:rsidRPr="00AE6422">
        <w:rPr>
          <w:rFonts w:eastAsia="Times New Roman" w:cs="Helvetica"/>
          <w:b/>
          <w:bCs/>
          <w:color w:val="005173"/>
          <w:sz w:val="28"/>
        </w:rPr>
        <w:t>1</w:t>
      </w:r>
      <w:r w:rsidRPr="00AE6422">
        <w:rPr>
          <w:rFonts w:eastAsia="Times New Roman" w:cs="Helvetica"/>
          <w:b/>
          <w:bCs/>
          <w:color w:val="005173"/>
          <w:sz w:val="28"/>
        </w:rPr>
        <w:tab/>
        <w:t>Statement of the situation</w:t>
      </w:r>
      <w:bookmarkEnd w:id="176"/>
      <w:bookmarkEnd w:id="177"/>
      <w:bookmarkEnd w:id="178"/>
      <w:bookmarkEnd w:id="179"/>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 xml:space="preserve">ITU-D Study Group 2 will provide developing countries with an understanding of the different technologies available for broadband access using both wired and wireless technologies for terrestrial and satellite telecommunications, including International Mobile Telecommunications (IMT). Study Group 2 will continue to cover the technical issues involved in deploying broadband access technologies, including the integration of such access network solutions in existing and future network infrastructures, provide guidelines for broadband access development, taking into account the fact that the standardization of broadband access technologies is a priority in the strategic plan of ITU, and respond to the initiatives of all developing countries (as proposed by the six WTDC regional preparatory meetings (RPMs). </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180" w:name="_Toc379796525"/>
      <w:bookmarkStart w:id="181" w:name="_Toc379796855"/>
      <w:bookmarkStart w:id="182" w:name="_Toc379983854"/>
      <w:bookmarkStart w:id="183" w:name="_Toc380496752"/>
      <w:r w:rsidRPr="00AE6422">
        <w:rPr>
          <w:rFonts w:eastAsia="Times New Roman" w:cs="Helvetica"/>
          <w:b/>
          <w:bCs/>
          <w:color w:val="005173"/>
          <w:sz w:val="28"/>
        </w:rPr>
        <w:t xml:space="preserve">2 </w:t>
      </w:r>
      <w:r w:rsidRPr="00AE6422">
        <w:rPr>
          <w:rFonts w:eastAsia="Times New Roman" w:cs="Helvetica"/>
          <w:b/>
          <w:bCs/>
          <w:color w:val="005173"/>
          <w:sz w:val="28"/>
        </w:rPr>
        <w:tab/>
        <w:t>Question for study</w:t>
      </w:r>
      <w:bookmarkEnd w:id="180"/>
      <w:bookmarkEnd w:id="181"/>
      <w:bookmarkEnd w:id="182"/>
      <w:bookmarkEnd w:id="183"/>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Identify the factors influencing the effective deployment of broadband wireline, wireless and satellite access technologies and their applications, with a focus on technologies and/or standards recognized or under study by the other two ITU Sectors.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a.</w:t>
      </w:r>
      <w:r w:rsidRPr="00AE6422">
        <w:rPr>
          <w:rFonts w:cs="Calibri"/>
          <w:szCs w:val="21"/>
          <w:lang w:val="en-GB" w:eastAsia="en-GB"/>
        </w:rPr>
        <w:tab/>
        <w:t>Examine wired and wireless broadband access technologies and their future trends;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b.</w:t>
      </w:r>
      <w:r w:rsidRPr="00AE6422">
        <w:rPr>
          <w:rFonts w:cs="Calibri"/>
          <w:szCs w:val="21"/>
          <w:lang w:val="en-GB" w:eastAsia="en-GB"/>
        </w:rPr>
        <w:tab/>
        <w:t>Identify methodologies for migration planning and implementation of broadband wired and wireless technologies, taking into account existing networks, as appropriate;</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c.</w:t>
      </w:r>
      <w:r w:rsidRPr="00AE6422">
        <w:rPr>
          <w:rFonts w:cs="Calibri"/>
          <w:szCs w:val="21"/>
          <w:lang w:val="en-GB" w:eastAsia="en-GB"/>
        </w:rPr>
        <w:tab/>
        <w:t>Consider trends of broadband access technologies; deployments, services offered and regulatory considerations;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d.</w:t>
      </w:r>
      <w:r w:rsidRPr="00AE6422">
        <w:rPr>
          <w:rFonts w:cs="Calibri"/>
          <w:szCs w:val="21"/>
          <w:lang w:val="en-GB" w:eastAsia="en-GB"/>
        </w:rPr>
        <w:tab/>
        <w:t>Continue to identify ways and means of implementing IMT, using terrestrial links and satellites;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e.</w:t>
      </w:r>
      <w:r w:rsidRPr="00AE6422">
        <w:rPr>
          <w:rFonts w:cs="Calibri"/>
          <w:szCs w:val="21"/>
          <w:lang w:val="en-GB" w:eastAsia="en-GB"/>
        </w:rPr>
        <w:tab/>
        <w:t>Identify key elements to be studied in order to facilitate the possible deployment of systems integrating satellite and the terrestrial component of IMT (see Recommendation 206 (WRC-07);</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f.</w:t>
      </w:r>
      <w:r w:rsidRPr="00AE6422">
        <w:rPr>
          <w:rFonts w:cs="Calibri"/>
          <w:szCs w:val="21"/>
          <w:lang w:val="en-GB" w:eastAsia="en-GB"/>
        </w:rPr>
        <w:tab/>
        <w:t>Provide information on the specific impact of the implementation of broadband wired and wireless means, including IMT, on underserved populations, including persons with disabilities;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g.</w:t>
      </w:r>
      <w:r w:rsidRPr="00AE6422">
        <w:rPr>
          <w:rFonts w:cs="Calibri"/>
          <w:szCs w:val="21"/>
          <w:lang w:val="en-GB" w:eastAsia="en-GB"/>
        </w:rPr>
        <w:tab/>
        <w:t>Provide information on IMT-Advanced systems based on the advice of Working Party 5D of ITU-R Study Group 5.</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184" w:name="_Toc379796526"/>
      <w:bookmarkStart w:id="185" w:name="_Toc379796856"/>
      <w:bookmarkStart w:id="186" w:name="_Toc379983855"/>
      <w:bookmarkStart w:id="187" w:name="_Toc380496753"/>
      <w:r w:rsidRPr="00AE6422">
        <w:rPr>
          <w:rFonts w:eastAsia="Times New Roman" w:cs="Helvetica"/>
          <w:b/>
          <w:bCs/>
          <w:color w:val="005173"/>
          <w:sz w:val="28"/>
        </w:rPr>
        <w:t xml:space="preserve">3 </w:t>
      </w:r>
      <w:r w:rsidRPr="00AE6422">
        <w:rPr>
          <w:rFonts w:eastAsia="Times New Roman" w:cs="Helvetica"/>
          <w:b/>
          <w:bCs/>
          <w:color w:val="005173"/>
          <w:sz w:val="28"/>
        </w:rPr>
        <w:tab/>
        <w:t>Expected output</w:t>
      </w:r>
      <w:bookmarkEnd w:id="184"/>
      <w:bookmarkEnd w:id="185"/>
      <w:bookmarkEnd w:id="186"/>
      <w:bookmarkEnd w:id="187"/>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a.</w:t>
      </w:r>
      <w:r w:rsidRPr="00AE6422">
        <w:rPr>
          <w:rFonts w:cs="Calibri"/>
          <w:szCs w:val="21"/>
          <w:lang w:val="en-GB" w:eastAsia="en-GB"/>
        </w:rPr>
        <w:tab/>
        <w:t>Yearly progress report on the above study items including a matrix of different broadband access technologies, both wired and wireless, terrestrial and satellite, with yearly updates;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b.</w:t>
      </w:r>
      <w:r w:rsidRPr="00AE6422">
        <w:rPr>
          <w:rFonts w:cs="Calibri"/>
          <w:szCs w:val="21"/>
          <w:lang w:val="en-GB" w:eastAsia="en-GB"/>
        </w:rPr>
        <w:tab/>
        <w:t>Analysis of the factors influencing the effective deployment of broadband access core technologies;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c.</w:t>
      </w:r>
      <w:r w:rsidRPr="00AE6422">
        <w:rPr>
          <w:rFonts w:cs="Calibri"/>
          <w:szCs w:val="21"/>
          <w:lang w:val="en-GB" w:eastAsia="en-GB"/>
        </w:rPr>
        <w:tab/>
        <w:t>A set of guidelines for broadband access deployment that could be delivered inter alia through training seminars in accordance with the BDT Programme 4;</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d.</w:t>
      </w:r>
      <w:r w:rsidRPr="00AE6422">
        <w:rPr>
          <w:rFonts w:cs="Calibri"/>
          <w:szCs w:val="21"/>
          <w:lang w:val="en-GB" w:eastAsia="en-GB"/>
        </w:rPr>
        <w:tab/>
        <w:t>.A handbook on IMT deployment in developing countries to replace the Handbook on Deployment of IMT-2000 systems (2003). This handbook will be the result of study group collaboration between ITU-R Study Groups 4 and 5, ITU-T Study Group 13 and the Rapporteur's Group dealing with this Question as part of ITU-D Study Group 2;</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szCs w:val="21"/>
          <w:lang w:val="en-GB" w:eastAsia="en-GB"/>
        </w:rPr>
      </w:pPr>
      <w:r w:rsidRPr="00AE6422">
        <w:rPr>
          <w:rFonts w:cs="Calibri"/>
          <w:szCs w:val="21"/>
          <w:lang w:val="en-GB" w:eastAsia="en-GB"/>
        </w:rPr>
        <w:t>e.</w:t>
      </w:r>
      <w:r w:rsidRPr="00AE6422">
        <w:rPr>
          <w:rFonts w:cs="Calibri"/>
          <w:szCs w:val="21"/>
          <w:lang w:val="en-GB" w:eastAsia="en-GB"/>
        </w:rPr>
        <w:tab/>
        <w:t>Draft Recommendation(s), as appropriate and if justified.</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188" w:name="_Toc379796527"/>
      <w:bookmarkStart w:id="189" w:name="_Toc379796857"/>
      <w:bookmarkStart w:id="190" w:name="_Toc379983856"/>
      <w:bookmarkStart w:id="191" w:name="_Toc380496754"/>
      <w:r w:rsidRPr="00AE6422">
        <w:rPr>
          <w:rFonts w:eastAsia="Times New Roman" w:cs="Helvetica"/>
          <w:b/>
          <w:bCs/>
          <w:color w:val="005173"/>
          <w:sz w:val="28"/>
        </w:rPr>
        <w:lastRenderedPageBreak/>
        <w:t xml:space="preserve">4 </w:t>
      </w:r>
      <w:r w:rsidRPr="00AE6422">
        <w:rPr>
          <w:rFonts w:eastAsia="Times New Roman" w:cs="Helvetica"/>
          <w:b/>
          <w:bCs/>
          <w:color w:val="005173"/>
          <w:sz w:val="28"/>
        </w:rPr>
        <w:tab/>
        <w:t>Timing</w:t>
      </w:r>
      <w:bookmarkEnd w:id="188"/>
      <w:bookmarkEnd w:id="189"/>
      <w:bookmarkEnd w:id="190"/>
      <w:bookmarkEnd w:id="191"/>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The interim report on this Question is expected by 2012. The final report is expected in 2013 at the end of the ITU-D study period.</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192" w:name="_Toc379796528"/>
      <w:bookmarkStart w:id="193" w:name="_Toc379796858"/>
      <w:bookmarkStart w:id="194" w:name="_Toc379983857"/>
      <w:bookmarkStart w:id="195" w:name="_Toc380496755"/>
      <w:r w:rsidRPr="00AE6422">
        <w:rPr>
          <w:rFonts w:eastAsia="Times New Roman" w:cs="Helvetica"/>
          <w:b/>
          <w:bCs/>
          <w:color w:val="005173"/>
          <w:sz w:val="28"/>
        </w:rPr>
        <w:t xml:space="preserve">5 </w:t>
      </w:r>
      <w:r w:rsidRPr="00AE6422">
        <w:rPr>
          <w:rFonts w:eastAsia="Times New Roman" w:cs="Helvetica"/>
          <w:b/>
          <w:bCs/>
          <w:color w:val="005173"/>
          <w:sz w:val="28"/>
        </w:rPr>
        <w:tab/>
        <w:t>Proposers</w:t>
      </w:r>
      <w:bookmarkEnd w:id="192"/>
      <w:bookmarkEnd w:id="193"/>
      <w:bookmarkEnd w:id="194"/>
      <w:bookmarkEnd w:id="195"/>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Arab States, United States.</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196" w:name="_Toc379796529"/>
      <w:bookmarkStart w:id="197" w:name="_Toc379796859"/>
      <w:bookmarkStart w:id="198" w:name="_Toc379983858"/>
      <w:bookmarkStart w:id="199" w:name="_Toc380496756"/>
      <w:r w:rsidRPr="00AE6422">
        <w:rPr>
          <w:rFonts w:eastAsia="Times New Roman" w:cs="Helvetica"/>
          <w:b/>
          <w:bCs/>
          <w:color w:val="005173"/>
          <w:sz w:val="28"/>
        </w:rPr>
        <w:t xml:space="preserve">6 </w:t>
      </w:r>
      <w:r w:rsidRPr="00AE6422">
        <w:rPr>
          <w:rFonts w:eastAsia="Times New Roman" w:cs="Helvetica"/>
          <w:b/>
          <w:bCs/>
          <w:color w:val="005173"/>
          <w:sz w:val="28"/>
        </w:rPr>
        <w:tab/>
        <w:t>Sources of input</w:t>
      </w:r>
      <w:bookmarkEnd w:id="196"/>
      <w:bookmarkEnd w:id="197"/>
      <w:bookmarkEnd w:id="198"/>
      <w:bookmarkEnd w:id="199"/>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ind w:left="1274" w:hanging="406"/>
        <w:rPr>
          <w:rFonts w:cs="Calibri"/>
          <w:szCs w:val="21"/>
          <w:lang w:val="en-AU" w:eastAsia="en-GB"/>
        </w:rPr>
      </w:pPr>
      <w:r w:rsidRPr="00AE6422">
        <w:rPr>
          <w:rFonts w:cs="Calibri"/>
          <w:szCs w:val="21"/>
          <w:lang w:val="en-AU" w:eastAsia="en-GB"/>
        </w:rPr>
        <w:t>1)</w:t>
      </w:r>
      <w:r w:rsidRPr="00AE6422">
        <w:rPr>
          <w:rFonts w:cs="Calibri"/>
          <w:szCs w:val="21"/>
          <w:lang w:val="en-AU" w:eastAsia="en-GB"/>
        </w:rPr>
        <w:tab/>
        <w:t>Results of related technical progress in relevant ITU-R and ITU-T Study Groups, in particular Working Parties 5D (Question 77) and 5A of Study Group 5 and Working Parties 4A, 4B and 4C of Study Group 4, and in ITU-T in particular Study Group 15 (Question 1) and Study Group 13 (Question 15).</w:t>
      </w:r>
    </w:p>
    <w:p w:rsidR="00AE6422" w:rsidRPr="00AE6422" w:rsidRDefault="00AE6422" w:rsidP="00AE6422">
      <w:pPr>
        <w:tabs>
          <w:tab w:val="clear" w:pos="567"/>
          <w:tab w:val="clear" w:pos="1133"/>
          <w:tab w:val="clear" w:pos="1700"/>
          <w:tab w:val="clear" w:pos="2267"/>
        </w:tabs>
        <w:kinsoku/>
        <w:bidi w:val="0"/>
        <w:spacing w:line="240" w:lineRule="auto"/>
        <w:ind w:left="1274" w:hanging="406"/>
        <w:rPr>
          <w:rFonts w:cs="Calibri"/>
          <w:szCs w:val="21"/>
          <w:lang w:val="en-AU" w:eastAsia="en-GB"/>
        </w:rPr>
      </w:pPr>
      <w:r w:rsidRPr="00AE6422">
        <w:rPr>
          <w:rFonts w:cs="Calibri"/>
          <w:szCs w:val="21"/>
          <w:lang w:val="en-AU" w:eastAsia="en-GB"/>
        </w:rPr>
        <w:t>2)</w:t>
      </w:r>
      <w:r w:rsidRPr="00AE6422">
        <w:rPr>
          <w:rFonts w:cs="Calibri"/>
          <w:szCs w:val="21"/>
          <w:lang w:val="en-AU" w:eastAsia="en-GB"/>
        </w:rPr>
        <w:tab/>
        <w:t>ITU publications on both broadband and IMT.</w:t>
      </w:r>
    </w:p>
    <w:p w:rsidR="00AE6422" w:rsidRPr="00AE6422" w:rsidRDefault="00AE6422" w:rsidP="00AE6422">
      <w:pPr>
        <w:tabs>
          <w:tab w:val="clear" w:pos="567"/>
          <w:tab w:val="clear" w:pos="1133"/>
          <w:tab w:val="clear" w:pos="1700"/>
          <w:tab w:val="clear" w:pos="2267"/>
        </w:tabs>
        <w:kinsoku/>
        <w:bidi w:val="0"/>
        <w:spacing w:line="240" w:lineRule="auto"/>
        <w:ind w:left="1274" w:hanging="406"/>
        <w:rPr>
          <w:rFonts w:cs="Calibri"/>
          <w:szCs w:val="21"/>
          <w:lang w:val="en-AU" w:eastAsia="en-GB"/>
        </w:rPr>
      </w:pPr>
      <w:r w:rsidRPr="00AE6422">
        <w:rPr>
          <w:rFonts w:cs="Calibri"/>
          <w:szCs w:val="21"/>
          <w:lang w:val="en-AU" w:eastAsia="en-GB"/>
        </w:rPr>
        <w:t>3)</w:t>
      </w:r>
      <w:r w:rsidRPr="00AE6422">
        <w:rPr>
          <w:rFonts w:cs="Calibri"/>
          <w:szCs w:val="21"/>
          <w:lang w:val="en-AU" w:eastAsia="en-GB"/>
        </w:rPr>
        <w:tab/>
        <w:t>Relevant reports of national and/or regional organizations in developing and developed countries.</w:t>
      </w:r>
    </w:p>
    <w:p w:rsidR="00AE6422" w:rsidRPr="00AE6422" w:rsidRDefault="00AE6422" w:rsidP="00AE6422">
      <w:pPr>
        <w:tabs>
          <w:tab w:val="clear" w:pos="567"/>
          <w:tab w:val="clear" w:pos="1133"/>
          <w:tab w:val="clear" w:pos="1700"/>
          <w:tab w:val="clear" w:pos="2267"/>
        </w:tabs>
        <w:kinsoku/>
        <w:bidi w:val="0"/>
        <w:spacing w:line="240" w:lineRule="auto"/>
        <w:ind w:left="1274" w:hanging="406"/>
        <w:rPr>
          <w:rFonts w:cs="Calibri"/>
          <w:szCs w:val="21"/>
          <w:lang w:val="en-AU" w:eastAsia="en-GB"/>
        </w:rPr>
      </w:pPr>
      <w:r w:rsidRPr="00AE6422">
        <w:rPr>
          <w:rFonts w:cs="Calibri"/>
          <w:szCs w:val="21"/>
          <w:lang w:val="en-AU" w:eastAsia="en-GB"/>
        </w:rPr>
        <w:t>4)</w:t>
      </w:r>
      <w:r w:rsidRPr="00AE6422">
        <w:rPr>
          <w:rFonts w:cs="Calibri"/>
          <w:szCs w:val="21"/>
          <w:lang w:val="en-AU" w:eastAsia="en-GB"/>
        </w:rPr>
        <w:tab/>
        <w:t>Contributions on experiences with the implementation of relevant networks in developed and developing countries.</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4</w:t>
      </w:r>
      <w:r w:rsidRPr="00AE6422">
        <w:rPr>
          <w:rFonts w:cs="Times New Roman"/>
          <w:i/>
          <w:iCs/>
          <w:szCs w:val="22"/>
        </w:rPr>
        <w:t>bis</w:t>
      </w:r>
      <w:r w:rsidRPr="00AE6422">
        <w:rPr>
          <w:rFonts w:cs="Times New Roman"/>
          <w:szCs w:val="22"/>
        </w:rPr>
        <w:t>) Contributions of Sector Members on the development of broadband access technologies for wired, wireless and satellite.</w:t>
      </w:r>
    </w:p>
    <w:p w:rsidR="00AE6422" w:rsidRPr="00AE6422" w:rsidRDefault="00AE6422" w:rsidP="00AE6422">
      <w:pPr>
        <w:tabs>
          <w:tab w:val="clear" w:pos="567"/>
          <w:tab w:val="clear" w:pos="1133"/>
          <w:tab w:val="clear" w:pos="1700"/>
          <w:tab w:val="clear" w:pos="2267"/>
        </w:tabs>
        <w:kinsoku/>
        <w:bidi w:val="0"/>
        <w:spacing w:line="240" w:lineRule="auto"/>
        <w:ind w:left="1274" w:hanging="406"/>
        <w:rPr>
          <w:rFonts w:cs="Calibri"/>
          <w:szCs w:val="21"/>
          <w:lang w:eastAsia="en-GB"/>
        </w:rPr>
      </w:pPr>
      <w:r w:rsidRPr="00AE6422">
        <w:rPr>
          <w:rFonts w:cs="Calibri"/>
          <w:szCs w:val="21"/>
          <w:lang w:eastAsia="en-GB"/>
        </w:rPr>
        <w:t>1)</w:t>
      </w:r>
      <w:r w:rsidRPr="00AE6422">
        <w:rPr>
          <w:rFonts w:cs="Calibri"/>
          <w:szCs w:val="21"/>
          <w:lang w:eastAsia="en-GB"/>
        </w:rPr>
        <w:tab/>
        <w:t xml:space="preserve">Relevant </w:t>
      </w:r>
      <w:r w:rsidRPr="00AE6422">
        <w:rPr>
          <w:rFonts w:cs="Calibri"/>
          <w:szCs w:val="21"/>
          <w:lang w:val="en-AU" w:eastAsia="en-GB"/>
        </w:rPr>
        <w:t>inputs</w:t>
      </w:r>
      <w:r w:rsidRPr="00AE6422">
        <w:rPr>
          <w:rFonts w:cs="Calibri"/>
          <w:szCs w:val="21"/>
          <w:lang w:eastAsia="en-GB"/>
        </w:rPr>
        <w:t xml:space="preserve"> from service providers and manufacturers.</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00" w:name="_Toc379796530"/>
      <w:bookmarkStart w:id="201" w:name="_Toc379796860"/>
      <w:bookmarkStart w:id="202" w:name="_Toc379983859"/>
      <w:bookmarkStart w:id="203" w:name="_Toc380496757"/>
      <w:r w:rsidRPr="00AE6422">
        <w:rPr>
          <w:rFonts w:eastAsia="Times New Roman" w:cs="Helvetica"/>
          <w:b/>
          <w:bCs/>
          <w:color w:val="005173"/>
          <w:sz w:val="28"/>
        </w:rPr>
        <w:t xml:space="preserve">7 </w:t>
      </w:r>
      <w:r w:rsidRPr="00AE6422">
        <w:rPr>
          <w:rFonts w:eastAsia="Times New Roman" w:cs="Helvetica"/>
          <w:b/>
          <w:bCs/>
          <w:color w:val="005173"/>
          <w:sz w:val="28"/>
        </w:rPr>
        <w:tab/>
        <w:t>Target audience</w:t>
      </w:r>
      <w:bookmarkEnd w:id="200"/>
      <w:bookmarkEnd w:id="201"/>
      <w:bookmarkEnd w:id="202"/>
      <w:bookmarkEnd w:id="203"/>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AE6422">
        <w:rPr>
          <w:rFonts w:cs="Calibri"/>
          <w:szCs w:val="21"/>
          <w:lang w:val="en-GB" w:eastAsia="en-GB"/>
        </w:rPr>
        <w:t>a.</w:t>
      </w:r>
      <w:r w:rsidRPr="00AE6422">
        <w:rPr>
          <w:rFonts w:cs="Calibri"/>
          <w:szCs w:val="21"/>
          <w:lang w:val="en-GB" w:eastAsia="en-GB"/>
        </w:rPr>
        <w:tab/>
        <w:t xml:space="preserve">Target audience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p>
    <w:tbl>
      <w:tblPr>
        <w:tblStyle w:val="TableGrid"/>
        <w:tblW w:w="9072" w:type="dxa"/>
        <w:jc w:val="center"/>
        <w:tblLook w:val="04A0" w:firstRow="1" w:lastRow="0" w:firstColumn="1" w:lastColumn="0" w:noHBand="0" w:noVBand="1"/>
      </w:tblPr>
      <w:tblGrid>
        <w:gridCol w:w="2915"/>
        <w:gridCol w:w="2917"/>
        <w:gridCol w:w="3240"/>
      </w:tblGrid>
      <w:tr w:rsidR="00AE6422" w:rsidRPr="00AE6422" w:rsidTr="005A67D3">
        <w:trPr>
          <w:jc w:val="center"/>
        </w:trPr>
        <w:tc>
          <w:tcPr>
            <w:tcW w:w="2915" w:type="dxa"/>
            <w:tcBorders>
              <w:bottom w:val="single" w:sz="4" w:space="0" w:color="auto"/>
            </w:tcBorders>
            <w:shd w:val="clear" w:color="auto" w:fill="005173"/>
          </w:tcPr>
          <w:p w:rsidR="00AE6422" w:rsidRPr="00AE6422" w:rsidRDefault="00AE6422" w:rsidP="00AE6422">
            <w:pPr>
              <w:tabs>
                <w:tab w:val="clear" w:pos="567"/>
                <w:tab w:val="clear" w:pos="1133"/>
                <w:tab w:val="clear" w:pos="1700"/>
                <w:tab w:val="clear" w:pos="2267"/>
              </w:tabs>
              <w:kinsoku/>
              <w:bidi w:val="0"/>
              <w:spacing w:before="60" w:after="60" w:line="240" w:lineRule="auto"/>
              <w:jc w:val="center"/>
              <w:rPr>
                <w:rFonts w:cs="Times New Roman"/>
                <w:sz w:val="19"/>
                <w:szCs w:val="19"/>
              </w:rPr>
            </w:pPr>
            <w:r w:rsidRPr="00AE6422">
              <w:rPr>
                <w:rFonts w:cs="Times New Roman"/>
                <w:b/>
                <w:bCs/>
                <w:sz w:val="19"/>
                <w:szCs w:val="19"/>
              </w:rPr>
              <w:t>Target audience</w:t>
            </w:r>
          </w:p>
        </w:tc>
        <w:tc>
          <w:tcPr>
            <w:tcW w:w="2917" w:type="dxa"/>
            <w:tcBorders>
              <w:bottom w:val="single" w:sz="4" w:space="0" w:color="auto"/>
            </w:tcBorders>
            <w:shd w:val="clear" w:color="auto" w:fill="005173"/>
          </w:tcPr>
          <w:p w:rsidR="00AE6422" w:rsidRPr="00AE6422" w:rsidRDefault="00AE6422" w:rsidP="00AE6422">
            <w:pPr>
              <w:tabs>
                <w:tab w:val="clear" w:pos="567"/>
                <w:tab w:val="clear" w:pos="1133"/>
                <w:tab w:val="clear" w:pos="1700"/>
                <w:tab w:val="clear" w:pos="2267"/>
              </w:tabs>
              <w:kinsoku/>
              <w:bidi w:val="0"/>
              <w:spacing w:before="60" w:after="60" w:line="240" w:lineRule="auto"/>
              <w:jc w:val="center"/>
              <w:rPr>
                <w:rFonts w:cs="Times New Roman"/>
                <w:sz w:val="19"/>
                <w:szCs w:val="19"/>
              </w:rPr>
            </w:pPr>
            <w:r w:rsidRPr="00AE6422">
              <w:rPr>
                <w:rFonts w:cs="Times New Roman"/>
                <w:b/>
                <w:bCs/>
                <w:sz w:val="19"/>
                <w:szCs w:val="19"/>
              </w:rPr>
              <w:t>Developed countries</w:t>
            </w:r>
          </w:p>
        </w:tc>
        <w:tc>
          <w:tcPr>
            <w:tcW w:w="3240" w:type="dxa"/>
            <w:tcBorders>
              <w:bottom w:val="single" w:sz="4" w:space="0" w:color="auto"/>
            </w:tcBorders>
            <w:shd w:val="clear" w:color="auto" w:fill="005173"/>
          </w:tcPr>
          <w:p w:rsidR="00AE6422" w:rsidRPr="00AE6422" w:rsidRDefault="00AE6422" w:rsidP="00AE6422">
            <w:pPr>
              <w:tabs>
                <w:tab w:val="clear" w:pos="567"/>
                <w:tab w:val="clear" w:pos="1133"/>
                <w:tab w:val="clear" w:pos="1700"/>
                <w:tab w:val="clear" w:pos="2267"/>
              </w:tabs>
              <w:kinsoku/>
              <w:bidi w:val="0"/>
              <w:spacing w:before="60" w:after="60" w:line="240" w:lineRule="auto"/>
              <w:jc w:val="center"/>
              <w:rPr>
                <w:rFonts w:cs="Times New Roman"/>
                <w:sz w:val="19"/>
                <w:szCs w:val="19"/>
              </w:rPr>
            </w:pPr>
            <w:r w:rsidRPr="00AE6422">
              <w:rPr>
                <w:rFonts w:cs="Times New Roman"/>
                <w:b/>
                <w:bCs/>
                <w:sz w:val="19"/>
                <w:szCs w:val="19"/>
              </w:rPr>
              <w:t>Developing countries (</w:t>
            </w:r>
            <w:r w:rsidRPr="00AE6422">
              <w:rPr>
                <w:rFonts w:cs="Times New Roman"/>
                <w:b/>
                <w:bCs/>
                <w:sz w:val="19"/>
                <w:szCs w:val="19"/>
                <w:vertAlign w:val="superscript"/>
              </w:rPr>
              <w:t>1</w:t>
            </w:r>
            <w:r w:rsidRPr="00AE6422">
              <w:rPr>
                <w:rFonts w:cs="Times New Roman"/>
                <w:b/>
                <w:bCs/>
                <w:sz w:val="19"/>
                <w:szCs w:val="19"/>
              </w:rPr>
              <w:t>)</w:t>
            </w:r>
          </w:p>
        </w:tc>
      </w:tr>
      <w:tr w:rsidR="00AE6422" w:rsidRPr="00AE6422" w:rsidTr="005A67D3">
        <w:trPr>
          <w:jc w:val="center"/>
        </w:trPr>
        <w:tc>
          <w:tcPr>
            <w:tcW w:w="2915"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Telecom policy-makers</w:t>
            </w:r>
          </w:p>
        </w:tc>
        <w:tc>
          <w:tcPr>
            <w:tcW w:w="2917"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c>
          <w:tcPr>
            <w:tcW w:w="3240"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r>
      <w:tr w:rsidR="00AE6422" w:rsidRPr="00AE6422" w:rsidTr="005A67D3">
        <w:trPr>
          <w:jc w:val="center"/>
        </w:trPr>
        <w:tc>
          <w:tcPr>
            <w:tcW w:w="2915"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Telecom regulators</w:t>
            </w:r>
          </w:p>
        </w:tc>
        <w:tc>
          <w:tcPr>
            <w:tcW w:w="2917"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c>
          <w:tcPr>
            <w:tcW w:w="3240" w:type="dxa"/>
            <w:tcBorders>
              <w:bottom w:val="single" w:sz="4" w:space="0" w:color="auto"/>
            </w:tcBorders>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r>
      <w:tr w:rsidR="00AE6422" w:rsidRPr="00AE6422" w:rsidTr="005A67D3">
        <w:trPr>
          <w:jc w:val="center"/>
        </w:trPr>
        <w:tc>
          <w:tcPr>
            <w:tcW w:w="2915"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Service providers/operators</w:t>
            </w:r>
          </w:p>
        </w:tc>
        <w:tc>
          <w:tcPr>
            <w:tcW w:w="2917"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c>
          <w:tcPr>
            <w:tcW w:w="3240" w:type="dxa"/>
            <w:shd w:val="clear" w:color="auto" w:fill="E8F8FD"/>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r>
      <w:tr w:rsidR="00AE6422" w:rsidRPr="00AE6422" w:rsidTr="005A67D3">
        <w:trPr>
          <w:jc w:val="center"/>
        </w:trPr>
        <w:tc>
          <w:tcPr>
            <w:tcW w:w="2915" w:type="dxa"/>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Manufacturers</w:t>
            </w:r>
          </w:p>
        </w:tc>
        <w:tc>
          <w:tcPr>
            <w:tcW w:w="2917" w:type="dxa"/>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c>
          <w:tcPr>
            <w:tcW w:w="3240" w:type="dxa"/>
          </w:tcPr>
          <w:p w:rsidR="00AE6422" w:rsidRPr="00AE6422" w:rsidRDefault="00AE6422" w:rsidP="00AE6422">
            <w:pPr>
              <w:tabs>
                <w:tab w:val="clear" w:pos="567"/>
                <w:tab w:val="clear" w:pos="1133"/>
                <w:tab w:val="clear" w:pos="1700"/>
                <w:tab w:val="clear" w:pos="2267"/>
              </w:tabs>
              <w:kinsoku/>
              <w:bidi w:val="0"/>
              <w:spacing w:before="60" w:after="60" w:line="240" w:lineRule="auto"/>
              <w:rPr>
                <w:rFonts w:cs="Times New Roman"/>
                <w:sz w:val="19"/>
                <w:szCs w:val="19"/>
              </w:rPr>
            </w:pPr>
            <w:r w:rsidRPr="00AE6422">
              <w:rPr>
                <w:rFonts w:cs="Times New Roman"/>
                <w:sz w:val="19"/>
                <w:szCs w:val="19"/>
              </w:rPr>
              <w:t>Yes</w:t>
            </w:r>
          </w:p>
        </w:tc>
      </w:tr>
      <w:tr w:rsidR="00AE6422" w:rsidRPr="00AE6422" w:rsidTr="005A67D3">
        <w:trPr>
          <w:jc w:val="center"/>
        </w:trPr>
        <w:tc>
          <w:tcPr>
            <w:tcW w:w="9072" w:type="dxa"/>
            <w:gridSpan w:val="3"/>
          </w:tcPr>
          <w:p w:rsidR="00AE6422" w:rsidRPr="00AE6422" w:rsidRDefault="00AE6422" w:rsidP="00AE6422">
            <w:pPr>
              <w:tabs>
                <w:tab w:val="clear" w:pos="567"/>
                <w:tab w:val="clear" w:pos="1133"/>
                <w:tab w:val="clear" w:pos="1700"/>
                <w:tab w:val="clear" w:pos="2267"/>
              </w:tabs>
              <w:kinsoku/>
              <w:bidi w:val="0"/>
              <w:spacing w:before="60" w:after="60" w:line="240" w:lineRule="auto"/>
              <w:ind w:left="425" w:hanging="425"/>
              <w:rPr>
                <w:rFonts w:cs="Times New Roman"/>
                <w:sz w:val="19"/>
                <w:szCs w:val="19"/>
              </w:rPr>
            </w:pPr>
            <w:r w:rsidRPr="00AE6422">
              <w:rPr>
                <w:rFonts w:cs="Times New Roman"/>
                <w:sz w:val="19"/>
                <w:szCs w:val="19"/>
              </w:rPr>
              <w:t>[</w:t>
            </w:r>
            <w:r w:rsidRPr="00AE6422">
              <w:rPr>
                <w:rFonts w:cs="Times New Roman"/>
                <w:sz w:val="19"/>
                <w:szCs w:val="19"/>
                <w:vertAlign w:val="superscript"/>
              </w:rPr>
              <w:t>1</w:t>
            </w:r>
            <w:r w:rsidRPr="00AE6422">
              <w:rPr>
                <w:rFonts w:cs="Times New Roman"/>
                <w:sz w:val="19"/>
                <w:szCs w:val="19"/>
              </w:rPr>
              <w:t>]</w:t>
            </w:r>
            <w:r w:rsidRPr="00AE6422">
              <w:rPr>
                <w:rFonts w:cs="Times New Roman"/>
                <w:sz w:val="19"/>
                <w:szCs w:val="19"/>
              </w:rPr>
              <w:tab/>
              <w:t>This includes least developed countries (LDCs), small island developing states (SIDSs), landlocked developing countries (LLDCs), and countries with economies in transition.</w:t>
            </w:r>
          </w:p>
        </w:tc>
      </w:tr>
    </w:tbl>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szCs w:val="21"/>
          <w:lang w:eastAsia="en-GB"/>
        </w:rPr>
      </w:pPr>
      <w:r w:rsidRPr="00AE6422">
        <w:rPr>
          <w:rFonts w:cs="Calibri"/>
          <w:szCs w:val="21"/>
          <w:lang w:eastAsia="en-GB"/>
        </w:rPr>
        <w:t>b.</w:t>
      </w:r>
      <w:r w:rsidRPr="00AE6422">
        <w:rPr>
          <w:rFonts w:cs="Calibri"/>
          <w:szCs w:val="21"/>
          <w:lang w:eastAsia="en-GB"/>
        </w:rPr>
        <w:tab/>
        <w:t>Proposed methods for implementation of the results</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The work of the Rapporteur’s Group will be conducted and publicized through the ITU-D website as well as through the publication of documents and appropriate liaison statements.</w:t>
      </w:r>
    </w:p>
    <w:p w:rsidR="00AE6422" w:rsidRPr="00AE6422" w:rsidRDefault="00AE6422" w:rsidP="00AE6422">
      <w:pPr>
        <w:tabs>
          <w:tab w:val="clear" w:pos="567"/>
          <w:tab w:val="clear" w:pos="1133"/>
          <w:tab w:val="clear" w:pos="1700"/>
          <w:tab w:val="clear" w:pos="2267"/>
        </w:tabs>
        <w:kinsoku/>
        <w:bidi w:val="0"/>
        <w:spacing w:before="0" w:line="240" w:lineRule="auto"/>
        <w:jc w:val="left"/>
        <w:rPr>
          <w:rFonts w:eastAsia="Times New Roman" w:cs="Helvetica"/>
          <w:b/>
          <w:bCs/>
          <w:color w:val="005173"/>
          <w:sz w:val="28"/>
        </w:rPr>
      </w:pPr>
      <w:r w:rsidRPr="00AE6422">
        <w:rPr>
          <w:rFonts w:cs="Times New Roman"/>
          <w:szCs w:val="22"/>
        </w:rPr>
        <w:br w:type="page"/>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04" w:name="_Toc379796531"/>
      <w:bookmarkStart w:id="205" w:name="_Toc379796861"/>
      <w:bookmarkStart w:id="206" w:name="_Toc379983860"/>
      <w:bookmarkStart w:id="207" w:name="_Toc380496758"/>
      <w:r w:rsidRPr="00AE6422">
        <w:rPr>
          <w:rFonts w:eastAsia="Times New Roman" w:cs="Helvetica"/>
          <w:b/>
          <w:bCs/>
          <w:color w:val="005173"/>
          <w:sz w:val="28"/>
        </w:rPr>
        <w:lastRenderedPageBreak/>
        <w:t xml:space="preserve">8 </w:t>
      </w:r>
      <w:r w:rsidRPr="00AE6422">
        <w:rPr>
          <w:rFonts w:eastAsia="Times New Roman" w:cs="Helvetica"/>
          <w:b/>
          <w:bCs/>
          <w:color w:val="005173"/>
          <w:sz w:val="28"/>
        </w:rPr>
        <w:tab/>
        <w:t>Proposed methods for handling the Question</w:t>
      </w:r>
      <w:bookmarkEnd w:id="204"/>
      <w:bookmarkEnd w:id="205"/>
      <w:bookmarkEnd w:id="206"/>
      <w:bookmarkEnd w:id="207"/>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The Question will be handled by a Rapporteur’s Group of ITU-D Study Group 2.</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08" w:name="_Toc379796532"/>
      <w:bookmarkStart w:id="209" w:name="_Toc379796862"/>
      <w:bookmarkStart w:id="210" w:name="_Toc379983861"/>
      <w:bookmarkStart w:id="211" w:name="_Toc380496759"/>
      <w:r w:rsidRPr="00AE6422">
        <w:rPr>
          <w:rFonts w:eastAsia="Times New Roman" w:cs="Helvetica"/>
          <w:b/>
          <w:bCs/>
          <w:color w:val="005173"/>
          <w:sz w:val="28"/>
        </w:rPr>
        <w:t xml:space="preserve">9 </w:t>
      </w:r>
      <w:r w:rsidRPr="00AE6422">
        <w:rPr>
          <w:rFonts w:eastAsia="Times New Roman" w:cs="Helvetica"/>
          <w:b/>
          <w:bCs/>
          <w:color w:val="005173"/>
          <w:sz w:val="28"/>
        </w:rPr>
        <w:tab/>
        <w:t>Coordination</w:t>
      </w:r>
      <w:bookmarkEnd w:id="208"/>
      <w:bookmarkEnd w:id="209"/>
      <w:bookmarkEnd w:id="210"/>
      <w:bookmarkEnd w:id="211"/>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In order to coordinate effectively and avoid duplication of activities, the study should take into consideration:</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outputs from the relevant ITU-T and ITU-R Study Groups;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w:t>
      </w:r>
      <w:r w:rsidRPr="00AE6422">
        <w:rPr>
          <w:rFonts w:cs="Calibri"/>
          <w:szCs w:val="21"/>
          <w:lang w:val="en-GB" w:eastAsia="en-GB"/>
        </w:rPr>
        <w:tab/>
        <w:t>the</w:t>
      </w:r>
      <w:r w:rsidRPr="00AE6422">
        <w:rPr>
          <w:rFonts w:cs="Calibri"/>
          <w:bCs/>
          <w:szCs w:val="21"/>
          <w:lang w:eastAsia="en-GB"/>
        </w:rPr>
        <w:t xml:space="preserve"> relevant outputs from ITU-D Questions;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inputs from the relevant BDT programme(s);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inputs from those involved in the implementation of the study of IMT systems.</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12" w:name="_Toc379796533"/>
      <w:bookmarkStart w:id="213" w:name="_Toc379796863"/>
      <w:bookmarkStart w:id="214" w:name="_Toc379983862"/>
      <w:bookmarkStart w:id="215" w:name="_Toc380496760"/>
      <w:r w:rsidRPr="00AE6422">
        <w:rPr>
          <w:rFonts w:eastAsia="Times New Roman" w:cs="Helvetica"/>
          <w:b/>
          <w:bCs/>
          <w:color w:val="005173"/>
          <w:sz w:val="28"/>
        </w:rPr>
        <w:t xml:space="preserve">10 </w:t>
      </w:r>
      <w:r w:rsidRPr="00AE6422">
        <w:rPr>
          <w:rFonts w:eastAsia="Times New Roman" w:cs="Helvetica"/>
          <w:b/>
          <w:bCs/>
          <w:color w:val="005173"/>
          <w:sz w:val="28"/>
        </w:rPr>
        <w:tab/>
        <w:t>Relevant programme</w:t>
      </w:r>
      <w:bookmarkEnd w:id="212"/>
      <w:bookmarkEnd w:id="213"/>
      <w:bookmarkEnd w:id="214"/>
      <w:bookmarkEnd w:id="215"/>
      <w:r w:rsidRPr="00AE6422">
        <w:rPr>
          <w:rFonts w:eastAsia="Times New Roman" w:cs="Helvetica"/>
          <w:b/>
          <w:bCs/>
          <w:color w:val="005173"/>
          <w:sz w:val="28"/>
        </w:rPr>
        <w:t xml:space="preserve"> </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Programme 1 will be the relevant programme.</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16" w:name="_Toc379796534"/>
      <w:bookmarkStart w:id="217" w:name="_Toc379796864"/>
      <w:bookmarkStart w:id="218" w:name="_Toc379983863"/>
      <w:bookmarkStart w:id="219" w:name="_Toc380496761"/>
      <w:r w:rsidRPr="00AE6422">
        <w:rPr>
          <w:rFonts w:eastAsia="Times New Roman" w:cs="Helvetica"/>
          <w:b/>
          <w:bCs/>
          <w:color w:val="005173"/>
          <w:sz w:val="28"/>
        </w:rPr>
        <w:t xml:space="preserve">11 </w:t>
      </w:r>
      <w:r w:rsidRPr="00AE6422">
        <w:rPr>
          <w:rFonts w:eastAsia="Times New Roman" w:cs="Helvetica"/>
          <w:b/>
          <w:bCs/>
          <w:color w:val="005173"/>
          <w:sz w:val="28"/>
        </w:rPr>
        <w:tab/>
        <w:t>Other relevant information</w:t>
      </w:r>
      <w:bookmarkEnd w:id="216"/>
      <w:bookmarkEnd w:id="217"/>
      <w:bookmarkEnd w:id="218"/>
      <w:bookmarkEnd w:id="219"/>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Resolution 43 as revised by WTDC-10 should be taken into consideration.</w:t>
      </w:r>
    </w:p>
    <w:p w:rsidR="00AE6422" w:rsidRPr="00AE6422" w:rsidRDefault="00AE6422" w:rsidP="00AE6422">
      <w:pPr>
        <w:tabs>
          <w:tab w:val="clear" w:pos="567"/>
          <w:tab w:val="clear" w:pos="1133"/>
          <w:tab w:val="clear" w:pos="1700"/>
          <w:tab w:val="clear" w:pos="2267"/>
        </w:tabs>
        <w:kinsoku/>
        <w:bidi w:val="0"/>
        <w:spacing w:before="0" w:line="240" w:lineRule="auto"/>
        <w:jc w:val="left"/>
        <w:rPr>
          <w:rFonts w:eastAsia="Times New Roman" w:cs="Helvetica"/>
          <w:b/>
          <w:bCs/>
          <w:color w:val="005173"/>
          <w:sz w:val="28"/>
        </w:rPr>
      </w:pPr>
      <w:bookmarkStart w:id="220" w:name="_Toc363805282"/>
      <w:r w:rsidRPr="00AE6422">
        <w:rPr>
          <w:rFonts w:cs="Times New Roman"/>
          <w:szCs w:val="22"/>
        </w:rPr>
        <w:br w:type="page"/>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21" w:name="_Toc379796535"/>
      <w:bookmarkStart w:id="222" w:name="_Toc379796865"/>
      <w:bookmarkStart w:id="223" w:name="_Toc379983864"/>
      <w:bookmarkStart w:id="224" w:name="_Toc380496762"/>
      <w:r w:rsidRPr="00AE6422">
        <w:rPr>
          <w:rFonts w:eastAsia="Times New Roman" w:cs="Helvetica"/>
          <w:b/>
          <w:bCs/>
          <w:color w:val="005173"/>
          <w:sz w:val="28"/>
        </w:rPr>
        <w:lastRenderedPageBreak/>
        <w:t>Annex III: Other ITU Sector Relevant Recommendations and Reports</w:t>
      </w:r>
      <w:bookmarkEnd w:id="220"/>
      <w:bookmarkEnd w:id="221"/>
      <w:bookmarkEnd w:id="222"/>
      <w:bookmarkEnd w:id="223"/>
      <w:bookmarkEnd w:id="224"/>
    </w:p>
    <w:p w:rsidR="00AE6422" w:rsidRPr="00AE6422" w:rsidRDefault="00AE6422" w:rsidP="00AE6422">
      <w:pPr>
        <w:keepNext/>
        <w:tabs>
          <w:tab w:val="clear" w:pos="567"/>
          <w:tab w:val="clear" w:pos="1133"/>
          <w:tab w:val="clear" w:pos="1700"/>
          <w:tab w:val="clear" w:pos="2267"/>
          <w:tab w:val="left" w:pos="993"/>
        </w:tabs>
        <w:kinsoku/>
        <w:bidi w:val="0"/>
        <w:spacing w:before="240" w:after="60" w:line="240" w:lineRule="auto"/>
        <w:outlineLvl w:val="3"/>
        <w:rPr>
          <w:rFonts w:eastAsia="Times New Roman" w:cs="Times New Roman"/>
          <w:b/>
          <w:bCs/>
          <w:color w:val="005173"/>
          <w:sz w:val="22"/>
          <w:szCs w:val="22"/>
          <w:lang w:val="en-GB" w:eastAsia="en-CA"/>
        </w:rPr>
      </w:pPr>
      <w:r w:rsidRPr="00AE6422">
        <w:rPr>
          <w:rFonts w:eastAsia="Times New Roman" w:cs="Times New Roman"/>
          <w:b/>
          <w:bCs/>
          <w:color w:val="005173"/>
          <w:sz w:val="22"/>
          <w:szCs w:val="22"/>
          <w:lang w:val="en-GB" w:eastAsia="en-CA"/>
        </w:rPr>
        <w:t>Wireline Broadband Access Technologies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AE6422">
        <w:rPr>
          <w:rFonts w:cs="Calibri"/>
          <w:szCs w:val="21"/>
          <w:lang w:val="en-GB" w:eastAsia="en-GB"/>
        </w:rPr>
        <w:t>–</w:t>
      </w:r>
      <w:r w:rsidRPr="00AE6422">
        <w:rPr>
          <w:rFonts w:cs="Calibri"/>
          <w:szCs w:val="21"/>
          <w:lang w:val="en-GB" w:eastAsia="en-GB"/>
        </w:rPr>
        <w:tab/>
        <w:t>“</w:t>
      </w:r>
      <w:hyperlink r:id="rId74" w:history="1">
        <w:r w:rsidRPr="00AE6422">
          <w:rPr>
            <w:rFonts w:cs="Calibri"/>
            <w:bCs/>
            <w:color w:val="0000FF"/>
            <w:szCs w:val="21"/>
            <w:u w:val="single"/>
            <w:lang w:eastAsia="en-GB"/>
          </w:rPr>
          <w:t>Access Network Transport Standards Overview</w:t>
        </w:r>
      </w:hyperlink>
      <w:r w:rsidRPr="00AE6422">
        <w:rPr>
          <w:rFonts w:cs="Calibri"/>
          <w:szCs w:val="21"/>
          <w:lang w:val="en-GB" w:eastAsia="en-GB"/>
        </w:rPr>
        <w:t xml:space="preserve">”, is produced by ITU-T WP1/15, under Question 1/15, as the Lead Study Group on Access Network Transport (ANT) activities. The Standards Overview contains ANT scenarios, and Annex 2 of the Overview contains a detailed list of Standards and Recommendations from ITU and various Standardization Bodies. </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szCs w:val="21"/>
          <w:lang w:eastAsia="en-GB"/>
        </w:rPr>
      </w:pPr>
      <w:r w:rsidRPr="00AE6422">
        <w:rPr>
          <w:rFonts w:cs="Calibri"/>
          <w:szCs w:val="21"/>
          <w:lang w:val="en-GB" w:eastAsia="en-GB"/>
        </w:rPr>
        <w:t>–</w:t>
      </w:r>
      <w:r w:rsidRPr="00AE6422">
        <w:rPr>
          <w:rFonts w:cs="Calibri"/>
          <w:szCs w:val="21"/>
          <w:lang w:val="en-GB" w:eastAsia="en-GB"/>
        </w:rPr>
        <w:tab/>
      </w:r>
      <w:r w:rsidRPr="00AE6422">
        <w:rPr>
          <w:rFonts w:cs="Calibri"/>
          <w:bCs/>
          <w:szCs w:val="21"/>
          <w:lang w:eastAsia="en-GB"/>
        </w:rPr>
        <w:t>“</w:t>
      </w:r>
      <w:hyperlink r:id="rId75" w:history="1">
        <w:r w:rsidRPr="00AE6422">
          <w:rPr>
            <w:rFonts w:cs="Calibri"/>
            <w:bCs/>
            <w:color w:val="0000FF"/>
            <w:szCs w:val="21"/>
            <w:u w:val="single"/>
            <w:lang w:eastAsia="en-GB"/>
          </w:rPr>
          <w:t>Wireline broadband access networks and home networking</w:t>
        </w:r>
      </w:hyperlink>
      <w:r w:rsidRPr="00AE6422">
        <w:rPr>
          <w:rFonts w:cs="Calibri"/>
          <w:bCs/>
          <w:szCs w:val="21"/>
          <w:lang w:eastAsia="en-GB"/>
        </w:rPr>
        <w:t xml:space="preserve">” is produced by ITU-T SG15. It is an ITU-T Technical Paper in Series G: Transmission Systems and Media Digital Systems and Networks. It was published in December 2011. </w:t>
      </w:r>
    </w:p>
    <w:p w:rsidR="00AE6422" w:rsidRPr="00AE6422" w:rsidRDefault="00AE6422" w:rsidP="00AE6422">
      <w:pPr>
        <w:keepNext/>
        <w:tabs>
          <w:tab w:val="clear" w:pos="567"/>
          <w:tab w:val="clear" w:pos="1133"/>
          <w:tab w:val="clear" w:pos="1700"/>
          <w:tab w:val="clear" w:pos="2267"/>
          <w:tab w:val="left" w:pos="993"/>
        </w:tabs>
        <w:kinsoku/>
        <w:bidi w:val="0"/>
        <w:spacing w:before="240" w:after="60" w:line="240" w:lineRule="auto"/>
        <w:outlineLvl w:val="3"/>
        <w:rPr>
          <w:rFonts w:eastAsia="Times New Roman" w:cs="Times New Roman"/>
          <w:b/>
          <w:bCs/>
          <w:color w:val="005173"/>
          <w:sz w:val="22"/>
          <w:szCs w:val="22"/>
          <w:lang w:val="en-GB" w:eastAsia="en-CA"/>
        </w:rPr>
      </w:pPr>
      <w:r w:rsidRPr="00AE6422">
        <w:rPr>
          <w:rFonts w:eastAsia="Times New Roman" w:cs="Times New Roman"/>
          <w:b/>
          <w:bCs/>
          <w:color w:val="005173"/>
          <w:sz w:val="22"/>
          <w:szCs w:val="22"/>
          <w:lang w:val="en-GB" w:eastAsia="en-CA"/>
        </w:rPr>
        <w:t>Wireless Broadband Access Technologies[, including IMT]</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val="fr-CH" w:eastAsia="en-GB"/>
        </w:rPr>
      </w:pPr>
      <w:r w:rsidRPr="00AE6422">
        <w:rPr>
          <w:rFonts w:cs="Calibri"/>
          <w:bCs/>
          <w:szCs w:val="21"/>
          <w:lang w:val="fr-CH" w:eastAsia="en-GB"/>
        </w:rPr>
        <w:t>–</w:t>
      </w:r>
      <w:r w:rsidRPr="00AE6422">
        <w:rPr>
          <w:rFonts w:cs="Calibri"/>
          <w:bCs/>
          <w:szCs w:val="21"/>
          <w:lang w:val="fr-CH" w:eastAsia="en-GB"/>
        </w:rPr>
        <w:tab/>
      </w:r>
      <w:hyperlink r:id="rId76" w:history="1">
        <w:r w:rsidRPr="00AE6422">
          <w:rPr>
            <w:rFonts w:cs="Calibri"/>
            <w:bCs/>
            <w:color w:val="0000FF"/>
            <w:szCs w:val="21"/>
            <w:u w:val="single"/>
            <w:lang w:val="fr-CH" w:eastAsia="en-GB"/>
          </w:rPr>
          <w:t>Recommendation ITU-R M.687</w:t>
        </w:r>
      </w:hyperlink>
      <w:r w:rsidRPr="00AE6422">
        <w:rPr>
          <w:rFonts w:cs="Calibri"/>
          <w:bCs/>
          <w:szCs w:val="21"/>
          <w:lang w:val="fr-CH" w:eastAsia="en-GB"/>
        </w:rPr>
        <w:t>, “International Mobile Telecommunications-2000 (IMT-2000)”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77" w:history="1">
        <w:r w:rsidRPr="00AE6422">
          <w:rPr>
            <w:rFonts w:cs="Calibri"/>
            <w:bCs/>
            <w:color w:val="0000FF"/>
            <w:szCs w:val="21"/>
            <w:u w:val="single"/>
            <w:lang w:eastAsia="en-GB"/>
          </w:rPr>
          <w:t>Recommendation ITU-R M.819</w:t>
        </w:r>
      </w:hyperlink>
      <w:r w:rsidRPr="00AE6422">
        <w:rPr>
          <w:rFonts w:cs="Calibri"/>
          <w:bCs/>
          <w:szCs w:val="21"/>
          <w:lang w:eastAsia="en-GB"/>
        </w:rPr>
        <w:t>, “International Mobile Telecommunications-2000 (IMT-2000) for developing countries”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78" w:history="1">
        <w:r w:rsidRPr="00AE6422">
          <w:rPr>
            <w:rFonts w:cs="Calibri"/>
            <w:bCs/>
            <w:color w:val="0000FF"/>
            <w:szCs w:val="21"/>
            <w:u w:val="single"/>
            <w:lang w:eastAsia="en-GB"/>
          </w:rPr>
          <w:t>Recommendation ITU-R M.1036</w:t>
        </w:r>
      </w:hyperlink>
      <w:r w:rsidRPr="00AE6422">
        <w:rPr>
          <w:rFonts w:cs="Calibri"/>
          <w:bCs/>
          <w:szCs w:val="21"/>
          <w:lang w:eastAsia="en-GB"/>
        </w:rPr>
        <w:t>, “Frequency arrangements for implementation of the terrestrial component of International Mobile Telecommunications (IMT) in the bands identified for IMT in the Radio Regulations (RR)(03/2012)”</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79" w:history="1">
        <w:r w:rsidRPr="00AE6422">
          <w:rPr>
            <w:rFonts w:cs="Calibri"/>
            <w:bCs/>
            <w:color w:val="0000FF"/>
            <w:szCs w:val="21"/>
            <w:u w:val="single"/>
            <w:lang w:eastAsia="en-GB"/>
          </w:rPr>
          <w:t>Recommendation ITU-R M.1224</w:t>
        </w:r>
      </w:hyperlink>
      <w:r w:rsidRPr="00AE6422">
        <w:rPr>
          <w:rFonts w:cs="Calibri"/>
          <w:bCs/>
          <w:szCs w:val="21"/>
          <w:lang w:eastAsia="en-GB"/>
        </w:rPr>
        <w:t>, “Vocabulary of terms for International Mobile Telecommunications (IMT)”</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0" w:history="1">
        <w:r w:rsidRPr="00AE6422">
          <w:rPr>
            <w:rFonts w:cs="Calibri"/>
            <w:bCs/>
            <w:color w:val="0000FF"/>
            <w:szCs w:val="21"/>
            <w:u w:val="single"/>
            <w:lang w:eastAsia="en-GB"/>
          </w:rPr>
          <w:t>Recommendation ITU</w:t>
        </w:r>
        <w:r w:rsidRPr="00AE6422">
          <w:rPr>
            <w:rFonts w:cs="Calibri"/>
            <w:bCs/>
            <w:color w:val="0000FF"/>
            <w:szCs w:val="21"/>
            <w:u w:val="single"/>
            <w:lang w:eastAsia="en-GB"/>
          </w:rPr>
          <w:noBreakHyphen/>
          <w:t>R M.1450</w:t>
        </w:r>
      </w:hyperlink>
      <w:r w:rsidRPr="00AE6422">
        <w:rPr>
          <w:rFonts w:cs="Calibri"/>
          <w:bCs/>
          <w:szCs w:val="21"/>
          <w:lang w:eastAsia="en-GB"/>
        </w:rPr>
        <w:t xml:space="preserve">, “Characteristics of broadband radio local area networks”  </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1" w:history="1">
        <w:r w:rsidRPr="00AE6422">
          <w:rPr>
            <w:rFonts w:cs="Calibri"/>
            <w:bCs/>
            <w:color w:val="0000FF"/>
            <w:szCs w:val="21"/>
            <w:u w:val="single"/>
            <w:lang w:eastAsia="en-GB"/>
          </w:rPr>
          <w:t>Recommendation ITU-R M.1457</w:t>
        </w:r>
      </w:hyperlink>
      <w:r w:rsidRPr="00AE6422">
        <w:rPr>
          <w:rFonts w:cs="Calibri"/>
          <w:color w:val="0000FF"/>
          <w:szCs w:val="21"/>
          <w:u w:val="single"/>
          <w:lang w:eastAsia="en-GB"/>
        </w:rPr>
        <w:t>, “Detailed specifications of the terrestrial radio interfaces of</w:t>
      </w:r>
      <w:r w:rsidRPr="00AE6422">
        <w:rPr>
          <w:rFonts w:cs="Calibri"/>
          <w:bCs/>
          <w:szCs w:val="21"/>
          <w:lang w:eastAsia="en-GB"/>
        </w:rPr>
        <w:t xml:space="preserve"> International Mobile Telecommunications-2000 (IMT-2000)”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2" w:history="1">
        <w:r w:rsidRPr="00AE6422">
          <w:rPr>
            <w:rFonts w:cs="Calibri"/>
            <w:bCs/>
            <w:color w:val="0000FF"/>
            <w:szCs w:val="21"/>
            <w:u w:val="single"/>
            <w:lang w:eastAsia="en-GB"/>
          </w:rPr>
          <w:t>Recommendation ITU-R M.1579</w:t>
        </w:r>
      </w:hyperlink>
      <w:r w:rsidRPr="00AE6422">
        <w:rPr>
          <w:rFonts w:cs="Calibri"/>
          <w:bCs/>
          <w:szCs w:val="21"/>
          <w:lang w:eastAsia="en-GB"/>
        </w:rPr>
        <w:t>, “Global circulation of IMT-2000 terrestrial terminals”</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3" w:history="1">
        <w:r w:rsidRPr="00AE6422">
          <w:rPr>
            <w:rFonts w:cs="Calibri"/>
            <w:bCs/>
            <w:color w:val="0000FF"/>
            <w:szCs w:val="21"/>
            <w:u w:val="single"/>
            <w:lang w:eastAsia="en-GB"/>
          </w:rPr>
          <w:t>Recommendation ITU-R M.1580</w:t>
        </w:r>
      </w:hyperlink>
      <w:r w:rsidRPr="00AE6422">
        <w:rPr>
          <w:rFonts w:cs="Calibri"/>
          <w:bCs/>
          <w:szCs w:val="21"/>
          <w:lang w:eastAsia="en-GB"/>
        </w:rPr>
        <w:t>, “Generic unwanted emission characteristics of base stations using the terrestrial radio interfaces of IMT 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4" w:history="1">
        <w:r w:rsidRPr="00AE6422">
          <w:rPr>
            <w:rFonts w:cs="Calibri"/>
            <w:bCs/>
            <w:color w:val="0000FF"/>
            <w:szCs w:val="21"/>
            <w:u w:val="single"/>
            <w:lang w:eastAsia="en-GB"/>
          </w:rPr>
          <w:t>Recommendation ITU-R M.1581</w:t>
        </w:r>
      </w:hyperlink>
      <w:r w:rsidRPr="00AE6422">
        <w:rPr>
          <w:rFonts w:cs="Calibri"/>
          <w:bCs/>
          <w:szCs w:val="21"/>
          <w:lang w:eastAsia="en-GB"/>
        </w:rPr>
        <w:t>,”Generic unwanted emission characteristics of mobile stations using the terrestrial radio interfaces of IMT 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5" w:history="1">
        <w:r w:rsidRPr="00AE6422">
          <w:rPr>
            <w:rFonts w:cs="Calibri"/>
            <w:bCs/>
            <w:color w:val="0000FF"/>
            <w:szCs w:val="21"/>
            <w:u w:val="single"/>
            <w:lang w:eastAsia="en-GB"/>
          </w:rPr>
          <w:t>Recommendation ITU-R M.1645</w:t>
        </w:r>
      </w:hyperlink>
      <w:r w:rsidRPr="00AE6422">
        <w:rPr>
          <w:rFonts w:cs="Calibri"/>
          <w:bCs/>
          <w:szCs w:val="21"/>
          <w:lang w:eastAsia="en-GB"/>
        </w:rPr>
        <w:t>, “Framework and overall objectives of the future development of IMT</w:t>
      </w:r>
      <w:r w:rsidRPr="00AE6422">
        <w:rPr>
          <w:rFonts w:cs="Calibri"/>
          <w:bCs/>
          <w:szCs w:val="21"/>
          <w:lang w:eastAsia="en-GB"/>
        </w:rPr>
        <w:noBreakHyphen/>
        <w:t>2000 and systems beyond IMT-2000”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6" w:history="1">
        <w:r w:rsidRPr="00AE6422">
          <w:rPr>
            <w:rFonts w:cs="Calibri"/>
            <w:bCs/>
            <w:color w:val="0000FF"/>
            <w:szCs w:val="21"/>
            <w:u w:val="single"/>
            <w:lang w:eastAsia="en-GB"/>
          </w:rPr>
          <w:t>Recommendation ITU-R M.1768</w:t>
        </w:r>
      </w:hyperlink>
      <w:r w:rsidRPr="00AE6422">
        <w:rPr>
          <w:rFonts w:cs="Calibri"/>
          <w:bCs/>
          <w:szCs w:val="21"/>
          <w:lang w:eastAsia="en-GB"/>
        </w:rPr>
        <w:t>, “Methodology for calculation of spectrum requirements for the future development of IMT-2000 and systems beyond IMT-2000”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7" w:history="1">
        <w:r w:rsidRPr="00AE6422">
          <w:rPr>
            <w:rFonts w:cs="Calibri"/>
            <w:bCs/>
            <w:color w:val="0000FF"/>
            <w:szCs w:val="21"/>
            <w:u w:val="single"/>
            <w:lang w:eastAsia="en-GB"/>
          </w:rPr>
          <w:t>Recommendation ITU-R M.1801</w:t>
        </w:r>
      </w:hyperlink>
      <w:r w:rsidRPr="00AE6422">
        <w:rPr>
          <w:rFonts w:cs="Calibri"/>
          <w:bCs/>
          <w:szCs w:val="21"/>
          <w:lang w:eastAsia="en-GB"/>
        </w:rPr>
        <w:t>, “Radio interface standards for broadband wireless access systems, including mobile and nomadic applications, in the mobile service operating below 6 GHz”</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8" w:history="1">
        <w:r w:rsidRPr="00AE6422">
          <w:rPr>
            <w:rFonts w:cs="Calibri"/>
            <w:bCs/>
            <w:color w:val="0000FF"/>
            <w:szCs w:val="21"/>
            <w:u w:val="single"/>
            <w:lang w:eastAsia="en-GB"/>
          </w:rPr>
          <w:t>Recommendation ITU-R M.1822</w:t>
        </w:r>
      </w:hyperlink>
      <w:r w:rsidRPr="00AE6422">
        <w:rPr>
          <w:rFonts w:cs="Calibri"/>
          <w:bCs/>
          <w:szCs w:val="21"/>
          <w:lang w:eastAsia="en-GB"/>
        </w:rPr>
        <w:t>, “Framework for services supported by IMT”</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89" w:history="1">
        <w:r w:rsidRPr="00AE6422">
          <w:rPr>
            <w:rFonts w:cs="Calibri"/>
            <w:bCs/>
            <w:color w:val="0000FF"/>
            <w:szCs w:val="21"/>
            <w:u w:val="single"/>
            <w:lang w:eastAsia="en-GB"/>
          </w:rPr>
          <w:t>Recommendation ITU-R M.1850</w:t>
        </w:r>
      </w:hyperlink>
      <w:r w:rsidRPr="00AE6422">
        <w:rPr>
          <w:rFonts w:cs="Calibri"/>
          <w:bCs/>
          <w:szCs w:val="21"/>
          <w:lang w:eastAsia="en-GB"/>
        </w:rPr>
        <w:t>, “Detailed specifications of the radio interfaces for the satellite component of International Mobile Telecommunications-2000 (IMT-2000)”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90" w:history="1">
        <w:r w:rsidRPr="00AE6422">
          <w:rPr>
            <w:rFonts w:cs="Calibri"/>
            <w:bCs/>
            <w:color w:val="0000FF"/>
            <w:szCs w:val="21"/>
            <w:u w:val="single"/>
            <w:lang w:eastAsia="en-GB"/>
          </w:rPr>
          <w:t>Recommendation ITU-R M.2012</w:t>
        </w:r>
      </w:hyperlink>
      <w:r w:rsidRPr="00AE6422">
        <w:rPr>
          <w:rFonts w:cs="Calibri"/>
          <w:bCs/>
          <w:szCs w:val="21"/>
          <w:lang w:eastAsia="en-GB"/>
        </w:rPr>
        <w:t xml:space="preserve">, “Detailed specifications of the terrestrial radio interfaces of International Mobile Telecommunications Advanced (IMT-Advanced)” </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91" w:history="1">
        <w:r w:rsidRPr="00AE6422">
          <w:rPr>
            <w:rFonts w:cs="Calibri"/>
            <w:bCs/>
            <w:color w:val="0000FF"/>
            <w:szCs w:val="21"/>
            <w:u w:val="single"/>
            <w:lang w:eastAsia="en-GB"/>
          </w:rPr>
          <w:t>Report ITU-R M.2038</w:t>
        </w:r>
      </w:hyperlink>
      <w:r w:rsidRPr="00AE6422">
        <w:rPr>
          <w:rFonts w:cs="Calibri"/>
          <w:bCs/>
          <w:szCs w:val="21"/>
          <w:lang w:eastAsia="en-GB"/>
        </w:rPr>
        <w:t>: Technology trends (as they relate to IMT-2000 and systems beyond IMT</w:t>
      </w:r>
      <w:r w:rsidRPr="00AE6422">
        <w:rPr>
          <w:rFonts w:cs="Calibri"/>
          <w:bCs/>
          <w:szCs w:val="21"/>
          <w:lang w:eastAsia="en-GB"/>
        </w:rPr>
        <w:noBreakHyphen/>
        <w:t>2000)”</w:t>
      </w:r>
    </w:p>
    <w:p w:rsidR="00AE6422" w:rsidRPr="00AE6422" w:rsidRDefault="00AE6422" w:rsidP="00AE6422">
      <w:pPr>
        <w:tabs>
          <w:tab w:val="clear" w:pos="567"/>
          <w:tab w:val="clear" w:pos="1133"/>
          <w:tab w:val="clear" w:pos="1700"/>
          <w:tab w:val="clear" w:pos="2267"/>
        </w:tabs>
        <w:kinsoku/>
        <w:bidi w:val="0"/>
        <w:spacing w:before="100"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92" w:history="1">
        <w:r w:rsidRPr="00AE6422">
          <w:rPr>
            <w:rFonts w:cs="Calibri"/>
            <w:bCs/>
            <w:color w:val="0000FF"/>
            <w:szCs w:val="21"/>
            <w:u w:val="single"/>
            <w:lang w:eastAsia="en-GB"/>
          </w:rPr>
          <w:t>Report ITU-R M.2039</w:t>
        </w:r>
      </w:hyperlink>
      <w:r w:rsidRPr="00AE6422">
        <w:rPr>
          <w:rFonts w:cs="Calibri"/>
          <w:bCs/>
          <w:szCs w:val="21"/>
          <w:lang w:eastAsia="en-GB"/>
        </w:rPr>
        <w:t>, “Characteristics of terrestrial IMT-2000 systems for frequency sharing/interference analyses”</w:t>
      </w:r>
      <w:hyperlink r:id="rId93" w:history="1">
        <w:r w:rsidRPr="00AE6422">
          <w:rPr>
            <w:rFonts w:cs="Calibri"/>
            <w:bCs/>
            <w:color w:val="0000FF"/>
            <w:szCs w:val="21"/>
            <w:u w:val="single"/>
            <w:lang w:eastAsia="en-GB"/>
          </w:rPr>
          <w:t>Report ITU-R M.2072</w:t>
        </w:r>
      </w:hyperlink>
      <w:r w:rsidRPr="00AE6422">
        <w:rPr>
          <w:rFonts w:cs="Calibri"/>
          <w:bCs/>
          <w:szCs w:val="21"/>
          <w:lang w:eastAsia="en-GB"/>
        </w:rPr>
        <w:t>, “World mobile telecommunication market forecast”</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lastRenderedPageBreak/>
        <w:t>–</w:t>
      </w:r>
      <w:r w:rsidRPr="00AE6422">
        <w:rPr>
          <w:rFonts w:cs="Calibri"/>
          <w:bCs/>
          <w:szCs w:val="21"/>
          <w:lang w:eastAsia="en-GB"/>
        </w:rPr>
        <w:tab/>
      </w:r>
      <w:hyperlink r:id="rId94" w:history="1">
        <w:r w:rsidRPr="00AE6422">
          <w:rPr>
            <w:rFonts w:cs="Calibri"/>
            <w:bCs/>
            <w:color w:val="0000FF"/>
            <w:szCs w:val="21"/>
            <w:u w:val="single"/>
            <w:lang w:eastAsia="en-GB"/>
          </w:rPr>
          <w:t>Report ITU-R M.2078</w:t>
        </w:r>
      </w:hyperlink>
      <w:r w:rsidRPr="00AE6422">
        <w:rPr>
          <w:rFonts w:cs="Calibri"/>
          <w:bCs/>
          <w:szCs w:val="21"/>
          <w:lang w:eastAsia="en-GB"/>
        </w:rPr>
        <w:t>, “Estimated spectrum bandwidth requirements for the future development of IMT</w:t>
      </w:r>
      <w:r w:rsidRPr="00AE6422">
        <w:rPr>
          <w:rFonts w:cs="Calibri"/>
          <w:bCs/>
          <w:szCs w:val="21"/>
          <w:lang w:eastAsia="en-GB"/>
        </w:rPr>
        <w:noBreakHyphen/>
        <w:t>2000 and IMT-Advanced”</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95" w:history="1">
        <w:r w:rsidRPr="00AE6422">
          <w:rPr>
            <w:rFonts w:cs="Calibri"/>
            <w:bCs/>
            <w:color w:val="0000FF"/>
            <w:szCs w:val="21"/>
            <w:u w:val="single"/>
            <w:lang w:eastAsia="en-GB"/>
          </w:rPr>
          <w:t>Report ITU-R M.2079</w:t>
        </w:r>
      </w:hyperlink>
      <w:r w:rsidRPr="00AE6422">
        <w:rPr>
          <w:rFonts w:cs="Calibri"/>
          <w:bCs/>
          <w:szCs w:val="21"/>
          <w:lang w:eastAsia="en-GB"/>
        </w:rPr>
        <w:t>, “Technical and operational information for identifying spectrum for the terrestrial component of future development of IMT-2000 and IMT-Advanced”</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96" w:history="1">
        <w:r w:rsidRPr="00AE6422">
          <w:rPr>
            <w:rFonts w:cs="Calibri"/>
            <w:bCs/>
            <w:color w:val="0000FF"/>
            <w:szCs w:val="21"/>
            <w:u w:val="single"/>
            <w:lang w:eastAsia="en-GB"/>
          </w:rPr>
          <w:t>Report ITU-R M.2242</w:t>
        </w:r>
      </w:hyperlink>
      <w:r w:rsidRPr="00AE6422">
        <w:rPr>
          <w:rFonts w:cs="Calibri"/>
          <w:bCs/>
          <w:szCs w:val="21"/>
          <w:lang w:eastAsia="en-GB"/>
        </w:rPr>
        <w:t>, “Cognitive radio systems specific for IMT systems”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r>
      <w:hyperlink r:id="rId97" w:history="1">
        <w:r w:rsidRPr="00AE6422">
          <w:rPr>
            <w:rFonts w:cs="Calibri"/>
            <w:bCs/>
            <w:color w:val="0000FF"/>
            <w:szCs w:val="21"/>
            <w:u w:val="single"/>
            <w:lang w:eastAsia="en-GB"/>
          </w:rPr>
          <w:t>Report ITU-R M.2243</w:t>
        </w:r>
      </w:hyperlink>
      <w:r w:rsidRPr="00AE6422">
        <w:rPr>
          <w:rFonts w:cs="Calibri"/>
          <w:bCs/>
          <w:szCs w:val="21"/>
          <w:lang w:eastAsia="en-GB"/>
        </w:rPr>
        <w:t>, “Assessment of the global mobile broadband deployments and forecasts for International Mobile Telecommunications”</w:t>
      </w:r>
    </w:p>
    <w:p w:rsidR="00AE6422" w:rsidRPr="00AE6422" w:rsidRDefault="00AE6422" w:rsidP="00AE6422">
      <w:pPr>
        <w:keepNext/>
        <w:tabs>
          <w:tab w:val="clear" w:pos="567"/>
          <w:tab w:val="clear" w:pos="1133"/>
          <w:tab w:val="clear" w:pos="1700"/>
          <w:tab w:val="clear" w:pos="2267"/>
          <w:tab w:val="left" w:pos="993"/>
        </w:tabs>
        <w:kinsoku/>
        <w:bidi w:val="0"/>
        <w:spacing w:before="240" w:after="60" w:line="240" w:lineRule="auto"/>
        <w:outlineLvl w:val="3"/>
        <w:rPr>
          <w:rFonts w:eastAsia="Times New Roman" w:cs="Times New Roman"/>
          <w:b/>
          <w:bCs/>
          <w:color w:val="005173"/>
          <w:sz w:val="22"/>
          <w:szCs w:val="22"/>
          <w:lang w:val="en-GB" w:eastAsia="en-CA"/>
        </w:rPr>
      </w:pPr>
      <w:r w:rsidRPr="00AE6422">
        <w:rPr>
          <w:rFonts w:eastAsia="Times New Roman" w:cs="Times New Roman"/>
          <w:b/>
          <w:bCs/>
          <w:color w:val="005173"/>
          <w:sz w:val="22"/>
          <w:szCs w:val="22"/>
          <w:lang w:val="en-GB" w:eastAsia="en-CA"/>
        </w:rPr>
        <w:t>Satellite Broadband Access Technologies and Solutions</w:t>
      </w:r>
    </w:p>
    <w:p w:rsidR="00AE6422" w:rsidRPr="00AE6422" w:rsidRDefault="00AE6422" w:rsidP="00AE6422">
      <w:pPr>
        <w:tabs>
          <w:tab w:val="clear" w:pos="567"/>
          <w:tab w:val="clear" w:pos="1133"/>
          <w:tab w:val="clear" w:pos="1700"/>
          <w:tab w:val="clear" w:pos="2267"/>
        </w:tabs>
        <w:kinsoku/>
        <w:bidi w:val="0"/>
        <w:spacing w:line="240" w:lineRule="auto"/>
        <w:rPr>
          <w:rFonts w:cs="Times New Roman"/>
          <w:bCs/>
          <w:szCs w:val="22"/>
        </w:rPr>
      </w:pPr>
      <w:r w:rsidRPr="00AE6422">
        <w:rPr>
          <w:rFonts w:cs="Times New Roman"/>
          <w:bCs/>
          <w:szCs w:val="22"/>
        </w:rPr>
        <w:t xml:space="preserve">Tables S.2 and S.3 below list the ITU-R Recommendations and Reports related to broadband satellite systems and technologies. </w:t>
      </w:r>
    </w:p>
    <w:p w:rsidR="00AE6422" w:rsidRPr="00AE6422" w:rsidRDefault="00AE6422" w:rsidP="00AE642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bookmarkStart w:id="225" w:name="_Toc379797435"/>
      <w:r w:rsidRPr="00AE6422">
        <w:rPr>
          <w:rFonts w:cs="Arial"/>
          <w:b/>
          <w:bCs/>
          <w:color w:val="005173"/>
          <w:szCs w:val="24"/>
        </w:rPr>
        <w:t>Table S.2</w:t>
      </w:r>
      <w:r w:rsidRPr="00AE6422">
        <w:rPr>
          <w:rFonts w:cs="Arial"/>
          <w:b/>
          <w:bCs/>
          <w:color w:val="005173"/>
          <w:szCs w:val="24"/>
        </w:rPr>
        <w:br/>
        <w:t>List of ITU-R Recommendations and Reports related to satellite broadband systems and technologies</w:t>
      </w:r>
      <w:bookmarkEnd w:id="225"/>
    </w:p>
    <w:tbl>
      <w:tblPr>
        <w:tblStyle w:val="TableGrid"/>
        <w:tblW w:w="9072" w:type="dxa"/>
        <w:jc w:val="center"/>
        <w:tblLook w:val="04A0" w:firstRow="1" w:lastRow="0" w:firstColumn="1" w:lastColumn="0" w:noHBand="0" w:noVBand="1"/>
      </w:tblPr>
      <w:tblGrid>
        <w:gridCol w:w="1706"/>
        <w:gridCol w:w="7366"/>
      </w:tblGrid>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AE6422" w:rsidRPr="00AE6422" w:rsidRDefault="00AE6422" w:rsidP="00AE642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AE6422">
              <w:rPr>
                <w:rFonts w:cs="Arial Bold"/>
                <w:b/>
                <w:bCs/>
                <w:color w:val="FFFFFF"/>
                <w:sz w:val="19"/>
                <w:szCs w:val="22"/>
              </w:rPr>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AE6422" w:rsidRPr="00AE6422" w:rsidRDefault="00AE6422" w:rsidP="00AE642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AE6422">
              <w:rPr>
                <w:rFonts w:cs="Arial Bold"/>
                <w:b/>
                <w:bCs/>
                <w:color w:val="FFFFFF"/>
                <w:sz w:val="19"/>
                <w:szCs w:val="22"/>
              </w:rPr>
              <w:t>Title</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S.1709-1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Technical characteristics of air interfaces for global broadband satellite systems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S.1782</w:t>
            </w:r>
          </w:p>
        </w:tc>
        <w:tc>
          <w:tcPr>
            <w:tcW w:w="8222"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Possibilities for global broadband Internet access by fixed-satellite service systems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S.1783</w:t>
            </w:r>
          </w:p>
        </w:tc>
        <w:tc>
          <w:tcPr>
            <w:tcW w:w="8222" w:type="dxa"/>
            <w:tcBorders>
              <w:top w:val="single" w:sz="4" w:space="0" w:color="auto"/>
              <w:left w:val="single" w:sz="4" w:space="0" w:color="auto"/>
              <w:bottom w:val="single" w:sz="4" w:space="0" w:color="auto"/>
              <w:right w:val="single" w:sz="4" w:space="0" w:color="auto"/>
            </w:tcBorders>
            <w:shd w:val="clear" w:color="auto" w:fill="E8F8FD"/>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Technical and operational features characterizing high-density applications in the fixed-satellite service</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S.1806</w:t>
            </w:r>
          </w:p>
        </w:tc>
        <w:tc>
          <w:tcPr>
            <w:tcW w:w="8222"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Availability objectives for hypothetical reference digital paths in the fixed-satellite service operating below 15 GHz</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BO.1724-1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Interactive satellite broadcasting systems (television, sound and data)</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S.1001-2</w:t>
            </w:r>
          </w:p>
        </w:tc>
        <w:tc>
          <w:tcPr>
            <w:tcW w:w="8222"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Use of systems in the fixed-satellite service in the event of natural disasters and similar emergencies for warning and relief operations.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Rep. S.2151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Use and examples of systems in the fixed-satellite service in the event of natural disasters and similar emergencies for warning and relief operations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M.1854-1</w:t>
            </w:r>
          </w:p>
        </w:tc>
        <w:tc>
          <w:tcPr>
            <w:tcW w:w="8222" w:type="dxa"/>
            <w:tcBorders>
              <w:top w:val="single" w:sz="4" w:space="0" w:color="auto"/>
              <w:left w:val="single" w:sz="4" w:space="0" w:color="auto"/>
              <w:bottom w:val="single" w:sz="4" w:space="0" w:color="auto"/>
              <w:right w:val="single" w:sz="4" w:space="0" w:color="auto"/>
            </w:tcBorders>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Use of mobile-satellite service in disaster response and relief</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Rep. M.2149</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Use and examples of mobile-satellite service systems for relief operation in the event of natural disasters and similar emergencies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SNG.1710</w:t>
            </w:r>
          </w:p>
        </w:tc>
        <w:tc>
          <w:tcPr>
            <w:tcW w:w="8222"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Satellite news gathering carriers universal access procedures</w:t>
            </w:r>
          </w:p>
        </w:tc>
      </w:tr>
    </w:tbl>
    <w:p w:rsidR="00AE6422" w:rsidRPr="00AE6422" w:rsidRDefault="00AE6422" w:rsidP="00AE6422">
      <w:pPr>
        <w:tabs>
          <w:tab w:val="clear" w:pos="567"/>
          <w:tab w:val="clear" w:pos="1133"/>
          <w:tab w:val="clear" w:pos="1700"/>
          <w:tab w:val="clear" w:pos="2267"/>
        </w:tabs>
        <w:kinsoku/>
        <w:bidi w:val="0"/>
        <w:spacing w:before="0" w:line="240" w:lineRule="auto"/>
        <w:rPr>
          <w:rFonts w:cs="Times New Roman"/>
          <w:sz w:val="6"/>
          <w:szCs w:val="22"/>
        </w:rPr>
      </w:pPr>
    </w:p>
    <w:p w:rsidR="00AE6422" w:rsidRPr="00AE6422" w:rsidRDefault="00AE6422" w:rsidP="00AE642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bookmarkStart w:id="226" w:name="_Toc379797436"/>
      <w:r w:rsidRPr="00AE6422">
        <w:rPr>
          <w:rFonts w:cs="Arial"/>
          <w:b/>
          <w:bCs/>
          <w:color w:val="005173"/>
          <w:szCs w:val="24"/>
        </w:rPr>
        <w:t>Table S.3</w:t>
      </w:r>
      <w:r w:rsidRPr="00AE6422">
        <w:rPr>
          <w:rFonts w:cs="Arial"/>
          <w:b/>
          <w:bCs/>
          <w:color w:val="005173"/>
          <w:szCs w:val="24"/>
        </w:rPr>
        <w:br/>
        <w:t>List of ITU-R Recommendations and Reports related to performance enhancement techniques to provide satellite broadband access services</w:t>
      </w:r>
      <w:bookmarkEnd w:id="226"/>
    </w:p>
    <w:tbl>
      <w:tblPr>
        <w:tblStyle w:val="TableGrid"/>
        <w:tblW w:w="9072" w:type="dxa"/>
        <w:jc w:val="center"/>
        <w:tblLook w:val="04A0" w:firstRow="1" w:lastRow="0" w:firstColumn="1" w:lastColumn="0" w:noHBand="0" w:noVBand="1"/>
      </w:tblPr>
      <w:tblGrid>
        <w:gridCol w:w="1683"/>
        <w:gridCol w:w="7389"/>
      </w:tblGrid>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AE6422" w:rsidRPr="00AE6422" w:rsidRDefault="00AE6422" w:rsidP="00AE642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AE6422">
              <w:rPr>
                <w:rFonts w:cs="Arial Bold"/>
                <w:b/>
                <w:bCs/>
                <w:color w:val="FFFFFF"/>
                <w:sz w:val="19"/>
                <w:szCs w:val="22"/>
              </w:rPr>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AE6422" w:rsidRPr="00AE6422" w:rsidRDefault="00AE6422" w:rsidP="00AE642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AE6422">
              <w:rPr>
                <w:rFonts w:cs="Arial Bold"/>
                <w:b/>
                <w:bCs/>
                <w:color w:val="FFFFFF"/>
                <w:sz w:val="19"/>
                <w:szCs w:val="22"/>
              </w:rPr>
              <w:t>Title</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S.1061-1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Utilization of fade countermeasure strategies and techniques in the fixed-satellite service</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S.1711-1</w:t>
            </w:r>
          </w:p>
        </w:tc>
        <w:tc>
          <w:tcPr>
            <w:tcW w:w="8222"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Performance enhancements of transmission control protocol over satellite networks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Rep. S.2148</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Transmission control protocol (TCP) over satellite networks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AE6422">
              <w:rPr>
                <w:rFonts w:cs="Calibri"/>
                <w:sz w:val="19"/>
                <w:szCs w:val="19"/>
                <w:lang w:val="fr-FR"/>
              </w:rPr>
              <w:t xml:space="preserve">Rec. </w:t>
            </w:r>
            <w:hyperlink r:id="rId98" w:history="1">
              <w:r w:rsidRPr="00AE6422">
                <w:rPr>
                  <w:rFonts w:cs="Calibri"/>
                  <w:sz w:val="19"/>
                  <w:szCs w:val="19"/>
                  <w:lang w:val="fr-FR"/>
                </w:rPr>
                <w:t>S.1878</w:t>
              </w:r>
            </w:hyperlink>
          </w:p>
        </w:tc>
        <w:tc>
          <w:tcPr>
            <w:tcW w:w="8222"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Multi-carrier based transmission techniques for satellite systems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Rep. S.2173</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Multi-carrier based transmission techniques for satellite systems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Rec. S.1897</w:t>
            </w:r>
          </w:p>
        </w:tc>
        <w:tc>
          <w:tcPr>
            <w:tcW w:w="8222" w:type="dxa"/>
            <w:tcBorders>
              <w:top w:val="single" w:sz="4" w:space="0" w:color="auto"/>
              <w:left w:val="single" w:sz="4" w:space="0" w:color="auto"/>
              <w:bottom w:val="single" w:sz="4" w:space="0" w:color="auto"/>
              <w:right w:val="single" w:sz="4" w:space="0" w:color="auto"/>
            </w:tcBorders>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Cross-layer QoS provisioning in IP-based hybrid satellite-terrestrial networks</w:t>
            </w:r>
          </w:p>
        </w:tc>
      </w:tr>
      <w:tr w:rsidR="00AE6422" w:rsidRPr="00AE6422" w:rsidTr="005A67D3">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Rep. S. 2222</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AE6422" w:rsidRPr="00AE6422" w:rsidRDefault="00AE6422" w:rsidP="00AE6422">
            <w:pPr>
              <w:tabs>
                <w:tab w:val="clear" w:pos="567"/>
                <w:tab w:val="clear" w:pos="1133"/>
                <w:tab w:val="clear" w:pos="1700"/>
                <w:tab w:val="clear" w:pos="2267"/>
              </w:tabs>
              <w:kinsoku/>
              <w:bidi w:val="0"/>
              <w:spacing w:before="40" w:after="40" w:line="240" w:lineRule="auto"/>
              <w:jc w:val="left"/>
              <w:rPr>
                <w:rFonts w:cs="Calibri"/>
                <w:sz w:val="19"/>
                <w:szCs w:val="19"/>
              </w:rPr>
            </w:pPr>
            <w:r w:rsidRPr="00AE6422">
              <w:rPr>
                <w:rFonts w:cs="Calibri"/>
                <w:sz w:val="19"/>
                <w:szCs w:val="19"/>
              </w:rPr>
              <w:t>Cross-layer QoS for IP-based hybrid satellite-terrestrial networks</w:t>
            </w:r>
          </w:p>
        </w:tc>
      </w:tr>
    </w:tbl>
    <w:p w:rsidR="00AE6422" w:rsidRPr="00AE6422" w:rsidRDefault="00AE6422" w:rsidP="00AE6422">
      <w:pPr>
        <w:tabs>
          <w:tab w:val="clear" w:pos="567"/>
          <w:tab w:val="clear" w:pos="1133"/>
          <w:tab w:val="clear" w:pos="1700"/>
          <w:tab w:val="clear" w:pos="2267"/>
        </w:tabs>
        <w:kinsoku/>
        <w:bidi w:val="0"/>
        <w:spacing w:before="0" w:line="240" w:lineRule="auto"/>
        <w:rPr>
          <w:rFonts w:cs="Times New Roman"/>
          <w:sz w:val="4"/>
          <w:szCs w:val="22"/>
        </w:rPr>
      </w:pPr>
    </w:p>
    <w:p w:rsidR="00AE6422" w:rsidRPr="00AE6422" w:rsidRDefault="00AE6422" w:rsidP="00AE6422">
      <w:pPr>
        <w:keepNext/>
        <w:tabs>
          <w:tab w:val="clear" w:pos="567"/>
          <w:tab w:val="clear" w:pos="1133"/>
          <w:tab w:val="clear" w:pos="1700"/>
          <w:tab w:val="clear" w:pos="2267"/>
          <w:tab w:val="left" w:pos="993"/>
        </w:tabs>
        <w:kinsoku/>
        <w:bidi w:val="0"/>
        <w:spacing w:before="240" w:after="60" w:line="240" w:lineRule="auto"/>
        <w:outlineLvl w:val="3"/>
        <w:rPr>
          <w:rFonts w:eastAsia="Times New Roman" w:cs="Times New Roman"/>
          <w:b/>
          <w:bCs/>
          <w:color w:val="005173"/>
          <w:sz w:val="22"/>
          <w:szCs w:val="22"/>
          <w:lang w:val="en-GB" w:eastAsia="en-CA"/>
        </w:rPr>
      </w:pPr>
      <w:r w:rsidRPr="00AE6422">
        <w:rPr>
          <w:rFonts w:eastAsia="Times New Roman" w:cs="Times New Roman"/>
          <w:b/>
          <w:bCs/>
          <w:color w:val="005173"/>
          <w:sz w:val="22"/>
          <w:szCs w:val="22"/>
          <w:lang w:val="en-GB" w:eastAsia="en-CA"/>
        </w:rPr>
        <w:lastRenderedPageBreak/>
        <w:t>Terrestrial Wireless Backhaul</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General technical information:</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AE6422">
        <w:rPr>
          <w:rFonts w:cs="Calibri"/>
          <w:szCs w:val="21"/>
          <w:lang w:val="en-GB" w:eastAsia="en-GB"/>
        </w:rPr>
        <w:t>–</w:t>
      </w:r>
      <w:r w:rsidRPr="00AE6422">
        <w:rPr>
          <w:rFonts w:cs="Calibri"/>
          <w:szCs w:val="21"/>
          <w:lang w:val="en-GB" w:eastAsia="en-GB"/>
        </w:rPr>
        <w:tab/>
        <w:t>Rec. ITU-R F.1101, Characteristics of digital fixed wireless systems below about 17 GHz</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i/>
          <w:iCs/>
          <w:szCs w:val="21"/>
          <w:lang w:eastAsia="en-GB"/>
        </w:rPr>
      </w:pPr>
      <w:r w:rsidRPr="00AE6422">
        <w:rPr>
          <w:rFonts w:cs="Calibri"/>
          <w:szCs w:val="21"/>
          <w:lang w:val="en-GB" w:eastAsia="en-GB"/>
        </w:rPr>
        <w:t>–</w:t>
      </w:r>
      <w:r w:rsidRPr="00AE6422">
        <w:rPr>
          <w:rFonts w:cs="Calibri"/>
          <w:szCs w:val="21"/>
          <w:lang w:val="en-GB" w:eastAsia="en-GB"/>
        </w:rPr>
        <w:tab/>
        <w:t>Rec</w:t>
      </w:r>
      <w:r w:rsidRPr="00AE6422">
        <w:rPr>
          <w:rFonts w:cs="Calibri"/>
          <w:bCs/>
          <w:szCs w:val="21"/>
          <w:lang w:eastAsia="en-GB"/>
        </w:rPr>
        <w:t xml:space="preserve">. ITU-R F.1102, </w:t>
      </w:r>
      <w:r w:rsidRPr="00AE6422">
        <w:rPr>
          <w:rFonts w:cs="Calibri"/>
          <w:bCs/>
          <w:i/>
          <w:iCs/>
          <w:szCs w:val="21"/>
          <w:lang w:eastAsia="en-GB"/>
        </w:rPr>
        <w:t>Characteristics of fixed wireless systems operating in frequency bands above about 17 GHz</w:t>
      </w:r>
    </w:p>
    <w:p w:rsidR="00AE6422" w:rsidRPr="00AE6422" w:rsidRDefault="00AE6422" w:rsidP="00AE6422">
      <w:pPr>
        <w:tabs>
          <w:tab w:val="clear" w:pos="567"/>
          <w:tab w:val="clear" w:pos="1133"/>
          <w:tab w:val="clear" w:pos="1700"/>
          <w:tab w:val="clear" w:pos="2267"/>
        </w:tabs>
        <w:kinsoku/>
        <w:bidi w:val="0"/>
        <w:spacing w:line="240" w:lineRule="auto"/>
        <w:rPr>
          <w:rFonts w:cs="Times New Roman"/>
          <w:szCs w:val="22"/>
        </w:rPr>
      </w:pPr>
      <w:r w:rsidRPr="00AE6422">
        <w:rPr>
          <w:rFonts w:cs="Times New Roman"/>
          <w:szCs w:val="22"/>
        </w:rPr>
        <w:t>More detailed information relevant to fixed backhaul systems: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Rec. ITU-R F.746, Radio-frequency arrangements for fixed service systems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Rec. ITU-R F.752, Diversity techniques for point-to-point fixed wireless systems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Rec. ITU-R F.755, Point-to-multipoint systems in the fixed service</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Rec. ITU-R F.1093, Effects of multipath propagation on the design and operation of line-of-sight digital fixed wireless systems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bCs/>
          <w:szCs w:val="21"/>
          <w:lang w:eastAsia="en-GB"/>
        </w:rPr>
        <w:t>–</w:t>
      </w:r>
      <w:r w:rsidRPr="00AE6422">
        <w:rPr>
          <w:rFonts w:cs="Calibri"/>
          <w:bCs/>
          <w:szCs w:val="21"/>
          <w:lang w:eastAsia="en-GB"/>
        </w:rPr>
        <w:tab/>
        <w:t>Rec. ITU-R F.1668, Error performance objectives for real digital fixed wireless links used in 27 500 km hypothetical reference paths and connections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
          <w:szCs w:val="21"/>
          <w:lang w:eastAsia="en-GB"/>
        </w:rPr>
      </w:pPr>
      <w:r w:rsidRPr="00AE6422">
        <w:rPr>
          <w:rFonts w:cs="Calibri"/>
          <w:szCs w:val="21"/>
          <w:lang w:val="en-GB" w:eastAsia="en-GB"/>
        </w:rPr>
        <w:t>–</w:t>
      </w:r>
      <w:r w:rsidRPr="00AE6422">
        <w:rPr>
          <w:rFonts w:cs="Calibri"/>
          <w:szCs w:val="21"/>
          <w:lang w:val="en-GB" w:eastAsia="en-GB"/>
        </w:rPr>
        <w:tab/>
        <w:t>Rec. ITU-R F.1703, Availability objectives for real digital fixed wireless links used in 27 500 km</w:t>
      </w:r>
      <w:r w:rsidRPr="00AE6422">
        <w:rPr>
          <w:rFonts w:cs="Calibri"/>
          <w:bCs/>
          <w:szCs w:val="21"/>
          <w:lang w:eastAsia="en-GB"/>
        </w:rPr>
        <w:t xml:space="preserve"> </w:t>
      </w:r>
      <w:r w:rsidRPr="00AE6422">
        <w:rPr>
          <w:rFonts w:cs="Calibri"/>
          <w:bCs/>
          <w:i/>
          <w:iCs/>
          <w:szCs w:val="21"/>
          <w:lang w:eastAsia="en-GB"/>
        </w:rPr>
        <w:t>hypothetical reference paths and connections.</w:t>
      </w:r>
      <w:bookmarkStart w:id="227" w:name="_Toc363805283"/>
    </w:p>
    <w:p w:rsidR="00AE6422" w:rsidRPr="00AE6422" w:rsidRDefault="00AE6422" w:rsidP="00AE6422">
      <w:pPr>
        <w:tabs>
          <w:tab w:val="clear" w:pos="567"/>
          <w:tab w:val="clear" w:pos="1133"/>
          <w:tab w:val="clear" w:pos="1700"/>
          <w:tab w:val="clear" w:pos="2267"/>
        </w:tabs>
        <w:kinsoku/>
        <w:bidi w:val="0"/>
        <w:spacing w:before="0" w:line="240" w:lineRule="auto"/>
        <w:jc w:val="left"/>
        <w:rPr>
          <w:rFonts w:eastAsia="Times New Roman" w:cs="Helvetica"/>
          <w:b/>
          <w:bCs/>
          <w:color w:val="005173"/>
          <w:sz w:val="28"/>
          <w:lang w:val="en-GB"/>
        </w:rPr>
      </w:pPr>
      <w:r w:rsidRPr="00AE6422">
        <w:rPr>
          <w:rFonts w:cs="Times New Roman"/>
          <w:szCs w:val="22"/>
          <w:lang w:val="en-GB"/>
        </w:rPr>
        <w:br w:type="page"/>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lang w:val="en-GB"/>
        </w:rPr>
      </w:pPr>
      <w:bookmarkStart w:id="228" w:name="_Toc379796536"/>
      <w:bookmarkStart w:id="229" w:name="_Toc379796866"/>
      <w:bookmarkStart w:id="230" w:name="_Toc379983865"/>
      <w:bookmarkStart w:id="231" w:name="_Toc380496763"/>
      <w:r w:rsidRPr="00AE6422">
        <w:rPr>
          <w:rFonts w:eastAsia="Times New Roman" w:cs="Helvetica"/>
          <w:b/>
          <w:bCs/>
          <w:color w:val="005173"/>
          <w:sz w:val="28"/>
          <w:lang w:val="en-GB"/>
        </w:rPr>
        <w:lastRenderedPageBreak/>
        <w:t>II</w:t>
      </w:r>
      <w:r w:rsidRPr="00AE6422">
        <w:rPr>
          <w:rFonts w:eastAsia="Times New Roman" w:cs="Helvetica"/>
          <w:b/>
          <w:bCs/>
          <w:color w:val="005173"/>
          <w:sz w:val="28"/>
          <w:lang w:val="en-GB"/>
        </w:rPr>
        <w:tab/>
        <w:t>Acronyms/Glossary</w:t>
      </w:r>
      <w:bookmarkEnd w:id="227"/>
      <w:bookmarkEnd w:id="228"/>
      <w:bookmarkEnd w:id="229"/>
      <w:bookmarkEnd w:id="230"/>
      <w:bookmarkEnd w:id="231"/>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ADSL</w:t>
      </w:r>
      <w:r w:rsidRPr="00AE6422">
        <w:rPr>
          <w:rFonts w:cs="Times New Roman"/>
          <w:szCs w:val="22"/>
        </w:rPr>
        <w:tab/>
        <w:t xml:space="preserve">Asymmetric Digital Subscriber Line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ADSL2</w:t>
      </w:r>
      <w:r w:rsidRPr="00AE6422">
        <w:rPr>
          <w:rFonts w:cs="Times New Roman"/>
          <w:szCs w:val="22"/>
        </w:rPr>
        <w:tab/>
        <w:t>Advanced version of ADSL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ADSL2+</w:t>
      </w:r>
      <w:r w:rsidRPr="00AE6422">
        <w:rPr>
          <w:rFonts w:cs="Times New Roman"/>
          <w:szCs w:val="22"/>
        </w:rPr>
        <w:tab/>
        <w:t>Advanced version of ADSL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ANT</w:t>
      </w:r>
      <w:r w:rsidRPr="00AE6422">
        <w:rPr>
          <w:rFonts w:cs="Times New Roman"/>
          <w:szCs w:val="22"/>
        </w:rPr>
        <w:tab/>
        <w:t>Access Network Transport</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ARPU</w:t>
      </w:r>
      <w:r w:rsidRPr="00AE6422">
        <w:rPr>
          <w:rFonts w:cs="Times New Roman"/>
          <w:szCs w:val="22"/>
        </w:rPr>
        <w:tab/>
        <w:t xml:space="preserve">Average Revenue Per User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ATM</w:t>
      </w:r>
      <w:r w:rsidRPr="00AE6422">
        <w:rPr>
          <w:rFonts w:cs="Times New Roman"/>
          <w:szCs w:val="22"/>
        </w:rPr>
        <w:tab/>
        <w:t>Asynchronous Transfer Mode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BWA</w:t>
      </w:r>
      <w:r w:rsidRPr="00AE6422">
        <w:rPr>
          <w:rFonts w:cs="Times New Roman"/>
          <w:szCs w:val="22"/>
        </w:rPr>
        <w:tab/>
        <w:t>Broadband Wireless Access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CAPEX</w:t>
      </w:r>
      <w:r w:rsidRPr="00AE6422">
        <w:rPr>
          <w:rFonts w:cs="Times New Roman"/>
          <w:szCs w:val="22"/>
        </w:rPr>
        <w:tab/>
        <w:t>Capital Expenditure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CATV</w:t>
      </w:r>
      <w:r w:rsidRPr="00AE6422">
        <w:rPr>
          <w:rFonts w:cs="Times New Roman"/>
          <w:szCs w:val="22"/>
        </w:rPr>
        <w:tab/>
        <w:t>Community Antenna Television</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CDMA</w:t>
      </w:r>
      <w:r w:rsidRPr="00AE6422">
        <w:rPr>
          <w:rFonts w:cs="Times New Roman"/>
          <w:szCs w:val="22"/>
        </w:rPr>
        <w:tab/>
        <w:t>Code Division Multiple Access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DOCSIS</w:t>
      </w:r>
      <w:r w:rsidRPr="00AE6422">
        <w:rPr>
          <w:rFonts w:cs="Times New Roman"/>
          <w:szCs w:val="22"/>
        </w:rPr>
        <w:tab/>
        <w:t>Data Over Cable Service Interface Specification</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DSL</w:t>
      </w:r>
      <w:r w:rsidRPr="00AE6422">
        <w:rPr>
          <w:rFonts w:cs="Times New Roman"/>
          <w:szCs w:val="22"/>
        </w:rPr>
        <w:tab/>
        <w:t xml:space="preserve">Digital Subscriber Line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DVB</w:t>
      </w:r>
      <w:r w:rsidRPr="00AE6422">
        <w:rPr>
          <w:rFonts w:cs="Times New Roman"/>
          <w:szCs w:val="22"/>
        </w:rPr>
        <w:tab/>
        <w:t>Digital Video Broadcasting</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EIRP</w:t>
      </w:r>
      <w:r w:rsidRPr="00AE6422">
        <w:rPr>
          <w:rFonts w:cs="Times New Roman"/>
          <w:szCs w:val="22"/>
        </w:rPr>
        <w:tab/>
        <w:t>Equivalent Isotropic Radiated Power</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EPON</w:t>
      </w:r>
      <w:r w:rsidRPr="00AE6422">
        <w:rPr>
          <w:rFonts w:cs="Times New Roman"/>
          <w:szCs w:val="22"/>
        </w:rPr>
        <w:tab/>
        <w:t>Ethernet Passive Optical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ETSI</w:t>
      </w:r>
      <w:r w:rsidRPr="00AE6422">
        <w:rPr>
          <w:rFonts w:cs="Times New Roman"/>
          <w:szCs w:val="22"/>
        </w:rPr>
        <w:tab/>
        <w:t xml:space="preserve">European Telecommunications Standards Institute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FDD</w:t>
      </w:r>
      <w:r w:rsidRPr="00AE6422">
        <w:rPr>
          <w:rFonts w:cs="Times New Roman"/>
          <w:szCs w:val="22"/>
        </w:rPr>
        <w:tab/>
        <w:t>Frequency Division Duplex</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FTTC</w:t>
      </w:r>
      <w:r w:rsidRPr="00AE6422">
        <w:rPr>
          <w:rFonts w:cs="Times New Roman"/>
          <w:szCs w:val="22"/>
        </w:rPr>
        <w:tab/>
        <w:t>Fibre to the Curb</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FTTB</w:t>
      </w:r>
      <w:r w:rsidRPr="00AE6422">
        <w:rPr>
          <w:rFonts w:cs="Times New Roman"/>
          <w:szCs w:val="22"/>
        </w:rPr>
        <w:tab/>
        <w:t>Fibre to the Building</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FTTC</w:t>
      </w:r>
      <w:r w:rsidRPr="00AE6422">
        <w:rPr>
          <w:rFonts w:cs="Times New Roman"/>
          <w:szCs w:val="22"/>
        </w:rPr>
        <w:tab/>
        <w:t>Fibre to the Curb</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FTTH</w:t>
      </w:r>
      <w:r w:rsidRPr="00AE6422">
        <w:rPr>
          <w:rFonts w:cs="Times New Roman"/>
          <w:szCs w:val="22"/>
        </w:rPr>
        <w:tab/>
        <w:t>Fibre to the Home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FTTN</w:t>
      </w:r>
      <w:r w:rsidRPr="00AE6422">
        <w:rPr>
          <w:rFonts w:cs="Times New Roman"/>
          <w:szCs w:val="22"/>
        </w:rPr>
        <w:tab/>
        <w:t>Fibre to the Node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FTTx</w:t>
      </w:r>
      <w:r w:rsidRPr="00AE6422">
        <w:rPr>
          <w:rFonts w:cs="Times New Roman"/>
          <w:szCs w:val="22"/>
        </w:rPr>
        <w:tab/>
        <w:t>Fiber to the X, i.e. any of the above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FWA</w:t>
      </w:r>
      <w:r w:rsidRPr="00AE6422">
        <w:rPr>
          <w:rFonts w:cs="Times New Roman"/>
          <w:szCs w:val="22"/>
        </w:rPr>
        <w:tab/>
        <w:t>Fixed Wireless Access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GDP</w:t>
      </w:r>
      <w:r w:rsidRPr="00AE6422">
        <w:rPr>
          <w:rFonts w:cs="Times New Roman"/>
          <w:szCs w:val="22"/>
        </w:rPr>
        <w:tab/>
        <w:t>Gross Domestic Product</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GEO</w:t>
      </w:r>
      <w:r w:rsidRPr="00AE6422">
        <w:rPr>
          <w:rFonts w:cs="Times New Roman"/>
          <w:szCs w:val="22"/>
        </w:rPr>
        <w:tab/>
        <w:t>Geostationary Earth Orbit</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GPON</w:t>
      </w:r>
      <w:r w:rsidRPr="00AE6422">
        <w:rPr>
          <w:rFonts w:cs="Times New Roman"/>
          <w:szCs w:val="22"/>
        </w:rPr>
        <w:tab/>
        <w:t>Gigabit-capable passive optical networks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GSO</w:t>
      </w:r>
      <w:r w:rsidRPr="00AE6422">
        <w:rPr>
          <w:rFonts w:cs="Times New Roman"/>
          <w:szCs w:val="22"/>
        </w:rPr>
        <w:tab/>
        <w:t>Geostationary Orbit Satellite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HDSL</w:t>
      </w:r>
      <w:r w:rsidRPr="00AE6422">
        <w:rPr>
          <w:rFonts w:cs="Times New Roman"/>
          <w:szCs w:val="22"/>
        </w:rPr>
        <w:tab/>
        <w:t>High-bit Rate Digital Subscriber Line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HDTV</w:t>
      </w:r>
      <w:r w:rsidRPr="00AE6422">
        <w:rPr>
          <w:rFonts w:cs="Times New Roman"/>
          <w:szCs w:val="22"/>
        </w:rPr>
        <w:tab/>
        <w:t>High Definition Television</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IEEE</w:t>
      </w:r>
      <w:r w:rsidRPr="00AE6422">
        <w:rPr>
          <w:rFonts w:cs="Times New Roman"/>
          <w:szCs w:val="22"/>
        </w:rPr>
        <w:t xml:space="preserve"> </w:t>
      </w:r>
      <w:r w:rsidRPr="00AE6422">
        <w:rPr>
          <w:rFonts w:cs="Times New Roman"/>
          <w:szCs w:val="22"/>
        </w:rPr>
        <w:tab/>
        <w:t>Institute of Electrical and Electronics Engineers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ICT</w:t>
      </w:r>
      <w:r w:rsidRPr="00AE6422">
        <w:rPr>
          <w:rFonts w:cs="Times New Roman"/>
          <w:szCs w:val="22"/>
        </w:rPr>
        <w:tab/>
        <w:t>Information and Communication Technologies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IMT</w:t>
      </w:r>
      <w:r w:rsidRPr="00AE6422">
        <w:rPr>
          <w:rFonts w:cs="Times New Roman"/>
          <w:szCs w:val="22"/>
        </w:rPr>
        <w:tab/>
        <w:t>IMT-2000 and IMT-Advanced</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lang w:val="fr-FR"/>
        </w:rPr>
      </w:pPr>
      <w:r w:rsidRPr="00AE6422">
        <w:rPr>
          <w:rFonts w:cs="Times New Roman"/>
          <w:b/>
          <w:bCs/>
          <w:szCs w:val="22"/>
          <w:lang w:val="fr-FR"/>
        </w:rPr>
        <w:t>IMT-2000</w:t>
      </w:r>
      <w:r w:rsidRPr="00AE6422">
        <w:rPr>
          <w:rFonts w:cs="Times New Roman"/>
          <w:szCs w:val="22"/>
          <w:lang w:val="fr-FR"/>
        </w:rPr>
        <w:tab/>
        <w:t>International Mobile Telecommunications (Recommendation ITU-R M.1457)</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IMT-Advanced</w:t>
      </w:r>
      <w:r w:rsidRPr="00AE6422">
        <w:rPr>
          <w:rFonts w:cs="Times New Roman"/>
          <w:szCs w:val="22"/>
        </w:rPr>
        <w:tab/>
        <w:t>International Mobile Telecommunications-Advanced (Recommendation ITU-R M.2012)</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lastRenderedPageBreak/>
        <w:t>ISP</w:t>
      </w:r>
      <w:r w:rsidRPr="00AE6422">
        <w:rPr>
          <w:rFonts w:cs="Times New Roman"/>
          <w:szCs w:val="22"/>
        </w:rPr>
        <w:tab/>
        <w:t>Internet Service Provider</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IP</w:t>
      </w:r>
      <w:r w:rsidRPr="00AE6422">
        <w:rPr>
          <w:rFonts w:cs="Times New Roman"/>
          <w:szCs w:val="22"/>
        </w:rPr>
        <w:tab/>
        <w:t>Internet Protocol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ISDN</w:t>
      </w:r>
      <w:r w:rsidRPr="00AE6422">
        <w:rPr>
          <w:rFonts w:cs="Times New Roman"/>
          <w:szCs w:val="22"/>
        </w:rPr>
        <w:tab/>
        <w:t>Integrated Services Digital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iTV</w:t>
      </w:r>
      <w:r w:rsidRPr="00AE6422">
        <w:rPr>
          <w:rFonts w:cs="Times New Roman"/>
          <w:szCs w:val="22"/>
        </w:rPr>
        <w:tab/>
        <w:t xml:space="preserve">Interactive Television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LAN</w:t>
      </w:r>
      <w:r w:rsidRPr="00AE6422">
        <w:rPr>
          <w:rFonts w:cs="Times New Roman"/>
          <w:szCs w:val="22"/>
        </w:rPr>
        <w:tab/>
        <w:t>Local Area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LEO</w:t>
      </w:r>
      <w:r w:rsidRPr="00AE6422">
        <w:rPr>
          <w:rFonts w:cs="Times New Roman"/>
          <w:szCs w:val="22"/>
        </w:rPr>
        <w:tab/>
        <w:t xml:space="preserve">Low Earth Orbit </w:t>
      </w:r>
    </w:p>
    <w:p w:rsidR="00AE6422" w:rsidRPr="00AE6422" w:rsidRDefault="00AE6422" w:rsidP="00AE6422">
      <w:pPr>
        <w:tabs>
          <w:tab w:val="clear" w:pos="567"/>
          <w:tab w:val="clear" w:pos="1133"/>
          <w:tab w:val="clear" w:pos="1700"/>
          <w:tab w:val="clear" w:pos="2267"/>
          <w:tab w:val="left" w:pos="1418"/>
        </w:tabs>
        <w:kinsoku/>
        <w:bidi w:val="0"/>
        <w:spacing w:line="240" w:lineRule="auto"/>
        <w:ind w:left="1418" w:hanging="1418"/>
        <w:rPr>
          <w:rFonts w:cs="Times New Roman"/>
          <w:szCs w:val="22"/>
        </w:rPr>
      </w:pPr>
      <w:r w:rsidRPr="00AE6422">
        <w:rPr>
          <w:rFonts w:cs="Times New Roman"/>
          <w:b/>
          <w:bCs/>
          <w:szCs w:val="22"/>
        </w:rPr>
        <w:t>LMH-BWA</w:t>
      </w:r>
      <w:r w:rsidRPr="00AE6422">
        <w:rPr>
          <w:rFonts w:cs="Times New Roman"/>
          <w:szCs w:val="22"/>
        </w:rPr>
        <w:tab/>
        <w:t>Land Mobile (including Wireless Access) – Volume 5: Deployment of Broadband Wireless Access Systems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LTE</w:t>
      </w:r>
      <w:r w:rsidRPr="00AE6422">
        <w:rPr>
          <w:rFonts w:cs="Times New Roman"/>
          <w:szCs w:val="22"/>
        </w:rPr>
        <w:tab/>
        <w:t xml:space="preserve">Long Term Evolution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MEOs</w:t>
      </w:r>
      <w:r w:rsidRPr="00AE6422">
        <w:rPr>
          <w:rFonts w:cs="Times New Roman"/>
          <w:szCs w:val="22"/>
        </w:rPr>
        <w:tab/>
        <w:t>Medium Earth Orbit Satellites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NGSO</w:t>
      </w:r>
      <w:r w:rsidRPr="00AE6422">
        <w:rPr>
          <w:rFonts w:cs="Times New Roman"/>
          <w:szCs w:val="22"/>
        </w:rPr>
        <w:tab/>
        <w:t xml:space="preserve">Non-Geostationary Orbit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OFDMA</w:t>
      </w:r>
      <w:r w:rsidRPr="00AE6422">
        <w:rPr>
          <w:rFonts w:cs="Times New Roman"/>
          <w:szCs w:val="22"/>
        </w:rPr>
        <w:tab/>
        <w:t xml:space="preserve">Orthogonal Frequency Division Multiplexing Access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OMCI</w:t>
      </w:r>
      <w:r w:rsidRPr="00AE6422">
        <w:rPr>
          <w:rFonts w:cs="Times New Roman"/>
          <w:szCs w:val="22"/>
        </w:rPr>
        <w:tab/>
        <w:t xml:space="preserve">ONU management and control interface specification </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ONU</w:t>
      </w:r>
      <w:r w:rsidRPr="00AE6422">
        <w:rPr>
          <w:rFonts w:cs="Times New Roman"/>
          <w:szCs w:val="22"/>
        </w:rPr>
        <w:tab/>
        <w:t>Optical Network Unit</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OPEX</w:t>
      </w:r>
      <w:r w:rsidRPr="00AE6422">
        <w:rPr>
          <w:rFonts w:cs="Times New Roman"/>
          <w:szCs w:val="22"/>
        </w:rPr>
        <w:tab/>
        <w:t>Operating Expenditures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PtMP</w:t>
      </w:r>
      <w:r w:rsidRPr="00AE6422">
        <w:rPr>
          <w:rFonts w:cs="Times New Roman"/>
          <w:szCs w:val="22"/>
        </w:rPr>
        <w:tab/>
        <w:t>Point-to-Multipoint</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PtP</w:t>
      </w:r>
      <w:r w:rsidRPr="00AE6422">
        <w:rPr>
          <w:rFonts w:cs="Times New Roman"/>
          <w:szCs w:val="22"/>
        </w:rPr>
        <w:tab/>
        <w:t>Point-to-Point</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PC</w:t>
      </w:r>
      <w:r w:rsidRPr="00AE6422">
        <w:rPr>
          <w:rFonts w:cs="Times New Roman"/>
          <w:szCs w:val="22"/>
        </w:rPr>
        <w:tab/>
        <w:t>Personal Computer</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PDAs</w:t>
      </w:r>
      <w:r w:rsidRPr="00AE6422">
        <w:rPr>
          <w:rFonts w:cs="Times New Roman"/>
          <w:szCs w:val="22"/>
        </w:rPr>
        <w:tab/>
        <w:t>Personal Digital Assistants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PON</w:t>
      </w:r>
      <w:r w:rsidRPr="00AE6422">
        <w:rPr>
          <w:rFonts w:cs="Times New Roman"/>
          <w:szCs w:val="22"/>
        </w:rPr>
        <w:tab/>
        <w:t>Passive Optical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PPPs</w:t>
      </w:r>
      <w:r w:rsidRPr="00AE6422">
        <w:rPr>
          <w:rFonts w:cs="Times New Roman"/>
          <w:szCs w:val="22"/>
        </w:rPr>
        <w:tab/>
        <w:t>Public-Private Partnerships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PSTN</w:t>
      </w:r>
      <w:r w:rsidRPr="00AE6422">
        <w:rPr>
          <w:rFonts w:cs="Times New Roman"/>
          <w:szCs w:val="22"/>
        </w:rPr>
        <w:tab/>
        <w:t>Public Switched Telephone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QoS</w:t>
      </w:r>
      <w:r w:rsidRPr="00AE6422">
        <w:rPr>
          <w:rFonts w:cs="Times New Roman"/>
          <w:szCs w:val="22"/>
        </w:rPr>
        <w:tab/>
        <w:t>Quality of Service</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RF</w:t>
      </w:r>
      <w:r w:rsidRPr="00AE6422">
        <w:rPr>
          <w:rFonts w:cs="Times New Roman"/>
          <w:szCs w:val="22"/>
        </w:rPr>
        <w:tab/>
        <w:t>Radio Frequency</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RLAN</w:t>
      </w:r>
      <w:r w:rsidRPr="00AE6422">
        <w:rPr>
          <w:rFonts w:cs="Times New Roman"/>
          <w:szCs w:val="22"/>
        </w:rPr>
        <w:tab/>
        <w:t>Radio Local Area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RT</w:t>
      </w:r>
      <w:r w:rsidRPr="00AE6422">
        <w:rPr>
          <w:rFonts w:cs="Times New Roman"/>
          <w:szCs w:val="22"/>
        </w:rPr>
        <w:tab/>
        <w:t>Remote Terminal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SHDSL</w:t>
      </w:r>
      <w:r w:rsidRPr="00AE6422">
        <w:rPr>
          <w:rFonts w:cs="Times New Roman"/>
          <w:szCs w:val="22"/>
        </w:rPr>
        <w:tab/>
        <w:t>Symmetric High Speed DSL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TDD</w:t>
      </w:r>
      <w:r w:rsidRPr="00AE6422">
        <w:rPr>
          <w:rFonts w:cs="Times New Roman"/>
          <w:szCs w:val="22"/>
        </w:rPr>
        <w:tab/>
        <w:t>Time Division Duplex</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TD-SCDMA</w:t>
      </w:r>
      <w:r w:rsidRPr="00AE6422">
        <w:rPr>
          <w:rFonts w:cs="Times New Roman"/>
          <w:szCs w:val="22"/>
        </w:rPr>
        <w:tab/>
        <w:t>Time Division Synchronous Code Division Multiple Access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USF</w:t>
      </w:r>
      <w:r w:rsidRPr="00AE6422">
        <w:rPr>
          <w:rFonts w:cs="Times New Roman"/>
          <w:szCs w:val="22"/>
        </w:rPr>
        <w:tab/>
        <w:t>Universal Service Fund</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VoIP</w:t>
      </w:r>
      <w:r w:rsidRPr="00AE6422">
        <w:rPr>
          <w:rFonts w:cs="Times New Roman"/>
          <w:szCs w:val="22"/>
        </w:rPr>
        <w:tab/>
        <w:t>Voice-over-Internet Protocol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VDSL</w:t>
      </w:r>
      <w:r w:rsidRPr="00AE6422">
        <w:rPr>
          <w:rFonts w:cs="Times New Roman"/>
          <w:szCs w:val="22"/>
        </w:rPr>
        <w:t xml:space="preserve"> </w:t>
      </w:r>
      <w:r w:rsidRPr="00AE6422">
        <w:rPr>
          <w:rFonts w:cs="Times New Roman"/>
          <w:szCs w:val="22"/>
        </w:rPr>
        <w:tab/>
        <w:t>Very High-Speed DSL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VDSL2</w:t>
      </w:r>
      <w:r w:rsidRPr="00AE6422">
        <w:rPr>
          <w:rFonts w:cs="Times New Roman"/>
          <w:szCs w:val="22"/>
        </w:rPr>
        <w:tab/>
        <w:t>Advanced version of VDSL</w:t>
      </w:r>
    </w:p>
    <w:p w:rsidR="00AE6422" w:rsidRPr="00AE6422" w:rsidRDefault="00AE6422" w:rsidP="00AE6422">
      <w:pPr>
        <w:tabs>
          <w:tab w:val="clear" w:pos="567"/>
          <w:tab w:val="clear" w:pos="1133"/>
          <w:tab w:val="clear" w:pos="1700"/>
          <w:tab w:val="clear" w:pos="2267"/>
        </w:tabs>
        <w:kinsoku/>
        <w:bidi w:val="0"/>
        <w:spacing w:before="0" w:line="240" w:lineRule="auto"/>
        <w:jc w:val="left"/>
        <w:rPr>
          <w:rFonts w:cs="Times New Roman"/>
          <w:b/>
          <w:bCs/>
          <w:szCs w:val="22"/>
        </w:rPr>
      </w:pPr>
      <w:r w:rsidRPr="00AE6422">
        <w:rPr>
          <w:rFonts w:cs="Times New Roman"/>
          <w:b/>
          <w:bCs/>
          <w:szCs w:val="22"/>
        </w:rPr>
        <w:br w:type="page"/>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lastRenderedPageBreak/>
        <w:t>VSAT</w:t>
      </w:r>
      <w:r w:rsidRPr="00AE6422">
        <w:rPr>
          <w:rFonts w:cs="Times New Roman"/>
          <w:szCs w:val="22"/>
        </w:rPr>
        <w:tab/>
        <w:t>Very Small Aperture Terminal</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WAN</w:t>
      </w:r>
      <w:r w:rsidRPr="00AE6422">
        <w:rPr>
          <w:rFonts w:cs="Times New Roman"/>
          <w:szCs w:val="22"/>
        </w:rPr>
        <w:tab/>
        <w:t>Wide Area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WCDMA</w:t>
      </w:r>
      <w:r w:rsidRPr="00AE6422">
        <w:rPr>
          <w:rFonts w:cs="Times New Roman"/>
          <w:szCs w:val="22"/>
        </w:rPr>
        <w:tab/>
        <w:t>Wideband Code Division Multiple Access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WCS</w:t>
      </w:r>
      <w:r w:rsidRPr="00AE6422">
        <w:rPr>
          <w:rFonts w:cs="Times New Roman"/>
          <w:szCs w:val="22"/>
        </w:rPr>
        <w:tab/>
        <w:t>Wireless Communication Services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WDM</w:t>
      </w:r>
      <w:r w:rsidRPr="00AE6422">
        <w:rPr>
          <w:rFonts w:cs="Times New Roman"/>
          <w:szCs w:val="22"/>
        </w:rPr>
        <w:tab/>
        <w:t>Wavelength Division Multiplex</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WiFi</w:t>
      </w:r>
      <w:r w:rsidRPr="00AE6422">
        <w:rPr>
          <w:rFonts w:cs="Times New Roman"/>
          <w:szCs w:val="22"/>
        </w:rPr>
        <w:tab/>
        <w:t>Wireless Fidelity</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WiMAX</w:t>
      </w:r>
      <w:r w:rsidRPr="00AE6422">
        <w:rPr>
          <w:rFonts w:cs="Times New Roman"/>
          <w:szCs w:val="22"/>
        </w:rPr>
        <w:tab/>
        <w:t>Worldwide Interoperability for Microwave Access</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WMAN</w:t>
      </w:r>
      <w:r w:rsidRPr="00AE6422">
        <w:rPr>
          <w:rFonts w:cs="Times New Roman"/>
          <w:szCs w:val="22"/>
        </w:rPr>
        <w:tab/>
        <w:t>Wireless Metropolitan Access Network</w:t>
      </w:r>
    </w:p>
    <w:p w:rsidR="00AE6422" w:rsidRPr="00AE6422" w:rsidRDefault="00AE6422" w:rsidP="00AE6422">
      <w:pPr>
        <w:tabs>
          <w:tab w:val="clear" w:pos="567"/>
          <w:tab w:val="clear" w:pos="1133"/>
          <w:tab w:val="clear" w:pos="1700"/>
          <w:tab w:val="clear" w:pos="2267"/>
          <w:tab w:val="left" w:pos="1418"/>
        </w:tabs>
        <w:kinsoku/>
        <w:bidi w:val="0"/>
        <w:spacing w:line="240" w:lineRule="auto"/>
        <w:rPr>
          <w:rFonts w:cs="Times New Roman"/>
          <w:szCs w:val="22"/>
        </w:rPr>
      </w:pPr>
      <w:r w:rsidRPr="00AE6422">
        <w:rPr>
          <w:rFonts w:cs="Times New Roman"/>
          <w:b/>
          <w:bCs/>
          <w:szCs w:val="22"/>
        </w:rPr>
        <w:t>XG-PON</w:t>
      </w:r>
      <w:r w:rsidRPr="00AE6422">
        <w:rPr>
          <w:rFonts w:cs="Times New Roman"/>
          <w:szCs w:val="22"/>
        </w:rPr>
        <w:tab/>
        <w:t>10-Gigabit-capable passive optical networks</w:t>
      </w:r>
    </w:p>
    <w:p w:rsidR="00AE6422" w:rsidRPr="00AE6422" w:rsidRDefault="00AE6422" w:rsidP="00AE6422">
      <w:pPr>
        <w:tabs>
          <w:tab w:val="clear" w:pos="567"/>
          <w:tab w:val="clear" w:pos="1133"/>
          <w:tab w:val="clear" w:pos="1700"/>
          <w:tab w:val="clear" w:pos="2267"/>
        </w:tabs>
        <w:kinsoku/>
        <w:bidi w:val="0"/>
        <w:spacing w:before="0" w:line="240" w:lineRule="auto"/>
        <w:jc w:val="left"/>
        <w:rPr>
          <w:rFonts w:eastAsia="Times New Roman" w:cs="Helvetica"/>
          <w:b/>
          <w:bCs/>
          <w:color w:val="005173"/>
          <w:sz w:val="28"/>
          <w:lang w:val="en-GB"/>
        </w:rPr>
      </w:pPr>
      <w:bookmarkStart w:id="232" w:name="_Toc363805284"/>
      <w:r w:rsidRPr="00AE6422">
        <w:rPr>
          <w:rFonts w:cs="Times New Roman"/>
          <w:szCs w:val="22"/>
          <w:lang w:val="en-GB"/>
        </w:rPr>
        <w:br w:type="page"/>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bookmarkStart w:id="233" w:name="_Toc379983866"/>
      <w:bookmarkStart w:id="234" w:name="_Toc380496764"/>
      <w:r w:rsidRPr="00AE6422">
        <w:rPr>
          <w:rFonts w:eastAsia="Times New Roman" w:cs="Helvetica"/>
          <w:b/>
          <w:bCs/>
          <w:color w:val="005173"/>
          <w:sz w:val="28"/>
        </w:rPr>
        <w:lastRenderedPageBreak/>
        <w:t>III</w:t>
      </w:r>
      <w:r w:rsidRPr="00AE6422">
        <w:rPr>
          <w:rFonts w:eastAsia="Times New Roman" w:cs="Helvetica"/>
          <w:b/>
          <w:bCs/>
          <w:color w:val="005173"/>
          <w:sz w:val="28"/>
        </w:rPr>
        <w:tab/>
        <w:t>References</w:t>
      </w:r>
      <w:bookmarkEnd w:id="232"/>
      <w:bookmarkEnd w:id="233"/>
      <w:bookmarkEnd w:id="234"/>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AE6422">
        <w:rPr>
          <w:rFonts w:cs="Calibri"/>
          <w:szCs w:val="21"/>
          <w:lang w:val="en-GB" w:eastAsia="en-GB"/>
        </w:rPr>
        <w:t>1.</w:t>
      </w:r>
      <w:r w:rsidRPr="00AE6422">
        <w:rPr>
          <w:rFonts w:cs="Calibri"/>
          <w:szCs w:val="21"/>
          <w:lang w:val="en-GB" w:eastAsia="en-GB"/>
        </w:rPr>
        <w:tab/>
        <w:t xml:space="preserve">References used in the text of the World Bank publication that is included in Section 1.1 and excerpted from </w:t>
      </w:r>
      <w:hyperlink r:id="rId99" w:history="1">
        <w:r w:rsidRPr="00AE6422">
          <w:rPr>
            <w:rFonts w:cs="Calibri"/>
            <w:bCs/>
            <w:color w:val="0000FF"/>
            <w:szCs w:val="21"/>
            <w:u w:val="single"/>
            <w:lang w:eastAsia="en-GB"/>
          </w:rPr>
          <w:t>LMH-BWA</w:t>
        </w:r>
      </w:hyperlink>
      <w:r w:rsidRPr="00AE6422">
        <w:rPr>
          <w:rFonts w:cs="Calibri"/>
          <w:szCs w:val="21"/>
          <w:lang w:val="en-GB" w:eastAsia="en-GB"/>
        </w:rPr>
        <w:t xml:space="preserve"> (Document </w:t>
      </w:r>
      <w:hyperlink r:id="rId100" w:history="1">
        <w:r w:rsidRPr="00AE6422">
          <w:rPr>
            <w:rFonts w:cs="Calibri"/>
            <w:bCs/>
            <w:color w:val="0000FF"/>
            <w:szCs w:val="21"/>
            <w:u w:val="single"/>
            <w:lang w:eastAsia="en-GB"/>
          </w:rPr>
          <w:t>25/2/4</w:t>
        </w:r>
      </w:hyperlink>
      <w:r w:rsidRPr="00AE6422">
        <w:rPr>
          <w:rFonts w:cs="Calibri"/>
          <w:szCs w:val="21"/>
          <w:lang w:val="en-GB" w:eastAsia="en-GB"/>
        </w:rPr>
        <w:t>)</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szCs w:val="21"/>
          <w:lang w:val="en-AU" w:eastAsia="en-GB"/>
        </w:rPr>
      </w:pPr>
      <w:r w:rsidRPr="00AE6422">
        <w:rPr>
          <w:rFonts w:cs="Calibri"/>
          <w:szCs w:val="21"/>
          <w:lang w:val="en-AU" w:eastAsia="en-GB"/>
        </w:rPr>
        <w:t>–</w:t>
      </w:r>
      <w:r w:rsidRPr="00AE6422">
        <w:rPr>
          <w:rFonts w:cs="Calibri"/>
          <w:szCs w:val="21"/>
          <w:lang w:val="en-AU" w:eastAsia="en-GB"/>
        </w:rPr>
        <w:tab/>
        <w:t>Johnson, B., J. M.Manyika, and L. A. Yee. 2005. “The Next Revolution in Interactions.” McKinsey Quarterly 4: 20–33.</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en-AU" w:eastAsia="en-GB"/>
        </w:rPr>
        <w:t>–</w:t>
      </w:r>
      <w:r w:rsidRPr="00AE6422">
        <w:rPr>
          <w:rFonts w:cs="Calibri"/>
          <w:szCs w:val="21"/>
          <w:lang w:val="en-AU" w:eastAsia="en-GB"/>
        </w:rPr>
        <w:tab/>
      </w:r>
      <w:r w:rsidRPr="00AE6422">
        <w:rPr>
          <w:rFonts w:cs="Calibri"/>
          <w:bCs/>
          <w:szCs w:val="21"/>
          <w:lang w:eastAsia="en-GB"/>
        </w:rPr>
        <w:t>Momentum Research Group. 2005. “</w:t>
      </w:r>
      <w:hyperlink r:id="rId101" w:history="1">
        <w:r w:rsidRPr="00AE6422">
          <w:rPr>
            <w:rFonts w:cs="Calibri"/>
            <w:bCs/>
            <w:color w:val="0000FF"/>
            <w:szCs w:val="21"/>
            <w:u w:val="single"/>
            <w:lang w:eastAsia="en-GB"/>
          </w:rPr>
          <w:t>Net Impact Latin America: From Connectivity to Productivity</w:t>
        </w:r>
      </w:hyperlink>
      <w:r w:rsidRPr="00AE6422">
        <w:rPr>
          <w:rFonts w:cs="Calibri"/>
          <w:bCs/>
          <w:szCs w:val="21"/>
          <w:lang w:eastAsia="en-GB"/>
        </w:rPr>
        <w:t>.” Momentum Research Group, Austin, TX..</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en-AU" w:eastAsia="en-GB"/>
        </w:rPr>
        <w:t>–</w:t>
      </w:r>
      <w:r w:rsidRPr="00AE6422">
        <w:rPr>
          <w:rFonts w:cs="Calibri"/>
          <w:szCs w:val="21"/>
          <w:lang w:val="en-AU" w:eastAsia="en-GB"/>
        </w:rPr>
        <w:tab/>
        <w:t>Clarke, George, and Scott Wallsten. 2006. “Has the Internet Increased Trade? Evidence from</w:t>
      </w:r>
      <w:r w:rsidRPr="00AE6422">
        <w:rPr>
          <w:rFonts w:cs="Calibri"/>
          <w:bCs/>
          <w:szCs w:val="21"/>
          <w:lang w:eastAsia="en-GB"/>
        </w:rPr>
        <w:t xml:space="preserve"> Industrial and Developing Countries.” Economic Inquiry 44 (3): 465–84.</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en-AU" w:eastAsia="en-GB"/>
        </w:rPr>
        <w:t>–</w:t>
      </w:r>
      <w:r w:rsidRPr="00AE6422">
        <w:rPr>
          <w:rFonts w:cs="Calibri"/>
          <w:szCs w:val="21"/>
          <w:lang w:val="en-AU" w:eastAsia="en-GB"/>
        </w:rPr>
        <w:tab/>
        <w:t>Sprint</w:t>
      </w:r>
      <w:r w:rsidRPr="00AE6422">
        <w:rPr>
          <w:rFonts w:cs="Calibri"/>
          <w:bCs/>
          <w:szCs w:val="21"/>
          <w:lang w:eastAsia="en-GB"/>
        </w:rPr>
        <w:t>. 2006. “</w:t>
      </w:r>
      <w:hyperlink r:id="rId102" w:history="1">
        <w:r w:rsidRPr="00AE6422">
          <w:rPr>
            <w:rFonts w:cs="Calibri"/>
            <w:bCs/>
            <w:color w:val="0000FF"/>
            <w:szCs w:val="21"/>
            <w:u w:val="single"/>
            <w:lang w:eastAsia="en-GB"/>
          </w:rPr>
          <w:t>Sprint Mobile Broadband: Enhancing Productivity in the Insurance Industry and Beyond.</w:t>
        </w:r>
      </w:hyperlink>
      <w:r w:rsidRPr="00AE6422">
        <w:rPr>
          <w:rFonts w:cs="Calibri"/>
          <w:bCs/>
          <w:szCs w:val="21"/>
          <w:lang w:eastAsia="en-GB"/>
        </w:rPr>
        <w:t>” Sprint.</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en-AU" w:eastAsia="en-GB"/>
        </w:rPr>
        <w:t>–</w:t>
      </w:r>
      <w:r w:rsidRPr="00AE6422">
        <w:rPr>
          <w:rFonts w:cs="Calibri"/>
          <w:szCs w:val="21"/>
          <w:lang w:val="en-AU" w:eastAsia="en-GB"/>
        </w:rPr>
        <w:tab/>
        <w:t>Ford</w:t>
      </w:r>
      <w:r w:rsidRPr="00AE6422">
        <w:rPr>
          <w:rFonts w:cs="Calibri"/>
          <w:bCs/>
          <w:szCs w:val="21"/>
          <w:lang w:eastAsia="en-GB"/>
        </w:rPr>
        <w:t>, George S., and Thomas M. Koutsky. 2005. “</w:t>
      </w:r>
      <w:hyperlink r:id="rId103" w:history="1">
        <w:r w:rsidRPr="00AE6422">
          <w:rPr>
            <w:rFonts w:cs="Calibri"/>
            <w:bCs/>
            <w:color w:val="0000FF"/>
            <w:szCs w:val="21"/>
            <w:u w:val="single"/>
            <w:lang w:eastAsia="en-GB"/>
          </w:rPr>
          <w:t>Broadband and Economic Development: A Municipal Case Study from Florida.</w:t>
        </w:r>
      </w:hyperlink>
      <w:r w:rsidRPr="00AE6422">
        <w:rPr>
          <w:rFonts w:cs="Calibri"/>
          <w:bCs/>
          <w:szCs w:val="21"/>
          <w:lang w:eastAsia="en-GB"/>
        </w:rPr>
        <w:t>” Applied Economic Studies (April): 1–17.</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en-AU" w:eastAsia="en-GB"/>
        </w:rPr>
        <w:t>–</w:t>
      </w:r>
      <w:r w:rsidRPr="00AE6422">
        <w:rPr>
          <w:rFonts w:cs="Calibri"/>
          <w:szCs w:val="21"/>
          <w:lang w:val="en-AU" w:eastAsia="en-GB"/>
        </w:rPr>
        <w:tab/>
      </w:r>
      <w:r w:rsidRPr="00AE6422">
        <w:rPr>
          <w:rFonts w:cs="Calibri"/>
          <w:bCs/>
          <w:szCs w:val="21"/>
          <w:lang w:eastAsia="en-GB"/>
        </w:rPr>
        <w:t>Kelly, D. J. 2004. “</w:t>
      </w:r>
      <w:hyperlink r:id="rId104" w:history="1">
        <w:r w:rsidRPr="00AE6422">
          <w:rPr>
            <w:rFonts w:cs="Calibri"/>
            <w:bCs/>
            <w:color w:val="0000FF"/>
            <w:szCs w:val="21"/>
            <w:u w:val="single"/>
            <w:lang w:eastAsia="en-GB"/>
          </w:rPr>
          <w:t>A Study of Economic and Community Benefits of Cedar Falls, Iowa’s Municipal Telecommunications Network.</w:t>
        </w:r>
      </w:hyperlink>
      <w:r w:rsidRPr="00AE6422">
        <w:rPr>
          <w:rFonts w:cs="Calibri"/>
          <w:bCs/>
          <w:szCs w:val="21"/>
          <w:lang w:eastAsia="en-GB"/>
        </w:rPr>
        <w:t>” Iowa Association of Municipal Utilities, Ankeny, Iowa.</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en-AU" w:eastAsia="en-GB"/>
        </w:rPr>
        <w:t>–</w:t>
      </w:r>
      <w:r w:rsidRPr="00AE6422">
        <w:rPr>
          <w:rFonts w:cs="Calibri"/>
          <w:szCs w:val="21"/>
          <w:lang w:val="en-AU" w:eastAsia="en-GB"/>
        </w:rPr>
        <w:tab/>
        <w:t>Strategic</w:t>
      </w:r>
      <w:r w:rsidRPr="00AE6422">
        <w:rPr>
          <w:rFonts w:cs="Calibri"/>
          <w:bCs/>
          <w:szCs w:val="21"/>
          <w:lang w:eastAsia="en-GB"/>
        </w:rPr>
        <w:t xml:space="preserve"> Networks Group. 2003. “</w:t>
      </w:r>
      <w:hyperlink r:id="rId105" w:history="1">
        <w:r w:rsidRPr="00AE6422">
          <w:rPr>
            <w:rFonts w:cs="Calibri"/>
            <w:bCs/>
            <w:color w:val="0000FF"/>
            <w:szCs w:val="21"/>
            <w:u w:val="single"/>
            <w:lang w:eastAsia="en-GB"/>
          </w:rPr>
          <w:t>Economic Impact Study of the South Dundas Township Fiber Network.</w:t>
        </w:r>
      </w:hyperlink>
      <w:r w:rsidRPr="00AE6422">
        <w:rPr>
          <w:rFonts w:cs="Calibri"/>
          <w:bCs/>
          <w:szCs w:val="21"/>
          <w:lang w:eastAsia="en-GB"/>
        </w:rPr>
        <w:t>” Prepared for the U.K. Department of Trade and Industry, Ontario. .</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de-CH" w:eastAsia="en-GB"/>
        </w:rPr>
        <w:t>–</w:t>
      </w:r>
      <w:r w:rsidRPr="00AE6422">
        <w:rPr>
          <w:rFonts w:cs="Calibri"/>
          <w:szCs w:val="21"/>
          <w:lang w:val="de-CH" w:eastAsia="en-GB"/>
        </w:rPr>
        <w:tab/>
      </w:r>
      <w:r w:rsidRPr="00AE6422">
        <w:rPr>
          <w:rFonts w:cs="Calibri"/>
          <w:bCs/>
          <w:szCs w:val="21"/>
          <w:lang w:val="de-CH" w:eastAsia="en-GB"/>
        </w:rPr>
        <w:t xml:space="preserve">Zilber, Julie, David Schneier, and Philip Djwa. 2005. </w:t>
      </w:r>
      <w:r w:rsidRPr="00AE6422">
        <w:rPr>
          <w:rFonts w:cs="Calibri"/>
          <w:bCs/>
          <w:szCs w:val="21"/>
          <w:lang w:eastAsia="en-GB"/>
        </w:rPr>
        <w:t xml:space="preserve">“You Snooze, You Lose: The Economic </w:t>
      </w:r>
      <w:r w:rsidRPr="00AE6422">
        <w:rPr>
          <w:rFonts w:cs="Calibri"/>
          <w:szCs w:val="21"/>
          <w:lang w:val="en-AU" w:eastAsia="en-GB"/>
        </w:rPr>
        <w:t>Impact</w:t>
      </w:r>
      <w:r w:rsidRPr="00AE6422">
        <w:rPr>
          <w:rFonts w:cs="Calibri"/>
          <w:bCs/>
          <w:szCs w:val="21"/>
          <w:lang w:eastAsia="en-GB"/>
        </w:rPr>
        <w:t xml:space="preserve"> of Broadband in the Peace River and South Similkameen Regions.” Prepared for Industry Canada, Ottawa.</w:t>
      </w:r>
    </w:p>
    <w:p w:rsidR="00AE6422" w:rsidRPr="00AE6422" w:rsidRDefault="00AE6422" w:rsidP="00AE6422">
      <w:pPr>
        <w:tabs>
          <w:tab w:val="clear" w:pos="567"/>
          <w:tab w:val="clear" w:pos="1133"/>
          <w:tab w:val="clear" w:pos="1700"/>
          <w:tab w:val="clear" w:pos="2267"/>
        </w:tabs>
        <w:kinsoku/>
        <w:bidi w:val="0"/>
        <w:spacing w:line="240" w:lineRule="auto"/>
        <w:ind w:left="868" w:hanging="308"/>
        <w:rPr>
          <w:rFonts w:cs="Calibri"/>
          <w:bCs/>
          <w:szCs w:val="21"/>
          <w:lang w:eastAsia="en-GB"/>
        </w:rPr>
      </w:pPr>
      <w:r w:rsidRPr="00AE6422">
        <w:rPr>
          <w:rFonts w:cs="Calibri"/>
          <w:szCs w:val="21"/>
          <w:lang w:val="en-AU" w:eastAsia="en-GB"/>
        </w:rPr>
        <w:t>–</w:t>
      </w:r>
      <w:r w:rsidRPr="00AE6422">
        <w:rPr>
          <w:rFonts w:cs="Calibri"/>
          <w:szCs w:val="21"/>
          <w:lang w:val="en-AU" w:eastAsia="en-GB"/>
        </w:rPr>
        <w:tab/>
        <w:t>Qiang</w:t>
      </w:r>
      <w:r w:rsidRPr="00AE6422">
        <w:rPr>
          <w:rFonts w:cs="Calibri"/>
          <w:bCs/>
          <w:szCs w:val="21"/>
          <w:lang w:eastAsia="en-GB"/>
        </w:rPr>
        <w:t>, Christine Zhen-Wei. 2009. “Telecommunications and Economic Growth.” Unpublished paper, World Bank, Washington, DC.</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2.</w:t>
      </w:r>
      <w:r w:rsidRPr="00AE6422">
        <w:rPr>
          <w:rFonts w:cs="Calibri"/>
          <w:szCs w:val="21"/>
          <w:lang w:val="en-GB" w:eastAsia="en-GB"/>
        </w:rPr>
        <w:tab/>
      </w:r>
      <w:r w:rsidRPr="00AE6422">
        <w:rPr>
          <w:rFonts w:cs="Calibri"/>
          <w:bCs/>
          <w:szCs w:val="21"/>
          <w:lang w:eastAsia="en-GB"/>
        </w:rPr>
        <w:t>“</w:t>
      </w:r>
      <w:hyperlink r:id="rId106" w:history="1">
        <w:r w:rsidRPr="00AE6422">
          <w:rPr>
            <w:rFonts w:cs="Calibri"/>
            <w:bCs/>
            <w:color w:val="0000FF"/>
            <w:szCs w:val="21"/>
            <w:u w:val="single"/>
            <w:lang w:eastAsia="en-GB"/>
          </w:rPr>
          <w:t>Broadband: A Platform for Progress</w:t>
        </w:r>
      </w:hyperlink>
      <w:r w:rsidRPr="00AE6422">
        <w:rPr>
          <w:rFonts w:cs="Calibri"/>
          <w:bCs/>
          <w:szCs w:val="21"/>
          <w:lang w:eastAsia="en-GB"/>
        </w:rPr>
        <w:t xml:space="preserve">”, Full Report. Broadband </w:t>
      </w:r>
      <w:r w:rsidRPr="00AE6422">
        <w:rPr>
          <w:rFonts w:cs="Calibri"/>
          <w:szCs w:val="21"/>
          <w:lang w:val="en-GB" w:eastAsia="en-GB"/>
        </w:rPr>
        <w:t>Commission</w:t>
      </w:r>
      <w:r w:rsidRPr="00AE6422">
        <w:rPr>
          <w:rFonts w:cs="Calibri"/>
          <w:bCs/>
          <w:szCs w:val="21"/>
          <w:lang w:eastAsia="en-GB"/>
        </w:rPr>
        <w:t>, 2011</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3.</w:t>
      </w:r>
      <w:r w:rsidRPr="00AE6422">
        <w:rPr>
          <w:rFonts w:cs="Calibri"/>
          <w:szCs w:val="21"/>
          <w:lang w:val="en-GB" w:eastAsia="en-GB"/>
        </w:rPr>
        <w:tab/>
      </w:r>
      <w:r w:rsidRPr="00AE6422">
        <w:rPr>
          <w:rFonts w:cs="Calibri"/>
          <w:bCs/>
          <w:szCs w:val="21"/>
          <w:lang w:eastAsia="en-GB"/>
        </w:rPr>
        <w:t xml:space="preserve"> “</w:t>
      </w:r>
      <w:hyperlink r:id="rId107" w:history="1">
        <w:r w:rsidRPr="00AE6422">
          <w:rPr>
            <w:rFonts w:cs="Calibri"/>
            <w:bCs/>
            <w:color w:val="0000FF"/>
            <w:szCs w:val="21"/>
            <w:u w:val="single"/>
            <w:lang w:eastAsia="en-GB"/>
          </w:rPr>
          <w:t>Broadband: A Platform for Progress</w:t>
        </w:r>
      </w:hyperlink>
      <w:r w:rsidRPr="00AE6422">
        <w:rPr>
          <w:rFonts w:cs="Calibri"/>
          <w:bCs/>
          <w:szCs w:val="21"/>
          <w:lang w:eastAsia="en-GB"/>
        </w:rPr>
        <w:t xml:space="preserve">”, Summary Broadband </w:t>
      </w:r>
      <w:r w:rsidRPr="00AE6422">
        <w:rPr>
          <w:rFonts w:cs="Calibri"/>
          <w:szCs w:val="21"/>
          <w:lang w:val="en-GB" w:eastAsia="en-GB"/>
        </w:rPr>
        <w:t>Commission</w:t>
      </w:r>
      <w:r w:rsidRPr="00AE6422">
        <w:rPr>
          <w:rFonts w:cs="Calibri"/>
          <w:bCs/>
          <w:szCs w:val="21"/>
          <w:lang w:eastAsia="en-GB"/>
        </w:rPr>
        <w:t>, 2011</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4.</w:t>
      </w:r>
      <w:r w:rsidRPr="00AE6422">
        <w:rPr>
          <w:rFonts w:cs="Calibri"/>
          <w:szCs w:val="21"/>
          <w:lang w:val="en-GB" w:eastAsia="en-GB"/>
        </w:rPr>
        <w:tab/>
      </w:r>
      <w:r w:rsidRPr="00AE6422">
        <w:rPr>
          <w:rFonts w:cs="Calibri"/>
          <w:bCs/>
          <w:szCs w:val="21"/>
          <w:lang w:eastAsia="en-GB"/>
        </w:rPr>
        <w:t xml:space="preserve"> “</w:t>
      </w:r>
      <w:hyperlink r:id="rId108" w:history="1">
        <w:r w:rsidRPr="00AE6422">
          <w:rPr>
            <w:rFonts w:cs="Calibri"/>
            <w:bCs/>
            <w:color w:val="0000FF"/>
            <w:szCs w:val="21"/>
            <w:u w:val="single"/>
            <w:lang w:eastAsia="en-GB"/>
          </w:rPr>
          <w:t>A 2010 Leadership Imperative: The Future Built on Broadband</w:t>
        </w:r>
      </w:hyperlink>
      <w:r w:rsidRPr="00AE6422">
        <w:rPr>
          <w:rFonts w:cs="Calibri"/>
          <w:bCs/>
          <w:szCs w:val="21"/>
          <w:lang w:eastAsia="en-GB"/>
        </w:rPr>
        <w:t xml:space="preserve">”, </w:t>
      </w:r>
      <w:r w:rsidRPr="00AE6422">
        <w:rPr>
          <w:rFonts w:cs="Calibri"/>
          <w:szCs w:val="21"/>
          <w:lang w:val="en-GB" w:eastAsia="en-GB"/>
        </w:rPr>
        <w:t>Broadband</w:t>
      </w:r>
      <w:r w:rsidRPr="00AE6422">
        <w:rPr>
          <w:rFonts w:cs="Calibri"/>
          <w:bCs/>
          <w:szCs w:val="21"/>
          <w:lang w:eastAsia="en-GB"/>
        </w:rPr>
        <w:t xml:space="preserve"> Commission, 2010</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5.</w:t>
      </w:r>
      <w:r w:rsidRPr="00AE6422">
        <w:rPr>
          <w:rFonts w:cs="Calibri"/>
          <w:szCs w:val="21"/>
          <w:lang w:val="en-GB" w:eastAsia="en-GB"/>
        </w:rPr>
        <w:tab/>
      </w:r>
      <w:r w:rsidRPr="00AE6422">
        <w:rPr>
          <w:rFonts w:cs="Calibri"/>
          <w:bCs/>
          <w:szCs w:val="21"/>
          <w:lang w:eastAsia="en-GB"/>
        </w:rPr>
        <w:t xml:space="preserve"> “National Broadband/ICT Plans: Policy Objectives for Success” – </w:t>
      </w:r>
      <w:r w:rsidRPr="00AE6422">
        <w:rPr>
          <w:rFonts w:cs="Calibri"/>
          <w:szCs w:val="21"/>
          <w:lang w:val="en-GB" w:eastAsia="en-GB"/>
        </w:rPr>
        <w:t>Document</w:t>
      </w:r>
      <w:r w:rsidRPr="00AE6422">
        <w:rPr>
          <w:rFonts w:cs="Calibri"/>
          <w:bCs/>
          <w:szCs w:val="21"/>
          <w:lang w:eastAsia="en-GB"/>
        </w:rPr>
        <w:t xml:space="preserve"> </w:t>
      </w:r>
      <w:hyperlink r:id="rId109" w:history="1">
        <w:r w:rsidRPr="00AE6422">
          <w:rPr>
            <w:rFonts w:cs="Calibri"/>
            <w:bCs/>
            <w:color w:val="0000FF"/>
            <w:szCs w:val="21"/>
            <w:u w:val="single"/>
            <w:lang w:eastAsia="en-GB"/>
          </w:rPr>
          <w:t>2/24</w:t>
        </w:r>
      </w:hyperlink>
      <w:r w:rsidRPr="00AE6422">
        <w:rPr>
          <w:rFonts w:cs="Calibri"/>
          <w:bCs/>
          <w:szCs w:val="21"/>
          <w:lang w:eastAsia="en-GB"/>
        </w:rPr>
        <w:t xml:space="preserve"> (Intel Corporation, United States)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6.</w:t>
      </w:r>
      <w:r w:rsidRPr="00AE6422">
        <w:rPr>
          <w:rFonts w:cs="Calibri"/>
          <w:szCs w:val="21"/>
          <w:lang w:val="en-GB" w:eastAsia="en-GB"/>
        </w:rPr>
        <w:tab/>
      </w:r>
      <w:r w:rsidRPr="00AE6422">
        <w:rPr>
          <w:rFonts w:cs="Calibri"/>
          <w:bCs/>
          <w:szCs w:val="21"/>
          <w:lang w:eastAsia="en-GB"/>
        </w:rPr>
        <w:t xml:space="preserve"> “Affordable Broadband for Everyone” – Document </w:t>
      </w:r>
      <w:hyperlink r:id="rId110" w:history="1">
        <w:r w:rsidRPr="00AE6422">
          <w:rPr>
            <w:rFonts w:cs="Calibri"/>
            <w:bCs/>
            <w:color w:val="0000FF"/>
            <w:szCs w:val="21"/>
            <w:u w:val="single"/>
            <w:lang w:eastAsia="en-GB"/>
          </w:rPr>
          <w:t>2/23</w:t>
        </w:r>
      </w:hyperlink>
      <w:r w:rsidRPr="00AE6422">
        <w:rPr>
          <w:rFonts w:cs="Calibri"/>
          <w:bCs/>
          <w:szCs w:val="21"/>
          <w:lang w:eastAsia="en-GB"/>
        </w:rPr>
        <w:t xml:space="preserve"> (Intel </w:t>
      </w:r>
      <w:r w:rsidRPr="00AE6422">
        <w:rPr>
          <w:rFonts w:cs="Calibri"/>
          <w:szCs w:val="21"/>
          <w:lang w:val="en-GB" w:eastAsia="en-GB"/>
        </w:rPr>
        <w:t>Corporation</w:t>
      </w:r>
      <w:r w:rsidRPr="00AE6422">
        <w:rPr>
          <w:rFonts w:cs="Calibri"/>
          <w:bCs/>
          <w:szCs w:val="21"/>
          <w:lang w:eastAsia="en-GB"/>
        </w:rPr>
        <w:t>, United States)</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7.</w:t>
      </w:r>
      <w:r w:rsidRPr="00AE6422">
        <w:rPr>
          <w:rFonts w:cs="Calibri"/>
          <w:szCs w:val="21"/>
          <w:lang w:val="en-GB" w:eastAsia="en-GB"/>
        </w:rPr>
        <w:tab/>
      </w:r>
      <w:r w:rsidRPr="00AE6422">
        <w:rPr>
          <w:rFonts w:cs="Calibri"/>
          <w:bCs/>
          <w:szCs w:val="21"/>
          <w:lang w:eastAsia="en-GB"/>
        </w:rPr>
        <w:t>Rev.1 of Supplement 1 to Handbook on Migration to IMT-2000 Systems (Document</w:t>
      </w:r>
      <w:r w:rsidRPr="00AE6422" w:rsidDel="00C70E6B">
        <w:rPr>
          <w:rFonts w:cs="Calibri"/>
          <w:bCs/>
          <w:szCs w:val="21"/>
          <w:lang w:eastAsia="en-GB"/>
        </w:rPr>
        <w:t xml:space="preserve"> </w:t>
      </w:r>
      <w:hyperlink r:id="rId111" w:history="1">
        <w:r w:rsidRPr="00AE6422">
          <w:rPr>
            <w:rFonts w:cs="Calibri"/>
            <w:bCs/>
            <w:color w:val="0000FF"/>
            <w:szCs w:val="21"/>
            <w:u w:val="single"/>
            <w:lang w:eastAsia="en-GB"/>
          </w:rPr>
          <w:t>25/2/2</w:t>
        </w:r>
      </w:hyperlink>
      <w:r w:rsidRPr="00AE6422">
        <w:rPr>
          <w:rFonts w:cs="Calibri"/>
          <w:bCs/>
          <w:szCs w:val="21"/>
          <w:lang w:eastAsia="en-GB"/>
        </w:rPr>
        <w:t>)</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8.</w:t>
      </w:r>
      <w:r w:rsidRPr="00AE6422">
        <w:rPr>
          <w:rFonts w:cs="Calibri"/>
          <w:szCs w:val="21"/>
          <w:lang w:val="en-GB" w:eastAsia="en-GB"/>
        </w:rPr>
        <w:tab/>
      </w:r>
      <w:r w:rsidRPr="00AE6422">
        <w:rPr>
          <w:rFonts w:cs="Calibri"/>
          <w:bCs/>
          <w:szCs w:val="21"/>
          <w:lang w:eastAsia="en-GB"/>
        </w:rPr>
        <w:t xml:space="preserve"> “</w:t>
      </w:r>
      <w:hyperlink r:id="rId112" w:history="1">
        <w:r w:rsidRPr="00AE6422">
          <w:rPr>
            <w:rFonts w:cs="Calibri"/>
            <w:bCs/>
            <w:color w:val="0000FF"/>
            <w:szCs w:val="21"/>
            <w:u w:val="single"/>
            <w:lang w:eastAsia="en-GB"/>
          </w:rPr>
          <w:t>Land Mobile (including Wireless Access) – Volume 5: Deployment of Broadband Wireless Access Systems</w:t>
        </w:r>
      </w:hyperlink>
      <w:r w:rsidRPr="00AE6422">
        <w:rPr>
          <w:rFonts w:cs="Calibri"/>
          <w:bCs/>
          <w:szCs w:val="21"/>
          <w:lang w:eastAsia="en-GB"/>
        </w:rPr>
        <w:t xml:space="preserve">”(LMH-BWA) – Document </w:t>
      </w:r>
      <w:hyperlink r:id="rId113" w:history="1">
        <w:r w:rsidRPr="00AE6422">
          <w:rPr>
            <w:rFonts w:cs="Calibri"/>
            <w:bCs/>
            <w:color w:val="0000FF"/>
            <w:szCs w:val="21"/>
            <w:u w:val="single"/>
            <w:lang w:eastAsia="en-GB"/>
          </w:rPr>
          <w:t>25/2/4</w:t>
        </w:r>
      </w:hyperlink>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9.</w:t>
      </w:r>
      <w:r w:rsidRPr="00AE6422">
        <w:rPr>
          <w:rFonts w:cs="Calibri"/>
          <w:szCs w:val="21"/>
          <w:lang w:val="en-GB" w:eastAsia="en-GB"/>
        </w:rPr>
        <w:tab/>
      </w:r>
      <w:r w:rsidRPr="00AE6422">
        <w:rPr>
          <w:rFonts w:cs="Calibri"/>
          <w:bCs/>
          <w:szCs w:val="21"/>
          <w:lang w:eastAsia="en-GB"/>
        </w:rPr>
        <w:t xml:space="preserve">Statistics and </w:t>
      </w:r>
      <w:r w:rsidRPr="00AE6422">
        <w:rPr>
          <w:rFonts w:cs="Calibri"/>
          <w:szCs w:val="21"/>
          <w:lang w:val="en-GB" w:eastAsia="en-GB"/>
        </w:rPr>
        <w:t>Strategic</w:t>
      </w:r>
      <w:r w:rsidRPr="00AE6422">
        <w:rPr>
          <w:rFonts w:cs="Calibri"/>
          <w:bCs/>
          <w:szCs w:val="21"/>
          <w:lang w:eastAsia="en-GB"/>
        </w:rPr>
        <w:t xml:space="preserve"> Action Plan of Telecommunication/ICT Development in Bangladesh: Rural and Remote Areas – Document </w:t>
      </w:r>
      <w:hyperlink r:id="rId114" w:history="1">
        <w:r w:rsidRPr="00AE6422">
          <w:rPr>
            <w:rFonts w:cs="Calibri"/>
            <w:bCs/>
            <w:color w:val="0000FF"/>
            <w:szCs w:val="21"/>
            <w:u w:val="single"/>
            <w:lang w:eastAsia="en-GB"/>
          </w:rPr>
          <w:t>2/INF/36</w:t>
        </w:r>
      </w:hyperlink>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10.</w:t>
      </w:r>
      <w:r w:rsidRPr="00AE6422">
        <w:rPr>
          <w:rFonts w:cs="Calibri"/>
          <w:szCs w:val="21"/>
          <w:lang w:val="en-GB" w:eastAsia="en-GB"/>
        </w:rPr>
        <w:tab/>
      </w:r>
      <w:r w:rsidRPr="00AE6422">
        <w:rPr>
          <w:rFonts w:cs="Calibri"/>
          <w:bCs/>
          <w:szCs w:val="21"/>
          <w:lang w:eastAsia="en-GB"/>
        </w:rPr>
        <w:t xml:space="preserve">Analysis of </w:t>
      </w:r>
      <w:r w:rsidRPr="00AE6422">
        <w:rPr>
          <w:rFonts w:cs="Calibri"/>
          <w:szCs w:val="21"/>
          <w:lang w:val="en-GB" w:eastAsia="en-GB"/>
        </w:rPr>
        <w:t>Factors</w:t>
      </w:r>
      <w:r w:rsidRPr="00AE6422">
        <w:rPr>
          <w:rFonts w:cs="Calibri"/>
          <w:bCs/>
          <w:szCs w:val="21"/>
          <w:lang w:eastAsia="en-GB"/>
        </w:rPr>
        <w:t xml:space="preserve"> that Influence both the Demand of Broadband Services and the Deployment of Broadband Networks – Document </w:t>
      </w:r>
      <w:hyperlink r:id="rId115" w:history="1">
        <w:r w:rsidRPr="00AE6422">
          <w:rPr>
            <w:rFonts w:cs="Calibri"/>
            <w:bCs/>
            <w:color w:val="0000FF"/>
            <w:szCs w:val="21"/>
            <w:u w:val="single"/>
            <w:lang w:eastAsia="en-GB"/>
          </w:rPr>
          <w:t>2/INF/44</w:t>
        </w:r>
      </w:hyperlink>
      <w:r w:rsidRPr="00AE6422">
        <w:rPr>
          <w:rFonts w:cs="Calibri"/>
          <w:bCs/>
          <w:szCs w:val="21"/>
          <w:lang w:eastAsia="en-GB"/>
        </w:rPr>
        <w:t xml:space="preserve"> (Egypt)</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11.</w:t>
      </w:r>
      <w:r w:rsidRPr="00AE6422">
        <w:rPr>
          <w:rFonts w:cs="Calibri"/>
          <w:szCs w:val="21"/>
          <w:lang w:val="en-GB" w:eastAsia="en-GB"/>
        </w:rPr>
        <w:tab/>
      </w:r>
      <w:r w:rsidRPr="00AE6422">
        <w:rPr>
          <w:rFonts w:cs="Calibri"/>
          <w:bCs/>
          <w:szCs w:val="21"/>
          <w:lang w:eastAsia="en-GB"/>
        </w:rPr>
        <w:t xml:space="preserve"> “</w:t>
      </w:r>
      <w:hyperlink r:id="rId116" w:history="1">
        <w:r w:rsidRPr="00AE6422">
          <w:rPr>
            <w:rFonts w:cs="Calibri"/>
            <w:bCs/>
            <w:color w:val="0000FF"/>
            <w:szCs w:val="21"/>
            <w:u w:val="single"/>
            <w:lang w:eastAsia="en-GB"/>
          </w:rPr>
          <w:t>Ten Facts About Mobile Broadband</w:t>
        </w:r>
      </w:hyperlink>
      <w:r w:rsidRPr="00AE6422">
        <w:rPr>
          <w:rFonts w:cs="Calibri"/>
          <w:bCs/>
          <w:szCs w:val="21"/>
          <w:lang w:eastAsia="en-GB"/>
        </w:rPr>
        <w:t xml:space="preserve">” by Darrell West, </w:t>
      </w:r>
      <w:r w:rsidRPr="00AE6422">
        <w:rPr>
          <w:rFonts w:cs="Calibri"/>
          <w:szCs w:val="21"/>
          <w:lang w:val="en-GB" w:eastAsia="en-GB"/>
        </w:rPr>
        <w:t>Center</w:t>
      </w:r>
      <w:r w:rsidRPr="00AE6422">
        <w:rPr>
          <w:rFonts w:cs="Calibri"/>
          <w:bCs/>
          <w:szCs w:val="21"/>
          <w:lang w:eastAsia="en-GB"/>
        </w:rPr>
        <w:t xml:space="preserve"> for Technology Innovation at Brookings, 8 December 2011</w:t>
      </w:r>
    </w:p>
    <w:p w:rsidR="00AE6422" w:rsidRPr="00AE6422" w:rsidRDefault="00AE6422" w:rsidP="00AE6422">
      <w:pPr>
        <w:tabs>
          <w:tab w:val="clear" w:pos="567"/>
          <w:tab w:val="clear" w:pos="1133"/>
          <w:tab w:val="clear" w:pos="1700"/>
          <w:tab w:val="clear" w:pos="2267"/>
        </w:tabs>
        <w:kinsoku/>
        <w:bidi w:val="0"/>
        <w:spacing w:line="240" w:lineRule="auto"/>
        <w:ind w:left="567" w:hanging="567"/>
        <w:rPr>
          <w:rFonts w:cs="Calibri"/>
          <w:bCs/>
          <w:szCs w:val="21"/>
          <w:lang w:eastAsia="en-GB"/>
        </w:rPr>
      </w:pPr>
      <w:r w:rsidRPr="00AE6422">
        <w:rPr>
          <w:rFonts w:cs="Calibri"/>
          <w:szCs w:val="21"/>
          <w:lang w:val="en-GB" w:eastAsia="en-GB"/>
        </w:rPr>
        <w:t>12.</w:t>
      </w:r>
      <w:r w:rsidRPr="00AE6422">
        <w:rPr>
          <w:rFonts w:cs="Calibri"/>
          <w:szCs w:val="21"/>
          <w:lang w:val="en-GB" w:eastAsia="en-GB"/>
        </w:rPr>
        <w:tab/>
      </w:r>
      <w:r w:rsidRPr="00AE6422">
        <w:rPr>
          <w:rFonts w:cs="Calibri"/>
          <w:bCs/>
          <w:szCs w:val="21"/>
          <w:lang w:eastAsia="en-GB"/>
        </w:rPr>
        <w:t xml:space="preserve"> “</w:t>
      </w:r>
      <w:hyperlink r:id="rId117" w:history="1">
        <w:r w:rsidRPr="00AE6422">
          <w:rPr>
            <w:rFonts w:cs="Calibri"/>
            <w:bCs/>
            <w:color w:val="0000FF"/>
            <w:szCs w:val="21"/>
            <w:u w:val="single"/>
            <w:lang w:eastAsia="en-GB"/>
          </w:rPr>
          <w:t>Mobile Backhaul – The Wireless Solution</w:t>
        </w:r>
      </w:hyperlink>
      <w:r w:rsidRPr="00AE6422">
        <w:rPr>
          <w:rFonts w:cs="Calibri"/>
          <w:bCs/>
          <w:szCs w:val="21"/>
          <w:lang w:eastAsia="en-GB"/>
        </w:rPr>
        <w:t xml:space="preserve">”, a White Paper </w:t>
      </w:r>
      <w:r w:rsidRPr="00AE6422">
        <w:rPr>
          <w:rFonts w:cs="Calibri"/>
          <w:szCs w:val="21"/>
          <w:lang w:val="en-GB" w:eastAsia="en-GB"/>
        </w:rPr>
        <w:t>by</w:t>
      </w:r>
      <w:r w:rsidRPr="00AE6422">
        <w:rPr>
          <w:rFonts w:cs="Calibri"/>
          <w:bCs/>
          <w:szCs w:val="21"/>
          <w:lang w:eastAsia="en-GB"/>
        </w:rPr>
        <w:t xml:space="preserve"> Transfinite Systems Ltd. </w:t>
      </w:r>
    </w:p>
    <w:p w:rsidR="00AE6422" w:rsidRPr="00AE6422" w:rsidRDefault="00AE6422" w:rsidP="00AE6422">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sz w:val="28"/>
        </w:rPr>
      </w:pPr>
    </w:p>
    <w:sectPr w:rsidR="00AE6422" w:rsidRPr="00AE6422" w:rsidSect="00F2785B">
      <w:headerReference w:type="even" r:id="rId118"/>
      <w:headerReference w:type="default" r:id="rId119"/>
      <w:footerReference w:type="even" r:id="rId120"/>
      <w:footerReference w:type="default" r:id="rId121"/>
      <w:footnotePr>
        <w:numRestart w:val="eachSect"/>
      </w:footnotePr>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E42" w:rsidRPr="0034180A" w:rsidRDefault="00895E42" w:rsidP="000A316A">
      <w:pPr>
        <w:pStyle w:val="Footer"/>
      </w:pPr>
    </w:p>
    <w:p w:rsidR="00895E42" w:rsidRDefault="00895E42" w:rsidP="000A316A"/>
    <w:p w:rsidR="00895E42" w:rsidRDefault="00895E42" w:rsidP="000A316A"/>
  </w:endnote>
  <w:endnote w:type="continuationSeparator" w:id="0">
    <w:p w:rsidR="00895E42" w:rsidRPr="0034180A" w:rsidRDefault="00895E42" w:rsidP="000A316A">
      <w:pPr>
        <w:pStyle w:val="Footer"/>
      </w:pPr>
    </w:p>
    <w:p w:rsidR="00895E42" w:rsidRDefault="00895E42" w:rsidP="000A316A"/>
    <w:p w:rsidR="00895E42" w:rsidRDefault="00895E42" w:rsidP="000A316A"/>
  </w:endnote>
  <w:endnote w:type="continuationNotice" w:id="1">
    <w:p w:rsidR="00895E42" w:rsidRDefault="00895E42" w:rsidP="000A316A"/>
    <w:p w:rsidR="00895E42" w:rsidRDefault="00895E42" w:rsidP="000A316A"/>
    <w:p w:rsidR="00895E42" w:rsidRDefault="00895E42"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embedRegular r:id="rId1" w:subsetted="1" w:fontKey="{733D2F5A-3567-4254-9F26-D3E05E1CF6FF}"/>
  </w:font>
  <w:font w:name="Calibri">
    <w:panose1 w:val="020F0502020204030204"/>
    <w:charset w:val="00"/>
    <w:family w:val="swiss"/>
    <w:pitch w:val="variable"/>
    <w:sig w:usb0="E00002FF" w:usb1="4000ACFF" w:usb2="00000001" w:usb3="00000000" w:csb0="0000019F" w:csb1="00000000"/>
    <w:embedRegular r:id="rId2" w:fontKey="{1944ED36-DE3F-402F-BB19-562AF0803E54}"/>
    <w:embedBold r:id="rId3" w:fontKey="{D7F4126E-A3CE-42E5-9C75-CBBC7C26E3CC}"/>
    <w:embedItalic r:id="rId4" w:fontKey="{A18D941D-34FD-4558-8E8F-3A9592BC3426}"/>
    <w:embedBoldItalic r:id="rId5" w:fontKey="{9F4A8F70-C6C0-4CC1-B2D7-22E6FB046C53}"/>
  </w:font>
  <w:font w:name="Traditional Arabic">
    <w:panose1 w:val="02020603050405020304"/>
    <w:charset w:val="B2"/>
    <w:family w:val="auto"/>
    <w:pitch w:val="variable"/>
    <w:sig w:usb0="00002001" w:usb1="00000000" w:usb2="00000000" w:usb3="00000000" w:csb0="00000040" w:csb1="00000000"/>
    <w:embedRegular r:id="rId6" w:fontKey="{A9EBDBB9-E924-40ED-AE70-41DA10B74181}"/>
    <w:embedBold r:id="rId7" w:fontKey="{29CBB279-2880-49C2-9B82-E6EF1C44C7BE}"/>
    <w:embedItalic r:id="rId8" w:fontKey="{76FDADD8-C74B-46A8-8794-A4BC6F8F1F74}"/>
    <w:embedBoldItalic r:id="rId9" w:fontKey="{C3836B29-D777-491C-B2F9-7FC40FEFAE6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Pr="00075AC8" w:rsidRDefault="005A67D3" w:rsidP="000A316A">
    <w:pPr>
      <w:pStyle w:val="Footer"/>
    </w:pPr>
    <w:r w:rsidRPr="009E2BB9">
      <w:tab/>
    </w:r>
    <w:r>
      <w:fldChar w:fldCharType="begin"/>
    </w:r>
    <w:r>
      <w:instrText xml:space="preserve"> PAGE </w:instrText>
    </w:r>
    <w:r>
      <w:fldChar w:fldCharType="separate"/>
    </w:r>
    <w:r w:rsidR="00B56FF8">
      <w:rPr>
        <w:noProof/>
      </w:rPr>
      <w:t>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D60D10">
    <w:pPr>
      <w:tabs>
        <w:tab w:val="left" w:pos="1107"/>
      </w:tabs>
      <w:rPr>
        <w:rtl/>
      </w:rPr>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Pr="00821C93" w:rsidRDefault="005A67D3" w:rsidP="00191D6A">
    <w:pPr>
      <w:pStyle w:val="Footer"/>
      <w:bidi w:val="0"/>
      <w:jc w:val="right"/>
    </w:pPr>
    <w:r>
      <w:fldChar w:fldCharType="begin"/>
    </w:r>
    <w:r>
      <w:instrText xml:space="preserve"> PAGE </w:instrText>
    </w:r>
    <w:r>
      <w:fldChar w:fldCharType="separate"/>
    </w:r>
    <w:r w:rsidR="00B56FF8">
      <w:rPr>
        <w:noProof/>
      </w:rPr>
      <w:t>iv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0A316A">
    <w:pPr>
      <w:pStyle w:val="Footer"/>
    </w:pPr>
    <w:r w:rsidRPr="009E2BB9">
      <w:tab/>
    </w:r>
    <w:r>
      <w:fldChar w:fldCharType="begin"/>
    </w:r>
    <w:r>
      <w:instrText xml:space="preserve"> PAGE </w:instrText>
    </w:r>
    <w:r>
      <w:fldChar w:fldCharType="separate"/>
    </w:r>
    <w:r w:rsidR="00B56FF8">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Pr="00191D6A" w:rsidRDefault="005A67D3" w:rsidP="00A43E9F">
    <w:pPr>
      <w:pStyle w:val="Footer"/>
      <w:tabs>
        <w:tab w:val="clear" w:pos="9071"/>
      </w:tabs>
      <w:ind w:left="-1" w:right="6804"/>
      <w:jc w:val="left"/>
      <w:rPr>
        <w:rtl/>
      </w:rPr>
    </w:pPr>
    <w:r w:rsidRPr="00191D6A">
      <w:fldChar w:fldCharType="begin"/>
    </w:r>
    <w:r w:rsidRPr="00191D6A">
      <w:instrText xml:space="preserve"> PAGE </w:instrText>
    </w:r>
    <w:r w:rsidRPr="00191D6A">
      <w:fldChar w:fldCharType="separate"/>
    </w:r>
    <w:r w:rsidR="00B56FF8">
      <w:rPr>
        <w:noProof/>
        <w:rtl/>
      </w:rPr>
      <w:t>32</w:t>
    </w:r>
    <w:r w:rsidRPr="00191D6A">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Pr="00837668" w:rsidRDefault="005A67D3" w:rsidP="000A316A">
    <w:pPr>
      <w:pStyle w:val="Footer"/>
    </w:pPr>
    <w:r w:rsidRPr="00837668">
      <w:tab/>
    </w:r>
    <w:r>
      <w:fldChar w:fldCharType="begin"/>
    </w:r>
    <w:r>
      <w:instrText xml:space="preserve"> PAGE </w:instrText>
    </w:r>
    <w:r>
      <w:fldChar w:fldCharType="separate"/>
    </w:r>
    <w:r w:rsidR="00B56FF8">
      <w:rPr>
        <w:noProof/>
        <w:rtl/>
      </w:rPr>
      <w:t>33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Pr="005875E1" w:rsidRDefault="005A67D3" w:rsidP="001E36AB">
    <w:pPr>
      <w:pStyle w:val="Footer"/>
      <w:pBdr>
        <w:top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821C93">
    <w:pPr>
      <w:pStyle w:val="Footer"/>
      <w:tabs>
        <w:tab w:val="clear" w:pos="9071"/>
      </w:tabs>
      <w:ind w:left="0" w:right="6803"/>
      <w:jc w:val="left"/>
    </w:pPr>
    <w:r>
      <w:fldChar w:fldCharType="begin"/>
    </w:r>
    <w:r>
      <w:instrText xml:space="preserve"> PAGE </w:instrText>
    </w:r>
    <w:r>
      <w:fldChar w:fldCharType="separate"/>
    </w:r>
    <w:r w:rsidR="00B56FF8">
      <w:rPr>
        <w:noProof/>
        <w:rtl/>
      </w:rPr>
      <w:t>60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Pr="005875E1" w:rsidRDefault="005A67D3" w:rsidP="00F2785B">
    <w:pPr>
      <w:pStyle w:val="Footer"/>
    </w:pPr>
    <w:r w:rsidRPr="009E2BB9">
      <w:tab/>
    </w:r>
    <w:r>
      <w:fldChar w:fldCharType="begin"/>
    </w:r>
    <w:r>
      <w:instrText xml:space="preserve"> PAGE </w:instrText>
    </w:r>
    <w:r>
      <w:fldChar w:fldCharType="separate"/>
    </w:r>
    <w:r w:rsidR="00B56FF8">
      <w:rPr>
        <w:noProof/>
        <w:rtl/>
      </w:rPr>
      <w:t>57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E42" w:rsidRDefault="00895E42" w:rsidP="000A316A">
      <w:r>
        <w:separator/>
      </w:r>
    </w:p>
  </w:footnote>
  <w:footnote w:type="continuationSeparator" w:id="0">
    <w:p w:rsidR="00895E42" w:rsidRDefault="00895E42" w:rsidP="000A316A">
      <w:r>
        <w:continuationSeparator/>
      </w:r>
    </w:p>
    <w:p w:rsidR="00895E42" w:rsidRDefault="00895E42" w:rsidP="000A316A"/>
    <w:p w:rsidR="00895E42" w:rsidRDefault="00895E42" w:rsidP="000A316A"/>
    <w:p w:rsidR="00895E42" w:rsidRDefault="00895E42" w:rsidP="000A316A"/>
    <w:p w:rsidR="00895E42" w:rsidRDefault="00895E42" w:rsidP="000A316A"/>
    <w:p w:rsidR="00895E42" w:rsidRDefault="00895E42" w:rsidP="000A316A"/>
  </w:footnote>
  <w:footnote w:type="continuationNotice" w:id="1">
    <w:p w:rsidR="00895E42" w:rsidRPr="006570A8" w:rsidRDefault="00895E42" w:rsidP="000A316A">
      <w:pPr>
        <w:pStyle w:val="Footer"/>
      </w:pPr>
    </w:p>
  </w:footnote>
  <w:footnote w:id="2">
    <w:p w:rsidR="005A67D3" w:rsidRDefault="005A67D3" w:rsidP="00111C25">
      <w:pPr>
        <w:pStyle w:val="FootnoteText"/>
        <w:rPr>
          <w:rtl/>
        </w:rPr>
      </w:pPr>
      <w:r>
        <w:rPr>
          <w:rStyle w:val="FootnoteReference"/>
        </w:rPr>
        <w:footnoteRef/>
      </w:r>
      <w:r>
        <w:tab/>
      </w:r>
      <w:r>
        <w:rPr>
          <w:rtl/>
        </w:rPr>
        <w:t xml:space="preserve">"عشر حقائق عن النطاق العريض المتنقل"، داريل ويست. مركز الابتكار والتكنولوجيا في معهد بروكينغز. </w:t>
      </w:r>
      <w:r>
        <w:t>8</w:t>
      </w:r>
      <w:r>
        <w:rPr>
          <w:rtl/>
        </w:rPr>
        <w:t xml:space="preserve"> ديسمبر </w:t>
      </w:r>
      <w:r>
        <w:t>2011</w:t>
      </w:r>
      <w:r>
        <w:rPr>
          <w:rtl/>
        </w:rPr>
        <w:t>.</w:t>
      </w:r>
    </w:p>
  </w:footnote>
  <w:footnote w:id="3">
    <w:p w:rsidR="005A67D3" w:rsidRDefault="005A67D3" w:rsidP="00111C25">
      <w:pPr>
        <w:pStyle w:val="FootnoteText"/>
      </w:pPr>
      <w:r>
        <w:rPr>
          <w:rStyle w:val="FootnoteReference"/>
        </w:rPr>
        <w:footnoteRef/>
      </w:r>
      <w:r>
        <w:tab/>
      </w:r>
      <w:r>
        <w:rPr>
          <w:rtl/>
        </w:rPr>
        <w:t xml:space="preserve">التوصية </w:t>
      </w:r>
      <w:r>
        <w:t>ITU-R F.1399</w:t>
      </w:r>
      <w:r>
        <w:rPr>
          <w:rtl/>
        </w:rPr>
        <w:t xml:space="preserve">، "مفردات مصطلحات النفاذ اللاسلكي" </w:t>
      </w:r>
      <w:r>
        <w:t>(2001)</w:t>
      </w:r>
      <w:r>
        <w:rPr>
          <w:rtl/>
        </w:rPr>
        <w:t>.</w:t>
      </w:r>
    </w:p>
  </w:footnote>
  <w:footnote w:id="4">
    <w:p w:rsidR="005A67D3" w:rsidRDefault="005A67D3" w:rsidP="00111C25">
      <w:pPr>
        <w:pStyle w:val="FootnoteText"/>
      </w:pPr>
      <w:r>
        <w:rPr>
          <w:rStyle w:val="FootnoteReference"/>
        </w:rPr>
        <w:footnoteRef/>
      </w:r>
      <w:r>
        <w:tab/>
      </w:r>
      <w:r>
        <w:rPr>
          <w:rtl/>
        </w:rPr>
        <w:t xml:space="preserve">المجلد </w:t>
      </w:r>
      <w:r>
        <w:t>5</w:t>
      </w:r>
      <w:r>
        <w:rPr>
          <w:rtl/>
        </w:rPr>
        <w:t xml:space="preserve"> من كتيب الاتصالات المتنقلة البرية (أنظمة النفاذ اللاسلكي عريض النطاق) (الوثيقة </w:t>
      </w:r>
      <w:hyperlink r:id="rId1" w:history="1">
        <w:r>
          <w:rPr>
            <w:rStyle w:val="Hyperlink"/>
          </w:rPr>
          <w:t>25/2/4</w:t>
        </w:r>
      </w:hyperlink>
      <w:r>
        <w:rPr>
          <w:rtl/>
        </w:rPr>
        <w:t>).</w:t>
      </w:r>
    </w:p>
  </w:footnote>
  <w:footnote w:id="5">
    <w:p w:rsidR="005A67D3" w:rsidRDefault="005A67D3" w:rsidP="00111C25">
      <w:pPr>
        <w:pStyle w:val="FootnoteText"/>
        <w:rPr>
          <w:lang w:bidi="ar-EG"/>
        </w:rPr>
      </w:pPr>
      <w:r>
        <w:rPr>
          <w:rStyle w:val="FootnoteReference"/>
        </w:rPr>
        <w:footnoteRef/>
      </w:r>
      <w:r>
        <w:tab/>
      </w:r>
      <w:r>
        <w:rPr>
          <w:rtl/>
        </w:rPr>
        <w:t>(الوثيقة </w:t>
      </w:r>
      <w:hyperlink r:id="rId2" w:history="1">
        <w:r>
          <w:rPr>
            <w:rStyle w:val="Hyperlink"/>
          </w:rPr>
          <w:t>2/INF/36</w:t>
        </w:r>
      </w:hyperlink>
      <w:r>
        <w:rPr>
          <w:rtl/>
        </w:rPr>
        <w:t>)</w:t>
      </w:r>
      <w:r>
        <w:rPr>
          <w:rFonts w:hint="cs"/>
        </w:rPr>
        <w:t xml:space="preserve"> </w:t>
      </w:r>
      <w:r>
        <w:rPr>
          <w:rtl/>
        </w:rPr>
        <w:t>"إحصاءات وخطة عمل استراتيجية لتنمية الاتصالات/تكنولوجيا المعلومات والاتصالات في بنغلاديش: المناطق الريفية والنائية".</w:t>
      </w:r>
    </w:p>
  </w:footnote>
  <w:footnote w:id="6">
    <w:p w:rsidR="005A67D3" w:rsidRDefault="005A67D3" w:rsidP="00111C25">
      <w:pPr>
        <w:pStyle w:val="FootnoteText"/>
        <w:rPr>
          <w:rtl/>
        </w:rPr>
      </w:pPr>
      <w:r>
        <w:rPr>
          <w:rStyle w:val="FootnoteReference"/>
        </w:rPr>
        <w:footnoteRef/>
      </w:r>
      <w:r>
        <w:tab/>
      </w:r>
      <w:r>
        <w:rPr>
          <w:rtl/>
        </w:rPr>
        <w:t xml:space="preserve">"عشر حقائق عن النطاق العريض المتنقل"، داريل ويست، مركز الابتكار والتكنولوجيا في معهد بروكينغز، </w:t>
      </w:r>
      <w:r>
        <w:t>8</w:t>
      </w:r>
      <w:r>
        <w:rPr>
          <w:rtl/>
        </w:rPr>
        <w:t xml:space="preserve"> ديسمبر </w:t>
      </w:r>
      <w:r>
        <w:t>2011</w:t>
      </w:r>
      <w:r>
        <w:rPr>
          <w:rtl/>
        </w:rPr>
        <w:t>.</w:t>
      </w:r>
    </w:p>
  </w:footnote>
  <w:footnote w:id="7">
    <w:p w:rsidR="005A67D3" w:rsidRDefault="005A67D3" w:rsidP="00111C25">
      <w:pPr>
        <w:pStyle w:val="FootnoteText"/>
      </w:pPr>
      <w:r>
        <w:rPr>
          <w:rStyle w:val="FootnoteReference"/>
        </w:rPr>
        <w:footnoteRef/>
      </w:r>
      <w:r>
        <w:tab/>
      </w:r>
      <w:r>
        <w:rPr>
          <w:spacing w:val="-2"/>
          <w:rtl/>
        </w:rPr>
        <w:t xml:space="preserve">المصدر: التقرير العالمي لتنمية الاتصالات لعام </w:t>
      </w:r>
      <w:r>
        <w:rPr>
          <w:spacing w:val="-2"/>
        </w:rPr>
        <w:t>2010</w:t>
      </w:r>
      <w:r>
        <w:rPr>
          <w:spacing w:val="-2"/>
          <w:rtl/>
        </w:rPr>
        <w:t xml:space="preserve">، متاح على الرابط </w:t>
      </w:r>
      <w:hyperlink r:id="rId3" w:history="1">
        <w:r>
          <w:rPr>
            <w:rStyle w:val="Hyperlink"/>
            <w:spacing w:val="-2"/>
            <w:rtl/>
          </w:rPr>
          <w:t>.</w:t>
        </w:r>
        <w:r>
          <w:rPr>
            <w:rStyle w:val="Hyperlink"/>
            <w:spacing w:val="-2"/>
          </w:rPr>
          <w:t>http://www.itu.int/ITU-D/ict/publications/wtdr_10</w:t>
        </w:r>
      </w:hyperlink>
      <w:r>
        <w:rPr>
          <w:spacing w:val="-2"/>
          <w:rtl/>
        </w:rPr>
        <w:t>.</w:t>
      </w:r>
    </w:p>
  </w:footnote>
  <w:footnote w:id="8">
    <w:p w:rsidR="005A67D3" w:rsidRDefault="005A67D3" w:rsidP="00111C25">
      <w:pPr>
        <w:pStyle w:val="FootnoteText"/>
        <w:rPr>
          <w:lang w:bidi="ar-EG"/>
        </w:rPr>
      </w:pPr>
      <w:r>
        <w:rPr>
          <w:rStyle w:val="FootnoteReference"/>
        </w:rPr>
        <w:footnoteRef/>
      </w:r>
      <w:r>
        <w:tab/>
      </w:r>
      <w:r>
        <w:rPr>
          <w:spacing w:val="4"/>
          <w:rtl/>
        </w:rPr>
        <w:t xml:space="preserve">لجنة النطاق العريض، "مهمة قيادية ملحة لعام </w:t>
      </w:r>
      <w:r>
        <w:rPr>
          <w:spacing w:val="4"/>
        </w:rPr>
        <w:t>2010</w:t>
      </w:r>
      <w:r>
        <w:rPr>
          <w:spacing w:val="4"/>
          <w:rtl/>
        </w:rPr>
        <w:t xml:space="preserve">: المستقبَل المرتكز إلى النطاق العريض"، </w:t>
      </w:r>
      <w:r>
        <w:rPr>
          <w:spacing w:val="4"/>
        </w:rPr>
        <w:t>2010</w:t>
      </w:r>
      <w:r>
        <w:rPr>
          <w:spacing w:val="4"/>
          <w:rtl/>
        </w:rPr>
        <w:t xml:space="preserve">، الصفحة </w:t>
      </w:r>
      <w:r>
        <w:rPr>
          <w:spacing w:val="4"/>
        </w:rPr>
        <w:t>41</w:t>
      </w:r>
      <w:r>
        <w:rPr>
          <w:spacing w:val="4"/>
          <w:rtl/>
        </w:rPr>
        <w:t>، متاح</w:t>
      </w:r>
      <w:r>
        <w:rPr>
          <w:rtl/>
        </w:rPr>
        <w:t xml:space="preserve"> على: </w:t>
      </w:r>
      <w:hyperlink r:id="rId4" w:history="1">
        <w:r>
          <w:rPr>
            <w:rStyle w:val="Hyperlink"/>
          </w:rPr>
          <w:t>http://www.broadbandcommission.org/Reports/Report_1.pdf</w:t>
        </w:r>
      </w:hyperlink>
      <w:r>
        <w:rPr>
          <w:rtl/>
          <w:lang w:bidi="ar-EG"/>
        </w:rPr>
        <w:t>. </w:t>
      </w:r>
    </w:p>
  </w:footnote>
  <w:footnote w:id="9">
    <w:p w:rsidR="005A67D3" w:rsidRDefault="005A67D3" w:rsidP="00111C25">
      <w:pPr>
        <w:pStyle w:val="FootnoteText"/>
        <w:rPr>
          <w:rtl/>
        </w:rPr>
      </w:pPr>
      <w:r>
        <w:rPr>
          <w:rStyle w:val="FootnoteReference"/>
        </w:rPr>
        <w:footnoteRef/>
      </w:r>
      <w:r>
        <w:tab/>
      </w:r>
      <w:hyperlink r:id="rId5" w:history="1">
        <w:r>
          <w:rPr>
            <w:rStyle w:val="Hyperlink"/>
          </w:rPr>
          <w:t>http://s3.amazonaws.com/zanran_storage/www.nextupresearch.com/ContentPages/2493178098.pdf</w:t>
        </w:r>
      </w:hyperlink>
      <w:r>
        <w:rPr>
          <w:rtl/>
        </w:rPr>
        <w:t>. </w:t>
      </w:r>
    </w:p>
  </w:footnote>
  <w:footnote w:id="10">
    <w:p w:rsidR="005A67D3" w:rsidRDefault="005A67D3" w:rsidP="00111C25">
      <w:pPr>
        <w:pStyle w:val="FootnoteText"/>
        <w:rPr>
          <w:lang w:bidi="ar-EG"/>
        </w:rPr>
      </w:pPr>
      <w:r>
        <w:rPr>
          <w:rStyle w:val="FootnoteReference"/>
        </w:rPr>
        <w:footnoteRef/>
      </w:r>
      <w:r>
        <w:tab/>
      </w:r>
      <w:r>
        <w:rPr>
          <w:rtl/>
        </w:rPr>
        <w:t xml:space="preserve">لجنة النطاق العريض، "مهمة قيادية ملحة لعام </w:t>
      </w:r>
      <w:r>
        <w:t>2010</w:t>
      </w:r>
      <w:r>
        <w:rPr>
          <w:rtl/>
        </w:rPr>
        <w:t xml:space="preserve">: المستقبَل المرتكز إلى النطاق العريض"، </w:t>
      </w:r>
      <w:r>
        <w:t>2010</w:t>
      </w:r>
      <w:r>
        <w:rPr>
          <w:rtl/>
        </w:rPr>
        <w:t xml:space="preserve">، الصفحتان </w:t>
      </w:r>
      <w:r>
        <w:t>42</w:t>
      </w:r>
      <w:r>
        <w:noBreakHyphen/>
        <w:t>41</w:t>
      </w:r>
      <w:r>
        <w:rPr>
          <w:rtl/>
        </w:rPr>
        <w:t xml:space="preserve">، متاح على: </w:t>
      </w:r>
      <w:hyperlink r:id="rId6" w:history="1">
        <w:r>
          <w:rPr>
            <w:rStyle w:val="Hyperlink"/>
          </w:rPr>
          <w:t>http://www.broadbandcommission.org/Reports/Report_1.pdf</w:t>
        </w:r>
      </w:hyperlink>
      <w:r>
        <w:rPr>
          <w:rtl/>
        </w:rPr>
        <w:t>. </w:t>
      </w:r>
    </w:p>
  </w:footnote>
  <w:footnote w:id="11">
    <w:p w:rsidR="005A67D3" w:rsidRDefault="005A67D3" w:rsidP="00111C25">
      <w:pPr>
        <w:pStyle w:val="FootnoteText"/>
      </w:pPr>
      <w:r>
        <w:rPr>
          <w:rStyle w:val="FootnoteReference"/>
        </w:rPr>
        <w:footnoteRef/>
      </w:r>
      <w:r>
        <w:tab/>
      </w:r>
      <w:r>
        <w:rPr>
          <w:rtl/>
        </w:rPr>
        <w:t xml:space="preserve">لجنة النطاق العريض، "مهمة قيادية ملحة لعام </w:t>
      </w:r>
      <w:r>
        <w:t>2010</w:t>
      </w:r>
      <w:r>
        <w:rPr>
          <w:rtl/>
        </w:rPr>
        <w:t xml:space="preserve">: المستقبَل المرتكز إلى النطاق العريض"، </w:t>
      </w:r>
      <w:r>
        <w:t>2010</w:t>
      </w:r>
      <w:r>
        <w:rPr>
          <w:rtl/>
        </w:rPr>
        <w:t xml:space="preserve">، الصفحتان </w:t>
      </w:r>
      <w:r>
        <w:t>44</w:t>
      </w:r>
      <w:r>
        <w:noBreakHyphen/>
        <w:t>43</w:t>
      </w:r>
      <w:r>
        <w:rPr>
          <w:rtl/>
        </w:rPr>
        <w:t xml:space="preserve">، متاح على: </w:t>
      </w:r>
      <w:hyperlink r:id="rId7" w:history="1">
        <w:r>
          <w:rPr>
            <w:rStyle w:val="Hyperlink"/>
          </w:rPr>
          <w:t>http://www.broadbandcommission.org/Reports/Report_1.pdf</w:t>
        </w:r>
      </w:hyperlink>
      <w:r>
        <w:rPr>
          <w:rtl/>
        </w:rPr>
        <w:t>. </w:t>
      </w:r>
    </w:p>
  </w:footnote>
  <w:footnote w:id="12">
    <w:p w:rsidR="005A67D3" w:rsidRDefault="005A67D3" w:rsidP="00111C25">
      <w:pPr>
        <w:pStyle w:val="FootnoteText"/>
        <w:rPr>
          <w:lang w:bidi="ar-EG"/>
        </w:rPr>
      </w:pPr>
      <w:r>
        <w:rPr>
          <w:rStyle w:val="FootnoteReference"/>
        </w:rPr>
        <w:footnoteRef/>
      </w:r>
      <w:r>
        <w:tab/>
      </w:r>
      <w:r>
        <w:rPr>
          <w:rtl/>
        </w:rPr>
        <w:t xml:space="preserve">لجنة النطاق العريض، "مهمة قيادية ملحة لعام </w:t>
      </w:r>
      <w:r>
        <w:t>2010</w:t>
      </w:r>
      <w:r>
        <w:rPr>
          <w:rtl/>
        </w:rPr>
        <w:t xml:space="preserve">: المستقبَل المرتكز إلى النطاق العريض"، </w:t>
      </w:r>
      <w:r>
        <w:t>2010</w:t>
      </w:r>
      <w:r>
        <w:rPr>
          <w:rtl/>
        </w:rPr>
        <w:t xml:space="preserve">، الصفحة </w:t>
      </w:r>
      <w:r>
        <w:t>44</w:t>
      </w:r>
      <w:r>
        <w:rPr>
          <w:rtl/>
        </w:rPr>
        <w:t xml:space="preserve">، متاح على: </w:t>
      </w:r>
      <w:hyperlink r:id="rId8" w:history="1">
        <w:r>
          <w:rPr>
            <w:rStyle w:val="Hyperlink"/>
          </w:rPr>
          <w:t>http://www.broadbandcommission.org/Reports/Report_1.pdf</w:t>
        </w:r>
      </w:hyperlink>
      <w:r>
        <w:rPr>
          <w:rtl/>
        </w:rPr>
        <w:t>. </w:t>
      </w:r>
    </w:p>
  </w:footnote>
  <w:footnote w:id="13">
    <w:p w:rsidR="005A67D3" w:rsidRDefault="005A67D3" w:rsidP="00111C25">
      <w:pPr>
        <w:pStyle w:val="FootnoteText"/>
        <w:rPr>
          <w:rtl/>
          <w:lang w:bidi="ar-EG"/>
        </w:rPr>
      </w:pPr>
      <w:r>
        <w:rPr>
          <w:rStyle w:val="FootnoteReference"/>
        </w:rPr>
        <w:footnoteRef/>
      </w:r>
      <w:r>
        <w:tab/>
        <w:t>LMH-BWA</w:t>
      </w:r>
      <w:r>
        <w:rPr>
          <w:rtl/>
          <w:lang w:bidi="ar-EG"/>
        </w:rPr>
        <w:t> </w:t>
      </w:r>
    </w:p>
  </w:footnote>
  <w:footnote w:id="14">
    <w:p w:rsidR="005A67D3" w:rsidRDefault="005A67D3" w:rsidP="009C04F6">
      <w:pPr>
        <w:pStyle w:val="FootnoteText"/>
        <w:rPr>
          <w:rtl/>
          <w:lang w:val="en-GB" w:bidi="ar-EG"/>
        </w:rPr>
      </w:pPr>
      <w:r>
        <w:rPr>
          <w:rStyle w:val="FootnoteReference"/>
        </w:rPr>
        <w:footnoteRef/>
      </w:r>
      <w:r>
        <w:tab/>
      </w:r>
      <w:r>
        <w:rPr>
          <w:spacing w:val="6"/>
          <w:rtl/>
        </w:rPr>
        <w:t xml:space="preserve">بنغلاديش </w:t>
      </w:r>
      <w:r>
        <w:rPr>
          <w:rFonts w:hint="cs"/>
          <w:spacing w:val="6"/>
          <w:rtl/>
        </w:rPr>
        <w:t>-</w:t>
      </w:r>
      <w:r>
        <w:rPr>
          <w:spacing w:val="6"/>
          <w:rtl/>
        </w:rPr>
        <w:t xml:space="preserve"> (الوثيقة </w:t>
      </w:r>
      <w:hyperlink r:id="rId9" w:history="1">
        <w:r>
          <w:rPr>
            <w:rStyle w:val="Hyperlink"/>
            <w:spacing w:val="6"/>
          </w:rPr>
          <w:t>2/INF/36</w:t>
        </w:r>
      </w:hyperlink>
      <w:r>
        <w:rPr>
          <w:spacing w:val="6"/>
          <w:rtl/>
        </w:rPr>
        <w:t>) "إحصاءات وخطة عمل استراتيجية لتنمية الاتصالات/تكنولوجيا المعلومات والاتصالات</w:t>
      </w:r>
      <w:r>
        <w:rPr>
          <w:rtl/>
        </w:rPr>
        <w:t xml:space="preserve"> في بنغلاديش: المناطق الريفية والنائية".</w:t>
      </w:r>
    </w:p>
  </w:footnote>
  <w:footnote w:id="15">
    <w:p w:rsidR="005A67D3" w:rsidRDefault="005A67D3" w:rsidP="00111C25">
      <w:pPr>
        <w:pStyle w:val="FootnoteText"/>
        <w:rPr>
          <w:rtl/>
        </w:rPr>
      </w:pPr>
      <w:r>
        <w:rPr>
          <w:rStyle w:val="FootnoteReference"/>
        </w:rPr>
        <w:footnoteRef/>
      </w:r>
      <w:r>
        <w:tab/>
      </w:r>
      <w:r>
        <w:rPr>
          <w:rtl/>
        </w:rPr>
        <w:t xml:space="preserve">بوز وشركاه "الطرق الرقمية السريعة: دور الحكومات في البنية التحتية للقرن الحادي والعشرين"، </w:t>
      </w:r>
      <w:r>
        <w:t>2009</w:t>
      </w:r>
      <w:r>
        <w:rPr>
          <w:rtl/>
        </w:rPr>
        <w:t>.</w:t>
      </w:r>
    </w:p>
  </w:footnote>
  <w:footnote w:id="16">
    <w:p w:rsidR="005A67D3" w:rsidRDefault="005A67D3" w:rsidP="00111C25">
      <w:pPr>
        <w:pStyle w:val="FootnoteText"/>
      </w:pPr>
      <w:r>
        <w:rPr>
          <w:rStyle w:val="FootnoteReference"/>
        </w:rPr>
        <w:footnoteRef/>
      </w:r>
      <w:r>
        <w:tab/>
      </w:r>
      <w:r>
        <w:rPr>
          <w:rtl/>
        </w:rPr>
        <w:t xml:space="preserve">الاتحاد الدولي للاتصالات، "مواجهة الأزمة: خطط تحفيز النمو الاقتصادي بواسطة تكنولوجيات المعلومات والاتصالات"، </w:t>
      </w:r>
      <w:r>
        <w:t>2009</w:t>
      </w:r>
      <w:r>
        <w:rPr>
          <w:rtl/>
        </w:rPr>
        <w:t xml:space="preserve">، متوفر على الرابط: </w:t>
      </w:r>
      <w:hyperlink r:id="rId10" w:history="1">
        <w:r>
          <w:rPr>
            <w:rStyle w:val="Hyperlink"/>
          </w:rPr>
          <w:t>http://www.itu.int/osg/csd/emerging_trends/crisis/fc01.html</w:t>
        </w:r>
      </w:hyperlink>
      <w:r>
        <w:rPr>
          <w:rtl/>
        </w:rPr>
        <w:t>.</w:t>
      </w:r>
    </w:p>
  </w:footnote>
  <w:footnote w:id="17">
    <w:p w:rsidR="005A67D3" w:rsidRDefault="005A67D3" w:rsidP="00451A0A">
      <w:pPr>
        <w:pStyle w:val="FootnoteText"/>
        <w:jc w:val="left"/>
        <w:rPr>
          <w:lang w:bidi="ar-EG"/>
        </w:rPr>
      </w:pPr>
      <w:r>
        <w:rPr>
          <w:rStyle w:val="FootnoteReference"/>
        </w:rPr>
        <w:footnoteRef/>
      </w:r>
      <w:r>
        <w:rPr>
          <w:rtl/>
        </w:rPr>
        <w:tab/>
        <w:t xml:space="preserve">لجنة النطاق العريض، "النطاق العريض: منطلق لتحقيق التقدم"، </w:t>
      </w:r>
      <w:r>
        <w:t>2010</w:t>
      </w:r>
      <w:r>
        <w:rPr>
          <w:rtl/>
        </w:rPr>
        <w:t>، متاح على:</w:t>
      </w:r>
      <w:r>
        <w:rPr>
          <w:rFonts w:hint="cs"/>
        </w:rPr>
        <w:t xml:space="preserve"> </w:t>
      </w:r>
      <w:hyperlink r:id="rId11" w:history="1">
        <w:r>
          <w:rPr>
            <w:rStyle w:val="Hyperlink"/>
            <w:bCs/>
          </w:rPr>
          <w:t>http://www.broadbandcommission.org/Reports/Report_2.pdf</w:t>
        </w:r>
      </w:hyperlink>
      <w:r>
        <w:rPr>
          <w:rtl/>
        </w:rPr>
        <w:t>.</w:t>
      </w:r>
    </w:p>
  </w:footnote>
  <w:footnote w:id="18">
    <w:p w:rsidR="005A67D3" w:rsidRDefault="005A67D3" w:rsidP="00111C25">
      <w:pPr>
        <w:pStyle w:val="FootnoteText"/>
        <w:rPr>
          <w:rtl/>
          <w:lang w:bidi="ar-EG"/>
        </w:rPr>
      </w:pPr>
      <w:r>
        <w:rPr>
          <w:rStyle w:val="FootnoteReference"/>
        </w:rPr>
        <w:footnoteRef/>
      </w:r>
      <w:r>
        <w:rPr>
          <w:rtl/>
        </w:rPr>
        <w:tab/>
      </w:r>
      <w:r>
        <w:rPr>
          <w:spacing w:val="6"/>
          <w:rtl/>
        </w:rPr>
        <w:t>بنك التنمية للبلدان الأمريكية، "الآثار الاجتماعية الاقتصادية للنطاق العريض في بلدان أمريكا اللاتينية والبحر الكاريبي"،</w:t>
      </w:r>
      <w:r>
        <w:rPr>
          <w:rtl/>
        </w:rPr>
        <w:t xml:space="preserve"> نوفمبر </w:t>
      </w:r>
      <w:r>
        <w:rPr>
          <w:lang w:bidi="ar-EG"/>
        </w:rPr>
        <w:t>2012</w:t>
      </w:r>
      <w:r>
        <w:rPr>
          <w:rtl/>
          <w:lang w:bidi="ar-EG"/>
        </w:rPr>
        <w:t>، صفحة </w:t>
      </w:r>
      <w:r>
        <w:rPr>
          <w:lang w:bidi="ar-EG"/>
        </w:rPr>
        <w:t>9</w:t>
      </w:r>
      <w:r>
        <w:rPr>
          <w:rtl/>
          <w:lang w:bidi="ar-EG"/>
        </w:rPr>
        <w:t xml:space="preserve">، متاح على: </w:t>
      </w:r>
      <w:hyperlink r:id="rId12" w:history="1">
        <w:r>
          <w:rPr>
            <w:rStyle w:val="Hyperlink"/>
          </w:rPr>
          <w:t>http://www.iadb.org/intal/intalcdi/PE/2013/11427.pdf</w:t>
        </w:r>
      </w:hyperlink>
      <w:r>
        <w:rPr>
          <w:rtl/>
        </w:rPr>
        <w:t>.</w:t>
      </w:r>
    </w:p>
  </w:footnote>
  <w:footnote w:id="19">
    <w:p w:rsidR="005A67D3" w:rsidRDefault="005A67D3" w:rsidP="00111C25">
      <w:pPr>
        <w:pStyle w:val="FootnoteText"/>
        <w:rPr>
          <w:rtl/>
          <w:lang w:val="en-GB"/>
        </w:rPr>
      </w:pPr>
      <w:r>
        <w:rPr>
          <w:rStyle w:val="FootnoteReference"/>
        </w:rPr>
        <w:footnoteRef/>
      </w:r>
      <w:r>
        <w:rPr>
          <w:rtl/>
        </w:rPr>
        <w:t xml:space="preserve"> </w:t>
      </w:r>
      <w:r>
        <w:rPr>
          <w:rtl/>
        </w:rPr>
        <w:tab/>
        <w:t>نفس الحاشية السابقة.</w:t>
      </w:r>
    </w:p>
  </w:footnote>
  <w:footnote w:id="20">
    <w:p w:rsidR="005A67D3" w:rsidRDefault="005A67D3" w:rsidP="00111C25">
      <w:pPr>
        <w:pStyle w:val="FootnoteText"/>
      </w:pPr>
      <w:r>
        <w:rPr>
          <w:rStyle w:val="FootnoteReference"/>
        </w:rPr>
        <w:footnoteRef/>
      </w:r>
      <w:r>
        <w:rPr>
          <w:rtl/>
        </w:rPr>
        <w:t xml:space="preserve"> </w:t>
      </w:r>
      <w:r>
        <w:rPr>
          <w:rtl/>
        </w:rPr>
        <w:tab/>
        <w:t xml:space="preserve">نفس الحاشية رقم </w:t>
      </w:r>
      <w:r>
        <w:t>10</w:t>
      </w:r>
      <w:r>
        <w:rPr>
          <w:rtl/>
        </w:rPr>
        <w:t>.</w:t>
      </w:r>
    </w:p>
  </w:footnote>
  <w:footnote w:id="21">
    <w:p w:rsidR="005A67D3" w:rsidRDefault="005A67D3" w:rsidP="00111C25">
      <w:pPr>
        <w:pStyle w:val="FootnoteText"/>
        <w:rPr>
          <w:rtl/>
          <w:lang w:bidi="ar-EG"/>
        </w:rPr>
      </w:pPr>
      <w:r>
        <w:rPr>
          <w:rStyle w:val="FootnoteReference"/>
        </w:rPr>
        <w:footnoteRef/>
      </w:r>
      <w:r>
        <w:rPr>
          <w:rtl/>
        </w:rPr>
        <w:t xml:space="preserve"> </w:t>
      </w:r>
      <w:r>
        <w:rPr>
          <w:rtl/>
          <w:lang w:bidi="ar-EG"/>
        </w:rPr>
        <w:tab/>
      </w:r>
      <w:r>
        <w:rPr>
          <w:spacing w:val="6"/>
          <w:rtl/>
          <w:lang w:bidi="ar-EG"/>
        </w:rPr>
        <w:t xml:space="preserve">الرابطة </w:t>
      </w:r>
      <w:r>
        <w:rPr>
          <w:spacing w:val="6"/>
          <w:lang w:bidi="ar-EG"/>
        </w:rPr>
        <w:t>GSM</w:t>
      </w:r>
      <w:r>
        <w:rPr>
          <w:spacing w:val="6"/>
          <w:rtl/>
          <w:lang w:bidi="ar-EG"/>
        </w:rPr>
        <w:t xml:space="preserve">، "ما أثر المهاتفة المتنقلة على النمو الاقتصادي؟"، نوفمبر، </w:t>
      </w:r>
      <w:r>
        <w:rPr>
          <w:spacing w:val="6"/>
          <w:lang w:bidi="ar-EG"/>
        </w:rPr>
        <w:t>2012</w:t>
      </w:r>
      <w:r>
        <w:rPr>
          <w:spacing w:val="6"/>
          <w:rtl/>
          <w:lang w:bidi="ar-EG"/>
        </w:rPr>
        <w:t xml:space="preserve">، صفحة </w:t>
      </w:r>
      <w:r>
        <w:rPr>
          <w:spacing w:val="6"/>
          <w:lang w:bidi="ar-EG"/>
        </w:rPr>
        <w:t>5</w:t>
      </w:r>
      <w:r>
        <w:rPr>
          <w:spacing w:val="6"/>
          <w:rtl/>
          <w:lang w:bidi="ar-EG"/>
        </w:rPr>
        <w:t xml:space="preserve">، متاح على: </w:t>
      </w:r>
      <w:hyperlink r:id="rId13" w:history="1">
        <w:r>
          <w:rPr>
            <w:rStyle w:val="Hyperlink"/>
          </w:rPr>
          <w:t>http://www.gsma.com/publicpolicy/wp-content/uploads/2012/11/gsma-deloitte-impact-mobile-telephony-economic-growth.pdf</w:t>
        </w:r>
      </w:hyperlink>
      <w:r>
        <w:rPr>
          <w:rtl/>
        </w:rPr>
        <w:t>.</w:t>
      </w:r>
      <w:r>
        <w:rPr>
          <w:rtl/>
          <w:lang w:bidi="ar-EG"/>
        </w:rPr>
        <w:t> </w:t>
      </w:r>
    </w:p>
  </w:footnote>
  <w:footnote w:id="22">
    <w:p w:rsidR="005A67D3" w:rsidRDefault="005A67D3" w:rsidP="00111C25">
      <w:pPr>
        <w:pStyle w:val="FootnoteText"/>
        <w:rPr>
          <w:rtl/>
        </w:rPr>
      </w:pPr>
      <w:r>
        <w:rPr>
          <w:rStyle w:val="FootnoteReference"/>
        </w:rPr>
        <w:footnoteRef/>
      </w:r>
      <w:r>
        <w:rPr>
          <w:rtl/>
        </w:rPr>
        <w:t xml:space="preserve"> </w:t>
      </w:r>
      <w:r>
        <w:rPr>
          <w:rtl/>
        </w:rPr>
        <w:tab/>
        <w:t xml:space="preserve">نفس الحاشية صفحة </w:t>
      </w:r>
      <w:r>
        <w:t>6</w:t>
      </w:r>
      <w:r>
        <w:rPr>
          <w:rtl/>
        </w:rPr>
        <w:t>.</w:t>
      </w:r>
    </w:p>
  </w:footnote>
  <w:footnote w:id="23">
    <w:p w:rsidR="005A67D3" w:rsidRDefault="005A67D3" w:rsidP="00111C25">
      <w:pPr>
        <w:pStyle w:val="FootnoteText"/>
        <w:rPr>
          <w:rtl/>
          <w:lang w:val="en-GB"/>
        </w:rPr>
      </w:pPr>
      <w:r>
        <w:rPr>
          <w:rStyle w:val="FootnoteReference"/>
        </w:rPr>
        <w:footnoteRef/>
      </w:r>
      <w:r>
        <w:rPr>
          <w:rtl/>
        </w:rPr>
        <w:t xml:space="preserve"> </w:t>
      </w:r>
      <w:r>
        <w:rPr>
          <w:rtl/>
        </w:rPr>
        <w:tab/>
        <w:t xml:space="preserve">أخذت البيانات المستعملة في هذه الدراسة في اعتبارها </w:t>
      </w:r>
      <w:r>
        <w:t>14</w:t>
      </w:r>
      <w:r>
        <w:rPr>
          <w:rtl/>
        </w:rPr>
        <w:t xml:space="preserve"> بلداً: البرازيل وكندا والصين وفرنسا وألمانيا والهند وإيطاليا واليابان وكوريا والمكسيك وروسيا وجنوب إفريقيا والمملكة المتحدة والولايات المتحدة. انظر تقرير الرابطة </w:t>
      </w:r>
      <w:r>
        <w:t>GSM</w:t>
      </w:r>
      <w:r>
        <w:rPr>
          <w:rtl/>
        </w:rPr>
        <w:t xml:space="preserve">، صفحتا </w:t>
      </w:r>
      <w:r>
        <w:t>7</w:t>
      </w:r>
      <w:r>
        <w:rPr>
          <w:rtl/>
        </w:rPr>
        <w:t xml:space="preserve"> و</w:t>
      </w:r>
      <w:r>
        <w:t>8</w:t>
      </w:r>
      <w:r>
        <w:rPr>
          <w:rtl/>
        </w:rPr>
        <w:t xml:space="preserve">. </w:t>
      </w:r>
    </w:p>
  </w:footnote>
  <w:footnote w:id="24">
    <w:p w:rsidR="005A67D3" w:rsidRDefault="005A67D3" w:rsidP="00111C25">
      <w:pPr>
        <w:pStyle w:val="FootnoteText"/>
      </w:pPr>
      <w:r>
        <w:rPr>
          <w:rStyle w:val="FootnoteReference"/>
        </w:rPr>
        <w:footnoteRef/>
      </w:r>
      <w:r>
        <w:tab/>
      </w:r>
      <w:r>
        <w:rPr>
          <w:rtl/>
        </w:rPr>
        <w:t xml:space="preserve">هيئة الاتصالات والوسائط المتعددة الماليزية "مبادرة النطاق العريض الوطنية" </w:t>
      </w:r>
      <w:r>
        <w:t>(2010)</w:t>
      </w:r>
      <w:r>
        <w:rPr>
          <w:rtl/>
        </w:rPr>
        <w:t>.</w:t>
      </w:r>
    </w:p>
  </w:footnote>
  <w:footnote w:id="25">
    <w:p w:rsidR="005A67D3" w:rsidRDefault="005A67D3" w:rsidP="00111C25">
      <w:pPr>
        <w:pStyle w:val="FootnoteText"/>
      </w:pPr>
      <w:r>
        <w:rPr>
          <w:rStyle w:val="FootnoteReference"/>
        </w:rPr>
        <w:footnoteRef/>
      </w:r>
      <w:r>
        <w:rPr>
          <w:rtl/>
        </w:rPr>
        <w:tab/>
        <w:t xml:space="preserve">"النطاق العريض: منطلق لتحقيق التقدم"، موجز لجنة النطاق العريض عام </w:t>
      </w:r>
      <w:r>
        <w:t>2010</w:t>
      </w:r>
      <w:r>
        <w:rPr>
          <w:rtl/>
        </w:rPr>
        <w:t>. شكل يجمع بين تقرير لجنة النطاق العريض وكتيب النفاذ اللاسلكي عريض النطاق.</w:t>
      </w:r>
    </w:p>
  </w:footnote>
  <w:footnote w:id="26">
    <w:p w:rsidR="005A67D3" w:rsidRDefault="005A67D3" w:rsidP="00111C25">
      <w:pPr>
        <w:pStyle w:val="FootnoteText"/>
        <w:rPr>
          <w:lang w:bidi="ar-EG"/>
        </w:rPr>
      </w:pPr>
      <w:r>
        <w:rPr>
          <w:rStyle w:val="FootnoteReference"/>
        </w:rPr>
        <w:footnoteRef/>
      </w:r>
      <w:r>
        <w:rPr>
          <w:rtl/>
        </w:rPr>
        <w:tab/>
      </w:r>
      <w:r>
        <w:t>LMH-BWA</w:t>
      </w:r>
      <w:r>
        <w:rPr>
          <w:rtl/>
          <w:lang w:bidi="ar-EG"/>
        </w:rPr>
        <w:t> </w:t>
      </w:r>
    </w:p>
  </w:footnote>
  <w:footnote w:id="27">
    <w:p w:rsidR="005A67D3" w:rsidRDefault="005A67D3" w:rsidP="00111C25">
      <w:pPr>
        <w:pStyle w:val="FootnoteText"/>
        <w:rPr>
          <w:rtl/>
          <w:lang w:val="en-GB" w:bidi="ar-EG"/>
        </w:rPr>
      </w:pPr>
      <w:r>
        <w:rPr>
          <w:rStyle w:val="FootnoteReference"/>
        </w:rPr>
        <w:footnoteRef/>
      </w:r>
      <w:r>
        <w:rPr>
          <w:rtl/>
        </w:rPr>
        <w:tab/>
      </w:r>
      <w:r>
        <w:rPr>
          <w:rtl/>
          <w:lang w:bidi="ar-EG"/>
        </w:rPr>
        <w:t xml:space="preserve">بنغلاديش – (الوثيقة </w:t>
      </w:r>
      <w:hyperlink r:id="rId14" w:history="1">
        <w:r>
          <w:rPr>
            <w:rStyle w:val="Hyperlink"/>
          </w:rPr>
          <w:t>2/INF/36</w:t>
        </w:r>
      </w:hyperlink>
      <w:r>
        <w:rPr>
          <w:rtl/>
          <w:lang w:bidi="ar-EG"/>
        </w:rPr>
        <w:t>) "إحصاءات وخطة عمل استراتيجية لتنمية الاتصالات/تكنولوجيا المعلومات والاتصالات في بنغلاديش: المناطق الريفية والنائية".</w:t>
      </w:r>
    </w:p>
  </w:footnote>
  <w:footnote w:id="28">
    <w:p w:rsidR="005A67D3" w:rsidRDefault="005A67D3" w:rsidP="00111C25">
      <w:pPr>
        <w:pStyle w:val="FootnoteText"/>
        <w:rPr>
          <w:rtl/>
        </w:rPr>
      </w:pPr>
      <w:r>
        <w:rPr>
          <w:rStyle w:val="FootnoteReference"/>
        </w:rPr>
        <w:footnoteRef/>
      </w:r>
      <w:r>
        <w:rPr>
          <w:rtl/>
        </w:rPr>
        <w:tab/>
      </w:r>
      <w:r>
        <w:t>LMH-BWA</w:t>
      </w:r>
      <w:r>
        <w:rPr>
          <w:rtl/>
        </w:rPr>
        <w:t> </w:t>
      </w:r>
    </w:p>
  </w:footnote>
  <w:footnote w:id="29">
    <w:p w:rsidR="005A67D3" w:rsidRDefault="005A67D3" w:rsidP="00111C25">
      <w:pPr>
        <w:pStyle w:val="FootnoteText"/>
        <w:rPr>
          <w:lang w:bidi="ar-EG"/>
        </w:rPr>
      </w:pPr>
      <w:r>
        <w:rPr>
          <w:rStyle w:val="FootnoteReference"/>
        </w:rPr>
        <w:footnoteRef/>
      </w:r>
      <w:r>
        <w:rPr>
          <w:rtl/>
        </w:rPr>
        <w:tab/>
      </w:r>
      <w:r>
        <w:t>LMH-BWA</w:t>
      </w:r>
      <w:r>
        <w:rPr>
          <w:rtl/>
          <w:lang w:bidi="ar-EG"/>
        </w:rPr>
        <w:t> </w:t>
      </w:r>
    </w:p>
  </w:footnote>
  <w:footnote w:id="30">
    <w:p w:rsidR="005A67D3" w:rsidRDefault="005A67D3" w:rsidP="00111C25">
      <w:pPr>
        <w:pStyle w:val="FootnoteText"/>
        <w:rPr>
          <w:rtl/>
          <w:lang w:val="en-GB"/>
        </w:rPr>
      </w:pPr>
      <w:r>
        <w:rPr>
          <w:rStyle w:val="FootnoteReference"/>
        </w:rPr>
        <w:footnoteRef/>
      </w:r>
      <w:r>
        <w:tab/>
        <w:t>IDC</w:t>
      </w:r>
      <w:r>
        <w:rPr>
          <w:rtl/>
        </w:rPr>
        <w:t xml:space="preserve"> "يُتوقع أن يتجاوز عدد الأجهزة المتنقلة النافذة إلى الإنترنت مليار جهاز بحلول عام </w:t>
      </w:r>
      <w:r>
        <w:t>2013</w:t>
      </w:r>
      <w:r>
        <w:rPr>
          <w:rtl/>
        </w:rPr>
        <w:t xml:space="preserve">"، </w:t>
      </w:r>
      <w:r>
        <w:t>(2009)</w:t>
      </w:r>
      <w:r>
        <w:rPr>
          <w:rtl/>
        </w:rPr>
        <w:t>.</w:t>
      </w:r>
    </w:p>
  </w:footnote>
  <w:footnote w:id="31">
    <w:p w:rsidR="005A67D3" w:rsidRDefault="005A67D3" w:rsidP="00111C25">
      <w:pPr>
        <w:pStyle w:val="FootnoteText"/>
      </w:pPr>
      <w:r>
        <w:rPr>
          <w:rStyle w:val="FootnoteReference"/>
        </w:rPr>
        <w:footnoteRef/>
      </w:r>
      <w:r>
        <w:tab/>
      </w:r>
      <w:r>
        <w:rPr>
          <w:rtl/>
        </w:rPr>
        <w:t xml:space="preserve">مركز غارتنر للبحوث "يقول مركز غارتنر إن عدد المستخدمين الذين يسددون دفعات عبر الاتصالات المتنقلة في جميع أنحاء العالم إلى زيادة بنسبة </w:t>
      </w:r>
      <w:r>
        <w:t>%70</w:t>
      </w:r>
      <w:r>
        <w:rPr>
          <w:rtl/>
        </w:rPr>
        <w:t xml:space="preserve"> في عام </w:t>
      </w:r>
      <w:r>
        <w:t>2009</w:t>
      </w:r>
      <w:r>
        <w:rPr>
          <w:rtl/>
        </w:rPr>
        <w:t xml:space="preserve">"، </w:t>
      </w:r>
      <w:r>
        <w:t>(2009)</w:t>
      </w:r>
      <w:r>
        <w:rPr>
          <w:rtl/>
        </w:rPr>
        <w:t>.</w:t>
      </w:r>
    </w:p>
  </w:footnote>
  <w:footnote w:id="32">
    <w:p w:rsidR="005A67D3" w:rsidRDefault="005A67D3" w:rsidP="00111C25">
      <w:pPr>
        <w:pStyle w:val="FootnoteText"/>
      </w:pPr>
      <w:r>
        <w:rPr>
          <w:rStyle w:val="FootnoteReference"/>
        </w:rPr>
        <w:footnoteRef/>
      </w:r>
      <w:r>
        <w:rPr>
          <w:rtl/>
        </w:rPr>
        <w:tab/>
        <w:t xml:space="preserve">مجموعة بوسطن الاستشارية </w:t>
      </w:r>
      <w:r>
        <w:t>(2011)</w:t>
      </w:r>
      <w:r>
        <w:rPr>
          <w:rtl/>
        </w:rPr>
        <w:t>.</w:t>
      </w:r>
    </w:p>
  </w:footnote>
  <w:footnote w:id="33">
    <w:p w:rsidR="005A67D3" w:rsidRDefault="005A67D3" w:rsidP="00111C25">
      <w:pPr>
        <w:pStyle w:val="FootnoteText"/>
      </w:pPr>
      <w:r>
        <w:rPr>
          <w:rStyle w:val="FootnoteReference"/>
        </w:rPr>
        <w:footnoteRef/>
      </w:r>
      <w:r>
        <w:tab/>
      </w:r>
      <w:r>
        <w:rPr>
          <w:rtl/>
        </w:rPr>
        <w:t xml:space="preserve">منظمة الصحة العالمية والتحالف العالمي للقوى العاملة الصحية "توسيع النطاق، إنقاذ الأرواح" </w:t>
      </w:r>
      <w:r>
        <w:t>(2008)</w:t>
      </w:r>
      <w:r>
        <w:rPr>
          <w:rtl/>
        </w:rPr>
        <w:t>.</w:t>
      </w:r>
    </w:p>
  </w:footnote>
  <w:footnote w:id="34">
    <w:p w:rsidR="005A67D3" w:rsidRDefault="005A67D3" w:rsidP="00111C25">
      <w:pPr>
        <w:pStyle w:val="FootnoteText"/>
        <w:rPr>
          <w:rtl/>
        </w:rPr>
      </w:pPr>
      <w:r>
        <w:rPr>
          <w:rStyle w:val="FootnoteReference"/>
        </w:rPr>
        <w:footnoteRef/>
      </w:r>
      <w:r>
        <w:tab/>
      </w:r>
      <w:r>
        <w:rPr>
          <w:spacing w:val="4"/>
          <w:rtl/>
        </w:rPr>
        <w:t>لجنة النطاق العريض</w:t>
      </w:r>
      <w:r>
        <w:rPr>
          <w:spacing w:val="4"/>
          <w:rtl/>
          <w:lang w:bidi="ar-EG"/>
        </w:rPr>
        <w:t>،</w:t>
      </w:r>
      <w:r>
        <w:rPr>
          <w:spacing w:val="4"/>
          <w:rtl/>
        </w:rPr>
        <w:t xml:space="preserve"> "النطاق العريض: منطلق لتحقيق التقدم". موجز لجنة النطاق العريض عام </w:t>
      </w:r>
      <w:r>
        <w:rPr>
          <w:spacing w:val="4"/>
        </w:rPr>
        <w:t>2011</w:t>
      </w:r>
      <w:r>
        <w:rPr>
          <w:spacing w:val="4"/>
          <w:rtl/>
        </w:rPr>
        <w:t xml:space="preserve">. الصفحة </w:t>
      </w:r>
      <w:r>
        <w:rPr>
          <w:spacing w:val="4"/>
        </w:rPr>
        <w:t>21</w:t>
      </w:r>
      <w:r>
        <w:rPr>
          <w:spacing w:val="4"/>
          <w:rtl/>
        </w:rPr>
        <w:t>، متاح على:</w:t>
      </w:r>
      <w:r>
        <w:rPr>
          <w:rtl/>
        </w:rPr>
        <w:t xml:space="preserve"> </w:t>
      </w:r>
      <w:hyperlink r:id="rId15" w:history="1">
        <w:r>
          <w:rPr>
            <w:rStyle w:val="Hyperlink"/>
          </w:rPr>
          <w:t>http://www.broadbandcommission.org/Reports/Report_2.pdf</w:t>
        </w:r>
      </w:hyperlink>
      <w:r>
        <w:rPr>
          <w:rtl/>
        </w:rPr>
        <w:t>.</w:t>
      </w:r>
    </w:p>
  </w:footnote>
  <w:footnote w:id="35">
    <w:p w:rsidR="005A67D3" w:rsidRDefault="005A67D3" w:rsidP="00111C25">
      <w:pPr>
        <w:pStyle w:val="FootnoteText"/>
      </w:pPr>
      <w:r>
        <w:rPr>
          <w:rStyle w:val="FootnoteReference"/>
        </w:rPr>
        <w:footnoteRef/>
      </w:r>
      <w:r>
        <w:tab/>
      </w:r>
      <w:r>
        <w:rPr>
          <w:spacing w:val="4"/>
          <w:rtl/>
        </w:rPr>
        <w:t xml:space="preserve">لجنة النطاق العريض، "النطاق العريض: منطلق لتحقيق التقدم". موجز لجنة النطاق العريض عام </w:t>
      </w:r>
      <w:r>
        <w:rPr>
          <w:spacing w:val="4"/>
        </w:rPr>
        <w:t>2011</w:t>
      </w:r>
      <w:r>
        <w:rPr>
          <w:spacing w:val="4"/>
          <w:rtl/>
        </w:rPr>
        <w:t xml:space="preserve">. الصفحة </w:t>
      </w:r>
      <w:r>
        <w:rPr>
          <w:spacing w:val="4"/>
        </w:rPr>
        <w:t>14</w:t>
      </w:r>
      <w:r>
        <w:rPr>
          <w:spacing w:val="4"/>
          <w:rtl/>
        </w:rPr>
        <w:t>، متاح على:</w:t>
      </w:r>
      <w:r>
        <w:rPr>
          <w:rtl/>
        </w:rPr>
        <w:t xml:space="preserve"> </w:t>
      </w:r>
      <w:hyperlink r:id="rId16" w:history="1">
        <w:r>
          <w:rPr>
            <w:rStyle w:val="Hyperlink"/>
          </w:rPr>
          <w:t>http://www.broadbandcommission.org/Reports/Report_2.pdf</w:t>
        </w:r>
      </w:hyperlink>
      <w:r>
        <w:rPr>
          <w:rtl/>
        </w:rPr>
        <w:t>.</w:t>
      </w:r>
    </w:p>
  </w:footnote>
  <w:footnote w:id="36">
    <w:p w:rsidR="005A67D3" w:rsidRDefault="005A67D3" w:rsidP="00111C25">
      <w:pPr>
        <w:pStyle w:val="FootnoteText"/>
      </w:pPr>
      <w:r>
        <w:rPr>
          <w:rStyle w:val="FootnoteReference"/>
        </w:rPr>
        <w:footnoteRef/>
      </w:r>
      <w:r>
        <w:rPr>
          <w:rtl/>
        </w:rPr>
        <w:tab/>
      </w:r>
      <w:r>
        <w:rPr>
          <w:spacing w:val="4"/>
          <w:rtl/>
        </w:rPr>
        <w:t xml:space="preserve">لجنة النطاق العريض، "النطاق العريض: منطلق لتحقيق التقدم". موجز لجنة النطاق العريض عام </w:t>
      </w:r>
      <w:r>
        <w:rPr>
          <w:spacing w:val="4"/>
        </w:rPr>
        <w:t>2011</w:t>
      </w:r>
      <w:r>
        <w:rPr>
          <w:spacing w:val="4"/>
          <w:rtl/>
        </w:rPr>
        <w:t xml:space="preserve">. الصفحة </w:t>
      </w:r>
      <w:r>
        <w:rPr>
          <w:spacing w:val="4"/>
        </w:rPr>
        <w:t>14</w:t>
      </w:r>
      <w:r>
        <w:rPr>
          <w:spacing w:val="4"/>
          <w:rtl/>
        </w:rPr>
        <w:t>، متاح على:</w:t>
      </w:r>
      <w:r>
        <w:rPr>
          <w:rtl/>
        </w:rPr>
        <w:t xml:space="preserve"> </w:t>
      </w:r>
      <w:hyperlink r:id="rId17" w:history="1">
        <w:r>
          <w:rPr>
            <w:rStyle w:val="Hyperlink"/>
          </w:rPr>
          <w:t>http://www.broadbandcommission.org/Reports/Report_2.pdf</w:t>
        </w:r>
      </w:hyperlink>
      <w:r>
        <w:rPr>
          <w:rtl/>
        </w:rPr>
        <w:t>.</w:t>
      </w:r>
    </w:p>
  </w:footnote>
  <w:footnote w:id="37">
    <w:p w:rsidR="005A67D3" w:rsidRDefault="005A67D3" w:rsidP="00111C25">
      <w:pPr>
        <w:pStyle w:val="FootnoteText"/>
      </w:pPr>
      <w:r>
        <w:rPr>
          <w:rStyle w:val="FootnoteReference"/>
          <w:spacing w:val="-4"/>
        </w:rPr>
        <w:footnoteRef/>
      </w:r>
      <w:r>
        <w:rPr>
          <w:rtl/>
        </w:rPr>
        <w:tab/>
      </w:r>
      <w:r>
        <w:rPr>
          <w:spacing w:val="-2"/>
        </w:rPr>
        <w:t>IDC</w:t>
      </w:r>
      <w:r>
        <w:rPr>
          <w:spacing w:val="-2"/>
          <w:rtl/>
        </w:rPr>
        <w:t xml:space="preserve"> "عون للانتعاش: الأثر الاقتصادي لتكنولوجيا المعلومات والبرمجيات والنظام البيئي لمايكروسوفت على الاقتصاد العالمي"، </w:t>
      </w:r>
      <w:r>
        <w:rPr>
          <w:spacing w:val="-2"/>
        </w:rPr>
        <w:t>(2009)</w:t>
      </w:r>
      <w:r>
        <w:rPr>
          <w:spacing w:val="-2"/>
          <w:rtl/>
        </w:rPr>
        <w:t>.</w:t>
      </w:r>
    </w:p>
  </w:footnote>
  <w:footnote w:id="38">
    <w:p w:rsidR="005A67D3" w:rsidRDefault="005A67D3" w:rsidP="00111C25">
      <w:pPr>
        <w:pStyle w:val="FootnoteText"/>
      </w:pPr>
      <w:r>
        <w:rPr>
          <w:rStyle w:val="FootnoteReference"/>
        </w:rPr>
        <w:footnoteRef/>
      </w:r>
      <w:r>
        <w:tab/>
      </w:r>
      <w:r>
        <w:rPr>
          <w:spacing w:val="6"/>
          <w:rtl/>
        </w:rPr>
        <w:t xml:space="preserve">"النطاق العريض: منطلق لتحقيق التقدم"، موجز لجنة النطاق العريض عام </w:t>
      </w:r>
      <w:r>
        <w:rPr>
          <w:spacing w:val="6"/>
        </w:rPr>
        <w:t>2010</w:t>
      </w:r>
      <w:r>
        <w:rPr>
          <w:spacing w:val="6"/>
          <w:rtl/>
        </w:rPr>
        <w:t xml:space="preserve">. الصفحتان </w:t>
      </w:r>
      <w:r>
        <w:rPr>
          <w:spacing w:val="6"/>
        </w:rPr>
        <w:t>23</w:t>
      </w:r>
      <w:r>
        <w:rPr>
          <w:spacing w:val="6"/>
        </w:rPr>
        <w:noBreakHyphen/>
        <w:t>22</w:t>
      </w:r>
      <w:r>
        <w:rPr>
          <w:spacing w:val="6"/>
          <w:rtl/>
        </w:rPr>
        <w:t>، متاح على:</w:t>
      </w:r>
      <w:r>
        <w:rPr>
          <w:rtl/>
          <w:lang w:bidi="ar-EG"/>
        </w:rPr>
        <w:t> </w:t>
      </w:r>
      <w:hyperlink r:id="rId18" w:history="1">
        <w:r>
          <w:rPr>
            <w:rStyle w:val="Hyperlink"/>
          </w:rPr>
          <w:t>http://www.broadbandcommission.org/Reports/Report_1.pdf</w:t>
        </w:r>
      </w:hyperlink>
      <w:r>
        <w:rPr>
          <w:rtl/>
        </w:rPr>
        <w:t>.</w:t>
      </w:r>
    </w:p>
  </w:footnote>
  <w:footnote w:id="39">
    <w:p w:rsidR="005A67D3" w:rsidRDefault="005A67D3" w:rsidP="00111C25">
      <w:pPr>
        <w:pStyle w:val="FootnoteText"/>
      </w:pPr>
      <w:r>
        <w:rPr>
          <w:rStyle w:val="FootnoteReference"/>
        </w:rPr>
        <w:footnoteRef/>
      </w:r>
      <w:r>
        <w:tab/>
      </w:r>
      <w:r>
        <w:rPr>
          <w:rtl/>
        </w:rPr>
        <w:t xml:space="preserve">تقرير الأهداف الإنمائية للألفية </w:t>
      </w:r>
      <w:r>
        <w:t>2010</w:t>
      </w:r>
      <w:r>
        <w:rPr>
          <w:rtl/>
        </w:rPr>
        <w:t xml:space="preserve">، الأمم المتحدة، نيويورك، على الرابط </w:t>
      </w:r>
      <w:hyperlink r:id="rId19" w:history="1">
        <w:r>
          <w:rPr>
            <w:rStyle w:val="Hyperlink"/>
          </w:rPr>
          <w:t>www.un.org/millenniumgoals</w:t>
        </w:r>
      </w:hyperlink>
      <w:r>
        <w:rPr>
          <w:rtl/>
        </w:rPr>
        <w:t>.</w:t>
      </w:r>
    </w:p>
  </w:footnote>
  <w:footnote w:id="40">
    <w:p w:rsidR="005A67D3" w:rsidRDefault="005A67D3" w:rsidP="00111C25">
      <w:pPr>
        <w:pStyle w:val="FootnoteText"/>
      </w:pPr>
      <w:r>
        <w:rPr>
          <w:rStyle w:val="FootnoteReference"/>
        </w:rPr>
        <w:footnoteRef/>
      </w:r>
      <w:r>
        <w:tab/>
      </w:r>
      <w:r>
        <w:rPr>
          <w:rtl/>
        </w:rPr>
        <w:t xml:space="preserve">"مهمة قيادية ملحة لعام </w:t>
      </w:r>
      <w:r>
        <w:t>2010</w:t>
      </w:r>
      <w:r>
        <w:rPr>
          <w:rtl/>
        </w:rPr>
        <w:t xml:space="preserve">: المستقبَل المرتكز إلى النطاق العريض". لجنة النطاق العريض، </w:t>
      </w:r>
      <w:r>
        <w:t>2010</w:t>
      </w:r>
      <w:r>
        <w:rPr>
          <w:rtl/>
        </w:rPr>
        <w:t>.</w:t>
      </w:r>
    </w:p>
  </w:footnote>
  <w:footnote w:id="41">
    <w:p w:rsidR="005A67D3" w:rsidRDefault="005A67D3" w:rsidP="009C04F6">
      <w:pPr>
        <w:pStyle w:val="FootnoteText"/>
      </w:pPr>
      <w:r>
        <w:rPr>
          <w:rStyle w:val="FootnoteReference"/>
        </w:rPr>
        <w:footnoteRef/>
      </w:r>
      <w:r>
        <w:tab/>
      </w:r>
      <w:r>
        <w:rPr>
          <w:rtl/>
        </w:rPr>
        <w:t xml:space="preserve">مساهمة شركة إنتل </w:t>
      </w:r>
      <w:r>
        <w:rPr>
          <w:rFonts w:hint="cs"/>
          <w:rtl/>
        </w:rPr>
        <w:t>-</w:t>
      </w:r>
      <w:r>
        <w:rPr>
          <w:rtl/>
        </w:rPr>
        <w:t xml:space="preserve"> الوثيقة </w:t>
      </w:r>
      <w:hyperlink r:id="rId20" w:history="1">
        <w:r>
          <w:rPr>
            <w:rStyle w:val="Hyperlink"/>
          </w:rPr>
          <w:t>2/23</w:t>
        </w:r>
      </w:hyperlink>
      <w:r>
        <w:rPr>
          <w:rtl/>
          <w:lang w:bidi="ar-EG"/>
        </w:rPr>
        <w:t xml:space="preserve">، </w:t>
      </w:r>
      <w:r>
        <w:rPr>
          <w:rtl/>
        </w:rPr>
        <w:t>"نطاق عريض في متناول كل فرد".</w:t>
      </w:r>
    </w:p>
  </w:footnote>
  <w:footnote w:id="42">
    <w:p w:rsidR="005A67D3" w:rsidRDefault="005A67D3" w:rsidP="00111C25">
      <w:pPr>
        <w:pStyle w:val="FootnoteText"/>
        <w:rPr>
          <w:rtl/>
          <w:lang w:bidi="ar-SY"/>
        </w:rPr>
      </w:pPr>
      <w:r>
        <w:rPr>
          <w:rStyle w:val="FootnoteReference"/>
        </w:rPr>
        <w:footnoteRef/>
      </w:r>
      <w:r>
        <w:rPr>
          <w:rtl/>
        </w:rPr>
        <w:tab/>
        <w:t xml:space="preserve">لجنة النطاق العريض، "مهمة قيادية ملحة لعام </w:t>
      </w:r>
      <w:r>
        <w:t>2010</w:t>
      </w:r>
      <w:r>
        <w:rPr>
          <w:rtl/>
        </w:rPr>
        <w:t xml:space="preserve">: المستقبَل المرتكز إلى النطاق العريض". لجنة النطاق العريض، </w:t>
      </w:r>
      <w:r>
        <w:t>2010</w:t>
      </w:r>
      <w:r>
        <w:rPr>
          <w:rtl/>
        </w:rPr>
        <w:t xml:space="preserve">، متاح على: </w:t>
      </w:r>
      <w:hyperlink r:id="rId21" w:history="1">
        <w:r>
          <w:rPr>
            <w:rStyle w:val="Hyperlink"/>
          </w:rPr>
          <w:t>http://www.broadbandcommission.org/Reports/Report_1.pdf</w:t>
        </w:r>
      </w:hyperlink>
      <w:r>
        <w:rPr>
          <w:rtl/>
        </w:rPr>
        <w:t>.</w:t>
      </w:r>
    </w:p>
  </w:footnote>
  <w:footnote w:id="43">
    <w:p w:rsidR="005A67D3" w:rsidRDefault="005A67D3" w:rsidP="009C04F6">
      <w:pPr>
        <w:pStyle w:val="FootnoteText"/>
        <w:rPr>
          <w:lang w:bidi="ar-EG"/>
        </w:rPr>
      </w:pPr>
      <w:r>
        <w:rPr>
          <w:rStyle w:val="FootnoteReference"/>
        </w:rPr>
        <w:footnoteRef/>
      </w:r>
      <w:r>
        <w:rPr>
          <w:rtl/>
        </w:rPr>
        <w:t xml:space="preserve"> </w:t>
      </w:r>
      <w:r>
        <w:rPr>
          <w:rtl/>
        </w:rPr>
        <w:tab/>
        <w:t xml:space="preserve">لجنة النطاق العريض، "التخطيط للمضي قدماً </w:t>
      </w:r>
      <w:r>
        <w:rPr>
          <w:rFonts w:hint="cs"/>
          <w:rtl/>
        </w:rPr>
        <w:t>-</w:t>
      </w:r>
      <w:r>
        <w:rPr>
          <w:rtl/>
        </w:rPr>
        <w:t xml:space="preserve"> لماذا تعتبر الخطط الوطنية للنطاق العريض مهمة"، لجنة النطاق العريض، </w:t>
      </w:r>
      <w:r>
        <w:t>2013</w:t>
      </w:r>
      <w:r>
        <w:rPr>
          <w:rtl/>
        </w:rPr>
        <w:t xml:space="preserve">، صفحة </w:t>
      </w:r>
      <w:r>
        <w:t>7</w:t>
      </w:r>
      <w:r>
        <w:rPr>
          <w:rtl/>
        </w:rPr>
        <w:t xml:space="preserve">، متاح على: </w:t>
      </w:r>
      <w:hyperlink r:id="rId22" w:history="1">
        <w:r>
          <w:rPr>
            <w:rStyle w:val="Hyperlink"/>
          </w:rPr>
          <w:t>http://www.broadbandcommission.org/documents/reportNBP2013.pdf</w:t>
        </w:r>
      </w:hyperlink>
      <w:r>
        <w:rPr>
          <w:rtl/>
        </w:rPr>
        <w:t>.</w:t>
      </w:r>
    </w:p>
  </w:footnote>
  <w:footnote w:id="44">
    <w:p w:rsidR="005A67D3" w:rsidRDefault="005A67D3" w:rsidP="00111C25">
      <w:pPr>
        <w:pStyle w:val="FootnoteText"/>
        <w:rPr>
          <w:rtl/>
        </w:rPr>
      </w:pPr>
      <w:r>
        <w:rPr>
          <w:rStyle w:val="FootnoteReference"/>
        </w:rPr>
        <w:footnoteRef/>
      </w:r>
      <w:r>
        <w:tab/>
      </w:r>
      <w:r>
        <w:rPr>
          <w:rtl/>
        </w:rPr>
        <w:t>مصر، الوثيقة </w:t>
      </w:r>
      <w:hyperlink r:id="rId23" w:history="1">
        <w:r>
          <w:rPr>
            <w:rStyle w:val="Hyperlink"/>
          </w:rPr>
          <w:t>2/INF/44</w:t>
        </w:r>
      </w:hyperlink>
      <w:r>
        <w:rPr>
          <w:rtl/>
        </w:rPr>
        <w:t>، "تحليل العوامل التي تؤثر على الطلب على خدمات النطاق العريض ونشر شبكات النطاق العريض".</w:t>
      </w:r>
    </w:p>
  </w:footnote>
  <w:footnote w:id="45">
    <w:p w:rsidR="005A67D3" w:rsidRDefault="005A67D3" w:rsidP="009C04F6">
      <w:pPr>
        <w:pStyle w:val="FootnoteText"/>
      </w:pPr>
      <w:r>
        <w:rPr>
          <w:rStyle w:val="FootnoteReference"/>
        </w:rPr>
        <w:footnoteRef/>
      </w:r>
      <w:r>
        <w:tab/>
      </w:r>
      <w:r>
        <w:rPr>
          <w:rtl/>
        </w:rPr>
        <w:t xml:space="preserve">شركة إنتل، الوثيقة </w:t>
      </w:r>
      <w:hyperlink r:id="rId24" w:history="1">
        <w:r>
          <w:rPr>
            <w:rStyle w:val="Hyperlink"/>
            <w:bCs/>
          </w:rPr>
          <w:t>2/24</w:t>
        </w:r>
      </w:hyperlink>
      <w:r>
        <w:rPr>
          <w:rtl/>
        </w:rPr>
        <w:t>، "الخطط الوطنية للنطاق العريض/تكنولوجيا المعلومات والاتصالات: أهداف تتعلق بالسياسات من أجل تحقيق النجاح".</w:t>
      </w:r>
    </w:p>
  </w:footnote>
  <w:footnote w:id="46">
    <w:p w:rsidR="005A67D3" w:rsidRDefault="005A67D3" w:rsidP="00111C25">
      <w:pPr>
        <w:pStyle w:val="FootnoteText"/>
      </w:pPr>
      <w:r>
        <w:rPr>
          <w:rStyle w:val="FootnoteReference"/>
        </w:rPr>
        <w:footnoteRef/>
      </w:r>
      <w:r>
        <w:tab/>
      </w:r>
      <w:r>
        <w:rPr>
          <w:rtl/>
        </w:rPr>
        <w:t xml:space="preserve">التوصية </w:t>
      </w:r>
      <w:r>
        <w:t>ITU-T I.113</w:t>
      </w:r>
      <w:r>
        <w:rPr>
          <w:rtl/>
        </w:rPr>
        <w:t xml:space="preserve"> </w:t>
      </w:r>
      <w:r>
        <w:t>(1997)</w:t>
      </w:r>
      <w:r>
        <w:rPr>
          <w:rtl/>
        </w:rPr>
        <w:t xml:space="preserve"> والتوصية </w:t>
      </w:r>
      <w:r>
        <w:t>ITU-R F.1399</w:t>
      </w:r>
      <w:r>
        <w:rPr>
          <w:rtl/>
        </w:rPr>
        <w:t xml:space="preserve"> </w:t>
      </w:r>
      <w:r>
        <w:t>(2001)</w:t>
      </w:r>
      <w:r>
        <w:rPr>
          <w:rtl/>
        </w:rPr>
        <w:t>.</w:t>
      </w:r>
    </w:p>
  </w:footnote>
  <w:footnote w:id="47">
    <w:p w:rsidR="005A67D3" w:rsidRDefault="005A67D3" w:rsidP="00111C25">
      <w:pPr>
        <w:pStyle w:val="FootnoteText"/>
        <w:rPr>
          <w:bCs/>
          <w:lang w:bidi="ar-EG"/>
        </w:rPr>
      </w:pPr>
      <w:r>
        <w:rPr>
          <w:rStyle w:val="FootnoteReference"/>
        </w:rPr>
        <w:footnoteRef/>
      </w:r>
      <w:r>
        <w:rPr>
          <w:rtl/>
          <w:lang w:bidi="ar-SY"/>
        </w:rPr>
        <w:tab/>
      </w:r>
      <w:r>
        <w:t>UNCTAD 698</w:t>
      </w:r>
      <w:r>
        <w:rPr>
          <w:rtl/>
          <w:lang w:bidi="ar-EG"/>
        </w:rPr>
        <w:t> </w:t>
      </w:r>
    </w:p>
  </w:footnote>
  <w:footnote w:id="48">
    <w:p w:rsidR="005A67D3" w:rsidRDefault="005A67D3" w:rsidP="00111C25">
      <w:pPr>
        <w:pStyle w:val="FootnoteText"/>
        <w:rPr>
          <w:bCs/>
          <w:rtl/>
          <w:lang w:bidi="ar-SY"/>
        </w:rPr>
      </w:pPr>
      <w:r>
        <w:rPr>
          <w:rStyle w:val="FootnoteReference"/>
        </w:rPr>
        <w:footnoteRef/>
      </w:r>
      <w:r>
        <w:rPr>
          <w:rtl/>
        </w:rPr>
        <w:tab/>
      </w:r>
      <w:r>
        <w:t>UNCTAD 619</w:t>
      </w:r>
      <w:r>
        <w:rPr>
          <w:bCs/>
          <w:rtl/>
          <w:lang w:bidi="ar-SY"/>
        </w:rPr>
        <w:t> </w:t>
      </w:r>
    </w:p>
  </w:footnote>
  <w:footnote w:id="49">
    <w:p w:rsidR="005A67D3" w:rsidRDefault="005A67D3" w:rsidP="00111C25">
      <w:pPr>
        <w:pStyle w:val="FootnoteText"/>
        <w:rPr>
          <w:bCs/>
          <w:rtl/>
        </w:rPr>
      </w:pPr>
      <w:r>
        <w:rPr>
          <w:rStyle w:val="FootnoteReference"/>
        </w:rPr>
        <w:footnoteRef/>
      </w:r>
      <w:r>
        <w:rPr>
          <w:rtl/>
        </w:rPr>
        <w:tab/>
      </w:r>
      <w:r>
        <w:t>UNCTAD 575</w:t>
      </w:r>
      <w:r>
        <w:rPr>
          <w:rtl/>
        </w:rPr>
        <w:t xml:space="preserve">. يعرّف/يحلل الأونكتاد مؤشرات تكنولوجيا المعلومات والاتصالات قابلة للمقارنة على الصعيد الدولي ويطور وسائل لجمع هذه المؤشرات ويساعد في بناء القدرات الإحصائية في البلدان؛ ويحتفظ بقاعدة بيانات عالمية بشأن مؤشرات تكنولوجيا المعلومات والاتصالات: </w:t>
      </w:r>
      <w:r>
        <w:t>UNCTAD 606</w:t>
      </w:r>
      <w:r>
        <w:rPr>
          <w:rtl/>
        </w:rPr>
        <w:t>.</w:t>
      </w:r>
      <w:r>
        <w:rPr>
          <w:bCs/>
          <w:rtl/>
        </w:rPr>
        <w:t> </w:t>
      </w:r>
    </w:p>
  </w:footnote>
  <w:footnote w:id="50">
    <w:p w:rsidR="005A67D3" w:rsidRDefault="005A67D3" w:rsidP="00111C25">
      <w:pPr>
        <w:pStyle w:val="FootnoteText"/>
        <w:rPr>
          <w:bCs/>
          <w:rtl/>
        </w:rPr>
      </w:pPr>
      <w:r>
        <w:rPr>
          <w:rStyle w:val="FootnoteReference"/>
        </w:rPr>
        <w:footnoteRef/>
      </w:r>
      <w:r>
        <w:rPr>
          <w:rtl/>
          <w:lang w:bidi="ar-SY"/>
        </w:rPr>
        <w:tab/>
      </w:r>
      <w:r>
        <w:t>UNCTAD 604</w:t>
      </w:r>
      <w:r>
        <w:rPr>
          <w:bCs/>
          <w:rtl/>
        </w:rPr>
        <w:t> </w:t>
      </w:r>
    </w:p>
  </w:footnote>
  <w:footnote w:id="51">
    <w:p w:rsidR="005A67D3" w:rsidRDefault="005A67D3" w:rsidP="00111C25">
      <w:pPr>
        <w:pStyle w:val="FootnoteText"/>
        <w:rPr>
          <w:bCs/>
          <w:rtl/>
          <w:lang w:val="en-GB"/>
        </w:rPr>
      </w:pPr>
      <w:r>
        <w:rPr>
          <w:rStyle w:val="FootnoteReference"/>
        </w:rPr>
        <w:footnoteRef/>
      </w:r>
      <w:r>
        <w:rPr>
          <w:rtl/>
          <w:lang w:bidi="ar-SY"/>
        </w:rPr>
        <w:tab/>
      </w:r>
      <w:r>
        <w:rPr>
          <w:rtl/>
        </w:rPr>
        <w:t>تبعاً للظروف المحلية، قد يكون من المناسب للحكومة أن تحدد قاعدة مرجعية أخرى لمقاييس أداء كل من الخدمة السلكية واللاسلكية الثابتة واللاسلكية المتنقلة.</w:t>
      </w:r>
    </w:p>
  </w:footnote>
  <w:footnote w:id="52">
    <w:p w:rsidR="005A67D3" w:rsidRDefault="005A67D3" w:rsidP="00111C25">
      <w:pPr>
        <w:pStyle w:val="FootnoteText"/>
        <w:rPr>
          <w:rtl/>
        </w:rPr>
      </w:pPr>
      <w:r>
        <w:rPr>
          <w:rStyle w:val="FootnoteReference"/>
        </w:rPr>
        <w:footnoteRef/>
      </w:r>
      <w:r>
        <w:tab/>
      </w:r>
      <w:r>
        <w:rPr>
          <w:rtl/>
        </w:rPr>
        <w:t xml:space="preserve">شركة إنتل، الوثيقة </w:t>
      </w:r>
      <w:hyperlink r:id="rId25" w:history="1">
        <w:r>
          <w:rPr>
            <w:rStyle w:val="Hyperlink"/>
            <w:bCs/>
          </w:rPr>
          <w:t>2/24</w:t>
        </w:r>
      </w:hyperlink>
      <w:r>
        <w:rPr>
          <w:rtl/>
        </w:rPr>
        <w:t>، "الخطط الوطنية للنطاق العريض/تكنولوجيا المعلومات والاتصالات: أهداف تتعلق بالسياسات من أجل تحقيق النجاح" مع تغييرات صياغية طفيفة.</w:t>
      </w:r>
    </w:p>
  </w:footnote>
  <w:footnote w:id="53">
    <w:p w:rsidR="005A67D3" w:rsidRDefault="005A67D3" w:rsidP="00111C25">
      <w:pPr>
        <w:pStyle w:val="FootnoteText"/>
      </w:pPr>
      <w:r>
        <w:rPr>
          <w:rStyle w:val="FootnoteReference"/>
        </w:rPr>
        <w:footnoteRef/>
      </w:r>
      <w:r>
        <w:rPr>
          <w:rtl/>
          <w:lang w:bidi="ar-SY"/>
        </w:rPr>
        <w:tab/>
      </w:r>
      <w:r>
        <w:rPr>
          <w:rtl/>
        </w:rPr>
        <w:t xml:space="preserve">انظر "المبادئ التوجيهية بشأن الممارسات الفُضلى" الصادرة عن الندوة العالمية للهيئات التنظيمية </w:t>
      </w:r>
      <w:r>
        <w:t>(2009</w:t>
      </w:r>
      <w:r>
        <w:sym w:font="Symbol" w:char="F02D"/>
      </w:r>
      <w:r>
        <w:t>2003) (GSR)</w:t>
      </w:r>
      <w:r>
        <w:rPr>
          <w:rtl/>
        </w:rPr>
        <w:t xml:space="preserve"> والمتاحة على الرابط: </w:t>
      </w:r>
      <w:hyperlink r:id="rId26" w:history="1">
        <w:r>
          <w:rPr>
            <w:rStyle w:val="Hyperlink"/>
          </w:rPr>
          <w:t>http://www.itu.int/ITU-D/treg/bestpractices.html</w:t>
        </w:r>
      </w:hyperlink>
      <w:r>
        <w:rPr>
          <w:rtl/>
        </w:rPr>
        <w:t>.</w:t>
      </w:r>
    </w:p>
  </w:footnote>
  <w:footnote w:id="54">
    <w:p w:rsidR="005A67D3" w:rsidRDefault="005A67D3" w:rsidP="00111C25">
      <w:pPr>
        <w:pStyle w:val="FootnoteText"/>
        <w:rPr>
          <w:rtl/>
          <w:lang w:bidi="ar-EG"/>
        </w:rPr>
      </w:pPr>
      <w:r>
        <w:rPr>
          <w:rStyle w:val="FootnoteReference"/>
        </w:rPr>
        <w:footnoteRef/>
      </w:r>
      <w:r>
        <w:rPr>
          <w:rtl/>
        </w:rPr>
        <w:tab/>
        <w:t xml:space="preserve">لجنة النطاق العريض، "النطاق العريض: منطلق لتحقيق التقدم". موجز لجنة النطاق العريض عام </w:t>
      </w:r>
      <w:r>
        <w:t>2010</w:t>
      </w:r>
      <w:r>
        <w:rPr>
          <w:rtl/>
        </w:rPr>
        <w:t xml:space="preserve">، متاح على: </w:t>
      </w:r>
      <w:hyperlink r:id="rId27" w:history="1">
        <w:r>
          <w:rPr>
            <w:rStyle w:val="Hyperlink"/>
          </w:rPr>
          <w:t>http://www.broadbandcommission.org/Reports/Report_1.pdf</w:t>
        </w:r>
      </w:hyperlink>
      <w:r>
        <w:rPr>
          <w:rtl/>
        </w:rPr>
        <w:t>.</w:t>
      </w:r>
      <w:r>
        <w:rPr>
          <w:rtl/>
          <w:lang w:bidi="ar-EG"/>
        </w:rPr>
        <w:t> </w:t>
      </w:r>
    </w:p>
  </w:footnote>
  <w:footnote w:id="55">
    <w:p w:rsidR="005A67D3" w:rsidRDefault="005A67D3" w:rsidP="000D7A17">
      <w:pPr>
        <w:pStyle w:val="FootnoteText"/>
        <w:rPr>
          <w:rtl/>
        </w:rPr>
      </w:pPr>
      <w:r>
        <w:rPr>
          <w:rStyle w:val="FootnoteReference"/>
        </w:rPr>
        <w:footnoteRef/>
      </w:r>
      <w:r>
        <w:rPr>
          <w:rStyle w:val="FootnoteReference"/>
          <w:rFonts w:cs="Times New Roman" w:hint="cs"/>
          <w:rtl/>
        </w:rPr>
        <w:tab/>
      </w:r>
      <w:r>
        <w:rPr>
          <w:rtl/>
        </w:rPr>
        <w:t xml:space="preserve">المراجعة </w:t>
      </w:r>
      <w:r>
        <w:t>1</w:t>
      </w:r>
      <w:r>
        <w:rPr>
          <w:rtl/>
        </w:rPr>
        <w:t xml:space="preserve"> للإضافة </w:t>
      </w:r>
      <w:r>
        <w:t>1</w:t>
      </w:r>
      <w:r>
        <w:rPr>
          <w:rtl/>
        </w:rPr>
        <w:t xml:space="preserve"> إلى كتيب بشأن الانتقال إلى أنظمة الاتصالات المتنقلة الدولية–</w:t>
      </w:r>
      <w:r>
        <w:t>2000</w:t>
      </w:r>
      <w:r>
        <w:rPr>
          <w:rtl/>
        </w:rPr>
        <w:t xml:space="preserve"> (الوثيقة </w:t>
      </w:r>
      <w:hyperlink r:id="rId28" w:history="1">
        <w:r>
          <w:rPr>
            <w:rStyle w:val="Hyperlink"/>
            <w:bCs/>
          </w:rPr>
          <w:t>25/2/2</w:t>
        </w:r>
      </w:hyperlink>
      <w:r>
        <w:rPr>
          <w:rtl/>
        </w:rPr>
        <w:t>).</w:t>
      </w:r>
    </w:p>
  </w:footnote>
  <w:footnote w:id="56">
    <w:p w:rsidR="005A67D3" w:rsidRDefault="005A67D3" w:rsidP="000D7A17">
      <w:pPr>
        <w:pStyle w:val="FootnoteText"/>
        <w:rPr>
          <w:rtl/>
        </w:rPr>
      </w:pPr>
      <w:r>
        <w:rPr>
          <w:rStyle w:val="FootnoteReference"/>
        </w:rPr>
        <w:footnoteRef/>
      </w:r>
      <w:r>
        <w:rPr>
          <w:rStyle w:val="FootnoteReference"/>
          <w:rFonts w:cs="Times New Roman" w:hint="cs"/>
          <w:rtl/>
        </w:rPr>
        <w:tab/>
      </w:r>
      <w:r>
        <w:rPr>
          <w:rtl/>
        </w:rPr>
        <w:t xml:space="preserve">المراجعة </w:t>
      </w:r>
      <w:r>
        <w:t>1</w:t>
      </w:r>
      <w:r>
        <w:rPr>
          <w:rtl/>
        </w:rPr>
        <w:t xml:space="preserve"> للإضافة </w:t>
      </w:r>
      <w:r>
        <w:t>1</w:t>
      </w:r>
      <w:r>
        <w:rPr>
          <w:rtl/>
        </w:rPr>
        <w:t xml:space="preserve"> إلى كتيب بشأن الانتقال إلى أنظمة الاتصالات المتنقلة الدولية–</w:t>
      </w:r>
      <w:r>
        <w:t>2000</w:t>
      </w:r>
      <w:r>
        <w:rPr>
          <w:rtl/>
        </w:rPr>
        <w:t xml:space="preserve"> (الوثيقة </w:t>
      </w:r>
      <w:hyperlink r:id="rId29" w:history="1">
        <w:r>
          <w:rPr>
            <w:rStyle w:val="Hyperlink"/>
            <w:bCs/>
          </w:rPr>
          <w:t>25/2/2</w:t>
        </w:r>
      </w:hyperlink>
      <w:r>
        <w:rPr>
          <w:rtl/>
        </w:rPr>
        <w:t>) مع تغيير صياغي من مصطلح أنظمة الاتصالات المتنقلة الدولية–</w:t>
      </w:r>
      <w:r>
        <w:t>2000</w:t>
      </w:r>
      <w:r>
        <w:rPr>
          <w:rtl/>
        </w:rPr>
        <w:t xml:space="preserve"> إلى المصطلح الأوسع أنظمة الاتصالات المتنقلة الدولية.</w:t>
      </w:r>
    </w:p>
  </w:footnote>
  <w:footnote w:id="57">
    <w:p w:rsidR="005A67D3" w:rsidRDefault="005A67D3" w:rsidP="00111C25">
      <w:pPr>
        <w:pStyle w:val="FootnoteText"/>
        <w:rPr>
          <w:rtl/>
        </w:rPr>
      </w:pPr>
      <w:r>
        <w:rPr>
          <w:rStyle w:val="FootnoteReference"/>
        </w:rPr>
        <w:footnoteRef/>
      </w:r>
      <w:r>
        <w:rPr>
          <w:rStyle w:val="FootnoteReference"/>
          <w:rFonts w:cs="Times New Roman" w:hint="cs"/>
          <w:rtl/>
        </w:rPr>
        <w:tab/>
      </w:r>
      <w:r>
        <w:rPr>
          <w:rtl/>
        </w:rPr>
        <w:t xml:space="preserve">اقتُبس نص الفقرة </w:t>
      </w:r>
      <w:r>
        <w:t>1.3</w:t>
      </w:r>
      <w:r>
        <w:rPr>
          <w:rtl/>
        </w:rPr>
        <w:t xml:space="preserve"> إلى حد كبير من المجلد </w:t>
      </w:r>
      <w:r>
        <w:t>5</w:t>
      </w:r>
      <w:r>
        <w:rPr>
          <w:rtl/>
        </w:rPr>
        <w:t xml:space="preserve"> من كتيب الاتصالات المتنقلة البرية (أنظمة النفاذ اللاسلكي عريض النطاق) (الوثيقة </w:t>
      </w:r>
      <w:hyperlink r:id="rId30" w:history="1">
        <w:r>
          <w:rPr>
            <w:rStyle w:val="Hyperlink"/>
            <w:bCs/>
          </w:rPr>
          <w:t>25/2/4</w:t>
        </w:r>
      </w:hyperlink>
      <w:r>
        <w:rPr>
          <w:rtl/>
        </w:rPr>
        <w:t>) مع تغييرات صياغية.</w:t>
      </w:r>
    </w:p>
  </w:footnote>
  <w:footnote w:id="58">
    <w:p w:rsidR="005A67D3" w:rsidRDefault="005A67D3" w:rsidP="00111C25">
      <w:pPr>
        <w:pStyle w:val="FootnoteText"/>
        <w:rPr>
          <w:rtl/>
        </w:rPr>
      </w:pPr>
      <w:r>
        <w:rPr>
          <w:rStyle w:val="FootnoteReference"/>
        </w:rPr>
        <w:footnoteRef/>
      </w:r>
      <w:r>
        <w:tab/>
      </w:r>
      <w:r>
        <w:rPr>
          <w:rtl/>
        </w:rPr>
        <w:t xml:space="preserve">"كتاب حقائق الاتصالات المتنقلة لمؤسسة بحوث بورتيو" </w:t>
      </w:r>
      <w:r>
        <w:t>2012</w:t>
      </w:r>
      <w:r>
        <w:rPr>
          <w:rtl/>
        </w:rPr>
        <w:t xml:space="preserve">، مؤسسة بحوث بورتيو، أبريل </w:t>
      </w:r>
      <w:r>
        <w:t>2012</w:t>
      </w:r>
      <w:r>
        <w:rPr>
          <w:rtl/>
        </w:rPr>
        <w:t>.</w:t>
      </w:r>
    </w:p>
  </w:footnote>
  <w:footnote w:id="59">
    <w:p w:rsidR="005A67D3" w:rsidRDefault="005A67D3" w:rsidP="00111C25">
      <w:pPr>
        <w:pStyle w:val="FootnoteText"/>
      </w:pPr>
      <w:r>
        <w:rPr>
          <w:rStyle w:val="FootnoteReference"/>
        </w:rPr>
        <w:footnoteRef/>
      </w:r>
      <w:r>
        <w:rPr>
          <w:rStyle w:val="FootnoteReference"/>
          <w:rFonts w:cs="Times New Roman" w:hint="cs"/>
          <w:rtl/>
        </w:rPr>
        <w:tab/>
      </w:r>
      <w:r>
        <w:rPr>
          <w:rtl/>
        </w:rPr>
        <w:t xml:space="preserve">المجلد </w:t>
      </w:r>
      <w:r>
        <w:t>5</w:t>
      </w:r>
      <w:r>
        <w:rPr>
          <w:rtl/>
        </w:rPr>
        <w:t xml:space="preserve"> من كتيب الاتصالات المتنقلة البرية (أنظمة النفاذ اللاسلكي عريض النطاق) (الوثيقة </w:t>
      </w:r>
      <w:hyperlink r:id="rId31" w:history="1">
        <w:r>
          <w:rPr>
            <w:rStyle w:val="Hyperlink"/>
            <w:bCs/>
          </w:rPr>
          <w:t>25/2/4</w:t>
        </w:r>
      </w:hyperlink>
      <w:r>
        <w:rPr>
          <w:rtl/>
        </w:rPr>
        <w:t>).</w:t>
      </w:r>
    </w:p>
  </w:footnote>
  <w:footnote w:id="60">
    <w:p w:rsidR="005A67D3" w:rsidRDefault="005A67D3" w:rsidP="00111C25">
      <w:pPr>
        <w:pStyle w:val="FootnoteText"/>
        <w:rPr>
          <w:rtl/>
          <w:lang w:bidi="ar-EG"/>
        </w:rPr>
      </w:pPr>
      <w:r>
        <w:rPr>
          <w:rStyle w:val="FootnoteReference"/>
        </w:rPr>
        <w:footnoteRef/>
      </w:r>
      <w:r>
        <w:tab/>
      </w:r>
      <w:r>
        <w:rPr>
          <w:rtl/>
        </w:rPr>
        <w:t xml:space="preserve">فقرة مقتطفة من منشور لجنة الدراسات </w:t>
      </w:r>
      <w:r>
        <w:t>15</w:t>
      </w:r>
      <w:r>
        <w:rPr>
          <w:rtl/>
        </w:rPr>
        <w:t xml:space="preserve"> لقطاع تقييس الاتصالات: </w:t>
      </w:r>
      <w:r>
        <w:t> "</w:t>
      </w:r>
      <w:hyperlink r:id="rId32" w:history="1">
        <w:r>
          <w:rPr>
            <w:rStyle w:val="Hyperlink"/>
            <w:rtl/>
          </w:rPr>
          <w:t>شبكات النفاذ السلكي عريض النطاق والربط الشبكي المن‍زلي</w:t>
        </w:r>
      </w:hyperlink>
      <w:r>
        <w:t>"</w:t>
      </w:r>
      <w:r>
        <w:rPr>
          <w:rtl/>
        </w:rPr>
        <w:t xml:space="preserve">، </w:t>
      </w:r>
      <w:hyperlink r:id="rId33" w:history="1">
        <w:r>
          <w:rPr>
            <w:rStyle w:val="Hyperlink"/>
          </w:rPr>
          <w:t>http://www.itu.int/pub/T-ITU-HOME-2011</w:t>
        </w:r>
      </w:hyperlink>
      <w:r>
        <w:rPr>
          <w:rtl/>
          <w:lang w:bidi="ar-EG"/>
        </w:rPr>
        <w:t>.</w:t>
      </w:r>
    </w:p>
  </w:footnote>
  <w:footnote w:id="61">
    <w:p w:rsidR="005A67D3" w:rsidRDefault="005A67D3" w:rsidP="00111C25">
      <w:pPr>
        <w:pStyle w:val="FootnoteText"/>
        <w:rPr>
          <w:rtl/>
          <w:lang w:val="en-GB" w:bidi="ar-EG"/>
        </w:rPr>
      </w:pPr>
      <w:r>
        <w:rPr>
          <w:rStyle w:val="FootnoteReference"/>
        </w:rPr>
        <w:footnoteRef/>
      </w:r>
      <w:r>
        <w:tab/>
        <w:t>LMH-BWA</w:t>
      </w:r>
      <w:r>
        <w:rPr>
          <w:rtl/>
          <w:lang w:bidi="ar-EG"/>
        </w:rPr>
        <w:t> </w:t>
      </w:r>
    </w:p>
  </w:footnote>
  <w:footnote w:id="62">
    <w:p w:rsidR="005A67D3" w:rsidRDefault="005A67D3" w:rsidP="00111C25">
      <w:pPr>
        <w:pStyle w:val="FootnoteText"/>
        <w:rPr>
          <w:rtl/>
          <w:lang w:bidi="ar-EG"/>
        </w:rPr>
      </w:pPr>
      <w:r>
        <w:rPr>
          <w:rStyle w:val="FootnoteReference"/>
        </w:rPr>
        <w:footnoteRef/>
      </w:r>
      <w:r>
        <w:rPr>
          <w:rtl/>
        </w:rPr>
        <w:t xml:space="preserve"> </w:t>
      </w:r>
      <w:r>
        <w:rPr>
          <w:rtl/>
        </w:rPr>
        <w:tab/>
      </w:r>
      <w:r>
        <w:t>S. Egami, “A Power-Sharing Multiple-beam Mobile Satellite in Ka Band”, IEEE Journal on Selected Areas in Communications, Vol. 17, No. 2, p. 145-152, February 1999.</w:t>
      </w:r>
      <w:r>
        <w:rPr>
          <w:rtl/>
        </w:rPr>
        <w:t> </w:t>
      </w:r>
    </w:p>
  </w:footnote>
  <w:footnote w:id="63">
    <w:p w:rsidR="005A67D3" w:rsidRDefault="005A67D3" w:rsidP="00111C25">
      <w:pPr>
        <w:pStyle w:val="FootnoteText"/>
        <w:rPr>
          <w:lang w:bidi="ar-EG"/>
        </w:rPr>
      </w:pPr>
      <w:r>
        <w:rPr>
          <w:rStyle w:val="FootnoteReference"/>
        </w:rPr>
        <w:footnoteRef/>
      </w:r>
      <w:r>
        <w:rPr>
          <w:rtl/>
        </w:rPr>
        <w:t xml:space="preserve"> </w:t>
      </w:r>
      <w:r>
        <w:rPr>
          <w:rtl/>
        </w:rPr>
        <w:tab/>
      </w:r>
      <w:r>
        <w:t>K. Lim, S. Kim, and H.-J. Lee, “Adaptive Radio Resource Allocation for a Mobile Packet Service in Multibeam Satellite Systems”, ETRI Journal, Vol. 27, No. 1, p. 43-52, February 2005.</w:t>
      </w:r>
      <w:r>
        <w:rPr>
          <w:rtl/>
        </w:rPr>
        <w:t> </w:t>
      </w:r>
    </w:p>
  </w:footnote>
  <w:footnote w:id="64">
    <w:p w:rsidR="005A67D3" w:rsidRDefault="005A67D3" w:rsidP="00FF4CBD">
      <w:pPr>
        <w:pStyle w:val="FootnoteText"/>
        <w:spacing w:line="240" w:lineRule="auto"/>
      </w:pPr>
      <w:r>
        <w:rPr>
          <w:rStyle w:val="FootnoteReference"/>
        </w:rPr>
        <w:footnoteRef/>
      </w:r>
      <w:r>
        <w:rPr>
          <w:rtl/>
        </w:rPr>
        <w:t xml:space="preserve"> </w:t>
      </w:r>
      <w:r>
        <w:rPr>
          <w:rtl/>
        </w:rPr>
        <w:tab/>
      </w:r>
      <w:r>
        <w:t>Sastri L. Kota, Kaveh Pahlavan, Pentti Leppanen, Broadband satellite communications for internet access, Kluwer Academic Publishers, Norwell, MA, October 2003.</w:t>
      </w:r>
      <w:r>
        <w:rPr>
          <w:rtl/>
        </w:rPr>
        <w:t> </w:t>
      </w:r>
    </w:p>
  </w:footnote>
  <w:footnote w:id="65">
    <w:p w:rsidR="005A67D3" w:rsidRDefault="005A67D3" w:rsidP="00FF4CBD">
      <w:pPr>
        <w:pStyle w:val="FootnoteText"/>
        <w:spacing w:line="240" w:lineRule="auto"/>
        <w:jc w:val="left"/>
        <w:rPr>
          <w:rtl/>
          <w:lang w:bidi="ar-EG"/>
        </w:rPr>
      </w:pPr>
      <w:r>
        <w:rPr>
          <w:rStyle w:val="FootnoteReference"/>
        </w:rPr>
        <w:footnoteRef/>
      </w:r>
      <w:r>
        <w:rPr>
          <w:rtl/>
        </w:rPr>
        <w:t xml:space="preserve"> </w:t>
      </w:r>
      <w:r>
        <w:rPr>
          <w:rtl/>
        </w:rPr>
        <w:tab/>
      </w:r>
      <w:r>
        <w:rPr>
          <w:spacing w:val="6"/>
        </w:rPr>
        <w:t xml:space="preserve">ITU, </w:t>
      </w:r>
      <w:r>
        <w:rPr>
          <w:rFonts w:hint="eastAsia"/>
          <w:spacing w:val="6"/>
          <w:lang w:eastAsia="ko-KR"/>
        </w:rPr>
        <w:t>“</w:t>
      </w:r>
      <w:r>
        <w:rPr>
          <w:spacing w:val="6"/>
        </w:rPr>
        <w:t xml:space="preserve">Birth of broadband </w:t>
      </w:r>
      <w:r>
        <w:rPr>
          <w:rFonts w:hint="eastAsia"/>
          <w:spacing w:val="6"/>
          <w:lang w:eastAsia="ko-KR"/>
        </w:rPr>
        <w:t>–</w:t>
      </w:r>
      <w:r>
        <w:rPr>
          <w:spacing w:val="6"/>
        </w:rPr>
        <w:t xml:space="preserve"> frequently asked questions</w:t>
      </w:r>
      <w:r>
        <w:rPr>
          <w:rFonts w:hint="eastAsia"/>
          <w:spacing w:val="6"/>
          <w:lang w:eastAsia="ko-KR"/>
        </w:rPr>
        <w:t>”</w:t>
      </w:r>
      <w:r>
        <w:rPr>
          <w:spacing w:val="6"/>
        </w:rPr>
        <w:t xml:space="preserve">, June 2007. </w:t>
      </w:r>
      <w:hyperlink r:id="rId34" w:history="1">
        <w:r>
          <w:rPr>
            <w:rStyle w:val="Hyperlink"/>
            <w:spacing w:val="-6"/>
          </w:rPr>
          <w:t>http://www.itu.int/osg/spu/publications/birthofbroadband/faq.html</w:t>
        </w:r>
      </w:hyperlink>
      <w:r>
        <w:rPr>
          <w:spacing w:val="-6"/>
        </w:rPr>
        <w:t xml:space="preserve">; FCC, “Wireline Competition Bureau presentation of the section 706 report and broadband data gathering order”, March, 2008.; Industry Canada, “Broadband Canada: Connecting Rural Canadians - FAQ”, October, 2009. </w:t>
      </w:r>
      <w:hyperlink r:id="rId35" w:anchor="BPQ5" w:history="1">
        <w:r>
          <w:rPr>
            <w:rStyle w:val="Hyperlink"/>
            <w:spacing w:val="-6"/>
          </w:rPr>
          <w:t>http://www.ic.gc.ca/eic/site/719.nsf/eng/h_00004.html#BPQ5</w:t>
        </w:r>
      </w:hyperlink>
      <w:r>
        <w:rPr>
          <w:lang w:bidi="ar-EG"/>
        </w:rPr>
        <w:t>.</w:t>
      </w:r>
    </w:p>
  </w:footnote>
  <w:footnote w:id="66">
    <w:p w:rsidR="005A67D3" w:rsidRDefault="005A67D3" w:rsidP="00FF4CBD">
      <w:pPr>
        <w:pStyle w:val="FootnoteText"/>
        <w:spacing w:line="240" w:lineRule="auto"/>
        <w:rPr>
          <w:rtl/>
          <w:lang w:bidi="ar-EG"/>
        </w:rPr>
      </w:pPr>
      <w:r>
        <w:rPr>
          <w:rStyle w:val="FootnoteReference"/>
        </w:rPr>
        <w:footnoteRef/>
      </w:r>
      <w:r>
        <w:rPr>
          <w:rtl/>
        </w:rPr>
        <w:t xml:space="preserve"> </w:t>
      </w:r>
      <w:r>
        <w:tab/>
      </w:r>
      <w:r>
        <w:rPr>
          <w:spacing w:val="-4"/>
        </w:rPr>
        <w:t xml:space="preserve">FCC, “Connecting America: the national broadband plan”, March 2010, </w:t>
      </w:r>
      <w:hyperlink r:id="rId36" w:history="1">
        <w:r>
          <w:rPr>
            <w:rStyle w:val="Hyperlink"/>
            <w:spacing w:val="-4"/>
          </w:rPr>
          <w:t>http://www.broadband.gov/download-plan/</w:t>
        </w:r>
      </w:hyperlink>
      <w:r>
        <w:rPr>
          <w:spacing w:val="-4"/>
        </w:rPr>
        <w:t>.</w:t>
      </w:r>
    </w:p>
  </w:footnote>
  <w:footnote w:id="67">
    <w:p w:rsidR="005A67D3" w:rsidRDefault="005A67D3" w:rsidP="00111C25">
      <w:pPr>
        <w:pStyle w:val="FootnoteText"/>
        <w:rPr>
          <w:rtl/>
          <w:lang w:val="en-GB" w:bidi="ar-EG"/>
        </w:rPr>
      </w:pPr>
      <w:r>
        <w:rPr>
          <w:rStyle w:val="FootnoteReference"/>
        </w:rPr>
        <w:footnoteRef/>
      </w:r>
      <w:r>
        <w:rPr>
          <w:rtl/>
        </w:rPr>
        <w:t xml:space="preserve"> </w:t>
      </w:r>
      <w:r>
        <w:tab/>
        <w:t xml:space="preserve">O3b Networks, 2010, </w:t>
      </w:r>
      <w:hyperlink r:id="rId37" w:history="1">
        <w:r>
          <w:rPr>
            <w:rStyle w:val="Hyperlink"/>
          </w:rPr>
          <w:t>http://www.o3bnetworks.com/</w:t>
        </w:r>
      </w:hyperlink>
      <w:r>
        <w:t>.</w:t>
      </w:r>
      <w:r>
        <w:rPr>
          <w:rtl/>
        </w:rPr>
        <w:t> </w:t>
      </w:r>
    </w:p>
  </w:footnote>
  <w:footnote w:id="68">
    <w:p w:rsidR="005A67D3" w:rsidRDefault="005A67D3" w:rsidP="00111C25">
      <w:pPr>
        <w:pStyle w:val="FootnoteText"/>
        <w:spacing w:line="240" w:lineRule="auto"/>
        <w:rPr>
          <w:rtl/>
          <w:lang w:bidi="ar-EG"/>
        </w:rPr>
      </w:pPr>
      <w:r>
        <w:rPr>
          <w:rStyle w:val="FootnoteReference"/>
        </w:rPr>
        <w:footnoteRef/>
      </w:r>
      <w:r>
        <w:rPr>
          <w:rtl/>
        </w:rPr>
        <w:t xml:space="preserve"> </w:t>
      </w:r>
      <w:r>
        <w:rPr>
          <w:rtl/>
          <w:lang w:bidi="ar-EG"/>
        </w:rPr>
        <w:tab/>
      </w:r>
      <w:r>
        <w:rPr>
          <w:bCs/>
        </w:rPr>
        <w:t>ITU-R, “Technical characteristics of air interfaces for global broadband satellite systems”, Recommendation ITU</w:t>
      </w:r>
      <w:r>
        <w:rPr>
          <w:bCs/>
        </w:rPr>
        <w:noBreakHyphen/>
        <w:t>R S.1709-1, 2007.</w:t>
      </w:r>
      <w:r>
        <w:rPr>
          <w:rtl/>
          <w:lang w:bidi="ar-EG"/>
        </w:rPr>
        <w:t> </w:t>
      </w:r>
    </w:p>
  </w:footnote>
  <w:footnote w:id="69">
    <w:p w:rsidR="005A67D3" w:rsidRDefault="005A67D3" w:rsidP="00111C25">
      <w:pPr>
        <w:pStyle w:val="FootnoteText"/>
        <w:rPr>
          <w:rtl/>
          <w:lang w:val="en-GB" w:bidi="ar-SY"/>
        </w:rPr>
      </w:pPr>
      <w:r>
        <w:rPr>
          <w:rStyle w:val="FootnoteReference"/>
        </w:rPr>
        <w:footnoteRef/>
      </w:r>
      <w:r>
        <w:tab/>
        <w:t>SCADA</w:t>
      </w:r>
      <w:r>
        <w:rPr>
          <w:rtl/>
        </w:rPr>
        <w:t xml:space="preserve"> هي عبارة مختصرة للدلالة على التحكم الإشرافي وتحصيل البيانات.</w:t>
      </w:r>
    </w:p>
  </w:footnote>
  <w:footnote w:id="70">
    <w:p w:rsidR="005A67D3" w:rsidRDefault="005A67D3" w:rsidP="00111C25">
      <w:pPr>
        <w:pStyle w:val="FootnoteText"/>
      </w:pPr>
      <w:r>
        <w:rPr>
          <w:rStyle w:val="FootnoteReference"/>
        </w:rPr>
        <w:footnoteRef/>
      </w:r>
      <w:r>
        <w:rPr>
          <w:rtl/>
        </w:rPr>
        <w:tab/>
        <w:t xml:space="preserve">اقتُبست الفقرة </w:t>
      </w:r>
      <w:r>
        <w:t>5.4</w:t>
      </w:r>
      <w:r>
        <w:rPr>
          <w:rtl/>
        </w:rPr>
        <w:t xml:space="preserve"> من ورقة بيضاء قدمتها شركة </w:t>
      </w:r>
      <w:r>
        <w:t>Transfinite Systems Ltd.</w:t>
      </w:r>
      <w:r>
        <w:rPr>
          <w:rtl/>
        </w:rPr>
        <w:tab/>
      </w:r>
      <w:r>
        <w:br/>
        <w:t>(</w:t>
      </w:r>
      <w:hyperlink r:id="rId38" w:history="1">
        <w:r>
          <w:rPr>
            <w:rStyle w:val="Hyperlink"/>
          </w:rPr>
          <w:t>http://www.transfinite.com/papers/backhaul.pdf</w:t>
        </w:r>
      </w:hyperlink>
      <w:r>
        <w:t>)</w:t>
      </w:r>
      <w:r>
        <w:rPr>
          <w:rtl/>
        </w:rPr>
        <w:t xml:space="preserve"> بعنوان "الوصلات الوسيطة المتنقلة – الحل اللاسلكي" مع بعض التغييرات الصياغية الطفيفة.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0A316A">
    <w:pPr>
      <w:pStyle w:val="Header"/>
    </w:pPr>
    <w:r>
      <w:rPr>
        <w:rStyle w:val="PageNumber"/>
        <w:lang w:val="fr-CH"/>
      </w:rPr>
      <w:t>Q</w:t>
    </w:r>
    <w:r w:rsidRPr="002D4FCA">
      <w:rPr>
        <w:lang w:val="fr-CH"/>
      </w:rPr>
      <w:t>uestion</w:t>
    </w:r>
    <w:r>
      <w:rPr>
        <w:lang w:val="fr-CH"/>
      </w:rPr>
      <w:t xml:space="preserve"> number + title</w:t>
    </w:r>
  </w:p>
  <w:p w:rsidR="005A67D3" w:rsidRPr="00FB79B8" w:rsidRDefault="005A67D3" w:rsidP="000A31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5A67D3">
    <w:pPr>
      <w:pStyle w:val="Header"/>
      <w:spacing w:before="0" w:line="180" w:lineRule="auto"/>
      <w:rPr>
        <w:rtl/>
      </w:rPr>
    </w:pPr>
    <w:r w:rsidRPr="009D661A">
      <w:rPr>
        <w:rStyle w:val="PageNumber"/>
        <w:rFonts w:hint="cs"/>
        <w:spacing w:val="-8"/>
        <w:rtl/>
        <w:lang w:val="fr-CH"/>
      </w:rPr>
      <w:t xml:space="preserve">المسألة </w:t>
    </w:r>
    <w:r>
      <w:rPr>
        <w:rStyle w:val="PageNumber"/>
        <w:spacing w:val="-8"/>
      </w:rPr>
      <w:t>25</w:t>
    </w:r>
    <w:r w:rsidRPr="009D661A">
      <w:rPr>
        <w:rStyle w:val="PageNumber"/>
        <w:spacing w:val="-8"/>
      </w:rPr>
      <w:t>/2</w:t>
    </w:r>
    <w:r w:rsidRPr="009D661A">
      <w:rPr>
        <w:rStyle w:val="PageNumber"/>
        <w:rFonts w:hint="cs"/>
        <w:spacing w:val="-8"/>
        <w:rtl/>
      </w:rPr>
      <w:t>:</w:t>
    </w:r>
    <w:r w:rsidRPr="009D661A">
      <w:rPr>
        <w:rStyle w:val="PageNumber"/>
        <w:rFonts w:hint="cs"/>
        <w:spacing w:val="-8"/>
        <w:rtl/>
        <w:lang w:val="fr-CH"/>
      </w:rPr>
      <w:t xml:space="preserve"> </w:t>
    </w:r>
    <w:r>
      <w:rPr>
        <w:rtl/>
      </w:rPr>
      <w:t>تكنولوجيا النفاذ الخاصة بالاتصالات عريضة النطاق بما في ذلك الاتصالات المتنقلة الدولية،</w:t>
    </w:r>
    <w:r>
      <w:rPr>
        <w:rtl/>
      </w:rPr>
      <w:br/>
      <w:t>من أجل البلدان النامية</w:t>
    </w:r>
  </w:p>
  <w:p w:rsidR="005A67D3" w:rsidRPr="00111C25" w:rsidRDefault="005A67D3" w:rsidP="005A67D3">
    <w:pPr>
      <w:spacing w:before="0"/>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5A67D3">
    <w:pPr>
      <w:pStyle w:val="Header"/>
      <w:spacing w:before="0" w:line="180" w:lineRule="auto"/>
      <w:rPr>
        <w:rtl/>
      </w:rPr>
    </w:pPr>
    <w:r w:rsidRPr="009D661A">
      <w:rPr>
        <w:rStyle w:val="PageNumber"/>
        <w:rFonts w:hint="cs"/>
        <w:spacing w:val="-8"/>
        <w:rtl/>
        <w:lang w:val="fr-CH"/>
      </w:rPr>
      <w:t xml:space="preserve">المسألة </w:t>
    </w:r>
    <w:r>
      <w:rPr>
        <w:rStyle w:val="PageNumber"/>
        <w:spacing w:val="-8"/>
      </w:rPr>
      <w:t>25</w:t>
    </w:r>
    <w:r w:rsidRPr="009D661A">
      <w:rPr>
        <w:rStyle w:val="PageNumber"/>
        <w:spacing w:val="-8"/>
      </w:rPr>
      <w:t>/2</w:t>
    </w:r>
    <w:r w:rsidRPr="009D661A">
      <w:rPr>
        <w:rStyle w:val="PageNumber"/>
        <w:rFonts w:hint="cs"/>
        <w:spacing w:val="-8"/>
        <w:rtl/>
      </w:rPr>
      <w:t>:</w:t>
    </w:r>
    <w:r w:rsidRPr="009D661A">
      <w:rPr>
        <w:rStyle w:val="PageNumber"/>
        <w:rFonts w:hint="cs"/>
        <w:spacing w:val="-8"/>
        <w:rtl/>
        <w:lang w:val="fr-CH"/>
      </w:rPr>
      <w:t xml:space="preserve"> </w:t>
    </w:r>
    <w:r>
      <w:rPr>
        <w:rtl/>
      </w:rPr>
      <w:t>تكنولوجيا النفاذ الخاصة بالاتصالات عريضة النطاق بما في ذلك الاتصالات المتنقلة الدولية،</w:t>
    </w:r>
    <w:r>
      <w:rPr>
        <w:rtl/>
      </w:rPr>
      <w:br/>
      <w:t>من أجل البلدان النامية</w:t>
    </w:r>
  </w:p>
  <w:p w:rsidR="005A67D3" w:rsidRPr="00111C25" w:rsidRDefault="005A67D3" w:rsidP="005A67D3">
    <w:pPr>
      <w:spacing w:befor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5A67D3">
    <w:pPr>
      <w:pStyle w:val="Header"/>
      <w:spacing w:before="0" w:line="180" w:lineRule="auto"/>
      <w:rPr>
        <w:rtl/>
      </w:rPr>
    </w:pPr>
    <w:r w:rsidRPr="009D661A">
      <w:rPr>
        <w:rStyle w:val="PageNumber"/>
        <w:rFonts w:hint="cs"/>
        <w:spacing w:val="-8"/>
        <w:rtl/>
        <w:lang w:val="fr-CH"/>
      </w:rPr>
      <w:t xml:space="preserve">المسألة </w:t>
    </w:r>
    <w:r>
      <w:rPr>
        <w:rStyle w:val="PageNumber"/>
        <w:spacing w:val="-8"/>
      </w:rPr>
      <w:t>25</w:t>
    </w:r>
    <w:r w:rsidRPr="009D661A">
      <w:rPr>
        <w:rStyle w:val="PageNumber"/>
        <w:spacing w:val="-8"/>
      </w:rPr>
      <w:t>/2</w:t>
    </w:r>
    <w:r w:rsidRPr="009D661A">
      <w:rPr>
        <w:rStyle w:val="PageNumber"/>
        <w:rFonts w:hint="cs"/>
        <w:spacing w:val="-8"/>
        <w:rtl/>
      </w:rPr>
      <w:t>:</w:t>
    </w:r>
    <w:r w:rsidRPr="009D661A">
      <w:rPr>
        <w:rStyle w:val="PageNumber"/>
        <w:rFonts w:hint="cs"/>
        <w:spacing w:val="-8"/>
        <w:rtl/>
        <w:lang w:val="fr-CH"/>
      </w:rPr>
      <w:t xml:space="preserve"> </w:t>
    </w:r>
    <w:r>
      <w:rPr>
        <w:rtl/>
      </w:rPr>
      <w:t>تكنولوجيا النفاذ الخاصة بالاتصالات عريضة النطاق بما في ذلك الاتصالات المتنقلة الدولية،</w:t>
    </w:r>
    <w:r>
      <w:rPr>
        <w:rtl/>
      </w:rPr>
      <w:br/>
      <w:t>من أجل البلدان النامية</w:t>
    </w:r>
  </w:p>
  <w:p w:rsidR="005A67D3" w:rsidRPr="009D661A" w:rsidRDefault="005A67D3" w:rsidP="005A67D3">
    <w:pPr>
      <w:spacing w:befor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5A67D3">
    <w:pPr>
      <w:pStyle w:val="Header"/>
      <w:spacing w:before="0" w:line="180" w:lineRule="auto"/>
      <w:rPr>
        <w:rtl/>
      </w:rPr>
    </w:pPr>
    <w:r w:rsidRPr="009D661A">
      <w:rPr>
        <w:rStyle w:val="PageNumber"/>
        <w:rFonts w:hint="cs"/>
        <w:spacing w:val="-8"/>
        <w:rtl/>
        <w:lang w:val="fr-CH"/>
      </w:rPr>
      <w:t xml:space="preserve">المسألة </w:t>
    </w:r>
    <w:r>
      <w:rPr>
        <w:rStyle w:val="PageNumber"/>
        <w:spacing w:val="-8"/>
      </w:rPr>
      <w:t>25</w:t>
    </w:r>
    <w:r w:rsidRPr="009D661A">
      <w:rPr>
        <w:rStyle w:val="PageNumber"/>
        <w:spacing w:val="-8"/>
      </w:rPr>
      <w:t>/2</w:t>
    </w:r>
    <w:r w:rsidRPr="009D661A">
      <w:rPr>
        <w:rStyle w:val="PageNumber"/>
        <w:rFonts w:hint="cs"/>
        <w:spacing w:val="-8"/>
        <w:rtl/>
      </w:rPr>
      <w:t>:</w:t>
    </w:r>
    <w:r w:rsidRPr="009D661A">
      <w:rPr>
        <w:rStyle w:val="PageNumber"/>
        <w:rFonts w:hint="cs"/>
        <w:spacing w:val="-8"/>
        <w:rtl/>
        <w:lang w:val="fr-CH"/>
      </w:rPr>
      <w:t xml:space="preserve"> </w:t>
    </w:r>
    <w:r>
      <w:rPr>
        <w:rtl/>
      </w:rPr>
      <w:t>تكنولوجيا النفاذ الخاصة بالاتصالات عريضة النطاق بما في ذلك الاتصالات المتنقلة الدولية،</w:t>
    </w:r>
    <w:r>
      <w:rPr>
        <w:rtl/>
      </w:rPr>
      <w:br/>
      <w:t>من أجل البلدان النامية</w:t>
    </w:r>
  </w:p>
  <w:p w:rsidR="005A67D3" w:rsidRPr="00111C25" w:rsidRDefault="005A67D3" w:rsidP="005A67D3">
    <w:pPr>
      <w:spacing w:before="0"/>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5A67D3">
    <w:pPr>
      <w:pStyle w:val="Header"/>
      <w:spacing w:before="0" w:line="180" w:lineRule="auto"/>
      <w:rPr>
        <w:rtl/>
      </w:rPr>
    </w:pPr>
    <w:r w:rsidRPr="009D661A">
      <w:rPr>
        <w:rStyle w:val="PageNumber"/>
        <w:rFonts w:hint="cs"/>
        <w:spacing w:val="-8"/>
        <w:rtl/>
        <w:lang w:val="fr-CH"/>
      </w:rPr>
      <w:t xml:space="preserve">المسألة </w:t>
    </w:r>
    <w:r>
      <w:rPr>
        <w:rStyle w:val="PageNumber"/>
        <w:spacing w:val="-8"/>
      </w:rPr>
      <w:t>25</w:t>
    </w:r>
    <w:r w:rsidRPr="009D661A">
      <w:rPr>
        <w:rStyle w:val="PageNumber"/>
        <w:spacing w:val="-8"/>
      </w:rPr>
      <w:t>/2</w:t>
    </w:r>
    <w:r w:rsidRPr="009D661A">
      <w:rPr>
        <w:rStyle w:val="PageNumber"/>
        <w:rFonts w:hint="cs"/>
        <w:spacing w:val="-8"/>
        <w:rtl/>
      </w:rPr>
      <w:t>:</w:t>
    </w:r>
    <w:r w:rsidRPr="009D661A">
      <w:rPr>
        <w:rStyle w:val="PageNumber"/>
        <w:rFonts w:hint="cs"/>
        <w:spacing w:val="-8"/>
        <w:rtl/>
        <w:lang w:val="fr-CH"/>
      </w:rPr>
      <w:t xml:space="preserve"> </w:t>
    </w:r>
    <w:r>
      <w:rPr>
        <w:rtl/>
      </w:rPr>
      <w:t>تكنولوجيا النفاذ الخاصة بالاتصالات عريضة النطاق بما في ذلك الاتصالات المتنقلة الدولية،</w:t>
    </w:r>
    <w:r>
      <w:rPr>
        <w:rtl/>
      </w:rPr>
      <w:br/>
      <w:t>من أجل البلدان النامية</w:t>
    </w:r>
  </w:p>
  <w:p w:rsidR="005A67D3" w:rsidRPr="00111C25" w:rsidRDefault="005A67D3" w:rsidP="005A67D3">
    <w:pPr>
      <w:spacing w:befor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Pr="00F604B6" w:rsidRDefault="005A67D3" w:rsidP="00F604B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5A67D3">
    <w:pPr>
      <w:pStyle w:val="Header"/>
      <w:spacing w:before="0" w:line="180" w:lineRule="auto"/>
      <w:rPr>
        <w:rtl/>
      </w:rPr>
    </w:pPr>
    <w:r w:rsidRPr="009D661A">
      <w:rPr>
        <w:rStyle w:val="PageNumber"/>
        <w:rFonts w:hint="cs"/>
        <w:spacing w:val="-8"/>
        <w:rtl/>
        <w:lang w:val="fr-CH"/>
      </w:rPr>
      <w:t xml:space="preserve">المسألة </w:t>
    </w:r>
    <w:r>
      <w:rPr>
        <w:rStyle w:val="PageNumber"/>
        <w:spacing w:val="-8"/>
      </w:rPr>
      <w:t>25</w:t>
    </w:r>
    <w:r w:rsidRPr="009D661A">
      <w:rPr>
        <w:rStyle w:val="PageNumber"/>
        <w:spacing w:val="-8"/>
      </w:rPr>
      <w:t>/2</w:t>
    </w:r>
    <w:r w:rsidRPr="009D661A">
      <w:rPr>
        <w:rStyle w:val="PageNumber"/>
        <w:rFonts w:hint="cs"/>
        <w:spacing w:val="-8"/>
        <w:rtl/>
      </w:rPr>
      <w:t>:</w:t>
    </w:r>
    <w:r w:rsidRPr="009D661A">
      <w:rPr>
        <w:rStyle w:val="PageNumber"/>
        <w:rFonts w:hint="cs"/>
        <w:spacing w:val="-8"/>
        <w:rtl/>
        <w:lang w:val="fr-CH"/>
      </w:rPr>
      <w:t xml:space="preserve"> </w:t>
    </w:r>
    <w:r>
      <w:rPr>
        <w:rtl/>
      </w:rPr>
      <w:t>تكنولوجيا النفاذ الخاصة بالاتصالات عريضة النطاق بما في ذلك الاتصالات المتنقلة الدولية،</w:t>
    </w:r>
    <w:r>
      <w:rPr>
        <w:rtl/>
      </w:rPr>
      <w:br/>
      <w:t>من أجل البلدان النامية</w:t>
    </w:r>
  </w:p>
  <w:p w:rsidR="005A67D3" w:rsidRPr="00111C25" w:rsidRDefault="005A67D3" w:rsidP="00F2785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D3" w:rsidRDefault="005A67D3" w:rsidP="005A67D3">
    <w:pPr>
      <w:pStyle w:val="Header"/>
      <w:spacing w:before="0" w:line="180" w:lineRule="auto"/>
      <w:rPr>
        <w:rtl/>
      </w:rPr>
    </w:pPr>
    <w:r w:rsidRPr="009D661A">
      <w:rPr>
        <w:rStyle w:val="PageNumber"/>
        <w:rFonts w:hint="cs"/>
        <w:spacing w:val="-8"/>
        <w:rtl/>
        <w:lang w:val="fr-CH"/>
      </w:rPr>
      <w:t xml:space="preserve">المسألة </w:t>
    </w:r>
    <w:r>
      <w:rPr>
        <w:rStyle w:val="PageNumber"/>
        <w:spacing w:val="-8"/>
      </w:rPr>
      <w:t>25</w:t>
    </w:r>
    <w:r w:rsidRPr="009D661A">
      <w:rPr>
        <w:rStyle w:val="PageNumber"/>
        <w:spacing w:val="-8"/>
      </w:rPr>
      <w:t>/2</w:t>
    </w:r>
    <w:r w:rsidRPr="009D661A">
      <w:rPr>
        <w:rStyle w:val="PageNumber"/>
        <w:rFonts w:hint="cs"/>
        <w:spacing w:val="-8"/>
        <w:rtl/>
      </w:rPr>
      <w:t>:</w:t>
    </w:r>
    <w:r w:rsidRPr="009D661A">
      <w:rPr>
        <w:rStyle w:val="PageNumber"/>
        <w:rFonts w:hint="cs"/>
        <w:spacing w:val="-8"/>
        <w:rtl/>
        <w:lang w:val="fr-CH"/>
      </w:rPr>
      <w:t xml:space="preserve"> </w:t>
    </w:r>
    <w:r>
      <w:rPr>
        <w:rtl/>
      </w:rPr>
      <w:t>تكنولوجيا النفاذ الخاصة بالاتصالات عريضة النطاق بما في ذلك الاتصالات المتنقلة الدولية،</w:t>
    </w:r>
    <w:r>
      <w:rPr>
        <w:rtl/>
      </w:rPr>
      <w:br/>
      <w:t>من أجل البلدان النامية</w:t>
    </w:r>
  </w:p>
  <w:p w:rsidR="005A67D3" w:rsidRPr="00111C25" w:rsidRDefault="005A67D3" w:rsidP="005A67D3">
    <w:pP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5D1554C"/>
    <w:multiLevelType w:val="hybridMultilevel"/>
    <w:tmpl w:val="F62469F4"/>
    <w:lvl w:ilvl="0" w:tplc="287A33FE">
      <w:start w:val="1"/>
      <w:numFmt w:val="bullet"/>
      <w:lvlText w:val="–"/>
      <w:lvlJc w:val="left"/>
      <w:pPr>
        <w:tabs>
          <w:tab w:val="num" w:pos="720"/>
        </w:tabs>
        <w:ind w:left="720" w:hanging="360"/>
      </w:pPr>
      <w:rPr>
        <w:rFonts w:ascii="Verdana" w:hAnsi="Verdana" w:hint="default"/>
        <w:color w:val="auto"/>
      </w:rPr>
    </w:lvl>
    <w:lvl w:ilvl="1" w:tplc="04090003">
      <w:start w:val="1"/>
      <w:numFmt w:val="bullet"/>
      <w:lvlText w:val="o"/>
      <w:lvlJc w:val="left"/>
      <w:pPr>
        <w:tabs>
          <w:tab w:val="num" w:pos="1451"/>
        </w:tabs>
        <w:ind w:left="1451" w:hanging="360"/>
      </w:pPr>
      <w:rPr>
        <w:rFonts w:ascii="Courier New" w:hAnsi="Courier New" w:cs="Courier New" w:hint="default"/>
      </w:rPr>
    </w:lvl>
    <w:lvl w:ilvl="2" w:tplc="04090005">
      <w:start w:val="1"/>
      <w:numFmt w:val="bullet"/>
      <w:lvlText w:val=""/>
      <w:lvlJc w:val="left"/>
      <w:pPr>
        <w:tabs>
          <w:tab w:val="num" w:pos="2171"/>
        </w:tabs>
        <w:ind w:left="2171" w:hanging="360"/>
      </w:pPr>
      <w:rPr>
        <w:rFonts w:ascii="Wingdings" w:hAnsi="Wingdings" w:hint="default"/>
      </w:rPr>
    </w:lvl>
    <w:lvl w:ilvl="3" w:tplc="04090001">
      <w:start w:val="1"/>
      <w:numFmt w:val="bullet"/>
      <w:lvlText w:val=""/>
      <w:lvlJc w:val="left"/>
      <w:pPr>
        <w:tabs>
          <w:tab w:val="num" w:pos="2891"/>
        </w:tabs>
        <w:ind w:left="2891" w:hanging="360"/>
      </w:pPr>
      <w:rPr>
        <w:rFonts w:ascii="Symbol" w:hAnsi="Symbol" w:hint="default"/>
      </w:rPr>
    </w:lvl>
    <w:lvl w:ilvl="4" w:tplc="04090003">
      <w:start w:val="1"/>
      <w:numFmt w:val="bullet"/>
      <w:lvlText w:val="o"/>
      <w:lvlJc w:val="left"/>
      <w:pPr>
        <w:tabs>
          <w:tab w:val="num" w:pos="3611"/>
        </w:tabs>
        <w:ind w:left="3611" w:hanging="360"/>
      </w:pPr>
      <w:rPr>
        <w:rFonts w:ascii="Courier New" w:hAnsi="Courier New" w:cs="Courier New" w:hint="default"/>
      </w:rPr>
    </w:lvl>
    <w:lvl w:ilvl="5" w:tplc="04090005">
      <w:start w:val="1"/>
      <w:numFmt w:val="bullet"/>
      <w:lvlText w:val=""/>
      <w:lvlJc w:val="left"/>
      <w:pPr>
        <w:tabs>
          <w:tab w:val="num" w:pos="4331"/>
        </w:tabs>
        <w:ind w:left="4331" w:hanging="360"/>
      </w:pPr>
      <w:rPr>
        <w:rFonts w:ascii="Wingdings" w:hAnsi="Wingdings" w:hint="default"/>
      </w:rPr>
    </w:lvl>
    <w:lvl w:ilvl="6" w:tplc="04090001">
      <w:start w:val="1"/>
      <w:numFmt w:val="bullet"/>
      <w:lvlText w:val=""/>
      <w:lvlJc w:val="left"/>
      <w:pPr>
        <w:tabs>
          <w:tab w:val="num" w:pos="5051"/>
        </w:tabs>
        <w:ind w:left="5051" w:hanging="360"/>
      </w:pPr>
      <w:rPr>
        <w:rFonts w:ascii="Symbol" w:hAnsi="Symbol" w:hint="default"/>
      </w:rPr>
    </w:lvl>
    <w:lvl w:ilvl="7" w:tplc="04090003">
      <w:start w:val="1"/>
      <w:numFmt w:val="bullet"/>
      <w:lvlText w:val="o"/>
      <w:lvlJc w:val="left"/>
      <w:pPr>
        <w:tabs>
          <w:tab w:val="num" w:pos="5771"/>
        </w:tabs>
        <w:ind w:left="5771" w:hanging="360"/>
      </w:pPr>
      <w:rPr>
        <w:rFonts w:ascii="Courier New" w:hAnsi="Courier New" w:cs="Courier New" w:hint="default"/>
      </w:rPr>
    </w:lvl>
    <w:lvl w:ilvl="8" w:tplc="04090005">
      <w:start w:val="1"/>
      <w:numFmt w:val="bullet"/>
      <w:lvlText w:val=""/>
      <w:lvlJc w:val="left"/>
      <w:pPr>
        <w:tabs>
          <w:tab w:val="num" w:pos="6491"/>
        </w:tabs>
        <w:ind w:left="6491" w:hanging="360"/>
      </w:pPr>
      <w:rPr>
        <w:rFonts w:ascii="Wingdings" w:hAnsi="Wingdings" w:hint="default"/>
      </w:rPr>
    </w:lvl>
  </w:abstractNum>
  <w:abstractNum w:abstractNumId="8">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505F91"/>
    <w:multiLevelType w:val="hybridMultilevel"/>
    <w:tmpl w:val="7EC83216"/>
    <w:lvl w:ilvl="0" w:tplc="ED405FDA">
      <w:numFmt w:val="bullet"/>
      <w:lvlText w:val=""/>
      <w:lvlJc w:val="left"/>
      <w:pPr>
        <w:tabs>
          <w:tab w:val="num" w:pos="568"/>
        </w:tabs>
        <w:ind w:left="568"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start w:val="1"/>
      <w:numFmt w:val="bullet"/>
      <w:lvlText w:val=""/>
      <w:lvlJc w:val="left"/>
      <w:pPr>
        <w:tabs>
          <w:tab w:val="num" w:pos="4604"/>
        </w:tabs>
        <w:ind w:left="4604" w:hanging="360"/>
      </w:pPr>
      <w:rPr>
        <w:rFonts w:ascii="Wingdings" w:hAnsi="Wingdings" w:hint="default"/>
      </w:rPr>
    </w:lvl>
    <w:lvl w:ilvl="6" w:tplc="04090001">
      <w:start w:val="1"/>
      <w:numFmt w:val="bullet"/>
      <w:lvlText w:val=""/>
      <w:lvlJc w:val="left"/>
      <w:pPr>
        <w:tabs>
          <w:tab w:val="num" w:pos="5324"/>
        </w:tabs>
        <w:ind w:left="5324" w:hanging="360"/>
      </w:pPr>
      <w:rPr>
        <w:rFonts w:ascii="Symbol" w:hAnsi="Symbol" w:hint="default"/>
      </w:rPr>
    </w:lvl>
    <w:lvl w:ilvl="7" w:tplc="04090003">
      <w:start w:val="1"/>
      <w:numFmt w:val="bullet"/>
      <w:lvlText w:val="o"/>
      <w:lvlJc w:val="left"/>
      <w:pPr>
        <w:tabs>
          <w:tab w:val="num" w:pos="6044"/>
        </w:tabs>
        <w:ind w:left="6044" w:hanging="360"/>
      </w:pPr>
      <w:rPr>
        <w:rFonts w:ascii="Courier New" w:hAnsi="Courier New" w:cs="Courier New" w:hint="default"/>
      </w:rPr>
    </w:lvl>
    <w:lvl w:ilvl="8" w:tplc="04090005">
      <w:start w:val="1"/>
      <w:numFmt w:val="bullet"/>
      <w:lvlText w:val=""/>
      <w:lvlJc w:val="left"/>
      <w:pPr>
        <w:tabs>
          <w:tab w:val="num" w:pos="6764"/>
        </w:tabs>
        <w:ind w:left="6764" w:hanging="360"/>
      </w:pPr>
      <w:rPr>
        <w:rFonts w:ascii="Wingdings" w:hAnsi="Wingdings" w:hint="default"/>
      </w:rPr>
    </w:lvl>
  </w:abstractNum>
  <w:abstractNum w:abstractNumId="10">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F432276"/>
    <w:multiLevelType w:val="multilevel"/>
    <w:tmpl w:val="1C66F352"/>
    <w:name w:val="RD_Tiles_Hierarchy"/>
    <w:styleLink w:val="HIPTitlesHierarchy1"/>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BFD764C"/>
    <w:multiLevelType w:val="multilevel"/>
    <w:tmpl w:val="A59828A6"/>
    <w:name w:val="structure2"/>
    <w:styleLink w:val="HIPBulletsHierarchy1"/>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3"/>
  </w:num>
  <w:num w:numId="3">
    <w:abstractNumId w:val="11"/>
  </w:num>
  <w:num w:numId="4">
    <w:abstractNumId w:val="8"/>
  </w:num>
  <w:num w:numId="5">
    <w:abstractNumId w:val="12"/>
  </w:num>
  <w:num w:numId="6">
    <w:abstractNumId w:val="2"/>
  </w:num>
  <w:num w:numId="7">
    <w:abstractNumId w:val="4"/>
  </w:num>
  <w:num w:numId="8">
    <w:abstractNumId w:val="10"/>
  </w:num>
  <w:num w:numId="9">
    <w:abstractNumId w:val="9"/>
  </w:num>
  <w:num w:numId="10">
    <w:abstractNumId w:val="9"/>
  </w:num>
  <w:num w:numId="11">
    <w:abstractNumId w:val="7"/>
  </w:num>
  <w:num w:numId="12">
    <w:abstractNumId w:val="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B90"/>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6B14"/>
    <w:rsid w:val="00040A84"/>
    <w:rsid w:val="00040FA9"/>
    <w:rsid w:val="00041301"/>
    <w:rsid w:val="00043190"/>
    <w:rsid w:val="0004319A"/>
    <w:rsid w:val="0004551C"/>
    <w:rsid w:val="00047D3C"/>
    <w:rsid w:val="0005154A"/>
    <w:rsid w:val="00051DDE"/>
    <w:rsid w:val="000541C8"/>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506"/>
    <w:rsid w:val="00096922"/>
    <w:rsid w:val="0009716E"/>
    <w:rsid w:val="00097207"/>
    <w:rsid w:val="00097422"/>
    <w:rsid w:val="00097540"/>
    <w:rsid w:val="000A14B5"/>
    <w:rsid w:val="000A14D1"/>
    <w:rsid w:val="000A316A"/>
    <w:rsid w:val="000A316D"/>
    <w:rsid w:val="000A55BE"/>
    <w:rsid w:val="000A67CB"/>
    <w:rsid w:val="000A71D3"/>
    <w:rsid w:val="000B40AB"/>
    <w:rsid w:val="000C0D53"/>
    <w:rsid w:val="000C36E9"/>
    <w:rsid w:val="000C58D2"/>
    <w:rsid w:val="000D0DCD"/>
    <w:rsid w:val="000D0F63"/>
    <w:rsid w:val="000D7A17"/>
    <w:rsid w:val="000E18BF"/>
    <w:rsid w:val="000E2EB3"/>
    <w:rsid w:val="000E54EF"/>
    <w:rsid w:val="000F0388"/>
    <w:rsid w:val="000F16CC"/>
    <w:rsid w:val="000F2A4F"/>
    <w:rsid w:val="000F5307"/>
    <w:rsid w:val="000F5521"/>
    <w:rsid w:val="00100D4C"/>
    <w:rsid w:val="001016E4"/>
    <w:rsid w:val="0010381E"/>
    <w:rsid w:val="00103A5D"/>
    <w:rsid w:val="0010485E"/>
    <w:rsid w:val="00104860"/>
    <w:rsid w:val="00104DB4"/>
    <w:rsid w:val="00105B7A"/>
    <w:rsid w:val="001071F8"/>
    <w:rsid w:val="00111C25"/>
    <w:rsid w:val="00111CA1"/>
    <w:rsid w:val="001131CF"/>
    <w:rsid w:val="00113F18"/>
    <w:rsid w:val="0011585A"/>
    <w:rsid w:val="0011701B"/>
    <w:rsid w:val="00117759"/>
    <w:rsid w:val="001178D8"/>
    <w:rsid w:val="00121F29"/>
    <w:rsid w:val="001227E0"/>
    <w:rsid w:val="001239C8"/>
    <w:rsid w:val="00123EE6"/>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6578"/>
    <w:rsid w:val="001A768A"/>
    <w:rsid w:val="001A7B18"/>
    <w:rsid w:val="001B0043"/>
    <w:rsid w:val="001B0B90"/>
    <w:rsid w:val="001B150C"/>
    <w:rsid w:val="001B1836"/>
    <w:rsid w:val="001B29B0"/>
    <w:rsid w:val="001B3273"/>
    <w:rsid w:val="001B520C"/>
    <w:rsid w:val="001C2C22"/>
    <w:rsid w:val="001C3365"/>
    <w:rsid w:val="001C33A5"/>
    <w:rsid w:val="001C476E"/>
    <w:rsid w:val="001C7095"/>
    <w:rsid w:val="001C70BF"/>
    <w:rsid w:val="001D4147"/>
    <w:rsid w:val="001D55D5"/>
    <w:rsid w:val="001D6A6E"/>
    <w:rsid w:val="001D795A"/>
    <w:rsid w:val="001E0DF9"/>
    <w:rsid w:val="001E1D38"/>
    <w:rsid w:val="001E36AB"/>
    <w:rsid w:val="001E6535"/>
    <w:rsid w:val="001F17CE"/>
    <w:rsid w:val="001F39FB"/>
    <w:rsid w:val="001F5A63"/>
    <w:rsid w:val="00203BE6"/>
    <w:rsid w:val="00203D84"/>
    <w:rsid w:val="00205608"/>
    <w:rsid w:val="0020793F"/>
    <w:rsid w:val="00207DF0"/>
    <w:rsid w:val="00211EAC"/>
    <w:rsid w:val="00217FBE"/>
    <w:rsid w:val="002208F5"/>
    <w:rsid w:val="00225A80"/>
    <w:rsid w:val="0022728A"/>
    <w:rsid w:val="00227A5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6BA9"/>
    <w:rsid w:val="002F4126"/>
    <w:rsid w:val="002F53FB"/>
    <w:rsid w:val="002F6FFC"/>
    <w:rsid w:val="003000B4"/>
    <w:rsid w:val="00300A43"/>
    <w:rsid w:val="003010AB"/>
    <w:rsid w:val="00301C8F"/>
    <w:rsid w:val="00302A0A"/>
    <w:rsid w:val="00304068"/>
    <w:rsid w:val="0030419C"/>
    <w:rsid w:val="00305EA5"/>
    <w:rsid w:val="00310639"/>
    <w:rsid w:val="003132E0"/>
    <w:rsid w:val="00316A00"/>
    <w:rsid w:val="003176BD"/>
    <w:rsid w:val="00317F8D"/>
    <w:rsid w:val="00320340"/>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4C2C"/>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2D3"/>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1A0A"/>
    <w:rsid w:val="00452B5A"/>
    <w:rsid w:val="00453C8E"/>
    <w:rsid w:val="004542E7"/>
    <w:rsid w:val="00455426"/>
    <w:rsid w:val="00455EC2"/>
    <w:rsid w:val="0046015E"/>
    <w:rsid w:val="004621F9"/>
    <w:rsid w:val="00463DA1"/>
    <w:rsid w:val="0046428B"/>
    <w:rsid w:val="00464BCC"/>
    <w:rsid w:val="00465064"/>
    <w:rsid w:val="00465E86"/>
    <w:rsid w:val="0046608C"/>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222D"/>
    <w:rsid w:val="005949CD"/>
    <w:rsid w:val="005965AD"/>
    <w:rsid w:val="00597DC2"/>
    <w:rsid w:val="005A07EF"/>
    <w:rsid w:val="005A2D39"/>
    <w:rsid w:val="005A67D3"/>
    <w:rsid w:val="005B2283"/>
    <w:rsid w:val="005C1B6E"/>
    <w:rsid w:val="005C33A1"/>
    <w:rsid w:val="005C39DC"/>
    <w:rsid w:val="005C669F"/>
    <w:rsid w:val="005C6BDA"/>
    <w:rsid w:val="005D220C"/>
    <w:rsid w:val="005E0123"/>
    <w:rsid w:val="005E151F"/>
    <w:rsid w:val="005E1D56"/>
    <w:rsid w:val="005E5E28"/>
    <w:rsid w:val="005E7E61"/>
    <w:rsid w:val="005F2E51"/>
    <w:rsid w:val="005F33E1"/>
    <w:rsid w:val="005F3B9D"/>
    <w:rsid w:val="005F56C9"/>
    <w:rsid w:val="005F64AB"/>
    <w:rsid w:val="005F7A06"/>
    <w:rsid w:val="005F7AAC"/>
    <w:rsid w:val="006023F3"/>
    <w:rsid w:val="00603C3C"/>
    <w:rsid w:val="00604691"/>
    <w:rsid w:val="00604F4D"/>
    <w:rsid w:val="00605A80"/>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4512"/>
    <w:rsid w:val="00676F90"/>
    <w:rsid w:val="00680BAE"/>
    <w:rsid w:val="0068146F"/>
    <w:rsid w:val="006818E2"/>
    <w:rsid w:val="00684473"/>
    <w:rsid w:val="006879C3"/>
    <w:rsid w:val="00691200"/>
    <w:rsid w:val="00691670"/>
    <w:rsid w:val="00693D4E"/>
    <w:rsid w:val="00695FF7"/>
    <w:rsid w:val="00696AC6"/>
    <w:rsid w:val="006A03DB"/>
    <w:rsid w:val="006A09D8"/>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4E26"/>
    <w:rsid w:val="006F5E93"/>
    <w:rsid w:val="00703206"/>
    <w:rsid w:val="00703D56"/>
    <w:rsid w:val="007052FB"/>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78F"/>
    <w:rsid w:val="0078113F"/>
    <w:rsid w:val="007811AC"/>
    <w:rsid w:val="0078387C"/>
    <w:rsid w:val="007914CE"/>
    <w:rsid w:val="007962E4"/>
    <w:rsid w:val="0079799F"/>
    <w:rsid w:val="007A23B5"/>
    <w:rsid w:val="007A68CA"/>
    <w:rsid w:val="007A7578"/>
    <w:rsid w:val="007A7C0F"/>
    <w:rsid w:val="007B05C3"/>
    <w:rsid w:val="007B6FDC"/>
    <w:rsid w:val="007C5600"/>
    <w:rsid w:val="007C7083"/>
    <w:rsid w:val="007D21D5"/>
    <w:rsid w:val="007D6C66"/>
    <w:rsid w:val="007E077D"/>
    <w:rsid w:val="007E2F21"/>
    <w:rsid w:val="007F1E9C"/>
    <w:rsid w:val="007F254D"/>
    <w:rsid w:val="007F2B6A"/>
    <w:rsid w:val="007F3EB4"/>
    <w:rsid w:val="007F4820"/>
    <w:rsid w:val="007F56EE"/>
    <w:rsid w:val="007F6D5A"/>
    <w:rsid w:val="008002B8"/>
    <w:rsid w:val="0080095F"/>
    <w:rsid w:val="00801459"/>
    <w:rsid w:val="0080173C"/>
    <w:rsid w:val="00802DC4"/>
    <w:rsid w:val="008034CA"/>
    <w:rsid w:val="00805791"/>
    <w:rsid w:val="00805B5F"/>
    <w:rsid w:val="008063B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BE3"/>
    <w:rsid w:val="00844A1C"/>
    <w:rsid w:val="008454C1"/>
    <w:rsid w:val="00845950"/>
    <w:rsid w:val="00846C6B"/>
    <w:rsid w:val="008520A7"/>
    <w:rsid w:val="00853023"/>
    <w:rsid w:val="0085320B"/>
    <w:rsid w:val="008533D1"/>
    <w:rsid w:val="008538A1"/>
    <w:rsid w:val="0085404F"/>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5E42"/>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5F1C"/>
    <w:rsid w:val="008E64AB"/>
    <w:rsid w:val="008E6781"/>
    <w:rsid w:val="008E74D4"/>
    <w:rsid w:val="008F022B"/>
    <w:rsid w:val="008F3B31"/>
    <w:rsid w:val="008F4E75"/>
    <w:rsid w:val="008F6F2C"/>
    <w:rsid w:val="008F76AF"/>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76F2"/>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2784"/>
    <w:rsid w:val="009A3923"/>
    <w:rsid w:val="009A4E8F"/>
    <w:rsid w:val="009A7544"/>
    <w:rsid w:val="009B0B5A"/>
    <w:rsid w:val="009B0FB2"/>
    <w:rsid w:val="009B2549"/>
    <w:rsid w:val="009B27F8"/>
    <w:rsid w:val="009B2950"/>
    <w:rsid w:val="009B4A83"/>
    <w:rsid w:val="009B73BF"/>
    <w:rsid w:val="009C04F6"/>
    <w:rsid w:val="009C1F0D"/>
    <w:rsid w:val="009C280B"/>
    <w:rsid w:val="009C29F5"/>
    <w:rsid w:val="009C463D"/>
    <w:rsid w:val="009C5901"/>
    <w:rsid w:val="009C703E"/>
    <w:rsid w:val="009D0B61"/>
    <w:rsid w:val="009D2085"/>
    <w:rsid w:val="009D26A2"/>
    <w:rsid w:val="009D30B8"/>
    <w:rsid w:val="009D46ED"/>
    <w:rsid w:val="009D661A"/>
    <w:rsid w:val="009D7157"/>
    <w:rsid w:val="009E27C2"/>
    <w:rsid w:val="009E2BB9"/>
    <w:rsid w:val="009E3217"/>
    <w:rsid w:val="009E322E"/>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024"/>
    <w:rsid w:val="00A401B5"/>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70B"/>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422"/>
    <w:rsid w:val="00AE6BCF"/>
    <w:rsid w:val="00AE700F"/>
    <w:rsid w:val="00AF20C4"/>
    <w:rsid w:val="00AF31AB"/>
    <w:rsid w:val="00AF3C2C"/>
    <w:rsid w:val="00AF56F2"/>
    <w:rsid w:val="00AF7B25"/>
    <w:rsid w:val="00AF7D26"/>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56FF8"/>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5CC5"/>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4D95"/>
    <w:rsid w:val="00BC66FE"/>
    <w:rsid w:val="00BD1723"/>
    <w:rsid w:val="00BD1D68"/>
    <w:rsid w:val="00BD25E9"/>
    <w:rsid w:val="00BD30ED"/>
    <w:rsid w:val="00BD5189"/>
    <w:rsid w:val="00BD747A"/>
    <w:rsid w:val="00BE1085"/>
    <w:rsid w:val="00BE267E"/>
    <w:rsid w:val="00BE5449"/>
    <w:rsid w:val="00BE5A67"/>
    <w:rsid w:val="00BF08DD"/>
    <w:rsid w:val="00BF3B6A"/>
    <w:rsid w:val="00BF49C7"/>
    <w:rsid w:val="00C0318D"/>
    <w:rsid w:val="00C067A3"/>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37B90"/>
    <w:rsid w:val="00D429EE"/>
    <w:rsid w:val="00D42E2E"/>
    <w:rsid w:val="00D4571D"/>
    <w:rsid w:val="00D46C7B"/>
    <w:rsid w:val="00D47647"/>
    <w:rsid w:val="00D56B5F"/>
    <w:rsid w:val="00D57F4F"/>
    <w:rsid w:val="00D60D10"/>
    <w:rsid w:val="00D62251"/>
    <w:rsid w:val="00D63116"/>
    <w:rsid w:val="00D638A6"/>
    <w:rsid w:val="00D65589"/>
    <w:rsid w:val="00D672EC"/>
    <w:rsid w:val="00D67B5C"/>
    <w:rsid w:val="00D702A7"/>
    <w:rsid w:val="00D71DF6"/>
    <w:rsid w:val="00D71F9C"/>
    <w:rsid w:val="00D75B86"/>
    <w:rsid w:val="00D77BE8"/>
    <w:rsid w:val="00D8046C"/>
    <w:rsid w:val="00D8213A"/>
    <w:rsid w:val="00D91533"/>
    <w:rsid w:val="00D91F0F"/>
    <w:rsid w:val="00D9206E"/>
    <w:rsid w:val="00D932DC"/>
    <w:rsid w:val="00D93C89"/>
    <w:rsid w:val="00D94FEE"/>
    <w:rsid w:val="00D9553B"/>
    <w:rsid w:val="00DA046D"/>
    <w:rsid w:val="00DA269E"/>
    <w:rsid w:val="00DA4798"/>
    <w:rsid w:val="00DA552F"/>
    <w:rsid w:val="00DA6A48"/>
    <w:rsid w:val="00DB0B42"/>
    <w:rsid w:val="00DB3E84"/>
    <w:rsid w:val="00DB4069"/>
    <w:rsid w:val="00DB5D0B"/>
    <w:rsid w:val="00DB7B4D"/>
    <w:rsid w:val="00DC2054"/>
    <w:rsid w:val="00DC2472"/>
    <w:rsid w:val="00DC33F5"/>
    <w:rsid w:val="00DC3648"/>
    <w:rsid w:val="00DC3E55"/>
    <w:rsid w:val="00DC3EA0"/>
    <w:rsid w:val="00DC4711"/>
    <w:rsid w:val="00DC7DFF"/>
    <w:rsid w:val="00DC7F23"/>
    <w:rsid w:val="00DD0C12"/>
    <w:rsid w:val="00DD1E6F"/>
    <w:rsid w:val="00DD6562"/>
    <w:rsid w:val="00DD6D3A"/>
    <w:rsid w:val="00DE0F8A"/>
    <w:rsid w:val="00DE1B2F"/>
    <w:rsid w:val="00DE23E5"/>
    <w:rsid w:val="00DE495D"/>
    <w:rsid w:val="00DE4C4D"/>
    <w:rsid w:val="00DE4DCD"/>
    <w:rsid w:val="00DE524F"/>
    <w:rsid w:val="00DF3F29"/>
    <w:rsid w:val="00DF421A"/>
    <w:rsid w:val="00DF4266"/>
    <w:rsid w:val="00E0321A"/>
    <w:rsid w:val="00E04179"/>
    <w:rsid w:val="00E04A9E"/>
    <w:rsid w:val="00E06206"/>
    <w:rsid w:val="00E07081"/>
    <w:rsid w:val="00E07E02"/>
    <w:rsid w:val="00E10293"/>
    <w:rsid w:val="00E104D5"/>
    <w:rsid w:val="00E10C23"/>
    <w:rsid w:val="00E12EBA"/>
    <w:rsid w:val="00E12F24"/>
    <w:rsid w:val="00E1439B"/>
    <w:rsid w:val="00E14F1B"/>
    <w:rsid w:val="00E164C5"/>
    <w:rsid w:val="00E17E62"/>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49"/>
    <w:rsid w:val="00E563C2"/>
    <w:rsid w:val="00E56618"/>
    <w:rsid w:val="00E57724"/>
    <w:rsid w:val="00E578CB"/>
    <w:rsid w:val="00E6026B"/>
    <w:rsid w:val="00E612DB"/>
    <w:rsid w:val="00E618C0"/>
    <w:rsid w:val="00E61F6D"/>
    <w:rsid w:val="00E62DFD"/>
    <w:rsid w:val="00E6584D"/>
    <w:rsid w:val="00E66A52"/>
    <w:rsid w:val="00E673B8"/>
    <w:rsid w:val="00E72086"/>
    <w:rsid w:val="00E72D26"/>
    <w:rsid w:val="00E72F51"/>
    <w:rsid w:val="00E73638"/>
    <w:rsid w:val="00E748C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1C0"/>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234"/>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2785B"/>
    <w:rsid w:val="00F31503"/>
    <w:rsid w:val="00F31846"/>
    <w:rsid w:val="00F31D8C"/>
    <w:rsid w:val="00F34BB1"/>
    <w:rsid w:val="00F363D1"/>
    <w:rsid w:val="00F377FA"/>
    <w:rsid w:val="00F37F8E"/>
    <w:rsid w:val="00F44873"/>
    <w:rsid w:val="00F45635"/>
    <w:rsid w:val="00F52B27"/>
    <w:rsid w:val="00F52ECF"/>
    <w:rsid w:val="00F5419E"/>
    <w:rsid w:val="00F604AE"/>
    <w:rsid w:val="00F604B6"/>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23CD"/>
    <w:rsid w:val="00FB3EE3"/>
    <w:rsid w:val="00FB6739"/>
    <w:rsid w:val="00FB73EC"/>
    <w:rsid w:val="00FB75C9"/>
    <w:rsid w:val="00FB79B8"/>
    <w:rsid w:val="00FC0D2F"/>
    <w:rsid w:val="00FC1025"/>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4CBD"/>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qFormat="1"/>
    <w:lsdException w:name="annotation reference" w:uiPriority="99"/>
    <w:lsdException w:name="endnote text" w:uiPriority="99"/>
    <w:lsdException w:name="List" w:uiPriority="99"/>
    <w:lsdException w:name="Title" w:uiPriority="99" w:qFormat="1"/>
    <w:lsdException w:name="Signature" w:uiPriority="99"/>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3023"/>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FF4CBD"/>
    <w:pPr>
      <w:keepNext/>
      <w:tabs>
        <w:tab w:val="left" w:pos="993"/>
      </w:tabs>
      <w:spacing w:after="60"/>
      <w:outlineLvl w:val="3"/>
    </w:pPr>
    <w:rPr>
      <w:rFonts w:eastAsia="Times New Roman"/>
      <w:b/>
      <w:bCs/>
      <w:color w:val="005173"/>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uiPriority w:val="99"/>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0F5521"/>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0F5521"/>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DC3EA0"/>
    <w:pPr>
      <w:tabs>
        <w:tab w:val="clear" w:pos="2267"/>
        <w:tab w:val="right" w:leader="dot" w:pos="8505"/>
        <w:tab w:val="right" w:pos="8929"/>
      </w:tabs>
      <w:spacing w:before="40"/>
      <w:ind w:left="1701" w:right="142" w:hanging="567"/>
      <w:jc w:val="left"/>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9C04F6"/>
    <w:pPr>
      <w:tabs>
        <w:tab w:val="clear" w:pos="1700"/>
        <w:tab w:val="clear" w:pos="2267"/>
        <w:tab w:val="left" w:pos="284"/>
        <w:tab w:val="left" w:pos="849"/>
      </w:tabs>
      <w:spacing w:before="80" w:line="180" w:lineRule="auto"/>
    </w:pPr>
    <w:rPr>
      <w:sz w:val="18"/>
      <w:szCs w:val="25"/>
    </w:rPr>
  </w:style>
  <w:style w:type="character" w:customStyle="1" w:styleId="FootnoteTextChar">
    <w:name w:val="Footnote Text Char"/>
    <w:link w:val="FootnoteText"/>
    <w:uiPriority w:val="99"/>
    <w:rsid w:val="009C04F6"/>
    <w:rPr>
      <w:rFonts w:ascii="Calibri" w:hAnsi="Calibri" w:cs="Traditional Arabic"/>
      <w:sz w:val="18"/>
      <w:szCs w:val="25"/>
      <w:lang w:eastAsia="fr-FR"/>
    </w:rPr>
  </w:style>
  <w:style w:type="character" w:styleId="FootnoteReference">
    <w:name w:val="footnote reference"/>
    <w:aliases w:val="Appel note de bas de p,Footnote symbol,Ref,de nota al pie"/>
    <w:uiPriority w:val="99"/>
    <w:qFormat/>
    <w:rsid w:val="00096506"/>
    <w:rPr>
      <w:rFonts w:asciiTheme="minorHAnsi" w:hAnsiTheme="minorHAnsi"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9C04F6"/>
    <w:pPr>
      <w:keepNext/>
      <w:spacing w:before="18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9C04F6"/>
    <w:rPr>
      <w:rFonts w:ascii="Calibri" w:hAnsi="Calibri" w:cs="Traditional Arabic"/>
      <w:b/>
      <w:bCs/>
      <w:sz w:val="21"/>
      <w:szCs w:val="28"/>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FF4CBD"/>
    <w:rPr>
      <w:rFonts w:ascii="Calibri" w:eastAsia="Times New Roman" w:hAnsi="Calibri" w:cs="Traditional Arabic"/>
      <w:b/>
      <w:bCs/>
      <w:color w:val="005173"/>
      <w:sz w:val="21"/>
      <w:szCs w:val="28"/>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uiPriority w:val="99"/>
    <w:locked/>
    <w:rsid w:val="00271D36"/>
    <w:rPr>
      <w:rFonts w:ascii="Calibri" w:hAnsi="Calibri" w:cs="Traditional Arabic"/>
      <w:sz w:val="24"/>
      <w:szCs w:val="24"/>
      <w:lang w:eastAsia="fr-FR"/>
    </w:rPr>
  </w:style>
  <w:style w:type="character" w:customStyle="1" w:styleId="Heading8Char">
    <w:name w:val="Heading 8 Char"/>
    <w:link w:val="Heading8"/>
    <w:uiPriority w:val="99"/>
    <w:locked/>
    <w:rsid w:val="00271D36"/>
    <w:rPr>
      <w:rFonts w:ascii="Calibri" w:hAnsi="Calibri" w:cs="Traditional Arabic"/>
      <w:i/>
      <w:iCs/>
      <w:sz w:val="24"/>
      <w:szCs w:val="24"/>
      <w:lang w:eastAsia="fr-FR"/>
    </w:rPr>
  </w:style>
  <w:style w:type="character" w:customStyle="1" w:styleId="Heading9Char">
    <w:name w:val="Heading 9 Char"/>
    <w:link w:val="Heading9"/>
    <w:uiPriority w:val="9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096506"/>
    <w:pPr>
      <w:spacing w:before="60" w:after="60" w:line="260" w:lineRule="exact"/>
      <w:jc w:val="left"/>
    </w:pPr>
    <w:rPr>
      <w:sz w:val="19"/>
      <w:szCs w:val="26"/>
    </w:rPr>
  </w:style>
  <w:style w:type="character" w:customStyle="1" w:styleId="TabletextChar">
    <w:name w:val="Table text Char"/>
    <w:link w:val="Tabletext"/>
    <w:rsid w:val="00096506"/>
    <w:rPr>
      <w:rFonts w:ascii="Calibri" w:hAnsi="Calibri" w:cs="Traditional Arabic"/>
      <w:sz w:val="19"/>
      <w:szCs w:val="26"/>
      <w:lang w:eastAsia="fr-FR"/>
    </w:rPr>
  </w:style>
  <w:style w:type="paragraph" w:customStyle="1" w:styleId="Tabletitle">
    <w:name w:val="Table title"/>
    <w:basedOn w:val="Normal"/>
    <w:link w:val="TabletitleChar"/>
    <w:uiPriority w:val="99"/>
    <w:qFormat/>
    <w:rsid w:val="00096506"/>
    <w:pPr>
      <w:keepNext/>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uiPriority w:val="99"/>
    <w:rsid w:val="00096506"/>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uiPriority w:val="99"/>
    <w:qFormat/>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uiPriority w:val="99"/>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uiPriority w:val="99"/>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uiPriority w:val="99"/>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uiPriority w:val="99"/>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uiPriority w:val="99"/>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uiPriority w:val="99"/>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uiPriority w:val="99"/>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uiPriority w:val="99"/>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uiPriority w:val="99"/>
    <w:rsid w:val="00D71DF6"/>
  </w:style>
  <w:style w:type="paragraph" w:customStyle="1" w:styleId="Questionref">
    <w:name w:val="Question_ref"/>
    <w:basedOn w:val="Normal"/>
    <w:next w:val="Question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uiPriority w:val="99"/>
    <w:rsid w:val="00D71DF6"/>
  </w:style>
  <w:style w:type="paragraph" w:customStyle="1" w:styleId="RepNo">
    <w:name w:val="Rep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uiPriority w:val="99"/>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uiPriority w:val="99"/>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uiPriority w:val="99"/>
    <w:qFormat/>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uiPriority w:val="99"/>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uiPriority w:val="99"/>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99"/>
    <w:qFormat/>
    <w:rsid w:val="00D37B90"/>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D37B90"/>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D37B90"/>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D37B90"/>
    <w:rPr>
      <w:rFonts w:ascii="Verdana" w:eastAsia="SimHei" w:hAnsi="Verdana" w:cs="Simplified Arabic"/>
      <w:sz w:val="19"/>
      <w:szCs w:val="26"/>
      <w:lang w:val="en-GB" w:eastAsia="en-US" w:bidi="ar-EG"/>
    </w:rPr>
  </w:style>
  <w:style w:type="paragraph" w:customStyle="1" w:styleId="CEODocNo">
    <w:name w:val="CEO_DocNo"/>
    <w:next w:val="Normal"/>
    <w:uiPriority w:val="99"/>
    <w:rsid w:val="00D37B90"/>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uiPriority w:val="99"/>
    <w:rsid w:val="00D37B90"/>
    <w:rPr>
      <w:rFonts w:ascii="Verdana" w:eastAsia="SimHei" w:hAnsi="Verdana" w:cs="Simplified Arabic"/>
      <w:b/>
      <w:sz w:val="19"/>
      <w:szCs w:val="19"/>
      <w:lang w:val="en-GB" w:eastAsia="en-US"/>
    </w:rPr>
  </w:style>
  <w:style w:type="paragraph" w:customStyle="1" w:styleId="CEOMeetingSTG">
    <w:name w:val="CEO_MeetingSTG"/>
    <w:basedOn w:val="CEOMeetingName"/>
    <w:uiPriority w:val="99"/>
    <w:rsid w:val="00D37B90"/>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uiPriority w:val="99"/>
    <w:rsid w:val="00D37B90"/>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uiPriority w:val="99"/>
    <w:rsid w:val="00D37B90"/>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uiPriority w:val="99"/>
    <w:rsid w:val="00D37B90"/>
    <w:rPr>
      <w:b w:val="0"/>
      <w:bCs/>
      <w:sz w:val="18"/>
      <w:szCs w:val="26"/>
    </w:rPr>
  </w:style>
  <w:style w:type="paragraph" w:customStyle="1" w:styleId="CEOSectorName">
    <w:name w:val="CEO_SectorName"/>
    <w:basedOn w:val="Normal"/>
    <w:uiPriority w:val="99"/>
    <w:rsid w:val="00D37B90"/>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uiPriority w:val="99"/>
    <w:rsid w:val="00D37B90"/>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D37B90"/>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uiPriority w:val="99"/>
    <w:qFormat/>
    <w:rsid w:val="00D37B90"/>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uiPriority w:val="99"/>
    <w:rsid w:val="00D37B90"/>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uiPriority w:val="99"/>
    <w:rsid w:val="00D37B90"/>
    <w:pPr>
      <w:tabs>
        <w:tab w:val="clear" w:pos="567"/>
        <w:tab w:val="clear" w:pos="1133"/>
        <w:tab w:val="clear" w:pos="1700"/>
        <w:tab w:val="clear" w:pos="2267"/>
        <w:tab w:val="num" w:pos="709"/>
      </w:tabs>
      <w:kinsoku/>
      <w:bidi w:val="0"/>
      <w:spacing w:before="60" w:after="60" w:line="240" w:lineRule="auto"/>
      <w:ind w:left="709"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uiPriority w:val="99"/>
    <w:rsid w:val="00D37B90"/>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character" w:customStyle="1" w:styleId="st">
    <w:name w:val="st"/>
    <w:basedOn w:val="DefaultParagraphFont"/>
    <w:rsid w:val="00D37B90"/>
  </w:style>
  <w:style w:type="paragraph" w:customStyle="1" w:styleId="Normal1">
    <w:name w:val="Normal1"/>
    <w:basedOn w:val="Normal"/>
    <w:link w:val="normalChar"/>
    <w:rsid w:val="00D37B90"/>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D37B90"/>
    <w:rPr>
      <w:rFonts w:ascii="Calibri" w:eastAsia="Times New Roman" w:hAnsi="Calibri" w:cs="Traditional Arabic"/>
      <w:sz w:val="21"/>
      <w:szCs w:val="28"/>
      <w:lang w:eastAsia="en-US" w:bidi="ar-EG"/>
    </w:rPr>
  </w:style>
  <w:style w:type="paragraph" w:customStyle="1" w:styleId="AnnexNTitle">
    <w:name w:val="Annex N° &amp; Title"/>
    <w:basedOn w:val="Normal"/>
    <w:uiPriority w:val="99"/>
    <w:rsid w:val="00D37B9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D37B90"/>
  </w:style>
  <w:style w:type="paragraph" w:customStyle="1" w:styleId="ecxmsonormal">
    <w:name w:val="ecxmsonormal"/>
    <w:basedOn w:val="Normal"/>
    <w:uiPriority w:val="99"/>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uiPriority w:val="99"/>
    <w:rsid w:val="00D37B90"/>
    <w:pPr>
      <w:keepNext/>
      <w:keepLines/>
      <w:numPr>
        <w:numId w:val="0"/>
      </w:numPr>
      <w:spacing w:before="480"/>
    </w:pPr>
  </w:style>
  <w:style w:type="paragraph" w:customStyle="1" w:styleId="CEOcontribution-H123">
    <w:name w:val="CEO_contribution-H123"/>
    <w:basedOn w:val="Normal"/>
    <w:uiPriority w:val="99"/>
    <w:rsid w:val="00D37B90"/>
    <w:pPr>
      <w:numPr>
        <w:numId w:val="4"/>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link w:val="CEOcontributionStart0"/>
    <w:uiPriority w:val="99"/>
    <w:rsid w:val="00D37B90"/>
    <w:pPr>
      <w:numPr>
        <w:numId w:val="0"/>
      </w:numPr>
      <w:spacing w:before="360"/>
    </w:pPr>
    <w:rPr>
      <w:b w:val="0"/>
    </w:rPr>
  </w:style>
  <w:style w:type="paragraph" w:customStyle="1" w:styleId="CEOAbstract">
    <w:name w:val="CEOAbstract"/>
    <w:uiPriority w:val="99"/>
    <w:rsid w:val="00D37B90"/>
    <w:pPr>
      <w:tabs>
        <w:tab w:val="left" w:pos="2127"/>
      </w:tabs>
    </w:pPr>
    <w:rPr>
      <w:rFonts w:ascii="Verdana" w:eastAsia="SimHei" w:hAnsi="Verdana" w:cs="Simplified Arabic"/>
      <w:b/>
      <w:sz w:val="19"/>
      <w:szCs w:val="22"/>
      <w:lang w:val="fr-CA"/>
    </w:rPr>
  </w:style>
  <w:style w:type="character" w:customStyle="1" w:styleId="hps">
    <w:name w:val="hps"/>
    <w:rsid w:val="00D37B90"/>
    <w:rPr>
      <w:rFonts w:ascii="Trebuchet MS" w:hAnsi="Trebuchet MS" w:cs="Times New Roman"/>
      <w:noProof w:val="0"/>
      <w:lang w:val="en-GB"/>
    </w:rPr>
  </w:style>
  <w:style w:type="paragraph" w:customStyle="1" w:styleId="Pa3">
    <w:name w:val="Pa3"/>
    <w:basedOn w:val="Default"/>
    <w:next w:val="Default"/>
    <w:uiPriority w:val="99"/>
    <w:rsid w:val="00D37B90"/>
    <w:pPr>
      <w:spacing w:line="201" w:lineRule="atLeast"/>
    </w:pPr>
    <w:rPr>
      <w:rFonts w:ascii="Myriad Pro" w:eastAsia="Calibri" w:hAnsi="Myriad Pro" w:cs="Arial"/>
      <w:color w:val="auto"/>
      <w:lang w:val="en-GB"/>
    </w:rPr>
  </w:style>
  <w:style w:type="character" w:customStyle="1" w:styleId="A12">
    <w:name w:val="A12"/>
    <w:uiPriority w:val="99"/>
    <w:rsid w:val="00D37B90"/>
    <w:rPr>
      <w:rFonts w:ascii="Myriad Pro" w:hAnsi="Myriad Pro" w:cs="Myriad Pro" w:hint="default"/>
      <w:color w:val="000000"/>
      <w:sz w:val="11"/>
      <w:szCs w:val="11"/>
    </w:rPr>
  </w:style>
  <w:style w:type="character" w:customStyle="1" w:styleId="A14">
    <w:name w:val="A14"/>
    <w:uiPriority w:val="99"/>
    <w:rsid w:val="00D37B90"/>
    <w:rPr>
      <w:rFonts w:ascii="Myriad Pro" w:hAnsi="Myriad Pro" w:cs="Myriad Pro" w:hint="default"/>
      <w:color w:val="000000"/>
      <w:sz w:val="50"/>
      <w:szCs w:val="50"/>
    </w:rPr>
  </w:style>
  <w:style w:type="paragraph" w:customStyle="1" w:styleId="LetterStart">
    <w:name w:val="Letter_Start"/>
    <w:basedOn w:val="Normal"/>
    <w:uiPriority w:val="99"/>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jc w:val="left"/>
    </w:pPr>
    <w:rPr>
      <w:rFonts w:ascii="Verdana" w:eastAsia="SimHei" w:hAnsi="Verdana" w:cs="Times New Roman"/>
      <w:bCs/>
      <w:sz w:val="24"/>
      <w:szCs w:val="20"/>
      <w:lang w:val="en-GB" w:eastAsia="zh-CN"/>
    </w:rPr>
  </w:style>
  <w:style w:type="paragraph" w:styleId="Index1">
    <w:name w:val="index 1"/>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customStyle="1" w:styleId="TableLegend0">
    <w:name w:val="Table_Legend"/>
    <w:basedOn w:val="Normal"/>
    <w:uiPriority w:val="99"/>
    <w:rsid w:val="00D37B9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after="40" w:line="240" w:lineRule="auto"/>
      <w:jc w:val="left"/>
    </w:pPr>
    <w:rPr>
      <w:rFonts w:ascii="Verdana" w:eastAsia="SimHei" w:hAnsi="Verdana" w:cs="Times New Roman"/>
      <w:bCs/>
      <w:sz w:val="19"/>
      <w:szCs w:val="20"/>
      <w:lang w:val="en-GB" w:eastAsia="zh-CN"/>
    </w:rPr>
  </w:style>
  <w:style w:type="paragraph" w:customStyle="1" w:styleId="TableHead0">
    <w:name w:val="Table_Head"/>
    <w:basedOn w:val="Normal"/>
    <w:uiPriority w:val="99"/>
    <w:rsid w:val="00D37B90"/>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80" w:after="80" w:line="260" w:lineRule="exact"/>
      <w:jc w:val="center"/>
    </w:pPr>
    <w:rPr>
      <w:rFonts w:ascii="Verdana Bold" w:hAnsi="Verdana Bold" w:cs="Simplified Arabic"/>
      <w:b/>
      <w:bCs/>
      <w:sz w:val="16"/>
      <w:szCs w:val="22"/>
      <w:lang w:val="en-GB" w:eastAsia="zh-CN"/>
    </w:rPr>
  </w:style>
  <w:style w:type="paragraph" w:customStyle="1" w:styleId="FigureLegend0">
    <w:name w:val="Figure_Legend"/>
    <w:basedOn w:val="Normal"/>
    <w:uiPriority w:val="99"/>
    <w:rsid w:val="00D37B90"/>
    <w:pPr>
      <w:keepNext/>
      <w:keepLines/>
      <w:tabs>
        <w:tab w:val="clear" w:pos="567"/>
        <w:tab w:val="clear" w:pos="1133"/>
        <w:tab w:val="clear" w:pos="1700"/>
        <w:tab w:val="clear" w:pos="2267"/>
      </w:tabs>
      <w:kinsoku/>
      <w:bidi w:val="0"/>
      <w:spacing w:before="20" w:after="20" w:line="240" w:lineRule="auto"/>
      <w:jc w:val="left"/>
    </w:pPr>
    <w:rPr>
      <w:rFonts w:ascii="Verdana" w:eastAsia="SimHei" w:hAnsi="Verdana" w:cs="Times New Roman"/>
      <w:bCs/>
      <w:sz w:val="18"/>
      <w:szCs w:val="20"/>
      <w:lang w:val="en-GB" w:eastAsia="zh-CN"/>
    </w:rPr>
  </w:style>
  <w:style w:type="paragraph" w:customStyle="1" w:styleId="CEOAgendaItemN">
    <w:name w:val="CEO_AgendaItemN°"/>
    <w:basedOn w:val="CEOIndent1-123"/>
    <w:uiPriority w:val="99"/>
    <w:rsid w:val="00D37B90"/>
    <w:pPr>
      <w:ind w:left="0" w:right="12"/>
      <w:jc w:val="right"/>
    </w:pPr>
  </w:style>
  <w:style w:type="numbering" w:customStyle="1" w:styleId="NoList1">
    <w:name w:val="No List1"/>
    <w:next w:val="NoList"/>
    <w:semiHidden/>
    <w:rsid w:val="00D37B90"/>
  </w:style>
  <w:style w:type="paragraph" w:styleId="Index7">
    <w:name w:val="index 7"/>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698"/>
      <w:jc w:val="left"/>
    </w:pPr>
    <w:rPr>
      <w:rFonts w:ascii="Verdana" w:eastAsia="SimHei" w:hAnsi="Verdana" w:cs="Times New Roman"/>
      <w:bCs/>
      <w:sz w:val="24"/>
      <w:szCs w:val="20"/>
      <w:lang w:val="en-GB" w:eastAsia="zh-CN"/>
    </w:rPr>
  </w:style>
  <w:style w:type="paragraph" w:styleId="Index6">
    <w:name w:val="index 6"/>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415"/>
      <w:jc w:val="left"/>
    </w:pPr>
    <w:rPr>
      <w:rFonts w:ascii="Verdana" w:eastAsia="SimHei" w:hAnsi="Verdana" w:cs="Times New Roman"/>
      <w:bCs/>
      <w:sz w:val="24"/>
      <w:szCs w:val="20"/>
      <w:lang w:val="en-GB" w:eastAsia="zh-CN"/>
    </w:rPr>
  </w:style>
  <w:style w:type="paragraph" w:styleId="Index5">
    <w:name w:val="index 5"/>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132"/>
      <w:jc w:val="left"/>
    </w:pPr>
    <w:rPr>
      <w:rFonts w:ascii="Verdana" w:eastAsia="SimHei" w:hAnsi="Verdana" w:cs="Times New Roman"/>
      <w:bCs/>
      <w:sz w:val="24"/>
      <w:szCs w:val="20"/>
      <w:lang w:val="en-GB" w:eastAsia="zh-CN"/>
    </w:rPr>
  </w:style>
  <w:style w:type="paragraph" w:styleId="Index4">
    <w:name w:val="index 4"/>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851"/>
      <w:jc w:val="left"/>
    </w:pPr>
    <w:rPr>
      <w:rFonts w:ascii="Verdana" w:eastAsia="SimHei" w:hAnsi="Verdana" w:cs="Times New Roman"/>
      <w:bCs/>
      <w:sz w:val="24"/>
      <w:szCs w:val="20"/>
      <w:lang w:val="en-GB" w:eastAsia="zh-CN"/>
    </w:rPr>
  </w:style>
  <w:style w:type="paragraph" w:styleId="Index3">
    <w:name w:val="index 3"/>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567"/>
      <w:jc w:val="left"/>
    </w:pPr>
    <w:rPr>
      <w:rFonts w:ascii="Verdana" w:eastAsia="SimHei" w:hAnsi="Verdana" w:cs="Times New Roman"/>
      <w:bCs/>
      <w:sz w:val="24"/>
      <w:szCs w:val="20"/>
      <w:lang w:val="en-GB" w:eastAsia="zh-CN"/>
    </w:rPr>
  </w:style>
  <w:style w:type="paragraph" w:styleId="Index2">
    <w:name w:val="index 2"/>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284"/>
      <w:jc w:val="left"/>
    </w:pPr>
    <w:rPr>
      <w:rFonts w:ascii="Verdana" w:eastAsia="SimHei" w:hAnsi="Verdana" w:cs="Times New Roman"/>
      <w:bCs/>
      <w:sz w:val="24"/>
      <w:szCs w:val="20"/>
      <w:lang w:val="en-GB" w:eastAsia="zh-CN"/>
    </w:rPr>
  </w:style>
  <w:style w:type="character" w:styleId="LineNumber">
    <w:name w:val="line number"/>
    <w:basedOn w:val="DefaultParagraphFont"/>
    <w:rsid w:val="00D37B90"/>
  </w:style>
  <w:style w:type="paragraph" w:styleId="IndexHeading">
    <w:name w:val="index heading"/>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styleId="NormalIndent">
    <w:name w:val="Normal Indent"/>
    <w:basedOn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jc w:val="left"/>
    </w:pPr>
    <w:rPr>
      <w:rFonts w:ascii="Verdana" w:eastAsia="SimHei" w:hAnsi="Verdana" w:cs="Times New Roman"/>
      <w:bCs/>
      <w:sz w:val="24"/>
      <w:szCs w:val="20"/>
      <w:lang w:val="en-GB" w:eastAsia="zh-CN"/>
    </w:rPr>
  </w:style>
  <w:style w:type="paragraph" w:customStyle="1" w:styleId="TableText1">
    <w:name w:val="Table_Text"/>
    <w:basedOn w:val="Normal"/>
    <w:link w:val="TableTextChar0"/>
    <w:rsid w:val="009C04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40" w:after="40" w:line="260" w:lineRule="exact"/>
      <w:jc w:val="left"/>
    </w:pPr>
    <w:rPr>
      <w:sz w:val="18"/>
      <w:szCs w:val="24"/>
      <w:lang w:val="en-GB" w:eastAsia="zh-CN"/>
    </w:rPr>
  </w:style>
  <w:style w:type="paragraph" w:customStyle="1" w:styleId="TableTitle0">
    <w:name w:val="Table_Title"/>
    <w:basedOn w:val="Table"/>
    <w:next w:val="TableText1"/>
    <w:qFormat/>
    <w:rsid w:val="00D37B90"/>
  </w:style>
  <w:style w:type="paragraph" w:customStyle="1" w:styleId="Table">
    <w:name w:val="Table_#"/>
    <w:basedOn w:val="Normal"/>
    <w:next w:val="TableTitle0"/>
    <w:uiPriority w:val="99"/>
    <w:rsid w:val="00D37B90"/>
    <w:pPr>
      <w:keepNext/>
      <w:tabs>
        <w:tab w:val="clear" w:pos="567"/>
        <w:tab w:val="clear" w:pos="1133"/>
        <w:tab w:val="clear" w:pos="1700"/>
        <w:tab w:val="clear" w:pos="2267"/>
        <w:tab w:val="left" w:pos="794"/>
        <w:tab w:val="left" w:pos="1191"/>
        <w:tab w:val="left" w:pos="1588"/>
        <w:tab w:val="left" w:pos="1985"/>
      </w:tabs>
      <w:kinsoku/>
      <w:bidi w:val="0"/>
      <w:spacing w:before="560" w:after="120" w:line="240" w:lineRule="auto"/>
      <w:jc w:val="center"/>
    </w:pPr>
    <w:rPr>
      <w:rFonts w:ascii="Verdana" w:eastAsia="SimHei" w:hAnsi="Verdana" w:cs="Times New Roman"/>
      <w:bCs/>
      <w:caps/>
      <w:sz w:val="24"/>
      <w:szCs w:val="20"/>
      <w:lang w:val="en-GB" w:eastAsia="zh-CN"/>
    </w:rPr>
  </w:style>
  <w:style w:type="paragraph" w:customStyle="1" w:styleId="Figure0">
    <w:name w:val="Figure_#"/>
    <w:basedOn w:val="Table"/>
    <w:next w:val="FigureTitle0"/>
    <w:uiPriority w:val="99"/>
    <w:rsid w:val="00D37B90"/>
  </w:style>
  <w:style w:type="paragraph" w:customStyle="1" w:styleId="FigureTitle0">
    <w:name w:val="Figure_Title"/>
    <w:basedOn w:val="TableTitle0"/>
    <w:next w:val="Normal"/>
    <w:uiPriority w:val="99"/>
    <w:rsid w:val="00D37B90"/>
  </w:style>
  <w:style w:type="paragraph" w:customStyle="1" w:styleId="CEOConsidering">
    <w:name w:val="CEO_Considering"/>
    <w:basedOn w:val="CEONormal"/>
    <w:uiPriority w:val="99"/>
    <w:rsid w:val="00D37B90"/>
    <w:pPr>
      <w:keepNext/>
      <w:keepLines/>
      <w:framePr w:hSpace="0" w:wrap="auto" w:hAnchor="text" w:yAlign="inline"/>
      <w:spacing w:line="240" w:lineRule="auto"/>
      <w:ind w:left="851"/>
      <w:jc w:val="left"/>
    </w:pPr>
    <w:rPr>
      <w:rFonts w:eastAsia="SimSun"/>
      <w:i/>
      <w:iCs/>
      <w:sz w:val="28"/>
      <w:szCs w:val="28"/>
    </w:rPr>
  </w:style>
  <w:style w:type="paragraph" w:customStyle="1" w:styleId="RefTitle0">
    <w:name w:val="Ref_Title"/>
    <w:basedOn w:val="Normal"/>
    <w:next w:val="RefText0"/>
    <w:uiPriority w:val="99"/>
    <w:rsid w:val="00D37B90"/>
    <w:pPr>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RefText0">
    <w:name w:val="Ref_Text"/>
    <w:basedOn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
    <w:name w:val="Equation"/>
    <w:basedOn w:val="Normal"/>
    <w:uiPriority w:val="99"/>
    <w:rsid w:val="00D37B90"/>
    <w:pPr>
      <w:tabs>
        <w:tab w:val="clear" w:pos="567"/>
        <w:tab w:val="clear" w:pos="1133"/>
        <w:tab w:val="clear" w:pos="1700"/>
        <w:tab w:val="clear" w:pos="2267"/>
        <w:tab w:val="left" w:pos="794"/>
        <w:tab w:val="center" w:pos="4876"/>
        <w:tab w:val="right" w:pos="9752"/>
      </w:tabs>
      <w:kinsoku/>
      <w:bidi w:val="0"/>
      <w:spacing w:after="120" w:line="240" w:lineRule="auto"/>
      <w:jc w:val="left"/>
    </w:pPr>
    <w:rPr>
      <w:rFonts w:ascii="Verdana" w:eastAsia="SimHei" w:hAnsi="Verdana" w:cs="Times New Roman"/>
      <w:bCs/>
      <w:sz w:val="24"/>
      <w:szCs w:val="20"/>
      <w:lang w:val="en-GB" w:eastAsia="zh-CN"/>
    </w:rPr>
  </w:style>
  <w:style w:type="paragraph" w:customStyle="1" w:styleId="Head">
    <w:name w:val="Head"/>
    <w:basedOn w:val="Normal"/>
    <w:uiPriority w:val="99"/>
    <w:rsid w:val="00D37B90"/>
    <w:pPr>
      <w:tabs>
        <w:tab w:val="clear" w:pos="567"/>
        <w:tab w:val="clear" w:pos="1133"/>
        <w:tab w:val="clear" w:pos="1700"/>
        <w:tab w:val="clear" w:pos="2267"/>
        <w:tab w:val="left" w:pos="6663"/>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CEOAbstract0">
    <w:name w:val="CEO_Abstract"/>
    <w:next w:val="CEONormal"/>
    <w:uiPriority w:val="99"/>
    <w:rsid w:val="00D37B90"/>
    <w:pPr>
      <w:tabs>
        <w:tab w:val="left" w:pos="2127"/>
      </w:tabs>
      <w:bidi/>
      <w:spacing w:before="360" w:after="120"/>
    </w:pPr>
    <w:rPr>
      <w:rFonts w:ascii="Verdana" w:eastAsia="SimHei" w:hAnsi="Verdana" w:cs="Simplified Arabic"/>
      <w:b/>
      <w:sz w:val="28"/>
      <w:szCs w:val="28"/>
      <w:lang w:val="fr-CA" w:bidi="ar-EG"/>
    </w:rPr>
  </w:style>
  <w:style w:type="paragraph" w:customStyle="1" w:styleId="Rec">
    <w:name w:val="Rec_#"/>
    <w:basedOn w:val="Normal"/>
    <w:next w:val="RecTitle"/>
    <w:uiPriority w:val="99"/>
    <w:rsid w:val="00D37B90"/>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toc00">
    <w:name w:val="toc 0"/>
    <w:basedOn w:val="Normal"/>
    <w:next w:val="TOC1"/>
    <w:uiPriority w:val="99"/>
    <w:rsid w:val="00D37B90"/>
    <w:pPr>
      <w:tabs>
        <w:tab w:val="clear" w:pos="567"/>
        <w:tab w:val="clear" w:pos="1133"/>
        <w:tab w:val="clear" w:pos="1700"/>
        <w:tab w:val="clear" w:pos="2267"/>
        <w:tab w:val="right" w:pos="9781"/>
      </w:tabs>
      <w:kinsoku/>
      <w:bidi w:val="0"/>
      <w:spacing w:after="120" w:line="240" w:lineRule="auto"/>
      <w:jc w:val="left"/>
    </w:pPr>
    <w:rPr>
      <w:rFonts w:ascii="Verdana" w:eastAsia="SimHei" w:hAnsi="Verdana" w:cs="Times New Roman"/>
      <w:b/>
      <w:bCs/>
      <w:sz w:val="24"/>
      <w:szCs w:val="20"/>
      <w:lang w:val="en-GB" w:eastAsia="zh-CN"/>
    </w:rPr>
  </w:style>
  <w:style w:type="paragraph" w:styleId="List">
    <w:name w:val="List"/>
    <w:basedOn w:val="Normal"/>
    <w:uiPriority w:val="99"/>
    <w:rsid w:val="00D37B90"/>
    <w:pPr>
      <w:tabs>
        <w:tab w:val="clear" w:pos="567"/>
        <w:tab w:val="clear" w:pos="1133"/>
        <w:tab w:val="clear" w:pos="1700"/>
        <w:tab w:val="clear" w:pos="2267"/>
        <w:tab w:val="left" w:pos="1701"/>
        <w:tab w:val="left" w:pos="2127"/>
      </w:tabs>
      <w:kinsoku/>
      <w:bidi w:val="0"/>
      <w:spacing w:after="120" w:line="240" w:lineRule="auto"/>
      <w:ind w:left="2127" w:hanging="2127"/>
      <w:jc w:val="left"/>
    </w:pPr>
    <w:rPr>
      <w:rFonts w:ascii="Verdana" w:eastAsia="SimHei" w:hAnsi="Verdana" w:cs="Times New Roman"/>
      <w:bCs/>
      <w:sz w:val="24"/>
      <w:szCs w:val="20"/>
      <w:lang w:val="en-GB" w:eastAsia="zh-CN"/>
    </w:rPr>
  </w:style>
  <w:style w:type="paragraph" w:customStyle="1" w:styleId="Infodoc">
    <w:name w:val="Infodoc"/>
    <w:basedOn w:val="Normal"/>
    <w:uiPriority w:val="99"/>
    <w:rsid w:val="00D37B90"/>
    <w:pPr>
      <w:tabs>
        <w:tab w:val="clear" w:pos="567"/>
        <w:tab w:val="clear" w:pos="1133"/>
        <w:tab w:val="clear" w:pos="1700"/>
        <w:tab w:val="clear" w:pos="2267"/>
        <w:tab w:val="left" w:pos="1418"/>
      </w:tabs>
      <w:kinsoku/>
      <w:bidi w:val="0"/>
      <w:spacing w:before="0" w:after="120" w:line="240" w:lineRule="auto"/>
      <w:ind w:left="1418" w:hanging="1418"/>
      <w:jc w:val="left"/>
    </w:pPr>
    <w:rPr>
      <w:rFonts w:ascii="Verdana" w:eastAsia="SimHei" w:hAnsi="Verdana" w:cs="Times New Roman"/>
      <w:bCs/>
      <w:sz w:val="24"/>
      <w:szCs w:val="20"/>
      <w:lang w:val="en-GB" w:eastAsia="zh-CN"/>
    </w:rPr>
  </w:style>
  <w:style w:type="paragraph" w:customStyle="1" w:styleId="Part">
    <w:name w:val="Part"/>
    <w:basedOn w:val="Normal"/>
    <w:uiPriority w:val="99"/>
    <w:rsid w:val="00D37B90"/>
    <w:pPr>
      <w:tabs>
        <w:tab w:val="clear" w:pos="567"/>
        <w:tab w:val="clear" w:pos="1133"/>
        <w:tab w:val="clear" w:pos="1700"/>
        <w:tab w:val="clear" w:pos="2267"/>
        <w:tab w:val="left" w:pos="1276"/>
        <w:tab w:val="left" w:pos="1701"/>
      </w:tabs>
      <w:kinsoku/>
      <w:bidi w:val="0"/>
      <w:spacing w:before="200" w:after="120" w:line="240" w:lineRule="auto"/>
      <w:ind w:left="1701" w:hanging="1701"/>
      <w:jc w:val="left"/>
    </w:pPr>
    <w:rPr>
      <w:rFonts w:ascii="Verdana" w:eastAsia="SimHei" w:hAnsi="Verdana" w:cs="Times New Roman"/>
      <w:bCs/>
      <w:caps/>
      <w:sz w:val="24"/>
      <w:szCs w:val="20"/>
      <w:lang w:val="en-GB" w:eastAsia="zh-CN"/>
    </w:rPr>
  </w:style>
  <w:style w:type="paragraph" w:customStyle="1" w:styleId="Keywords">
    <w:name w:val="Keywords"/>
    <w:basedOn w:val="Normal"/>
    <w:uiPriority w:val="99"/>
    <w:rsid w:val="00D37B90"/>
    <w:pPr>
      <w:tabs>
        <w:tab w:val="clear" w:pos="567"/>
        <w:tab w:val="clear" w:pos="1133"/>
        <w:tab w:val="clear" w:pos="1700"/>
        <w:tab w:val="clear" w:pos="2267"/>
        <w:tab w:val="left" w:pos="794"/>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Legend">
    <w:name w:val="Equation_Legend"/>
    <w:basedOn w:val="Normal"/>
    <w:uiPriority w:val="99"/>
    <w:rsid w:val="00D37B90"/>
    <w:pPr>
      <w:tabs>
        <w:tab w:val="clear" w:pos="567"/>
        <w:tab w:val="clear" w:pos="1133"/>
        <w:tab w:val="clear" w:pos="1700"/>
        <w:tab w:val="clear" w:pos="2267"/>
        <w:tab w:val="right" w:pos="1531"/>
        <w:tab w:val="left" w:pos="1701"/>
      </w:tabs>
      <w:kinsoku/>
      <w:bidi w:val="0"/>
      <w:spacing w:before="80" w:after="120" w:line="240" w:lineRule="auto"/>
      <w:ind w:left="1701" w:hanging="1701"/>
      <w:jc w:val="left"/>
    </w:pPr>
    <w:rPr>
      <w:rFonts w:ascii="Verdana" w:eastAsia="SimHei" w:hAnsi="Verdana" w:cs="Times New Roman"/>
      <w:bCs/>
      <w:sz w:val="24"/>
      <w:szCs w:val="20"/>
      <w:lang w:val="en-GB" w:eastAsia="zh-CN"/>
    </w:rPr>
  </w:style>
  <w:style w:type="paragraph" w:styleId="Signature">
    <w:name w:val="Signature"/>
    <w:basedOn w:val="Normal"/>
    <w:link w:val="SignatureChar"/>
    <w:uiPriority w:val="99"/>
    <w:rsid w:val="00D37B90"/>
    <w:pPr>
      <w:tabs>
        <w:tab w:val="clear" w:pos="567"/>
        <w:tab w:val="clear" w:pos="1133"/>
        <w:tab w:val="clear" w:pos="1700"/>
        <w:tab w:val="clear" w:pos="2267"/>
      </w:tabs>
      <w:kinsoku/>
      <w:bidi w:val="0"/>
      <w:spacing w:before="480" w:after="120" w:line="240" w:lineRule="auto"/>
      <w:ind w:left="4961"/>
      <w:jc w:val="left"/>
    </w:pPr>
    <w:rPr>
      <w:rFonts w:ascii="Verdana" w:eastAsia="SimHei" w:hAnsi="Verdana" w:cs="Times New Roman"/>
      <w:bCs/>
      <w:sz w:val="24"/>
      <w:szCs w:val="20"/>
      <w:lang w:val="en-GB" w:eastAsia="zh-CN"/>
    </w:rPr>
  </w:style>
  <w:style w:type="character" w:customStyle="1" w:styleId="SignatureChar">
    <w:name w:val="Signature Char"/>
    <w:basedOn w:val="DefaultParagraphFont"/>
    <w:link w:val="Signature"/>
    <w:uiPriority w:val="99"/>
    <w:rsid w:val="00D37B90"/>
    <w:rPr>
      <w:rFonts w:ascii="Verdana" w:eastAsia="SimHei" w:hAnsi="Verdana"/>
      <w:bCs/>
      <w:sz w:val="24"/>
      <w:lang w:val="en-GB"/>
    </w:rPr>
  </w:style>
  <w:style w:type="paragraph" w:customStyle="1" w:styleId="meeting">
    <w:name w:val="meeting"/>
    <w:basedOn w:val="Head"/>
    <w:next w:val="Head"/>
    <w:uiPriority w:val="99"/>
    <w:rsid w:val="00D37B90"/>
    <w:pPr>
      <w:tabs>
        <w:tab w:val="left" w:pos="7371"/>
      </w:tabs>
      <w:spacing w:after="560"/>
    </w:pPr>
  </w:style>
  <w:style w:type="paragraph" w:customStyle="1" w:styleId="ITUadres">
    <w:name w:val="ITU_adres"/>
    <w:basedOn w:val="Normal"/>
    <w:uiPriority w:val="99"/>
    <w:rsid w:val="00D37B90"/>
    <w:pPr>
      <w:tabs>
        <w:tab w:val="clear" w:pos="567"/>
        <w:tab w:val="clear" w:pos="1133"/>
        <w:tab w:val="clear" w:pos="1700"/>
        <w:tab w:val="clear" w:pos="2267"/>
        <w:tab w:val="left" w:pos="737"/>
        <w:tab w:val="left" w:pos="1134"/>
      </w:tabs>
      <w:kinsoku/>
      <w:bidi w:val="0"/>
      <w:spacing w:before="0" w:after="120" w:line="240" w:lineRule="auto"/>
      <w:jc w:val="left"/>
    </w:pPr>
    <w:rPr>
      <w:rFonts w:ascii="Verdana" w:eastAsia="SimHei" w:hAnsi="Verdana" w:cs="Times New Roman"/>
      <w:bCs/>
      <w:sz w:val="18"/>
      <w:szCs w:val="20"/>
      <w:lang w:val="en-GB" w:eastAsia="zh-CN"/>
    </w:rPr>
  </w:style>
  <w:style w:type="paragraph" w:customStyle="1" w:styleId="ITUheader">
    <w:name w:val="ITU_header"/>
    <w:basedOn w:val="Normal"/>
    <w:uiPriority w:val="99"/>
    <w:rsid w:val="00D37B90"/>
    <w:pPr>
      <w:tabs>
        <w:tab w:val="clear" w:pos="567"/>
        <w:tab w:val="clear" w:pos="1133"/>
        <w:tab w:val="clear" w:pos="1700"/>
        <w:tab w:val="clear" w:pos="2267"/>
        <w:tab w:val="left" w:pos="737"/>
        <w:tab w:val="left" w:pos="1134"/>
      </w:tabs>
      <w:kinsoku/>
      <w:bidi w:val="0"/>
      <w:spacing w:before="397" w:after="120" w:line="240" w:lineRule="auto"/>
      <w:jc w:val="left"/>
    </w:pPr>
    <w:rPr>
      <w:rFonts w:ascii="Verdana" w:eastAsia="SimHei" w:hAnsi="Verdana" w:cs="Times New Roman"/>
      <w:b/>
      <w:bCs/>
      <w:sz w:val="30"/>
      <w:szCs w:val="20"/>
      <w:lang w:val="en-GB" w:eastAsia="zh-CN"/>
    </w:rPr>
  </w:style>
  <w:style w:type="paragraph" w:customStyle="1" w:styleId="ITUsignet">
    <w:name w:val="ITU_signet"/>
    <w:basedOn w:val="Normal"/>
    <w:uiPriority w:val="99"/>
    <w:rsid w:val="00D37B90"/>
    <w:pPr>
      <w:tabs>
        <w:tab w:val="clear" w:pos="567"/>
        <w:tab w:val="clear" w:pos="1133"/>
        <w:tab w:val="clear" w:pos="1700"/>
        <w:tab w:val="clear" w:pos="2267"/>
        <w:tab w:val="left" w:pos="737"/>
        <w:tab w:val="left" w:pos="1134"/>
      </w:tabs>
      <w:kinsoku/>
      <w:bidi w:val="0"/>
      <w:spacing w:before="170" w:after="120" w:line="240" w:lineRule="auto"/>
      <w:ind w:left="-1134"/>
      <w:jc w:val="left"/>
    </w:pPr>
    <w:rPr>
      <w:rFonts w:ascii="Verdana" w:eastAsia="SimHei" w:hAnsi="Verdana" w:cs="Times New Roman"/>
      <w:b/>
      <w:bCs/>
      <w:sz w:val="20"/>
      <w:szCs w:val="20"/>
      <w:lang w:val="en-GB" w:eastAsia="zh-CN"/>
    </w:rPr>
  </w:style>
  <w:style w:type="paragraph" w:customStyle="1" w:styleId="ITUref">
    <w:name w:val="ITU_ref"/>
    <w:basedOn w:val="Normal"/>
    <w:uiPriority w:val="99"/>
    <w:rsid w:val="00D37B90"/>
    <w:pPr>
      <w:tabs>
        <w:tab w:val="clear" w:pos="567"/>
        <w:tab w:val="clear" w:pos="1133"/>
        <w:tab w:val="clear" w:pos="1700"/>
        <w:tab w:val="clear" w:pos="2267"/>
        <w:tab w:val="left" w:pos="737"/>
        <w:tab w:val="left" w:pos="1134"/>
        <w:tab w:val="left" w:pos="5529"/>
      </w:tabs>
      <w:kinsoku/>
      <w:bidi w:val="0"/>
      <w:spacing w:before="0" w:after="120" w:line="240" w:lineRule="auto"/>
      <w:jc w:val="left"/>
    </w:pPr>
    <w:rPr>
      <w:rFonts w:ascii="Verdana" w:eastAsia="SimHei" w:hAnsi="Verdana" w:cs="Times New Roman"/>
      <w:bCs/>
      <w:sz w:val="20"/>
      <w:szCs w:val="20"/>
      <w:lang w:val="en-GB" w:eastAsia="zh-CN"/>
    </w:rPr>
  </w:style>
  <w:style w:type="paragraph" w:customStyle="1" w:styleId="ITUfillin">
    <w:name w:val="ITU_fillin"/>
    <w:basedOn w:val="ITUref"/>
    <w:uiPriority w:val="99"/>
    <w:rsid w:val="00D37B90"/>
  </w:style>
  <w:style w:type="paragraph" w:customStyle="1" w:styleId="ITUbureau">
    <w:name w:val="ITU_bureau"/>
    <w:basedOn w:val="Normal"/>
    <w:uiPriority w:val="99"/>
    <w:rsid w:val="00D37B90"/>
    <w:pPr>
      <w:tabs>
        <w:tab w:val="clear" w:pos="567"/>
        <w:tab w:val="clear" w:pos="1133"/>
        <w:tab w:val="clear" w:pos="1700"/>
        <w:tab w:val="clear" w:pos="2267"/>
        <w:tab w:val="left" w:pos="737"/>
        <w:tab w:val="left" w:pos="1134"/>
      </w:tabs>
      <w:kinsoku/>
      <w:bidi w:val="0"/>
      <w:spacing w:before="0" w:after="851" w:line="240" w:lineRule="auto"/>
      <w:jc w:val="left"/>
    </w:pPr>
    <w:rPr>
      <w:rFonts w:ascii="Verdana" w:eastAsia="SimHei" w:hAnsi="Verdana" w:cs="Times New Roman"/>
      <w:b/>
      <w:bCs/>
      <w:sz w:val="19"/>
      <w:szCs w:val="20"/>
      <w:lang w:val="en-GB" w:eastAsia="zh-CN"/>
    </w:rPr>
  </w:style>
  <w:style w:type="paragraph" w:customStyle="1" w:styleId="duties">
    <w:name w:val="duties"/>
    <w:basedOn w:val="Normal"/>
    <w:uiPriority w:val="99"/>
    <w:rsid w:val="00D37B90"/>
    <w:pPr>
      <w:tabs>
        <w:tab w:val="clear" w:pos="567"/>
        <w:tab w:val="clear" w:pos="1133"/>
        <w:tab w:val="clear" w:pos="1700"/>
        <w:tab w:val="clear" w:pos="2267"/>
        <w:tab w:val="left" w:pos="737"/>
        <w:tab w:val="left" w:pos="1134"/>
      </w:tabs>
      <w:kinsoku/>
      <w:bidi w:val="0"/>
      <w:spacing w:before="0" w:after="120" w:line="199" w:lineRule="exact"/>
      <w:jc w:val="left"/>
    </w:pPr>
    <w:rPr>
      <w:rFonts w:ascii="Verdana" w:eastAsia="SimHei" w:hAnsi="Verdana" w:cs="Times New Roman"/>
      <w:b/>
      <w:bCs/>
      <w:sz w:val="8"/>
      <w:szCs w:val="20"/>
      <w:lang w:val="en-GB" w:eastAsia="zh-CN"/>
    </w:rPr>
  </w:style>
  <w:style w:type="paragraph" w:customStyle="1" w:styleId="ITUintr">
    <w:name w:val="ITU_intr"/>
    <w:basedOn w:val="Normal"/>
    <w:next w:val="Normal"/>
    <w:uiPriority w:val="99"/>
    <w:rsid w:val="00D37B90"/>
    <w:pPr>
      <w:tabs>
        <w:tab w:val="clear" w:pos="567"/>
        <w:tab w:val="clear" w:pos="1133"/>
        <w:tab w:val="clear" w:pos="1700"/>
        <w:tab w:val="clear" w:pos="2267"/>
        <w:tab w:val="left" w:pos="737"/>
        <w:tab w:val="left" w:pos="1134"/>
      </w:tabs>
      <w:kinsoku/>
      <w:bidi w:val="0"/>
      <w:spacing w:before="567" w:after="57" w:line="240" w:lineRule="auto"/>
      <w:jc w:val="left"/>
    </w:pPr>
    <w:rPr>
      <w:rFonts w:ascii="Verdana" w:eastAsia="SimHei" w:hAnsi="Verdana" w:cs="Times New Roman"/>
      <w:bCs/>
      <w:sz w:val="20"/>
      <w:szCs w:val="20"/>
      <w:lang w:val="en-GB" w:eastAsia="zh-CN"/>
    </w:rPr>
  </w:style>
  <w:style w:type="paragraph" w:customStyle="1" w:styleId="LetterEnd">
    <w:name w:val="Letter_End"/>
    <w:basedOn w:val="Normal"/>
    <w:uiPriority w:val="99"/>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firstLine="851"/>
      <w:jc w:val="left"/>
    </w:pPr>
    <w:rPr>
      <w:rFonts w:ascii="Verdana" w:eastAsia="SimHei" w:hAnsi="Verdana" w:cs="Times New Roman"/>
      <w:bCs/>
      <w:sz w:val="24"/>
      <w:szCs w:val="20"/>
      <w:lang w:val="en-GB" w:eastAsia="zh-CN"/>
    </w:rPr>
  </w:style>
  <w:style w:type="paragraph" w:customStyle="1" w:styleId="LetterText">
    <w:name w:val="Letter_Text"/>
    <w:basedOn w:val="LetterStart"/>
    <w:uiPriority w:val="99"/>
    <w:rsid w:val="00D37B90"/>
  </w:style>
  <w:style w:type="paragraph" w:customStyle="1" w:styleId="Tiret">
    <w:name w:val="Tiret"/>
    <w:basedOn w:val="Normal"/>
    <w:uiPriority w:val="99"/>
    <w:rsid w:val="00D37B90"/>
    <w:pPr>
      <w:tabs>
        <w:tab w:val="clear" w:pos="567"/>
        <w:tab w:val="clear" w:pos="1133"/>
        <w:tab w:val="clear" w:pos="1700"/>
        <w:tab w:val="clear" w:pos="2267"/>
      </w:tabs>
      <w:kinsoku/>
      <w:bidi w:val="0"/>
      <w:spacing w:after="120" w:line="240" w:lineRule="auto"/>
      <w:ind w:left="-680"/>
      <w:jc w:val="left"/>
    </w:pPr>
    <w:rPr>
      <w:rFonts w:ascii="Verdana" w:eastAsia="SimHei" w:hAnsi="Verdana" w:cs="Times New Roman"/>
      <w:bCs/>
      <w:sz w:val="24"/>
      <w:szCs w:val="20"/>
      <w:lang w:val="en-GB" w:eastAsia="zh-CN"/>
    </w:rPr>
  </w:style>
  <w:style w:type="paragraph" w:customStyle="1" w:styleId="NormFoot">
    <w:name w:val="Norm_Foot"/>
    <w:basedOn w:val="Normal"/>
    <w:uiPriority w:val="99"/>
    <w:rsid w:val="00D37B90"/>
    <w:pPr>
      <w:tabs>
        <w:tab w:val="clear" w:pos="567"/>
        <w:tab w:val="clear" w:pos="1133"/>
        <w:tab w:val="clear" w:pos="1700"/>
        <w:tab w:val="clear" w:pos="2267"/>
        <w:tab w:val="left" w:pos="1361"/>
        <w:tab w:val="left" w:pos="1758"/>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details">
    <w:name w:val="details"/>
    <w:basedOn w:val="Normal"/>
    <w:next w:val="Tiret"/>
    <w:uiPriority w:val="99"/>
    <w:rsid w:val="00D37B90"/>
    <w:pPr>
      <w:tabs>
        <w:tab w:val="clear" w:pos="567"/>
        <w:tab w:val="clear" w:pos="1133"/>
        <w:tab w:val="clear" w:pos="1700"/>
        <w:tab w:val="clear" w:pos="2267"/>
        <w:tab w:val="left" w:pos="1361"/>
        <w:tab w:val="left" w:pos="1758"/>
        <w:tab w:val="left" w:pos="2155"/>
        <w:tab w:val="left" w:pos="2552"/>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listitem">
    <w:name w:val="listitem"/>
    <w:basedOn w:val="Normal"/>
    <w:uiPriority w:val="99"/>
    <w:rsid w:val="00D37B90"/>
    <w:pPr>
      <w:keepLines/>
      <w:tabs>
        <w:tab w:val="clear" w:pos="567"/>
        <w:tab w:val="clear" w:pos="1133"/>
        <w:tab w:val="clear" w:pos="1700"/>
        <w:tab w:val="clear" w:pos="2267"/>
        <w:tab w:val="left" w:pos="794"/>
        <w:tab w:val="left" w:pos="1191"/>
        <w:tab w:val="left" w:pos="1361"/>
        <w:tab w:val="left" w:pos="1588"/>
        <w:tab w:val="left" w:pos="1758"/>
        <w:tab w:val="left" w:pos="1985"/>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headingi0">
    <w:name w:val="heading_i"/>
    <w:basedOn w:val="Heading3"/>
    <w:next w:val="Normal"/>
    <w:uiPriority w:val="99"/>
    <w:rsid w:val="00D37B90"/>
    <w:pPr>
      <w:keepNext w:val="0"/>
      <w:numPr>
        <w:ilvl w:val="2"/>
      </w:numPr>
      <w:tabs>
        <w:tab w:val="clear" w:pos="851"/>
        <w:tab w:val="clear" w:pos="1133"/>
        <w:tab w:val="clear" w:pos="1700"/>
        <w:tab w:val="clear" w:pos="2267"/>
        <w:tab w:val="num" w:pos="720"/>
      </w:tabs>
      <w:kinsoku/>
      <w:bidi w:val="0"/>
      <w:spacing w:before="160" w:line="240" w:lineRule="auto"/>
      <w:ind w:left="794" w:hanging="794"/>
      <w:jc w:val="left"/>
      <w:outlineLvl w:val="9"/>
    </w:pPr>
    <w:rPr>
      <w:rFonts w:ascii="Verdana" w:eastAsia="SimHei" w:hAnsi="Verdana" w:cs="Simplified Arabic"/>
      <w:b w:val="0"/>
      <w:iCs w:val="0"/>
      <w:color w:val="auto"/>
      <w:szCs w:val="28"/>
      <w:lang w:val="en-GB" w:eastAsia="zh-CN"/>
    </w:rPr>
  </w:style>
  <w:style w:type="paragraph" w:customStyle="1" w:styleId="Qlist">
    <w:name w:val="Qlist"/>
    <w:basedOn w:val="Normal"/>
    <w:uiPriority w:val="99"/>
    <w:rsid w:val="00D37B90"/>
    <w:pPr>
      <w:tabs>
        <w:tab w:val="clear" w:pos="567"/>
        <w:tab w:val="clear" w:pos="1133"/>
        <w:tab w:val="clear" w:pos="1700"/>
        <w:tab w:val="clear" w:pos="2267"/>
        <w:tab w:val="left" w:pos="1843"/>
        <w:tab w:val="left" w:pos="2268"/>
      </w:tabs>
      <w:kinsoku/>
      <w:bidi w:val="0"/>
      <w:spacing w:after="120" w:line="240" w:lineRule="auto"/>
      <w:ind w:left="2268" w:hanging="2268"/>
      <w:jc w:val="left"/>
    </w:pPr>
    <w:rPr>
      <w:rFonts w:ascii="Verdana" w:eastAsia="SimHei" w:hAnsi="Verdana" w:cs="Times New Roman"/>
      <w:b/>
      <w:bCs/>
      <w:sz w:val="24"/>
      <w:szCs w:val="20"/>
      <w:lang w:val="en-GB" w:eastAsia="zh-CN"/>
    </w:rPr>
  </w:style>
  <w:style w:type="paragraph" w:customStyle="1" w:styleId="FirstFooter">
    <w:name w:val="FirstFooter"/>
    <w:basedOn w:val="Footer"/>
    <w:uiPriority w:val="99"/>
    <w:rsid w:val="00D37B90"/>
    <w:pPr>
      <w:pBdr>
        <w:top w:val="none" w:sz="0" w:space="0" w:color="auto"/>
      </w:pBdr>
      <w:tabs>
        <w:tab w:val="clear" w:pos="567"/>
        <w:tab w:val="clear" w:pos="1133"/>
        <w:tab w:val="clear" w:pos="1700"/>
        <w:tab w:val="clear" w:pos="2267"/>
        <w:tab w:val="clear" w:pos="9071"/>
        <w:tab w:val="center" w:pos="4320"/>
        <w:tab w:val="right" w:pos="8640"/>
      </w:tabs>
      <w:kinsoku/>
      <w:bidi w:val="0"/>
      <w:spacing w:before="40" w:after="120" w:line="240" w:lineRule="auto"/>
      <w:ind w:left="0"/>
      <w:jc w:val="left"/>
    </w:pPr>
    <w:rPr>
      <w:rFonts w:ascii="Verdana" w:eastAsia="SimHei" w:hAnsi="Verdana" w:cs="Times New Roman"/>
      <w:bCs/>
      <w:sz w:val="16"/>
      <w:szCs w:val="20"/>
      <w:lang w:val="fr-FR" w:eastAsia="zh-CN"/>
    </w:rPr>
  </w:style>
  <w:style w:type="paragraph" w:customStyle="1" w:styleId="pnew">
    <w:name w:val="pnew"/>
    <w:basedOn w:val="Normal"/>
    <w:uiPriority w:val="99"/>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Verdana" w:hAnsi="Verdana" w:cs="Times New Roman"/>
      <w:bCs/>
      <w:color w:val="000000"/>
      <w:sz w:val="24"/>
      <w:szCs w:val="24"/>
      <w:lang w:eastAsia="zh-CN"/>
    </w:rPr>
  </w:style>
  <w:style w:type="character" w:customStyle="1" w:styleId="TableTextChar0">
    <w:name w:val="Table_Text Char"/>
    <w:link w:val="TableText1"/>
    <w:rsid w:val="009C04F6"/>
    <w:rPr>
      <w:rFonts w:ascii="Calibri" w:hAnsi="Calibri" w:cs="Traditional Arabic"/>
      <w:sz w:val="18"/>
      <w:szCs w:val="24"/>
      <w:lang w:val="en-GB"/>
    </w:rPr>
  </w:style>
  <w:style w:type="paragraph" w:customStyle="1" w:styleId="MOS-Subject">
    <w:name w:val="MOS-Subject"/>
    <w:basedOn w:val="ForReplyContact"/>
    <w:uiPriority w:val="99"/>
    <w:rsid w:val="00D37B90"/>
  </w:style>
  <w:style w:type="paragraph" w:customStyle="1" w:styleId="ForReplyContact">
    <w:name w:val="ForReply_Contact"/>
    <w:basedOn w:val="MOSNormal"/>
    <w:uiPriority w:val="99"/>
    <w:rsid w:val="00D37B90"/>
    <w:pPr>
      <w:spacing w:before="40" w:after="0"/>
    </w:pPr>
    <w:rPr>
      <w:rFonts w:cs="Arial"/>
      <w:bCs/>
    </w:rPr>
  </w:style>
  <w:style w:type="paragraph" w:customStyle="1" w:styleId="MOSNormal">
    <w:name w:val="MOS Normal"/>
    <w:link w:val="MOSNormalChar"/>
    <w:rsid w:val="00D37B90"/>
    <w:pPr>
      <w:spacing w:before="120" w:after="120"/>
    </w:pPr>
    <w:rPr>
      <w:rFonts w:ascii="Verdana" w:hAnsi="Verdana"/>
      <w:lang w:val="en-GB" w:eastAsia="en-US"/>
    </w:rPr>
  </w:style>
  <w:style w:type="character" w:customStyle="1" w:styleId="MOSNormalChar">
    <w:name w:val="MOS Normal Char"/>
    <w:link w:val="MOSNormal"/>
    <w:rsid w:val="00D37B90"/>
    <w:rPr>
      <w:rFonts w:ascii="Verdana" w:hAnsi="Verdana"/>
      <w:lang w:val="en-GB" w:eastAsia="en-US"/>
    </w:rPr>
  </w:style>
  <w:style w:type="paragraph" w:customStyle="1" w:styleId="MOS-Date-TO-FROM-PageNo">
    <w:name w:val="MOS-Date-TO-FROM-PageNo"/>
    <w:basedOn w:val="Normal"/>
    <w:link w:val="MOS-Date-TO-FROM-PageNoChar"/>
    <w:rsid w:val="00D37B90"/>
    <w:pPr>
      <w:tabs>
        <w:tab w:val="clear" w:pos="567"/>
        <w:tab w:val="clear" w:pos="1133"/>
        <w:tab w:val="clear" w:pos="1700"/>
        <w:tab w:val="clear" w:pos="2267"/>
      </w:tabs>
      <w:kinsoku/>
      <w:bidi w:val="0"/>
      <w:spacing w:before="0" w:after="120" w:line="240" w:lineRule="auto"/>
      <w:jc w:val="left"/>
    </w:pPr>
    <w:rPr>
      <w:rFonts w:ascii="Verdana" w:hAnsi="Verdana" w:cs="Times New Roman"/>
      <w:b/>
      <w:sz w:val="20"/>
      <w:szCs w:val="20"/>
      <w:lang w:eastAsia="zh-CN"/>
    </w:rPr>
  </w:style>
  <w:style w:type="character" w:customStyle="1" w:styleId="MOS-Date-TO-FROM-PageNoChar">
    <w:name w:val="MOS-Date-TO-FROM-PageNo Char"/>
    <w:link w:val="MOS-Date-TO-FROM-PageNo"/>
    <w:rsid w:val="00D37B90"/>
    <w:rPr>
      <w:rFonts w:ascii="Verdana" w:hAnsi="Verdana"/>
      <w:b/>
    </w:rPr>
  </w:style>
  <w:style w:type="paragraph" w:customStyle="1" w:styleId="MOSDataTable">
    <w:name w:val="MOS DataTable"/>
    <w:basedOn w:val="MOSNormal"/>
    <w:uiPriority w:val="99"/>
    <w:rsid w:val="00D37B90"/>
    <w:pPr>
      <w:keepNext/>
      <w:keepLines/>
      <w:snapToGrid w:val="0"/>
      <w:spacing w:before="0" w:after="0"/>
    </w:pPr>
    <w:rPr>
      <w:rFonts w:eastAsia="Batang" w:cs="Arial"/>
      <w:b/>
      <w:color w:val="FFFFFF"/>
      <w:szCs w:val="23"/>
    </w:rPr>
  </w:style>
  <w:style w:type="paragraph" w:customStyle="1" w:styleId="ForReplyEmailFaxPhone">
    <w:name w:val="ForReply_EmailFaxPhone"/>
    <w:basedOn w:val="ForReplyContact"/>
    <w:uiPriority w:val="99"/>
    <w:rsid w:val="00D37B90"/>
  </w:style>
  <w:style w:type="paragraph" w:customStyle="1" w:styleId="MOS-Contact">
    <w:name w:val="MOS-Contact"/>
    <w:basedOn w:val="MOSNormal"/>
    <w:uiPriority w:val="99"/>
    <w:rsid w:val="00D37B90"/>
    <w:pPr>
      <w:spacing w:before="0" w:after="0"/>
    </w:pPr>
  </w:style>
  <w:style w:type="paragraph" w:customStyle="1" w:styleId="MOS-ForReplySubject">
    <w:name w:val="MOS-ForReply_Subject"/>
    <w:basedOn w:val="MOS-Date-TO-FROM-PageNo"/>
    <w:uiPriority w:val="99"/>
    <w:rsid w:val="00D37B90"/>
    <w:rPr>
      <w:sz w:val="18"/>
    </w:rPr>
  </w:style>
  <w:style w:type="paragraph" w:customStyle="1" w:styleId="MOSNormal0">
    <w:name w:val="MOSNormal"/>
    <w:link w:val="MOSNormalChar0"/>
    <w:rsid w:val="00D37B90"/>
    <w:pPr>
      <w:spacing w:before="120" w:after="120"/>
    </w:pPr>
    <w:rPr>
      <w:rFonts w:ascii="Verdana" w:hAnsi="Verdana"/>
      <w:lang w:val="en-GB" w:eastAsia="en-US"/>
    </w:rPr>
  </w:style>
  <w:style w:type="character" w:customStyle="1" w:styleId="MOSNormalChar0">
    <w:name w:val="MOSNormal Char"/>
    <w:link w:val="MOSNormal0"/>
    <w:rsid w:val="00D37B90"/>
    <w:rPr>
      <w:rFonts w:ascii="Verdana" w:hAnsi="Verdana"/>
      <w:lang w:val="en-GB" w:eastAsia="en-US"/>
    </w:rPr>
  </w:style>
  <w:style w:type="paragraph" w:customStyle="1" w:styleId="MOS-Ltr-Footer">
    <w:name w:val="MOS-Ltr-Footer"/>
    <w:basedOn w:val="Normal"/>
    <w:link w:val="MOS-Ltr-FooterChar"/>
    <w:rsid w:val="00D37B90"/>
    <w:pPr>
      <w:tabs>
        <w:tab w:val="clear" w:pos="567"/>
        <w:tab w:val="clear" w:pos="1133"/>
        <w:tab w:val="clear" w:pos="1700"/>
        <w:tab w:val="clear" w:pos="2267"/>
      </w:tabs>
      <w:kinsoku/>
      <w:bidi w:val="0"/>
      <w:spacing w:before="0" w:after="120" w:line="240" w:lineRule="auto"/>
      <w:jc w:val="center"/>
    </w:pPr>
    <w:rPr>
      <w:rFonts w:ascii="Arial" w:hAnsi="Arial" w:cs="Times New Roman"/>
      <w:bCs/>
      <w:spacing w:val="20"/>
      <w:sz w:val="16"/>
      <w:szCs w:val="16"/>
      <w:lang w:val="fr-CA" w:eastAsia="en-US"/>
    </w:rPr>
  </w:style>
  <w:style w:type="character" w:customStyle="1" w:styleId="MOS-Ltr-FooterChar">
    <w:name w:val="MOS-Ltr-Footer Char"/>
    <w:link w:val="MOS-Ltr-Footer"/>
    <w:rsid w:val="00D37B90"/>
    <w:rPr>
      <w:rFonts w:ascii="Arial" w:hAnsi="Arial"/>
      <w:bCs/>
      <w:spacing w:val="20"/>
      <w:sz w:val="16"/>
      <w:szCs w:val="16"/>
      <w:lang w:val="fr-CA" w:eastAsia="en-US"/>
    </w:rPr>
  </w:style>
  <w:style w:type="table" w:styleId="TableContemporary">
    <w:name w:val="Table Contemporary"/>
    <w:basedOn w:val="TableNormal"/>
    <w:rsid w:val="00D37B90"/>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CEODocNoDetails">
    <w:name w:val="CEO_DocNoDetails"/>
    <w:basedOn w:val="Normal"/>
    <w:uiPriority w:val="99"/>
    <w:rsid w:val="00D37B90"/>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DocTitle-1line">
    <w:name w:val="CEO_DocTitle-1line"/>
    <w:basedOn w:val="Normal"/>
    <w:next w:val="Normal"/>
    <w:uiPriority w:val="99"/>
    <w:rsid w:val="00D37B90"/>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DocTitle2lines-First">
    <w:name w:val="CEO_DocTitle2lines-First"/>
    <w:basedOn w:val="CEODocTitle-1line"/>
    <w:next w:val="Normal"/>
    <w:uiPriority w:val="99"/>
    <w:rsid w:val="00D37B90"/>
    <w:pPr>
      <w:spacing w:after="0"/>
    </w:pPr>
  </w:style>
  <w:style w:type="paragraph" w:customStyle="1" w:styleId="CEODocTitle2lines-Second">
    <w:name w:val="CEO_DocTitle2lines-Second"/>
    <w:basedOn w:val="CEODocTitle2lines-First"/>
    <w:uiPriority w:val="99"/>
    <w:rsid w:val="00D37B90"/>
    <w:pPr>
      <w:spacing w:before="0" w:after="480"/>
    </w:pPr>
  </w:style>
  <w:style w:type="paragraph" w:customStyle="1" w:styleId="CEOEmdashList">
    <w:name w:val="CEO_EmdashList"/>
    <w:basedOn w:val="CEONormal"/>
    <w:uiPriority w:val="99"/>
    <w:rsid w:val="00D37B90"/>
    <w:pPr>
      <w:framePr w:hSpace="0" w:wrap="auto" w:hAnchor="text" w:yAlign="inline"/>
      <w:spacing w:after="0" w:line="240" w:lineRule="auto"/>
      <w:jc w:val="left"/>
    </w:pPr>
    <w:rPr>
      <w:rFonts w:eastAsia="SimSun"/>
      <w:sz w:val="28"/>
      <w:szCs w:val="28"/>
    </w:rPr>
  </w:style>
  <w:style w:type="paragraph" w:customStyle="1" w:styleId="CEOEndBar">
    <w:name w:val="CEO_EndBar"/>
    <w:basedOn w:val="CEONormal"/>
    <w:uiPriority w:val="99"/>
    <w:rsid w:val="00D37B90"/>
    <w:pPr>
      <w:framePr w:hSpace="0" w:wrap="auto" w:hAnchor="text" w:yAlign="inline"/>
      <w:spacing w:line="240" w:lineRule="auto"/>
      <w:jc w:val="center"/>
    </w:pPr>
    <w:rPr>
      <w:rFonts w:eastAsia="SimSun"/>
      <w:sz w:val="28"/>
      <w:szCs w:val="28"/>
    </w:rPr>
  </w:style>
  <w:style w:type="paragraph" w:customStyle="1" w:styleId="CEOExtract">
    <w:name w:val="CEO_Extract"/>
    <w:basedOn w:val="CEONormal"/>
    <w:uiPriority w:val="99"/>
    <w:rsid w:val="00D37B90"/>
    <w:pPr>
      <w:keepNext/>
      <w:keepLines/>
      <w:framePr w:hSpace="0" w:wrap="auto" w:hAnchor="text" w:yAlign="inline"/>
      <w:spacing w:line="240" w:lineRule="auto"/>
      <w:jc w:val="left"/>
    </w:pPr>
    <w:rPr>
      <w:rFonts w:eastAsia="SimSun"/>
      <w:sz w:val="28"/>
      <w:szCs w:val="28"/>
    </w:rPr>
  </w:style>
  <w:style w:type="paragraph" w:customStyle="1" w:styleId="CEOFooter">
    <w:name w:val="CEO_Footer"/>
    <w:basedOn w:val="Normal"/>
    <w:uiPriority w:val="99"/>
    <w:rsid w:val="00D37B90"/>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FooterContact1">
    <w:name w:val="CEO_FooterContact1"/>
    <w:basedOn w:val="CEOFooterContact2-3"/>
    <w:next w:val="CEOFooterContact2-3"/>
    <w:uiPriority w:val="99"/>
    <w:rsid w:val="00D37B90"/>
    <w:pPr>
      <w:pBdr>
        <w:top w:val="single" w:sz="4" w:space="8" w:color="auto"/>
      </w:pBdr>
      <w:tabs>
        <w:tab w:val="left" w:pos="1560"/>
      </w:tabs>
      <w:ind w:hanging="3827"/>
    </w:pPr>
    <w:rPr>
      <w:szCs w:val="28"/>
    </w:rPr>
  </w:style>
  <w:style w:type="paragraph" w:customStyle="1" w:styleId="CEOFooterContact2-3">
    <w:name w:val="CEO_FooterContact2-3"/>
    <w:uiPriority w:val="99"/>
    <w:rsid w:val="00D37B90"/>
    <w:pPr>
      <w:ind w:left="3827" w:hanging="2268"/>
    </w:pPr>
    <w:rPr>
      <w:rFonts w:ascii="Simplified Arabic" w:hAnsi="Simplified Arabic" w:cs="Simplified Arabic"/>
      <w:sz w:val="28"/>
      <w:szCs w:val="24"/>
      <w:lang w:val="fr-CA" w:bidi="ar-EG"/>
    </w:rPr>
  </w:style>
  <w:style w:type="paragraph" w:customStyle="1" w:styleId="CEOForAction">
    <w:name w:val="CEO_ForAction"/>
    <w:basedOn w:val="CEONormal"/>
    <w:next w:val="Normal"/>
    <w:uiPriority w:val="99"/>
    <w:rsid w:val="00D37B90"/>
    <w:pPr>
      <w:framePr w:hSpace="0" w:wrap="auto" w:hAnchor="text" w:yAlign="inline"/>
      <w:spacing w:before="240" w:after="0" w:line="240" w:lineRule="auto"/>
      <w:ind w:left="1877"/>
      <w:jc w:val="left"/>
    </w:pPr>
    <w:rPr>
      <w:rFonts w:eastAsia="SimSun"/>
      <w:b/>
      <w:bCs/>
      <w:iCs/>
      <w:sz w:val="28"/>
      <w:szCs w:val="28"/>
    </w:rPr>
  </w:style>
  <w:style w:type="paragraph" w:customStyle="1" w:styleId="CEOHeader">
    <w:name w:val="CEO_Header"/>
    <w:basedOn w:val="Normal"/>
    <w:uiPriority w:val="99"/>
    <w:rsid w:val="00D37B90"/>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Header1">
    <w:name w:val="CEO_Header1"/>
    <w:basedOn w:val="Normal"/>
    <w:uiPriority w:val="99"/>
    <w:rsid w:val="00D37B90"/>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uiPriority w:val="99"/>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uiPriority w:val="99"/>
    <w:rsid w:val="00D37B90"/>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indent-abc">
    <w:name w:val="CEO_indent-abc"/>
    <w:basedOn w:val="Normal"/>
    <w:uiPriority w:val="99"/>
    <w:rsid w:val="00D37B90"/>
    <w:pPr>
      <w:numPr>
        <w:ilvl w:val="1"/>
        <w:numId w:val="5"/>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uiPriority w:val="99"/>
    <w:rsid w:val="00D37B90"/>
    <w:pPr>
      <w:numPr>
        <w:numId w:val="6"/>
      </w:numPr>
    </w:pPr>
  </w:style>
  <w:style w:type="paragraph" w:customStyle="1" w:styleId="CEOLogo">
    <w:name w:val="CEO_Logo"/>
    <w:basedOn w:val="CEONormal"/>
    <w:uiPriority w:val="99"/>
    <w:rsid w:val="00D37B90"/>
    <w:pPr>
      <w:framePr w:hSpace="0" w:wrap="auto" w:hAnchor="text" w:yAlign="inline"/>
      <w:spacing w:after="0" w:line="240" w:lineRule="auto"/>
      <w:jc w:val="right"/>
    </w:pPr>
    <w:rPr>
      <w:rFonts w:eastAsia="SimSun"/>
      <w:sz w:val="28"/>
      <w:szCs w:val="28"/>
    </w:rPr>
  </w:style>
  <w:style w:type="paragraph" w:customStyle="1" w:styleId="CEOMeetingDates">
    <w:name w:val="CEO_MeetingDates"/>
    <w:basedOn w:val="Normal"/>
    <w:uiPriority w:val="99"/>
    <w:rsid w:val="00D37B90"/>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Paragraph11">
    <w:name w:val="CEO_Paragraph 1.1"/>
    <w:basedOn w:val="Heading2"/>
    <w:uiPriority w:val="99"/>
    <w:rsid w:val="00D37B90"/>
    <w:pPr>
      <w:keepNext w:val="0"/>
      <w:tabs>
        <w:tab w:val="clear" w:pos="851"/>
        <w:tab w:val="clear" w:pos="1133"/>
        <w:tab w:val="clear" w:pos="1700"/>
        <w:tab w:val="clear" w:pos="2267"/>
      </w:tabs>
      <w:kinsoku/>
      <w:bidi w:val="0"/>
      <w:spacing w:before="120" w:after="120" w:line="240" w:lineRule="auto"/>
      <w:ind w:left="794" w:hanging="794"/>
      <w:jc w:val="left"/>
    </w:pPr>
    <w:rPr>
      <w:rFonts w:ascii="Verdana" w:eastAsia="SimHei" w:hAnsi="Verdana" w:cs="Simplified Arabic"/>
      <w:b w:val="0"/>
      <w:bCs w:val="0"/>
      <w:color w:val="auto"/>
      <w:sz w:val="18"/>
      <w:szCs w:val="28"/>
      <w:lang w:val="en-GB" w:eastAsia="zh-CN"/>
    </w:rPr>
  </w:style>
  <w:style w:type="paragraph" w:customStyle="1" w:styleId="CEOParagraph111">
    <w:name w:val="CEO_Paragraph1.1.1"/>
    <w:basedOn w:val="Heading3"/>
    <w:uiPriority w:val="99"/>
    <w:rsid w:val="00D37B90"/>
    <w:pPr>
      <w:keepNext w:val="0"/>
      <w:tabs>
        <w:tab w:val="clear" w:pos="851"/>
        <w:tab w:val="clear" w:pos="1133"/>
        <w:tab w:val="clear" w:pos="1700"/>
        <w:tab w:val="clear" w:pos="2267"/>
      </w:tabs>
      <w:kinsoku/>
      <w:bidi w:val="0"/>
      <w:spacing w:before="0" w:line="240" w:lineRule="auto"/>
      <w:ind w:left="794" w:hanging="794"/>
      <w:jc w:val="left"/>
    </w:pPr>
    <w:rPr>
      <w:rFonts w:ascii="Verdana" w:eastAsia="SimHei" w:hAnsi="Verdana" w:cs="Simplified Arabic"/>
      <w:b w:val="0"/>
      <w:bCs w:val="0"/>
      <w:i w:val="0"/>
      <w:iCs w:val="0"/>
      <w:color w:val="auto"/>
      <w:sz w:val="19"/>
      <w:szCs w:val="28"/>
      <w:lang w:val="en-GB" w:eastAsia="zh-CN"/>
    </w:rPr>
  </w:style>
  <w:style w:type="paragraph" w:customStyle="1" w:styleId="CEOResText">
    <w:name w:val="CEO_ResText"/>
    <w:basedOn w:val="CEONormal"/>
    <w:uiPriority w:val="99"/>
    <w:rsid w:val="00D37B90"/>
    <w:pPr>
      <w:framePr w:hSpace="0" w:wrap="auto" w:hAnchor="text" w:yAlign="inline"/>
      <w:spacing w:line="240" w:lineRule="auto"/>
      <w:ind w:left="426"/>
      <w:jc w:val="left"/>
    </w:pPr>
    <w:rPr>
      <w:rFonts w:eastAsia="SimSun"/>
      <w:sz w:val="28"/>
      <w:szCs w:val="28"/>
    </w:rPr>
  </w:style>
  <w:style w:type="paragraph" w:customStyle="1" w:styleId="CEOSignatureName">
    <w:name w:val="CEO_SignatureName"/>
    <w:basedOn w:val="Normal"/>
    <w:uiPriority w:val="99"/>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uiPriority w:val="99"/>
    <w:rsid w:val="00D37B90"/>
    <w:pPr>
      <w:spacing w:before="0"/>
    </w:pPr>
  </w:style>
  <w:style w:type="paragraph" w:customStyle="1" w:styleId="CEOSTG">
    <w:name w:val="CEO_STG"/>
    <w:basedOn w:val="CEOOriginalLanguage"/>
    <w:uiPriority w:val="99"/>
    <w:rsid w:val="00D37B90"/>
    <w:pPr>
      <w:jc w:val="center"/>
    </w:pPr>
  </w:style>
  <w:style w:type="paragraph" w:customStyle="1" w:styleId="CEORevision">
    <w:name w:val="CEO_Revision"/>
    <w:basedOn w:val="CEOSourceTitle"/>
    <w:next w:val="Normal"/>
    <w:uiPriority w:val="99"/>
    <w:rsid w:val="00D37B90"/>
    <w:pPr>
      <w:framePr w:hSpace="0" w:wrap="auto" w:hAnchor="text" w:yAlign="inline"/>
    </w:pPr>
    <w:rPr>
      <w:rFonts w:ascii="Verdana" w:hAnsi="Verdana"/>
      <w:bCs w:val="0"/>
      <w:sz w:val="28"/>
      <w:szCs w:val="28"/>
    </w:rPr>
  </w:style>
  <w:style w:type="paragraph" w:customStyle="1" w:styleId="CEOActionRequired">
    <w:name w:val="CEO_ActionRequired"/>
    <w:basedOn w:val="CEONormal"/>
    <w:uiPriority w:val="99"/>
    <w:rsid w:val="00D37B90"/>
    <w:pPr>
      <w:framePr w:hSpace="0" w:wrap="auto" w:hAnchor="text" w:yAlign="inline"/>
      <w:tabs>
        <w:tab w:val="left" w:pos="1928"/>
      </w:tabs>
      <w:spacing w:after="0"/>
    </w:pPr>
    <w:rPr>
      <w:rFonts w:eastAsia="SimSun"/>
      <w:b/>
      <w:noProof/>
      <w:sz w:val="28"/>
      <w:szCs w:val="28"/>
    </w:rPr>
  </w:style>
  <w:style w:type="paragraph" w:customStyle="1" w:styleId="CEOSmall">
    <w:name w:val="CEO_Small"/>
    <w:basedOn w:val="CEONormal"/>
    <w:uiPriority w:val="99"/>
    <w:rsid w:val="00D37B90"/>
    <w:pPr>
      <w:framePr w:hSpace="0" w:wrap="auto" w:hAnchor="text" w:yAlign="inline"/>
      <w:spacing w:after="0" w:line="240" w:lineRule="auto"/>
      <w:jc w:val="left"/>
    </w:pPr>
    <w:rPr>
      <w:rFonts w:eastAsia="SimSun"/>
      <w:sz w:val="28"/>
      <w:szCs w:val="28"/>
    </w:rPr>
  </w:style>
  <w:style w:type="paragraph" w:customStyle="1" w:styleId="CEOStartNextPage">
    <w:name w:val="CEO_StartNextPage"/>
    <w:basedOn w:val="CEOFooter"/>
    <w:next w:val="CEONormal"/>
    <w:uiPriority w:val="99"/>
    <w:rsid w:val="00D37B90"/>
    <w:pPr>
      <w:spacing w:before="120"/>
      <w:jc w:val="center"/>
    </w:pPr>
  </w:style>
  <w:style w:type="paragraph" w:customStyle="1" w:styleId="CEORevisionNote">
    <w:name w:val="CEO_RevisionNote"/>
    <w:basedOn w:val="CEORevision"/>
    <w:autoRedefine/>
    <w:uiPriority w:val="99"/>
    <w:rsid w:val="00D37B90"/>
    <w:pPr>
      <w:tabs>
        <w:tab w:val="left" w:pos="1928"/>
      </w:tabs>
      <w:bidi w:val="0"/>
      <w:spacing w:line="240" w:lineRule="auto"/>
      <w:jc w:val="left"/>
    </w:pPr>
    <w:rPr>
      <w:rFonts w:eastAsia="SimSun" w:cs="Times New Roman"/>
      <w:b w:val="0"/>
      <w:i/>
      <w:iCs/>
      <w:noProof w:val="0"/>
      <w:sz w:val="18"/>
      <w:szCs w:val="18"/>
      <w:lang w:val="en-US" w:bidi="ar-SA"/>
    </w:rPr>
  </w:style>
  <w:style w:type="paragraph" w:customStyle="1" w:styleId="CEOActionRequiredDetails">
    <w:name w:val="CEO_ActionRequiredDetails"/>
    <w:uiPriority w:val="99"/>
    <w:rsid w:val="00D37B90"/>
    <w:pPr>
      <w:bidi/>
      <w:spacing w:before="120" w:line="192" w:lineRule="auto"/>
      <w:jc w:val="both"/>
    </w:pPr>
    <w:rPr>
      <w:rFonts w:ascii="Verdana" w:hAnsi="Verdana" w:cs="Simplified Arabic"/>
      <w:bCs/>
      <w:noProof/>
      <w:sz w:val="28"/>
      <w:szCs w:val="28"/>
      <w:lang w:val="en-GB" w:eastAsia="en-US"/>
    </w:rPr>
  </w:style>
  <w:style w:type="paragraph" w:styleId="EndnoteText">
    <w:name w:val="endnote text"/>
    <w:basedOn w:val="Normal"/>
    <w:link w:val="EndnoteTextChar"/>
    <w:uiPriority w:val="99"/>
    <w:rsid w:val="00D37B90"/>
    <w:pPr>
      <w:tabs>
        <w:tab w:val="clear" w:pos="567"/>
        <w:tab w:val="clear" w:pos="1133"/>
        <w:tab w:val="clear" w:pos="1700"/>
        <w:tab w:val="clear" w:pos="2267"/>
      </w:tabs>
      <w:kinsoku/>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D37B90"/>
    <w:rPr>
      <w:rFonts w:ascii="Verdana" w:eastAsia="SimHei" w:hAnsi="Verdana" w:cs="Simplified Arabic"/>
      <w:bCs/>
    </w:rPr>
  </w:style>
  <w:style w:type="character" w:styleId="EndnoteReference">
    <w:name w:val="endnote reference"/>
    <w:rsid w:val="00D37B90"/>
    <w:rPr>
      <w:vertAlign w:val="superscript"/>
    </w:rPr>
  </w:style>
  <w:style w:type="character" w:customStyle="1" w:styleId="google-src-text1">
    <w:name w:val="google-src-text1"/>
    <w:rsid w:val="00D37B90"/>
    <w:rPr>
      <w:vanish/>
      <w:webHidden w:val="0"/>
      <w:specVanish w:val="0"/>
    </w:rPr>
  </w:style>
  <w:style w:type="table" w:styleId="MediumShading2-Accent1">
    <w:name w:val="Medium Shading 2 Accent 1"/>
    <w:basedOn w:val="TableNormal"/>
    <w:uiPriority w:val="64"/>
    <w:rsid w:val="00D37B90"/>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ppendixNotitle">
    <w:name w:val="Appendix_No &amp; title"/>
    <w:basedOn w:val="Normal"/>
    <w:next w:val="Normal"/>
    <w:link w:val="AppendixNotitleChar"/>
    <w:rsid w:val="00D37B9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textAlignment w:val="baseline"/>
    </w:pPr>
    <w:rPr>
      <w:rFonts w:ascii="Times New Roman Bold" w:eastAsia="Batang" w:hAnsi="Times New Roman Bold"/>
      <w:b/>
      <w:bCs/>
      <w:sz w:val="26"/>
      <w:szCs w:val="36"/>
      <w:lang w:val="en-GB" w:eastAsia="en-US"/>
    </w:rPr>
  </w:style>
  <w:style w:type="character" w:customStyle="1" w:styleId="AppendixNotitleChar">
    <w:name w:val="Appendix_No &amp; title Char"/>
    <w:link w:val="AppendixNotitle"/>
    <w:locked/>
    <w:rsid w:val="00D37B90"/>
    <w:rPr>
      <w:rFonts w:ascii="Times New Roman Bold" w:eastAsia="Batang" w:hAnsi="Times New Roman Bold" w:cs="Traditional Arabic"/>
      <w:b/>
      <w:bCs/>
      <w:sz w:val="26"/>
      <w:szCs w:val="36"/>
      <w:lang w:val="en-GB" w:eastAsia="en-US"/>
    </w:rPr>
  </w:style>
  <w:style w:type="paragraph" w:customStyle="1" w:styleId="Reasons">
    <w:name w:val="Reasons"/>
    <w:basedOn w:val="Normal"/>
    <w:uiPriority w:val="99"/>
    <w:qFormat/>
    <w:rsid w:val="00D37B9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Heading">
    <w:name w:val="Heading"/>
    <w:basedOn w:val="Heading1"/>
    <w:uiPriority w:val="99"/>
    <w:rsid w:val="00D37B90"/>
    <w:pPr>
      <w:tabs>
        <w:tab w:val="clear" w:pos="849"/>
        <w:tab w:val="clear" w:pos="1133"/>
        <w:tab w:val="clear" w:pos="1700"/>
        <w:tab w:val="clear" w:pos="2267"/>
        <w:tab w:val="left" w:pos="992"/>
        <w:tab w:val="left" w:pos="2080"/>
      </w:tabs>
      <w:kinsoku/>
      <w:spacing w:before="120"/>
      <w:ind w:left="794" w:hanging="794"/>
    </w:pPr>
    <w:rPr>
      <w:rFonts w:ascii="Verdana Bold" w:eastAsia="SimHei" w:hAnsi="Verdana Bold" w:cs="Simplified Arabic"/>
      <w:color w:val="auto"/>
      <w:sz w:val="24"/>
      <w:szCs w:val="32"/>
      <w:lang w:eastAsia="en-US"/>
    </w:rPr>
  </w:style>
  <w:style w:type="paragraph" w:customStyle="1" w:styleId="Headingb2">
    <w:name w:val="Heading b"/>
    <w:basedOn w:val="headingb1"/>
    <w:uiPriority w:val="99"/>
    <w:rsid w:val="00D37B90"/>
    <w:pPr>
      <w:keepNext/>
      <w:numPr>
        <w:ilvl w:val="2"/>
      </w:numPr>
      <w:spacing w:line="240" w:lineRule="auto"/>
      <w:ind w:left="794" w:hanging="794"/>
    </w:pPr>
    <w:rPr>
      <w:rFonts w:eastAsia="SimSun" w:cs="Simplified Arabic"/>
      <w:sz w:val="19"/>
      <w:szCs w:val="26"/>
    </w:rPr>
  </w:style>
  <w:style w:type="paragraph" w:customStyle="1" w:styleId="AnnexNotitle">
    <w:name w:val="Annex_No &amp; title"/>
    <w:basedOn w:val="Normal"/>
    <w:next w:val="Normal"/>
    <w:link w:val="AnnexNotitleChar"/>
    <w:rsid w:val="00D37B90"/>
    <w:pPr>
      <w:keepNext/>
      <w:keepLines/>
      <w:tabs>
        <w:tab w:val="clear" w:pos="567"/>
        <w:tab w:val="clear" w:pos="1133"/>
        <w:tab w:val="clear" w:pos="1700"/>
        <w:tab w:val="clear" w:pos="2267"/>
      </w:tabs>
      <w:kinsoku/>
      <w:spacing w:before="480"/>
      <w:jc w:val="center"/>
    </w:pPr>
    <w:rPr>
      <w:rFonts w:ascii="Times New Roman Bold" w:eastAsia="Batang" w:hAnsi="Times New Roman Bold" w:cs="Simplified Arabic"/>
      <w:b/>
      <w:bCs/>
      <w:sz w:val="26"/>
      <w:szCs w:val="36"/>
      <w:lang w:eastAsia="zh-CN" w:bidi="ar-EG"/>
    </w:rPr>
  </w:style>
  <w:style w:type="character" w:customStyle="1" w:styleId="AnnexNotitleChar">
    <w:name w:val="Annex_No &amp; title Char"/>
    <w:link w:val="AnnexNotitle"/>
    <w:locked/>
    <w:rsid w:val="00D37B90"/>
    <w:rPr>
      <w:rFonts w:ascii="Times New Roman Bold" w:eastAsia="Batang" w:hAnsi="Times New Roman Bold" w:cs="Simplified Arabic"/>
      <w:b/>
      <w:bCs/>
      <w:sz w:val="26"/>
      <w:szCs w:val="36"/>
      <w:lang w:bidi="ar-EG"/>
    </w:rPr>
  </w:style>
  <w:style w:type="paragraph" w:customStyle="1" w:styleId="AppendixNoTitle0">
    <w:name w:val="Appendix_NoTitle"/>
    <w:basedOn w:val="Normal"/>
    <w:next w:val="Normal"/>
    <w:uiPriority w:val="99"/>
    <w:rsid w:val="00D37B90"/>
    <w:pPr>
      <w:keepNext/>
      <w:keepLines/>
      <w:tabs>
        <w:tab w:val="clear" w:pos="567"/>
        <w:tab w:val="clear" w:pos="1133"/>
        <w:tab w:val="clear" w:pos="1700"/>
        <w:tab w:val="clear" w:pos="2267"/>
      </w:tabs>
      <w:kinsoku/>
      <w:spacing w:before="720"/>
      <w:jc w:val="center"/>
    </w:pPr>
    <w:rPr>
      <w:rFonts w:ascii="Times New Roman Bold" w:eastAsia="Batang" w:hAnsi="Times New Roman Bold" w:cs="Simplified Arabic"/>
      <w:b/>
      <w:bCs/>
      <w:sz w:val="28"/>
      <w:szCs w:val="40"/>
      <w:lang w:eastAsia="zh-CN" w:bidi="ar-EG"/>
    </w:rPr>
  </w:style>
  <w:style w:type="paragraph" w:customStyle="1" w:styleId="Artheading">
    <w:name w:val="Art_heading"/>
    <w:basedOn w:val="Normal"/>
    <w:next w:val="Normal"/>
    <w:uiPriority w:val="99"/>
    <w:rsid w:val="00D37B90"/>
    <w:pPr>
      <w:tabs>
        <w:tab w:val="clear" w:pos="567"/>
        <w:tab w:val="clear" w:pos="1133"/>
        <w:tab w:val="clear" w:pos="1700"/>
        <w:tab w:val="clear" w:pos="2267"/>
      </w:tabs>
      <w:kinsoku/>
      <w:spacing w:before="480"/>
      <w:jc w:val="center"/>
    </w:pPr>
    <w:rPr>
      <w:rFonts w:ascii="Verdana" w:hAnsi="Verdana" w:cs="Simplified Arabic"/>
      <w:b/>
      <w:sz w:val="28"/>
      <w:szCs w:val="26"/>
      <w:lang w:eastAsia="zh-CN" w:bidi="ar-EG"/>
    </w:rPr>
  </w:style>
  <w:style w:type="paragraph" w:customStyle="1" w:styleId="ArtNo">
    <w:name w:val="Art_No"/>
    <w:basedOn w:val="Normal"/>
    <w:next w:val="Normal"/>
    <w:uiPriority w:val="99"/>
    <w:rsid w:val="00D37B90"/>
    <w:pPr>
      <w:keepNext/>
      <w:keepLines/>
      <w:tabs>
        <w:tab w:val="clear" w:pos="567"/>
        <w:tab w:val="clear" w:pos="1133"/>
        <w:tab w:val="clear" w:pos="1700"/>
        <w:tab w:val="clear" w:pos="2267"/>
      </w:tabs>
      <w:kinsoku/>
      <w:spacing w:before="480"/>
      <w:jc w:val="center"/>
    </w:pPr>
    <w:rPr>
      <w:rFonts w:ascii="Verdana" w:hAnsi="Verdana" w:cs="Simplified Arabic"/>
      <w:caps/>
      <w:sz w:val="26"/>
      <w:szCs w:val="36"/>
      <w:lang w:eastAsia="zh-CN" w:bidi="ar-EG"/>
    </w:rPr>
  </w:style>
  <w:style w:type="paragraph" w:customStyle="1" w:styleId="ChapNo">
    <w:name w:val="Chap_No"/>
    <w:basedOn w:val="Normal"/>
    <w:next w:val="Normal"/>
    <w:uiPriority w:val="99"/>
    <w:rsid w:val="00D37B90"/>
    <w:pPr>
      <w:keepNext/>
      <w:keepLines/>
      <w:tabs>
        <w:tab w:val="clear" w:pos="567"/>
        <w:tab w:val="clear" w:pos="1133"/>
        <w:tab w:val="clear" w:pos="1700"/>
        <w:tab w:val="clear" w:pos="2267"/>
      </w:tabs>
      <w:kinsoku/>
      <w:spacing w:before="480"/>
      <w:jc w:val="center"/>
    </w:pPr>
    <w:rPr>
      <w:rFonts w:ascii="Times New Roman Bold" w:hAnsi="Times New Roman Bold" w:cs="Simplified Arabic"/>
      <w:b/>
      <w:caps/>
      <w:sz w:val="26"/>
      <w:szCs w:val="36"/>
      <w:lang w:eastAsia="zh-CN" w:bidi="ar-EG"/>
    </w:rPr>
  </w:style>
  <w:style w:type="paragraph" w:customStyle="1" w:styleId="Chaptitle">
    <w:name w:val="Chap_title"/>
    <w:basedOn w:val="Normal"/>
    <w:next w:val="Normal"/>
    <w:uiPriority w:val="99"/>
    <w:rsid w:val="00D37B90"/>
    <w:pPr>
      <w:keepNext/>
      <w:keepLines/>
      <w:tabs>
        <w:tab w:val="clear" w:pos="567"/>
        <w:tab w:val="clear" w:pos="1133"/>
        <w:tab w:val="clear" w:pos="1700"/>
        <w:tab w:val="clear" w:pos="2267"/>
      </w:tabs>
      <w:kinsoku/>
      <w:spacing w:before="240"/>
      <w:jc w:val="center"/>
    </w:pPr>
    <w:rPr>
      <w:rFonts w:ascii="Times New Roman Bold" w:hAnsi="Times New Roman Bold" w:cs="Simplified Arabic"/>
      <w:b/>
      <w:sz w:val="26"/>
      <w:szCs w:val="36"/>
      <w:lang w:eastAsia="zh-CN" w:bidi="ar-EG"/>
    </w:rPr>
  </w:style>
  <w:style w:type="paragraph" w:customStyle="1" w:styleId="dnum">
    <w:name w:val="dnum"/>
    <w:basedOn w:val="Normal"/>
    <w:uiPriority w:val="99"/>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jc w:val="left"/>
    </w:pPr>
    <w:rPr>
      <w:rFonts w:ascii="Times New Roman Bold" w:hAnsi="Times New Roman Bold" w:cs="Simplified Arabic"/>
      <w:b/>
      <w:bCs/>
      <w:sz w:val="19"/>
      <w:lang w:eastAsia="zh-CN" w:bidi="ar-EG"/>
    </w:rPr>
  </w:style>
  <w:style w:type="paragraph" w:customStyle="1" w:styleId="dorlang">
    <w:name w:val="dorlang"/>
    <w:basedOn w:val="Normal"/>
    <w:uiPriority w:val="99"/>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pPr>
    <w:rPr>
      <w:rFonts w:ascii="Verdana" w:hAnsi="Verdana" w:cs="Simplified Arabic"/>
      <w:b/>
      <w:bCs/>
      <w:sz w:val="19"/>
      <w:lang w:eastAsia="zh-CN" w:bidi="ar-EG"/>
    </w:rPr>
  </w:style>
  <w:style w:type="paragraph" w:customStyle="1" w:styleId="Equationlegend0">
    <w:name w:val="Equation_legend"/>
    <w:basedOn w:val="Normal"/>
    <w:uiPriority w:val="99"/>
    <w:rsid w:val="00D37B90"/>
    <w:pPr>
      <w:tabs>
        <w:tab w:val="clear" w:pos="567"/>
        <w:tab w:val="clear" w:pos="1133"/>
        <w:tab w:val="clear" w:pos="1700"/>
        <w:tab w:val="clear" w:pos="2267"/>
        <w:tab w:val="right" w:pos="1814"/>
      </w:tabs>
      <w:kinsoku/>
      <w:spacing w:before="80"/>
      <w:ind w:left="1985" w:right="1985" w:hanging="1985"/>
    </w:pPr>
    <w:rPr>
      <w:rFonts w:ascii="Verdana" w:hAnsi="Verdana" w:cs="Simplified Arabic"/>
      <w:sz w:val="19"/>
      <w:szCs w:val="26"/>
      <w:lang w:eastAsia="zh-CN" w:bidi="ar-EG"/>
    </w:rPr>
  </w:style>
  <w:style w:type="paragraph" w:customStyle="1" w:styleId="FigureNotitle">
    <w:name w:val="Figure_No &amp; title"/>
    <w:basedOn w:val="Normal"/>
    <w:next w:val="Normal"/>
    <w:uiPriority w:val="99"/>
    <w:qFormat/>
    <w:rsid w:val="00D37B90"/>
    <w:pPr>
      <w:keepLines/>
      <w:tabs>
        <w:tab w:val="clear" w:pos="567"/>
        <w:tab w:val="clear" w:pos="1133"/>
        <w:tab w:val="clear" w:pos="1700"/>
        <w:tab w:val="clear" w:pos="2267"/>
      </w:tabs>
      <w:kinsoku/>
      <w:spacing w:before="240" w:after="120"/>
      <w:jc w:val="center"/>
    </w:pPr>
    <w:rPr>
      <w:rFonts w:ascii="Verdana Bold" w:eastAsia="Batang" w:hAnsi="Verdana Bold" w:cs="Simplified Arabic"/>
      <w:b/>
      <w:bCs/>
      <w:sz w:val="19"/>
      <w:szCs w:val="26"/>
      <w:lang w:eastAsia="zh-CN" w:bidi="ar-EG"/>
    </w:rPr>
  </w:style>
  <w:style w:type="paragraph" w:customStyle="1" w:styleId="FigureNoBR">
    <w:name w:val="Figure_No_BR"/>
    <w:basedOn w:val="Normal"/>
    <w:next w:val="Normal"/>
    <w:uiPriority w:val="99"/>
    <w:rsid w:val="00D37B90"/>
    <w:pPr>
      <w:keepNext/>
      <w:keepLines/>
      <w:tabs>
        <w:tab w:val="clear" w:pos="567"/>
        <w:tab w:val="clear" w:pos="1133"/>
        <w:tab w:val="clear" w:pos="1700"/>
        <w:tab w:val="clear" w:pos="2267"/>
      </w:tabs>
      <w:kinsoku/>
      <w:spacing w:before="480" w:after="120"/>
      <w:jc w:val="center"/>
    </w:pPr>
    <w:rPr>
      <w:rFonts w:ascii="Verdana" w:eastAsia="Batang" w:hAnsi="Verdana" w:cs="Simplified Arabic"/>
      <w:caps/>
      <w:sz w:val="19"/>
      <w:szCs w:val="26"/>
      <w:lang w:eastAsia="zh-CN" w:bidi="ar-EG"/>
    </w:rPr>
  </w:style>
  <w:style w:type="paragraph" w:customStyle="1" w:styleId="FiguretitleBR">
    <w:name w:val="Figure_title_BR"/>
    <w:basedOn w:val="Normal"/>
    <w:next w:val="Normal"/>
    <w:uiPriority w:val="99"/>
    <w:rsid w:val="00D37B90"/>
    <w:pPr>
      <w:keepLines/>
      <w:tabs>
        <w:tab w:val="clear" w:pos="567"/>
        <w:tab w:val="clear" w:pos="1133"/>
        <w:tab w:val="clear" w:pos="1700"/>
        <w:tab w:val="clear" w:pos="2267"/>
      </w:tabs>
      <w:kinsoku/>
      <w:spacing w:after="480"/>
      <w:jc w:val="center"/>
    </w:pPr>
    <w:rPr>
      <w:rFonts w:ascii="Verdana" w:eastAsia="Batang" w:hAnsi="Verdana" w:cs="Simplified Arabic"/>
      <w:b/>
      <w:sz w:val="19"/>
      <w:szCs w:val="26"/>
      <w:lang w:eastAsia="zh-CN" w:bidi="ar-EG"/>
    </w:rPr>
  </w:style>
  <w:style w:type="paragraph" w:customStyle="1" w:styleId="Figurewithouttitle">
    <w:name w:val="Figure_without_title"/>
    <w:basedOn w:val="Normal"/>
    <w:next w:val="Normal"/>
    <w:uiPriority w:val="99"/>
    <w:rsid w:val="00D37B90"/>
    <w:pPr>
      <w:keepLines/>
      <w:tabs>
        <w:tab w:val="clear" w:pos="567"/>
        <w:tab w:val="clear" w:pos="1133"/>
        <w:tab w:val="clear" w:pos="1700"/>
        <w:tab w:val="clear" w:pos="2267"/>
      </w:tabs>
      <w:kinsoku/>
      <w:spacing w:before="240" w:after="120"/>
      <w:jc w:val="center"/>
    </w:pPr>
    <w:rPr>
      <w:rFonts w:ascii="Verdana" w:eastAsia="Batang" w:hAnsi="Verdana" w:cs="Simplified Arabic"/>
      <w:sz w:val="19"/>
      <w:szCs w:val="26"/>
      <w:lang w:eastAsia="zh-CN" w:bidi="ar-EG"/>
    </w:rPr>
  </w:style>
  <w:style w:type="paragraph" w:customStyle="1" w:styleId="FooterQP">
    <w:name w:val="Footer_QP"/>
    <w:basedOn w:val="Normal"/>
    <w:uiPriority w:val="99"/>
    <w:rsid w:val="00D37B90"/>
    <w:pPr>
      <w:tabs>
        <w:tab w:val="clear" w:pos="567"/>
        <w:tab w:val="clear" w:pos="1133"/>
        <w:tab w:val="clear" w:pos="1700"/>
        <w:tab w:val="clear" w:pos="2267"/>
        <w:tab w:val="left" w:pos="907"/>
        <w:tab w:val="right" w:pos="8789"/>
        <w:tab w:val="right" w:pos="9639"/>
      </w:tabs>
      <w:kinsoku/>
      <w:spacing w:before="0"/>
    </w:pPr>
    <w:rPr>
      <w:rFonts w:ascii="Verdana" w:hAnsi="Verdana" w:cs="Simplified Arabic"/>
      <w:b/>
      <w:sz w:val="19"/>
      <w:szCs w:val="26"/>
      <w:lang w:eastAsia="zh-CN" w:bidi="ar-EG"/>
    </w:rPr>
  </w:style>
  <w:style w:type="paragraph" w:customStyle="1" w:styleId="Formal">
    <w:name w:val="Formal"/>
    <w:basedOn w:val="Normal"/>
    <w:uiPriority w:val="99"/>
    <w:rsid w:val="00D37B90"/>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pPr>
    <w:rPr>
      <w:rFonts w:ascii="Verdana" w:hAnsi="Verdana" w:cs="Simplified Arabic"/>
      <w:b/>
      <w:sz w:val="19"/>
      <w:szCs w:val="26"/>
      <w:lang w:eastAsia="zh-CN" w:bidi="ar-EG"/>
    </w:rPr>
  </w:style>
  <w:style w:type="paragraph" w:customStyle="1" w:styleId="Normalaftertitle0">
    <w:name w:val="Normal_after_title"/>
    <w:basedOn w:val="Normal"/>
    <w:next w:val="Normal"/>
    <w:uiPriority w:val="99"/>
    <w:rsid w:val="00D37B90"/>
    <w:pPr>
      <w:tabs>
        <w:tab w:val="clear" w:pos="567"/>
        <w:tab w:val="clear" w:pos="1133"/>
        <w:tab w:val="clear" w:pos="1700"/>
        <w:tab w:val="clear" w:pos="2267"/>
      </w:tabs>
      <w:kinsoku/>
      <w:spacing w:before="360"/>
    </w:pPr>
    <w:rPr>
      <w:rFonts w:ascii="Verdana" w:hAnsi="Verdana" w:cs="Simplified Arabic"/>
      <w:sz w:val="19"/>
      <w:szCs w:val="26"/>
      <w:lang w:eastAsia="zh-CN" w:bidi="ar-EG"/>
    </w:rPr>
  </w:style>
  <w:style w:type="paragraph" w:customStyle="1" w:styleId="PartNo">
    <w:name w:val="Part_No"/>
    <w:basedOn w:val="Normal"/>
    <w:next w:val="Normal"/>
    <w:uiPriority w:val="99"/>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Parttitle1">
    <w:name w:val="Part_title"/>
    <w:basedOn w:val="Normal"/>
    <w:next w:val="Normal"/>
    <w:uiPriority w:val="99"/>
    <w:rsid w:val="00D37B90"/>
    <w:pPr>
      <w:keepNext/>
      <w:keepLines/>
      <w:tabs>
        <w:tab w:val="clear" w:pos="567"/>
        <w:tab w:val="clear" w:pos="1133"/>
        <w:tab w:val="clear" w:pos="1700"/>
        <w:tab w:val="clear" w:pos="2267"/>
      </w:tabs>
      <w:kinsoku/>
      <w:spacing w:before="240" w:after="280"/>
      <w:jc w:val="center"/>
    </w:pPr>
    <w:rPr>
      <w:rFonts w:ascii="Times New Roman Bold" w:hAnsi="Times New Roman Bold" w:cs="Simplified Arabic"/>
      <w:b/>
      <w:bCs/>
      <w:sz w:val="28"/>
      <w:szCs w:val="40"/>
      <w:lang w:eastAsia="zh-CN" w:bidi="ar-EG"/>
    </w:rPr>
  </w:style>
  <w:style w:type="paragraph" w:customStyle="1" w:styleId="RecNo">
    <w:name w:val="Rec_No"/>
    <w:basedOn w:val="Normal"/>
    <w:next w:val="Normal"/>
    <w:uiPriority w:val="99"/>
    <w:rsid w:val="00D37B90"/>
    <w:pPr>
      <w:keepNext/>
      <w:keepLines/>
      <w:tabs>
        <w:tab w:val="clear" w:pos="567"/>
        <w:tab w:val="clear" w:pos="1133"/>
        <w:tab w:val="clear" w:pos="1700"/>
        <w:tab w:val="clear" w:pos="2267"/>
      </w:tabs>
      <w:kinsoku/>
      <w:spacing w:before="0"/>
    </w:pPr>
    <w:rPr>
      <w:rFonts w:ascii="Times New Roman Bold" w:hAnsi="Times New Roman Bold" w:cs="Simplified Arabic"/>
      <w:b/>
      <w:sz w:val="28"/>
      <w:szCs w:val="40"/>
      <w:lang w:eastAsia="zh-CN" w:bidi="ar-EG"/>
    </w:rPr>
  </w:style>
  <w:style w:type="paragraph" w:customStyle="1" w:styleId="RecNoBR">
    <w:name w:val="Rec_No_BR"/>
    <w:basedOn w:val="Normal"/>
    <w:next w:val="Normal"/>
    <w:uiPriority w:val="99"/>
    <w:rsid w:val="00D37B90"/>
    <w:pPr>
      <w:keepNext/>
      <w:keepLines/>
      <w:tabs>
        <w:tab w:val="clear" w:pos="567"/>
        <w:tab w:val="clear" w:pos="1133"/>
        <w:tab w:val="clear" w:pos="1700"/>
        <w:tab w:val="clear" w:pos="2267"/>
      </w:tabs>
      <w:kinsoku/>
      <w:spacing w:before="480"/>
      <w:jc w:val="center"/>
    </w:pPr>
    <w:rPr>
      <w:rFonts w:ascii="Verdana" w:hAnsi="Verdana" w:cs="Simplified Arabic"/>
      <w:caps/>
      <w:sz w:val="28"/>
      <w:szCs w:val="40"/>
      <w:lang w:eastAsia="zh-CN" w:bidi="ar-EG"/>
    </w:rPr>
  </w:style>
  <w:style w:type="paragraph" w:customStyle="1" w:styleId="QuestionNoBR">
    <w:name w:val="Question_No_BR"/>
    <w:basedOn w:val="RecNoBR"/>
    <w:next w:val="Normal"/>
    <w:uiPriority w:val="99"/>
    <w:rsid w:val="00D37B90"/>
  </w:style>
  <w:style w:type="paragraph" w:customStyle="1" w:styleId="Rectitle0">
    <w:name w:val="Rec_title"/>
    <w:basedOn w:val="Normal"/>
    <w:next w:val="Normalaftertitle0"/>
    <w:uiPriority w:val="99"/>
    <w:rsid w:val="00D37B90"/>
    <w:pPr>
      <w:keepNext/>
      <w:keepLines/>
      <w:tabs>
        <w:tab w:val="clear" w:pos="567"/>
        <w:tab w:val="clear" w:pos="1133"/>
        <w:tab w:val="clear" w:pos="1700"/>
        <w:tab w:val="clear" w:pos="2267"/>
      </w:tabs>
      <w:kinsoku/>
      <w:spacing w:before="360"/>
      <w:jc w:val="center"/>
    </w:pPr>
    <w:rPr>
      <w:rFonts w:ascii="Times New Roman Bold" w:hAnsi="Times New Roman Bold" w:cs="Simplified Arabic"/>
      <w:b/>
      <w:sz w:val="28"/>
      <w:szCs w:val="40"/>
      <w:lang w:eastAsia="zh-CN" w:bidi="ar-EG"/>
    </w:rPr>
  </w:style>
  <w:style w:type="paragraph" w:customStyle="1" w:styleId="RepNoBR">
    <w:name w:val="Rep_No_BR"/>
    <w:basedOn w:val="RecNoBR"/>
    <w:next w:val="Normal"/>
    <w:uiPriority w:val="99"/>
    <w:rsid w:val="00D37B90"/>
  </w:style>
  <w:style w:type="paragraph" w:customStyle="1" w:styleId="Reptitle0">
    <w:name w:val="Rep_title"/>
    <w:basedOn w:val="Rectitle0"/>
    <w:next w:val="Repref"/>
    <w:uiPriority w:val="99"/>
    <w:rsid w:val="00D37B90"/>
  </w:style>
  <w:style w:type="paragraph" w:customStyle="1" w:styleId="ResNoBR">
    <w:name w:val="Res_No_BR"/>
    <w:basedOn w:val="RecNoBR"/>
    <w:next w:val="Normal"/>
    <w:uiPriority w:val="99"/>
    <w:rsid w:val="00D37B90"/>
  </w:style>
  <w:style w:type="paragraph" w:customStyle="1" w:styleId="Section1">
    <w:name w:val="Section_1"/>
    <w:basedOn w:val="Normal"/>
    <w:next w:val="Normal"/>
    <w:uiPriority w:val="99"/>
    <w:rsid w:val="00D37B90"/>
    <w:pPr>
      <w:tabs>
        <w:tab w:val="clear" w:pos="567"/>
        <w:tab w:val="clear" w:pos="1133"/>
        <w:tab w:val="clear" w:pos="1700"/>
        <w:tab w:val="clear" w:pos="2267"/>
      </w:tabs>
      <w:kinsoku/>
      <w:spacing w:before="624"/>
      <w:jc w:val="center"/>
    </w:pPr>
    <w:rPr>
      <w:rFonts w:ascii="Verdana" w:hAnsi="Verdana" w:cs="Simplified Arabic"/>
      <w:b/>
      <w:sz w:val="19"/>
      <w:szCs w:val="26"/>
      <w:lang w:eastAsia="zh-CN" w:bidi="ar-EG"/>
    </w:rPr>
  </w:style>
  <w:style w:type="paragraph" w:customStyle="1" w:styleId="Section2">
    <w:name w:val="Section_2"/>
    <w:basedOn w:val="Normal"/>
    <w:next w:val="Normal"/>
    <w:uiPriority w:val="99"/>
    <w:rsid w:val="00D37B90"/>
    <w:pPr>
      <w:tabs>
        <w:tab w:val="clear" w:pos="567"/>
        <w:tab w:val="clear" w:pos="1133"/>
        <w:tab w:val="clear" w:pos="1700"/>
        <w:tab w:val="clear" w:pos="2267"/>
      </w:tabs>
      <w:kinsoku/>
      <w:spacing w:before="240"/>
      <w:jc w:val="center"/>
    </w:pPr>
    <w:rPr>
      <w:rFonts w:ascii="Verdana" w:hAnsi="Verdana" w:cs="Simplified Arabic"/>
      <w:i/>
      <w:sz w:val="19"/>
      <w:szCs w:val="26"/>
      <w:lang w:eastAsia="zh-CN" w:bidi="ar-EG"/>
    </w:rPr>
  </w:style>
  <w:style w:type="paragraph" w:customStyle="1" w:styleId="SectionNo">
    <w:name w:val="Section_No"/>
    <w:basedOn w:val="Normal"/>
    <w:next w:val="Normal"/>
    <w:uiPriority w:val="99"/>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Sectiontitle">
    <w:name w:val="Section_title"/>
    <w:basedOn w:val="Normal"/>
    <w:next w:val="Normalaftertitle0"/>
    <w:uiPriority w:val="99"/>
    <w:rsid w:val="00D37B90"/>
    <w:pPr>
      <w:keepNext/>
      <w:keepLines/>
      <w:tabs>
        <w:tab w:val="clear" w:pos="567"/>
        <w:tab w:val="clear" w:pos="1133"/>
        <w:tab w:val="clear" w:pos="1700"/>
        <w:tab w:val="clear" w:pos="2267"/>
      </w:tabs>
      <w:kinsoku/>
      <w:spacing w:before="480" w:after="280"/>
      <w:jc w:val="center"/>
    </w:pPr>
    <w:rPr>
      <w:rFonts w:ascii="Times New Roman Bold" w:hAnsi="Times New Roman Bold" w:cs="Simplified Arabic"/>
      <w:b/>
      <w:sz w:val="28"/>
      <w:szCs w:val="40"/>
      <w:lang w:eastAsia="zh-CN" w:bidi="ar-EG"/>
    </w:rPr>
  </w:style>
  <w:style w:type="paragraph" w:customStyle="1" w:styleId="SpecialFooter">
    <w:name w:val="Special Footer"/>
    <w:basedOn w:val="Footer"/>
    <w:uiPriority w:val="99"/>
    <w:rsid w:val="00D37B90"/>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spacing w:line="168" w:lineRule="auto"/>
      <w:ind w:left="0"/>
    </w:pPr>
    <w:rPr>
      <w:rFonts w:ascii="Verdana" w:eastAsia="Batang" w:hAnsi="Verdana" w:cs="Simplified Arabic"/>
      <w:sz w:val="16"/>
      <w:szCs w:val="22"/>
      <w:lang w:eastAsia="zh-CN" w:bidi="ar-EG"/>
    </w:rPr>
  </w:style>
  <w:style w:type="paragraph" w:customStyle="1" w:styleId="Tablehead1">
    <w:name w:val="Table_head"/>
    <w:basedOn w:val="Normal"/>
    <w:next w:val="Normal"/>
    <w:uiPriority w:val="99"/>
    <w:rsid w:val="00D37B90"/>
    <w:pPr>
      <w:keepNext/>
      <w:tabs>
        <w:tab w:val="clear" w:pos="1133"/>
        <w:tab w:val="clear" w:pos="1700"/>
        <w:tab w:val="clear" w:pos="2267"/>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kinsoku/>
      <w:spacing w:before="80" w:after="80"/>
      <w:jc w:val="center"/>
    </w:pPr>
    <w:rPr>
      <w:rFonts w:ascii="Verdana" w:hAnsi="Verdana" w:cs="Simplified Arabic"/>
      <w:bCs/>
      <w:sz w:val="19"/>
      <w:szCs w:val="26"/>
      <w:lang w:eastAsia="zh-CN" w:bidi="ar-EG"/>
    </w:rPr>
  </w:style>
  <w:style w:type="paragraph" w:customStyle="1" w:styleId="TableNoBR">
    <w:name w:val="Table_No_BR"/>
    <w:basedOn w:val="Normal"/>
    <w:next w:val="Normal"/>
    <w:uiPriority w:val="99"/>
    <w:rsid w:val="00D37B90"/>
    <w:pPr>
      <w:keepNext/>
      <w:tabs>
        <w:tab w:val="clear" w:pos="567"/>
        <w:tab w:val="clear" w:pos="1133"/>
        <w:tab w:val="clear" w:pos="1700"/>
        <w:tab w:val="clear" w:pos="2267"/>
      </w:tabs>
      <w:kinsoku/>
      <w:spacing w:before="560" w:after="120"/>
      <w:jc w:val="center"/>
    </w:pPr>
    <w:rPr>
      <w:rFonts w:ascii="Verdana" w:hAnsi="Verdana" w:cs="Simplified Arabic"/>
      <w:caps/>
      <w:sz w:val="19"/>
      <w:szCs w:val="26"/>
      <w:lang w:eastAsia="zh-CN" w:bidi="ar-EG"/>
    </w:rPr>
  </w:style>
  <w:style w:type="paragraph" w:customStyle="1" w:styleId="TabletitleBR">
    <w:name w:val="Table_title_BR"/>
    <w:basedOn w:val="Normal"/>
    <w:next w:val="Tablehead1"/>
    <w:uiPriority w:val="99"/>
    <w:rsid w:val="00D37B90"/>
    <w:pPr>
      <w:keepNext/>
      <w:keepLines/>
      <w:tabs>
        <w:tab w:val="clear" w:pos="567"/>
        <w:tab w:val="clear" w:pos="1133"/>
        <w:tab w:val="clear" w:pos="1700"/>
        <w:tab w:val="clear" w:pos="2267"/>
      </w:tabs>
      <w:kinsoku/>
      <w:spacing w:before="0" w:after="120"/>
      <w:jc w:val="center"/>
    </w:pPr>
    <w:rPr>
      <w:rFonts w:ascii="Verdana" w:hAnsi="Verdana" w:cs="Simplified Arabic"/>
      <w:b/>
      <w:sz w:val="19"/>
      <w:szCs w:val="26"/>
      <w:lang w:eastAsia="zh-CN" w:bidi="ar-EG"/>
    </w:rPr>
  </w:style>
  <w:style w:type="paragraph" w:customStyle="1" w:styleId="Title1">
    <w:name w:val="Title 1"/>
    <w:basedOn w:val="TOC1"/>
    <w:next w:val="Normal"/>
    <w:uiPriority w:val="99"/>
    <w:rsid w:val="00D37B90"/>
    <w:pPr>
      <w:tabs>
        <w:tab w:val="clear" w:pos="567"/>
        <w:tab w:val="clear" w:pos="8505"/>
        <w:tab w:val="clear" w:pos="8929"/>
        <w:tab w:val="left" w:leader="dot" w:pos="8930"/>
        <w:tab w:val="left" w:pos="9071"/>
      </w:tabs>
      <w:kinsoku/>
      <w:ind w:left="567" w:right="737" w:hanging="567"/>
      <w:jc w:val="both"/>
    </w:pPr>
    <w:rPr>
      <w:rFonts w:ascii="Verdana Bold" w:eastAsia="SimSun" w:hAnsi="Verdana Bold" w:cs="Simplified Arabic"/>
      <w:sz w:val="19"/>
      <w:szCs w:val="26"/>
    </w:rPr>
  </w:style>
  <w:style w:type="paragraph" w:customStyle="1" w:styleId="Title2">
    <w:name w:val="Title 2"/>
    <w:basedOn w:val="TOC2"/>
    <w:next w:val="Normal"/>
    <w:uiPriority w:val="99"/>
    <w:rsid w:val="00D37B90"/>
    <w:pPr>
      <w:tabs>
        <w:tab w:val="clear" w:pos="567"/>
        <w:tab w:val="clear" w:pos="1134"/>
        <w:tab w:val="clear" w:pos="8505"/>
        <w:tab w:val="clear" w:pos="8929"/>
        <w:tab w:val="right" w:leader="dot" w:pos="8789"/>
        <w:tab w:val="left" w:pos="9072"/>
      </w:tabs>
      <w:kinsoku/>
      <w:spacing w:before="120"/>
      <w:ind w:left="1133" w:right="737" w:hanging="567"/>
      <w:jc w:val="both"/>
    </w:pPr>
    <w:rPr>
      <w:rFonts w:ascii="Verdana" w:hAnsi="Verdana" w:cs="Simplified Arabic"/>
      <w:sz w:val="19"/>
      <w:szCs w:val="26"/>
      <w:lang w:eastAsia="zh-CN" w:bidi="ar-EG"/>
    </w:rPr>
  </w:style>
  <w:style w:type="paragraph" w:customStyle="1" w:styleId="Title3">
    <w:name w:val="Title 3"/>
    <w:basedOn w:val="TOC3"/>
    <w:next w:val="Normal"/>
    <w:uiPriority w:val="99"/>
    <w:rsid w:val="00D37B90"/>
    <w:pPr>
      <w:tabs>
        <w:tab w:val="clear" w:pos="567"/>
        <w:tab w:val="clear" w:pos="1133"/>
        <w:tab w:val="clear" w:pos="1700"/>
        <w:tab w:val="clear" w:pos="8505"/>
        <w:tab w:val="clear" w:pos="8929"/>
        <w:tab w:val="right" w:leader="dot" w:pos="8789"/>
        <w:tab w:val="left" w:pos="9072"/>
        <w:tab w:val="left" w:pos="9214"/>
      </w:tabs>
      <w:kinsoku/>
      <w:spacing w:before="0"/>
      <w:ind w:left="2382" w:right="737"/>
    </w:pPr>
    <w:rPr>
      <w:rFonts w:ascii="Verdana" w:hAnsi="Verdana" w:cs="Simplified Arabic"/>
      <w:color w:val="auto"/>
      <w:sz w:val="19"/>
      <w:szCs w:val="26"/>
      <w:lang w:val="en-GB" w:eastAsia="zh-CN"/>
    </w:rPr>
  </w:style>
  <w:style w:type="paragraph" w:customStyle="1" w:styleId="Title4">
    <w:name w:val="Title 4"/>
    <w:basedOn w:val="Title3"/>
    <w:next w:val="Heading1"/>
    <w:uiPriority w:val="99"/>
    <w:rsid w:val="00D37B90"/>
    <w:rPr>
      <w:b/>
    </w:rPr>
  </w:style>
  <w:style w:type="paragraph" w:customStyle="1" w:styleId="CEOAgendaItemIndent">
    <w:name w:val="CEO_AgendaItemIndent"/>
    <w:basedOn w:val="Normal"/>
    <w:uiPriority w:val="99"/>
    <w:rsid w:val="00D37B90"/>
    <w:pPr>
      <w:keepNext/>
      <w:tabs>
        <w:tab w:val="clear" w:pos="567"/>
        <w:tab w:val="clear" w:pos="1133"/>
        <w:tab w:val="clear" w:pos="1700"/>
        <w:tab w:val="clear" w:pos="2267"/>
      </w:tabs>
      <w:kinsoku/>
    </w:pPr>
    <w:rPr>
      <w:rFonts w:ascii="Verdana" w:hAnsi="Verdana" w:cs="Simplified Arabic"/>
      <w:i/>
      <w:iCs/>
      <w:sz w:val="19"/>
      <w:szCs w:val="26"/>
      <w:lang w:eastAsia="zh-CN" w:bidi="ar-EG"/>
    </w:rPr>
  </w:style>
  <w:style w:type="character" w:styleId="CommentReference">
    <w:name w:val="annotation reference"/>
    <w:uiPriority w:val="99"/>
    <w:rsid w:val="00D37B90"/>
    <w:rPr>
      <w:rFonts w:cs="Times New Roman"/>
      <w:sz w:val="16"/>
      <w:szCs w:val="16"/>
    </w:rPr>
  </w:style>
  <w:style w:type="paragraph" w:styleId="CommentText">
    <w:name w:val="annotation text"/>
    <w:basedOn w:val="Normal"/>
    <w:link w:val="CommentTextChar"/>
    <w:uiPriority w:val="99"/>
    <w:rsid w:val="00D37B9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uiPriority w:val="99"/>
    <w:rsid w:val="00D37B90"/>
    <w:rPr>
      <w:rFonts w:ascii="Verdana" w:eastAsia="SimHei" w:hAnsi="Verdana" w:cs="Simplified Arabic"/>
      <w:bCs/>
    </w:rPr>
  </w:style>
  <w:style w:type="paragraph" w:styleId="Caption">
    <w:name w:val="caption"/>
    <w:basedOn w:val="Normal"/>
    <w:next w:val="Normal"/>
    <w:uiPriority w:val="99"/>
    <w:qFormat/>
    <w:rsid w:val="00D37B90"/>
    <w:pPr>
      <w:tabs>
        <w:tab w:val="clear" w:pos="567"/>
        <w:tab w:val="clear" w:pos="1133"/>
        <w:tab w:val="clear" w:pos="1700"/>
        <w:tab w:val="clear" w:pos="2267"/>
      </w:tabs>
      <w:kinsoku/>
      <w:overflowPunct w:val="0"/>
      <w:autoSpaceDE w:val="0"/>
      <w:autoSpaceDN w:val="0"/>
      <w:bidi w:val="0"/>
      <w:adjustRightInd w:val="0"/>
      <w:spacing w:after="120" w:line="240" w:lineRule="auto"/>
      <w:jc w:val="left"/>
      <w:textAlignment w:val="baseline"/>
    </w:pPr>
    <w:rPr>
      <w:rFonts w:ascii="Times New Roman" w:eastAsia="Batang" w:hAnsi="Times New Roman" w:cs="Times New Roman"/>
      <w:b/>
      <w:sz w:val="20"/>
      <w:szCs w:val="20"/>
      <w:lang w:eastAsia="ko-KR"/>
    </w:rPr>
  </w:style>
  <w:style w:type="table" w:customStyle="1" w:styleId="TableGrid2">
    <w:name w:val="Table Grid2"/>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2785B"/>
  </w:style>
  <w:style w:type="numbering" w:customStyle="1" w:styleId="HIPTitlesHierarchy1">
    <w:name w:val="HIP Titles Hierarchy1"/>
    <w:rsid w:val="00F2785B"/>
    <w:pPr>
      <w:numPr>
        <w:numId w:val="3"/>
      </w:numPr>
    </w:pPr>
  </w:style>
  <w:style w:type="numbering" w:customStyle="1" w:styleId="HIPBulletsHierarchy1">
    <w:name w:val="HIP Bullets Hierarchy1"/>
    <w:rsid w:val="00F2785B"/>
    <w:pPr>
      <w:numPr>
        <w:numId w:val="2"/>
      </w:numPr>
    </w:pPr>
  </w:style>
  <w:style w:type="paragraph" w:customStyle="1" w:styleId="Acknowledgements">
    <w:name w:val="Acknowledgements"/>
    <w:basedOn w:val="Figure"/>
    <w:link w:val="AcknowledgementsChar"/>
    <w:qFormat/>
    <w:rsid w:val="00F2785B"/>
    <w:pPr>
      <w:keepNext/>
      <w:tabs>
        <w:tab w:val="clear" w:pos="567"/>
        <w:tab w:val="clear" w:pos="1133"/>
        <w:tab w:val="clear" w:pos="1700"/>
        <w:tab w:val="clear" w:pos="2267"/>
      </w:tabs>
      <w:kinsoku/>
      <w:bidi w:val="0"/>
      <w:spacing w:before="0" w:after="0" w:line="240" w:lineRule="auto"/>
      <w:ind w:left="0" w:firstLine="0"/>
      <w:jc w:val="both"/>
    </w:pPr>
    <w:rPr>
      <w:rFonts w:cs="Arial"/>
      <w:szCs w:val="22"/>
      <w:lang w:val="en-GB"/>
    </w:rPr>
  </w:style>
  <w:style w:type="character" w:customStyle="1" w:styleId="AcknowledgementsChar">
    <w:name w:val="Acknowledgements Char"/>
    <w:link w:val="Acknowledgements"/>
    <w:rsid w:val="00F2785B"/>
    <w:rPr>
      <w:rFonts w:ascii="Calibri" w:hAnsi="Calibri" w:cs="Arial"/>
      <w:bCs/>
      <w:color w:val="000000"/>
      <w:sz w:val="21"/>
      <w:szCs w:val="22"/>
      <w:shd w:val="clear" w:color="auto" w:fill="E8F8FD"/>
      <w:lang w:val="en-GB" w:eastAsia="fr-FR"/>
    </w:rPr>
  </w:style>
  <w:style w:type="table" w:styleId="Table3Deffects2">
    <w:name w:val="Table 3D effects 2"/>
    <w:basedOn w:val="TableNormal"/>
    <w:uiPriority w:val="99"/>
    <w:unhideWhenUsed/>
    <w:rsid w:val="00F2785B"/>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2785B"/>
    <w:rPr>
      <w:rFonts w:ascii="Verdana" w:eastAsia="SimHei" w:hAnsi="Verdana" w:cs="Simplified Arabic"/>
      <w:sz w:val="19"/>
      <w:szCs w:val="19"/>
      <w:lang w:val="en-GB" w:eastAsia="en-US"/>
    </w:rPr>
  </w:style>
  <w:style w:type="paragraph" w:customStyle="1" w:styleId="CEORequiredAction">
    <w:name w:val="CEO_RequiredAction"/>
    <w:basedOn w:val="CEONormal"/>
    <w:rsid w:val="00F2785B"/>
    <w:pPr>
      <w:framePr w:hSpace="0" w:wrap="auto" w:hAnchor="text" w:yAlign="inline"/>
      <w:tabs>
        <w:tab w:val="left" w:pos="1928"/>
      </w:tabs>
      <w:bidi w:val="0"/>
      <w:spacing w:after="0" w:line="240" w:lineRule="auto"/>
      <w:jc w:val="left"/>
    </w:pPr>
    <w:rPr>
      <w:rFonts w:eastAsia="SimSun" w:cs="Times New Roman"/>
      <w:b/>
      <w:szCs w:val="19"/>
      <w:lang w:val="en-GB" w:eastAsia="en-US" w:bidi="ar-SA"/>
    </w:rPr>
  </w:style>
  <w:style w:type="paragraph" w:customStyle="1" w:styleId="CEOAnnex">
    <w:name w:val="CEO_Annex"/>
    <w:basedOn w:val="CEOSignatureTitle"/>
    <w:rsid w:val="00F2785B"/>
    <w:pPr>
      <w:spacing w:before="1000"/>
    </w:pPr>
  </w:style>
  <w:style w:type="paragraph" w:customStyle="1" w:styleId="CEOEndashListNoIndent">
    <w:name w:val="CEO_EndashListNoIndent"/>
    <w:basedOn w:val="CEONormal"/>
    <w:rsid w:val="00F2785B"/>
    <w:pPr>
      <w:framePr w:hSpace="0" w:wrap="auto" w:hAnchor="text" w:yAlign="inline"/>
      <w:bidi w:val="0"/>
      <w:spacing w:after="0" w:line="240" w:lineRule="auto"/>
      <w:jc w:val="left"/>
    </w:pPr>
    <w:rPr>
      <w:rFonts w:eastAsia="SimSun" w:cs="Times New Roman"/>
      <w:szCs w:val="19"/>
      <w:lang w:val="en-GB" w:eastAsia="en-US" w:bidi="ar-SA"/>
    </w:rPr>
  </w:style>
  <w:style w:type="paragraph" w:customStyle="1" w:styleId="CEOFootnoteText">
    <w:name w:val="CEO_Footnote Text"/>
    <w:basedOn w:val="CEONormal"/>
    <w:rsid w:val="00F2785B"/>
    <w:pPr>
      <w:framePr w:hSpace="0" w:wrap="auto" w:hAnchor="text" w:yAlign="inline"/>
      <w:tabs>
        <w:tab w:val="left" w:pos="357"/>
      </w:tabs>
      <w:bidi w:val="0"/>
      <w:spacing w:before="0" w:after="0" w:line="240" w:lineRule="auto"/>
      <w:jc w:val="left"/>
    </w:pPr>
    <w:rPr>
      <w:rFonts w:eastAsia="SimSun" w:cs="Times New Roman"/>
      <w:szCs w:val="19"/>
      <w:lang w:val="en-GB" w:eastAsia="en-US" w:bidi="ar-SA"/>
    </w:rPr>
  </w:style>
  <w:style w:type="paragraph" w:customStyle="1" w:styleId="CEOHeading1-Numbered">
    <w:name w:val="CEO_Heading1-Numbered"/>
    <w:basedOn w:val="CEONormal"/>
    <w:rsid w:val="00F2785B"/>
    <w:pPr>
      <w:framePr w:hSpace="0" w:wrap="auto" w:hAnchor="text" w:yAlign="inline"/>
      <w:numPr>
        <w:numId w:val="7"/>
      </w:numPr>
      <w:pBdr>
        <w:bottom w:val="single" w:sz="12" w:space="1" w:color="808080"/>
      </w:pBdr>
      <w:tabs>
        <w:tab w:val="clear" w:pos="360"/>
      </w:tabs>
      <w:bidi w:val="0"/>
      <w:spacing w:after="0" w:line="240" w:lineRule="auto"/>
      <w:jc w:val="left"/>
    </w:pPr>
    <w:rPr>
      <w:rFonts w:eastAsia="SimSun" w:cs="Times New Roman"/>
      <w:b/>
      <w:bCs/>
      <w:color w:val="808080"/>
      <w:sz w:val="20"/>
      <w:szCs w:val="19"/>
      <w:lang w:val="en-GB" w:eastAsia="en-US" w:bidi="ar-SA"/>
    </w:rPr>
  </w:style>
  <w:style w:type="paragraph" w:customStyle="1" w:styleId="CEOHeading1">
    <w:name w:val="CEO_Heading1"/>
    <w:basedOn w:val="CEOHeading1-Numbered"/>
    <w:next w:val="CEONormal"/>
    <w:rsid w:val="00F2785B"/>
    <w:pPr>
      <w:numPr>
        <w:numId w:val="0"/>
      </w:numPr>
    </w:pPr>
    <w:rPr>
      <w:lang w:val="fr-CH"/>
    </w:rPr>
  </w:style>
  <w:style w:type="paragraph" w:customStyle="1" w:styleId="CEOIndent1-abc">
    <w:name w:val="CEO_Indent1-abc"/>
    <w:basedOn w:val="CEONormal"/>
    <w:rsid w:val="00F2785B"/>
    <w:pPr>
      <w:framePr w:hSpace="0" w:wrap="auto" w:hAnchor="text" w:yAlign="inline"/>
      <w:numPr>
        <w:numId w:val="8"/>
      </w:numPr>
      <w:tabs>
        <w:tab w:val="clear" w:pos="1494"/>
      </w:tabs>
      <w:bidi w:val="0"/>
      <w:spacing w:before="60" w:after="60" w:line="240" w:lineRule="auto"/>
      <w:ind w:left="0" w:right="709" w:firstLine="0"/>
      <w:jc w:val="left"/>
    </w:pPr>
    <w:rPr>
      <w:rFonts w:eastAsia="SimSun" w:cs="Times New Roman"/>
      <w:szCs w:val="19"/>
      <w:lang w:val="en-GB" w:eastAsia="en-US" w:bidi="ar-SA"/>
    </w:rPr>
  </w:style>
  <w:style w:type="paragraph" w:customStyle="1" w:styleId="CEOSignature">
    <w:name w:val="CEO_Signature"/>
    <w:basedOn w:val="CEONormal"/>
    <w:rsid w:val="00F2785B"/>
    <w:pPr>
      <w:framePr w:hSpace="0" w:wrap="auto" w:hAnchor="text" w:yAlign="inline"/>
      <w:bidi w:val="0"/>
      <w:spacing w:before="720" w:after="0" w:line="240" w:lineRule="auto"/>
      <w:jc w:val="left"/>
    </w:pPr>
    <w:rPr>
      <w:rFonts w:eastAsia="SimSun" w:cs="Times New Roman"/>
      <w:szCs w:val="19"/>
      <w:lang w:val="en-GB" w:eastAsia="en-US" w:bidi="ar-SA"/>
    </w:rPr>
  </w:style>
  <w:style w:type="paragraph" w:customStyle="1" w:styleId="CEOSummaryStartHere">
    <w:name w:val="CEO_Summary_StartHere"/>
    <w:rsid w:val="00F2785B"/>
    <w:pPr>
      <w:spacing w:before="120" w:after="120"/>
      <w:jc w:val="center"/>
    </w:pPr>
    <w:rPr>
      <w:rFonts w:ascii="Verdana" w:eastAsia="SimHei" w:hAnsi="Verdana" w:cs="Simplified Arabic"/>
      <w:bCs/>
      <w:sz w:val="16"/>
      <w:szCs w:val="16"/>
      <w:lang w:val="fr-FR"/>
    </w:rPr>
  </w:style>
  <w:style w:type="paragraph" w:customStyle="1" w:styleId="ASN1">
    <w:name w:val="ASN.1"/>
    <w:basedOn w:val="Normal"/>
    <w:rsid w:val="00F2785B"/>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eastAsia="SimHei" w:hAnsi="Courier New" w:cs="Simplified Arabic"/>
      <w:b/>
      <w:bCs/>
      <w:noProof/>
      <w:sz w:val="20"/>
      <w:lang w:val="fr-FR" w:eastAsia="zh-CN"/>
    </w:rPr>
  </w:style>
  <w:style w:type="character" w:customStyle="1" w:styleId="Tablefreq">
    <w:name w:val="Table_freq"/>
    <w:basedOn w:val="DefaultParagraphFont"/>
    <w:rsid w:val="00F2785B"/>
    <w:rPr>
      <w:rFonts w:ascii="Trebuchet MS" w:hAnsi="Trebuchet MS"/>
      <w:b/>
      <w:noProof w:val="0"/>
      <w:color w:val="auto"/>
      <w:lang w:val="en-GB"/>
    </w:rPr>
  </w:style>
  <w:style w:type="paragraph" w:styleId="ListNumber2">
    <w:name w:val="List Number 2"/>
    <w:basedOn w:val="Normal"/>
    <w:rsid w:val="00F2785B"/>
    <w:pPr>
      <w:tabs>
        <w:tab w:val="clear" w:pos="567"/>
        <w:tab w:val="clear" w:pos="1133"/>
        <w:tab w:val="clear" w:pos="1700"/>
        <w:tab w:val="clear" w:pos="2267"/>
        <w:tab w:val="num" w:pos="720"/>
      </w:tabs>
      <w:kinsoku/>
      <w:bidi w:val="0"/>
      <w:spacing w:before="0" w:line="240" w:lineRule="auto"/>
      <w:ind w:left="720" w:hanging="360"/>
      <w:jc w:val="left"/>
    </w:pPr>
    <w:rPr>
      <w:rFonts w:ascii="Times New Roman" w:eastAsia="Times New Roman" w:hAnsi="Times New Roman" w:cs="Times New Roman"/>
      <w:sz w:val="24"/>
      <w:szCs w:val="20"/>
      <w:lang w:eastAsia="en-US"/>
    </w:rPr>
  </w:style>
  <w:style w:type="paragraph" w:customStyle="1" w:styleId="TOC1FT">
    <w:name w:val="TOC 1FT"/>
    <w:basedOn w:val="TOC1"/>
    <w:uiPriority w:val="99"/>
    <w:semiHidden/>
    <w:qFormat/>
    <w:rsid w:val="00111C25"/>
    <w:pPr>
      <w:keepNext w:val="0"/>
      <w:keepLines w:val="0"/>
      <w:tabs>
        <w:tab w:val="clear" w:pos="567"/>
        <w:tab w:val="clear" w:pos="8505"/>
        <w:tab w:val="clear" w:pos="8929"/>
        <w:tab w:val="left" w:leader="dot" w:pos="8789"/>
        <w:tab w:val="left" w:pos="9191"/>
      </w:tabs>
      <w:kinsoku/>
      <w:spacing w:before="80"/>
      <w:ind w:left="1865" w:right="851" w:hanging="1865"/>
      <w:jc w:val="both"/>
    </w:pPr>
    <w:rPr>
      <w:rFonts w:ascii="Verdana" w:eastAsia="SimSun" w:hAnsi="Verdana" w:cs="Simplified Arabic"/>
      <w:b w:val="0"/>
      <w:bCs w:val="0"/>
      <w:sz w:val="19"/>
      <w:szCs w:val="26"/>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qFormat="1"/>
    <w:lsdException w:name="annotation reference" w:uiPriority="99"/>
    <w:lsdException w:name="endnote text" w:uiPriority="99"/>
    <w:lsdException w:name="List" w:uiPriority="99"/>
    <w:lsdException w:name="Title" w:uiPriority="99" w:qFormat="1"/>
    <w:lsdException w:name="Signature" w:uiPriority="99"/>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3023"/>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FF4CBD"/>
    <w:pPr>
      <w:keepNext/>
      <w:tabs>
        <w:tab w:val="left" w:pos="993"/>
      </w:tabs>
      <w:spacing w:after="60"/>
      <w:outlineLvl w:val="3"/>
    </w:pPr>
    <w:rPr>
      <w:rFonts w:eastAsia="Times New Roman"/>
      <w:b/>
      <w:bCs/>
      <w:color w:val="005173"/>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uiPriority w:val="99"/>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0F5521"/>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0F5521"/>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DC3EA0"/>
    <w:pPr>
      <w:tabs>
        <w:tab w:val="clear" w:pos="2267"/>
        <w:tab w:val="right" w:leader="dot" w:pos="8505"/>
        <w:tab w:val="right" w:pos="8929"/>
      </w:tabs>
      <w:spacing w:before="40"/>
      <w:ind w:left="1701" w:right="142" w:hanging="567"/>
      <w:jc w:val="left"/>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9C04F6"/>
    <w:pPr>
      <w:tabs>
        <w:tab w:val="clear" w:pos="1700"/>
        <w:tab w:val="clear" w:pos="2267"/>
        <w:tab w:val="left" w:pos="284"/>
        <w:tab w:val="left" w:pos="849"/>
      </w:tabs>
      <w:spacing w:before="80" w:line="180" w:lineRule="auto"/>
    </w:pPr>
    <w:rPr>
      <w:sz w:val="18"/>
      <w:szCs w:val="25"/>
    </w:rPr>
  </w:style>
  <w:style w:type="character" w:customStyle="1" w:styleId="FootnoteTextChar">
    <w:name w:val="Footnote Text Char"/>
    <w:link w:val="FootnoteText"/>
    <w:uiPriority w:val="99"/>
    <w:rsid w:val="009C04F6"/>
    <w:rPr>
      <w:rFonts w:ascii="Calibri" w:hAnsi="Calibri" w:cs="Traditional Arabic"/>
      <w:sz w:val="18"/>
      <w:szCs w:val="25"/>
      <w:lang w:eastAsia="fr-FR"/>
    </w:rPr>
  </w:style>
  <w:style w:type="character" w:styleId="FootnoteReference">
    <w:name w:val="footnote reference"/>
    <w:aliases w:val="Appel note de bas de p,Footnote symbol,Ref,de nota al pie"/>
    <w:uiPriority w:val="99"/>
    <w:qFormat/>
    <w:rsid w:val="00096506"/>
    <w:rPr>
      <w:rFonts w:asciiTheme="minorHAnsi" w:hAnsiTheme="minorHAnsi"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9C04F6"/>
    <w:pPr>
      <w:keepNext/>
      <w:spacing w:before="18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9C04F6"/>
    <w:rPr>
      <w:rFonts w:ascii="Calibri" w:hAnsi="Calibri" w:cs="Traditional Arabic"/>
      <w:b/>
      <w:bCs/>
      <w:sz w:val="21"/>
      <w:szCs w:val="28"/>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FF4CBD"/>
    <w:rPr>
      <w:rFonts w:ascii="Calibri" w:eastAsia="Times New Roman" w:hAnsi="Calibri" w:cs="Traditional Arabic"/>
      <w:b/>
      <w:bCs/>
      <w:color w:val="005173"/>
      <w:sz w:val="21"/>
      <w:szCs w:val="28"/>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uiPriority w:val="99"/>
    <w:locked/>
    <w:rsid w:val="00271D36"/>
    <w:rPr>
      <w:rFonts w:ascii="Calibri" w:hAnsi="Calibri" w:cs="Traditional Arabic"/>
      <w:sz w:val="24"/>
      <w:szCs w:val="24"/>
      <w:lang w:eastAsia="fr-FR"/>
    </w:rPr>
  </w:style>
  <w:style w:type="character" w:customStyle="1" w:styleId="Heading8Char">
    <w:name w:val="Heading 8 Char"/>
    <w:link w:val="Heading8"/>
    <w:uiPriority w:val="99"/>
    <w:locked/>
    <w:rsid w:val="00271D36"/>
    <w:rPr>
      <w:rFonts w:ascii="Calibri" w:hAnsi="Calibri" w:cs="Traditional Arabic"/>
      <w:i/>
      <w:iCs/>
      <w:sz w:val="24"/>
      <w:szCs w:val="24"/>
      <w:lang w:eastAsia="fr-FR"/>
    </w:rPr>
  </w:style>
  <w:style w:type="character" w:customStyle="1" w:styleId="Heading9Char">
    <w:name w:val="Heading 9 Char"/>
    <w:link w:val="Heading9"/>
    <w:uiPriority w:val="9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096506"/>
    <w:pPr>
      <w:spacing w:before="60" w:after="60" w:line="260" w:lineRule="exact"/>
      <w:jc w:val="left"/>
    </w:pPr>
    <w:rPr>
      <w:sz w:val="19"/>
      <w:szCs w:val="26"/>
    </w:rPr>
  </w:style>
  <w:style w:type="character" w:customStyle="1" w:styleId="TabletextChar">
    <w:name w:val="Table text Char"/>
    <w:link w:val="Tabletext"/>
    <w:rsid w:val="00096506"/>
    <w:rPr>
      <w:rFonts w:ascii="Calibri" w:hAnsi="Calibri" w:cs="Traditional Arabic"/>
      <w:sz w:val="19"/>
      <w:szCs w:val="26"/>
      <w:lang w:eastAsia="fr-FR"/>
    </w:rPr>
  </w:style>
  <w:style w:type="paragraph" w:customStyle="1" w:styleId="Tabletitle">
    <w:name w:val="Table title"/>
    <w:basedOn w:val="Normal"/>
    <w:link w:val="TabletitleChar"/>
    <w:uiPriority w:val="99"/>
    <w:qFormat/>
    <w:rsid w:val="00096506"/>
    <w:pPr>
      <w:keepNext/>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uiPriority w:val="99"/>
    <w:rsid w:val="00096506"/>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uiPriority w:val="99"/>
    <w:qFormat/>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uiPriority w:val="99"/>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uiPriority w:val="99"/>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uiPriority w:val="99"/>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uiPriority w:val="99"/>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uiPriority w:val="99"/>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uiPriority w:val="99"/>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uiPriority w:val="99"/>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uiPriority w:val="99"/>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uiPriority w:val="99"/>
    <w:rsid w:val="00D71DF6"/>
  </w:style>
  <w:style w:type="paragraph" w:customStyle="1" w:styleId="Questionref">
    <w:name w:val="Question_ref"/>
    <w:basedOn w:val="Normal"/>
    <w:next w:val="Question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uiPriority w:val="99"/>
    <w:rsid w:val="00D71DF6"/>
  </w:style>
  <w:style w:type="paragraph" w:customStyle="1" w:styleId="RepNo">
    <w:name w:val="Rep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uiPriority w:val="99"/>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uiPriority w:val="99"/>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uiPriority w:val="99"/>
    <w:qFormat/>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uiPriority w:val="99"/>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uiPriority w:val="99"/>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99"/>
    <w:qFormat/>
    <w:rsid w:val="00D37B90"/>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D37B90"/>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D37B90"/>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D37B90"/>
    <w:rPr>
      <w:rFonts w:ascii="Verdana" w:eastAsia="SimHei" w:hAnsi="Verdana" w:cs="Simplified Arabic"/>
      <w:sz w:val="19"/>
      <w:szCs w:val="26"/>
      <w:lang w:val="en-GB" w:eastAsia="en-US" w:bidi="ar-EG"/>
    </w:rPr>
  </w:style>
  <w:style w:type="paragraph" w:customStyle="1" w:styleId="CEODocNo">
    <w:name w:val="CEO_DocNo"/>
    <w:next w:val="Normal"/>
    <w:uiPriority w:val="99"/>
    <w:rsid w:val="00D37B90"/>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uiPriority w:val="99"/>
    <w:rsid w:val="00D37B90"/>
    <w:rPr>
      <w:rFonts w:ascii="Verdana" w:eastAsia="SimHei" w:hAnsi="Verdana" w:cs="Simplified Arabic"/>
      <w:b/>
      <w:sz w:val="19"/>
      <w:szCs w:val="19"/>
      <w:lang w:val="en-GB" w:eastAsia="en-US"/>
    </w:rPr>
  </w:style>
  <w:style w:type="paragraph" w:customStyle="1" w:styleId="CEOMeetingSTG">
    <w:name w:val="CEO_MeetingSTG"/>
    <w:basedOn w:val="CEOMeetingName"/>
    <w:uiPriority w:val="99"/>
    <w:rsid w:val="00D37B90"/>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uiPriority w:val="99"/>
    <w:rsid w:val="00D37B90"/>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uiPriority w:val="99"/>
    <w:rsid w:val="00D37B90"/>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uiPriority w:val="99"/>
    <w:rsid w:val="00D37B90"/>
    <w:rPr>
      <w:b w:val="0"/>
      <w:bCs/>
      <w:sz w:val="18"/>
      <w:szCs w:val="26"/>
    </w:rPr>
  </w:style>
  <w:style w:type="paragraph" w:customStyle="1" w:styleId="CEOSectorName">
    <w:name w:val="CEO_SectorName"/>
    <w:basedOn w:val="Normal"/>
    <w:uiPriority w:val="99"/>
    <w:rsid w:val="00D37B90"/>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uiPriority w:val="99"/>
    <w:rsid w:val="00D37B90"/>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D37B90"/>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uiPriority w:val="99"/>
    <w:qFormat/>
    <w:rsid w:val="00D37B90"/>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uiPriority w:val="99"/>
    <w:rsid w:val="00D37B90"/>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uiPriority w:val="99"/>
    <w:rsid w:val="00D37B90"/>
    <w:pPr>
      <w:tabs>
        <w:tab w:val="clear" w:pos="567"/>
        <w:tab w:val="clear" w:pos="1133"/>
        <w:tab w:val="clear" w:pos="1700"/>
        <w:tab w:val="clear" w:pos="2267"/>
        <w:tab w:val="num" w:pos="709"/>
      </w:tabs>
      <w:kinsoku/>
      <w:bidi w:val="0"/>
      <w:spacing w:before="60" w:after="60" w:line="240" w:lineRule="auto"/>
      <w:ind w:left="709"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uiPriority w:val="99"/>
    <w:rsid w:val="00D37B90"/>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character" w:customStyle="1" w:styleId="st">
    <w:name w:val="st"/>
    <w:basedOn w:val="DefaultParagraphFont"/>
    <w:rsid w:val="00D37B90"/>
  </w:style>
  <w:style w:type="paragraph" w:customStyle="1" w:styleId="Normal1">
    <w:name w:val="Normal1"/>
    <w:basedOn w:val="Normal"/>
    <w:link w:val="normalChar"/>
    <w:rsid w:val="00D37B90"/>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D37B90"/>
    <w:rPr>
      <w:rFonts w:ascii="Calibri" w:eastAsia="Times New Roman" w:hAnsi="Calibri" w:cs="Traditional Arabic"/>
      <w:sz w:val="21"/>
      <w:szCs w:val="28"/>
      <w:lang w:eastAsia="en-US" w:bidi="ar-EG"/>
    </w:rPr>
  </w:style>
  <w:style w:type="paragraph" w:customStyle="1" w:styleId="AnnexNTitle">
    <w:name w:val="Annex N° &amp; Title"/>
    <w:basedOn w:val="Normal"/>
    <w:uiPriority w:val="99"/>
    <w:rsid w:val="00D37B9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D37B90"/>
  </w:style>
  <w:style w:type="paragraph" w:customStyle="1" w:styleId="ecxmsonormal">
    <w:name w:val="ecxmsonormal"/>
    <w:basedOn w:val="Normal"/>
    <w:uiPriority w:val="99"/>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uiPriority w:val="99"/>
    <w:rsid w:val="00D37B90"/>
    <w:pPr>
      <w:keepNext/>
      <w:keepLines/>
      <w:numPr>
        <w:numId w:val="0"/>
      </w:numPr>
      <w:spacing w:before="480"/>
    </w:pPr>
  </w:style>
  <w:style w:type="paragraph" w:customStyle="1" w:styleId="CEOcontribution-H123">
    <w:name w:val="CEO_contribution-H123"/>
    <w:basedOn w:val="Normal"/>
    <w:uiPriority w:val="99"/>
    <w:rsid w:val="00D37B90"/>
    <w:pPr>
      <w:numPr>
        <w:numId w:val="4"/>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link w:val="CEOcontributionStart0"/>
    <w:uiPriority w:val="99"/>
    <w:rsid w:val="00D37B90"/>
    <w:pPr>
      <w:numPr>
        <w:numId w:val="0"/>
      </w:numPr>
      <w:spacing w:before="360"/>
    </w:pPr>
    <w:rPr>
      <w:b w:val="0"/>
    </w:rPr>
  </w:style>
  <w:style w:type="paragraph" w:customStyle="1" w:styleId="CEOAbstract">
    <w:name w:val="CEOAbstract"/>
    <w:uiPriority w:val="99"/>
    <w:rsid w:val="00D37B90"/>
    <w:pPr>
      <w:tabs>
        <w:tab w:val="left" w:pos="2127"/>
      </w:tabs>
    </w:pPr>
    <w:rPr>
      <w:rFonts w:ascii="Verdana" w:eastAsia="SimHei" w:hAnsi="Verdana" w:cs="Simplified Arabic"/>
      <w:b/>
      <w:sz w:val="19"/>
      <w:szCs w:val="22"/>
      <w:lang w:val="fr-CA"/>
    </w:rPr>
  </w:style>
  <w:style w:type="character" w:customStyle="1" w:styleId="hps">
    <w:name w:val="hps"/>
    <w:rsid w:val="00D37B90"/>
    <w:rPr>
      <w:rFonts w:ascii="Trebuchet MS" w:hAnsi="Trebuchet MS" w:cs="Times New Roman"/>
      <w:noProof w:val="0"/>
      <w:lang w:val="en-GB"/>
    </w:rPr>
  </w:style>
  <w:style w:type="paragraph" w:customStyle="1" w:styleId="Pa3">
    <w:name w:val="Pa3"/>
    <w:basedOn w:val="Default"/>
    <w:next w:val="Default"/>
    <w:uiPriority w:val="99"/>
    <w:rsid w:val="00D37B90"/>
    <w:pPr>
      <w:spacing w:line="201" w:lineRule="atLeast"/>
    </w:pPr>
    <w:rPr>
      <w:rFonts w:ascii="Myriad Pro" w:eastAsia="Calibri" w:hAnsi="Myriad Pro" w:cs="Arial"/>
      <w:color w:val="auto"/>
      <w:lang w:val="en-GB"/>
    </w:rPr>
  </w:style>
  <w:style w:type="character" w:customStyle="1" w:styleId="A12">
    <w:name w:val="A12"/>
    <w:uiPriority w:val="99"/>
    <w:rsid w:val="00D37B90"/>
    <w:rPr>
      <w:rFonts w:ascii="Myriad Pro" w:hAnsi="Myriad Pro" w:cs="Myriad Pro" w:hint="default"/>
      <w:color w:val="000000"/>
      <w:sz w:val="11"/>
      <w:szCs w:val="11"/>
    </w:rPr>
  </w:style>
  <w:style w:type="character" w:customStyle="1" w:styleId="A14">
    <w:name w:val="A14"/>
    <w:uiPriority w:val="99"/>
    <w:rsid w:val="00D37B90"/>
    <w:rPr>
      <w:rFonts w:ascii="Myriad Pro" w:hAnsi="Myriad Pro" w:cs="Myriad Pro" w:hint="default"/>
      <w:color w:val="000000"/>
      <w:sz w:val="50"/>
      <w:szCs w:val="50"/>
    </w:rPr>
  </w:style>
  <w:style w:type="paragraph" w:customStyle="1" w:styleId="LetterStart">
    <w:name w:val="Letter_Start"/>
    <w:basedOn w:val="Normal"/>
    <w:uiPriority w:val="99"/>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jc w:val="left"/>
    </w:pPr>
    <w:rPr>
      <w:rFonts w:ascii="Verdana" w:eastAsia="SimHei" w:hAnsi="Verdana" w:cs="Times New Roman"/>
      <w:bCs/>
      <w:sz w:val="24"/>
      <w:szCs w:val="20"/>
      <w:lang w:val="en-GB" w:eastAsia="zh-CN"/>
    </w:rPr>
  </w:style>
  <w:style w:type="paragraph" w:styleId="Index1">
    <w:name w:val="index 1"/>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customStyle="1" w:styleId="TableLegend0">
    <w:name w:val="Table_Legend"/>
    <w:basedOn w:val="Normal"/>
    <w:uiPriority w:val="99"/>
    <w:rsid w:val="00D37B9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bidi w:val="0"/>
      <w:spacing w:after="40" w:line="240" w:lineRule="auto"/>
      <w:jc w:val="left"/>
    </w:pPr>
    <w:rPr>
      <w:rFonts w:ascii="Verdana" w:eastAsia="SimHei" w:hAnsi="Verdana" w:cs="Times New Roman"/>
      <w:bCs/>
      <w:sz w:val="19"/>
      <w:szCs w:val="20"/>
      <w:lang w:val="en-GB" w:eastAsia="zh-CN"/>
    </w:rPr>
  </w:style>
  <w:style w:type="paragraph" w:customStyle="1" w:styleId="TableHead0">
    <w:name w:val="Table_Head"/>
    <w:basedOn w:val="Normal"/>
    <w:uiPriority w:val="99"/>
    <w:rsid w:val="00D37B90"/>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80" w:after="80" w:line="260" w:lineRule="exact"/>
      <w:jc w:val="center"/>
    </w:pPr>
    <w:rPr>
      <w:rFonts w:ascii="Verdana Bold" w:hAnsi="Verdana Bold" w:cs="Simplified Arabic"/>
      <w:b/>
      <w:bCs/>
      <w:sz w:val="16"/>
      <w:szCs w:val="22"/>
      <w:lang w:val="en-GB" w:eastAsia="zh-CN"/>
    </w:rPr>
  </w:style>
  <w:style w:type="paragraph" w:customStyle="1" w:styleId="FigureLegend0">
    <w:name w:val="Figure_Legend"/>
    <w:basedOn w:val="Normal"/>
    <w:uiPriority w:val="99"/>
    <w:rsid w:val="00D37B90"/>
    <w:pPr>
      <w:keepNext/>
      <w:keepLines/>
      <w:tabs>
        <w:tab w:val="clear" w:pos="567"/>
        <w:tab w:val="clear" w:pos="1133"/>
        <w:tab w:val="clear" w:pos="1700"/>
        <w:tab w:val="clear" w:pos="2267"/>
      </w:tabs>
      <w:kinsoku/>
      <w:bidi w:val="0"/>
      <w:spacing w:before="20" w:after="20" w:line="240" w:lineRule="auto"/>
      <w:jc w:val="left"/>
    </w:pPr>
    <w:rPr>
      <w:rFonts w:ascii="Verdana" w:eastAsia="SimHei" w:hAnsi="Verdana" w:cs="Times New Roman"/>
      <w:bCs/>
      <w:sz w:val="18"/>
      <w:szCs w:val="20"/>
      <w:lang w:val="en-GB" w:eastAsia="zh-CN"/>
    </w:rPr>
  </w:style>
  <w:style w:type="paragraph" w:customStyle="1" w:styleId="CEOAgendaItemN">
    <w:name w:val="CEO_AgendaItemN°"/>
    <w:basedOn w:val="CEOIndent1-123"/>
    <w:uiPriority w:val="99"/>
    <w:rsid w:val="00D37B90"/>
    <w:pPr>
      <w:ind w:left="0" w:right="12"/>
      <w:jc w:val="right"/>
    </w:pPr>
  </w:style>
  <w:style w:type="numbering" w:customStyle="1" w:styleId="NoList1">
    <w:name w:val="No List1"/>
    <w:next w:val="NoList"/>
    <w:semiHidden/>
    <w:rsid w:val="00D37B90"/>
  </w:style>
  <w:style w:type="paragraph" w:styleId="Index7">
    <w:name w:val="index 7"/>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698"/>
      <w:jc w:val="left"/>
    </w:pPr>
    <w:rPr>
      <w:rFonts w:ascii="Verdana" w:eastAsia="SimHei" w:hAnsi="Verdana" w:cs="Times New Roman"/>
      <w:bCs/>
      <w:sz w:val="24"/>
      <w:szCs w:val="20"/>
      <w:lang w:val="en-GB" w:eastAsia="zh-CN"/>
    </w:rPr>
  </w:style>
  <w:style w:type="paragraph" w:styleId="Index6">
    <w:name w:val="index 6"/>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415"/>
      <w:jc w:val="left"/>
    </w:pPr>
    <w:rPr>
      <w:rFonts w:ascii="Verdana" w:eastAsia="SimHei" w:hAnsi="Verdana" w:cs="Times New Roman"/>
      <w:bCs/>
      <w:sz w:val="24"/>
      <w:szCs w:val="20"/>
      <w:lang w:val="en-GB" w:eastAsia="zh-CN"/>
    </w:rPr>
  </w:style>
  <w:style w:type="paragraph" w:styleId="Index5">
    <w:name w:val="index 5"/>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1132"/>
      <w:jc w:val="left"/>
    </w:pPr>
    <w:rPr>
      <w:rFonts w:ascii="Verdana" w:eastAsia="SimHei" w:hAnsi="Verdana" w:cs="Times New Roman"/>
      <w:bCs/>
      <w:sz w:val="24"/>
      <w:szCs w:val="20"/>
      <w:lang w:val="en-GB" w:eastAsia="zh-CN"/>
    </w:rPr>
  </w:style>
  <w:style w:type="paragraph" w:styleId="Index4">
    <w:name w:val="index 4"/>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851"/>
      <w:jc w:val="left"/>
    </w:pPr>
    <w:rPr>
      <w:rFonts w:ascii="Verdana" w:eastAsia="SimHei" w:hAnsi="Verdana" w:cs="Times New Roman"/>
      <w:bCs/>
      <w:sz w:val="24"/>
      <w:szCs w:val="20"/>
      <w:lang w:val="en-GB" w:eastAsia="zh-CN"/>
    </w:rPr>
  </w:style>
  <w:style w:type="paragraph" w:styleId="Index3">
    <w:name w:val="index 3"/>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567"/>
      <w:jc w:val="left"/>
    </w:pPr>
    <w:rPr>
      <w:rFonts w:ascii="Verdana" w:eastAsia="SimHei" w:hAnsi="Verdana" w:cs="Times New Roman"/>
      <w:bCs/>
      <w:sz w:val="24"/>
      <w:szCs w:val="20"/>
      <w:lang w:val="en-GB" w:eastAsia="zh-CN"/>
    </w:rPr>
  </w:style>
  <w:style w:type="paragraph" w:styleId="Index2">
    <w:name w:val="index 2"/>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284"/>
      <w:jc w:val="left"/>
    </w:pPr>
    <w:rPr>
      <w:rFonts w:ascii="Verdana" w:eastAsia="SimHei" w:hAnsi="Verdana" w:cs="Times New Roman"/>
      <w:bCs/>
      <w:sz w:val="24"/>
      <w:szCs w:val="20"/>
      <w:lang w:val="en-GB" w:eastAsia="zh-CN"/>
    </w:rPr>
  </w:style>
  <w:style w:type="character" w:styleId="LineNumber">
    <w:name w:val="line number"/>
    <w:basedOn w:val="DefaultParagraphFont"/>
    <w:rsid w:val="00D37B90"/>
  </w:style>
  <w:style w:type="paragraph" w:styleId="IndexHeading">
    <w:name w:val="index heading"/>
    <w:basedOn w:val="Normal"/>
    <w:next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jc w:val="left"/>
    </w:pPr>
    <w:rPr>
      <w:rFonts w:ascii="Verdana" w:eastAsia="SimHei" w:hAnsi="Verdana" w:cs="Times New Roman"/>
      <w:bCs/>
      <w:sz w:val="24"/>
      <w:szCs w:val="20"/>
      <w:lang w:val="en-GB" w:eastAsia="zh-CN"/>
    </w:rPr>
  </w:style>
  <w:style w:type="paragraph" w:styleId="NormalIndent">
    <w:name w:val="Normal Indent"/>
    <w:basedOn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jc w:val="left"/>
    </w:pPr>
    <w:rPr>
      <w:rFonts w:ascii="Verdana" w:eastAsia="SimHei" w:hAnsi="Verdana" w:cs="Times New Roman"/>
      <w:bCs/>
      <w:sz w:val="24"/>
      <w:szCs w:val="20"/>
      <w:lang w:val="en-GB" w:eastAsia="zh-CN"/>
    </w:rPr>
  </w:style>
  <w:style w:type="paragraph" w:customStyle="1" w:styleId="TableText1">
    <w:name w:val="Table_Text"/>
    <w:basedOn w:val="Normal"/>
    <w:link w:val="TableTextChar0"/>
    <w:rsid w:val="009C04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spacing w:before="40" w:after="40" w:line="260" w:lineRule="exact"/>
      <w:jc w:val="left"/>
    </w:pPr>
    <w:rPr>
      <w:sz w:val="18"/>
      <w:szCs w:val="24"/>
      <w:lang w:val="en-GB" w:eastAsia="zh-CN"/>
    </w:rPr>
  </w:style>
  <w:style w:type="paragraph" w:customStyle="1" w:styleId="TableTitle0">
    <w:name w:val="Table_Title"/>
    <w:basedOn w:val="Table"/>
    <w:next w:val="TableText1"/>
    <w:qFormat/>
    <w:rsid w:val="00D37B90"/>
  </w:style>
  <w:style w:type="paragraph" w:customStyle="1" w:styleId="Table">
    <w:name w:val="Table_#"/>
    <w:basedOn w:val="Normal"/>
    <w:next w:val="TableTitle0"/>
    <w:uiPriority w:val="99"/>
    <w:rsid w:val="00D37B90"/>
    <w:pPr>
      <w:keepNext/>
      <w:tabs>
        <w:tab w:val="clear" w:pos="567"/>
        <w:tab w:val="clear" w:pos="1133"/>
        <w:tab w:val="clear" w:pos="1700"/>
        <w:tab w:val="clear" w:pos="2267"/>
        <w:tab w:val="left" w:pos="794"/>
        <w:tab w:val="left" w:pos="1191"/>
        <w:tab w:val="left" w:pos="1588"/>
        <w:tab w:val="left" w:pos="1985"/>
      </w:tabs>
      <w:kinsoku/>
      <w:bidi w:val="0"/>
      <w:spacing w:before="560" w:after="120" w:line="240" w:lineRule="auto"/>
      <w:jc w:val="center"/>
    </w:pPr>
    <w:rPr>
      <w:rFonts w:ascii="Verdana" w:eastAsia="SimHei" w:hAnsi="Verdana" w:cs="Times New Roman"/>
      <w:bCs/>
      <w:caps/>
      <w:sz w:val="24"/>
      <w:szCs w:val="20"/>
      <w:lang w:val="en-GB" w:eastAsia="zh-CN"/>
    </w:rPr>
  </w:style>
  <w:style w:type="paragraph" w:customStyle="1" w:styleId="Figure0">
    <w:name w:val="Figure_#"/>
    <w:basedOn w:val="Table"/>
    <w:next w:val="FigureTitle0"/>
    <w:uiPriority w:val="99"/>
    <w:rsid w:val="00D37B90"/>
  </w:style>
  <w:style w:type="paragraph" w:customStyle="1" w:styleId="FigureTitle0">
    <w:name w:val="Figure_Title"/>
    <w:basedOn w:val="TableTitle0"/>
    <w:next w:val="Normal"/>
    <w:uiPriority w:val="99"/>
    <w:rsid w:val="00D37B90"/>
  </w:style>
  <w:style w:type="paragraph" w:customStyle="1" w:styleId="CEOConsidering">
    <w:name w:val="CEO_Considering"/>
    <w:basedOn w:val="CEONormal"/>
    <w:uiPriority w:val="99"/>
    <w:rsid w:val="00D37B90"/>
    <w:pPr>
      <w:keepNext/>
      <w:keepLines/>
      <w:framePr w:hSpace="0" w:wrap="auto" w:hAnchor="text" w:yAlign="inline"/>
      <w:spacing w:line="240" w:lineRule="auto"/>
      <w:ind w:left="851"/>
      <w:jc w:val="left"/>
    </w:pPr>
    <w:rPr>
      <w:rFonts w:eastAsia="SimSun"/>
      <w:i/>
      <w:iCs/>
      <w:sz w:val="28"/>
      <w:szCs w:val="28"/>
    </w:rPr>
  </w:style>
  <w:style w:type="paragraph" w:customStyle="1" w:styleId="RefTitle0">
    <w:name w:val="Ref_Title"/>
    <w:basedOn w:val="Normal"/>
    <w:next w:val="RefText0"/>
    <w:uiPriority w:val="99"/>
    <w:rsid w:val="00D37B90"/>
    <w:pPr>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RefText0">
    <w:name w:val="Ref_Text"/>
    <w:basedOn w:val="Normal"/>
    <w:uiPriority w:val="99"/>
    <w:rsid w:val="00D37B90"/>
    <w:pPr>
      <w:tabs>
        <w:tab w:val="clear" w:pos="567"/>
        <w:tab w:val="clear" w:pos="1133"/>
        <w:tab w:val="clear" w:pos="1700"/>
        <w:tab w:val="clear" w:pos="2267"/>
        <w:tab w:val="left" w:pos="794"/>
        <w:tab w:val="left" w:pos="1191"/>
        <w:tab w:val="left" w:pos="1588"/>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
    <w:name w:val="Equation"/>
    <w:basedOn w:val="Normal"/>
    <w:uiPriority w:val="99"/>
    <w:rsid w:val="00D37B90"/>
    <w:pPr>
      <w:tabs>
        <w:tab w:val="clear" w:pos="567"/>
        <w:tab w:val="clear" w:pos="1133"/>
        <w:tab w:val="clear" w:pos="1700"/>
        <w:tab w:val="clear" w:pos="2267"/>
        <w:tab w:val="left" w:pos="794"/>
        <w:tab w:val="center" w:pos="4876"/>
        <w:tab w:val="right" w:pos="9752"/>
      </w:tabs>
      <w:kinsoku/>
      <w:bidi w:val="0"/>
      <w:spacing w:after="120" w:line="240" w:lineRule="auto"/>
      <w:jc w:val="left"/>
    </w:pPr>
    <w:rPr>
      <w:rFonts w:ascii="Verdana" w:eastAsia="SimHei" w:hAnsi="Verdana" w:cs="Times New Roman"/>
      <w:bCs/>
      <w:sz w:val="24"/>
      <w:szCs w:val="20"/>
      <w:lang w:val="en-GB" w:eastAsia="zh-CN"/>
    </w:rPr>
  </w:style>
  <w:style w:type="paragraph" w:customStyle="1" w:styleId="Head">
    <w:name w:val="Head"/>
    <w:basedOn w:val="Normal"/>
    <w:uiPriority w:val="99"/>
    <w:rsid w:val="00D37B90"/>
    <w:pPr>
      <w:tabs>
        <w:tab w:val="clear" w:pos="567"/>
        <w:tab w:val="clear" w:pos="1133"/>
        <w:tab w:val="clear" w:pos="1700"/>
        <w:tab w:val="clear" w:pos="2267"/>
        <w:tab w:val="left" w:pos="6663"/>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CEOAbstract0">
    <w:name w:val="CEO_Abstract"/>
    <w:next w:val="CEONormal"/>
    <w:uiPriority w:val="99"/>
    <w:rsid w:val="00D37B90"/>
    <w:pPr>
      <w:tabs>
        <w:tab w:val="left" w:pos="2127"/>
      </w:tabs>
      <w:bidi/>
      <w:spacing w:before="360" w:after="120"/>
    </w:pPr>
    <w:rPr>
      <w:rFonts w:ascii="Verdana" w:eastAsia="SimHei" w:hAnsi="Verdana" w:cs="Simplified Arabic"/>
      <w:b/>
      <w:sz w:val="28"/>
      <w:szCs w:val="28"/>
      <w:lang w:val="fr-CA" w:bidi="ar-EG"/>
    </w:rPr>
  </w:style>
  <w:style w:type="paragraph" w:customStyle="1" w:styleId="Rec">
    <w:name w:val="Rec_#"/>
    <w:basedOn w:val="Normal"/>
    <w:next w:val="RecTitle"/>
    <w:uiPriority w:val="99"/>
    <w:rsid w:val="00D37B90"/>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Verdana" w:eastAsia="SimHei" w:hAnsi="Verdana" w:cs="Times New Roman"/>
      <w:bCs/>
      <w:caps/>
      <w:sz w:val="24"/>
      <w:szCs w:val="20"/>
      <w:lang w:val="en-GB" w:eastAsia="zh-CN"/>
    </w:rPr>
  </w:style>
  <w:style w:type="paragraph" w:customStyle="1" w:styleId="toc00">
    <w:name w:val="toc 0"/>
    <w:basedOn w:val="Normal"/>
    <w:next w:val="TOC1"/>
    <w:uiPriority w:val="99"/>
    <w:rsid w:val="00D37B90"/>
    <w:pPr>
      <w:tabs>
        <w:tab w:val="clear" w:pos="567"/>
        <w:tab w:val="clear" w:pos="1133"/>
        <w:tab w:val="clear" w:pos="1700"/>
        <w:tab w:val="clear" w:pos="2267"/>
        <w:tab w:val="right" w:pos="9781"/>
      </w:tabs>
      <w:kinsoku/>
      <w:bidi w:val="0"/>
      <w:spacing w:after="120" w:line="240" w:lineRule="auto"/>
      <w:jc w:val="left"/>
    </w:pPr>
    <w:rPr>
      <w:rFonts w:ascii="Verdana" w:eastAsia="SimHei" w:hAnsi="Verdana" w:cs="Times New Roman"/>
      <w:b/>
      <w:bCs/>
      <w:sz w:val="24"/>
      <w:szCs w:val="20"/>
      <w:lang w:val="en-GB" w:eastAsia="zh-CN"/>
    </w:rPr>
  </w:style>
  <w:style w:type="paragraph" w:styleId="List">
    <w:name w:val="List"/>
    <w:basedOn w:val="Normal"/>
    <w:uiPriority w:val="99"/>
    <w:rsid w:val="00D37B90"/>
    <w:pPr>
      <w:tabs>
        <w:tab w:val="clear" w:pos="567"/>
        <w:tab w:val="clear" w:pos="1133"/>
        <w:tab w:val="clear" w:pos="1700"/>
        <w:tab w:val="clear" w:pos="2267"/>
        <w:tab w:val="left" w:pos="1701"/>
        <w:tab w:val="left" w:pos="2127"/>
      </w:tabs>
      <w:kinsoku/>
      <w:bidi w:val="0"/>
      <w:spacing w:after="120" w:line="240" w:lineRule="auto"/>
      <w:ind w:left="2127" w:hanging="2127"/>
      <w:jc w:val="left"/>
    </w:pPr>
    <w:rPr>
      <w:rFonts w:ascii="Verdana" w:eastAsia="SimHei" w:hAnsi="Verdana" w:cs="Times New Roman"/>
      <w:bCs/>
      <w:sz w:val="24"/>
      <w:szCs w:val="20"/>
      <w:lang w:val="en-GB" w:eastAsia="zh-CN"/>
    </w:rPr>
  </w:style>
  <w:style w:type="paragraph" w:customStyle="1" w:styleId="Infodoc">
    <w:name w:val="Infodoc"/>
    <w:basedOn w:val="Normal"/>
    <w:uiPriority w:val="99"/>
    <w:rsid w:val="00D37B90"/>
    <w:pPr>
      <w:tabs>
        <w:tab w:val="clear" w:pos="567"/>
        <w:tab w:val="clear" w:pos="1133"/>
        <w:tab w:val="clear" w:pos="1700"/>
        <w:tab w:val="clear" w:pos="2267"/>
        <w:tab w:val="left" w:pos="1418"/>
      </w:tabs>
      <w:kinsoku/>
      <w:bidi w:val="0"/>
      <w:spacing w:before="0" w:after="120" w:line="240" w:lineRule="auto"/>
      <w:ind w:left="1418" w:hanging="1418"/>
      <w:jc w:val="left"/>
    </w:pPr>
    <w:rPr>
      <w:rFonts w:ascii="Verdana" w:eastAsia="SimHei" w:hAnsi="Verdana" w:cs="Times New Roman"/>
      <w:bCs/>
      <w:sz w:val="24"/>
      <w:szCs w:val="20"/>
      <w:lang w:val="en-GB" w:eastAsia="zh-CN"/>
    </w:rPr>
  </w:style>
  <w:style w:type="paragraph" w:customStyle="1" w:styleId="Part">
    <w:name w:val="Part"/>
    <w:basedOn w:val="Normal"/>
    <w:uiPriority w:val="99"/>
    <w:rsid w:val="00D37B90"/>
    <w:pPr>
      <w:tabs>
        <w:tab w:val="clear" w:pos="567"/>
        <w:tab w:val="clear" w:pos="1133"/>
        <w:tab w:val="clear" w:pos="1700"/>
        <w:tab w:val="clear" w:pos="2267"/>
        <w:tab w:val="left" w:pos="1276"/>
        <w:tab w:val="left" w:pos="1701"/>
      </w:tabs>
      <w:kinsoku/>
      <w:bidi w:val="0"/>
      <w:spacing w:before="200" w:after="120" w:line="240" w:lineRule="auto"/>
      <w:ind w:left="1701" w:hanging="1701"/>
      <w:jc w:val="left"/>
    </w:pPr>
    <w:rPr>
      <w:rFonts w:ascii="Verdana" w:eastAsia="SimHei" w:hAnsi="Verdana" w:cs="Times New Roman"/>
      <w:bCs/>
      <w:caps/>
      <w:sz w:val="24"/>
      <w:szCs w:val="20"/>
      <w:lang w:val="en-GB" w:eastAsia="zh-CN"/>
    </w:rPr>
  </w:style>
  <w:style w:type="paragraph" w:customStyle="1" w:styleId="Keywords">
    <w:name w:val="Keywords"/>
    <w:basedOn w:val="Normal"/>
    <w:uiPriority w:val="99"/>
    <w:rsid w:val="00D37B90"/>
    <w:pPr>
      <w:tabs>
        <w:tab w:val="clear" w:pos="567"/>
        <w:tab w:val="clear" w:pos="1133"/>
        <w:tab w:val="clear" w:pos="1700"/>
        <w:tab w:val="clear" w:pos="2267"/>
        <w:tab w:val="left" w:pos="794"/>
        <w:tab w:val="left" w:pos="1985"/>
      </w:tabs>
      <w:kinsoku/>
      <w:bidi w:val="0"/>
      <w:spacing w:after="120" w:line="240" w:lineRule="auto"/>
      <w:ind w:left="794" w:hanging="794"/>
      <w:jc w:val="left"/>
    </w:pPr>
    <w:rPr>
      <w:rFonts w:ascii="Verdana" w:eastAsia="SimHei" w:hAnsi="Verdana" w:cs="Times New Roman"/>
      <w:bCs/>
      <w:sz w:val="24"/>
      <w:szCs w:val="20"/>
      <w:lang w:val="en-GB" w:eastAsia="zh-CN"/>
    </w:rPr>
  </w:style>
  <w:style w:type="paragraph" w:customStyle="1" w:styleId="EquationLegend">
    <w:name w:val="Equation_Legend"/>
    <w:basedOn w:val="Normal"/>
    <w:uiPriority w:val="99"/>
    <w:rsid w:val="00D37B90"/>
    <w:pPr>
      <w:tabs>
        <w:tab w:val="clear" w:pos="567"/>
        <w:tab w:val="clear" w:pos="1133"/>
        <w:tab w:val="clear" w:pos="1700"/>
        <w:tab w:val="clear" w:pos="2267"/>
        <w:tab w:val="right" w:pos="1531"/>
        <w:tab w:val="left" w:pos="1701"/>
      </w:tabs>
      <w:kinsoku/>
      <w:bidi w:val="0"/>
      <w:spacing w:before="80" w:after="120" w:line="240" w:lineRule="auto"/>
      <w:ind w:left="1701" w:hanging="1701"/>
      <w:jc w:val="left"/>
    </w:pPr>
    <w:rPr>
      <w:rFonts w:ascii="Verdana" w:eastAsia="SimHei" w:hAnsi="Verdana" w:cs="Times New Roman"/>
      <w:bCs/>
      <w:sz w:val="24"/>
      <w:szCs w:val="20"/>
      <w:lang w:val="en-GB" w:eastAsia="zh-CN"/>
    </w:rPr>
  </w:style>
  <w:style w:type="paragraph" w:styleId="Signature">
    <w:name w:val="Signature"/>
    <w:basedOn w:val="Normal"/>
    <w:link w:val="SignatureChar"/>
    <w:uiPriority w:val="99"/>
    <w:rsid w:val="00D37B90"/>
    <w:pPr>
      <w:tabs>
        <w:tab w:val="clear" w:pos="567"/>
        <w:tab w:val="clear" w:pos="1133"/>
        <w:tab w:val="clear" w:pos="1700"/>
        <w:tab w:val="clear" w:pos="2267"/>
      </w:tabs>
      <w:kinsoku/>
      <w:bidi w:val="0"/>
      <w:spacing w:before="480" w:after="120" w:line="240" w:lineRule="auto"/>
      <w:ind w:left="4961"/>
      <w:jc w:val="left"/>
    </w:pPr>
    <w:rPr>
      <w:rFonts w:ascii="Verdana" w:eastAsia="SimHei" w:hAnsi="Verdana" w:cs="Times New Roman"/>
      <w:bCs/>
      <w:sz w:val="24"/>
      <w:szCs w:val="20"/>
      <w:lang w:val="en-GB" w:eastAsia="zh-CN"/>
    </w:rPr>
  </w:style>
  <w:style w:type="character" w:customStyle="1" w:styleId="SignatureChar">
    <w:name w:val="Signature Char"/>
    <w:basedOn w:val="DefaultParagraphFont"/>
    <w:link w:val="Signature"/>
    <w:uiPriority w:val="99"/>
    <w:rsid w:val="00D37B90"/>
    <w:rPr>
      <w:rFonts w:ascii="Verdana" w:eastAsia="SimHei" w:hAnsi="Verdana"/>
      <w:bCs/>
      <w:sz w:val="24"/>
      <w:lang w:val="en-GB"/>
    </w:rPr>
  </w:style>
  <w:style w:type="paragraph" w:customStyle="1" w:styleId="meeting">
    <w:name w:val="meeting"/>
    <w:basedOn w:val="Head"/>
    <w:next w:val="Head"/>
    <w:uiPriority w:val="99"/>
    <w:rsid w:val="00D37B90"/>
    <w:pPr>
      <w:tabs>
        <w:tab w:val="left" w:pos="7371"/>
      </w:tabs>
      <w:spacing w:after="560"/>
    </w:pPr>
  </w:style>
  <w:style w:type="paragraph" w:customStyle="1" w:styleId="ITUadres">
    <w:name w:val="ITU_adres"/>
    <w:basedOn w:val="Normal"/>
    <w:uiPriority w:val="99"/>
    <w:rsid w:val="00D37B90"/>
    <w:pPr>
      <w:tabs>
        <w:tab w:val="clear" w:pos="567"/>
        <w:tab w:val="clear" w:pos="1133"/>
        <w:tab w:val="clear" w:pos="1700"/>
        <w:tab w:val="clear" w:pos="2267"/>
        <w:tab w:val="left" w:pos="737"/>
        <w:tab w:val="left" w:pos="1134"/>
      </w:tabs>
      <w:kinsoku/>
      <w:bidi w:val="0"/>
      <w:spacing w:before="0" w:after="120" w:line="240" w:lineRule="auto"/>
      <w:jc w:val="left"/>
    </w:pPr>
    <w:rPr>
      <w:rFonts w:ascii="Verdana" w:eastAsia="SimHei" w:hAnsi="Verdana" w:cs="Times New Roman"/>
      <w:bCs/>
      <w:sz w:val="18"/>
      <w:szCs w:val="20"/>
      <w:lang w:val="en-GB" w:eastAsia="zh-CN"/>
    </w:rPr>
  </w:style>
  <w:style w:type="paragraph" w:customStyle="1" w:styleId="ITUheader">
    <w:name w:val="ITU_header"/>
    <w:basedOn w:val="Normal"/>
    <w:uiPriority w:val="99"/>
    <w:rsid w:val="00D37B90"/>
    <w:pPr>
      <w:tabs>
        <w:tab w:val="clear" w:pos="567"/>
        <w:tab w:val="clear" w:pos="1133"/>
        <w:tab w:val="clear" w:pos="1700"/>
        <w:tab w:val="clear" w:pos="2267"/>
        <w:tab w:val="left" w:pos="737"/>
        <w:tab w:val="left" w:pos="1134"/>
      </w:tabs>
      <w:kinsoku/>
      <w:bidi w:val="0"/>
      <w:spacing w:before="397" w:after="120" w:line="240" w:lineRule="auto"/>
      <w:jc w:val="left"/>
    </w:pPr>
    <w:rPr>
      <w:rFonts w:ascii="Verdana" w:eastAsia="SimHei" w:hAnsi="Verdana" w:cs="Times New Roman"/>
      <w:b/>
      <w:bCs/>
      <w:sz w:val="30"/>
      <w:szCs w:val="20"/>
      <w:lang w:val="en-GB" w:eastAsia="zh-CN"/>
    </w:rPr>
  </w:style>
  <w:style w:type="paragraph" w:customStyle="1" w:styleId="ITUsignet">
    <w:name w:val="ITU_signet"/>
    <w:basedOn w:val="Normal"/>
    <w:uiPriority w:val="99"/>
    <w:rsid w:val="00D37B90"/>
    <w:pPr>
      <w:tabs>
        <w:tab w:val="clear" w:pos="567"/>
        <w:tab w:val="clear" w:pos="1133"/>
        <w:tab w:val="clear" w:pos="1700"/>
        <w:tab w:val="clear" w:pos="2267"/>
        <w:tab w:val="left" w:pos="737"/>
        <w:tab w:val="left" w:pos="1134"/>
      </w:tabs>
      <w:kinsoku/>
      <w:bidi w:val="0"/>
      <w:spacing w:before="170" w:after="120" w:line="240" w:lineRule="auto"/>
      <w:ind w:left="-1134"/>
      <w:jc w:val="left"/>
    </w:pPr>
    <w:rPr>
      <w:rFonts w:ascii="Verdana" w:eastAsia="SimHei" w:hAnsi="Verdana" w:cs="Times New Roman"/>
      <w:b/>
      <w:bCs/>
      <w:sz w:val="20"/>
      <w:szCs w:val="20"/>
      <w:lang w:val="en-GB" w:eastAsia="zh-CN"/>
    </w:rPr>
  </w:style>
  <w:style w:type="paragraph" w:customStyle="1" w:styleId="ITUref">
    <w:name w:val="ITU_ref"/>
    <w:basedOn w:val="Normal"/>
    <w:uiPriority w:val="99"/>
    <w:rsid w:val="00D37B90"/>
    <w:pPr>
      <w:tabs>
        <w:tab w:val="clear" w:pos="567"/>
        <w:tab w:val="clear" w:pos="1133"/>
        <w:tab w:val="clear" w:pos="1700"/>
        <w:tab w:val="clear" w:pos="2267"/>
        <w:tab w:val="left" w:pos="737"/>
        <w:tab w:val="left" w:pos="1134"/>
        <w:tab w:val="left" w:pos="5529"/>
      </w:tabs>
      <w:kinsoku/>
      <w:bidi w:val="0"/>
      <w:spacing w:before="0" w:after="120" w:line="240" w:lineRule="auto"/>
      <w:jc w:val="left"/>
    </w:pPr>
    <w:rPr>
      <w:rFonts w:ascii="Verdana" w:eastAsia="SimHei" w:hAnsi="Verdana" w:cs="Times New Roman"/>
      <w:bCs/>
      <w:sz w:val="20"/>
      <w:szCs w:val="20"/>
      <w:lang w:val="en-GB" w:eastAsia="zh-CN"/>
    </w:rPr>
  </w:style>
  <w:style w:type="paragraph" w:customStyle="1" w:styleId="ITUfillin">
    <w:name w:val="ITU_fillin"/>
    <w:basedOn w:val="ITUref"/>
    <w:uiPriority w:val="99"/>
    <w:rsid w:val="00D37B90"/>
  </w:style>
  <w:style w:type="paragraph" w:customStyle="1" w:styleId="ITUbureau">
    <w:name w:val="ITU_bureau"/>
    <w:basedOn w:val="Normal"/>
    <w:uiPriority w:val="99"/>
    <w:rsid w:val="00D37B90"/>
    <w:pPr>
      <w:tabs>
        <w:tab w:val="clear" w:pos="567"/>
        <w:tab w:val="clear" w:pos="1133"/>
        <w:tab w:val="clear" w:pos="1700"/>
        <w:tab w:val="clear" w:pos="2267"/>
        <w:tab w:val="left" w:pos="737"/>
        <w:tab w:val="left" w:pos="1134"/>
      </w:tabs>
      <w:kinsoku/>
      <w:bidi w:val="0"/>
      <w:spacing w:before="0" w:after="851" w:line="240" w:lineRule="auto"/>
      <w:jc w:val="left"/>
    </w:pPr>
    <w:rPr>
      <w:rFonts w:ascii="Verdana" w:eastAsia="SimHei" w:hAnsi="Verdana" w:cs="Times New Roman"/>
      <w:b/>
      <w:bCs/>
      <w:sz w:val="19"/>
      <w:szCs w:val="20"/>
      <w:lang w:val="en-GB" w:eastAsia="zh-CN"/>
    </w:rPr>
  </w:style>
  <w:style w:type="paragraph" w:customStyle="1" w:styleId="duties">
    <w:name w:val="duties"/>
    <w:basedOn w:val="Normal"/>
    <w:uiPriority w:val="99"/>
    <w:rsid w:val="00D37B90"/>
    <w:pPr>
      <w:tabs>
        <w:tab w:val="clear" w:pos="567"/>
        <w:tab w:val="clear" w:pos="1133"/>
        <w:tab w:val="clear" w:pos="1700"/>
        <w:tab w:val="clear" w:pos="2267"/>
        <w:tab w:val="left" w:pos="737"/>
        <w:tab w:val="left" w:pos="1134"/>
      </w:tabs>
      <w:kinsoku/>
      <w:bidi w:val="0"/>
      <w:spacing w:before="0" w:after="120" w:line="199" w:lineRule="exact"/>
      <w:jc w:val="left"/>
    </w:pPr>
    <w:rPr>
      <w:rFonts w:ascii="Verdana" w:eastAsia="SimHei" w:hAnsi="Verdana" w:cs="Times New Roman"/>
      <w:b/>
      <w:bCs/>
      <w:sz w:val="8"/>
      <w:szCs w:val="20"/>
      <w:lang w:val="en-GB" w:eastAsia="zh-CN"/>
    </w:rPr>
  </w:style>
  <w:style w:type="paragraph" w:customStyle="1" w:styleId="ITUintr">
    <w:name w:val="ITU_intr"/>
    <w:basedOn w:val="Normal"/>
    <w:next w:val="Normal"/>
    <w:uiPriority w:val="99"/>
    <w:rsid w:val="00D37B90"/>
    <w:pPr>
      <w:tabs>
        <w:tab w:val="clear" w:pos="567"/>
        <w:tab w:val="clear" w:pos="1133"/>
        <w:tab w:val="clear" w:pos="1700"/>
        <w:tab w:val="clear" w:pos="2267"/>
        <w:tab w:val="left" w:pos="737"/>
        <w:tab w:val="left" w:pos="1134"/>
      </w:tabs>
      <w:kinsoku/>
      <w:bidi w:val="0"/>
      <w:spacing w:before="567" w:after="57" w:line="240" w:lineRule="auto"/>
      <w:jc w:val="left"/>
    </w:pPr>
    <w:rPr>
      <w:rFonts w:ascii="Verdana" w:eastAsia="SimHei" w:hAnsi="Verdana" w:cs="Times New Roman"/>
      <w:bCs/>
      <w:sz w:val="20"/>
      <w:szCs w:val="20"/>
      <w:lang w:val="en-GB" w:eastAsia="zh-CN"/>
    </w:rPr>
  </w:style>
  <w:style w:type="paragraph" w:customStyle="1" w:styleId="LetterEnd">
    <w:name w:val="Letter_End"/>
    <w:basedOn w:val="Normal"/>
    <w:uiPriority w:val="99"/>
    <w:rsid w:val="00D37B90"/>
    <w:pPr>
      <w:tabs>
        <w:tab w:val="clear" w:pos="567"/>
        <w:tab w:val="clear" w:pos="1133"/>
        <w:tab w:val="clear" w:pos="1700"/>
        <w:tab w:val="clear" w:pos="2267"/>
        <w:tab w:val="left" w:pos="1361"/>
        <w:tab w:val="left" w:pos="1758"/>
        <w:tab w:val="left" w:pos="2155"/>
        <w:tab w:val="left" w:pos="2552"/>
      </w:tabs>
      <w:kinsoku/>
      <w:bidi w:val="0"/>
      <w:spacing w:before="284" w:after="120" w:line="240" w:lineRule="auto"/>
      <w:ind w:left="567" w:firstLine="851"/>
      <w:jc w:val="left"/>
    </w:pPr>
    <w:rPr>
      <w:rFonts w:ascii="Verdana" w:eastAsia="SimHei" w:hAnsi="Verdana" w:cs="Times New Roman"/>
      <w:bCs/>
      <w:sz w:val="24"/>
      <w:szCs w:val="20"/>
      <w:lang w:val="en-GB" w:eastAsia="zh-CN"/>
    </w:rPr>
  </w:style>
  <w:style w:type="paragraph" w:customStyle="1" w:styleId="LetterText">
    <w:name w:val="Letter_Text"/>
    <w:basedOn w:val="LetterStart"/>
    <w:uiPriority w:val="99"/>
    <w:rsid w:val="00D37B90"/>
  </w:style>
  <w:style w:type="paragraph" w:customStyle="1" w:styleId="Tiret">
    <w:name w:val="Tiret"/>
    <w:basedOn w:val="Normal"/>
    <w:uiPriority w:val="99"/>
    <w:rsid w:val="00D37B90"/>
    <w:pPr>
      <w:tabs>
        <w:tab w:val="clear" w:pos="567"/>
        <w:tab w:val="clear" w:pos="1133"/>
        <w:tab w:val="clear" w:pos="1700"/>
        <w:tab w:val="clear" w:pos="2267"/>
      </w:tabs>
      <w:kinsoku/>
      <w:bidi w:val="0"/>
      <w:spacing w:after="120" w:line="240" w:lineRule="auto"/>
      <w:ind w:left="-680"/>
      <w:jc w:val="left"/>
    </w:pPr>
    <w:rPr>
      <w:rFonts w:ascii="Verdana" w:eastAsia="SimHei" w:hAnsi="Verdana" w:cs="Times New Roman"/>
      <w:bCs/>
      <w:sz w:val="24"/>
      <w:szCs w:val="20"/>
      <w:lang w:val="en-GB" w:eastAsia="zh-CN"/>
    </w:rPr>
  </w:style>
  <w:style w:type="paragraph" w:customStyle="1" w:styleId="NormFoot">
    <w:name w:val="Norm_Foot"/>
    <w:basedOn w:val="Normal"/>
    <w:uiPriority w:val="99"/>
    <w:rsid w:val="00D37B90"/>
    <w:pPr>
      <w:tabs>
        <w:tab w:val="clear" w:pos="567"/>
        <w:tab w:val="clear" w:pos="1133"/>
        <w:tab w:val="clear" w:pos="1700"/>
        <w:tab w:val="clear" w:pos="2267"/>
        <w:tab w:val="left" w:pos="1361"/>
        <w:tab w:val="left" w:pos="1758"/>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details">
    <w:name w:val="details"/>
    <w:basedOn w:val="Normal"/>
    <w:next w:val="Tiret"/>
    <w:uiPriority w:val="99"/>
    <w:rsid w:val="00D37B90"/>
    <w:pPr>
      <w:tabs>
        <w:tab w:val="clear" w:pos="567"/>
        <w:tab w:val="clear" w:pos="1133"/>
        <w:tab w:val="clear" w:pos="1700"/>
        <w:tab w:val="clear" w:pos="2267"/>
        <w:tab w:val="left" w:pos="1361"/>
        <w:tab w:val="left" w:pos="1758"/>
        <w:tab w:val="left" w:pos="2155"/>
        <w:tab w:val="left" w:pos="2552"/>
      </w:tabs>
      <w:kinsoku/>
      <w:bidi w:val="0"/>
      <w:spacing w:before="0" w:after="120" w:line="240" w:lineRule="auto"/>
      <w:jc w:val="left"/>
    </w:pPr>
    <w:rPr>
      <w:rFonts w:ascii="Verdana" w:eastAsia="SimHei" w:hAnsi="Verdana" w:cs="Times New Roman"/>
      <w:bCs/>
      <w:sz w:val="24"/>
      <w:szCs w:val="20"/>
      <w:lang w:val="en-GB" w:eastAsia="zh-CN"/>
    </w:rPr>
  </w:style>
  <w:style w:type="paragraph" w:customStyle="1" w:styleId="listitem">
    <w:name w:val="listitem"/>
    <w:basedOn w:val="Normal"/>
    <w:uiPriority w:val="99"/>
    <w:rsid w:val="00D37B90"/>
    <w:pPr>
      <w:keepLines/>
      <w:tabs>
        <w:tab w:val="clear" w:pos="567"/>
        <w:tab w:val="clear" w:pos="1133"/>
        <w:tab w:val="clear" w:pos="1700"/>
        <w:tab w:val="clear" w:pos="2267"/>
        <w:tab w:val="left" w:pos="794"/>
        <w:tab w:val="left" w:pos="1191"/>
        <w:tab w:val="left" w:pos="1361"/>
        <w:tab w:val="left" w:pos="1588"/>
        <w:tab w:val="left" w:pos="1758"/>
        <w:tab w:val="left" w:pos="1985"/>
        <w:tab w:val="left" w:pos="2155"/>
        <w:tab w:val="left" w:pos="2552"/>
      </w:tabs>
      <w:kinsoku/>
      <w:bidi w:val="0"/>
      <w:spacing w:after="120" w:line="240" w:lineRule="auto"/>
      <w:ind w:left="567"/>
      <w:jc w:val="left"/>
    </w:pPr>
    <w:rPr>
      <w:rFonts w:ascii="Verdana" w:eastAsia="SimHei" w:hAnsi="Verdana" w:cs="Times New Roman"/>
      <w:bCs/>
      <w:sz w:val="24"/>
      <w:szCs w:val="20"/>
      <w:lang w:val="en-GB" w:eastAsia="zh-CN"/>
    </w:rPr>
  </w:style>
  <w:style w:type="paragraph" w:customStyle="1" w:styleId="headingi0">
    <w:name w:val="heading_i"/>
    <w:basedOn w:val="Heading3"/>
    <w:next w:val="Normal"/>
    <w:uiPriority w:val="99"/>
    <w:rsid w:val="00D37B90"/>
    <w:pPr>
      <w:keepNext w:val="0"/>
      <w:numPr>
        <w:ilvl w:val="2"/>
      </w:numPr>
      <w:tabs>
        <w:tab w:val="clear" w:pos="851"/>
        <w:tab w:val="clear" w:pos="1133"/>
        <w:tab w:val="clear" w:pos="1700"/>
        <w:tab w:val="clear" w:pos="2267"/>
        <w:tab w:val="num" w:pos="720"/>
      </w:tabs>
      <w:kinsoku/>
      <w:bidi w:val="0"/>
      <w:spacing w:before="160" w:line="240" w:lineRule="auto"/>
      <w:ind w:left="794" w:hanging="794"/>
      <w:jc w:val="left"/>
      <w:outlineLvl w:val="9"/>
    </w:pPr>
    <w:rPr>
      <w:rFonts w:ascii="Verdana" w:eastAsia="SimHei" w:hAnsi="Verdana" w:cs="Simplified Arabic"/>
      <w:b w:val="0"/>
      <w:iCs w:val="0"/>
      <w:color w:val="auto"/>
      <w:szCs w:val="28"/>
      <w:lang w:val="en-GB" w:eastAsia="zh-CN"/>
    </w:rPr>
  </w:style>
  <w:style w:type="paragraph" w:customStyle="1" w:styleId="Qlist">
    <w:name w:val="Qlist"/>
    <w:basedOn w:val="Normal"/>
    <w:uiPriority w:val="99"/>
    <w:rsid w:val="00D37B90"/>
    <w:pPr>
      <w:tabs>
        <w:tab w:val="clear" w:pos="567"/>
        <w:tab w:val="clear" w:pos="1133"/>
        <w:tab w:val="clear" w:pos="1700"/>
        <w:tab w:val="clear" w:pos="2267"/>
        <w:tab w:val="left" w:pos="1843"/>
        <w:tab w:val="left" w:pos="2268"/>
      </w:tabs>
      <w:kinsoku/>
      <w:bidi w:val="0"/>
      <w:spacing w:after="120" w:line="240" w:lineRule="auto"/>
      <w:ind w:left="2268" w:hanging="2268"/>
      <w:jc w:val="left"/>
    </w:pPr>
    <w:rPr>
      <w:rFonts w:ascii="Verdana" w:eastAsia="SimHei" w:hAnsi="Verdana" w:cs="Times New Roman"/>
      <w:b/>
      <w:bCs/>
      <w:sz w:val="24"/>
      <w:szCs w:val="20"/>
      <w:lang w:val="en-GB" w:eastAsia="zh-CN"/>
    </w:rPr>
  </w:style>
  <w:style w:type="paragraph" w:customStyle="1" w:styleId="FirstFooter">
    <w:name w:val="FirstFooter"/>
    <w:basedOn w:val="Footer"/>
    <w:uiPriority w:val="99"/>
    <w:rsid w:val="00D37B90"/>
    <w:pPr>
      <w:pBdr>
        <w:top w:val="none" w:sz="0" w:space="0" w:color="auto"/>
      </w:pBdr>
      <w:tabs>
        <w:tab w:val="clear" w:pos="567"/>
        <w:tab w:val="clear" w:pos="1133"/>
        <w:tab w:val="clear" w:pos="1700"/>
        <w:tab w:val="clear" w:pos="2267"/>
        <w:tab w:val="clear" w:pos="9071"/>
        <w:tab w:val="center" w:pos="4320"/>
        <w:tab w:val="right" w:pos="8640"/>
      </w:tabs>
      <w:kinsoku/>
      <w:bidi w:val="0"/>
      <w:spacing w:before="40" w:after="120" w:line="240" w:lineRule="auto"/>
      <w:ind w:left="0"/>
      <w:jc w:val="left"/>
    </w:pPr>
    <w:rPr>
      <w:rFonts w:ascii="Verdana" w:eastAsia="SimHei" w:hAnsi="Verdana" w:cs="Times New Roman"/>
      <w:bCs/>
      <w:sz w:val="16"/>
      <w:szCs w:val="20"/>
      <w:lang w:val="fr-FR" w:eastAsia="zh-CN"/>
    </w:rPr>
  </w:style>
  <w:style w:type="paragraph" w:customStyle="1" w:styleId="pnew">
    <w:name w:val="pnew"/>
    <w:basedOn w:val="Normal"/>
    <w:uiPriority w:val="99"/>
    <w:rsid w:val="00D37B90"/>
    <w:pPr>
      <w:tabs>
        <w:tab w:val="clear" w:pos="567"/>
        <w:tab w:val="clear" w:pos="1133"/>
        <w:tab w:val="clear" w:pos="1700"/>
        <w:tab w:val="clear" w:pos="2267"/>
      </w:tabs>
      <w:kinsoku/>
      <w:bidi w:val="0"/>
      <w:spacing w:before="100" w:beforeAutospacing="1" w:after="100" w:afterAutospacing="1" w:line="240" w:lineRule="auto"/>
      <w:jc w:val="left"/>
    </w:pPr>
    <w:rPr>
      <w:rFonts w:ascii="Verdana" w:hAnsi="Verdana" w:cs="Times New Roman"/>
      <w:bCs/>
      <w:color w:val="000000"/>
      <w:sz w:val="24"/>
      <w:szCs w:val="24"/>
      <w:lang w:eastAsia="zh-CN"/>
    </w:rPr>
  </w:style>
  <w:style w:type="character" w:customStyle="1" w:styleId="TableTextChar0">
    <w:name w:val="Table_Text Char"/>
    <w:link w:val="TableText1"/>
    <w:rsid w:val="009C04F6"/>
    <w:rPr>
      <w:rFonts w:ascii="Calibri" w:hAnsi="Calibri" w:cs="Traditional Arabic"/>
      <w:sz w:val="18"/>
      <w:szCs w:val="24"/>
      <w:lang w:val="en-GB"/>
    </w:rPr>
  </w:style>
  <w:style w:type="paragraph" w:customStyle="1" w:styleId="MOS-Subject">
    <w:name w:val="MOS-Subject"/>
    <w:basedOn w:val="ForReplyContact"/>
    <w:uiPriority w:val="99"/>
    <w:rsid w:val="00D37B90"/>
  </w:style>
  <w:style w:type="paragraph" w:customStyle="1" w:styleId="ForReplyContact">
    <w:name w:val="ForReply_Contact"/>
    <w:basedOn w:val="MOSNormal"/>
    <w:uiPriority w:val="99"/>
    <w:rsid w:val="00D37B90"/>
    <w:pPr>
      <w:spacing w:before="40" w:after="0"/>
    </w:pPr>
    <w:rPr>
      <w:rFonts w:cs="Arial"/>
      <w:bCs/>
    </w:rPr>
  </w:style>
  <w:style w:type="paragraph" w:customStyle="1" w:styleId="MOSNormal">
    <w:name w:val="MOS Normal"/>
    <w:link w:val="MOSNormalChar"/>
    <w:rsid w:val="00D37B90"/>
    <w:pPr>
      <w:spacing w:before="120" w:after="120"/>
    </w:pPr>
    <w:rPr>
      <w:rFonts w:ascii="Verdana" w:hAnsi="Verdana"/>
      <w:lang w:val="en-GB" w:eastAsia="en-US"/>
    </w:rPr>
  </w:style>
  <w:style w:type="character" w:customStyle="1" w:styleId="MOSNormalChar">
    <w:name w:val="MOS Normal Char"/>
    <w:link w:val="MOSNormal"/>
    <w:rsid w:val="00D37B90"/>
    <w:rPr>
      <w:rFonts w:ascii="Verdana" w:hAnsi="Verdana"/>
      <w:lang w:val="en-GB" w:eastAsia="en-US"/>
    </w:rPr>
  </w:style>
  <w:style w:type="paragraph" w:customStyle="1" w:styleId="MOS-Date-TO-FROM-PageNo">
    <w:name w:val="MOS-Date-TO-FROM-PageNo"/>
    <w:basedOn w:val="Normal"/>
    <w:link w:val="MOS-Date-TO-FROM-PageNoChar"/>
    <w:rsid w:val="00D37B90"/>
    <w:pPr>
      <w:tabs>
        <w:tab w:val="clear" w:pos="567"/>
        <w:tab w:val="clear" w:pos="1133"/>
        <w:tab w:val="clear" w:pos="1700"/>
        <w:tab w:val="clear" w:pos="2267"/>
      </w:tabs>
      <w:kinsoku/>
      <w:bidi w:val="0"/>
      <w:spacing w:before="0" w:after="120" w:line="240" w:lineRule="auto"/>
      <w:jc w:val="left"/>
    </w:pPr>
    <w:rPr>
      <w:rFonts w:ascii="Verdana" w:hAnsi="Verdana" w:cs="Times New Roman"/>
      <w:b/>
      <w:sz w:val="20"/>
      <w:szCs w:val="20"/>
      <w:lang w:eastAsia="zh-CN"/>
    </w:rPr>
  </w:style>
  <w:style w:type="character" w:customStyle="1" w:styleId="MOS-Date-TO-FROM-PageNoChar">
    <w:name w:val="MOS-Date-TO-FROM-PageNo Char"/>
    <w:link w:val="MOS-Date-TO-FROM-PageNo"/>
    <w:rsid w:val="00D37B90"/>
    <w:rPr>
      <w:rFonts w:ascii="Verdana" w:hAnsi="Verdana"/>
      <w:b/>
    </w:rPr>
  </w:style>
  <w:style w:type="paragraph" w:customStyle="1" w:styleId="MOSDataTable">
    <w:name w:val="MOS DataTable"/>
    <w:basedOn w:val="MOSNormal"/>
    <w:uiPriority w:val="99"/>
    <w:rsid w:val="00D37B90"/>
    <w:pPr>
      <w:keepNext/>
      <w:keepLines/>
      <w:snapToGrid w:val="0"/>
      <w:spacing w:before="0" w:after="0"/>
    </w:pPr>
    <w:rPr>
      <w:rFonts w:eastAsia="Batang" w:cs="Arial"/>
      <w:b/>
      <w:color w:val="FFFFFF"/>
      <w:szCs w:val="23"/>
    </w:rPr>
  </w:style>
  <w:style w:type="paragraph" w:customStyle="1" w:styleId="ForReplyEmailFaxPhone">
    <w:name w:val="ForReply_EmailFaxPhone"/>
    <w:basedOn w:val="ForReplyContact"/>
    <w:uiPriority w:val="99"/>
    <w:rsid w:val="00D37B90"/>
  </w:style>
  <w:style w:type="paragraph" w:customStyle="1" w:styleId="MOS-Contact">
    <w:name w:val="MOS-Contact"/>
    <w:basedOn w:val="MOSNormal"/>
    <w:uiPriority w:val="99"/>
    <w:rsid w:val="00D37B90"/>
    <w:pPr>
      <w:spacing w:before="0" w:after="0"/>
    </w:pPr>
  </w:style>
  <w:style w:type="paragraph" w:customStyle="1" w:styleId="MOS-ForReplySubject">
    <w:name w:val="MOS-ForReply_Subject"/>
    <w:basedOn w:val="MOS-Date-TO-FROM-PageNo"/>
    <w:uiPriority w:val="99"/>
    <w:rsid w:val="00D37B90"/>
    <w:rPr>
      <w:sz w:val="18"/>
    </w:rPr>
  </w:style>
  <w:style w:type="paragraph" w:customStyle="1" w:styleId="MOSNormal0">
    <w:name w:val="MOSNormal"/>
    <w:link w:val="MOSNormalChar0"/>
    <w:rsid w:val="00D37B90"/>
    <w:pPr>
      <w:spacing w:before="120" w:after="120"/>
    </w:pPr>
    <w:rPr>
      <w:rFonts w:ascii="Verdana" w:hAnsi="Verdana"/>
      <w:lang w:val="en-GB" w:eastAsia="en-US"/>
    </w:rPr>
  </w:style>
  <w:style w:type="character" w:customStyle="1" w:styleId="MOSNormalChar0">
    <w:name w:val="MOSNormal Char"/>
    <w:link w:val="MOSNormal0"/>
    <w:rsid w:val="00D37B90"/>
    <w:rPr>
      <w:rFonts w:ascii="Verdana" w:hAnsi="Verdana"/>
      <w:lang w:val="en-GB" w:eastAsia="en-US"/>
    </w:rPr>
  </w:style>
  <w:style w:type="paragraph" w:customStyle="1" w:styleId="MOS-Ltr-Footer">
    <w:name w:val="MOS-Ltr-Footer"/>
    <w:basedOn w:val="Normal"/>
    <w:link w:val="MOS-Ltr-FooterChar"/>
    <w:rsid w:val="00D37B90"/>
    <w:pPr>
      <w:tabs>
        <w:tab w:val="clear" w:pos="567"/>
        <w:tab w:val="clear" w:pos="1133"/>
        <w:tab w:val="clear" w:pos="1700"/>
        <w:tab w:val="clear" w:pos="2267"/>
      </w:tabs>
      <w:kinsoku/>
      <w:bidi w:val="0"/>
      <w:spacing w:before="0" w:after="120" w:line="240" w:lineRule="auto"/>
      <w:jc w:val="center"/>
    </w:pPr>
    <w:rPr>
      <w:rFonts w:ascii="Arial" w:hAnsi="Arial" w:cs="Times New Roman"/>
      <w:bCs/>
      <w:spacing w:val="20"/>
      <w:sz w:val="16"/>
      <w:szCs w:val="16"/>
      <w:lang w:val="fr-CA" w:eastAsia="en-US"/>
    </w:rPr>
  </w:style>
  <w:style w:type="character" w:customStyle="1" w:styleId="MOS-Ltr-FooterChar">
    <w:name w:val="MOS-Ltr-Footer Char"/>
    <w:link w:val="MOS-Ltr-Footer"/>
    <w:rsid w:val="00D37B90"/>
    <w:rPr>
      <w:rFonts w:ascii="Arial" w:hAnsi="Arial"/>
      <w:bCs/>
      <w:spacing w:val="20"/>
      <w:sz w:val="16"/>
      <w:szCs w:val="16"/>
      <w:lang w:val="fr-CA" w:eastAsia="en-US"/>
    </w:rPr>
  </w:style>
  <w:style w:type="table" w:styleId="TableContemporary">
    <w:name w:val="Table Contemporary"/>
    <w:basedOn w:val="TableNormal"/>
    <w:rsid w:val="00D37B90"/>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CEODocNoDetails">
    <w:name w:val="CEO_DocNoDetails"/>
    <w:basedOn w:val="Normal"/>
    <w:uiPriority w:val="99"/>
    <w:rsid w:val="00D37B90"/>
    <w:pPr>
      <w:tabs>
        <w:tab w:val="clear" w:pos="567"/>
        <w:tab w:val="clear" w:pos="1133"/>
        <w:tab w:val="clear" w:pos="1700"/>
        <w:tab w:val="clear" w:pos="2267"/>
      </w:tabs>
      <w:kinsoku/>
      <w:bidi w:val="0"/>
      <w:spacing w:before="80" w:after="80" w:line="240" w:lineRule="auto"/>
      <w:jc w:val="center"/>
    </w:pPr>
    <w:rPr>
      <w:rFonts w:ascii="Verdana" w:eastAsia="SimHei" w:hAnsi="Verdana" w:cs="Simplified Arabic"/>
      <w:bCs/>
      <w:sz w:val="19"/>
      <w:szCs w:val="19"/>
      <w:lang w:val="en-GB" w:eastAsia="en-US"/>
    </w:rPr>
  </w:style>
  <w:style w:type="paragraph" w:customStyle="1" w:styleId="CEODocTitle-1line">
    <w:name w:val="CEO_DocTitle-1line"/>
    <w:basedOn w:val="Normal"/>
    <w:next w:val="Normal"/>
    <w:uiPriority w:val="99"/>
    <w:rsid w:val="00D37B90"/>
    <w:pPr>
      <w:tabs>
        <w:tab w:val="clear" w:pos="567"/>
        <w:tab w:val="clear" w:pos="1133"/>
        <w:tab w:val="clear" w:pos="1700"/>
        <w:tab w:val="clear" w:pos="2267"/>
      </w:tabs>
      <w:kinsoku/>
      <w:bidi w:val="0"/>
      <w:spacing w:before="480" w:after="480" w:line="240" w:lineRule="auto"/>
      <w:jc w:val="center"/>
    </w:pPr>
    <w:rPr>
      <w:rFonts w:ascii="Verdana" w:eastAsia="SimHei" w:hAnsi="Verdana" w:cs="Simplified Arabic"/>
      <w:b/>
      <w:bCs/>
      <w:sz w:val="28"/>
      <w:lang w:eastAsia="en-US"/>
    </w:rPr>
  </w:style>
  <w:style w:type="paragraph" w:customStyle="1" w:styleId="CEODocTitle2lines-First">
    <w:name w:val="CEO_DocTitle2lines-First"/>
    <w:basedOn w:val="CEODocTitle-1line"/>
    <w:next w:val="Normal"/>
    <w:uiPriority w:val="99"/>
    <w:rsid w:val="00D37B90"/>
    <w:pPr>
      <w:spacing w:after="0"/>
    </w:pPr>
  </w:style>
  <w:style w:type="paragraph" w:customStyle="1" w:styleId="CEODocTitle2lines-Second">
    <w:name w:val="CEO_DocTitle2lines-Second"/>
    <w:basedOn w:val="CEODocTitle2lines-First"/>
    <w:uiPriority w:val="99"/>
    <w:rsid w:val="00D37B90"/>
    <w:pPr>
      <w:spacing w:before="0" w:after="480"/>
    </w:pPr>
  </w:style>
  <w:style w:type="paragraph" w:customStyle="1" w:styleId="CEOEmdashList">
    <w:name w:val="CEO_EmdashList"/>
    <w:basedOn w:val="CEONormal"/>
    <w:uiPriority w:val="99"/>
    <w:rsid w:val="00D37B90"/>
    <w:pPr>
      <w:framePr w:hSpace="0" w:wrap="auto" w:hAnchor="text" w:yAlign="inline"/>
      <w:spacing w:after="0" w:line="240" w:lineRule="auto"/>
      <w:jc w:val="left"/>
    </w:pPr>
    <w:rPr>
      <w:rFonts w:eastAsia="SimSun"/>
      <w:sz w:val="28"/>
      <w:szCs w:val="28"/>
    </w:rPr>
  </w:style>
  <w:style w:type="paragraph" w:customStyle="1" w:styleId="CEOEndBar">
    <w:name w:val="CEO_EndBar"/>
    <w:basedOn w:val="CEONormal"/>
    <w:uiPriority w:val="99"/>
    <w:rsid w:val="00D37B90"/>
    <w:pPr>
      <w:framePr w:hSpace="0" w:wrap="auto" w:hAnchor="text" w:yAlign="inline"/>
      <w:spacing w:line="240" w:lineRule="auto"/>
      <w:jc w:val="center"/>
    </w:pPr>
    <w:rPr>
      <w:rFonts w:eastAsia="SimSun"/>
      <w:sz w:val="28"/>
      <w:szCs w:val="28"/>
    </w:rPr>
  </w:style>
  <w:style w:type="paragraph" w:customStyle="1" w:styleId="CEOExtract">
    <w:name w:val="CEO_Extract"/>
    <w:basedOn w:val="CEONormal"/>
    <w:uiPriority w:val="99"/>
    <w:rsid w:val="00D37B90"/>
    <w:pPr>
      <w:keepNext/>
      <w:keepLines/>
      <w:framePr w:hSpace="0" w:wrap="auto" w:hAnchor="text" w:yAlign="inline"/>
      <w:spacing w:line="240" w:lineRule="auto"/>
      <w:jc w:val="left"/>
    </w:pPr>
    <w:rPr>
      <w:rFonts w:eastAsia="SimSun"/>
      <w:sz w:val="28"/>
      <w:szCs w:val="28"/>
    </w:rPr>
  </w:style>
  <w:style w:type="paragraph" w:customStyle="1" w:styleId="CEOFooter">
    <w:name w:val="CEO_Footer"/>
    <w:basedOn w:val="Normal"/>
    <w:uiPriority w:val="99"/>
    <w:rsid w:val="00D37B90"/>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FooterContact1">
    <w:name w:val="CEO_FooterContact1"/>
    <w:basedOn w:val="CEOFooterContact2-3"/>
    <w:next w:val="CEOFooterContact2-3"/>
    <w:uiPriority w:val="99"/>
    <w:rsid w:val="00D37B90"/>
    <w:pPr>
      <w:pBdr>
        <w:top w:val="single" w:sz="4" w:space="8" w:color="auto"/>
      </w:pBdr>
      <w:tabs>
        <w:tab w:val="left" w:pos="1560"/>
      </w:tabs>
      <w:ind w:hanging="3827"/>
    </w:pPr>
    <w:rPr>
      <w:szCs w:val="28"/>
    </w:rPr>
  </w:style>
  <w:style w:type="paragraph" w:customStyle="1" w:styleId="CEOFooterContact2-3">
    <w:name w:val="CEO_FooterContact2-3"/>
    <w:uiPriority w:val="99"/>
    <w:rsid w:val="00D37B90"/>
    <w:pPr>
      <w:ind w:left="3827" w:hanging="2268"/>
    </w:pPr>
    <w:rPr>
      <w:rFonts w:ascii="Simplified Arabic" w:hAnsi="Simplified Arabic" w:cs="Simplified Arabic"/>
      <w:sz w:val="28"/>
      <w:szCs w:val="24"/>
      <w:lang w:val="fr-CA" w:bidi="ar-EG"/>
    </w:rPr>
  </w:style>
  <w:style w:type="paragraph" w:customStyle="1" w:styleId="CEOForAction">
    <w:name w:val="CEO_ForAction"/>
    <w:basedOn w:val="CEONormal"/>
    <w:next w:val="Normal"/>
    <w:uiPriority w:val="99"/>
    <w:rsid w:val="00D37B90"/>
    <w:pPr>
      <w:framePr w:hSpace="0" w:wrap="auto" w:hAnchor="text" w:yAlign="inline"/>
      <w:spacing w:before="240" w:after="0" w:line="240" w:lineRule="auto"/>
      <w:ind w:left="1877"/>
      <w:jc w:val="left"/>
    </w:pPr>
    <w:rPr>
      <w:rFonts w:eastAsia="SimSun"/>
      <w:b/>
      <w:bCs/>
      <w:iCs/>
      <w:sz w:val="28"/>
      <w:szCs w:val="28"/>
    </w:rPr>
  </w:style>
  <w:style w:type="paragraph" w:customStyle="1" w:styleId="CEOHeader">
    <w:name w:val="CEO_Header"/>
    <w:basedOn w:val="Normal"/>
    <w:uiPriority w:val="99"/>
    <w:rsid w:val="00D37B90"/>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Header1">
    <w:name w:val="CEO_Header1"/>
    <w:basedOn w:val="Normal"/>
    <w:uiPriority w:val="99"/>
    <w:rsid w:val="00D37B90"/>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uiPriority w:val="99"/>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uiPriority w:val="99"/>
    <w:rsid w:val="00D37B90"/>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indent-abc">
    <w:name w:val="CEO_indent-abc"/>
    <w:basedOn w:val="Normal"/>
    <w:uiPriority w:val="99"/>
    <w:rsid w:val="00D37B90"/>
    <w:pPr>
      <w:numPr>
        <w:ilvl w:val="1"/>
        <w:numId w:val="5"/>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uiPriority w:val="99"/>
    <w:rsid w:val="00D37B90"/>
    <w:pPr>
      <w:numPr>
        <w:numId w:val="6"/>
      </w:numPr>
    </w:pPr>
  </w:style>
  <w:style w:type="paragraph" w:customStyle="1" w:styleId="CEOLogo">
    <w:name w:val="CEO_Logo"/>
    <w:basedOn w:val="CEONormal"/>
    <w:uiPriority w:val="99"/>
    <w:rsid w:val="00D37B90"/>
    <w:pPr>
      <w:framePr w:hSpace="0" w:wrap="auto" w:hAnchor="text" w:yAlign="inline"/>
      <w:spacing w:after="0" w:line="240" w:lineRule="auto"/>
      <w:jc w:val="right"/>
    </w:pPr>
    <w:rPr>
      <w:rFonts w:eastAsia="SimSun"/>
      <w:sz w:val="28"/>
      <w:szCs w:val="28"/>
    </w:rPr>
  </w:style>
  <w:style w:type="paragraph" w:customStyle="1" w:styleId="CEOMeetingDates">
    <w:name w:val="CEO_MeetingDates"/>
    <w:basedOn w:val="Normal"/>
    <w:uiPriority w:val="99"/>
    <w:rsid w:val="00D37B90"/>
    <w:pPr>
      <w:tabs>
        <w:tab w:val="clear" w:pos="567"/>
        <w:tab w:val="clear" w:pos="1133"/>
        <w:tab w:val="clear" w:pos="1700"/>
        <w:tab w:val="clear" w:pos="2267"/>
      </w:tabs>
      <w:kinsoku/>
      <w:bidi w:val="0"/>
      <w:spacing w:before="0" w:after="40" w:line="240" w:lineRule="auto"/>
      <w:jc w:val="left"/>
    </w:pPr>
    <w:rPr>
      <w:rFonts w:ascii="Verdana" w:eastAsia="SimHei" w:hAnsi="Verdana" w:cs="Simplified Arabic"/>
      <w:b/>
      <w:sz w:val="19"/>
      <w:szCs w:val="19"/>
      <w:lang w:val="en-GB" w:eastAsia="en-US"/>
    </w:rPr>
  </w:style>
  <w:style w:type="paragraph" w:customStyle="1" w:styleId="CEOParagraph11">
    <w:name w:val="CEO_Paragraph 1.1"/>
    <w:basedOn w:val="Heading2"/>
    <w:uiPriority w:val="99"/>
    <w:rsid w:val="00D37B90"/>
    <w:pPr>
      <w:keepNext w:val="0"/>
      <w:tabs>
        <w:tab w:val="clear" w:pos="851"/>
        <w:tab w:val="clear" w:pos="1133"/>
        <w:tab w:val="clear" w:pos="1700"/>
        <w:tab w:val="clear" w:pos="2267"/>
      </w:tabs>
      <w:kinsoku/>
      <w:bidi w:val="0"/>
      <w:spacing w:before="120" w:after="120" w:line="240" w:lineRule="auto"/>
      <w:ind w:left="794" w:hanging="794"/>
      <w:jc w:val="left"/>
    </w:pPr>
    <w:rPr>
      <w:rFonts w:ascii="Verdana" w:eastAsia="SimHei" w:hAnsi="Verdana" w:cs="Simplified Arabic"/>
      <w:b w:val="0"/>
      <w:bCs w:val="0"/>
      <w:color w:val="auto"/>
      <w:sz w:val="18"/>
      <w:szCs w:val="28"/>
      <w:lang w:val="en-GB" w:eastAsia="zh-CN"/>
    </w:rPr>
  </w:style>
  <w:style w:type="paragraph" w:customStyle="1" w:styleId="CEOParagraph111">
    <w:name w:val="CEO_Paragraph1.1.1"/>
    <w:basedOn w:val="Heading3"/>
    <w:uiPriority w:val="99"/>
    <w:rsid w:val="00D37B90"/>
    <w:pPr>
      <w:keepNext w:val="0"/>
      <w:tabs>
        <w:tab w:val="clear" w:pos="851"/>
        <w:tab w:val="clear" w:pos="1133"/>
        <w:tab w:val="clear" w:pos="1700"/>
        <w:tab w:val="clear" w:pos="2267"/>
      </w:tabs>
      <w:kinsoku/>
      <w:bidi w:val="0"/>
      <w:spacing w:before="0" w:line="240" w:lineRule="auto"/>
      <w:ind w:left="794" w:hanging="794"/>
      <w:jc w:val="left"/>
    </w:pPr>
    <w:rPr>
      <w:rFonts w:ascii="Verdana" w:eastAsia="SimHei" w:hAnsi="Verdana" w:cs="Simplified Arabic"/>
      <w:b w:val="0"/>
      <w:bCs w:val="0"/>
      <w:i w:val="0"/>
      <w:iCs w:val="0"/>
      <w:color w:val="auto"/>
      <w:sz w:val="19"/>
      <w:szCs w:val="28"/>
      <w:lang w:val="en-GB" w:eastAsia="zh-CN"/>
    </w:rPr>
  </w:style>
  <w:style w:type="paragraph" w:customStyle="1" w:styleId="CEOResText">
    <w:name w:val="CEO_ResText"/>
    <w:basedOn w:val="CEONormal"/>
    <w:uiPriority w:val="99"/>
    <w:rsid w:val="00D37B90"/>
    <w:pPr>
      <w:framePr w:hSpace="0" w:wrap="auto" w:hAnchor="text" w:yAlign="inline"/>
      <w:spacing w:line="240" w:lineRule="auto"/>
      <w:ind w:left="426"/>
      <w:jc w:val="left"/>
    </w:pPr>
    <w:rPr>
      <w:rFonts w:eastAsia="SimSun"/>
      <w:sz w:val="28"/>
      <w:szCs w:val="28"/>
    </w:rPr>
  </w:style>
  <w:style w:type="paragraph" w:customStyle="1" w:styleId="CEOSignatureName">
    <w:name w:val="CEO_SignatureName"/>
    <w:basedOn w:val="Normal"/>
    <w:uiPriority w:val="99"/>
    <w:rsid w:val="00D37B90"/>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uiPriority w:val="99"/>
    <w:rsid w:val="00D37B90"/>
    <w:pPr>
      <w:spacing w:before="0"/>
    </w:pPr>
  </w:style>
  <w:style w:type="paragraph" w:customStyle="1" w:styleId="CEOSTG">
    <w:name w:val="CEO_STG"/>
    <w:basedOn w:val="CEOOriginalLanguage"/>
    <w:uiPriority w:val="99"/>
    <w:rsid w:val="00D37B90"/>
    <w:pPr>
      <w:jc w:val="center"/>
    </w:pPr>
  </w:style>
  <w:style w:type="paragraph" w:customStyle="1" w:styleId="CEORevision">
    <w:name w:val="CEO_Revision"/>
    <w:basedOn w:val="CEOSourceTitle"/>
    <w:next w:val="Normal"/>
    <w:uiPriority w:val="99"/>
    <w:rsid w:val="00D37B90"/>
    <w:pPr>
      <w:framePr w:hSpace="0" w:wrap="auto" w:hAnchor="text" w:yAlign="inline"/>
    </w:pPr>
    <w:rPr>
      <w:rFonts w:ascii="Verdana" w:hAnsi="Verdana"/>
      <w:bCs w:val="0"/>
      <w:sz w:val="28"/>
      <w:szCs w:val="28"/>
    </w:rPr>
  </w:style>
  <w:style w:type="paragraph" w:customStyle="1" w:styleId="CEOActionRequired">
    <w:name w:val="CEO_ActionRequired"/>
    <w:basedOn w:val="CEONormal"/>
    <w:uiPriority w:val="99"/>
    <w:rsid w:val="00D37B90"/>
    <w:pPr>
      <w:framePr w:hSpace="0" w:wrap="auto" w:hAnchor="text" w:yAlign="inline"/>
      <w:tabs>
        <w:tab w:val="left" w:pos="1928"/>
      </w:tabs>
      <w:spacing w:after="0"/>
    </w:pPr>
    <w:rPr>
      <w:rFonts w:eastAsia="SimSun"/>
      <w:b/>
      <w:noProof/>
      <w:sz w:val="28"/>
      <w:szCs w:val="28"/>
    </w:rPr>
  </w:style>
  <w:style w:type="paragraph" w:customStyle="1" w:styleId="CEOSmall">
    <w:name w:val="CEO_Small"/>
    <w:basedOn w:val="CEONormal"/>
    <w:uiPriority w:val="99"/>
    <w:rsid w:val="00D37B90"/>
    <w:pPr>
      <w:framePr w:hSpace="0" w:wrap="auto" w:hAnchor="text" w:yAlign="inline"/>
      <w:spacing w:after="0" w:line="240" w:lineRule="auto"/>
      <w:jc w:val="left"/>
    </w:pPr>
    <w:rPr>
      <w:rFonts w:eastAsia="SimSun"/>
      <w:sz w:val="28"/>
      <w:szCs w:val="28"/>
    </w:rPr>
  </w:style>
  <w:style w:type="paragraph" w:customStyle="1" w:styleId="CEOStartNextPage">
    <w:name w:val="CEO_StartNextPage"/>
    <w:basedOn w:val="CEOFooter"/>
    <w:next w:val="CEONormal"/>
    <w:uiPriority w:val="99"/>
    <w:rsid w:val="00D37B90"/>
    <w:pPr>
      <w:spacing w:before="120"/>
      <w:jc w:val="center"/>
    </w:pPr>
  </w:style>
  <w:style w:type="paragraph" w:customStyle="1" w:styleId="CEORevisionNote">
    <w:name w:val="CEO_RevisionNote"/>
    <w:basedOn w:val="CEORevision"/>
    <w:autoRedefine/>
    <w:uiPriority w:val="99"/>
    <w:rsid w:val="00D37B90"/>
    <w:pPr>
      <w:tabs>
        <w:tab w:val="left" w:pos="1928"/>
      </w:tabs>
      <w:bidi w:val="0"/>
      <w:spacing w:line="240" w:lineRule="auto"/>
      <w:jc w:val="left"/>
    </w:pPr>
    <w:rPr>
      <w:rFonts w:eastAsia="SimSun" w:cs="Times New Roman"/>
      <w:b w:val="0"/>
      <w:i/>
      <w:iCs/>
      <w:noProof w:val="0"/>
      <w:sz w:val="18"/>
      <w:szCs w:val="18"/>
      <w:lang w:val="en-US" w:bidi="ar-SA"/>
    </w:rPr>
  </w:style>
  <w:style w:type="paragraph" w:customStyle="1" w:styleId="CEOActionRequiredDetails">
    <w:name w:val="CEO_ActionRequiredDetails"/>
    <w:uiPriority w:val="99"/>
    <w:rsid w:val="00D37B90"/>
    <w:pPr>
      <w:bidi/>
      <w:spacing w:before="120" w:line="192" w:lineRule="auto"/>
      <w:jc w:val="both"/>
    </w:pPr>
    <w:rPr>
      <w:rFonts w:ascii="Verdana" w:hAnsi="Verdana" w:cs="Simplified Arabic"/>
      <w:bCs/>
      <w:noProof/>
      <w:sz w:val="28"/>
      <w:szCs w:val="28"/>
      <w:lang w:val="en-GB" w:eastAsia="en-US"/>
    </w:rPr>
  </w:style>
  <w:style w:type="paragraph" w:styleId="EndnoteText">
    <w:name w:val="endnote text"/>
    <w:basedOn w:val="Normal"/>
    <w:link w:val="EndnoteTextChar"/>
    <w:uiPriority w:val="99"/>
    <w:rsid w:val="00D37B90"/>
    <w:pPr>
      <w:tabs>
        <w:tab w:val="clear" w:pos="567"/>
        <w:tab w:val="clear" w:pos="1133"/>
        <w:tab w:val="clear" w:pos="1700"/>
        <w:tab w:val="clear" w:pos="2267"/>
      </w:tabs>
      <w:kinsoku/>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D37B90"/>
    <w:rPr>
      <w:rFonts w:ascii="Verdana" w:eastAsia="SimHei" w:hAnsi="Verdana" w:cs="Simplified Arabic"/>
      <w:bCs/>
    </w:rPr>
  </w:style>
  <w:style w:type="character" w:styleId="EndnoteReference">
    <w:name w:val="endnote reference"/>
    <w:rsid w:val="00D37B90"/>
    <w:rPr>
      <w:vertAlign w:val="superscript"/>
    </w:rPr>
  </w:style>
  <w:style w:type="character" w:customStyle="1" w:styleId="google-src-text1">
    <w:name w:val="google-src-text1"/>
    <w:rsid w:val="00D37B90"/>
    <w:rPr>
      <w:vanish/>
      <w:webHidden w:val="0"/>
      <w:specVanish w:val="0"/>
    </w:rPr>
  </w:style>
  <w:style w:type="table" w:styleId="MediumShading2-Accent1">
    <w:name w:val="Medium Shading 2 Accent 1"/>
    <w:basedOn w:val="TableNormal"/>
    <w:uiPriority w:val="64"/>
    <w:rsid w:val="00D37B90"/>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ppendixNotitle">
    <w:name w:val="Appendix_No &amp; title"/>
    <w:basedOn w:val="Normal"/>
    <w:next w:val="Normal"/>
    <w:link w:val="AppendixNotitleChar"/>
    <w:rsid w:val="00D37B9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textAlignment w:val="baseline"/>
    </w:pPr>
    <w:rPr>
      <w:rFonts w:ascii="Times New Roman Bold" w:eastAsia="Batang" w:hAnsi="Times New Roman Bold"/>
      <w:b/>
      <w:bCs/>
      <w:sz w:val="26"/>
      <w:szCs w:val="36"/>
      <w:lang w:val="en-GB" w:eastAsia="en-US"/>
    </w:rPr>
  </w:style>
  <w:style w:type="character" w:customStyle="1" w:styleId="AppendixNotitleChar">
    <w:name w:val="Appendix_No &amp; title Char"/>
    <w:link w:val="AppendixNotitle"/>
    <w:locked/>
    <w:rsid w:val="00D37B90"/>
    <w:rPr>
      <w:rFonts w:ascii="Times New Roman Bold" w:eastAsia="Batang" w:hAnsi="Times New Roman Bold" w:cs="Traditional Arabic"/>
      <w:b/>
      <w:bCs/>
      <w:sz w:val="26"/>
      <w:szCs w:val="36"/>
      <w:lang w:val="en-GB" w:eastAsia="en-US"/>
    </w:rPr>
  </w:style>
  <w:style w:type="paragraph" w:customStyle="1" w:styleId="Reasons">
    <w:name w:val="Reasons"/>
    <w:basedOn w:val="Normal"/>
    <w:uiPriority w:val="99"/>
    <w:qFormat/>
    <w:rsid w:val="00D37B9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Heading">
    <w:name w:val="Heading"/>
    <w:basedOn w:val="Heading1"/>
    <w:uiPriority w:val="99"/>
    <w:rsid w:val="00D37B90"/>
    <w:pPr>
      <w:tabs>
        <w:tab w:val="clear" w:pos="849"/>
        <w:tab w:val="clear" w:pos="1133"/>
        <w:tab w:val="clear" w:pos="1700"/>
        <w:tab w:val="clear" w:pos="2267"/>
        <w:tab w:val="left" w:pos="992"/>
        <w:tab w:val="left" w:pos="2080"/>
      </w:tabs>
      <w:kinsoku/>
      <w:spacing w:before="120"/>
      <w:ind w:left="794" w:hanging="794"/>
    </w:pPr>
    <w:rPr>
      <w:rFonts w:ascii="Verdana Bold" w:eastAsia="SimHei" w:hAnsi="Verdana Bold" w:cs="Simplified Arabic"/>
      <w:color w:val="auto"/>
      <w:sz w:val="24"/>
      <w:szCs w:val="32"/>
      <w:lang w:eastAsia="en-US"/>
    </w:rPr>
  </w:style>
  <w:style w:type="paragraph" w:customStyle="1" w:styleId="Headingb2">
    <w:name w:val="Heading b"/>
    <w:basedOn w:val="headingb1"/>
    <w:uiPriority w:val="99"/>
    <w:rsid w:val="00D37B90"/>
    <w:pPr>
      <w:keepNext/>
      <w:numPr>
        <w:ilvl w:val="2"/>
      </w:numPr>
      <w:spacing w:line="240" w:lineRule="auto"/>
      <w:ind w:left="794" w:hanging="794"/>
    </w:pPr>
    <w:rPr>
      <w:rFonts w:eastAsia="SimSun" w:cs="Simplified Arabic"/>
      <w:sz w:val="19"/>
      <w:szCs w:val="26"/>
    </w:rPr>
  </w:style>
  <w:style w:type="paragraph" w:customStyle="1" w:styleId="AnnexNotitle">
    <w:name w:val="Annex_No &amp; title"/>
    <w:basedOn w:val="Normal"/>
    <w:next w:val="Normal"/>
    <w:link w:val="AnnexNotitleChar"/>
    <w:rsid w:val="00D37B90"/>
    <w:pPr>
      <w:keepNext/>
      <w:keepLines/>
      <w:tabs>
        <w:tab w:val="clear" w:pos="567"/>
        <w:tab w:val="clear" w:pos="1133"/>
        <w:tab w:val="clear" w:pos="1700"/>
        <w:tab w:val="clear" w:pos="2267"/>
      </w:tabs>
      <w:kinsoku/>
      <w:spacing w:before="480"/>
      <w:jc w:val="center"/>
    </w:pPr>
    <w:rPr>
      <w:rFonts w:ascii="Times New Roman Bold" w:eastAsia="Batang" w:hAnsi="Times New Roman Bold" w:cs="Simplified Arabic"/>
      <w:b/>
      <w:bCs/>
      <w:sz w:val="26"/>
      <w:szCs w:val="36"/>
      <w:lang w:eastAsia="zh-CN" w:bidi="ar-EG"/>
    </w:rPr>
  </w:style>
  <w:style w:type="character" w:customStyle="1" w:styleId="AnnexNotitleChar">
    <w:name w:val="Annex_No &amp; title Char"/>
    <w:link w:val="AnnexNotitle"/>
    <w:locked/>
    <w:rsid w:val="00D37B90"/>
    <w:rPr>
      <w:rFonts w:ascii="Times New Roman Bold" w:eastAsia="Batang" w:hAnsi="Times New Roman Bold" w:cs="Simplified Arabic"/>
      <w:b/>
      <w:bCs/>
      <w:sz w:val="26"/>
      <w:szCs w:val="36"/>
      <w:lang w:bidi="ar-EG"/>
    </w:rPr>
  </w:style>
  <w:style w:type="paragraph" w:customStyle="1" w:styleId="AppendixNoTitle0">
    <w:name w:val="Appendix_NoTitle"/>
    <w:basedOn w:val="Normal"/>
    <w:next w:val="Normal"/>
    <w:uiPriority w:val="99"/>
    <w:rsid w:val="00D37B90"/>
    <w:pPr>
      <w:keepNext/>
      <w:keepLines/>
      <w:tabs>
        <w:tab w:val="clear" w:pos="567"/>
        <w:tab w:val="clear" w:pos="1133"/>
        <w:tab w:val="clear" w:pos="1700"/>
        <w:tab w:val="clear" w:pos="2267"/>
      </w:tabs>
      <w:kinsoku/>
      <w:spacing w:before="720"/>
      <w:jc w:val="center"/>
    </w:pPr>
    <w:rPr>
      <w:rFonts w:ascii="Times New Roman Bold" w:eastAsia="Batang" w:hAnsi="Times New Roman Bold" w:cs="Simplified Arabic"/>
      <w:b/>
      <w:bCs/>
      <w:sz w:val="28"/>
      <w:szCs w:val="40"/>
      <w:lang w:eastAsia="zh-CN" w:bidi="ar-EG"/>
    </w:rPr>
  </w:style>
  <w:style w:type="paragraph" w:customStyle="1" w:styleId="Artheading">
    <w:name w:val="Art_heading"/>
    <w:basedOn w:val="Normal"/>
    <w:next w:val="Normal"/>
    <w:uiPriority w:val="99"/>
    <w:rsid w:val="00D37B90"/>
    <w:pPr>
      <w:tabs>
        <w:tab w:val="clear" w:pos="567"/>
        <w:tab w:val="clear" w:pos="1133"/>
        <w:tab w:val="clear" w:pos="1700"/>
        <w:tab w:val="clear" w:pos="2267"/>
      </w:tabs>
      <w:kinsoku/>
      <w:spacing w:before="480"/>
      <w:jc w:val="center"/>
    </w:pPr>
    <w:rPr>
      <w:rFonts w:ascii="Verdana" w:hAnsi="Verdana" w:cs="Simplified Arabic"/>
      <w:b/>
      <w:sz w:val="28"/>
      <w:szCs w:val="26"/>
      <w:lang w:eastAsia="zh-CN" w:bidi="ar-EG"/>
    </w:rPr>
  </w:style>
  <w:style w:type="paragraph" w:customStyle="1" w:styleId="ArtNo">
    <w:name w:val="Art_No"/>
    <w:basedOn w:val="Normal"/>
    <w:next w:val="Normal"/>
    <w:uiPriority w:val="99"/>
    <w:rsid w:val="00D37B90"/>
    <w:pPr>
      <w:keepNext/>
      <w:keepLines/>
      <w:tabs>
        <w:tab w:val="clear" w:pos="567"/>
        <w:tab w:val="clear" w:pos="1133"/>
        <w:tab w:val="clear" w:pos="1700"/>
        <w:tab w:val="clear" w:pos="2267"/>
      </w:tabs>
      <w:kinsoku/>
      <w:spacing w:before="480"/>
      <w:jc w:val="center"/>
    </w:pPr>
    <w:rPr>
      <w:rFonts w:ascii="Verdana" w:hAnsi="Verdana" w:cs="Simplified Arabic"/>
      <w:caps/>
      <w:sz w:val="26"/>
      <w:szCs w:val="36"/>
      <w:lang w:eastAsia="zh-CN" w:bidi="ar-EG"/>
    </w:rPr>
  </w:style>
  <w:style w:type="paragraph" w:customStyle="1" w:styleId="ChapNo">
    <w:name w:val="Chap_No"/>
    <w:basedOn w:val="Normal"/>
    <w:next w:val="Normal"/>
    <w:uiPriority w:val="99"/>
    <w:rsid w:val="00D37B90"/>
    <w:pPr>
      <w:keepNext/>
      <w:keepLines/>
      <w:tabs>
        <w:tab w:val="clear" w:pos="567"/>
        <w:tab w:val="clear" w:pos="1133"/>
        <w:tab w:val="clear" w:pos="1700"/>
        <w:tab w:val="clear" w:pos="2267"/>
      </w:tabs>
      <w:kinsoku/>
      <w:spacing w:before="480"/>
      <w:jc w:val="center"/>
    </w:pPr>
    <w:rPr>
      <w:rFonts w:ascii="Times New Roman Bold" w:hAnsi="Times New Roman Bold" w:cs="Simplified Arabic"/>
      <w:b/>
      <w:caps/>
      <w:sz w:val="26"/>
      <w:szCs w:val="36"/>
      <w:lang w:eastAsia="zh-CN" w:bidi="ar-EG"/>
    </w:rPr>
  </w:style>
  <w:style w:type="paragraph" w:customStyle="1" w:styleId="Chaptitle">
    <w:name w:val="Chap_title"/>
    <w:basedOn w:val="Normal"/>
    <w:next w:val="Normal"/>
    <w:uiPriority w:val="99"/>
    <w:rsid w:val="00D37B90"/>
    <w:pPr>
      <w:keepNext/>
      <w:keepLines/>
      <w:tabs>
        <w:tab w:val="clear" w:pos="567"/>
        <w:tab w:val="clear" w:pos="1133"/>
        <w:tab w:val="clear" w:pos="1700"/>
        <w:tab w:val="clear" w:pos="2267"/>
      </w:tabs>
      <w:kinsoku/>
      <w:spacing w:before="240"/>
      <w:jc w:val="center"/>
    </w:pPr>
    <w:rPr>
      <w:rFonts w:ascii="Times New Roman Bold" w:hAnsi="Times New Roman Bold" w:cs="Simplified Arabic"/>
      <w:b/>
      <w:sz w:val="26"/>
      <w:szCs w:val="36"/>
      <w:lang w:eastAsia="zh-CN" w:bidi="ar-EG"/>
    </w:rPr>
  </w:style>
  <w:style w:type="paragraph" w:customStyle="1" w:styleId="dnum">
    <w:name w:val="dnum"/>
    <w:basedOn w:val="Normal"/>
    <w:uiPriority w:val="99"/>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jc w:val="left"/>
    </w:pPr>
    <w:rPr>
      <w:rFonts w:ascii="Times New Roman Bold" w:hAnsi="Times New Roman Bold" w:cs="Simplified Arabic"/>
      <w:b/>
      <w:bCs/>
      <w:sz w:val="19"/>
      <w:lang w:eastAsia="zh-CN" w:bidi="ar-EG"/>
    </w:rPr>
  </w:style>
  <w:style w:type="paragraph" w:customStyle="1" w:styleId="dorlang">
    <w:name w:val="dorlang"/>
    <w:basedOn w:val="Normal"/>
    <w:uiPriority w:val="99"/>
    <w:rsid w:val="00D37B9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spacing w:before="0" w:after="120"/>
    </w:pPr>
    <w:rPr>
      <w:rFonts w:ascii="Verdana" w:hAnsi="Verdana" w:cs="Simplified Arabic"/>
      <w:b/>
      <w:bCs/>
      <w:sz w:val="19"/>
      <w:lang w:eastAsia="zh-CN" w:bidi="ar-EG"/>
    </w:rPr>
  </w:style>
  <w:style w:type="paragraph" w:customStyle="1" w:styleId="Equationlegend0">
    <w:name w:val="Equation_legend"/>
    <w:basedOn w:val="Normal"/>
    <w:uiPriority w:val="99"/>
    <w:rsid w:val="00D37B90"/>
    <w:pPr>
      <w:tabs>
        <w:tab w:val="clear" w:pos="567"/>
        <w:tab w:val="clear" w:pos="1133"/>
        <w:tab w:val="clear" w:pos="1700"/>
        <w:tab w:val="clear" w:pos="2267"/>
        <w:tab w:val="right" w:pos="1814"/>
      </w:tabs>
      <w:kinsoku/>
      <w:spacing w:before="80"/>
      <w:ind w:left="1985" w:right="1985" w:hanging="1985"/>
    </w:pPr>
    <w:rPr>
      <w:rFonts w:ascii="Verdana" w:hAnsi="Verdana" w:cs="Simplified Arabic"/>
      <w:sz w:val="19"/>
      <w:szCs w:val="26"/>
      <w:lang w:eastAsia="zh-CN" w:bidi="ar-EG"/>
    </w:rPr>
  </w:style>
  <w:style w:type="paragraph" w:customStyle="1" w:styleId="FigureNotitle">
    <w:name w:val="Figure_No &amp; title"/>
    <w:basedOn w:val="Normal"/>
    <w:next w:val="Normal"/>
    <w:uiPriority w:val="99"/>
    <w:qFormat/>
    <w:rsid w:val="00D37B90"/>
    <w:pPr>
      <w:keepLines/>
      <w:tabs>
        <w:tab w:val="clear" w:pos="567"/>
        <w:tab w:val="clear" w:pos="1133"/>
        <w:tab w:val="clear" w:pos="1700"/>
        <w:tab w:val="clear" w:pos="2267"/>
      </w:tabs>
      <w:kinsoku/>
      <w:spacing w:before="240" w:after="120"/>
      <w:jc w:val="center"/>
    </w:pPr>
    <w:rPr>
      <w:rFonts w:ascii="Verdana Bold" w:eastAsia="Batang" w:hAnsi="Verdana Bold" w:cs="Simplified Arabic"/>
      <w:b/>
      <w:bCs/>
      <w:sz w:val="19"/>
      <w:szCs w:val="26"/>
      <w:lang w:eastAsia="zh-CN" w:bidi="ar-EG"/>
    </w:rPr>
  </w:style>
  <w:style w:type="paragraph" w:customStyle="1" w:styleId="FigureNoBR">
    <w:name w:val="Figure_No_BR"/>
    <w:basedOn w:val="Normal"/>
    <w:next w:val="Normal"/>
    <w:uiPriority w:val="99"/>
    <w:rsid w:val="00D37B90"/>
    <w:pPr>
      <w:keepNext/>
      <w:keepLines/>
      <w:tabs>
        <w:tab w:val="clear" w:pos="567"/>
        <w:tab w:val="clear" w:pos="1133"/>
        <w:tab w:val="clear" w:pos="1700"/>
        <w:tab w:val="clear" w:pos="2267"/>
      </w:tabs>
      <w:kinsoku/>
      <w:spacing w:before="480" w:after="120"/>
      <w:jc w:val="center"/>
    </w:pPr>
    <w:rPr>
      <w:rFonts w:ascii="Verdana" w:eastAsia="Batang" w:hAnsi="Verdana" w:cs="Simplified Arabic"/>
      <w:caps/>
      <w:sz w:val="19"/>
      <w:szCs w:val="26"/>
      <w:lang w:eastAsia="zh-CN" w:bidi="ar-EG"/>
    </w:rPr>
  </w:style>
  <w:style w:type="paragraph" w:customStyle="1" w:styleId="FiguretitleBR">
    <w:name w:val="Figure_title_BR"/>
    <w:basedOn w:val="Normal"/>
    <w:next w:val="Normal"/>
    <w:uiPriority w:val="99"/>
    <w:rsid w:val="00D37B90"/>
    <w:pPr>
      <w:keepLines/>
      <w:tabs>
        <w:tab w:val="clear" w:pos="567"/>
        <w:tab w:val="clear" w:pos="1133"/>
        <w:tab w:val="clear" w:pos="1700"/>
        <w:tab w:val="clear" w:pos="2267"/>
      </w:tabs>
      <w:kinsoku/>
      <w:spacing w:after="480"/>
      <w:jc w:val="center"/>
    </w:pPr>
    <w:rPr>
      <w:rFonts w:ascii="Verdana" w:eastAsia="Batang" w:hAnsi="Verdana" w:cs="Simplified Arabic"/>
      <w:b/>
      <w:sz w:val="19"/>
      <w:szCs w:val="26"/>
      <w:lang w:eastAsia="zh-CN" w:bidi="ar-EG"/>
    </w:rPr>
  </w:style>
  <w:style w:type="paragraph" w:customStyle="1" w:styleId="Figurewithouttitle">
    <w:name w:val="Figure_without_title"/>
    <w:basedOn w:val="Normal"/>
    <w:next w:val="Normal"/>
    <w:uiPriority w:val="99"/>
    <w:rsid w:val="00D37B90"/>
    <w:pPr>
      <w:keepLines/>
      <w:tabs>
        <w:tab w:val="clear" w:pos="567"/>
        <w:tab w:val="clear" w:pos="1133"/>
        <w:tab w:val="clear" w:pos="1700"/>
        <w:tab w:val="clear" w:pos="2267"/>
      </w:tabs>
      <w:kinsoku/>
      <w:spacing w:before="240" w:after="120"/>
      <w:jc w:val="center"/>
    </w:pPr>
    <w:rPr>
      <w:rFonts w:ascii="Verdana" w:eastAsia="Batang" w:hAnsi="Verdana" w:cs="Simplified Arabic"/>
      <w:sz w:val="19"/>
      <w:szCs w:val="26"/>
      <w:lang w:eastAsia="zh-CN" w:bidi="ar-EG"/>
    </w:rPr>
  </w:style>
  <w:style w:type="paragraph" w:customStyle="1" w:styleId="FooterQP">
    <w:name w:val="Footer_QP"/>
    <w:basedOn w:val="Normal"/>
    <w:uiPriority w:val="99"/>
    <w:rsid w:val="00D37B90"/>
    <w:pPr>
      <w:tabs>
        <w:tab w:val="clear" w:pos="567"/>
        <w:tab w:val="clear" w:pos="1133"/>
        <w:tab w:val="clear" w:pos="1700"/>
        <w:tab w:val="clear" w:pos="2267"/>
        <w:tab w:val="left" w:pos="907"/>
        <w:tab w:val="right" w:pos="8789"/>
        <w:tab w:val="right" w:pos="9639"/>
      </w:tabs>
      <w:kinsoku/>
      <w:spacing w:before="0"/>
    </w:pPr>
    <w:rPr>
      <w:rFonts w:ascii="Verdana" w:hAnsi="Verdana" w:cs="Simplified Arabic"/>
      <w:b/>
      <w:sz w:val="19"/>
      <w:szCs w:val="26"/>
      <w:lang w:eastAsia="zh-CN" w:bidi="ar-EG"/>
    </w:rPr>
  </w:style>
  <w:style w:type="paragraph" w:customStyle="1" w:styleId="Formal">
    <w:name w:val="Formal"/>
    <w:basedOn w:val="Normal"/>
    <w:uiPriority w:val="99"/>
    <w:rsid w:val="00D37B90"/>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pPr>
    <w:rPr>
      <w:rFonts w:ascii="Verdana" w:hAnsi="Verdana" w:cs="Simplified Arabic"/>
      <w:b/>
      <w:sz w:val="19"/>
      <w:szCs w:val="26"/>
      <w:lang w:eastAsia="zh-CN" w:bidi="ar-EG"/>
    </w:rPr>
  </w:style>
  <w:style w:type="paragraph" w:customStyle="1" w:styleId="Normalaftertitle0">
    <w:name w:val="Normal_after_title"/>
    <w:basedOn w:val="Normal"/>
    <w:next w:val="Normal"/>
    <w:uiPriority w:val="99"/>
    <w:rsid w:val="00D37B90"/>
    <w:pPr>
      <w:tabs>
        <w:tab w:val="clear" w:pos="567"/>
        <w:tab w:val="clear" w:pos="1133"/>
        <w:tab w:val="clear" w:pos="1700"/>
        <w:tab w:val="clear" w:pos="2267"/>
      </w:tabs>
      <w:kinsoku/>
      <w:spacing w:before="360"/>
    </w:pPr>
    <w:rPr>
      <w:rFonts w:ascii="Verdana" w:hAnsi="Verdana" w:cs="Simplified Arabic"/>
      <w:sz w:val="19"/>
      <w:szCs w:val="26"/>
      <w:lang w:eastAsia="zh-CN" w:bidi="ar-EG"/>
    </w:rPr>
  </w:style>
  <w:style w:type="paragraph" w:customStyle="1" w:styleId="PartNo">
    <w:name w:val="Part_No"/>
    <w:basedOn w:val="Normal"/>
    <w:next w:val="Normal"/>
    <w:uiPriority w:val="99"/>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Parttitle1">
    <w:name w:val="Part_title"/>
    <w:basedOn w:val="Normal"/>
    <w:next w:val="Normal"/>
    <w:uiPriority w:val="99"/>
    <w:rsid w:val="00D37B90"/>
    <w:pPr>
      <w:keepNext/>
      <w:keepLines/>
      <w:tabs>
        <w:tab w:val="clear" w:pos="567"/>
        <w:tab w:val="clear" w:pos="1133"/>
        <w:tab w:val="clear" w:pos="1700"/>
        <w:tab w:val="clear" w:pos="2267"/>
      </w:tabs>
      <w:kinsoku/>
      <w:spacing w:before="240" w:after="280"/>
      <w:jc w:val="center"/>
    </w:pPr>
    <w:rPr>
      <w:rFonts w:ascii="Times New Roman Bold" w:hAnsi="Times New Roman Bold" w:cs="Simplified Arabic"/>
      <w:b/>
      <w:bCs/>
      <w:sz w:val="28"/>
      <w:szCs w:val="40"/>
      <w:lang w:eastAsia="zh-CN" w:bidi="ar-EG"/>
    </w:rPr>
  </w:style>
  <w:style w:type="paragraph" w:customStyle="1" w:styleId="RecNo">
    <w:name w:val="Rec_No"/>
    <w:basedOn w:val="Normal"/>
    <w:next w:val="Normal"/>
    <w:uiPriority w:val="99"/>
    <w:rsid w:val="00D37B90"/>
    <w:pPr>
      <w:keepNext/>
      <w:keepLines/>
      <w:tabs>
        <w:tab w:val="clear" w:pos="567"/>
        <w:tab w:val="clear" w:pos="1133"/>
        <w:tab w:val="clear" w:pos="1700"/>
        <w:tab w:val="clear" w:pos="2267"/>
      </w:tabs>
      <w:kinsoku/>
      <w:spacing w:before="0"/>
    </w:pPr>
    <w:rPr>
      <w:rFonts w:ascii="Times New Roman Bold" w:hAnsi="Times New Roman Bold" w:cs="Simplified Arabic"/>
      <w:b/>
      <w:sz w:val="28"/>
      <w:szCs w:val="40"/>
      <w:lang w:eastAsia="zh-CN" w:bidi="ar-EG"/>
    </w:rPr>
  </w:style>
  <w:style w:type="paragraph" w:customStyle="1" w:styleId="RecNoBR">
    <w:name w:val="Rec_No_BR"/>
    <w:basedOn w:val="Normal"/>
    <w:next w:val="Normal"/>
    <w:uiPriority w:val="99"/>
    <w:rsid w:val="00D37B90"/>
    <w:pPr>
      <w:keepNext/>
      <w:keepLines/>
      <w:tabs>
        <w:tab w:val="clear" w:pos="567"/>
        <w:tab w:val="clear" w:pos="1133"/>
        <w:tab w:val="clear" w:pos="1700"/>
        <w:tab w:val="clear" w:pos="2267"/>
      </w:tabs>
      <w:kinsoku/>
      <w:spacing w:before="480"/>
      <w:jc w:val="center"/>
    </w:pPr>
    <w:rPr>
      <w:rFonts w:ascii="Verdana" w:hAnsi="Verdana" w:cs="Simplified Arabic"/>
      <w:caps/>
      <w:sz w:val="28"/>
      <w:szCs w:val="40"/>
      <w:lang w:eastAsia="zh-CN" w:bidi="ar-EG"/>
    </w:rPr>
  </w:style>
  <w:style w:type="paragraph" w:customStyle="1" w:styleId="QuestionNoBR">
    <w:name w:val="Question_No_BR"/>
    <w:basedOn w:val="RecNoBR"/>
    <w:next w:val="Normal"/>
    <w:uiPriority w:val="99"/>
    <w:rsid w:val="00D37B90"/>
  </w:style>
  <w:style w:type="paragraph" w:customStyle="1" w:styleId="Rectitle0">
    <w:name w:val="Rec_title"/>
    <w:basedOn w:val="Normal"/>
    <w:next w:val="Normalaftertitle0"/>
    <w:uiPriority w:val="99"/>
    <w:rsid w:val="00D37B90"/>
    <w:pPr>
      <w:keepNext/>
      <w:keepLines/>
      <w:tabs>
        <w:tab w:val="clear" w:pos="567"/>
        <w:tab w:val="clear" w:pos="1133"/>
        <w:tab w:val="clear" w:pos="1700"/>
        <w:tab w:val="clear" w:pos="2267"/>
      </w:tabs>
      <w:kinsoku/>
      <w:spacing w:before="360"/>
      <w:jc w:val="center"/>
    </w:pPr>
    <w:rPr>
      <w:rFonts w:ascii="Times New Roman Bold" w:hAnsi="Times New Roman Bold" w:cs="Simplified Arabic"/>
      <w:b/>
      <w:sz w:val="28"/>
      <w:szCs w:val="40"/>
      <w:lang w:eastAsia="zh-CN" w:bidi="ar-EG"/>
    </w:rPr>
  </w:style>
  <w:style w:type="paragraph" w:customStyle="1" w:styleId="RepNoBR">
    <w:name w:val="Rep_No_BR"/>
    <w:basedOn w:val="RecNoBR"/>
    <w:next w:val="Normal"/>
    <w:uiPriority w:val="99"/>
    <w:rsid w:val="00D37B90"/>
  </w:style>
  <w:style w:type="paragraph" w:customStyle="1" w:styleId="Reptitle0">
    <w:name w:val="Rep_title"/>
    <w:basedOn w:val="Rectitle0"/>
    <w:next w:val="Repref"/>
    <w:uiPriority w:val="99"/>
    <w:rsid w:val="00D37B90"/>
  </w:style>
  <w:style w:type="paragraph" w:customStyle="1" w:styleId="ResNoBR">
    <w:name w:val="Res_No_BR"/>
    <w:basedOn w:val="RecNoBR"/>
    <w:next w:val="Normal"/>
    <w:uiPriority w:val="99"/>
    <w:rsid w:val="00D37B90"/>
  </w:style>
  <w:style w:type="paragraph" w:customStyle="1" w:styleId="Section1">
    <w:name w:val="Section_1"/>
    <w:basedOn w:val="Normal"/>
    <w:next w:val="Normal"/>
    <w:uiPriority w:val="99"/>
    <w:rsid w:val="00D37B90"/>
    <w:pPr>
      <w:tabs>
        <w:tab w:val="clear" w:pos="567"/>
        <w:tab w:val="clear" w:pos="1133"/>
        <w:tab w:val="clear" w:pos="1700"/>
        <w:tab w:val="clear" w:pos="2267"/>
      </w:tabs>
      <w:kinsoku/>
      <w:spacing w:before="624"/>
      <w:jc w:val="center"/>
    </w:pPr>
    <w:rPr>
      <w:rFonts w:ascii="Verdana" w:hAnsi="Verdana" w:cs="Simplified Arabic"/>
      <w:b/>
      <w:sz w:val="19"/>
      <w:szCs w:val="26"/>
      <w:lang w:eastAsia="zh-CN" w:bidi="ar-EG"/>
    </w:rPr>
  </w:style>
  <w:style w:type="paragraph" w:customStyle="1" w:styleId="Section2">
    <w:name w:val="Section_2"/>
    <w:basedOn w:val="Normal"/>
    <w:next w:val="Normal"/>
    <w:uiPriority w:val="99"/>
    <w:rsid w:val="00D37B90"/>
    <w:pPr>
      <w:tabs>
        <w:tab w:val="clear" w:pos="567"/>
        <w:tab w:val="clear" w:pos="1133"/>
        <w:tab w:val="clear" w:pos="1700"/>
        <w:tab w:val="clear" w:pos="2267"/>
      </w:tabs>
      <w:kinsoku/>
      <w:spacing w:before="240"/>
      <w:jc w:val="center"/>
    </w:pPr>
    <w:rPr>
      <w:rFonts w:ascii="Verdana" w:hAnsi="Verdana" w:cs="Simplified Arabic"/>
      <w:i/>
      <w:sz w:val="19"/>
      <w:szCs w:val="26"/>
      <w:lang w:eastAsia="zh-CN" w:bidi="ar-EG"/>
    </w:rPr>
  </w:style>
  <w:style w:type="paragraph" w:customStyle="1" w:styleId="SectionNo">
    <w:name w:val="Section_No"/>
    <w:basedOn w:val="Normal"/>
    <w:next w:val="Normal"/>
    <w:uiPriority w:val="99"/>
    <w:rsid w:val="00D37B90"/>
    <w:pPr>
      <w:keepNext/>
      <w:keepLines/>
      <w:tabs>
        <w:tab w:val="clear" w:pos="567"/>
        <w:tab w:val="clear" w:pos="1133"/>
        <w:tab w:val="clear" w:pos="1700"/>
        <w:tab w:val="clear" w:pos="2267"/>
      </w:tabs>
      <w:kinsoku/>
      <w:spacing w:before="480" w:after="80"/>
      <w:jc w:val="center"/>
    </w:pPr>
    <w:rPr>
      <w:rFonts w:ascii="Verdana" w:hAnsi="Verdana" w:cs="Simplified Arabic"/>
      <w:caps/>
      <w:sz w:val="28"/>
      <w:szCs w:val="40"/>
      <w:lang w:eastAsia="zh-CN" w:bidi="ar-EG"/>
    </w:rPr>
  </w:style>
  <w:style w:type="paragraph" w:customStyle="1" w:styleId="Sectiontitle">
    <w:name w:val="Section_title"/>
    <w:basedOn w:val="Normal"/>
    <w:next w:val="Normalaftertitle0"/>
    <w:uiPriority w:val="99"/>
    <w:rsid w:val="00D37B90"/>
    <w:pPr>
      <w:keepNext/>
      <w:keepLines/>
      <w:tabs>
        <w:tab w:val="clear" w:pos="567"/>
        <w:tab w:val="clear" w:pos="1133"/>
        <w:tab w:val="clear" w:pos="1700"/>
        <w:tab w:val="clear" w:pos="2267"/>
      </w:tabs>
      <w:kinsoku/>
      <w:spacing w:before="480" w:after="280"/>
      <w:jc w:val="center"/>
    </w:pPr>
    <w:rPr>
      <w:rFonts w:ascii="Times New Roman Bold" w:hAnsi="Times New Roman Bold" w:cs="Simplified Arabic"/>
      <w:b/>
      <w:sz w:val="28"/>
      <w:szCs w:val="40"/>
      <w:lang w:eastAsia="zh-CN" w:bidi="ar-EG"/>
    </w:rPr>
  </w:style>
  <w:style w:type="paragraph" w:customStyle="1" w:styleId="SpecialFooter">
    <w:name w:val="Special Footer"/>
    <w:basedOn w:val="Footer"/>
    <w:uiPriority w:val="99"/>
    <w:rsid w:val="00D37B90"/>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spacing w:line="168" w:lineRule="auto"/>
      <w:ind w:left="0"/>
    </w:pPr>
    <w:rPr>
      <w:rFonts w:ascii="Verdana" w:eastAsia="Batang" w:hAnsi="Verdana" w:cs="Simplified Arabic"/>
      <w:sz w:val="16"/>
      <w:szCs w:val="22"/>
      <w:lang w:eastAsia="zh-CN" w:bidi="ar-EG"/>
    </w:rPr>
  </w:style>
  <w:style w:type="paragraph" w:customStyle="1" w:styleId="Tablehead1">
    <w:name w:val="Table_head"/>
    <w:basedOn w:val="Normal"/>
    <w:next w:val="Normal"/>
    <w:uiPriority w:val="99"/>
    <w:rsid w:val="00D37B90"/>
    <w:pPr>
      <w:keepNext/>
      <w:tabs>
        <w:tab w:val="clear" w:pos="1133"/>
        <w:tab w:val="clear" w:pos="1700"/>
        <w:tab w:val="clear" w:pos="2267"/>
        <w:tab w:val="left" w:pos="284"/>
        <w:tab w:val="left" w:pos="851"/>
        <w:tab w:val="left" w:pos="1134"/>
        <w:tab w:val="left" w:pos="1418"/>
        <w:tab w:val="left" w:pos="1701"/>
        <w:tab w:val="left" w:pos="2268"/>
        <w:tab w:val="left" w:pos="2552"/>
        <w:tab w:val="left" w:pos="2835"/>
        <w:tab w:val="left" w:pos="3119"/>
        <w:tab w:val="left" w:pos="3402"/>
        <w:tab w:val="left" w:pos="3686"/>
        <w:tab w:val="left" w:pos="3969"/>
      </w:tabs>
      <w:kinsoku/>
      <w:spacing w:before="80" w:after="80"/>
      <w:jc w:val="center"/>
    </w:pPr>
    <w:rPr>
      <w:rFonts w:ascii="Verdana" w:hAnsi="Verdana" w:cs="Simplified Arabic"/>
      <w:bCs/>
      <w:sz w:val="19"/>
      <w:szCs w:val="26"/>
      <w:lang w:eastAsia="zh-CN" w:bidi="ar-EG"/>
    </w:rPr>
  </w:style>
  <w:style w:type="paragraph" w:customStyle="1" w:styleId="TableNoBR">
    <w:name w:val="Table_No_BR"/>
    <w:basedOn w:val="Normal"/>
    <w:next w:val="Normal"/>
    <w:uiPriority w:val="99"/>
    <w:rsid w:val="00D37B90"/>
    <w:pPr>
      <w:keepNext/>
      <w:tabs>
        <w:tab w:val="clear" w:pos="567"/>
        <w:tab w:val="clear" w:pos="1133"/>
        <w:tab w:val="clear" w:pos="1700"/>
        <w:tab w:val="clear" w:pos="2267"/>
      </w:tabs>
      <w:kinsoku/>
      <w:spacing w:before="560" w:after="120"/>
      <w:jc w:val="center"/>
    </w:pPr>
    <w:rPr>
      <w:rFonts w:ascii="Verdana" w:hAnsi="Verdana" w:cs="Simplified Arabic"/>
      <w:caps/>
      <w:sz w:val="19"/>
      <w:szCs w:val="26"/>
      <w:lang w:eastAsia="zh-CN" w:bidi="ar-EG"/>
    </w:rPr>
  </w:style>
  <w:style w:type="paragraph" w:customStyle="1" w:styleId="TabletitleBR">
    <w:name w:val="Table_title_BR"/>
    <w:basedOn w:val="Normal"/>
    <w:next w:val="Tablehead1"/>
    <w:uiPriority w:val="99"/>
    <w:rsid w:val="00D37B90"/>
    <w:pPr>
      <w:keepNext/>
      <w:keepLines/>
      <w:tabs>
        <w:tab w:val="clear" w:pos="567"/>
        <w:tab w:val="clear" w:pos="1133"/>
        <w:tab w:val="clear" w:pos="1700"/>
        <w:tab w:val="clear" w:pos="2267"/>
      </w:tabs>
      <w:kinsoku/>
      <w:spacing w:before="0" w:after="120"/>
      <w:jc w:val="center"/>
    </w:pPr>
    <w:rPr>
      <w:rFonts w:ascii="Verdana" w:hAnsi="Verdana" w:cs="Simplified Arabic"/>
      <w:b/>
      <w:sz w:val="19"/>
      <w:szCs w:val="26"/>
      <w:lang w:eastAsia="zh-CN" w:bidi="ar-EG"/>
    </w:rPr>
  </w:style>
  <w:style w:type="paragraph" w:customStyle="1" w:styleId="Title1">
    <w:name w:val="Title 1"/>
    <w:basedOn w:val="TOC1"/>
    <w:next w:val="Normal"/>
    <w:uiPriority w:val="99"/>
    <w:rsid w:val="00D37B90"/>
    <w:pPr>
      <w:tabs>
        <w:tab w:val="clear" w:pos="567"/>
        <w:tab w:val="clear" w:pos="8505"/>
        <w:tab w:val="clear" w:pos="8929"/>
        <w:tab w:val="left" w:leader="dot" w:pos="8930"/>
        <w:tab w:val="left" w:pos="9071"/>
      </w:tabs>
      <w:kinsoku/>
      <w:ind w:left="567" w:right="737" w:hanging="567"/>
      <w:jc w:val="both"/>
    </w:pPr>
    <w:rPr>
      <w:rFonts w:ascii="Verdana Bold" w:eastAsia="SimSun" w:hAnsi="Verdana Bold" w:cs="Simplified Arabic"/>
      <w:sz w:val="19"/>
      <w:szCs w:val="26"/>
    </w:rPr>
  </w:style>
  <w:style w:type="paragraph" w:customStyle="1" w:styleId="Title2">
    <w:name w:val="Title 2"/>
    <w:basedOn w:val="TOC2"/>
    <w:next w:val="Normal"/>
    <w:uiPriority w:val="99"/>
    <w:rsid w:val="00D37B90"/>
    <w:pPr>
      <w:tabs>
        <w:tab w:val="clear" w:pos="567"/>
        <w:tab w:val="clear" w:pos="1134"/>
        <w:tab w:val="clear" w:pos="8505"/>
        <w:tab w:val="clear" w:pos="8929"/>
        <w:tab w:val="right" w:leader="dot" w:pos="8789"/>
        <w:tab w:val="left" w:pos="9072"/>
      </w:tabs>
      <w:kinsoku/>
      <w:spacing w:before="120"/>
      <w:ind w:left="1133" w:right="737" w:hanging="567"/>
      <w:jc w:val="both"/>
    </w:pPr>
    <w:rPr>
      <w:rFonts w:ascii="Verdana" w:hAnsi="Verdana" w:cs="Simplified Arabic"/>
      <w:sz w:val="19"/>
      <w:szCs w:val="26"/>
      <w:lang w:eastAsia="zh-CN" w:bidi="ar-EG"/>
    </w:rPr>
  </w:style>
  <w:style w:type="paragraph" w:customStyle="1" w:styleId="Title3">
    <w:name w:val="Title 3"/>
    <w:basedOn w:val="TOC3"/>
    <w:next w:val="Normal"/>
    <w:uiPriority w:val="99"/>
    <w:rsid w:val="00D37B90"/>
    <w:pPr>
      <w:tabs>
        <w:tab w:val="clear" w:pos="567"/>
        <w:tab w:val="clear" w:pos="1133"/>
        <w:tab w:val="clear" w:pos="1700"/>
        <w:tab w:val="clear" w:pos="8505"/>
        <w:tab w:val="clear" w:pos="8929"/>
        <w:tab w:val="right" w:leader="dot" w:pos="8789"/>
        <w:tab w:val="left" w:pos="9072"/>
        <w:tab w:val="left" w:pos="9214"/>
      </w:tabs>
      <w:kinsoku/>
      <w:spacing w:before="0"/>
      <w:ind w:left="2382" w:right="737"/>
    </w:pPr>
    <w:rPr>
      <w:rFonts w:ascii="Verdana" w:hAnsi="Verdana" w:cs="Simplified Arabic"/>
      <w:color w:val="auto"/>
      <w:sz w:val="19"/>
      <w:szCs w:val="26"/>
      <w:lang w:val="en-GB" w:eastAsia="zh-CN"/>
    </w:rPr>
  </w:style>
  <w:style w:type="paragraph" w:customStyle="1" w:styleId="Title4">
    <w:name w:val="Title 4"/>
    <w:basedOn w:val="Title3"/>
    <w:next w:val="Heading1"/>
    <w:uiPriority w:val="99"/>
    <w:rsid w:val="00D37B90"/>
    <w:rPr>
      <w:b/>
    </w:rPr>
  </w:style>
  <w:style w:type="paragraph" w:customStyle="1" w:styleId="CEOAgendaItemIndent">
    <w:name w:val="CEO_AgendaItemIndent"/>
    <w:basedOn w:val="Normal"/>
    <w:uiPriority w:val="99"/>
    <w:rsid w:val="00D37B90"/>
    <w:pPr>
      <w:keepNext/>
      <w:tabs>
        <w:tab w:val="clear" w:pos="567"/>
        <w:tab w:val="clear" w:pos="1133"/>
        <w:tab w:val="clear" w:pos="1700"/>
        <w:tab w:val="clear" w:pos="2267"/>
      </w:tabs>
      <w:kinsoku/>
    </w:pPr>
    <w:rPr>
      <w:rFonts w:ascii="Verdana" w:hAnsi="Verdana" w:cs="Simplified Arabic"/>
      <w:i/>
      <w:iCs/>
      <w:sz w:val="19"/>
      <w:szCs w:val="26"/>
      <w:lang w:eastAsia="zh-CN" w:bidi="ar-EG"/>
    </w:rPr>
  </w:style>
  <w:style w:type="character" w:styleId="CommentReference">
    <w:name w:val="annotation reference"/>
    <w:uiPriority w:val="99"/>
    <w:rsid w:val="00D37B90"/>
    <w:rPr>
      <w:rFonts w:cs="Times New Roman"/>
      <w:sz w:val="16"/>
      <w:szCs w:val="16"/>
    </w:rPr>
  </w:style>
  <w:style w:type="paragraph" w:styleId="CommentText">
    <w:name w:val="annotation text"/>
    <w:basedOn w:val="Normal"/>
    <w:link w:val="CommentTextChar"/>
    <w:uiPriority w:val="99"/>
    <w:rsid w:val="00D37B9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uiPriority w:val="99"/>
    <w:rsid w:val="00D37B90"/>
    <w:rPr>
      <w:rFonts w:ascii="Verdana" w:eastAsia="SimHei" w:hAnsi="Verdana" w:cs="Simplified Arabic"/>
      <w:bCs/>
    </w:rPr>
  </w:style>
  <w:style w:type="paragraph" w:styleId="Caption">
    <w:name w:val="caption"/>
    <w:basedOn w:val="Normal"/>
    <w:next w:val="Normal"/>
    <w:uiPriority w:val="99"/>
    <w:qFormat/>
    <w:rsid w:val="00D37B90"/>
    <w:pPr>
      <w:tabs>
        <w:tab w:val="clear" w:pos="567"/>
        <w:tab w:val="clear" w:pos="1133"/>
        <w:tab w:val="clear" w:pos="1700"/>
        <w:tab w:val="clear" w:pos="2267"/>
      </w:tabs>
      <w:kinsoku/>
      <w:overflowPunct w:val="0"/>
      <w:autoSpaceDE w:val="0"/>
      <w:autoSpaceDN w:val="0"/>
      <w:bidi w:val="0"/>
      <w:adjustRightInd w:val="0"/>
      <w:spacing w:after="120" w:line="240" w:lineRule="auto"/>
      <w:jc w:val="left"/>
      <w:textAlignment w:val="baseline"/>
    </w:pPr>
    <w:rPr>
      <w:rFonts w:ascii="Times New Roman" w:eastAsia="Batang" w:hAnsi="Times New Roman" w:cs="Times New Roman"/>
      <w:b/>
      <w:sz w:val="20"/>
      <w:szCs w:val="20"/>
      <w:lang w:eastAsia="ko-KR"/>
    </w:rPr>
  </w:style>
  <w:style w:type="table" w:customStyle="1" w:styleId="TableGrid2">
    <w:name w:val="Table Grid2"/>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37B9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2785B"/>
  </w:style>
  <w:style w:type="numbering" w:customStyle="1" w:styleId="HIPTitlesHierarchy1">
    <w:name w:val="HIP Titles Hierarchy1"/>
    <w:rsid w:val="00F2785B"/>
    <w:pPr>
      <w:numPr>
        <w:numId w:val="3"/>
      </w:numPr>
    </w:pPr>
  </w:style>
  <w:style w:type="numbering" w:customStyle="1" w:styleId="HIPBulletsHierarchy1">
    <w:name w:val="HIP Bullets Hierarchy1"/>
    <w:rsid w:val="00F2785B"/>
    <w:pPr>
      <w:numPr>
        <w:numId w:val="2"/>
      </w:numPr>
    </w:pPr>
  </w:style>
  <w:style w:type="paragraph" w:customStyle="1" w:styleId="Acknowledgements">
    <w:name w:val="Acknowledgements"/>
    <w:basedOn w:val="Figure"/>
    <w:link w:val="AcknowledgementsChar"/>
    <w:qFormat/>
    <w:rsid w:val="00F2785B"/>
    <w:pPr>
      <w:keepNext/>
      <w:tabs>
        <w:tab w:val="clear" w:pos="567"/>
        <w:tab w:val="clear" w:pos="1133"/>
        <w:tab w:val="clear" w:pos="1700"/>
        <w:tab w:val="clear" w:pos="2267"/>
      </w:tabs>
      <w:kinsoku/>
      <w:bidi w:val="0"/>
      <w:spacing w:before="0" w:after="0" w:line="240" w:lineRule="auto"/>
      <w:ind w:left="0" w:firstLine="0"/>
      <w:jc w:val="both"/>
    </w:pPr>
    <w:rPr>
      <w:rFonts w:cs="Arial"/>
      <w:szCs w:val="22"/>
      <w:lang w:val="en-GB"/>
    </w:rPr>
  </w:style>
  <w:style w:type="character" w:customStyle="1" w:styleId="AcknowledgementsChar">
    <w:name w:val="Acknowledgements Char"/>
    <w:link w:val="Acknowledgements"/>
    <w:rsid w:val="00F2785B"/>
    <w:rPr>
      <w:rFonts w:ascii="Calibri" w:hAnsi="Calibri" w:cs="Arial"/>
      <w:bCs/>
      <w:color w:val="000000"/>
      <w:sz w:val="21"/>
      <w:szCs w:val="22"/>
      <w:shd w:val="clear" w:color="auto" w:fill="E8F8FD"/>
      <w:lang w:val="en-GB" w:eastAsia="fr-FR"/>
    </w:rPr>
  </w:style>
  <w:style w:type="table" w:styleId="Table3Deffects2">
    <w:name w:val="Table 3D effects 2"/>
    <w:basedOn w:val="TableNormal"/>
    <w:uiPriority w:val="99"/>
    <w:unhideWhenUsed/>
    <w:rsid w:val="00F2785B"/>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2785B"/>
    <w:rPr>
      <w:rFonts w:ascii="Verdana" w:eastAsia="SimHei" w:hAnsi="Verdana" w:cs="Simplified Arabic"/>
      <w:sz w:val="19"/>
      <w:szCs w:val="19"/>
      <w:lang w:val="en-GB" w:eastAsia="en-US"/>
    </w:rPr>
  </w:style>
  <w:style w:type="paragraph" w:customStyle="1" w:styleId="CEORequiredAction">
    <w:name w:val="CEO_RequiredAction"/>
    <w:basedOn w:val="CEONormal"/>
    <w:rsid w:val="00F2785B"/>
    <w:pPr>
      <w:framePr w:hSpace="0" w:wrap="auto" w:hAnchor="text" w:yAlign="inline"/>
      <w:tabs>
        <w:tab w:val="left" w:pos="1928"/>
      </w:tabs>
      <w:bidi w:val="0"/>
      <w:spacing w:after="0" w:line="240" w:lineRule="auto"/>
      <w:jc w:val="left"/>
    </w:pPr>
    <w:rPr>
      <w:rFonts w:eastAsia="SimSun" w:cs="Times New Roman"/>
      <w:b/>
      <w:szCs w:val="19"/>
      <w:lang w:val="en-GB" w:eastAsia="en-US" w:bidi="ar-SA"/>
    </w:rPr>
  </w:style>
  <w:style w:type="paragraph" w:customStyle="1" w:styleId="CEOAnnex">
    <w:name w:val="CEO_Annex"/>
    <w:basedOn w:val="CEOSignatureTitle"/>
    <w:rsid w:val="00F2785B"/>
    <w:pPr>
      <w:spacing w:before="1000"/>
    </w:pPr>
  </w:style>
  <w:style w:type="paragraph" w:customStyle="1" w:styleId="CEOEndashListNoIndent">
    <w:name w:val="CEO_EndashListNoIndent"/>
    <w:basedOn w:val="CEONormal"/>
    <w:rsid w:val="00F2785B"/>
    <w:pPr>
      <w:framePr w:hSpace="0" w:wrap="auto" w:hAnchor="text" w:yAlign="inline"/>
      <w:bidi w:val="0"/>
      <w:spacing w:after="0" w:line="240" w:lineRule="auto"/>
      <w:jc w:val="left"/>
    </w:pPr>
    <w:rPr>
      <w:rFonts w:eastAsia="SimSun" w:cs="Times New Roman"/>
      <w:szCs w:val="19"/>
      <w:lang w:val="en-GB" w:eastAsia="en-US" w:bidi="ar-SA"/>
    </w:rPr>
  </w:style>
  <w:style w:type="paragraph" w:customStyle="1" w:styleId="CEOFootnoteText">
    <w:name w:val="CEO_Footnote Text"/>
    <w:basedOn w:val="CEONormal"/>
    <w:rsid w:val="00F2785B"/>
    <w:pPr>
      <w:framePr w:hSpace="0" w:wrap="auto" w:hAnchor="text" w:yAlign="inline"/>
      <w:tabs>
        <w:tab w:val="left" w:pos="357"/>
      </w:tabs>
      <w:bidi w:val="0"/>
      <w:spacing w:before="0" w:after="0" w:line="240" w:lineRule="auto"/>
      <w:jc w:val="left"/>
    </w:pPr>
    <w:rPr>
      <w:rFonts w:eastAsia="SimSun" w:cs="Times New Roman"/>
      <w:szCs w:val="19"/>
      <w:lang w:val="en-GB" w:eastAsia="en-US" w:bidi="ar-SA"/>
    </w:rPr>
  </w:style>
  <w:style w:type="paragraph" w:customStyle="1" w:styleId="CEOHeading1-Numbered">
    <w:name w:val="CEO_Heading1-Numbered"/>
    <w:basedOn w:val="CEONormal"/>
    <w:rsid w:val="00F2785B"/>
    <w:pPr>
      <w:framePr w:hSpace="0" w:wrap="auto" w:hAnchor="text" w:yAlign="inline"/>
      <w:numPr>
        <w:numId w:val="7"/>
      </w:numPr>
      <w:pBdr>
        <w:bottom w:val="single" w:sz="12" w:space="1" w:color="808080"/>
      </w:pBdr>
      <w:tabs>
        <w:tab w:val="clear" w:pos="360"/>
      </w:tabs>
      <w:bidi w:val="0"/>
      <w:spacing w:after="0" w:line="240" w:lineRule="auto"/>
      <w:jc w:val="left"/>
    </w:pPr>
    <w:rPr>
      <w:rFonts w:eastAsia="SimSun" w:cs="Times New Roman"/>
      <w:b/>
      <w:bCs/>
      <w:color w:val="808080"/>
      <w:sz w:val="20"/>
      <w:szCs w:val="19"/>
      <w:lang w:val="en-GB" w:eastAsia="en-US" w:bidi="ar-SA"/>
    </w:rPr>
  </w:style>
  <w:style w:type="paragraph" w:customStyle="1" w:styleId="CEOHeading1">
    <w:name w:val="CEO_Heading1"/>
    <w:basedOn w:val="CEOHeading1-Numbered"/>
    <w:next w:val="CEONormal"/>
    <w:rsid w:val="00F2785B"/>
    <w:pPr>
      <w:numPr>
        <w:numId w:val="0"/>
      </w:numPr>
    </w:pPr>
    <w:rPr>
      <w:lang w:val="fr-CH"/>
    </w:rPr>
  </w:style>
  <w:style w:type="paragraph" w:customStyle="1" w:styleId="CEOIndent1-abc">
    <w:name w:val="CEO_Indent1-abc"/>
    <w:basedOn w:val="CEONormal"/>
    <w:rsid w:val="00F2785B"/>
    <w:pPr>
      <w:framePr w:hSpace="0" w:wrap="auto" w:hAnchor="text" w:yAlign="inline"/>
      <w:numPr>
        <w:numId w:val="8"/>
      </w:numPr>
      <w:tabs>
        <w:tab w:val="clear" w:pos="1494"/>
      </w:tabs>
      <w:bidi w:val="0"/>
      <w:spacing w:before="60" w:after="60" w:line="240" w:lineRule="auto"/>
      <w:ind w:left="0" w:right="709" w:firstLine="0"/>
      <w:jc w:val="left"/>
    </w:pPr>
    <w:rPr>
      <w:rFonts w:eastAsia="SimSun" w:cs="Times New Roman"/>
      <w:szCs w:val="19"/>
      <w:lang w:val="en-GB" w:eastAsia="en-US" w:bidi="ar-SA"/>
    </w:rPr>
  </w:style>
  <w:style w:type="paragraph" w:customStyle="1" w:styleId="CEOSignature">
    <w:name w:val="CEO_Signature"/>
    <w:basedOn w:val="CEONormal"/>
    <w:rsid w:val="00F2785B"/>
    <w:pPr>
      <w:framePr w:hSpace="0" w:wrap="auto" w:hAnchor="text" w:yAlign="inline"/>
      <w:bidi w:val="0"/>
      <w:spacing w:before="720" w:after="0" w:line="240" w:lineRule="auto"/>
      <w:jc w:val="left"/>
    </w:pPr>
    <w:rPr>
      <w:rFonts w:eastAsia="SimSun" w:cs="Times New Roman"/>
      <w:szCs w:val="19"/>
      <w:lang w:val="en-GB" w:eastAsia="en-US" w:bidi="ar-SA"/>
    </w:rPr>
  </w:style>
  <w:style w:type="paragraph" w:customStyle="1" w:styleId="CEOSummaryStartHere">
    <w:name w:val="CEO_Summary_StartHere"/>
    <w:rsid w:val="00F2785B"/>
    <w:pPr>
      <w:spacing w:before="120" w:after="120"/>
      <w:jc w:val="center"/>
    </w:pPr>
    <w:rPr>
      <w:rFonts w:ascii="Verdana" w:eastAsia="SimHei" w:hAnsi="Verdana" w:cs="Simplified Arabic"/>
      <w:bCs/>
      <w:sz w:val="16"/>
      <w:szCs w:val="16"/>
      <w:lang w:val="fr-FR"/>
    </w:rPr>
  </w:style>
  <w:style w:type="paragraph" w:customStyle="1" w:styleId="ASN1">
    <w:name w:val="ASN.1"/>
    <w:basedOn w:val="Normal"/>
    <w:rsid w:val="00F2785B"/>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eastAsia="SimHei" w:hAnsi="Courier New" w:cs="Simplified Arabic"/>
      <w:b/>
      <w:bCs/>
      <w:noProof/>
      <w:sz w:val="20"/>
      <w:lang w:val="fr-FR" w:eastAsia="zh-CN"/>
    </w:rPr>
  </w:style>
  <w:style w:type="character" w:customStyle="1" w:styleId="Tablefreq">
    <w:name w:val="Table_freq"/>
    <w:basedOn w:val="DefaultParagraphFont"/>
    <w:rsid w:val="00F2785B"/>
    <w:rPr>
      <w:rFonts w:ascii="Trebuchet MS" w:hAnsi="Trebuchet MS"/>
      <w:b/>
      <w:noProof w:val="0"/>
      <w:color w:val="auto"/>
      <w:lang w:val="en-GB"/>
    </w:rPr>
  </w:style>
  <w:style w:type="paragraph" w:styleId="ListNumber2">
    <w:name w:val="List Number 2"/>
    <w:basedOn w:val="Normal"/>
    <w:rsid w:val="00F2785B"/>
    <w:pPr>
      <w:tabs>
        <w:tab w:val="clear" w:pos="567"/>
        <w:tab w:val="clear" w:pos="1133"/>
        <w:tab w:val="clear" w:pos="1700"/>
        <w:tab w:val="clear" w:pos="2267"/>
        <w:tab w:val="num" w:pos="720"/>
      </w:tabs>
      <w:kinsoku/>
      <w:bidi w:val="0"/>
      <w:spacing w:before="0" w:line="240" w:lineRule="auto"/>
      <w:ind w:left="720" w:hanging="360"/>
      <w:jc w:val="left"/>
    </w:pPr>
    <w:rPr>
      <w:rFonts w:ascii="Times New Roman" w:eastAsia="Times New Roman" w:hAnsi="Times New Roman" w:cs="Times New Roman"/>
      <w:sz w:val="24"/>
      <w:szCs w:val="20"/>
      <w:lang w:eastAsia="en-US"/>
    </w:rPr>
  </w:style>
  <w:style w:type="paragraph" w:customStyle="1" w:styleId="TOC1FT">
    <w:name w:val="TOC 1FT"/>
    <w:basedOn w:val="TOC1"/>
    <w:uiPriority w:val="99"/>
    <w:semiHidden/>
    <w:qFormat/>
    <w:rsid w:val="00111C25"/>
    <w:pPr>
      <w:keepNext w:val="0"/>
      <w:keepLines w:val="0"/>
      <w:tabs>
        <w:tab w:val="clear" w:pos="567"/>
        <w:tab w:val="clear" w:pos="8505"/>
        <w:tab w:val="clear" w:pos="8929"/>
        <w:tab w:val="left" w:leader="dot" w:pos="8789"/>
        <w:tab w:val="left" w:pos="9191"/>
      </w:tabs>
      <w:kinsoku/>
      <w:spacing w:before="80"/>
      <w:ind w:left="1865" w:right="851" w:hanging="1865"/>
      <w:jc w:val="both"/>
    </w:pPr>
    <w:rPr>
      <w:rFonts w:ascii="Verdana" w:eastAsia="SimSun" w:hAnsi="Verdana" w:cs="Simplified Arabic"/>
      <w:b w:val="0"/>
      <w:bCs w:val="0"/>
      <w:sz w:val="19"/>
      <w:szCs w:val="26"/>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41967">
      <w:bodyDiv w:val="1"/>
      <w:marLeft w:val="0"/>
      <w:marRight w:val="0"/>
      <w:marTop w:val="0"/>
      <w:marBottom w:val="0"/>
      <w:divBdr>
        <w:top w:val="none" w:sz="0" w:space="0" w:color="auto"/>
        <w:left w:val="none" w:sz="0" w:space="0" w:color="auto"/>
        <w:bottom w:val="none" w:sz="0" w:space="0" w:color="auto"/>
        <w:right w:val="none" w:sz="0" w:space="0" w:color="auto"/>
      </w:divBdr>
    </w:div>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www.transfinite.com/papers/backhaul.pdf" TargetMode="External"/><Relationship Id="rId21" Type="http://schemas.openxmlformats.org/officeDocument/2006/relationships/image" Target="media/image6.png"/><Relationship Id="rId42" Type="http://schemas.openxmlformats.org/officeDocument/2006/relationships/image" Target="media/image18.emf"/><Relationship Id="rId47" Type="http://schemas.openxmlformats.org/officeDocument/2006/relationships/footer" Target="footer6.xml"/><Relationship Id="rId63"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68" Type="http://schemas.openxmlformats.org/officeDocument/2006/relationships/hyperlink" Target="http://www.itu.int/md/D10-SG02-C-0321" TargetMode="External"/><Relationship Id="rId84" Type="http://schemas.openxmlformats.org/officeDocument/2006/relationships/hyperlink" Target="http://www.itu.int/rec/R-REC-M.1581/en" TargetMode="External"/><Relationship Id="rId89" Type="http://schemas.openxmlformats.org/officeDocument/2006/relationships/hyperlink" Target="http://www.itu.int/rec/R-REC-M.1850/en" TargetMode="External"/><Relationship Id="rId112" Type="http://schemas.openxmlformats.org/officeDocument/2006/relationships/hyperlink" Target="http://www.itu.int/pub/R-HDB-57" TargetMode="External"/><Relationship Id="rId16" Type="http://schemas.openxmlformats.org/officeDocument/2006/relationships/header" Target="header4.xml"/><Relationship Id="rId107" Type="http://schemas.openxmlformats.org/officeDocument/2006/relationships/hyperlink" Target="http://www.broadbandcommission.org/Reports/Report_2_Executive_Summary.pdf" TargetMode="External"/><Relationship Id="rId11" Type="http://schemas.openxmlformats.org/officeDocument/2006/relationships/footer" Target="footer1.xml"/><Relationship Id="rId32" Type="http://schemas.openxmlformats.org/officeDocument/2006/relationships/package" Target="embeddings/Microsoft_Word_Document4.docx"/><Relationship Id="rId37" Type="http://schemas.openxmlformats.org/officeDocument/2006/relationships/image" Target="media/image13.emf"/><Relationship Id="rId53" Type="http://schemas.openxmlformats.org/officeDocument/2006/relationships/hyperlink" Target="http://www.itu.int/md/D10-RGQ25.2-C-0040" TargetMode="External"/><Relationship Id="rId58" Type="http://schemas.openxmlformats.org/officeDocument/2006/relationships/hyperlink" Target="http://www.itu.int/md/D10-RGQ25.2-C-0050" TargetMode="External"/><Relationship Id="rId74" Type="http://schemas.openxmlformats.org/officeDocument/2006/relationships/hyperlink" Target="http://www.itu.int/oth/T0902000002/en" TargetMode="External"/><Relationship Id="rId79" Type="http://schemas.openxmlformats.org/officeDocument/2006/relationships/hyperlink" Target="http://www.itu.int/rec/R-REC-M.1224/en" TargetMode="External"/><Relationship Id="rId102" Type="http://schemas.openxmlformats.org/officeDocument/2006/relationships/hyperlink" Target="http://www.sprint.com/business/resources/065455-insurancecs-1g.pdf"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extranet.itu.int/itu-d/studygroups_caselib/_layouts/listform.aspx?PageType=4&amp;ListId=%7B83D21D60%2D8174%2D488D%2DAB67%2D52B3104E72C1%7D&amp;ID=23&amp;ContentTypeID=0x0100EBFB77838198654686E597338AA93C74" TargetMode="External"/><Relationship Id="rId82" Type="http://schemas.openxmlformats.org/officeDocument/2006/relationships/hyperlink" Target="http://www.itu.int/rec/R-REC-M.1579/en" TargetMode="External"/><Relationship Id="rId90" Type="http://schemas.openxmlformats.org/officeDocument/2006/relationships/hyperlink" Target="http://www.itu.int/rec/R-REC-M.2012/en" TargetMode="External"/><Relationship Id="rId95" Type="http://schemas.openxmlformats.org/officeDocument/2006/relationships/hyperlink" Target="http://www.itu.int/pub/R-REP-M.2079" TargetMode="Externa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yperlink" Target="http://www.e-accessibilitytoolkit.org/" TargetMode="External"/><Relationship Id="rId27" Type="http://schemas.openxmlformats.org/officeDocument/2006/relationships/package" Target="embeddings/Microsoft_Word_Document2.docx"/><Relationship Id="rId30" Type="http://schemas.openxmlformats.org/officeDocument/2006/relationships/package" Target="embeddings/Microsoft_Word_Document3.docx"/><Relationship Id="rId35" Type="http://schemas.openxmlformats.org/officeDocument/2006/relationships/package" Target="embeddings/Microsoft_Word_Document5.docx"/><Relationship Id="rId43" Type="http://schemas.openxmlformats.org/officeDocument/2006/relationships/package" Target="embeddings/Microsoft_Word_Document6.docx"/><Relationship Id="rId48" Type="http://schemas.openxmlformats.org/officeDocument/2006/relationships/header" Target="header7.xml"/><Relationship Id="rId56" Type="http://schemas.openxmlformats.org/officeDocument/2006/relationships/hyperlink" Target="http://www.itu.int/md/D10-RGQ25.2-C-0043" TargetMode="External"/><Relationship Id="rId64" Type="http://schemas.openxmlformats.org/officeDocument/2006/relationships/hyperlink" Target="http://www.itu.int/md/D10-SG02-C-0339" TargetMode="External"/><Relationship Id="rId69" Type="http://schemas.openxmlformats.org/officeDocument/2006/relationships/hyperlink" Target="https://extranet.itu.int/itu-d/studygroups_caselib/_layouts/listform.aspx?PageType=4&amp;ListId=%7B83D21D60%2D8174%2D488D%2DAB67%2D52B3104E72C1%7D&amp;ID=44&amp;ContentTypeID=0x0100EBFB77838198654686E597338AA93C74" TargetMode="External"/><Relationship Id="rId77" Type="http://schemas.openxmlformats.org/officeDocument/2006/relationships/hyperlink" Target="http://www.itu.int/rec/R-REC-M.819/en" TargetMode="External"/><Relationship Id="rId100" Type="http://schemas.openxmlformats.org/officeDocument/2006/relationships/hyperlink" Target="http://www.itu.int/md/D10-RGQ25.2-C-0004" TargetMode="External"/><Relationship Id="rId105" Type="http://schemas.openxmlformats.org/officeDocument/2006/relationships/hyperlink" Target="http://www.berr.gov.uk/files/file13262.pdf" TargetMode="External"/><Relationship Id="rId113" Type="http://schemas.openxmlformats.org/officeDocument/2006/relationships/hyperlink" Target="http://www.itu.int/md/D10-RGQ25.2-C-0004" TargetMode="External"/><Relationship Id="rId11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http://www.itu.int/md/D10-RGQ25.2-C-0006" TargetMode="External"/><Relationship Id="rId72" Type="http://schemas.openxmlformats.org/officeDocument/2006/relationships/hyperlink" Target="http://www.itu.int/md/D10-SG02-C-0338" TargetMode="External"/><Relationship Id="rId80" Type="http://schemas.openxmlformats.org/officeDocument/2006/relationships/hyperlink" Target="http://www.itu.int/rec/R-REC-M.1450/en" TargetMode="External"/><Relationship Id="rId85" Type="http://schemas.openxmlformats.org/officeDocument/2006/relationships/hyperlink" Target="http://www.itu.int/rec/R-REC-M.1645/en" TargetMode="External"/><Relationship Id="rId93" Type="http://schemas.openxmlformats.org/officeDocument/2006/relationships/hyperlink" Target="http://www.itu.int/pub/R-REP-M.2072" TargetMode="External"/><Relationship Id="rId98" Type="http://schemas.openxmlformats.org/officeDocument/2006/relationships/hyperlink" Target="http://www.itu.int/rec/R-REC-S/recommendation.asp?lang=en&amp;parent=R-REC-S.1878" TargetMode="External"/><Relationship Id="rId12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package" Target="embeddings/Microsoft_Word_Document1.docx"/><Relationship Id="rId33" Type="http://schemas.openxmlformats.org/officeDocument/2006/relationships/hyperlink" Target="http://www.itu.int/rec/R-REC-M.1801/en" TargetMode="External"/><Relationship Id="rId38" Type="http://schemas.openxmlformats.org/officeDocument/2006/relationships/image" Target="media/image14.emf"/><Relationship Id="rId46" Type="http://schemas.openxmlformats.org/officeDocument/2006/relationships/footer" Target="footer5.xml"/><Relationship Id="rId59" Type="http://schemas.openxmlformats.org/officeDocument/2006/relationships/hyperlink" Target="https://extranet.itu.int/itu-d/studygroups_caselib/_layouts/listform.aspx?PageType=4&amp;ListId=%7B83D21D60%2D8174%2D488D%2DAB67%2D52B3104E72C1%7D&amp;ID=24&amp;ContentTypeID=0x0100EBFB77838198654686E597338AA93C74" TargetMode="External"/><Relationship Id="rId67" Type="http://schemas.openxmlformats.org/officeDocument/2006/relationships/hyperlink" Target="https://extranet.itu.int/itu-d/studygroups_caselib/_layouts/listform.aspx?PageType=4&amp;ListId=%7B83D21D60%2D8174%2D488D%2DAB67%2D52B3104E72C1%7D&amp;ID=40&amp;ContentTypeID=0x0100EBFB77838198654686E597338AA93C74" TargetMode="External"/><Relationship Id="rId103" Type="http://schemas.openxmlformats.org/officeDocument/2006/relationships/hyperlink" Target="http://www.freepress.net/docs/broadband_and_economic_development_aes.pdf" TargetMode="External"/><Relationship Id="rId108" Type="http://schemas.openxmlformats.org/officeDocument/2006/relationships/hyperlink" Target="http://www.broadbandcommission.org/Reports/Report_1.pdf" TargetMode="External"/><Relationship Id="rId116" Type="http://schemas.openxmlformats.org/officeDocument/2006/relationships/hyperlink" Target="http://www.brookings.edu/research/papers/2011/12/08-mobile-broadband-west" TargetMode="External"/><Relationship Id="rId20" Type="http://schemas.openxmlformats.org/officeDocument/2006/relationships/image" Target="media/image5.png"/><Relationship Id="rId41" Type="http://schemas.openxmlformats.org/officeDocument/2006/relationships/image" Target="media/image17.emf"/><Relationship Id="rId54" Type="http://schemas.openxmlformats.org/officeDocument/2006/relationships/hyperlink" Target="http://www.itu.int/md/D10-SG02-C-0312" TargetMode="External"/><Relationship Id="rId62" Type="http://schemas.openxmlformats.org/officeDocument/2006/relationships/hyperlink" Target="http://www.itu.int/md/D10-RGQ25.2-C-0052" TargetMode="External"/><Relationship Id="rId70" Type="http://schemas.openxmlformats.org/officeDocument/2006/relationships/hyperlink" Target="http://www.itu.int/md/D10-SG02-C-0333" TargetMode="External"/><Relationship Id="rId75" Type="http://schemas.openxmlformats.org/officeDocument/2006/relationships/hyperlink" Target="http://www.itu.int/pub/T-TUT-HOME-2011" TargetMode="External"/><Relationship Id="rId83" Type="http://schemas.openxmlformats.org/officeDocument/2006/relationships/hyperlink" Target="http://www.itu.int/rec/R-REC-M.1580/en" TargetMode="External"/><Relationship Id="rId88" Type="http://schemas.openxmlformats.org/officeDocument/2006/relationships/hyperlink" Target="http://www.itu.int/rec/R-REC-M.1822/en" TargetMode="External"/><Relationship Id="rId91" Type="http://schemas.openxmlformats.org/officeDocument/2006/relationships/hyperlink" Target="http://www.itu.int/pub/R-REP-M.2038" TargetMode="External"/><Relationship Id="rId96" Type="http://schemas.openxmlformats.org/officeDocument/2006/relationships/hyperlink" Target="http://www.itu.int/pub/R-REP-M.2242" TargetMode="External"/><Relationship Id="rId111" Type="http://schemas.openxmlformats.org/officeDocument/2006/relationships/hyperlink" Target="http://www.itu.int/md/D10-RGQ25.2-C-0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tu.int/pub/D-STG-SG01.20-2010" TargetMode="External"/><Relationship Id="rId28" Type="http://schemas.openxmlformats.org/officeDocument/2006/relationships/hyperlink" Target="http://www.itu.int/pub/R-REP-M.2243" TargetMode="External"/><Relationship Id="rId36" Type="http://schemas.openxmlformats.org/officeDocument/2006/relationships/image" Target="media/image12.wmf"/><Relationship Id="rId49" Type="http://schemas.openxmlformats.org/officeDocument/2006/relationships/footer" Target="footer7.xml"/><Relationship Id="rId57" Type="http://schemas.openxmlformats.org/officeDocument/2006/relationships/hyperlink" Target="https://extranet.itu.int/itu-d/studygroups_caselib/_layouts/listform.aspx?PageType=4&amp;ListId=%7B83D21D60%2D8174%2D488D%2DAB67%2D52B3104E72C1%7D&amp;ID=20&amp;ContentTypeID=0x0100EBFB77838198654686E597338AA93C74" TargetMode="External"/><Relationship Id="rId106" Type="http://schemas.openxmlformats.org/officeDocument/2006/relationships/hyperlink" Target="http://www.broadbandcommission.org/Reports/Report_2.pdf" TargetMode="External"/><Relationship Id="rId114" Type="http://schemas.openxmlformats.org/officeDocument/2006/relationships/hyperlink" Target="http://www.itu.int/md/D10-SG02-INF-0036" TargetMode="External"/><Relationship Id="rId119" Type="http://schemas.openxmlformats.org/officeDocument/2006/relationships/header" Target="header9.xml"/><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header" Target="header5.xml"/><Relationship Id="rId52" Type="http://schemas.openxmlformats.org/officeDocument/2006/relationships/hyperlink" Target="http://www.itu.int/md/D10-RGQ25.2-C-0007" TargetMode="External"/><Relationship Id="rId60" Type="http://schemas.openxmlformats.org/officeDocument/2006/relationships/hyperlink" Target="http://www.itu.int/md/D10-RGQ25.2-C-0051" TargetMode="External"/><Relationship Id="rId65" Type="http://schemas.openxmlformats.org/officeDocument/2006/relationships/hyperlink" Target="https://extranet.itu.int/itu-d/studygroups_caselib/_layouts/listform.aspx?PageType=4&amp;ListId=%7B83D21D60%2D8174%2D488D%2DAB67%2D52B3104E72C1%7D&amp;ID=41&amp;ContentTypeID=0x0100EBFB77838198654686E597338AA93C74" TargetMode="External"/><Relationship Id="rId73" Type="http://schemas.openxmlformats.org/officeDocument/2006/relationships/hyperlink" Target="https://extranet.itu.int/itu-d/studygroups_caselib/_layouts/listform.aspx?PageType=4&amp;ListId=%7B83D21D60%2D8174%2D488D%2DAB67%2D52B3104E72C1%7D&amp;ID=66&amp;ContentTypeID=0x0100EBFB77838198654686E597338AA93C74" TargetMode="External"/><Relationship Id="rId78" Type="http://schemas.openxmlformats.org/officeDocument/2006/relationships/hyperlink" Target="http://www.itu.int/rec/R-REC-M.1036/en" TargetMode="External"/><Relationship Id="rId81" Type="http://schemas.openxmlformats.org/officeDocument/2006/relationships/hyperlink" Target="http://www.itu.int/rec/R-REC-M.1457/en" TargetMode="External"/><Relationship Id="rId86" Type="http://schemas.openxmlformats.org/officeDocument/2006/relationships/hyperlink" Target="http://www.itu.int/rec/R-REC-M.1768/en" TargetMode="External"/><Relationship Id="rId94" Type="http://schemas.openxmlformats.org/officeDocument/2006/relationships/hyperlink" Target="http://www.itu.int/pub/R-REP-M.2072" TargetMode="External"/><Relationship Id="rId99" Type="http://schemas.openxmlformats.org/officeDocument/2006/relationships/hyperlink" Target="http://www.itu.int/pub/R-HDB-57" TargetMode="External"/><Relationship Id="rId101" Type="http://schemas.openxmlformats.org/officeDocument/2006/relationships/hyperlink" Target="http://www.netimpactstudy.com/nila/pdf/netimpact_la_full_report_t.pdf"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5.emf"/><Relationship Id="rId109" Type="http://schemas.openxmlformats.org/officeDocument/2006/relationships/hyperlink" Target="http://www.itu.int/md/D10-SG02-C-0024" TargetMode="External"/><Relationship Id="rId34" Type="http://schemas.openxmlformats.org/officeDocument/2006/relationships/image" Target="media/image11.emf"/><Relationship Id="rId50" Type="http://schemas.openxmlformats.org/officeDocument/2006/relationships/hyperlink" Target="http://www.itu.int/md/D10-RGQ25.2-C-0005" TargetMode="External"/><Relationship Id="rId55"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76" Type="http://schemas.openxmlformats.org/officeDocument/2006/relationships/hyperlink" Target="http://www.itu.int/rec/R-REC-M.687/en" TargetMode="External"/><Relationship Id="rId97" Type="http://schemas.openxmlformats.org/officeDocument/2006/relationships/hyperlink" Target="http://www.itu.int/pub/R-REP-M.2243" TargetMode="External"/><Relationship Id="rId104" Type="http://schemas.openxmlformats.org/officeDocument/2006/relationships/hyperlink" Target="http://www.baller.com/pdfs/cedarfalls_white_paper.pdf" TargetMode="External"/><Relationship Id="rId120"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s://extranet.itu.int/itu-d/studygroups_caselib/_layouts/listform.aspx?PageType=4&amp;ListId=%7B83D21D60%2D8174%2D488D%2DAB67%2D52B3104E72C1%7D&amp;ID=81&amp;ContentTypeID=0x0100EBFB77838198654686E597338AA93C74" TargetMode="External"/><Relationship Id="rId92" Type="http://schemas.openxmlformats.org/officeDocument/2006/relationships/hyperlink" Target="http://www.itu.int/pub/R-REP-M.2039" TargetMode="Externa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7.emf"/><Relationship Id="rId40" Type="http://schemas.openxmlformats.org/officeDocument/2006/relationships/image" Target="media/image16.emf"/><Relationship Id="rId45" Type="http://schemas.openxmlformats.org/officeDocument/2006/relationships/header" Target="header6.xml"/><Relationship Id="rId66" Type="http://schemas.openxmlformats.org/officeDocument/2006/relationships/hyperlink" Target="http://www.itu.int/md/D10-SG02-C-0340" TargetMode="External"/><Relationship Id="rId87" Type="http://schemas.openxmlformats.org/officeDocument/2006/relationships/hyperlink" Target="http://www.itu.int/rec/R-REC-M.1801/en" TargetMode="External"/><Relationship Id="rId110" Type="http://schemas.openxmlformats.org/officeDocument/2006/relationships/hyperlink" Target="http://www.itu.int/md/D10-SG02-C-0023" TargetMode="External"/><Relationship Id="rId115" Type="http://schemas.openxmlformats.org/officeDocument/2006/relationships/hyperlink" Target="http://www.itu.int/md/D10-SG02-INF-004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broadbandcommission.org/Reports/Report_1.pdf" TargetMode="External"/><Relationship Id="rId13" Type="http://schemas.openxmlformats.org/officeDocument/2006/relationships/hyperlink" Target="http://www.gsma.com/publicpolicy/wp-content/uploads/2012/11/gsma-deloitte-impact-mobile-telephony-economic-growth.pdf" TargetMode="External"/><Relationship Id="rId18" Type="http://schemas.openxmlformats.org/officeDocument/2006/relationships/hyperlink" Target="http://www.broadbandcommission.org/Reports/Report_1.pdf" TargetMode="External"/><Relationship Id="rId26" Type="http://schemas.openxmlformats.org/officeDocument/2006/relationships/hyperlink" Target="http://www.itu.int/ITU-D/treg/bestpractices.html" TargetMode="External"/><Relationship Id="rId3" Type="http://schemas.openxmlformats.org/officeDocument/2006/relationships/hyperlink" Target="file:///X:\SG\C&amp;amp;P\Pool\Pool-A\El-WARDANY\25-2\.http:\www.itu.int\ITU-D\ict\publications\wtdr_10" TargetMode="External"/><Relationship Id="rId21" Type="http://schemas.openxmlformats.org/officeDocument/2006/relationships/hyperlink" Target="http://www.broadbandcommission.org/Reports/Report_1.pdf" TargetMode="External"/><Relationship Id="rId34" Type="http://schemas.openxmlformats.org/officeDocument/2006/relationships/hyperlink" Target="http://www.itu.int/osg/spu/publications/birthofbroadband/faq.html" TargetMode="External"/><Relationship Id="rId7" Type="http://schemas.openxmlformats.org/officeDocument/2006/relationships/hyperlink" Target="http://www.broadbandcommission.org/Reports/Report_1.pdf" TargetMode="External"/><Relationship Id="rId12" Type="http://schemas.openxmlformats.org/officeDocument/2006/relationships/hyperlink" Target="http://www.iadb.org/intal/intalcdi/PE/2013/11427.pdf" TargetMode="External"/><Relationship Id="rId17" Type="http://schemas.openxmlformats.org/officeDocument/2006/relationships/hyperlink" Target="http://www.broadbandcommission.org/Reports/Report_2.pdf" TargetMode="External"/><Relationship Id="rId25" Type="http://schemas.openxmlformats.org/officeDocument/2006/relationships/hyperlink" Target="http://www.itu.int/md/D10-sg02-c-0024/" TargetMode="External"/><Relationship Id="rId33" Type="http://schemas.openxmlformats.org/officeDocument/2006/relationships/hyperlink" Target="http://www.itu.int/pub/T-ITU-HOME-2011" TargetMode="External"/><Relationship Id="rId38" Type="http://schemas.openxmlformats.org/officeDocument/2006/relationships/hyperlink" Target="http://www.transfinite.com/papers/backhaul.pdf" TargetMode="External"/><Relationship Id="rId2" Type="http://schemas.openxmlformats.org/officeDocument/2006/relationships/hyperlink" Target="http://www.itu.int/md/D10-sg02-inf-0036" TargetMode="External"/><Relationship Id="rId16" Type="http://schemas.openxmlformats.org/officeDocument/2006/relationships/hyperlink" Target="http://www.broadbandcommission.org/Reports/Report_2.pdf" TargetMode="External"/><Relationship Id="rId20" Type="http://schemas.openxmlformats.org/officeDocument/2006/relationships/hyperlink" Target="http://www.itu.int/md/D10-sg02-c-0023" TargetMode="External"/><Relationship Id="rId29" Type="http://schemas.openxmlformats.org/officeDocument/2006/relationships/hyperlink" Target="http://www.itu.int/md/D10-RGQ25.2-C-0002" TargetMode="External"/><Relationship Id="rId1" Type="http://schemas.openxmlformats.org/officeDocument/2006/relationships/hyperlink" Target="http://www.itu.int/md/D10-RGQ25.2-C-0002" TargetMode="External"/><Relationship Id="rId6" Type="http://schemas.openxmlformats.org/officeDocument/2006/relationships/hyperlink" Target="http://www.broadbandcommission.org/Reports/Report_1.pdf" TargetMode="External"/><Relationship Id="rId11" Type="http://schemas.openxmlformats.org/officeDocument/2006/relationships/hyperlink" Target="http://www.broadbandcommission.org/Reports/Report_2.pdf" TargetMode="External"/><Relationship Id="rId24" Type="http://schemas.openxmlformats.org/officeDocument/2006/relationships/hyperlink" Target="http://www.itu.int/md/D10-sg02-c-0024/" TargetMode="External"/><Relationship Id="rId32" Type="http://schemas.openxmlformats.org/officeDocument/2006/relationships/hyperlink" Target="http://www.itu.int/pub/T-TUT-HOME-2011" TargetMode="External"/><Relationship Id="rId37" Type="http://schemas.openxmlformats.org/officeDocument/2006/relationships/hyperlink" Target="http://www.o3bnetworks.com/" TargetMode="External"/><Relationship Id="rId5" Type="http://schemas.openxmlformats.org/officeDocument/2006/relationships/hyperlink" Target="http://s3.amazonaws.com/zanran_storage/www.nextupresearch.com/ContentPages/2493178098.pdf" TargetMode="External"/><Relationship Id="rId15" Type="http://schemas.openxmlformats.org/officeDocument/2006/relationships/hyperlink" Target="http://www.broadbandcommission.org/Reports/Report_2.pdf" TargetMode="External"/><Relationship Id="rId23" Type="http://schemas.openxmlformats.org/officeDocument/2006/relationships/hyperlink" Target="http://www.itu.int/md/D10-sg02-inf-0044" TargetMode="External"/><Relationship Id="rId28" Type="http://schemas.openxmlformats.org/officeDocument/2006/relationships/hyperlink" Target="http://www.itu.int/md/D10-RGQ25.2-C-0002" TargetMode="External"/><Relationship Id="rId36" Type="http://schemas.openxmlformats.org/officeDocument/2006/relationships/hyperlink" Target="http://www.broadband.gov/download-plan/" TargetMode="External"/><Relationship Id="rId10" Type="http://schemas.openxmlformats.org/officeDocument/2006/relationships/hyperlink" Target="http://www.itu.int/osg/csd/emerging_trends/crisis/fc01.html" TargetMode="External"/><Relationship Id="rId19" Type="http://schemas.openxmlformats.org/officeDocument/2006/relationships/hyperlink" Target="http://www.un.org/millenniumgoals" TargetMode="External"/><Relationship Id="rId31" Type="http://schemas.openxmlformats.org/officeDocument/2006/relationships/hyperlink" Target="http://www.itu.int/md/D10-RGQ25.2-C-0002" TargetMode="External"/><Relationship Id="rId4" Type="http://schemas.openxmlformats.org/officeDocument/2006/relationships/hyperlink" Target="http://www.broadbandcommission.org/Reports/Report_1.pdf" TargetMode="External"/><Relationship Id="rId9" Type="http://schemas.openxmlformats.org/officeDocument/2006/relationships/hyperlink" Target="http://www.itu.int/md/D10-sg02-inf-0036" TargetMode="External"/><Relationship Id="rId14" Type="http://schemas.openxmlformats.org/officeDocument/2006/relationships/hyperlink" Target="http://www.itu.int/md/D10-sg02-inf-0036" TargetMode="External"/><Relationship Id="rId22" Type="http://schemas.openxmlformats.org/officeDocument/2006/relationships/hyperlink" Target="http://www.broadbandcommission.org/documents/reportNBP2013.pdf" TargetMode="External"/><Relationship Id="rId27" Type="http://schemas.openxmlformats.org/officeDocument/2006/relationships/hyperlink" Target="http://www.broadbandcommission.org/Reports/Report_1.pdf" TargetMode="External"/><Relationship Id="rId30" Type="http://schemas.openxmlformats.org/officeDocument/2006/relationships/hyperlink" Target="http://www.itu.int/md/D10-RGQ25.2-C-0002" TargetMode="External"/><Relationship Id="rId35" Type="http://schemas.openxmlformats.org/officeDocument/2006/relationships/hyperlink" Target="http://www.ic.gc.ca/eic/site/719.nsf/eng/h_00004.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any\Desktop\Q-x-x-2-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E739E-0B76-43C5-BD13-DDEF7F6D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Q-x-x-2-a.dotx</Template>
  <TotalTime>237</TotalTime>
  <Pages>71</Pages>
  <Words>22760</Words>
  <Characters>135272</Characters>
  <Application>Microsoft Office Word</Application>
  <DocSecurity>0</DocSecurity>
  <Lines>1127</Lines>
  <Paragraphs>315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157717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9</cp:revision>
  <cp:lastPrinted>2014-01-27T13:27:00Z</cp:lastPrinted>
  <dcterms:created xsi:type="dcterms:W3CDTF">2014-02-17T16:14:00Z</dcterms:created>
  <dcterms:modified xsi:type="dcterms:W3CDTF">2014-02-28T08:22:00Z</dcterms:modified>
</cp:coreProperties>
</file>