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RPr="00913C0E" w:rsidTr="00A460CB">
        <w:trPr>
          <w:cantSplit/>
        </w:trPr>
        <w:tc>
          <w:tcPr>
            <w:tcW w:w="2693" w:type="dxa"/>
            <w:tcBorders>
              <w:left w:val="nil"/>
              <w:bottom w:val="single" w:sz="4" w:space="0" w:color="auto"/>
            </w:tcBorders>
          </w:tcPr>
          <w:p w:rsidR="00EB6A81" w:rsidRPr="00A43C05" w:rsidRDefault="008B0A69" w:rsidP="008B0A69">
            <w:pPr>
              <w:pStyle w:val="Heading3"/>
              <w:spacing w:before="240"/>
              <w:ind w:left="0" w:firstLine="0"/>
              <w:rPr>
                <w:rFonts w:ascii="Trebuchet MS" w:hAnsi="Trebuchet MS" w:cs="Arial"/>
                <w:i/>
                <w:iCs/>
              </w:rPr>
            </w:pPr>
            <w:bookmarkStart w:id="0" w:name="_Toc125339404"/>
            <w:bookmarkStart w:id="1" w:name="_Toc216756779"/>
            <w:bookmarkStart w:id="2" w:name="_Toc216757889"/>
            <w:bookmarkStart w:id="3" w:name="_Toc221682161"/>
            <w:bookmarkStart w:id="4" w:name="_Toc253554992"/>
            <w:bookmarkStart w:id="5" w:name="_Toc253582187"/>
            <w:bookmarkStart w:id="6" w:name="_Toc253662060"/>
            <w:bookmarkStart w:id="7" w:name="_Toc255292511"/>
            <w:bookmarkStart w:id="8" w:name="_Toc259024216"/>
            <w:r w:rsidRPr="00A43C05">
              <w:rPr>
                <w:rFonts w:ascii="Trebuchet MS" w:hAnsi="Trebuchet MS"/>
                <w:i/>
                <w:iCs/>
              </w:rPr>
              <w:t>CU</w:t>
            </w:r>
            <w:r w:rsidR="00EE45A8" w:rsidRPr="00A43C05">
              <w:rPr>
                <w:rFonts w:ascii="Trebuchet MS" w:hAnsi="Trebuchet MS"/>
                <w:i/>
                <w:iCs/>
              </w:rPr>
              <w:t>E</w:t>
            </w:r>
            <w:r w:rsidR="00EB6A81" w:rsidRPr="00A43C05">
              <w:rPr>
                <w:rFonts w:ascii="Trebuchet MS" w:hAnsi="Trebuchet MS"/>
                <w:i/>
                <w:iCs/>
              </w:rPr>
              <w:t>STI</w:t>
            </w:r>
            <w:r w:rsidRPr="00A43C05">
              <w:rPr>
                <w:rFonts w:ascii="Trebuchet MS" w:hAnsi="Trebuchet MS"/>
                <w:i/>
                <w:iCs/>
              </w:rPr>
              <w:t>Ó</w:t>
            </w:r>
            <w:r w:rsidR="00EB6A81" w:rsidRPr="00A43C05">
              <w:rPr>
                <w:rFonts w:ascii="Trebuchet MS" w:hAnsi="Trebuchet MS"/>
                <w:i/>
                <w:iCs/>
              </w:rPr>
              <w:t xml:space="preserve">N </w:t>
            </w:r>
            <w:r w:rsidR="00285748" w:rsidRPr="00A43C05">
              <w:rPr>
                <w:rFonts w:ascii="Trebuchet MS" w:hAnsi="Trebuchet MS"/>
                <w:i/>
                <w:iCs/>
              </w:rPr>
              <w:t>18</w:t>
            </w:r>
            <w:r w:rsidR="00D400DF" w:rsidRPr="00A43C05">
              <w:rPr>
                <w:rFonts w:ascii="Trebuchet MS" w:hAnsi="Trebuchet MS"/>
                <w:i/>
                <w:iCs/>
              </w:rPr>
              <w:t>-</w:t>
            </w:r>
            <w:r w:rsidR="00285748" w:rsidRPr="00A43C05">
              <w:rPr>
                <w:rFonts w:ascii="Trebuchet MS" w:hAnsi="Trebuchet MS"/>
                <w:i/>
                <w:iCs/>
              </w:rPr>
              <w:t>1</w:t>
            </w:r>
            <w:r w:rsidR="00EB6A81" w:rsidRPr="00A43C05">
              <w:rPr>
                <w:rFonts w:ascii="Trebuchet MS" w:hAnsi="Trebuchet MS"/>
                <w:i/>
                <w:iCs/>
              </w:rPr>
              <w:t>/2</w:t>
            </w:r>
            <w:bookmarkEnd w:id="0"/>
            <w:bookmarkEnd w:id="1"/>
            <w:bookmarkEnd w:id="2"/>
            <w:bookmarkEnd w:id="3"/>
            <w:bookmarkEnd w:id="4"/>
            <w:bookmarkEnd w:id="5"/>
            <w:bookmarkEnd w:id="6"/>
            <w:bookmarkEnd w:id="7"/>
            <w:bookmarkEnd w:id="8"/>
          </w:p>
        </w:tc>
      </w:tr>
      <w:tr w:rsidR="002A62A0" w:rsidRPr="00913C0E" w:rsidTr="00A460CB">
        <w:trPr>
          <w:cantSplit/>
          <w:trHeight w:val="895"/>
        </w:trPr>
        <w:tc>
          <w:tcPr>
            <w:tcW w:w="2693" w:type="dxa"/>
            <w:tcBorders>
              <w:top w:val="single" w:sz="4" w:space="0" w:color="auto"/>
              <w:left w:val="nil"/>
            </w:tcBorders>
          </w:tcPr>
          <w:p w:rsidR="002A62A0" w:rsidRPr="005473A0" w:rsidRDefault="005473A0" w:rsidP="008B0A69">
            <w:pPr>
              <w:pStyle w:val="Heading3"/>
              <w:tabs>
                <w:tab w:val="clear" w:pos="794"/>
                <w:tab w:val="clear" w:pos="1191"/>
                <w:tab w:val="clear" w:pos="1588"/>
                <w:tab w:val="clear" w:pos="1985"/>
              </w:tabs>
              <w:spacing w:before="120"/>
              <w:ind w:left="0" w:right="-83" w:firstLine="0"/>
              <w:jc w:val="left"/>
              <w:rPr>
                <w:rFonts w:ascii="Trebuchet MS" w:hAnsi="Trebuchet MS"/>
                <w:b w:val="0"/>
                <w:bCs/>
                <w:i/>
                <w:iCs/>
                <w:lang w:val="en-US"/>
              </w:rPr>
            </w:pPr>
            <w:bookmarkStart w:id="9" w:name="_Toc255292512"/>
            <w:bookmarkStart w:id="10" w:name="_Toc259024217"/>
            <w:proofErr w:type="spellStart"/>
            <w:r>
              <w:rPr>
                <w:rFonts w:ascii="Trebuchet MS" w:hAnsi="Trebuchet MS"/>
                <w:b w:val="0"/>
                <w:bCs/>
                <w:i/>
                <w:iCs/>
                <w:lang w:val="en-US"/>
              </w:rPr>
              <w:t>Suplement</w:t>
            </w:r>
            <w:bookmarkEnd w:id="9"/>
            <w:r w:rsidR="008B0A69">
              <w:rPr>
                <w:rFonts w:ascii="Trebuchet MS" w:hAnsi="Trebuchet MS"/>
                <w:b w:val="0"/>
                <w:bCs/>
                <w:i/>
                <w:iCs/>
                <w:lang w:val="en-US"/>
              </w:rPr>
              <w:t>o</w:t>
            </w:r>
            <w:bookmarkEnd w:id="10"/>
            <w:proofErr w:type="spellEnd"/>
          </w:p>
          <w:p w:rsidR="002A62A0" w:rsidRPr="00913C0E" w:rsidRDefault="002A62A0" w:rsidP="00913C0E">
            <w:pPr>
              <w:pStyle w:val="Heading3"/>
              <w:ind w:left="0"/>
              <w:jc w:val="left"/>
              <w:rPr>
                <w:rFonts w:ascii="Trebuchet MS" w:hAnsi="Trebuchet MS" w:cs="Arial"/>
                <w:b w:val="0"/>
                <w:bCs/>
                <w:i/>
                <w:iCs/>
              </w:rPr>
            </w:pPr>
          </w:p>
        </w:tc>
      </w:tr>
    </w:tbl>
    <w:p w:rsidR="00EB6A81" w:rsidRPr="00913C0E" w:rsidRDefault="00EB6A81" w:rsidP="00913C0E">
      <w:pPr>
        <w:rPr>
          <w:rFonts w:ascii="Arial" w:hAnsi="Arial" w:cs="Arial"/>
          <w:bCs/>
        </w:rPr>
      </w:pPr>
    </w:p>
    <w:p w:rsidR="00EB6A81" w:rsidRPr="00913C0E" w:rsidRDefault="00EB6A81" w:rsidP="00913C0E">
      <w:pPr>
        <w:rPr>
          <w:rFonts w:ascii="Arial" w:hAnsi="Arial" w:cs="Arial"/>
          <w:bCs/>
        </w:rPr>
      </w:pPr>
    </w:p>
    <w:p w:rsidR="00EB6A81" w:rsidRPr="00913C0E" w:rsidRDefault="00EB6A81" w:rsidP="00913C0E">
      <w:pPr>
        <w:pStyle w:val="Normalaftertitle"/>
        <w:spacing w:before="120"/>
        <w:rPr>
          <w:rFonts w:ascii="Arial" w:hAnsi="Arial" w:cs="Arial"/>
          <w:bCs/>
        </w:rPr>
      </w:pPr>
    </w:p>
    <w:p w:rsidR="00EB6A81" w:rsidRPr="00913C0E" w:rsidRDefault="00EB6A81" w:rsidP="00913C0E">
      <w:pPr>
        <w:rPr>
          <w:rFonts w:ascii="Arial" w:hAnsi="Arial" w:cs="Arial"/>
          <w:bCs/>
        </w:rPr>
      </w:pPr>
    </w:p>
    <w:p w:rsidR="00CE7324" w:rsidRPr="00913C0E" w:rsidRDefault="00CE7324" w:rsidP="00913C0E">
      <w:pPr>
        <w:rPr>
          <w:rFonts w:ascii="Arial" w:hAnsi="Arial" w:cs="Arial"/>
          <w:bCs/>
        </w:rPr>
      </w:pPr>
    </w:p>
    <w:p w:rsidR="00CE7324" w:rsidRPr="00913C0E" w:rsidRDefault="00CE7324" w:rsidP="00913C0E">
      <w:pPr>
        <w:rPr>
          <w:rFonts w:ascii="Arial" w:hAnsi="Arial" w:cs="Arial"/>
          <w:bCs/>
        </w:rPr>
      </w:pPr>
    </w:p>
    <w:p w:rsidR="00EB6A81" w:rsidRPr="00913C0E" w:rsidRDefault="00EB6A81" w:rsidP="00913C0E">
      <w:pPr>
        <w:rPr>
          <w:rFonts w:ascii="Arial" w:hAnsi="Arial" w:cs="Arial"/>
          <w:bCs/>
        </w:rPr>
      </w:pPr>
    </w:p>
    <w:p w:rsidR="00EB6A81" w:rsidRPr="00913C0E" w:rsidRDefault="00EB6A81" w:rsidP="00913C0E">
      <w:pPr>
        <w:rPr>
          <w:rFonts w:ascii="Arial" w:hAnsi="Arial" w:cs="Arial"/>
          <w:bCs/>
        </w:rPr>
      </w:pPr>
    </w:p>
    <w:p w:rsidR="00EB6A81" w:rsidRPr="00A43C05" w:rsidRDefault="000774A7" w:rsidP="000774A7">
      <w:pPr>
        <w:shd w:val="clear" w:color="auto" w:fill="B3B3B3"/>
        <w:tabs>
          <w:tab w:val="clear" w:pos="794"/>
          <w:tab w:val="clear" w:pos="1191"/>
          <w:tab w:val="clear" w:pos="1588"/>
          <w:tab w:val="clear" w:pos="1985"/>
          <w:tab w:val="left" w:pos="1418"/>
          <w:tab w:val="left" w:pos="5245"/>
          <w:tab w:val="left" w:pos="8505"/>
        </w:tabs>
        <w:spacing w:before="160"/>
        <w:ind w:right="-142"/>
        <w:jc w:val="left"/>
        <w:rPr>
          <w:rFonts w:ascii="Trebuchet MS" w:hAnsi="Trebuchet MS" w:cs="Arial"/>
          <w:bCs/>
          <w:color w:val="FFFFFF"/>
          <w:sz w:val="32"/>
          <w:lang w:val="es-ES_tradnl"/>
        </w:rPr>
      </w:pPr>
      <w:r w:rsidRPr="00A43C05">
        <w:rPr>
          <w:rFonts w:ascii="Trebuchet MS" w:hAnsi="Trebuchet MS" w:cs="Arial"/>
          <w:b/>
          <w:color w:val="FFFFFF"/>
          <w:sz w:val="32"/>
          <w:lang w:val="es-ES_tradnl"/>
        </w:rPr>
        <w:t>UIT</w:t>
      </w:r>
      <w:r w:rsidR="00F8454D" w:rsidRPr="00A43C05">
        <w:rPr>
          <w:rFonts w:ascii="Trebuchet MS" w:hAnsi="Trebuchet MS" w:cs="Arial"/>
          <w:b/>
          <w:color w:val="FFFFFF"/>
          <w:sz w:val="32"/>
          <w:lang w:val="es-ES_tradnl"/>
        </w:rPr>
        <w:t>-D</w:t>
      </w:r>
      <w:r w:rsidR="00EB6A81" w:rsidRPr="00A43C05">
        <w:rPr>
          <w:rFonts w:ascii="Trebuchet MS" w:hAnsi="Trebuchet MS" w:cs="Arial"/>
          <w:bCs/>
          <w:color w:val="FFFFFF"/>
          <w:sz w:val="32"/>
          <w:lang w:val="es-ES_tradnl"/>
        </w:rPr>
        <w:tab/>
      </w:r>
      <w:r w:rsidRPr="00A43C05">
        <w:rPr>
          <w:rFonts w:ascii="Trebuchet MS" w:hAnsi="Trebuchet MS" w:cs="Arial"/>
          <w:bCs/>
          <w:color w:val="FFFFFF"/>
          <w:sz w:val="32"/>
          <w:szCs w:val="32"/>
          <w:lang w:val="es-ES_tradnl"/>
        </w:rPr>
        <w:t>COMISIÓN DE ESTUDIO 2</w:t>
      </w:r>
      <w:r w:rsidRPr="00A43C05">
        <w:rPr>
          <w:rFonts w:ascii="Trebuchet MS" w:hAnsi="Trebuchet MS" w:cs="Arial"/>
          <w:bCs/>
          <w:color w:val="FFFFFF"/>
          <w:sz w:val="32"/>
          <w:szCs w:val="32"/>
          <w:lang w:val="es-ES_tradnl"/>
        </w:rPr>
        <w:tab/>
      </w:r>
      <w:r w:rsidRPr="00A43C05">
        <w:rPr>
          <w:rFonts w:ascii="Trebuchet MS" w:hAnsi="Trebuchet MS" w:cs="Arial"/>
          <w:bCs/>
          <w:color w:val="FFFFFF"/>
          <w:sz w:val="28"/>
          <w:szCs w:val="28"/>
          <w:lang w:val="es-ES_tradnl"/>
        </w:rPr>
        <w:t>4.° PERIODO DE ESTUDIOS</w:t>
      </w:r>
      <w:r w:rsidRPr="00A43C05">
        <w:rPr>
          <w:rFonts w:ascii="Trebuchet MS" w:hAnsi="Trebuchet MS" w:cs="Arial"/>
          <w:bCs/>
          <w:color w:val="FFFFFF"/>
          <w:sz w:val="32"/>
          <w:szCs w:val="32"/>
          <w:lang w:val="es-ES_tradnl"/>
        </w:rPr>
        <w:tab/>
        <w:t>(2006-2010)</w:t>
      </w:r>
    </w:p>
    <w:p w:rsidR="00EB6A81" w:rsidRPr="00A43C05" w:rsidRDefault="00EB6A81" w:rsidP="00913C0E">
      <w:pPr>
        <w:ind w:right="2520"/>
        <w:jc w:val="right"/>
        <w:rPr>
          <w:rFonts w:ascii="Arial" w:hAnsi="Arial" w:cs="Arial"/>
          <w:bCs/>
          <w:lang w:val="es-ES_tradnl"/>
        </w:rPr>
      </w:pPr>
    </w:p>
    <w:p w:rsidR="00EB6A81" w:rsidRPr="00A43C05" w:rsidRDefault="00EB6A81" w:rsidP="00913C0E">
      <w:pPr>
        <w:ind w:right="2520"/>
        <w:jc w:val="right"/>
        <w:rPr>
          <w:rFonts w:ascii="Arial" w:hAnsi="Arial" w:cs="Arial"/>
          <w:bCs/>
          <w:lang w:val="es-ES_tradnl"/>
        </w:rPr>
      </w:pPr>
    </w:p>
    <w:p w:rsidR="00EB6A81" w:rsidRPr="00A43C05" w:rsidRDefault="00EB6A81" w:rsidP="00913C0E">
      <w:pPr>
        <w:ind w:right="2520"/>
        <w:jc w:val="right"/>
        <w:rPr>
          <w:rFonts w:ascii="Arial" w:hAnsi="Arial" w:cs="Arial"/>
          <w:bCs/>
          <w:lang w:val="es-ES_tradnl"/>
        </w:rPr>
      </w:pPr>
    </w:p>
    <w:p w:rsidR="005473A0" w:rsidRPr="00A43C05" w:rsidRDefault="003C104B" w:rsidP="003C104B">
      <w:pPr>
        <w:spacing w:line="600" w:lineRule="exact"/>
        <w:ind w:right="2517"/>
        <w:jc w:val="right"/>
        <w:rPr>
          <w:rFonts w:ascii="Trebuchet MS" w:hAnsi="Trebuchet MS" w:cs="Tahoma"/>
          <w:b/>
          <w:i/>
          <w:iCs/>
          <w:sz w:val="44"/>
          <w:szCs w:val="44"/>
          <w:lang w:val="es-ES_tradnl"/>
        </w:rPr>
      </w:pPr>
      <w:bookmarkStart w:id="11" w:name="OLE_LINK1"/>
      <w:bookmarkStart w:id="12" w:name="OLE_LINK2"/>
      <w:r w:rsidRPr="00A43C05">
        <w:rPr>
          <w:rFonts w:ascii="Trebuchet MS" w:hAnsi="Trebuchet MS" w:cs="Tahoma"/>
          <w:b/>
          <w:i/>
          <w:iCs/>
          <w:sz w:val="44"/>
          <w:szCs w:val="44"/>
          <w:lang w:val="es-ES_tradnl"/>
        </w:rPr>
        <w:t>C</w:t>
      </w:r>
      <w:r w:rsidR="005473A0" w:rsidRPr="00A43C05">
        <w:rPr>
          <w:rFonts w:ascii="Trebuchet MS" w:hAnsi="Trebuchet MS" w:cs="Tahoma"/>
          <w:b/>
          <w:i/>
          <w:iCs/>
          <w:sz w:val="44"/>
          <w:szCs w:val="44"/>
          <w:lang w:val="es-ES_tradnl"/>
        </w:rPr>
        <w:t>UESTI</w:t>
      </w:r>
      <w:r w:rsidRPr="00A43C05">
        <w:rPr>
          <w:rFonts w:ascii="Trebuchet MS" w:hAnsi="Trebuchet MS" w:cs="Tahoma"/>
          <w:b/>
          <w:i/>
          <w:iCs/>
          <w:sz w:val="44"/>
          <w:szCs w:val="44"/>
          <w:lang w:val="es-ES_tradnl"/>
        </w:rPr>
        <w:t>Ó</w:t>
      </w:r>
      <w:r w:rsidR="005473A0" w:rsidRPr="00A43C05">
        <w:rPr>
          <w:rFonts w:ascii="Trebuchet MS" w:hAnsi="Trebuchet MS" w:cs="Tahoma"/>
          <w:b/>
          <w:i/>
          <w:iCs/>
          <w:sz w:val="44"/>
          <w:szCs w:val="44"/>
          <w:lang w:val="es-ES_tradnl"/>
        </w:rPr>
        <w:t>N 18-1/2:</w:t>
      </w:r>
    </w:p>
    <w:bookmarkEnd w:id="11"/>
    <w:bookmarkEnd w:id="12"/>
    <w:p w:rsidR="00EB6A81" w:rsidRPr="00A43C05" w:rsidRDefault="003C104B" w:rsidP="00A43C05">
      <w:pPr>
        <w:spacing w:line="600" w:lineRule="exact"/>
        <w:ind w:right="2517"/>
        <w:jc w:val="right"/>
        <w:rPr>
          <w:rFonts w:ascii="Trebuchet MS" w:hAnsi="Trebuchet MS" w:cs="Tahoma"/>
          <w:i/>
          <w:iCs/>
          <w:sz w:val="40"/>
          <w:szCs w:val="40"/>
          <w:lang w:val="es-ES_tradnl"/>
        </w:rPr>
      </w:pPr>
      <w:r w:rsidRPr="00A43C05">
        <w:rPr>
          <w:rFonts w:ascii="Trebuchet MS" w:hAnsi="Trebuchet MS" w:cs="Tahoma"/>
          <w:i/>
          <w:iCs/>
          <w:sz w:val="40"/>
          <w:szCs w:val="40"/>
          <w:lang w:val="es-ES_tradnl"/>
        </w:rPr>
        <w:t>Aspectos relativos a la</w:t>
      </w:r>
      <w:r w:rsidR="00A43C05" w:rsidRPr="00A43C05">
        <w:rPr>
          <w:rFonts w:ascii="Trebuchet MS" w:hAnsi="Trebuchet MS" w:cs="Tahoma"/>
          <w:i/>
          <w:iCs/>
          <w:sz w:val="40"/>
          <w:szCs w:val="40"/>
          <w:lang w:val="es-ES_tradnl"/>
        </w:rPr>
        <w:t xml:space="preserve"> </w:t>
      </w:r>
      <w:r w:rsidRPr="00A43C05">
        <w:rPr>
          <w:rFonts w:ascii="Trebuchet MS" w:hAnsi="Trebuchet MS" w:cs="Tahoma"/>
          <w:i/>
          <w:iCs/>
          <w:sz w:val="40"/>
          <w:szCs w:val="40"/>
          <w:lang w:val="es-ES_tradnl"/>
        </w:rPr>
        <w:t xml:space="preserve">implementación </w:t>
      </w:r>
      <w:r w:rsidR="00A43C05">
        <w:rPr>
          <w:rFonts w:ascii="Trebuchet MS" w:hAnsi="Trebuchet MS" w:cs="Tahoma"/>
          <w:i/>
          <w:iCs/>
          <w:sz w:val="40"/>
          <w:szCs w:val="40"/>
          <w:lang w:val="es-ES_tradnl"/>
        </w:rPr>
        <w:br/>
      </w:r>
      <w:r w:rsidRPr="00A43C05">
        <w:rPr>
          <w:rFonts w:ascii="Trebuchet MS" w:hAnsi="Trebuchet MS" w:cs="Tahoma"/>
          <w:i/>
          <w:iCs/>
          <w:sz w:val="40"/>
          <w:szCs w:val="40"/>
          <w:lang w:val="es-ES_tradnl"/>
        </w:rPr>
        <w:t xml:space="preserve">de las redes IMT-2000 y al intercambio </w:t>
      </w:r>
      <w:r w:rsidR="00A43C05">
        <w:rPr>
          <w:rFonts w:ascii="Trebuchet MS" w:hAnsi="Trebuchet MS" w:cs="Tahoma"/>
          <w:i/>
          <w:iCs/>
          <w:sz w:val="40"/>
          <w:szCs w:val="40"/>
          <w:lang w:val="es-ES_tradnl"/>
        </w:rPr>
        <w:br/>
      </w:r>
      <w:r w:rsidRPr="00A43C05">
        <w:rPr>
          <w:rFonts w:ascii="Trebuchet MS" w:hAnsi="Trebuchet MS" w:cs="Tahoma"/>
          <w:i/>
          <w:iCs/>
          <w:sz w:val="40"/>
          <w:szCs w:val="40"/>
          <w:lang w:val="es-ES_tradnl"/>
        </w:rPr>
        <w:t>de información sobre los sistemas posteriores para los países en desarrollo</w:t>
      </w:r>
    </w:p>
    <w:p w:rsidR="00EB6A81" w:rsidRPr="00A43C05" w:rsidRDefault="00EB6A81" w:rsidP="00913C0E">
      <w:pPr>
        <w:spacing w:before="0"/>
        <w:ind w:right="2520"/>
        <w:jc w:val="right"/>
        <w:rPr>
          <w:rFonts w:ascii="Arial Rounded MT Bold" w:hAnsi="Arial Rounded MT Bold" w:cs="Tahoma"/>
          <w:bCs/>
          <w:i/>
          <w:iCs/>
          <w:sz w:val="52"/>
          <w:lang w:val="es-ES_tradnl"/>
        </w:rPr>
      </w:pPr>
    </w:p>
    <w:p w:rsidR="00EB6A81" w:rsidRPr="00A43C05" w:rsidRDefault="00EB6A81" w:rsidP="00913C0E">
      <w:pPr>
        <w:rPr>
          <w:bCs/>
          <w:lang w:val="es-ES_tradnl"/>
        </w:rPr>
      </w:pPr>
    </w:p>
    <w:p w:rsidR="00115571" w:rsidRPr="00A43C05" w:rsidRDefault="00115571" w:rsidP="00913C0E">
      <w:pPr>
        <w:rPr>
          <w:bCs/>
          <w:lang w:val="es-ES_tradnl"/>
        </w:rPr>
      </w:pPr>
    </w:p>
    <w:p w:rsidR="00115571" w:rsidRPr="00A43C05" w:rsidRDefault="00115571" w:rsidP="00913C0E">
      <w:pPr>
        <w:rPr>
          <w:bCs/>
          <w:lang w:val="es-ES_tradnl"/>
        </w:rPr>
      </w:pPr>
    </w:p>
    <w:p w:rsidR="00115571" w:rsidRPr="00A43C05" w:rsidRDefault="00115571" w:rsidP="00913C0E">
      <w:pPr>
        <w:rPr>
          <w:bCs/>
          <w:lang w:val="es-ES_tradnl"/>
        </w:rPr>
      </w:pPr>
    </w:p>
    <w:p w:rsidR="00115571" w:rsidRPr="00A43C05" w:rsidRDefault="00115571" w:rsidP="00913C0E">
      <w:pPr>
        <w:rPr>
          <w:bCs/>
          <w:lang w:val="es-ES_tradnl"/>
        </w:rPr>
      </w:pPr>
    </w:p>
    <w:p w:rsidR="00E83FA2" w:rsidRPr="00A43C05" w:rsidRDefault="00E83FA2" w:rsidP="00913C0E">
      <w:pPr>
        <w:jc w:val="right"/>
        <w:rPr>
          <w:bCs/>
          <w:lang w:val="es-ES_tradnl"/>
        </w:rPr>
      </w:pPr>
    </w:p>
    <w:p w:rsidR="00B27BCC" w:rsidRPr="00A43C05" w:rsidRDefault="00B27BCC" w:rsidP="00913C0E">
      <w:pPr>
        <w:pStyle w:val="Heading1"/>
        <w:jc w:val="center"/>
        <w:rPr>
          <w:b w:val="0"/>
          <w:bCs/>
          <w:lang w:val="es-ES_tradnl"/>
        </w:rPr>
        <w:sectPr w:rsidR="00B27BCC" w:rsidRPr="00A43C05" w:rsidSect="00115571">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A43C05" w:rsidRDefault="00B27BCC" w:rsidP="00913C0E">
      <w:pPr>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p w:rsidR="00B27BCC" w:rsidRPr="00A43C05" w:rsidRDefault="00B27BCC" w:rsidP="00913C0E">
      <w:pPr>
        <w:jc w:val="left"/>
        <w:rPr>
          <w:bCs/>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A43C05" w:rsidTr="00115571">
        <w:trPr>
          <w:trHeight w:val="1145"/>
          <w:jc w:val="center"/>
        </w:trPr>
        <w:tc>
          <w:tcPr>
            <w:tcW w:w="9620" w:type="dxa"/>
            <w:shd w:val="clear" w:color="auto" w:fill="FFFFFF"/>
          </w:tcPr>
          <w:p w:rsidR="003C104B" w:rsidRPr="00A43C05" w:rsidRDefault="003C104B" w:rsidP="003C104B">
            <w:pPr>
              <w:rPr>
                <w:b/>
                <w:bCs/>
                <w:szCs w:val="24"/>
                <w:lang w:val="es-ES_tradnl"/>
              </w:rPr>
            </w:pPr>
            <w:r w:rsidRPr="00A43C05">
              <w:rPr>
                <w:b/>
                <w:bCs/>
                <w:szCs w:val="24"/>
                <w:lang w:val="es-ES_tradnl"/>
              </w:rPr>
              <w:t>DECLINACIÓN DE RESPONSABILIDAD</w:t>
            </w:r>
          </w:p>
          <w:p w:rsidR="00B27BCC" w:rsidRPr="00A43C05" w:rsidRDefault="003C104B" w:rsidP="003C104B">
            <w:pPr>
              <w:pStyle w:val="Normalaftertitle"/>
              <w:spacing w:before="160" w:after="160"/>
              <w:rPr>
                <w:b/>
                <w:lang w:val="es-ES_tradnl"/>
              </w:rPr>
            </w:pPr>
            <w:r w:rsidRPr="00A43C05">
              <w:rPr>
                <w:b/>
                <w:bCs/>
                <w:szCs w:val="24"/>
                <w:lang w:val="es-ES_tradnl"/>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B27BCC" w:rsidRPr="00A43C05" w:rsidRDefault="00B27BCC" w:rsidP="00913C0E">
      <w:pPr>
        <w:rPr>
          <w:bCs/>
          <w:lang w:val="es-ES_tradnl"/>
        </w:rPr>
      </w:pPr>
    </w:p>
    <w:p w:rsidR="00747593" w:rsidRPr="00A43C05" w:rsidRDefault="00747593" w:rsidP="00913C0E">
      <w:pPr>
        <w:pStyle w:val="FigureNotitle"/>
        <w:rPr>
          <w:b w:val="0"/>
          <w:bCs/>
          <w:sz w:val="28"/>
          <w:lang w:val="es-ES_tradnl"/>
        </w:rPr>
        <w:sectPr w:rsidR="00747593" w:rsidRPr="00A43C05" w:rsidSect="00747593">
          <w:headerReference w:type="even" r:id="rId13"/>
          <w:pgSz w:w="11907" w:h="16840" w:code="9"/>
          <w:pgMar w:top="1418" w:right="1134" w:bottom="1418" w:left="1134" w:header="720" w:footer="720" w:gutter="0"/>
          <w:paperSrc w:first="15" w:other="15"/>
          <w:pgNumType w:fmt="lowerRoman"/>
          <w:cols w:space="720"/>
          <w:vAlign w:val="both"/>
        </w:sectPr>
      </w:pPr>
    </w:p>
    <w:p w:rsidR="00A562C1" w:rsidRPr="00A43C05" w:rsidRDefault="003C104B" w:rsidP="00913C0E">
      <w:pPr>
        <w:pStyle w:val="FigureNotitle"/>
        <w:rPr>
          <w:sz w:val="28"/>
          <w:lang w:val="es-ES_tradnl"/>
        </w:rPr>
      </w:pPr>
      <w:r w:rsidRPr="00A43C05">
        <w:rPr>
          <w:sz w:val="28"/>
          <w:lang w:val="es-ES_tradnl"/>
        </w:rPr>
        <w:lastRenderedPageBreak/>
        <w:t>RESUMEN</w:t>
      </w:r>
    </w:p>
    <w:p w:rsidR="00A562C1" w:rsidRPr="00A43C05" w:rsidRDefault="003C104B" w:rsidP="003C104B">
      <w:pPr>
        <w:rPr>
          <w:lang w:val="es-ES_tradnl"/>
        </w:rPr>
      </w:pPr>
      <w:r w:rsidRPr="003C104B">
        <w:rPr>
          <w:lang w:val="es-ES_tradnl"/>
        </w:rPr>
        <w:t xml:space="preserve">Este documento contiene un proyecto de suplemento al Suplemento a las Directrices sobre la transición paulatina (GST, </w:t>
      </w:r>
      <w:proofErr w:type="spellStart"/>
      <w:r w:rsidRPr="003C104B">
        <w:rPr>
          <w:i/>
          <w:lang w:val="es-ES_tradnl"/>
        </w:rPr>
        <w:t>Guidelines</w:t>
      </w:r>
      <w:proofErr w:type="spellEnd"/>
      <w:r w:rsidRPr="003C104B">
        <w:rPr>
          <w:i/>
          <w:lang w:val="es-ES_tradnl"/>
        </w:rPr>
        <w:t xml:space="preserve"> </w:t>
      </w:r>
      <w:proofErr w:type="spellStart"/>
      <w:r w:rsidRPr="003C104B">
        <w:rPr>
          <w:i/>
          <w:lang w:val="es-ES_tradnl"/>
        </w:rPr>
        <w:t>on</w:t>
      </w:r>
      <w:proofErr w:type="spellEnd"/>
      <w:r w:rsidRPr="003C104B">
        <w:rPr>
          <w:i/>
          <w:lang w:val="es-ES_tradnl"/>
        </w:rPr>
        <w:t xml:space="preserve"> </w:t>
      </w:r>
      <w:proofErr w:type="spellStart"/>
      <w:r w:rsidRPr="003C104B">
        <w:rPr>
          <w:i/>
          <w:lang w:val="es-ES_tradnl"/>
        </w:rPr>
        <w:t>the</w:t>
      </w:r>
      <w:proofErr w:type="spellEnd"/>
      <w:r w:rsidRPr="003C104B">
        <w:rPr>
          <w:i/>
          <w:lang w:val="es-ES_tradnl"/>
        </w:rPr>
        <w:t xml:space="preserve"> </w:t>
      </w:r>
      <w:proofErr w:type="spellStart"/>
      <w:r w:rsidRPr="003C104B">
        <w:rPr>
          <w:i/>
          <w:lang w:val="es-ES_tradnl"/>
        </w:rPr>
        <w:t>smooth</w:t>
      </w:r>
      <w:proofErr w:type="spellEnd"/>
      <w:r w:rsidRPr="003C104B">
        <w:rPr>
          <w:i/>
          <w:lang w:val="es-ES_tradnl"/>
        </w:rPr>
        <w:t xml:space="preserve"> </w:t>
      </w:r>
      <w:proofErr w:type="spellStart"/>
      <w:r w:rsidRPr="003C104B">
        <w:rPr>
          <w:i/>
          <w:lang w:val="es-ES_tradnl"/>
        </w:rPr>
        <w:t>transition</w:t>
      </w:r>
      <w:proofErr w:type="spellEnd"/>
      <w:r w:rsidRPr="003C104B">
        <w:rPr>
          <w:lang w:val="es-ES_tradnl"/>
        </w:rPr>
        <w:t>) de las redes móviles actuales a las IMT-2000 en los países en desarrollo.</w:t>
      </w:r>
    </w:p>
    <w:p w:rsidR="00A562C1" w:rsidRPr="00A43C05" w:rsidRDefault="00A562C1" w:rsidP="00913C0E">
      <w:pPr>
        <w:rPr>
          <w:bCs/>
          <w:lang w:val="es-ES_tradnl"/>
        </w:rPr>
      </w:pPr>
    </w:p>
    <w:p w:rsidR="00A562C1" w:rsidRPr="00A43C05" w:rsidRDefault="00A562C1" w:rsidP="00913C0E">
      <w:pPr>
        <w:rPr>
          <w:bCs/>
          <w:lang w:val="es-ES_tradnl"/>
        </w:rPr>
      </w:pPr>
    </w:p>
    <w:p w:rsidR="00A562C1" w:rsidRPr="00A43C05" w:rsidRDefault="00A562C1" w:rsidP="00913C0E">
      <w:pPr>
        <w:rPr>
          <w:bCs/>
          <w:lang w:val="es-ES_tradnl"/>
        </w:rPr>
      </w:pPr>
    </w:p>
    <w:p w:rsidR="00A562C1" w:rsidRPr="00A43C05" w:rsidRDefault="00A562C1" w:rsidP="00913C0E">
      <w:pPr>
        <w:rPr>
          <w:bCs/>
          <w:lang w:val="es-ES_tradnl"/>
        </w:rPr>
      </w:pPr>
    </w:p>
    <w:p w:rsidR="00A562C1" w:rsidRPr="00A43C05" w:rsidRDefault="00A562C1" w:rsidP="00913C0E">
      <w:pPr>
        <w:rPr>
          <w:bCs/>
          <w:lang w:val="es-ES_tradnl"/>
        </w:rPr>
      </w:pPr>
    </w:p>
    <w:p w:rsidR="00A562C1" w:rsidRPr="00A43C05" w:rsidRDefault="00A562C1" w:rsidP="00913C0E">
      <w:pPr>
        <w:rPr>
          <w:bCs/>
          <w:lang w:val="es-ES_tradnl"/>
        </w:rPr>
      </w:pPr>
    </w:p>
    <w:p w:rsidR="00A562C1" w:rsidRPr="00A43C05" w:rsidRDefault="00A562C1" w:rsidP="00913C0E">
      <w:pPr>
        <w:rPr>
          <w:bCs/>
          <w:lang w:val="es-ES_tradnl"/>
        </w:rPr>
      </w:pPr>
    </w:p>
    <w:p w:rsidR="00A562C1" w:rsidRPr="00A43C05" w:rsidRDefault="00A562C1" w:rsidP="00913C0E">
      <w:pPr>
        <w:rPr>
          <w:bCs/>
          <w:lang w:val="es-ES_tradnl"/>
        </w:rPr>
      </w:pPr>
    </w:p>
    <w:p w:rsidR="00A562C1" w:rsidRPr="00A43C05" w:rsidRDefault="00A562C1" w:rsidP="00913C0E">
      <w:pPr>
        <w:rPr>
          <w:bCs/>
          <w:lang w:val="es-ES_tradnl"/>
        </w:rPr>
      </w:pPr>
    </w:p>
    <w:p w:rsidR="00A562C1" w:rsidRPr="00A43C05" w:rsidRDefault="00A562C1" w:rsidP="00913C0E">
      <w:pPr>
        <w:rPr>
          <w:bCs/>
          <w:lang w:val="es-ES_tradnl"/>
        </w:rPr>
      </w:pPr>
    </w:p>
    <w:p w:rsidR="00A562C1" w:rsidRPr="00A43C05" w:rsidRDefault="00A562C1" w:rsidP="00913C0E">
      <w:pPr>
        <w:rPr>
          <w:bCs/>
          <w:lang w:val="es-ES_tradnl"/>
        </w:rPr>
      </w:pPr>
    </w:p>
    <w:p w:rsidR="00A562C1" w:rsidRPr="00A43C05" w:rsidRDefault="00A562C1" w:rsidP="00913C0E">
      <w:pPr>
        <w:rPr>
          <w:bCs/>
          <w:lang w:val="es-ES_tradnl"/>
        </w:rPr>
      </w:pPr>
    </w:p>
    <w:p w:rsidR="00A562C1" w:rsidRPr="00A43C05" w:rsidRDefault="00A562C1" w:rsidP="00913C0E">
      <w:pPr>
        <w:rPr>
          <w:bCs/>
          <w:lang w:val="es-ES_tradnl"/>
        </w:rPr>
      </w:pPr>
    </w:p>
    <w:p w:rsidR="00A562C1" w:rsidRPr="00A43C05" w:rsidRDefault="00A562C1" w:rsidP="00913C0E">
      <w:pPr>
        <w:rPr>
          <w:bCs/>
          <w:lang w:val="es-ES_tradnl"/>
        </w:rPr>
      </w:pPr>
    </w:p>
    <w:p w:rsidR="00A562C1" w:rsidRPr="00A43C05" w:rsidRDefault="00A562C1" w:rsidP="00913C0E">
      <w:pPr>
        <w:rPr>
          <w:bCs/>
          <w:lang w:val="es-ES_tradnl"/>
        </w:rPr>
      </w:pPr>
    </w:p>
    <w:p w:rsidR="00A562C1" w:rsidRPr="00A43C05" w:rsidRDefault="00A562C1" w:rsidP="00913C0E">
      <w:pPr>
        <w:rPr>
          <w:bCs/>
          <w:lang w:val="es-ES_tradnl"/>
        </w:rPr>
      </w:pPr>
    </w:p>
    <w:p w:rsidR="00A562C1" w:rsidRPr="00A43C05" w:rsidRDefault="00A562C1" w:rsidP="00913C0E">
      <w:pPr>
        <w:pStyle w:val="Figure"/>
        <w:keepNext w:val="0"/>
        <w:keepLines w:val="0"/>
        <w:spacing w:before="120" w:after="0"/>
        <w:rPr>
          <w:bCs/>
          <w:sz w:val="24"/>
          <w:lang w:val="es-ES_tradnl"/>
        </w:rPr>
        <w:sectPr w:rsidR="00A562C1" w:rsidRPr="00A43C05" w:rsidSect="0093317B">
          <w:headerReference w:type="even" r:id="rId14"/>
          <w:headerReference w:type="default" r:id="rId15"/>
          <w:footerReference w:type="default" r:id="rId16"/>
          <w:pgSz w:w="11907" w:h="16840" w:code="9"/>
          <w:pgMar w:top="1418" w:right="1134" w:bottom="1418" w:left="1134" w:header="720" w:footer="720" w:gutter="0"/>
          <w:paperSrc w:first="15" w:other="15"/>
          <w:pgNumType w:fmt="lowerRoman"/>
          <w:cols w:space="720"/>
          <w:vAlign w:val="both"/>
        </w:sectPr>
      </w:pPr>
    </w:p>
    <w:p w:rsidR="00E83FA2" w:rsidRPr="005473A0" w:rsidRDefault="00280DD5" w:rsidP="00913C0E">
      <w:pPr>
        <w:pStyle w:val="Figure"/>
        <w:keepNext w:val="0"/>
        <w:keepLines w:val="0"/>
        <w:spacing w:before="120" w:after="0"/>
        <w:rPr>
          <w:b/>
          <w:sz w:val="28"/>
          <w:szCs w:val="22"/>
          <w:lang w:val="en-US"/>
        </w:rPr>
      </w:pPr>
      <w:r>
        <w:rPr>
          <w:b/>
          <w:sz w:val="28"/>
          <w:szCs w:val="22"/>
          <w:lang w:val="en-US"/>
        </w:rPr>
        <w:lastRenderedPageBreak/>
        <w:t>ÍNDICE</w:t>
      </w:r>
    </w:p>
    <w:p w:rsidR="001D68E9" w:rsidRDefault="0008342F" w:rsidP="001D68E9">
      <w:pPr>
        <w:pStyle w:val="Recdate"/>
        <w:keepLines w:val="0"/>
        <w:tabs>
          <w:tab w:val="right" w:pos="9639"/>
        </w:tabs>
        <w:jc w:val="left"/>
        <w:rPr>
          <w:rFonts w:asciiTheme="minorHAnsi" w:eastAsiaTheme="minorEastAsia" w:hAnsiTheme="minorHAnsi" w:cstheme="minorBidi"/>
          <w:noProof/>
          <w:szCs w:val="22"/>
          <w:lang w:eastAsia="zh-CN"/>
        </w:rPr>
      </w:pPr>
      <w:r w:rsidRPr="00913C0E">
        <w:rPr>
          <w:bCs/>
          <w:iCs/>
        </w:rPr>
        <w:tab/>
      </w:r>
      <w:proofErr w:type="spellStart"/>
      <w:r w:rsidRPr="00913C0E">
        <w:rPr>
          <w:bCs/>
          <w:iCs/>
        </w:rPr>
        <w:t>P</w:t>
      </w:r>
      <w:r w:rsidR="00280DD5">
        <w:rPr>
          <w:bCs/>
          <w:iCs/>
        </w:rPr>
        <w:t>á</w:t>
      </w:r>
      <w:r w:rsidRPr="00913C0E">
        <w:rPr>
          <w:bCs/>
          <w:iCs/>
        </w:rPr>
        <w:t>g</w:t>
      </w:r>
      <w:r w:rsidR="00280DD5">
        <w:rPr>
          <w:bCs/>
          <w:iCs/>
        </w:rPr>
        <w:t>ina</w:t>
      </w:r>
      <w:proofErr w:type="spellEnd"/>
      <w:r w:rsidR="002D71A8" w:rsidRPr="002D71A8">
        <w:rPr>
          <w:rStyle w:val="Hyperlink"/>
          <w:bCs/>
          <w:noProof/>
          <w:color w:val="auto"/>
          <w:u w:val="none"/>
        </w:rPr>
        <w:fldChar w:fldCharType="begin"/>
      </w:r>
      <w:r w:rsidR="001D68E9">
        <w:rPr>
          <w:rStyle w:val="Hyperlink"/>
          <w:bCs/>
          <w:noProof/>
          <w:color w:val="auto"/>
          <w:u w:val="none"/>
        </w:rPr>
        <w:instrText xml:space="preserve"> TOC \o "1-3" \h \z \u </w:instrText>
      </w:r>
      <w:r w:rsidR="002D71A8" w:rsidRPr="002D71A8">
        <w:rPr>
          <w:rStyle w:val="Hyperlink"/>
          <w:bCs/>
          <w:noProof/>
          <w:color w:val="auto"/>
          <w:u w:val="none"/>
        </w:rPr>
        <w:fldChar w:fldCharType="separate"/>
      </w:r>
    </w:p>
    <w:p w:rsidR="001D68E9" w:rsidRDefault="002D71A8" w:rsidP="001D68E9">
      <w:pPr>
        <w:pStyle w:val="TOC1"/>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18" w:history="1">
        <w:r w:rsidR="001D68E9" w:rsidRPr="00D062C9">
          <w:rPr>
            <w:rStyle w:val="Hyperlink"/>
            <w:noProof/>
          </w:rPr>
          <w:t>1</w:t>
        </w:r>
        <w:r w:rsidR="001D68E9">
          <w:rPr>
            <w:rFonts w:asciiTheme="minorHAnsi" w:eastAsiaTheme="minorEastAsia" w:hAnsiTheme="minorHAnsi" w:cstheme="minorBidi"/>
            <w:noProof/>
            <w:szCs w:val="22"/>
            <w:lang w:eastAsia="zh-CN"/>
          </w:rPr>
          <w:tab/>
        </w:r>
        <w:r w:rsidR="001D68E9" w:rsidRPr="00D062C9">
          <w:rPr>
            <w:rStyle w:val="Hyperlink"/>
            <w:noProof/>
          </w:rPr>
          <w:t>Introducción</w:t>
        </w:r>
        <w:r w:rsidR="001D68E9">
          <w:rPr>
            <w:noProof/>
            <w:webHidden/>
          </w:rPr>
          <w:tab/>
        </w:r>
        <w:r w:rsidR="001D68E9">
          <w:rPr>
            <w:noProof/>
            <w:webHidden/>
          </w:rPr>
          <w:tab/>
        </w:r>
        <w:r>
          <w:rPr>
            <w:noProof/>
            <w:webHidden/>
          </w:rPr>
          <w:fldChar w:fldCharType="begin"/>
        </w:r>
        <w:r w:rsidR="001D68E9">
          <w:rPr>
            <w:noProof/>
            <w:webHidden/>
          </w:rPr>
          <w:instrText xml:space="preserve"> PAGEREF _Toc259024218 \h </w:instrText>
        </w:r>
        <w:r>
          <w:rPr>
            <w:noProof/>
            <w:webHidden/>
          </w:rPr>
        </w:r>
        <w:r>
          <w:rPr>
            <w:noProof/>
            <w:webHidden/>
          </w:rPr>
          <w:fldChar w:fldCharType="separate"/>
        </w:r>
        <w:r w:rsidR="001D68E9">
          <w:rPr>
            <w:noProof/>
            <w:webHidden/>
          </w:rPr>
          <w:t>1</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19" w:history="1">
        <w:r w:rsidR="001D68E9" w:rsidRPr="00D062C9">
          <w:rPr>
            <w:rStyle w:val="Hyperlink"/>
            <w:noProof/>
          </w:rPr>
          <w:t>1.1</w:t>
        </w:r>
        <w:r w:rsidR="001D68E9">
          <w:rPr>
            <w:rFonts w:asciiTheme="minorHAnsi" w:eastAsiaTheme="minorEastAsia" w:hAnsiTheme="minorHAnsi" w:cstheme="minorBidi"/>
            <w:noProof/>
            <w:szCs w:val="22"/>
            <w:lang w:eastAsia="zh-CN"/>
          </w:rPr>
          <w:tab/>
        </w:r>
        <w:r w:rsidR="001D68E9" w:rsidRPr="00D062C9">
          <w:rPr>
            <w:rStyle w:val="Hyperlink"/>
            <w:noProof/>
            <w:lang w:val="es-ES"/>
          </w:rPr>
          <w:t>Sobre la Recomendación UIT-R M.1457</w:t>
        </w:r>
        <w:r w:rsidR="001D68E9">
          <w:rPr>
            <w:noProof/>
            <w:webHidden/>
          </w:rPr>
          <w:tab/>
        </w:r>
        <w:r w:rsidR="001D68E9">
          <w:rPr>
            <w:noProof/>
            <w:webHidden/>
          </w:rPr>
          <w:tab/>
        </w:r>
        <w:r>
          <w:rPr>
            <w:noProof/>
            <w:webHidden/>
          </w:rPr>
          <w:fldChar w:fldCharType="begin"/>
        </w:r>
        <w:r w:rsidR="001D68E9">
          <w:rPr>
            <w:noProof/>
            <w:webHidden/>
          </w:rPr>
          <w:instrText xml:space="preserve"> PAGEREF _Toc259024219 \h </w:instrText>
        </w:r>
        <w:r>
          <w:rPr>
            <w:noProof/>
            <w:webHidden/>
          </w:rPr>
        </w:r>
        <w:r>
          <w:rPr>
            <w:noProof/>
            <w:webHidden/>
          </w:rPr>
          <w:fldChar w:fldCharType="separate"/>
        </w:r>
        <w:r w:rsidR="001D68E9">
          <w:rPr>
            <w:noProof/>
            <w:webHidden/>
          </w:rPr>
          <w:t>1</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20" w:history="1">
        <w:r w:rsidR="001D68E9" w:rsidRPr="00D062C9">
          <w:rPr>
            <w:rStyle w:val="Hyperlink"/>
            <w:noProof/>
          </w:rPr>
          <w:t>1.2</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Los sistemas IMT-2000 e IMT-Avanzadas</w:t>
        </w:r>
        <w:r w:rsidR="001D68E9">
          <w:rPr>
            <w:noProof/>
            <w:webHidden/>
          </w:rPr>
          <w:tab/>
        </w:r>
        <w:r w:rsidR="001D68E9">
          <w:rPr>
            <w:noProof/>
            <w:webHidden/>
          </w:rPr>
          <w:tab/>
        </w:r>
        <w:r>
          <w:rPr>
            <w:noProof/>
            <w:webHidden/>
          </w:rPr>
          <w:fldChar w:fldCharType="begin"/>
        </w:r>
        <w:r w:rsidR="001D68E9">
          <w:rPr>
            <w:noProof/>
            <w:webHidden/>
          </w:rPr>
          <w:instrText xml:space="preserve"> PAGEREF _Toc259024220 \h </w:instrText>
        </w:r>
        <w:r>
          <w:rPr>
            <w:noProof/>
            <w:webHidden/>
          </w:rPr>
        </w:r>
        <w:r>
          <w:rPr>
            <w:noProof/>
            <w:webHidden/>
          </w:rPr>
          <w:fldChar w:fldCharType="separate"/>
        </w:r>
        <w:r w:rsidR="001D68E9">
          <w:rPr>
            <w:noProof/>
            <w:webHidden/>
          </w:rPr>
          <w:t>2</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21" w:history="1">
        <w:r w:rsidR="001D68E9" w:rsidRPr="00D062C9">
          <w:rPr>
            <w:rStyle w:val="Hyperlink"/>
            <w:noProof/>
          </w:rPr>
          <w:t>1.3</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Factores que impulsan a las IMT</w:t>
        </w:r>
        <w:r w:rsidR="001D68E9" w:rsidRPr="00D062C9">
          <w:rPr>
            <w:rStyle w:val="Hyperlink"/>
            <w:noProof/>
            <w:lang w:val="es-ES_tradnl"/>
          </w:rPr>
          <w:noBreakHyphen/>
          <w:t>2000</w:t>
        </w:r>
        <w:r w:rsidR="001D68E9">
          <w:rPr>
            <w:noProof/>
            <w:webHidden/>
          </w:rPr>
          <w:tab/>
        </w:r>
        <w:r w:rsidR="001D68E9">
          <w:rPr>
            <w:noProof/>
            <w:webHidden/>
          </w:rPr>
          <w:tab/>
        </w:r>
        <w:r>
          <w:rPr>
            <w:noProof/>
            <w:webHidden/>
          </w:rPr>
          <w:fldChar w:fldCharType="begin"/>
        </w:r>
        <w:r w:rsidR="001D68E9">
          <w:rPr>
            <w:noProof/>
            <w:webHidden/>
          </w:rPr>
          <w:instrText xml:space="preserve"> PAGEREF _Toc259024221 \h </w:instrText>
        </w:r>
        <w:r>
          <w:rPr>
            <w:noProof/>
            <w:webHidden/>
          </w:rPr>
        </w:r>
        <w:r>
          <w:rPr>
            <w:noProof/>
            <w:webHidden/>
          </w:rPr>
          <w:fldChar w:fldCharType="separate"/>
        </w:r>
        <w:r w:rsidR="001D68E9">
          <w:rPr>
            <w:noProof/>
            <w:webHidden/>
          </w:rPr>
          <w:t>2</w:t>
        </w:r>
        <w:r>
          <w:rPr>
            <w:noProof/>
            <w:webHidden/>
          </w:rPr>
          <w:fldChar w:fldCharType="end"/>
        </w:r>
      </w:hyperlink>
    </w:p>
    <w:p w:rsidR="001D68E9" w:rsidRDefault="002D71A8" w:rsidP="001D68E9">
      <w:pPr>
        <w:pStyle w:val="TOC1"/>
        <w:tabs>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9024222" w:history="1">
        <w:r w:rsidR="001D68E9" w:rsidRPr="00D062C9">
          <w:rPr>
            <w:rStyle w:val="Hyperlink"/>
            <w:noProof/>
          </w:rPr>
          <w:t>2</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Actualización del texto «De las actuales redes móviles a las IMT-2000»</w:t>
        </w:r>
        <w:r w:rsidR="001D68E9">
          <w:rPr>
            <w:noProof/>
            <w:webHidden/>
          </w:rPr>
          <w:tab/>
        </w:r>
        <w:r w:rsidR="001D68E9">
          <w:rPr>
            <w:noProof/>
            <w:webHidden/>
          </w:rPr>
          <w:tab/>
        </w:r>
        <w:r>
          <w:rPr>
            <w:noProof/>
            <w:webHidden/>
          </w:rPr>
          <w:fldChar w:fldCharType="begin"/>
        </w:r>
        <w:r w:rsidR="001D68E9">
          <w:rPr>
            <w:noProof/>
            <w:webHidden/>
          </w:rPr>
          <w:instrText xml:space="preserve"> PAGEREF _Toc259024222 \h </w:instrText>
        </w:r>
        <w:r>
          <w:rPr>
            <w:noProof/>
            <w:webHidden/>
          </w:rPr>
        </w:r>
        <w:r>
          <w:rPr>
            <w:noProof/>
            <w:webHidden/>
          </w:rPr>
          <w:fldChar w:fldCharType="separate"/>
        </w:r>
        <w:r w:rsidR="001D68E9">
          <w:rPr>
            <w:noProof/>
            <w:webHidden/>
          </w:rPr>
          <w:t>3</w:t>
        </w:r>
        <w:r>
          <w:rPr>
            <w:noProof/>
            <w:webHidden/>
          </w:rPr>
          <w:fldChar w:fldCharType="end"/>
        </w:r>
      </w:hyperlink>
    </w:p>
    <w:p w:rsidR="001D68E9" w:rsidRDefault="002D71A8" w:rsidP="00D45FCE">
      <w:pPr>
        <w:pStyle w:val="TOC1"/>
        <w:tabs>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9024223" w:history="1">
        <w:r w:rsidR="001D68E9" w:rsidRPr="00D062C9">
          <w:rPr>
            <w:rStyle w:val="Hyperlink"/>
            <w:noProof/>
          </w:rPr>
          <w:t>3</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Actualización de las tecnologías terrenales de las IMT-2000</w:t>
        </w:r>
        <w:r w:rsidR="001D68E9">
          <w:rPr>
            <w:noProof/>
            <w:webHidden/>
          </w:rPr>
          <w:tab/>
        </w:r>
        <w:r w:rsidR="001D68E9">
          <w:rPr>
            <w:noProof/>
            <w:webHidden/>
          </w:rPr>
          <w:tab/>
        </w:r>
        <w:r>
          <w:rPr>
            <w:noProof/>
            <w:webHidden/>
          </w:rPr>
          <w:fldChar w:fldCharType="begin"/>
        </w:r>
        <w:r w:rsidR="001D68E9">
          <w:rPr>
            <w:noProof/>
            <w:webHidden/>
          </w:rPr>
          <w:instrText xml:space="preserve"> PAGEREF _Toc259024223 \h </w:instrText>
        </w:r>
        <w:r>
          <w:rPr>
            <w:noProof/>
            <w:webHidden/>
          </w:rPr>
        </w:r>
        <w:r>
          <w:rPr>
            <w:noProof/>
            <w:webHidden/>
          </w:rPr>
          <w:fldChar w:fldCharType="separate"/>
        </w:r>
        <w:r w:rsidR="001D68E9">
          <w:rPr>
            <w:noProof/>
            <w:webHidden/>
          </w:rPr>
          <w:t>4</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24" w:history="1">
        <w:r w:rsidR="001D68E9" w:rsidRPr="00D062C9">
          <w:rPr>
            <w:rStyle w:val="Hyperlink"/>
            <w:noProof/>
          </w:rPr>
          <w:t>3.1</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Redes de acceso radioeléctrico y normas de las IMT</w:t>
        </w:r>
        <w:r w:rsidR="001D68E9" w:rsidRPr="00D062C9">
          <w:rPr>
            <w:rStyle w:val="Hyperlink"/>
            <w:noProof/>
            <w:lang w:val="es-ES_tradnl"/>
          </w:rPr>
          <w:noBreakHyphen/>
          <w:t>2000</w:t>
        </w:r>
        <w:r w:rsidR="001D68E9">
          <w:rPr>
            <w:noProof/>
            <w:webHidden/>
          </w:rPr>
          <w:tab/>
        </w:r>
        <w:r w:rsidR="001D68E9">
          <w:rPr>
            <w:noProof/>
            <w:webHidden/>
          </w:rPr>
          <w:tab/>
        </w:r>
        <w:r>
          <w:rPr>
            <w:noProof/>
            <w:webHidden/>
          </w:rPr>
          <w:fldChar w:fldCharType="begin"/>
        </w:r>
        <w:r w:rsidR="001D68E9">
          <w:rPr>
            <w:noProof/>
            <w:webHidden/>
          </w:rPr>
          <w:instrText xml:space="preserve"> PAGEREF _Toc259024224 \h </w:instrText>
        </w:r>
        <w:r>
          <w:rPr>
            <w:noProof/>
            <w:webHidden/>
          </w:rPr>
        </w:r>
        <w:r>
          <w:rPr>
            <w:noProof/>
            <w:webHidden/>
          </w:rPr>
          <w:fldChar w:fldCharType="separate"/>
        </w:r>
        <w:r w:rsidR="001D68E9">
          <w:rPr>
            <w:noProof/>
            <w:webHidden/>
          </w:rPr>
          <w:t>4</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25" w:history="1">
        <w:r w:rsidR="001D68E9" w:rsidRPr="00D062C9">
          <w:rPr>
            <w:rStyle w:val="Hyperlink"/>
            <w:noProof/>
          </w:rPr>
          <w:t>3.2</w:t>
        </w:r>
        <w:r w:rsidR="001D68E9">
          <w:rPr>
            <w:rFonts w:asciiTheme="minorHAnsi" w:eastAsiaTheme="minorEastAsia" w:hAnsiTheme="minorHAnsi" w:cstheme="minorBidi"/>
            <w:noProof/>
            <w:szCs w:val="22"/>
            <w:lang w:eastAsia="zh-CN"/>
          </w:rPr>
          <w:tab/>
        </w:r>
        <w:r w:rsidR="001D68E9" w:rsidRPr="00D062C9">
          <w:rPr>
            <w:rStyle w:val="Hyperlink"/>
            <w:noProof/>
            <w:lang w:val="es-ES"/>
          </w:rPr>
          <w:t>Normas de las radiocomunicaciones terrenales de las IMT</w:t>
        </w:r>
        <w:r w:rsidR="001D68E9" w:rsidRPr="00D062C9">
          <w:rPr>
            <w:rStyle w:val="Hyperlink"/>
            <w:noProof/>
            <w:lang w:val="es-ES"/>
          </w:rPr>
          <w:noBreakHyphen/>
          <w:t>2000</w:t>
        </w:r>
        <w:r w:rsidR="001D68E9">
          <w:rPr>
            <w:noProof/>
            <w:webHidden/>
          </w:rPr>
          <w:tab/>
        </w:r>
        <w:r w:rsidR="001D68E9">
          <w:rPr>
            <w:noProof/>
            <w:webHidden/>
          </w:rPr>
          <w:tab/>
        </w:r>
        <w:r>
          <w:rPr>
            <w:noProof/>
            <w:webHidden/>
          </w:rPr>
          <w:fldChar w:fldCharType="begin"/>
        </w:r>
        <w:r w:rsidR="001D68E9">
          <w:rPr>
            <w:noProof/>
            <w:webHidden/>
          </w:rPr>
          <w:instrText xml:space="preserve"> PAGEREF _Toc259024225 \h </w:instrText>
        </w:r>
        <w:r>
          <w:rPr>
            <w:noProof/>
            <w:webHidden/>
          </w:rPr>
        </w:r>
        <w:r>
          <w:rPr>
            <w:noProof/>
            <w:webHidden/>
          </w:rPr>
          <w:fldChar w:fldCharType="separate"/>
        </w:r>
        <w:r w:rsidR="001D68E9">
          <w:rPr>
            <w:noProof/>
            <w:webHidden/>
          </w:rPr>
          <w:t>4</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27" w:history="1">
        <w:r w:rsidR="001D68E9" w:rsidRPr="00D062C9">
          <w:rPr>
            <w:rStyle w:val="Hyperlink"/>
            <w:noProof/>
          </w:rPr>
          <w:t>3.3</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Redes básicas IMT-2000</w:t>
        </w:r>
        <w:r w:rsidR="001D68E9">
          <w:rPr>
            <w:noProof/>
            <w:webHidden/>
          </w:rPr>
          <w:tab/>
        </w:r>
        <w:r w:rsidR="001D68E9">
          <w:rPr>
            <w:noProof/>
            <w:webHidden/>
          </w:rPr>
          <w:tab/>
        </w:r>
        <w:r>
          <w:rPr>
            <w:noProof/>
            <w:webHidden/>
          </w:rPr>
          <w:fldChar w:fldCharType="begin"/>
        </w:r>
        <w:r w:rsidR="001D68E9">
          <w:rPr>
            <w:noProof/>
            <w:webHidden/>
          </w:rPr>
          <w:instrText xml:space="preserve"> PAGEREF _Toc259024227 \h </w:instrText>
        </w:r>
        <w:r>
          <w:rPr>
            <w:noProof/>
            <w:webHidden/>
          </w:rPr>
        </w:r>
        <w:r>
          <w:rPr>
            <w:noProof/>
            <w:webHidden/>
          </w:rPr>
          <w:fldChar w:fldCharType="separate"/>
        </w:r>
        <w:r w:rsidR="001D68E9">
          <w:rPr>
            <w:noProof/>
            <w:webHidden/>
          </w:rPr>
          <w:t>5</w:t>
        </w:r>
        <w:r>
          <w:rPr>
            <w:noProof/>
            <w:webHidden/>
          </w:rPr>
          <w:fldChar w:fldCharType="end"/>
        </w:r>
      </w:hyperlink>
    </w:p>
    <w:p w:rsidR="001D68E9" w:rsidRDefault="002D71A8" w:rsidP="001D68E9">
      <w:pPr>
        <w:pStyle w:val="TOC1"/>
        <w:tabs>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9024228" w:history="1">
        <w:r w:rsidR="001D68E9" w:rsidRPr="00D062C9">
          <w:rPr>
            <w:rStyle w:val="Hyperlink"/>
            <w:noProof/>
            <w:lang w:val="fr-FR"/>
          </w:rPr>
          <w:t>4</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Información sobre las tecnologías por satélite de las IMT-2000</w:t>
        </w:r>
        <w:r w:rsidR="001D68E9">
          <w:rPr>
            <w:noProof/>
            <w:webHidden/>
          </w:rPr>
          <w:tab/>
        </w:r>
        <w:r w:rsidR="001D68E9">
          <w:rPr>
            <w:noProof/>
            <w:webHidden/>
          </w:rPr>
          <w:tab/>
        </w:r>
        <w:r>
          <w:rPr>
            <w:noProof/>
            <w:webHidden/>
          </w:rPr>
          <w:fldChar w:fldCharType="begin"/>
        </w:r>
        <w:r w:rsidR="001D68E9">
          <w:rPr>
            <w:noProof/>
            <w:webHidden/>
          </w:rPr>
          <w:instrText xml:space="preserve"> PAGEREF _Toc259024228 \h </w:instrText>
        </w:r>
        <w:r>
          <w:rPr>
            <w:noProof/>
            <w:webHidden/>
          </w:rPr>
        </w:r>
        <w:r>
          <w:rPr>
            <w:noProof/>
            <w:webHidden/>
          </w:rPr>
          <w:fldChar w:fldCharType="separate"/>
        </w:r>
        <w:r w:rsidR="001D68E9">
          <w:rPr>
            <w:noProof/>
            <w:webHidden/>
          </w:rPr>
          <w:t>7</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29" w:history="1">
        <w:r w:rsidR="001D68E9" w:rsidRPr="00D062C9">
          <w:rPr>
            <w:rStyle w:val="Hyperlink"/>
            <w:noProof/>
          </w:rPr>
          <w:t>4.1</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Consideraciones sobre los satélites</w:t>
        </w:r>
        <w:r w:rsidR="001D68E9">
          <w:rPr>
            <w:noProof/>
            <w:webHidden/>
          </w:rPr>
          <w:tab/>
        </w:r>
        <w:r w:rsidR="001D68E9">
          <w:rPr>
            <w:noProof/>
            <w:webHidden/>
          </w:rPr>
          <w:tab/>
        </w:r>
        <w:r>
          <w:rPr>
            <w:noProof/>
            <w:webHidden/>
          </w:rPr>
          <w:fldChar w:fldCharType="begin"/>
        </w:r>
        <w:r w:rsidR="001D68E9">
          <w:rPr>
            <w:noProof/>
            <w:webHidden/>
          </w:rPr>
          <w:instrText xml:space="preserve"> PAGEREF _Toc259024229 \h </w:instrText>
        </w:r>
        <w:r>
          <w:rPr>
            <w:noProof/>
            <w:webHidden/>
          </w:rPr>
        </w:r>
        <w:r>
          <w:rPr>
            <w:noProof/>
            <w:webHidden/>
          </w:rPr>
          <w:fldChar w:fldCharType="separate"/>
        </w:r>
        <w:r w:rsidR="001D68E9">
          <w:rPr>
            <w:noProof/>
            <w:webHidden/>
          </w:rPr>
          <w:t>7</w:t>
        </w:r>
        <w:r>
          <w:rPr>
            <w:noProof/>
            <w:webHidden/>
          </w:rPr>
          <w:fldChar w:fldCharType="end"/>
        </w:r>
      </w:hyperlink>
    </w:p>
    <w:p w:rsidR="001D68E9" w:rsidRDefault="002D71A8" w:rsidP="001D68E9">
      <w:pPr>
        <w:pStyle w:val="TOC1"/>
        <w:tabs>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9024230" w:history="1">
        <w:r w:rsidR="001D68E9" w:rsidRPr="00D062C9">
          <w:rPr>
            <w:rStyle w:val="Hyperlink"/>
            <w:noProof/>
          </w:rPr>
          <w:t>5</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Actualización de las organizaciones de normalización competentes en las IMT</w:t>
        </w:r>
        <w:r w:rsidR="001D68E9" w:rsidRPr="00D062C9">
          <w:rPr>
            <w:rStyle w:val="Hyperlink"/>
            <w:noProof/>
            <w:lang w:val="es-ES_tradnl"/>
          </w:rPr>
          <w:noBreakHyphen/>
          <w:t>2000</w:t>
        </w:r>
        <w:r w:rsidR="001D68E9">
          <w:rPr>
            <w:noProof/>
            <w:webHidden/>
          </w:rPr>
          <w:tab/>
        </w:r>
        <w:r w:rsidR="001D68E9">
          <w:rPr>
            <w:noProof/>
            <w:webHidden/>
          </w:rPr>
          <w:tab/>
        </w:r>
        <w:r>
          <w:rPr>
            <w:noProof/>
            <w:webHidden/>
          </w:rPr>
          <w:fldChar w:fldCharType="begin"/>
        </w:r>
        <w:r w:rsidR="001D68E9">
          <w:rPr>
            <w:noProof/>
            <w:webHidden/>
          </w:rPr>
          <w:instrText xml:space="preserve"> PAGEREF _Toc259024230 \h </w:instrText>
        </w:r>
        <w:r>
          <w:rPr>
            <w:noProof/>
            <w:webHidden/>
          </w:rPr>
        </w:r>
        <w:r>
          <w:rPr>
            <w:noProof/>
            <w:webHidden/>
          </w:rPr>
          <w:fldChar w:fldCharType="separate"/>
        </w:r>
        <w:r w:rsidR="001D68E9">
          <w:rPr>
            <w:noProof/>
            <w:webHidden/>
          </w:rPr>
          <w:t>7</w:t>
        </w:r>
        <w:r>
          <w:rPr>
            <w:noProof/>
            <w:webHidden/>
          </w:rPr>
          <w:fldChar w:fldCharType="end"/>
        </w:r>
      </w:hyperlink>
    </w:p>
    <w:p w:rsidR="001D68E9" w:rsidRDefault="002D71A8" w:rsidP="001D68E9">
      <w:pPr>
        <w:pStyle w:val="TOC1"/>
        <w:tabs>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9024231" w:history="1">
        <w:r w:rsidR="001D68E9" w:rsidRPr="00D062C9">
          <w:rPr>
            <w:rStyle w:val="Hyperlink"/>
            <w:noProof/>
          </w:rPr>
          <w:t>6</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Oferta de servicios de las IMT-2000</w:t>
        </w:r>
        <w:r w:rsidR="001D68E9">
          <w:rPr>
            <w:noProof/>
            <w:webHidden/>
          </w:rPr>
          <w:tab/>
        </w:r>
        <w:r w:rsidR="001D68E9">
          <w:rPr>
            <w:noProof/>
            <w:webHidden/>
          </w:rPr>
          <w:tab/>
        </w:r>
        <w:r>
          <w:rPr>
            <w:noProof/>
            <w:webHidden/>
          </w:rPr>
          <w:fldChar w:fldCharType="begin"/>
        </w:r>
        <w:r w:rsidR="001D68E9">
          <w:rPr>
            <w:noProof/>
            <w:webHidden/>
          </w:rPr>
          <w:instrText xml:space="preserve"> PAGEREF _Toc259024231 \h </w:instrText>
        </w:r>
        <w:r>
          <w:rPr>
            <w:noProof/>
            <w:webHidden/>
          </w:rPr>
        </w:r>
        <w:r>
          <w:rPr>
            <w:noProof/>
            <w:webHidden/>
          </w:rPr>
          <w:fldChar w:fldCharType="separate"/>
        </w:r>
        <w:r w:rsidR="001D68E9">
          <w:rPr>
            <w:noProof/>
            <w:webHidden/>
          </w:rPr>
          <w:t>7</w:t>
        </w:r>
        <w:r>
          <w:rPr>
            <w:noProof/>
            <w:webHidden/>
          </w:rPr>
          <w:fldChar w:fldCharType="end"/>
        </w:r>
      </w:hyperlink>
    </w:p>
    <w:p w:rsidR="001D68E9" w:rsidRDefault="002D71A8" w:rsidP="001D68E9">
      <w:pPr>
        <w:pStyle w:val="TOC1"/>
        <w:tabs>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9024232" w:history="1">
        <w:r w:rsidR="001D68E9" w:rsidRPr="00D062C9">
          <w:rPr>
            <w:rStyle w:val="Hyperlink"/>
            <w:noProof/>
          </w:rPr>
          <w:t>7</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Necesidades de espectro</w:t>
        </w:r>
        <w:r w:rsidR="001D68E9">
          <w:rPr>
            <w:noProof/>
            <w:webHidden/>
          </w:rPr>
          <w:tab/>
        </w:r>
        <w:r w:rsidR="001D68E9">
          <w:rPr>
            <w:noProof/>
            <w:webHidden/>
          </w:rPr>
          <w:tab/>
        </w:r>
        <w:r>
          <w:rPr>
            <w:noProof/>
            <w:webHidden/>
          </w:rPr>
          <w:fldChar w:fldCharType="begin"/>
        </w:r>
        <w:r w:rsidR="001D68E9">
          <w:rPr>
            <w:noProof/>
            <w:webHidden/>
          </w:rPr>
          <w:instrText xml:space="preserve"> PAGEREF _Toc259024232 \h </w:instrText>
        </w:r>
        <w:r>
          <w:rPr>
            <w:noProof/>
            <w:webHidden/>
          </w:rPr>
        </w:r>
        <w:r>
          <w:rPr>
            <w:noProof/>
            <w:webHidden/>
          </w:rPr>
          <w:fldChar w:fldCharType="separate"/>
        </w:r>
        <w:r w:rsidR="001D68E9">
          <w:rPr>
            <w:noProof/>
            <w:webHidden/>
          </w:rPr>
          <w:t>8</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33" w:history="1">
        <w:r w:rsidR="001D68E9" w:rsidRPr="00D062C9">
          <w:rPr>
            <w:rStyle w:val="Hyperlink"/>
            <w:noProof/>
          </w:rPr>
          <w:t>7.1</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Actualización de las disposiciones de frecuencias</w:t>
        </w:r>
        <w:r w:rsidR="001D68E9">
          <w:rPr>
            <w:noProof/>
            <w:webHidden/>
          </w:rPr>
          <w:tab/>
        </w:r>
        <w:r w:rsidR="001D68E9">
          <w:rPr>
            <w:noProof/>
            <w:webHidden/>
          </w:rPr>
          <w:tab/>
        </w:r>
        <w:r>
          <w:rPr>
            <w:noProof/>
            <w:webHidden/>
          </w:rPr>
          <w:fldChar w:fldCharType="begin"/>
        </w:r>
        <w:r w:rsidR="001D68E9">
          <w:rPr>
            <w:noProof/>
            <w:webHidden/>
          </w:rPr>
          <w:instrText xml:space="preserve"> PAGEREF _Toc259024233 \h </w:instrText>
        </w:r>
        <w:r>
          <w:rPr>
            <w:noProof/>
            <w:webHidden/>
          </w:rPr>
        </w:r>
        <w:r>
          <w:rPr>
            <w:noProof/>
            <w:webHidden/>
          </w:rPr>
          <w:fldChar w:fldCharType="separate"/>
        </w:r>
        <w:r w:rsidR="001D68E9">
          <w:rPr>
            <w:noProof/>
            <w:webHidden/>
          </w:rPr>
          <w:t>8</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34" w:history="1">
        <w:r w:rsidR="001D68E9" w:rsidRPr="00D062C9">
          <w:rPr>
            <w:rStyle w:val="Hyperlink"/>
            <w:noProof/>
          </w:rPr>
          <w:t>7.2</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Consideraciones para los países en desarrollo</w:t>
        </w:r>
        <w:r w:rsidR="001D68E9">
          <w:rPr>
            <w:noProof/>
            <w:webHidden/>
          </w:rPr>
          <w:tab/>
        </w:r>
        <w:r w:rsidR="001D68E9">
          <w:rPr>
            <w:noProof/>
            <w:webHidden/>
          </w:rPr>
          <w:tab/>
        </w:r>
        <w:r>
          <w:rPr>
            <w:noProof/>
            <w:webHidden/>
          </w:rPr>
          <w:fldChar w:fldCharType="begin"/>
        </w:r>
        <w:r w:rsidR="001D68E9">
          <w:rPr>
            <w:noProof/>
            <w:webHidden/>
          </w:rPr>
          <w:instrText xml:space="preserve"> PAGEREF _Toc259024234 \h </w:instrText>
        </w:r>
        <w:r>
          <w:rPr>
            <w:noProof/>
            <w:webHidden/>
          </w:rPr>
        </w:r>
        <w:r>
          <w:rPr>
            <w:noProof/>
            <w:webHidden/>
          </w:rPr>
          <w:fldChar w:fldCharType="separate"/>
        </w:r>
        <w:r w:rsidR="001D68E9">
          <w:rPr>
            <w:noProof/>
            <w:webHidden/>
          </w:rPr>
          <w:t>9</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35" w:history="1">
        <w:r w:rsidR="001D68E9" w:rsidRPr="00D062C9">
          <w:rPr>
            <w:rStyle w:val="Hyperlink"/>
            <w:noProof/>
          </w:rPr>
          <w:t>7.3</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Principios aplicables a la utilización de espectro para las IMT</w:t>
        </w:r>
        <w:r w:rsidR="001D68E9">
          <w:rPr>
            <w:noProof/>
            <w:webHidden/>
          </w:rPr>
          <w:tab/>
        </w:r>
        <w:r w:rsidR="001D68E9">
          <w:rPr>
            <w:noProof/>
            <w:webHidden/>
          </w:rPr>
          <w:tab/>
        </w:r>
        <w:r>
          <w:rPr>
            <w:noProof/>
            <w:webHidden/>
          </w:rPr>
          <w:fldChar w:fldCharType="begin"/>
        </w:r>
        <w:r w:rsidR="001D68E9">
          <w:rPr>
            <w:noProof/>
            <w:webHidden/>
          </w:rPr>
          <w:instrText xml:space="preserve"> PAGEREF _Toc259024235 \h </w:instrText>
        </w:r>
        <w:r>
          <w:rPr>
            <w:noProof/>
            <w:webHidden/>
          </w:rPr>
        </w:r>
        <w:r>
          <w:rPr>
            <w:noProof/>
            <w:webHidden/>
          </w:rPr>
          <w:fldChar w:fldCharType="separate"/>
        </w:r>
        <w:r w:rsidR="001D68E9">
          <w:rPr>
            <w:noProof/>
            <w:webHidden/>
          </w:rPr>
          <w:t>9</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36" w:history="1">
        <w:r w:rsidR="001D68E9" w:rsidRPr="00D062C9">
          <w:rPr>
            <w:rStyle w:val="Hyperlink"/>
            <w:noProof/>
          </w:rPr>
          <w:t>7.4</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Utilización de espectro móvil de la primera y segunda generación para las IMT</w:t>
        </w:r>
        <w:r w:rsidR="001D68E9" w:rsidRPr="00D062C9">
          <w:rPr>
            <w:rStyle w:val="Hyperlink"/>
            <w:noProof/>
            <w:lang w:val="es-ES_tradnl"/>
          </w:rPr>
          <w:noBreakHyphen/>
          <w:t>2000</w:t>
        </w:r>
        <w:r w:rsidR="001D68E9">
          <w:rPr>
            <w:noProof/>
            <w:webHidden/>
          </w:rPr>
          <w:tab/>
        </w:r>
        <w:r w:rsidR="001D68E9">
          <w:rPr>
            <w:noProof/>
            <w:webHidden/>
          </w:rPr>
          <w:tab/>
        </w:r>
        <w:r>
          <w:rPr>
            <w:noProof/>
            <w:webHidden/>
          </w:rPr>
          <w:fldChar w:fldCharType="begin"/>
        </w:r>
        <w:r w:rsidR="001D68E9">
          <w:rPr>
            <w:noProof/>
            <w:webHidden/>
          </w:rPr>
          <w:instrText xml:space="preserve"> PAGEREF _Toc259024236 \h </w:instrText>
        </w:r>
        <w:r>
          <w:rPr>
            <w:noProof/>
            <w:webHidden/>
          </w:rPr>
        </w:r>
        <w:r>
          <w:rPr>
            <w:noProof/>
            <w:webHidden/>
          </w:rPr>
          <w:fldChar w:fldCharType="separate"/>
        </w:r>
        <w:r w:rsidR="001D68E9">
          <w:rPr>
            <w:noProof/>
            <w:webHidden/>
          </w:rPr>
          <w:t>9</w:t>
        </w:r>
        <w:r>
          <w:rPr>
            <w:noProof/>
            <w:webHidden/>
          </w:rPr>
          <w:fldChar w:fldCharType="end"/>
        </w:r>
      </w:hyperlink>
    </w:p>
    <w:p w:rsidR="001D68E9" w:rsidRDefault="002D71A8" w:rsidP="001D68E9">
      <w:pPr>
        <w:pStyle w:val="TOC1"/>
        <w:tabs>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9024237" w:history="1">
        <w:r w:rsidR="001D68E9" w:rsidRPr="00D062C9">
          <w:rPr>
            <w:rStyle w:val="Hyperlink"/>
            <w:noProof/>
          </w:rPr>
          <w:t>8</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Actualización de la interoperabilidad con las redes actuales y entre las tecnologías de las IMT</w:t>
        </w:r>
        <w:r w:rsidR="001D68E9" w:rsidRPr="00D062C9">
          <w:rPr>
            <w:rStyle w:val="Hyperlink"/>
            <w:noProof/>
            <w:lang w:val="es-ES_tradnl"/>
          </w:rPr>
          <w:noBreakHyphen/>
          <w:t>2000</w:t>
        </w:r>
        <w:r w:rsidR="001D68E9">
          <w:rPr>
            <w:noProof/>
            <w:webHidden/>
          </w:rPr>
          <w:tab/>
        </w:r>
        <w:r w:rsidR="001D68E9">
          <w:rPr>
            <w:noProof/>
            <w:webHidden/>
          </w:rPr>
          <w:tab/>
        </w:r>
        <w:r>
          <w:rPr>
            <w:noProof/>
            <w:webHidden/>
          </w:rPr>
          <w:fldChar w:fldCharType="begin"/>
        </w:r>
        <w:r w:rsidR="001D68E9">
          <w:rPr>
            <w:noProof/>
            <w:webHidden/>
          </w:rPr>
          <w:instrText xml:space="preserve"> PAGEREF _Toc259024237 \h </w:instrText>
        </w:r>
        <w:r>
          <w:rPr>
            <w:noProof/>
            <w:webHidden/>
          </w:rPr>
        </w:r>
        <w:r>
          <w:rPr>
            <w:noProof/>
            <w:webHidden/>
          </w:rPr>
          <w:fldChar w:fldCharType="separate"/>
        </w:r>
        <w:r w:rsidR="001D68E9">
          <w:rPr>
            <w:noProof/>
            <w:webHidden/>
          </w:rPr>
          <w:t>10</w:t>
        </w:r>
        <w:r>
          <w:rPr>
            <w:noProof/>
            <w:webHidden/>
          </w:rPr>
          <w:fldChar w:fldCharType="end"/>
        </w:r>
      </w:hyperlink>
    </w:p>
    <w:p w:rsidR="001D68E9" w:rsidRDefault="002D71A8" w:rsidP="001D68E9">
      <w:pPr>
        <w:pStyle w:val="TOC1"/>
        <w:tabs>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9024238" w:history="1">
        <w:r w:rsidR="001D68E9" w:rsidRPr="00D062C9">
          <w:rPr>
            <w:rStyle w:val="Hyperlink"/>
            <w:noProof/>
          </w:rPr>
          <w:t>9</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Actualización de los trayectos de transición</w:t>
        </w:r>
        <w:r w:rsidR="001D68E9">
          <w:rPr>
            <w:noProof/>
            <w:webHidden/>
          </w:rPr>
          <w:tab/>
        </w:r>
        <w:r w:rsidR="001D68E9">
          <w:rPr>
            <w:noProof/>
            <w:webHidden/>
          </w:rPr>
          <w:tab/>
        </w:r>
        <w:r>
          <w:rPr>
            <w:noProof/>
            <w:webHidden/>
          </w:rPr>
          <w:fldChar w:fldCharType="begin"/>
        </w:r>
        <w:r w:rsidR="001D68E9">
          <w:rPr>
            <w:noProof/>
            <w:webHidden/>
          </w:rPr>
          <w:instrText xml:space="preserve"> PAGEREF _Toc259024238 \h </w:instrText>
        </w:r>
        <w:r>
          <w:rPr>
            <w:noProof/>
            <w:webHidden/>
          </w:rPr>
        </w:r>
        <w:r>
          <w:rPr>
            <w:noProof/>
            <w:webHidden/>
          </w:rPr>
          <w:fldChar w:fldCharType="separate"/>
        </w:r>
        <w:r w:rsidR="001D68E9">
          <w:rPr>
            <w:noProof/>
            <w:webHidden/>
          </w:rPr>
          <w:t>11</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39" w:history="1">
        <w:r w:rsidR="001D68E9" w:rsidRPr="00D062C9">
          <w:rPr>
            <w:rStyle w:val="Hyperlink"/>
            <w:noProof/>
          </w:rPr>
          <w:t>9.1</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Introducción</w:t>
        </w:r>
        <w:r w:rsidR="001D68E9">
          <w:rPr>
            <w:noProof/>
            <w:webHidden/>
          </w:rPr>
          <w:tab/>
        </w:r>
        <w:r w:rsidR="001D68E9">
          <w:rPr>
            <w:noProof/>
            <w:webHidden/>
          </w:rPr>
          <w:tab/>
        </w:r>
        <w:r>
          <w:rPr>
            <w:noProof/>
            <w:webHidden/>
          </w:rPr>
          <w:fldChar w:fldCharType="begin"/>
        </w:r>
        <w:r w:rsidR="001D68E9">
          <w:rPr>
            <w:noProof/>
            <w:webHidden/>
          </w:rPr>
          <w:instrText xml:space="preserve"> PAGEREF _Toc259024239 \h </w:instrText>
        </w:r>
        <w:r>
          <w:rPr>
            <w:noProof/>
            <w:webHidden/>
          </w:rPr>
        </w:r>
        <w:r>
          <w:rPr>
            <w:noProof/>
            <w:webHidden/>
          </w:rPr>
          <w:fldChar w:fldCharType="separate"/>
        </w:r>
        <w:r w:rsidR="001D68E9">
          <w:rPr>
            <w:noProof/>
            <w:webHidden/>
          </w:rPr>
          <w:t>11</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40" w:history="1">
        <w:r w:rsidR="001D68E9" w:rsidRPr="00D062C9">
          <w:rPr>
            <w:rStyle w:val="Hyperlink"/>
            <w:noProof/>
          </w:rPr>
          <w:t>9.2</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Consideraciones sobre la transición</w:t>
        </w:r>
        <w:r w:rsidR="001D68E9">
          <w:rPr>
            <w:noProof/>
            <w:webHidden/>
          </w:rPr>
          <w:tab/>
        </w:r>
        <w:r w:rsidR="001D68E9">
          <w:rPr>
            <w:noProof/>
            <w:webHidden/>
          </w:rPr>
          <w:tab/>
        </w:r>
        <w:r>
          <w:rPr>
            <w:noProof/>
            <w:webHidden/>
          </w:rPr>
          <w:fldChar w:fldCharType="begin"/>
        </w:r>
        <w:r w:rsidR="001D68E9">
          <w:rPr>
            <w:noProof/>
            <w:webHidden/>
          </w:rPr>
          <w:instrText xml:space="preserve"> PAGEREF _Toc259024240 \h </w:instrText>
        </w:r>
        <w:r>
          <w:rPr>
            <w:noProof/>
            <w:webHidden/>
          </w:rPr>
        </w:r>
        <w:r>
          <w:rPr>
            <w:noProof/>
            <w:webHidden/>
          </w:rPr>
          <w:fldChar w:fldCharType="separate"/>
        </w:r>
        <w:r w:rsidR="001D68E9">
          <w:rPr>
            <w:noProof/>
            <w:webHidden/>
          </w:rPr>
          <w:t>13</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42" w:history="1">
        <w:r w:rsidR="001D68E9" w:rsidRPr="00D062C9">
          <w:rPr>
            <w:rStyle w:val="Hyperlink"/>
            <w:noProof/>
          </w:rPr>
          <w:t>9.3</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Transición de los sistemas analógicos (1G) (AMPS, NMT y TACS)</w:t>
        </w:r>
        <w:r w:rsidR="001D68E9">
          <w:rPr>
            <w:noProof/>
            <w:webHidden/>
          </w:rPr>
          <w:tab/>
        </w:r>
        <w:r w:rsidR="001D68E9">
          <w:rPr>
            <w:noProof/>
            <w:webHidden/>
          </w:rPr>
          <w:tab/>
        </w:r>
        <w:r>
          <w:rPr>
            <w:noProof/>
            <w:webHidden/>
          </w:rPr>
          <w:fldChar w:fldCharType="begin"/>
        </w:r>
        <w:r w:rsidR="001D68E9">
          <w:rPr>
            <w:noProof/>
            <w:webHidden/>
          </w:rPr>
          <w:instrText xml:space="preserve"> PAGEREF _Toc259024242 \h </w:instrText>
        </w:r>
        <w:r>
          <w:rPr>
            <w:noProof/>
            <w:webHidden/>
          </w:rPr>
        </w:r>
        <w:r>
          <w:rPr>
            <w:noProof/>
            <w:webHidden/>
          </w:rPr>
          <w:fldChar w:fldCharType="separate"/>
        </w:r>
        <w:r w:rsidR="001D68E9">
          <w:rPr>
            <w:noProof/>
            <w:webHidden/>
          </w:rPr>
          <w:t>21</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46" w:history="1">
        <w:r w:rsidR="001D68E9" w:rsidRPr="00D062C9">
          <w:rPr>
            <w:rStyle w:val="Hyperlink"/>
            <w:noProof/>
          </w:rPr>
          <w:t>9.4</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Transición de los sistemas TDMA/D</w:t>
        </w:r>
        <w:r w:rsidR="001D68E9" w:rsidRPr="00D062C9">
          <w:rPr>
            <w:rStyle w:val="Hyperlink"/>
            <w:noProof/>
            <w:lang w:val="es-ES_tradnl"/>
          </w:rPr>
          <w:noBreakHyphen/>
          <w:t>AMPS</w:t>
        </w:r>
        <w:r w:rsidR="001D68E9">
          <w:rPr>
            <w:noProof/>
            <w:webHidden/>
          </w:rPr>
          <w:tab/>
        </w:r>
        <w:r w:rsidR="001D68E9">
          <w:rPr>
            <w:noProof/>
            <w:webHidden/>
          </w:rPr>
          <w:tab/>
        </w:r>
        <w:r>
          <w:rPr>
            <w:noProof/>
            <w:webHidden/>
          </w:rPr>
          <w:fldChar w:fldCharType="begin"/>
        </w:r>
        <w:r w:rsidR="001D68E9">
          <w:rPr>
            <w:noProof/>
            <w:webHidden/>
          </w:rPr>
          <w:instrText xml:space="preserve"> PAGEREF _Toc259024246 \h </w:instrText>
        </w:r>
        <w:r>
          <w:rPr>
            <w:noProof/>
            <w:webHidden/>
          </w:rPr>
        </w:r>
        <w:r>
          <w:rPr>
            <w:noProof/>
            <w:webHidden/>
          </w:rPr>
          <w:fldChar w:fldCharType="separate"/>
        </w:r>
        <w:r w:rsidR="001D68E9">
          <w:rPr>
            <w:noProof/>
            <w:webHidden/>
          </w:rPr>
          <w:t>24</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50" w:history="1">
        <w:r w:rsidR="001D68E9" w:rsidRPr="00D062C9">
          <w:rPr>
            <w:rStyle w:val="Hyperlink"/>
            <w:noProof/>
          </w:rPr>
          <w:t>9.5</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Transición del PDC</w:t>
        </w:r>
        <w:r w:rsidR="001D68E9">
          <w:rPr>
            <w:noProof/>
            <w:webHidden/>
          </w:rPr>
          <w:tab/>
        </w:r>
        <w:r w:rsidR="001D68E9">
          <w:rPr>
            <w:noProof/>
            <w:webHidden/>
          </w:rPr>
          <w:tab/>
        </w:r>
        <w:r>
          <w:rPr>
            <w:noProof/>
            <w:webHidden/>
          </w:rPr>
          <w:fldChar w:fldCharType="begin"/>
        </w:r>
        <w:r w:rsidR="001D68E9">
          <w:rPr>
            <w:noProof/>
            <w:webHidden/>
          </w:rPr>
          <w:instrText xml:space="preserve"> PAGEREF _Toc259024250 \h </w:instrText>
        </w:r>
        <w:r>
          <w:rPr>
            <w:noProof/>
            <w:webHidden/>
          </w:rPr>
        </w:r>
        <w:r>
          <w:rPr>
            <w:noProof/>
            <w:webHidden/>
          </w:rPr>
          <w:fldChar w:fldCharType="separate"/>
        </w:r>
        <w:r w:rsidR="001D68E9">
          <w:rPr>
            <w:noProof/>
            <w:webHidden/>
          </w:rPr>
          <w:t>27</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53" w:history="1">
        <w:r w:rsidR="001D68E9" w:rsidRPr="00D062C9">
          <w:rPr>
            <w:rStyle w:val="Hyperlink"/>
            <w:noProof/>
          </w:rPr>
          <w:t>9.6</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Transición de los sistemas cdmaOne</w:t>
        </w:r>
        <w:r w:rsidR="001D68E9">
          <w:rPr>
            <w:noProof/>
            <w:webHidden/>
          </w:rPr>
          <w:tab/>
        </w:r>
        <w:r w:rsidR="001D68E9">
          <w:rPr>
            <w:noProof/>
            <w:webHidden/>
          </w:rPr>
          <w:tab/>
        </w:r>
        <w:r>
          <w:rPr>
            <w:noProof/>
            <w:webHidden/>
          </w:rPr>
          <w:fldChar w:fldCharType="begin"/>
        </w:r>
        <w:r w:rsidR="001D68E9">
          <w:rPr>
            <w:noProof/>
            <w:webHidden/>
          </w:rPr>
          <w:instrText xml:space="preserve"> PAGEREF _Toc259024253 \h </w:instrText>
        </w:r>
        <w:r>
          <w:rPr>
            <w:noProof/>
            <w:webHidden/>
          </w:rPr>
        </w:r>
        <w:r>
          <w:rPr>
            <w:noProof/>
            <w:webHidden/>
          </w:rPr>
          <w:fldChar w:fldCharType="separate"/>
        </w:r>
        <w:r w:rsidR="001D68E9">
          <w:rPr>
            <w:noProof/>
            <w:webHidden/>
          </w:rPr>
          <w:t>28</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55" w:history="1">
        <w:r w:rsidR="001D68E9" w:rsidRPr="00D062C9">
          <w:rPr>
            <w:rStyle w:val="Hyperlink"/>
            <w:noProof/>
          </w:rPr>
          <w:t>9.7</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Transición de los sistemas GSM</w:t>
        </w:r>
        <w:r w:rsidR="001D68E9">
          <w:rPr>
            <w:noProof/>
            <w:webHidden/>
          </w:rPr>
          <w:tab/>
        </w:r>
        <w:r w:rsidR="001D68E9">
          <w:rPr>
            <w:noProof/>
            <w:webHidden/>
          </w:rPr>
          <w:tab/>
        </w:r>
        <w:r>
          <w:rPr>
            <w:noProof/>
            <w:webHidden/>
          </w:rPr>
          <w:fldChar w:fldCharType="begin"/>
        </w:r>
        <w:r w:rsidR="001D68E9">
          <w:rPr>
            <w:noProof/>
            <w:webHidden/>
          </w:rPr>
          <w:instrText xml:space="preserve"> PAGEREF _Toc259024255 \h </w:instrText>
        </w:r>
        <w:r>
          <w:rPr>
            <w:noProof/>
            <w:webHidden/>
          </w:rPr>
        </w:r>
        <w:r>
          <w:rPr>
            <w:noProof/>
            <w:webHidden/>
          </w:rPr>
          <w:fldChar w:fldCharType="separate"/>
        </w:r>
        <w:r w:rsidR="001D68E9">
          <w:rPr>
            <w:noProof/>
            <w:webHidden/>
          </w:rPr>
          <w:t>30</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60" w:history="1">
        <w:r w:rsidR="001D68E9" w:rsidRPr="00D062C9">
          <w:rPr>
            <w:rStyle w:val="Hyperlink"/>
            <w:noProof/>
          </w:rPr>
          <w:t>9.8</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Capacidad de planificación y diseño del sistema</w:t>
        </w:r>
        <w:r w:rsidR="001D68E9">
          <w:rPr>
            <w:noProof/>
            <w:webHidden/>
          </w:rPr>
          <w:tab/>
        </w:r>
        <w:r w:rsidR="001D68E9">
          <w:rPr>
            <w:noProof/>
            <w:webHidden/>
          </w:rPr>
          <w:tab/>
        </w:r>
        <w:r>
          <w:rPr>
            <w:noProof/>
            <w:webHidden/>
          </w:rPr>
          <w:fldChar w:fldCharType="begin"/>
        </w:r>
        <w:r w:rsidR="001D68E9">
          <w:rPr>
            <w:noProof/>
            <w:webHidden/>
          </w:rPr>
          <w:instrText xml:space="preserve"> PAGEREF _Toc259024260 \h </w:instrText>
        </w:r>
        <w:r>
          <w:rPr>
            <w:noProof/>
            <w:webHidden/>
          </w:rPr>
        </w:r>
        <w:r>
          <w:rPr>
            <w:noProof/>
            <w:webHidden/>
          </w:rPr>
          <w:fldChar w:fldCharType="separate"/>
        </w:r>
        <w:r w:rsidR="001D68E9">
          <w:rPr>
            <w:noProof/>
            <w:webHidden/>
          </w:rPr>
          <w:t>34</w:t>
        </w:r>
        <w:r>
          <w:rPr>
            <w:noProof/>
            <w:webHidden/>
          </w:rPr>
          <w:fldChar w:fldCharType="end"/>
        </w:r>
      </w:hyperlink>
    </w:p>
    <w:p w:rsidR="001D68E9" w:rsidRDefault="002D71A8" w:rsidP="001D68E9">
      <w:pPr>
        <w:pStyle w:val="TOC1"/>
        <w:tabs>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9024261" w:history="1">
        <w:r w:rsidR="001D68E9" w:rsidRPr="00D062C9">
          <w:rPr>
            <w:rStyle w:val="Hyperlink"/>
            <w:noProof/>
          </w:rPr>
          <w:t>10</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Cuestiones diversas</w:t>
        </w:r>
        <w:r w:rsidR="001D68E9">
          <w:rPr>
            <w:noProof/>
            <w:webHidden/>
          </w:rPr>
          <w:tab/>
        </w:r>
        <w:r w:rsidR="001D68E9">
          <w:rPr>
            <w:noProof/>
            <w:webHidden/>
          </w:rPr>
          <w:tab/>
        </w:r>
        <w:r>
          <w:rPr>
            <w:noProof/>
            <w:webHidden/>
          </w:rPr>
          <w:fldChar w:fldCharType="begin"/>
        </w:r>
        <w:r w:rsidR="001D68E9">
          <w:rPr>
            <w:noProof/>
            <w:webHidden/>
          </w:rPr>
          <w:instrText xml:space="preserve"> PAGEREF _Toc259024261 \h </w:instrText>
        </w:r>
        <w:r>
          <w:rPr>
            <w:noProof/>
            <w:webHidden/>
          </w:rPr>
        </w:r>
        <w:r>
          <w:rPr>
            <w:noProof/>
            <w:webHidden/>
          </w:rPr>
          <w:fldChar w:fldCharType="separate"/>
        </w:r>
        <w:r w:rsidR="001D68E9">
          <w:rPr>
            <w:noProof/>
            <w:webHidden/>
          </w:rPr>
          <w:t>35</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62" w:history="1">
        <w:r w:rsidR="001D68E9" w:rsidRPr="00D062C9">
          <w:rPr>
            <w:rStyle w:val="Hyperlink"/>
            <w:noProof/>
          </w:rPr>
          <w:t>10.1</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Redistribución por satélite</w:t>
        </w:r>
        <w:r w:rsidR="001D68E9">
          <w:rPr>
            <w:noProof/>
            <w:webHidden/>
          </w:rPr>
          <w:tab/>
        </w:r>
        <w:r w:rsidR="001D68E9">
          <w:rPr>
            <w:noProof/>
            <w:webHidden/>
          </w:rPr>
          <w:tab/>
        </w:r>
        <w:r>
          <w:rPr>
            <w:noProof/>
            <w:webHidden/>
          </w:rPr>
          <w:fldChar w:fldCharType="begin"/>
        </w:r>
        <w:r w:rsidR="001D68E9">
          <w:rPr>
            <w:noProof/>
            <w:webHidden/>
          </w:rPr>
          <w:instrText xml:space="preserve"> PAGEREF _Toc259024262 \h </w:instrText>
        </w:r>
        <w:r>
          <w:rPr>
            <w:noProof/>
            <w:webHidden/>
          </w:rPr>
        </w:r>
        <w:r>
          <w:rPr>
            <w:noProof/>
            <w:webHidden/>
          </w:rPr>
          <w:fldChar w:fldCharType="separate"/>
        </w:r>
        <w:r w:rsidR="001D68E9">
          <w:rPr>
            <w:noProof/>
            <w:webHidden/>
          </w:rPr>
          <w:t>35</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63" w:history="1">
        <w:r w:rsidR="001D68E9" w:rsidRPr="00D062C9">
          <w:rPr>
            <w:rStyle w:val="Hyperlink"/>
            <w:noProof/>
          </w:rPr>
          <w:t>10.3</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Actualización del Anexo I con la inclusión de los estudios de casos prácticos de OFDMA TDD WMAN IP</w:t>
        </w:r>
        <w:r w:rsidR="001D68E9">
          <w:rPr>
            <w:noProof/>
            <w:webHidden/>
          </w:rPr>
          <w:tab/>
        </w:r>
        <w:r w:rsidR="001D68E9">
          <w:rPr>
            <w:noProof/>
            <w:webHidden/>
          </w:rPr>
          <w:tab/>
        </w:r>
        <w:r>
          <w:rPr>
            <w:noProof/>
            <w:webHidden/>
          </w:rPr>
          <w:fldChar w:fldCharType="begin"/>
        </w:r>
        <w:r w:rsidR="001D68E9">
          <w:rPr>
            <w:noProof/>
            <w:webHidden/>
          </w:rPr>
          <w:instrText xml:space="preserve"> PAGEREF _Toc259024263 \h </w:instrText>
        </w:r>
        <w:r>
          <w:rPr>
            <w:noProof/>
            <w:webHidden/>
          </w:rPr>
        </w:r>
        <w:r>
          <w:rPr>
            <w:noProof/>
            <w:webHidden/>
          </w:rPr>
          <w:fldChar w:fldCharType="separate"/>
        </w:r>
        <w:r w:rsidR="001D68E9">
          <w:rPr>
            <w:noProof/>
            <w:webHidden/>
          </w:rPr>
          <w:t>39</w:t>
        </w:r>
        <w:r>
          <w:rPr>
            <w:noProof/>
            <w:webHidden/>
          </w:rPr>
          <w:fldChar w:fldCharType="end"/>
        </w:r>
      </w:hyperlink>
    </w:p>
    <w:p w:rsidR="001D68E9" w:rsidRDefault="002D71A8" w:rsidP="001D68E9">
      <w:pPr>
        <w:pStyle w:val="TOC2"/>
        <w:tabs>
          <w:tab w:val="clear" w:pos="8789"/>
          <w:tab w:val="clear" w:pos="9214"/>
          <w:tab w:val="left" w:leader="dot" w:pos="9072"/>
          <w:tab w:val="right" w:pos="9639"/>
        </w:tabs>
        <w:rPr>
          <w:rFonts w:asciiTheme="minorHAnsi" w:eastAsiaTheme="minorEastAsia" w:hAnsiTheme="minorHAnsi" w:cstheme="minorBidi"/>
          <w:noProof/>
          <w:szCs w:val="22"/>
          <w:lang w:eastAsia="zh-CN"/>
        </w:rPr>
      </w:pPr>
      <w:hyperlink w:anchor="_Toc259024266" w:history="1">
        <w:r w:rsidR="001D68E9" w:rsidRPr="00D062C9">
          <w:rPr>
            <w:rStyle w:val="Hyperlink"/>
            <w:noProof/>
          </w:rPr>
          <w:t>10.4</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Otras consideraciones</w:t>
        </w:r>
        <w:r w:rsidR="001D68E9">
          <w:rPr>
            <w:noProof/>
            <w:webHidden/>
          </w:rPr>
          <w:tab/>
        </w:r>
        <w:r w:rsidR="001D68E9">
          <w:rPr>
            <w:noProof/>
            <w:webHidden/>
          </w:rPr>
          <w:tab/>
        </w:r>
        <w:r>
          <w:rPr>
            <w:noProof/>
            <w:webHidden/>
          </w:rPr>
          <w:fldChar w:fldCharType="begin"/>
        </w:r>
        <w:r w:rsidR="001D68E9">
          <w:rPr>
            <w:noProof/>
            <w:webHidden/>
          </w:rPr>
          <w:instrText xml:space="preserve"> PAGEREF _Toc259024266 \h </w:instrText>
        </w:r>
        <w:r>
          <w:rPr>
            <w:noProof/>
            <w:webHidden/>
          </w:rPr>
        </w:r>
        <w:r>
          <w:rPr>
            <w:noProof/>
            <w:webHidden/>
          </w:rPr>
          <w:fldChar w:fldCharType="separate"/>
        </w:r>
        <w:r w:rsidR="001D68E9">
          <w:rPr>
            <w:noProof/>
            <w:webHidden/>
          </w:rPr>
          <w:t>42</w:t>
        </w:r>
        <w:r>
          <w:rPr>
            <w:noProof/>
            <w:webHidden/>
          </w:rPr>
          <w:fldChar w:fldCharType="end"/>
        </w:r>
      </w:hyperlink>
    </w:p>
    <w:p w:rsidR="001D68E9" w:rsidRDefault="002D71A8" w:rsidP="001D68E9">
      <w:pPr>
        <w:pStyle w:val="TOC1"/>
        <w:tabs>
          <w:tab w:val="clear" w:pos="8789"/>
          <w:tab w:val="clear" w:pos="9214"/>
          <w:tab w:val="left" w:leader="dot" w:pos="9072"/>
          <w:tab w:val="right" w:pos="9639"/>
        </w:tabs>
        <w:spacing w:before="120"/>
        <w:rPr>
          <w:rFonts w:asciiTheme="minorHAnsi" w:eastAsiaTheme="minorEastAsia" w:hAnsiTheme="minorHAnsi" w:cstheme="minorBidi"/>
          <w:noProof/>
          <w:szCs w:val="22"/>
          <w:lang w:eastAsia="zh-CN"/>
        </w:rPr>
      </w:pPr>
      <w:hyperlink w:anchor="_Toc259024271" w:history="1">
        <w:r w:rsidR="001D68E9" w:rsidRPr="00D062C9">
          <w:rPr>
            <w:rStyle w:val="Hyperlink"/>
            <w:noProof/>
          </w:rPr>
          <w:t>11</w:t>
        </w:r>
        <w:r w:rsidR="001D68E9">
          <w:rPr>
            <w:rFonts w:asciiTheme="minorHAnsi" w:eastAsiaTheme="minorEastAsia" w:hAnsiTheme="minorHAnsi" w:cstheme="minorBidi"/>
            <w:noProof/>
            <w:szCs w:val="22"/>
            <w:lang w:eastAsia="zh-CN"/>
          </w:rPr>
          <w:tab/>
        </w:r>
        <w:r w:rsidR="001D68E9" w:rsidRPr="00D062C9">
          <w:rPr>
            <w:rStyle w:val="Hyperlink"/>
            <w:noProof/>
            <w:lang w:val="es-ES_tradnl"/>
          </w:rPr>
          <w:t>Introducción a las IMT-Avanzadas</w:t>
        </w:r>
        <w:r w:rsidR="001D68E9">
          <w:rPr>
            <w:noProof/>
            <w:webHidden/>
          </w:rPr>
          <w:tab/>
        </w:r>
        <w:r w:rsidR="001D68E9">
          <w:rPr>
            <w:noProof/>
            <w:webHidden/>
          </w:rPr>
          <w:tab/>
        </w:r>
        <w:r>
          <w:rPr>
            <w:noProof/>
            <w:webHidden/>
          </w:rPr>
          <w:fldChar w:fldCharType="begin"/>
        </w:r>
        <w:r w:rsidR="001D68E9">
          <w:rPr>
            <w:noProof/>
            <w:webHidden/>
          </w:rPr>
          <w:instrText xml:space="preserve"> PAGEREF _Toc259024271 \h </w:instrText>
        </w:r>
        <w:r>
          <w:rPr>
            <w:noProof/>
            <w:webHidden/>
          </w:rPr>
        </w:r>
        <w:r>
          <w:rPr>
            <w:noProof/>
            <w:webHidden/>
          </w:rPr>
          <w:fldChar w:fldCharType="separate"/>
        </w:r>
        <w:r w:rsidR="001D68E9">
          <w:rPr>
            <w:noProof/>
            <w:webHidden/>
          </w:rPr>
          <w:t>45</w:t>
        </w:r>
        <w:r>
          <w:rPr>
            <w:noProof/>
            <w:webHidden/>
          </w:rPr>
          <w:fldChar w:fldCharType="end"/>
        </w:r>
      </w:hyperlink>
    </w:p>
    <w:p w:rsidR="004A1B3E" w:rsidRPr="00913C0E" w:rsidRDefault="002D71A8" w:rsidP="001D68E9">
      <w:pPr>
        <w:pStyle w:val="TOC1"/>
        <w:tabs>
          <w:tab w:val="clear" w:pos="9214"/>
          <w:tab w:val="right" w:pos="9639"/>
        </w:tabs>
        <w:spacing w:line="240" w:lineRule="exact"/>
        <w:rPr>
          <w:rFonts w:asciiTheme="minorHAnsi" w:eastAsiaTheme="minorEastAsia" w:hAnsiTheme="minorHAnsi" w:cstheme="minorBidi"/>
          <w:bCs/>
          <w:noProof/>
          <w:szCs w:val="22"/>
          <w:lang w:eastAsia="zh-CN"/>
        </w:rPr>
      </w:pPr>
      <w:r>
        <w:rPr>
          <w:rStyle w:val="Hyperlink"/>
          <w:bCs/>
          <w:noProof/>
          <w:color w:val="auto"/>
          <w:u w:val="none"/>
        </w:rPr>
        <w:fldChar w:fldCharType="end"/>
      </w:r>
    </w:p>
    <w:p w:rsidR="00096FCD" w:rsidRPr="00096FCD" w:rsidRDefault="00096FCD" w:rsidP="00511555">
      <w:pPr>
        <w:rPr>
          <w:rFonts w:eastAsia="SimSun"/>
          <w:noProof/>
          <w:webHidden/>
          <w:sz w:val="24"/>
          <w:lang w:eastAsia="zh-CN"/>
        </w:rPr>
      </w:pPr>
    </w:p>
    <w:p w:rsidR="0010386F" w:rsidRDefault="0010386F" w:rsidP="00E83FA2">
      <w:pPr>
        <w:rPr>
          <w:lang w:val="en-US"/>
        </w:rPr>
        <w:sectPr w:rsidR="0010386F" w:rsidSect="00A562C1">
          <w:type w:val="oddPage"/>
          <w:pgSz w:w="11907" w:h="16840" w:code="9"/>
          <w:pgMar w:top="1418" w:right="1134" w:bottom="1418" w:left="1134" w:header="720" w:footer="720" w:gutter="0"/>
          <w:paperSrc w:first="15" w:other="15"/>
          <w:pgNumType w:fmt="lowerRoman"/>
          <w:cols w:space="720"/>
          <w:vAlign w:val="both"/>
        </w:sectPr>
      </w:pPr>
    </w:p>
    <w:p w:rsidR="00C45286" w:rsidRPr="00A43C05" w:rsidRDefault="00125F93" w:rsidP="00426DC2">
      <w:pPr>
        <w:pStyle w:val="FigureNotitle"/>
        <w:rPr>
          <w:bCs/>
          <w:sz w:val="28"/>
          <w:szCs w:val="28"/>
          <w:lang w:val="es-ES_tradnl"/>
        </w:rPr>
      </w:pPr>
      <w:r w:rsidRPr="00A43C05">
        <w:rPr>
          <w:bCs/>
          <w:caps/>
          <w:sz w:val="28"/>
          <w:szCs w:val="28"/>
          <w:lang w:val="es-ES_tradnl"/>
        </w:rPr>
        <w:lastRenderedPageBreak/>
        <w:t>C</w:t>
      </w:r>
      <w:r w:rsidR="00EC2A2B" w:rsidRPr="00A43C05">
        <w:rPr>
          <w:bCs/>
          <w:caps/>
          <w:sz w:val="28"/>
          <w:szCs w:val="28"/>
          <w:lang w:val="es-ES_tradnl"/>
        </w:rPr>
        <w:t>UESTI</w:t>
      </w:r>
      <w:r w:rsidRPr="00A43C05">
        <w:rPr>
          <w:bCs/>
          <w:caps/>
          <w:sz w:val="28"/>
          <w:szCs w:val="28"/>
          <w:lang w:val="es-ES_tradnl"/>
        </w:rPr>
        <w:t>Ó</w:t>
      </w:r>
      <w:r w:rsidR="00EC2A2B" w:rsidRPr="00A43C05">
        <w:rPr>
          <w:bCs/>
          <w:caps/>
          <w:sz w:val="28"/>
          <w:szCs w:val="28"/>
          <w:lang w:val="es-ES_tradnl"/>
        </w:rPr>
        <w:t>N</w:t>
      </w:r>
      <w:r w:rsidR="006B709C" w:rsidRPr="00A43C05">
        <w:rPr>
          <w:bCs/>
          <w:caps/>
          <w:sz w:val="28"/>
          <w:szCs w:val="28"/>
          <w:lang w:val="es-ES_tradnl"/>
        </w:rPr>
        <w:t xml:space="preserve"> </w:t>
      </w:r>
      <w:r w:rsidR="00E64F32" w:rsidRPr="00A43C05">
        <w:rPr>
          <w:bCs/>
          <w:caps/>
          <w:sz w:val="28"/>
          <w:szCs w:val="28"/>
          <w:lang w:val="es-ES_tradnl"/>
        </w:rPr>
        <w:t>18</w:t>
      </w:r>
      <w:r w:rsidR="00CE7324" w:rsidRPr="00A43C05">
        <w:rPr>
          <w:bCs/>
          <w:caps/>
          <w:sz w:val="28"/>
          <w:szCs w:val="28"/>
          <w:lang w:val="es-ES_tradnl"/>
        </w:rPr>
        <w:t>-</w:t>
      </w:r>
      <w:r w:rsidR="00E64F32" w:rsidRPr="00A43C05">
        <w:rPr>
          <w:bCs/>
          <w:caps/>
          <w:sz w:val="28"/>
          <w:szCs w:val="28"/>
          <w:lang w:val="es-ES_tradnl"/>
        </w:rPr>
        <w:t>1</w:t>
      </w:r>
      <w:r w:rsidR="00EC2A2B" w:rsidRPr="00A43C05">
        <w:rPr>
          <w:bCs/>
          <w:caps/>
          <w:sz w:val="28"/>
          <w:szCs w:val="28"/>
          <w:lang w:val="es-ES_tradnl"/>
        </w:rPr>
        <w:t>/2</w:t>
      </w:r>
      <w:r w:rsidR="00A562C1" w:rsidRPr="00A43C05">
        <w:rPr>
          <w:bCs/>
          <w:caps/>
          <w:sz w:val="28"/>
          <w:szCs w:val="28"/>
          <w:lang w:val="es-ES_tradnl"/>
        </w:rPr>
        <w:br/>
      </w:r>
      <w:r w:rsidR="00A562C1" w:rsidRPr="00A43C05">
        <w:rPr>
          <w:bCs/>
          <w:caps/>
          <w:sz w:val="28"/>
          <w:szCs w:val="28"/>
          <w:lang w:val="es-ES_tradnl"/>
        </w:rPr>
        <w:br/>
      </w:r>
      <w:r w:rsidR="00426DC2" w:rsidRPr="00426DC2">
        <w:rPr>
          <w:bCs/>
          <w:sz w:val="28"/>
          <w:szCs w:val="28"/>
          <w:lang w:val="es-ES_tradnl"/>
        </w:rPr>
        <w:t>Suplemento a las Directrices sobre la transición paulatina (GST) de las redes móviles existentes a las IMT-2000 para los países en desarrollo</w:t>
      </w:r>
    </w:p>
    <w:p w:rsidR="00E83FA2" w:rsidRPr="00A43C05" w:rsidRDefault="00E05222" w:rsidP="00102997">
      <w:pPr>
        <w:pStyle w:val="Heading1"/>
        <w:rPr>
          <w:lang w:val="es-ES_tradnl"/>
        </w:rPr>
      </w:pPr>
      <w:bookmarkStart w:id="13" w:name="_Toc255292513"/>
      <w:bookmarkStart w:id="14" w:name="_Toc259024218"/>
      <w:r w:rsidRPr="00A43C05">
        <w:rPr>
          <w:lang w:val="es-ES_tradnl"/>
        </w:rPr>
        <w:t>1</w:t>
      </w:r>
      <w:r w:rsidRPr="00A43C05">
        <w:rPr>
          <w:lang w:val="es-ES_tradnl"/>
        </w:rPr>
        <w:tab/>
      </w:r>
      <w:r w:rsidR="00A562C1" w:rsidRPr="00A43C05">
        <w:rPr>
          <w:lang w:val="es-ES_tradnl"/>
        </w:rPr>
        <w:t>Introduc</w:t>
      </w:r>
      <w:r w:rsidR="00426DC2" w:rsidRPr="00A43C05">
        <w:rPr>
          <w:lang w:val="es-ES_tradnl"/>
        </w:rPr>
        <w:t>ció</w:t>
      </w:r>
      <w:r w:rsidR="00A562C1" w:rsidRPr="00A43C05">
        <w:rPr>
          <w:lang w:val="es-ES_tradnl"/>
        </w:rPr>
        <w:t>n</w:t>
      </w:r>
      <w:bookmarkEnd w:id="13"/>
      <w:bookmarkEnd w:id="14"/>
    </w:p>
    <w:p w:rsidR="00881351" w:rsidRPr="001F163E" w:rsidRDefault="00881351" w:rsidP="00881351">
      <w:pPr>
        <w:rPr>
          <w:lang w:val="es-ES_tradnl"/>
        </w:rPr>
      </w:pPr>
      <w:r w:rsidRPr="001F163E">
        <w:rPr>
          <w:lang w:val="es-ES_tradnl"/>
        </w:rPr>
        <w:t xml:space="preserve">Los sistemas de Telecomunicaciones Móviles Internacionales-2000 (IMT-2000) </w:t>
      </w:r>
      <w:r>
        <w:rPr>
          <w:lang w:val="es-ES_tradnl"/>
        </w:rPr>
        <w:t>permiten el</w:t>
      </w:r>
      <w:r w:rsidRPr="001F163E">
        <w:rPr>
          <w:lang w:val="es-ES_tradnl"/>
        </w:rPr>
        <w:t xml:space="preserve"> acceso a una amplia gama de servicios de telecomunicaciones, soportados por las redes de telecomunicaciones fijas (por ejemplo, RTPC/RDSI/IP), </w:t>
      </w:r>
      <w:r>
        <w:rPr>
          <w:lang w:val="es-ES_tradnl"/>
        </w:rPr>
        <w:t>así como</w:t>
      </w:r>
      <w:r w:rsidRPr="001F163E">
        <w:rPr>
          <w:lang w:val="es-ES_tradnl"/>
        </w:rPr>
        <w:t xml:space="preserve"> a otros servicios específicos de los usuarios móviles.</w:t>
      </w:r>
    </w:p>
    <w:p w:rsidR="00881351" w:rsidRPr="001F163E" w:rsidRDefault="00881351" w:rsidP="00881351">
      <w:pPr>
        <w:rPr>
          <w:lang w:val="es-ES_tradnl"/>
        </w:rPr>
      </w:pPr>
      <w:r w:rsidRPr="001F163E">
        <w:rPr>
          <w:lang w:val="es-ES_tradnl"/>
        </w:rPr>
        <w:t xml:space="preserve">Para satisfacer la demanda cada vez mayor de comunicaciones inalámbricas y las velocidades de transmisión que se prevé sean cada vez más elevadas para satisfacer la demanda de los usuarios, las IMT-2000 </w:t>
      </w:r>
      <w:r>
        <w:rPr>
          <w:lang w:val="es-ES_tradnl"/>
        </w:rPr>
        <w:t>son constantemente objeto de mejora</w:t>
      </w:r>
      <w:r w:rsidRPr="001F163E">
        <w:rPr>
          <w:lang w:val="es-ES_tradnl"/>
        </w:rPr>
        <w:t xml:space="preserve"> y está prevista la aparición de sistemas posteriores a las IMT</w:t>
      </w:r>
      <w:r w:rsidRPr="001F163E">
        <w:rPr>
          <w:lang w:val="es-ES_tradnl"/>
        </w:rPr>
        <w:noBreakHyphen/>
        <w:t>2000. El marco y objetivos globales de los futuros desarrollos de las IMT</w:t>
      </w:r>
      <w:r w:rsidRPr="001F163E">
        <w:rPr>
          <w:lang w:val="es-ES_tradnl"/>
        </w:rPr>
        <w:noBreakHyphen/>
        <w:t>2000 y sistemas posteriores se describen en la Recomendación UIT-R M.1645.</w:t>
      </w:r>
    </w:p>
    <w:p w:rsidR="00E05222" w:rsidRPr="00A43C05" w:rsidRDefault="00881351" w:rsidP="00030119">
      <w:pPr>
        <w:rPr>
          <w:lang w:val="es-ES_tradnl"/>
        </w:rPr>
      </w:pPr>
      <w:r w:rsidRPr="001F163E">
        <w:rPr>
          <w:lang w:val="es-ES_tradnl"/>
        </w:rPr>
        <w:t>La Resolución 228 (Rev.CMR-03) indica que es necesario dar una denominación adecuada a los futuros desarrollos de las IMT</w:t>
      </w:r>
      <w:r w:rsidRPr="001F163E">
        <w:rPr>
          <w:lang w:val="es-ES_tradnl"/>
        </w:rPr>
        <w:noBreakHyphen/>
        <w:t xml:space="preserve">2000 y sistemas posteriores. El término </w:t>
      </w:r>
      <w:r w:rsidR="00030119">
        <w:rPr>
          <w:lang w:val="es-ES_tradnl"/>
        </w:rPr>
        <w:t>«</w:t>
      </w:r>
      <w:r w:rsidRPr="001F163E">
        <w:rPr>
          <w:lang w:val="es-ES_tradnl"/>
        </w:rPr>
        <w:t>sistemas posteriores a las IMT</w:t>
      </w:r>
      <w:r w:rsidRPr="001F163E">
        <w:rPr>
          <w:lang w:val="es-ES_tradnl"/>
        </w:rPr>
        <w:noBreakHyphen/>
        <w:t>2000</w:t>
      </w:r>
      <w:r w:rsidR="00030119">
        <w:rPr>
          <w:lang w:val="es-ES_tradnl"/>
        </w:rPr>
        <w:t>»</w:t>
      </w:r>
      <w:r w:rsidRPr="001F163E">
        <w:rPr>
          <w:lang w:val="es-ES_tradnl"/>
        </w:rPr>
        <w:t xml:space="preserve"> se ha utilizado como nombre </w:t>
      </w:r>
      <w:r>
        <w:rPr>
          <w:lang w:val="es-ES_tradnl"/>
        </w:rPr>
        <w:t>provisional</w:t>
      </w:r>
      <w:r w:rsidRPr="001F163E">
        <w:rPr>
          <w:lang w:val="es-ES_tradnl"/>
        </w:rPr>
        <w:t>. Por consiguiente, la Resolución</w:t>
      </w:r>
      <w:r>
        <w:rPr>
          <w:lang w:val="es-ES_tradnl"/>
        </w:rPr>
        <w:t> </w:t>
      </w:r>
      <w:r w:rsidRPr="001F163E">
        <w:rPr>
          <w:lang w:val="es-ES_tradnl"/>
        </w:rPr>
        <w:t>UIT</w:t>
      </w:r>
      <w:r>
        <w:rPr>
          <w:lang w:val="es-ES_tradnl"/>
        </w:rPr>
        <w:noBreakHyphen/>
      </w:r>
      <w:r w:rsidRPr="001F163E">
        <w:rPr>
          <w:lang w:val="es-ES_tradnl"/>
        </w:rPr>
        <w:t>R</w:t>
      </w:r>
      <w:r>
        <w:rPr>
          <w:lang w:val="es-ES_tradnl"/>
        </w:rPr>
        <w:t> </w:t>
      </w:r>
      <w:r w:rsidRPr="001F163E">
        <w:rPr>
          <w:lang w:val="es-ES_tradnl"/>
        </w:rPr>
        <w:t>56 (denominación de las telecomunicaciones móviles internacionales) se adoptó para clarificar la relación entre los términos</w:t>
      </w:r>
      <w:r>
        <w:rPr>
          <w:lang w:val="es-ES_tradnl"/>
        </w:rPr>
        <w:t xml:space="preserve"> </w:t>
      </w:r>
      <w:r w:rsidR="00030119">
        <w:rPr>
          <w:lang w:val="es-ES_tradnl"/>
        </w:rPr>
        <w:t>«</w:t>
      </w:r>
      <w:r w:rsidRPr="001F163E">
        <w:rPr>
          <w:lang w:val="es-ES_tradnl"/>
        </w:rPr>
        <w:t>IMT</w:t>
      </w:r>
      <w:r w:rsidR="00030119">
        <w:rPr>
          <w:lang w:val="es-ES_tradnl"/>
        </w:rPr>
        <w:noBreakHyphen/>
      </w:r>
      <w:r w:rsidRPr="001F163E">
        <w:rPr>
          <w:lang w:val="es-ES_tradnl"/>
        </w:rPr>
        <w:t>2000</w:t>
      </w:r>
      <w:r w:rsidR="00030119">
        <w:rPr>
          <w:lang w:val="es-ES_tradnl"/>
        </w:rPr>
        <w:t>»</w:t>
      </w:r>
      <w:r w:rsidRPr="001F163E">
        <w:rPr>
          <w:lang w:val="es-ES_tradnl"/>
        </w:rPr>
        <w:t xml:space="preserve"> y </w:t>
      </w:r>
      <w:r w:rsidR="00030119">
        <w:rPr>
          <w:lang w:val="es-ES_tradnl"/>
        </w:rPr>
        <w:t>«</w:t>
      </w:r>
      <w:r w:rsidRPr="001F163E">
        <w:rPr>
          <w:lang w:val="es-ES_tradnl"/>
        </w:rPr>
        <w:t>el futuro desarrollo de las IMT-2000</w:t>
      </w:r>
      <w:r w:rsidR="00030119">
        <w:rPr>
          <w:lang w:val="es-ES_tradnl"/>
        </w:rPr>
        <w:t>»</w:t>
      </w:r>
      <w:r w:rsidRPr="001F163E">
        <w:rPr>
          <w:lang w:val="es-ES_tradnl"/>
        </w:rPr>
        <w:t xml:space="preserve"> y da el nuevo nombre a los sistemas, </w:t>
      </w:r>
      <w:r>
        <w:rPr>
          <w:lang w:val="es-ES_tradnl"/>
        </w:rPr>
        <w:t xml:space="preserve">sus </w:t>
      </w:r>
      <w:r w:rsidRPr="001F163E">
        <w:rPr>
          <w:lang w:val="es-ES_tradnl"/>
        </w:rPr>
        <w:t xml:space="preserve">componentes y </w:t>
      </w:r>
      <w:r>
        <w:rPr>
          <w:lang w:val="es-ES_tradnl"/>
        </w:rPr>
        <w:t>elementos asociados tales como</w:t>
      </w:r>
      <w:r w:rsidRPr="001F163E">
        <w:rPr>
          <w:lang w:val="es-ES_tradnl"/>
        </w:rPr>
        <w:t xml:space="preserve"> las nuevas interfaces radioeléctricas que soport</w:t>
      </w:r>
      <w:r>
        <w:rPr>
          <w:lang w:val="es-ES_tradnl"/>
        </w:rPr>
        <w:t>e</w:t>
      </w:r>
      <w:r w:rsidRPr="001F163E">
        <w:rPr>
          <w:lang w:val="es-ES_tradnl"/>
        </w:rPr>
        <w:t>n las capacidades</w:t>
      </w:r>
      <w:r>
        <w:rPr>
          <w:lang w:val="es-ES_tradnl"/>
        </w:rPr>
        <w:t xml:space="preserve"> peculiares</w:t>
      </w:r>
      <w:r w:rsidRPr="001F163E">
        <w:rPr>
          <w:lang w:val="es-ES_tradnl"/>
        </w:rPr>
        <w:t xml:space="preserve"> de los sistemas posteriores a las IMT-2000. En la Resolución UIT-R 56 se estipula que las IMT</w:t>
      </w:r>
      <w:r w:rsidR="00030119">
        <w:rPr>
          <w:lang w:val="es-ES_tradnl"/>
        </w:rPr>
        <w:noBreakHyphen/>
      </w:r>
      <w:r w:rsidRPr="001F163E">
        <w:rPr>
          <w:lang w:val="es-ES_tradnl"/>
        </w:rPr>
        <w:t xml:space="preserve">2000 también comprenden sus mejoras y futuros desarrollos y que la expresión </w:t>
      </w:r>
      <w:r w:rsidR="00030119">
        <w:rPr>
          <w:lang w:val="es-ES_tradnl"/>
        </w:rPr>
        <w:t>«</w:t>
      </w:r>
      <w:proofErr w:type="spellStart"/>
      <w:r w:rsidRPr="001F163E">
        <w:rPr>
          <w:lang w:val="es-ES_tradnl"/>
        </w:rPr>
        <w:t>IMT</w:t>
      </w:r>
      <w:r w:rsidRPr="001F163E">
        <w:rPr>
          <w:lang w:val="es-ES_tradnl"/>
        </w:rPr>
        <w:noBreakHyphen/>
        <w:t>Avanzadas</w:t>
      </w:r>
      <w:proofErr w:type="spellEnd"/>
      <w:r w:rsidR="00030119">
        <w:rPr>
          <w:lang w:val="es-ES_tradnl"/>
        </w:rPr>
        <w:t>»</w:t>
      </w:r>
      <w:r w:rsidRPr="001F163E">
        <w:rPr>
          <w:lang w:val="es-ES_tradnl"/>
        </w:rPr>
        <w:t xml:space="preserve"> se aplicará a estos sistemas, </w:t>
      </w:r>
      <w:r>
        <w:rPr>
          <w:lang w:val="es-ES_tradnl"/>
        </w:rPr>
        <w:t xml:space="preserve">sus </w:t>
      </w:r>
      <w:r w:rsidRPr="001F163E">
        <w:rPr>
          <w:lang w:val="es-ES_tradnl"/>
        </w:rPr>
        <w:t xml:space="preserve">componentes y </w:t>
      </w:r>
      <w:r>
        <w:rPr>
          <w:lang w:val="es-ES_tradnl"/>
        </w:rPr>
        <w:t>elementos asociados tales como</w:t>
      </w:r>
      <w:r w:rsidRPr="001F163E">
        <w:rPr>
          <w:lang w:val="es-ES_tradnl"/>
        </w:rPr>
        <w:t xml:space="preserve"> las nuevas interfaces radioeléctricas que soporten las capacidades</w:t>
      </w:r>
      <w:r>
        <w:rPr>
          <w:lang w:val="es-ES_tradnl"/>
        </w:rPr>
        <w:t xml:space="preserve"> peculiares </w:t>
      </w:r>
      <w:r w:rsidRPr="001F163E">
        <w:rPr>
          <w:lang w:val="es-ES_tradnl"/>
        </w:rPr>
        <w:t xml:space="preserve">de los sistemas posteriores a las IMT-2000. El nombre genérico Telecomunicaciones Móviles Internacionales (IMT) </w:t>
      </w:r>
      <w:r>
        <w:rPr>
          <w:lang w:val="es-ES_tradnl"/>
        </w:rPr>
        <w:t>se refiere</w:t>
      </w:r>
      <w:r w:rsidRPr="001F163E">
        <w:rPr>
          <w:lang w:val="es-ES_tradnl"/>
        </w:rPr>
        <w:t xml:space="preserve"> tanto a las IMT-2000 como a las IMT-Avanzadas </w:t>
      </w:r>
      <w:r>
        <w:rPr>
          <w:lang w:val="es-ES_tradnl"/>
        </w:rPr>
        <w:t>en conjunto</w:t>
      </w:r>
      <w:r w:rsidRPr="001F163E">
        <w:rPr>
          <w:lang w:val="es-ES_tradnl"/>
        </w:rPr>
        <w:t>.</w:t>
      </w:r>
    </w:p>
    <w:p w:rsidR="00D64ABA" w:rsidRPr="00A43C05" w:rsidRDefault="00D64ABA" w:rsidP="00881351">
      <w:pPr>
        <w:pStyle w:val="Heading2"/>
        <w:rPr>
          <w:lang w:val="es-ES_tradnl"/>
        </w:rPr>
      </w:pPr>
      <w:bookmarkStart w:id="15" w:name="_Toc236826214"/>
      <w:bookmarkStart w:id="16" w:name="_Toc255292514"/>
      <w:bookmarkStart w:id="17" w:name="_Toc259024219"/>
      <w:r w:rsidRPr="00A43C05">
        <w:rPr>
          <w:lang w:val="es-ES_tradnl"/>
        </w:rPr>
        <w:t>1.1</w:t>
      </w:r>
      <w:r w:rsidRPr="00A43C05">
        <w:rPr>
          <w:lang w:val="es-ES_tradnl"/>
        </w:rPr>
        <w:tab/>
      </w:r>
      <w:bookmarkEnd w:id="15"/>
      <w:bookmarkEnd w:id="16"/>
      <w:r w:rsidR="00881351" w:rsidRPr="00881351">
        <w:rPr>
          <w:lang w:val="es-ES"/>
        </w:rPr>
        <w:t>Sobre la Recomendación UIT-R M.1457</w:t>
      </w:r>
      <w:bookmarkEnd w:id="17"/>
    </w:p>
    <w:p w:rsidR="00881351" w:rsidRPr="001F163E" w:rsidRDefault="00881351" w:rsidP="00881351">
      <w:pPr>
        <w:rPr>
          <w:lang w:val="es-ES_tradnl"/>
        </w:rPr>
      </w:pPr>
      <w:r w:rsidRPr="001F163E">
        <w:rPr>
          <w:lang w:val="es-ES_tradnl"/>
        </w:rPr>
        <w:t xml:space="preserve">Las Telecomunicaciones Móviles Internacionales-2000 (IMT-2000), sistemas móviles de la tercera generación, </w:t>
      </w:r>
      <w:r>
        <w:rPr>
          <w:lang w:val="es-ES_tradnl"/>
        </w:rPr>
        <w:t>permiten el</w:t>
      </w:r>
      <w:r w:rsidRPr="001F163E">
        <w:rPr>
          <w:lang w:val="es-ES_tradnl"/>
        </w:rPr>
        <w:t xml:space="preserve"> acceso a una amplia gama de servicios de telecomunicación soportados por las redes de telecomunicaciones fijas (por ejemplo, RTPC/RDSI/IP)</w:t>
      </w:r>
      <w:r>
        <w:rPr>
          <w:lang w:val="es-ES_tradnl"/>
        </w:rPr>
        <w:t xml:space="preserve">, así como </w:t>
      </w:r>
      <w:r w:rsidRPr="001F163E">
        <w:rPr>
          <w:lang w:val="es-ES_tradnl"/>
        </w:rPr>
        <w:t>a otros servicios específicos de los usuarios móviles.</w:t>
      </w:r>
    </w:p>
    <w:p w:rsidR="00881351" w:rsidRPr="001F163E" w:rsidRDefault="00881351" w:rsidP="00881351">
      <w:pPr>
        <w:rPr>
          <w:lang w:val="es-ES_tradnl"/>
        </w:rPr>
      </w:pPr>
      <w:r w:rsidRPr="001F163E">
        <w:rPr>
          <w:lang w:val="es-ES_tradnl"/>
        </w:rPr>
        <w:t xml:space="preserve">La Recomendación UIT-R M.1457 ha sido desarrollada conjuntamente por la UIT y las organizaciones proponentes de la tecnología de la interfaz radioeléctrica, los proyectos de </w:t>
      </w:r>
      <w:r>
        <w:rPr>
          <w:lang w:val="es-ES_tradnl"/>
        </w:rPr>
        <w:t>asociación</w:t>
      </w:r>
      <w:r w:rsidRPr="001F163E">
        <w:rPr>
          <w:lang w:val="es-ES_tradnl"/>
        </w:rPr>
        <w:t xml:space="preserve"> a nivel mundial y las organizaciones regionales de </w:t>
      </w:r>
      <w:r>
        <w:rPr>
          <w:lang w:val="es-ES_tradnl"/>
        </w:rPr>
        <w:t>normalización</w:t>
      </w:r>
      <w:r w:rsidRPr="001F163E">
        <w:rPr>
          <w:lang w:val="es-ES_tradnl"/>
        </w:rPr>
        <w:t>. Las actualizaciones</w:t>
      </w:r>
      <w:r>
        <w:rPr>
          <w:lang w:val="es-ES_tradnl"/>
        </w:rPr>
        <w:t>,</w:t>
      </w:r>
      <w:r w:rsidRPr="001F163E">
        <w:rPr>
          <w:lang w:val="es-ES_tradnl"/>
        </w:rPr>
        <w:t xml:space="preserve"> mejoras</w:t>
      </w:r>
      <w:r>
        <w:rPr>
          <w:lang w:val="es-ES_tradnl"/>
        </w:rPr>
        <w:t xml:space="preserve"> y adiciones a</w:t>
      </w:r>
      <w:r w:rsidRPr="001F163E">
        <w:rPr>
          <w:lang w:val="es-ES_tradnl"/>
        </w:rPr>
        <w:t xml:space="preserve"> las interfaces radioeléctricas </w:t>
      </w:r>
      <w:r>
        <w:rPr>
          <w:lang w:val="es-ES_tradnl"/>
        </w:rPr>
        <w:t>de</w:t>
      </w:r>
      <w:r w:rsidRPr="001F163E">
        <w:rPr>
          <w:lang w:val="es-ES_tradnl"/>
        </w:rPr>
        <w:t xml:space="preserve"> esta Recomendación se han sometido a un proceso de </w:t>
      </w:r>
      <w:r>
        <w:rPr>
          <w:lang w:val="es-ES_tradnl"/>
        </w:rPr>
        <w:t>preparación</w:t>
      </w:r>
      <w:r w:rsidRPr="001F163E">
        <w:rPr>
          <w:lang w:val="es-ES_tradnl"/>
        </w:rPr>
        <w:t xml:space="preserve"> y análisis bien definido para garantizar la coherencia con las metas y objetivos </w:t>
      </w:r>
      <w:r>
        <w:rPr>
          <w:lang w:val="es-ES_tradnl"/>
        </w:rPr>
        <w:t>establecidos para</w:t>
      </w:r>
      <w:r w:rsidRPr="001F163E">
        <w:rPr>
          <w:lang w:val="es-ES_tradnl"/>
        </w:rPr>
        <w:t xml:space="preserve"> las IMT-2000 reconociendo al mismo tiempo la necesidad de adaptarse a los cambios de los requisitos del mercado mundial.</w:t>
      </w:r>
    </w:p>
    <w:p w:rsidR="00D64ABA" w:rsidRPr="00A43C05" w:rsidRDefault="00881351" w:rsidP="00881351">
      <w:pPr>
        <w:rPr>
          <w:lang w:val="es-ES_tradnl"/>
        </w:rPr>
      </w:pPr>
      <w:r w:rsidRPr="001F163E">
        <w:rPr>
          <w:lang w:val="es-ES_tradnl"/>
        </w:rPr>
        <w:t>E</w:t>
      </w:r>
      <w:r>
        <w:rPr>
          <w:lang w:val="es-ES_tradnl"/>
        </w:rPr>
        <w:t>n e</w:t>
      </w:r>
      <w:r w:rsidRPr="001F163E">
        <w:rPr>
          <w:lang w:val="es-ES_tradnl"/>
        </w:rPr>
        <w:t xml:space="preserve">sta Recomendación </w:t>
      </w:r>
      <w:r>
        <w:rPr>
          <w:lang w:val="es-ES_tradnl"/>
        </w:rPr>
        <w:t>se describen con todo detalle</w:t>
      </w:r>
      <w:r w:rsidRPr="001F163E">
        <w:rPr>
          <w:lang w:val="es-ES_tradnl"/>
        </w:rPr>
        <w:t xml:space="preserve"> las especificaciones de las interfaces radioeléctricas IMT-2000. </w:t>
      </w:r>
      <w:r>
        <w:rPr>
          <w:lang w:val="es-ES_tradnl"/>
        </w:rPr>
        <w:t>Esta Recomendación es fruto del estudio</w:t>
      </w:r>
      <w:r w:rsidRPr="001F163E">
        <w:rPr>
          <w:lang w:val="es-ES_tradnl"/>
        </w:rPr>
        <w:t xml:space="preserve"> de los resultados de un proceso de evaluación </w:t>
      </w:r>
      <w:r>
        <w:rPr>
          <w:lang w:val="es-ES_tradnl"/>
        </w:rPr>
        <w:t>bien definido</w:t>
      </w:r>
      <w:r w:rsidRPr="001F163E">
        <w:rPr>
          <w:lang w:val="es-ES_tradnl"/>
        </w:rPr>
        <w:t xml:space="preserve"> </w:t>
      </w:r>
      <w:r>
        <w:rPr>
          <w:lang w:val="es-ES_tradnl"/>
        </w:rPr>
        <w:t>aplicado</w:t>
      </w:r>
      <w:r w:rsidRPr="001F163E">
        <w:rPr>
          <w:lang w:val="es-ES_tradnl"/>
        </w:rPr>
        <w:t xml:space="preserve"> por el UIT-R </w:t>
      </w:r>
      <w:r>
        <w:rPr>
          <w:lang w:val="es-ES_tradnl"/>
        </w:rPr>
        <w:t>a</w:t>
      </w:r>
      <w:r w:rsidRPr="001F163E">
        <w:rPr>
          <w:lang w:val="es-ES_tradnl"/>
        </w:rPr>
        <w:t xml:space="preserve"> las propuestas </w:t>
      </w:r>
      <w:r>
        <w:rPr>
          <w:lang w:val="es-ES_tradnl"/>
        </w:rPr>
        <w:t xml:space="preserve">en materia </w:t>
      </w:r>
      <w:r w:rsidRPr="001F163E">
        <w:rPr>
          <w:lang w:val="es-ES_tradnl"/>
        </w:rPr>
        <w:t xml:space="preserve">de radiocomunicaciones de las IMT-2000 que hayan sido presentadas </w:t>
      </w:r>
      <w:r>
        <w:rPr>
          <w:lang w:val="es-ES_tradnl"/>
        </w:rPr>
        <w:t>en</w:t>
      </w:r>
      <w:r w:rsidRPr="001F163E">
        <w:rPr>
          <w:lang w:val="es-ES_tradnl"/>
        </w:rPr>
        <w:t xml:space="preserve"> respuesta a un conjunto de requisitos definidos. </w:t>
      </w:r>
      <w:r>
        <w:rPr>
          <w:lang w:val="es-ES_tradnl"/>
        </w:rPr>
        <w:t>También se ha considerado la forma</w:t>
      </w:r>
      <w:r w:rsidRPr="001F163E">
        <w:rPr>
          <w:lang w:val="es-ES_tradnl"/>
        </w:rPr>
        <w:t xml:space="preserve"> de alcanzar un consenso, </w:t>
      </w:r>
      <w:r>
        <w:rPr>
          <w:lang w:val="es-ES_tradnl"/>
        </w:rPr>
        <w:t>al reconocerse</w:t>
      </w:r>
      <w:r w:rsidRPr="001F163E">
        <w:rPr>
          <w:lang w:val="es-ES_tradnl"/>
        </w:rPr>
        <w:t xml:space="preserve"> la necesidad de minimizar el número de interfaces radioeléctricas diferentes y de maximizar su uniformidad teniendo en cuenta las necesidades de los usuarios finales, </w:t>
      </w:r>
      <w:r>
        <w:rPr>
          <w:lang w:val="es-ES_tradnl"/>
        </w:rPr>
        <w:t>sin perjuicio de la incorporación de</w:t>
      </w:r>
      <w:r w:rsidRPr="001F163E">
        <w:rPr>
          <w:lang w:val="es-ES_tradnl"/>
        </w:rPr>
        <w:t xml:space="preserve"> las mejores capacidades de calidad de funcionamiento posibles </w:t>
      </w:r>
      <w:r>
        <w:rPr>
          <w:lang w:val="es-ES_tradnl"/>
        </w:rPr>
        <w:t>a</w:t>
      </w:r>
      <w:r w:rsidRPr="001F163E">
        <w:rPr>
          <w:lang w:val="es-ES_tradnl"/>
        </w:rPr>
        <w:t xml:space="preserve"> los diversos entornos </w:t>
      </w:r>
      <w:r>
        <w:rPr>
          <w:lang w:val="es-ES_tradnl"/>
        </w:rPr>
        <w:t>de explotación de las radiocomunicaciones</w:t>
      </w:r>
      <w:r w:rsidRPr="001F163E">
        <w:rPr>
          <w:lang w:val="es-ES_tradnl"/>
        </w:rPr>
        <w:t xml:space="preserve"> IMT-2000.</w:t>
      </w:r>
    </w:p>
    <w:p w:rsidR="00D64ABA" w:rsidRPr="00A43C05" w:rsidRDefault="00881351" w:rsidP="00030119">
      <w:pPr>
        <w:keepNext/>
        <w:keepLines/>
        <w:rPr>
          <w:lang w:val="es-ES_tradnl"/>
        </w:rPr>
      </w:pPr>
      <w:r w:rsidRPr="00881351">
        <w:rPr>
          <w:lang w:val="es-ES_tradnl"/>
        </w:rPr>
        <w:lastRenderedPageBreak/>
        <w:t>Gracias a la actualización de las tecnologías existentes, la armonización de las interfaces disponibles y la consideración de nuevos mecanismos, las IMT-2000 siguen a la cabeza de las tecnologías de radiocomunicaciones móviles. En junio de 2009, el GT 5D presentó la revisión 9 a la Recomendación UIT-R M.1457 que se considerará para adopción por la reunión de la CE 5 que se celebrará los días 7 y 8 de diciembre de 2009.</w:t>
      </w:r>
    </w:p>
    <w:p w:rsidR="00CA1FBE" w:rsidRPr="00A43C05" w:rsidRDefault="00CA1FBE" w:rsidP="00881351">
      <w:pPr>
        <w:pStyle w:val="Heading2"/>
        <w:rPr>
          <w:lang w:val="es-ES_tradnl"/>
        </w:rPr>
      </w:pPr>
      <w:bookmarkStart w:id="18" w:name="_Toc236826215"/>
      <w:bookmarkStart w:id="19" w:name="_Toc255292515"/>
      <w:bookmarkStart w:id="20" w:name="_Toc259024220"/>
      <w:r w:rsidRPr="00A43C05">
        <w:rPr>
          <w:lang w:val="es-ES_tradnl"/>
        </w:rPr>
        <w:t>1.2</w:t>
      </w:r>
      <w:r w:rsidRPr="00A43C05">
        <w:rPr>
          <w:lang w:val="es-ES_tradnl"/>
        </w:rPr>
        <w:tab/>
      </w:r>
      <w:bookmarkEnd w:id="18"/>
      <w:bookmarkEnd w:id="19"/>
      <w:r w:rsidR="00881351" w:rsidRPr="00881351">
        <w:rPr>
          <w:lang w:val="es-ES_tradnl"/>
        </w:rPr>
        <w:t>Los sistemas IMT-2000 e IMT-Avanzadas</w:t>
      </w:r>
      <w:bookmarkEnd w:id="20"/>
    </w:p>
    <w:p w:rsidR="00881351" w:rsidRPr="001F163E" w:rsidRDefault="00881351" w:rsidP="00881351">
      <w:pPr>
        <w:rPr>
          <w:lang w:val="es-ES_tradnl"/>
        </w:rPr>
      </w:pPr>
      <w:r w:rsidRPr="001F163E">
        <w:rPr>
          <w:lang w:val="es-ES_tradnl"/>
        </w:rPr>
        <w:t xml:space="preserve">Las IMT-2000, sistemas móviles de la tercera generación, que entraron en funcionamiento en torno al año 2000, </w:t>
      </w:r>
      <w:r>
        <w:rPr>
          <w:lang w:val="es-ES_tradnl"/>
        </w:rPr>
        <w:t>permiten el</w:t>
      </w:r>
      <w:r w:rsidRPr="001F163E">
        <w:rPr>
          <w:lang w:val="es-ES_tradnl"/>
        </w:rPr>
        <w:t xml:space="preserve"> acceso por medio de uno o varios enlaces radioeléctricos a una amplia gama de servicios de telecomunicaciones soportados por las redes de telecomunicaciones fijas (por ejemplo, RTPC/RDSI/protocolo de Internet (IP)) y a otros servicios específicos de los usuarios móviles. Desde entonces, las IMT</w:t>
      </w:r>
      <w:r w:rsidRPr="001F163E">
        <w:rPr>
          <w:lang w:val="es-ES_tradnl"/>
        </w:rPr>
        <w:noBreakHyphen/>
        <w:t xml:space="preserve">2000 han </w:t>
      </w:r>
      <w:r>
        <w:rPr>
          <w:lang w:val="es-ES_tradnl"/>
        </w:rPr>
        <w:t>sido</w:t>
      </w:r>
      <w:r w:rsidRPr="001F163E">
        <w:rPr>
          <w:lang w:val="es-ES_tradnl"/>
        </w:rPr>
        <w:t xml:space="preserve"> objeto de mejora</w:t>
      </w:r>
      <w:r>
        <w:rPr>
          <w:lang w:val="es-ES_tradnl"/>
        </w:rPr>
        <w:t xml:space="preserve"> constantemente</w:t>
      </w:r>
      <w:r w:rsidRPr="001F163E">
        <w:rPr>
          <w:lang w:val="es-ES_tradnl"/>
        </w:rPr>
        <w:t>.</w:t>
      </w:r>
    </w:p>
    <w:p w:rsidR="00881351" w:rsidRPr="00A43C05" w:rsidRDefault="00881351" w:rsidP="00881351">
      <w:pPr>
        <w:rPr>
          <w:lang w:val="es-ES_tradnl"/>
        </w:rPr>
      </w:pPr>
      <w:r w:rsidRPr="001F163E">
        <w:rPr>
          <w:lang w:val="es-ES_tradnl"/>
        </w:rPr>
        <w:t>Los sistemas de telecomunicaciones móviles internacionales-avanzadas (IMT-Avanzada</w:t>
      </w:r>
      <w:r>
        <w:rPr>
          <w:lang w:val="es-ES_tradnl"/>
        </w:rPr>
        <w:t>s</w:t>
      </w:r>
      <w:r w:rsidRPr="001F163E">
        <w:rPr>
          <w:lang w:val="es-ES_tradnl"/>
        </w:rPr>
        <w:t xml:space="preserve">) son sistemas móviles dotados de nuevas capacidades </w:t>
      </w:r>
      <w:r>
        <w:rPr>
          <w:lang w:val="es-ES_tradnl"/>
        </w:rPr>
        <w:t xml:space="preserve">de </w:t>
      </w:r>
      <w:r w:rsidRPr="001F163E">
        <w:rPr>
          <w:lang w:val="es-ES_tradnl"/>
        </w:rPr>
        <w:t xml:space="preserve">IMT que superan a las de las IMT-2000. Estos sistemas </w:t>
      </w:r>
      <w:r>
        <w:rPr>
          <w:lang w:val="es-ES_tradnl"/>
        </w:rPr>
        <w:t>permiten el</w:t>
      </w:r>
      <w:r w:rsidRPr="001F163E">
        <w:rPr>
          <w:lang w:val="es-ES_tradnl"/>
        </w:rPr>
        <w:t xml:space="preserve"> acceso a una amplia gama de servicios de telecomunicaciones, entre ellos servicios móviles avanzados, soportados por redes móviles y fijas que, cada vez con mayor frecuencia, se basan en la transmisión de paquetes. </w:t>
      </w:r>
    </w:p>
    <w:p w:rsidR="00881351" w:rsidRPr="001F163E" w:rsidRDefault="00881351" w:rsidP="00881351">
      <w:pPr>
        <w:rPr>
          <w:lang w:val="es-ES_tradnl"/>
        </w:rPr>
      </w:pPr>
      <w:r w:rsidRPr="001F163E">
        <w:rPr>
          <w:lang w:val="es-ES_tradnl"/>
        </w:rPr>
        <w:t>Las características clave de la</w:t>
      </w:r>
      <w:r>
        <w:rPr>
          <w:lang w:val="es-ES_tradnl"/>
        </w:rPr>
        <w:t>s</w:t>
      </w:r>
      <w:r w:rsidRPr="001F163E">
        <w:rPr>
          <w:lang w:val="es-ES_tradnl"/>
        </w:rPr>
        <w:t xml:space="preserve"> IMT-2000 y de las IMT-Avanzadas figuran en las Recomendaciones UIT-R M.1645</w:t>
      </w:r>
      <w:r>
        <w:rPr>
          <w:lang w:val="es-ES_tradnl"/>
        </w:rPr>
        <w:t>,</w:t>
      </w:r>
      <w:r w:rsidRPr="001F163E">
        <w:rPr>
          <w:lang w:val="es-ES_tradnl"/>
        </w:rPr>
        <w:t xml:space="preserve"> UIT-R M.1822 e IMT-</w:t>
      </w:r>
      <w:proofErr w:type="spellStart"/>
      <w:r w:rsidRPr="001F163E">
        <w:rPr>
          <w:lang w:val="es-ES_tradnl"/>
        </w:rPr>
        <w:t>Adv</w:t>
      </w:r>
      <w:proofErr w:type="spellEnd"/>
      <w:r w:rsidRPr="001F163E">
        <w:rPr>
          <w:lang w:val="es-ES_tradnl"/>
        </w:rPr>
        <w:t xml:space="preserve">/2(Rev.1). </w:t>
      </w:r>
    </w:p>
    <w:p w:rsidR="00881351" w:rsidRPr="001F163E" w:rsidRDefault="00881351" w:rsidP="00881351">
      <w:pPr>
        <w:rPr>
          <w:lang w:val="es-ES_tradnl"/>
        </w:rPr>
      </w:pPr>
      <w:r w:rsidRPr="001F163E">
        <w:rPr>
          <w:lang w:val="es-ES_tradnl"/>
        </w:rPr>
        <w:t>Entre las características clave de las IMT-2000 cabe señalar:</w:t>
      </w:r>
    </w:p>
    <w:p w:rsidR="00881351" w:rsidRPr="001F163E" w:rsidRDefault="00881351" w:rsidP="00881351">
      <w:pPr>
        <w:pStyle w:val="enumlev1"/>
        <w:rPr>
          <w:lang w:val="es-ES_tradnl"/>
        </w:rPr>
      </w:pPr>
      <w:r>
        <w:rPr>
          <w:lang w:val="es-ES_tradnl"/>
        </w:rPr>
        <w:t>–</w:t>
      </w:r>
      <w:r>
        <w:rPr>
          <w:lang w:val="es-ES_tradnl"/>
        </w:rPr>
        <w:tab/>
      </w:r>
      <w:r w:rsidRPr="001F163E">
        <w:rPr>
          <w:lang w:val="es-ES_tradnl"/>
        </w:rPr>
        <w:t>un alto grado de uniformidad de diseño en todo el mundo;</w:t>
      </w:r>
    </w:p>
    <w:p w:rsidR="00881351" w:rsidRPr="001F163E" w:rsidRDefault="00881351" w:rsidP="00881351">
      <w:pPr>
        <w:pStyle w:val="enumlev1"/>
        <w:rPr>
          <w:lang w:val="es-ES_tradnl"/>
        </w:rPr>
      </w:pPr>
      <w:r>
        <w:rPr>
          <w:lang w:val="es-ES_tradnl"/>
        </w:rPr>
        <w:t>–</w:t>
      </w:r>
      <w:r>
        <w:rPr>
          <w:lang w:val="es-ES_tradnl"/>
        </w:rPr>
        <w:tab/>
      </w:r>
      <w:r w:rsidRPr="001F163E">
        <w:rPr>
          <w:lang w:val="es-ES_tradnl"/>
        </w:rPr>
        <w:t>compatibilidad de servicios dentro de las propias IMT-2000 y con las redes fijas;</w:t>
      </w:r>
    </w:p>
    <w:p w:rsidR="00881351" w:rsidRPr="001F163E" w:rsidRDefault="00881351" w:rsidP="00881351">
      <w:pPr>
        <w:pStyle w:val="enumlev1"/>
        <w:rPr>
          <w:lang w:val="es-ES_tradnl"/>
        </w:rPr>
      </w:pPr>
      <w:r>
        <w:rPr>
          <w:lang w:val="es-ES_tradnl"/>
        </w:rPr>
        <w:t>–</w:t>
      </w:r>
      <w:r>
        <w:rPr>
          <w:lang w:val="es-ES_tradnl"/>
        </w:rPr>
        <w:tab/>
      </w:r>
      <w:r w:rsidRPr="001F163E">
        <w:rPr>
          <w:lang w:val="es-ES_tradnl"/>
        </w:rPr>
        <w:t>alta calidad;</w:t>
      </w:r>
    </w:p>
    <w:p w:rsidR="00881351" w:rsidRPr="001F163E" w:rsidRDefault="00881351" w:rsidP="00881351">
      <w:pPr>
        <w:pStyle w:val="enumlev1"/>
        <w:rPr>
          <w:lang w:val="es-ES_tradnl"/>
        </w:rPr>
      </w:pPr>
      <w:r>
        <w:rPr>
          <w:lang w:val="es-ES_tradnl"/>
        </w:rPr>
        <w:t>–</w:t>
      </w:r>
      <w:r>
        <w:rPr>
          <w:lang w:val="es-ES_tradnl"/>
        </w:rPr>
        <w:tab/>
      </w:r>
      <w:r w:rsidRPr="001F163E">
        <w:rPr>
          <w:lang w:val="es-ES_tradnl"/>
        </w:rPr>
        <w:t xml:space="preserve">terminales de pequeño tamaño </w:t>
      </w:r>
      <w:r>
        <w:rPr>
          <w:lang w:val="es-ES_tradnl"/>
        </w:rPr>
        <w:t>utilizables</w:t>
      </w:r>
      <w:r w:rsidRPr="001F163E">
        <w:rPr>
          <w:lang w:val="es-ES_tradnl"/>
        </w:rPr>
        <w:t xml:space="preserve"> en todo el mundo;</w:t>
      </w:r>
    </w:p>
    <w:p w:rsidR="00881351" w:rsidRPr="001F163E" w:rsidRDefault="00881351" w:rsidP="00881351">
      <w:pPr>
        <w:pStyle w:val="enumlev1"/>
        <w:rPr>
          <w:lang w:val="es-ES_tradnl"/>
        </w:rPr>
      </w:pPr>
      <w:r>
        <w:rPr>
          <w:lang w:val="es-ES_tradnl"/>
        </w:rPr>
        <w:t>–</w:t>
      </w:r>
      <w:r>
        <w:rPr>
          <w:lang w:val="es-ES_tradnl"/>
        </w:rPr>
        <w:tab/>
      </w:r>
      <w:r w:rsidRPr="001F163E">
        <w:rPr>
          <w:lang w:val="es-ES_tradnl"/>
        </w:rPr>
        <w:t xml:space="preserve">capacidad de </w:t>
      </w:r>
      <w:proofErr w:type="spellStart"/>
      <w:r w:rsidRPr="001F163E">
        <w:rPr>
          <w:lang w:val="es-ES_tradnl"/>
        </w:rPr>
        <w:t>itinerancia</w:t>
      </w:r>
      <w:proofErr w:type="spellEnd"/>
      <w:r w:rsidRPr="001F163E">
        <w:rPr>
          <w:lang w:val="es-ES_tradnl"/>
        </w:rPr>
        <w:t xml:space="preserve"> mundial;</w:t>
      </w:r>
    </w:p>
    <w:p w:rsidR="00415FFD" w:rsidRPr="00A43C05" w:rsidRDefault="00881351" w:rsidP="00881351">
      <w:pPr>
        <w:pStyle w:val="enumlev1"/>
        <w:rPr>
          <w:lang w:val="es-ES_tradnl"/>
        </w:rPr>
      </w:pPr>
      <w:r>
        <w:rPr>
          <w:lang w:val="es-ES_tradnl"/>
        </w:rPr>
        <w:t>–</w:t>
      </w:r>
      <w:r>
        <w:rPr>
          <w:lang w:val="es-ES_tradnl"/>
        </w:rPr>
        <w:tab/>
      </w:r>
      <w:r w:rsidRPr="001F163E">
        <w:rPr>
          <w:lang w:val="es-ES_tradnl"/>
        </w:rPr>
        <w:t>capacidad de ap</w:t>
      </w:r>
      <w:r>
        <w:rPr>
          <w:lang w:val="es-ES_tradnl"/>
        </w:rPr>
        <w:t>licaciones multimedios</w:t>
      </w:r>
      <w:r w:rsidRPr="001F163E">
        <w:rPr>
          <w:lang w:val="es-ES_tradnl"/>
        </w:rPr>
        <w:t xml:space="preserve"> y una amplia gama de servicios y terminales.</w:t>
      </w:r>
    </w:p>
    <w:p w:rsidR="00830D5E" w:rsidRPr="00A43C05" w:rsidRDefault="00830D5E" w:rsidP="00881351">
      <w:pPr>
        <w:pStyle w:val="Heading2"/>
        <w:rPr>
          <w:lang w:val="es-ES_tradnl"/>
        </w:rPr>
      </w:pPr>
      <w:bookmarkStart w:id="21" w:name="_Toc236826216"/>
      <w:bookmarkStart w:id="22" w:name="_Toc255292516"/>
      <w:bookmarkStart w:id="23" w:name="_Toc259024221"/>
      <w:r w:rsidRPr="00A43C05">
        <w:rPr>
          <w:lang w:val="es-ES_tradnl"/>
        </w:rPr>
        <w:t>1.3</w:t>
      </w:r>
      <w:r w:rsidRPr="00A43C05">
        <w:rPr>
          <w:lang w:val="es-ES_tradnl"/>
        </w:rPr>
        <w:tab/>
      </w:r>
      <w:bookmarkEnd w:id="21"/>
      <w:bookmarkEnd w:id="22"/>
      <w:r w:rsidR="00881351" w:rsidRPr="00881351">
        <w:rPr>
          <w:lang w:val="es-ES_tradnl"/>
        </w:rPr>
        <w:t>Factores que impulsan a las IMT</w:t>
      </w:r>
      <w:r w:rsidR="00881351" w:rsidRPr="00881351">
        <w:rPr>
          <w:lang w:val="es-ES_tradnl"/>
        </w:rPr>
        <w:noBreakHyphen/>
        <w:t>2000</w:t>
      </w:r>
      <w:bookmarkEnd w:id="23"/>
    </w:p>
    <w:p w:rsidR="00881351" w:rsidRPr="001F163E" w:rsidRDefault="00881351" w:rsidP="00881351">
      <w:pPr>
        <w:rPr>
          <w:lang w:val="es-ES_tradnl"/>
        </w:rPr>
      </w:pPr>
      <w:r w:rsidRPr="001F163E">
        <w:rPr>
          <w:lang w:val="es-ES_tradnl"/>
        </w:rPr>
        <w:t>Algunas de las características y objetivos clave de las IMT</w:t>
      </w:r>
      <w:r w:rsidRPr="001F163E">
        <w:rPr>
          <w:lang w:val="es-ES_tradnl"/>
        </w:rPr>
        <w:noBreakHyphen/>
        <w:t xml:space="preserve">2000 respondían a la búsqueda de un sistema mundial que ofreciera nuevos servicios y capacidades, y que pudiera evolucionar o migrar </w:t>
      </w:r>
      <w:r>
        <w:rPr>
          <w:lang w:val="es-ES_tradnl"/>
        </w:rPr>
        <w:t>des</w:t>
      </w:r>
      <w:r w:rsidRPr="001F163E">
        <w:rPr>
          <w:lang w:val="es-ES_tradnl"/>
        </w:rPr>
        <w:t xml:space="preserve">de los sistemas existentes y </w:t>
      </w:r>
      <w:r>
        <w:rPr>
          <w:lang w:val="es-ES_tradnl"/>
        </w:rPr>
        <w:t>ser</w:t>
      </w:r>
      <w:r w:rsidRPr="001F163E">
        <w:rPr>
          <w:lang w:val="es-ES_tradnl"/>
        </w:rPr>
        <w:t xml:space="preserve"> capaz de funcionar en varios entornos.</w:t>
      </w:r>
    </w:p>
    <w:p w:rsidR="00881351" w:rsidRPr="001F163E" w:rsidRDefault="00881351" w:rsidP="00881351">
      <w:pPr>
        <w:rPr>
          <w:lang w:val="es-ES_tradnl"/>
        </w:rPr>
      </w:pPr>
      <w:r w:rsidRPr="001F163E">
        <w:rPr>
          <w:lang w:val="es-ES_tradnl"/>
        </w:rPr>
        <w:t>El sistema mundial contemplado tenía que emplear una familia mundial de normas y utilizar bandas de frecuencias comunes</w:t>
      </w:r>
      <w:r w:rsidRPr="00881351">
        <w:rPr>
          <w:rFonts w:eastAsia="SimSun"/>
          <w:vertAlign w:val="superscript"/>
        </w:rPr>
        <w:footnoteReference w:id="1"/>
      </w:r>
      <w:r>
        <w:rPr>
          <w:lang w:val="es-ES_tradnl"/>
        </w:rPr>
        <w:t>,</w:t>
      </w:r>
      <w:r w:rsidRPr="001F163E">
        <w:rPr>
          <w:lang w:val="es-ES_tradnl"/>
        </w:rPr>
        <w:t xml:space="preserve"> </w:t>
      </w:r>
      <w:r>
        <w:rPr>
          <w:lang w:val="es-ES_tradnl"/>
        </w:rPr>
        <w:t>permitir la</w:t>
      </w:r>
      <w:r w:rsidRPr="001F163E">
        <w:rPr>
          <w:lang w:val="es-ES_tradnl"/>
        </w:rPr>
        <w:t xml:space="preserve"> </w:t>
      </w:r>
      <w:proofErr w:type="spellStart"/>
      <w:r w:rsidRPr="001F163E">
        <w:rPr>
          <w:lang w:val="es-ES_tradnl"/>
        </w:rPr>
        <w:t>itinerancia</w:t>
      </w:r>
      <w:proofErr w:type="spellEnd"/>
      <w:r w:rsidRPr="001F163E">
        <w:rPr>
          <w:lang w:val="es-ES_tradnl"/>
        </w:rPr>
        <w:t xml:space="preserve"> </w:t>
      </w:r>
      <w:r>
        <w:rPr>
          <w:lang w:val="es-ES_tradnl"/>
        </w:rPr>
        <w:t xml:space="preserve">a nivel </w:t>
      </w:r>
      <w:r w:rsidRPr="001F163E">
        <w:rPr>
          <w:lang w:val="es-ES_tradnl"/>
        </w:rPr>
        <w:t xml:space="preserve">mundial y </w:t>
      </w:r>
      <w:r>
        <w:rPr>
          <w:lang w:val="es-ES_tradnl"/>
        </w:rPr>
        <w:t xml:space="preserve">contar con </w:t>
      </w:r>
      <w:r w:rsidRPr="001F163E">
        <w:rPr>
          <w:lang w:val="es-ES_tradnl"/>
        </w:rPr>
        <w:t xml:space="preserve">equipos compatibles de fácil adquisición a precios </w:t>
      </w:r>
      <w:r>
        <w:rPr>
          <w:lang w:val="es-ES_tradnl"/>
        </w:rPr>
        <w:t>razonables</w:t>
      </w:r>
      <w:r w:rsidRPr="001F163E">
        <w:rPr>
          <w:lang w:val="es-ES_tradnl"/>
        </w:rPr>
        <w:t>.</w:t>
      </w:r>
    </w:p>
    <w:p w:rsidR="00881351" w:rsidRPr="001F163E" w:rsidRDefault="00881351" w:rsidP="00881351">
      <w:pPr>
        <w:rPr>
          <w:lang w:val="es-ES_tradnl"/>
        </w:rPr>
      </w:pPr>
      <w:r w:rsidRPr="001F163E">
        <w:rPr>
          <w:lang w:val="es-ES_tradnl"/>
        </w:rPr>
        <w:t>Se pretendía que los nuevos servicios y capacidades fueran considerablemente más avanzados que las tecnologías previas a las IMT</w:t>
      </w:r>
      <w:r w:rsidRPr="001F163E">
        <w:rPr>
          <w:lang w:val="es-ES_tradnl"/>
        </w:rPr>
        <w:noBreakHyphen/>
        <w:t xml:space="preserve">2000. </w:t>
      </w:r>
      <w:r>
        <w:rPr>
          <w:lang w:val="es-ES_tradnl"/>
        </w:rPr>
        <w:t>Habría toda una gama de servicios, vocales o no, y, entre estos últimos,</w:t>
      </w:r>
      <w:r w:rsidRPr="001F163E">
        <w:rPr>
          <w:lang w:val="es-ES_tradnl"/>
        </w:rPr>
        <w:t xml:space="preserve"> servicios de datos por paquetes y multimedios. El sistema soportaría una capacidad de velocidades binarias de usuario significativamente más altas y ofrecería un </w:t>
      </w:r>
      <w:r>
        <w:rPr>
          <w:lang w:val="es-ES_tradnl"/>
        </w:rPr>
        <w:t>circuito de soporte</w:t>
      </w:r>
      <w:r w:rsidRPr="001F163E">
        <w:rPr>
          <w:lang w:val="es-ES_tradnl"/>
        </w:rPr>
        <w:t xml:space="preserve"> de radiocomunicaciones flexible. Se consideraba esencial que las IMT-2000 soportaran capacidades de datos </w:t>
      </w:r>
      <w:r>
        <w:rPr>
          <w:lang w:val="es-ES_tradnl"/>
        </w:rPr>
        <w:t>tanto simétricas como asimétrica</w:t>
      </w:r>
      <w:r w:rsidRPr="001F163E">
        <w:rPr>
          <w:lang w:val="es-ES_tradnl"/>
        </w:rPr>
        <w:t xml:space="preserve">s, </w:t>
      </w:r>
      <w:r>
        <w:rPr>
          <w:lang w:val="es-ES_tradnl"/>
        </w:rPr>
        <w:t xml:space="preserve">la </w:t>
      </w:r>
      <w:r w:rsidRPr="001F163E">
        <w:rPr>
          <w:lang w:val="es-ES_tradnl"/>
        </w:rPr>
        <w:t>creación de servicios basados en redes inteligentes (IN)</w:t>
      </w:r>
      <w:r>
        <w:rPr>
          <w:lang w:val="es-ES_tradnl"/>
        </w:rPr>
        <w:t>, la</w:t>
      </w:r>
      <w:r w:rsidRPr="001F163E">
        <w:rPr>
          <w:lang w:val="es-ES_tradnl"/>
        </w:rPr>
        <w:t xml:space="preserve"> gestión de perfiles de servicio </w:t>
      </w:r>
      <w:r>
        <w:rPr>
          <w:lang w:val="es-ES_tradnl"/>
        </w:rPr>
        <w:t>con arreglo a</w:t>
      </w:r>
      <w:r w:rsidRPr="001F163E">
        <w:rPr>
          <w:lang w:val="es-ES_tradnl"/>
        </w:rPr>
        <w:t xml:space="preserve"> las Recomendaciones de la serie UIT</w:t>
      </w:r>
      <w:r w:rsidRPr="001F163E">
        <w:rPr>
          <w:lang w:val="es-ES_tradnl"/>
        </w:rPr>
        <w:noBreakHyphen/>
        <w:t xml:space="preserve">T Q.1200, y </w:t>
      </w:r>
      <w:r>
        <w:rPr>
          <w:lang w:val="es-ES_tradnl"/>
        </w:rPr>
        <w:t xml:space="preserve">la correspondiente gestión de </w:t>
      </w:r>
      <w:r w:rsidRPr="001F163E">
        <w:rPr>
          <w:lang w:val="es-ES_tradnl"/>
        </w:rPr>
        <w:t>sistemas</w:t>
      </w:r>
      <w:r>
        <w:rPr>
          <w:lang w:val="es-ES_tradnl"/>
        </w:rPr>
        <w:t xml:space="preserve"> de acuerdo con las</w:t>
      </w:r>
      <w:r w:rsidRPr="001F163E">
        <w:rPr>
          <w:lang w:val="es-ES_tradnl"/>
        </w:rPr>
        <w:t xml:space="preserve"> Recomendaciones de la serie UIT</w:t>
      </w:r>
      <w:r w:rsidRPr="001F163E">
        <w:rPr>
          <w:lang w:val="es-ES_tradnl"/>
        </w:rPr>
        <w:noBreakHyphen/>
        <w:t>T</w:t>
      </w:r>
      <w:r>
        <w:rPr>
          <w:lang w:val="es-ES_tradnl"/>
        </w:rPr>
        <w:t> </w:t>
      </w:r>
      <w:r w:rsidRPr="001F163E">
        <w:rPr>
          <w:lang w:val="es-ES_tradnl"/>
        </w:rPr>
        <w:t>M.3000. También se buscaba la capacidad de ofrecer anchura de banda a petición soportando una amplia gama de velocidades de datos, desde</w:t>
      </w:r>
      <w:r>
        <w:rPr>
          <w:lang w:val="es-ES_tradnl"/>
        </w:rPr>
        <w:t xml:space="preserve"> la</w:t>
      </w:r>
      <w:r w:rsidRPr="00854E50">
        <w:rPr>
          <w:lang w:val="es-ES_tradnl"/>
        </w:rPr>
        <w:t xml:space="preserve"> </w:t>
      </w:r>
      <w:r w:rsidRPr="001F163E">
        <w:rPr>
          <w:lang w:val="es-ES_tradnl"/>
        </w:rPr>
        <w:t>baja velocidad binaria</w:t>
      </w:r>
      <w:r>
        <w:rPr>
          <w:lang w:val="es-ES_tradnl"/>
        </w:rPr>
        <w:t xml:space="preserve"> propia de los</w:t>
      </w:r>
      <w:r w:rsidRPr="001F163E">
        <w:rPr>
          <w:lang w:val="es-ES_tradnl"/>
        </w:rPr>
        <w:t xml:space="preserve"> sencillos mensajes de </w:t>
      </w:r>
      <w:proofErr w:type="spellStart"/>
      <w:r w:rsidRPr="001F163E">
        <w:rPr>
          <w:lang w:val="es-ES_tradnl"/>
        </w:rPr>
        <w:t>radiobúsqueda</w:t>
      </w:r>
      <w:proofErr w:type="spellEnd"/>
      <w:r w:rsidRPr="001F163E">
        <w:rPr>
          <w:lang w:val="es-ES_tradnl"/>
        </w:rPr>
        <w:t xml:space="preserve"> </w:t>
      </w:r>
      <w:r>
        <w:rPr>
          <w:lang w:val="es-ES_tradnl"/>
        </w:rPr>
        <w:t>h</w:t>
      </w:r>
      <w:r w:rsidRPr="001F163E">
        <w:rPr>
          <w:lang w:val="es-ES_tradnl"/>
        </w:rPr>
        <w:t>a</w:t>
      </w:r>
      <w:r>
        <w:rPr>
          <w:lang w:val="es-ES_tradnl"/>
        </w:rPr>
        <w:t xml:space="preserve">sta </w:t>
      </w:r>
      <w:r w:rsidRPr="001F163E">
        <w:rPr>
          <w:lang w:val="es-ES_tradnl"/>
        </w:rPr>
        <w:t>las altas velocidades de transmisión asociadas a la transferencia de vídeo o ficheros, pasando por las transmisiones vocales.</w:t>
      </w:r>
    </w:p>
    <w:p w:rsidR="00881351" w:rsidRPr="001F163E" w:rsidRDefault="00881351" w:rsidP="00881351">
      <w:pPr>
        <w:rPr>
          <w:lang w:val="es-ES_tradnl"/>
        </w:rPr>
      </w:pPr>
      <w:r w:rsidRPr="001F163E">
        <w:rPr>
          <w:lang w:val="es-ES_tradnl"/>
        </w:rPr>
        <w:lastRenderedPageBreak/>
        <w:t>Los usuarios experimentarían una mayor calidad e integridad de</w:t>
      </w:r>
      <w:r>
        <w:rPr>
          <w:lang w:val="es-ES_tradnl"/>
        </w:rPr>
        <w:t>l</w:t>
      </w:r>
      <w:r w:rsidRPr="001F163E">
        <w:rPr>
          <w:lang w:val="es-ES_tradnl"/>
        </w:rPr>
        <w:t xml:space="preserve"> servicio, comparables a los de la red fija</w:t>
      </w:r>
      <w:r>
        <w:rPr>
          <w:lang w:val="es-ES_tradnl"/>
        </w:rPr>
        <w:t xml:space="preserve">, y </w:t>
      </w:r>
      <w:proofErr w:type="spellStart"/>
      <w:r w:rsidRPr="001F163E">
        <w:rPr>
          <w:lang w:val="es-ES_tradnl"/>
        </w:rPr>
        <w:t>e</w:t>
      </w:r>
      <w:proofErr w:type="spellEnd"/>
      <w:r w:rsidRPr="001F163E">
        <w:rPr>
          <w:lang w:val="es-ES_tradnl"/>
        </w:rPr>
        <w:t xml:space="preserve"> beneficiarían asimismo de una mayor seguridad y facilidad de manejo.</w:t>
      </w:r>
    </w:p>
    <w:p w:rsidR="00881351" w:rsidRPr="001F163E" w:rsidRDefault="00881351" w:rsidP="00881351">
      <w:pPr>
        <w:rPr>
          <w:lang w:val="es-ES_tradnl"/>
        </w:rPr>
      </w:pPr>
      <w:r w:rsidRPr="001F163E">
        <w:rPr>
          <w:lang w:val="es-ES_tradnl"/>
        </w:rPr>
        <w:t xml:space="preserve">El desarrollo de las IMT-2000 vino impulsado también por la necesidad de </w:t>
      </w:r>
      <w:r>
        <w:rPr>
          <w:lang w:val="es-ES_tradnl"/>
        </w:rPr>
        <w:t>realizar</w:t>
      </w:r>
      <w:r w:rsidRPr="001F163E">
        <w:rPr>
          <w:lang w:val="es-ES_tradnl"/>
        </w:rPr>
        <w:t xml:space="preserve"> una evolución flexible de los sistemas y la migración de los usuarios</w:t>
      </w:r>
      <w:r>
        <w:rPr>
          <w:lang w:val="es-ES_tradnl"/>
        </w:rPr>
        <w:t>,</w:t>
      </w:r>
      <w:r w:rsidRPr="001F163E">
        <w:rPr>
          <w:lang w:val="es-ES_tradnl"/>
        </w:rPr>
        <w:t xml:space="preserve"> tanto </w:t>
      </w:r>
      <w:r>
        <w:rPr>
          <w:lang w:val="es-ES_tradnl"/>
        </w:rPr>
        <w:t>desde</w:t>
      </w:r>
      <w:r w:rsidRPr="001F163E">
        <w:rPr>
          <w:lang w:val="es-ES_tradnl"/>
        </w:rPr>
        <w:t xml:space="preserve"> las tecnologías previas a las IMT</w:t>
      </w:r>
      <w:r w:rsidRPr="001F163E">
        <w:rPr>
          <w:lang w:val="es-ES_tradnl"/>
        </w:rPr>
        <w:noBreakHyphen/>
        <w:t>2000 como por evolución dentro de las IMT</w:t>
      </w:r>
      <w:r w:rsidRPr="001F163E">
        <w:rPr>
          <w:lang w:val="es-ES_tradnl"/>
        </w:rPr>
        <w:noBreakHyphen/>
        <w:t>2000</w:t>
      </w:r>
      <w:r w:rsidRPr="00881351">
        <w:rPr>
          <w:rFonts w:eastAsia="SimSun"/>
          <w:vertAlign w:val="superscript"/>
        </w:rPr>
        <w:footnoteReference w:id="2"/>
      </w:r>
      <w:r w:rsidRPr="001F163E">
        <w:rPr>
          <w:lang w:val="es-ES_tradnl"/>
        </w:rPr>
        <w:t xml:space="preserve"> sin olvidar la posibilidad de coexistir e </w:t>
      </w:r>
      <w:proofErr w:type="spellStart"/>
      <w:r w:rsidRPr="001F163E">
        <w:rPr>
          <w:lang w:val="es-ES_tradnl"/>
        </w:rPr>
        <w:t>interfuncionar</w:t>
      </w:r>
      <w:proofErr w:type="spellEnd"/>
      <w:r w:rsidRPr="001F163E">
        <w:rPr>
          <w:lang w:val="es-ES_tradnl"/>
        </w:rPr>
        <w:t xml:space="preserve"> con los sistemas </w:t>
      </w:r>
      <w:r>
        <w:rPr>
          <w:lang w:val="es-ES_tradnl"/>
        </w:rPr>
        <w:t>anteriores a las IMT-2000</w:t>
      </w:r>
      <w:r w:rsidRPr="001F163E">
        <w:rPr>
          <w:lang w:val="es-ES_tradnl"/>
        </w:rPr>
        <w:t xml:space="preserve">. Se buscaba una arquitectura abierta que facilitara la introducción de los avances </w:t>
      </w:r>
      <w:r>
        <w:rPr>
          <w:lang w:val="es-ES_tradnl"/>
        </w:rPr>
        <w:t>tecnológicos</w:t>
      </w:r>
      <w:r w:rsidRPr="001F163E">
        <w:rPr>
          <w:lang w:val="es-ES_tradnl"/>
        </w:rPr>
        <w:t xml:space="preserve"> y de las distintas aplicaciones,</w:t>
      </w:r>
      <w:r>
        <w:rPr>
          <w:lang w:val="es-ES_tradnl"/>
        </w:rPr>
        <w:t xml:space="preserve"> así como</w:t>
      </w:r>
      <w:r w:rsidRPr="001F163E">
        <w:rPr>
          <w:lang w:val="es-ES_tradnl"/>
        </w:rPr>
        <w:t xml:space="preserve"> la compatibilidad de los servicios dentro de las IMT</w:t>
      </w:r>
      <w:r w:rsidRPr="001F163E">
        <w:rPr>
          <w:lang w:val="es-ES_tradnl"/>
        </w:rPr>
        <w:noBreakHyphen/>
        <w:t xml:space="preserve">2000 y con las redes fijas de telecomunicaciones (por ejemplo, RTPC/RDSI). </w:t>
      </w:r>
    </w:p>
    <w:p w:rsidR="00881351" w:rsidRPr="001F163E" w:rsidRDefault="00881351" w:rsidP="00881351">
      <w:pPr>
        <w:rPr>
          <w:lang w:val="es-ES_tradnl"/>
        </w:rPr>
      </w:pPr>
      <w:r w:rsidRPr="001F163E">
        <w:rPr>
          <w:lang w:val="es-ES_tradnl"/>
        </w:rPr>
        <w:t>La flexibilidad que se contemplaba para las</w:t>
      </w:r>
      <w:r>
        <w:rPr>
          <w:lang w:val="es-ES_tradnl"/>
        </w:rPr>
        <w:t xml:space="preserve"> </w:t>
      </w:r>
      <w:r w:rsidRPr="001F163E">
        <w:rPr>
          <w:lang w:val="es-ES_tradnl"/>
        </w:rPr>
        <w:t xml:space="preserve">IMT-2000 ofrecería capacidades </w:t>
      </w:r>
      <w:proofErr w:type="spellStart"/>
      <w:r w:rsidRPr="001F163E">
        <w:rPr>
          <w:lang w:val="es-ES_tradnl"/>
        </w:rPr>
        <w:t>multientorno</w:t>
      </w:r>
      <w:proofErr w:type="spellEnd"/>
      <w:r w:rsidRPr="001F163E">
        <w:rPr>
          <w:lang w:val="es-ES_tradnl"/>
        </w:rPr>
        <w:t xml:space="preserve">, tales como las de redes satelitales/terrenales integradas, </w:t>
      </w:r>
      <w:r>
        <w:rPr>
          <w:lang w:val="es-ES_tradnl"/>
        </w:rPr>
        <w:t>su explotación</w:t>
      </w:r>
      <w:r w:rsidRPr="001F163E">
        <w:rPr>
          <w:lang w:val="es-ES_tradnl"/>
        </w:rPr>
        <w:t xml:space="preserve"> en entornos aeronáuticos y marítimos, la prestación de </w:t>
      </w:r>
      <w:r>
        <w:rPr>
          <w:lang w:val="es-ES_tradnl"/>
        </w:rPr>
        <w:t xml:space="preserve">servicios a </w:t>
      </w:r>
      <w:r w:rsidRPr="001F163E">
        <w:rPr>
          <w:lang w:val="es-ES_tradnl"/>
        </w:rPr>
        <w:t>usuarios tanto móviles como fijos en las regiones urbanas, rurales y remotas, y el soporte de zonas de alta y baja densidad.</w:t>
      </w:r>
    </w:p>
    <w:p w:rsidR="00881351" w:rsidRPr="001F163E" w:rsidRDefault="00881351" w:rsidP="00881351">
      <w:pPr>
        <w:rPr>
          <w:lang w:val="es-ES_tradnl"/>
        </w:rPr>
      </w:pPr>
      <w:r w:rsidRPr="001F163E">
        <w:rPr>
          <w:lang w:val="es-ES_tradnl"/>
        </w:rPr>
        <w:t xml:space="preserve">Dentro de la familia de normas, se deseaba obtener el máximo nivel de </w:t>
      </w:r>
      <w:proofErr w:type="spellStart"/>
      <w:r w:rsidRPr="001F163E">
        <w:rPr>
          <w:lang w:val="es-ES_tradnl"/>
        </w:rPr>
        <w:t>interfuncionamiento</w:t>
      </w:r>
      <w:proofErr w:type="spellEnd"/>
      <w:r w:rsidRPr="001F163E">
        <w:rPr>
          <w:lang w:val="es-ES_tradnl"/>
        </w:rPr>
        <w:t xml:space="preserve"> entre redes de distintos tipos para ofrecer a los abonados mayor cobertura, </w:t>
      </w:r>
      <w:proofErr w:type="spellStart"/>
      <w:r w:rsidRPr="001F163E">
        <w:rPr>
          <w:lang w:val="es-ES_tradnl"/>
        </w:rPr>
        <w:t>itinerancia</w:t>
      </w:r>
      <w:proofErr w:type="spellEnd"/>
      <w:r w:rsidRPr="001F163E">
        <w:rPr>
          <w:lang w:val="es-ES_tradnl"/>
        </w:rPr>
        <w:t xml:space="preserve"> sin interrupción y coherencia de servicios. Análogamente, era necesario poder utilizar terminales </w:t>
      </w:r>
      <w:r>
        <w:rPr>
          <w:lang w:val="es-ES_tradnl"/>
        </w:rPr>
        <w:t>adaptables capaces de</w:t>
      </w:r>
      <w:r w:rsidRPr="001F163E">
        <w:rPr>
          <w:lang w:val="es-ES_tradnl"/>
        </w:rPr>
        <w:t xml:space="preserve"> descargar programas informáticos para soportar capacidades </w:t>
      </w:r>
      <w:proofErr w:type="spellStart"/>
      <w:r w:rsidRPr="001F163E">
        <w:rPr>
          <w:lang w:val="es-ES_tradnl"/>
        </w:rPr>
        <w:t>multibanda</w:t>
      </w:r>
      <w:proofErr w:type="spellEnd"/>
      <w:r w:rsidRPr="001F163E">
        <w:rPr>
          <w:lang w:val="es-ES_tradnl"/>
        </w:rPr>
        <w:t xml:space="preserve"> y </w:t>
      </w:r>
      <w:proofErr w:type="spellStart"/>
      <w:r w:rsidRPr="001F163E">
        <w:rPr>
          <w:lang w:val="es-ES_tradnl"/>
        </w:rPr>
        <w:t>multientorno</w:t>
      </w:r>
      <w:proofErr w:type="spellEnd"/>
      <w:r w:rsidRPr="001F163E">
        <w:rPr>
          <w:lang w:val="es-ES_tradnl"/>
        </w:rPr>
        <w:t>.</w:t>
      </w:r>
    </w:p>
    <w:p w:rsidR="00881351" w:rsidRPr="001F163E" w:rsidRDefault="00881351" w:rsidP="00881351">
      <w:pPr>
        <w:rPr>
          <w:lang w:val="es-ES_tradnl"/>
        </w:rPr>
      </w:pPr>
      <w:r w:rsidRPr="001F163E">
        <w:rPr>
          <w:lang w:val="es-ES_tradnl"/>
        </w:rPr>
        <w:t>El desarrollo de las IMT-2000 vino impulsado asimismo por la búsqueda de una estructura modular que permitiera poner en marcha el sistema con la configuración más elemental y sencilla posible</w:t>
      </w:r>
      <w:r>
        <w:rPr>
          <w:lang w:val="es-ES_tradnl"/>
        </w:rPr>
        <w:t>,</w:t>
      </w:r>
      <w:r w:rsidRPr="001F163E">
        <w:rPr>
          <w:lang w:val="es-ES_tradnl"/>
        </w:rPr>
        <w:t xml:space="preserve"> </w:t>
      </w:r>
      <w:r>
        <w:rPr>
          <w:lang w:val="es-ES_tradnl"/>
        </w:rPr>
        <w:t>para</w:t>
      </w:r>
      <w:r w:rsidRPr="001F163E">
        <w:rPr>
          <w:lang w:val="es-ES_tradnl"/>
        </w:rPr>
        <w:t xml:space="preserve"> </w:t>
      </w:r>
      <w:r>
        <w:rPr>
          <w:lang w:val="es-ES_tradnl"/>
        </w:rPr>
        <w:t>ir creciendo</w:t>
      </w:r>
      <w:r w:rsidRPr="001F163E">
        <w:rPr>
          <w:lang w:val="es-ES_tradnl"/>
        </w:rPr>
        <w:t xml:space="preserve"> en tamaño y complejidad conforme fuera preciso. Por último, se pretendía que las IMT-2000 satisficieran las</w:t>
      </w:r>
      <w:r>
        <w:rPr>
          <w:lang w:val="es-ES_tradnl"/>
        </w:rPr>
        <w:t xml:space="preserve"> </w:t>
      </w:r>
      <w:r w:rsidRPr="001F163E">
        <w:rPr>
          <w:lang w:val="es-ES_tradnl"/>
        </w:rPr>
        <w:t xml:space="preserve">necesidades de los países en desarrollo y </w:t>
      </w:r>
      <w:r>
        <w:rPr>
          <w:lang w:val="es-ES_tradnl"/>
        </w:rPr>
        <w:t>aprovecharan</w:t>
      </w:r>
      <w:r w:rsidRPr="001F163E">
        <w:rPr>
          <w:lang w:val="es-ES_tradnl"/>
        </w:rPr>
        <w:t xml:space="preserve"> mejor </w:t>
      </w:r>
      <w:r>
        <w:rPr>
          <w:lang w:val="es-ES_tradnl"/>
        </w:rPr>
        <w:t>el</w:t>
      </w:r>
      <w:r w:rsidRPr="001F163E">
        <w:rPr>
          <w:lang w:val="es-ES_tradnl"/>
        </w:rPr>
        <w:t xml:space="preserve"> espectro radioeléctrico que los sistemas</w:t>
      </w:r>
      <w:r>
        <w:rPr>
          <w:lang w:val="es-ES_tradnl"/>
        </w:rPr>
        <w:t xml:space="preserve"> anteriores a las IMT-2000</w:t>
      </w:r>
      <w:r w:rsidRPr="001F163E">
        <w:rPr>
          <w:lang w:val="es-ES_tradnl"/>
        </w:rPr>
        <w:t xml:space="preserve">, en congruencia con la prestación de servicios a costos aceptables, teniendo en cuenta sus diversas demandas de velocidades de datos, simetría, calidad de canal y retardos. En </w:t>
      </w:r>
      <w:r>
        <w:rPr>
          <w:lang w:val="es-ES_tradnl"/>
        </w:rPr>
        <w:t xml:space="preserve">la mayor parte de </w:t>
      </w:r>
      <w:r w:rsidRPr="001F163E">
        <w:rPr>
          <w:lang w:val="es-ES_tradnl"/>
        </w:rPr>
        <w:t xml:space="preserve">los países en desarrollo, la tarea de reducir la brecha digital </w:t>
      </w:r>
      <w:r>
        <w:rPr>
          <w:lang w:val="es-ES_tradnl"/>
        </w:rPr>
        <w:t xml:space="preserve">se encuentra en la coyuntura de seguir intentando resolver el </w:t>
      </w:r>
      <w:r w:rsidRPr="001F163E">
        <w:rPr>
          <w:lang w:val="es-ES_tradnl"/>
        </w:rPr>
        <w:t xml:space="preserve">problema de ofrecer </w:t>
      </w:r>
      <w:r>
        <w:rPr>
          <w:lang w:val="es-ES_tradnl"/>
        </w:rPr>
        <w:t xml:space="preserve">el </w:t>
      </w:r>
      <w:r w:rsidRPr="001F163E">
        <w:rPr>
          <w:lang w:val="es-ES_tradnl"/>
        </w:rPr>
        <w:t xml:space="preserve">acceso vocal. La informatización a gran escala </w:t>
      </w:r>
      <w:r>
        <w:rPr>
          <w:lang w:val="es-ES_tradnl"/>
        </w:rPr>
        <w:t>y</w:t>
      </w:r>
      <w:r w:rsidRPr="001F163E">
        <w:rPr>
          <w:lang w:val="es-ES_tradnl"/>
        </w:rPr>
        <w:t xml:space="preserve"> el crecimiento de los </w:t>
      </w:r>
      <w:proofErr w:type="spellStart"/>
      <w:r w:rsidRPr="001F163E">
        <w:rPr>
          <w:lang w:val="es-ES_tradnl"/>
        </w:rPr>
        <w:t>ciberservicios</w:t>
      </w:r>
      <w:proofErr w:type="spellEnd"/>
      <w:r w:rsidRPr="001F163E">
        <w:rPr>
          <w:lang w:val="es-ES_tradnl"/>
        </w:rPr>
        <w:t xml:space="preserve"> exige la disponibilidad de un</w:t>
      </w:r>
      <w:r>
        <w:rPr>
          <w:lang w:val="es-ES_tradnl"/>
        </w:rPr>
        <w:t xml:space="preserve">a mayor anchura </w:t>
      </w:r>
      <w:r w:rsidRPr="001F163E">
        <w:rPr>
          <w:lang w:val="es-ES_tradnl"/>
        </w:rPr>
        <w:t>de banda en el bucle de acceso. En estos países, es probable que la mayor parte de las líneas de acceso utilicen tecnología inalámbrica y</w:t>
      </w:r>
      <w:r>
        <w:rPr>
          <w:lang w:val="es-ES_tradnl"/>
        </w:rPr>
        <w:t xml:space="preserve"> que</w:t>
      </w:r>
      <w:r w:rsidRPr="001F163E">
        <w:rPr>
          <w:lang w:val="es-ES_tradnl"/>
        </w:rPr>
        <w:t xml:space="preserve">, por consiguiente, alternativas tales como la </w:t>
      </w:r>
      <w:proofErr w:type="spellStart"/>
      <w:r w:rsidRPr="001F163E">
        <w:rPr>
          <w:lang w:val="es-ES_tradnl"/>
        </w:rPr>
        <w:t>xDSL</w:t>
      </w:r>
      <w:proofErr w:type="spellEnd"/>
      <w:r w:rsidRPr="001F163E">
        <w:rPr>
          <w:lang w:val="es-ES_tradnl"/>
        </w:rPr>
        <w:t xml:space="preserve">, la CATV y la RDSI no </w:t>
      </w:r>
      <w:r>
        <w:rPr>
          <w:lang w:val="es-ES_tradnl"/>
        </w:rPr>
        <w:t>sean</w:t>
      </w:r>
      <w:r w:rsidRPr="001F163E">
        <w:rPr>
          <w:lang w:val="es-ES_tradnl"/>
        </w:rPr>
        <w:t xml:space="preserve"> adecuadas para su implementación a gran escala. Las capacidades de datos inalámbricos de alta velocidad que </w:t>
      </w:r>
      <w:r>
        <w:rPr>
          <w:lang w:val="es-ES_tradnl"/>
        </w:rPr>
        <w:t>se esperaba ofrecieran</w:t>
      </w:r>
      <w:r w:rsidRPr="001F163E">
        <w:rPr>
          <w:lang w:val="es-ES_tradnl"/>
        </w:rPr>
        <w:t xml:space="preserve"> las IMT</w:t>
      </w:r>
      <w:r w:rsidRPr="001F163E">
        <w:rPr>
          <w:lang w:val="es-ES_tradnl"/>
        </w:rPr>
        <w:noBreakHyphen/>
        <w:t>2000 constituirían una tecnología de acceso inalámbrico móvil que brindarían a las IMT</w:t>
      </w:r>
      <w:r w:rsidRPr="001F163E">
        <w:rPr>
          <w:lang w:val="es-ES_tradnl"/>
        </w:rPr>
        <w:noBreakHyphen/>
        <w:t>2000 una oportunidad única en estos mercados.</w:t>
      </w:r>
    </w:p>
    <w:p w:rsidR="00830D5E" w:rsidRPr="00A43C05" w:rsidRDefault="00881351" w:rsidP="00881351">
      <w:pPr>
        <w:rPr>
          <w:lang w:val="es-ES_tradnl"/>
        </w:rPr>
      </w:pPr>
      <w:r>
        <w:rPr>
          <w:lang w:val="es-ES_tradnl"/>
        </w:rPr>
        <w:t>En los países desarrollados</w:t>
      </w:r>
      <w:r w:rsidRPr="001F163E">
        <w:rPr>
          <w:lang w:val="es-ES_tradnl"/>
        </w:rPr>
        <w:t xml:space="preserve"> </w:t>
      </w:r>
      <w:r>
        <w:rPr>
          <w:lang w:val="es-ES_tradnl"/>
        </w:rPr>
        <w:t xml:space="preserve">se ha desagregado </w:t>
      </w:r>
      <w:r w:rsidRPr="001F163E">
        <w:rPr>
          <w:lang w:val="es-ES_tradnl"/>
        </w:rPr>
        <w:t xml:space="preserve">el bucle local de cobre para fomentar la competencia en banda ancha. Puesto que no es posible proceder a esa desagregación en la red inalámbrica, el </w:t>
      </w:r>
      <w:proofErr w:type="spellStart"/>
      <w:r w:rsidRPr="001F163E">
        <w:rPr>
          <w:lang w:val="es-ES_tradnl"/>
        </w:rPr>
        <w:t>interfuncionamiento</w:t>
      </w:r>
      <w:proofErr w:type="spellEnd"/>
      <w:r w:rsidRPr="001F163E">
        <w:rPr>
          <w:lang w:val="es-ES_tradnl"/>
        </w:rPr>
        <w:t xml:space="preserve"> de diferentes tecnologías inalámbricas </w:t>
      </w:r>
      <w:r>
        <w:rPr>
          <w:lang w:val="es-ES_tradnl"/>
        </w:rPr>
        <w:t>puede constituir</w:t>
      </w:r>
      <w:r w:rsidRPr="001F163E">
        <w:rPr>
          <w:lang w:val="es-ES_tradnl"/>
        </w:rPr>
        <w:t xml:space="preserve"> una alternativa para ofrecer servicios de banda ancha en régimen de competencia.</w:t>
      </w:r>
    </w:p>
    <w:p w:rsidR="00F96CC5" w:rsidRPr="00A43C05" w:rsidRDefault="003803B8" w:rsidP="00102997">
      <w:pPr>
        <w:pStyle w:val="Heading1"/>
        <w:rPr>
          <w:lang w:val="es-ES_tradnl"/>
        </w:rPr>
      </w:pPr>
      <w:bookmarkStart w:id="24" w:name="_Toc236826217"/>
      <w:bookmarkStart w:id="25" w:name="_Toc255292517"/>
      <w:bookmarkStart w:id="26" w:name="_Toc259024222"/>
      <w:r w:rsidRPr="00A43C05">
        <w:rPr>
          <w:lang w:val="es-ES_tradnl"/>
        </w:rPr>
        <w:t>2</w:t>
      </w:r>
      <w:r w:rsidR="00F96CC5" w:rsidRPr="00A43C05">
        <w:rPr>
          <w:lang w:val="es-ES_tradnl"/>
        </w:rPr>
        <w:tab/>
      </w:r>
      <w:bookmarkEnd w:id="24"/>
      <w:bookmarkEnd w:id="25"/>
      <w:r w:rsidR="00881351" w:rsidRPr="00881351">
        <w:rPr>
          <w:lang w:val="es-ES_tradnl"/>
        </w:rPr>
        <w:t xml:space="preserve">Actualización del texto </w:t>
      </w:r>
      <w:r w:rsidR="00030119">
        <w:rPr>
          <w:lang w:val="es-ES_tradnl"/>
        </w:rPr>
        <w:t>«</w:t>
      </w:r>
      <w:r w:rsidR="00881351" w:rsidRPr="00881351">
        <w:rPr>
          <w:lang w:val="es-ES_tradnl"/>
        </w:rPr>
        <w:t>De las actuales redes móviles a las IMT-2000</w:t>
      </w:r>
      <w:r w:rsidR="00030119">
        <w:rPr>
          <w:lang w:val="es-ES_tradnl"/>
        </w:rPr>
        <w:t>»</w:t>
      </w:r>
      <w:bookmarkEnd w:id="26"/>
    </w:p>
    <w:p w:rsidR="00881351" w:rsidRPr="001F163E" w:rsidRDefault="00881351" w:rsidP="00881351">
      <w:pPr>
        <w:rPr>
          <w:lang w:val="es-ES_tradnl"/>
        </w:rPr>
      </w:pPr>
      <w:r w:rsidRPr="001F163E">
        <w:rPr>
          <w:lang w:val="es-ES_tradnl"/>
        </w:rPr>
        <w:t>La transición hacia las IMT</w:t>
      </w:r>
      <w:r w:rsidRPr="001F163E">
        <w:rPr>
          <w:lang w:val="es-ES_tradnl"/>
        </w:rPr>
        <w:noBreakHyphen/>
        <w:t>2000 de</w:t>
      </w:r>
      <w:r>
        <w:rPr>
          <w:lang w:val="es-ES_tradnl"/>
        </w:rPr>
        <w:t>sde</w:t>
      </w:r>
      <w:r w:rsidRPr="001F163E">
        <w:rPr>
          <w:lang w:val="es-ES_tradnl"/>
        </w:rPr>
        <w:t xml:space="preserve"> los sistemas previos a</w:t>
      </w:r>
      <w:r>
        <w:rPr>
          <w:lang w:val="es-ES_tradnl"/>
        </w:rPr>
        <w:t xml:space="preserve"> </w:t>
      </w:r>
      <w:r w:rsidRPr="001F163E">
        <w:rPr>
          <w:lang w:val="es-ES_tradnl"/>
        </w:rPr>
        <w:t>ésta se producirá a lo largo de un</w:t>
      </w:r>
      <w:r>
        <w:rPr>
          <w:lang w:val="es-ES_tradnl"/>
        </w:rPr>
        <w:t xml:space="preserve"> cierto</w:t>
      </w:r>
      <w:r w:rsidRPr="001F163E">
        <w:rPr>
          <w:lang w:val="es-ES_tradnl"/>
        </w:rPr>
        <w:t xml:space="preserve"> periodo de tiempo </w:t>
      </w:r>
      <w:r>
        <w:rPr>
          <w:lang w:val="es-ES_tradnl"/>
        </w:rPr>
        <w:t>para</w:t>
      </w:r>
      <w:r w:rsidRPr="001F163E">
        <w:rPr>
          <w:lang w:val="es-ES_tradnl"/>
        </w:rPr>
        <w:t xml:space="preserve"> que los operadores puedan </w:t>
      </w:r>
      <w:r>
        <w:rPr>
          <w:lang w:val="es-ES_tradnl"/>
        </w:rPr>
        <w:t>rentabilizar y amortizar por completo</w:t>
      </w:r>
      <w:r w:rsidRPr="001F163E">
        <w:rPr>
          <w:lang w:val="es-ES_tradnl"/>
        </w:rPr>
        <w:t xml:space="preserve"> las inversiones efectuadas en infraestructuras previas a las IMT</w:t>
      </w:r>
      <w:r w:rsidRPr="001F163E">
        <w:rPr>
          <w:lang w:val="es-ES_tradnl"/>
        </w:rPr>
        <w:noBreakHyphen/>
        <w:t>2000. Hay varios escenarios de transición posibles para que los operadores inalámbricos migren de los sistemas actuales a las IMT</w:t>
      </w:r>
      <w:r w:rsidRPr="001F163E">
        <w:rPr>
          <w:lang w:val="es-ES_tradnl"/>
        </w:rPr>
        <w:noBreakHyphen/>
        <w:t xml:space="preserve">2000. Tanto las administraciones como los operadores deben considerar las soluciones disponibles en el momento de plantearse la transición y </w:t>
      </w:r>
      <w:r>
        <w:rPr>
          <w:lang w:val="es-ES_tradnl"/>
        </w:rPr>
        <w:t>analizar a fondo las implicaciones</w:t>
      </w:r>
      <w:r w:rsidRPr="001F163E">
        <w:rPr>
          <w:lang w:val="es-ES_tradnl"/>
        </w:rPr>
        <w:t xml:space="preserve"> f</w:t>
      </w:r>
      <w:r>
        <w:rPr>
          <w:lang w:val="es-ES_tradnl"/>
        </w:rPr>
        <w:t>inancieras y técnica</w:t>
      </w:r>
      <w:r w:rsidRPr="001F163E">
        <w:rPr>
          <w:lang w:val="es-ES_tradnl"/>
        </w:rPr>
        <w:t xml:space="preserve">s antes de </w:t>
      </w:r>
      <w:r>
        <w:rPr>
          <w:lang w:val="es-ES_tradnl"/>
        </w:rPr>
        <w:t>decidir cuál es la mejor solución</w:t>
      </w:r>
      <w:r w:rsidRPr="001F163E">
        <w:rPr>
          <w:lang w:val="es-ES_tradnl"/>
        </w:rPr>
        <w:t>.</w:t>
      </w:r>
    </w:p>
    <w:p w:rsidR="00881351" w:rsidRPr="001F163E" w:rsidRDefault="00881351" w:rsidP="00881351">
      <w:pPr>
        <w:rPr>
          <w:b/>
          <w:lang w:val="es-ES_tradnl"/>
        </w:rPr>
      </w:pPr>
      <w:r w:rsidRPr="001F163E">
        <w:rPr>
          <w:lang w:val="es-ES_tradnl"/>
        </w:rPr>
        <w:t xml:space="preserve">La mayoría de los operadores de redes móviles </w:t>
      </w:r>
      <w:r>
        <w:rPr>
          <w:lang w:val="es-ES_tradnl"/>
        </w:rPr>
        <w:t>de</w:t>
      </w:r>
      <w:r w:rsidRPr="001F163E">
        <w:rPr>
          <w:lang w:val="es-ES_tradnl"/>
        </w:rPr>
        <w:t xml:space="preserve"> los países desarrollados ya han </w:t>
      </w:r>
      <w:r>
        <w:rPr>
          <w:lang w:val="es-ES_tradnl"/>
        </w:rPr>
        <w:t>identificado</w:t>
      </w:r>
      <w:r w:rsidRPr="001F163E">
        <w:rPr>
          <w:lang w:val="es-ES_tradnl"/>
        </w:rPr>
        <w:t xml:space="preserve"> trayecto</w:t>
      </w:r>
      <w:r>
        <w:rPr>
          <w:lang w:val="es-ES_tradnl"/>
        </w:rPr>
        <w:t>s</w:t>
      </w:r>
      <w:r w:rsidRPr="001F163E">
        <w:rPr>
          <w:lang w:val="es-ES_tradnl"/>
        </w:rPr>
        <w:t xml:space="preserve"> de evolución hacia las redes IMT</w:t>
      </w:r>
      <w:r w:rsidRPr="001F163E">
        <w:rPr>
          <w:lang w:val="es-ES_tradnl"/>
        </w:rPr>
        <w:noBreakHyphen/>
        <w:t xml:space="preserve">2000. En general, los operadores de </w:t>
      </w:r>
      <w:r>
        <w:rPr>
          <w:lang w:val="es-ES_tradnl"/>
        </w:rPr>
        <w:t xml:space="preserve">las </w:t>
      </w:r>
      <w:r w:rsidRPr="001F163E">
        <w:rPr>
          <w:lang w:val="es-ES_tradnl"/>
        </w:rPr>
        <w:t xml:space="preserve">redes GSM, TDMA de América y PDC (celular digital personal) de Japón han identificado trayectos de evolución hacia soluciones </w:t>
      </w:r>
      <w:r>
        <w:rPr>
          <w:lang w:val="es-ES_tradnl"/>
        </w:rPr>
        <w:t>CDMA IMT-2000 con ensanchamiento directo</w:t>
      </w:r>
      <w:r w:rsidRPr="001F163E">
        <w:rPr>
          <w:lang w:val="es-ES_tradnl"/>
        </w:rPr>
        <w:t xml:space="preserve"> (WCDMA) </w:t>
      </w:r>
      <w:r>
        <w:rPr>
          <w:lang w:val="es-ES_tradnl"/>
        </w:rPr>
        <w:t>y</w:t>
      </w:r>
      <w:r w:rsidRPr="001F163E">
        <w:rPr>
          <w:lang w:val="es-ES_tradnl"/>
        </w:rPr>
        <w:t xml:space="preserve"> </w:t>
      </w:r>
      <w:r>
        <w:rPr>
          <w:lang w:val="es-ES_tradnl"/>
        </w:rPr>
        <w:t>TDMA IMT-2000 de una sola portadora</w:t>
      </w:r>
      <w:r w:rsidRPr="001F163E">
        <w:rPr>
          <w:lang w:val="es-ES_tradnl"/>
        </w:rPr>
        <w:t xml:space="preserve">. Los operadores </w:t>
      </w:r>
      <w:r>
        <w:rPr>
          <w:lang w:val="es-ES_tradnl"/>
        </w:rPr>
        <w:t xml:space="preserve">de </w:t>
      </w:r>
      <w:proofErr w:type="spellStart"/>
      <w:r w:rsidRPr="001F163E">
        <w:rPr>
          <w:lang w:val="es-ES_tradnl"/>
        </w:rPr>
        <w:t>cdmaOne</w:t>
      </w:r>
      <w:proofErr w:type="spellEnd"/>
      <w:r w:rsidRPr="001F163E">
        <w:rPr>
          <w:lang w:val="es-ES_tradnl"/>
        </w:rPr>
        <w:t xml:space="preserve"> (IS</w:t>
      </w:r>
      <w:r w:rsidRPr="001F163E">
        <w:rPr>
          <w:lang w:val="es-ES_tradnl"/>
        </w:rPr>
        <w:noBreakHyphen/>
        <w:t xml:space="preserve">95) y algunos operadores de TDMA han identificado trayectos de evolución </w:t>
      </w:r>
      <w:r w:rsidRPr="001F163E">
        <w:rPr>
          <w:lang w:val="es-ES_tradnl"/>
        </w:rPr>
        <w:lastRenderedPageBreak/>
        <w:t xml:space="preserve">hacia soluciones </w:t>
      </w:r>
      <w:r>
        <w:rPr>
          <w:lang w:val="es-ES_tradnl"/>
        </w:rPr>
        <w:t xml:space="preserve">CDMA IMT-2000 con </w:t>
      </w:r>
      <w:proofErr w:type="spellStart"/>
      <w:r>
        <w:rPr>
          <w:lang w:val="es-ES_tradnl"/>
        </w:rPr>
        <w:t>multiportadora</w:t>
      </w:r>
      <w:proofErr w:type="spellEnd"/>
      <w:r w:rsidRPr="001F163E">
        <w:rPr>
          <w:lang w:val="es-ES_tradnl"/>
        </w:rPr>
        <w:t xml:space="preserve"> (CDMA2000), mientras que otros operadores van a efectuar la transición a la nueva norma IMT-2000, OFDMA TDD WMAN.</w:t>
      </w:r>
    </w:p>
    <w:p w:rsidR="00F96CC5" w:rsidRPr="00A43C05" w:rsidRDefault="00881351" w:rsidP="00881351">
      <w:pPr>
        <w:rPr>
          <w:lang w:val="es-ES_tradnl"/>
        </w:rPr>
      </w:pPr>
      <w:r w:rsidRPr="001F163E">
        <w:rPr>
          <w:lang w:val="es-ES_tradnl"/>
        </w:rPr>
        <w:t xml:space="preserve">La elección de los trayectos de transición </w:t>
      </w:r>
      <w:r>
        <w:rPr>
          <w:lang w:val="es-ES_tradnl"/>
        </w:rPr>
        <w:t>responde a</w:t>
      </w:r>
      <w:r w:rsidRPr="001F163E">
        <w:rPr>
          <w:lang w:val="es-ES_tradnl"/>
        </w:rPr>
        <w:t xml:space="preserve"> la</w:t>
      </w:r>
      <w:r>
        <w:rPr>
          <w:lang w:val="es-ES_tradnl"/>
        </w:rPr>
        <w:t xml:space="preserve"> situación</w:t>
      </w:r>
      <w:r w:rsidRPr="001F163E">
        <w:rPr>
          <w:lang w:val="es-ES_tradnl"/>
        </w:rPr>
        <w:t xml:space="preserve"> y condiciones locales y</w:t>
      </w:r>
      <w:r>
        <w:rPr>
          <w:lang w:val="es-ES_tradnl"/>
        </w:rPr>
        <w:t>,</w:t>
      </w:r>
      <w:r w:rsidRPr="001F163E">
        <w:rPr>
          <w:lang w:val="es-ES_tradnl"/>
        </w:rPr>
        <w:t xml:space="preserve"> en particular</w:t>
      </w:r>
      <w:r>
        <w:rPr>
          <w:lang w:val="es-ES_tradnl"/>
        </w:rPr>
        <w:t>, a</w:t>
      </w:r>
      <w:r w:rsidRPr="001F163E">
        <w:rPr>
          <w:lang w:val="es-ES_tradnl"/>
        </w:rPr>
        <w:t>l entorno de prestación de servicio</w:t>
      </w:r>
      <w:r>
        <w:rPr>
          <w:lang w:val="es-ES_tradnl"/>
        </w:rPr>
        <w:t>s</w:t>
      </w:r>
      <w:r w:rsidRPr="001F163E">
        <w:rPr>
          <w:lang w:val="es-ES_tradnl"/>
        </w:rPr>
        <w:t xml:space="preserve"> competitivo</w:t>
      </w:r>
      <w:r>
        <w:rPr>
          <w:lang w:val="es-ES_tradnl"/>
        </w:rPr>
        <w:t>s</w:t>
      </w:r>
      <w:r w:rsidRPr="001F163E">
        <w:rPr>
          <w:lang w:val="es-ES_tradnl"/>
        </w:rPr>
        <w:t>, la política de penetración de</w:t>
      </w:r>
      <w:r>
        <w:rPr>
          <w:lang w:val="es-ES_tradnl"/>
        </w:rPr>
        <w:t xml:space="preserve"> </w:t>
      </w:r>
      <w:r w:rsidRPr="001F163E">
        <w:rPr>
          <w:lang w:val="es-ES_tradnl"/>
        </w:rPr>
        <w:t>l</w:t>
      </w:r>
      <w:r>
        <w:rPr>
          <w:lang w:val="es-ES_tradnl"/>
        </w:rPr>
        <w:t>os</w:t>
      </w:r>
      <w:r w:rsidRPr="001F163E">
        <w:rPr>
          <w:lang w:val="es-ES_tradnl"/>
        </w:rPr>
        <w:t xml:space="preserve"> servicio</w:t>
      </w:r>
      <w:r>
        <w:rPr>
          <w:lang w:val="es-ES_tradnl"/>
        </w:rPr>
        <w:t>s</w:t>
      </w:r>
      <w:r w:rsidRPr="001F163E">
        <w:rPr>
          <w:lang w:val="es-ES_tradnl"/>
        </w:rPr>
        <w:t xml:space="preserve"> y los aspectos estratégicos y financieros. Antes del proceso de transición y durante el mismo es necesario evaluar las repercusiones operacionales y económicas del despliegue de la red. Al considerar todos estos aspectos se pone de manifiesto que no hay una única solución adecuada para todos los operadores.</w:t>
      </w:r>
    </w:p>
    <w:p w:rsidR="003803B8" w:rsidRPr="00A43C05" w:rsidRDefault="003803B8" w:rsidP="00D45FCE">
      <w:pPr>
        <w:pStyle w:val="Heading1"/>
        <w:rPr>
          <w:lang w:val="es-ES_tradnl"/>
        </w:rPr>
      </w:pPr>
      <w:bookmarkStart w:id="27" w:name="_Toc236826218"/>
      <w:bookmarkStart w:id="28" w:name="_Toc255292518"/>
      <w:bookmarkStart w:id="29" w:name="_Toc259024223"/>
      <w:r w:rsidRPr="00A43C05">
        <w:rPr>
          <w:lang w:val="es-ES_tradnl"/>
        </w:rPr>
        <w:t>3</w:t>
      </w:r>
      <w:r w:rsidRPr="00A43C05">
        <w:rPr>
          <w:lang w:val="es-ES_tradnl"/>
        </w:rPr>
        <w:tab/>
      </w:r>
      <w:bookmarkEnd w:id="27"/>
      <w:bookmarkEnd w:id="28"/>
      <w:r w:rsidR="00881351" w:rsidRPr="00881351">
        <w:rPr>
          <w:lang w:val="es-ES_tradnl"/>
        </w:rPr>
        <w:t>Actualización de las tecnologías terrenales de las IMT-2000</w:t>
      </w:r>
      <w:bookmarkEnd w:id="29"/>
    </w:p>
    <w:p w:rsidR="00881351" w:rsidRPr="001F163E" w:rsidRDefault="00881351" w:rsidP="00881351">
      <w:pPr>
        <w:rPr>
          <w:lang w:val="es-ES_tradnl"/>
        </w:rPr>
      </w:pPr>
      <w:bookmarkStart w:id="30" w:name="_Toc41974590"/>
      <w:bookmarkStart w:id="31" w:name="_Toc43748608"/>
      <w:bookmarkStart w:id="32" w:name="_Toc44401147"/>
      <w:bookmarkStart w:id="33" w:name="_Toc44446695"/>
      <w:bookmarkStart w:id="34" w:name="_Toc53323364"/>
      <w:bookmarkStart w:id="35" w:name="_Toc63611570"/>
      <w:bookmarkStart w:id="36" w:name="_Toc89083648"/>
      <w:bookmarkStart w:id="37" w:name="_Toc92878177"/>
      <w:bookmarkStart w:id="38" w:name="_Toc101931213"/>
      <w:bookmarkStart w:id="39" w:name="_Toc103399232"/>
      <w:bookmarkStart w:id="40" w:name="_Toc103400310"/>
      <w:bookmarkStart w:id="41" w:name="_Toc103400774"/>
      <w:bookmarkStart w:id="42" w:name="_Toc103401238"/>
      <w:bookmarkStart w:id="43" w:name="_Toc103401703"/>
      <w:bookmarkStart w:id="44" w:name="_Toc103402169"/>
      <w:bookmarkStart w:id="45" w:name="_Toc103402634"/>
      <w:bookmarkStart w:id="46" w:name="_Toc103403399"/>
      <w:bookmarkStart w:id="47" w:name="_Toc103421169"/>
      <w:bookmarkStart w:id="48" w:name="_Toc103528343"/>
      <w:bookmarkStart w:id="49" w:name="_Toc236826219"/>
      <w:bookmarkStart w:id="50" w:name="_Toc471874341"/>
      <w:bookmarkStart w:id="51" w:name="_Toc471874400"/>
      <w:bookmarkStart w:id="52" w:name="_Toc471874802"/>
      <w:bookmarkStart w:id="53" w:name="_Toc471876353"/>
      <w:bookmarkStart w:id="54" w:name="_Toc501873037"/>
      <w:r w:rsidRPr="001F163E">
        <w:rPr>
          <w:lang w:val="es-ES_tradnl"/>
        </w:rPr>
        <w:t>El proceso de normalización de las IMT</w:t>
      </w:r>
      <w:r w:rsidRPr="001F163E">
        <w:rPr>
          <w:lang w:val="es-ES_tradnl"/>
        </w:rPr>
        <w:noBreakHyphen/>
        <w:t>2000 lo estableció la UIT</w:t>
      </w:r>
      <w:r>
        <w:rPr>
          <w:lang w:val="es-ES_tradnl"/>
        </w:rPr>
        <w:t xml:space="preserve"> mediante</w:t>
      </w:r>
      <w:r w:rsidRPr="001F163E">
        <w:rPr>
          <w:lang w:val="es-ES_tradnl"/>
        </w:rPr>
        <w:t xml:space="preserve"> un procedimiento</w:t>
      </w:r>
      <w:r>
        <w:rPr>
          <w:lang w:val="es-ES_tradnl"/>
        </w:rPr>
        <w:t xml:space="preserve"> </w:t>
      </w:r>
      <w:r w:rsidRPr="001F163E">
        <w:rPr>
          <w:lang w:val="es-ES_tradnl"/>
        </w:rPr>
        <w:t xml:space="preserve">exhaustivo y meticuloso en el que se tenían en cuenta las expectativas de los usuarios, las necesidades </w:t>
      </w:r>
      <w:r>
        <w:rPr>
          <w:lang w:val="es-ES_tradnl"/>
        </w:rPr>
        <w:t>del mercado</w:t>
      </w:r>
      <w:r w:rsidRPr="001F163E">
        <w:rPr>
          <w:lang w:val="es-ES_tradnl"/>
        </w:rPr>
        <w:t xml:space="preserve">, las fuerzas </w:t>
      </w:r>
      <w:r>
        <w:rPr>
          <w:lang w:val="es-ES_tradnl"/>
        </w:rPr>
        <w:t>que operan en éste</w:t>
      </w:r>
      <w:r w:rsidRPr="001F163E">
        <w:rPr>
          <w:lang w:val="es-ES_tradnl"/>
        </w:rPr>
        <w:t>, la evolución de la tecnología, la transición a las IMT</w:t>
      </w:r>
      <w:r w:rsidRPr="001F163E">
        <w:rPr>
          <w:lang w:val="es-ES_tradnl"/>
        </w:rPr>
        <w:noBreakHyphen/>
        <w:t xml:space="preserve">2000 de los sistemas previos a éstas, las necesidades de los países en desarrollo, etc. </w:t>
      </w:r>
    </w:p>
    <w:p w:rsidR="00881351" w:rsidRPr="001F163E" w:rsidRDefault="00881351" w:rsidP="00881351">
      <w:pPr>
        <w:rPr>
          <w:lang w:val="es-ES_tradnl"/>
        </w:rPr>
      </w:pPr>
      <w:r w:rsidRPr="001F163E">
        <w:rPr>
          <w:lang w:val="es-ES_tradnl"/>
        </w:rPr>
        <w:t xml:space="preserve">Este proceso condujo al concepto de </w:t>
      </w:r>
      <w:r w:rsidR="00030119">
        <w:rPr>
          <w:lang w:val="es-ES_tradnl"/>
        </w:rPr>
        <w:t>«</w:t>
      </w:r>
      <w:r w:rsidRPr="001F163E">
        <w:rPr>
          <w:lang w:val="es-ES_tradnl"/>
        </w:rPr>
        <w:t>Familia de sistemas de las IMT</w:t>
      </w:r>
      <w:r w:rsidRPr="001F163E">
        <w:rPr>
          <w:lang w:val="es-ES_tradnl"/>
        </w:rPr>
        <w:noBreakHyphen/>
        <w:t>2000</w:t>
      </w:r>
      <w:r w:rsidR="00030119">
        <w:rPr>
          <w:lang w:val="es-ES_tradnl"/>
        </w:rPr>
        <w:t>»</w:t>
      </w:r>
      <w:r w:rsidRPr="001F163E">
        <w:rPr>
          <w:lang w:val="es-ES_tradnl"/>
        </w:rPr>
        <w:t xml:space="preserve"> en el UIT</w:t>
      </w:r>
      <w:r w:rsidRPr="001F163E">
        <w:rPr>
          <w:lang w:val="es-ES_tradnl"/>
        </w:rPr>
        <w:noBreakHyphen/>
        <w:t>R y a la elaboración de la Recomendación UIT</w:t>
      </w:r>
      <w:r w:rsidRPr="001F163E">
        <w:rPr>
          <w:lang w:val="es-ES_tradnl"/>
        </w:rPr>
        <w:noBreakHyphen/>
        <w:t xml:space="preserve">R M.1457 </w:t>
      </w:r>
      <w:r w:rsidR="00030119">
        <w:rPr>
          <w:lang w:val="es-ES_tradnl"/>
        </w:rPr>
        <w:t>«</w:t>
      </w:r>
      <w:r>
        <w:rPr>
          <w:lang w:val="es-ES"/>
        </w:rPr>
        <w:t xml:space="preserve">Especificaciones detalladas de las interfaces radioeléctricas de las telecomunicaciones móviles internacionales-2000 </w:t>
      </w:r>
      <w:r>
        <w:rPr>
          <w:szCs w:val="22"/>
          <w:lang w:val="es-ES"/>
        </w:rPr>
        <w:t>(IMT-2000)</w:t>
      </w:r>
      <w:r w:rsidRPr="001F163E">
        <w:rPr>
          <w:lang w:val="es-ES_tradnl"/>
        </w:rPr>
        <w:t>.</w:t>
      </w:r>
      <w:r w:rsidR="00030119">
        <w:rPr>
          <w:lang w:val="es-ES_tradnl"/>
        </w:rPr>
        <w:t>»</w:t>
      </w:r>
    </w:p>
    <w:p w:rsidR="000D61F2" w:rsidRPr="00A43C05" w:rsidRDefault="00881351" w:rsidP="00881351">
      <w:pPr>
        <w:rPr>
          <w:lang w:val="es-ES_tradnl"/>
        </w:rPr>
      </w:pPr>
      <w:r w:rsidRPr="001F163E">
        <w:rPr>
          <w:lang w:val="es-ES_tradnl"/>
        </w:rPr>
        <w:t>Las IMT</w:t>
      </w:r>
      <w:r w:rsidRPr="001F163E">
        <w:rPr>
          <w:lang w:val="es-ES_tradnl"/>
        </w:rPr>
        <w:noBreakHyphen/>
        <w:t xml:space="preserve">2000 constan de varios sistemas de acceso radioeléctrico y redes centrales que se describen en las siguientes </w:t>
      </w:r>
      <w:proofErr w:type="spellStart"/>
      <w:r w:rsidRPr="001F163E">
        <w:rPr>
          <w:lang w:val="es-ES_tradnl"/>
        </w:rPr>
        <w:t>subsecciones</w:t>
      </w:r>
      <w:proofErr w:type="spellEnd"/>
      <w:r w:rsidRPr="001F163E">
        <w:rPr>
          <w:lang w:val="es-ES_tradnl"/>
        </w:rPr>
        <w:t>.</w:t>
      </w:r>
    </w:p>
    <w:p w:rsidR="00E84C93" w:rsidRPr="00A43C05" w:rsidRDefault="00E84C93" w:rsidP="00881351">
      <w:pPr>
        <w:pStyle w:val="Heading2"/>
        <w:rPr>
          <w:lang w:val="es-ES_tradnl"/>
        </w:rPr>
      </w:pPr>
      <w:bookmarkStart w:id="55" w:name="_Toc255292519"/>
      <w:bookmarkStart w:id="56" w:name="_Toc259024224"/>
      <w:r w:rsidRPr="00A43C05">
        <w:rPr>
          <w:lang w:val="es-ES_tradnl"/>
        </w:rPr>
        <w:t>3.1</w:t>
      </w:r>
      <w:r w:rsidRPr="00A43C05">
        <w:rPr>
          <w:lang w:val="es-ES_tradnl"/>
        </w:rPr>
        <w:tab/>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5"/>
      <w:r w:rsidR="00881351" w:rsidRPr="00251A03">
        <w:rPr>
          <w:lang w:val="es-ES_tradnl"/>
        </w:rPr>
        <w:t>Redes de acceso radioeléctrico y normas de las IMT</w:t>
      </w:r>
      <w:r w:rsidR="00881351" w:rsidRPr="00251A03">
        <w:rPr>
          <w:lang w:val="es-ES_tradnl"/>
        </w:rPr>
        <w:noBreakHyphen/>
        <w:t>2000</w:t>
      </w:r>
      <w:r w:rsidR="00881351" w:rsidRPr="00881351">
        <w:rPr>
          <w:rFonts w:eastAsia="SimSun"/>
          <w:vertAlign w:val="superscript"/>
        </w:rPr>
        <w:footnoteReference w:id="3"/>
      </w:r>
      <w:bookmarkEnd w:id="56"/>
    </w:p>
    <w:p w:rsidR="00E84C93" w:rsidRPr="00A43C05" w:rsidRDefault="00881351" w:rsidP="00881351">
      <w:pPr>
        <w:rPr>
          <w:lang w:val="es-ES_tradnl"/>
        </w:rPr>
      </w:pPr>
      <w:r w:rsidRPr="00881351">
        <w:rPr>
          <w:lang w:val="es-ES_tradnl"/>
        </w:rPr>
        <w:t>Las tecnologías terrenales de acceso radioeléctrico de las IMT</w:t>
      </w:r>
      <w:r w:rsidRPr="00881351">
        <w:rPr>
          <w:lang w:val="es-ES_tradnl"/>
        </w:rPr>
        <w:noBreakHyphen/>
        <w:t>2000 se basan en diversas combinaciones de acceso múltiple por división del código (CDMA), acceso múltiple por división del tiempo (TDMA), acceso múltiple por división del tiempo con división síncrona del código (TD</w:t>
      </w:r>
      <w:r w:rsidRPr="00881351">
        <w:rPr>
          <w:lang w:val="es-ES_tradnl"/>
        </w:rPr>
        <w:noBreakHyphen/>
        <w:t xml:space="preserve">SCDMA), acceso múltiple por división ortogonal de frecuencias (OFDMA), portadora única, </w:t>
      </w:r>
      <w:proofErr w:type="spellStart"/>
      <w:r w:rsidRPr="00881351">
        <w:rPr>
          <w:lang w:val="es-ES_tradnl"/>
        </w:rPr>
        <w:t>multiportadora</w:t>
      </w:r>
      <w:proofErr w:type="spellEnd"/>
      <w:r w:rsidRPr="00881351">
        <w:rPr>
          <w:lang w:val="es-ES_tradnl"/>
        </w:rPr>
        <w:t>, dúplex por división de frecuencias (FDD) y dúplex por división del tiempo (TDD). Ninguna de las tecnologías de las IMT</w:t>
      </w:r>
      <w:r w:rsidRPr="00881351">
        <w:rPr>
          <w:lang w:val="es-ES_tradnl"/>
        </w:rPr>
        <w:noBreakHyphen/>
        <w:t>2000 utilizan FDMA puro en el que un único canal radioeléctrico se utiliza por completo para dar soporte a un solo usuario.</w:t>
      </w:r>
    </w:p>
    <w:p w:rsidR="00E84C93" w:rsidRPr="00A43C05" w:rsidRDefault="004E74C1" w:rsidP="00881351">
      <w:pPr>
        <w:pStyle w:val="Heading2"/>
        <w:rPr>
          <w:lang w:val="es-ES_tradnl"/>
        </w:rPr>
      </w:pPr>
      <w:bookmarkStart w:id="57" w:name="_Toc236826220"/>
      <w:bookmarkStart w:id="58" w:name="_Toc255292520"/>
      <w:bookmarkStart w:id="59" w:name="_Toc259024225"/>
      <w:r w:rsidRPr="00A43C05">
        <w:rPr>
          <w:lang w:val="es-ES_tradnl"/>
        </w:rPr>
        <w:t>3.2</w:t>
      </w:r>
      <w:r w:rsidR="00E84C93" w:rsidRPr="00A43C05">
        <w:rPr>
          <w:lang w:val="es-ES_tradnl"/>
        </w:rPr>
        <w:tab/>
      </w:r>
      <w:bookmarkEnd w:id="57"/>
      <w:bookmarkEnd w:id="58"/>
      <w:r w:rsidR="00881351" w:rsidRPr="00881351">
        <w:rPr>
          <w:lang w:val="es-ES"/>
        </w:rPr>
        <w:t>Normas de las radiocomunicaciones terrenales de las IMT</w:t>
      </w:r>
      <w:r w:rsidR="00881351" w:rsidRPr="00881351">
        <w:rPr>
          <w:lang w:val="es-ES"/>
        </w:rPr>
        <w:noBreakHyphen/>
        <w:t>2000</w:t>
      </w:r>
      <w:bookmarkEnd w:id="59"/>
    </w:p>
    <w:bookmarkEnd w:id="50"/>
    <w:bookmarkEnd w:id="51"/>
    <w:bookmarkEnd w:id="52"/>
    <w:bookmarkEnd w:id="53"/>
    <w:bookmarkEnd w:id="54"/>
    <w:p w:rsidR="00881351" w:rsidRPr="001F163E" w:rsidRDefault="00881351" w:rsidP="00881351">
      <w:pPr>
        <w:rPr>
          <w:lang w:val="es-ES_tradnl"/>
        </w:rPr>
      </w:pPr>
      <w:r w:rsidRPr="001F163E">
        <w:rPr>
          <w:lang w:val="es-ES_tradnl"/>
        </w:rPr>
        <w:t>Las interfaces radioeléctricas de las IMT</w:t>
      </w:r>
      <w:r w:rsidRPr="001F163E">
        <w:rPr>
          <w:lang w:val="es-ES_tradnl"/>
        </w:rPr>
        <w:noBreakHyphen/>
        <w:t>2000 se especifican en la Recomendación UIT</w:t>
      </w:r>
      <w:r w:rsidRPr="001F163E">
        <w:rPr>
          <w:lang w:val="es-ES_tradnl"/>
        </w:rPr>
        <w:noBreakHyphen/>
        <w:t>R M.1457. Las interfaces radioeléctricas y sistemas de las IMT</w:t>
      </w:r>
      <w:r w:rsidRPr="001F163E">
        <w:rPr>
          <w:lang w:val="es-ES_tradnl"/>
        </w:rPr>
        <w:noBreakHyphen/>
        <w:t xml:space="preserve">2000 se describen más detalladamente en el Manual </w:t>
      </w:r>
      <w:r w:rsidR="00030119">
        <w:rPr>
          <w:lang w:val="es-ES_tradnl"/>
        </w:rPr>
        <w:t>«</w:t>
      </w:r>
      <w:r w:rsidRPr="001F163E">
        <w:rPr>
          <w:lang w:val="es-ES_tradnl"/>
        </w:rPr>
        <w:t>Implantación de los sistemas IMT</w:t>
      </w:r>
      <w:r w:rsidRPr="001F163E">
        <w:rPr>
          <w:lang w:val="es-ES_tradnl"/>
        </w:rPr>
        <w:noBreakHyphen/>
        <w:t>2000</w:t>
      </w:r>
      <w:r w:rsidR="00030119">
        <w:rPr>
          <w:lang w:val="es-ES_tradnl"/>
        </w:rPr>
        <w:t>»</w:t>
      </w:r>
      <w:r w:rsidRPr="001F163E">
        <w:rPr>
          <w:lang w:val="es-ES_tradnl"/>
        </w:rPr>
        <w:t>.</w:t>
      </w:r>
    </w:p>
    <w:p w:rsidR="00E84C93" w:rsidRPr="00A43C05" w:rsidRDefault="00881351" w:rsidP="00881351">
      <w:pPr>
        <w:rPr>
          <w:lang w:val="es-ES_tradnl"/>
        </w:rPr>
      </w:pPr>
      <w:r w:rsidRPr="001F163E">
        <w:rPr>
          <w:lang w:val="es-ES_tradnl"/>
        </w:rPr>
        <w:t>Las normas IMT</w:t>
      </w:r>
      <w:r w:rsidRPr="001F163E">
        <w:rPr>
          <w:lang w:val="es-ES_tradnl"/>
        </w:rPr>
        <w:noBreakHyphen/>
        <w:t xml:space="preserve">2000 dotan de gran flexibilidad a estos sistemas y les permiten soportar una amplia gama de servicios </w:t>
      </w:r>
      <w:r>
        <w:rPr>
          <w:lang w:val="es-ES_tradnl"/>
        </w:rPr>
        <w:t>y</w:t>
      </w:r>
      <w:r w:rsidRPr="001F163E">
        <w:rPr>
          <w:lang w:val="es-ES_tradnl"/>
        </w:rPr>
        <w:t xml:space="preserve"> aplicaciones. Estas normas </w:t>
      </w:r>
      <w:r>
        <w:rPr>
          <w:lang w:val="es-ES_tradnl"/>
        </w:rPr>
        <w:t>contemplan la posibilidad de</w:t>
      </w:r>
      <w:r w:rsidRPr="001F163E">
        <w:rPr>
          <w:lang w:val="es-ES_tradnl"/>
        </w:rPr>
        <w:t xml:space="preserve"> seis interfaces radioeléctricas basadas en cuatro técnicas de acceso diferentes (FDMA, TDMA, CDMA y OFDMA).</w:t>
      </w:r>
    </w:p>
    <w:p w:rsidR="0090405A" w:rsidRPr="00A43C05" w:rsidRDefault="0090405A" w:rsidP="00030119">
      <w:pPr>
        <w:rPr>
          <w:lang w:val="es-ES_tradnl"/>
        </w:rPr>
      </w:pPr>
    </w:p>
    <w:p w:rsidR="0090405A" w:rsidRPr="0057194E" w:rsidRDefault="0090405A" w:rsidP="00881351">
      <w:pPr>
        <w:pStyle w:val="FigureTitle"/>
        <w:rPr>
          <w:rFonts w:asciiTheme="majorBidi" w:hAnsiTheme="majorBidi" w:cstheme="majorBidi"/>
        </w:rPr>
      </w:pPr>
      <w:proofErr w:type="spellStart"/>
      <w:r w:rsidRPr="0057194E">
        <w:rPr>
          <w:rFonts w:asciiTheme="majorBidi" w:hAnsiTheme="majorBidi" w:cstheme="majorBidi"/>
          <w:bCs/>
          <w:lang w:val="en-GB"/>
        </w:rPr>
        <w:lastRenderedPageBreak/>
        <w:t>Figur</w:t>
      </w:r>
      <w:r w:rsidR="00881351">
        <w:rPr>
          <w:rFonts w:asciiTheme="majorBidi" w:hAnsiTheme="majorBidi" w:cstheme="majorBidi"/>
          <w:bCs/>
          <w:lang w:val="en-GB"/>
        </w:rPr>
        <w:t>a</w:t>
      </w:r>
      <w:proofErr w:type="spellEnd"/>
      <w:r w:rsidRPr="0057194E">
        <w:rPr>
          <w:rFonts w:asciiTheme="majorBidi" w:hAnsiTheme="majorBidi" w:cstheme="majorBidi"/>
          <w:bCs/>
          <w:lang w:val="en-GB"/>
        </w:rPr>
        <w:t xml:space="preserve"> 3.1: </w:t>
      </w:r>
      <w:r w:rsidR="00881351" w:rsidRPr="001F163E">
        <w:rPr>
          <w:rFonts w:ascii="Verdana" w:hAnsi="Verdana"/>
          <w:sz w:val="19"/>
          <w:szCs w:val="19"/>
          <w:lang w:val="es-ES_tradnl"/>
        </w:rPr>
        <w:t>Interfaces radioeléctricas terrenales de las IMT</w:t>
      </w:r>
      <w:r w:rsidR="00881351" w:rsidRPr="001F163E">
        <w:rPr>
          <w:rFonts w:ascii="Verdana" w:hAnsi="Verdana"/>
          <w:sz w:val="19"/>
          <w:szCs w:val="19"/>
          <w:lang w:val="es-ES_tradnl"/>
        </w:rPr>
        <w:noBreakHyphen/>
        <w:t>2000</w:t>
      </w:r>
      <w:r w:rsidR="00881351" w:rsidRPr="00881351">
        <w:rPr>
          <w:rFonts w:eastAsia="SimSun"/>
          <w:vertAlign w:val="superscript"/>
        </w:rPr>
        <w:footnoteReference w:id="4"/>
      </w:r>
    </w:p>
    <w:p w:rsidR="00830D5E" w:rsidRDefault="002D71A8" w:rsidP="00181FAC">
      <w:r>
        <w:rPr>
          <w:noProof/>
          <w:lang w:val="en-US" w:eastAsia="zh-CN"/>
        </w:rPr>
        <w:pict>
          <v:shapetype id="_x0000_t202" coordsize="21600,21600" o:spt="202" path="m,l,21600r21600,l21600,xe">
            <v:stroke joinstyle="miter"/>
            <v:path gradientshapeok="t" o:connecttype="rect"/>
          </v:shapetype>
          <v:shape id="_x0000_s40045" type="#_x0000_t202" style="position:absolute;left:0;text-align:left;margin-left:412.25pt;margin-top:75.55pt;width:63.1pt;height:16.35pt;z-index:251671552" fillcolor="white [3212]" stroked="f" strokecolor="#c60">
            <v:textbox style="mso-next-textbox:#_x0000_s40045" inset="0,0,0,0">
              <w:txbxContent>
                <w:p w:rsidR="00625202" w:rsidRPr="001907FE" w:rsidRDefault="00625202" w:rsidP="00625202">
                  <w:pPr>
                    <w:spacing w:before="0" w:after="20"/>
                    <w:jc w:val="center"/>
                    <w:rPr>
                      <w:rFonts w:ascii="Arial" w:hAnsi="Arial" w:cs="Arial"/>
                      <w:b/>
                      <w:bCs/>
                      <w:sz w:val="14"/>
                      <w:szCs w:val="14"/>
                    </w:rPr>
                  </w:pPr>
                  <w:proofErr w:type="spellStart"/>
                  <w:r w:rsidRPr="00625202">
                    <w:rPr>
                      <w:rFonts w:ascii="Arial" w:hAnsi="Arial" w:cs="Arial"/>
                      <w:b/>
                      <w:bCs/>
                      <w:sz w:val="14"/>
                      <w:szCs w:val="14"/>
                      <w:lang w:val="es-ES_tradnl"/>
                    </w:rPr>
                    <w:t>WiMAX</w:t>
                  </w:r>
                  <w:proofErr w:type="spellEnd"/>
                </w:p>
              </w:txbxContent>
            </v:textbox>
          </v:shape>
        </w:pict>
      </w:r>
      <w:r>
        <w:rPr>
          <w:noProof/>
          <w:lang w:val="en-US" w:eastAsia="zh-CN"/>
        </w:rPr>
        <w:pict>
          <v:shape id="_x0000_s40044" type="#_x0000_t202" style="position:absolute;left:0;text-align:left;margin-left:343.5pt;margin-top:75.55pt;width:63.1pt;height:16.35pt;z-index:251670528" fillcolor="white [3212]" stroked="f" strokecolor="#c60">
            <v:textbox style="mso-next-textbox:#_x0000_s40044" inset="0,0,0,0">
              <w:txbxContent>
                <w:p w:rsidR="00625202" w:rsidRPr="001907FE" w:rsidRDefault="00625202" w:rsidP="00625202">
                  <w:pPr>
                    <w:spacing w:before="0" w:after="20"/>
                    <w:jc w:val="center"/>
                    <w:rPr>
                      <w:rFonts w:ascii="Arial" w:hAnsi="Arial" w:cs="Arial"/>
                      <w:b/>
                      <w:bCs/>
                      <w:sz w:val="14"/>
                      <w:szCs w:val="14"/>
                    </w:rPr>
                  </w:pPr>
                  <w:r w:rsidRPr="00625202">
                    <w:rPr>
                      <w:rFonts w:ascii="Arial" w:hAnsi="Arial" w:cs="Arial"/>
                      <w:b/>
                      <w:bCs/>
                      <w:sz w:val="14"/>
                      <w:szCs w:val="14"/>
                      <w:lang w:val="es-ES_tradnl"/>
                    </w:rPr>
                    <w:t>DECT</w:t>
                  </w:r>
                </w:p>
              </w:txbxContent>
            </v:textbox>
          </v:shape>
        </w:pict>
      </w:r>
      <w:r>
        <w:rPr>
          <w:noProof/>
          <w:lang w:val="en-US" w:eastAsia="zh-CN"/>
        </w:rPr>
        <w:pict>
          <v:shape id="_x0000_s40043" type="#_x0000_t202" style="position:absolute;left:0;text-align:left;margin-left:276.05pt;margin-top:75.55pt;width:63.1pt;height:16.35pt;z-index:251669504" fillcolor="white [3212]" stroked="f" strokecolor="#c60">
            <v:textbox style="mso-next-textbox:#_x0000_s40043" inset="0,0,0,0">
              <w:txbxContent>
                <w:p w:rsidR="00625202" w:rsidRPr="001907FE" w:rsidRDefault="00625202" w:rsidP="00625202">
                  <w:pPr>
                    <w:spacing w:before="0" w:after="20"/>
                    <w:jc w:val="center"/>
                    <w:rPr>
                      <w:rFonts w:ascii="Arial" w:hAnsi="Arial" w:cs="Arial"/>
                      <w:b/>
                      <w:bCs/>
                      <w:sz w:val="14"/>
                      <w:szCs w:val="14"/>
                    </w:rPr>
                  </w:pPr>
                  <w:r w:rsidRPr="00625202">
                    <w:rPr>
                      <w:rFonts w:ascii="Arial" w:hAnsi="Arial" w:cs="Arial"/>
                      <w:b/>
                      <w:bCs/>
                      <w:sz w:val="14"/>
                      <w:szCs w:val="14"/>
                      <w:lang w:val="es-ES_tradnl"/>
                    </w:rPr>
                    <w:t>UWC-136/</w:t>
                  </w:r>
                  <w:r>
                    <w:rPr>
                      <w:rFonts w:ascii="Arial" w:hAnsi="Arial" w:cs="Arial"/>
                      <w:b/>
                      <w:bCs/>
                      <w:sz w:val="14"/>
                      <w:szCs w:val="14"/>
                      <w:lang w:val="es-ES_tradnl"/>
                    </w:rPr>
                    <w:br/>
                  </w:r>
                  <w:r w:rsidRPr="00625202">
                    <w:rPr>
                      <w:rFonts w:ascii="Arial" w:hAnsi="Arial" w:cs="Arial"/>
                      <w:b/>
                      <w:bCs/>
                      <w:sz w:val="14"/>
                      <w:szCs w:val="14"/>
                      <w:lang w:val="es-ES_tradnl"/>
                    </w:rPr>
                    <w:t>EDGE</w:t>
                  </w:r>
                </w:p>
              </w:txbxContent>
            </v:textbox>
          </v:shape>
        </w:pict>
      </w:r>
      <w:r>
        <w:rPr>
          <w:noProof/>
          <w:lang w:val="en-US" w:eastAsia="zh-CN"/>
        </w:rPr>
        <w:pict>
          <v:shape id="_x0000_s40042" type="#_x0000_t202" style="position:absolute;left:0;text-align:left;margin-left:208.4pt;margin-top:75.55pt;width:63.1pt;height:16.35pt;z-index:251668480" fillcolor="white [3212]" stroked="f" strokecolor="#c60">
            <v:textbox style="mso-next-textbox:#_x0000_s40042" inset="0,0,0,0">
              <w:txbxContent>
                <w:p w:rsidR="00625202" w:rsidRPr="00A43C05" w:rsidRDefault="00625202" w:rsidP="00625202">
                  <w:pPr>
                    <w:spacing w:before="0" w:after="20"/>
                    <w:jc w:val="center"/>
                    <w:rPr>
                      <w:rFonts w:ascii="Arial" w:hAnsi="Arial" w:cs="Arial"/>
                      <w:b/>
                      <w:bCs/>
                      <w:sz w:val="14"/>
                      <w:szCs w:val="14"/>
                      <w:lang w:val="es-ES_tradnl"/>
                    </w:rPr>
                  </w:pPr>
                  <w:r w:rsidRPr="00625202">
                    <w:rPr>
                      <w:rFonts w:ascii="Arial" w:hAnsi="Arial" w:cs="Arial"/>
                      <w:b/>
                      <w:bCs/>
                      <w:sz w:val="14"/>
                      <w:szCs w:val="14"/>
                      <w:lang w:val="es-ES_tradnl"/>
                    </w:rPr>
                    <w:t>UTRA TDD</w:t>
                  </w:r>
                  <w:r>
                    <w:rPr>
                      <w:rFonts w:ascii="Arial" w:hAnsi="Arial" w:cs="Arial"/>
                      <w:b/>
                      <w:bCs/>
                      <w:sz w:val="14"/>
                      <w:szCs w:val="14"/>
                      <w:lang w:val="es-ES_tradnl"/>
                    </w:rPr>
                    <w:t xml:space="preserve"> </w:t>
                  </w:r>
                  <w:r w:rsidRPr="00625202">
                    <w:rPr>
                      <w:rFonts w:ascii="Arial" w:hAnsi="Arial" w:cs="Arial"/>
                      <w:b/>
                      <w:bCs/>
                      <w:sz w:val="14"/>
                      <w:szCs w:val="14"/>
                      <w:lang w:val="es-ES_tradnl"/>
                    </w:rPr>
                    <w:t>y</w:t>
                  </w:r>
                  <w:r>
                    <w:rPr>
                      <w:rFonts w:ascii="Arial" w:hAnsi="Arial" w:cs="Arial"/>
                      <w:b/>
                      <w:bCs/>
                      <w:sz w:val="14"/>
                      <w:szCs w:val="14"/>
                      <w:lang w:val="es-ES_tradnl"/>
                    </w:rPr>
                    <w:br/>
                  </w:r>
                  <w:r w:rsidRPr="00625202">
                    <w:rPr>
                      <w:rFonts w:ascii="Arial" w:hAnsi="Arial" w:cs="Arial"/>
                      <w:b/>
                      <w:bCs/>
                      <w:sz w:val="14"/>
                      <w:szCs w:val="14"/>
                      <w:lang w:val="es-ES_tradnl"/>
                    </w:rPr>
                    <w:t>TD-SCDMA CDMA2000 1X y 3X</w:t>
                  </w:r>
                </w:p>
              </w:txbxContent>
            </v:textbox>
          </v:shape>
        </w:pict>
      </w:r>
      <w:r>
        <w:rPr>
          <w:noProof/>
          <w:lang w:val="en-US" w:eastAsia="zh-CN"/>
        </w:rPr>
        <w:pict>
          <v:shape id="_x0000_s40040" type="#_x0000_t202" style="position:absolute;left:0;text-align:left;margin-left:146.2pt;margin-top:75.55pt;width:45.8pt;height:16.35pt;z-index:251667456" fillcolor="white [3212]" stroked="f" strokecolor="#c60">
            <v:textbox style="mso-next-textbox:#_x0000_s40040" inset="0,0,0,0">
              <w:txbxContent>
                <w:p w:rsidR="00625202" w:rsidRPr="001907FE" w:rsidRDefault="00625202" w:rsidP="00625202">
                  <w:pPr>
                    <w:spacing w:before="0" w:after="20"/>
                    <w:jc w:val="center"/>
                    <w:rPr>
                      <w:rFonts w:ascii="Arial" w:hAnsi="Arial" w:cs="Arial"/>
                      <w:b/>
                      <w:bCs/>
                      <w:sz w:val="14"/>
                      <w:szCs w:val="14"/>
                    </w:rPr>
                  </w:pPr>
                  <w:r w:rsidRPr="00625202">
                    <w:rPr>
                      <w:rFonts w:ascii="Arial" w:hAnsi="Arial" w:cs="Arial"/>
                      <w:b/>
                      <w:bCs/>
                      <w:sz w:val="14"/>
                      <w:szCs w:val="14"/>
                      <w:lang w:val="es-ES_tradnl"/>
                    </w:rPr>
                    <w:t>CDMA2000 1X y 3X</w:t>
                  </w:r>
                </w:p>
              </w:txbxContent>
            </v:textbox>
          </v:shape>
        </w:pict>
      </w:r>
      <w:r>
        <w:rPr>
          <w:noProof/>
          <w:lang w:val="en-US" w:eastAsia="zh-CN"/>
        </w:rPr>
        <w:pict>
          <v:shape id="_x0000_s40039" type="#_x0000_t202" style="position:absolute;left:0;text-align:left;margin-left:78.85pt;margin-top:75.55pt;width:45.8pt;height:16.35pt;z-index:251666432" fillcolor="white [3212]" stroked="f" strokecolor="#c60">
            <v:textbox style="mso-next-textbox:#_x0000_s40039" inset="0,0,0,0">
              <w:txbxContent>
                <w:p w:rsidR="001907FE" w:rsidRPr="001907FE" w:rsidRDefault="001907FE" w:rsidP="001907FE">
                  <w:pPr>
                    <w:spacing w:before="0" w:after="20"/>
                    <w:jc w:val="center"/>
                    <w:rPr>
                      <w:rFonts w:ascii="Arial" w:hAnsi="Arial" w:cs="Arial"/>
                      <w:b/>
                      <w:bCs/>
                      <w:sz w:val="14"/>
                      <w:szCs w:val="14"/>
                    </w:rPr>
                  </w:pPr>
                  <w:r w:rsidRPr="001907FE">
                    <w:rPr>
                      <w:rFonts w:ascii="Arial" w:hAnsi="Arial" w:cs="Arial"/>
                      <w:b/>
                      <w:bCs/>
                      <w:sz w:val="14"/>
                      <w:szCs w:val="14"/>
                      <w:lang w:val="es-ES_tradnl"/>
                    </w:rPr>
                    <w:t>WCDMA</w:t>
                  </w:r>
                  <w:r w:rsidRPr="001907FE">
                    <w:rPr>
                      <w:rFonts w:ascii="Arial" w:hAnsi="Arial" w:cs="Arial"/>
                      <w:b/>
                      <w:bCs/>
                      <w:sz w:val="14"/>
                      <w:szCs w:val="14"/>
                      <w:lang w:val="es-ES_tradnl"/>
                    </w:rPr>
                    <w:br/>
                    <w:t>{UMTS}</w:t>
                  </w:r>
                </w:p>
              </w:txbxContent>
            </v:textbox>
          </v:shape>
        </w:pict>
      </w:r>
      <w:r>
        <w:rPr>
          <w:noProof/>
          <w:lang w:val="en-US" w:eastAsia="zh-CN"/>
        </w:rPr>
        <w:pict>
          <v:shape id="_x0000_s40038" type="#_x0000_t202" style="position:absolute;left:0;text-align:left;margin-left:412.25pt;margin-top:48.9pt;width:60.45pt;height:22.45pt;z-index:251665408" fillcolor="#c90" stroked="f" strokecolor="#c60">
            <v:textbox style="mso-next-textbox:#_x0000_s40038" inset="0,0,0,0">
              <w:txbxContent>
                <w:p w:rsidR="00712D2D" w:rsidRPr="007430BF" w:rsidRDefault="00712D2D" w:rsidP="00712D2D">
                  <w:pPr>
                    <w:spacing w:before="0" w:after="20"/>
                    <w:jc w:val="center"/>
                    <w:rPr>
                      <w:rFonts w:ascii="Arial" w:hAnsi="Arial" w:cs="Arial"/>
                      <w:b/>
                      <w:bCs/>
                      <w:sz w:val="12"/>
                      <w:szCs w:val="12"/>
                    </w:rPr>
                  </w:pPr>
                  <w:r w:rsidRPr="00712D2D">
                    <w:rPr>
                      <w:rFonts w:ascii="Arial" w:hAnsi="Arial" w:cs="Arial"/>
                      <w:b/>
                      <w:bCs/>
                      <w:sz w:val="12"/>
                      <w:szCs w:val="12"/>
                      <w:lang w:val="es-ES_tradnl"/>
                    </w:rPr>
                    <w:t>OFDMA TDD</w:t>
                  </w:r>
                  <w:r>
                    <w:rPr>
                      <w:rFonts w:ascii="Arial" w:hAnsi="Arial" w:cs="Arial"/>
                      <w:b/>
                      <w:bCs/>
                      <w:sz w:val="12"/>
                      <w:szCs w:val="12"/>
                      <w:lang w:val="es-ES_tradnl"/>
                    </w:rPr>
                    <w:br/>
                  </w:r>
                  <w:r w:rsidRPr="00712D2D">
                    <w:rPr>
                      <w:rFonts w:ascii="Arial" w:hAnsi="Arial" w:cs="Arial"/>
                      <w:b/>
                      <w:bCs/>
                      <w:sz w:val="12"/>
                      <w:szCs w:val="12"/>
                      <w:lang w:val="es-ES_tradnl"/>
                    </w:rPr>
                    <w:t>WMAN</w:t>
                  </w:r>
                  <w:r>
                    <w:rPr>
                      <w:rFonts w:ascii="Arial" w:hAnsi="Arial" w:cs="Arial"/>
                      <w:b/>
                      <w:bCs/>
                      <w:sz w:val="12"/>
                      <w:szCs w:val="12"/>
                      <w:lang w:val="es-ES_tradnl"/>
                    </w:rPr>
                    <w:br/>
                  </w:r>
                  <w:r w:rsidRPr="00712D2D">
                    <w:rPr>
                      <w:rFonts w:ascii="Arial" w:hAnsi="Arial" w:cs="Arial"/>
                      <w:b/>
                      <w:bCs/>
                      <w:sz w:val="12"/>
                      <w:szCs w:val="12"/>
                      <w:lang w:val="es-ES_tradnl"/>
                    </w:rPr>
                    <w:t>IMT-2000</w:t>
                  </w:r>
                </w:p>
              </w:txbxContent>
            </v:textbox>
          </v:shape>
        </w:pict>
      </w:r>
      <w:r>
        <w:rPr>
          <w:noProof/>
          <w:lang w:val="en-US" w:eastAsia="zh-CN"/>
        </w:rPr>
        <w:pict>
          <v:shape id="_x0000_s40037" type="#_x0000_t202" style="position:absolute;left:0;text-align:left;margin-left:343.5pt;margin-top:48.9pt;width:60.45pt;height:22.45pt;z-index:251664384" fillcolor="#c90" stroked="f" strokecolor="#c60">
            <v:textbox style="mso-next-textbox:#_x0000_s40037" inset="0,0,0,0">
              <w:txbxContent>
                <w:p w:rsidR="00DE335B" w:rsidRPr="007430BF" w:rsidRDefault="00DE335B" w:rsidP="00DE335B">
                  <w:pPr>
                    <w:spacing w:before="0" w:after="20"/>
                    <w:jc w:val="center"/>
                    <w:rPr>
                      <w:rFonts w:ascii="Arial" w:hAnsi="Arial" w:cs="Arial"/>
                      <w:b/>
                      <w:bCs/>
                      <w:sz w:val="12"/>
                      <w:szCs w:val="12"/>
                    </w:rPr>
                  </w:pPr>
                  <w:r w:rsidRPr="00DE335B">
                    <w:rPr>
                      <w:rFonts w:ascii="Arial" w:hAnsi="Arial" w:cs="Arial"/>
                      <w:b/>
                      <w:bCs/>
                      <w:sz w:val="12"/>
                      <w:szCs w:val="12"/>
                      <w:lang w:val="es-ES_tradnl"/>
                    </w:rPr>
                    <w:t>FDMA/TDMA</w:t>
                  </w:r>
                  <w:r>
                    <w:rPr>
                      <w:rFonts w:ascii="Arial" w:hAnsi="Arial" w:cs="Arial"/>
                      <w:b/>
                      <w:bCs/>
                      <w:sz w:val="12"/>
                      <w:szCs w:val="12"/>
                      <w:lang w:val="es-ES_tradnl"/>
                    </w:rPr>
                    <w:br/>
                  </w:r>
                  <w:r w:rsidRPr="00DE335B">
                    <w:rPr>
                      <w:rFonts w:ascii="Arial" w:hAnsi="Arial" w:cs="Arial"/>
                      <w:b/>
                      <w:bCs/>
                      <w:sz w:val="12"/>
                      <w:szCs w:val="12"/>
                      <w:lang w:val="es-ES_tradnl"/>
                    </w:rPr>
                    <w:t>IMT-2000</w:t>
                  </w:r>
                </w:p>
              </w:txbxContent>
            </v:textbox>
          </v:shape>
        </w:pict>
      </w:r>
      <w:r>
        <w:rPr>
          <w:noProof/>
          <w:lang w:val="en-US" w:eastAsia="zh-CN"/>
        </w:rPr>
        <w:pict>
          <v:shape id="_x0000_s40036" type="#_x0000_t202" style="position:absolute;left:0;text-align:left;margin-left:276.05pt;margin-top:48.9pt;width:60.45pt;height:22.45pt;z-index:251663360" fillcolor="#c90" stroked="f" strokecolor="#c60">
            <v:textbox style="mso-next-textbox:#_x0000_s40036" inset="0,0,0,0">
              <w:txbxContent>
                <w:p w:rsidR="00997F35" w:rsidRPr="007430BF" w:rsidRDefault="00997F35" w:rsidP="00997F35">
                  <w:pPr>
                    <w:spacing w:before="0" w:after="20"/>
                    <w:jc w:val="center"/>
                    <w:rPr>
                      <w:rFonts w:ascii="Arial" w:hAnsi="Arial" w:cs="Arial"/>
                      <w:b/>
                      <w:bCs/>
                      <w:sz w:val="12"/>
                      <w:szCs w:val="12"/>
                    </w:rPr>
                  </w:pPr>
                  <w:r w:rsidRPr="00997F35">
                    <w:rPr>
                      <w:rFonts w:ascii="Arial" w:hAnsi="Arial" w:cs="Arial"/>
                      <w:b/>
                      <w:bCs/>
                      <w:sz w:val="12"/>
                      <w:szCs w:val="12"/>
                      <w:lang w:val="es-ES_tradnl"/>
                    </w:rPr>
                    <w:t>TDMA IMT-2000</w:t>
                  </w:r>
                  <w:r>
                    <w:rPr>
                      <w:rFonts w:ascii="Arial" w:hAnsi="Arial" w:cs="Arial"/>
                      <w:b/>
                      <w:bCs/>
                      <w:sz w:val="12"/>
                      <w:szCs w:val="12"/>
                      <w:lang w:val="es-ES_tradnl"/>
                    </w:rPr>
                    <w:br/>
                  </w:r>
                  <w:r w:rsidRPr="00997F35">
                    <w:rPr>
                      <w:rFonts w:ascii="Arial" w:hAnsi="Arial" w:cs="Arial"/>
                      <w:b/>
                      <w:bCs/>
                      <w:sz w:val="12"/>
                      <w:szCs w:val="12"/>
                      <w:lang w:val="es-ES_tradnl"/>
                    </w:rPr>
                    <w:t>de portadora</w:t>
                  </w:r>
                  <w:r>
                    <w:rPr>
                      <w:rFonts w:ascii="Arial" w:hAnsi="Arial" w:cs="Arial"/>
                      <w:b/>
                      <w:bCs/>
                      <w:sz w:val="12"/>
                      <w:szCs w:val="12"/>
                      <w:lang w:val="es-ES_tradnl"/>
                    </w:rPr>
                    <w:br/>
                  </w:r>
                  <w:r w:rsidRPr="00997F35">
                    <w:rPr>
                      <w:rFonts w:ascii="Arial" w:hAnsi="Arial" w:cs="Arial"/>
                      <w:b/>
                      <w:bCs/>
                      <w:sz w:val="12"/>
                      <w:szCs w:val="12"/>
                      <w:lang w:val="es-ES_tradnl"/>
                    </w:rPr>
                    <w:t>única</w:t>
                  </w:r>
                </w:p>
              </w:txbxContent>
            </v:textbox>
          </v:shape>
        </w:pict>
      </w:r>
      <w:r>
        <w:rPr>
          <w:noProof/>
          <w:lang w:val="en-US" w:eastAsia="zh-CN"/>
        </w:rPr>
        <w:pict>
          <v:shape id="_x0000_s40035" type="#_x0000_t202" style="position:absolute;left:0;text-align:left;margin-left:208.4pt;margin-top:48.9pt;width:60.45pt;height:22.45pt;z-index:251662336" fillcolor="#c90" stroked="f" strokecolor="#c60">
            <v:textbox style="mso-next-textbox:#_x0000_s40035" inset="0,0,0,0">
              <w:txbxContent>
                <w:p w:rsidR="00997F35" w:rsidRPr="007430BF" w:rsidRDefault="00997F35" w:rsidP="00997F35">
                  <w:pPr>
                    <w:spacing w:before="0" w:after="20"/>
                    <w:jc w:val="center"/>
                    <w:rPr>
                      <w:rFonts w:ascii="Arial" w:hAnsi="Arial" w:cs="Arial"/>
                      <w:b/>
                      <w:bCs/>
                      <w:sz w:val="12"/>
                      <w:szCs w:val="12"/>
                    </w:rPr>
                  </w:pPr>
                  <w:r>
                    <w:rPr>
                      <w:rFonts w:ascii="Arial" w:hAnsi="Arial" w:cs="Arial"/>
                      <w:b/>
                      <w:bCs/>
                      <w:sz w:val="12"/>
                      <w:szCs w:val="12"/>
                      <w:lang w:val="es-ES_tradnl"/>
                    </w:rPr>
                    <w:t xml:space="preserve">TDD </w:t>
                  </w:r>
                  <w:r w:rsidRPr="007430BF">
                    <w:rPr>
                      <w:rFonts w:ascii="Arial" w:hAnsi="Arial" w:cs="Arial"/>
                      <w:b/>
                      <w:bCs/>
                      <w:sz w:val="12"/>
                      <w:szCs w:val="12"/>
                      <w:lang w:val="es-ES_tradnl"/>
                    </w:rPr>
                    <w:t>CDMA</w:t>
                  </w:r>
                  <w:r>
                    <w:rPr>
                      <w:rFonts w:ascii="Arial" w:hAnsi="Arial" w:cs="Arial"/>
                      <w:b/>
                      <w:bCs/>
                      <w:sz w:val="12"/>
                      <w:szCs w:val="12"/>
                      <w:lang w:val="es-ES_tradnl"/>
                    </w:rPr>
                    <w:br/>
                  </w:r>
                  <w:r w:rsidRPr="007430BF">
                    <w:rPr>
                      <w:rFonts w:ascii="Arial" w:hAnsi="Arial" w:cs="Arial"/>
                      <w:b/>
                      <w:bCs/>
                      <w:sz w:val="12"/>
                      <w:szCs w:val="12"/>
                      <w:lang w:val="es-ES_tradnl"/>
                    </w:rPr>
                    <w:t>IMT-2000</w:t>
                  </w:r>
                </w:p>
              </w:txbxContent>
            </v:textbox>
          </v:shape>
        </w:pict>
      </w:r>
      <w:r>
        <w:rPr>
          <w:noProof/>
          <w:lang w:val="en-US" w:eastAsia="zh-CN"/>
        </w:rPr>
        <w:pict>
          <v:shape id="_x0000_s40033" type="#_x0000_t202" style="position:absolute;left:0;text-align:left;margin-left:71.6pt;margin-top:48.9pt;width:60.45pt;height:22.45pt;z-index:251660288" fillcolor="#c90" stroked="f" strokecolor="#c60">
            <v:textbox style="mso-next-textbox:#_x0000_s40033" inset="0,0,0,0">
              <w:txbxContent>
                <w:p w:rsidR="00BE6900" w:rsidRPr="00A43C05" w:rsidRDefault="00BE6900" w:rsidP="00D70312">
                  <w:pPr>
                    <w:spacing w:before="0"/>
                    <w:jc w:val="center"/>
                    <w:rPr>
                      <w:rFonts w:ascii="Arial" w:hAnsi="Arial" w:cs="Arial"/>
                      <w:b/>
                      <w:bCs/>
                      <w:sz w:val="12"/>
                      <w:szCs w:val="12"/>
                      <w:lang w:val="es-ES_tradnl"/>
                    </w:rPr>
                  </w:pPr>
                  <w:r w:rsidRPr="007430BF">
                    <w:rPr>
                      <w:rFonts w:ascii="Arial" w:hAnsi="Arial" w:cs="Arial"/>
                      <w:b/>
                      <w:bCs/>
                      <w:sz w:val="12"/>
                      <w:szCs w:val="12"/>
                      <w:lang w:val="es-ES_tradnl"/>
                    </w:rPr>
                    <w:t>CDMA IMT-2000</w:t>
                  </w:r>
                  <w:r w:rsidR="007430BF">
                    <w:rPr>
                      <w:rFonts w:ascii="Arial" w:hAnsi="Arial" w:cs="Arial"/>
                      <w:b/>
                      <w:bCs/>
                      <w:sz w:val="12"/>
                      <w:szCs w:val="12"/>
                      <w:lang w:val="es-ES_tradnl"/>
                    </w:rPr>
                    <w:br/>
                  </w:r>
                  <w:r w:rsidRPr="007430BF">
                    <w:rPr>
                      <w:rFonts w:ascii="Arial" w:hAnsi="Arial" w:cs="Arial"/>
                      <w:b/>
                      <w:bCs/>
                      <w:sz w:val="12"/>
                      <w:szCs w:val="12"/>
                      <w:lang w:val="es-ES_tradnl"/>
                    </w:rPr>
                    <w:t>con</w:t>
                  </w:r>
                  <w:r w:rsidR="007430BF">
                    <w:rPr>
                      <w:rFonts w:ascii="Arial" w:hAnsi="Arial" w:cs="Arial"/>
                      <w:b/>
                      <w:bCs/>
                      <w:sz w:val="12"/>
                      <w:szCs w:val="12"/>
                      <w:lang w:val="es-ES_tradnl"/>
                    </w:rPr>
                    <w:t xml:space="preserve"> </w:t>
                  </w:r>
                  <w:r w:rsidRPr="007430BF">
                    <w:rPr>
                      <w:rFonts w:ascii="Arial" w:hAnsi="Arial" w:cs="Arial"/>
                      <w:b/>
                      <w:bCs/>
                      <w:sz w:val="12"/>
                      <w:szCs w:val="12"/>
                      <w:lang w:val="es-ES_tradnl"/>
                    </w:rPr>
                    <w:t>ensancha</w:t>
                  </w:r>
                  <w:r w:rsidR="007430BF">
                    <w:rPr>
                      <w:rFonts w:ascii="Arial" w:hAnsi="Arial" w:cs="Arial"/>
                      <w:b/>
                      <w:bCs/>
                      <w:sz w:val="12"/>
                      <w:szCs w:val="12"/>
                      <w:lang w:val="es-ES_tradnl"/>
                    </w:rPr>
                    <w:t>-</w:t>
                  </w:r>
                  <w:r w:rsidR="007430BF">
                    <w:rPr>
                      <w:rFonts w:ascii="Arial" w:hAnsi="Arial" w:cs="Arial"/>
                      <w:b/>
                      <w:bCs/>
                      <w:sz w:val="12"/>
                      <w:szCs w:val="12"/>
                      <w:lang w:val="es-ES_tradnl"/>
                    </w:rPr>
                    <w:br/>
                  </w:r>
                  <w:r w:rsidRPr="007430BF">
                    <w:rPr>
                      <w:rFonts w:ascii="Arial" w:hAnsi="Arial" w:cs="Arial"/>
                      <w:b/>
                      <w:bCs/>
                      <w:sz w:val="12"/>
                      <w:szCs w:val="12"/>
                      <w:lang w:val="es-ES_tradnl"/>
                    </w:rPr>
                    <w:t>miento</w:t>
                  </w:r>
                  <w:r w:rsidR="00D70312">
                    <w:rPr>
                      <w:rFonts w:ascii="Arial" w:hAnsi="Arial" w:cs="Arial"/>
                      <w:b/>
                      <w:bCs/>
                      <w:sz w:val="12"/>
                      <w:szCs w:val="12"/>
                      <w:lang w:val="es-ES_tradnl"/>
                    </w:rPr>
                    <w:t xml:space="preserve"> </w:t>
                  </w:r>
                  <w:r w:rsidRPr="007430BF">
                    <w:rPr>
                      <w:rFonts w:ascii="Arial" w:hAnsi="Arial" w:cs="Arial"/>
                      <w:b/>
                      <w:bCs/>
                      <w:sz w:val="12"/>
                      <w:szCs w:val="12"/>
                      <w:lang w:val="es-ES_tradnl"/>
                    </w:rPr>
                    <w:t>directo</w:t>
                  </w:r>
                </w:p>
              </w:txbxContent>
            </v:textbox>
          </v:shape>
        </w:pict>
      </w:r>
      <w:r>
        <w:rPr>
          <w:noProof/>
          <w:lang w:val="en-US" w:eastAsia="zh-CN"/>
        </w:rPr>
        <w:pict>
          <v:shape id="_x0000_s40034" type="#_x0000_t202" style="position:absolute;left:0;text-align:left;margin-left:138.9pt;margin-top:48.9pt;width:60.45pt;height:22.45pt;z-index:251661312" fillcolor="#c90" stroked="f" strokecolor="#c60">
            <v:textbox style="mso-next-textbox:#_x0000_s40034" inset="0,0,0,0">
              <w:txbxContent>
                <w:p w:rsidR="00334361" w:rsidRPr="007430BF" w:rsidRDefault="00334361" w:rsidP="00997F35">
                  <w:pPr>
                    <w:spacing w:before="0" w:after="20"/>
                    <w:jc w:val="center"/>
                    <w:rPr>
                      <w:rFonts w:ascii="Arial" w:hAnsi="Arial" w:cs="Arial"/>
                      <w:b/>
                      <w:bCs/>
                      <w:sz w:val="12"/>
                      <w:szCs w:val="12"/>
                    </w:rPr>
                  </w:pPr>
                  <w:r w:rsidRPr="007430BF">
                    <w:rPr>
                      <w:rFonts w:ascii="Arial" w:hAnsi="Arial" w:cs="Arial"/>
                      <w:b/>
                      <w:bCs/>
                      <w:sz w:val="12"/>
                      <w:szCs w:val="12"/>
                      <w:lang w:val="es-ES_tradnl"/>
                    </w:rPr>
                    <w:t>CDMA</w:t>
                  </w:r>
                  <w:r w:rsidR="00997F35">
                    <w:rPr>
                      <w:rFonts w:ascii="Arial" w:hAnsi="Arial" w:cs="Arial"/>
                      <w:b/>
                      <w:bCs/>
                      <w:sz w:val="12"/>
                      <w:szCs w:val="12"/>
                      <w:lang w:val="es-ES_tradnl"/>
                    </w:rPr>
                    <w:t xml:space="preserve"> </w:t>
                  </w:r>
                  <w:r w:rsidRPr="007430BF">
                    <w:rPr>
                      <w:rFonts w:ascii="Arial" w:hAnsi="Arial" w:cs="Arial"/>
                      <w:b/>
                      <w:bCs/>
                      <w:sz w:val="12"/>
                      <w:szCs w:val="12"/>
                      <w:lang w:val="es-ES_tradnl"/>
                    </w:rPr>
                    <w:t>IMT-2000</w:t>
                  </w:r>
                  <w:r w:rsidR="00997F35">
                    <w:rPr>
                      <w:rFonts w:ascii="Arial" w:hAnsi="Arial" w:cs="Arial"/>
                      <w:b/>
                      <w:bCs/>
                      <w:sz w:val="12"/>
                      <w:szCs w:val="12"/>
                      <w:lang w:val="es-ES_tradnl"/>
                    </w:rPr>
                    <w:br/>
                  </w:r>
                  <w:r w:rsidRPr="007430BF">
                    <w:rPr>
                      <w:rFonts w:ascii="Arial" w:hAnsi="Arial" w:cs="Arial"/>
                      <w:b/>
                      <w:bCs/>
                      <w:sz w:val="12"/>
                      <w:szCs w:val="12"/>
                      <w:lang w:val="es-ES_tradnl"/>
                    </w:rPr>
                    <w:t>con</w:t>
                  </w:r>
                  <w:r w:rsidR="00997F35">
                    <w:rPr>
                      <w:rFonts w:ascii="Arial" w:hAnsi="Arial" w:cs="Arial"/>
                      <w:b/>
                      <w:bCs/>
                      <w:sz w:val="12"/>
                      <w:szCs w:val="12"/>
                      <w:lang w:val="es-ES_tradnl"/>
                    </w:rPr>
                    <w:br/>
                  </w:r>
                  <w:proofErr w:type="spellStart"/>
                  <w:r w:rsidRPr="00334361">
                    <w:rPr>
                      <w:rFonts w:ascii="Arial" w:hAnsi="Arial" w:cs="Arial"/>
                      <w:b/>
                      <w:bCs/>
                      <w:sz w:val="12"/>
                      <w:szCs w:val="12"/>
                      <w:lang w:val="es-ES_tradnl"/>
                    </w:rPr>
                    <w:t>multiportadora</w:t>
                  </w:r>
                  <w:proofErr w:type="spellEnd"/>
                </w:p>
              </w:txbxContent>
            </v:textbox>
          </v:shape>
        </w:pict>
      </w:r>
      <w:r>
        <w:rPr>
          <w:noProof/>
          <w:lang w:val="en-US" w:eastAsia="zh-CN"/>
        </w:rPr>
        <w:pict>
          <v:shape id="_x0000_s40031" type="#_x0000_t202" style="position:absolute;left:0;text-align:left;margin-left:174.25pt;margin-top:8.15pt;width:152.15pt;height:25.15pt;z-index:251658240" stroked="f">
            <v:textbox style="mso-next-textbox:#_x0000_s40031" inset="0,0,0,0">
              <w:txbxContent>
                <w:p w:rsidR="00E70BDE" w:rsidRPr="00E70BDE" w:rsidRDefault="00E70BDE" w:rsidP="00E70BDE">
                  <w:pPr>
                    <w:spacing w:before="0"/>
                    <w:jc w:val="center"/>
                    <w:rPr>
                      <w:rFonts w:ascii="Arial" w:hAnsi="Arial" w:cs="Arial"/>
                      <w:b/>
                      <w:bCs/>
                      <w:sz w:val="16"/>
                      <w:szCs w:val="16"/>
                    </w:rPr>
                  </w:pPr>
                  <w:r w:rsidRPr="00E70BDE">
                    <w:rPr>
                      <w:rFonts w:ascii="Arial" w:hAnsi="Arial" w:cs="Arial"/>
                      <w:b/>
                      <w:bCs/>
                      <w:sz w:val="16"/>
                      <w:szCs w:val="16"/>
                      <w:lang w:val="es-ES_tradnl"/>
                    </w:rPr>
                    <w:t>Interfaces radioeléctricas</w:t>
                  </w:r>
                  <w:r>
                    <w:rPr>
                      <w:rFonts w:ascii="Arial" w:hAnsi="Arial" w:cs="Arial"/>
                      <w:b/>
                      <w:bCs/>
                      <w:sz w:val="16"/>
                      <w:szCs w:val="16"/>
                      <w:lang w:val="es-ES_tradnl"/>
                    </w:rPr>
                    <w:t xml:space="preserve"> </w:t>
                  </w:r>
                  <w:r w:rsidRPr="00E70BDE">
                    <w:rPr>
                      <w:rFonts w:ascii="Arial" w:hAnsi="Arial" w:cs="Arial"/>
                      <w:b/>
                      <w:bCs/>
                      <w:sz w:val="16"/>
                      <w:szCs w:val="16"/>
                      <w:lang w:val="es-ES_tradnl"/>
                    </w:rPr>
                    <w:t>terrenales</w:t>
                  </w:r>
                  <w:r>
                    <w:rPr>
                      <w:rFonts w:ascii="Arial" w:hAnsi="Arial" w:cs="Arial"/>
                      <w:b/>
                      <w:bCs/>
                      <w:sz w:val="16"/>
                      <w:szCs w:val="16"/>
                      <w:lang w:val="es-ES_tradnl"/>
                    </w:rPr>
                    <w:br/>
                  </w:r>
                  <w:r w:rsidRPr="00E70BDE">
                    <w:rPr>
                      <w:rFonts w:ascii="Arial" w:hAnsi="Arial" w:cs="Arial"/>
                      <w:b/>
                      <w:bCs/>
                      <w:sz w:val="16"/>
                      <w:szCs w:val="16"/>
                      <w:lang w:val="es-ES_tradnl"/>
                    </w:rPr>
                    <w:t>de las IMT</w:t>
                  </w:r>
                  <w:r w:rsidRPr="00E70BDE">
                    <w:rPr>
                      <w:rFonts w:ascii="Arial" w:hAnsi="Arial" w:cs="Arial"/>
                      <w:b/>
                      <w:bCs/>
                      <w:sz w:val="16"/>
                      <w:szCs w:val="16"/>
                      <w:lang w:val="es-ES_tradnl"/>
                    </w:rPr>
                    <w:noBreakHyphen/>
                    <w:t>2000</w:t>
                  </w:r>
                </w:p>
              </w:txbxContent>
            </v:textbox>
          </v:shape>
        </w:pict>
      </w:r>
      <w:r w:rsidR="00A43C0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107.25pt">
            <v:imagedata r:id="rId17" o:title=""/>
          </v:shape>
        </w:pict>
      </w:r>
    </w:p>
    <w:p w:rsidR="0000784D" w:rsidRPr="00874A69" w:rsidRDefault="0000784D" w:rsidP="00874A69">
      <w:pPr>
        <w:pStyle w:val="FigureSource"/>
        <w:rPr>
          <w:sz w:val="12"/>
          <w:szCs w:val="12"/>
        </w:rPr>
      </w:pPr>
    </w:p>
    <w:p w:rsidR="0000784D" w:rsidRDefault="0000784D" w:rsidP="005473A0"/>
    <w:p w:rsidR="005473A0" w:rsidRPr="00030119" w:rsidRDefault="005473A0" w:rsidP="00030119">
      <w:pPr>
        <w:pStyle w:val="FigureTitle"/>
        <w:rPr>
          <w:sz w:val="8"/>
          <w:szCs w:val="8"/>
        </w:rPr>
      </w:pP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01"/>
        <w:gridCol w:w="5133"/>
      </w:tblGrid>
      <w:tr w:rsidR="00181FAC" w:rsidRPr="000D45EC" w:rsidTr="00102997">
        <w:trPr>
          <w:jc w:val="center"/>
        </w:trPr>
        <w:tc>
          <w:tcPr>
            <w:tcW w:w="4001" w:type="dxa"/>
          </w:tcPr>
          <w:p w:rsidR="00181FAC" w:rsidRPr="009738F0" w:rsidRDefault="00415F4C" w:rsidP="00953E8E">
            <w:pPr>
              <w:pStyle w:val="Tablehead"/>
              <w:spacing w:beforeLines="40" w:afterLines="40"/>
            </w:pPr>
            <w:r w:rsidRPr="00415F4C">
              <w:rPr>
                <w:lang w:val="es-ES_tradnl"/>
              </w:rPr>
              <w:t>Nombre completo</w:t>
            </w:r>
          </w:p>
        </w:tc>
        <w:tc>
          <w:tcPr>
            <w:tcW w:w="5133" w:type="dxa"/>
          </w:tcPr>
          <w:p w:rsidR="00181FAC" w:rsidRPr="009738F0" w:rsidRDefault="00415F4C" w:rsidP="00953E8E">
            <w:pPr>
              <w:pStyle w:val="Tablehead"/>
              <w:spacing w:beforeLines="40" w:afterLines="40"/>
            </w:pPr>
            <w:r w:rsidRPr="00415F4C">
              <w:rPr>
                <w:lang w:val="es-ES_tradnl"/>
              </w:rPr>
              <w:t>Nombres comunes</w:t>
            </w:r>
          </w:p>
        </w:tc>
      </w:tr>
      <w:tr w:rsidR="00181FAC" w:rsidRPr="00D83A2C" w:rsidTr="00102997">
        <w:trPr>
          <w:jc w:val="center"/>
        </w:trPr>
        <w:tc>
          <w:tcPr>
            <w:tcW w:w="4001" w:type="dxa"/>
          </w:tcPr>
          <w:p w:rsidR="00181FAC" w:rsidRPr="00A43C05" w:rsidRDefault="00953E8E" w:rsidP="00A3694C">
            <w:pPr>
              <w:pStyle w:val="Tabletext"/>
              <w:spacing w:beforeLines="40" w:afterLines="40"/>
              <w:jc w:val="left"/>
              <w:rPr>
                <w:lang w:val="es-ES_tradnl"/>
              </w:rPr>
            </w:pPr>
            <w:r w:rsidRPr="00953E8E">
              <w:rPr>
                <w:lang w:val="es-ES_tradnl"/>
              </w:rPr>
              <w:t>CDMA IMT</w:t>
            </w:r>
            <w:r w:rsidRPr="00953E8E">
              <w:rPr>
                <w:lang w:val="es-ES_tradnl"/>
              </w:rPr>
              <w:noBreakHyphen/>
              <w:t>2000 con ensanchamiento</w:t>
            </w:r>
            <w:r>
              <w:rPr>
                <w:lang w:val="es-ES_tradnl"/>
              </w:rPr>
              <w:br/>
            </w:r>
            <w:r w:rsidRPr="00953E8E">
              <w:rPr>
                <w:lang w:val="es-ES_tradnl"/>
              </w:rPr>
              <w:t>directo</w:t>
            </w:r>
          </w:p>
        </w:tc>
        <w:tc>
          <w:tcPr>
            <w:tcW w:w="5133" w:type="dxa"/>
          </w:tcPr>
          <w:p w:rsidR="00181FAC" w:rsidRPr="009738F0" w:rsidRDefault="00953E8E" w:rsidP="00A3694C">
            <w:pPr>
              <w:pStyle w:val="Tabletext"/>
              <w:spacing w:beforeLines="40" w:afterLines="40"/>
              <w:jc w:val="left"/>
              <w:rPr>
                <w:lang w:val="de-CH"/>
              </w:rPr>
            </w:pPr>
            <w:r w:rsidRPr="00953E8E">
              <w:rPr>
                <w:lang w:val="de-CH"/>
              </w:rPr>
              <w:t xml:space="preserve">UTRAFDD </w:t>
            </w:r>
            <w:r w:rsidRPr="00953E8E">
              <w:rPr>
                <w:lang w:val="de-CH"/>
              </w:rPr>
              <w:br/>
              <w:t>WCDMA</w:t>
            </w:r>
            <w:r w:rsidRPr="00953E8E">
              <w:rPr>
                <w:lang w:val="de-CH"/>
              </w:rPr>
              <w:br/>
              <w:t>UMTS</w:t>
            </w:r>
            <w:r w:rsidRPr="00953E8E">
              <w:rPr>
                <w:lang w:val="de-CH"/>
              </w:rPr>
              <w:br/>
              <w:t>E-UTRAN</w:t>
            </w:r>
          </w:p>
        </w:tc>
      </w:tr>
      <w:tr w:rsidR="00181FAC" w:rsidRPr="00A43C05" w:rsidTr="00102997">
        <w:trPr>
          <w:jc w:val="center"/>
        </w:trPr>
        <w:tc>
          <w:tcPr>
            <w:tcW w:w="4001" w:type="dxa"/>
          </w:tcPr>
          <w:p w:rsidR="00181FAC" w:rsidRPr="009738F0" w:rsidRDefault="00953E8E" w:rsidP="00A3694C">
            <w:pPr>
              <w:pStyle w:val="Tabletext"/>
              <w:spacing w:beforeLines="40" w:afterLines="40"/>
            </w:pPr>
            <w:r w:rsidRPr="00953E8E">
              <w:rPr>
                <w:lang w:val="es-ES_tradnl"/>
              </w:rPr>
              <w:t xml:space="preserve">CDMA IMT-2000 con </w:t>
            </w:r>
            <w:proofErr w:type="spellStart"/>
            <w:r w:rsidRPr="00953E8E">
              <w:rPr>
                <w:lang w:val="es-ES_tradnl"/>
              </w:rPr>
              <w:t>multiportadora</w:t>
            </w:r>
            <w:proofErr w:type="spellEnd"/>
          </w:p>
        </w:tc>
        <w:tc>
          <w:tcPr>
            <w:tcW w:w="5133" w:type="dxa"/>
          </w:tcPr>
          <w:p w:rsidR="00181FAC" w:rsidRPr="00A43C05" w:rsidRDefault="00953E8E" w:rsidP="00A3694C">
            <w:pPr>
              <w:pStyle w:val="Tabletext"/>
              <w:spacing w:beforeLines="40" w:afterLines="40"/>
              <w:jc w:val="left"/>
              <w:rPr>
                <w:lang w:val="es-ES_tradnl"/>
              </w:rPr>
            </w:pPr>
            <w:r w:rsidRPr="00953E8E">
              <w:rPr>
                <w:lang w:val="es-ES_tradnl"/>
              </w:rPr>
              <w:t>CDMA2000 1x y 3x CDMA2000 1xEV</w:t>
            </w:r>
            <w:r w:rsidRPr="00953E8E">
              <w:rPr>
                <w:lang w:val="es-ES_tradnl"/>
              </w:rPr>
              <w:noBreakHyphen/>
              <w:t>DO</w:t>
            </w:r>
            <w:r w:rsidRPr="00953E8E">
              <w:rPr>
                <w:lang w:val="es-ES_tradnl"/>
              </w:rPr>
              <w:br/>
              <w:t xml:space="preserve">(incluidos </w:t>
            </w:r>
            <w:proofErr w:type="spellStart"/>
            <w:r w:rsidRPr="00953E8E">
              <w:rPr>
                <w:lang w:val="es-ES_tradnl"/>
              </w:rPr>
              <w:t>Rel</w:t>
            </w:r>
            <w:proofErr w:type="spellEnd"/>
            <w:r w:rsidRPr="00953E8E">
              <w:rPr>
                <w:lang w:val="es-ES_tradnl"/>
              </w:rPr>
              <w:t>. 0, Rev. A y Rev. B)</w:t>
            </w:r>
            <w:r w:rsidRPr="00953E8E">
              <w:rPr>
                <w:lang w:val="es-ES_tradnl"/>
              </w:rPr>
              <w:br/>
              <w:t>UMB</w:t>
            </w:r>
          </w:p>
        </w:tc>
      </w:tr>
      <w:tr w:rsidR="00181FAC" w:rsidRPr="00A43C05" w:rsidTr="00102997">
        <w:trPr>
          <w:jc w:val="center"/>
        </w:trPr>
        <w:tc>
          <w:tcPr>
            <w:tcW w:w="4001" w:type="dxa"/>
          </w:tcPr>
          <w:p w:rsidR="00181FAC" w:rsidRPr="009738F0" w:rsidRDefault="00953E8E" w:rsidP="00A3694C">
            <w:pPr>
              <w:pStyle w:val="Tabletext"/>
              <w:spacing w:beforeLines="40" w:afterLines="40"/>
            </w:pPr>
            <w:r w:rsidRPr="00953E8E">
              <w:rPr>
                <w:lang w:val="es-ES_tradnl"/>
              </w:rPr>
              <w:t>TDD CDMA IMT</w:t>
            </w:r>
            <w:r w:rsidRPr="00953E8E">
              <w:rPr>
                <w:lang w:val="es-ES_tradnl"/>
              </w:rPr>
              <w:noBreakHyphen/>
              <w:t>2000</w:t>
            </w:r>
          </w:p>
        </w:tc>
        <w:tc>
          <w:tcPr>
            <w:tcW w:w="5133" w:type="dxa"/>
          </w:tcPr>
          <w:p w:rsidR="00181FAC" w:rsidRPr="00A43C05" w:rsidRDefault="00953E8E" w:rsidP="00A3694C">
            <w:pPr>
              <w:pStyle w:val="Tabletext"/>
              <w:spacing w:beforeLines="40" w:afterLines="40"/>
              <w:jc w:val="left"/>
              <w:rPr>
                <w:lang w:val="es-ES_tradnl"/>
              </w:rPr>
            </w:pPr>
            <w:r w:rsidRPr="00953E8E">
              <w:rPr>
                <w:lang w:val="es-ES_tradnl"/>
              </w:rPr>
              <w:t xml:space="preserve">TDD UTRA 3,84 </w:t>
            </w:r>
            <w:proofErr w:type="spellStart"/>
            <w:r w:rsidRPr="00953E8E">
              <w:rPr>
                <w:lang w:val="es-ES_tradnl"/>
              </w:rPr>
              <w:t>Mchip</w:t>
            </w:r>
            <w:proofErr w:type="spellEnd"/>
            <w:r w:rsidRPr="00953E8E">
              <w:rPr>
                <w:lang w:val="es-ES_tradnl"/>
              </w:rPr>
              <w:t>/s velocidad de segmentos alta</w:t>
            </w:r>
            <w:r w:rsidRPr="00953E8E">
              <w:rPr>
                <w:lang w:val="es-ES_tradnl"/>
              </w:rPr>
              <w:br/>
              <w:t xml:space="preserve">TDD UTRA 1,28 </w:t>
            </w:r>
            <w:proofErr w:type="spellStart"/>
            <w:r w:rsidRPr="00953E8E">
              <w:rPr>
                <w:lang w:val="es-ES_tradnl"/>
              </w:rPr>
              <w:t>Mchip</w:t>
            </w:r>
            <w:proofErr w:type="spellEnd"/>
            <w:r w:rsidRPr="00953E8E">
              <w:rPr>
                <w:lang w:val="es-ES_tradnl"/>
              </w:rPr>
              <w:t>/s velocidad de segmentos baja</w:t>
            </w:r>
            <w:r w:rsidRPr="00953E8E">
              <w:rPr>
                <w:lang w:val="es-ES_tradnl"/>
              </w:rPr>
              <w:br/>
              <w:t>(TD</w:t>
            </w:r>
            <w:r w:rsidRPr="00953E8E">
              <w:rPr>
                <w:lang w:val="es-ES_tradnl"/>
              </w:rPr>
              <w:noBreakHyphen/>
              <w:t>SCDMA)</w:t>
            </w:r>
            <w:r w:rsidRPr="00953E8E">
              <w:rPr>
                <w:lang w:val="es-ES_tradnl"/>
              </w:rPr>
              <w:br/>
              <w:t>UMTS</w:t>
            </w:r>
            <w:r w:rsidRPr="00953E8E">
              <w:rPr>
                <w:lang w:val="es-ES_tradnl"/>
              </w:rPr>
              <w:br/>
              <w:t>E-UTRAN</w:t>
            </w:r>
          </w:p>
        </w:tc>
      </w:tr>
      <w:tr w:rsidR="00181FAC" w:rsidRPr="000D45EC" w:rsidTr="00102997">
        <w:trPr>
          <w:jc w:val="center"/>
        </w:trPr>
        <w:tc>
          <w:tcPr>
            <w:tcW w:w="4001" w:type="dxa"/>
          </w:tcPr>
          <w:p w:rsidR="00181FAC" w:rsidRPr="00A43C05" w:rsidRDefault="00953E8E" w:rsidP="00953E8E">
            <w:pPr>
              <w:pStyle w:val="Tabletext"/>
              <w:spacing w:beforeLines="40" w:afterLines="40"/>
              <w:rPr>
                <w:lang w:val="es-ES_tradnl"/>
              </w:rPr>
            </w:pPr>
            <w:r w:rsidRPr="00953E8E">
              <w:rPr>
                <w:lang w:val="es-ES_tradnl"/>
              </w:rPr>
              <w:t>TDMA IMT</w:t>
            </w:r>
            <w:r w:rsidRPr="00953E8E">
              <w:rPr>
                <w:lang w:val="es-ES_tradnl"/>
              </w:rPr>
              <w:noBreakHyphen/>
              <w:t>2000 de portadora única</w:t>
            </w:r>
          </w:p>
        </w:tc>
        <w:tc>
          <w:tcPr>
            <w:tcW w:w="5133" w:type="dxa"/>
          </w:tcPr>
          <w:p w:rsidR="00181FAC" w:rsidRPr="009738F0" w:rsidRDefault="00953E8E" w:rsidP="00953E8E">
            <w:pPr>
              <w:pStyle w:val="Tabletext"/>
              <w:spacing w:beforeLines="40" w:afterLines="40"/>
              <w:jc w:val="left"/>
            </w:pPr>
            <w:r w:rsidRPr="00953E8E">
              <w:rPr>
                <w:lang w:val="es-ES_tradnl"/>
              </w:rPr>
              <w:t>EDGE</w:t>
            </w:r>
          </w:p>
        </w:tc>
      </w:tr>
      <w:tr w:rsidR="00181FAC" w:rsidRPr="000D45EC" w:rsidTr="00102997">
        <w:trPr>
          <w:jc w:val="center"/>
        </w:trPr>
        <w:tc>
          <w:tcPr>
            <w:tcW w:w="4001" w:type="dxa"/>
          </w:tcPr>
          <w:p w:rsidR="00181FAC" w:rsidRPr="00A43C05" w:rsidRDefault="00953E8E" w:rsidP="00102997">
            <w:pPr>
              <w:pStyle w:val="Tabletext"/>
              <w:spacing w:before="100" w:beforeAutospacing="1" w:after="100" w:afterAutospacing="1"/>
              <w:jc w:val="left"/>
              <w:rPr>
                <w:lang w:val="es-ES_tradnl"/>
              </w:rPr>
            </w:pPr>
            <w:r w:rsidRPr="00953E8E">
              <w:rPr>
                <w:lang w:val="es-ES_tradnl"/>
              </w:rPr>
              <w:t>FDMA/TDMA IMT</w:t>
            </w:r>
            <w:r w:rsidRPr="00953E8E">
              <w:rPr>
                <w:lang w:val="es-ES_tradnl"/>
              </w:rPr>
              <w:noBreakHyphen/>
              <w:t>2000 (</w:t>
            </w:r>
            <w:proofErr w:type="spellStart"/>
            <w:r w:rsidRPr="00953E8E">
              <w:rPr>
                <w:lang w:val="es-ES_tradnl"/>
              </w:rPr>
              <w:t>frecuencia</w:t>
            </w:r>
            <w:r w:rsidRPr="00953E8E">
              <w:rPr>
                <w:lang w:val="es-ES_tradnl"/>
              </w:rPr>
              <w:noBreakHyphen/>
              <w:t>tiempo</w:t>
            </w:r>
            <w:proofErr w:type="spellEnd"/>
            <w:r w:rsidRPr="00953E8E">
              <w:rPr>
                <w:lang w:val="es-ES_tradnl"/>
              </w:rPr>
              <w:t>)</w:t>
            </w:r>
          </w:p>
        </w:tc>
        <w:tc>
          <w:tcPr>
            <w:tcW w:w="5133" w:type="dxa"/>
          </w:tcPr>
          <w:p w:rsidR="00181FAC" w:rsidRPr="009738F0" w:rsidRDefault="00953E8E" w:rsidP="00953E8E">
            <w:pPr>
              <w:pStyle w:val="Tabletext"/>
              <w:spacing w:beforeLines="40" w:afterLines="40"/>
              <w:jc w:val="left"/>
            </w:pPr>
            <w:r w:rsidRPr="00953E8E">
              <w:rPr>
                <w:lang w:val="es-ES_tradnl"/>
              </w:rPr>
              <w:t>DECT</w:t>
            </w:r>
          </w:p>
        </w:tc>
      </w:tr>
      <w:tr w:rsidR="00181FAC" w:rsidRPr="000D45EC" w:rsidTr="00102997">
        <w:trPr>
          <w:jc w:val="center"/>
        </w:trPr>
        <w:tc>
          <w:tcPr>
            <w:tcW w:w="4001" w:type="dxa"/>
          </w:tcPr>
          <w:p w:rsidR="00181FAC" w:rsidRPr="009738F0" w:rsidRDefault="00953E8E" w:rsidP="00953E8E">
            <w:pPr>
              <w:pStyle w:val="Tabletext"/>
              <w:spacing w:beforeLines="40" w:afterLines="40"/>
            </w:pPr>
            <w:r w:rsidRPr="00953E8E">
              <w:rPr>
                <w:lang w:val="es-ES_tradnl"/>
              </w:rPr>
              <w:t>OFDMA TDD WMAN IMT-2000</w:t>
            </w:r>
          </w:p>
        </w:tc>
        <w:tc>
          <w:tcPr>
            <w:tcW w:w="5133" w:type="dxa"/>
          </w:tcPr>
          <w:p w:rsidR="00181FAC" w:rsidRPr="009738F0" w:rsidRDefault="00953E8E" w:rsidP="00953E8E">
            <w:pPr>
              <w:pStyle w:val="Tabletext"/>
              <w:spacing w:beforeLines="40" w:afterLines="40"/>
            </w:pPr>
            <w:proofErr w:type="spellStart"/>
            <w:r w:rsidRPr="00953E8E">
              <w:rPr>
                <w:lang w:val="es-ES_tradnl"/>
              </w:rPr>
              <w:t>WiMAX</w:t>
            </w:r>
            <w:proofErr w:type="spellEnd"/>
          </w:p>
        </w:tc>
      </w:tr>
    </w:tbl>
    <w:p w:rsidR="00E63E5A" w:rsidRPr="00874A69" w:rsidRDefault="00E63E5A" w:rsidP="005473A0">
      <w:pPr>
        <w:pStyle w:val="FigureSource"/>
        <w:keepNext w:val="0"/>
        <w:ind w:left="567" w:hanging="567"/>
        <w:rPr>
          <w:sz w:val="12"/>
        </w:rPr>
      </w:pPr>
    </w:p>
    <w:p w:rsidR="00D31EFC" w:rsidRPr="00BD7922" w:rsidRDefault="004E74C1" w:rsidP="00102997">
      <w:pPr>
        <w:pStyle w:val="Heading3"/>
      </w:pPr>
      <w:bookmarkStart w:id="60" w:name="_Toc43748610"/>
      <w:bookmarkStart w:id="61" w:name="_Toc44401149"/>
      <w:bookmarkStart w:id="62" w:name="_Toc44446697"/>
      <w:bookmarkStart w:id="63" w:name="_Toc53323366"/>
      <w:bookmarkStart w:id="64" w:name="_Toc63611572"/>
      <w:bookmarkStart w:id="65" w:name="_Toc89083650"/>
      <w:bookmarkStart w:id="66" w:name="_Toc101931215"/>
      <w:bookmarkStart w:id="67" w:name="_Toc103399234"/>
      <w:bookmarkStart w:id="68" w:name="_Toc103400312"/>
      <w:bookmarkStart w:id="69" w:name="_Toc103400776"/>
      <w:bookmarkStart w:id="70" w:name="_Toc103401240"/>
      <w:bookmarkStart w:id="71" w:name="_Toc103401705"/>
      <w:bookmarkStart w:id="72" w:name="_Toc103402171"/>
      <w:bookmarkStart w:id="73" w:name="_Toc103402636"/>
      <w:bookmarkStart w:id="74" w:name="_Toc103403401"/>
      <w:bookmarkStart w:id="75" w:name="_Toc103421171"/>
      <w:bookmarkStart w:id="76" w:name="_Toc103528345"/>
      <w:bookmarkStart w:id="77" w:name="_Toc236826221"/>
      <w:bookmarkStart w:id="78" w:name="_Toc255292521"/>
      <w:bookmarkStart w:id="79" w:name="_Toc259024226"/>
      <w:r>
        <w:t>3.2.1</w:t>
      </w:r>
      <w:r w:rsidR="00D31EFC" w:rsidRPr="00BD7922">
        <w:tab/>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00102997" w:rsidRPr="00102997">
        <w:rPr>
          <w:lang w:val="en-CA"/>
        </w:rPr>
        <w:t xml:space="preserve">La red </w:t>
      </w:r>
      <w:proofErr w:type="spellStart"/>
      <w:r w:rsidR="00102997" w:rsidRPr="00102997">
        <w:rPr>
          <w:lang w:val="en-CA"/>
        </w:rPr>
        <w:t>radioeléctrica</w:t>
      </w:r>
      <w:bookmarkEnd w:id="79"/>
      <w:proofErr w:type="spellEnd"/>
    </w:p>
    <w:p w:rsidR="00D31EFC" w:rsidRPr="00A43C05" w:rsidRDefault="00102997" w:rsidP="00102997">
      <w:pPr>
        <w:rPr>
          <w:lang w:val="es-ES_tradnl"/>
        </w:rPr>
      </w:pPr>
      <w:r w:rsidRPr="00102997">
        <w:rPr>
          <w:lang w:val="es-ES_tradnl"/>
        </w:rPr>
        <w:t>Una red de acceso radioeléctrico consiste en uno o más sistemas de redes radioeléctricas. El sistema de red radioeléctrica (RNS) está integrado por el equipo de la estación base (transceptores, controladores, etc.) que es visto por el MSC como la entidad encargada de comunicarse con las estaciones móviles de determinada zona. El equipo de radiocomunicaciones de un RNS puede soportar una o varias células. Un RNS puede contar con una o varias estaciones base. En el caso de FDD UTRA y de TDD UTRA ambas interfaces radioeléctricas pueden ser soportadas por una sola red de acceso radioeléctrico.</w:t>
      </w:r>
    </w:p>
    <w:p w:rsidR="00D31EFC" w:rsidRPr="00A43C05" w:rsidRDefault="004E74C1" w:rsidP="00102997">
      <w:pPr>
        <w:pStyle w:val="Heading2"/>
        <w:rPr>
          <w:lang w:val="es-ES_tradnl"/>
        </w:rPr>
      </w:pPr>
      <w:bookmarkStart w:id="80" w:name="_Toc51762577"/>
      <w:bookmarkStart w:id="81" w:name="_Toc63611573"/>
      <w:bookmarkStart w:id="82" w:name="_Toc89083651"/>
      <w:bookmarkStart w:id="83" w:name="_Toc92878178"/>
      <w:bookmarkStart w:id="84" w:name="_Toc101931216"/>
      <w:bookmarkStart w:id="85" w:name="_Toc103399235"/>
      <w:bookmarkStart w:id="86" w:name="_Toc103400313"/>
      <w:bookmarkStart w:id="87" w:name="_Toc103400777"/>
      <w:bookmarkStart w:id="88" w:name="_Toc103401241"/>
      <w:bookmarkStart w:id="89" w:name="_Toc103401706"/>
      <w:bookmarkStart w:id="90" w:name="_Toc103402172"/>
      <w:bookmarkStart w:id="91" w:name="_Toc103402637"/>
      <w:bookmarkStart w:id="92" w:name="_Toc103403402"/>
      <w:bookmarkStart w:id="93" w:name="_Toc103421172"/>
      <w:bookmarkStart w:id="94" w:name="_Toc103528346"/>
      <w:bookmarkStart w:id="95" w:name="_Toc236826222"/>
      <w:bookmarkStart w:id="96" w:name="_Toc255292522"/>
      <w:bookmarkStart w:id="97" w:name="_Toc259024227"/>
      <w:r w:rsidRPr="00A43C05">
        <w:rPr>
          <w:lang w:val="es-ES_tradnl"/>
        </w:rPr>
        <w:t>3.3</w:t>
      </w:r>
      <w:r w:rsidR="00D31EFC" w:rsidRPr="00A43C05">
        <w:rPr>
          <w:lang w:val="es-ES_tradnl"/>
        </w:rPr>
        <w:tab/>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00102997" w:rsidRPr="00102997">
        <w:rPr>
          <w:lang w:val="es-ES_tradnl"/>
        </w:rPr>
        <w:t>Redes básicas IMT</w:t>
      </w:r>
      <w:r w:rsidR="00102997">
        <w:rPr>
          <w:lang w:val="es-ES_tradnl"/>
        </w:rPr>
        <w:t>-</w:t>
      </w:r>
      <w:r w:rsidR="00102997" w:rsidRPr="00102997">
        <w:rPr>
          <w:lang w:val="es-ES_tradnl"/>
        </w:rPr>
        <w:t>2000</w:t>
      </w:r>
      <w:bookmarkEnd w:id="97"/>
    </w:p>
    <w:p w:rsidR="00102997" w:rsidRPr="001F163E" w:rsidRDefault="00102997" w:rsidP="00102997">
      <w:pPr>
        <w:rPr>
          <w:lang w:val="es-ES_tradnl"/>
        </w:rPr>
      </w:pPr>
      <w:r w:rsidRPr="001F163E">
        <w:rPr>
          <w:lang w:val="es-ES_tradnl"/>
        </w:rPr>
        <w:t>Además de la red radioeléctrica, el otro componente esencial de la familia terrenal de las IMT</w:t>
      </w:r>
      <w:r w:rsidRPr="001F163E">
        <w:rPr>
          <w:lang w:val="es-ES_tradnl"/>
        </w:rPr>
        <w:noBreakHyphen/>
        <w:t xml:space="preserve">2000 es la red básica. En esta sección se ofrece información sobre las redes básicas </w:t>
      </w:r>
      <w:r>
        <w:rPr>
          <w:lang w:val="es-ES_tradnl"/>
        </w:rPr>
        <w:t>de</w:t>
      </w:r>
      <w:r w:rsidRPr="001F163E">
        <w:rPr>
          <w:lang w:val="es-ES_tradnl"/>
        </w:rPr>
        <w:t xml:space="preserve"> los miembros de </w:t>
      </w:r>
      <w:r>
        <w:rPr>
          <w:lang w:val="es-ES_tradnl"/>
        </w:rPr>
        <w:t>la familia IMT</w:t>
      </w:r>
      <w:r>
        <w:rPr>
          <w:lang w:val="es-ES_tradnl"/>
        </w:rPr>
        <w:noBreakHyphen/>
        <w:t>2000 especificada</w:t>
      </w:r>
      <w:r w:rsidRPr="001F163E">
        <w:rPr>
          <w:lang w:val="es-ES_tradnl"/>
        </w:rPr>
        <w:t xml:space="preserve">s </w:t>
      </w:r>
      <w:r>
        <w:rPr>
          <w:lang w:val="es-ES_tradnl"/>
        </w:rPr>
        <w:t>en cada uno de los P</w:t>
      </w:r>
      <w:r w:rsidRPr="001F163E">
        <w:rPr>
          <w:lang w:val="es-ES_tradnl"/>
        </w:rPr>
        <w:t>royect</w:t>
      </w:r>
      <w:r>
        <w:rPr>
          <w:lang w:val="es-ES_tradnl"/>
        </w:rPr>
        <w:t>os de Asociación 3G y convertida</w:t>
      </w:r>
      <w:r w:rsidRPr="001F163E">
        <w:rPr>
          <w:lang w:val="es-ES_tradnl"/>
        </w:rPr>
        <w:t xml:space="preserve">s en normas por sus </w:t>
      </w:r>
      <w:r w:rsidRPr="001F163E">
        <w:rPr>
          <w:lang w:val="es-ES_tradnl"/>
        </w:rPr>
        <w:lastRenderedPageBreak/>
        <w:t xml:space="preserve">respectivas organizaciones de </w:t>
      </w:r>
      <w:r>
        <w:rPr>
          <w:lang w:val="es-ES_tradnl"/>
        </w:rPr>
        <w:t>normalización</w:t>
      </w:r>
      <w:r w:rsidRPr="001F163E">
        <w:rPr>
          <w:lang w:val="es-ES_tradnl"/>
        </w:rPr>
        <w:t xml:space="preserve"> (SDO) asociadas. Hay dos de estos miembros de la familia IMT</w:t>
      </w:r>
      <w:r w:rsidRPr="001F163E">
        <w:rPr>
          <w:lang w:val="es-ES_tradnl"/>
        </w:rPr>
        <w:noBreakHyphen/>
        <w:t xml:space="preserve">2000 que se describen </w:t>
      </w:r>
      <w:r>
        <w:rPr>
          <w:lang w:val="es-ES_tradnl"/>
        </w:rPr>
        <w:t>con más detalle</w:t>
      </w:r>
      <w:r w:rsidRPr="001F163E">
        <w:rPr>
          <w:lang w:val="es-ES_tradnl"/>
        </w:rPr>
        <w:t xml:space="preserve"> en las siguientes secciones.</w:t>
      </w:r>
    </w:p>
    <w:p w:rsidR="00102997" w:rsidRPr="001F163E" w:rsidRDefault="00102997" w:rsidP="00102997">
      <w:pPr>
        <w:rPr>
          <w:lang w:val="es-ES_tradnl"/>
        </w:rPr>
      </w:pPr>
      <w:r w:rsidRPr="001F163E">
        <w:rPr>
          <w:lang w:val="es-ES_tradnl"/>
        </w:rPr>
        <w:t>El UIT</w:t>
      </w:r>
      <w:r w:rsidRPr="001F163E">
        <w:rPr>
          <w:lang w:val="es-ES_tradnl"/>
        </w:rPr>
        <w:noBreakHyphen/>
        <w:t xml:space="preserve">T está </w:t>
      </w:r>
      <w:r>
        <w:rPr>
          <w:lang w:val="es-ES_tradnl"/>
        </w:rPr>
        <w:t>estudiando</w:t>
      </w:r>
      <w:r w:rsidRPr="001F163E">
        <w:rPr>
          <w:lang w:val="es-ES_tradnl"/>
        </w:rPr>
        <w:t xml:space="preserve"> una serie de aspectos sobre la armonización de las redes básicas de los miembros de la familia IMT-2000. Uno de ellos es </w:t>
      </w:r>
      <w:r>
        <w:rPr>
          <w:lang w:val="es-ES_tradnl"/>
        </w:rPr>
        <w:t>objeto de</w:t>
      </w:r>
      <w:r w:rsidRPr="001F163E">
        <w:rPr>
          <w:lang w:val="es-ES_tradnl"/>
        </w:rPr>
        <w:t xml:space="preserve"> investigación </w:t>
      </w:r>
      <w:r>
        <w:rPr>
          <w:lang w:val="es-ES_tradnl"/>
        </w:rPr>
        <w:t>en cuanto a</w:t>
      </w:r>
      <w:r w:rsidRPr="001F163E">
        <w:rPr>
          <w:lang w:val="es-ES_tradnl"/>
        </w:rPr>
        <w:t xml:space="preserve"> las diferencias entre los subsistemas m</w:t>
      </w:r>
      <w:r>
        <w:rPr>
          <w:lang w:val="es-ES_tradnl"/>
        </w:rPr>
        <w:t>ultimedios IP (IMS) de los dos Proyectos de A</w:t>
      </w:r>
      <w:r w:rsidRPr="001F163E">
        <w:rPr>
          <w:lang w:val="es-ES_tradnl"/>
        </w:rPr>
        <w:t xml:space="preserve">sociación 3G. Este trabajo </w:t>
      </w:r>
      <w:r>
        <w:rPr>
          <w:lang w:val="es-ES_tradnl"/>
        </w:rPr>
        <w:t>converge con los P</w:t>
      </w:r>
      <w:r w:rsidRPr="001F163E">
        <w:rPr>
          <w:lang w:val="es-ES_tradnl"/>
        </w:rPr>
        <w:t xml:space="preserve">royectos de </w:t>
      </w:r>
      <w:r>
        <w:rPr>
          <w:lang w:val="es-ES_tradnl"/>
        </w:rPr>
        <w:t>la A</w:t>
      </w:r>
      <w:r w:rsidRPr="001F163E">
        <w:rPr>
          <w:lang w:val="es-ES_tradnl"/>
        </w:rPr>
        <w:t xml:space="preserve">sociación 3G y se prevé que </w:t>
      </w:r>
      <w:r>
        <w:rPr>
          <w:lang w:val="es-ES_tradnl"/>
        </w:rPr>
        <w:t>sea</w:t>
      </w:r>
      <w:r w:rsidRPr="001F163E">
        <w:rPr>
          <w:lang w:val="es-ES_tradnl"/>
        </w:rPr>
        <w:t xml:space="preserve"> la base </w:t>
      </w:r>
      <w:r>
        <w:rPr>
          <w:lang w:val="es-ES_tradnl"/>
        </w:rPr>
        <w:t>sobre la que se defina</w:t>
      </w:r>
      <w:r w:rsidRPr="001F163E">
        <w:rPr>
          <w:lang w:val="es-ES_tradnl"/>
        </w:rPr>
        <w:t xml:space="preserve"> una red básica armonizada para los sistemas posteriores a las IMT</w:t>
      </w:r>
      <w:r w:rsidRPr="001F163E">
        <w:rPr>
          <w:lang w:val="es-ES_tradnl"/>
        </w:rPr>
        <w:noBreakHyphen/>
        <w:t>2000.</w:t>
      </w:r>
    </w:p>
    <w:p w:rsidR="00D31EFC" w:rsidRDefault="00102997" w:rsidP="00102997">
      <w:pPr>
        <w:rPr>
          <w:lang w:val="es-ES_tradnl"/>
        </w:rPr>
      </w:pPr>
      <w:r w:rsidRPr="00D64237">
        <w:rPr>
          <w:lang w:val="es-ES_tradnl"/>
        </w:rPr>
        <w:t xml:space="preserve">El modo de </w:t>
      </w:r>
      <w:r>
        <w:rPr>
          <w:lang w:val="es-ES_tradnl"/>
        </w:rPr>
        <w:t>transferencia asíncrono</w:t>
      </w:r>
      <w:r w:rsidRPr="00D64237">
        <w:rPr>
          <w:lang w:val="es-ES_tradnl"/>
        </w:rPr>
        <w:t xml:space="preserve"> (ATM) y el protocolo de Internet (IP) son las dos tecnologías y protocolos de importancia fundamental para la imple</w:t>
      </w:r>
      <w:r>
        <w:rPr>
          <w:lang w:val="es-ES_tradnl"/>
        </w:rPr>
        <w:t>men</w:t>
      </w:r>
      <w:r w:rsidRPr="00D64237">
        <w:rPr>
          <w:lang w:val="es-ES_tradnl"/>
        </w:rPr>
        <w:t>tación de las redes básicas IMT</w:t>
      </w:r>
      <w:r w:rsidRPr="00D64237">
        <w:rPr>
          <w:lang w:val="es-ES_tradnl"/>
        </w:rPr>
        <w:noBreakHyphen/>
        <w:t xml:space="preserve">2000. El Manual </w:t>
      </w:r>
      <w:r w:rsidR="00030119">
        <w:rPr>
          <w:lang w:val="es-ES_tradnl"/>
        </w:rPr>
        <w:t>«</w:t>
      </w:r>
      <w:r w:rsidRPr="00D64237">
        <w:rPr>
          <w:lang w:val="es-ES_tradnl"/>
        </w:rPr>
        <w:t>Implantación de los sistemas de las IMT</w:t>
      </w:r>
      <w:r w:rsidRPr="00D64237">
        <w:rPr>
          <w:lang w:val="es-ES_tradnl"/>
        </w:rPr>
        <w:noBreakHyphen/>
        <w:t>2000</w:t>
      </w:r>
      <w:r w:rsidR="00030119">
        <w:rPr>
          <w:lang w:val="es-ES_tradnl"/>
        </w:rPr>
        <w:t>»</w:t>
      </w:r>
      <w:r w:rsidRPr="00D64237">
        <w:rPr>
          <w:lang w:val="es-ES_tradnl"/>
        </w:rPr>
        <w:t xml:space="preserve"> ofrece una descripción de estas tecnologías de transporte de redes.</w:t>
      </w:r>
    </w:p>
    <w:p w:rsidR="00A3694C" w:rsidRPr="00A43C05" w:rsidRDefault="00A3694C" w:rsidP="00A3694C">
      <w:pPr>
        <w:rPr>
          <w:lang w:val="es-ES_tradnl"/>
        </w:rPr>
      </w:pPr>
      <w:r w:rsidRPr="00A3694C">
        <w:rPr>
          <w:lang w:val="es-ES_tradnl"/>
        </w:rPr>
        <w:t>Las redes básicas de las IMT-2000 de los dos miembros de esta familia están definidas por el UIT</w:t>
      </w:r>
      <w:r w:rsidRPr="00A3694C">
        <w:rPr>
          <w:lang w:val="es-ES_tradnl"/>
        </w:rPr>
        <w:noBreakHyphen/>
        <w:t>T en dos series de Recomendaciones: la UIT-T Q.1741 para las redes básicas UMTS evolucionadas del GSM y la Q.1742 para la red básica ANSI-41 evolucionada a red de acceso CDMA2000.</w:t>
      </w:r>
    </w:p>
    <w:p w:rsidR="00481E4A" w:rsidRPr="00A43C05" w:rsidRDefault="00102997" w:rsidP="00102997">
      <w:pPr>
        <w:rPr>
          <w:lang w:val="es-ES_tradnl"/>
        </w:rPr>
      </w:pPr>
      <w:r w:rsidRPr="001F163E">
        <w:rPr>
          <w:lang w:val="es-ES_tradnl"/>
        </w:rPr>
        <w:t>Los dos tipos de redes básicas</w:t>
      </w:r>
      <w:r w:rsidRPr="001F163E">
        <w:rPr>
          <w:vertAlign w:val="superscript"/>
          <w:lang w:val="es-ES_tradnl"/>
        </w:rPr>
        <w:t xml:space="preserve"> </w:t>
      </w:r>
      <w:r w:rsidRPr="001F163E">
        <w:rPr>
          <w:lang w:val="es-ES_tradnl"/>
        </w:rPr>
        <w:t>IMT</w:t>
      </w:r>
      <w:r w:rsidRPr="001F163E">
        <w:rPr>
          <w:lang w:val="es-ES_tradnl"/>
        </w:rPr>
        <w:noBreakHyphen/>
        <w:t>2000</w:t>
      </w:r>
      <w:r w:rsidRPr="00102997">
        <w:rPr>
          <w:rFonts w:eastAsia="SimSun"/>
          <w:vertAlign w:val="superscript"/>
        </w:rPr>
        <w:footnoteReference w:id="5"/>
      </w:r>
      <w:r w:rsidRPr="001F163E">
        <w:rPr>
          <w:lang w:val="es-ES_tradnl"/>
        </w:rPr>
        <w:t xml:space="preserve"> recomendados por la UIT se muestran en el Cuadro siguiente:</w:t>
      </w:r>
    </w:p>
    <w:p w:rsidR="00D13507" w:rsidRPr="00A43C05" w:rsidRDefault="00D13507" w:rsidP="007363B7">
      <w:pPr>
        <w:rPr>
          <w:sz w:val="8"/>
          <w:szCs w:val="8"/>
          <w:lang w:val="es-ES_tradnl"/>
        </w:rPr>
      </w:pPr>
    </w:p>
    <w:p w:rsidR="00D13507" w:rsidRPr="00A43C05" w:rsidRDefault="00102997" w:rsidP="00102997">
      <w:pPr>
        <w:pStyle w:val="FigureTitle"/>
        <w:rPr>
          <w:rFonts w:asciiTheme="majorBidi" w:hAnsiTheme="majorBidi" w:cstheme="majorBidi"/>
          <w:lang w:val="es-ES_tradnl"/>
        </w:rPr>
      </w:pPr>
      <w:r w:rsidRPr="00A43C05">
        <w:rPr>
          <w:rFonts w:asciiTheme="majorBidi" w:hAnsiTheme="majorBidi" w:cstheme="majorBidi"/>
          <w:lang w:val="es-ES_tradnl"/>
        </w:rPr>
        <w:t>Cuadro</w:t>
      </w:r>
      <w:r w:rsidR="00D13507" w:rsidRPr="00A43C05">
        <w:rPr>
          <w:rFonts w:asciiTheme="majorBidi" w:hAnsiTheme="majorBidi" w:cstheme="majorBidi"/>
          <w:lang w:val="es-ES_tradnl"/>
        </w:rPr>
        <w:t xml:space="preserve"> 3.2</w:t>
      </w:r>
      <w:r w:rsidR="00415B02" w:rsidRPr="00A43C05">
        <w:rPr>
          <w:rFonts w:asciiTheme="majorBidi" w:hAnsiTheme="majorBidi" w:cstheme="majorBidi"/>
          <w:lang w:val="es-ES_tradnl"/>
        </w:rPr>
        <w:t>:</w:t>
      </w:r>
      <w:r w:rsidR="00D13507" w:rsidRPr="00A43C05">
        <w:rPr>
          <w:rFonts w:asciiTheme="majorBidi" w:hAnsiTheme="majorBidi" w:cstheme="majorBidi"/>
          <w:lang w:val="es-ES_tradnl"/>
        </w:rPr>
        <w:t xml:space="preserve"> </w:t>
      </w:r>
      <w:r w:rsidRPr="00102997">
        <w:rPr>
          <w:rFonts w:asciiTheme="majorBidi" w:hAnsiTheme="majorBidi" w:cstheme="majorBidi"/>
          <w:lang w:val="es-ES_tradnl"/>
        </w:rPr>
        <w:t>Recomendaciones para la red básica de las IMT</w:t>
      </w:r>
      <w:r>
        <w:rPr>
          <w:rFonts w:asciiTheme="majorBidi" w:hAnsiTheme="majorBidi" w:cstheme="majorBidi"/>
          <w:lang w:val="es-ES_tradnl"/>
        </w:rPr>
        <w:t>-</w:t>
      </w:r>
      <w:r w:rsidRPr="00102997">
        <w:rPr>
          <w:rFonts w:asciiTheme="majorBidi" w:hAnsiTheme="majorBidi" w:cstheme="majorBidi"/>
          <w:lang w:val="es-ES_tradnl"/>
        </w:rPr>
        <w:t>2000</w:t>
      </w:r>
    </w:p>
    <w:p w:rsidR="00A50788" w:rsidRPr="00A43C05" w:rsidRDefault="00A50788" w:rsidP="00454B79">
      <w:pPr>
        <w:spacing w:before="0"/>
        <w:rPr>
          <w:sz w:val="8"/>
          <w:szCs w:val="8"/>
          <w:lang w:val="es-ES_tradnl"/>
        </w:rPr>
      </w:pP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0"/>
        <w:gridCol w:w="3740"/>
        <w:gridCol w:w="3258"/>
      </w:tblGrid>
      <w:tr w:rsidR="00A3694C" w:rsidRPr="00A43C05" w:rsidTr="00454B79">
        <w:trPr>
          <w:jc w:val="center"/>
        </w:trPr>
        <w:tc>
          <w:tcPr>
            <w:tcW w:w="2180" w:type="dxa"/>
            <w:vAlign w:val="center"/>
          </w:tcPr>
          <w:p w:rsidR="00A3694C" w:rsidRPr="00454B79" w:rsidRDefault="00A3694C" w:rsidP="00A3694C">
            <w:pPr>
              <w:pStyle w:val="Tablehead"/>
              <w:framePr w:hSpace="181" w:wrap="around" w:vAnchor="text" w:hAnchor="margin" w:xAlign="center" w:y="1"/>
              <w:rPr>
                <w:sz w:val="21"/>
                <w:szCs w:val="21"/>
                <w:lang w:val="es-ES_tradnl"/>
              </w:rPr>
            </w:pPr>
            <w:r w:rsidRPr="00454B79">
              <w:rPr>
                <w:sz w:val="21"/>
                <w:szCs w:val="21"/>
                <w:lang w:val="es-ES_tradnl"/>
              </w:rPr>
              <w:t>Nombre completo</w:t>
            </w:r>
          </w:p>
        </w:tc>
        <w:tc>
          <w:tcPr>
            <w:tcW w:w="3740" w:type="dxa"/>
            <w:vAlign w:val="center"/>
          </w:tcPr>
          <w:p w:rsidR="00A3694C" w:rsidRPr="00454B79" w:rsidRDefault="00A3694C" w:rsidP="00A3694C">
            <w:pPr>
              <w:pStyle w:val="Tablehead"/>
              <w:framePr w:hSpace="181" w:wrap="around" w:vAnchor="text" w:hAnchor="margin" w:xAlign="center" w:y="1"/>
              <w:rPr>
                <w:sz w:val="21"/>
                <w:szCs w:val="21"/>
                <w:lang w:val="es-ES_tradnl"/>
              </w:rPr>
            </w:pPr>
            <w:r w:rsidRPr="00454B79">
              <w:rPr>
                <w:sz w:val="21"/>
                <w:szCs w:val="21"/>
                <w:lang w:val="es-ES_tradnl"/>
              </w:rPr>
              <w:t>Recomendaciones UIT</w:t>
            </w:r>
            <w:r w:rsidRPr="00454B79">
              <w:rPr>
                <w:sz w:val="21"/>
                <w:szCs w:val="21"/>
                <w:lang w:val="es-ES_tradnl"/>
              </w:rPr>
              <w:noBreakHyphen/>
              <w:t>T</w:t>
            </w:r>
            <w:r w:rsidRPr="00454B79">
              <w:rPr>
                <w:sz w:val="21"/>
                <w:szCs w:val="21"/>
                <w:lang w:val="es-ES_tradnl"/>
              </w:rPr>
              <w:br/>
              <w:t>sobre las redes básicas</w:t>
            </w:r>
          </w:p>
        </w:tc>
        <w:tc>
          <w:tcPr>
            <w:tcW w:w="3258" w:type="dxa"/>
            <w:vAlign w:val="center"/>
          </w:tcPr>
          <w:p w:rsidR="00A3694C" w:rsidRPr="00454B79" w:rsidRDefault="00A3694C" w:rsidP="00454B79">
            <w:pPr>
              <w:pStyle w:val="Tablehead"/>
              <w:framePr w:hSpace="181" w:wrap="around" w:vAnchor="text" w:hAnchor="margin" w:xAlign="center" w:y="1"/>
              <w:rPr>
                <w:sz w:val="21"/>
                <w:szCs w:val="21"/>
                <w:lang w:val="es-ES_tradnl"/>
              </w:rPr>
            </w:pPr>
            <w:r w:rsidRPr="00454B79">
              <w:rPr>
                <w:sz w:val="21"/>
                <w:szCs w:val="21"/>
                <w:lang w:val="es-ES_tradnl"/>
              </w:rPr>
              <w:t>Tecnologías de radiocomunicaciones IMT</w:t>
            </w:r>
            <w:r w:rsidRPr="00454B79">
              <w:rPr>
                <w:sz w:val="21"/>
                <w:szCs w:val="21"/>
                <w:lang w:val="es-ES_tradnl"/>
              </w:rPr>
              <w:noBreakHyphen/>
              <w:t>2000 soportadas</w:t>
            </w:r>
            <w:r w:rsidR="00454B79">
              <w:rPr>
                <w:sz w:val="21"/>
                <w:szCs w:val="21"/>
                <w:lang w:val="es-ES_tradnl"/>
              </w:rPr>
              <w:t xml:space="preserve"> </w:t>
            </w:r>
            <w:r w:rsidRPr="00454B79">
              <w:rPr>
                <w:sz w:val="21"/>
                <w:szCs w:val="21"/>
                <w:lang w:val="es-ES_tradnl"/>
              </w:rPr>
              <w:t>por la red básica</w:t>
            </w:r>
          </w:p>
        </w:tc>
      </w:tr>
      <w:tr w:rsidR="00481E4A" w:rsidRPr="00A43C05" w:rsidTr="00454B79">
        <w:trPr>
          <w:jc w:val="center"/>
        </w:trPr>
        <w:tc>
          <w:tcPr>
            <w:tcW w:w="2180" w:type="dxa"/>
          </w:tcPr>
          <w:p w:rsidR="00481E4A" w:rsidRPr="00A43C05" w:rsidRDefault="00A3694C" w:rsidP="00A3694C">
            <w:pPr>
              <w:pStyle w:val="Tabletext"/>
              <w:framePr w:hSpace="181" w:wrap="around" w:vAnchor="text" w:hAnchor="margin" w:xAlign="center" w:y="1"/>
              <w:jc w:val="left"/>
              <w:rPr>
                <w:sz w:val="21"/>
                <w:szCs w:val="21"/>
                <w:lang w:val="es-ES_tradnl"/>
              </w:rPr>
            </w:pPr>
            <w:r w:rsidRPr="00454B79">
              <w:rPr>
                <w:sz w:val="21"/>
                <w:szCs w:val="21"/>
                <w:lang w:val="es-ES_tradnl"/>
              </w:rPr>
              <w:t xml:space="preserve">Red básica UMTS evolucionada </w:t>
            </w:r>
            <w:r w:rsidR="00F43AA7" w:rsidRPr="00454B79">
              <w:rPr>
                <w:sz w:val="21"/>
                <w:szCs w:val="21"/>
                <w:lang w:val="es-ES_tradnl"/>
              </w:rPr>
              <w:br/>
            </w:r>
            <w:r w:rsidRPr="00454B79">
              <w:rPr>
                <w:sz w:val="21"/>
                <w:szCs w:val="21"/>
                <w:lang w:val="es-ES_tradnl"/>
              </w:rPr>
              <w:t>del GSM</w:t>
            </w:r>
          </w:p>
        </w:tc>
        <w:tc>
          <w:tcPr>
            <w:tcW w:w="3740" w:type="dxa"/>
          </w:tcPr>
          <w:p w:rsidR="00A3694C" w:rsidRPr="00454B79" w:rsidRDefault="00A3694C" w:rsidP="00A3694C">
            <w:pPr>
              <w:pStyle w:val="Tabletext"/>
              <w:framePr w:hSpace="181" w:wrap="around" w:vAnchor="text" w:hAnchor="margin" w:xAlign="center" w:y="1"/>
              <w:jc w:val="left"/>
              <w:rPr>
                <w:sz w:val="21"/>
                <w:szCs w:val="21"/>
                <w:lang w:val="es-ES_tradnl"/>
              </w:rPr>
            </w:pPr>
            <w:r w:rsidRPr="00454B79">
              <w:rPr>
                <w:sz w:val="21"/>
                <w:szCs w:val="21"/>
                <w:lang w:val="es-ES_tradnl"/>
              </w:rPr>
              <w:t xml:space="preserve">Q.1741.1 (sobre la versión 99 de </w:t>
            </w:r>
            <w:r w:rsidR="00F43AA7" w:rsidRPr="00454B79">
              <w:rPr>
                <w:sz w:val="21"/>
                <w:szCs w:val="21"/>
                <w:lang w:val="es-ES_tradnl"/>
              </w:rPr>
              <w:br/>
            </w:r>
            <w:r w:rsidRPr="00454B79">
              <w:rPr>
                <w:sz w:val="21"/>
                <w:szCs w:val="21"/>
                <w:lang w:val="es-ES_tradnl"/>
              </w:rPr>
              <w:t>las 3GPP)</w:t>
            </w:r>
          </w:p>
          <w:p w:rsidR="00A3694C" w:rsidRPr="00454B79" w:rsidRDefault="00A3694C" w:rsidP="00A3694C">
            <w:pPr>
              <w:pStyle w:val="Tabletext"/>
              <w:framePr w:hSpace="181" w:wrap="around" w:vAnchor="text" w:hAnchor="margin" w:xAlign="center" w:y="1"/>
              <w:jc w:val="left"/>
              <w:rPr>
                <w:sz w:val="21"/>
                <w:szCs w:val="21"/>
                <w:lang w:val="es-ES_tradnl"/>
              </w:rPr>
            </w:pPr>
            <w:r w:rsidRPr="00454B79">
              <w:rPr>
                <w:sz w:val="21"/>
                <w:szCs w:val="21"/>
                <w:lang w:val="es-ES_tradnl"/>
              </w:rPr>
              <w:t>Q.1741.2 (3GPP versión 4)</w:t>
            </w:r>
          </w:p>
          <w:p w:rsidR="00A3694C" w:rsidRPr="00454B79" w:rsidRDefault="00A3694C" w:rsidP="00A3694C">
            <w:pPr>
              <w:pStyle w:val="Tabletext"/>
              <w:framePr w:hSpace="181" w:wrap="around" w:vAnchor="text" w:hAnchor="margin" w:xAlign="center" w:y="1"/>
              <w:jc w:val="left"/>
              <w:rPr>
                <w:sz w:val="21"/>
                <w:szCs w:val="21"/>
                <w:lang w:val="es-ES_tradnl"/>
              </w:rPr>
            </w:pPr>
            <w:r w:rsidRPr="00454B79">
              <w:rPr>
                <w:sz w:val="21"/>
                <w:szCs w:val="21"/>
                <w:lang w:val="es-ES_tradnl"/>
              </w:rPr>
              <w:t>Q.1741.3 (3GPP versión 5)</w:t>
            </w:r>
          </w:p>
          <w:p w:rsidR="00481E4A" w:rsidRPr="00A43C05" w:rsidRDefault="00A3694C" w:rsidP="00A3694C">
            <w:pPr>
              <w:pStyle w:val="Tabletext"/>
              <w:framePr w:hSpace="181" w:wrap="around" w:vAnchor="text" w:hAnchor="margin" w:xAlign="center" w:y="1"/>
              <w:jc w:val="left"/>
              <w:rPr>
                <w:sz w:val="21"/>
                <w:szCs w:val="21"/>
                <w:lang w:val="es-ES_tradnl"/>
              </w:rPr>
            </w:pPr>
            <w:r w:rsidRPr="00454B79">
              <w:rPr>
                <w:sz w:val="21"/>
                <w:szCs w:val="21"/>
                <w:lang w:val="es-ES_tradnl"/>
              </w:rPr>
              <w:t>Q.17.41.m (m corresponde a las futuras versiones)</w:t>
            </w:r>
          </w:p>
        </w:tc>
        <w:tc>
          <w:tcPr>
            <w:tcW w:w="3258" w:type="dxa"/>
          </w:tcPr>
          <w:p w:rsidR="00A3694C" w:rsidRPr="00454B79" w:rsidRDefault="00A3694C" w:rsidP="00A3694C">
            <w:pPr>
              <w:pStyle w:val="Tabletext"/>
              <w:framePr w:hSpace="181" w:wrap="around" w:vAnchor="text" w:hAnchor="margin" w:xAlign="center" w:y="1"/>
              <w:jc w:val="left"/>
              <w:rPr>
                <w:sz w:val="21"/>
                <w:szCs w:val="21"/>
                <w:lang w:val="es-ES_tradnl"/>
              </w:rPr>
            </w:pPr>
            <w:r w:rsidRPr="00454B79">
              <w:rPr>
                <w:sz w:val="21"/>
                <w:szCs w:val="21"/>
                <w:lang w:val="es-ES_tradnl"/>
              </w:rPr>
              <w:t>CDMA IMT</w:t>
            </w:r>
            <w:r w:rsidRPr="00454B79">
              <w:rPr>
                <w:sz w:val="21"/>
                <w:szCs w:val="21"/>
                <w:lang w:val="es-ES_tradnl"/>
              </w:rPr>
              <w:noBreakHyphen/>
              <w:t>2000 con ensanchamiento directo</w:t>
            </w:r>
          </w:p>
          <w:p w:rsidR="00A3694C" w:rsidRPr="00454B79" w:rsidRDefault="00A3694C" w:rsidP="00A3694C">
            <w:pPr>
              <w:pStyle w:val="Tabletext"/>
              <w:framePr w:hSpace="181" w:wrap="around" w:vAnchor="text" w:hAnchor="margin" w:xAlign="center" w:y="1"/>
              <w:jc w:val="left"/>
              <w:rPr>
                <w:sz w:val="21"/>
                <w:szCs w:val="21"/>
                <w:lang w:val="es-ES_tradnl"/>
              </w:rPr>
            </w:pPr>
            <w:r w:rsidRPr="00454B79">
              <w:rPr>
                <w:sz w:val="21"/>
                <w:szCs w:val="21"/>
                <w:lang w:val="es-ES_tradnl"/>
              </w:rPr>
              <w:t>TDD CDMA IMT</w:t>
            </w:r>
            <w:r w:rsidRPr="00454B79">
              <w:rPr>
                <w:sz w:val="21"/>
                <w:szCs w:val="21"/>
                <w:lang w:val="es-ES_tradnl"/>
              </w:rPr>
              <w:noBreakHyphen/>
              <w:t xml:space="preserve">2000 </w:t>
            </w:r>
          </w:p>
          <w:p w:rsidR="00481E4A" w:rsidRPr="00A43C05" w:rsidRDefault="00A3694C" w:rsidP="00A3694C">
            <w:pPr>
              <w:pStyle w:val="Tabletext"/>
              <w:framePr w:hSpace="181" w:wrap="around" w:vAnchor="text" w:hAnchor="margin" w:xAlign="center" w:y="1"/>
              <w:jc w:val="left"/>
              <w:rPr>
                <w:sz w:val="21"/>
                <w:szCs w:val="21"/>
                <w:lang w:val="es-ES_tradnl"/>
              </w:rPr>
            </w:pPr>
            <w:r w:rsidRPr="00454B79">
              <w:rPr>
                <w:sz w:val="21"/>
                <w:szCs w:val="21"/>
                <w:lang w:val="es-ES_tradnl"/>
              </w:rPr>
              <w:t>TDMA IMT</w:t>
            </w:r>
            <w:r w:rsidRPr="00454B79">
              <w:rPr>
                <w:sz w:val="21"/>
                <w:szCs w:val="21"/>
                <w:lang w:val="es-ES_tradnl"/>
              </w:rPr>
              <w:noBreakHyphen/>
              <w:t>2000 de portadora única</w:t>
            </w:r>
          </w:p>
        </w:tc>
      </w:tr>
      <w:tr w:rsidR="00481E4A" w:rsidTr="00454B79">
        <w:trPr>
          <w:jc w:val="center"/>
        </w:trPr>
        <w:tc>
          <w:tcPr>
            <w:tcW w:w="2180" w:type="dxa"/>
          </w:tcPr>
          <w:p w:rsidR="00481E4A" w:rsidRPr="00A43C05" w:rsidRDefault="00A3694C" w:rsidP="00A3694C">
            <w:pPr>
              <w:pStyle w:val="Tabletext"/>
              <w:framePr w:hSpace="181" w:wrap="around" w:vAnchor="text" w:hAnchor="margin" w:xAlign="center" w:y="1"/>
              <w:jc w:val="left"/>
              <w:rPr>
                <w:sz w:val="21"/>
                <w:szCs w:val="21"/>
                <w:lang w:val="es-ES_tradnl"/>
              </w:rPr>
            </w:pPr>
            <w:r w:rsidRPr="00454B79">
              <w:rPr>
                <w:sz w:val="21"/>
                <w:szCs w:val="21"/>
                <w:lang w:val="es-ES_tradnl"/>
              </w:rPr>
              <w:t>Red básica evolucionada ANSI</w:t>
            </w:r>
            <w:r w:rsidRPr="00454B79">
              <w:rPr>
                <w:sz w:val="21"/>
                <w:szCs w:val="21"/>
                <w:lang w:val="es-ES_tradnl"/>
              </w:rPr>
              <w:noBreakHyphen/>
              <w:t>41 con red de acceso CDMA 2000 </w:t>
            </w:r>
          </w:p>
        </w:tc>
        <w:tc>
          <w:tcPr>
            <w:tcW w:w="3740" w:type="dxa"/>
          </w:tcPr>
          <w:p w:rsidR="00A3694C" w:rsidRPr="00454B79" w:rsidRDefault="00A3694C" w:rsidP="00A3694C">
            <w:pPr>
              <w:pStyle w:val="Tabletext"/>
              <w:framePr w:hSpace="181" w:wrap="around" w:vAnchor="text" w:hAnchor="margin" w:xAlign="center" w:y="1"/>
              <w:jc w:val="left"/>
              <w:rPr>
                <w:sz w:val="21"/>
                <w:szCs w:val="21"/>
                <w:lang w:val="es-ES_tradnl"/>
              </w:rPr>
            </w:pPr>
            <w:r w:rsidRPr="00454B79">
              <w:rPr>
                <w:sz w:val="21"/>
                <w:szCs w:val="21"/>
                <w:lang w:val="es-ES_tradnl"/>
              </w:rPr>
              <w:t xml:space="preserve">Q.1742.1 (especificaciones 3GPP2 a </w:t>
            </w:r>
            <w:r w:rsidRPr="00454B79">
              <w:rPr>
                <w:sz w:val="21"/>
                <w:szCs w:val="21"/>
                <w:lang w:val="es-ES_tradnl"/>
              </w:rPr>
              <w:br/>
              <w:t>17 de julio de 2001)</w:t>
            </w:r>
          </w:p>
          <w:p w:rsidR="00A3694C" w:rsidRPr="00454B79" w:rsidRDefault="00A3694C" w:rsidP="00A3694C">
            <w:pPr>
              <w:pStyle w:val="Tabletext"/>
              <w:framePr w:hSpace="181" w:wrap="around" w:vAnchor="text" w:hAnchor="margin" w:xAlign="center" w:y="1"/>
              <w:jc w:val="left"/>
              <w:rPr>
                <w:sz w:val="21"/>
                <w:szCs w:val="21"/>
                <w:lang w:val="es-ES_tradnl"/>
              </w:rPr>
            </w:pPr>
            <w:r w:rsidRPr="00454B79">
              <w:rPr>
                <w:sz w:val="21"/>
                <w:szCs w:val="21"/>
                <w:lang w:val="es-ES_tradnl"/>
              </w:rPr>
              <w:t>Q.1742.2 (especificaciones 3GPP2 a</w:t>
            </w:r>
            <w:r w:rsidRPr="00454B79">
              <w:rPr>
                <w:sz w:val="21"/>
                <w:szCs w:val="21"/>
                <w:lang w:val="es-ES_tradnl"/>
              </w:rPr>
              <w:br/>
              <w:t>11 de julio de 2002)</w:t>
            </w:r>
          </w:p>
          <w:p w:rsidR="00A3694C" w:rsidRPr="00454B79" w:rsidRDefault="00A3694C" w:rsidP="00A3694C">
            <w:pPr>
              <w:pStyle w:val="Tabletext"/>
              <w:framePr w:hSpace="181" w:wrap="around" w:vAnchor="text" w:hAnchor="margin" w:xAlign="center" w:y="1"/>
              <w:jc w:val="left"/>
              <w:rPr>
                <w:sz w:val="21"/>
                <w:szCs w:val="21"/>
                <w:lang w:val="es-ES_tradnl"/>
              </w:rPr>
            </w:pPr>
            <w:r w:rsidRPr="00454B79">
              <w:rPr>
                <w:sz w:val="21"/>
                <w:szCs w:val="21"/>
                <w:lang w:val="es-ES_tradnl"/>
              </w:rPr>
              <w:t xml:space="preserve">Q.1742.3 (especificaciones 3GPP2 </w:t>
            </w:r>
            <w:r w:rsidRPr="00454B79">
              <w:rPr>
                <w:sz w:val="21"/>
                <w:szCs w:val="21"/>
                <w:lang w:val="es-ES_tradnl"/>
              </w:rPr>
              <w:br/>
              <w:t>a 30 de junio de 2003)</w:t>
            </w:r>
          </w:p>
          <w:p w:rsidR="00A3694C" w:rsidRPr="00454B79" w:rsidRDefault="00A3694C" w:rsidP="00454B79">
            <w:pPr>
              <w:pStyle w:val="Tabletext"/>
              <w:framePr w:hSpace="181" w:wrap="around" w:vAnchor="text" w:hAnchor="margin" w:xAlign="center" w:y="1"/>
              <w:spacing w:before="20" w:after="20"/>
              <w:jc w:val="left"/>
              <w:rPr>
                <w:sz w:val="21"/>
                <w:szCs w:val="21"/>
                <w:lang w:val="es-ES_tradnl"/>
              </w:rPr>
            </w:pPr>
            <w:r w:rsidRPr="00454B79">
              <w:rPr>
                <w:sz w:val="21"/>
                <w:szCs w:val="21"/>
                <w:lang w:val="es-ES_tradnl"/>
              </w:rPr>
              <w:t>Q.1742.4 (especificaciones 3GPP2 a</w:t>
            </w:r>
            <w:r w:rsidR="00454B79">
              <w:rPr>
                <w:sz w:val="21"/>
                <w:szCs w:val="21"/>
                <w:lang w:val="es-ES_tradnl"/>
              </w:rPr>
              <w:br/>
            </w:r>
            <w:r w:rsidRPr="00454B79">
              <w:rPr>
                <w:sz w:val="21"/>
                <w:szCs w:val="21"/>
                <w:lang w:val="es-ES_tradnl"/>
              </w:rPr>
              <w:t>30 de junio de 2004)</w:t>
            </w:r>
          </w:p>
          <w:p w:rsidR="00A3694C" w:rsidRPr="00454B79" w:rsidRDefault="00A3694C" w:rsidP="00A3694C">
            <w:pPr>
              <w:pStyle w:val="Tabletext"/>
              <w:framePr w:hSpace="181" w:wrap="around" w:vAnchor="text" w:hAnchor="margin" w:xAlign="center" w:y="1"/>
              <w:spacing w:before="20" w:after="20"/>
              <w:jc w:val="left"/>
              <w:rPr>
                <w:sz w:val="21"/>
                <w:szCs w:val="21"/>
                <w:lang w:val="es-ES_tradnl"/>
              </w:rPr>
            </w:pPr>
            <w:r w:rsidRPr="00454B79">
              <w:rPr>
                <w:sz w:val="21"/>
                <w:szCs w:val="21"/>
                <w:lang w:val="es-ES_tradnl"/>
              </w:rPr>
              <w:t xml:space="preserve">Q.1742.4 (especificaciones 3GPP2 a </w:t>
            </w:r>
            <w:r w:rsidR="00454B79">
              <w:rPr>
                <w:sz w:val="21"/>
                <w:szCs w:val="21"/>
                <w:lang w:val="es-ES_tradnl"/>
              </w:rPr>
              <w:br/>
            </w:r>
            <w:r w:rsidRPr="00454B79">
              <w:rPr>
                <w:sz w:val="21"/>
                <w:szCs w:val="21"/>
                <w:lang w:val="es-ES_tradnl"/>
              </w:rPr>
              <w:t>31 de diciembre de 2005)</w:t>
            </w:r>
          </w:p>
          <w:p w:rsidR="00A3694C" w:rsidRPr="00454B79" w:rsidRDefault="00A3694C" w:rsidP="00A3694C">
            <w:pPr>
              <w:pStyle w:val="Tabletext"/>
              <w:framePr w:hSpace="181" w:wrap="around" w:vAnchor="text" w:hAnchor="margin" w:xAlign="center" w:y="1"/>
              <w:spacing w:before="20" w:after="20"/>
              <w:jc w:val="left"/>
              <w:rPr>
                <w:sz w:val="21"/>
                <w:szCs w:val="21"/>
                <w:lang w:val="es-ES_tradnl"/>
              </w:rPr>
            </w:pPr>
            <w:r w:rsidRPr="00454B79">
              <w:rPr>
                <w:sz w:val="21"/>
                <w:szCs w:val="21"/>
                <w:lang w:val="es-ES_tradnl"/>
              </w:rPr>
              <w:t xml:space="preserve">Q.1742.6 (especificaciones 3GPP2 a </w:t>
            </w:r>
            <w:r w:rsidR="00454B79">
              <w:rPr>
                <w:sz w:val="21"/>
                <w:szCs w:val="21"/>
                <w:lang w:val="es-ES_tradnl"/>
              </w:rPr>
              <w:br/>
            </w:r>
            <w:r w:rsidRPr="00454B79">
              <w:rPr>
                <w:sz w:val="21"/>
                <w:szCs w:val="21"/>
                <w:lang w:val="es-ES_tradnl"/>
              </w:rPr>
              <w:t>31 de diciembre de 2006)</w:t>
            </w:r>
          </w:p>
          <w:p w:rsidR="00A3694C" w:rsidRPr="00454B79" w:rsidRDefault="00A3694C" w:rsidP="00A3694C">
            <w:pPr>
              <w:pStyle w:val="Tabletext"/>
              <w:framePr w:hSpace="181" w:wrap="around" w:vAnchor="text" w:hAnchor="margin" w:xAlign="center" w:y="1"/>
              <w:spacing w:before="20" w:after="20"/>
              <w:jc w:val="left"/>
              <w:rPr>
                <w:sz w:val="21"/>
                <w:szCs w:val="21"/>
                <w:lang w:val="es-ES_tradnl"/>
              </w:rPr>
            </w:pPr>
            <w:r w:rsidRPr="00454B79">
              <w:rPr>
                <w:sz w:val="21"/>
                <w:szCs w:val="21"/>
                <w:lang w:val="es-ES_tradnl"/>
              </w:rPr>
              <w:t xml:space="preserve">Q.1742.7 (especificaciones 3GPP2 a </w:t>
            </w:r>
            <w:r w:rsidR="00454B79">
              <w:rPr>
                <w:sz w:val="21"/>
                <w:szCs w:val="21"/>
                <w:lang w:val="es-ES_tradnl"/>
              </w:rPr>
              <w:br/>
            </w:r>
            <w:r w:rsidRPr="00454B79">
              <w:rPr>
                <w:sz w:val="21"/>
                <w:szCs w:val="21"/>
                <w:lang w:val="es-ES_tradnl"/>
              </w:rPr>
              <w:t>30 de junio de 2008)</w:t>
            </w:r>
          </w:p>
          <w:p w:rsidR="00481E4A" w:rsidRPr="00A43C05" w:rsidRDefault="00A3694C" w:rsidP="00A3694C">
            <w:pPr>
              <w:pStyle w:val="Tabletext"/>
              <w:framePr w:hSpace="181" w:wrap="around" w:vAnchor="text" w:hAnchor="margin" w:xAlign="center" w:y="1"/>
              <w:jc w:val="left"/>
              <w:rPr>
                <w:sz w:val="21"/>
                <w:szCs w:val="21"/>
                <w:lang w:val="es-ES_tradnl"/>
              </w:rPr>
            </w:pPr>
            <w:r w:rsidRPr="00454B79">
              <w:rPr>
                <w:sz w:val="21"/>
                <w:szCs w:val="21"/>
                <w:lang w:val="es-ES_tradnl"/>
              </w:rPr>
              <w:t>Q.1742.n (n corresponde a las futuras versiones)</w:t>
            </w:r>
          </w:p>
        </w:tc>
        <w:tc>
          <w:tcPr>
            <w:tcW w:w="3258" w:type="dxa"/>
          </w:tcPr>
          <w:p w:rsidR="00481E4A" w:rsidRPr="00454B79" w:rsidRDefault="00A3694C" w:rsidP="00A3694C">
            <w:pPr>
              <w:pStyle w:val="Tabletext"/>
              <w:framePr w:hSpace="181" w:wrap="around" w:vAnchor="text" w:hAnchor="margin" w:xAlign="center" w:y="1"/>
              <w:jc w:val="left"/>
              <w:rPr>
                <w:sz w:val="21"/>
                <w:szCs w:val="21"/>
                <w:lang w:val="it-IT"/>
              </w:rPr>
            </w:pPr>
            <w:r w:rsidRPr="00454B79">
              <w:rPr>
                <w:sz w:val="21"/>
                <w:szCs w:val="21"/>
                <w:lang w:val="es-ES_tradnl"/>
              </w:rPr>
              <w:t xml:space="preserve">CDMA IMT-2000 con </w:t>
            </w:r>
            <w:proofErr w:type="spellStart"/>
            <w:r w:rsidRPr="00454B79">
              <w:rPr>
                <w:sz w:val="21"/>
                <w:szCs w:val="21"/>
                <w:lang w:val="es-ES_tradnl"/>
              </w:rPr>
              <w:t>multiportadora</w:t>
            </w:r>
            <w:proofErr w:type="spellEnd"/>
          </w:p>
        </w:tc>
      </w:tr>
    </w:tbl>
    <w:p w:rsidR="00481E4A" w:rsidRPr="00454B79" w:rsidRDefault="00481E4A" w:rsidP="00454B79">
      <w:pPr>
        <w:pStyle w:val="FigureSource"/>
        <w:keepNext w:val="0"/>
        <w:spacing w:before="240"/>
        <w:rPr>
          <w:sz w:val="8"/>
          <w:szCs w:val="8"/>
        </w:rPr>
      </w:pPr>
    </w:p>
    <w:p w:rsidR="00481E4A" w:rsidRPr="00A43C05" w:rsidRDefault="00F43AA7" w:rsidP="00D45FCE">
      <w:pPr>
        <w:pStyle w:val="Normalaftertitle"/>
        <w:rPr>
          <w:lang w:val="es-ES_tradnl"/>
        </w:rPr>
      </w:pPr>
      <w:r w:rsidRPr="00F43AA7">
        <w:rPr>
          <w:lang w:val="es-ES_tradnl"/>
        </w:rPr>
        <w:lastRenderedPageBreak/>
        <w:t>Este tipo de red básica de las IMT</w:t>
      </w:r>
      <w:r w:rsidRPr="00F43AA7">
        <w:rPr>
          <w:lang w:val="es-ES_tradnl"/>
        </w:rPr>
        <w:noBreakHyphen/>
        <w:t>2000 se define en la serie de Recomendaciones UIT</w:t>
      </w:r>
      <w:r w:rsidRPr="00F43AA7">
        <w:rPr>
          <w:lang w:val="es-ES_tradnl"/>
        </w:rPr>
        <w:noBreakHyphen/>
        <w:t>T Q.1741.x. y Q.1742 de las que se presenta un resumen en los Anexos A y B de las directrices provisionales (MTG) (</w:t>
      </w:r>
      <w:hyperlink r:id="rId18" w:history="1">
        <w:r w:rsidR="00D45FCE" w:rsidRPr="002B0D80">
          <w:rPr>
            <w:rStyle w:val="Hyperlink"/>
            <w:szCs w:val="22"/>
            <w:lang w:val="es-ES_tradnl" w:eastAsia="ja-JP"/>
          </w:rPr>
          <w:t>www.itu.int/itudoc/itu-d/question/studygr2/87040.html</w:t>
        </w:r>
      </w:hyperlink>
      <w:r w:rsidRPr="00F43AA7">
        <w:rPr>
          <w:lang w:val="es-ES_tradnl" w:eastAsia="ja-JP"/>
        </w:rPr>
        <w:t>).</w:t>
      </w:r>
    </w:p>
    <w:p w:rsidR="00F9248C" w:rsidRPr="00A43C05" w:rsidRDefault="00F9248C" w:rsidP="00454B79">
      <w:pPr>
        <w:pStyle w:val="Heading1"/>
        <w:keepNext w:val="0"/>
        <w:keepLines w:val="0"/>
        <w:rPr>
          <w:lang w:val="es-ES_tradnl"/>
        </w:rPr>
      </w:pPr>
      <w:bookmarkStart w:id="98" w:name="_Toc236826223"/>
      <w:bookmarkStart w:id="99" w:name="_Toc255292523"/>
      <w:bookmarkStart w:id="100" w:name="_Toc259024228"/>
      <w:r w:rsidRPr="00A43C05">
        <w:rPr>
          <w:lang w:val="es-ES_tradnl"/>
        </w:rPr>
        <w:t>4</w:t>
      </w:r>
      <w:r w:rsidRPr="00A43C05">
        <w:rPr>
          <w:lang w:val="es-ES_tradnl"/>
        </w:rPr>
        <w:tab/>
      </w:r>
      <w:bookmarkEnd w:id="98"/>
      <w:bookmarkEnd w:id="99"/>
      <w:r w:rsidR="00F43AA7" w:rsidRPr="00F43AA7">
        <w:rPr>
          <w:lang w:val="es-ES_tradnl"/>
        </w:rPr>
        <w:t>Información sobre las tecnologías por satélite de las IMT-2000</w:t>
      </w:r>
      <w:bookmarkEnd w:id="100"/>
    </w:p>
    <w:p w:rsidR="00F9248C" w:rsidRPr="00A43C05" w:rsidRDefault="00F9248C" w:rsidP="00454B79">
      <w:pPr>
        <w:pStyle w:val="Heading2"/>
        <w:keepNext w:val="0"/>
        <w:keepLines w:val="0"/>
        <w:rPr>
          <w:lang w:val="es-ES_tradnl"/>
        </w:rPr>
      </w:pPr>
      <w:bookmarkStart w:id="101" w:name="_Toc236826224"/>
      <w:bookmarkStart w:id="102" w:name="_Toc255292524"/>
      <w:bookmarkStart w:id="103" w:name="_Toc259024229"/>
      <w:r w:rsidRPr="00A43C05">
        <w:rPr>
          <w:lang w:val="es-ES_tradnl"/>
        </w:rPr>
        <w:t>4.1</w:t>
      </w:r>
      <w:r w:rsidRPr="00A43C05">
        <w:rPr>
          <w:lang w:val="es-ES_tradnl"/>
        </w:rPr>
        <w:tab/>
      </w:r>
      <w:bookmarkEnd w:id="101"/>
      <w:bookmarkEnd w:id="102"/>
      <w:r w:rsidR="00F43AA7" w:rsidRPr="00F43AA7">
        <w:rPr>
          <w:lang w:val="es-ES_tradnl"/>
        </w:rPr>
        <w:t>Consideraciones sobre los satélites</w:t>
      </w:r>
      <w:bookmarkEnd w:id="103"/>
    </w:p>
    <w:p w:rsidR="00F43AA7" w:rsidRPr="001F163E" w:rsidRDefault="00F43AA7" w:rsidP="00F43AA7">
      <w:pPr>
        <w:rPr>
          <w:lang w:val="es-ES_tradnl"/>
        </w:rPr>
      </w:pPr>
      <w:r>
        <w:rPr>
          <w:lang w:val="es-ES_tradnl"/>
        </w:rPr>
        <w:t>P</w:t>
      </w:r>
      <w:r w:rsidRPr="001F163E">
        <w:rPr>
          <w:lang w:val="es-ES_tradnl"/>
        </w:rPr>
        <w:t>or lo general</w:t>
      </w:r>
      <w:r>
        <w:rPr>
          <w:lang w:val="es-ES_tradnl"/>
        </w:rPr>
        <w:t>,</w:t>
      </w:r>
      <w:r w:rsidRPr="001F163E">
        <w:rPr>
          <w:lang w:val="es-ES_tradnl"/>
        </w:rPr>
        <w:t xml:space="preserve"> </w:t>
      </w:r>
      <w:r>
        <w:rPr>
          <w:lang w:val="es-ES_tradnl"/>
        </w:rPr>
        <w:t>l</w:t>
      </w:r>
      <w:r w:rsidRPr="001F163E">
        <w:rPr>
          <w:lang w:val="es-ES_tradnl"/>
        </w:rPr>
        <w:t>as componentes satelital y terrenal de las IMT</w:t>
      </w:r>
      <w:r w:rsidRPr="001F163E">
        <w:rPr>
          <w:lang w:val="es-ES_tradnl"/>
        </w:rPr>
        <w:noBreakHyphen/>
        <w:t xml:space="preserve">2000 </w:t>
      </w:r>
      <w:r>
        <w:rPr>
          <w:lang w:val="es-ES_tradnl"/>
        </w:rPr>
        <w:t>son</w:t>
      </w:r>
      <w:r w:rsidRPr="001F163E">
        <w:rPr>
          <w:lang w:val="es-ES_tradnl"/>
        </w:rPr>
        <w:t xml:space="preserve"> complementa</w:t>
      </w:r>
      <w:r>
        <w:rPr>
          <w:lang w:val="es-ES_tradnl"/>
        </w:rPr>
        <w:t>rias</w:t>
      </w:r>
      <w:r w:rsidRPr="001F163E">
        <w:rPr>
          <w:lang w:val="es-ES_tradnl"/>
        </w:rPr>
        <w:t xml:space="preserve"> </w:t>
      </w:r>
      <w:r>
        <w:rPr>
          <w:lang w:val="es-ES_tradnl"/>
        </w:rPr>
        <w:t>para</w:t>
      </w:r>
      <w:r w:rsidRPr="001F163E">
        <w:rPr>
          <w:lang w:val="es-ES_tradnl"/>
        </w:rPr>
        <w:t xml:space="preserve"> prestar servicio</w:t>
      </w:r>
      <w:r>
        <w:rPr>
          <w:lang w:val="es-ES_tradnl"/>
        </w:rPr>
        <w:t>s</w:t>
      </w:r>
      <w:r w:rsidRPr="001F163E">
        <w:rPr>
          <w:lang w:val="es-ES_tradnl"/>
        </w:rPr>
        <w:t xml:space="preserve"> en zonas de cobertura que solas no atenderían por mo</w:t>
      </w:r>
      <w:r>
        <w:rPr>
          <w:lang w:val="es-ES_tradnl"/>
        </w:rPr>
        <w:t>tivos económicos. Cada uno de la</w:t>
      </w:r>
      <w:r w:rsidRPr="001F163E">
        <w:rPr>
          <w:lang w:val="es-ES_tradnl"/>
        </w:rPr>
        <w:t>s componentes tiene ventajas y restricciones particulares.</w:t>
      </w:r>
      <w:r>
        <w:rPr>
          <w:lang w:val="es-ES_tradnl"/>
        </w:rPr>
        <w:t xml:space="preserve"> L</w:t>
      </w:r>
      <w:r w:rsidRPr="001F163E">
        <w:rPr>
          <w:lang w:val="es-ES_tradnl"/>
        </w:rPr>
        <w:t xml:space="preserve">a componente satelital puede ofrecer cobertura en zonas que pueden no estar dentro del alcance económico de la componente terrenal, tales como las regiones rurales y remotas. </w:t>
      </w:r>
    </w:p>
    <w:p w:rsidR="00F43AA7" w:rsidRPr="001F163E" w:rsidRDefault="00F43AA7" w:rsidP="00F43AA7">
      <w:pPr>
        <w:rPr>
          <w:lang w:val="es-ES_tradnl"/>
        </w:rPr>
      </w:pPr>
      <w:r w:rsidRPr="001F163E">
        <w:rPr>
          <w:lang w:val="es-ES_tradnl"/>
        </w:rPr>
        <w:t>En la actualidad hay seis sistemas de satélites definidos como parte de la familia IMT</w:t>
      </w:r>
      <w:r w:rsidRPr="001F163E">
        <w:rPr>
          <w:lang w:val="es-ES_tradnl"/>
        </w:rPr>
        <w:noBreakHyphen/>
        <w:t>2000 mediante sus interfaces radioeléctricas (véanse las</w:t>
      </w:r>
      <w:r>
        <w:rPr>
          <w:lang w:val="es-ES_tradnl"/>
        </w:rPr>
        <w:t xml:space="preserve"> R</w:t>
      </w:r>
      <w:r w:rsidRPr="001F163E">
        <w:rPr>
          <w:lang w:val="es-ES_tradnl"/>
        </w:rPr>
        <w:t>ecomendaciones UIT</w:t>
      </w:r>
      <w:r w:rsidRPr="001F163E">
        <w:rPr>
          <w:lang w:val="es-ES_tradnl"/>
        </w:rPr>
        <w:noBreakHyphen/>
        <w:t xml:space="preserve">R M.[1457-SAT]) y </w:t>
      </w:r>
      <w:r>
        <w:rPr>
          <w:lang w:val="es-ES_tradnl"/>
        </w:rPr>
        <w:t>se ha propuesto</w:t>
      </w:r>
      <w:r w:rsidRPr="001F163E">
        <w:rPr>
          <w:lang w:val="es-ES_tradnl"/>
        </w:rPr>
        <w:t xml:space="preserve"> la introducción de una nueva interfaz. Cabe prever que cada una pueda funcionar con independencia de las otras. Todas ellas pretenden ofrecer cobertura en zonas de servicio regionales, </w:t>
      </w:r>
      <w:proofErr w:type="spellStart"/>
      <w:r w:rsidRPr="001F163E">
        <w:rPr>
          <w:lang w:val="es-ES_tradnl"/>
        </w:rPr>
        <w:t>multirregionales</w:t>
      </w:r>
      <w:proofErr w:type="spellEnd"/>
      <w:r w:rsidRPr="001F163E">
        <w:rPr>
          <w:lang w:val="es-ES_tradnl"/>
        </w:rPr>
        <w:t xml:space="preserve"> o mundiales y por consiguiente puede haber varios sistemas de satélites capaces de prestar servicios en cualquier país.</w:t>
      </w:r>
    </w:p>
    <w:p w:rsidR="00F9248C" w:rsidRPr="00A43C05" w:rsidRDefault="00F43AA7" w:rsidP="00F43AA7">
      <w:pPr>
        <w:rPr>
          <w:lang w:val="es-ES_tradnl"/>
        </w:rPr>
      </w:pPr>
      <w:r w:rsidRPr="001F163E">
        <w:rPr>
          <w:lang w:val="es-ES_tradnl"/>
        </w:rPr>
        <w:t xml:space="preserve">El </w:t>
      </w:r>
      <w:r>
        <w:rPr>
          <w:lang w:val="es-ES_tradnl"/>
        </w:rPr>
        <w:t>S</w:t>
      </w:r>
      <w:r w:rsidRPr="001F163E">
        <w:rPr>
          <w:lang w:val="es-ES_tradnl"/>
        </w:rPr>
        <w:t>uplemento a las directrices está dedicado a</w:t>
      </w:r>
      <w:r>
        <w:rPr>
          <w:lang w:val="es-ES_tradnl"/>
        </w:rPr>
        <w:t xml:space="preserve"> </w:t>
      </w:r>
      <w:r w:rsidRPr="001F163E">
        <w:rPr>
          <w:lang w:val="es-ES_tradnl"/>
        </w:rPr>
        <w:t>l</w:t>
      </w:r>
      <w:r>
        <w:rPr>
          <w:lang w:val="es-ES_tradnl"/>
        </w:rPr>
        <w:t>a</w:t>
      </w:r>
      <w:r w:rsidRPr="001F163E">
        <w:rPr>
          <w:lang w:val="es-ES_tradnl"/>
        </w:rPr>
        <w:t xml:space="preserve"> componente terrenal de los sistemas IMT-2000.</w:t>
      </w:r>
    </w:p>
    <w:p w:rsidR="00F9248C" w:rsidRPr="00A43C05" w:rsidRDefault="00E57A69" w:rsidP="00863244">
      <w:pPr>
        <w:pStyle w:val="Heading1"/>
        <w:rPr>
          <w:lang w:val="es-ES_tradnl"/>
        </w:rPr>
      </w:pPr>
      <w:bookmarkStart w:id="104" w:name="_Toc236826225"/>
      <w:bookmarkStart w:id="105" w:name="_Toc255292525"/>
      <w:bookmarkStart w:id="106" w:name="_Toc259024230"/>
      <w:r w:rsidRPr="00A43C05">
        <w:rPr>
          <w:lang w:val="es-ES_tradnl"/>
        </w:rPr>
        <w:t>5</w:t>
      </w:r>
      <w:r w:rsidRPr="00A43C05">
        <w:rPr>
          <w:lang w:val="es-ES_tradnl"/>
        </w:rPr>
        <w:tab/>
      </w:r>
      <w:bookmarkEnd w:id="104"/>
      <w:bookmarkEnd w:id="105"/>
      <w:r w:rsidR="00F43AA7" w:rsidRPr="00F43AA7">
        <w:rPr>
          <w:lang w:val="es-ES_tradnl"/>
        </w:rPr>
        <w:t>Actualización de las organizaciones de normalización competentes en las IMT</w:t>
      </w:r>
      <w:r w:rsidR="00F43AA7" w:rsidRPr="00F43AA7">
        <w:rPr>
          <w:lang w:val="es-ES_tradnl"/>
        </w:rPr>
        <w:noBreakHyphen/>
        <w:t>2000</w:t>
      </w:r>
      <w:bookmarkEnd w:id="106"/>
    </w:p>
    <w:p w:rsidR="00F9248C" w:rsidRPr="00A43C05" w:rsidRDefault="00F43AA7" w:rsidP="00F43AA7">
      <w:pPr>
        <w:rPr>
          <w:lang w:val="es-ES_tradnl"/>
        </w:rPr>
      </w:pPr>
      <w:r w:rsidRPr="00F43AA7">
        <w:rPr>
          <w:lang w:val="es-ES_tradnl"/>
        </w:rPr>
        <w:t>Los sistemas IMT-2000 tienen una actividad de desarrollo mundial. Las especificaciones de la interfaz radioeléctrica de las IMT-2000 en las Recomendaciones de la UIT se han elaborado en colaboración con organizaciones proponentes de tecnologías de la interfaz radioeléctrica, proyectos de asociación mundial y organizaciones de normalización (SDO). La UIT ha suministrado el marco mundial y global y los requisitos junto con estas organizaciones. Las interfaces radioeléctricas definidas por organizaciones externas se muestran en el Cuadro 5.1.</w:t>
      </w:r>
    </w:p>
    <w:p w:rsidR="002A3F0A" w:rsidRPr="00A43C05" w:rsidRDefault="002A3F0A" w:rsidP="002A3F0A">
      <w:pPr>
        <w:pStyle w:val="Normalaftertitle0"/>
        <w:rPr>
          <w:lang w:val="es-ES_tradnl"/>
        </w:rPr>
      </w:pPr>
    </w:p>
    <w:p w:rsidR="002A3F0A" w:rsidRPr="00A43C05" w:rsidRDefault="00F43AA7" w:rsidP="00F43AA7">
      <w:pPr>
        <w:pStyle w:val="FigureTitle"/>
        <w:jc w:val="left"/>
        <w:rPr>
          <w:rFonts w:asciiTheme="majorBidi" w:hAnsiTheme="majorBidi" w:cstheme="majorBidi"/>
          <w:lang w:val="es-ES_tradnl"/>
        </w:rPr>
      </w:pPr>
      <w:r w:rsidRPr="00F43AA7">
        <w:rPr>
          <w:rFonts w:asciiTheme="majorBidi" w:hAnsiTheme="majorBidi" w:cstheme="majorBidi"/>
          <w:lang w:val="es-ES_tradnl"/>
        </w:rPr>
        <w:t>Cuadro 5.1</w:t>
      </w:r>
      <w:r>
        <w:rPr>
          <w:rFonts w:asciiTheme="majorBidi" w:hAnsiTheme="majorBidi" w:cstheme="majorBidi"/>
          <w:lang w:val="es-ES_tradnl"/>
        </w:rPr>
        <w:t>:</w:t>
      </w:r>
      <w:r w:rsidRPr="00F43AA7">
        <w:rPr>
          <w:rFonts w:asciiTheme="majorBidi" w:hAnsiTheme="majorBidi" w:cstheme="majorBidi"/>
          <w:lang w:val="es-ES_tradnl"/>
        </w:rPr>
        <w:t xml:space="preserve"> Interfaces radioeléctricas terrenales</w:t>
      </w:r>
      <w:r>
        <w:rPr>
          <w:rFonts w:asciiTheme="majorBidi" w:hAnsiTheme="majorBidi" w:cstheme="majorBidi"/>
          <w:lang w:val="es-ES_tradnl"/>
        </w:rPr>
        <w:t xml:space="preserve"> </w:t>
      </w:r>
      <w:r w:rsidRPr="00F43AA7">
        <w:rPr>
          <w:rFonts w:asciiTheme="majorBidi" w:hAnsiTheme="majorBidi" w:cstheme="majorBidi"/>
          <w:lang w:val="es-ES_tradnl"/>
        </w:rPr>
        <w:t>de las IMT</w:t>
      </w:r>
      <w:r w:rsidRPr="00F43AA7">
        <w:rPr>
          <w:rFonts w:asciiTheme="majorBidi" w:hAnsiTheme="majorBidi" w:cstheme="majorBidi"/>
          <w:lang w:val="es-ES_tradnl"/>
        </w:rPr>
        <w:noBreakHyphen/>
        <w:t>2000: organizaciones externas</w:t>
      </w:r>
    </w:p>
    <w:p w:rsidR="00BD2D2D" w:rsidRPr="00A43C05" w:rsidRDefault="00BD2D2D" w:rsidP="00BD2D2D">
      <w:pPr>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8"/>
        <w:gridCol w:w="2655"/>
      </w:tblGrid>
      <w:tr w:rsidR="00BD2D2D" w:rsidRPr="000D45EC" w:rsidTr="00414106">
        <w:tc>
          <w:tcPr>
            <w:tcW w:w="4788" w:type="dxa"/>
          </w:tcPr>
          <w:p w:rsidR="00BD2D2D" w:rsidRPr="000D45EC" w:rsidRDefault="00F43AA7" w:rsidP="00F43AA7">
            <w:pPr>
              <w:pStyle w:val="Tablehead"/>
              <w:framePr w:hSpace="181" w:wrap="around" w:vAnchor="text" w:hAnchor="margin" w:xAlign="center" w:y="1"/>
              <w:rPr>
                <w:szCs w:val="22"/>
              </w:rPr>
            </w:pPr>
            <w:r w:rsidRPr="00F43AA7">
              <w:rPr>
                <w:szCs w:val="22"/>
                <w:lang w:val="es-ES_tradnl"/>
              </w:rPr>
              <w:t>Nombre completo</w:t>
            </w:r>
          </w:p>
        </w:tc>
        <w:tc>
          <w:tcPr>
            <w:tcW w:w="2655" w:type="dxa"/>
          </w:tcPr>
          <w:p w:rsidR="00BD2D2D" w:rsidRPr="000D45EC" w:rsidRDefault="00F43AA7" w:rsidP="00F43AA7">
            <w:pPr>
              <w:pStyle w:val="Tablehead"/>
              <w:framePr w:hSpace="181" w:wrap="around" w:vAnchor="text" w:hAnchor="margin" w:xAlign="center" w:y="1"/>
              <w:rPr>
                <w:szCs w:val="22"/>
              </w:rPr>
            </w:pPr>
            <w:r w:rsidRPr="00F43AA7">
              <w:rPr>
                <w:szCs w:val="22"/>
                <w:lang w:val="es-ES_tradnl"/>
              </w:rPr>
              <w:t>Organizaciones externas</w:t>
            </w:r>
          </w:p>
        </w:tc>
      </w:tr>
      <w:tr w:rsidR="00BD2D2D" w:rsidRPr="000D45EC" w:rsidTr="00414106">
        <w:tc>
          <w:tcPr>
            <w:tcW w:w="4788" w:type="dxa"/>
          </w:tcPr>
          <w:p w:rsidR="00BD2D2D" w:rsidRPr="00A43C05" w:rsidRDefault="00F43AA7" w:rsidP="00F43AA7">
            <w:pPr>
              <w:pStyle w:val="Tabletext"/>
              <w:framePr w:hSpace="181" w:wrap="around" w:vAnchor="text" w:hAnchor="margin" w:xAlign="center" w:y="1"/>
              <w:jc w:val="left"/>
              <w:rPr>
                <w:szCs w:val="22"/>
                <w:lang w:val="es-ES_tradnl"/>
              </w:rPr>
            </w:pPr>
            <w:r w:rsidRPr="00F43AA7">
              <w:rPr>
                <w:szCs w:val="22"/>
                <w:lang w:val="es-ES_tradnl"/>
              </w:rPr>
              <w:t>CDMA IMT</w:t>
            </w:r>
            <w:r w:rsidRPr="00F43AA7">
              <w:rPr>
                <w:szCs w:val="22"/>
                <w:lang w:val="es-ES_tradnl"/>
              </w:rPr>
              <w:noBreakHyphen/>
              <w:t>2000 con ensanchamiento directo</w:t>
            </w:r>
          </w:p>
        </w:tc>
        <w:tc>
          <w:tcPr>
            <w:tcW w:w="2655" w:type="dxa"/>
          </w:tcPr>
          <w:p w:rsidR="00BD2D2D" w:rsidRPr="000D45EC" w:rsidRDefault="00F43AA7" w:rsidP="00F43AA7">
            <w:pPr>
              <w:pStyle w:val="Tabletext"/>
              <w:framePr w:hSpace="181" w:wrap="around" w:vAnchor="text" w:hAnchor="margin" w:xAlign="center" w:y="1"/>
              <w:jc w:val="left"/>
              <w:rPr>
                <w:szCs w:val="22"/>
              </w:rPr>
            </w:pPr>
            <w:r w:rsidRPr="00F43AA7">
              <w:rPr>
                <w:szCs w:val="22"/>
                <w:lang w:val="es-ES_tradnl"/>
              </w:rPr>
              <w:t>3GPP</w:t>
            </w:r>
          </w:p>
        </w:tc>
      </w:tr>
      <w:tr w:rsidR="00BD2D2D" w:rsidRPr="000D45EC" w:rsidTr="00414106">
        <w:tc>
          <w:tcPr>
            <w:tcW w:w="4788" w:type="dxa"/>
          </w:tcPr>
          <w:p w:rsidR="00BD2D2D" w:rsidRPr="000D45EC" w:rsidRDefault="00F43AA7" w:rsidP="00F43AA7">
            <w:pPr>
              <w:pStyle w:val="Tabletext"/>
              <w:framePr w:hSpace="181" w:wrap="around" w:vAnchor="text" w:hAnchor="margin" w:xAlign="center" w:y="1"/>
              <w:jc w:val="left"/>
              <w:rPr>
                <w:szCs w:val="22"/>
              </w:rPr>
            </w:pPr>
            <w:r w:rsidRPr="00F43AA7">
              <w:rPr>
                <w:szCs w:val="22"/>
                <w:lang w:val="es-ES_tradnl"/>
              </w:rPr>
              <w:t xml:space="preserve">CDMA IMT-2000 con </w:t>
            </w:r>
            <w:proofErr w:type="spellStart"/>
            <w:r w:rsidRPr="00F43AA7">
              <w:rPr>
                <w:szCs w:val="22"/>
                <w:lang w:val="es-ES_tradnl"/>
              </w:rPr>
              <w:t>multiportadora</w:t>
            </w:r>
            <w:proofErr w:type="spellEnd"/>
          </w:p>
        </w:tc>
        <w:tc>
          <w:tcPr>
            <w:tcW w:w="2655" w:type="dxa"/>
          </w:tcPr>
          <w:p w:rsidR="00BD2D2D" w:rsidRPr="000D45EC" w:rsidRDefault="00BD2D2D" w:rsidP="00414106">
            <w:pPr>
              <w:pStyle w:val="Tabletext"/>
              <w:framePr w:hSpace="181" w:wrap="around" w:vAnchor="text" w:hAnchor="margin" w:xAlign="center" w:y="1"/>
              <w:jc w:val="left"/>
              <w:rPr>
                <w:szCs w:val="22"/>
              </w:rPr>
            </w:pPr>
            <w:r w:rsidRPr="000D45EC">
              <w:rPr>
                <w:szCs w:val="22"/>
              </w:rPr>
              <w:t>3GPP2</w:t>
            </w:r>
          </w:p>
        </w:tc>
      </w:tr>
      <w:tr w:rsidR="00BD2D2D" w:rsidRPr="000D45EC" w:rsidTr="00414106">
        <w:tc>
          <w:tcPr>
            <w:tcW w:w="4788" w:type="dxa"/>
          </w:tcPr>
          <w:p w:rsidR="00BD2D2D" w:rsidRPr="00A43C05" w:rsidRDefault="00F43AA7" w:rsidP="00F43AA7">
            <w:pPr>
              <w:pStyle w:val="Tabletext"/>
              <w:framePr w:hSpace="181" w:wrap="around" w:vAnchor="text" w:hAnchor="margin" w:xAlign="center" w:y="1"/>
              <w:jc w:val="left"/>
              <w:rPr>
                <w:szCs w:val="22"/>
                <w:lang w:val="es-ES_tradnl"/>
              </w:rPr>
            </w:pPr>
            <w:r w:rsidRPr="00F43AA7">
              <w:rPr>
                <w:szCs w:val="22"/>
                <w:lang w:val="es-ES_tradnl"/>
              </w:rPr>
              <w:t>TDD CDMA IMT</w:t>
            </w:r>
            <w:r w:rsidRPr="00F43AA7">
              <w:rPr>
                <w:szCs w:val="22"/>
                <w:lang w:val="es-ES_tradnl"/>
              </w:rPr>
              <w:noBreakHyphen/>
              <w:t>2000 (codificación del tiempo)</w:t>
            </w:r>
          </w:p>
        </w:tc>
        <w:tc>
          <w:tcPr>
            <w:tcW w:w="2655" w:type="dxa"/>
          </w:tcPr>
          <w:p w:rsidR="00BD2D2D" w:rsidRPr="000D45EC" w:rsidRDefault="00BD2D2D" w:rsidP="00414106">
            <w:pPr>
              <w:pStyle w:val="Tabletext"/>
              <w:framePr w:hSpace="181" w:wrap="around" w:vAnchor="text" w:hAnchor="margin" w:xAlign="center" w:y="1"/>
              <w:jc w:val="left"/>
              <w:rPr>
                <w:szCs w:val="22"/>
              </w:rPr>
            </w:pPr>
            <w:r w:rsidRPr="000D45EC">
              <w:rPr>
                <w:szCs w:val="22"/>
              </w:rPr>
              <w:t>3GPP</w:t>
            </w:r>
          </w:p>
        </w:tc>
      </w:tr>
      <w:tr w:rsidR="00BD2D2D" w:rsidRPr="000D45EC" w:rsidTr="00414106">
        <w:tc>
          <w:tcPr>
            <w:tcW w:w="4788" w:type="dxa"/>
          </w:tcPr>
          <w:p w:rsidR="00BD2D2D" w:rsidRPr="00A43C05" w:rsidRDefault="00F43AA7" w:rsidP="00F43AA7">
            <w:pPr>
              <w:pStyle w:val="Tabletext"/>
              <w:framePr w:hSpace="181" w:wrap="around" w:vAnchor="text" w:hAnchor="margin" w:xAlign="center" w:y="1"/>
              <w:jc w:val="left"/>
              <w:rPr>
                <w:szCs w:val="22"/>
                <w:lang w:val="es-ES_tradnl"/>
              </w:rPr>
            </w:pPr>
            <w:r w:rsidRPr="00F43AA7">
              <w:rPr>
                <w:szCs w:val="22"/>
                <w:lang w:val="es-ES_tradnl"/>
              </w:rPr>
              <w:t>TDMA IMT-2000 de portadora única</w:t>
            </w:r>
          </w:p>
        </w:tc>
        <w:tc>
          <w:tcPr>
            <w:tcW w:w="2655" w:type="dxa"/>
          </w:tcPr>
          <w:p w:rsidR="00BD2D2D" w:rsidRPr="000D45EC" w:rsidRDefault="00BD2D2D" w:rsidP="00F43AA7">
            <w:pPr>
              <w:pStyle w:val="Tabletext"/>
              <w:framePr w:hSpace="181" w:wrap="around" w:vAnchor="text" w:hAnchor="margin" w:xAlign="center" w:y="1"/>
              <w:jc w:val="left"/>
              <w:rPr>
                <w:szCs w:val="22"/>
              </w:rPr>
            </w:pPr>
            <w:r w:rsidRPr="000D45EC">
              <w:rPr>
                <w:szCs w:val="22"/>
              </w:rPr>
              <w:t xml:space="preserve">ATIS WTSC </w:t>
            </w:r>
            <w:r w:rsidR="00F43AA7">
              <w:rPr>
                <w:szCs w:val="22"/>
              </w:rPr>
              <w:t>y</w:t>
            </w:r>
            <w:r w:rsidRPr="000D45EC">
              <w:rPr>
                <w:szCs w:val="22"/>
              </w:rPr>
              <w:t xml:space="preserve"> TIA</w:t>
            </w:r>
          </w:p>
        </w:tc>
      </w:tr>
      <w:tr w:rsidR="00BD2D2D" w:rsidRPr="000D45EC" w:rsidTr="00414106">
        <w:tc>
          <w:tcPr>
            <w:tcW w:w="4788" w:type="dxa"/>
          </w:tcPr>
          <w:p w:rsidR="00BD2D2D" w:rsidRPr="00A43C05" w:rsidRDefault="00F43AA7" w:rsidP="00F43AA7">
            <w:pPr>
              <w:pStyle w:val="Tabletext"/>
              <w:framePr w:hSpace="181" w:wrap="around" w:vAnchor="text" w:hAnchor="margin" w:xAlign="center" w:y="1"/>
              <w:jc w:val="left"/>
              <w:rPr>
                <w:szCs w:val="22"/>
                <w:lang w:val="es-ES_tradnl"/>
              </w:rPr>
            </w:pPr>
            <w:r w:rsidRPr="00F43AA7">
              <w:rPr>
                <w:szCs w:val="22"/>
                <w:lang w:val="es-ES_tradnl"/>
              </w:rPr>
              <w:t>FDMA/TDMA IMT</w:t>
            </w:r>
            <w:r w:rsidRPr="00F43AA7">
              <w:rPr>
                <w:szCs w:val="22"/>
                <w:lang w:val="es-ES_tradnl"/>
              </w:rPr>
              <w:noBreakHyphen/>
              <w:t>2000 (frecuencia-tiempo)</w:t>
            </w:r>
          </w:p>
        </w:tc>
        <w:tc>
          <w:tcPr>
            <w:tcW w:w="2655" w:type="dxa"/>
          </w:tcPr>
          <w:p w:rsidR="00BD2D2D" w:rsidRPr="000D45EC" w:rsidRDefault="00BD2D2D" w:rsidP="00414106">
            <w:pPr>
              <w:pStyle w:val="Tabletext"/>
              <w:framePr w:hSpace="181" w:wrap="around" w:vAnchor="text" w:hAnchor="margin" w:xAlign="center" w:y="1"/>
              <w:jc w:val="left"/>
              <w:rPr>
                <w:szCs w:val="22"/>
              </w:rPr>
            </w:pPr>
            <w:r w:rsidRPr="000D45EC">
              <w:rPr>
                <w:szCs w:val="22"/>
              </w:rPr>
              <w:t>ETSI</w:t>
            </w:r>
          </w:p>
        </w:tc>
      </w:tr>
      <w:tr w:rsidR="00BD2D2D" w:rsidRPr="000D45EC" w:rsidTr="00414106">
        <w:tc>
          <w:tcPr>
            <w:tcW w:w="4788" w:type="dxa"/>
          </w:tcPr>
          <w:p w:rsidR="00BD2D2D" w:rsidRPr="000D45EC" w:rsidRDefault="00F43AA7" w:rsidP="00F43AA7">
            <w:pPr>
              <w:pStyle w:val="Tabletext"/>
              <w:framePr w:hSpace="181" w:wrap="around" w:vAnchor="text" w:hAnchor="margin" w:xAlign="center" w:y="1"/>
            </w:pPr>
            <w:r w:rsidRPr="00F43AA7">
              <w:rPr>
                <w:lang w:val="es-ES_tradnl"/>
              </w:rPr>
              <w:t>OFDMA TDD WMAN IMT-2000</w:t>
            </w:r>
          </w:p>
        </w:tc>
        <w:tc>
          <w:tcPr>
            <w:tcW w:w="2655" w:type="dxa"/>
          </w:tcPr>
          <w:p w:rsidR="00BD2D2D" w:rsidRPr="000D45EC" w:rsidRDefault="00BD2D2D" w:rsidP="00414106">
            <w:pPr>
              <w:pStyle w:val="Tabletext"/>
              <w:framePr w:hSpace="181" w:wrap="around" w:vAnchor="text" w:hAnchor="margin" w:xAlign="center" w:y="1"/>
            </w:pPr>
            <w:r w:rsidRPr="000D45EC">
              <w:t>IEEE</w:t>
            </w:r>
          </w:p>
        </w:tc>
      </w:tr>
    </w:tbl>
    <w:p w:rsidR="002A3F0A" w:rsidRDefault="002A3F0A" w:rsidP="002A3F0A">
      <w:pPr>
        <w:pStyle w:val="FigureSource"/>
      </w:pPr>
    </w:p>
    <w:p w:rsidR="00E61DE6" w:rsidRPr="00A43C05" w:rsidRDefault="00F43AA7" w:rsidP="00D45FCE">
      <w:pPr>
        <w:pStyle w:val="Normalaftertitle"/>
        <w:rPr>
          <w:szCs w:val="22"/>
          <w:lang w:val="es-ES_tradnl"/>
        </w:rPr>
      </w:pPr>
      <w:r w:rsidRPr="00F43AA7">
        <w:rPr>
          <w:szCs w:val="22"/>
          <w:lang w:val="es-ES_tradnl"/>
        </w:rPr>
        <w:t>El estado e informes de situación de las Recomendaciones/Informes/Manuales de las UIT sobre las IMT</w:t>
      </w:r>
      <w:r w:rsidRPr="00F43AA7">
        <w:rPr>
          <w:szCs w:val="22"/>
          <w:lang w:val="es-ES_tradnl"/>
        </w:rPr>
        <w:noBreakHyphen/>
        <w:t xml:space="preserve">2000 puede consultarse en </w:t>
      </w:r>
      <w:hyperlink r:id="rId19" w:history="1">
        <w:r w:rsidR="00D45FCE" w:rsidRPr="00A43C05">
          <w:rPr>
            <w:rStyle w:val="Hyperlink"/>
            <w:lang w:val="es-ES_tradnl"/>
          </w:rPr>
          <w:t>www.itu.int/UIT-D/IMT-2000/ProgressStatus_textIMT2000.PDF</w:t>
        </w:r>
      </w:hyperlink>
    </w:p>
    <w:p w:rsidR="00E61DE6" w:rsidRPr="00A43C05" w:rsidRDefault="00E61DE6" w:rsidP="00F43AA7">
      <w:pPr>
        <w:pStyle w:val="Heading1"/>
        <w:rPr>
          <w:lang w:val="es-ES_tradnl"/>
        </w:rPr>
      </w:pPr>
      <w:bookmarkStart w:id="107" w:name="_Toc236826226"/>
      <w:bookmarkStart w:id="108" w:name="_Toc255292526"/>
      <w:bookmarkStart w:id="109" w:name="_Toc259024231"/>
      <w:r w:rsidRPr="00A43C05">
        <w:rPr>
          <w:lang w:val="es-ES_tradnl"/>
        </w:rPr>
        <w:t>6</w:t>
      </w:r>
      <w:r w:rsidRPr="00A43C05">
        <w:rPr>
          <w:lang w:val="es-ES_tradnl"/>
        </w:rPr>
        <w:tab/>
      </w:r>
      <w:bookmarkEnd w:id="107"/>
      <w:bookmarkEnd w:id="108"/>
      <w:r w:rsidR="00F43AA7" w:rsidRPr="00F43AA7">
        <w:rPr>
          <w:lang w:val="es-ES_tradnl"/>
        </w:rPr>
        <w:t>Oferta de servicios de las IMT-2000</w:t>
      </w:r>
      <w:bookmarkEnd w:id="109"/>
    </w:p>
    <w:p w:rsidR="00F43AA7" w:rsidRPr="001F163E" w:rsidRDefault="00F43AA7" w:rsidP="00F43AA7">
      <w:pPr>
        <w:rPr>
          <w:lang w:val="es-ES_tradnl"/>
        </w:rPr>
      </w:pPr>
      <w:r>
        <w:rPr>
          <w:lang w:val="es-ES_tradnl"/>
        </w:rPr>
        <w:t xml:space="preserve">Entre la oferta de servicios móviles más representativos y de las IMT-2000 se encuentran, aun no siendo los únicos, los siguientes: voz, vídeo, vídeo de flujo continuo, multimedios interactivos, transferencia de ficheros e imágenes, navegación por la Web (acceso a Internet y a la intranet), correo-e, servicios de información de </w:t>
      </w:r>
      <w:r>
        <w:rPr>
          <w:lang w:val="es-ES_tradnl"/>
        </w:rPr>
        <w:lastRenderedPageBreak/>
        <w:t xml:space="preserve">diversos tipos (salud, educación, gobierno, comercio), </w:t>
      </w:r>
      <w:proofErr w:type="spellStart"/>
      <w:r>
        <w:rPr>
          <w:lang w:val="es-ES_tradnl"/>
        </w:rPr>
        <w:t>telemedida</w:t>
      </w:r>
      <w:proofErr w:type="spellEnd"/>
      <w:r>
        <w:rPr>
          <w:lang w:val="es-ES_tradnl"/>
        </w:rPr>
        <w:t>, mensajería (SMS, MMS), dinero móvil, servicios de localización, servicios dotados de ITS, juegos y entretenimiento, multidifusión/radiodifusión–multimedios móvil, llamadas de emergencia, alertas a la población, servicio de prioridad e interceptación legal.</w:t>
      </w:r>
    </w:p>
    <w:p w:rsidR="00F43AA7" w:rsidRPr="001F163E" w:rsidRDefault="00F43AA7" w:rsidP="00F43AA7">
      <w:pPr>
        <w:rPr>
          <w:lang w:val="es-ES_tradnl"/>
        </w:rPr>
      </w:pPr>
      <w:r>
        <w:rPr>
          <w:lang w:val="es-ES_tradnl"/>
        </w:rPr>
        <w:t xml:space="preserve">Las mejoras de las funcionalidades y servicios para los operadores y usuarios se exponen más detalladamente en las Secciones </w:t>
      </w:r>
      <w:r w:rsidRPr="001F163E">
        <w:rPr>
          <w:lang w:val="es-ES_tradnl"/>
        </w:rPr>
        <w:t xml:space="preserve">3.2.2 </w:t>
      </w:r>
      <w:r>
        <w:rPr>
          <w:lang w:val="es-ES_tradnl"/>
        </w:rPr>
        <w:t xml:space="preserve">y </w:t>
      </w:r>
      <w:r w:rsidRPr="001F163E">
        <w:rPr>
          <w:lang w:val="es-ES_tradnl"/>
        </w:rPr>
        <w:t xml:space="preserve">3.2.3 </w:t>
      </w:r>
      <w:r>
        <w:rPr>
          <w:lang w:val="es-ES_tradnl"/>
        </w:rPr>
        <w:t xml:space="preserve">de las MTG. También pueden consultarse detalles adicionales en el Anexo F de las MTG y en la Recomendación </w:t>
      </w:r>
      <w:r w:rsidRPr="001F163E">
        <w:rPr>
          <w:lang w:val="es-ES_tradnl"/>
        </w:rPr>
        <w:t>UIT-R M.1822:</w:t>
      </w:r>
    </w:p>
    <w:p w:rsidR="00E61DE6" w:rsidRPr="00A43C05" w:rsidRDefault="00F43AA7" w:rsidP="00F43AA7">
      <w:pPr>
        <w:pStyle w:val="enumlev1"/>
        <w:rPr>
          <w:lang w:val="es-ES_tradnl"/>
        </w:rPr>
      </w:pPr>
      <w:r w:rsidRPr="001F163E">
        <w:rPr>
          <w:lang w:val="es-ES_tradnl"/>
        </w:rPr>
        <w:tab/>
      </w:r>
      <w:r w:rsidRPr="00D64237">
        <w:rPr>
          <w:lang w:val="es-ES_tradnl"/>
        </w:rPr>
        <w:t>Marco para los servicios soportados por las IMT.</w:t>
      </w:r>
    </w:p>
    <w:p w:rsidR="00E61DE6" w:rsidRPr="00A43C05" w:rsidRDefault="00780157" w:rsidP="00863244">
      <w:pPr>
        <w:pStyle w:val="Heading1"/>
        <w:rPr>
          <w:lang w:val="es-ES_tradnl"/>
        </w:rPr>
      </w:pPr>
      <w:bookmarkStart w:id="110" w:name="_Toc236826227"/>
      <w:bookmarkStart w:id="111" w:name="_Toc255292527"/>
      <w:bookmarkStart w:id="112" w:name="_Toc259024232"/>
      <w:r w:rsidRPr="00A43C05">
        <w:rPr>
          <w:lang w:val="es-ES_tradnl"/>
        </w:rPr>
        <w:t>7</w:t>
      </w:r>
      <w:r w:rsidRPr="00A43C05">
        <w:rPr>
          <w:lang w:val="es-ES_tradnl"/>
        </w:rPr>
        <w:tab/>
      </w:r>
      <w:bookmarkEnd w:id="110"/>
      <w:bookmarkEnd w:id="111"/>
      <w:r w:rsidR="00F43AA7" w:rsidRPr="00F43AA7">
        <w:rPr>
          <w:lang w:val="es-ES_tradnl"/>
        </w:rPr>
        <w:t>Necesidades de espectro</w:t>
      </w:r>
      <w:bookmarkEnd w:id="112"/>
    </w:p>
    <w:p w:rsidR="00E61DE6" w:rsidRPr="00A43C05" w:rsidRDefault="00F43AA7" w:rsidP="00F43AA7">
      <w:pPr>
        <w:rPr>
          <w:lang w:val="es-ES_tradnl"/>
        </w:rPr>
      </w:pPr>
      <w:r w:rsidRPr="00F43AA7">
        <w:rPr>
          <w:lang w:val="es-ES_tradnl"/>
        </w:rPr>
        <w:t>Hasta la fecha, el Reglamento de Radiocomunicaciones (RR) ha identificado las siguientes bandas de frecuencias para las IMT y las IMT-2000, a tenor de la CAMR-92, la CMR-2000 y la CMR-07: 450</w:t>
      </w:r>
      <w:r w:rsidRPr="00F43AA7">
        <w:rPr>
          <w:lang w:val="es-ES_tradnl"/>
        </w:rPr>
        <w:noBreakHyphen/>
        <w:t>470 MHz, 698-960 MHz, 1 710-2 025 MHz, 2 110-2 200 MHz, 2 300-2 400 MHz, 2 500</w:t>
      </w:r>
      <w:r w:rsidRPr="00F43AA7">
        <w:rPr>
          <w:lang w:val="es-ES_tradnl"/>
        </w:rPr>
        <w:noBreakHyphen/>
        <w:t xml:space="preserve">2 690 MHz y 3 400-3 600 </w:t>
      </w:r>
      <w:proofErr w:type="spellStart"/>
      <w:r w:rsidRPr="00F43AA7">
        <w:rPr>
          <w:lang w:val="es-ES_tradnl"/>
        </w:rPr>
        <w:t>MHz.</w:t>
      </w:r>
      <w:proofErr w:type="spellEnd"/>
      <w:r w:rsidRPr="00F43AA7">
        <w:rPr>
          <w:lang w:val="es-ES_tradnl"/>
        </w:rPr>
        <w:t xml:space="preserve"> Esta identificación no impide la utilización de estas bandas por ninguna aplicación de los servicios a los que están asignadas ni establece prioridad alguna en el Reglamento de Radiocomunicaciones. Hay diversas disposiciones reglamentarias aplicables a cada una de estas bandas. Las desviaciones regionales de cada una de estas bandas se indican en las notas aplicables a las mismas, como puede verse en el Cuadro siguiente.</w:t>
      </w:r>
    </w:p>
    <w:p w:rsidR="00E10990" w:rsidRPr="00A43C05" w:rsidRDefault="00E10990">
      <w:pPr>
        <w:tabs>
          <w:tab w:val="clear" w:pos="794"/>
          <w:tab w:val="clear" w:pos="1191"/>
          <w:tab w:val="clear" w:pos="1588"/>
          <w:tab w:val="clear" w:pos="1985"/>
        </w:tabs>
        <w:overflowPunct/>
        <w:autoSpaceDE/>
        <w:autoSpaceDN/>
        <w:adjustRightInd/>
        <w:spacing w:before="0"/>
        <w:jc w:val="left"/>
        <w:textAlignment w:val="auto"/>
        <w:rPr>
          <w:rFonts w:ascii="Times" w:hAnsi="Times"/>
          <w:b/>
          <w:lang w:val="es-ES_tradnl"/>
        </w:rPr>
      </w:pPr>
    </w:p>
    <w:p w:rsidR="00843C2F" w:rsidRPr="00A43C05" w:rsidRDefault="00843C2F" w:rsidP="00843C2F">
      <w:pPr>
        <w:pStyle w:val="FigureTitle"/>
        <w:rPr>
          <w:lang w:val="es-ES_tradnl"/>
        </w:rPr>
      </w:pPr>
    </w:p>
    <w:tbl>
      <w:tblPr>
        <w:tblW w:w="0" w:type="auto"/>
        <w:tblLayout w:type="fixed"/>
        <w:tblLook w:val="0000"/>
      </w:tblPr>
      <w:tblGrid>
        <w:gridCol w:w="2354"/>
        <w:gridCol w:w="3831"/>
      </w:tblGrid>
      <w:tr w:rsidR="00843C2F" w:rsidRPr="00A43C05" w:rsidTr="00843C2F">
        <w:tc>
          <w:tcPr>
            <w:tcW w:w="2354" w:type="dxa"/>
            <w:tcBorders>
              <w:top w:val="single" w:sz="4" w:space="0" w:color="000000"/>
              <w:left w:val="single" w:sz="4" w:space="0" w:color="000000"/>
              <w:bottom w:val="single" w:sz="4" w:space="0" w:color="000000"/>
            </w:tcBorders>
          </w:tcPr>
          <w:p w:rsidR="00843C2F" w:rsidRPr="000D45EC" w:rsidRDefault="00F43AA7" w:rsidP="00F43AA7">
            <w:pPr>
              <w:pStyle w:val="Tablehead"/>
              <w:framePr w:hSpace="181" w:wrap="notBeside" w:vAnchor="text" w:hAnchor="margin" w:xAlign="center" w:y="1"/>
              <w:spacing w:before="240"/>
            </w:pPr>
            <w:r w:rsidRPr="00F43AA7">
              <w:rPr>
                <w:lang w:val="es-ES_tradnl"/>
              </w:rPr>
              <w:t>Banda (MHz)</w:t>
            </w:r>
          </w:p>
        </w:tc>
        <w:tc>
          <w:tcPr>
            <w:tcW w:w="3831" w:type="dxa"/>
            <w:tcBorders>
              <w:top w:val="single" w:sz="4" w:space="0" w:color="000000"/>
              <w:left w:val="single" w:sz="4" w:space="0" w:color="000000"/>
              <w:bottom w:val="single" w:sz="4" w:space="0" w:color="000000"/>
              <w:right w:val="single" w:sz="4" w:space="0" w:color="000000"/>
            </w:tcBorders>
          </w:tcPr>
          <w:p w:rsidR="00843C2F" w:rsidRPr="00A43C05" w:rsidRDefault="00F43AA7" w:rsidP="00F43AA7">
            <w:pPr>
              <w:pStyle w:val="Tablehead"/>
              <w:framePr w:hSpace="181" w:wrap="notBeside" w:vAnchor="text" w:hAnchor="margin" w:xAlign="center" w:y="1"/>
              <w:rPr>
                <w:lang w:val="es-ES_tradnl"/>
              </w:rPr>
            </w:pPr>
            <w:r w:rsidRPr="00F43AA7">
              <w:rPr>
                <w:lang w:val="es-ES_tradnl"/>
              </w:rPr>
              <w:t>Notas que identifican la</w:t>
            </w:r>
            <w:r w:rsidRPr="00F43AA7">
              <w:rPr>
                <w:lang w:val="es-ES_tradnl"/>
              </w:rPr>
              <w:br/>
              <w:t>banda para las IMT</w:t>
            </w:r>
          </w:p>
        </w:tc>
      </w:tr>
      <w:tr w:rsidR="00843C2F" w:rsidRPr="000D45EC" w:rsidTr="00843C2F">
        <w:tc>
          <w:tcPr>
            <w:tcW w:w="2354" w:type="dxa"/>
            <w:tcBorders>
              <w:top w:val="single" w:sz="4" w:space="0" w:color="000000"/>
              <w:left w:val="single" w:sz="4" w:space="0" w:color="000000"/>
              <w:bottom w:val="single" w:sz="4" w:space="0" w:color="000000"/>
            </w:tcBorders>
          </w:tcPr>
          <w:p w:rsidR="00843C2F" w:rsidRPr="000D45EC" w:rsidRDefault="00843C2F" w:rsidP="00E10990">
            <w:pPr>
              <w:pStyle w:val="Tabletext"/>
              <w:framePr w:hSpace="181" w:wrap="notBeside" w:vAnchor="text" w:hAnchor="margin" w:xAlign="center" w:y="1"/>
              <w:jc w:val="center"/>
            </w:pPr>
            <w:r w:rsidRPr="000D45EC">
              <w:t>450-470</w:t>
            </w:r>
          </w:p>
        </w:tc>
        <w:tc>
          <w:tcPr>
            <w:tcW w:w="3831" w:type="dxa"/>
            <w:tcBorders>
              <w:top w:val="single" w:sz="4" w:space="0" w:color="000000"/>
              <w:left w:val="single" w:sz="4" w:space="0" w:color="000000"/>
              <w:bottom w:val="single" w:sz="4" w:space="0" w:color="000000"/>
              <w:right w:val="single" w:sz="4" w:space="0" w:color="000000"/>
            </w:tcBorders>
          </w:tcPr>
          <w:p w:rsidR="00843C2F" w:rsidRPr="000D45EC" w:rsidRDefault="00843C2F" w:rsidP="00E10990">
            <w:pPr>
              <w:pStyle w:val="Tabletext"/>
              <w:framePr w:hSpace="181" w:wrap="notBeside" w:vAnchor="text" w:hAnchor="margin" w:xAlign="center" w:y="1"/>
              <w:jc w:val="center"/>
            </w:pPr>
            <w:r w:rsidRPr="000D45EC">
              <w:t>5.286AA</w:t>
            </w:r>
          </w:p>
        </w:tc>
      </w:tr>
      <w:tr w:rsidR="00843C2F" w:rsidRPr="000D45EC" w:rsidTr="00843C2F">
        <w:tc>
          <w:tcPr>
            <w:tcW w:w="2354" w:type="dxa"/>
            <w:tcBorders>
              <w:top w:val="single" w:sz="4" w:space="0" w:color="000000"/>
              <w:left w:val="single" w:sz="4" w:space="0" w:color="000000"/>
              <w:bottom w:val="single" w:sz="4" w:space="0" w:color="000000"/>
            </w:tcBorders>
          </w:tcPr>
          <w:p w:rsidR="00843C2F" w:rsidRPr="000D45EC" w:rsidRDefault="00843C2F" w:rsidP="00E10990">
            <w:pPr>
              <w:pStyle w:val="Tabletext"/>
              <w:framePr w:hSpace="181" w:wrap="notBeside" w:vAnchor="text" w:hAnchor="margin" w:xAlign="center" w:y="1"/>
              <w:jc w:val="center"/>
            </w:pPr>
            <w:r w:rsidRPr="000D45EC">
              <w:t>698-960</w:t>
            </w:r>
          </w:p>
        </w:tc>
        <w:tc>
          <w:tcPr>
            <w:tcW w:w="3831" w:type="dxa"/>
            <w:tcBorders>
              <w:top w:val="single" w:sz="4" w:space="0" w:color="000000"/>
              <w:left w:val="single" w:sz="4" w:space="0" w:color="000000"/>
              <w:bottom w:val="single" w:sz="4" w:space="0" w:color="000000"/>
              <w:right w:val="single" w:sz="4" w:space="0" w:color="000000"/>
            </w:tcBorders>
          </w:tcPr>
          <w:p w:rsidR="00843C2F" w:rsidRPr="000D45EC" w:rsidRDefault="00843C2F" w:rsidP="00E10990">
            <w:pPr>
              <w:pStyle w:val="Tabletext"/>
              <w:framePr w:hSpace="181" w:wrap="notBeside" w:vAnchor="text" w:hAnchor="margin" w:xAlign="center" w:y="1"/>
              <w:jc w:val="center"/>
            </w:pPr>
            <w:r w:rsidRPr="000D45EC">
              <w:t>5.313A; 5.317A</w:t>
            </w:r>
          </w:p>
        </w:tc>
      </w:tr>
      <w:tr w:rsidR="00843C2F" w:rsidRPr="000D45EC" w:rsidTr="00843C2F">
        <w:tc>
          <w:tcPr>
            <w:tcW w:w="2354" w:type="dxa"/>
            <w:tcBorders>
              <w:top w:val="single" w:sz="4" w:space="0" w:color="000000"/>
              <w:left w:val="single" w:sz="4" w:space="0" w:color="000000"/>
              <w:bottom w:val="single" w:sz="4" w:space="0" w:color="000000"/>
            </w:tcBorders>
          </w:tcPr>
          <w:p w:rsidR="00843C2F" w:rsidRPr="000D45EC" w:rsidRDefault="00843C2F" w:rsidP="00E10990">
            <w:pPr>
              <w:pStyle w:val="Tabletext"/>
              <w:framePr w:hSpace="181" w:wrap="notBeside" w:vAnchor="text" w:hAnchor="margin" w:xAlign="center" w:y="1"/>
              <w:jc w:val="center"/>
            </w:pPr>
            <w:r w:rsidRPr="000D45EC">
              <w:t>1 710-2 025</w:t>
            </w:r>
          </w:p>
        </w:tc>
        <w:tc>
          <w:tcPr>
            <w:tcW w:w="3831" w:type="dxa"/>
            <w:tcBorders>
              <w:top w:val="single" w:sz="4" w:space="0" w:color="000000"/>
              <w:left w:val="single" w:sz="4" w:space="0" w:color="000000"/>
              <w:bottom w:val="single" w:sz="4" w:space="0" w:color="000000"/>
              <w:right w:val="single" w:sz="4" w:space="0" w:color="000000"/>
            </w:tcBorders>
          </w:tcPr>
          <w:p w:rsidR="00843C2F" w:rsidRPr="000D45EC" w:rsidRDefault="00843C2F" w:rsidP="00E10990">
            <w:pPr>
              <w:pStyle w:val="Tabletext"/>
              <w:framePr w:hSpace="181" w:wrap="notBeside" w:vAnchor="text" w:hAnchor="margin" w:xAlign="center" w:y="1"/>
              <w:jc w:val="center"/>
            </w:pPr>
            <w:r w:rsidRPr="000D45EC">
              <w:t>5.384A, 5.388, 5.388A, 5.388B</w:t>
            </w:r>
          </w:p>
        </w:tc>
      </w:tr>
      <w:tr w:rsidR="00843C2F" w:rsidRPr="000D45EC" w:rsidTr="00843C2F">
        <w:tc>
          <w:tcPr>
            <w:tcW w:w="2354" w:type="dxa"/>
            <w:tcBorders>
              <w:top w:val="single" w:sz="4" w:space="0" w:color="000000"/>
              <w:left w:val="single" w:sz="4" w:space="0" w:color="000000"/>
              <w:bottom w:val="single" w:sz="4" w:space="0" w:color="000000"/>
            </w:tcBorders>
          </w:tcPr>
          <w:p w:rsidR="00843C2F" w:rsidRPr="000D45EC" w:rsidRDefault="00843C2F" w:rsidP="00E10990">
            <w:pPr>
              <w:pStyle w:val="Tabletext"/>
              <w:framePr w:hSpace="181" w:wrap="notBeside" w:vAnchor="text" w:hAnchor="margin" w:xAlign="center" w:y="1"/>
              <w:jc w:val="center"/>
            </w:pPr>
            <w:r w:rsidRPr="000D45EC">
              <w:t>2 110-2 200</w:t>
            </w:r>
          </w:p>
        </w:tc>
        <w:tc>
          <w:tcPr>
            <w:tcW w:w="3831" w:type="dxa"/>
            <w:tcBorders>
              <w:top w:val="single" w:sz="4" w:space="0" w:color="000000"/>
              <w:left w:val="single" w:sz="4" w:space="0" w:color="000000"/>
              <w:bottom w:val="single" w:sz="4" w:space="0" w:color="000000"/>
              <w:right w:val="single" w:sz="4" w:space="0" w:color="000000"/>
            </w:tcBorders>
          </w:tcPr>
          <w:p w:rsidR="00843C2F" w:rsidRPr="000D45EC" w:rsidRDefault="00843C2F" w:rsidP="00E10990">
            <w:pPr>
              <w:pStyle w:val="Tabletext"/>
              <w:framePr w:hSpace="181" w:wrap="notBeside" w:vAnchor="text" w:hAnchor="margin" w:xAlign="center" w:y="1"/>
              <w:jc w:val="center"/>
            </w:pPr>
            <w:r w:rsidRPr="000D45EC">
              <w:t>5.388</w:t>
            </w:r>
          </w:p>
        </w:tc>
      </w:tr>
      <w:tr w:rsidR="00843C2F" w:rsidRPr="000D45EC" w:rsidTr="00843C2F">
        <w:tc>
          <w:tcPr>
            <w:tcW w:w="2354" w:type="dxa"/>
            <w:tcBorders>
              <w:top w:val="single" w:sz="4" w:space="0" w:color="000000"/>
              <w:left w:val="single" w:sz="4" w:space="0" w:color="000000"/>
              <w:bottom w:val="single" w:sz="4" w:space="0" w:color="000000"/>
            </w:tcBorders>
          </w:tcPr>
          <w:p w:rsidR="00843C2F" w:rsidRPr="000D45EC" w:rsidRDefault="00843C2F" w:rsidP="00E10990">
            <w:pPr>
              <w:pStyle w:val="Tabletext"/>
              <w:framePr w:hSpace="181" w:wrap="notBeside" w:vAnchor="text" w:hAnchor="margin" w:xAlign="center" w:y="1"/>
              <w:jc w:val="center"/>
            </w:pPr>
            <w:r w:rsidRPr="000D45EC">
              <w:t>2 300-2 400</w:t>
            </w:r>
          </w:p>
        </w:tc>
        <w:tc>
          <w:tcPr>
            <w:tcW w:w="3831" w:type="dxa"/>
            <w:tcBorders>
              <w:top w:val="single" w:sz="4" w:space="0" w:color="000000"/>
              <w:left w:val="single" w:sz="4" w:space="0" w:color="000000"/>
              <w:bottom w:val="single" w:sz="4" w:space="0" w:color="000000"/>
              <w:right w:val="single" w:sz="4" w:space="0" w:color="000000"/>
            </w:tcBorders>
          </w:tcPr>
          <w:p w:rsidR="00843C2F" w:rsidRPr="000D45EC" w:rsidRDefault="00843C2F" w:rsidP="00E10990">
            <w:pPr>
              <w:pStyle w:val="Tabletext"/>
              <w:framePr w:hSpace="181" w:wrap="notBeside" w:vAnchor="text" w:hAnchor="margin" w:xAlign="center" w:y="1"/>
              <w:jc w:val="center"/>
            </w:pPr>
            <w:r w:rsidRPr="000D45EC">
              <w:t>5.384A</w:t>
            </w:r>
          </w:p>
        </w:tc>
      </w:tr>
      <w:tr w:rsidR="00843C2F" w:rsidRPr="000D45EC" w:rsidTr="00843C2F">
        <w:tc>
          <w:tcPr>
            <w:tcW w:w="2354" w:type="dxa"/>
            <w:tcBorders>
              <w:top w:val="single" w:sz="4" w:space="0" w:color="000000"/>
              <w:left w:val="single" w:sz="4" w:space="0" w:color="000000"/>
              <w:bottom w:val="single" w:sz="4" w:space="0" w:color="000000"/>
            </w:tcBorders>
          </w:tcPr>
          <w:p w:rsidR="00843C2F" w:rsidRPr="000D45EC" w:rsidRDefault="00843C2F" w:rsidP="00E10990">
            <w:pPr>
              <w:pStyle w:val="Tabletext"/>
              <w:framePr w:hSpace="181" w:wrap="notBeside" w:vAnchor="text" w:hAnchor="margin" w:xAlign="center" w:y="1"/>
              <w:jc w:val="center"/>
            </w:pPr>
            <w:r w:rsidRPr="000D45EC">
              <w:t>2 500-2 690</w:t>
            </w:r>
          </w:p>
        </w:tc>
        <w:tc>
          <w:tcPr>
            <w:tcW w:w="3831" w:type="dxa"/>
            <w:tcBorders>
              <w:top w:val="single" w:sz="4" w:space="0" w:color="000000"/>
              <w:left w:val="single" w:sz="4" w:space="0" w:color="000000"/>
              <w:bottom w:val="single" w:sz="4" w:space="0" w:color="000000"/>
              <w:right w:val="single" w:sz="4" w:space="0" w:color="000000"/>
            </w:tcBorders>
          </w:tcPr>
          <w:p w:rsidR="00843C2F" w:rsidRPr="000D45EC" w:rsidRDefault="00843C2F" w:rsidP="00E10990">
            <w:pPr>
              <w:pStyle w:val="Tabletext"/>
              <w:framePr w:hSpace="181" w:wrap="notBeside" w:vAnchor="text" w:hAnchor="margin" w:xAlign="center" w:y="1"/>
              <w:jc w:val="center"/>
            </w:pPr>
            <w:r w:rsidRPr="000D45EC">
              <w:t>5.384A</w:t>
            </w:r>
          </w:p>
        </w:tc>
      </w:tr>
      <w:tr w:rsidR="00843C2F" w:rsidRPr="000D45EC" w:rsidTr="00843C2F">
        <w:tc>
          <w:tcPr>
            <w:tcW w:w="2354" w:type="dxa"/>
            <w:tcBorders>
              <w:top w:val="single" w:sz="4" w:space="0" w:color="000000"/>
              <w:left w:val="single" w:sz="4" w:space="0" w:color="000000"/>
              <w:bottom w:val="single" w:sz="4" w:space="0" w:color="000000"/>
            </w:tcBorders>
          </w:tcPr>
          <w:p w:rsidR="00843C2F" w:rsidRPr="000D45EC" w:rsidRDefault="00843C2F" w:rsidP="00E10990">
            <w:pPr>
              <w:pStyle w:val="Tabletext"/>
              <w:framePr w:hSpace="181" w:wrap="notBeside" w:vAnchor="text" w:hAnchor="margin" w:xAlign="center" w:y="1"/>
              <w:jc w:val="center"/>
            </w:pPr>
            <w:r w:rsidRPr="000D45EC">
              <w:t>3 400-3 600</w:t>
            </w:r>
          </w:p>
        </w:tc>
        <w:tc>
          <w:tcPr>
            <w:tcW w:w="3831" w:type="dxa"/>
            <w:tcBorders>
              <w:top w:val="single" w:sz="4" w:space="0" w:color="000000"/>
              <w:left w:val="single" w:sz="4" w:space="0" w:color="000000"/>
              <w:bottom w:val="single" w:sz="4" w:space="0" w:color="000000"/>
              <w:right w:val="single" w:sz="4" w:space="0" w:color="000000"/>
            </w:tcBorders>
          </w:tcPr>
          <w:p w:rsidR="00843C2F" w:rsidRPr="000D45EC" w:rsidRDefault="00843C2F" w:rsidP="00E10990">
            <w:pPr>
              <w:pStyle w:val="Tabletext"/>
              <w:framePr w:hSpace="181" w:wrap="notBeside" w:vAnchor="text" w:hAnchor="margin" w:xAlign="center" w:y="1"/>
              <w:jc w:val="center"/>
            </w:pPr>
            <w:r w:rsidRPr="000D45EC">
              <w:t>5.430A, 5.432A, 5.432B, 5.433A</w:t>
            </w:r>
          </w:p>
        </w:tc>
      </w:tr>
    </w:tbl>
    <w:p w:rsidR="00843C2F" w:rsidRDefault="00843C2F" w:rsidP="00843C2F">
      <w:pPr>
        <w:pStyle w:val="FigureSource"/>
      </w:pPr>
    </w:p>
    <w:p w:rsidR="000E0346" w:rsidRPr="00A43C05" w:rsidRDefault="00F43AA7" w:rsidP="00F43AA7">
      <w:pPr>
        <w:pStyle w:val="Normalaftertitle"/>
        <w:rPr>
          <w:lang w:val="es-ES_tradnl"/>
        </w:rPr>
      </w:pPr>
      <w:r>
        <w:rPr>
          <w:lang w:val="es-ES_tradnl"/>
        </w:rPr>
        <w:t xml:space="preserve">Además, ciertas administraciones pueden implantar sistemas IMT-2000 en bandas distintas de las identificadas en el </w:t>
      </w:r>
      <w:r w:rsidRPr="001F163E">
        <w:rPr>
          <w:lang w:val="es-ES_tradnl"/>
        </w:rPr>
        <w:t>RR.</w:t>
      </w:r>
      <w:r w:rsidRPr="00F43AA7">
        <w:rPr>
          <w:rFonts w:eastAsia="SimSun"/>
          <w:vertAlign w:val="superscript"/>
        </w:rPr>
        <w:footnoteReference w:id="6"/>
      </w:r>
    </w:p>
    <w:p w:rsidR="000E0346" w:rsidRPr="00A43C05" w:rsidRDefault="000E0346" w:rsidP="00F43AA7">
      <w:pPr>
        <w:pStyle w:val="Heading2"/>
        <w:rPr>
          <w:lang w:val="es-ES_tradnl"/>
        </w:rPr>
      </w:pPr>
      <w:bookmarkStart w:id="113" w:name="_Toc236826228"/>
      <w:bookmarkStart w:id="114" w:name="_Toc255292528"/>
      <w:bookmarkStart w:id="115" w:name="_Toc259024233"/>
      <w:r w:rsidRPr="00A43C05">
        <w:rPr>
          <w:lang w:val="es-ES_tradnl"/>
        </w:rPr>
        <w:t>7.1</w:t>
      </w:r>
      <w:r w:rsidRPr="00A43C05">
        <w:rPr>
          <w:lang w:val="es-ES_tradnl"/>
        </w:rPr>
        <w:tab/>
      </w:r>
      <w:bookmarkEnd w:id="113"/>
      <w:bookmarkEnd w:id="114"/>
      <w:r w:rsidR="00F43AA7" w:rsidRPr="00F43AA7">
        <w:rPr>
          <w:lang w:val="es-ES_tradnl"/>
        </w:rPr>
        <w:t>Actualización de las disposiciones de frecuencias</w:t>
      </w:r>
      <w:bookmarkEnd w:id="115"/>
    </w:p>
    <w:p w:rsidR="00A04655" w:rsidRPr="001F163E" w:rsidRDefault="00A04655" w:rsidP="00A04655">
      <w:pPr>
        <w:rPr>
          <w:lang w:val="es-ES_tradnl"/>
        </w:rPr>
      </w:pPr>
      <w:r>
        <w:rPr>
          <w:lang w:val="es-ES_tradnl"/>
        </w:rPr>
        <w:t xml:space="preserve">La labor del Grupo de Trabajo 5D de la UIT sobre disposiciones de frecuencias para las bandas de las IMT está orientada a unir a los Estados Miembros de la UIT para que apoyen un plan de bandas común para los servicios móviles. El objetivo es evitar la fragmentación del mercado y concertar el acuerdo más amplio posible sobre disposiciones de frecuencia armonizadas. El motivo de esta armonización es la obtención de costos de red menores, la simplificación de la </w:t>
      </w:r>
      <w:proofErr w:type="spellStart"/>
      <w:r>
        <w:rPr>
          <w:lang w:val="es-ES_tradnl"/>
        </w:rPr>
        <w:t>itinerancia</w:t>
      </w:r>
      <w:proofErr w:type="spellEnd"/>
      <w:r>
        <w:rPr>
          <w:lang w:val="es-ES_tradnl"/>
        </w:rPr>
        <w:t xml:space="preserve"> y el abaratamiento de los dispositivos.</w:t>
      </w:r>
    </w:p>
    <w:p w:rsidR="00A04655" w:rsidRPr="001F163E" w:rsidRDefault="00A04655" w:rsidP="00A04655">
      <w:pPr>
        <w:rPr>
          <w:lang w:val="es-ES_tradnl"/>
        </w:rPr>
      </w:pPr>
      <w:r>
        <w:rPr>
          <w:lang w:val="es-ES_tradnl"/>
        </w:rPr>
        <w:t>El GT 5D del UIT</w:t>
      </w:r>
      <w:r w:rsidRPr="001F163E">
        <w:rPr>
          <w:lang w:val="es-ES_tradnl"/>
        </w:rPr>
        <w:t xml:space="preserve">-R </w:t>
      </w:r>
      <w:r>
        <w:rPr>
          <w:lang w:val="es-ES_tradnl"/>
        </w:rPr>
        <w:t>se encuentra inmerso en la actualización de la Recomendación UIT-R</w:t>
      </w:r>
      <w:r w:rsidRPr="001F163E">
        <w:rPr>
          <w:lang w:val="es-ES_tradnl"/>
        </w:rPr>
        <w:t xml:space="preserve"> M.1036-3 </w:t>
      </w:r>
      <w:r>
        <w:rPr>
          <w:lang w:val="es-ES_tradnl"/>
        </w:rPr>
        <w:t xml:space="preserve">y ha elaborado un documento de trabajo que contiene las disposiciones de frecuencias recomendadas para la </w:t>
      </w:r>
      <w:r>
        <w:rPr>
          <w:lang w:val="es-ES_tradnl"/>
        </w:rPr>
        <w:lastRenderedPageBreak/>
        <w:t>implementación en las bandas identificadas para las IMT en el Reglamento de Radiocomunicaciones (RR)</w:t>
      </w:r>
      <w:r w:rsidRPr="001F163E">
        <w:rPr>
          <w:lang w:val="es-ES_tradnl"/>
        </w:rPr>
        <w:t>.</w:t>
      </w:r>
      <w:r w:rsidRPr="00A04655">
        <w:rPr>
          <w:rFonts w:eastAsia="SimSun"/>
          <w:vertAlign w:val="superscript"/>
        </w:rPr>
        <w:footnoteReference w:id="7"/>
      </w:r>
      <w:r>
        <w:rPr>
          <w:lang w:val="es-ES_tradnl"/>
        </w:rPr>
        <w:t xml:space="preserve"> El orden de las disposiciones de frecuencias en cada uno de los anexos no supone ninguna prioridad específica. Las administraciones pueden implementar cualquiera de las disposiciones de frecuencias recomendadas que se adapten a las condiciones de sus países.</w:t>
      </w:r>
      <w:r w:rsidRPr="001F163E">
        <w:rPr>
          <w:lang w:val="es-ES_tradnl"/>
        </w:rPr>
        <w:t xml:space="preserve"> </w:t>
      </w:r>
      <w:r>
        <w:rPr>
          <w:lang w:val="es-ES_tradnl"/>
        </w:rPr>
        <w:t>Las administraciones pueden implementar cada una de las disposiciones de frecuencias en todo o en parte.</w:t>
      </w:r>
    </w:p>
    <w:p w:rsidR="000E0346" w:rsidRPr="00A43C05" w:rsidRDefault="00A04655" w:rsidP="00A04655">
      <w:pPr>
        <w:rPr>
          <w:lang w:val="es-ES_tradnl"/>
        </w:rPr>
      </w:pPr>
      <w:r>
        <w:rPr>
          <w:lang w:val="es-ES_tradnl"/>
        </w:rPr>
        <w:t>Las administraciones deben tener en cuenta el hecho de que en algunas de las disposiciones de frecuencias en la misma banda se solapan la banda del trasmisor de la estación base y la del transmisor de la estación móvil. Pueden aparecer problemas de interferencia cuando una disposición de frecuencias se solape con la disposición de frecuencias de algún país vecino.</w:t>
      </w:r>
    </w:p>
    <w:p w:rsidR="000E0346" w:rsidRPr="00A43C05" w:rsidRDefault="000E0346" w:rsidP="00A04655">
      <w:pPr>
        <w:pStyle w:val="Heading2"/>
        <w:rPr>
          <w:lang w:val="es-ES_tradnl"/>
        </w:rPr>
      </w:pPr>
      <w:bookmarkStart w:id="116" w:name="_Toc236826229"/>
      <w:bookmarkStart w:id="117" w:name="_Toc255292529"/>
      <w:bookmarkStart w:id="118" w:name="_Toc259024234"/>
      <w:r w:rsidRPr="00A43C05">
        <w:rPr>
          <w:lang w:val="es-ES_tradnl"/>
        </w:rPr>
        <w:t>7.2</w:t>
      </w:r>
      <w:r w:rsidRPr="00A43C05">
        <w:rPr>
          <w:lang w:val="es-ES_tradnl"/>
        </w:rPr>
        <w:tab/>
      </w:r>
      <w:bookmarkEnd w:id="116"/>
      <w:bookmarkEnd w:id="117"/>
      <w:r w:rsidR="00A04655" w:rsidRPr="00A04655">
        <w:rPr>
          <w:lang w:val="es-ES_tradnl"/>
        </w:rPr>
        <w:t>Consideraciones para los países en desarrollo</w:t>
      </w:r>
      <w:bookmarkEnd w:id="118"/>
    </w:p>
    <w:p w:rsidR="00A04655" w:rsidRPr="001F163E" w:rsidRDefault="00A04655" w:rsidP="00A04655">
      <w:pPr>
        <w:rPr>
          <w:lang w:val="es-ES_tradnl"/>
        </w:rPr>
      </w:pPr>
      <w:r>
        <w:rPr>
          <w:lang w:val="es-ES_tradnl"/>
        </w:rPr>
        <w:t>Entre las cuestiones que afectan específicamente a los países en desarrollo se encuentran la selección de las bandas espectrales identificadas en la CAMR</w:t>
      </w:r>
      <w:r w:rsidRPr="001F163E">
        <w:rPr>
          <w:lang w:val="es-ES_tradnl"/>
        </w:rPr>
        <w:noBreakHyphen/>
        <w:t xml:space="preserve">92, </w:t>
      </w:r>
      <w:r>
        <w:rPr>
          <w:lang w:val="es-ES_tradnl"/>
        </w:rPr>
        <w:t>CMR</w:t>
      </w:r>
      <w:r w:rsidRPr="001F163E">
        <w:rPr>
          <w:lang w:val="es-ES_tradnl"/>
        </w:rPr>
        <w:noBreakHyphen/>
        <w:t xml:space="preserve">2000 </w:t>
      </w:r>
      <w:r>
        <w:rPr>
          <w:lang w:val="es-ES_tradnl"/>
        </w:rPr>
        <w:t>y</w:t>
      </w:r>
      <w:r w:rsidRPr="001F163E">
        <w:rPr>
          <w:lang w:val="es-ES_tradnl"/>
        </w:rPr>
        <w:t xml:space="preserve"> </w:t>
      </w:r>
      <w:r>
        <w:rPr>
          <w:lang w:val="es-ES_tradnl"/>
        </w:rPr>
        <w:t>CMR</w:t>
      </w:r>
      <w:r w:rsidRPr="001F163E">
        <w:rPr>
          <w:lang w:val="es-ES_tradnl"/>
        </w:rPr>
        <w:t xml:space="preserve">-07 </w:t>
      </w:r>
      <w:r>
        <w:rPr>
          <w:lang w:val="es-ES_tradnl"/>
        </w:rPr>
        <w:t xml:space="preserve">así como la </w:t>
      </w:r>
      <w:proofErr w:type="spellStart"/>
      <w:r>
        <w:rPr>
          <w:lang w:val="es-ES_tradnl"/>
        </w:rPr>
        <w:t>reatribución</w:t>
      </w:r>
      <w:proofErr w:type="spellEnd"/>
      <w:r>
        <w:rPr>
          <w:lang w:val="es-ES_tradnl"/>
        </w:rPr>
        <w:t xml:space="preserve"> del espectro anterior a las IMT-2000</w:t>
      </w:r>
      <w:r w:rsidRPr="001F163E">
        <w:rPr>
          <w:lang w:val="es-ES_tradnl"/>
        </w:rPr>
        <w:t>.</w:t>
      </w:r>
    </w:p>
    <w:p w:rsidR="000E0346" w:rsidRPr="00A43C05" w:rsidRDefault="00A04655" w:rsidP="00A04655">
      <w:pPr>
        <w:rPr>
          <w:lang w:val="es-ES_tradnl"/>
        </w:rPr>
      </w:pPr>
      <w:r>
        <w:rPr>
          <w:lang w:val="es-ES_tradnl"/>
        </w:rPr>
        <w:t xml:space="preserve">Muchos países en desarrollo han manifestado su necesidad de utilizar las bandas de frecuencias inferiores por debajo de las ya identificadas para las IMT-2000 a fin de ofrecer una mejor cobertura e implementar las IMT-2000 a menor costo. Algunas administraciones podrían plantearse la utilización de las bandas inferiores, por debajo de </w:t>
      </w:r>
      <w:r w:rsidRPr="001F163E">
        <w:rPr>
          <w:lang w:val="es-ES_tradnl"/>
        </w:rPr>
        <w:t>600 MHz</w:t>
      </w:r>
      <w:r>
        <w:rPr>
          <w:lang w:val="es-ES_tradnl"/>
        </w:rPr>
        <w:t>,</w:t>
      </w:r>
      <w:r w:rsidRPr="001F163E">
        <w:rPr>
          <w:lang w:val="es-ES_tradnl"/>
        </w:rPr>
        <w:t xml:space="preserve"> </w:t>
      </w:r>
      <w:r>
        <w:rPr>
          <w:lang w:val="es-ES_tradnl"/>
        </w:rPr>
        <w:t>para la implantación de los sistemas IMT-2000 en los casos en que sea conveniente evolucionar desde un sistema existente de la segunda generación a las IMT-2000 o aprovechar las condiciones más ventajosas de cobertura para las zonas escasamente pobladas y las de baja densidad de tráfico. Se ha estudiado una solución adecuada para los países en desarrollo y finalmente se han identificado</w:t>
      </w:r>
      <w:r w:rsidRPr="000E43E0">
        <w:rPr>
          <w:lang w:val="es-ES_tradnl"/>
        </w:rPr>
        <w:t xml:space="preserve"> </w:t>
      </w:r>
      <w:r>
        <w:rPr>
          <w:lang w:val="es-ES_tradnl"/>
        </w:rPr>
        <w:t xml:space="preserve">en la CMR-07 bandas por debajo de </w:t>
      </w:r>
      <w:r w:rsidRPr="001F163E">
        <w:rPr>
          <w:lang w:val="es-ES_tradnl"/>
        </w:rPr>
        <w:t xml:space="preserve">1 GHz </w:t>
      </w:r>
      <w:r>
        <w:rPr>
          <w:lang w:val="es-ES_tradnl"/>
        </w:rPr>
        <w:t>para facilitar la implantación de los sistemas IMT</w:t>
      </w:r>
      <w:r w:rsidRPr="001F163E">
        <w:rPr>
          <w:lang w:val="es-ES_tradnl"/>
        </w:rPr>
        <w:t>.</w:t>
      </w:r>
    </w:p>
    <w:p w:rsidR="000E0346" w:rsidRPr="00A43C05" w:rsidRDefault="000E0346" w:rsidP="00A04655">
      <w:pPr>
        <w:pStyle w:val="Heading2"/>
        <w:rPr>
          <w:lang w:val="es-ES_tradnl"/>
        </w:rPr>
      </w:pPr>
      <w:bookmarkStart w:id="119" w:name="_Toc236826230"/>
      <w:bookmarkStart w:id="120" w:name="_Toc255292530"/>
      <w:bookmarkStart w:id="121" w:name="_Toc259024235"/>
      <w:r w:rsidRPr="00A43C05">
        <w:rPr>
          <w:lang w:val="es-ES_tradnl"/>
        </w:rPr>
        <w:t>7.3</w:t>
      </w:r>
      <w:r w:rsidRPr="00A43C05">
        <w:rPr>
          <w:lang w:val="es-ES_tradnl"/>
        </w:rPr>
        <w:tab/>
      </w:r>
      <w:bookmarkEnd w:id="119"/>
      <w:bookmarkEnd w:id="120"/>
      <w:r w:rsidR="00A04655" w:rsidRPr="00A04655">
        <w:rPr>
          <w:lang w:val="es-ES_tradnl"/>
        </w:rPr>
        <w:t>Principios aplicables a la utilización de espectro para las IMT</w:t>
      </w:r>
      <w:bookmarkEnd w:id="121"/>
    </w:p>
    <w:p w:rsidR="000E0346" w:rsidRPr="00A43C05" w:rsidRDefault="00A04655" w:rsidP="00A04655">
      <w:pPr>
        <w:rPr>
          <w:lang w:val="es-ES_tradnl"/>
        </w:rPr>
      </w:pPr>
      <w:r w:rsidRPr="00A04655">
        <w:rPr>
          <w:lang w:val="es-ES_tradnl"/>
        </w:rPr>
        <w:t>Algunos de los principios por lo que se rige la utilización de espectro por parte de los sistemas IMT se recogen en la Recomendación UIT-R M.1036. Además, los organismos reguladores pueden utilizar la Recomendación UIT-R M.1036 para definir sus disposiciones de frecuencias para la implementación de la componente terrenal de las telecomunicaciones móviles internacionales (IMT).</w:t>
      </w:r>
    </w:p>
    <w:p w:rsidR="000E0346" w:rsidRPr="00A43C05" w:rsidRDefault="000E0346" w:rsidP="00A04655">
      <w:pPr>
        <w:pStyle w:val="Heading2"/>
        <w:rPr>
          <w:lang w:val="es-ES_tradnl"/>
        </w:rPr>
      </w:pPr>
      <w:bookmarkStart w:id="122" w:name="_Toc44428206"/>
      <w:bookmarkStart w:id="123" w:name="_Toc44446729"/>
      <w:bookmarkStart w:id="124" w:name="_Toc53323393"/>
      <w:bookmarkStart w:id="125" w:name="_Toc63611599"/>
      <w:bookmarkStart w:id="126" w:name="_Toc89083673"/>
      <w:bookmarkStart w:id="127" w:name="_Toc92878197"/>
      <w:bookmarkStart w:id="128" w:name="_Toc101931243"/>
      <w:bookmarkStart w:id="129" w:name="_Toc103399262"/>
      <w:bookmarkStart w:id="130" w:name="_Toc103400340"/>
      <w:bookmarkStart w:id="131" w:name="_Toc103400804"/>
      <w:bookmarkStart w:id="132" w:name="_Toc103401268"/>
      <w:bookmarkStart w:id="133" w:name="_Toc103401733"/>
      <w:bookmarkStart w:id="134" w:name="_Toc103402199"/>
      <w:bookmarkStart w:id="135" w:name="_Toc103402664"/>
      <w:bookmarkStart w:id="136" w:name="_Toc103403429"/>
      <w:bookmarkStart w:id="137" w:name="_Toc103421199"/>
      <w:bookmarkStart w:id="138" w:name="_Toc103528373"/>
      <w:bookmarkStart w:id="139" w:name="_Toc255292531"/>
      <w:bookmarkStart w:id="140" w:name="_Toc259024236"/>
      <w:r w:rsidRPr="00A43C05">
        <w:rPr>
          <w:lang w:val="es-ES_tradnl"/>
        </w:rPr>
        <w:t>7.4</w:t>
      </w:r>
      <w:r w:rsidRPr="00A43C05">
        <w:rPr>
          <w:lang w:val="es-ES_tradnl"/>
        </w:rPr>
        <w:tab/>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00A04655" w:rsidRPr="00A04655">
        <w:rPr>
          <w:lang w:val="es-ES_tradnl"/>
        </w:rPr>
        <w:t>Utilización de espectro móvil de la primera y segunda generación para las IMT</w:t>
      </w:r>
      <w:r w:rsidR="00A04655" w:rsidRPr="00A04655">
        <w:rPr>
          <w:lang w:val="es-ES_tradnl"/>
        </w:rPr>
        <w:noBreakHyphen/>
        <w:t>2000</w:t>
      </w:r>
      <w:bookmarkEnd w:id="140"/>
    </w:p>
    <w:p w:rsidR="00A04655" w:rsidRPr="001F163E" w:rsidRDefault="00A04655" w:rsidP="00A04655">
      <w:pPr>
        <w:rPr>
          <w:lang w:val="es-ES_tradnl"/>
        </w:rPr>
      </w:pPr>
      <w:r>
        <w:rPr>
          <w:lang w:val="es-ES_tradnl"/>
        </w:rPr>
        <w:t>En reconocimiento de las ventajas que se obtendrán de la transición de los actuales sistemas a las IMT</w:t>
      </w:r>
      <w:r>
        <w:rPr>
          <w:lang w:val="es-ES_tradnl"/>
        </w:rPr>
        <w:noBreakHyphen/>
        <w:t xml:space="preserve">2000, la CAMR-92 y la CMR-2000 identificaron las gamas de frecuencias, entre ellas las bandas de </w:t>
      </w:r>
      <w:r w:rsidRPr="001F163E">
        <w:rPr>
          <w:lang w:val="es-ES_tradnl"/>
        </w:rPr>
        <w:t xml:space="preserve">800 MHz, 900 MHz, 1 800 MHz </w:t>
      </w:r>
      <w:r>
        <w:rPr>
          <w:lang w:val="es-ES_tradnl"/>
        </w:rPr>
        <w:t>y</w:t>
      </w:r>
      <w:r w:rsidRPr="001F163E">
        <w:rPr>
          <w:lang w:val="es-ES_tradnl"/>
        </w:rPr>
        <w:t xml:space="preserve"> 1 900 MHz</w:t>
      </w:r>
      <w:r>
        <w:rPr>
          <w:lang w:val="es-ES_tradnl"/>
        </w:rPr>
        <w:t xml:space="preserve">, en las que funcionan la mayor parte de los sistemas inalámbricos comerciales de la primera y segunda generación. Uno de los problemas que plantea la </w:t>
      </w:r>
      <w:proofErr w:type="spellStart"/>
      <w:r>
        <w:rPr>
          <w:lang w:val="es-ES_tradnl"/>
        </w:rPr>
        <w:t>reatribución</w:t>
      </w:r>
      <w:proofErr w:type="spellEnd"/>
      <w:r>
        <w:rPr>
          <w:lang w:val="es-ES_tradnl"/>
        </w:rPr>
        <w:t xml:space="preserve"> de espectro previo a las IMT-2000 es el hecho de que los sistemas IMT-2000 utilicen canales de frecuencias situados entre otros utilizados por los sistemas anteriores a las IMT</w:t>
      </w:r>
      <w:r>
        <w:rPr>
          <w:lang w:val="es-ES_tradnl"/>
        </w:rPr>
        <w:noBreakHyphen/>
        <w:t>2000.</w:t>
      </w:r>
    </w:p>
    <w:p w:rsidR="00A04655" w:rsidRPr="001F163E" w:rsidRDefault="00A04655" w:rsidP="00A04655">
      <w:pPr>
        <w:rPr>
          <w:lang w:val="es-ES_tradnl"/>
        </w:rPr>
      </w:pPr>
      <w:r>
        <w:rPr>
          <w:lang w:val="es-ES_tradnl"/>
        </w:rPr>
        <w:t xml:space="preserve">En todo el mundo hay operadores que están utilizando espectro móvil de la primera y segunda generación para las IMT-2000. Por ejemplo, hay operadores de Brasil, Canadá, Ecuador, India, Japón, Corea, México, Nueva Zelandia, Venezuela y los Estados Unidos, entre otros, que utilizan actualmente las bandas de </w:t>
      </w:r>
      <w:r w:rsidRPr="001F163E">
        <w:rPr>
          <w:lang w:val="es-ES_tradnl"/>
        </w:rPr>
        <w:t xml:space="preserve">800 </w:t>
      </w:r>
      <w:r>
        <w:rPr>
          <w:lang w:val="es-ES_tradnl"/>
        </w:rPr>
        <w:t>y</w:t>
      </w:r>
      <w:r w:rsidRPr="001F163E">
        <w:rPr>
          <w:lang w:val="es-ES_tradnl"/>
        </w:rPr>
        <w:t xml:space="preserve"> 1 900 MHz</w:t>
      </w:r>
      <w:r>
        <w:rPr>
          <w:lang w:val="es-ES_tradnl"/>
        </w:rPr>
        <w:t xml:space="preserve"> para prestar servicios IMT-2000 tras la transición a las IMT-2000 de los sistemas actuales de la primera y segunda generación. Análogamente, los operadores de Rumania, </w:t>
      </w:r>
      <w:proofErr w:type="spellStart"/>
      <w:r>
        <w:rPr>
          <w:lang w:val="es-ES_tradnl"/>
        </w:rPr>
        <w:t>Belarús</w:t>
      </w:r>
      <w:proofErr w:type="spellEnd"/>
      <w:r>
        <w:rPr>
          <w:lang w:val="es-ES_tradnl"/>
        </w:rPr>
        <w:t>, Polonia, Federación de Rusia y Suecia han actualizado sus sistemas de la banda</w:t>
      </w:r>
      <w:r w:rsidRPr="001F163E">
        <w:rPr>
          <w:lang w:val="es-ES_tradnl"/>
        </w:rPr>
        <w:t xml:space="preserve"> 450 MHz </w:t>
      </w:r>
      <w:r>
        <w:rPr>
          <w:lang w:val="es-ES_tradnl"/>
        </w:rPr>
        <w:t>a las</w:t>
      </w:r>
      <w:r w:rsidRPr="001F163E">
        <w:rPr>
          <w:lang w:val="es-ES_tradnl"/>
        </w:rPr>
        <w:t xml:space="preserve"> IMT-2000. </w:t>
      </w:r>
    </w:p>
    <w:p w:rsidR="000E0346" w:rsidRPr="00A43C05" w:rsidRDefault="00A04655" w:rsidP="00A04655">
      <w:pPr>
        <w:rPr>
          <w:lang w:val="es-ES_tradnl"/>
        </w:rPr>
      </w:pPr>
      <w:r>
        <w:rPr>
          <w:lang w:val="es-ES_tradnl"/>
        </w:rPr>
        <w:t>Dado el importante desembolso inicial necesario para implantar los nuevos sistemas IMT-2000</w:t>
      </w:r>
      <w:r w:rsidRPr="00010371">
        <w:rPr>
          <w:lang w:val="es-ES_tradnl"/>
        </w:rPr>
        <w:t xml:space="preserve"> </w:t>
      </w:r>
      <w:r>
        <w:rPr>
          <w:lang w:val="es-ES_tradnl"/>
        </w:rPr>
        <w:t>por completo, los operadores son conscientes de que la actualización de las redes del espectro actual constituye una alternativa de mayor viabilidad económica. Además, podría ser más costoso implantar sistemas IMT-2000 en bandas de frecuencias no armonizadas que en las armonizadas y utilizadas por la mayor parte de los operadores por razones de economías de escala.</w:t>
      </w:r>
    </w:p>
    <w:p w:rsidR="000E0346" w:rsidRPr="00A43C05" w:rsidRDefault="00806531" w:rsidP="00863244">
      <w:pPr>
        <w:pStyle w:val="Heading1"/>
        <w:rPr>
          <w:lang w:val="es-ES_tradnl"/>
        </w:rPr>
      </w:pPr>
      <w:bookmarkStart w:id="141" w:name="_Toc236826231"/>
      <w:bookmarkStart w:id="142" w:name="_Toc255292532"/>
      <w:bookmarkStart w:id="143" w:name="_Toc259024237"/>
      <w:r w:rsidRPr="00A43C05">
        <w:rPr>
          <w:lang w:val="es-ES_tradnl"/>
        </w:rPr>
        <w:lastRenderedPageBreak/>
        <w:t>8</w:t>
      </w:r>
      <w:r w:rsidRPr="00A43C05">
        <w:rPr>
          <w:lang w:val="es-ES_tradnl"/>
        </w:rPr>
        <w:tab/>
      </w:r>
      <w:bookmarkEnd w:id="141"/>
      <w:bookmarkEnd w:id="142"/>
      <w:r w:rsidR="00A04655" w:rsidRPr="00A04655">
        <w:rPr>
          <w:lang w:val="es-ES_tradnl"/>
        </w:rPr>
        <w:t>Actualización de la interoperabilidad con las redes actuales y entre las tecnologías de las</w:t>
      </w:r>
      <w:r w:rsidR="00A04655">
        <w:rPr>
          <w:lang w:val="es-ES_tradnl"/>
        </w:rPr>
        <w:t> </w:t>
      </w:r>
      <w:r w:rsidR="00A04655" w:rsidRPr="00A04655">
        <w:rPr>
          <w:lang w:val="es-ES_tradnl"/>
        </w:rPr>
        <w:t>IMT</w:t>
      </w:r>
      <w:r w:rsidR="00A04655">
        <w:rPr>
          <w:lang w:val="es-ES_tradnl"/>
        </w:rPr>
        <w:noBreakHyphen/>
      </w:r>
      <w:r w:rsidR="00A04655" w:rsidRPr="00A04655">
        <w:rPr>
          <w:lang w:val="es-ES_tradnl"/>
        </w:rPr>
        <w:t>2000</w:t>
      </w:r>
      <w:bookmarkEnd w:id="143"/>
    </w:p>
    <w:p w:rsidR="00A04655" w:rsidRPr="001F163E" w:rsidRDefault="00A04655" w:rsidP="00A04655">
      <w:pPr>
        <w:rPr>
          <w:lang w:val="es-ES_tradnl"/>
        </w:rPr>
      </w:pPr>
      <w:r>
        <w:rPr>
          <w:lang w:val="es-ES_tradnl"/>
        </w:rPr>
        <w:t xml:space="preserve">El </w:t>
      </w:r>
      <w:proofErr w:type="spellStart"/>
      <w:r>
        <w:rPr>
          <w:lang w:val="es-ES_tradnl"/>
        </w:rPr>
        <w:t>interfuncionamiento</w:t>
      </w:r>
      <w:proofErr w:type="spellEnd"/>
      <w:r>
        <w:rPr>
          <w:lang w:val="es-ES_tradnl"/>
        </w:rPr>
        <w:t xml:space="preserve"> entre los sistemas IMT-2000 y los sistemas fijos y móviles tradicionales, constituye una cuestión que es preciso abordar dado que, para el usuario, el acceso a sus servicios y aplicaciones a nivel mundial (por ejemplo, entorno local virtual) reviste importancia.</w:t>
      </w:r>
    </w:p>
    <w:p w:rsidR="00A04655" w:rsidRPr="00FD536F" w:rsidRDefault="00A04655" w:rsidP="00A04655">
      <w:pPr>
        <w:rPr>
          <w:lang w:val="es-ES_tradnl"/>
        </w:rPr>
      </w:pPr>
      <w:r w:rsidRPr="00FD536F">
        <w:rPr>
          <w:lang w:val="es-ES_tradnl"/>
        </w:rPr>
        <w:t xml:space="preserve">Hay que destacar la importancia del </w:t>
      </w:r>
      <w:proofErr w:type="spellStart"/>
      <w:r w:rsidRPr="00FD536F">
        <w:rPr>
          <w:lang w:val="es-ES_tradnl"/>
        </w:rPr>
        <w:t>interfuncionamiento</w:t>
      </w:r>
      <w:proofErr w:type="spellEnd"/>
      <w:r w:rsidRPr="00FD536F">
        <w:rPr>
          <w:lang w:val="es-ES_tradnl"/>
        </w:rPr>
        <w:t xml:space="preserve"> en general (y en particular con los sistemas tradicionales) para permitir la cobertura y la circulación de</w:t>
      </w:r>
      <w:r>
        <w:rPr>
          <w:lang w:val="es-ES_tradnl"/>
        </w:rPr>
        <w:t xml:space="preserve"> los</w:t>
      </w:r>
      <w:r w:rsidRPr="00FD536F">
        <w:rPr>
          <w:lang w:val="es-ES_tradnl"/>
        </w:rPr>
        <w:t xml:space="preserve"> terminales</w:t>
      </w:r>
      <w:r w:rsidRPr="00010371">
        <w:rPr>
          <w:lang w:val="es-ES_tradnl"/>
        </w:rPr>
        <w:t xml:space="preserve"> </w:t>
      </w:r>
      <w:r w:rsidRPr="00FD536F">
        <w:rPr>
          <w:lang w:val="es-ES_tradnl"/>
        </w:rPr>
        <w:t xml:space="preserve">a nivel mundial. A este respecto, cabe destacar que se pueden adquirir terminales </w:t>
      </w:r>
      <w:proofErr w:type="spellStart"/>
      <w:r w:rsidRPr="00FD536F">
        <w:rPr>
          <w:lang w:val="es-ES_tradnl"/>
        </w:rPr>
        <w:t>multimodo</w:t>
      </w:r>
      <w:proofErr w:type="spellEnd"/>
      <w:r w:rsidRPr="00FD536F">
        <w:rPr>
          <w:lang w:val="es-ES_tradnl"/>
        </w:rPr>
        <w:t xml:space="preserve"> específicos conforme a las redes comerciales va</w:t>
      </w:r>
      <w:r>
        <w:rPr>
          <w:lang w:val="es-ES_tradnl"/>
        </w:rPr>
        <w:t>ya</w:t>
      </w:r>
      <w:r w:rsidRPr="00FD536F">
        <w:rPr>
          <w:lang w:val="es-ES_tradnl"/>
        </w:rPr>
        <w:t>n cobrando realidad</w:t>
      </w:r>
      <w:r>
        <w:rPr>
          <w:lang w:val="es-ES_tradnl"/>
        </w:rPr>
        <w:t>. L</w:t>
      </w:r>
      <w:r w:rsidRPr="00FD536F">
        <w:rPr>
          <w:lang w:val="es-ES_tradnl"/>
        </w:rPr>
        <w:t>as tarjetas SIM</w:t>
      </w:r>
      <w:r w:rsidRPr="00722DA4">
        <w:rPr>
          <w:bCs/>
          <w:sz w:val="24"/>
          <w:szCs w:val="24"/>
          <w:lang w:val="es-ES_tradnl"/>
        </w:rPr>
        <w:t xml:space="preserve"> </w:t>
      </w:r>
      <w:r w:rsidRPr="00FD536F">
        <w:rPr>
          <w:lang w:val="es-ES_tradnl"/>
        </w:rPr>
        <w:t>(</w:t>
      </w:r>
      <w:proofErr w:type="spellStart"/>
      <w:r w:rsidRPr="00010371">
        <w:rPr>
          <w:i/>
          <w:lang w:val="es-ES_tradnl"/>
        </w:rPr>
        <w:t>Subscriber</w:t>
      </w:r>
      <w:proofErr w:type="spellEnd"/>
      <w:r w:rsidRPr="00010371">
        <w:rPr>
          <w:i/>
          <w:lang w:val="es-ES_tradnl"/>
        </w:rPr>
        <w:t xml:space="preserve"> </w:t>
      </w:r>
      <w:proofErr w:type="spellStart"/>
      <w:r w:rsidRPr="00010371">
        <w:rPr>
          <w:i/>
          <w:lang w:val="es-ES_tradnl"/>
        </w:rPr>
        <w:t>Identification</w:t>
      </w:r>
      <w:proofErr w:type="spellEnd"/>
      <w:r w:rsidRPr="00010371">
        <w:rPr>
          <w:i/>
          <w:lang w:val="es-ES_tradnl"/>
        </w:rPr>
        <w:t xml:space="preserve"> Module</w:t>
      </w:r>
      <w:r w:rsidRPr="00FD536F">
        <w:rPr>
          <w:lang w:val="es-ES_tradnl"/>
        </w:rPr>
        <w:t xml:space="preserve">, módulo de identificación del abonado) son otra solución que puede contribuir a superar algunos de los problemas de interoperabilidad entre redes, aunque </w:t>
      </w:r>
      <w:r>
        <w:rPr>
          <w:lang w:val="es-ES_tradnl"/>
        </w:rPr>
        <w:t>exijan</w:t>
      </w:r>
      <w:r w:rsidRPr="00FD536F">
        <w:rPr>
          <w:lang w:val="es-ES_tradnl"/>
        </w:rPr>
        <w:t xml:space="preserve"> la utilización de </w:t>
      </w:r>
      <w:proofErr w:type="spellStart"/>
      <w:r w:rsidRPr="00FD536F">
        <w:rPr>
          <w:lang w:val="es-ES_tradnl"/>
        </w:rPr>
        <w:t>microteléfonos</w:t>
      </w:r>
      <w:proofErr w:type="spellEnd"/>
      <w:r w:rsidRPr="00FD536F">
        <w:rPr>
          <w:lang w:val="es-ES_tradnl"/>
        </w:rPr>
        <w:t xml:space="preserve"> </w:t>
      </w:r>
      <w:proofErr w:type="spellStart"/>
      <w:r w:rsidRPr="00FD536F">
        <w:rPr>
          <w:lang w:val="es-ES_tradnl"/>
        </w:rPr>
        <w:t>multimodo</w:t>
      </w:r>
      <w:proofErr w:type="spellEnd"/>
      <w:r w:rsidRPr="00FD536F">
        <w:rPr>
          <w:lang w:val="es-ES_tradnl"/>
        </w:rPr>
        <w:t xml:space="preserve"> o múltiples </w:t>
      </w:r>
      <w:r>
        <w:rPr>
          <w:lang w:val="es-ES_tradnl"/>
        </w:rPr>
        <w:t xml:space="preserve">para funcionar en distintas redes. </w:t>
      </w:r>
      <w:r w:rsidRPr="00FD536F">
        <w:rPr>
          <w:lang w:val="es-ES_tradnl"/>
        </w:rPr>
        <w:t xml:space="preserve">3GPP, 3GPP2 </w:t>
      </w:r>
      <w:r>
        <w:rPr>
          <w:lang w:val="es-ES_tradnl"/>
        </w:rPr>
        <w:t>y el Foro</w:t>
      </w:r>
      <w:r w:rsidRPr="00FD536F">
        <w:rPr>
          <w:lang w:val="es-ES_tradnl"/>
        </w:rPr>
        <w:t xml:space="preserve"> </w:t>
      </w:r>
      <w:proofErr w:type="spellStart"/>
      <w:r w:rsidRPr="00FD536F">
        <w:rPr>
          <w:lang w:val="es-ES_tradnl"/>
        </w:rPr>
        <w:t>WiMAX</w:t>
      </w:r>
      <w:proofErr w:type="spellEnd"/>
      <w:r w:rsidRPr="00FD536F">
        <w:rPr>
          <w:lang w:val="es-ES_tradnl"/>
        </w:rPr>
        <w:t xml:space="preserve"> </w:t>
      </w:r>
      <w:r>
        <w:rPr>
          <w:lang w:val="es-ES_tradnl"/>
        </w:rPr>
        <w:t xml:space="preserve">están trabajando para alcanzar las metas de interoperabilidad e </w:t>
      </w:r>
      <w:proofErr w:type="spellStart"/>
      <w:r>
        <w:rPr>
          <w:lang w:val="es-ES_tradnl"/>
        </w:rPr>
        <w:t>itinerancia</w:t>
      </w:r>
      <w:proofErr w:type="spellEnd"/>
      <w:r>
        <w:rPr>
          <w:lang w:val="es-ES_tradnl"/>
        </w:rPr>
        <w:t xml:space="preserve"> a fin de lograr</w:t>
      </w:r>
      <w:r w:rsidRPr="00FD536F">
        <w:rPr>
          <w:lang w:val="es-ES_tradnl"/>
        </w:rPr>
        <w:t>:</w:t>
      </w:r>
    </w:p>
    <w:p w:rsidR="00A04655" w:rsidRPr="001F163E" w:rsidRDefault="00A04655" w:rsidP="00A04655">
      <w:pPr>
        <w:pStyle w:val="enumlev1"/>
        <w:rPr>
          <w:lang w:val="es-ES_tradnl"/>
        </w:rPr>
      </w:pPr>
      <w:r>
        <w:rPr>
          <w:lang w:val="es-ES_tradnl"/>
        </w:rPr>
        <w:t>•</w:t>
      </w:r>
      <w:r>
        <w:rPr>
          <w:lang w:val="es-ES_tradnl"/>
        </w:rPr>
        <w:tab/>
        <w:t xml:space="preserve">La interoperabilidad entre los móviles </w:t>
      </w:r>
      <w:r w:rsidRPr="001F163E">
        <w:rPr>
          <w:lang w:val="es-ES_tradnl"/>
        </w:rPr>
        <w:t xml:space="preserve">3GPP IMS </w:t>
      </w:r>
      <w:r>
        <w:rPr>
          <w:lang w:val="es-ES_tradnl"/>
        </w:rPr>
        <w:t xml:space="preserve">y los móviles </w:t>
      </w:r>
      <w:r w:rsidRPr="001F163E">
        <w:rPr>
          <w:lang w:val="es-ES_tradnl"/>
        </w:rPr>
        <w:t>3GPP2 IMS (</w:t>
      </w:r>
      <w:r>
        <w:rPr>
          <w:lang w:val="es-ES_tradnl"/>
        </w:rPr>
        <w:t xml:space="preserve">o sea que un móvil </w:t>
      </w:r>
      <w:r w:rsidRPr="001F163E">
        <w:rPr>
          <w:lang w:val="es-ES_tradnl"/>
        </w:rPr>
        <w:t xml:space="preserve">3GPP IMS </w:t>
      </w:r>
      <w:r>
        <w:rPr>
          <w:lang w:val="es-ES_tradnl"/>
        </w:rPr>
        <w:t xml:space="preserve">pueda abrir una sesión con un móvil </w:t>
      </w:r>
      <w:r w:rsidRPr="001F163E">
        <w:rPr>
          <w:lang w:val="es-ES_tradnl"/>
        </w:rPr>
        <w:t xml:space="preserve">3GPP2 IMS </w:t>
      </w:r>
      <w:r>
        <w:rPr>
          <w:lang w:val="es-ES_tradnl"/>
        </w:rPr>
        <w:t>y</w:t>
      </w:r>
      <w:r w:rsidRPr="001F163E">
        <w:rPr>
          <w:lang w:val="es-ES_tradnl"/>
        </w:rPr>
        <w:t xml:space="preserve"> viceversa).</w:t>
      </w:r>
    </w:p>
    <w:p w:rsidR="00A04655" w:rsidRPr="001F163E" w:rsidRDefault="00A04655" w:rsidP="00A04655">
      <w:pPr>
        <w:pStyle w:val="enumlev1"/>
        <w:rPr>
          <w:lang w:val="es-ES_tradnl"/>
        </w:rPr>
      </w:pPr>
      <w:r>
        <w:rPr>
          <w:lang w:val="es-ES_tradnl"/>
        </w:rPr>
        <w:t>•</w:t>
      </w:r>
      <w:r>
        <w:rPr>
          <w:lang w:val="es-ES_tradnl"/>
        </w:rPr>
        <w:tab/>
        <w:t xml:space="preserve">La </w:t>
      </w:r>
      <w:proofErr w:type="spellStart"/>
      <w:r>
        <w:rPr>
          <w:lang w:val="es-ES_tradnl"/>
        </w:rPr>
        <w:t>itinerancia</w:t>
      </w:r>
      <w:proofErr w:type="spellEnd"/>
      <w:r>
        <w:rPr>
          <w:lang w:val="es-ES_tradnl"/>
        </w:rPr>
        <w:t xml:space="preserve"> IMS entre sistemas a nivel de la aplicación (dado que el móvil soporta la red de acceso y la tecnología de transporte IP de la red visitada, un móvil </w:t>
      </w:r>
      <w:r w:rsidRPr="001F163E">
        <w:rPr>
          <w:lang w:val="es-ES_tradnl"/>
        </w:rPr>
        <w:t xml:space="preserve">3GPP IMS </w:t>
      </w:r>
      <w:r>
        <w:rPr>
          <w:lang w:val="es-ES_tradnl"/>
        </w:rPr>
        <w:t xml:space="preserve">debería poder </w:t>
      </w:r>
      <w:proofErr w:type="spellStart"/>
      <w:r>
        <w:rPr>
          <w:lang w:val="es-ES_tradnl"/>
        </w:rPr>
        <w:t>itinerar</w:t>
      </w:r>
      <w:proofErr w:type="spellEnd"/>
      <w:r>
        <w:rPr>
          <w:lang w:val="es-ES_tradnl"/>
        </w:rPr>
        <w:t xml:space="preserve"> en una red </w:t>
      </w:r>
      <w:r w:rsidRPr="001F163E">
        <w:rPr>
          <w:lang w:val="es-ES_tradnl"/>
        </w:rPr>
        <w:t xml:space="preserve">3GPP2 </w:t>
      </w:r>
      <w:r>
        <w:rPr>
          <w:lang w:val="es-ES_tradnl"/>
        </w:rPr>
        <w:t>y</w:t>
      </w:r>
      <w:r w:rsidRPr="001F163E">
        <w:rPr>
          <w:lang w:val="es-ES_tradnl"/>
        </w:rPr>
        <w:t xml:space="preserve"> viceversa).</w:t>
      </w:r>
    </w:p>
    <w:p w:rsidR="00A04655" w:rsidRPr="001F163E" w:rsidRDefault="00A04655" w:rsidP="00A04655">
      <w:pPr>
        <w:pStyle w:val="enumlev1"/>
        <w:rPr>
          <w:lang w:val="es-ES_tradnl"/>
        </w:rPr>
      </w:pPr>
      <w:r>
        <w:rPr>
          <w:lang w:val="es-ES_tradnl"/>
        </w:rPr>
        <w:t>•</w:t>
      </w:r>
      <w:r>
        <w:rPr>
          <w:lang w:val="es-ES_tradnl"/>
        </w:rPr>
        <w:tab/>
        <w:t xml:space="preserve">La interoperabilidad entre </w:t>
      </w:r>
      <w:proofErr w:type="spellStart"/>
      <w:r w:rsidRPr="001F163E">
        <w:rPr>
          <w:lang w:val="es-ES_tradnl"/>
        </w:rPr>
        <w:t>WiMAX</w:t>
      </w:r>
      <w:proofErr w:type="spellEnd"/>
      <w:r w:rsidRPr="001F163E">
        <w:rPr>
          <w:lang w:val="es-ES_tradnl"/>
        </w:rPr>
        <w:t xml:space="preserve"> </w:t>
      </w:r>
      <w:r>
        <w:rPr>
          <w:lang w:val="es-ES_tradnl"/>
        </w:rPr>
        <w:t xml:space="preserve">y las redes </w:t>
      </w:r>
      <w:r w:rsidRPr="001F163E">
        <w:rPr>
          <w:lang w:val="es-ES_tradnl"/>
        </w:rPr>
        <w:t>3GPP</w:t>
      </w:r>
      <w:r>
        <w:rPr>
          <w:lang w:val="es-ES_tradnl"/>
        </w:rPr>
        <w:t xml:space="preserve"> y</w:t>
      </w:r>
      <w:r w:rsidRPr="001F163E">
        <w:rPr>
          <w:lang w:val="es-ES_tradnl"/>
        </w:rPr>
        <w:t xml:space="preserve"> 3GPP2</w:t>
      </w:r>
      <w:r>
        <w:rPr>
          <w:lang w:val="es-ES_tradnl"/>
        </w:rPr>
        <w:t xml:space="preserve"> por parte de la red básica basada en IMS</w:t>
      </w:r>
      <w:r w:rsidRPr="001F163E">
        <w:rPr>
          <w:lang w:val="es-ES_tradnl"/>
        </w:rPr>
        <w:t>.</w:t>
      </w:r>
    </w:p>
    <w:p w:rsidR="00A04655" w:rsidRPr="001F163E" w:rsidRDefault="00A04655" w:rsidP="00A04655">
      <w:pPr>
        <w:rPr>
          <w:lang w:val="es-ES_tradnl"/>
        </w:rPr>
      </w:pPr>
      <w:r>
        <w:rPr>
          <w:lang w:val="es-ES_tradnl"/>
        </w:rPr>
        <w:t xml:space="preserve">Otra cuestión de interoperabilidad a considerar es la repercusión de la introducción de los servicios de datos con las </w:t>
      </w:r>
      <w:r w:rsidRPr="001F163E">
        <w:rPr>
          <w:lang w:val="es-ES_tradnl"/>
        </w:rPr>
        <w:t>IMT</w:t>
      </w:r>
      <w:r w:rsidRPr="001F163E">
        <w:rPr>
          <w:lang w:val="es-ES_tradnl"/>
        </w:rPr>
        <w:noBreakHyphen/>
        <w:t>2000</w:t>
      </w:r>
      <w:r>
        <w:rPr>
          <w:lang w:val="es-ES_tradnl"/>
        </w:rPr>
        <w:t xml:space="preserve">. Dado que las tecnologías </w:t>
      </w:r>
      <w:r w:rsidRPr="001F163E">
        <w:rPr>
          <w:lang w:val="es-ES_tradnl"/>
        </w:rPr>
        <w:t>IMT</w:t>
      </w:r>
      <w:r w:rsidRPr="001F163E">
        <w:rPr>
          <w:lang w:val="es-ES_tradnl"/>
        </w:rPr>
        <w:noBreakHyphen/>
        <w:t>2000</w:t>
      </w:r>
      <w:r>
        <w:rPr>
          <w:lang w:val="es-ES_tradnl"/>
        </w:rPr>
        <w:t xml:space="preserve"> son relativamente nuevas, la interoperabilidad de los programas informáticos y aplicaciones residentes en los terminales </w:t>
      </w:r>
      <w:r w:rsidRPr="001F163E">
        <w:rPr>
          <w:lang w:val="es-ES_tradnl"/>
        </w:rPr>
        <w:t>IMT</w:t>
      </w:r>
      <w:r w:rsidRPr="001F163E">
        <w:rPr>
          <w:lang w:val="es-ES_tradnl"/>
        </w:rPr>
        <w:noBreakHyphen/>
        <w:t>2000</w:t>
      </w:r>
      <w:r>
        <w:rPr>
          <w:lang w:val="es-ES_tradnl"/>
        </w:rPr>
        <w:t xml:space="preserve"> y entre países será cada vez más importante conforme se vaya avanzando en su despliegue. La organización </w:t>
      </w:r>
      <w:r w:rsidRPr="00D45FCE">
        <w:rPr>
          <w:i/>
          <w:iCs/>
          <w:lang w:val="es-ES_tradnl"/>
        </w:rPr>
        <w:t>Open Mobile Alliance</w:t>
      </w:r>
      <w:r>
        <w:rPr>
          <w:rStyle w:val="FootnoteReference"/>
          <w:rFonts w:eastAsia="SimSun"/>
          <w:lang w:val="es-ES_tradnl"/>
        </w:rPr>
        <w:footnoteReference w:id="8"/>
      </w:r>
      <w:r w:rsidRPr="001F163E">
        <w:rPr>
          <w:lang w:val="es-ES_tradnl"/>
        </w:rPr>
        <w:t xml:space="preserve"> </w:t>
      </w:r>
      <w:r>
        <w:rPr>
          <w:lang w:val="es-ES_tradnl"/>
        </w:rPr>
        <w:t xml:space="preserve">se constituyó con el objetivo de ofrecer normas abiertas para la industria móvil, contribuyendo a crear servicios interoperables que funcionen en todos los países, con todos los operadores y terminales móviles y que se orienten por las necesidades de los usuarios. </w:t>
      </w:r>
    </w:p>
    <w:p w:rsidR="00A04655" w:rsidRPr="001F163E" w:rsidRDefault="00A04655" w:rsidP="00A04655">
      <w:pPr>
        <w:rPr>
          <w:lang w:val="es-ES_tradnl"/>
        </w:rPr>
      </w:pPr>
      <w:r>
        <w:rPr>
          <w:lang w:val="es-ES_tradnl"/>
        </w:rPr>
        <w:t xml:space="preserve">Otras cuestiones clave a considerar en el esfuerzo por alcanzar estos objetivos de interoperabilidad e </w:t>
      </w:r>
      <w:proofErr w:type="spellStart"/>
      <w:r>
        <w:rPr>
          <w:lang w:val="es-ES_tradnl"/>
        </w:rPr>
        <w:t>itinerancia</w:t>
      </w:r>
      <w:proofErr w:type="spellEnd"/>
      <w:r>
        <w:rPr>
          <w:lang w:val="es-ES_tradnl"/>
        </w:rPr>
        <w:t xml:space="preserve"> son las siguientes</w:t>
      </w:r>
      <w:r w:rsidRPr="001F163E">
        <w:rPr>
          <w:lang w:val="es-ES_tradnl"/>
        </w:rPr>
        <w:t>:</w:t>
      </w:r>
    </w:p>
    <w:p w:rsidR="00A04655" w:rsidRPr="001F163E" w:rsidRDefault="00A04655" w:rsidP="00A04655">
      <w:pPr>
        <w:pStyle w:val="enumlev1"/>
        <w:rPr>
          <w:lang w:val="es-ES_tradnl"/>
        </w:rPr>
      </w:pPr>
      <w:r w:rsidRPr="001F163E">
        <w:rPr>
          <w:lang w:val="es-ES_tradnl"/>
        </w:rPr>
        <w:t>•</w:t>
      </w:r>
      <w:r w:rsidRPr="001F163E">
        <w:rPr>
          <w:lang w:val="es-ES_tradnl"/>
        </w:rPr>
        <w:tab/>
      </w:r>
      <w:r>
        <w:rPr>
          <w:lang w:val="es-ES_tradnl"/>
        </w:rPr>
        <w:t>El acceso a servicios de emergencia</w:t>
      </w:r>
      <w:r w:rsidRPr="001F163E">
        <w:rPr>
          <w:lang w:val="es-ES_tradnl"/>
        </w:rPr>
        <w:t>.</w:t>
      </w:r>
    </w:p>
    <w:p w:rsidR="00A04655" w:rsidRPr="001F163E" w:rsidRDefault="00A04655" w:rsidP="00A04655">
      <w:pPr>
        <w:pStyle w:val="enumlev1"/>
        <w:rPr>
          <w:lang w:val="es-ES_tradnl"/>
        </w:rPr>
      </w:pPr>
      <w:r w:rsidRPr="001F163E">
        <w:rPr>
          <w:lang w:val="es-ES_tradnl"/>
        </w:rPr>
        <w:t>•</w:t>
      </w:r>
      <w:r w:rsidRPr="001F163E">
        <w:rPr>
          <w:lang w:val="es-ES_tradnl"/>
        </w:rPr>
        <w:tab/>
      </w:r>
      <w:r>
        <w:rPr>
          <w:lang w:val="es-ES_tradnl"/>
        </w:rPr>
        <w:t>La información de localización</w:t>
      </w:r>
      <w:r w:rsidRPr="001F163E">
        <w:rPr>
          <w:lang w:val="es-ES_tradnl"/>
        </w:rPr>
        <w:t>.</w:t>
      </w:r>
    </w:p>
    <w:p w:rsidR="00A04655" w:rsidRPr="001F163E" w:rsidRDefault="00A04655" w:rsidP="00A04655">
      <w:pPr>
        <w:pStyle w:val="enumlev1"/>
        <w:rPr>
          <w:lang w:val="es-ES_tradnl"/>
        </w:rPr>
      </w:pPr>
      <w:r w:rsidRPr="001F163E">
        <w:rPr>
          <w:lang w:val="es-ES_tradnl"/>
        </w:rPr>
        <w:t>•</w:t>
      </w:r>
      <w:r w:rsidRPr="001F163E">
        <w:rPr>
          <w:lang w:val="es-ES_tradnl"/>
        </w:rPr>
        <w:tab/>
      </w:r>
      <w:r>
        <w:rPr>
          <w:lang w:val="es-ES_tradnl"/>
        </w:rPr>
        <w:t>La interceptación legal</w:t>
      </w:r>
      <w:r w:rsidRPr="001F163E">
        <w:rPr>
          <w:lang w:val="es-ES_tradnl"/>
        </w:rPr>
        <w:t>.</w:t>
      </w:r>
    </w:p>
    <w:p w:rsidR="00A04655" w:rsidRPr="001F163E" w:rsidRDefault="00A04655" w:rsidP="00A04655">
      <w:pPr>
        <w:rPr>
          <w:lang w:val="es-ES_tradnl"/>
        </w:rPr>
      </w:pPr>
      <w:r>
        <w:rPr>
          <w:lang w:val="es-ES_tradnl"/>
        </w:rPr>
        <w:t xml:space="preserve">La combinación de las tecnologías </w:t>
      </w:r>
      <w:r w:rsidRPr="001F163E">
        <w:rPr>
          <w:lang w:val="es-ES_tradnl"/>
        </w:rPr>
        <w:t>IMT</w:t>
      </w:r>
      <w:r w:rsidRPr="001F163E">
        <w:rPr>
          <w:lang w:val="es-ES_tradnl"/>
        </w:rPr>
        <w:noBreakHyphen/>
        <w:t>2000</w:t>
      </w:r>
      <w:r>
        <w:rPr>
          <w:lang w:val="es-ES_tradnl"/>
        </w:rPr>
        <w:t xml:space="preserve"> con las capacidades de determinación de posición, así como con otros sistemas dedicados, da pie al desarrollo de muchas aplicaciones de protección pública y de utilidad para los cuerpos y fuerzas de seguridad, entre ellos las citaciones electrónicas, la localización de las personas que llaman solicitando ayuda de emergencia, el seguimiento de delincuentes en libertad provisional, el acceso de los funcionarios, el acceso a bases de datos en servidores centrales sin intervención del distribuidor y el acceso a información en tiempo real de sistemas de viajes por tierra, mar y aire. Las tecnologías </w:t>
      </w:r>
      <w:r w:rsidRPr="001F163E">
        <w:rPr>
          <w:lang w:val="es-ES_tradnl"/>
        </w:rPr>
        <w:t>IMT</w:t>
      </w:r>
      <w:r w:rsidRPr="001F163E">
        <w:rPr>
          <w:lang w:val="es-ES_tradnl"/>
        </w:rPr>
        <w:noBreakHyphen/>
        <w:t>2000</w:t>
      </w:r>
      <w:r>
        <w:rPr>
          <w:lang w:val="es-ES_tradnl"/>
        </w:rPr>
        <w:t xml:space="preserve"> pueden ayudar, además de a los sistemas de seguridad, a los funcionarios gubernamentales en las labores de seguimiento de vehículos y vigilancia de mercancías en tránsito a su destino. Estos servicios revestirán una importancia especial para el transporte de materiales peligrosos de alto riesgo tales como explosivos, materiales radioactivos, materiales cuya inhalación resulte tóxica así como para el transporte masivo de líquidos inflamables y gases</w:t>
      </w:r>
      <w:r w:rsidRPr="001F163E">
        <w:rPr>
          <w:lang w:val="es-ES_tradnl"/>
        </w:rPr>
        <w:t>.</w:t>
      </w:r>
    </w:p>
    <w:p w:rsidR="00A04655" w:rsidRPr="001F163E" w:rsidRDefault="00A04655" w:rsidP="00A04655">
      <w:pPr>
        <w:rPr>
          <w:lang w:val="es-ES_tradnl"/>
        </w:rPr>
      </w:pPr>
      <w:r>
        <w:rPr>
          <w:lang w:val="es-ES_tradnl"/>
        </w:rPr>
        <w:t xml:space="preserve">Además de sus capacidades de localización de la posición, las redes inalámbricas </w:t>
      </w:r>
      <w:r w:rsidRPr="001F163E">
        <w:rPr>
          <w:lang w:val="es-ES_tradnl"/>
        </w:rPr>
        <w:t>IMT</w:t>
      </w:r>
      <w:r w:rsidRPr="001F163E">
        <w:rPr>
          <w:lang w:val="es-ES_tradnl"/>
        </w:rPr>
        <w:noBreakHyphen/>
        <w:t>2000</w:t>
      </w:r>
      <w:r>
        <w:rPr>
          <w:lang w:val="es-ES_tradnl"/>
        </w:rPr>
        <w:t xml:space="preserve"> utilizan procedimientos de autenticación más avanzados que las redes inalámbricas de la segunda generación, y están dotadas de claves criptográficas más largas y robustas (tales como las claves secretas de 128 bits) que mejoran la seguridad</w:t>
      </w:r>
      <w:r w:rsidRPr="001F163E">
        <w:rPr>
          <w:lang w:val="es-ES_tradnl"/>
        </w:rPr>
        <w:t>.</w:t>
      </w:r>
    </w:p>
    <w:p w:rsidR="000E0346" w:rsidRPr="00A43C05" w:rsidRDefault="00A04655" w:rsidP="00A04655">
      <w:pPr>
        <w:rPr>
          <w:lang w:val="es-ES_tradnl"/>
        </w:rPr>
      </w:pPr>
      <w:r>
        <w:rPr>
          <w:lang w:val="es-ES_tradnl"/>
        </w:rPr>
        <w:lastRenderedPageBreak/>
        <w:t>Valdría la pena tratar de adoptar mecanismos de acceso comunes para servicios de emergencia e interfaces normalizadas para la intercepción legal y otras cuestiones relacionadas con la seguridad, de modo que éstos sean independientes de la tecnología de la red. Esto podría contribuir a potenciar la eficacia de los servicios de emergencia (sobre todo para los usuarios itinerantes) y reducir los costos de explotación en otros ámbitos. El UIT-T está realizando estudios sobre este tema.</w:t>
      </w:r>
    </w:p>
    <w:p w:rsidR="000E0346" w:rsidRPr="00A43C05" w:rsidRDefault="00225938" w:rsidP="00A04655">
      <w:pPr>
        <w:pStyle w:val="Heading1"/>
        <w:rPr>
          <w:lang w:val="es-ES_tradnl"/>
        </w:rPr>
      </w:pPr>
      <w:bookmarkStart w:id="144" w:name="_Toc236826232"/>
      <w:bookmarkStart w:id="145" w:name="_Toc255292533"/>
      <w:bookmarkStart w:id="146" w:name="_Toc259024238"/>
      <w:r w:rsidRPr="00A43C05">
        <w:rPr>
          <w:lang w:val="es-ES_tradnl"/>
        </w:rPr>
        <w:t>9</w:t>
      </w:r>
      <w:r w:rsidRPr="00A43C05">
        <w:rPr>
          <w:lang w:val="es-ES_tradnl"/>
        </w:rPr>
        <w:tab/>
      </w:r>
      <w:bookmarkEnd w:id="144"/>
      <w:bookmarkEnd w:id="145"/>
      <w:r w:rsidR="00A04655" w:rsidRPr="00A04655">
        <w:rPr>
          <w:lang w:val="es-ES_tradnl"/>
        </w:rPr>
        <w:t>Actualización de los trayectos de transición</w:t>
      </w:r>
      <w:bookmarkEnd w:id="146"/>
    </w:p>
    <w:p w:rsidR="000E0346" w:rsidRPr="00A43C05" w:rsidRDefault="000E0346" w:rsidP="00A04655">
      <w:pPr>
        <w:pStyle w:val="Heading2"/>
        <w:rPr>
          <w:lang w:val="es-ES_tradnl"/>
        </w:rPr>
      </w:pPr>
      <w:bookmarkStart w:id="147" w:name="_Toc236826233"/>
      <w:bookmarkStart w:id="148" w:name="_Toc255292534"/>
      <w:bookmarkStart w:id="149" w:name="_Toc259024239"/>
      <w:r w:rsidRPr="00A43C05">
        <w:rPr>
          <w:lang w:val="es-ES_tradnl"/>
        </w:rPr>
        <w:t>9.1</w:t>
      </w:r>
      <w:r w:rsidRPr="00A43C05">
        <w:rPr>
          <w:lang w:val="es-ES_tradnl"/>
        </w:rPr>
        <w:tab/>
      </w:r>
      <w:bookmarkEnd w:id="147"/>
      <w:bookmarkEnd w:id="148"/>
      <w:r w:rsidR="00A04655" w:rsidRPr="00A04655">
        <w:rPr>
          <w:lang w:val="es-ES_tradnl"/>
        </w:rPr>
        <w:t>Introducción</w:t>
      </w:r>
      <w:bookmarkEnd w:id="149"/>
    </w:p>
    <w:p w:rsidR="00A04655" w:rsidRPr="001F163E" w:rsidRDefault="00A04655" w:rsidP="00A04655">
      <w:pPr>
        <w:rPr>
          <w:lang w:val="es-ES_tradnl"/>
        </w:rPr>
      </w:pPr>
      <w:r>
        <w:rPr>
          <w:lang w:val="es-ES_tradnl"/>
        </w:rPr>
        <w:t xml:space="preserve">Hay varios sistemas anteriores a las IMT-2000, tanto analógicos como digitales, que siguen en funcionamiento hoy en día prestando servicios inalámbricos de voz y datos a usuarios finales de todo el mundo. Entre estos sistemas se encuentran, aunque no son los únicos, </w:t>
      </w:r>
      <w:r w:rsidRPr="001F163E">
        <w:rPr>
          <w:lang w:val="es-ES_tradnl"/>
        </w:rPr>
        <w:t xml:space="preserve">AMPS, NMT, </w:t>
      </w:r>
      <w:proofErr w:type="spellStart"/>
      <w:r w:rsidRPr="001F163E">
        <w:rPr>
          <w:lang w:val="es-ES_tradnl"/>
        </w:rPr>
        <w:t>cdmaOne</w:t>
      </w:r>
      <w:proofErr w:type="spellEnd"/>
      <w:r w:rsidRPr="001F163E">
        <w:rPr>
          <w:lang w:val="es-ES_tradnl"/>
        </w:rPr>
        <w:t xml:space="preserve">, TDMA, </w:t>
      </w:r>
      <w:r>
        <w:rPr>
          <w:lang w:val="es-ES_tradnl"/>
        </w:rPr>
        <w:t>y</w:t>
      </w:r>
      <w:r w:rsidRPr="001F163E">
        <w:rPr>
          <w:lang w:val="es-ES_tradnl"/>
        </w:rPr>
        <w:t xml:space="preserve"> GSM. </w:t>
      </w:r>
      <w:r>
        <w:rPr>
          <w:lang w:val="es-ES_tradnl"/>
        </w:rPr>
        <w:t xml:space="preserve">En las Recomendaciones </w:t>
      </w:r>
      <w:r w:rsidRPr="001F163E">
        <w:rPr>
          <w:lang w:val="es-ES_tradnl"/>
        </w:rPr>
        <w:t>UIT</w:t>
      </w:r>
      <w:r w:rsidRPr="001F163E">
        <w:rPr>
          <w:lang w:val="es-ES_tradnl"/>
        </w:rPr>
        <w:noBreakHyphen/>
        <w:t xml:space="preserve">R M.622, M.1033 </w:t>
      </w:r>
      <w:r>
        <w:rPr>
          <w:lang w:val="es-ES_tradnl"/>
        </w:rPr>
        <w:t>y</w:t>
      </w:r>
      <w:r w:rsidRPr="001F163E">
        <w:rPr>
          <w:lang w:val="es-ES_tradnl"/>
        </w:rPr>
        <w:t xml:space="preserve"> M.1073 </w:t>
      </w:r>
      <w:r>
        <w:rPr>
          <w:lang w:val="es-ES_tradnl"/>
        </w:rPr>
        <w:t>y en el Informe</w:t>
      </w:r>
      <w:r w:rsidRPr="001F163E">
        <w:rPr>
          <w:lang w:val="es-ES_tradnl"/>
        </w:rPr>
        <w:t xml:space="preserve"> UIT</w:t>
      </w:r>
      <w:r w:rsidRPr="001F163E">
        <w:rPr>
          <w:lang w:val="es-ES_tradnl"/>
        </w:rPr>
        <w:noBreakHyphen/>
        <w:t xml:space="preserve">R M.742 </w:t>
      </w:r>
      <w:r>
        <w:rPr>
          <w:lang w:val="es-ES_tradnl"/>
        </w:rPr>
        <w:t>se exponen las características de los sistemas anteriores a las IMT-2000</w:t>
      </w:r>
      <w:r w:rsidRPr="001F163E">
        <w:rPr>
          <w:lang w:val="es-ES_tradnl"/>
        </w:rPr>
        <w:t>.</w:t>
      </w:r>
    </w:p>
    <w:p w:rsidR="00A04655" w:rsidRPr="001F163E" w:rsidRDefault="00A04655" w:rsidP="00A04655">
      <w:pPr>
        <w:rPr>
          <w:lang w:val="es-ES_tradnl"/>
        </w:rPr>
      </w:pPr>
      <w:r>
        <w:rPr>
          <w:lang w:val="es-ES_tradnl"/>
        </w:rPr>
        <w:t xml:space="preserve">Debido a las diferencias entre los diversos sistemas anteriores a las </w:t>
      </w:r>
      <w:r w:rsidRPr="001F163E">
        <w:rPr>
          <w:lang w:val="es-ES_tradnl"/>
        </w:rPr>
        <w:t>IMT</w:t>
      </w:r>
      <w:r w:rsidRPr="001F163E">
        <w:rPr>
          <w:lang w:val="es-ES_tradnl"/>
        </w:rPr>
        <w:noBreakHyphen/>
        <w:t>2000</w:t>
      </w:r>
      <w:r>
        <w:rPr>
          <w:lang w:val="es-ES_tradnl"/>
        </w:rPr>
        <w:t xml:space="preserve">, así como a las diferencias entre los propios sistemas de las </w:t>
      </w:r>
      <w:r w:rsidRPr="001F163E">
        <w:rPr>
          <w:lang w:val="es-ES_tradnl"/>
        </w:rPr>
        <w:t>IMT</w:t>
      </w:r>
      <w:r w:rsidRPr="001F163E">
        <w:rPr>
          <w:lang w:val="es-ES_tradnl"/>
        </w:rPr>
        <w:noBreakHyphen/>
        <w:t>2000</w:t>
      </w:r>
      <w:r>
        <w:rPr>
          <w:lang w:val="es-ES_tradnl"/>
        </w:rPr>
        <w:t xml:space="preserve">, hay varios trayectos de transición distintos para los diversos sistemas anteriores a las IMT-2000. No obstante, en la mayor parte de los casos, esta transición exige la adición de equipos o programas informáticos a la estación base de las </w:t>
      </w:r>
      <w:r w:rsidRPr="001F163E">
        <w:rPr>
          <w:lang w:val="es-ES_tradnl"/>
        </w:rPr>
        <w:t>IMT</w:t>
      </w:r>
      <w:r w:rsidRPr="001F163E">
        <w:rPr>
          <w:lang w:val="es-ES_tradnl"/>
        </w:rPr>
        <w:noBreakHyphen/>
        <w:t>2000</w:t>
      </w:r>
      <w:r>
        <w:rPr>
          <w:lang w:val="es-ES_tradnl"/>
        </w:rPr>
        <w:t xml:space="preserve">, la introducción de las modificaciones y adiciones necesarias en las redes de acceso radioeléctrico (RAN), y las modificaciones y actualizaciones pertinentes de la </w:t>
      </w:r>
      <w:r w:rsidR="00030119">
        <w:rPr>
          <w:lang w:val="es-ES_tradnl"/>
        </w:rPr>
        <w:t>«</w:t>
      </w:r>
      <w:r>
        <w:rPr>
          <w:lang w:val="es-ES_tradnl"/>
        </w:rPr>
        <w:t>red básica</w:t>
      </w:r>
      <w:r w:rsidR="00030119">
        <w:rPr>
          <w:lang w:val="es-ES_tradnl"/>
        </w:rPr>
        <w:t>»</w:t>
      </w:r>
      <w:r>
        <w:rPr>
          <w:lang w:val="es-ES_tradnl"/>
        </w:rPr>
        <w:t xml:space="preserve"> subyacente junto con la introducción de nuevos terminales, que suelen ser dispositivos de modo dual capaces de funcionar tanto con las tecnologías radioeléctricas de las </w:t>
      </w:r>
      <w:r w:rsidRPr="001F163E">
        <w:rPr>
          <w:lang w:val="es-ES_tradnl"/>
        </w:rPr>
        <w:t>IMT</w:t>
      </w:r>
      <w:r w:rsidRPr="001F163E">
        <w:rPr>
          <w:lang w:val="es-ES_tradnl"/>
        </w:rPr>
        <w:noBreakHyphen/>
        <w:t>2000</w:t>
      </w:r>
      <w:r>
        <w:rPr>
          <w:lang w:val="es-ES_tradnl"/>
        </w:rPr>
        <w:t xml:space="preserve"> con las anteriores a éstas</w:t>
      </w:r>
      <w:r w:rsidRPr="001F163E">
        <w:rPr>
          <w:lang w:val="es-ES_tradnl"/>
        </w:rPr>
        <w:t xml:space="preserve">. </w:t>
      </w:r>
    </w:p>
    <w:p w:rsidR="00A04655" w:rsidRPr="001F163E" w:rsidRDefault="00A04655" w:rsidP="00A04655">
      <w:pPr>
        <w:rPr>
          <w:lang w:val="es-ES_tradnl"/>
        </w:rPr>
      </w:pPr>
      <w:r>
        <w:rPr>
          <w:lang w:val="es-ES_tradnl"/>
        </w:rPr>
        <w:t xml:space="preserve">Hay varios factores que deben considerarse en la selección de un trayecto de transición hacia a las </w:t>
      </w:r>
      <w:r w:rsidRPr="001F163E">
        <w:rPr>
          <w:lang w:val="es-ES_tradnl"/>
        </w:rPr>
        <w:t>IMT</w:t>
      </w:r>
      <w:r w:rsidRPr="001F163E">
        <w:rPr>
          <w:lang w:val="es-ES_tradnl"/>
        </w:rPr>
        <w:noBreakHyphen/>
        <w:t>2000</w:t>
      </w:r>
      <w:r>
        <w:rPr>
          <w:lang w:val="es-ES_tradnl"/>
        </w:rPr>
        <w:t xml:space="preserve">. Un factor importante es la disponibilidad y utilización de espectro para los sistemas de las </w:t>
      </w:r>
      <w:r w:rsidRPr="001F163E">
        <w:rPr>
          <w:lang w:val="es-ES_tradnl"/>
        </w:rPr>
        <w:t>IMT</w:t>
      </w:r>
      <w:r w:rsidRPr="001F163E">
        <w:rPr>
          <w:lang w:val="es-ES_tradnl"/>
        </w:rPr>
        <w:noBreakHyphen/>
        <w:t>2000</w:t>
      </w:r>
      <w:r>
        <w:rPr>
          <w:lang w:val="es-ES_tradnl"/>
        </w:rPr>
        <w:t xml:space="preserve"> y los anteriores a éste. Otras cuestiones que tendrán una repercusión importante en la selección del trayecto de transición son la disponibilidad de equipos y aplicaciones de servicio para las diversas tecnologías y su calidad de funcionamiento en el entorno de explotación deseado.</w:t>
      </w:r>
    </w:p>
    <w:p w:rsidR="00A04655" w:rsidRPr="001F163E" w:rsidRDefault="00A04655" w:rsidP="00A04655">
      <w:pPr>
        <w:rPr>
          <w:lang w:val="es-ES_tradnl"/>
        </w:rPr>
      </w:pPr>
      <w:bookmarkStart w:id="150" w:name="_Toc44438527"/>
      <w:bookmarkStart w:id="151" w:name="_Toc44446742"/>
      <w:bookmarkStart w:id="152" w:name="_Toc53323406"/>
      <w:bookmarkStart w:id="153" w:name="_Toc63611612"/>
      <w:bookmarkStart w:id="154" w:name="_Toc89083685"/>
      <w:bookmarkStart w:id="155" w:name="_Toc92878204"/>
      <w:bookmarkStart w:id="156" w:name="_Toc101931256"/>
      <w:bookmarkStart w:id="157" w:name="_Toc103399275"/>
      <w:bookmarkStart w:id="158" w:name="_Toc103400353"/>
      <w:bookmarkStart w:id="159" w:name="_Toc103400817"/>
      <w:bookmarkStart w:id="160" w:name="_Toc103401281"/>
      <w:bookmarkStart w:id="161" w:name="_Toc103401746"/>
      <w:bookmarkStart w:id="162" w:name="_Toc103402212"/>
      <w:bookmarkStart w:id="163" w:name="_Toc103402677"/>
      <w:bookmarkStart w:id="164" w:name="_Toc103403442"/>
      <w:bookmarkStart w:id="165" w:name="_Toc103421212"/>
      <w:bookmarkStart w:id="166" w:name="_Toc103528386"/>
      <w:r>
        <w:rPr>
          <w:lang w:val="es-ES_tradnl"/>
        </w:rPr>
        <w:t>En el Anexo I se presentan experiencias habituales de los operadores, tanto de los países desarrollados como en desarrollo.</w:t>
      </w:r>
    </w:p>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rsidR="00A04655" w:rsidRPr="001F163E" w:rsidRDefault="00A04655" w:rsidP="00A04655">
      <w:pPr>
        <w:rPr>
          <w:lang w:val="es-ES_tradnl"/>
        </w:rPr>
      </w:pPr>
      <w:r>
        <w:rPr>
          <w:lang w:val="es-ES_tradnl"/>
        </w:rPr>
        <w:t xml:space="preserve">Considerada al más alto nivel, la transición hacia las </w:t>
      </w:r>
      <w:r w:rsidRPr="001F163E">
        <w:rPr>
          <w:lang w:val="es-ES_tradnl"/>
        </w:rPr>
        <w:t>IMT</w:t>
      </w:r>
      <w:r w:rsidRPr="001F163E">
        <w:rPr>
          <w:lang w:val="es-ES_tradnl"/>
        </w:rPr>
        <w:noBreakHyphen/>
        <w:t>2000</w:t>
      </w:r>
      <w:r>
        <w:rPr>
          <w:lang w:val="es-ES_tradnl"/>
        </w:rPr>
        <w:t xml:space="preserve"> viene caracterizada por la implantación por parte del operador de:</w:t>
      </w:r>
    </w:p>
    <w:p w:rsidR="00A04655" w:rsidRPr="001F163E" w:rsidRDefault="00A04655" w:rsidP="00A04655">
      <w:pPr>
        <w:pStyle w:val="enumlev1"/>
        <w:rPr>
          <w:lang w:val="es-ES_tradnl"/>
        </w:rPr>
      </w:pPr>
      <w:r>
        <w:rPr>
          <w:lang w:val="es-ES_tradnl"/>
        </w:rPr>
        <w:t>•</w:t>
      </w:r>
      <w:r>
        <w:rPr>
          <w:lang w:val="es-ES_tradnl"/>
        </w:rPr>
        <w:tab/>
        <w:t>Una red básica con enlaces a la RTPC (red telefónica fija), la RDSI, Internet/Intranet y las redes</w:t>
      </w:r>
      <w:r w:rsidRPr="009A6D57">
        <w:rPr>
          <w:lang w:val="es-ES_tradnl"/>
        </w:rPr>
        <w:t xml:space="preserve"> </w:t>
      </w:r>
      <w:r>
        <w:rPr>
          <w:lang w:val="es-ES_tradnl"/>
        </w:rPr>
        <w:t>externas móviles y de datos.</w:t>
      </w:r>
    </w:p>
    <w:p w:rsidR="00A04655" w:rsidRPr="001F163E" w:rsidRDefault="00A04655" w:rsidP="00A04655">
      <w:pPr>
        <w:pStyle w:val="enumlev1"/>
        <w:rPr>
          <w:lang w:val="es-ES_tradnl"/>
        </w:rPr>
      </w:pPr>
      <w:r>
        <w:rPr>
          <w:lang w:val="es-ES_tradnl"/>
        </w:rPr>
        <w:t>•</w:t>
      </w:r>
      <w:r>
        <w:rPr>
          <w:lang w:val="es-ES_tradnl"/>
        </w:rPr>
        <w:tab/>
        <w:t xml:space="preserve">Una red de acceso radioeléctrico (RAN) que sea en última instancia capaz de funcionar en varias bandas de frecuencias y utilizar tecnologías radioeléctricas complementarias (las redes de acceso radioeléctrico están basadas en interfaces radioeléctricas. Las interfaces radioeléctricas de las </w:t>
      </w:r>
      <w:r w:rsidRPr="001F163E">
        <w:rPr>
          <w:lang w:val="es-ES_tradnl"/>
        </w:rPr>
        <w:t>IMT</w:t>
      </w:r>
      <w:r w:rsidRPr="001F163E">
        <w:rPr>
          <w:lang w:val="es-ES_tradnl"/>
        </w:rPr>
        <w:noBreakHyphen/>
        <w:t>2000</w:t>
      </w:r>
      <w:r>
        <w:rPr>
          <w:lang w:val="es-ES_tradnl"/>
        </w:rPr>
        <w:t xml:space="preserve"> se especifican en la sección </w:t>
      </w:r>
      <w:r w:rsidRPr="001F163E">
        <w:rPr>
          <w:lang w:val="es-ES_tradnl"/>
        </w:rPr>
        <w:t>1.3.2</w:t>
      </w:r>
      <w:r>
        <w:rPr>
          <w:lang w:val="es-ES_tradnl"/>
        </w:rPr>
        <w:t>.</w:t>
      </w:r>
      <w:r w:rsidRPr="001F163E">
        <w:rPr>
          <w:lang w:val="es-ES_tradnl"/>
        </w:rPr>
        <w:t>1).</w:t>
      </w:r>
    </w:p>
    <w:p w:rsidR="00A04655" w:rsidRPr="001F163E" w:rsidRDefault="00A04655" w:rsidP="00A04655">
      <w:pPr>
        <w:pStyle w:val="enumlev1"/>
        <w:rPr>
          <w:lang w:val="es-ES_tradnl"/>
        </w:rPr>
      </w:pPr>
      <w:r>
        <w:rPr>
          <w:lang w:val="es-ES_tradnl"/>
        </w:rPr>
        <w:t>•</w:t>
      </w:r>
      <w:r>
        <w:rPr>
          <w:lang w:val="es-ES_tradnl"/>
        </w:rPr>
        <w:tab/>
      </w:r>
      <w:r>
        <w:rPr>
          <w:shd w:val="clear" w:color="auto" w:fill="FFFFFF"/>
          <w:lang w:val="es-ES_tradnl"/>
        </w:rPr>
        <w:t xml:space="preserve">Terminales de modo dual o </w:t>
      </w:r>
      <w:proofErr w:type="spellStart"/>
      <w:r>
        <w:rPr>
          <w:shd w:val="clear" w:color="auto" w:fill="FFFFFF"/>
          <w:lang w:val="es-ES_tradnl"/>
        </w:rPr>
        <w:t>multimodo</w:t>
      </w:r>
      <w:proofErr w:type="spellEnd"/>
      <w:r>
        <w:rPr>
          <w:shd w:val="clear" w:color="auto" w:fill="FFFFFF"/>
          <w:lang w:val="es-ES_tradnl"/>
        </w:rPr>
        <w:t xml:space="preserve">, que permitan a los abonados disfrutar de los servicios existentes en las redes </w:t>
      </w:r>
      <w:r w:rsidRPr="001F163E">
        <w:rPr>
          <w:lang w:val="es-ES_tradnl"/>
        </w:rPr>
        <w:t>IMT</w:t>
      </w:r>
      <w:r w:rsidRPr="001F163E">
        <w:rPr>
          <w:lang w:val="es-ES_tradnl"/>
        </w:rPr>
        <w:noBreakHyphen/>
        <w:t>2000</w:t>
      </w:r>
      <w:r>
        <w:rPr>
          <w:lang w:val="es-ES_tradnl"/>
        </w:rPr>
        <w:t xml:space="preserve"> y las anteriores a éstas</w:t>
      </w:r>
      <w:r w:rsidRPr="001F163E">
        <w:rPr>
          <w:lang w:val="es-ES_tradnl"/>
        </w:rPr>
        <w:t>.</w:t>
      </w:r>
    </w:p>
    <w:p w:rsidR="00A04655" w:rsidRPr="001F163E" w:rsidRDefault="00A04655" w:rsidP="00A04655">
      <w:pPr>
        <w:rPr>
          <w:lang w:val="es-ES_tradnl"/>
        </w:rPr>
      </w:pPr>
      <w:r>
        <w:rPr>
          <w:lang w:val="es-ES_tradnl"/>
        </w:rPr>
        <w:t>Los operadores que pretendan actualizar sus sistemas tendrán que evaluar los sistemas objetivo y analizar qué parte de sus sistemas tienen que modificar, qué recursos (por ejemplo, qué espectro) pueden reutilizarse o deben mejorarse y</w:t>
      </w:r>
      <w:r w:rsidRPr="009A6D57">
        <w:rPr>
          <w:lang w:val="es-ES_tradnl"/>
        </w:rPr>
        <w:t xml:space="preserve"> </w:t>
      </w:r>
      <w:r>
        <w:rPr>
          <w:lang w:val="es-ES_tradnl"/>
        </w:rPr>
        <w:t xml:space="preserve">en qué medida. La imprescindible modificación de los sistemas puede clasificarse a grandes rasgos como evolución de sus componentes o transición de todo el sistema. Según las definiciones de la Recomendación </w:t>
      </w:r>
      <w:r w:rsidRPr="001F163E">
        <w:rPr>
          <w:lang w:val="es-ES_tradnl"/>
        </w:rPr>
        <w:t>UIT</w:t>
      </w:r>
      <w:r w:rsidRPr="001F163E">
        <w:rPr>
          <w:lang w:val="es-ES_tradnl"/>
        </w:rPr>
        <w:noBreakHyphen/>
        <w:t>R M.1308:</w:t>
      </w:r>
    </w:p>
    <w:p w:rsidR="00A04655" w:rsidRPr="001F163E" w:rsidRDefault="00A04655" w:rsidP="00A04655">
      <w:pPr>
        <w:pStyle w:val="enumlev1"/>
        <w:rPr>
          <w:lang w:val="es-ES_tradnl"/>
        </w:rPr>
      </w:pPr>
      <w:r>
        <w:rPr>
          <w:lang w:val="es-ES_tradnl"/>
        </w:rPr>
        <w:t>•</w:t>
      </w:r>
      <w:r>
        <w:rPr>
          <w:lang w:val="es-ES_tradnl"/>
        </w:rPr>
        <w:tab/>
        <w:t xml:space="preserve">la </w:t>
      </w:r>
      <w:r w:rsidR="00030119">
        <w:rPr>
          <w:lang w:val="es-ES_tradnl"/>
        </w:rPr>
        <w:t>«</w:t>
      </w:r>
      <w:r w:rsidRPr="001F163E">
        <w:rPr>
          <w:lang w:val="es-ES_tradnl"/>
        </w:rPr>
        <w:t>evolu</w:t>
      </w:r>
      <w:r>
        <w:rPr>
          <w:lang w:val="es-ES_tradnl"/>
        </w:rPr>
        <w:t>ció</w:t>
      </w:r>
      <w:r w:rsidRPr="001F163E">
        <w:rPr>
          <w:lang w:val="es-ES_tradnl"/>
        </w:rPr>
        <w:t>n</w:t>
      </w:r>
      <w:r w:rsidR="00030119">
        <w:rPr>
          <w:lang w:val="es-ES_tradnl"/>
        </w:rPr>
        <w:t>»</w:t>
      </w:r>
      <w:r>
        <w:rPr>
          <w:lang w:val="es-ES_tradnl"/>
        </w:rPr>
        <w:t xml:space="preserve"> viene caracterizada</w:t>
      </w:r>
      <w:r w:rsidRPr="001F163E">
        <w:rPr>
          <w:lang w:val="es-ES_tradnl"/>
        </w:rPr>
        <w:t xml:space="preserve"> </w:t>
      </w:r>
      <w:r>
        <w:rPr>
          <w:lang w:val="es-ES_tradnl"/>
        </w:rPr>
        <w:t xml:space="preserve">por </w:t>
      </w:r>
      <w:r w:rsidR="00030119">
        <w:rPr>
          <w:lang w:val="es-ES_tradnl"/>
        </w:rPr>
        <w:t>«</w:t>
      </w:r>
      <w:r>
        <w:rPr>
          <w:lang w:val="es-ES_tradnl"/>
        </w:rPr>
        <w:t xml:space="preserve">un proceso de cambio y desarrollo para lograr un aumento de las capacidades </w:t>
      </w:r>
      <w:r w:rsidR="00030119">
        <w:rPr>
          <w:lang w:val="es-ES_tradnl"/>
        </w:rPr>
        <w:t>»</w:t>
      </w:r>
      <w:r w:rsidRPr="001F163E">
        <w:rPr>
          <w:lang w:val="es-ES_tradnl"/>
        </w:rPr>
        <w:t>,</w:t>
      </w:r>
      <w:r>
        <w:rPr>
          <w:lang w:val="es-ES_tradnl"/>
        </w:rPr>
        <w:t xml:space="preserve"> mientras que</w:t>
      </w:r>
    </w:p>
    <w:p w:rsidR="00A04655" w:rsidRPr="001F163E" w:rsidRDefault="00A04655" w:rsidP="00A04655">
      <w:pPr>
        <w:pStyle w:val="enumlev1"/>
        <w:rPr>
          <w:lang w:val="es-ES_tradnl"/>
        </w:rPr>
      </w:pPr>
      <w:r>
        <w:rPr>
          <w:lang w:val="es-ES_tradnl"/>
        </w:rPr>
        <w:t>•</w:t>
      </w:r>
      <w:r>
        <w:rPr>
          <w:lang w:val="es-ES_tradnl"/>
        </w:rPr>
        <w:tab/>
        <w:t xml:space="preserve">la </w:t>
      </w:r>
      <w:r w:rsidR="00030119">
        <w:rPr>
          <w:lang w:val="es-ES_tradnl"/>
        </w:rPr>
        <w:t>«</w:t>
      </w:r>
      <w:r w:rsidRPr="001F163E">
        <w:rPr>
          <w:lang w:val="es-ES_tradnl"/>
        </w:rPr>
        <w:t>migra</w:t>
      </w:r>
      <w:r>
        <w:rPr>
          <w:lang w:val="es-ES_tradnl"/>
        </w:rPr>
        <w:t>c</w:t>
      </w:r>
      <w:r w:rsidRPr="001F163E">
        <w:rPr>
          <w:lang w:val="es-ES_tradnl"/>
        </w:rPr>
        <w:t>i</w:t>
      </w:r>
      <w:r>
        <w:rPr>
          <w:lang w:val="es-ES_tradnl"/>
        </w:rPr>
        <w:t>ó</w:t>
      </w:r>
      <w:r w:rsidRPr="001F163E">
        <w:rPr>
          <w:lang w:val="es-ES_tradnl"/>
        </w:rPr>
        <w:t>n</w:t>
      </w:r>
      <w:r w:rsidR="00030119">
        <w:rPr>
          <w:lang w:val="es-ES_tradnl"/>
        </w:rPr>
        <w:t>»</w:t>
      </w:r>
      <w:r>
        <w:rPr>
          <w:lang w:val="es-ES_tradnl"/>
        </w:rPr>
        <w:t xml:space="preserve"> viene caracterizada por </w:t>
      </w:r>
      <w:r w:rsidR="00030119">
        <w:rPr>
          <w:lang w:val="es-ES_tradnl"/>
        </w:rPr>
        <w:t>«</w:t>
      </w:r>
      <w:r>
        <w:rPr>
          <w:lang w:val="es-ES_tradnl"/>
        </w:rPr>
        <w:t>el movimiento de los usuarios o de la prestación del servicio del sistema actual a un nuevo sistema</w:t>
      </w:r>
      <w:r w:rsidR="00030119">
        <w:rPr>
          <w:lang w:val="es-ES_tradnl"/>
        </w:rPr>
        <w:t>»</w:t>
      </w:r>
      <w:r w:rsidRPr="001F163E">
        <w:rPr>
          <w:lang w:val="es-ES_tradnl"/>
        </w:rPr>
        <w:t>.</w:t>
      </w:r>
    </w:p>
    <w:p w:rsidR="00A04655" w:rsidRPr="001F163E" w:rsidRDefault="00A04655" w:rsidP="00863244">
      <w:pPr>
        <w:keepNext/>
        <w:keepLines/>
        <w:rPr>
          <w:lang w:val="es-ES_tradnl"/>
        </w:rPr>
      </w:pPr>
      <w:r>
        <w:rPr>
          <w:lang w:val="es-ES_tradnl"/>
        </w:rPr>
        <w:lastRenderedPageBreak/>
        <w:t>Hay esencialmente dos tipos de redes básicas</w:t>
      </w:r>
      <w:r w:rsidRPr="001F163E">
        <w:rPr>
          <w:lang w:val="es-ES_tradnl"/>
        </w:rPr>
        <w:t>:</w:t>
      </w:r>
    </w:p>
    <w:p w:rsidR="00A04655" w:rsidRPr="001F163E" w:rsidRDefault="00A04655" w:rsidP="00863244">
      <w:pPr>
        <w:pStyle w:val="enumlev1"/>
        <w:keepNext/>
        <w:keepLines/>
        <w:rPr>
          <w:lang w:val="es-ES_tradnl"/>
        </w:rPr>
      </w:pPr>
      <w:r>
        <w:rPr>
          <w:lang w:val="es-ES_tradnl"/>
        </w:rPr>
        <w:t>•</w:t>
      </w:r>
      <w:r>
        <w:rPr>
          <w:lang w:val="es-ES_tradnl"/>
        </w:rPr>
        <w:tab/>
        <w:t xml:space="preserve">la red básica </w:t>
      </w:r>
      <w:r w:rsidRPr="001F163E">
        <w:rPr>
          <w:lang w:val="es-ES_tradnl"/>
        </w:rPr>
        <w:t>GSM (</w:t>
      </w:r>
      <w:r>
        <w:rPr>
          <w:lang w:val="es-ES_tradnl"/>
        </w:rPr>
        <w:t>evolucionada</w:t>
      </w:r>
      <w:r w:rsidRPr="001F163E">
        <w:rPr>
          <w:lang w:val="es-ES_tradnl"/>
        </w:rPr>
        <w:t xml:space="preserve">); </w:t>
      </w:r>
      <w:r>
        <w:rPr>
          <w:lang w:val="es-ES_tradnl"/>
        </w:rPr>
        <w:t>y</w:t>
      </w:r>
    </w:p>
    <w:p w:rsidR="00A04655" w:rsidRPr="001F163E" w:rsidRDefault="00A04655" w:rsidP="00A04655">
      <w:pPr>
        <w:pStyle w:val="enumlev1"/>
        <w:rPr>
          <w:lang w:val="es-ES_tradnl"/>
        </w:rPr>
      </w:pPr>
      <w:r>
        <w:rPr>
          <w:lang w:val="es-ES_tradnl"/>
        </w:rPr>
        <w:t>•</w:t>
      </w:r>
      <w:r>
        <w:rPr>
          <w:lang w:val="es-ES_tradnl"/>
        </w:rPr>
        <w:tab/>
        <w:t xml:space="preserve">la red básica </w:t>
      </w:r>
      <w:r w:rsidRPr="001F163E">
        <w:rPr>
          <w:lang w:val="es-ES_tradnl"/>
        </w:rPr>
        <w:t>IS</w:t>
      </w:r>
      <w:r w:rsidRPr="001F163E">
        <w:rPr>
          <w:lang w:val="es-ES_tradnl"/>
        </w:rPr>
        <w:noBreakHyphen/>
        <w:t>41 (</w:t>
      </w:r>
      <w:r>
        <w:rPr>
          <w:lang w:val="es-ES_tradnl"/>
        </w:rPr>
        <w:t>evolucionada</w:t>
      </w:r>
      <w:r w:rsidRPr="001F163E">
        <w:rPr>
          <w:lang w:val="es-ES_tradnl"/>
        </w:rPr>
        <w:t>).</w:t>
      </w:r>
    </w:p>
    <w:p w:rsidR="00A04655" w:rsidRDefault="00A04655" w:rsidP="00A04655">
      <w:pPr>
        <w:rPr>
          <w:lang w:val="es-ES_tradnl"/>
        </w:rPr>
      </w:pPr>
      <w:r>
        <w:rPr>
          <w:lang w:val="es-ES_tradnl"/>
        </w:rPr>
        <w:t xml:space="preserve">El movimiento de usuarios y la prestación de servicios de una red básica GSM a una red básica </w:t>
      </w:r>
      <w:r w:rsidRPr="001F163E">
        <w:rPr>
          <w:lang w:val="es-ES_tradnl"/>
        </w:rPr>
        <w:t>IS</w:t>
      </w:r>
      <w:r w:rsidRPr="001F163E">
        <w:rPr>
          <w:lang w:val="es-ES_tradnl"/>
        </w:rPr>
        <w:noBreakHyphen/>
        <w:t>41</w:t>
      </w:r>
      <w:r>
        <w:rPr>
          <w:lang w:val="es-ES_tradnl"/>
        </w:rPr>
        <w:t xml:space="preserve">, y viceversa, constituye sin lugar a dudas una migración, ya que el equipo de red básica debe reemplazarse en ambos casos. Ahora bien, dentro de ambas redes básicas puede haber evolución, y ésta resulta necesaria para introducir servicios nuevos y complementarios, y soportar las nuevas capacidades del acceso radioeléctrico. </w:t>
      </w:r>
    </w:p>
    <w:p w:rsidR="00A04655" w:rsidRPr="001F163E" w:rsidRDefault="00A04655" w:rsidP="00A04655">
      <w:pPr>
        <w:rPr>
          <w:lang w:val="es-ES_tradnl"/>
        </w:rPr>
      </w:pPr>
      <w:r>
        <w:rPr>
          <w:lang w:val="es-ES_tradnl"/>
        </w:rPr>
        <w:t xml:space="preserve">Para soportar servicios de datos en paquetes, las redes básicas </w:t>
      </w:r>
      <w:r w:rsidRPr="001F163E">
        <w:rPr>
          <w:lang w:val="es-ES_tradnl"/>
        </w:rPr>
        <w:t>GSM (</w:t>
      </w:r>
      <w:r>
        <w:rPr>
          <w:lang w:val="es-ES_tradnl"/>
        </w:rPr>
        <w:t>e</w:t>
      </w:r>
      <w:r w:rsidRPr="001F163E">
        <w:rPr>
          <w:lang w:val="es-ES_tradnl"/>
        </w:rPr>
        <w:t>vol</w:t>
      </w:r>
      <w:r>
        <w:rPr>
          <w:lang w:val="es-ES_tradnl"/>
        </w:rPr>
        <w:t>ucionadas</w:t>
      </w:r>
      <w:r w:rsidRPr="001F163E">
        <w:rPr>
          <w:lang w:val="es-ES_tradnl"/>
        </w:rPr>
        <w:t xml:space="preserve">) </w:t>
      </w:r>
      <w:r>
        <w:rPr>
          <w:lang w:val="es-ES_tradnl"/>
        </w:rPr>
        <w:t xml:space="preserve">se han complementado con redes medulares GPRS basadas en IP, las cuales proporcionan una rápida gestión específica de la movilidad a los servicios de datos en paquetes, y son capaces de manejar con rapidez traspasos de los servicios de datos en paquetes en tiempo real. Por contra, las redes básicas </w:t>
      </w:r>
      <w:r w:rsidRPr="001F163E">
        <w:rPr>
          <w:lang w:val="es-ES_tradnl"/>
        </w:rPr>
        <w:t>IS</w:t>
      </w:r>
      <w:r w:rsidRPr="001F163E">
        <w:rPr>
          <w:lang w:val="es-ES_tradnl"/>
        </w:rPr>
        <w:noBreakHyphen/>
        <w:t xml:space="preserve">41 </w:t>
      </w:r>
      <w:r>
        <w:rPr>
          <w:lang w:val="es-ES_tradnl"/>
        </w:rPr>
        <w:t xml:space="preserve">se complementan con redes IP </w:t>
      </w:r>
      <w:r w:rsidR="00030119">
        <w:rPr>
          <w:lang w:val="es-ES_tradnl"/>
        </w:rPr>
        <w:t>«</w:t>
      </w:r>
      <w:r>
        <w:rPr>
          <w:lang w:val="es-ES_tradnl"/>
        </w:rPr>
        <w:t>clásicas/puras</w:t>
      </w:r>
      <w:r w:rsidR="00030119">
        <w:rPr>
          <w:lang w:val="es-ES_tradnl"/>
        </w:rPr>
        <w:t>»</w:t>
      </w:r>
      <w:r>
        <w:rPr>
          <w:lang w:val="es-ES_tradnl"/>
        </w:rPr>
        <w:t xml:space="preserve"> y, por lo tanto, utilizan protocolos genéricos IP para la prestación de movilidad (esto es, IP móvil). </w:t>
      </w:r>
    </w:p>
    <w:p w:rsidR="00A04655" w:rsidRDefault="00A04655" w:rsidP="00A04655">
      <w:pPr>
        <w:rPr>
          <w:lang w:val="es-ES_tradnl"/>
        </w:rPr>
      </w:pPr>
      <w:r>
        <w:rPr>
          <w:lang w:val="es-ES_tradnl"/>
        </w:rPr>
        <w:t>Un sistema multimedios IP (</w:t>
      </w:r>
      <w:r w:rsidRPr="001F163E">
        <w:rPr>
          <w:lang w:val="es-ES_tradnl"/>
        </w:rPr>
        <w:t>IMS</w:t>
      </w:r>
      <w:r>
        <w:rPr>
          <w:lang w:val="es-ES_tradnl"/>
        </w:rPr>
        <w:t xml:space="preserve">) es una arquitectura adicional que puede superponerse sobre las dos redes básicas anteriores, y proporciona servicios específicos de datos en paquetes (por ejemplo, voz por IP, conferencias basadas en voz por IP, etc.). Este sistema ha sido adoptado por el </w:t>
      </w:r>
      <w:r w:rsidRPr="001F163E">
        <w:rPr>
          <w:lang w:val="es-ES_tradnl"/>
        </w:rPr>
        <w:t xml:space="preserve">3GPP </w:t>
      </w:r>
      <w:r>
        <w:rPr>
          <w:lang w:val="es-ES_tradnl"/>
        </w:rPr>
        <w:t xml:space="preserve">y el </w:t>
      </w:r>
      <w:r w:rsidRPr="001F163E">
        <w:rPr>
          <w:lang w:val="es-ES_tradnl"/>
        </w:rPr>
        <w:t xml:space="preserve">3GPP2 </w:t>
      </w:r>
      <w:r>
        <w:rPr>
          <w:lang w:val="es-ES_tradnl"/>
        </w:rPr>
        <w:t xml:space="preserve">para sus redes básicas por paquetes. </w:t>
      </w:r>
    </w:p>
    <w:p w:rsidR="00A04655" w:rsidRDefault="00A04655" w:rsidP="00A04655">
      <w:pPr>
        <w:rPr>
          <w:lang w:val="es-ES_tradnl"/>
        </w:rPr>
      </w:pPr>
      <w:r>
        <w:rPr>
          <w:lang w:val="es-ES_tradnl"/>
        </w:rPr>
        <w:t>En lo que se refiere a la red de acceso radioeléctrico (RAN), las industrias del sector de la telefonía móvil han definido las especificaciones esenciales y mantienen su colaboración para hacer evolucionar aún más estas tecnologías y poder atender las futuras necesidades del mercado. El enfoque paso por paso adoptado minimiza la necesidad de volver a efectuar grandes inversiones en sistemas IMT-2000, pese a lo cual permite introducir mejoras significativas en la capacidad de suministrar servicios mejorados durante cada paso del proceso. La actualización de las normas garantiza una compatibilidad ascendente, lo que garantiza en la medida de lo posible el mantenimiento de la capacidad de servicio para los operadores y usuarios actuales.</w:t>
      </w:r>
      <w:r w:rsidRPr="006A1172">
        <w:rPr>
          <w:rFonts w:eastAsia="SimSun"/>
          <w:vertAlign w:val="superscript"/>
        </w:rPr>
        <w:footnoteReference w:id="9"/>
      </w:r>
    </w:p>
    <w:p w:rsidR="000E0346" w:rsidRPr="00A43C05" w:rsidRDefault="00A04655" w:rsidP="00A04655">
      <w:pPr>
        <w:rPr>
          <w:lang w:val="es-ES_tradnl"/>
        </w:rPr>
      </w:pPr>
      <w:r>
        <w:rPr>
          <w:lang w:val="es-ES_tradnl"/>
        </w:rPr>
        <w:t>El análisis de los diversos escenarios de transición, del mercado y el estudio prospectivo de las tendencias ponen de manifiesto que los operadores 1G y 2G han actualizado y siguen actualizando sus redes para pasarlas a 2G y 3G, como puede verse en la Figura 9.1, en la que se muestran estas actualizaciones de la red de acceso radioeléctrico y de la red básica.</w:t>
      </w:r>
    </w:p>
    <w:p w:rsidR="00EB7B6D" w:rsidRPr="00A43C05" w:rsidRDefault="00EB7B6D" w:rsidP="00773D38">
      <w:pPr>
        <w:tabs>
          <w:tab w:val="clear" w:pos="794"/>
          <w:tab w:val="clear" w:pos="1191"/>
          <w:tab w:val="clear" w:pos="1588"/>
          <w:tab w:val="clear" w:pos="1985"/>
        </w:tabs>
        <w:overflowPunct/>
        <w:autoSpaceDE/>
        <w:autoSpaceDN/>
        <w:adjustRightInd/>
        <w:spacing w:before="0"/>
        <w:jc w:val="left"/>
        <w:textAlignment w:val="auto"/>
        <w:rPr>
          <w:lang w:val="es-ES_tradnl"/>
        </w:rPr>
      </w:pPr>
    </w:p>
    <w:p w:rsidR="00EB7B6D" w:rsidRPr="00A43C05" w:rsidRDefault="00773D38" w:rsidP="00D45FCE">
      <w:pPr>
        <w:pStyle w:val="FigureTitle"/>
        <w:rPr>
          <w:rFonts w:asciiTheme="majorBidi" w:hAnsiTheme="majorBidi" w:cstheme="majorBidi"/>
          <w:lang w:val="es-ES_tradnl"/>
        </w:rPr>
      </w:pPr>
      <w:r w:rsidRPr="00773D38">
        <w:rPr>
          <w:rFonts w:asciiTheme="majorBidi" w:hAnsiTheme="majorBidi" w:cstheme="majorBidi"/>
          <w:bCs/>
          <w:lang w:val="es-ES_tradnl"/>
        </w:rPr>
        <w:lastRenderedPageBreak/>
        <w:t>Figura 9.1</w:t>
      </w:r>
      <w:r w:rsidR="00D45FCE">
        <w:rPr>
          <w:rFonts w:asciiTheme="majorBidi" w:hAnsiTheme="majorBidi" w:cstheme="majorBidi"/>
          <w:bCs/>
          <w:lang w:val="es-ES_tradnl"/>
        </w:rPr>
        <w:t>:</w:t>
      </w:r>
      <w:r w:rsidRPr="00773D38">
        <w:rPr>
          <w:rFonts w:asciiTheme="majorBidi" w:hAnsiTheme="majorBidi" w:cstheme="majorBidi"/>
          <w:bCs/>
          <w:lang w:val="es-ES_tradnl"/>
        </w:rPr>
        <w:t xml:space="preserve"> Actualizaciones observadas en las redes de los operadores</w:t>
      </w:r>
    </w:p>
    <w:p w:rsidR="00EB7B6D" w:rsidRDefault="002D71A8" w:rsidP="009A1DF0">
      <w:pPr>
        <w:jc w:val="center"/>
        <w:rPr>
          <w:lang w:val="en-US"/>
        </w:rPr>
      </w:pPr>
      <w:r w:rsidRPr="002D71A8">
        <w:rPr>
          <w:rFonts w:ascii="Verdana" w:hAnsi="Verdana"/>
          <w:noProof/>
          <w:sz w:val="18"/>
          <w:szCs w:val="18"/>
          <w:lang w:val="en-US" w:eastAsia="zh-CN"/>
        </w:rPr>
        <w:pict>
          <v:shape id="_x0000_s40049" type="#_x0000_t202" style="position:absolute;left:0;text-align:left;margin-left:219.75pt;margin-top:162.25pt;width:53pt;height:20.2pt;z-index:251675648" stroked="f">
            <v:textbox inset="0,0,0,0">
              <w:txbxContent>
                <w:p w:rsidR="00B72DD6" w:rsidRPr="00B72DD6" w:rsidRDefault="00B72DD6" w:rsidP="00B72DD6">
                  <w:pPr>
                    <w:spacing w:before="0"/>
                    <w:jc w:val="center"/>
                    <w:rPr>
                      <w:rFonts w:asciiTheme="minorBidi" w:hAnsiTheme="minorBidi" w:cstheme="minorBidi"/>
                      <w:sz w:val="14"/>
                      <w:szCs w:val="14"/>
                    </w:rPr>
                  </w:pPr>
                  <w:r w:rsidRPr="00B72DD6">
                    <w:rPr>
                      <w:rFonts w:asciiTheme="minorBidi" w:hAnsiTheme="minorBidi" w:cstheme="minorBidi"/>
                      <w:sz w:val="14"/>
                      <w:szCs w:val="14"/>
                      <w:lang w:val="es-ES_tradnl"/>
                    </w:rPr>
                    <w:t xml:space="preserve">Operadores – </w:t>
                  </w:r>
                  <w:r>
                    <w:rPr>
                      <w:rFonts w:asciiTheme="minorBidi" w:hAnsiTheme="minorBidi" w:cstheme="minorBidi"/>
                      <w:sz w:val="14"/>
                      <w:szCs w:val="14"/>
                      <w:lang w:val="es-ES_tradnl"/>
                    </w:rPr>
                    <w:t>2</w:t>
                  </w:r>
                  <w:r w:rsidRPr="00B72DD6">
                    <w:rPr>
                      <w:rFonts w:asciiTheme="minorBidi" w:hAnsiTheme="minorBidi" w:cstheme="minorBidi"/>
                      <w:sz w:val="14"/>
                      <w:szCs w:val="14"/>
                      <w:lang w:val="es-ES_tradnl"/>
                    </w:rPr>
                    <w:t>G</w:t>
                  </w:r>
                </w:p>
              </w:txbxContent>
            </v:textbox>
          </v:shape>
        </w:pict>
      </w:r>
      <w:r w:rsidRPr="002D71A8">
        <w:rPr>
          <w:rFonts w:ascii="Verdana" w:hAnsi="Verdana"/>
          <w:noProof/>
          <w:sz w:val="18"/>
          <w:szCs w:val="18"/>
          <w:lang w:val="en-US" w:eastAsia="zh-CN"/>
        </w:rPr>
        <w:pict>
          <v:shape id="_x0000_s40050" type="#_x0000_t202" style="position:absolute;left:0;text-align:left;margin-left:318.25pt;margin-top:162.25pt;width:58.55pt;height:17.7pt;z-index:251676672" stroked="f">
            <v:textbox inset="0,0,0,0">
              <w:txbxContent>
                <w:p w:rsidR="00B72DD6" w:rsidRPr="00B72DD6" w:rsidRDefault="00B72DD6" w:rsidP="00B72DD6">
                  <w:pPr>
                    <w:spacing w:before="0"/>
                    <w:jc w:val="center"/>
                    <w:rPr>
                      <w:rFonts w:asciiTheme="minorBidi" w:hAnsiTheme="minorBidi" w:cstheme="minorBidi"/>
                      <w:sz w:val="14"/>
                      <w:szCs w:val="14"/>
                    </w:rPr>
                  </w:pPr>
                  <w:r w:rsidRPr="00B72DD6">
                    <w:rPr>
                      <w:rFonts w:asciiTheme="minorBidi" w:hAnsiTheme="minorBidi" w:cstheme="minorBidi"/>
                      <w:sz w:val="14"/>
                      <w:szCs w:val="14"/>
                      <w:lang w:val="es-ES_tradnl"/>
                    </w:rPr>
                    <w:t xml:space="preserve">Operadores – </w:t>
                  </w:r>
                  <w:r>
                    <w:rPr>
                      <w:rFonts w:asciiTheme="minorBidi" w:hAnsiTheme="minorBidi" w:cstheme="minorBidi"/>
                      <w:sz w:val="14"/>
                      <w:szCs w:val="14"/>
                      <w:lang w:val="es-ES_tradnl"/>
                    </w:rPr>
                    <w:t>3</w:t>
                  </w:r>
                  <w:r w:rsidRPr="00B72DD6">
                    <w:rPr>
                      <w:rFonts w:asciiTheme="minorBidi" w:hAnsiTheme="minorBidi" w:cstheme="minorBidi"/>
                      <w:sz w:val="14"/>
                      <w:szCs w:val="14"/>
                      <w:lang w:val="es-ES_tradnl"/>
                    </w:rPr>
                    <w:t>G</w:t>
                  </w:r>
                </w:p>
              </w:txbxContent>
            </v:textbox>
          </v:shape>
        </w:pict>
      </w:r>
      <w:r w:rsidRPr="002D71A8">
        <w:rPr>
          <w:rFonts w:ascii="Verdana" w:hAnsi="Verdana"/>
          <w:noProof/>
          <w:sz w:val="18"/>
          <w:szCs w:val="18"/>
          <w:lang w:val="en-US" w:eastAsia="zh-CN"/>
        </w:rPr>
        <w:pict>
          <v:shape id="_x0000_s40048" type="#_x0000_t202" style="position:absolute;left:0;text-align:left;margin-left:123.9pt;margin-top:162.25pt;width:58.55pt;height:17.7pt;z-index:251674624" stroked="f">
            <v:textbox inset="0,0,0,0">
              <w:txbxContent>
                <w:p w:rsidR="00B72DD6" w:rsidRPr="00B72DD6" w:rsidRDefault="00B72DD6" w:rsidP="00B72DD6">
                  <w:pPr>
                    <w:spacing w:before="0"/>
                    <w:jc w:val="center"/>
                    <w:rPr>
                      <w:rFonts w:asciiTheme="minorBidi" w:hAnsiTheme="minorBidi" w:cstheme="minorBidi"/>
                      <w:sz w:val="14"/>
                      <w:szCs w:val="14"/>
                    </w:rPr>
                  </w:pPr>
                  <w:r w:rsidRPr="00B72DD6">
                    <w:rPr>
                      <w:rFonts w:asciiTheme="minorBidi" w:hAnsiTheme="minorBidi" w:cstheme="minorBidi"/>
                      <w:sz w:val="14"/>
                      <w:szCs w:val="14"/>
                      <w:lang w:val="es-ES_tradnl"/>
                    </w:rPr>
                    <w:t>Operadores – 1G</w:t>
                  </w:r>
                </w:p>
              </w:txbxContent>
            </v:textbox>
          </v:shape>
        </w:pict>
      </w:r>
      <w:r w:rsidRPr="002D71A8">
        <w:rPr>
          <w:rFonts w:ascii="Verdana" w:hAnsi="Verdana"/>
          <w:noProof/>
          <w:sz w:val="18"/>
          <w:szCs w:val="18"/>
          <w:lang w:val="en-US" w:eastAsia="zh-CN"/>
        </w:rPr>
        <w:pict>
          <v:shape id="_x0000_s40047" type="#_x0000_t202" style="position:absolute;left:0;text-align:left;margin-left:90.1pt;margin-top:189pt;width:23.15pt;height:85.55pt;z-index:251673600" stroked="f">
            <v:textbox style="layout-flow:vertical;mso-layout-flow-alt:bottom-to-top" inset="0,0,0,0">
              <w:txbxContent>
                <w:p w:rsidR="007965FA" w:rsidRPr="007965FA" w:rsidRDefault="007965FA" w:rsidP="007965FA">
                  <w:pPr>
                    <w:spacing w:before="0"/>
                    <w:jc w:val="center"/>
                    <w:rPr>
                      <w:rFonts w:asciiTheme="minorBidi" w:hAnsiTheme="minorBidi" w:cstheme="minorBidi"/>
                      <w:sz w:val="15"/>
                      <w:szCs w:val="15"/>
                    </w:rPr>
                  </w:pPr>
                  <w:r w:rsidRPr="007965FA">
                    <w:rPr>
                      <w:rFonts w:asciiTheme="minorBidi" w:hAnsiTheme="minorBidi" w:cstheme="minorBidi"/>
                      <w:sz w:val="15"/>
                      <w:szCs w:val="15"/>
                      <w:lang w:val="es-ES_tradnl"/>
                    </w:rPr>
                    <w:t>Actualizaciones</w:t>
                  </w:r>
                  <w:r>
                    <w:rPr>
                      <w:rFonts w:asciiTheme="minorBidi" w:hAnsiTheme="minorBidi" w:cstheme="minorBidi"/>
                      <w:sz w:val="15"/>
                      <w:szCs w:val="15"/>
                      <w:lang w:val="es-ES_tradnl"/>
                    </w:rPr>
                    <w:br/>
                  </w:r>
                  <w:r w:rsidRPr="007965FA">
                    <w:rPr>
                      <w:rFonts w:asciiTheme="minorBidi" w:hAnsiTheme="minorBidi" w:cstheme="minorBidi"/>
                      <w:sz w:val="15"/>
                      <w:szCs w:val="15"/>
                      <w:lang w:val="es-ES_tradnl"/>
                    </w:rPr>
                    <w:t>de la red básica</w:t>
                  </w:r>
                </w:p>
              </w:txbxContent>
            </v:textbox>
          </v:shape>
        </w:pict>
      </w:r>
      <w:r w:rsidRPr="002D71A8">
        <w:rPr>
          <w:rFonts w:ascii="Verdana" w:hAnsi="Verdana"/>
          <w:noProof/>
          <w:sz w:val="18"/>
          <w:szCs w:val="18"/>
          <w:lang w:val="en-US" w:eastAsia="zh-CN"/>
        </w:rPr>
        <w:pict>
          <v:shape id="_x0000_s40046" type="#_x0000_t202" style="position:absolute;left:0;text-align:left;margin-left:83.85pt;margin-top:32.75pt;width:23.15pt;height:108pt;z-index:251672576" stroked="f">
            <v:textbox style="layout-flow:vertical;mso-layout-flow-alt:bottom-to-top" inset="0,0,0,0">
              <w:txbxContent>
                <w:p w:rsidR="000C405B" w:rsidRPr="007965FA" w:rsidRDefault="000C405B" w:rsidP="007965FA">
                  <w:pPr>
                    <w:spacing w:before="0"/>
                    <w:jc w:val="center"/>
                    <w:rPr>
                      <w:rFonts w:asciiTheme="minorBidi" w:hAnsiTheme="minorBidi" w:cstheme="minorBidi"/>
                      <w:sz w:val="15"/>
                      <w:szCs w:val="15"/>
                    </w:rPr>
                  </w:pPr>
                  <w:r w:rsidRPr="007965FA">
                    <w:rPr>
                      <w:rFonts w:asciiTheme="minorBidi" w:hAnsiTheme="minorBidi" w:cstheme="minorBidi"/>
                      <w:sz w:val="15"/>
                      <w:szCs w:val="15"/>
                      <w:lang w:val="es-ES_tradnl"/>
                    </w:rPr>
                    <w:t xml:space="preserve">Actualizaciones del </w:t>
                  </w:r>
                  <w:r w:rsidR="007965FA">
                    <w:rPr>
                      <w:rFonts w:asciiTheme="minorBidi" w:hAnsiTheme="minorBidi" w:cstheme="minorBidi"/>
                      <w:sz w:val="15"/>
                      <w:szCs w:val="15"/>
                      <w:lang w:val="es-ES_tradnl"/>
                    </w:rPr>
                    <w:br/>
                  </w:r>
                  <w:r w:rsidRPr="007965FA">
                    <w:rPr>
                      <w:rFonts w:asciiTheme="minorBidi" w:hAnsiTheme="minorBidi" w:cstheme="minorBidi"/>
                      <w:sz w:val="15"/>
                      <w:szCs w:val="15"/>
                      <w:lang w:val="es-ES_tradnl"/>
                    </w:rPr>
                    <w:t>acceso radioeléctrico</w:t>
                  </w:r>
                </w:p>
              </w:txbxContent>
            </v:textbox>
          </v:shape>
        </w:pict>
      </w:r>
      <w:r w:rsidR="00774BEA" w:rsidRPr="00C16A18">
        <w:rPr>
          <w:rFonts w:ascii="Verdana" w:hAnsi="Verdana"/>
          <w:sz w:val="18"/>
          <w:szCs w:val="18"/>
        </w:rPr>
        <w:object w:dxaOrig="8760" w:dyaOrig="9825">
          <v:shape id="_x0000_i1026" type="#_x0000_t75" style="width:303pt;height:270pt" o:ole="" fillcolor="window">
            <v:imagedata r:id="rId20" o:title="" cropbottom="10974f"/>
          </v:shape>
          <o:OLEObject Type="Embed" ProgID="Word.Picture.8" ShapeID="_x0000_i1026" DrawAspect="Content" ObjectID="_1334060539" r:id="rId21"/>
        </w:object>
      </w:r>
    </w:p>
    <w:p w:rsidR="00EB7B6D" w:rsidRPr="00774BEA" w:rsidRDefault="00EB7B6D" w:rsidP="00005807">
      <w:pPr>
        <w:pStyle w:val="FigureSource"/>
        <w:rPr>
          <w:sz w:val="12"/>
          <w:szCs w:val="12"/>
        </w:rPr>
      </w:pPr>
    </w:p>
    <w:p w:rsidR="00863244" w:rsidRDefault="00863244" w:rsidP="00863244">
      <w:bookmarkStart w:id="167" w:name="_Toc236826234"/>
      <w:bookmarkStart w:id="168" w:name="_Toc255292535"/>
    </w:p>
    <w:p w:rsidR="00ED0881" w:rsidRPr="00A43C05" w:rsidRDefault="00ED0881" w:rsidP="006A1172">
      <w:pPr>
        <w:pStyle w:val="Heading2"/>
        <w:rPr>
          <w:lang w:val="es-ES_tradnl"/>
        </w:rPr>
      </w:pPr>
      <w:bookmarkStart w:id="169" w:name="_Toc259024240"/>
      <w:r w:rsidRPr="00A43C05">
        <w:rPr>
          <w:lang w:val="es-ES_tradnl"/>
        </w:rPr>
        <w:t>9.2</w:t>
      </w:r>
      <w:r w:rsidRPr="00A43C05">
        <w:rPr>
          <w:lang w:val="es-ES_tradnl"/>
        </w:rPr>
        <w:tab/>
      </w:r>
      <w:bookmarkEnd w:id="167"/>
      <w:bookmarkEnd w:id="168"/>
      <w:r w:rsidR="006A1172" w:rsidRPr="006A1172">
        <w:rPr>
          <w:lang w:val="es-ES_tradnl"/>
        </w:rPr>
        <w:t>Consideraciones sobre la transición</w:t>
      </w:r>
      <w:bookmarkEnd w:id="169"/>
    </w:p>
    <w:p w:rsidR="006A1172" w:rsidRPr="001F163E" w:rsidRDefault="006A1172" w:rsidP="006A1172">
      <w:pPr>
        <w:rPr>
          <w:lang w:val="es-ES_tradnl"/>
        </w:rPr>
      </w:pPr>
      <w:r>
        <w:rPr>
          <w:lang w:val="es-ES_tradnl"/>
        </w:rPr>
        <w:t>Los siguientes aspectos son importantes para que un operador se decida por un cierto trayecto de transición</w:t>
      </w:r>
      <w:r w:rsidRPr="001F163E">
        <w:rPr>
          <w:lang w:val="es-ES_tradnl"/>
        </w:rPr>
        <w:t>:</w:t>
      </w:r>
    </w:p>
    <w:p w:rsidR="006A1172" w:rsidRPr="001F163E" w:rsidRDefault="006A1172" w:rsidP="006A1172">
      <w:pPr>
        <w:pStyle w:val="enumlev1"/>
        <w:rPr>
          <w:lang w:val="es-ES_tradnl"/>
        </w:rPr>
      </w:pPr>
      <w:r>
        <w:rPr>
          <w:lang w:val="es-ES_tradnl"/>
        </w:rPr>
        <w:t>a)</w:t>
      </w:r>
      <w:r>
        <w:rPr>
          <w:lang w:val="es-ES_tradnl"/>
        </w:rPr>
        <w:tab/>
        <w:t>Funcionamiento en bandas de frecuencias armonizadas en todo el mundo.</w:t>
      </w:r>
    </w:p>
    <w:p w:rsidR="006A1172" w:rsidRPr="001F163E" w:rsidRDefault="006A1172" w:rsidP="006A1172">
      <w:pPr>
        <w:pStyle w:val="enumlev1"/>
        <w:rPr>
          <w:lang w:val="es-ES_tradnl"/>
        </w:rPr>
      </w:pPr>
      <w:r>
        <w:rPr>
          <w:lang w:val="es-ES_tradnl"/>
        </w:rPr>
        <w:t>b)</w:t>
      </w:r>
      <w:r>
        <w:rPr>
          <w:lang w:val="es-ES_tradnl"/>
        </w:rPr>
        <w:tab/>
        <w:t>Cuota de mercado/penetración en el mercado existente/prevista de la tecnología objetivo.</w:t>
      </w:r>
    </w:p>
    <w:p w:rsidR="006A1172" w:rsidRPr="001F163E" w:rsidRDefault="006A1172" w:rsidP="006A1172">
      <w:pPr>
        <w:pStyle w:val="enumlev1"/>
        <w:rPr>
          <w:lang w:val="es-ES_tradnl"/>
        </w:rPr>
      </w:pPr>
      <w:r>
        <w:rPr>
          <w:lang w:val="es-ES_tradnl"/>
        </w:rPr>
        <w:t>c)</w:t>
      </w:r>
      <w:r>
        <w:rPr>
          <w:lang w:val="es-ES_tradnl"/>
        </w:rPr>
        <w:tab/>
        <w:t>Probabilidad de que otros operadores adopten trayectos de transición parecidos.</w:t>
      </w:r>
    </w:p>
    <w:p w:rsidR="006A1172" w:rsidRPr="001F163E" w:rsidRDefault="006A1172" w:rsidP="006A1172">
      <w:pPr>
        <w:pStyle w:val="enumlev1"/>
        <w:rPr>
          <w:lang w:val="es-ES_tradnl"/>
        </w:rPr>
      </w:pPr>
      <w:r>
        <w:rPr>
          <w:lang w:val="es-ES_tradnl"/>
        </w:rPr>
        <w:t>d)</w:t>
      </w:r>
      <w:r>
        <w:rPr>
          <w:lang w:val="es-ES_tradnl"/>
        </w:rPr>
        <w:tab/>
        <w:t>Facilidad de transición de la tecnología existente a la deseada.</w:t>
      </w:r>
    </w:p>
    <w:p w:rsidR="006A1172" w:rsidRPr="001F163E" w:rsidRDefault="006A1172" w:rsidP="006A1172">
      <w:pPr>
        <w:pStyle w:val="enumlev1"/>
        <w:rPr>
          <w:lang w:val="es-ES_tradnl"/>
        </w:rPr>
      </w:pPr>
      <w:r>
        <w:rPr>
          <w:lang w:val="es-ES_tradnl"/>
        </w:rPr>
        <w:t>e)</w:t>
      </w:r>
      <w:r>
        <w:rPr>
          <w:lang w:val="es-ES_tradnl"/>
        </w:rPr>
        <w:tab/>
        <w:t>La arquitectura de sistemas de la tecnología objetivo tiene que resistir el paso del tiempo (es decir, ser capaz de expandirse para hacer frente a los nuevos requisitos y a los nuevos servicios).</w:t>
      </w:r>
    </w:p>
    <w:p w:rsidR="006A1172" w:rsidRPr="001F163E" w:rsidRDefault="006A1172" w:rsidP="006A1172">
      <w:pPr>
        <w:pStyle w:val="enumlev1"/>
        <w:rPr>
          <w:lang w:val="es-ES_tradnl"/>
        </w:rPr>
      </w:pPr>
      <w:r>
        <w:rPr>
          <w:lang w:val="es-ES_tradnl"/>
        </w:rPr>
        <w:t>f)</w:t>
      </w:r>
      <w:r>
        <w:rPr>
          <w:lang w:val="es-ES_tradnl"/>
        </w:rPr>
        <w:tab/>
        <w:t>Estado de las normas correspondientes.</w:t>
      </w:r>
      <w:r w:rsidRPr="001F163E">
        <w:rPr>
          <w:lang w:val="es-ES_tradnl"/>
        </w:rPr>
        <w:t xml:space="preserve"> </w:t>
      </w:r>
    </w:p>
    <w:p w:rsidR="006A1172" w:rsidRPr="001F163E" w:rsidRDefault="006A1172" w:rsidP="006A1172">
      <w:pPr>
        <w:rPr>
          <w:lang w:val="es-ES_tradnl"/>
        </w:rPr>
      </w:pPr>
      <w:r>
        <w:rPr>
          <w:lang w:val="es-ES_tradnl"/>
        </w:rPr>
        <w:t xml:space="preserve">La importancia de estos aspectos radica en que la historia nos demuestra que el éxito de una determinada tecnología de comunicaciones móviles depende especialmente de las capacidades de </w:t>
      </w:r>
      <w:proofErr w:type="spellStart"/>
      <w:r>
        <w:rPr>
          <w:lang w:val="es-ES_tradnl"/>
        </w:rPr>
        <w:t>itinerancia</w:t>
      </w:r>
      <w:proofErr w:type="spellEnd"/>
      <w:r>
        <w:rPr>
          <w:lang w:val="es-ES_tradnl"/>
        </w:rPr>
        <w:t xml:space="preserve"> (véanse los puntos a) a c) anteriores), de que los precios de los terminales y de las infraestructuras (véanse los puntos a) a e) anteriores) sean asequibles, así como de la posibilidad de soportar nuevos servicios (véanse los puntos e) y f) anteriores).</w:t>
      </w:r>
    </w:p>
    <w:p w:rsidR="006A1172" w:rsidRPr="001F163E" w:rsidRDefault="006A1172" w:rsidP="00863244">
      <w:pPr>
        <w:keepNext/>
        <w:keepLines/>
        <w:rPr>
          <w:lang w:val="es-ES_tradnl"/>
        </w:rPr>
      </w:pPr>
      <w:r>
        <w:rPr>
          <w:lang w:val="es-ES_tradnl"/>
        </w:rPr>
        <w:lastRenderedPageBreak/>
        <w:t>En cuanto a la transición de un sistema, los principales problemas son la utilización del espectro y la configuración del sistema. E</w:t>
      </w:r>
      <w:r w:rsidRPr="001F163E">
        <w:rPr>
          <w:lang w:val="es-ES_tradnl"/>
        </w:rPr>
        <w:t>n</w:t>
      </w:r>
      <w:r>
        <w:rPr>
          <w:lang w:val="es-ES_tradnl"/>
        </w:rPr>
        <w:t xml:space="preserve"> la transición de un operador a un sistema de las </w:t>
      </w:r>
      <w:r w:rsidRPr="001F163E">
        <w:rPr>
          <w:lang w:val="es-ES_tradnl"/>
        </w:rPr>
        <w:t>IMT</w:t>
      </w:r>
      <w:r w:rsidRPr="001F163E">
        <w:rPr>
          <w:lang w:val="es-ES_tradnl"/>
        </w:rPr>
        <w:noBreakHyphen/>
        <w:t>2000</w:t>
      </w:r>
      <w:r>
        <w:rPr>
          <w:lang w:val="es-ES_tradnl"/>
        </w:rPr>
        <w:t>, se consigue una ganancia en cobertura y capacidad. Por consiguiente, conforme los usuarios van efectuando su transición</w:t>
      </w:r>
      <w:r w:rsidRPr="007D64EF">
        <w:rPr>
          <w:lang w:val="es-ES_tradnl"/>
        </w:rPr>
        <w:t xml:space="preserve"> </w:t>
      </w:r>
      <w:r>
        <w:rPr>
          <w:lang w:val="es-ES_tradnl"/>
        </w:rPr>
        <w:t>a las IMT</w:t>
      </w:r>
      <w:r>
        <w:rPr>
          <w:lang w:val="es-ES_tradnl"/>
        </w:rPr>
        <w:noBreakHyphen/>
        <w:t>2000 desde los sistemas anteriores a éstas, los operadores pueden ir obteniendo un aumento de la eficiencia espectral gracias a la utilización de sistemas más avanzados. En cuanto a la utilización del espectro, existen cuatro escenarios posibles, en función de las condiciones reglamentarias (véanse las Figuras 9.2-1 y 9.2-2)</w:t>
      </w:r>
      <w:r w:rsidRPr="001F163E">
        <w:rPr>
          <w:lang w:val="es-ES_tradnl"/>
        </w:rPr>
        <w:t>:</w:t>
      </w:r>
    </w:p>
    <w:p w:rsidR="006A1172" w:rsidRPr="001F163E" w:rsidRDefault="006A1172" w:rsidP="00863244">
      <w:pPr>
        <w:pStyle w:val="enumlev1"/>
        <w:keepNext/>
        <w:keepLines/>
        <w:rPr>
          <w:lang w:val="es-ES_tradnl"/>
        </w:rPr>
      </w:pPr>
      <w:r>
        <w:rPr>
          <w:lang w:val="es-ES_tradnl"/>
        </w:rPr>
        <w:t>•</w:t>
      </w:r>
      <w:r>
        <w:rPr>
          <w:lang w:val="es-ES_tradnl"/>
        </w:rPr>
        <w:tab/>
      </w:r>
      <w:r w:rsidRPr="006A1172">
        <w:rPr>
          <w:b/>
          <w:bCs/>
          <w:lang w:val="es-ES_tradnl"/>
        </w:rPr>
        <w:t>Escenario 1:</w:t>
      </w:r>
      <w:r w:rsidRPr="001F163E">
        <w:rPr>
          <w:lang w:val="es-ES_tradnl"/>
        </w:rPr>
        <w:t xml:space="preserve"> </w:t>
      </w:r>
      <w:r>
        <w:rPr>
          <w:lang w:val="es-ES_tradnl"/>
        </w:rPr>
        <w:t>El sistema</w:t>
      </w:r>
      <w:r w:rsidRPr="001F163E">
        <w:rPr>
          <w:lang w:val="es-ES_tradnl"/>
        </w:rPr>
        <w:t xml:space="preserve"> IMT</w:t>
      </w:r>
      <w:r w:rsidRPr="001F163E">
        <w:rPr>
          <w:lang w:val="es-ES_tradnl"/>
        </w:rPr>
        <w:noBreakHyphen/>
        <w:t xml:space="preserve">2000 (B) </w:t>
      </w:r>
      <w:r>
        <w:rPr>
          <w:lang w:val="es-ES_tradnl"/>
        </w:rPr>
        <w:t xml:space="preserve">se despliega en el espectro que utiliza actualmente el sistema </w:t>
      </w:r>
      <w:r w:rsidRPr="001F163E">
        <w:rPr>
          <w:lang w:val="es-ES_tradnl"/>
        </w:rPr>
        <w:t>pre</w:t>
      </w:r>
      <w:r w:rsidRPr="001F163E">
        <w:rPr>
          <w:lang w:val="es-ES_tradnl"/>
        </w:rPr>
        <w:noBreakHyphen/>
        <w:t>IMT</w:t>
      </w:r>
      <w:r w:rsidRPr="001F163E">
        <w:rPr>
          <w:lang w:val="es-ES_tradnl"/>
        </w:rPr>
        <w:noBreakHyphen/>
        <w:t xml:space="preserve">2000 (A). </w:t>
      </w:r>
      <w:r>
        <w:rPr>
          <w:lang w:val="es-ES_tradnl"/>
        </w:rPr>
        <w:t xml:space="preserve">Huelga decir que el espectro existente </w:t>
      </w:r>
      <w:r w:rsidRPr="001F163E">
        <w:rPr>
          <w:lang w:val="es-ES_tradnl"/>
        </w:rPr>
        <w:t>(f1)</w:t>
      </w:r>
      <w:r>
        <w:rPr>
          <w:lang w:val="es-ES_tradnl"/>
        </w:rPr>
        <w:t xml:space="preserve"> se divide, atribuyéndose una parte al sistema </w:t>
      </w:r>
      <w:r w:rsidRPr="001F163E">
        <w:rPr>
          <w:lang w:val="es-ES_tradnl"/>
        </w:rPr>
        <w:t>IMT</w:t>
      </w:r>
      <w:r w:rsidRPr="001F163E">
        <w:rPr>
          <w:lang w:val="es-ES_tradnl"/>
        </w:rPr>
        <w:noBreakHyphen/>
        <w:t>2000 (f1b)</w:t>
      </w:r>
      <w:r>
        <w:rPr>
          <w:lang w:val="es-ES_tradnl"/>
        </w:rPr>
        <w:t xml:space="preserve">, mientras que el resto sigue siendo utilizado por el sistema </w:t>
      </w:r>
      <w:r w:rsidRPr="001F163E">
        <w:rPr>
          <w:lang w:val="es-ES_tradnl"/>
        </w:rPr>
        <w:t>pre</w:t>
      </w:r>
      <w:r w:rsidRPr="001F163E">
        <w:rPr>
          <w:lang w:val="es-ES_tradnl"/>
        </w:rPr>
        <w:noBreakHyphen/>
        <w:t>IMT</w:t>
      </w:r>
      <w:r w:rsidRPr="001F163E">
        <w:rPr>
          <w:lang w:val="es-ES_tradnl"/>
        </w:rPr>
        <w:noBreakHyphen/>
        <w:t xml:space="preserve">2000 (f1a). </w:t>
      </w:r>
      <w:r>
        <w:rPr>
          <w:lang w:val="es-ES_tradnl"/>
        </w:rPr>
        <w:t>En este escenario no se necesita nuevo espectro</w:t>
      </w:r>
      <w:r w:rsidRPr="001F163E">
        <w:rPr>
          <w:lang w:val="es-ES_tradnl"/>
        </w:rPr>
        <w:t xml:space="preserve"> (f2)</w:t>
      </w:r>
      <w:r>
        <w:rPr>
          <w:lang w:val="es-ES_tradnl"/>
        </w:rPr>
        <w:t>, lo que permite a los operadores efectuar la migración de sus usuarios a los nuevos servicios, utilizando el espectro de que disponían, y también utilizar el espectro simultáneamente para los sistemas IMT-2000 y pre</w:t>
      </w:r>
      <w:r>
        <w:rPr>
          <w:lang w:val="es-ES_tradnl"/>
        </w:rPr>
        <w:noBreakHyphen/>
        <w:t>IMT</w:t>
      </w:r>
      <w:r>
        <w:rPr>
          <w:lang w:val="es-ES_tradnl"/>
        </w:rPr>
        <w:noBreakHyphen/>
        <w:t>2000</w:t>
      </w:r>
      <w:r w:rsidRPr="001F163E">
        <w:rPr>
          <w:lang w:val="es-ES_tradnl"/>
        </w:rPr>
        <w:t>.</w:t>
      </w:r>
    </w:p>
    <w:p w:rsidR="006A1172" w:rsidRPr="001F163E" w:rsidRDefault="006A1172" w:rsidP="006A1172">
      <w:pPr>
        <w:pStyle w:val="enumlev1"/>
        <w:rPr>
          <w:lang w:val="es-ES_tradnl"/>
        </w:rPr>
      </w:pPr>
      <w:r>
        <w:rPr>
          <w:lang w:val="es-ES_tradnl"/>
        </w:rPr>
        <w:t>•</w:t>
      </w:r>
      <w:r>
        <w:rPr>
          <w:lang w:val="es-ES_tradnl"/>
        </w:rPr>
        <w:tab/>
      </w:r>
      <w:r w:rsidRPr="006A1172">
        <w:rPr>
          <w:b/>
          <w:bCs/>
          <w:lang w:val="es-ES_tradnl"/>
        </w:rPr>
        <w:t>Escenario 2:</w:t>
      </w:r>
      <w:r w:rsidRPr="001F163E">
        <w:rPr>
          <w:lang w:val="es-ES_tradnl"/>
        </w:rPr>
        <w:t xml:space="preserve"> </w:t>
      </w:r>
      <w:r>
        <w:rPr>
          <w:lang w:val="es-ES_tradnl"/>
        </w:rPr>
        <w:t>El sistema</w:t>
      </w:r>
      <w:r w:rsidRPr="001F163E">
        <w:rPr>
          <w:lang w:val="es-ES_tradnl"/>
        </w:rPr>
        <w:t xml:space="preserve"> IMT</w:t>
      </w:r>
      <w:r w:rsidRPr="001F163E">
        <w:rPr>
          <w:lang w:val="es-ES_tradnl"/>
        </w:rPr>
        <w:noBreakHyphen/>
        <w:t>2000 (B)</w:t>
      </w:r>
      <w:r>
        <w:rPr>
          <w:lang w:val="es-ES_tradnl"/>
        </w:rPr>
        <w:t xml:space="preserve"> se despliega en un nuevo espectro, lo que permite, por ejemplo, al operador, efectuar la migración de sus usuarios a los nuevos servicios que presta con el nuevo espectro (f2), al tiempo que hace evolucionar las capacidades del sistema </w:t>
      </w:r>
      <w:r w:rsidRPr="001F163E">
        <w:rPr>
          <w:lang w:val="es-ES_tradnl"/>
        </w:rPr>
        <w:t>pre</w:t>
      </w:r>
      <w:r w:rsidRPr="001F163E">
        <w:rPr>
          <w:lang w:val="es-ES_tradnl"/>
        </w:rPr>
        <w:noBreakHyphen/>
        <w:t>IMT</w:t>
      </w:r>
      <w:r w:rsidRPr="001F163E">
        <w:rPr>
          <w:lang w:val="es-ES_tradnl"/>
        </w:rPr>
        <w:noBreakHyphen/>
        <w:t xml:space="preserve">2000 </w:t>
      </w:r>
      <w:r>
        <w:rPr>
          <w:lang w:val="es-ES_tradnl"/>
        </w:rPr>
        <w:t xml:space="preserve">en el espectro existente </w:t>
      </w:r>
      <w:r w:rsidRPr="001F163E">
        <w:rPr>
          <w:lang w:val="es-ES_tradnl"/>
        </w:rPr>
        <w:t>(f1).</w:t>
      </w:r>
    </w:p>
    <w:p w:rsidR="006A1172" w:rsidRPr="001F163E" w:rsidRDefault="006A1172" w:rsidP="006A1172">
      <w:pPr>
        <w:pStyle w:val="enumlev1"/>
        <w:rPr>
          <w:lang w:val="es-ES_tradnl"/>
        </w:rPr>
      </w:pPr>
      <w:r>
        <w:rPr>
          <w:lang w:val="es-ES_tradnl"/>
        </w:rPr>
        <w:t>•</w:t>
      </w:r>
      <w:r>
        <w:rPr>
          <w:lang w:val="es-ES_tradnl"/>
        </w:rPr>
        <w:tab/>
      </w:r>
      <w:r w:rsidRPr="006A1172">
        <w:rPr>
          <w:b/>
          <w:bCs/>
          <w:lang w:val="es-ES_tradnl"/>
        </w:rPr>
        <w:t xml:space="preserve">Escenario 3: </w:t>
      </w:r>
      <w:r>
        <w:rPr>
          <w:lang w:val="es-ES_tradnl"/>
        </w:rPr>
        <w:t>El sistema</w:t>
      </w:r>
      <w:r w:rsidRPr="001F163E">
        <w:rPr>
          <w:lang w:val="es-ES_tradnl"/>
        </w:rPr>
        <w:t xml:space="preserve"> IMT</w:t>
      </w:r>
      <w:r w:rsidRPr="001F163E">
        <w:rPr>
          <w:lang w:val="es-ES_tradnl"/>
        </w:rPr>
        <w:noBreakHyphen/>
        <w:t xml:space="preserve">2000 (B) </w:t>
      </w:r>
      <w:r>
        <w:rPr>
          <w:lang w:val="es-ES_tradnl"/>
        </w:rPr>
        <w:t>es una versión evolucionada del sistema</w:t>
      </w:r>
      <w:r w:rsidRPr="001F163E">
        <w:rPr>
          <w:lang w:val="es-ES_tradnl"/>
        </w:rPr>
        <w:t xml:space="preserve"> pre</w:t>
      </w:r>
      <w:r w:rsidRPr="001F163E">
        <w:rPr>
          <w:lang w:val="es-ES_tradnl"/>
        </w:rPr>
        <w:noBreakHyphen/>
        <w:t>IMT</w:t>
      </w:r>
      <w:r w:rsidRPr="001F163E">
        <w:rPr>
          <w:lang w:val="es-ES_tradnl"/>
        </w:rPr>
        <w:noBreakHyphen/>
        <w:t>2000 (A)</w:t>
      </w:r>
      <w:r>
        <w:rPr>
          <w:lang w:val="es-ES_tradnl"/>
        </w:rPr>
        <w:t xml:space="preserve">, desplegado gracias a una secuencia de actualizaciones realizadas en el mismo espectro. El sistema </w:t>
      </w:r>
      <w:r w:rsidRPr="001F163E">
        <w:rPr>
          <w:lang w:val="es-ES_tradnl"/>
        </w:rPr>
        <w:t>IMT</w:t>
      </w:r>
      <w:r w:rsidRPr="001F163E">
        <w:rPr>
          <w:lang w:val="es-ES_tradnl"/>
        </w:rPr>
        <w:noBreakHyphen/>
        <w:t xml:space="preserve">2000 (B) </w:t>
      </w:r>
      <w:r>
        <w:rPr>
          <w:lang w:val="es-ES_tradnl"/>
        </w:rPr>
        <w:t xml:space="preserve">puede </w:t>
      </w:r>
      <w:proofErr w:type="spellStart"/>
      <w:r>
        <w:rPr>
          <w:lang w:val="es-ES_tradnl"/>
        </w:rPr>
        <w:t>interoperar</w:t>
      </w:r>
      <w:proofErr w:type="spellEnd"/>
      <w:r>
        <w:rPr>
          <w:lang w:val="es-ES_tradnl"/>
        </w:rPr>
        <w:t xml:space="preserve"> plenamente con el sistema </w:t>
      </w:r>
      <w:r w:rsidRPr="001F163E">
        <w:rPr>
          <w:lang w:val="es-ES_tradnl"/>
        </w:rPr>
        <w:t>pre</w:t>
      </w:r>
      <w:r w:rsidRPr="001F163E">
        <w:rPr>
          <w:lang w:val="es-ES_tradnl"/>
        </w:rPr>
        <w:noBreakHyphen/>
        <w:t>IMT</w:t>
      </w:r>
      <w:r w:rsidRPr="001F163E">
        <w:rPr>
          <w:lang w:val="es-ES_tradnl"/>
        </w:rPr>
        <w:noBreakHyphen/>
        <w:t xml:space="preserve">2000 (A). </w:t>
      </w:r>
      <w:r>
        <w:rPr>
          <w:lang w:val="es-ES_tradnl"/>
        </w:rPr>
        <w:t>En este escenario no se requiere nuevo espectro (f2)</w:t>
      </w:r>
      <w:r w:rsidRPr="001F163E">
        <w:rPr>
          <w:lang w:val="es-ES_tradnl"/>
        </w:rPr>
        <w:t>.</w:t>
      </w:r>
    </w:p>
    <w:p w:rsidR="00ED0881" w:rsidRPr="00A43C05" w:rsidRDefault="006A1172" w:rsidP="006A1172">
      <w:pPr>
        <w:pStyle w:val="enumlev1"/>
        <w:rPr>
          <w:lang w:val="es-ES_tradnl"/>
        </w:rPr>
      </w:pPr>
      <w:r>
        <w:rPr>
          <w:lang w:val="es-ES_tradnl"/>
        </w:rPr>
        <w:t>•</w:t>
      </w:r>
      <w:r>
        <w:rPr>
          <w:lang w:val="es-ES_tradnl"/>
        </w:rPr>
        <w:tab/>
      </w:r>
      <w:r w:rsidRPr="006A1172">
        <w:rPr>
          <w:b/>
          <w:bCs/>
          <w:lang w:val="es-ES_tradnl"/>
        </w:rPr>
        <w:t>Escenario 4:</w:t>
      </w:r>
      <w:r w:rsidRPr="00251A03">
        <w:rPr>
          <w:lang w:val="es-ES_tradnl"/>
        </w:rPr>
        <w:t xml:space="preserve"> El sistema IMT</w:t>
      </w:r>
      <w:r w:rsidRPr="00251A03">
        <w:rPr>
          <w:lang w:val="es-ES_tradnl"/>
        </w:rPr>
        <w:noBreakHyphen/>
        <w:t>2000 (B) es una versión evolucionada del sistema pre</w:t>
      </w:r>
      <w:r w:rsidRPr="00251A03">
        <w:rPr>
          <w:lang w:val="es-ES_tradnl"/>
        </w:rPr>
        <w:noBreakHyphen/>
        <w:t>IMT</w:t>
      </w:r>
      <w:r w:rsidRPr="00251A03">
        <w:rPr>
          <w:lang w:val="es-ES_tradnl"/>
        </w:rPr>
        <w:noBreakHyphen/>
        <w:t>2000 (A). Por consiguiente, el sistema IMT</w:t>
      </w:r>
      <w:r w:rsidRPr="00251A03">
        <w:rPr>
          <w:lang w:val="es-ES_tradnl"/>
        </w:rPr>
        <w:noBreakHyphen/>
        <w:t xml:space="preserve">2000 (B) puede </w:t>
      </w:r>
      <w:proofErr w:type="spellStart"/>
      <w:r w:rsidRPr="00251A03">
        <w:rPr>
          <w:lang w:val="es-ES_tradnl"/>
        </w:rPr>
        <w:t>interoperar</w:t>
      </w:r>
      <w:proofErr w:type="spellEnd"/>
      <w:r w:rsidRPr="00251A03">
        <w:rPr>
          <w:lang w:val="es-ES_tradnl"/>
        </w:rPr>
        <w:t xml:space="preserve"> plenamente con el sistema pre</w:t>
      </w:r>
      <w:r w:rsidRPr="00251A03">
        <w:rPr>
          <w:lang w:val="es-ES_tradnl"/>
        </w:rPr>
        <w:noBreakHyphen/>
        <w:t>IMT</w:t>
      </w:r>
      <w:r w:rsidRPr="00251A03">
        <w:rPr>
          <w:lang w:val="es-ES_tradnl"/>
        </w:rPr>
        <w:noBreakHyphen/>
        <w:t xml:space="preserve">2000 (A). </w:t>
      </w:r>
      <w:r w:rsidRPr="00033FAD">
        <w:rPr>
          <w:lang w:val="es-ES"/>
        </w:rPr>
        <w:t>El sistema IMT</w:t>
      </w:r>
      <w:r w:rsidRPr="00033FAD">
        <w:rPr>
          <w:lang w:val="es-ES"/>
        </w:rPr>
        <w:noBreakHyphen/>
        <w:t>2000 (B) funciona en el nuevo espectro (f2), mientras que el sistema pre</w:t>
      </w:r>
      <w:r w:rsidRPr="00033FAD">
        <w:rPr>
          <w:lang w:val="es-ES"/>
        </w:rPr>
        <w:noBreakHyphen/>
        <w:t>IMT</w:t>
      </w:r>
      <w:r w:rsidRPr="00033FAD">
        <w:rPr>
          <w:lang w:val="es-ES"/>
        </w:rPr>
        <w:noBreakHyphen/>
        <w:t xml:space="preserve">2000 (A) sigue funcionando en el espectro existente. </w:t>
      </w:r>
      <w:r>
        <w:rPr>
          <w:lang w:val="es-ES"/>
        </w:rPr>
        <w:t>El escenario 4 se suele combinar con el 3. Por consiguiente, en muchos casos, el sistema (B) también funciona en el espectro existente.</w:t>
      </w:r>
    </w:p>
    <w:p w:rsidR="0070212E" w:rsidRPr="00A43C05" w:rsidRDefault="0070212E" w:rsidP="0070212E">
      <w:pPr>
        <w:pStyle w:val="Normalaftertitle0"/>
        <w:rPr>
          <w:lang w:val="es-ES_tradnl"/>
        </w:rPr>
      </w:pPr>
    </w:p>
    <w:p w:rsidR="0070212E" w:rsidRPr="00A43C05" w:rsidRDefault="0045059C" w:rsidP="006A1172">
      <w:pPr>
        <w:pStyle w:val="FigureTitle"/>
        <w:rPr>
          <w:rFonts w:ascii="Times New Roman" w:hAnsi="Times New Roman"/>
          <w:lang w:val="es-ES_tradnl"/>
        </w:rPr>
      </w:pPr>
      <w:r w:rsidRPr="00A43C05">
        <w:rPr>
          <w:rFonts w:ascii="Times New Roman" w:hAnsi="Times New Roman"/>
          <w:lang w:val="es-ES_tradnl"/>
        </w:rPr>
        <w:lastRenderedPageBreak/>
        <w:t>Figur</w:t>
      </w:r>
      <w:r w:rsidR="006A1172" w:rsidRPr="00A43C05">
        <w:rPr>
          <w:rFonts w:ascii="Times New Roman" w:hAnsi="Times New Roman"/>
          <w:lang w:val="es-ES_tradnl"/>
        </w:rPr>
        <w:t>a</w:t>
      </w:r>
      <w:r w:rsidRPr="00A43C05">
        <w:rPr>
          <w:rFonts w:ascii="Times New Roman" w:hAnsi="Times New Roman"/>
          <w:lang w:val="es-ES_tradnl"/>
        </w:rPr>
        <w:t xml:space="preserve"> 9.2</w:t>
      </w:r>
      <w:r w:rsidR="006A1172" w:rsidRPr="00A43C05">
        <w:rPr>
          <w:rFonts w:ascii="Times New Roman" w:hAnsi="Times New Roman"/>
          <w:lang w:val="es-ES_tradnl"/>
        </w:rPr>
        <w:t>-</w:t>
      </w:r>
      <w:r w:rsidRPr="00A43C05">
        <w:rPr>
          <w:rFonts w:ascii="Times New Roman" w:hAnsi="Times New Roman"/>
          <w:lang w:val="es-ES_tradnl"/>
        </w:rPr>
        <w:t xml:space="preserve">1: </w:t>
      </w:r>
      <w:r w:rsidR="006A1172" w:rsidRPr="006A1172">
        <w:rPr>
          <w:rFonts w:ascii="Times New Roman" w:hAnsi="Times New Roman"/>
          <w:lang w:val="es-ES_tradnl"/>
        </w:rPr>
        <w:t>Escenarios de transición a las IMT</w:t>
      </w:r>
      <w:r w:rsidR="006A1172" w:rsidRPr="006A1172">
        <w:rPr>
          <w:rFonts w:ascii="Times New Roman" w:hAnsi="Times New Roman"/>
          <w:lang w:val="es-ES_tradnl"/>
        </w:rPr>
        <w:noBreakHyphen/>
        <w:t>2000</w:t>
      </w:r>
    </w:p>
    <w:p w:rsidR="0045059C" w:rsidRDefault="002D71A8" w:rsidP="0045059C">
      <w:pPr>
        <w:pStyle w:val="Figure"/>
        <w:spacing w:before="0" w:after="0"/>
      </w:pPr>
      <w:r>
        <w:rPr>
          <w:noProof/>
          <w:lang w:val="en-US" w:eastAsia="zh-CN"/>
        </w:rPr>
        <w:pict>
          <v:shape id="_x0000_s40477" type="#_x0000_t202" style="position:absolute;left:0;text-align:left;margin-left:103.2pt;margin-top:307.35pt;width:48.15pt;height:14.6pt;z-index:251685888" stroked="f">
            <v:textbox inset="0,0,0,0">
              <w:txbxContent>
                <w:p w:rsidR="00D45FCE" w:rsidRPr="00D45FCE" w:rsidRDefault="00D45FCE" w:rsidP="00D45FCE">
                  <w:pPr>
                    <w:spacing w:before="0"/>
                    <w:rPr>
                      <w:b/>
                      <w:bCs/>
                      <w:sz w:val="20"/>
                      <w:lang w:val="en-US"/>
                    </w:rPr>
                  </w:pPr>
                  <w:r w:rsidRPr="00D45FCE">
                    <w:rPr>
                      <w:b/>
                      <w:bCs/>
                      <w:szCs w:val="22"/>
                      <w:lang w:val="en-US"/>
                    </w:rPr>
                    <w:t>Clave</w:t>
                  </w:r>
                  <w:r w:rsidRPr="00D45FCE">
                    <w:rPr>
                      <w:b/>
                      <w:bCs/>
                      <w:sz w:val="20"/>
                      <w:lang w:val="en-US"/>
                    </w:rPr>
                    <w:t>:</w:t>
                  </w:r>
                </w:p>
              </w:txbxContent>
            </v:textbox>
          </v:shape>
        </w:pict>
      </w:r>
      <w:r>
        <w:rPr>
          <w:noProof/>
          <w:lang w:val="en-US" w:eastAsia="zh-CN"/>
        </w:rPr>
        <w:pict>
          <v:shape id="_x0000_s40058" type="#_x0000_t202" style="position:absolute;left:0;text-align:left;margin-left:104.4pt;margin-top:350.4pt;width:261.5pt;height:25.8pt;z-index:251684864" stroked="f">
            <v:textbox style="mso-next-textbox:#_x0000_s40058" inset="0,0,0,0">
              <w:txbxContent>
                <w:p w:rsidR="00596238" w:rsidRDefault="00596238" w:rsidP="00596238">
                  <w:pPr>
                    <w:spacing w:before="0"/>
                    <w:rPr>
                      <w:rFonts w:ascii="Arial" w:hAnsi="Arial" w:cs="Arial"/>
                      <w:b/>
                      <w:bCs/>
                      <w:sz w:val="18"/>
                      <w:szCs w:val="18"/>
                      <w:lang w:val="es-ES_tradnl"/>
                    </w:rPr>
                  </w:pPr>
                  <w:r w:rsidRPr="00596238">
                    <w:rPr>
                      <w:rFonts w:ascii="Arial" w:hAnsi="Arial" w:cs="Arial"/>
                      <w:b/>
                      <w:bCs/>
                      <w:sz w:val="18"/>
                      <w:szCs w:val="18"/>
                      <w:lang w:val="es-ES_tradnl"/>
                    </w:rPr>
                    <w:t>f1: banda de espectro actual del operador</w:t>
                  </w:r>
                </w:p>
                <w:p w:rsidR="00596238" w:rsidRPr="00A43C05" w:rsidRDefault="00596238" w:rsidP="00596238">
                  <w:pPr>
                    <w:spacing w:before="0"/>
                    <w:rPr>
                      <w:rFonts w:ascii="Arial" w:hAnsi="Arial" w:cs="Arial"/>
                      <w:b/>
                      <w:bCs/>
                      <w:sz w:val="18"/>
                      <w:szCs w:val="18"/>
                      <w:lang w:val="es-ES_tradnl"/>
                    </w:rPr>
                  </w:pPr>
                  <w:r w:rsidRPr="00596238">
                    <w:rPr>
                      <w:rFonts w:ascii="Arial" w:hAnsi="Arial" w:cs="Arial"/>
                      <w:b/>
                      <w:bCs/>
                      <w:sz w:val="18"/>
                      <w:szCs w:val="18"/>
                      <w:lang w:val="es-ES_tradnl"/>
                    </w:rPr>
                    <w:t>f2: nueva banda de espectro del operador (distinta de f1)</w:t>
                  </w:r>
                </w:p>
              </w:txbxContent>
            </v:textbox>
          </v:shape>
        </w:pict>
      </w:r>
      <w:r>
        <w:rPr>
          <w:noProof/>
          <w:lang w:val="en-US" w:eastAsia="zh-CN"/>
        </w:rPr>
        <w:pict>
          <v:shape id="_x0000_s40057" type="#_x0000_t202" style="position:absolute;left:0;text-align:left;margin-left:311.45pt;margin-top:336.65pt;width:85pt;height:10.85pt;z-index:251683840" stroked="f">
            <v:textbox style="mso-next-textbox:#_x0000_s40057" inset="0,0,0,0">
              <w:txbxContent>
                <w:p w:rsidR="001E2E7D" w:rsidRPr="008B015A" w:rsidRDefault="001E2E7D" w:rsidP="001E2E7D">
                  <w:pPr>
                    <w:spacing w:before="0"/>
                    <w:rPr>
                      <w:rFonts w:ascii="Arial" w:hAnsi="Arial" w:cs="Arial"/>
                      <w:b/>
                      <w:bCs/>
                      <w:sz w:val="18"/>
                      <w:szCs w:val="18"/>
                    </w:rPr>
                  </w:pPr>
                  <w:r>
                    <w:rPr>
                      <w:rFonts w:ascii="Arial" w:hAnsi="Arial" w:cs="Arial"/>
                      <w:b/>
                      <w:bCs/>
                      <w:sz w:val="18"/>
                      <w:szCs w:val="18"/>
                      <w:lang w:val="es-ES_tradnl"/>
                    </w:rPr>
                    <w:t xml:space="preserve">A </w:t>
                  </w:r>
                  <w:r w:rsidRPr="001E2E7D">
                    <w:rPr>
                      <w:rFonts w:ascii="Arial" w:hAnsi="Arial" w:cs="Arial"/>
                      <w:b/>
                      <w:bCs/>
                      <w:sz w:val="18"/>
                      <w:szCs w:val="18"/>
                      <w:lang w:val="es-ES_tradnl"/>
                    </w:rPr>
                    <w:t>evoluciona</w:t>
                  </w:r>
                  <w:r>
                    <w:rPr>
                      <w:rFonts w:ascii="Arial" w:hAnsi="Arial" w:cs="Arial"/>
                      <w:b/>
                      <w:bCs/>
                      <w:sz w:val="18"/>
                      <w:szCs w:val="18"/>
                      <w:lang w:val="es-ES_tradnl"/>
                    </w:rPr>
                    <w:t xml:space="preserve"> a B;</w:t>
                  </w:r>
                </w:p>
              </w:txbxContent>
            </v:textbox>
          </v:shape>
        </w:pict>
      </w:r>
      <w:r>
        <w:rPr>
          <w:noProof/>
          <w:lang w:val="en-US" w:eastAsia="zh-CN"/>
        </w:rPr>
        <w:pict>
          <v:shape id="_x0000_s40056" type="#_x0000_t202" style="position:absolute;left:0;text-align:left;margin-left:162.6pt;margin-top:336.9pt;width:85pt;height:10.85pt;z-index:251682816" stroked="f">
            <v:textbox style="mso-next-textbox:#_x0000_s40056" inset="0,0,0,0">
              <w:txbxContent>
                <w:p w:rsidR="00D65201" w:rsidRPr="008B015A" w:rsidRDefault="00D65201" w:rsidP="00D65201">
                  <w:pPr>
                    <w:spacing w:before="0"/>
                    <w:rPr>
                      <w:rFonts w:ascii="Arial" w:hAnsi="Arial" w:cs="Arial"/>
                      <w:b/>
                      <w:bCs/>
                      <w:sz w:val="18"/>
                      <w:szCs w:val="18"/>
                    </w:rPr>
                  </w:pPr>
                  <w:r>
                    <w:rPr>
                      <w:rFonts w:ascii="Arial" w:hAnsi="Arial" w:cs="Arial"/>
                      <w:b/>
                      <w:bCs/>
                      <w:sz w:val="18"/>
                      <w:szCs w:val="18"/>
                      <w:lang w:val="es-ES_tradnl"/>
                    </w:rPr>
                    <w:t>A migra a B;</w:t>
                  </w:r>
                </w:p>
              </w:txbxContent>
            </v:textbox>
          </v:shape>
        </w:pict>
      </w:r>
      <w:r>
        <w:rPr>
          <w:noProof/>
          <w:lang w:val="en-US" w:eastAsia="zh-CN"/>
        </w:rPr>
        <w:pict>
          <v:shape id="_x0000_s40055" type="#_x0000_t202" style="position:absolute;left:0;text-align:left;margin-left:104.4pt;margin-top:324.65pt;width:261.5pt;height:10.85pt;z-index:251681792" stroked="f">
            <v:textbox style="mso-next-textbox:#_x0000_s40055" inset="0,0,0,0">
              <w:txbxContent>
                <w:p w:rsidR="006E0D7F" w:rsidRPr="00A43C05" w:rsidRDefault="006E0D7F" w:rsidP="006E0D7F">
                  <w:pPr>
                    <w:spacing w:before="0"/>
                    <w:rPr>
                      <w:rFonts w:ascii="Arial" w:hAnsi="Arial" w:cs="Arial"/>
                      <w:b/>
                      <w:bCs/>
                      <w:sz w:val="18"/>
                      <w:szCs w:val="18"/>
                      <w:lang w:val="es-ES_tradnl"/>
                    </w:rPr>
                  </w:pPr>
                  <w:r w:rsidRPr="006E0D7F">
                    <w:rPr>
                      <w:rFonts w:ascii="Arial" w:hAnsi="Arial" w:cs="Arial"/>
                      <w:b/>
                      <w:bCs/>
                      <w:sz w:val="18"/>
                      <w:szCs w:val="18"/>
                      <w:lang w:val="es-ES_tradnl"/>
                    </w:rPr>
                    <w:t>A: Sistema pre-IMT-2000</w:t>
                  </w:r>
                  <w:r>
                    <w:rPr>
                      <w:rFonts w:ascii="Arial" w:hAnsi="Arial" w:cs="Arial"/>
                      <w:b/>
                      <w:bCs/>
                      <w:sz w:val="18"/>
                      <w:szCs w:val="18"/>
                      <w:lang w:val="es-ES_tradnl"/>
                    </w:rPr>
                    <w:t xml:space="preserve">         </w:t>
                  </w:r>
                  <w:r w:rsidRPr="006E0D7F">
                    <w:rPr>
                      <w:rFonts w:ascii="Arial" w:hAnsi="Arial" w:cs="Arial"/>
                      <w:b/>
                      <w:bCs/>
                      <w:sz w:val="18"/>
                      <w:szCs w:val="18"/>
                      <w:lang w:val="es-ES_tradnl"/>
                    </w:rPr>
                    <w:t>B: Sistema IMT-2000</w:t>
                  </w:r>
                </w:p>
              </w:txbxContent>
            </v:textbox>
          </v:shape>
        </w:pict>
      </w:r>
      <w:r>
        <w:rPr>
          <w:noProof/>
          <w:lang w:val="en-US" w:eastAsia="zh-CN"/>
        </w:rPr>
        <w:pict>
          <v:shape id="_x0000_s40054" type="#_x0000_t202" style="position:absolute;left:0;text-align:left;margin-left:94.35pt;margin-top:215.4pt;width:57pt;height:16.3pt;z-index:251680768" stroked="f">
            <v:textbox style="mso-next-textbox:#_x0000_s40054" inset="0,0,0,0">
              <w:txbxContent>
                <w:p w:rsidR="00F909C1" w:rsidRPr="008B015A" w:rsidRDefault="00F909C1" w:rsidP="00F909C1">
                  <w:pPr>
                    <w:spacing w:before="0"/>
                    <w:rPr>
                      <w:rFonts w:ascii="Arial" w:hAnsi="Arial" w:cs="Arial"/>
                      <w:b/>
                      <w:bCs/>
                      <w:sz w:val="18"/>
                      <w:szCs w:val="18"/>
                    </w:rPr>
                  </w:pPr>
                  <w:r w:rsidRPr="008B015A">
                    <w:rPr>
                      <w:rFonts w:ascii="Arial" w:hAnsi="Arial" w:cs="Arial"/>
                      <w:b/>
                      <w:bCs/>
                      <w:sz w:val="18"/>
                      <w:szCs w:val="18"/>
                      <w:lang w:val="es-ES_tradnl"/>
                    </w:rPr>
                    <w:t xml:space="preserve">Escenario </w:t>
                  </w:r>
                  <w:r>
                    <w:rPr>
                      <w:rFonts w:ascii="Arial" w:hAnsi="Arial" w:cs="Arial"/>
                      <w:b/>
                      <w:bCs/>
                      <w:sz w:val="18"/>
                      <w:szCs w:val="18"/>
                      <w:lang w:val="es-ES_tradnl"/>
                    </w:rPr>
                    <w:t>4:</w:t>
                  </w:r>
                </w:p>
              </w:txbxContent>
            </v:textbox>
          </v:shape>
        </w:pict>
      </w:r>
      <w:r>
        <w:rPr>
          <w:noProof/>
          <w:lang w:val="en-US" w:eastAsia="zh-CN"/>
        </w:rPr>
        <w:pict>
          <v:shape id="_x0000_s40053" type="#_x0000_t202" style="position:absolute;left:0;text-align:left;margin-left:94.35pt;margin-top:144.1pt;width:57pt;height:16.3pt;z-index:251679744" stroked="f">
            <v:textbox style="mso-next-textbox:#_x0000_s40053" inset="0,0,0,0">
              <w:txbxContent>
                <w:p w:rsidR="00134C7D" w:rsidRPr="008B015A" w:rsidRDefault="00134C7D" w:rsidP="00134C7D">
                  <w:pPr>
                    <w:spacing w:before="0"/>
                    <w:rPr>
                      <w:rFonts w:ascii="Arial" w:hAnsi="Arial" w:cs="Arial"/>
                      <w:b/>
                      <w:bCs/>
                      <w:sz w:val="18"/>
                      <w:szCs w:val="18"/>
                    </w:rPr>
                  </w:pPr>
                  <w:r w:rsidRPr="008B015A">
                    <w:rPr>
                      <w:rFonts w:ascii="Arial" w:hAnsi="Arial" w:cs="Arial"/>
                      <w:b/>
                      <w:bCs/>
                      <w:sz w:val="18"/>
                      <w:szCs w:val="18"/>
                      <w:lang w:val="es-ES_tradnl"/>
                    </w:rPr>
                    <w:t xml:space="preserve">Escenario </w:t>
                  </w:r>
                  <w:r>
                    <w:rPr>
                      <w:rFonts w:ascii="Arial" w:hAnsi="Arial" w:cs="Arial"/>
                      <w:b/>
                      <w:bCs/>
                      <w:sz w:val="18"/>
                      <w:szCs w:val="18"/>
                      <w:lang w:val="es-ES_tradnl"/>
                    </w:rPr>
                    <w:t>3:</w:t>
                  </w:r>
                </w:p>
              </w:txbxContent>
            </v:textbox>
          </v:shape>
        </w:pict>
      </w:r>
      <w:r>
        <w:rPr>
          <w:noProof/>
          <w:lang w:val="en-US" w:eastAsia="zh-CN"/>
        </w:rPr>
        <w:pict>
          <v:shape id="_x0000_s40052" type="#_x0000_t202" style="position:absolute;left:0;text-align:left;margin-left:94.35pt;margin-top:74.8pt;width:57pt;height:16.3pt;z-index:251678720" stroked="f">
            <v:textbox style="mso-next-textbox:#_x0000_s40052" inset="0,0,0,0">
              <w:txbxContent>
                <w:p w:rsidR="008B015A" w:rsidRPr="008B015A" w:rsidRDefault="008B015A" w:rsidP="008B015A">
                  <w:pPr>
                    <w:spacing w:before="0"/>
                    <w:rPr>
                      <w:rFonts w:ascii="Arial" w:hAnsi="Arial" w:cs="Arial"/>
                      <w:b/>
                      <w:bCs/>
                      <w:sz w:val="18"/>
                      <w:szCs w:val="18"/>
                    </w:rPr>
                  </w:pPr>
                  <w:r w:rsidRPr="008B015A">
                    <w:rPr>
                      <w:rFonts w:ascii="Arial" w:hAnsi="Arial" w:cs="Arial"/>
                      <w:b/>
                      <w:bCs/>
                      <w:sz w:val="18"/>
                      <w:szCs w:val="18"/>
                      <w:lang w:val="es-ES_tradnl"/>
                    </w:rPr>
                    <w:t xml:space="preserve">Escenario </w:t>
                  </w:r>
                  <w:r>
                    <w:rPr>
                      <w:rFonts w:ascii="Arial" w:hAnsi="Arial" w:cs="Arial"/>
                      <w:b/>
                      <w:bCs/>
                      <w:sz w:val="18"/>
                      <w:szCs w:val="18"/>
                      <w:lang w:val="es-ES_tradnl"/>
                    </w:rPr>
                    <w:t>2:</w:t>
                  </w:r>
                </w:p>
              </w:txbxContent>
            </v:textbox>
          </v:shape>
        </w:pict>
      </w:r>
      <w:r>
        <w:rPr>
          <w:noProof/>
          <w:lang w:val="en-US" w:eastAsia="zh-CN"/>
        </w:rPr>
        <w:pict>
          <v:shape id="_x0000_s40051" type="#_x0000_t202" style="position:absolute;left:0;text-align:left;margin-left:92.65pt;margin-top:4.75pt;width:56.4pt;height:16.3pt;z-index:251677696" stroked="f">
            <v:textbox style="mso-next-textbox:#_x0000_s40051" inset="0,0,0,0">
              <w:txbxContent>
                <w:p w:rsidR="008B015A" w:rsidRPr="008B015A" w:rsidRDefault="008B015A" w:rsidP="008B015A">
                  <w:pPr>
                    <w:spacing w:before="0"/>
                    <w:rPr>
                      <w:rFonts w:ascii="Arial" w:hAnsi="Arial" w:cs="Arial"/>
                      <w:b/>
                      <w:bCs/>
                      <w:sz w:val="18"/>
                      <w:szCs w:val="18"/>
                    </w:rPr>
                  </w:pPr>
                  <w:r w:rsidRPr="008B015A">
                    <w:rPr>
                      <w:rFonts w:ascii="Arial" w:hAnsi="Arial" w:cs="Arial"/>
                      <w:b/>
                      <w:bCs/>
                      <w:sz w:val="18"/>
                      <w:szCs w:val="18"/>
                      <w:lang w:val="es-ES_tradnl"/>
                    </w:rPr>
                    <w:t>Escenario 1:</w:t>
                  </w:r>
                </w:p>
              </w:txbxContent>
            </v:textbox>
          </v:shape>
        </w:pict>
      </w:r>
      <w:r w:rsidR="0045059C">
        <w:rPr>
          <w:noProof/>
          <w:lang w:val="en-US" w:eastAsia="zh-CN"/>
        </w:rPr>
        <w:drawing>
          <wp:inline distT="0" distB="0" distL="0" distR="0">
            <wp:extent cx="3914775" cy="4772025"/>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914775" cy="4772025"/>
                    </a:xfrm>
                    <a:prstGeom prst="rect">
                      <a:avLst/>
                    </a:prstGeom>
                    <a:noFill/>
                    <a:ln w="9525">
                      <a:noFill/>
                      <a:miter lim="800000"/>
                      <a:headEnd/>
                      <a:tailEnd/>
                    </a:ln>
                  </pic:spPr>
                </pic:pic>
              </a:graphicData>
            </a:graphic>
          </wp:inline>
        </w:drawing>
      </w:r>
    </w:p>
    <w:p w:rsidR="0070212E" w:rsidRDefault="0070212E" w:rsidP="0070212E">
      <w:pPr>
        <w:pStyle w:val="FigureSource"/>
      </w:pPr>
    </w:p>
    <w:p w:rsidR="00C829DE" w:rsidRPr="00A43C05" w:rsidRDefault="00E43880" w:rsidP="00E43880">
      <w:pPr>
        <w:pStyle w:val="Normalaftertitle"/>
        <w:rPr>
          <w:kern w:val="28"/>
          <w:lang w:val="es-ES_tradnl"/>
        </w:rPr>
      </w:pPr>
      <w:r w:rsidRPr="00E43880">
        <w:rPr>
          <w:lang w:val="es-ES_tradnl"/>
        </w:rPr>
        <w:t xml:space="preserve">(Puede consultarse ejemplos reales de cada uno de los escenarios de transición en el Anexo I </w:t>
      </w:r>
      <w:r w:rsidR="00030119">
        <w:rPr>
          <w:lang w:val="es-ES_tradnl"/>
        </w:rPr>
        <w:t>«</w:t>
      </w:r>
      <w:r w:rsidRPr="00E43880">
        <w:rPr>
          <w:lang w:val="es-ES_tradnl"/>
        </w:rPr>
        <w:t>Experiencia del operador en la transición a los sistemas IMT-2000</w:t>
      </w:r>
      <w:r w:rsidR="00030119">
        <w:rPr>
          <w:lang w:val="es-ES_tradnl"/>
        </w:rPr>
        <w:t>»</w:t>
      </w:r>
      <w:r w:rsidRPr="00E43880">
        <w:rPr>
          <w:lang w:val="es-ES_tradnl"/>
        </w:rPr>
        <w:t>.)</w:t>
      </w:r>
    </w:p>
    <w:p w:rsidR="00AE7664" w:rsidRPr="00A43C05" w:rsidRDefault="00AE7664" w:rsidP="00A97055">
      <w:pPr>
        <w:tabs>
          <w:tab w:val="clear" w:pos="794"/>
          <w:tab w:val="clear" w:pos="1191"/>
          <w:tab w:val="clear" w:pos="1588"/>
          <w:tab w:val="clear" w:pos="1985"/>
        </w:tabs>
        <w:overflowPunct/>
        <w:autoSpaceDE/>
        <w:autoSpaceDN/>
        <w:adjustRightInd/>
        <w:spacing w:before="0"/>
        <w:jc w:val="left"/>
        <w:textAlignment w:val="auto"/>
        <w:rPr>
          <w:lang w:val="es-ES_tradnl"/>
        </w:rPr>
      </w:pPr>
    </w:p>
    <w:p w:rsidR="00AE7664" w:rsidRPr="00A43C05" w:rsidRDefault="00AE7664" w:rsidP="00E43880">
      <w:pPr>
        <w:pStyle w:val="FigureTitle"/>
        <w:rPr>
          <w:rFonts w:asciiTheme="majorBidi" w:hAnsiTheme="majorBidi" w:cstheme="majorBidi"/>
          <w:lang w:val="es-ES_tradnl"/>
        </w:rPr>
      </w:pPr>
      <w:r w:rsidRPr="00A43C05">
        <w:rPr>
          <w:rFonts w:asciiTheme="majorBidi" w:hAnsiTheme="majorBidi" w:cstheme="majorBidi"/>
          <w:lang w:val="es-ES_tradnl"/>
        </w:rPr>
        <w:t>Figur</w:t>
      </w:r>
      <w:r w:rsidR="00E43880" w:rsidRPr="00A43C05">
        <w:rPr>
          <w:rFonts w:asciiTheme="majorBidi" w:hAnsiTheme="majorBidi" w:cstheme="majorBidi"/>
          <w:lang w:val="es-ES_tradnl"/>
        </w:rPr>
        <w:t>a</w:t>
      </w:r>
      <w:r w:rsidRPr="00A43C05">
        <w:rPr>
          <w:rFonts w:asciiTheme="majorBidi" w:hAnsiTheme="majorBidi" w:cstheme="majorBidi"/>
          <w:lang w:val="es-ES_tradnl"/>
        </w:rPr>
        <w:t xml:space="preserve"> 9.2</w:t>
      </w:r>
      <w:r w:rsidRPr="00A43C05">
        <w:rPr>
          <w:rFonts w:asciiTheme="majorBidi" w:hAnsiTheme="majorBidi" w:cstheme="majorBidi"/>
          <w:lang w:val="es-ES_tradnl"/>
        </w:rPr>
        <w:noBreakHyphen/>
        <w:t xml:space="preserve">2: </w:t>
      </w:r>
      <w:r w:rsidR="00E43880" w:rsidRPr="00E43880">
        <w:rPr>
          <w:rFonts w:asciiTheme="majorBidi" w:hAnsiTheme="majorBidi" w:cstheme="majorBidi"/>
          <w:lang w:val="es-ES_tradnl"/>
        </w:rPr>
        <w:t>Aspectos clave de los escenarios</w:t>
      </w:r>
      <w:r w:rsidR="00E43880">
        <w:rPr>
          <w:rFonts w:asciiTheme="majorBidi" w:hAnsiTheme="majorBidi" w:cstheme="majorBidi"/>
          <w:lang w:val="es-ES_tradnl"/>
        </w:rPr>
        <w:t xml:space="preserve"> </w:t>
      </w:r>
      <w:r w:rsidR="00E43880" w:rsidRPr="00E43880">
        <w:rPr>
          <w:rFonts w:asciiTheme="majorBidi" w:hAnsiTheme="majorBidi" w:cstheme="majorBidi"/>
          <w:lang w:val="es-ES_tradnl"/>
        </w:rPr>
        <w:t>de transición en las IMT</w:t>
      </w:r>
      <w:r w:rsidR="00E43880" w:rsidRPr="00E43880">
        <w:rPr>
          <w:rFonts w:asciiTheme="majorBidi" w:hAnsiTheme="majorBidi" w:cstheme="majorBidi"/>
          <w:lang w:val="es-ES_tradnl"/>
        </w:rPr>
        <w:noBreakHyphen/>
        <w:t>2000</w:t>
      </w:r>
    </w:p>
    <w:p w:rsidR="00AE7664" w:rsidRPr="00A43C05" w:rsidRDefault="00AE7664" w:rsidP="00AE7664">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2084"/>
        <w:gridCol w:w="992"/>
        <w:gridCol w:w="1701"/>
        <w:gridCol w:w="1701"/>
      </w:tblGrid>
      <w:tr w:rsidR="00AE7664" w:rsidTr="006429C5">
        <w:trPr>
          <w:cantSplit/>
          <w:jc w:val="center"/>
        </w:trPr>
        <w:tc>
          <w:tcPr>
            <w:tcW w:w="2084" w:type="dxa"/>
            <w:tcBorders>
              <w:top w:val="nil"/>
              <w:left w:val="nil"/>
              <w:bottom w:val="nil"/>
              <w:right w:val="nil"/>
            </w:tcBorders>
          </w:tcPr>
          <w:p w:rsidR="00AE7664" w:rsidRPr="00A43C05" w:rsidRDefault="00AE7664" w:rsidP="006429C5">
            <w:pPr>
              <w:keepNext/>
              <w:framePr w:hSpace="181" w:wrap="notBeside" w:vAnchor="text" w:hAnchor="text" w:xAlign="center" w:y="1"/>
              <w:spacing w:before="80" w:after="80"/>
              <w:jc w:val="center"/>
              <w:textAlignment w:val="center"/>
              <w:rPr>
                <w:rFonts w:ascii="Times" w:hAnsi="Times"/>
                <w:sz w:val="20"/>
                <w:lang w:val="es-ES_tradnl"/>
              </w:rPr>
            </w:pPr>
          </w:p>
          <w:p w:rsidR="00AE7664" w:rsidRPr="00A43C05" w:rsidRDefault="00AE7664" w:rsidP="006429C5">
            <w:pPr>
              <w:keepNext/>
              <w:framePr w:hSpace="181" w:wrap="notBeside" w:vAnchor="text" w:hAnchor="text" w:xAlign="center" w:y="1"/>
              <w:spacing w:before="80" w:after="80"/>
              <w:jc w:val="center"/>
              <w:textAlignment w:val="center"/>
              <w:rPr>
                <w:rFonts w:ascii="Times" w:hAnsi="Times"/>
                <w:sz w:val="20"/>
                <w:lang w:val="es-ES_tradnl"/>
              </w:rPr>
            </w:pPr>
          </w:p>
        </w:tc>
        <w:tc>
          <w:tcPr>
            <w:tcW w:w="992" w:type="dxa"/>
            <w:tcBorders>
              <w:top w:val="nil"/>
              <w:left w:val="nil"/>
              <w:bottom w:val="nil"/>
              <w:right w:val="single" w:sz="4" w:space="0" w:color="auto"/>
            </w:tcBorders>
          </w:tcPr>
          <w:p w:rsidR="00AE7664" w:rsidRPr="00A43C05" w:rsidRDefault="00AE7664" w:rsidP="006429C5">
            <w:pPr>
              <w:keepNext/>
              <w:framePr w:hSpace="181" w:wrap="notBeside" w:vAnchor="text" w:hAnchor="text" w:xAlign="center" w:y="1"/>
              <w:spacing w:before="80" w:after="80"/>
              <w:jc w:val="center"/>
              <w:textAlignment w:val="center"/>
              <w:rPr>
                <w:rFonts w:ascii="Times" w:hAnsi="Times"/>
                <w:b/>
                <w:bCs/>
                <w:sz w:val="20"/>
                <w:lang w:val="es-ES_tradnl"/>
              </w:rPr>
            </w:pPr>
          </w:p>
        </w:tc>
        <w:tc>
          <w:tcPr>
            <w:tcW w:w="3402" w:type="dxa"/>
            <w:gridSpan w:val="2"/>
            <w:tcBorders>
              <w:top w:val="single" w:sz="4" w:space="0" w:color="auto"/>
              <w:left w:val="single" w:sz="4" w:space="0" w:color="auto"/>
              <w:right w:val="single" w:sz="4" w:space="0" w:color="auto"/>
            </w:tcBorders>
            <w:vAlign w:val="center"/>
          </w:tcPr>
          <w:p w:rsidR="00AE7664" w:rsidRDefault="00EB3D94" w:rsidP="00EB3D94">
            <w:pPr>
              <w:pStyle w:val="Tablehead"/>
              <w:framePr w:hSpace="181" w:wrap="notBeside" w:vAnchor="text" w:hAnchor="text" w:xAlign="center" w:y="1"/>
            </w:pPr>
            <w:r w:rsidRPr="00EB3D94">
              <w:rPr>
                <w:lang w:val="es-ES_tradnl"/>
              </w:rPr>
              <w:t>Bandas espectrales</w:t>
            </w:r>
          </w:p>
        </w:tc>
      </w:tr>
      <w:tr w:rsidR="00AE7664" w:rsidTr="006429C5">
        <w:trPr>
          <w:cantSplit/>
          <w:jc w:val="center"/>
        </w:trPr>
        <w:tc>
          <w:tcPr>
            <w:tcW w:w="2084" w:type="dxa"/>
            <w:tcBorders>
              <w:top w:val="nil"/>
              <w:left w:val="nil"/>
              <w:bottom w:val="single" w:sz="4" w:space="0" w:color="auto"/>
              <w:right w:val="nil"/>
            </w:tcBorders>
          </w:tcPr>
          <w:p w:rsidR="00AE7664" w:rsidRDefault="00AE7664" w:rsidP="006429C5">
            <w:pPr>
              <w:keepNext/>
              <w:framePr w:hSpace="181" w:wrap="notBeside" w:vAnchor="text" w:hAnchor="text" w:xAlign="center" w:y="1"/>
              <w:spacing w:before="80" w:after="80"/>
              <w:jc w:val="center"/>
              <w:textAlignment w:val="center"/>
              <w:rPr>
                <w:rFonts w:ascii="Times" w:hAnsi="Times"/>
                <w:sz w:val="20"/>
              </w:rPr>
            </w:pPr>
          </w:p>
        </w:tc>
        <w:tc>
          <w:tcPr>
            <w:tcW w:w="992" w:type="dxa"/>
            <w:tcBorders>
              <w:top w:val="nil"/>
              <w:left w:val="nil"/>
              <w:bottom w:val="single" w:sz="4" w:space="0" w:color="auto"/>
              <w:right w:val="single" w:sz="4" w:space="0" w:color="auto"/>
            </w:tcBorders>
          </w:tcPr>
          <w:p w:rsidR="00AE7664" w:rsidRDefault="00AE7664" w:rsidP="006429C5">
            <w:pPr>
              <w:keepNext/>
              <w:framePr w:hSpace="181" w:wrap="notBeside" w:vAnchor="text" w:hAnchor="text" w:xAlign="center" w:y="1"/>
              <w:spacing w:before="80" w:after="80"/>
              <w:jc w:val="center"/>
              <w:textAlignment w:val="center"/>
              <w:rPr>
                <w:rFonts w:ascii="Times" w:hAnsi="Times"/>
                <w:sz w:val="20"/>
              </w:rPr>
            </w:pPr>
          </w:p>
        </w:tc>
        <w:tc>
          <w:tcPr>
            <w:tcW w:w="1701" w:type="dxa"/>
            <w:tcBorders>
              <w:left w:val="single" w:sz="4" w:space="0" w:color="auto"/>
              <w:bottom w:val="single" w:sz="4" w:space="0" w:color="auto"/>
            </w:tcBorders>
            <w:vAlign w:val="center"/>
          </w:tcPr>
          <w:p w:rsidR="00AE7664" w:rsidRDefault="00EB3D94" w:rsidP="00EB3D94">
            <w:pPr>
              <w:pStyle w:val="Tabletext"/>
              <w:keepNext/>
              <w:framePr w:hSpace="181" w:wrap="notBeside" w:vAnchor="text" w:hAnchor="text" w:xAlign="center" w:y="1"/>
              <w:spacing w:before="80" w:after="80"/>
              <w:jc w:val="center"/>
            </w:pPr>
            <w:r w:rsidRPr="00EB3D94">
              <w:rPr>
                <w:lang w:val="es-ES_tradnl"/>
              </w:rPr>
              <w:t>La misma</w:t>
            </w:r>
          </w:p>
        </w:tc>
        <w:tc>
          <w:tcPr>
            <w:tcW w:w="1701" w:type="dxa"/>
            <w:tcBorders>
              <w:bottom w:val="single" w:sz="4" w:space="0" w:color="auto"/>
              <w:right w:val="single" w:sz="4" w:space="0" w:color="auto"/>
            </w:tcBorders>
            <w:vAlign w:val="center"/>
          </w:tcPr>
          <w:p w:rsidR="00AE7664" w:rsidRDefault="00EB3D94" w:rsidP="00EB3D94">
            <w:pPr>
              <w:pStyle w:val="Tabletext"/>
              <w:keepNext/>
              <w:framePr w:hSpace="181" w:wrap="notBeside" w:vAnchor="text" w:hAnchor="text" w:xAlign="center" w:y="1"/>
              <w:spacing w:before="80" w:after="80"/>
              <w:jc w:val="center"/>
            </w:pPr>
            <w:r w:rsidRPr="00EB3D94">
              <w:rPr>
                <w:lang w:val="es-ES_tradnl"/>
              </w:rPr>
              <w:t>Distinta</w:t>
            </w:r>
          </w:p>
        </w:tc>
      </w:tr>
      <w:tr w:rsidR="00AE7664" w:rsidTr="006429C5">
        <w:trPr>
          <w:cantSplit/>
          <w:jc w:val="center"/>
        </w:trPr>
        <w:tc>
          <w:tcPr>
            <w:tcW w:w="2084" w:type="dxa"/>
            <w:vMerge w:val="restart"/>
            <w:tcBorders>
              <w:top w:val="single" w:sz="4" w:space="0" w:color="auto"/>
              <w:left w:val="single" w:sz="4" w:space="0" w:color="auto"/>
            </w:tcBorders>
            <w:vAlign w:val="center"/>
          </w:tcPr>
          <w:p w:rsidR="00AE7664" w:rsidRDefault="00EB3D94" w:rsidP="00EB3D94">
            <w:pPr>
              <w:pStyle w:val="Tablehead"/>
              <w:framePr w:hSpace="181" w:wrap="notBeside" w:vAnchor="text" w:hAnchor="text" w:xAlign="center" w:y="1"/>
            </w:pPr>
            <w:r w:rsidRPr="00EB3D94">
              <w:rPr>
                <w:lang w:val="es-ES_tradnl"/>
              </w:rPr>
              <w:t>Compatibilidad ascendente</w:t>
            </w:r>
          </w:p>
        </w:tc>
        <w:tc>
          <w:tcPr>
            <w:tcW w:w="992" w:type="dxa"/>
            <w:tcBorders>
              <w:top w:val="single" w:sz="4" w:space="0" w:color="auto"/>
              <w:right w:val="single" w:sz="4" w:space="0" w:color="auto"/>
            </w:tcBorders>
            <w:vAlign w:val="center"/>
          </w:tcPr>
          <w:p w:rsidR="00AE7664" w:rsidRDefault="00EB3D94" w:rsidP="00EB3D94">
            <w:pPr>
              <w:pStyle w:val="Tabletext"/>
              <w:keepNext/>
              <w:framePr w:hSpace="181" w:wrap="notBeside" w:vAnchor="text" w:hAnchor="text" w:xAlign="center" w:y="1"/>
              <w:spacing w:before="80" w:after="80"/>
              <w:jc w:val="center"/>
              <w:rPr>
                <w:lang w:val="it-IT"/>
              </w:rPr>
            </w:pPr>
            <w:r w:rsidRPr="00EB3D94">
              <w:rPr>
                <w:lang w:val="es-ES_tradnl"/>
              </w:rPr>
              <w:t>Sí</w:t>
            </w:r>
          </w:p>
        </w:tc>
        <w:tc>
          <w:tcPr>
            <w:tcW w:w="1701" w:type="dxa"/>
            <w:tcBorders>
              <w:top w:val="single" w:sz="4" w:space="0" w:color="auto"/>
              <w:left w:val="single" w:sz="4" w:space="0" w:color="auto"/>
            </w:tcBorders>
            <w:vAlign w:val="center"/>
          </w:tcPr>
          <w:p w:rsidR="00AE7664" w:rsidRDefault="00EB3D94" w:rsidP="00EB3D94">
            <w:pPr>
              <w:pStyle w:val="Tabletext"/>
              <w:keepNext/>
              <w:framePr w:hSpace="181" w:wrap="notBeside" w:vAnchor="text" w:hAnchor="text" w:xAlign="center" w:y="1"/>
              <w:spacing w:before="80" w:after="80"/>
              <w:jc w:val="center"/>
              <w:rPr>
                <w:lang w:val="it-IT"/>
              </w:rPr>
            </w:pPr>
            <w:r w:rsidRPr="00EB3D94">
              <w:rPr>
                <w:lang w:val="es-ES_tradnl"/>
              </w:rPr>
              <w:t>Escenario 3</w:t>
            </w:r>
          </w:p>
        </w:tc>
        <w:tc>
          <w:tcPr>
            <w:tcW w:w="1701" w:type="dxa"/>
            <w:tcBorders>
              <w:top w:val="single" w:sz="4" w:space="0" w:color="auto"/>
              <w:right w:val="single" w:sz="4" w:space="0" w:color="auto"/>
            </w:tcBorders>
            <w:vAlign w:val="center"/>
          </w:tcPr>
          <w:p w:rsidR="00AE7664" w:rsidRDefault="00EB3D94" w:rsidP="00EB3D94">
            <w:pPr>
              <w:pStyle w:val="Tabletext"/>
              <w:keepNext/>
              <w:framePr w:hSpace="181" w:wrap="notBeside" w:vAnchor="text" w:hAnchor="text" w:xAlign="center" w:y="1"/>
              <w:spacing w:before="80" w:after="80"/>
              <w:jc w:val="center"/>
              <w:rPr>
                <w:lang w:val="it-IT"/>
              </w:rPr>
            </w:pPr>
            <w:r w:rsidRPr="00EB3D94">
              <w:rPr>
                <w:lang w:val="es-ES_tradnl"/>
              </w:rPr>
              <w:t xml:space="preserve">Escenario </w:t>
            </w:r>
            <w:r>
              <w:rPr>
                <w:lang w:val="es-ES_tradnl"/>
              </w:rPr>
              <w:t>4</w:t>
            </w:r>
          </w:p>
        </w:tc>
      </w:tr>
      <w:tr w:rsidR="00AE7664" w:rsidTr="006429C5">
        <w:trPr>
          <w:cantSplit/>
          <w:jc w:val="center"/>
        </w:trPr>
        <w:tc>
          <w:tcPr>
            <w:tcW w:w="2084" w:type="dxa"/>
            <w:vMerge/>
            <w:tcBorders>
              <w:left w:val="single" w:sz="4" w:space="0" w:color="auto"/>
              <w:bottom w:val="single" w:sz="4" w:space="0" w:color="auto"/>
            </w:tcBorders>
          </w:tcPr>
          <w:p w:rsidR="00AE7664" w:rsidRDefault="00AE7664" w:rsidP="006429C5">
            <w:pPr>
              <w:framePr w:hSpace="181" w:wrap="notBeside" w:vAnchor="text" w:hAnchor="text" w:xAlign="center" w:y="1"/>
              <w:spacing w:before="80" w:after="80"/>
              <w:jc w:val="center"/>
              <w:textAlignment w:val="center"/>
              <w:rPr>
                <w:rFonts w:ascii="Times" w:hAnsi="Times"/>
                <w:sz w:val="20"/>
                <w:lang w:val="it-IT"/>
              </w:rPr>
            </w:pPr>
          </w:p>
        </w:tc>
        <w:tc>
          <w:tcPr>
            <w:tcW w:w="992" w:type="dxa"/>
            <w:tcBorders>
              <w:bottom w:val="single" w:sz="4" w:space="0" w:color="auto"/>
              <w:right w:val="single" w:sz="4" w:space="0" w:color="auto"/>
            </w:tcBorders>
            <w:vAlign w:val="center"/>
          </w:tcPr>
          <w:p w:rsidR="00AE7664" w:rsidRDefault="00AE7664" w:rsidP="006429C5">
            <w:pPr>
              <w:pStyle w:val="Tabletext"/>
              <w:framePr w:hSpace="181" w:wrap="notBeside" w:vAnchor="text" w:hAnchor="text" w:xAlign="center" w:y="1"/>
              <w:spacing w:before="80" w:after="80"/>
              <w:jc w:val="center"/>
              <w:rPr>
                <w:lang w:val="it-IT"/>
              </w:rPr>
            </w:pPr>
            <w:r>
              <w:rPr>
                <w:rFonts w:hint="eastAsia"/>
                <w:lang w:val="it-IT"/>
              </w:rPr>
              <w:t>No</w:t>
            </w:r>
          </w:p>
        </w:tc>
        <w:tc>
          <w:tcPr>
            <w:tcW w:w="1701" w:type="dxa"/>
            <w:tcBorders>
              <w:left w:val="single" w:sz="4" w:space="0" w:color="auto"/>
              <w:bottom w:val="single" w:sz="4" w:space="0" w:color="auto"/>
              <w:right w:val="single" w:sz="4" w:space="0" w:color="auto"/>
            </w:tcBorders>
            <w:vAlign w:val="center"/>
          </w:tcPr>
          <w:p w:rsidR="00AE7664" w:rsidRDefault="00EB3D94" w:rsidP="00EB3D94">
            <w:pPr>
              <w:pStyle w:val="Tabletext"/>
              <w:framePr w:hSpace="181" w:wrap="notBeside" w:vAnchor="text" w:hAnchor="text" w:xAlign="center" w:y="1"/>
              <w:spacing w:before="80" w:after="80"/>
              <w:jc w:val="center"/>
              <w:rPr>
                <w:lang w:val="it-IT"/>
              </w:rPr>
            </w:pPr>
            <w:r w:rsidRPr="00EB3D94">
              <w:rPr>
                <w:lang w:val="es-ES_tradnl"/>
              </w:rPr>
              <w:t xml:space="preserve">Escenario </w:t>
            </w:r>
            <w:r>
              <w:rPr>
                <w:lang w:val="es-ES_tradnl"/>
              </w:rPr>
              <w:t>4</w:t>
            </w:r>
          </w:p>
        </w:tc>
        <w:tc>
          <w:tcPr>
            <w:tcW w:w="1701" w:type="dxa"/>
            <w:tcBorders>
              <w:left w:val="single" w:sz="4" w:space="0" w:color="auto"/>
              <w:bottom w:val="single" w:sz="4" w:space="0" w:color="auto"/>
              <w:right w:val="single" w:sz="4" w:space="0" w:color="auto"/>
            </w:tcBorders>
            <w:vAlign w:val="center"/>
          </w:tcPr>
          <w:p w:rsidR="00AE7664" w:rsidRDefault="00EB3D94" w:rsidP="00EB3D94">
            <w:pPr>
              <w:pStyle w:val="Tabletext"/>
              <w:framePr w:hSpace="181" w:wrap="notBeside" w:vAnchor="text" w:hAnchor="text" w:xAlign="center" w:y="1"/>
              <w:spacing w:before="80" w:after="80"/>
              <w:jc w:val="center"/>
              <w:rPr>
                <w:lang w:val="it-IT"/>
              </w:rPr>
            </w:pPr>
            <w:r w:rsidRPr="00EB3D94">
              <w:rPr>
                <w:lang w:val="es-ES_tradnl"/>
              </w:rPr>
              <w:t xml:space="preserve">Escenario </w:t>
            </w:r>
            <w:r>
              <w:rPr>
                <w:lang w:val="es-ES_tradnl"/>
              </w:rPr>
              <w:t>2</w:t>
            </w:r>
          </w:p>
        </w:tc>
      </w:tr>
    </w:tbl>
    <w:p w:rsidR="00AE7664" w:rsidRDefault="00AE7664" w:rsidP="00AE7664">
      <w:pPr>
        <w:pStyle w:val="FigureSource"/>
      </w:pPr>
    </w:p>
    <w:p w:rsidR="00EB3D94" w:rsidRPr="001F163E" w:rsidRDefault="00EB3D94" w:rsidP="00EB3D94">
      <w:pPr>
        <w:pStyle w:val="Normalaftertitle"/>
        <w:rPr>
          <w:lang w:val="es-ES_tradnl"/>
        </w:rPr>
      </w:pPr>
      <w:r>
        <w:rPr>
          <w:lang w:val="es-ES_tradnl"/>
        </w:rPr>
        <w:t xml:space="preserve">Si la transición exige la migración de usuarios y servicios, hay que evaluar en qué medida es necesario sustituir las entidades de la red (por ejemplo, la red básica y los componentes de la red de acceso). Esta sustitución no tiene por qué afectar a todo el sistema. Por lo general, las redes básicas evolucionan cuando </w:t>
      </w:r>
      <w:r>
        <w:rPr>
          <w:lang w:val="es-ES_tradnl"/>
        </w:rPr>
        <w:lastRenderedPageBreak/>
        <w:t>los componentes de la red de acceso se cambian por completo. En muchos casos, e incluso en el caso de actualización de sistemas móviles de una generación anterior a otra nueva, es muy frecuente la posibilidad de que se actualicen únicamente unas pocas entidades del sistema.</w:t>
      </w:r>
    </w:p>
    <w:p w:rsidR="00EB3D94" w:rsidRPr="001F163E" w:rsidRDefault="00EB3D94" w:rsidP="00EB3D94">
      <w:pPr>
        <w:rPr>
          <w:lang w:val="es-ES_tradnl"/>
        </w:rPr>
      </w:pPr>
      <w:r>
        <w:rPr>
          <w:lang w:val="es-ES_tradnl"/>
        </w:rPr>
        <w:t xml:space="preserve">Si la transición se efectúa de una generación a la siguiente, las funcionalidades más importantes (servicios, protocolos, etc.) y las propiedades (espectro) de los antiguos sistemas siguen estando, en gran medida, disponibles e intactas en el nuevo sistema. La evolución de los componentes de un sistema ofrece una compatibilidad máxima, tanto ascendente como descendente, es decir, los equipos anteriores a las IMT-2000 no tienen que sustituirse sino que pueden utilizarse conjuntamente con los nuevos equipos, manteniendo de este modo todas las funcionalidades del sistema anterior a las </w:t>
      </w:r>
      <w:r w:rsidRPr="001F163E">
        <w:rPr>
          <w:lang w:val="es-ES_tradnl"/>
        </w:rPr>
        <w:t>IMT</w:t>
      </w:r>
      <w:r w:rsidRPr="001F163E">
        <w:rPr>
          <w:lang w:val="es-ES_tradnl"/>
        </w:rPr>
        <w:noBreakHyphen/>
        <w:t>2000.</w:t>
      </w:r>
    </w:p>
    <w:p w:rsidR="00EB3D94" w:rsidRPr="001F163E" w:rsidRDefault="00EB3D94" w:rsidP="00EB3D94">
      <w:pPr>
        <w:rPr>
          <w:lang w:val="es-ES_tradnl"/>
        </w:rPr>
      </w:pPr>
      <w:r>
        <w:rPr>
          <w:lang w:val="es-ES_tradnl"/>
        </w:rPr>
        <w:t>En general, y no sólo en los países en desarrollo, puede concluirse que son preferibles las actualizaciones evolutivas de los sistemas, desde el punto de vista del operador y del usuario final, ya que pueden conservarse en gran medida las inversiones anteriores. No obstante, en realidad, la pura evolución de los sistemas nunca es posible, ya que, incluso en los sistemas de diseño más flexible, hay que actualizar como mínimo sus programas informáticos e incluso los equipos físicos de ciertos componentes de la red (sustituyéndolos), cuando haya nuevas características que mejoren el sistema. Además, la experiencia demuestra que todas las tecnologías tienen un límite para su expansión, es decir, que hasta las mejoras evolutivas ocasionarán en última instancia una complejidad inaceptable de los sistemas. Desde esta etapa es necesario efectuar saltos tecnológicos que plantearán la necesidad de un nuevo sistema, que será incompatible con el antiguo y exigirá la oportuna estrategia de migración e interoperabilidad</w:t>
      </w:r>
      <w:r w:rsidRPr="001F163E">
        <w:rPr>
          <w:lang w:val="es-ES_tradnl"/>
        </w:rPr>
        <w:t>.</w:t>
      </w:r>
    </w:p>
    <w:p w:rsidR="00EB3D94" w:rsidRPr="001F163E" w:rsidRDefault="00EB3D94" w:rsidP="00EB3D94">
      <w:pPr>
        <w:rPr>
          <w:lang w:val="es-ES_tradnl"/>
        </w:rPr>
      </w:pPr>
      <w:r>
        <w:rPr>
          <w:lang w:val="es-ES_tradnl"/>
        </w:rPr>
        <w:t>Los operadores deben tenerse cuenta estos aspectos para seleccionar su trayecto de transición hacia las</w:t>
      </w:r>
      <w:r w:rsidRPr="001F163E">
        <w:rPr>
          <w:lang w:val="es-ES_tradnl"/>
        </w:rPr>
        <w:t xml:space="preserve"> IMT</w:t>
      </w:r>
      <w:r w:rsidRPr="001F163E">
        <w:rPr>
          <w:lang w:val="es-ES_tradnl"/>
        </w:rPr>
        <w:noBreakHyphen/>
        <w:t>2000.</w:t>
      </w:r>
    </w:p>
    <w:p w:rsidR="00EB3D94" w:rsidRPr="001F163E" w:rsidRDefault="00EB3D94" w:rsidP="00EB3D94">
      <w:pPr>
        <w:rPr>
          <w:lang w:val="es-ES_tradnl"/>
        </w:rPr>
      </w:pPr>
      <w:r>
        <w:rPr>
          <w:lang w:val="es-ES_tradnl"/>
        </w:rPr>
        <w:t xml:space="preserve">Cuatro son los elementos que probablemente incidan en la decisión de los operadores sobre la evolución de sus sistemas anteriores a las </w:t>
      </w:r>
      <w:r w:rsidRPr="001F163E">
        <w:rPr>
          <w:lang w:val="es-ES_tradnl" w:eastAsia="ja-JP"/>
        </w:rPr>
        <w:t>IMT</w:t>
      </w:r>
      <w:r w:rsidRPr="001F163E">
        <w:rPr>
          <w:lang w:val="es-ES_tradnl" w:eastAsia="ja-JP"/>
        </w:rPr>
        <w:noBreakHyphen/>
        <w:t>2000</w:t>
      </w:r>
      <w:r w:rsidRPr="001F163E">
        <w:rPr>
          <w:lang w:val="es-ES_tradnl"/>
        </w:rPr>
        <w:t>:</w:t>
      </w:r>
    </w:p>
    <w:p w:rsidR="00EB3D94" w:rsidRPr="00A43C05" w:rsidRDefault="00EB3D94" w:rsidP="00EB3D94">
      <w:pPr>
        <w:pStyle w:val="enumlev1"/>
        <w:rPr>
          <w:lang w:val="es-ES_tradnl"/>
        </w:rPr>
      </w:pPr>
      <w:r w:rsidRPr="00A43C05">
        <w:rPr>
          <w:lang w:val="es-ES_tradnl"/>
        </w:rPr>
        <w:t>1)</w:t>
      </w:r>
      <w:r w:rsidRPr="00A43C05">
        <w:rPr>
          <w:lang w:val="es-ES_tradnl"/>
        </w:rPr>
        <w:tab/>
        <w:t>Viabilidad de la evolución hacia las IMT</w:t>
      </w:r>
      <w:r w:rsidRPr="00A43C05">
        <w:rPr>
          <w:lang w:val="es-ES_tradnl"/>
        </w:rPr>
        <w:noBreakHyphen/>
        <w:t>2000 – Los Sectores UIT</w:t>
      </w:r>
      <w:r w:rsidRPr="00A43C05">
        <w:rPr>
          <w:lang w:val="es-ES_tradnl"/>
        </w:rPr>
        <w:noBreakHyphen/>
        <w:t>R y UIT</w:t>
      </w:r>
      <w:r w:rsidRPr="00A43C05">
        <w:rPr>
          <w:lang w:val="es-ES_tradnl"/>
        </w:rPr>
        <w:noBreakHyphen/>
        <w:t>T han hecho viable la evolución al otorgar la flexibilidad suficiente en sus Recomendaciones IMT</w:t>
      </w:r>
      <w:r w:rsidRPr="00A43C05">
        <w:rPr>
          <w:lang w:val="es-ES_tradnl"/>
        </w:rPr>
        <w:noBreakHyphen/>
        <w:t>2000 contemplando el conjunto más amplio posible de sistemas anteriores a las IMT-2000. Por supuesto, la preparación de la evolución de los sistemas anteriores a las IMT</w:t>
      </w:r>
      <w:r w:rsidRPr="00A43C05">
        <w:rPr>
          <w:lang w:val="es-ES_tradnl"/>
        </w:rPr>
        <w:noBreakHyphen/>
        <w:t>2000 no actúa en perjuicio de las metas de las IMT-2000.</w:t>
      </w:r>
    </w:p>
    <w:p w:rsidR="00EB3D94" w:rsidRPr="00A43C05" w:rsidRDefault="00EB3D94" w:rsidP="00EB3D94">
      <w:pPr>
        <w:pStyle w:val="enumlev1"/>
        <w:rPr>
          <w:lang w:val="es-ES_tradnl"/>
        </w:rPr>
      </w:pPr>
      <w:r w:rsidRPr="00A43C05">
        <w:rPr>
          <w:lang w:val="es-ES_tradnl"/>
        </w:rPr>
        <w:t>2)</w:t>
      </w:r>
      <w:r w:rsidRPr="00A43C05">
        <w:rPr>
          <w:lang w:val="es-ES_tradnl"/>
        </w:rPr>
        <w:tab/>
        <w:t>Rentabilidad de la evolución hacia las IMT</w:t>
      </w:r>
      <w:r w:rsidRPr="00A43C05">
        <w:rPr>
          <w:lang w:val="es-ES_tradnl"/>
        </w:rPr>
        <w:noBreakHyphen/>
        <w:t>2000 – Los beneficios de evolucionar hacia las IMT-2000 deben contrastarse con el costo de ejecutar esta alternativa. Este costo seguiría existiendo si se evolucionara a otra norma más avanzada distinta de las IMT-2000. La UIT ha procurado por todos los medios posibles otorgar la máxima flexibilidad en sus Recomendaciones IMT</w:t>
      </w:r>
      <w:r w:rsidRPr="00A43C05">
        <w:rPr>
          <w:lang w:val="es-ES_tradnl"/>
        </w:rPr>
        <w:noBreakHyphen/>
        <w:t>2000 para contribuir a minimizar el costo de la evolución hacia las IMT-2000.</w:t>
      </w:r>
    </w:p>
    <w:p w:rsidR="00EB3D94" w:rsidRPr="00A43C05" w:rsidRDefault="00EB3D94" w:rsidP="00EB3D94">
      <w:pPr>
        <w:pStyle w:val="enumlev1"/>
        <w:rPr>
          <w:lang w:val="es-ES_tradnl"/>
        </w:rPr>
      </w:pPr>
      <w:r w:rsidRPr="00A43C05">
        <w:rPr>
          <w:lang w:val="es-ES_tradnl"/>
        </w:rPr>
        <w:t>3)</w:t>
      </w:r>
      <w:r w:rsidRPr="00A43C05">
        <w:rPr>
          <w:lang w:val="es-ES_tradnl"/>
        </w:rPr>
        <w:tab/>
        <w:t>Atractivo de la evolución hacia las IMT</w:t>
      </w:r>
      <w:r w:rsidRPr="00A43C05">
        <w:rPr>
          <w:lang w:val="es-ES_tradnl"/>
        </w:rPr>
        <w:noBreakHyphen/>
        <w:t>2000 – La evolución hacia las IMT</w:t>
      </w:r>
      <w:r w:rsidRPr="00A43C05">
        <w:rPr>
          <w:lang w:val="es-ES_tradnl"/>
        </w:rPr>
        <w:noBreakHyphen/>
        <w:t>2000 debe ser la solución más atractiva entre las diversas alternativas de modernización de los actuales sistemas de comunicaciones móviles. Por ello, las instancias decisorias deben comprender en la medida de lo posible el significado de las IMT</w:t>
      </w:r>
      <w:r w:rsidRPr="00A43C05">
        <w:rPr>
          <w:lang w:val="es-ES_tradnl"/>
        </w:rPr>
        <w:noBreakHyphen/>
        <w:t>2000 y la mejora que suponen frente a los sistemas anteriores a las mismas.</w:t>
      </w:r>
    </w:p>
    <w:p w:rsidR="00EB3D94" w:rsidRPr="00A43C05" w:rsidRDefault="00EB3D94" w:rsidP="00EB3D94">
      <w:pPr>
        <w:pStyle w:val="enumlev1"/>
        <w:rPr>
          <w:lang w:val="es-ES_tradnl"/>
        </w:rPr>
      </w:pPr>
      <w:r w:rsidRPr="00A43C05">
        <w:rPr>
          <w:lang w:val="es-ES_tradnl"/>
        </w:rPr>
        <w:t>4)</w:t>
      </w:r>
      <w:r w:rsidRPr="00A43C05">
        <w:rPr>
          <w:lang w:val="es-ES_tradnl"/>
        </w:rPr>
        <w:tab/>
        <w:t>Sensibilización sobre la evolución hacia las IMT</w:t>
      </w:r>
      <w:r w:rsidRPr="00A43C05">
        <w:rPr>
          <w:lang w:val="es-ES_tradnl"/>
        </w:rPr>
        <w:noBreakHyphen/>
        <w:t>2000 – La sensibilización sobre las ventajas de la evolución hacia las IMT</w:t>
      </w:r>
      <w:r w:rsidRPr="00A43C05">
        <w:rPr>
          <w:lang w:val="es-ES_tradnl"/>
        </w:rPr>
        <w:noBreakHyphen/>
        <w:t>2000 es importante para los que controlan o influyen en la orientación de las normas y sistemas anteriores a las IMT</w:t>
      </w:r>
      <w:r w:rsidRPr="00A43C05">
        <w:rPr>
          <w:lang w:val="es-ES_tradnl"/>
        </w:rPr>
        <w:noBreakHyphen/>
        <w:t xml:space="preserve">2000 o en la atribución y utilización de espectro a corto y largo plazo. </w:t>
      </w:r>
    </w:p>
    <w:p w:rsidR="00EB3D94" w:rsidRPr="001F163E" w:rsidRDefault="00EB3D94" w:rsidP="00EB3D94">
      <w:pPr>
        <w:rPr>
          <w:lang w:val="es-ES_tradnl"/>
        </w:rPr>
      </w:pPr>
      <w:r>
        <w:rPr>
          <w:lang w:val="es-ES_tradnl"/>
        </w:rPr>
        <w:t xml:space="preserve">A primera vista podría parecer que, hasta cierto punto, estos elementos gozan de distintas prioridades. Una consideración más detenida, no obstante, pone de manifiesto la importancia de cada uno de ellos y la necesidad de su presencia para que las instancias decisorias escojan este trayecto. Esta sensibilización junto con la información detallada que figura en el presente Informe, debe fomentar el debate en profundidad necesario para la sensibilización y detenida consideración de la evolución a las </w:t>
      </w:r>
      <w:r w:rsidRPr="001F163E">
        <w:rPr>
          <w:lang w:val="es-ES_tradnl"/>
        </w:rPr>
        <w:t>IMT</w:t>
      </w:r>
      <w:r w:rsidRPr="001F163E">
        <w:rPr>
          <w:lang w:val="es-ES_tradnl"/>
        </w:rPr>
        <w:noBreakHyphen/>
        <w:t>2000.</w:t>
      </w:r>
    </w:p>
    <w:p w:rsidR="00EB3D94" w:rsidRPr="001F163E" w:rsidRDefault="00EB3D94" w:rsidP="00EB3D94">
      <w:pPr>
        <w:rPr>
          <w:b/>
          <w:bCs/>
          <w:lang w:val="es-ES_tradnl"/>
        </w:rPr>
      </w:pPr>
      <w:r>
        <w:rPr>
          <w:lang w:val="es-ES_tradnl"/>
        </w:rPr>
        <w:t>Los demás elementos clave, viabilidad, rentabilidad y atractivo de la evolución deben utilizarse como medidas para evaluar y resolver los problemas asociados a la evolución hacia las</w:t>
      </w:r>
      <w:r w:rsidRPr="001F163E">
        <w:rPr>
          <w:lang w:val="es-ES_tradnl"/>
        </w:rPr>
        <w:t xml:space="preserve"> IMT</w:t>
      </w:r>
      <w:r w:rsidRPr="001F163E">
        <w:rPr>
          <w:lang w:val="es-ES_tradnl"/>
        </w:rPr>
        <w:noBreakHyphen/>
        <w:t>2000</w:t>
      </w:r>
      <w:r>
        <w:rPr>
          <w:lang w:val="es-ES_tradnl"/>
        </w:rPr>
        <w:t xml:space="preserve"> de los sistemas anteriores a éstas</w:t>
      </w:r>
      <w:r w:rsidRPr="001F163E">
        <w:rPr>
          <w:lang w:val="es-ES_tradnl"/>
        </w:rPr>
        <w:t>.</w:t>
      </w:r>
    </w:p>
    <w:p w:rsidR="005D3A72" w:rsidRPr="00A43C05" w:rsidRDefault="00EB3D94" w:rsidP="00EB3D94">
      <w:pPr>
        <w:rPr>
          <w:lang w:val="es-ES_tradnl"/>
        </w:rPr>
      </w:pPr>
      <w:r>
        <w:rPr>
          <w:lang w:val="es-ES_tradnl"/>
        </w:rPr>
        <w:lastRenderedPageBreak/>
        <w:t xml:space="preserve">Cuando se consideran los trayectos de transición de los sistemas actuales a las IMT-2000, resulta importante reconocer que tanto el punto de partida como el de destino son objetivos en movimiento. Las funcionalidades y capacidades de la red que constituyen el punto de partida de la transición irán evolucionando conforme ésta tenga lugar. Análogamente, las tecnologías objetivo de las </w:t>
      </w:r>
      <w:r w:rsidRPr="001F163E">
        <w:rPr>
          <w:lang w:val="es-ES_tradnl"/>
        </w:rPr>
        <w:t>IMT</w:t>
      </w:r>
      <w:r w:rsidRPr="001F163E">
        <w:rPr>
          <w:lang w:val="es-ES_tradnl"/>
        </w:rPr>
        <w:noBreakHyphen/>
        <w:t>2000</w:t>
      </w:r>
      <w:r>
        <w:rPr>
          <w:lang w:val="es-ES_tradnl"/>
        </w:rPr>
        <w:t xml:space="preserve"> están en evolución y sometidas constantemente a mejoras en el transcurso del tiempo. El desarrollo de trayectos de transición específicos debe tener en cuenta estos aspectos.</w:t>
      </w:r>
    </w:p>
    <w:p w:rsidR="00FA3243" w:rsidRPr="00A43C05" w:rsidRDefault="00FA3243" w:rsidP="00EB3D94">
      <w:pPr>
        <w:pStyle w:val="Heading3"/>
        <w:rPr>
          <w:lang w:val="es-ES_tradnl"/>
        </w:rPr>
      </w:pPr>
      <w:bookmarkStart w:id="170" w:name="_Toc44438531"/>
      <w:bookmarkStart w:id="171" w:name="_Toc44446746"/>
      <w:bookmarkStart w:id="172" w:name="_Toc53323408"/>
      <w:bookmarkStart w:id="173" w:name="_Toc63611614"/>
      <w:bookmarkStart w:id="174" w:name="_Toc89083687"/>
      <w:bookmarkStart w:id="175" w:name="_Toc92878206"/>
      <w:bookmarkStart w:id="176" w:name="_Toc101931258"/>
      <w:bookmarkStart w:id="177" w:name="_Toc103399277"/>
      <w:bookmarkStart w:id="178" w:name="_Toc103400355"/>
      <w:bookmarkStart w:id="179" w:name="_Toc103400819"/>
      <w:bookmarkStart w:id="180" w:name="_Toc103401283"/>
      <w:bookmarkStart w:id="181" w:name="_Toc103401748"/>
      <w:bookmarkStart w:id="182" w:name="_Toc103402214"/>
      <w:bookmarkStart w:id="183" w:name="_Toc103402679"/>
      <w:bookmarkStart w:id="184" w:name="_Toc103403444"/>
      <w:bookmarkStart w:id="185" w:name="_Toc103421214"/>
      <w:bookmarkStart w:id="186" w:name="_Toc103528388"/>
      <w:bookmarkStart w:id="187" w:name="_Toc255292536"/>
      <w:bookmarkStart w:id="188" w:name="_Toc259024241"/>
      <w:r w:rsidRPr="00A43C05">
        <w:rPr>
          <w:lang w:val="es-ES_tradnl"/>
        </w:rPr>
        <w:t>9.2.1</w:t>
      </w:r>
      <w:r w:rsidRPr="00A43C05">
        <w:rPr>
          <w:lang w:val="es-ES_tradnl"/>
        </w:rPr>
        <w:tab/>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roofErr w:type="spellStart"/>
      <w:r w:rsidR="00EB3D94" w:rsidRPr="00EB3D94">
        <w:rPr>
          <w:lang w:val="es-ES_tradnl"/>
        </w:rPr>
        <w:t>aracterísticas</w:t>
      </w:r>
      <w:proofErr w:type="spellEnd"/>
      <w:r w:rsidR="00EB3D94" w:rsidRPr="00EB3D94">
        <w:rPr>
          <w:lang w:val="es-ES_tradnl"/>
        </w:rPr>
        <w:t xml:space="preserve"> de las tecnologías de acceso radioeléctrico y de redes básicas de las IMT-2000</w:t>
      </w:r>
      <w:bookmarkEnd w:id="188"/>
    </w:p>
    <w:p w:rsidR="00FA3243" w:rsidRPr="00A43C05" w:rsidRDefault="00FA3243" w:rsidP="00EB3D94">
      <w:pPr>
        <w:pStyle w:val="Heading4"/>
        <w:rPr>
          <w:lang w:val="es-ES_tradnl"/>
        </w:rPr>
      </w:pPr>
      <w:bookmarkStart w:id="189" w:name="_Toc44438532"/>
      <w:bookmarkStart w:id="190" w:name="_Toc44446747"/>
      <w:bookmarkStart w:id="191" w:name="_Toc53323409"/>
      <w:bookmarkStart w:id="192" w:name="_Toc63611615"/>
      <w:bookmarkStart w:id="193" w:name="_Toc89083688"/>
      <w:bookmarkStart w:id="194" w:name="_Toc101931259"/>
      <w:bookmarkStart w:id="195" w:name="_Toc103399278"/>
      <w:bookmarkStart w:id="196" w:name="_Toc103400356"/>
      <w:bookmarkStart w:id="197" w:name="_Toc103400820"/>
      <w:bookmarkStart w:id="198" w:name="_Toc103401284"/>
      <w:bookmarkStart w:id="199" w:name="_Toc103401749"/>
      <w:bookmarkStart w:id="200" w:name="_Toc103402215"/>
      <w:bookmarkStart w:id="201" w:name="_Toc103402680"/>
      <w:bookmarkStart w:id="202" w:name="_Toc103403445"/>
      <w:bookmarkStart w:id="203" w:name="_Toc103421215"/>
      <w:bookmarkStart w:id="204" w:name="_Toc103528389"/>
      <w:bookmarkStart w:id="205" w:name="_Toc236826235"/>
      <w:r w:rsidRPr="00A43C05">
        <w:rPr>
          <w:lang w:val="es-ES_tradnl"/>
        </w:rPr>
        <w:t>9.2.1.1</w:t>
      </w:r>
      <w:r w:rsidRPr="00A43C05">
        <w:rPr>
          <w:lang w:val="es-ES_tradnl"/>
        </w:rPr>
        <w:tab/>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00EB3D94" w:rsidRPr="00EB3D94">
        <w:rPr>
          <w:lang w:val="es-ES_tradnl"/>
        </w:rPr>
        <w:t>CDMA IMT</w:t>
      </w:r>
      <w:r w:rsidR="00EB3D94" w:rsidRPr="00EB3D94">
        <w:rPr>
          <w:lang w:val="es-ES_tradnl"/>
        </w:rPr>
        <w:noBreakHyphen/>
        <w:t>2000 con ensanchamiento directo</w:t>
      </w:r>
    </w:p>
    <w:p w:rsidR="00FA3243" w:rsidRPr="00A43C05" w:rsidRDefault="00EB3D94" w:rsidP="00EB3D94">
      <w:pPr>
        <w:rPr>
          <w:lang w:val="es-ES_tradnl"/>
        </w:rPr>
      </w:pPr>
      <w:r w:rsidRPr="00EB3D94">
        <w:rPr>
          <w:lang w:val="es-ES_tradnl"/>
        </w:rPr>
        <w:t>Nombre en la UIT:</w:t>
      </w:r>
      <w:r>
        <w:rPr>
          <w:lang w:val="es-ES_tradnl"/>
        </w:rPr>
        <w:tab/>
      </w:r>
      <w:r>
        <w:rPr>
          <w:lang w:val="es-ES_tradnl"/>
        </w:rPr>
        <w:tab/>
      </w:r>
      <w:r w:rsidRPr="00EB3D94">
        <w:rPr>
          <w:lang w:val="es-ES_tradnl"/>
        </w:rPr>
        <w:t>CDMA IMT</w:t>
      </w:r>
      <w:r w:rsidRPr="00EB3D94">
        <w:rPr>
          <w:lang w:val="es-ES_tradnl"/>
        </w:rPr>
        <w:noBreakHyphen/>
        <w:t>2000 con ensanchamiento directo</w:t>
      </w:r>
    </w:p>
    <w:p w:rsidR="00FA3243" w:rsidRPr="00A43C05" w:rsidRDefault="00EB3D94" w:rsidP="00671B62">
      <w:pPr>
        <w:jc w:val="left"/>
        <w:rPr>
          <w:szCs w:val="22"/>
          <w:lang w:val="es-ES_tradnl"/>
        </w:rPr>
      </w:pPr>
      <w:r w:rsidRPr="00EB3D94">
        <w:rPr>
          <w:rStyle w:val="CEONormalChar"/>
          <w:rFonts w:ascii="Times New Roman" w:hAnsi="Times New Roman"/>
          <w:sz w:val="22"/>
          <w:szCs w:val="22"/>
          <w:lang w:val="es-ES_tradnl"/>
        </w:rPr>
        <w:t>Nombres comunes</w:t>
      </w:r>
      <w:r w:rsidR="00FA3243" w:rsidRPr="00A43C05">
        <w:rPr>
          <w:szCs w:val="22"/>
          <w:lang w:val="es-ES_tradnl"/>
        </w:rPr>
        <w:t>:</w:t>
      </w:r>
      <w:r w:rsidR="00FA3243" w:rsidRPr="00A43C05">
        <w:rPr>
          <w:szCs w:val="22"/>
          <w:lang w:val="es-ES_tradnl"/>
        </w:rPr>
        <w:tab/>
      </w:r>
      <w:r w:rsidR="0057194E" w:rsidRPr="00A43C05">
        <w:rPr>
          <w:szCs w:val="22"/>
          <w:lang w:val="es-ES_tradnl"/>
        </w:rPr>
        <w:tab/>
      </w:r>
      <w:r w:rsidR="00FA3243" w:rsidRPr="00A43C05">
        <w:rPr>
          <w:szCs w:val="22"/>
          <w:lang w:val="es-ES_tradnl"/>
        </w:rPr>
        <w:t>UTRA FDD</w:t>
      </w:r>
      <w:r w:rsidR="00FA3243" w:rsidRPr="00A43C05">
        <w:rPr>
          <w:szCs w:val="22"/>
          <w:lang w:val="es-ES_tradnl"/>
        </w:rPr>
        <w:br/>
      </w:r>
      <w:r w:rsidR="00FA3243" w:rsidRPr="00A43C05">
        <w:rPr>
          <w:szCs w:val="22"/>
          <w:lang w:val="es-ES_tradnl"/>
        </w:rPr>
        <w:tab/>
      </w:r>
      <w:r w:rsidR="00FA3243" w:rsidRPr="00A43C05">
        <w:rPr>
          <w:szCs w:val="22"/>
          <w:lang w:val="es-ES_tradnl"/>
        </w:rPr>
        <w:tab/>
      </w:r>
      <w:r w:rsidR="00FA3243" w:rsidRPr="00A43C05">
        <w:rPr>
          <w:szCs w:val="22"/>
          <w:lang w:val="es-ES_tradnl"/>
        </w:rPr>
        <w:tab/>
      </w:r>
      <w:r w:rsidR="00671B62" w:rsidRPr="00A43C05">
        <w:rPr>
          <w:szCs w:val="22"/>
          <w:lang w:val="es-ES_tradnl"/>
        </w:rPr>
        <w:tab/>
      </w:r>
      <w:r w:rsidRPr="00A43C05">
        <w:rPr>
          <w:szCs w:val="22"/>
          <w:lang w:val="es-ES_tradnl"/>
        </w:rPr>
        <w:tab/>
      </w:r>
      <w:r w:rsidR="00FA3243" w:rsidRPr="00A43C05">
        <w:rPr>
          <w:szCs w:val="22"/>
          <w:lang w:val="es-ES_tradnl"/>
        </w:rPr>
        <w:t>WCDMA</w:t>
      </w:r>
      <w:r w:rsidR="00FA3243" w:rsidRPr="00A43C05">
        <w:rPr>
          <w:szCs w:val="22"/>
          <w:lang w:val="es-ES_tradnl"/>
        </w:rPr>
        <w:br/>
      </w:r>
      <w:r w:rsidR="00FA3243" w:rsidRPr="00A43C05">
        <w:rPr>
          <w:szCs w:val="22"/>
          <w:lang w:val="es-ES_tradnl"/>
        </w:rPr>
        <w:tab/>
      </w:r>
      <w:r w:rsidR="00FA3243" w:rsidRPr="00A43C05">
        <w:rPr>
          <w:szCs w:val="22"/>
          <w:lang w:val="es-ES_tradnl"/>
        </w:rPr>
        <w:tab/>
      </w:r>
      <w:r w:rsidR="00FA3243" w:rsidRPr="00A43C05">
        <w:rPr>
          <w:szCs w:val="22"/>
          <w:lang w:val="es-ES_tradnl"/>
        </w:rPr>
        <w:tab/>
      </w:r>
      <w:r w:rsidRPr="00A43C05">
        <w:rPr>
          <w:szCs w:val="22"/>
          <w:lang w:val="es-ES_tradnl"/>
        </w:rPr>
        <w:tab/>
      </w:r>
      <w:r w:rsidR="00671B62" w:rsidRPr="00A43C05">
        <w:rPr>
          <w:szCs w:val="22"/>
          <w:lang w:val="es-ES_tradnl"/>
        </w:rPr>
        <w:tab/>
      </w:r>
      <w:r w:rsidR="00FA3243" w:rsidRPr="00A43C05">
        <w:rPr>
          <w:szCs w:val="22"/>
          <w:lang w:val="es-ES_tradnl"/>
        </w:rPr>
        <w:t>UMTS</w:t>
      </w:r>
    </w:p>
    <w:p w:rsidR="00EB3D94" w:rsidRPr="00965C71" w:rsidRDefault="00EB3D94" w:rsidP="00EB3D94">
      <w:pPr>
        <w:rPr>
          <w:lang w:val="es-ES_tradnl"/>
        </w:rPr>
      </w:pPr>
      <w:r>
        <w:rPr>
          <w:lang w:val="es-ES"/>
        </w:rPr>
        <w:t>CDMA IMT-2000 con ensanchamiento directo</w:t>
      </w:r>
      <w:r w:rsidRPr="00965C71">
        <w:rPr>
          <w:lang w:val="es-ES"/>
        </w:rPr>
        <w:t xml:space="preserve"> permite atribuir códigos distintos a canales</w:t>
      </w:r>
      <w:r w:rsidRPr="00A63233">
        <w:rPr>
          <w:lang w:val="es-ES"/>
        </w:rPr>
        <w:t xml:space="preserve"> </w:t>
      </w:r>
      <w:r w:rsidRPr="00965C71">
        <w:rPr>
          <w:lang w:val="es-ES"/>
        </w:rPr>
        <w:t xml:space="preserve">diferentes, sean de voz o datos, así como ajustar cada 10 ms el nivel de capacidad o la cantidad de espacio de </w:t>
      </w:r>
      <w:r>
        <w:rPr>
          <w:lang w:val="es-ES"/>
        </w:rPr>
        <w:t>código</w:t>
      </w:r>
      <w:r w:rsidRPr="00965C71">
        <w:rPr>
          <w:lang w:val="es-ES"/>
        </w:rPr>
        <w:t xml:space="preserve"> </w:t>
      </w:r>
      <w:r>
        <w:rPr>
          <w:lang w:val="es-ES"/>
        </w:rPr>
        <w:t>de</w:t>
      </w:r>
      <w:r w:rsidRPr="00965C71">
        <w:rPr>
          <w:lang w:val="es-ES"/>
        </w:rPr>
        <w:t xml:space="preserve"> cada uno de los canales. Esta tecnología permite implementar canales de tráfico </w:t>
      </w:r>
      <w:r>
        <w:rPr>
          <w:lang w:val="es-ES"/>
        </w:rPr>
        <w:t>de una gran</w:t>
      </w:r>
      <w:r w:rsidRPr="00965C71">
        <w:rPr>
          <w:lang w:val="es-ES"/>
        </w:rPr>
        <w:t xml:space="preserve"> anchura de banda </w:t>
      </w:r>
      <w:r>
        <w:rPr>
          <w:lang w:val="es-ES"/>
        </w:rPr>
        <w:t>gracias a la reducción del</w:t>
      </w:r>
      <w:r w:rsidRPr="00965C71">
        <w:rPr>
          <w:lang w:val="es-ES"/>
        </w:rPr>
        <w:t xml:space="preserve"> nivel del ensanchamiento necesario, </w:t>
      </w:r>
      <w:r>
        <w:rPr>
          <w:lang w:val="es-ES"/>
        </w:rPr>
        <w:t>al utilizar</w:t>
      </w:r>
      <w:r w:rsidRPr="00965C71">
        <w:rPr>
          <w:lang w:val="es-ES"/>
        </w:rPr>
        <w:t xml:space="preserve"> un código más </w:t>
      </w:r>
      <w:r>
        <w:rPr>
          <w:lang w:val="es-ES"/>
        </w:rPr>
        <w:t>corto</w:t>
      </w:r>
      <w:r w:rsidRPr="00965C71">
        <w:rPr>
          <w:lang w:val="es-ES"/>
        </w:rPr>
        <w:t xml:space="preserve">. Los usuarios de los paquetes de datos pueden compartir los mismos códigos </w:t>
      </w:r>
      <w:r>
        <w:rPr>
          <w:lang w:val="es-ES"/>
        </w:rPr>
        <w:t>e</w:t>
      </w:r>
      <w:r w:rsidRPr="00965C71">
        <w:rPr>
          <w:lang w:val="es-ES"/>
        </w:rPr>
        <w:t xml:space="preserve"> </w:t>
      </w:r>
      <w:r>
        <w:rPr>
          <w:lang w:val="es-ES"/>
        </w:rPr>
        <w:t>intervalos de tiempo</w:t>
      </w:r>
      <w:r w:rsidRPr="00965C71">
        <w:rPr>
          <w:lang w:val="es-ES"/>
        </w:rPr>
        <w:t xml:space="preserve"> con otros usuarios, o la red puede asignar a los usuarios canales </w:t>
      </w:r>
      <w:r>
        <w:rPr>
          <w:lang w:val="es-ES"/>
        </w:rPr>
        <w:t>e</w:t>
      </w:r>
      <w:r w:rsidRPr="00965C71">
        <w:rPr>
          <w:lang w:val="es-ES"/>
        </w:rPr>
        <w:t xml:space="preserve"> </w:t>
      </w:r>
      <w:r>
        <w:rPr>
          <w:lang w:val="es-ES"/>
        </w:rPr>
        <w:t>intervalos de tiempo</w:t>
      </w:r>
      <w:r w:rsidRPr="00965C71">
        <w:rPr>
          <w:lang w:val="es-ES"/>
        </w:rPr>
        <w:t xml:space="preserve"> </w:t>
      </w:r>
      <w:r>
        <w:rPr>
          <w:lang w:val="es-ES"/>
        </w:rPr>
        <w:t>dedicados</w:t>
      </w:r>
      <w:r w:rsidRPr="00965C71">
        <w:rPr>
          <w:lang w:val="es-ES"/>
        </w:rPr>
        <w:t xml:space="preserve">. </w:t>
      </w:r>
      <w:r>
        <w:rPr>
          <w:lang w:val="es-ES"/>
        </w:rPr>
        <w:t>CDMA IMT-2000 con ensanchamiento directo</w:t>
      </w:r>
      <w:r w:rsidRPr="00965C71">
        <w:rPr>
          <w:lang w:val="es-ES"/>
        </w:rPr>
        <w:t xml:space="preserve"> es un sistema de espectro ensanchado </w:t>
      </w:r>
      <w:r>
        <w:rPr>
          <w:lang w:val="es-ES"/>
        </w:rPr>
        <w:t xml:space="preserve">por </w:t>
      </w:r>
      <w:r w:rsidRPr="00965C71">
        <w:rPr>
          <w:lang w:val="es-ES"/>
        </w:rPr>
        <w:t xml:space="preserve">secuenciación directa, eficiente desde el punto de vista espectral. </w:t>
      </w:r>
      <w:r>
        <w:rPr>
          <w:lang w:val="es-ES"/>
        </w:rPr>
        <w:t>Su ancha</w:t>
      </w:r>
      <w:r w:rsidRPr="00965C71">
        <w:rPr>
          <w:lang w:val="es-ES"/>
        </w:rPr>
        <w:t xml:space="preserve"> banda </w:t>
      </w:r>
      <w:r>
        <w:rPr>
          <w:lang w:val="es-ES"/>
        </w:rPr>
        <w:t xml:space="preserve">hace que </w:t>
      </w:r>
      <w:r w:rsidRPr="00965C71">
        <w:rPr>
          <w:lang w:val="es-ES"/>
        </w:rPr>
        <w:t xml:space="preserve">el espectro disponible </w:t>
      </w:r>
      <w:r>
        <w:rPr>
          <w:lang w:val="es-ES"/>
        </w:rPr>
        <w:t>se traduzca en</w:t>
      </w:r>
      <w:r w:rsidRPr="00965C71">
        <w:rPr>
          <w:lang w:val="es-ES"/>
        </w:rPr>
        <w:t xml:space="preserve"> velocidades de datos muy </w:t>
      </w:r>
      <w:r>
        <w:rPr>
          <w:lang w:val="es-ES"/>
        </w:rPr>
        <w:t>altas</w:t>
      </w:r>
      <w:r w:rsidRPr="00965C71">
        <w:rPr>
          <w:lang w:val="es-ES"/>
        </w:rPr>
        <w:t xml:space="preserve">. Esto </w:t>
      </w:r>
      <w:r>
        <w:rPr>
          <w:lang w:val="es-ES"/>
        </w:rPr>
        <w:t>supone una gran</w:t>
      </w:r>
      <w:r w:rsidRPr="00965C71">
        <w:rPr>
          <w:lang w:val="es-ES"/>
        </w:rPr>
        <w:t xml:space="preserve"> flexibilidad para gestionar muchos tipos de tráfico, </w:t>
      </w:r>
      <w:r>
        <w:rPr>
          <w:lang w:val="es-ES"/>
        </w:rPr>
        <w:t>entre ellos el de voz</w:t>
      </w:r>
      <w:r w:rsidRPr="00965C71">
        <w:rPr>
          <w:lang w:val="es-ES"/>
        </w:rPr>
        <w:t xml:space="preserve">, el de datos en banda estrecha y el de datos en banda ancha. </w:t>
      </w:r>
      <w:r>
        <w:rPr>
          <w:lang w:val="es-ES"/>
        </w:rPr>
        <w:t xml:space="preserve">Con CDMA IMT-2000 con ensanchamiento directo, </w:t>
      </w:r>
      <w:r w:rsidRPr="00965C71">
        <w:rPr>
          <w:lang w:val="es-ES"/>
        </w:rPr>
        <w:t xml:space="preserve">los canales de datos pueden soportar un caudal de </w:t>
      </w:r>
      <w:r>
        <w:rPr>
          <w:lang w:val="es-ES"/>
        </w:rPr>
        <w:t>cresta</w:t>
      </w:r>
      <w:r w:rsidRPr="00965C71">
        <w:rPr>
          <w:lang w:val="es-ES"/>
        </w:rPr>
        <w:t xml:space="preserve"> de hasta 2,4 </w:t>
      </w:r>
      <w:proofErr w:type="spellStart"/>
      <w:r w:rsidRPr="00965C71">
        <w:rPr>
          <w:lang w:val="es-ES"/>
        </w:rPr>
        <w:t>Mbit</w:t>
      </w:r>
      <w:proofErr w:type="spellEnd"/>
      <w:r w:rsidRPr="00965C71">
        <w:rPr>
          <w:lang w:val="es-ES"/>
        </w:rPr>
        <w:t xml:space="preserve">/s. </w:t>
      </w:r>
      <w:r>
        <w:rPr>
          <w:lang w:val="es-ES"/>
        </w:rPr>
        <w:t>Aunque</w:t>
      </w:r>
      <w:r w:rsidRPr="00965C71">
        <w:rPr>
          <w:lang w:val="es-ES"/>
        </w:rPr>
        <w:t xml:space="preserve"> el caudal exacto </w:t>
      </w:r>
      <w:r>
        <w:rPr>
          <w:lang w:val="es-ES"/>
        </w:rPr>
        <w:t>depende</w:t>
      </w:r>
      <w:r w:rsidRPr="00965C71">
        <w:rPr>
          <w:lang w:val="es-ES"/>
        </w:rPr>
        <w:t xml:space="preserve"> del tamaño de los canales que el operador decida </w:t>
      </w:r>
      <w:r>
        <w:rPr>
          <w:lang w:val="es-ES"/>
        </w:rPr>
        <w:t>habilitar y</w:t>
      </w:r>
      <w:r w:rsidRPr="00965C71">
        <w:rPr>
          <w:lang w:val="es-ES"/>
        </w:rPr>
        <w:t xml:space="preserve"> del número de usuarios activos en la red, </w:t>
      </w:r>
      <w:r>
        <w:rPr>
          <w:lang w:val="es-ES"/>
        </w:rPr>
        <w:t xml:space="preserve">los </w:t>
      </w:r>
      <w:r w:rsidRPr="00965C71">
        <w:rPr>
          <w:lang w:val="es-ES"/>
        </w:rPr>
        <w:t xml:space="preserve">usuarios pueden </w:t>
      </w:r>
      <w:r>
        <w:rPr>
          <w:lang w:val="es-ES"/>
        </w:rPr>
        <w:t>esperar</w:t>
      </w:r>
      <w:r w:rsidRPr="00965C71">
        <w:rPr>
          <w:lang w:val="es-ES"/>
        </w:rPr>
        <w:t xml:space="preserve"> caudales de hasta 384 </w:t>
      </w:r>
      <w:proofErr w:type="spellStart"/>
      <w:r w:rsidRPr="00965C71">
        <w:rPr>
          <w:lang w:val="es-ES"/>
        </w:rPr>
        <w:t>kbit</w:t>
      </w:r>
      <w:proofErr w:type="spellEnd"/>
      <w:r w:rsidRPr="00965C71">
        <w:rPr>
          <w:lang w:val="es-ES"/>
        </w:rPr>
        <w:t>/s.</w:t>
      </w:r>
    </w:p>
    <w:p w:rsidR="00EB3D94" w:rsidRPr="00965C71" w:rsidRDefault="00EB3D94" w:rsidP="00EB3D94">
      <w:pPr>
        <w:rPr>
          <w:lang w:val="es-ES"/>
        </w:rPr>
      </w:pPr>
      <w:r w:rsidRPr="00965C71">
        <w:rPr>
          <w:lang w:val="es-ES"/>
        </w:rPr>
        <w:t xml:space="preserve">El acceso por paquetes de alta velocidad en enlace descendente (HSDPA) es una tecnología que mejora </w:t>
      </w:r>
      <w:r>
        <w:rPr>
          <w:lang w:val="es-ES"/>
        </w:rPr>
        <w:t>el CDMA IMT-2000 con ensanchamiento directo</w:t>
      </w:r>
      <w:r w:rsidRPr="00965C71">
        <w:rPr>
          <w:lang w:val="es-ES"/>
        </w:rPr>
        <w:t xml:space="preserve">, ya que </w:t>
      </w:r>
      <w:r>
        <w:rPr>
          <w:lang w:val="es-ES"/>
        </w:rPr>
        <w:t>consigue</w:t>
      </w:r>
      <w:r w:rsidRPr="00965C71">
        <w:rPr>
          <w:lang w:val="es-ES"/>
        </w:rPr>
        <w:t xml:space="preserve"> velocidades de datos </w:t>
      </w:r>
      <w:r>
        <w:rPr>
          <w:lang w:val="es-ES"/>
        </w:rPr>
        <w:t xml:space="preserve">de cresta </w:t>
      </w:r>
      <w:r w:rsidRPr="00965C71">
        <w:rPr>
          <w:lang w:val="es-ES"/>
        </w:rPr>
        <w:t xml:space="preserve">de 10 </w:t>
      </w:r>
      <w:proofErr w:type="spellStart"/>
      <w:r w:rsidRPr="00965C71">
        <w:rPr>
          <w:lang w:val="es-ES"/>
        </w:rPr>
        <w:t>Mbit</w:t>
      </w:r>
      <w:proofErr w:type="spellEnd"/>
      <w:r w:rsidRPr="00965C71">
        <w:rPr>
          <w:lang w:val="es-ES"/>
        </w:rPr>
        <w:t>/s</w:t>
      </w:r>
      <w:r>
        <w:rPr>
          <w:lang w:val="es-ES"/>
        </w:rPr>
        <w:t xml:space="preserve"> aproximadamente</w:t>
      </w:r>
      <w:r w:rsidRPr="00965C71">
        <w:rPr>
          <w:lang w:val="es-ES"/>
        </w:rPr>
        <w:t xml:space="preserve">. HSDPA es </w:t>
      </w:r>
      <w:r>
        <w:rPr>
          <w:lang w:val="es-ES"/>
        </w:rPr>
        <w:t>totalmente</w:t>
      </w:r>
      <w:r w:rsidRPr="00965C71">
        <w:rPr>
          <w:lang w:val="es-ES"/>
        </w:rPr>
        <w:t xml:space="preserve"> compatible con </w:t>
      </w:r>
      <w:r>
        <w:rPr>
          <w:lang w:val="es-ES"/>
        </w:rPr>
        <w:t>CDMA IMT-2000 con ensanchamiento directo</w:t>
      </w:r>
      <w:r w:rsidRPr="00965C71">
        <w:rPr>
          <w:lang w:val="es-ES"/>
        </w:rPr>
        <w:t xml:space="preserve"> y </w:t>
      </w:r>
      <w:r>
        <w:rPr>
          <w:lang w:val="es-ES"/>
        </w:rPr>
        <w:t>se prevé que cualquier aplicación</w:t>
      </w:r>
      <w:r w:rsidRPr="00965C71">
        <w:rPr>
          <w:lang w:val="es-ES"/>
        </w:rPr>
        <w:t xml:space="preserve"> desarrollada pa</w:t>
      </w:r>
      <w:r>
        <w:rPr>
          <w:lang w:val="es-ES"/>
        </w:rPr>
        <w:t>ra esta última tecnología pueda</w:t>
      </w:r>
      <w:r w:rsidRPr="00965C71">
        <w:rPr>
          <w:lang w:val="es-ES"/>
        </w:rPr>
        <w:t xml:space="preserve"> funcionar con HSDPA</w:t>
      </w:r>
      <w:r>
        <w:rPr>
          <w:lang w:val="es-ES"/>
        </w:rPr>
        <w:t>. HSDPA</w:t>
      </w:r>
      <w:r w:rsidRPr="00965C71">
        <w:rPr>
          <w:lang w:val="es-ES"/>
        </w:rPr>
        <w:t xml:space="preserve"> es </w:t>
      </w:r>
      <w:r>
        <w:rPr>
          <w:lang w:val="es-ES"/>
        </w:rPr>
        <w:t xml:space="preserve">uno de los objetivos de la versión </w:t>
      </w:r>
      <w:r w:rsidRPr="00965C71">
        <w:rPr>
          <w:lang w:val="es-ES"/>
        </w:rPr>
        <w:t xml:space="preserve">5 </w:t>
      </w:r>
      <w:r>
        <w:rPr>
          <w:lang w:val="es-ES"/>
        </w:rPr>
        <w:t>de las especificaciones</w:t>
      </w:r>
      <w:r w:rsidRPr="00965C71">
        <w:rPr>
          <w:lang w:val="es-ES"/>
        </w:rPr>
        <w:t> 3GPP.</w:t>
      </w:r>
    </w:p>
    <w:p w:rsidR="00FA3243" w:rsidRPr="00A43C05" w:rsidRDefault="00EB3D94" w:rsidP="00EB3D94">
      <w:pPr>
        <w:rPr>
          <w:lang w:val="es-ES_tradnl"/>
        </w:rPr>
      </w:pPr>
      <w:r w:rsidRPr="00965C71">
        <w:rPr>
          <w:lang w:val="es-ES"/>
        </w:rPr>
        <w:t xml:space="preserve">HSDPA permite </w:t>
      </w:r>
      <w:r>
        <w:rPr>
          <w:lang w:val="es-ES"/>
        </w:rPr>
        <w:t>alcanzar</w:t>
      </w:r>
      <w:r w:rsidRPr="00965C71">
        <w:rPr>
          <w:lang w:val="es-ES"/>
        </w:rPr>
        <w:t xml:space="preserve"> altas velocidades </w:t>
      </w:r>
      <w:r>
        <w:rPr>
          <w:lang w:val="es-ES"/>
        </w:rPr>
        <w:t>gracias a que utiliza</w:t>
      </w:r>
      <w:r w:rsidRPr="00965C71">
        <w:rPr>
          <w:lang w:val="es-ES"/>
        </w:rPr>
        <w:t xml:space="preserve"> modulación de orden </w:t>
      </w:r>
      <w:r>
        <w:rPr>
          <w:lang w:val="es-ES"/>
        </w:rPr>
        <w:t>superior</w:t>
      </w:r>
      <w:r w:rsidRPr="00965C71">
        <w:rPr>
          <w:lang w:val="es-ES"/>
        </w:rPr>
        <w:t xml:space="preserve">, por ejemplo MAQ-16, codificación de errores variable y rápida adaptación del enlace a las condiciones </w:t>
      </w:r>
      <w:r>
        <w:rPr>
          <w:lang w:val="es-ES"/>
        </w:rPr>
        <w:t xml:space="preserve">radioeléctricas existentes, al ajustar </w:t>
      </w:r>
      <w:r w:rsidRPr="00965C71">
        <w:rPr>
          <w:lang w:val="es-ES"/>
        </w:rPr>
        <w:t>la modulación y la codificación</w:t>
      </w:r>
      <w:r>
        <w:rPr>
          <w:lang w:val="es-ES"/>
        </w:rPr>
        <w:t xml:space="preserve"> cuando es necesario</w:t>
      </w:r>
      <w:r w:rsidRPr="00965C71">
        <w:rPr>
          <w:lang w:val="es-ES"/>
        </w:rPr>
        <w:t xml:space="preserve">. Por otra parte, HSDPA utiliza un mecanismo de </w:t>
      </w:r>
      <w:r>
        <w:rPr>
          <w:lang w:val="es-ES"/>
        </w:rPr>
        <w:t>planificación</w:t>
      </w:r>
      <w:r w:rsidRPr="00965C71">
        <w:rPr>
          <w:lang w:val="es-ES"/>
        </w:rPr>
        <w:t xml:space="preserve"> eficiente para determinar </w:t>
      </w:r>
      <w:r>
        <w:rPr>
          <w:lang w:val="es-ES"/>
        </w:rPr>
        <w:t>el</w:t>
      </w:r>
      <w:r w:rsidRPr="00965C71">
        <w:rPr>
          <w:lang w:val="es-ES"/>
        </w:rPr>
        <w:t xml:space="preserve"> usuario</w:t>
      </w:r>
      <w:r>
        <w:rPr>
          <w:lang w:val="es-ES"/>
        </w:rPr>
        <w:t xml:space="preserve"> que</w:t>
      </w:r>
      <w:r w:rsidRPr="00965C71">
        <w:rPr>
          <w:lang w:val="es-ES"/>
        </w:rPr>
        <w:t xml:space="preserve"> </w:t>
      </w:r>
      <w:r>
        <w:rPr>
          <w:lang w:val="es-ES"/>
        </w:rPr>
        <w:t>ha de obtener los</w:t>
      </w:r>
      <w:r w:rsidRPr="00965C71">
        <w:rPr>
          <w:lang w:val="es-ES"/>
        </w:rPr>
        <w:t xml:space="preserve"> recursos. Por último HSDPA permite </w:t>
      </w:r>
      <w:r>
        <w:rPr>
          <w:lang w:val="es-ES"/>
        </w:rPr>
        <w:t>que los</w:t>
      </w:r>
      <w:r w:rsidRPr="00965C71">
        <w:rPr>
          <w:lang w:val="es-ES"/>
        </w:rPr>
        <w:t xml:space="preserve"> usuarios </w:t>
      </w:r>
      <w:r>
        <w:rPr>
          <w:lang w:val="es-ES"/>
        </w:rPr>
        <w:t>compartan</w:t>
      </w:r>
      <w:r w:rsidRPr="00965C71">
        <w:rPr>
          <w:lang w:val="es-ES"/>
        </w:rPr>
        <w:t xml:space="preserve"> canales de alta velocidad en el dominio </w:t>
      </w:r>
      <w:r>
        <w:rPr>
          <w:lang w:val="es-ES"/>
        </w:rPr>
        <w:t>del tiempo</w:t>
      </w:r>
      <w:r w:rsidRPr="00965C71">
        <w:rPr>
          <w:lang w:val="es-ES"/>
        </w:rPr>
        <w:t>.</w:t>
      </w:r>
    </w:p>
    <w:p w:rsidR="00D640A7" w:rsidRPr="00A43C05" w:rsidRDefault="00D640A7" w:rsidP="00EB3D94">
      <w:pPr>
        <w:pStyle w:val="Heading4"/>
        <w:rPr>
          <w:lang w:val="es-ES_tradnl"/>
        </w:rPr>
      </w:pPr>
      <w:bookmarkStart w:id="206" w:name="_Toc236826236"/>
      <w:r w:rsidRPr="00A43C05">
        <w:rPr>
          <w:lang w:val="es-ES_tradnl"/>
        </w:rPr>
        <w:t>9.2.1.2</w:t>
      </w:r>
      <w:r w:rsidRPr="00A43C05">
        <w:rPr>
          <w:lang w:val="es-ES_tradnl"/>
        </w:rPr>
        <w:tab/>
      </w:r>
      <w:bookmarkEnd w:id="206"/>
      <w:r w:rsidR="00EB3D94" w:rsidRPr="00EB3D94">
        <w:rPr>
          <w:lang w:val="es-ES_tradnl"/>
        </w:rPr>
        <w:t>CDMA IMT</w:t>
      </w:r>
      <w:r w:rsidR="00EB3D94" w:rsidRPr="00EB3D94">
        <w:rPr>
          <w:lang w:val="es-ES_tradnl"/>
        </w:rPr>
        <w:noBreakHyphen/>
        <w:t xml:space="preserve">2000 con </w:t>
      </w:r>
      <w:proofErr w:type="spellStart"/>
      <w:r w:rsidR="00EB3D94" w:rsidRPr="00EB3D94">
        <w:rPr>
          <w:lang w:val="es-ES_tradnl"/>
        </w:rPr>
        <w:t>multiportadora</w:t>
      </w:r>
      <w:proofErr w:type="spellEnd"/>
    </w:p>
    <w:p w:rsidR="00D640A7" w:rsidRPr="00A43C05" w:rsidRDefault="00EB3D94" w:rsidP="00EB3D94">
      <w:pPr>
        <w:rPr>
          <w:lang w:val="es-ES_tradnl"/>
        </w:rPr>
      </w:pPr>
      <w:r w:rsidRPr="00EB3D94">
        <w:rPr>
          <w:lang w:val="es-ES_tradnl"/>
        </w:rPr>
        <w:t>Nombre en la UIT:</w:t>
      </w:r>
      <w:r w:rsidRPr="00EB3D94">
        <w:rPr>
          <w:lang w:val="es-ES_tradnl"/>
        </w:rPr>
        <w:tab/>
      </w:r>
      <w:r>
        <w:rPr>
          <w:lang w:val="es-ES_tradnl"/>
        </w:rPr>
        <w:tab/>
      </w:r>
      <w:r w:rsidRPr="00EB3D94">
        <w:rPr>
          <w:lang w:val="es-ES_tradnl"/>
        </w:rPr>
        <w:t>CDMA IMT</w:t>
      </w:r>
      <w:r w:rsidRPr="00EB3D94">
        <w:rPr>
          <w:lang w:val="es-ES_tradnl"/>
        </w:rPr>
        <w:noBreakHyphen/>
        <w:t xml:space="preserve">2000 con </w:t>
      </w:r>
      <w:proofErr w:type="spellStart"/>
      <w:r w:rsidRPr="00EB3D94">
        <w:rPr>
          <w:lang w:val="es-ES_tradnl"/>
        </w:rPr>
        <w:t>multiportadora</w:t>
      </w:r>
      <w:proofErr w:type="spellEnd"/>
    </w:p>
    <w:p w:rsidR="00D640A7" w:rsidRPr="00A43C05" w:rsidRDefault="00EB3D94" w:rsidP="00EB3D94">
      <w:pPr>
        <w:jc w:val="left"/>
        <w:rPr>
          <w:lang w:val="es-ES_tradnl"/>
        </w:rPr>
      </w:pPr>
      <w:r w:rsidRPr="00EB3D94">
        <w:rPr>
          <w:lang w:val="es-ES_tradnl"/>
        </w:rPr>
        <w:t>Nombres comunes</w:t>
      </w:r>
      <w:r w:rsidR="00D640A7" w:rsidRPr="00A43C05">
        <w:rPr>
          <w:lang w:val="es-ES_tradnl"/>
        </w:rPr>
        <w:t>:</w:t>
      </w:r>
      <w:r w:rsidR="00D640A7" w:rsidRPr="00A43C05">
        <w:rPr>
          <w:lang w:val="es-ES_tradnl"/>
        </w:rPr>
        <w:tab/>
      </w:r>
      <w:r w:rsidR="0057194E" w:rsidRPr="00A43C05">
        <w:rPr>
          <w:lang w:val="es-ES_tradnl"/>
        </w:rPr>
        <w:tab/>
      </w:r>
      <w:r w:rsidR="00D640A7" w:rsidRPr="00A43C05">
        <w:rPr>
          <w:lang w:val="es-ES_tradnl"/>
        </w:rPr>
        <w:t xml:space="preserve">CDMA2000 1X </w:t>
      </w:r>
      <w:r w:rsidRPr="00A43C05">
        <w:rPr>
          <w:lang w:val="es-ES_tradnl"/>
        </w:rPr>
        <w:t>y</w:t>
      </w:r>
      <w:r w:rsidR="00D640A7" w:rsidRPr="00A43C05">
        <w:rPr>
          <w:lang w:val="es-ES_tradnl"/>
        </w:rPr>
        <w:t xml:space="preserve"> 3X</w:t>
      </w:r>
      <w:r w:rsidR="00D640A7" w:rsidRPr="00A43C05">
        <w:rPr>
          <w:lang w:val="es-ES_tradnl"/>
        </w:rPr>
        <w:br/>
      </w:r>
      <w:r w:rsidR="00D640A7" w:rsidRPr="00A43C05">
        <w:rPr>
          <w:lang w:val="es-ES_tradnl"/>
        </w:rPr>
        <w:tab/>
      </w:r>
      <w:r w:rsidR="00D640A7" w:rsidRPr="00A43C05">
        <w:rPr>
          <w:lang w:val="es-ES_tradnl"/>
        </w:rPr>
        <w:tab/>
      </w:r>
      <w:r w:rsidR="00D640A7" w:rsidRPr="00A43C05">
        <w:rPr>
          <w:lang w:val="es-ES_tradnl"/>
        </w:rPr>
        <w:tab/>
      </w:r>
      <w:r w:rsidRPr="00A43C05">
        <w:rPr>
          <w:lang w:val="es-ES_tradnl"/>
        </w:rPr>
        <w:tab/>
      </w:r>
      <w:r w:rsidR="00D640A7" w:rsidRPr="00A43C05">
        <w:rPr>
          <w:lang w:val="es-ES_tradnl"/>
        </w:rPr>
        <w:tab/>
        <w:t>CDMA2000 EV</w:t>
      </w:r>
      <w:r w:rsidR="00D640A7" w:rsidRPr="00A43C05">
        <w:rPr>
          <w:lang w:val="es-ES_tradnl"/>
        </w:rPr>
        <w:noBreakHyphen/>
        <w:t>DO</w:t>
      </w:r>
    </w:p>
    <w:p w:rsidR="00EB3D94" w:rsidRPr="00965C71" w:rsidRDefault="00EB3D94" w:rsidP="00EB3D94">
      <w:pPr>
        <w:rPr>
          <w:lang w:val="es-ES_tradnl"/>
        </w:rPr>
      </w:pPr>
      <w:r w:rsidRPr="00965C71">
        <w:rPr>
          <w:lang w:val="es-ES_tradnl"/>
        </w:rPr>
        <w:t>CDMA IMT</w:t>
      </w:r>
      <w:r w:rsidRPr="00965C71">
        <w:rPr>
          <w:lang w:val="es-ES_tradnl"/>
        </w:rPr>
        <w:noBreakHyphen/>
        <w:t xml:space="preserve">2000 con </w:t>
      </w:r>
      <w:proofErr w:type="spellStart"/>
      <w:r w:rsidRPr="00965C71">
        <w:rPr>
          <w:lang w:val="es-ES_tradnl"/>
        </w:rPr>
        <w:t>multiportadora</w:t>
      </w:r>
      <w:proofErr w:type="spellEnd"/>
      <w:r w:rsidRPr="00965C71">
        <w:rPr>
          <w:lang w:val="es-ES_tradnl"/>
        </w:rPr>
        <w:t xml:space="preserve"> </w:t>
      </w:r>
      <w:r>
        <w:rPr>
          <w:lang w:val="es-ES_tradnl"/>
        </w:rPr>
        <w:t xml:space="preserve">se </w:t>
      </w:r>
      <w:r w:rsidRPr="00965C71">
        <w:rPr>
          <w:lang w:val="es-ES_tradnl"/>
        </w:rPr>
        <w:t xml:space="preserve">ha diseñado como una evolución directa de la interfaz </w:t>
      </w:r>
      <w:r>
        <w:rPr>
          <w:lang w:val="es-ES_tradnl"/>
        </w:rPr>
        <w:t xml:space="preserve">aérea </w:t>
      </w:r>
      <w:proofErr w:type="spellStart"/>
      <w:r w:rsidRPr="00965C71">
        <w:rPr>
          <w:lang w:val="es-ES_tradnl"/>
        </w:rPr>
        <w:t>cdmaOne</w:t>
      </w:r>
      <w:proofErr w:type="spellEnd"/>
      <w:r w:rsidRPr="00965C71">
        <w:rPr>
          <w:vertAlign w:val="superscript"/>
          <w:lang w:val="es-ES_tradnl"/>
        </w:rPr>
        <w:t>®</w:t>
      </w:r>
      <w:r w:rsidRPr="00965C71">
        <w:rPr>
          <w:lang w:val="es-ES_tradnl"/>
        </w:rPr>
        <w:t xml:space="preserve">, </w:t>
      </w:r>
      <w:r>
        <w:rPr>
          <w:lang w:val="es-ES_tradnl"/>
        </w:rPr>
        <w:t>con</w:t>
      </w:r>
      <w:r w:rsidRPr="00965C71">
        <w:rPr>
          <w:lang w:val="es-ES_tradnl"/>
        </w:rPr>
        <w:t xml:space="preserve"> compatibilidad ascendente</w:t>
      </w:r>
      <w:r>
        <w:rPr>
          <w:lang w:val="es-ES_tradnl"/>
        </w:rPr>
        <w:t>, que</w:t>
      </w:r>
      <w:r w:rsidRPr="00965C71">
        <w:rPr>
          <w:lang w:val="es-ES_tradnl"/>
        </w:rPr>
        <w:t xml:space="preserve"> </w:t>
      </w:r>
      <w:r>
        <w:rPr>
          <w:lang w:val="es-ES_tradnl"/>
        </w:rPr>
        <w:t>o</w:t>
      </w:r>
      <w:r w:rsidRPr="00965C71">
        <w:rPr>
          <w:lang w:val="es-ES_tradnl"/>
        </w:rPr>
        <w:t xml:space="preserve">frece mejoras de capacidad vocal, calidad de la voz y cobertura, y </w:t>
      </w:r>
      <w:r>
        <w:rPr>
          <w:lang w:val="es-ES_tradnl"/>
        </w:rPr>
        <w:t>puede</w:t>
      </w:r>
      <w:r w:rsidRPr="00965C71">
        <w:rPr>
          <w:lang w:val="es-ES_tradnl"/>
        </w:rPr>
        <w:t xml:space="preserve"> ofrecer servicios de datos por paquetes de alta velocidad. CDMA IMT</w:t>
      </w:r>
      <w:r w:rsidRPr="00965C71">
        <w:rPr>
          <w:lang w:val="es-ES_tradnl"/>
        </w:rPr>
        <w:noBreakHyphen/>
        <w:t xml:space="preserve">2000 con </w:t>
      </w:r>
      <w:proofErr w:type="spellStart"/>
      <w:r w:rsidRPr="00965C71">
        <w:rPr>
          <w:lang w:val="es-ES_tradnl"/>
        </w:rPr>
        <w:t>multiportadora</w:t>
      </w:r>
      <w:proofErr w:type="spellEnd"/>
      <w:r w:rsidRPr="00965C71">
        <w:rPr>
          <w:lang w:val="es-ES_tradnl"/>
        </w:rPr>
        <w:t xml:space="preserve"> funciona en diversas bandas de frecuencias (450, 800, 1</w:t>
      </w:r>
      <w:r w:rsidRPr="00965C71">
        <w:rPr>
          <w:rFonts w:ascii="Tms Rmn" w:hAnsi="Tms Rmn"/>
          <w:lang w:val="es-ES_tradnl"/>
        </w:rPr>
        <w:t> </w:t>
      </w:r>
      <w:r w:rsidRPr="00965C71">
        <w:rPr>
          <w:lang w:val="es-ES_tradnl"/>
        </w:rPr>
        <w:t>700, 1</w:t>
      </w:r>
      <w:r w:rsidRPr="00965C71">
        <w:rPr>
          <w:rFonts w:ascii="Tms Rmn" w:hAnsi="Tms Rmn"/>
          <w:lang w:val="es-ES_tradnl"/>
        </w:rPr>
        <w:t> </w:t>
      </w:r>
      <w:r w:rsidRPr="00965C71">
        <w:rPr>
          <w:lang w:val="es-ES_tradnl"/>
        </w:rPr>
        <w:t>900 y 2</w:t>
      </w:r>
      <w:r w:rsidRPr="00965C71">
        <w:rPr>
          <w:rFonts w:ascii="Tms Rmn" w:hAnsi="Tms Rmn"/>
          <w:lang w:val="es-ES_tradnl"/>
        </w:rPr>
        <w:t> </w:t>
      </w:r>
      <w:r w:rsidRPr="00965C71">
        <w:rPr>
          <w:lang w:val="es-ES_tradnl"/>
        </w:rPr>
        <w:t>100 MHz).</w:t>
      </w:r>
    </w:p>
    <w:p w:rsidR="00EB3D94" w:rsidRPr="00965C71" w:rsidRDefault="00EB3D94" w:rsidP="00EB3D94">
      <w:pPr>
        <w:rPr>
          <w:lang w:val="es-ES_tradnl"/>
        </w:rPr>
      </w:pPr>
      <w:r w:rsidRPr="00965C71">
        <w:rPr>
          <w:lang w:val="es-ES_tradnl"/>
        </w:rPr>
        <w:t>CDMA IMT</w:t>
      </w:r>
      <w:r w:rsidRPr="00965C71">
        <w:rPr>
          <w:lang w:val="es-ES_tradnl"/>
        </w:rPr>
        <w:noBreakHyphen/>
        <w:t xml:space="preserve">2000 con </w:t>
      </w:r>
      <w:proofErr w:type="spellStart"/>
      <w:r w:rsidRPr="00965C71">
        <w:rPr>
          <w:lang w:val="es-ES_tradnl"/>
        </w:rPr>
        <w:t>multiportadora</w:t>
      </w:r>
      <w:proofErr w:type="spellEnd"/>
      <w:r w:rsidRPr="00965C71">
        <w:rPr>
          <w:lang w:val="es-ES_tradnl"/>
        </w:rPr>
        <w:t xml:space="preserve"> equilibra las asignaciones de código y la atribución de potencia para prestar servicios de voz y datos. CDMA2000 1X soporta entre 33 y 40 llamadas vocales simultáneas por sector en un solo canal FDD de 1,25 </w:t>
      </w:r>
      <w:proofErr w:type="spellStart"/>
      <w:r w:rsidRPr="00965C71">
        <w:rPr>
          <w:lang w:val="es-ES_tradnl"/>
        </w:rPr>
        <w:t>MHz.</w:t>
      </w:r>
      <w:proofErr w:type="spellEnd"/>
      <w:r w:rsidRPr="00965C71">
        <w:rPr>
          <w:lang w:val="es-ES_tradnl"/>
        </w:rPr>
        <w:t xml:space="preserve"> Gracias a un nuevo códec (EVRC-B) y a la </w:t>
      </w:r>
      <w:r>
        <w:rPr>
          <w:lang w:val="es-ES_tradnl"/>
        </w:rPr>
        <w:t>compensación</w:t>
      </w:r>
      <w:r w:rsidRPr="00965C71">
        <w:rPr>
          <w:lang w:val="es-ES_tradnl"/>
        </w:rPr>
        <w:t xml:space="preserve"> de interferencias en el </w:t>
      </w:r>
      <w:proofErr w:type="spellStart"/>
      <w:r w:rsidRPr="00965C71">
        <w:rPr>
          <w:lang w:val="es-ES_tradnl"/>
        </w:rPr>
        <w:t>microtélefono</w:t>
      </w:r>
      <w:proofErr w:type="spellEnd"/>
      <w:r w:rsidRPr="00965C71">
        <w:rPr>
          <w:lang w:val="es-ES_tradnl"/>
        </w:rPr>
        <w:t>, puede maneja</w:t>
      </w:r>
      <w:r>
        <w:rPr>
          <w:lang w:val="es-ES_tradnl"/>
        </w:rPr>
        <w:t>r hasta 55 llamadas vocales. La</w:t>
      </w:r>
      <w:r w:rsidRPr="00965C71">
        <w:rPr>
          <w:lang w:val="es-ES_tradnl"/>
        </w:rPr>
        <w:t xml:space="preserve"> mejora </w:t>
      </w:r>
      <w:r>
        <w:rPr>
          <w:lang w:val="es-ES_tradnl"/>
        </w:rPr>
        <w:t>de 1X, 1X Avanzada</w:t>
      </w:r>
      <w:r w:rsidRPr="00965C71">
        <w:rPr>
          <w:lang w:val="es-ES_tradnl"/>
        </w:rPr>
        <w:t xml:space="preserve">, que se pondrá a la venta en 2010, potenciarán aún más la capacidad 2.3x gracias </w:t>
      </w:r>
      <w:r>
        <w:rPr>
          <w:lang w:val="es-ES_tradnl"/>
        </w:rPr>
        <w:t>a la utilización del</w:t>
      </w:r>
      <w:r w:rsidRPr="00965C71">
        <w:rPr>
          <w:lang w:val="es-ES_tradnl"/>
        </w:rPr>
        <w:t xml:space="preserve"> nuevo códec EVRC-B y a la introducción de </w:t>
      </w:r>
      <w:r>
        <w:rPr>
          <w:lang w:val="es-ES_tradnl"/>
        </w:rPr>
        <w:t>la compensación</w:t>
      </w:r>
      <w:r w:rsidRPr="00965C71">
        <w:rPr>
          <w:lang w:val="es-ES_tradnl"/>
        </w:rPr>
        <w:t xml:space="preserve"> de</w:t>
      </w:r>
      <w:r>
        <w:rPr>
          <w:lang w:val="es-ES_tradnl"/>
        </w:rPr>
        <w:t xml:space="preserve"> las</w:t>
      </w:r>
      <w:r w:rsidRPr="00965C71">
        <w:rPr>
          <w:lang w:val="es-ES_tradnl"/>
        </w:rPr>
        <w:t xml:space="preserve"> interferencias en enlace ascendente </w:t>
      </w:r>
      <w:r w:rsidRPr="00965C71">
        <w:rPr>
          <w:lang w:val="es-ES_tradnl"/>
        </w:rPr>
        <w:lastRenderedPageBreak/>
        <w:t>y</w:t>
      </w:r>
      <w:r>
        <w:rPr>
          <w:lang w:val="es-ES_tradnl"/>
        </w:rPr>
        <w:t xml:space="preserve"> en el</w:t>
      </w:r>
      <w:r w:rsidRPr="00965C71">
        <w:rPr>
          <w:lang w:val="es-ES_tradnl"/>
        </w:rPr>
        <w:t xml:space="preserve"> descendente, </w:t>
      </w:r>
      <w:r>
        <w:rPr>
          <w:lang w:val="es-ES_tradnl"/>
        </w:rPr>
        <w:t xml:space="preserve">a la </w:t>
      </w:r>
      <w:r w:rsidRPr="00965C71">
        <w:rPr>
          <w:lang w:val="es-ES_tradnl"/>
        </w:rPr>
        <w:t xml:space="preserve">diversidad de recepción móvil, </w:t>
      </w:r>
      <w:r>
        <w:rPr>
          <w:lang w:val="es-ES_tradnl"/>
        </w:rPr>
        <w:t xml:space="preserve">a las funciones cuasi </w:t>
      </w:r>
      <w:r w:rsidRPr="00965C71">
        <w:rPr>
          <w:lang w:val="es-ES_tradnl"/>
        </w:rPr>
        <w:t xml:space="preserve">ortogonales (QOF) y </w:t>
      </w:r>
      <w:r>
        <w:rPr>
          <w:lang w:val="es-ES_tradnl"/>
        </w:rPr>
        <w:t xml:space="preserve">a las </w:t>
      </w:r>
      <w:r w:rsidRPr="00965C71">
        <w:rPr>
          <w:lang w:val="es-ES_tradnl"/>
        </w:rPr>
        <w:t xml:space="preserve">mejoras en el enlace radioeléctrico tales como mejor control de potencia, terminación anticipada y supresión inteligente. Los canales de datos directo e inverso de CDMA 2000 pueden utilizar codificación turbo o </w:t>
      </w:r>
      <w:proofErr w:type="spellStart"/>
      <w:r w:rsidRPr="00965C71">
        <w:rPr>
          <w:lang w:val="es-ES_tradnl"/>
        </w:rPr>
        <w:t>convolucional</w:t>
      </w:r>
      <w:proofErr w:type="spellEnd"/>
      <w:r w:rsidRPr="00965C71">
        <w:rPr>
          <w:lang w:val="es-ES_tradnl"/>
        </w:rPr>
        <w:t xml:space="preserve">. Para velocidades </w:t>
      </w:r>
      <w:r>
        <w:rPr>
          <w:lang w:val="es-ES_tradnl"/>
        </w:rPr>
        <w:t>superiores</w:t>
      </w:r>
      <w:r w:rsidRPr="00965C71">
        <w:rPr>
          <w:lang w:val="es-ES_tradnl"/>
        </w:rPr>
        <w:t xml:space="preserve">, la codificación turbo ofrece un mecanismo de corrección de errores para la transmisión de datos que mejora la calidad de funcionamiento del sistema y su capacidad. Los canales de datos por paquetes de CDMA 2000 1X ofrecen velocidades de datos de hasta 307 Kbit/s. Otras nuevas características de CDMA IMT-2000 con </w:t>
      </w:r>
      <w:proofErr w:type="spellStart"/>
      <w:r w:rsidRPr="00965C71">
        <w:rPr>
          <w:lang w:val="es-ES_tradnl"/>
        </w:rPr>
        <w:t>multiportadora</w:t>
      </w:r>
      <w:proofErr w:type="spellEnd"/>
      <w:r w:rsidRPr="00965C71">
        <w:rPr>
          <w:lang w:val="es-ES_tradnl"/>
        </w:rPr>
        <w:t xml:space="preserve"> comprenden el funcionamiento del</w:t>
      </w:r>
      <w:r>
        <w:rPr>
          <w:lang w:val="es-ES_tradnl"/>
        </w:rPr>
        <w:t xml:space="preserve"> canal de mensajería rápido, la velocidad</w:t>
      </w:r>
      <w:r w:rsidRPr="00965C71">
        <w:rPr>
          <w:lang w:val="es-ES_tradnl"/>
        </w:rPr>
        <w:t xml:space="preserve"> de transmisión variable y una estructura de canal que soporta varios servicios con distintas </w:t>
      </w:r>
      <w:proofErr w:type="spellStart"/>
      <w:r w:rsidRPr="00965C71">
        <w:rPr>
          <w:lang w:val="es-ES_tradnl"/>
        </w:rPr>
        <w:t>QoS</w:t>
      </w:r>
      <w:proofErr w:type="spellEnd"/>
      <w:r w:rsidRPr="00965C71">
        <w:rPr>
          <w:lang w:val="es-ES_tradnl"/>
        </w:rPr>
        <w:t>. La opción CDMA2000 EV</w:t>
      </w:r>
      <w:r w:rsidRPr="00965C71">
        <w:rPr>
          <w:lang w:val="es-ES_tradnl"/>
        </w:rPr>
        <w:noBreakHyphen/>
        <w:t xml:space="preserve">DO, optimizada principalmente para servicios de datos, se ha diseñado para </w:t>
      </w:r>
      <w:proofErr w:type="spellStart"/>
      <w:r w:rsidRPr="00965C71">
        <w:rPr>
          <w:lang w:val="es-ES_tradnl"/>
        </w:rPr>
        <w:t>interoperar</w:t>
      </w:r>
      <w:proofErr w:type="spellEnd"/>
      <w:r w:rsidRPr="00965C71">
        <w:rPr>
          <w:lang w:val="es-ES_tradnl"/>
        </w:rPr>
        <w:t xml:space="preserve"> con las redes CDMA2000 1X y soportar datos de alta velocidad. CDMA2000 EV</w:t>
      </w:r>
      <w:r w:rsidRPr="00965C71">
        <w:rPr>
          <w:lang w:val="es-ES_tradnl"/>
        </w:rPr>
        <w:noBreakHyphen/>
        <w:t>DO incorpora un enlace directo de velocidad variable adaptable multipl</w:t>
      </w:r>
      <w:r>
        <w:rPr>
          <w:lang w:val="es-ES_tradnl"/>
        </w:rPr>
        <w:t>exado por división del tiempo (T</w:t>
      </w:r>
      <w:r w:rsidRPr="00965C71">
        <w:rPr>
          <w:lang w:val="es-ES_tradnl"/>
        </w:rPr>
        <w:t xml:space="preserve">DM) que maximiza la velocidad de datos </w:t>
      </w:r>
      <w:r>
        <w:rPr>
          <w:lang w:val="es-ES_tradnl"/>
        </w:rPr>
        <w:t>del</w:t>
      </w:r>
      <w:r w:rsidRPr="00965C71">
        <w:rPr>
          <w:lang w:val="es-ES_tradnl"/>
        </w:rPr>
        <w:t xml:space="preserve"> usuario y el caudal del sector gracias a la </w:t>
      </w:r>
      <w:r>
        <w:rPr>
          <w:lang w:val="es-ES_tradnl"/>
        </w:rPr>
        <w:t>asignación</w:t>
      </w:r>
      <w:r w:rsidRPr="00965C71">
        <w:rPr>
          <w:lang w:val="es-ES_tradnl"/>
        </w:rPr>
        <w:t xml:space="preserve"> de toda la potencia </w:t>
      </w:r>
      <w:r>
        <w:rPr>
          <w:lang w:val="es-ES_tradnl"/>
        </w:rPr>
        <w:t xml:space="preserve">de la </w:t>
      </w:r>
      <w:r w:rsidRPr="00965C71">
        <w:rPr>
          <w:lang w:val="es-ES_tradnl"/>
        </w:rPr>
        <w:t>BTS a un solo usuario en un momento determinado. La alta eficiencia de la implementación de la planificación sensible al canal y la eficacia de la diversidad multiusuario permite alcanzar las velocidades de datos más elevadas en un instante determinado. Además, los esquemas híbridos-ARQ que implementan la redundancia incremental</w:t>
      </w:r>
      <w:r>
        <w:rPr>
          <w:lang w:val="es-ES_tradnl"/>
        </w:rPr>
        <w:t>,</w:t>
      </w:r>
      <w:r w:rsidRPr="00965C71">
        <w:rPr>
          <w:lang w:val="es-ES_tradnl"/>
        </w:rPr>
        <w:t xml:space="preserve"> contribuyen a </w:t>
      </w:r>
      <w:r>
        <w:rPr>
          <w:lang w:val="es-ES_tradnl"/>
        </w:rPr>
        <w:t>alcanzar</w:t>
      </w:r>
      <w:r w:rsidRPr="00965C71">
        <w:rPr>
          <w:lang w:val="es-ES_tradnl"/>
        </w:rPr>
        <w:t xml:space="preserve"> la eficiencia </w:t>
      </w:r>
      <w:r>
        <w:rPr>
          <w:lang w:val="es-ES_tradnl"/>
        </w:rPr>
        <w:t xml:space="preserve">máxima </w:t>
      </w:r>
      <w:r w:rsidRPr="00965C71">
        <w:rPr>
          <w:lang w:val="es-ES_tradnl"/>
        </w:rPr>
        <w:t xml:space="preserve">que de otro modo </w:t>
      </w:r>
      <w:r>
        <w:rPr>
          <w:lang w:val="es-ES_tradnl"/>
        </w:rPr>
        <w:t>se malograría por</w:t>
      </w:r>
      <w:r w:rsidRPr="00965C71">
        <w:rPr>
          <w:lang w:val="es-ES_tradnl"/>
        </w:rPr>
        <w:t xml:space="preserve"> la alta movilidad y variabilidad de la interferencia </w:t>
      </w:r>
      <w:r>
        <w:rPr>
          <w:lang w:val="es-ES_tradnl"/>
        </w:rPr>
        <w:t>debida a la variabilidad de</w:t>
      </w:r>
      <w:r w:rsidRPr="00965C71">
        <w:rPr>
          <w:lang w:val="es-ES_tradnl"/>
        </w:rPr>
        <w:t xml:space="preserve"> las condiciones del tráfico.</w:t>
      </w:r>
    </w:p>
    <w:p w:rsidR="00EB3D94" w:rsidRPr="00965C71" w:rsidRDefault="00EB3D94" w:rsidP="00EB3D94">
      <w:pPr>
        <w:rPr>
          <w:lang w:val="es-ES_tradnl"/>
        </w:rPr>
      </w:pPr>
      <w:r w:rsidRPr="00965C71">
        <w:rPr>
          <w:lang w:val="es-ES_tradnl"/>
        </w:rPr>
        <w:t xml:space="preserve">CDMA2000 1xEV-DO </w:t>
      </w:r>
      <w:proofErr w:type="spellStart"/>
      <w:r w:rsidRPr="00965C71">
        <w:rPr>
          <w:lang w:val="es-ES_tradnl"/>
        </w:rPr>
        <w:t>Rel</w:t>
      </w:r>
      <w:proofErr w:type="spellEnd"/>
      <w:r w:rsidRPr="00965C71">
        <w:rPr>
          <w:lang w:val="es-ES_tradnl"/>
        </w:rPr>
        <w:t>.</w:t>
      </w:r>
      <w:r>
        <w:rPr>
          <w:lang w:val="es-ES_tradnl"/>
        </w:rPr>
        <w:t> </w:t>
      </w:r>
      <w:r w:rsidRPr="00965C71">
        <w:rPr>
          <w:lang w:val="es-ES_tradnl"/>
        </w:rPr>
        <w:t xml:space="preserve">0 soporta velocidades de datos de hasta 2,4 </w:t>
      </w:r>
      <w:proofErr w:type="spellStart"/>
      <w:r w:rsidRPr="00965C71">
        <w:rPr>
          <w:lang w:val="es-ES_tradnl"/>
        </w:rPr>
        <w:t>Mbit</w:t>
      </w:r>
      <w:proofErr w:type="spellEnd"/>
      <w:r w:rsidRPr="00965C71">
        <w:rPr>
          <w:lang w:val="es-ES_tradnl"/>
        </w:rPr>
        <w:t xml:space="preserve">/s </w:t>
      </w:r>
      <w:r>
        <w:rPr>
          <w:lang w:val="es-ES_tradnl"/>
        </w:rPr>
        <w:t>en el</w:t>
      </w:r>
      <w:r w:rsidRPr="00965C71">
        <w:rPr>
          <w:lang w:val="es-ES_tradnl"/>
        </w:rPr>
        <w:t xml:space="preserve"> enlace </w:t>
      </w:r>
      <w:r>
        <w:rPr>
          <w:lang w:val="es-ES_tradnl"/>
        </w:rPr>
        <w:t>directo y de 1,</w:t>
      </w:r>
      <w:r w:rsidRPr="00965C71">
        <w:rPr>
          <w:lang w:val="es-ES_tradnl"/>
        </w:rPr>
        <w:t>3</w:t>
      </w:r>
      <w:r>
        <w:rPr>
          <w:lang w:val="es-ES_tradnl"/>
        </w:rPr>
        <w:t> </w:t>
      </w:r>
      <w:proofErr w:type="spellStart"/>
      <w:r>
        <w:rPr>
          <w:lang w:val="es-ES_tradnl"/>
        </w:rPr>
        <w:t>Mbit</w:t>
      </w:r>
      <w:proofErr w:type="spellEnd"/>
      <w:r>
        <w:rPr>
          <w:lang w:val="es-ES_tradnl"/>
        </w:rPr>
        <w:t xml:space="preserve">/s </w:t>
      </w:r>
      <w:r w:rsidRPr="00965C71">
        <w:rPr>
          <w:lang w:val="es-ES_tradnl"/>
        </w:rPr>
        <w:t>en el inverso. La norma más avanzada, 1xEV</w:t>
      </w:r>
      <w:r w:rsidRPr="00965C71">
        <w:rPr>
          <w:lang w:val="es-ES_tradnl"/>
        </w:rPr>
        <w:noBreakHyphen/>
        <w:t xml:space="preserve">DO Rev. A, ofrece velocidades de </w:t>
      </w:r>
      <w:r>
        <w:rPr>
          <w:lang w:val="es-ES_tradnl"/>
        </w:rPr>
        <w:t xml:space="preserve">datos de </w:t>
      </w:r>
      <w:r w:rsidRPr="00965C71">
        <w:rPr>
          <w:lang w:val="es-ES_tradnl"/>
        </w:rPr>
        <w:t xml:space="preserve">cresta de hasta 3,1 </w:t>
      </w:r>
      <w:proofErr w:type="spellStart"/>
      <w:r w:rsidRPr="00965C71">
        <w:rPr>
          <w:lang w:val="es-ES_tradnl"/>
        </w:rPr>
        <w:t>Mbit</w:t>
      </w:r>
      <w:proofErr w:type="spellEnd"/>
      <w:r w:rsidRPr="00965C71">
        <w:rPr>
          <w:lang w:val="es-ES_tradnl"/>
        </w:rPr>
        <w:t xml:space="preserve">/s en el enlace directo y 1,8 </w:t>
      </w:r>
      <w:proofErr w:type="spellStart"/>
      <w:r w:rsidRPr="00965C71">
        <w:rPr>
          <w:lang w:val="es-ES_tradnl"/>
        </w:rPr>
        <w:t>Mbit</w:t>
      </w:r>
      <w:proofErr w:type="spellEnd"/>
      <w:r w:rsidRPr="00965C71">
        <w:rPr>
          <w:lang w:val="es-ES_tradnl"/>
        </w:rPr>
        <w:t>/s en el inverso, con una anchura de banda de 1,25 </w:t>
      </w:r>
      <w:proofErr w:type="spellStart"/>
      <w:r w:rsidRPr="00965C71">
        <w:rPr>
          <w:lang w:val="es-ES_tradnl"/>
        </w:rPr>
        <w:t>MHz.</w:t>
      </w:r>
      <w:proofErr w:type="spellEnd"/>
      <w:r w:rsidRPr="00965C71">
        <w:rPr>
          <w:lang w:val="es-ES_tradnl"/>
        </w:rPr>
        <w:t xml:space="preserve"> La elevada capacidad de datos de EV</w:t>
      </w:r>
      <w:r w:rsidRPr="00965C71">
        <w:rPr>
          <w:lang w:val="es-ES_tradnl"/>
        </w:rPr>
        <w:noBreakHyphen/>
        <w:t xml:space="preserve">DO se debe a la incorporación de esquemas de modulación de orden superior tales como </w:t>
      </w:r>
      <w:r>
        <w:rPr>
          <w:lang w:val="es-ES_tradnl"/>
        </w:rPr>
        <w:t>MAQ-16</w:t>
      </w:r>
      <w:r w:rsidRPr="00965C71">
        <w:rPr>
          <w:lang w:val="es-ES_tradnl"/>
        </w:rPr>
        <w:t xml:space="preserve">, adaptación dinámica del enlace, modulación adaptable, redundancia incremental, diversidad multiusuario, diversidad en recepción, codificación turbo y otros mecanismos de control del canal. </w:t>
      </w:r>
    </w:p>
    <w:p w:rsidR="00EB3D94" w:rsidRPr="00965C71" w:rsidRDefault="00EB3D94" w:rsidP="00EB3D94">
      <w:pPr>
        <w:rPr>
          <w:lang w:val="es-ES_tradnl"/>
        </w:rPr>
      </w:pPr>
      <w:r w:rsidRPr="00965C71">
        <w:rPr>
          <w:lang w:val="es-ES_tradnl"/>
        </w:rPr>
        <w:t xml:space="preserve">CDMA2000 con </w:t>
      </w:r>
      <w:proofErr w:type="spellStart"/>
      <w:r w:rsidRPr="00965C71">
        <w:rPr>
          <w:lang w:val="es-ES_tradnl"/>
        </w:rPr>
        <w:t>multiportadora</w:t>
      </w:r>
      <w:proofErr w:type="spellEnd"/>
      <w:r w:rsidRPr="00965C71">
        <w:rPr>
          <w:lang w:val="es-ES_tradnl"/>
        </w:rPr>
        <w:t xml:space="preserve"> y EV-DO Rev. B acumulan varias portadoras 1xEV-DO Rev. A para ofrecer una calidad de funcionamiento superior </w:t>
      </w:r>
      <w:r>
        <w:rPr>
          <w:lang w:val="es-ES_tradnl"/>
        </w:rPr>
        <w:t>en</w:t>
      </w:r>
      <w:r w:rsidRPr="00965C71">
        <w:rPr>
          <w:lang w:val="es-ES_tradnl"/>
        </w:rPr>
        <w:t xml:space="preserve"> la entrega de multimedios, transmisiones bidireccionales de datos y servicios concurrentes basados en </w:t>
      </w:r>
      <w:proofErr w:type="spellStart"/>
      <w:r w:rsidRPr="00965C71">
        <w:rPr>
          <w:lang w:val="es-ES_tradnl"/>
        </w:rPr>
        <w:t>VoIP</w:t>
      </w:r>
      <w:proofErr w:type="spellEnd"/>
      <w:r w:rsidRPr="00965C71">
        <w:rPr>
          <w:lang w:val="es-ES_tradnl"/>
        </w:rPr>
        <w:t xml:space="preserve"> gracias a la actualizaci</w:t>
      </w:r>
      <w:r>
        <w:rPr>
          <w:lang w:val="es-ES_tradnl"/>
        </w:rPr>
        <w:t>ón</w:t>
      </w:r>
      <w:r w:rsidRPr="00965C71">
        <w:rPr>
          <w:lang w:val="es-ES_tradnl"/>
        </w:rPr>
        <w:t xml:space="preserve"> del soporte lógico </w:t>
      </w:r>
      <w:r>
        <w:rPr>
          <w:lang w:val="es-ES_tradnl"/>
        </w:rPr>
        <w:t>y</w:t>
      </w:r>
      <w:r w:rsidRPr="00965C71">
        <w:rPr>
          <w:lang w:val="es-ES_tradnl"/>
        </w:rPr>
        <w:t xml:space="preserve"> del físico. Al agregar varios canales Rev. A de 1,25 MHz</w:t>
      </w:r>
      <w:r>
        <w:rPr>
          <w:lang w:val="es-ES_tradnl"/>
        </w:rPr>
        <w:t xml:space="preserve">, </w:t>
      </w:r>
      <w:r w:rsidRPr="00965C71">
        <w:rPr>
          <w:lang w:val="es-ES_tradnl"/>
        </w:rPr>
        <w:t>hasta 15 canales en una anchura de banda de 20 MHz</w:t>
      </w:r>
      <w:r>
        <w:rPr>
          <w:lang w:val="es-ES_tradnl"/>
        </w:rPr>
        <w:t>,</w:t>
      </w:r>
      <w:r w:rsidRPr="00965C71">
        <w:rPr>
          <w:lang w:val="es-ES_tradnl"/>
        </w:rPr>
        <w:t xml:space="preserve"> la </w:t>
      </w:r>
      <w:proofErr w:type="spellStart"/>
      <w:r w:rsidRPr="00965C71">
        <w:rPr>
          <w:lang w:val="es-ES_tradnl"/>
        </w:rPr>
        <w:t>multiportadora</w:t>
      </w:r>
      <w:proofErr w:type="spellEnd"/>
      <w:r w:rsidRPr="00965C71">
        <w:rPr>
          <w:lang w:val="es-ES_tradnl"/>
        </w:rPr>
        <w:t xml:space="preserve"> y Rev. B hacen posible que el tráfico de datos se curse por una anchura de banda superior, mejorando de este modo la</w:t>
      </w:r>
      <w:r>
        <w:rPr>
          <w:lang w:val="es-ES_tradnl"/>
        </w:rPr>
        <w:t xml:space="preserve"> velocidad de datos</w:t>
      </w:r>
      <w:r w:rsidRPr="00965C71">
        <w:rPr>
          <w:lang w:val="es-ES_tradnl"/>
        </w:rPr>
        <w:t xml:space="preserve"> y </w:t>
      </w:r>
      <w:r>
        <w:rPr>
          <w:lang w:val="es-ES_tradnl"/>
        </w:rPr>
        <w:t>su latencia,</w:t>
      </w:r>
      <w:r w:rsidRPr="00965C71">
        <w:rPr>
          <w:lang w:val="es-ES_tradnl"/>
        </w:rPr>
        <w:t xml:space="preserve"> tanto en el enlace directo como en el inverso. EV-DO con </w:t>
      </w:r>
      <w:proofErr w:type="spellStart"/>
      <w:r w:rsidRPr="00965C71">
        <w:rPr>
          <w:lang w:val="es-ES_tradnl"/>
        </w:rPr>
        <w:t>multiportadora</w:t>
      </w:r>
      <w:proofErr w:type="spellEnd"/>
      <w:r w:rsidRPr="00965C71">
        <w:rPr>
          <w:lang w:val="es-ES_tradnl"/>
        </w:rPr>
        <w:t xml:space="preserve"> </w:t>
      </w:r>
      <w:r>
        <w:rPr>
          <w:lang w:val="es-ES_tradnl"/>
        </w:rPr>
        <w:t>requiere</w:t>
      </w:r>
      <w:r w:rsidRPr="00965C71">
        <w:rPr>
          <w:lang w:val="es-ES_tradnl"/>
        </w:rPr>
        <w:t xml:space="preserve"> una sencilla actualización del soporte lógico de Rev. A que triplica la velocidad de datos para todos los usuarios de la célula, alcanzando los </w:t>
      </w:r>
      <w:r w:rsidRPr="00965C71">
        <w:rPr>
          <w:bCs/>
          <w:lang w:val="es-ES_tradnl"/>
        </w:rPr>
        <w:t xml:space="preserve">9,3 </w:t>
      </w:r>
      <w:proofErr w:type="spellStart"/>
      <w:r w:rsidRPr="00965C71">
        <w:rPr>
          <w:bCs/>
          <w:lang w:val="es-ES_tradnl"/>
        </w:rPr>
        <w:t>Mbit</w:t>
      </w:r>
      <w:proofErr w:type="spellEnd"/>
      <w:r w:rsidRPr="00965C71">
        <w:rPr>
          <w:bCs/>
          <w:lang w:val="es-ES_tradnl"/>
        </w:rPr>
        <w:t xml:space="preserve">/s en el enlace directo y los 5,4 </w:t>
      </w:r>
      <w:proofErr w:type="spellStart"/>
      <w:r w:rsidRPr="00965C71">
        <w:rPr>
          <w:bCs/>
          <w:lang w:val="es-ES_tradnl"/>
        </w:rPr>
        <w:t>Mbit</w:t>
      </w:r>
      <w:proofErr w:type="spellEnd"/>
      <w:r w:rsidRPr="00965C71">
        <w:rPr>
          <w:bCs/>
          <w:lang w:val="es-ES_tradnl"/>
        </w:rPr>
        <w:t xml:space="preserve">/s en el inverso, utilizando 3 portadoras en un canal de </w:t>
      </w:r>
      <w:r w:rsidRPr="00965C71">
        <w:rPr>
          <w:lang w:val="es-ES_tradnl"/>
        </w:rPr>
        <w:t xml:space="preserve">5 </w:t>
      </w:r>
      <w:proofErr w:type="spellStart"/>
      <w:r w:rsidRPr="00965C71">
        <w:rPr>
          <w:lang w:val="es-ES_tradnl"/>
        </w:rPr>
        <w:t>MHz.</w:t>
      </w:r>
      <w:proofErr w:type="spellEnd"/>
      <w:r w:rsidRPr="00965C71">
        <w:rPr>
          <w:lang w:val="es-ES_tradnl"/>
        </w:rPr>
        <w:t xml:space="preserve"> Rev. B </w:t>
      </w:r>
      <w:r>
        <w:rPr>
          <w:lang w:val="es-ES_tradnl"/>
        </w:rPr>
        <w:t>requiere</w:t>
      </w:r>
      <w:r w:rsidRPr="00965C71">
        <w:rPr>
          <w:lang w:val="es-ES_tradnl"/>
        </w:rPr>
        <w:t xml:space="preserve"> una actualización del soporte físico y aumenta la velocidad de datos de cresta en el enlace directo hasta 14,7 </w:t>
      </w:r>
      <w:proofErr w:type="spellStart"/>
      <w:r w:rsidRPr="00965C71">
        <w:rPr>
          <w:lang w:val="es-ES_tradnl"/>
        </w:rPr>
        <w:t>Mbit</w:t>
      </w:r>
      <w:proofErr w:type="spellEnd"/>
      <w:r w:rsidRPr="00965C71">
        <w:rPr>
          <w:lang w:val="es-ES_tradnl"/>
        </w:rPr>
        <w:t>/s.</w:t>
      </w:r>
    </w:p>
    <w:p w:rsidR="00D640A7" w:rsidRPr="00A43C05" w:rsidRDefault="00EB3D94" w:rsidP="00EB3D94">
      <w:pPr>
        <w:rPr>
          <w:lang w:val="es-ES_tradnl"/>
        </w:rPr>
      </w:pPr>
      <w:r>
        <w:rPr>
          <w:lang w:val="es-ES_tradnl"/>
        </w:rPr>
        <w:t>Si se necesita</w:t>
      </w:r>
      <w:r w:rsidRPr="00965C71">
        <w:rPr>
          <w:lang w:val="es-ES_tradnl"/>
        </w:rPr>
        <w:t xml:space="preserve"> una evolución de la red </w:t>
      </w:r>
      <w:r>
        <w:rPr>
          <w:lang w:val="es-ES_tradnl"/>
        </w:rPr>
        <w:t>para satisfacer</w:t>
      </w:r>
      <w:r w:rsidRPr="00965C71">
        <w:rPr>
          <w:lang w:val="es-ES_tradnl"/>
        </w:rPr>
        <w:t xml:space="preserve"> la demanda de servicios de datos de alta velocidad, pueden </w:t>
      </w:r>
      <w:r>
        <w:rPr>
          <w:lang w:val="es-ES_tradnl"/>
        </w:rPr>
        <w:t>desplegarse</w:t>
      </w:r>
      <w:r w:rsidRPr="00965C71">
        <w:rPr>
          <w:lang w:val="es-ES_tradnl"/>
        </w:rPr>
        <w:t xml:space="preserve"> portadoras CDMA2000 1X y CDMA2000 EV</w:t>
      </w:r>
      <w:r w:rsidRPr="00965C71">
        <w:rPr>
          <w:lang w:val="es-ES_tradnl"/>
        </w:rPr>
        <w:noBreakHyphen/>
        <w:t>DO</w:t>
      </w:r>
      <w:r>
        <w:rPr>
          <w:lang w:val="es-ES_tradnl"/>
        </w:rPr>
        <w:t>,</w:t>
      </w:r>
      <w:r w:rsidRPr="00965C71">
        <w:rPr>
          <w:lang w:val="es-ES_tradnl"/>
        </w:rPr>
        <w:t xml:space="preserve"> en cualquier combinación</w:t>
      </w:r>
      <w:r>
        <w:rPr>
          <w:lang w:val="es-ES_tradnl"/>
        </w:rPr>
        <w:t>,</w:t>
      </w:r>
      <w:r w:rsidRPr="00965C71">
        <w:rPr>
          <w:lang w:val="es-ES_tradnl"/>
        </w:rPr>
        <w:t xml:space="preserve"> para suministrar una combinación flexible de canales vocales de alta calidad y de servicios de datos de alta velocidad. Por ejemplo, en 5 MHz de espectro libre, el operador puede optar por lanzar dos portadoras CDMA2000 1X para voz y datos en paquetes, y una sola portadora CDMA2000 EV</w:t>
      </w:r>
      <w:r w:rsidRPr="00965C71">
        <w:rPr>
          <w:lang w:val="es-ES_tradnl"/>
        </w:rPr>
        <w:noBreakHyphen/>
        <w:t xml:space="preserve">DO dedicada exclusivamente a datos </w:t>
      </w:r>
      <w:r>
        <w:rPr>
          <w:lang w:val="es-ES_tradnl"/>
        </w:rPr>
        <w:t>en</w:t>
      </w:r>
      <w:r w:rsidRPr="00965C71">
        <w:rPr>
          <w:lang w:val="es-ES_tradnl"/>
        </w:rPr>
        <w:t xml:space="preserve"> paquetes de alta velocidad o, alternativamente, una sola portadora CDMA2000 1X y dos</w:t>
      </w:r>
      <w:r>
        <w:rPr>
          <w:lang w:val="es-ES_tradnl"/>
        </w:rPr>
        <w:t xml:space="preserve"> portadoras</w:t>
      </w:r>
      <w:r w:rsidRPr="00965C71">
        <w:rPr>
          <w:lang w:val="es-ES_tradnl"/>
        </w:rPr>
        <w:t xml:space="preserve"> CDMA2000 EV</w:t>
      </w:r>
      <w:r w:rsidRPr="00965C71">
        <w:rPr>
          <w:lang w:val="es-ES_tradnl"/>
        </w:rPr>
        <w:noBreakHyphen/>
        <w:t>DO.</w:t>
      </w:r>
    </w:p>
    <w:p w:rsidR="00B93266" w:rsidRPr="00A43C05" w:rsidRDefault="00B93266" w:rsidP="00EB3D94">
      <w:pPr>
        <w:pStyle w:val="Heading4"/>
        <w:rPr>
          <w:lang w:val="es-ES_tradnl"/>
        </w:rPr>
      </w:pPr>
      <w:bookmarkStart w:id="207" w:name="_Toc44438534"/>
      <w:bookmarkStart w:id="208" w:name="_Toc44446749"/>
      <w:bookmarkStart w:id="209" w:name="_Toc53323411"/>
      <w:bookmarkStart w:id="210" w:name="_Toc63611617"/>
      <w:bookmarkStart w:id="211" w:name="_Toc89083690"/>
      <w:bookmarkStart w:id="212" w:name="_Toc101931261"/>
      <w:bookmarkStart w:id="213" w:name="_Toc103399280"/>
      <w:bookmarkStart w:id="214" w:name="_Toc103400358"/>
      <w:bookmarkStart w:id="215" w:name="_Toc103400822"/>
      <w:bookmarkStart w:id="216" w:name="_Toc103401286"/>
      <w:bookmarkStart w:id="217" w:name="_Toc103401751"/>
      <w:bookmarkStart w:id="218" w:name="_Toc103402217"/>
      <w:bookmarkStart w:id="219" w:name="_Toc103402682"/>
      <w:bookmarkStart w:id="220" w:name="_Toc103403447"/>
      <w:bookmarkStart w:id="221" w:name="_Toc103421217"/>
      <w:bookmarkStart w:id="222" w:name="_Toc103528391"/>
      <w:bookmarkStart w:id="223" w:name="_Toc236826237"/>
      <w:r w:rsidRPr="00A43C05">
        <w:rPr>
          <w:lang w:val="es-ES_tradnl"/>
        </w:rPr>
        <w:t>9.2.1.3</w:t>
      </w:r>
      <w:r w:rsidRPr="00A43C05">
        <w:rPr>
          <w:lang w:val="es-ES_tradnl"/>
        </w:rPr>
        <w:tab/>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00EB3D94" w:rsidRPr="00EB3D94">
        <w:rPr>
          <w:lang w:val="es-ES_tradnl"/>
        </w:rPr>
        <w:t>CDMA TDD IMT-2000</w:t>
      </w:r>
    </w:p>
    <w:p w:rsidR="00B93266" w:rsidRPr="00A43C05" w:rsidRDefault="00EB3D94" w:rsidP="00EB3D94">
      <w:pPr>
        <w:rPr>
          <w:lang w:val="es-ES_tradnl"/>
        </w:rPr>
      </w:pPr>
      <w:r w:rsidRPr="00EB3D94">
        <w:rPr>
          <w:lang w:val="es-ES"/>
        </w:rPr>
        <w:t>Nombre en la UIT</w:t>
      </w:r>
      <w:r w:rsidR="00B93266" w:rsidRPr="00A43C05">
        <w:rPr>
          <w:lang w:val="es-ES_tradnl"/>
        </w:rPr>
        <w:t>:</w:t>
      </w:r>
      <w:r w:rsidR="00B93266" w:rsidRPr="00A43C05">
        <w:rPr>
          <w:lang w:val="es-ES_tradnl"/>
        </w:rPr>
        <w:tab/>
      </w:r>
      <w:r w:rsidRPr="00A43C05">
        <w:rPr>
          <w:lang w:val="es-ES_tradnl"/>
        </w:rPr>
        <w:tab/>
      </w:r>
      <w:r w:rsidR="00B93266" w:rsidRPr="00A43C05">
        <w:rPr>
          <w:lang w:val="es-ES_tradnl"/>
        </w:rPr>
        <w:t>IMT</w:t>
      </w:r>
      <w:r w:rsidR="00B93266" w:rsidRPr="00A43C05">
        <w:rPr>
          <w:lang w:val="es-ES_tradnl"/>
        </w:rPr>
        <w:noBreakHyphen/>
        <w:t>2000 CDMA TDD</w:t>
      </w:r>
    </w:p>
    <w:p w:rsidR="00B93266" w:rsidRPr="00A43C05" w:rsidRDefault="00EB3D94" w:rsidP="00EB3D94">
      <w:pPr>
        <w:jc w:val="left"/>
        <w:rPr>
          <w:lang w:val="es-ES_tradnl"/>
        </w:rPr>
      </w:pPr>
      <w:r w:rsidRPr="00EB3D94">
        <w:rPr>
          <w:lang w:val="es-ES"/>
        </w:rPr>
        <w:t>Nombres comunes</w:t>
      </w:r>
      <w:r w:rsidR="00B93266" w:rsidRPr="00A43C05">
        <w:rPr>
          <w:lang w:val="es-ES_tradnl"/>
        </w:rPr>
        <w:t>:</w:t>
      </w:r>
      <w:r w:rsidR="00B93266" w:rsidRPr="00A43C05">
        <w:rPr>
          <w:lang w:val="es-ES_tradnl"/>
        </w:rPr>
        <w:tab/>
      </w:r>
      <w:r w:rsidR="0057194E" w:rsidRPr="00A43C05">
        <w:rPr>
          <w:lang w:val="es-ES_tradnl"/>
        </w:rPr>
        <w:tab/>
      </w:r>
      <w:r w:rsidRPr="00EB3D94">
        <w:rPr>
          <w:lang w:val="es-ES"/>
        </w:rPr>
        <w:t xml:space="preserve">UTRA TDD con alta velocidad de </w:t>
      </w:r>
      <w:r w:rsidR="00030119">
        <w:rPr>
          <w:lang w:val="es-ES"/>
        </w:rPr>
        <w:t>«</w:t>
      </w:r>
      <w:r w:rsidRPr="00EB3D94">
        <w:rPr>
          <w:lang w:val="es-ES"/>
        </w:rPr>
        <w:t>segmentos</w:t>
      </w:r>
      <w:r w:rsidR="00030119">
        <w:rPr>
          <w:lang w:val="es-ES"/>
        </w:rPr>
        <w:t>»</w:t>
      </w:r>
      <w:r w:rsidRPr="00EB3D94">
        <w:rPr>
          <w:lang w:val="es-ES"/>
        </w:rPr>
        <w:t xml:space="preserve"> (3,84 </w:t>
      </w:r>
      <w:proofErr w:type="spellStart"/>
      <w:r w:rsidRPr="00EB3D94">
        <w:rPr>
          <w:lang w:val="es-ES"/>
        </w:rPr>
        <w:t>Mchip</w:t>
      </w:r>
      <w:proofErr w:type="spellEnd"/>
      <w:r w:rsidRPr="00EB3D94">
        <w:rPr>
          <w:lang w:val="es-ES"/>
        </w:rPr>
        <w:t xml:space="preserve">/s) </w:t>
      </w:r>
      <w:r w:rsidRPr="00EB3D94">
        <w:rPr>
          <w:lang w:val="es-ES"/>
        </w:rPr>
        <w:br/>
      </w:r>
      <w:r>
        <w:rPr>
          <w:lang w:val="es-ES"/>
        </w:rPr>
        <w:tab/>
      </w:r>
      <w:r>
        <w:rPr>
          <w:lang w:val="es-ES"/>
        </w:rPr>
        <w:tab/>
      </w:r>
      <w:r>
        <w:rPr>
          <w:lang w:val="es-ES"/>
        </w:rPr>
        <w:tab/>
      </w:r>
      <w:r>
        <w:rPr>
          <w:lang w:val="es-ES"/>
        </w:rPr>
        <w:tab/>
      </w:r>
      <w:r w:rsidRPr="00EB3D94">
        <w:rPr>
          <w:lang w:val="es-ES"/>
        </w:rPr>
        <w:tab/>
        <w:t xml:space="preserve">UTRA TDD con baja velocidad de </w:t>
      </w:r>
      <w:r w:rsidR="00030119">
        <w:rPr>
          <w:lang w:val="es-ES"/>
        </w:rPr>
        <w:t>«</w:t>
      </w:r>
      <w:r w:rsidRPr="00EB3D94">
        <w:rPr>
          <w:lang w:val="es-ES"/>
        </w:rPr>
        <w:t>segmentos</w:t>
      </w:r>
      <w:r w:rsidR="00030119">
        <w:rPr>
          <w:lang w:val="es-ES"/>
        </w:rPr>
        <w:t>»</w:t>
      </w:r>
      <w:r w:rsidRPr="00EB3D94">
        <w:rPr>
          <w:lang w:val="es-ES"/>
        </w:rPr>
        <w:t xml:space="preserve"> (1,28 </w:t>
      </w:r>
      <w:proofErr w:type="spellStart"/>
      <w:r w:rsidRPr="00EB3D94">
        <w:rPr>
          <w:lang w:val="es-ES"/>
        </w:rPr>
        <w:t>Mchip</w:t>
      </w:r>
      <w:proofErr w:type="spellEnd"/>
      <w:r w:rsidRPr="00EB3D94">
        <w:rPr>
          <w:lang w:val="es-ES"/>
        </w:rPr>
        <w:t xml:space="preserve">/s) </w:t>
      </w:r>
      <w:r w:rsidRPr="00EB3D94">
        <w:rPr>
          <w:lang w:val="es-ES"/>
        </w:rPr>
        <w:br/>
      </w:r>
      <w:r>
        <w:rPr>
          <w:lang w:val="es-ES"/>
        </w:rPr>
        <w:tab/>
      </w:r>
      <w:r>
        <w:rPr>
          <w:lang w:val="es-ES"/>
        </w:rPr>
        <w:tab/>
      </w:r>
      <w:r>
        <w:rPr>
          <w:lang w:val="es-ES"/>
        </w:rPr>
        <w:tab/>
      </w:r>
      <w:r>
        <w:rPr>
          <w:lang w:val="es-ES"/>
        </w:rPr>
        <w:tab/>
      </w:r>
      <w:r w:rsidRPr="00EB3D94">
        <w:rPr>
          <w:lang w:val="es-ES"/>
        </w:rPr>
        <w:tab/>
      </w:r>
      <w:r w:rsidRPr="00EB3D94">
        <w:rPr>
          <w:bCs/>
          <w:lang w:val="es-ES"/>
        </w:rPr>
        <w:t>(TD-SCDMA)</w:t>
      </w:r>
      <w:r w:rsidRPr="00EB3D94">
        <w:rPr>
          <w:bCs/>
          <w:lang w:val="es-ES"/>
        </w:rPr>
        <w:br/>
      </w:r>
      <w:r>
        <w:rPr>
          <w:bCs/>
          <w:lang w:val="es-ES"/>
        </w:rPr>
        <w:tab/>
      </w:r>
      <w:r>
        <w:rPr>
          <w:bCs/>
          <w:lang w:val="es-ES"/>
        </w:rPr>
        <w:tab/>
      </w:r>
      <w:r>
        <w:rPr>
          <w:bCs/>
          <w:lang w:val="es-ES"/>
        </w:rPr>
        <w:tab/>
      </w:r>
      <w:r>
        <w:rPr>
          <w:bCs/>
          <w:lang w:val="es-ES"/>
        </w:rPr>
        <w:tab/>
      </w:r>
      <w:r w:rsidRPr="00EB3D94">
        <w:rPr>
          <w:bCs/>
          <w:lang w:val="es-ES"/>
        </w:rPr>
        <w:tab/>
        <w:t>UMTS</w:t>
      </w:r>
    </w:p>
    <w:p w:rsidR="009A38A9" w:rsidRPr="00965C71" w:rsidRDefault="009A38A9" w:rsidP="009A38A9">
      <w:pPr>
        <w:rPr>
          <w:lang w:val="es-ES"/>
        </w:rPr>
      </w:pPr>
      <w:r w:rsidRPr="00965C71">
        <w:rPr>
          <w:lang w:val="es-ES"/>
        </w:rPr>
        <w:t xml:space="preserve">En las tecnologías CDMA TDD IMT-2000, las transmisiones </w:t>
      </w:r>
      <w:r>
        <w:rPr>
          <w:lang w:val="es-ES"/>
        </w:rPr>
        <w:t>por el</w:t>
      </w:r>
      <w:r w:rsidRPr="00965C71">
        <w:rPr>
          <w:lang w:val="es-ES"/>
        </w:rPr>
        <w:t xml:space="preserve"> enlace ascendente y</w:t>
      </w:r>
      <w:r>
        <w:rPr>
          <w:lang w:val="es-ES"/>
        </w:rPr>
        <w:t xml:space="preserve"> el</w:t>
      </w:r>
      <w:r w:rsidRPr="00965C71">
        <w:rPr>
          <w:lang w:val="es-ES"/>
        </w:rPr>
        <w:t xml:space="preserve"> descendente utilizan la misma portadora dentro de la misma gama de frecuencias. Esta tecnología combina </w:t>
      </w:r>
      <w:r>
        <w:rPr>
          <w:lang w:val="es-ES"/>
        </w:rPr>
        <w:t xml:space="preserve">las técnicas </w:t>
      </w:r>
      <w:r w:rsidRPr="00965C71">
        <w:rPr>
          <w:lang w:val="es-ES"/>
        </w:rPr>
        <w:t xml:space="preserve">CDMA </w:t>
      </w:r>
      <w:r>
        <w:rPr>
          <w:lang w:val="es-ES"/>
        </w:rPr>
        <w:t>y</w:t>
      </w:r>
      <w:r w:rsidRPr="00965C71">
        <w:rPr>
          <w:lang w:val="es-ES"/>
        </w:rPr>
        <w:t xml:space="preserve"> TDMA para separar los </w:t>
      </w:r>
      <w:r>
        <w:rPr>
          <w:lang w:val="es-ES"/>
        </w:rPr>
        <w:t>diversos</w:t>
      </w:r>
      <w:r w:rsidRPr="00965C71">
        <w:rPr>
          <w:lang w:val="es-ES"/>
        </w:rPr>
        <w:t xml:space="preserve"> canales de comunicación. De ahí que un determinado recurso </w:t>
      </w:r>
      <w:r w:rsidRPr="00965C71">
        <w:rPr>
          <w:lang w:val="es-ES"/>
        </w:rPr>
        <w:lastRenderedPageBreak/>
        <w:t xml:space="preserve">radioeléctrico venga caracterizado por un </w:t>
      </w:r>
      <w:r>
        <w:rPr>
          <w:lang w:val="es-ES"/>
        </w:rPr>
        <w:t>intervalo de tiempo</w:t>
      </w:r>
      <w:r w:rsidRPr="00965C71">
        <w:rPr>
          <w:lang w:val="es-ES"/>
        </w:rPr>
        <w:t xml:space="preserve"> y el código CDMA. Los </w:t>
      </w:r>
      <w:r>
        <w:rPr>
          <w:lang w:val="es-ES"/>
        </w:rPr>
        <w:t>intervalos de tiempo</w:t>
      </w:r>
      <w:r w:rsidRPr="00965C71">
        <w:rPr>
          <w:lang w:val="es-ES"/>
        </w:rPr>
        <w:t xml:space="preserve"> pueden asignarse para transportar canales </w:t>
      </w:r>
      <w:r>
        <w:rPr>
          <w:lang w:val="es-ES"/>
        </w:rPr>
        <w:t>por</w:t>
      </w:r>
      <w:r w:rsidRPr="00965C71">
        <w:rPr>
          <w:lang w:val="es-ES"/>
        </w:rPr>
        <w:t xml:space="preserve"> el enlace descendente o el ascendente. De este modo, la tecnología TDD puede </w:t>
      </w:r>
      <w:r>
        <w:rPr>
          <w:lang w:val="es-ES"/>
        </w:rPr>
        <w:t>funcionar</w:t>
      </w:r>
      <w:r w:rsidRPr="00965C71">
        <w:rPr>
          <w:lang w:val="es-ES"/>
        </w:rPr>
        <w:t xml:space="preserve"> en una banda no apareada, lo que significa que no es necesario disponer de una banda de frecuencias dúplex. Debido a la estructura</w:t>
      </w:r>
      <w:r>
        <w:rPr>
          <w:lang w:val="es-ES"/>
        </w:rPr>
        <w:t xml:space="preserve"> del </w:t>
      </w:r>
      <w:r w:rsidRPr="00965C71">
        <w:rPr>
          <w:lang w:val="es-ES"/>
        </w:rPr>
        <w:t xml:space="preserve">TDMA y al algoritmo de detección conjunta, </w:t>
      </w:r>
      <w:r>
        <w:rPr>
          <w:lang w:val="es-ES"/>
        </w:rPr>
        <w:t>que</w:t>
      </w:r>
      <w:r w:rsidRPr="00965C71">
        <w:rPr>
          <w:lang w:val="es-ES"/>
        </w:rPr>
        <w:t xml:space="preserve"> reducen significativamente la interferencia de otras señales CDMA que puedan estar presentes en el </w:t>
      </w:r>
      <w:r>
        <w:rPr>
          <w:lang w:val="es-ES"/>
        </w:rPr>
        <w:t>intervalo de tiempo</w:t>
      </w:r>
      <w:r w:rsidRPr="00965C71">
        <w:rPr>
          <w:lang w:val="es-ES"/>
        </w:rPr>
        <w:t xml:space="preserve">, el sistema se comporta </w:t>
      </w:r>
      <w:r>
        <w:rPr>
          <w:lang w:val="es-ES"/>
        </w:rPr>
        <w:t>más bien como</w:t>
      </w:r>
      <w:r w:rsidRPr="00965C71">
        <w:rPr>
          <w:lang w:val="es-ES"/>
        </w:rPr>
        <w:t xml:space="preserve"> un sistema TDMA. En efecto, no experimenta los efectos negativos de la respiración de célula ni la necesidad de mantener un margen operacional para </w:t>
      </w:r>
      <w:r>
        <w:rPr>
          <w:lang w:val="es-ES"/>
        </w:rPr>
        <w:t xml:space="preserve">compensar </w:t>
      </w:r>
      <w:r w:rsidRPr="00965C71">
        <w:rPr>
          <w:lang w:val="es-ES"/>
        </w:rPr>
        <w:t xml:space="preserve">la incertidumbre, ni tampoco </w:t>
      </w:r>
      <w:r>
        <w:rPr>
          <w:lang w:val="es-ES"/>
        </w:rPr>
        <w:t>la</w:t>
      </w:r>
      <w:r w:rsidRPr="00965C71">
        <w:rPr>
          <w:lang w:val="es-ES"/>
        </w:rPr>
        <w:t xml:space="preserve"> capacidad de traspaso </w:t>
      </w:r>
      <w:r>
        <w:rPr>
          <w:lang w:val="es-ES"/>
        </w:rPr>
        <w:t>con continuidad</w:t>
      </w:r>
      <w:r w:rsidRPr="00965C71">
        <w:rPr>
          <w:lang w:val="es-ES"/>
        </w:rPr>
        <w:t>. E</w:t>
      </w:r>
      <w:r>
        <w:rPr>
          <w:lang w:val="es-ES"/>
        </w:rPr>
        <w:t xml:space="preserve">sto reviste particular interés en los </w:t>
      </w:r>
      <w:r w:rsidRPr="00965C71">
        <w:rPr>
          <w:lang w:val="es-ES"/>
        </w:rPr>
        <w:t xml:space="preserve">escenarios </w:t>
      </w:r>
      <w:r>
        <w:rPr>
          <w:lang w:val="es-ES"/>
        </w:rPr>
        <w:t>de punto de acceso</w:t>
      </w:r>
      <w:r w:rsidRPr="00965C71">
        <w:rPr>
          <w:lang w:val="es-ES"/>
        </w:rPr>
        <w:t xml:space="preserve"> </w:t>
      </w:r>
      <w:r>
        <w:rPr>
          <w:lang w:val="es-ES"/>
        </w:rPr>
        <w:t>afectados por</w:t>
      </w:r>
      <w:r w:rsidRPr="00965C71">
        <w:rPr>
          <w:lang w:val="es-ES"/>
        </w:rPr>
        <w:t xml:space="preserve"> una pesada carga de datos y </w:t>
      </w:r>
      <w:r>
        <w:rPr>
          <w:lang w:val="es-ES"/>
        </w:rPr>
        <w:t xml:space="preserve">para las </w:t>
      </w:r>
      <w:r w:rsidRPr="00965C71">
        <w:rPr>
          <w:lang w:val="es-ES"/>
        </w:rPr>
        <w:t xml:space="preserve">células de </w:t>
      </w:r>
      <w:r>
        <w:rPr>
          <w:lang w:val="es-ES"/>
        </w:rPr>
        <w:t>menor tamaño para</w:t>
      </w:r>
      <w:r w:rsidRPr="00965C71">
        <w:rPr>
          <w:lang w:val="es-ES"/>
        </w:rPr>
        <w:t xml:space="preserve"> soluciones en interiores (</w:t>
      </w:r>
      <w:proofErr w:type="spellStart"/>
      <w:r w:rsidRPr="00965C71">
        <w:rPr>
          <w:lang w:val="es-ES"/>
        </w:rPr>
        <w:t>picoentorno</w:t>
      </w:r>
      <w:r>
        <w:rPr>
          <w:lang w:val="es-ES"/>
        </w:rPr>
        <w:t>s</w:t>
      </w:r>
      <w:proofErr w:type="spellEnd"/>
      <w:r w:rsidRPr="00965C71">
        <w:rPr>
          <w:lang w:val="es-ES"/>
        </w:rPr>
        <w:t>) y exteriores (</w:t>
      </w:r>
      <w:proofErr w:type="spellStart"/>
      <w:r w:rsidRPr="00965C71">
        <w:rPr>
          <w:lang w:val="es-ES"/>
        </w:rPr>
        <w:t>microentorno</w:t>
      </w:r>
      <w:r>
        <w:rPr>
          <w:lang w:val="es-ES"/>
        </w:rPr>
        <w:t>s</w:t>
      </w:r>
      <w:proofErr w:type="spellEnd"/>
      <w:r w:rsidRPr="00965C71">
        <w:rPr>
          <w:lang w:val="es-ES"/>
        </w:rPr>
        <w:t xml:space="preserve">). Por otra parte, como los </w:t>
      </w:r>
      <w:r>
        <w:rPr>
          <w:lang w:val="es-ES"/>
        </w:rPr>
        <w:t>intervalos de tiempo</w:t>
      </w:r>
      <w:r w:rsidRPr="00965C71">
        <w:rPr>
          <w:lang w:val="es-ES"/>
        </w:rPr>
        <w:t xml:space="preserve"> para el enlace ascendente y el descendente pueden asignarse </w:t>
      </w:r>
      <w:r>
        <w:rPr>
          <w:lang w:val="es-ES"/>
        </w:rPr>
        <w:t>por separado</w:t>
      </w:r>
      <w:r w:rsidRPr="00965C71">
        <w:rPr>
          <w:lang w:val="es-ES"/>
        </w:rPr>
        <w:t xml:space="preserve">, la tecnología CDMA TDD de las IMT-2000 resulta muy adecuada para el tráfico asimétrico. </w:t>
      </w:r>
      <w:r w:rsidRPr="00965C71">
        <w:rPr>
          <w:lang w:val="es-ES_tradnl"/>
        </w:rPr>
        <w:t xml:space="preserve">Cuando la velocidad de segmentos TDD funciona a 3,84 </w:t>
      </w:r>
      <w:proofErr w:type="spellStart"/>
      <w:r w:rsidRPr="00965C71">
        <w:rPr>
          <w:lang w:val="es-ES_tradnl"/>
        </w:rPr>
        <w:t>Mbit</w:t>
      </w:r>
      <w:proofErr w:type="spellEnd"/>
      <w:r w:rsidRPr="00965C71">
        <w:rPr>
          <w:lang w:val="es-ES_tradnl"/>
        </w:rPr>
        <w:t xml:space="preserve">/s sólo se necesita un canal de 5 </w:t>
      </w:r>
      <w:proofErr w:type="spellStart"/>
      <w:r w:rsidRPr="00965C71">
        <w:rPr>
          <w:lang w:val="es-ES_tradnl"/>
        </w:rPr>
        <w:t>MHz.</w:t>
      </w:r>
      <w:proofErr w:type="spellEnd"/>
      <w:r w:rsidRPr="00965C71">
        <w:rPr>
          <w:lang w:val="es-ES_tradnl"/>
        </w:rPr>
        <w:t xml:space="preserve"> </w:t>
      </w:r>
      <w:r w:rsidRPr="00965C71">
        <w:rPr>
          <w:lang w:val="es-ES"/>
        </w:rPr>
        <w:t>En el modo TDD, el grado de asimetría puede reasignarse rápidamente, lo que mejora globalmente la eficiencia operacional.</w:t>
      </w:r>
    </w:p>
    <w:p w:rsidR="009A38A9" w:rsidRPr="00965C71" w:rsidRDefault="009A38A9" w:rsidP="009A38A9">
      <w:pPr>
        <w:rPr>
          <w:lang w:val="es-ES"/>
        </w:rPr>
      </w:pPr>
      <w:r w:rsidRPr="00965C71">
        <w:rPr>
          <w:lang w:val="es-ES"/>
        </w:rPr>
        <w:t>UTRA TDD (opción de 3,84 </w:t>
      </w:r>
      <w:proofErr w:type="spellStart"/>
      <w:r w:rsidRPr="00965C71">
        <w:rPr>
          <w:lang w:val="es-ES"/>
        </w:rPr>
        <w:t>Mchip</w:t>
      </w:r>
      <w:proofErr w:type="spellEnd"/>
      <w:r w:rsidRPr="00965C71">
        <w:rPr>
          <w:lang w:val="es-ES"/>
        </w:rPr>
        <w:t>/s)</w:t>
      </w:r>
      <w:r>
        <w:rPr>
          <w:lang w:val="es-ES"/>
        </w:rPr>
        <w:t>, cuya</w:t>
      </w:r>
      <w:r w:rsidRPr="00965C71">
        <w:rPr>
          <w:lang w:val="es-ES"/>
        </w:rPr>
        <w:t xml:space="preserve"> velocidad de segmento</w:t>
      </w:r>
      <w:r>
        <w:rPr>
          <w:lang w:val="es-ES"/>
        </w:rPr>
        <w:t>s es</w:t>
      </w:r>
      <w:r w:rsidRPr="00965C71">
        <w:rPr>
          <w:lang w:val="es-ES"/>
        </w:rPr>
        <w:t xml:space="preserve"> de 3,84 </w:t>
      </w:r>
      <w:proofErr w:type="spellStart"/>
      <w:r w:rsidRPr="00965C71">
        <w:rPr>
          <w:lang w:val="es-ES"/>
        </w:rPr>
        <w:t>Mchip</w:t>
      </w:r>
      <w:proofErr w:type="spellEnd"/>
      <w:r w:rsidRPr="00965C71">
        <w:rPr>
          <w:lang w:val="es-ES"/>
        </w:rPr>
        <w:t>/s en un canal de 5</w:t>
      </w:r>
      <w:r>
        <w:rPr>
          <w:lang w:val="es-ES"/>
        </w:rPr>
        <w:t> </w:t>
      </w:r>
      <w:r w:rsidRPr="00965C71">
        <w:rPr>
          <w:lang w:val="es-ES"/>
        </w:rPr>
        <w:t>MHz</w:t>
      </w:r>
      <w:r w:rsidRPr="00CA202C">
        <w:rPr>
          <w:lang w:val="es-ES"/>
        </w:rPr>
        <w:t xml:space="preserve"> </w:t>
      </w:r>
      <w:r>
        <w:rPr>
          <w:lang w:val="es-ES"/>
        </w:rPr>
        <w:t>de</w:t>
      </w:r>
      <w:r w:rsidRPr="00965C71">
        <w:rPr>
          <w:lang w:val="es-ES"/>
        </w:rPr>
        <w:t xml:space="preserve"> anchura de banda</w:t>
      </w:r>
      <w:r>
        <w:rPr>
          <w:lang w:val="es-ES"/>
        </w:rPr>
        <w:t>, o sea, la misma que la</w:t>
      </w:r>
      <w:r w:rsidRPr="00965C71">
        <w:rPr>
          <w:lang w:val="es-ES"/>
        </w:rPr>
        <w:t xml:space="preserve"> señal radioeléctrica UTRA FDD armonizada</w:t>
      </w:r>
      <w:r>
        <w:rPr>
          <w:lang w:val="es-ES"/>
        </w:rPr>
        <w:t>,</w:t>
      </w:r>
      <w:r w:rsidRPr="00965C71">
        <w:rPr>
          <w:lang w:val="es-ES"/>
        </w:rPr>
        <w:t xml:space="preserve"> permite un despliegue </w:t>
      </w:r>
      <w:r>
        <w:rPr>
          <w:lang w:val="es-ES"/>
        </w:rPr>
        <w:t>rentable</w:t>
      </w:r>
      <w:r w:rsidRPr="00965C71">
        <w:rPr>
          <w:lang w:val="es-ES"/>
        </w:rPr>
        <w:t xml:space="preserve">, ya que puede </w:t>
      </w:r>
      <w:r>
        <w:rPr>
          <w:lang w:val="es-ES"/>
        </w:rPr>
        <w:t>potenciar</w:t>
      </w:r>
      <w:r w:rsidRPr="00965C71">
        <w:rPr>
          <w:lang w:val="es-ES"/>
        </w:rPr>
        <w:t xml:space="preserve"> la infraestructura de un </w:t>
      </w:r>
      <w:r>
        <w:rPr>
          <w:lang w:val="es-ES"/>
        </w:rPr>
        <w:t>despliegue exclusivamente</w:t>
      </w:r>
      <w:r w:rsidRPr="00965C71">
        <w:rPr>
          <w:lang w:val="es-ES"/>
        </w:rPr>
        <w:t xml:space="preserve"> FDD para ofrecer capacidad </w:t>
      </w:r>
      <w:r>
        <w:rPr>
          <w:lang w:val="es-ES"/>
        </w:rPr>
        <w:t>de escalabilidad para los puntos de acceso</w:t>
      </w:r>
      <w:r w:rsidRPr="00965C71">
        <w:rPr>
          <w:lang w:val="es-ES"/>
        </w:rPr>
        <w:t xml:space="preserve">, </w:t>
      </w:r>
      <w:r>
        <w:rPr>
          <w:lang w:val="es-ES"/>
        </w:rPr>
        <w:t>cuando</w:t>
      </w:r>
      <w:r w:rsidRPr="00965C71">
        <w:rPr>
          <w:lang w:val="es-ES"/>
        </w:rPr>
        <w:t xml:space="preserve"> el tráfico combinado de voz y datos se</w:t>
      </w:r>
      <w:r>
        <w:rPr>
          <w:lang w:val="es-ES"/>
        </w:rPr>
        <w:t xml:space="preserve"> soporte</w:t>
      </w:r>
      <w:r w:rsidRPr="00965C71">
        <w:rPr>
          <w:lang w:val="es-ES"/>
        </w:rPr>
        <w:t xml:space="preserve"> gracias</w:t>
      </w:r>
      <w:r>
        <w:rPr>
          <w:lang w:val="es-ES"/>
        </w:rPr>
        <w:t xml:space="preserve"> a una arquitectura multicapa</w:t>
      </w:r>
      <w:r w:rsidRPr="00965C71">
        <w:rPr>
          <w:lang w:val="es-ES"/>
        </w:rPr>
        <w:t xml:space="preserve"> de </w:t>
      </w:r>
      <w:proofErr w:type="spellStart"/>
      <w:r w:rsidRPr="00965C71">
        <w:rPr>
          <w:lang w:val="es-ES"/>
        </w:rPr>
        <w:t>macro</w:t>
      </w:r>
      <w:r>
        <w:rPr>
          <w:lang w:val="es-ES"/>
        </w:rPr>
        <w:t>células</w:t>
      </w:r>
      <w:proofErr w:type="spellEnd"/>
      <w:r w:rsidRPr="00965C71">
        <w:rPr>
          <w:lang w:val="es-ES"/>
        </w:rPr>
        <w:t xml:space="preserve">, </w:t>
      </w:r>
      <w:proofErr w:type="spellStart"/>
      <w:r w:rsidRPr="00965C71">
        <w:rPr>
          <w:lang w:val="es-ES"/>
        </w:rPr>
        <w:t>micro</w:t>
      </w:r>
      <w:r>
        <w:rPr>
          <w:lang w:val="es-ES"/>
        </w:rPr>
        <w:t>células</w:t>
      </w:r>
      <w:proofErr w:type="spellEnd"/>
      <w:r>
        <w:rPr>
          <w:lang w:val="es-ES"/>
        </w:rPr>
        <w:t xml:space="preserve"> y </w:t>
      </w:r>
      <w:proofErr w:type="spellStart"/>
      <w:r>
        <w:rPr>
          <w:lang w:val="es-ES"/>
        </w:rPr>
        <w:t>pico</w:t>
      </w:r>
      <w:r w:rsidRPr="00965C71">
        <w:rPr>
          <w:lang w:val="es-ES"/>
        </w:rPr>
        <w:t>células</w:t>
      </w:r>
      <w:proofErr w:type="spellEnd"/>
      <w:r w:rsidRPr="00965C71">
        <w:rPr>
          <w:lang w:val="es-ES"/>
        </w:rPr>
        <w:t xml:space="preserve">. El espectro </w:t>
      </w:r>
      <w:r>
        <w:rPr>
          <w:lang w:val="es-ES"/>
        </w:rPr>
        <w:t xml:space="preserve">mínimo </w:t>
      </w:r>
      <w:r w:rsidRPr="00965C71">
        <w:rPr>
          <w:lang w:val="es-ES"/>
        </w:rPr>
        <w:t>requerido</w:t>
      </w:r>
      <w:r w:rsidRPr="00544DCB">
        <w:rPr>
          <w:lang w:val="es-ES"/>
        </w:rPr>
        <w:t xml:space="preserve"> </w:t>
      </w:r>
      <w:r w:rsidRPr="00965C71">
        <w:rPr>
          <w:lang w:val="es-ES"/>
        </w:rPr>
        <w:t xml:space="preserve">sólo es la mitad de la anchura de banda </w:t>
      </w:r>
      <w:r>
        <w:rPr>
          <w:lang w:val="es-ES"/>
        </w:rPr>
        <w:t>del</w:t>
      </w:r>
      <w:r w:rsidRPr="00965C71">
        <w:rPr>
          <w:lang w:val="es-ES"/>
        </w:rPr>
        <w:t xml:space="preserve"> WCDMA </w:t>
      </w:r>
      <w:r>
        <w:rPr>
          <w:lang w:val="es-ES"/>
        </w:rPr>
        <w:t>funcionando en</w:t>
      </w:r>
      <w:r w:rsidRPr="00965C71">
        <w:rPr>
          <w:lang w:val="es-ES"/>
        </w:rPr>
        <w:t xml:space="preserve"> modo FDD, </w:t>
      </w:r>
      <w:r>
        <w:rPr>
          <w:lang w:val="es-ES"/>
        </w:rPr>
        <w:t>o sea</w:t>
      </w:r>
      <w:r w:rsidRPr="00965C71">
        <w:rPr>
          <w:lang w:val="es-ES"/>
        </w:rPr>
        <w:t xml:space="preserve"> que únicamente se requerirá un canal de 5 MHz cuando la velocidad de </w:t>
      </w:r>
      <w:r>
        <w:rPr>
          <w:lang w:val="es-ES"/>
        </w:rPr>
        <w:t>los segmentos</w:t>
      </w:r>
      <w:r w:rsidRPr="00965C71">
        <w:rPr>
          <w:lang w:val="es-ES"/>
        </w:rPr>
        <w:t> TDD sea de 3,84 </w:t>
      </w:r>
      <w:proofErr w:type="spellStart"/>
      <w:r w:rsidRPr="00965C71">
        <w:rPr>
          <w:lang w:val="es-ES"/>
        </w:rPr>
        <w:t>Mchip</w:t>
      </w:r>
      <w:proofErr w:type="spellEnd"/>
      <w:r w:rsidRPr="00965C71">
        <w:rPr>
          <w:lang w:val="es-ES"/>
        </w:rPr>
        <w:t>/s.</w:t>
      </w:r>
    </w:p>
    <w:p w:rsidR="009A38A9" w:rsidRPr="00965C71" w:rsidRDefault="009A38A9" w:rsidP="009A38A9">
      <w:pPr>
        <w:rPr>
          <w:lang w:val="es-ES"/>
        </w:rPr>
      </w:pPr>
      <w:r w:rsidRPr="00965C71">
        <w:rPr>
          <w:lang w:val="es-ES"/>
        </w:rPr>
        <w:t>La tecnología TD-SCDMA</w:t>
      </w:r>
      <w:r>
        <w:rPr>
          <w:lang w:val="es-ES"/>
        </w:rPr>
        <w:t xml:space="preserve"> es la versión de baja velocidad de segmentos</w:t>
      </w:r>
      <w:r w:rsidRPr="00544DCB">
        <w:rPr>
          <w:lang w:val="es-ES"/>
        </w:rPr>
        <w:t xml:space="preserve"> </w:t>
      </w:r>
      <w:r>
        <w:rPr>
          <w:lang w:val="es-ES"/>
        </w:rPr>
        <w:t xml:space="preserve">de CDMA-TDD IMT-2000 y por tanto una tecnología </w:t>
      </w:r>
      <w:r w:rsidRPr="00965C71">
        <w:rPr>
          <w:lang w:val="es-ES"/>
        </w:rPr>
        <w:t>de transmisión radioeléctrica para las comunicaciones IMT</w:t>
      </w:r>
      <w:r w:rsidRPr="00965C71">
        <w:rPr>
          <w:lang w:val="es-ES"/>
        </w:rPr>
        <w:noBreakHyphen/>
        <w:t>2000. TD</w:t>
      </w:r>
      <w:r w:rsidRPr="00965C71">
        <w:rPr>
          <w:lang w:val="es-ES"/>
        </w:rPr>
        <w:noBreakHyphen/>
        <w:t xml:space="preserve">SCDMA combina dos tecnologías: un sistema TDMA </w:t>
      </w:r>
      <w:r>
        <w:rPr>
          <w:lang w:val="es-ES"/>
        </w:rPr>
        <w:t xml:space="preserve">avanzado </w:t>
      </w:r>
      <w:r w:rsidRPr="00965C71">
        <w:rPr>
          <w:lang w:val="es-ES"/>
        </w:rPr>
        <w:t>y un componente CDMA</w:t>
      </w:r>
      <w:r>
        <w:rPr>
          <w:lang w:val="es-ES"/>
        </w:rPr>
        <w:t xml:space="preserve"> adaptable</w:t>
      </w:r>
      <w:r w:rsidRPr="00965C71">
        <w:rPr>
          <w:lang w:val="es-ES"/>
        </w:rPr>
        <w:t>. TD</w:t>
      </w:r>
      <w:r w:rsidRPr="00965C71">
        <w:rPr>
          <w:lang w:val="es-ES"/>
        </w:rPr>
        <w:noBreakHyphen/>
        <w:t xml:space="preserve">SCDMA se conoce también con el nombre de TDD </w:t>
      </w:r>
      <w:r>
        <w:rPr>
          <w:lang w:val="es-ES"/>
        </w:rPr>
        <w:t>de</w:t>
      </w:r>
      <w:r w:rsidRPr="00965C71">
        <w:rPr>
          <w:lang w:val="es-ES"/>
        </w:rPr>
        <w:t xml:space="preserve"> 1,28 </w:t>
      </w:r>
      <w:proofErr w:type="spellStart"/>
      <w:r w:rsidRPr="00965C71">
        <w:rPr>
          <w:lang w:val="es-ES"/>
        </w:rPr>
        <w:t>Mchip</w:t>
      </w:r>
      <w:proofErr w:type="spellEnd"/>
      <w:r w:rsidRPr="00965C71">
        <w:rPr>
          <w:lang w:val="es-ES"/>
        </w:rPr>
        <w:t>/s o LCR (baja velocidad de segmento</w:t>
      </w:r>
      <w:r>
        <w:rPr>
          <w:lang w:val="es-ES"/>
        </w:rPr>
        <w:t>s</w:t>
      </w:r>
      <w:r w:rsidRPr="00965C71">
        <w:rPr>
          <w:lang w:val="es-ES"/>
        </w:rPr>
        <w:t>)</w:t>
      </w:r>
      <w:r>
        <w:rPr>
          <w:lang w:val="es-ES"/>
        </w:rPr>
        <w:t xml:space="preserve"> TDD</w:t>
      </w:r>
      <w:r w:rsidRPr="00965C71">
        <w:rPr>
          <w:lang w:val="es-ES"/>
        </w:rPr>
        <w:t xml:space="preserve">, y utiliza una </w:t>
      </w:r>
      <w:r>
        <w:rPr>
          <w:lang w:val="es-ES"/>
        </w:rPr>
        <w:t xml:space="preserve">sola </w:t>
      </w:r>
      <w:r w:rsidRPr="00965C71">
        <w:rPr>
          <w:lang w:val="es-ES"/>
        </w:rPr>
        <w:t xml:space="preserve">banda de 1,6 MHz para cada portadora. </w:t>
      </w:r>
      <w:r>
        <w:rPr>
          <w:lang w:val="es-ES"/>
        </w:rPr>
        <w:t>TD</w:t>
      </w:r>
      <w:r>
        <w:rPr>
          <w:lang w:val="es-ES"/>
        </w:rPr>
        <w:noBreakHyphen/>
        <w:t>SCDMA está concebido</w:t>
      </w:r>
      <w:r w:rsidRPr="00965C71">
        <w:rPr>
          <w:lang w:val="es-ES"/>
        </w:rPr>
        <w:t xml:space="preserve"> para funcionar en modo dúplex TDD con un periodo de 5 ms para las transmisiones </w:t>
      </w:r>
      <w:r>
        <w:rPr>
          <w:lang w:val="es-ES"/>
        </w:rPr>
        <w:t>por el</w:t>
      </w:r>
      <w:r w:rsidRPr="00965C71">
        <w:rPr>
          <w:lang w:val="es-ES"/>
        </w:rPr>
        <w:t xml:space="preserve"> enlace descendente y </w:t>
      </w:r>
      <w:r>
        <w:rPr>
          <w:lang w:val="es-ES"/>
        </w:rPr>
        <w:t xml:space="preserve">el </w:t>
      </w:r>
      <w:r w:rsidRPr="00965C71">
        <w:rPr>
          <w:lang w:val="es-ES"/>
        </w:rPr>
        <w:t xml:space="preserve">ascendente. </w:t>
      </w:r>
      <w:r>
        <w:rPr>
          <w:lang w:val="es-ES"/>
        </w:rPr>
        <w:t>En</w:t>
      </w:r>
      <w:r w:rsidRPr="00965C71">
        <w:rPr>
          <w:lang w:val="es-ES"/>
        </w:rPr>
        <w:t xml:space="preserve"> un periodo</w:t>
      </w:r>
      <w:r>
        <w:rPr>
          <w:lang w:val="es-ES"/>
        </w:rPr>
        <w:t>,</w:t>
      </w:r>
      <w:r w:rsidRPr="00965C71">
        <w:rPr>
          <w:lang w:val="es-ES"/>
        </w:rPr>
        <w:t xml:space="preserve"> la trama se divide en siete </w:t>
      </w:r>
      <w:r>
        <w:rPr>
          <w:lang w:val="es-ES"/>
        </w:rPr>
        <w:t>intervalos de tiempo</w:t>
      </w:r>
      <w:r w:rsidRPr="00965C71">
        <w:rPr>
          <w:lang w:val="es-ES"/>
        </w:rPr>
        <w:t xml:space="preserve"> de tráfico que pueden asignarse flexiblemente a varios usuarios o a un solo usuario, cuando éstos necesiten </w:t>
      </w:r>
      <w:r>
        <w:rPr>
          <w:lang w:val="es-ES"/>
        </w:rPr>
        <w:t>varios</w:t>
      </w:r>
      <w:r w:rsidRPr="00965C71">
        <w:rPr>
          <w:lang w:val="es-ES"/>
        </w:rPr>
        <w:t xml:space="preserve"> </w:t>
      </w:r>
      <w:r>
        <w:rPr>
          <w:lang w:val="es-ES"/>
        </w:rPr>
        <w:t>intervalos</w:t>
      </w:r>
      <w:r w:rsidRPr="00965C71">
        <w:rPr>
          <w:lang w:val="es-ES"/>
        </w:rPr>
        <w:t xml:space="preserve"> de tiempo. Los principios de la tecnología TDD permiten </w:t>
      </w:r>
      <w:r>
        <w:rPr>
          <w:lang w:val="es-ES"/>
        </w:rPr>
        <w:t>que el</w:t>
      </w:r>
      <w:r w:rsidRPr="00965C71">
        <w:rPr>
          <w:lang w:val="es-ES"/>
        </w:rPr>
        <w:t xml:space="preserve"> tráfico </w:t>
      </w:r>
      <w:r>
        <w:rPr>
          <w:lang w:val="es-ES"/>
        </w:rPr>
        <w:t>sea</w:t>
      </w:r>
      <w:r w:rsidRPr="00965C71">
        <w:rPr>
          <w:lang w:val="es-ES"/>
        </w:rPr>
        <w:t xml:space="preserve"> ascendente (del terminal móvil a la estación </w:t>
      </w:r>
      <w:r>
        <w:rPr>
          <w:lang w:val="es-ES"/>
        </w:rPr>
        <w:t>base</w:t>
      </w:r>
      <w:r w:rsidRPr="00965C71">
        <w:rPr>
          <w:lang w:val="es-ES"/>
        </w:rPr>
        <w:t xml:space="preserve">) </w:t>
      </w:r>
      <w:r>
        <w:rPr>
          <w:lang w:val="es-ES"/>
        </w:rPr>
        <w:t>o</w:t>
      </w:r>
      <w:r w:rsidRPr="00965C71">
        <w:rPr>
          <w:lang w:val="es-ES"/>
        </w:rPr>
        <w:t xml:space="preserve"> descendente (de la estación </w:t>
      </w:r>
      <w:r>
        <w:rPr>
          <w:lang w:val="es-ES"/>
        </w:rPr>
        <w:t>base</w:t>
      </w:r>
      <w:r w:rsidRPr="00965C71">
        <w:rPr>
          <w:lang w:val="es-ES"/>
        </w:rPr>
        <w:t xml:space="preserve"> al terminal móvil), utilizando la misma trama y </w:t>
      </w:r>
      <w:r>
        <w:rPr>
          <w:lang w:val="es-ES"/>
        </w:rPr>
        <w:t>distintos</w:t>
      </w:r>
      <w:r w:rsidRPr="00965C71">
        <w:rPr>
          <w:lang w:val="es-ES"/>
        </w:rPr>
        <w:t xml:space="preserve"> </w:t>
      </w:r>
      <w:r>
        <w:rPr>
          <w:lang w:val="es-ES"/>
        </w:rPr>
        <w:t>intervalos de tiempo</w:t>
      </w:r>
      <w:r w:rsidRPr="00965C71">
        <w:rPr>
          <w:lang w:val="es-ES"/>
        </w:rPr>
        <w:t xml:space="preserve">. </w:t>
      </w:r>
      <w:r>
        <w:rPr>
          <w:lang w:val="es-ES"/>
        </w:rPr>
        <w:t>La</w:t>
      </w:r>
      <w:r w:rsidRPr="00965C71">
        <w:rPr>
          <w:lang w:val="es-ES"/>
        </w:rPr>
        <w:t xml:space="preserve"> tecnología TD</w:t>
      </w:r>
      <w:r w:rsidRPr="00965C71">
        <w:rPr>
          <w:lang w:val="es-ES"/>
        </w:rPr>
        <w:noBreakHyphen/>
        <w:t xml:space="preserve">SCDMA </w:t>
      </w:r>
      <w:r>
        <w:rPr>
          <w:lang w:val="es-ES"/>
        </w:rPr>
        <w:t>gestiona</w:t>
      </w:r>
      <w:r w:rsidRPr="00965C71">
        <w:rPr>
          <w:lang w:val="es-ES"/>
        </w:rPr>
        <w:t xml:space="preserve"> servicios simétricos con conmutación de circuitos, tales como voz </w:t>
      </w:r>
      <w:r>
        <w:rPr>
          <w:lang w:val="es-ES"/>
        </w:rPr>
        <w:t>y</w:t>
      </w:r>
      <w:r w:rsidRPr="00965C71">
        <w:rPr>
          <w:lang w:val="es-ES"/>
        </w:rPr>
        <w:t xml:space="preserve"> vídeo, así como servicios asimétricos con conmutación de paquetes, tales como los </w:t>
      </w:r>
      <w:r>
        <w:rPr>
          <w:lang w:val="es-ES"/>
        </w:rPr>
        <w:t>flujos</w:t>
      </w:r>
      <w:r w:rsidRPr="00965C71">
        <w:rPr>
          <w:lang w:val="es-ES"/>
        </w:rPr>
        <w:t xml:space="preserve"> de datos de</w:t>
      </w:r>
      <w:r>
        <w:rPr>
          <w:lang w:val="es-ES"/>
        </w:rPr>
        <w:t xml:space="preserve"> la</w:t>
      </w:r>
      <w:r w:rsidRPr="00965C71">
        <w:rPr>
          <w:lang w:val="es-ES"/>
        </w:rPr>
        <w:t xml:space="preserve"> Internet</w:t>
      </w:r>
      <w:r>
        <w:rPr>
          <w:lang w:val="es-ES"/>
        </w:rPr>
        <w:t xml:space="preserve"> móvil</w:t>
      </w:r>
      <w:r w:rsidRPr="00965C71">
        <w:rPr>
          <w:lang w:val="es-ES"/>
        </w:rPr>
        <w:t xml:space="preserve">. En el caso de los servicios asimétricos que utilizan </w:t>
      </w:r>
      <w:r>
        <w:rPr>
          <w:lang w:val="es-ES"/>
        </w:rPr>
        <w:t>el</w:t>
      </w:r>
      <w:r w:rsidRPr="00965C71">
        <w:rPr>
          <w:lang w:val="es-ES"/>
        </w:rPr>
        <w:t xml:space="preserve"> acceso a Internet, </w:t>
      </w:r>
      <w:r>
        <w:rPr>
          <w:lang w:val="es-ES"/>
        </w:rPr>
        <w:t>lo</w:t>
      </w:r>
      <w:r w:rsidRPr="00965C71">
        <w:rPr>
          <w:lang w:val="es-ES"/>
        </w:rPr>
        <w:t xml:space="preserve"> normal es que se transmitan elevados volúmenes de datos de la estación de base al terminal y se utilicen más </w:t>
      </w:r>
      <w:r>
        <w:rPr>
          <w:lang w:val="es-ES"/>
        </w:rPr>
        <w:t>intervalos de tiempo</w:t>
      </w:r>
      <w:r w:rsidRPr="00965C71">
        <w:rPr>
          <w:lang w:val="es-ES"/>
        </w:rPr>
        <w:t xml:space="preserve"> para el enlace descendente </w:t>
      </w:r>
      <w:r>
        <w:rPr>
          <w:lang w:val="es-ES"/>
        </w:rPr>
        <w:t>que para el</w:t>
      </w:r>
      <w:r w:rsidRPr="00965C71">
        <w:rPr>
          <w:lang w:val="es-ES"/>
        </w:rPr>
        <w:t xml:space="preserve"> ascendente. TD</w:t>
      </w:r>
      <w:r w:rsidRPr="00965C71">
        <w:rPr>
          <w:lang w:val="es-ES"/>
        </w:rPr>
        <w:noBreakHyphen/>
        <w:t xml:space="preserve">SCDMA hace posible asignar los </w:t>
      </w:r>
      <w:r>
        <w:rPr>
          <w:lang w:val="es-ES"/>
        </w:rPr>
        <w:t>intervalos de tiempo</w:t>
      </w:r>
      <w:r w:rsidRPr="00965C71">
        <w:rPr>
          <w:lang w:val="es-ES"/>
        </w:rPr>
        <w:t xml:space="preserve"> </w:t>
      </w:r>
      <w:r>
        <w:rPr>
          <w:lang w:val="es-ES"/>
        </w:rPr>
        <w:t>en función de</w:t>
      </w:r>
      <w:r w:rsidRPr="00965C71">
        <w:rPr>
          <w:lang w:val="es-ES"/>
        </w:rPr>
        <w:t xml:space="preserve"> los cambios que sobrevengan en el módulo de servicio. TD</w:t>
      </w:r>
      <w:r w:rsidRPr="00965C71">
        <w:rPr>
          <w:lang w:val="es-ES"/>
        </w:rPr>
        <w:noBreakHyphen/>
        <w:t>SC</w:t>
      </w:r>
      <w:r>
        <w:rPr>
          <w:lang w:val="es-ES"/>
        </w:rPr>
        <w:t>DMA está</w:t>
      </w:r>
      <w:r w:rsidRPr="00965C71">
        <w:rPr>
          <w:lang w:val="es-ES"/>
        </w:rPr>
        <w:t xml:space="preserve"> diseñado para </w:t>
      </w:r>
      <w:r>
        <w:rPr>
          <w:lang w:val="es-ES"/>
        </w:rPr>
        <w:t>ofrecer</w:t>
      </w:r>
      <w:r w:rsidRPr="00965C71">
        <w:rPr>
          <w:lang w:val="es-ES"/>
        </w:rPr>
        <w:t xml:space="preserve"> servicios de datos </w:t>
      </w:r>
      <w:r>
        <w:rPr>
          <w:lang w:val="es-ES"/>
        </w:rPr>
        <w:t>de</w:t>
      </w:r>
      <w:r w:rsidRPr="00965C71">
        <w:rPr>
          <w:lang w:val="es-ES"/>
        </w:rPr>
        <w:t xml:space="preserve"> alta velocidad (hasta 2 </w:t>
      </w:r>
      <w:proofErr w:type="spellStart"/>
      <w:r w:rsidRPr="00965C71">
        <w:rPr>
          <w:lang w:val="es-ES"/>
        </w:rPr>
        <w:t>Mbit</w:t>
      </w:r>
      <w:proofErr w:type="spellEnd"/>
      <w:r w:rsidRPr="00965C71">
        <w:rPr>
          <w:lang w:val="es-ES"/>
        </w:rPr>
        <w:t>/s)</w:t>
      </w:r>
      <w:r>
        <w:rPr>
          <w:lang w:val="es-ES"/>
        </w:rPr>
        <w:t xml:space="preserve">, </w:t>
      </w:r>
      <w:r w:rsidRPr="00965C71">
        <w:rPr>
          <w:rFonts w:cs="Arial"/>
          <w:lang w:val="es-ES"/>
        </w:rPr>
        <w:t xml:space="preserve">puede utilizar </w:t>
      </w:r>
      <w:r>
        <w:rPr>
          <w:rFonts w:cs="Arial"/>
          <w:lang w:val="es-ES"/>
        </w:rPr>
        <w:t xml:space="preserve">las </w:t>
      </w:r>
      <w:r w:rsidRPr="00965C71">
        <w:rPr>
          <w:rFonts w:cs="Arial"/>
          <w:lang w:val="es-ES"/>
        </w:rPr>
        <w:t xml:space="preserve">bandas de frecuencias disponibles y no </w:t>
      </w:r>
      <w:r>
        <w:rPr>
          <w:rFonts w:cs="Arial"/>
          <w:lang w:val="es-ES"/>
        </w:rPr>
        <w:t>necesita</w:t>
      </w:r>
      <w:r w:rsidRPr="00965C71">
        <w:rPr>
          <w:rFonts w:cs="Arial"/>
          <w:lang w:val="es-ES"/>
        </w:rPr>
        <w:t xml:space="preserve"> bandas apareadas, lo que significa que las transmisiones </w:t>
      </w:r>
      <w:r>
        <w:rPr>
          <w:rFonts w:cs="Arial"/>
          <w:lang w:val="es-ES"/>
        </w:rPr>
        <w:t>por el</w:t>
      </w:r>
      <w:r w:rsidRPr="00965C71">
        <w:rPr>
          <w:rFonts w:cs="Arial"/>
          <w:lang w:val="es-ES"/>
        </w:rPr>
        <w:t xml:space="preserve"> enlace ascendente y el descendente </w:t>
      </w:r>
      <w:r w:rsidRPr="00965C71">
        <w:rPr>
          <w:lang w:val="es-ES"/>
        </w:rPr>
        <w:t xml:space="preserve">utilizan la misma portadora </w:t>
      </w:r>
      <w:r>
        <w:rPr>
          <w:lang w:val="es-ES"/>
        </w:rPr>
        <w:t>en</w:t>
      </w:r>
      <w:r w:rsidRPr="00965C71">
        <w:rPr>
          <w:lang w:val="es-ES"/>
        </w:rPr>
        <w:t xml:space="preserve"> </w:t>
      </w:r>
      <w:r>
        <w:rPr>
          <w:lang w:val="es-ES"/>
        </w:rPr>
        <w:t>intervalos de tiempo diferentes</w:t>
      </w:r>
      <w:r w:rsidRPr="00965C71">
        <w:rPr>
          <w:lang w:val="es-ES"/>
        </w:rPr>
        <w:t>. Dotados de tecnologías como la antena inteligente, la detección conjunta, la sincronización de enlace ascendente y el paso de testigo, los sistemas TD</w:t>
      </w:r>
      <w:r w:rsidRPr="00965C71">
        <w:rPr>
          <w:lang w:val="es-ES"/>
        </w:rPr>
        <w:noBreakHyphen/>
        <w:t xml:space="preserve">SCDMA pueden constituir una solución </w:t>
      </w:r>
      <w:r>
        <w:rPr>
          <w:lang w:val="es-ES"/>
        </w:rPr>
        <w:t>económica</w:t>
      </w:r>
      <w:r w:rsidRPr="00965C71">
        <w:rPr>
          <w:lang w:val="es-ES"/>
        </w:rPr>
        <w:t xml:space="preserve"> </w:t>
      </w:r>
      <w:r>
        <w:rPr>
          <w:lang w:val="es-ES"/>
        </w:rPr>
        <w:t>para</w:t>
      </w:r>
      <w:r w:rsidRPr="00965C71">
        <w:rPr>
          <w:lang w:val="es-ES"/>
        </w:rPr>
        <w:t xml:space="preserve"> la implementación, explotación y transición, </w:t>
      </w:r>
      <w:r>
        <w:rPr>
          <w:lang w:val="es-ES"/>
        </w:rPr>
        <w:t>con</w:t>
      </w:r>
      <w:r w:rsidRPr="00965C71">
        <w:rPr>
          <w:lang w:val="es-ES"/>
        </w:rPr>
        <w:t xml:space="preserve"> una elevada capacidad </w:t>
      </w:r>
      <w:r>
        <w:rPr>
          <w:lang w:val="es-ES"/>
        </w:rPr>
        <w:t>del</w:t>
      </w:r>
      <w:r w:rsidRPr="00965C71">
        <w:rPr>
          <w:lang w:val="es-ES"/>
        </w:rPr>
        <w:t xml:space="preserve"> sistema y una gran eficiencia en cuanto a </w:t>
      </w:r>
      <w:r>
        <w:rPr>
          <w:lang w:val="es-ES"/>
        </w:rPr>
        <w:t xml:space="preserve">la fragmentación de </w:t>
      </w:r>
      <w:r w:rsidRPr="00965C71">
        <w:rPr>
          <w:lang w:val="es-ES"/>
        </w:rPr>
        <w:t xml:space="preserve">los recursos </w:t>
      </w:r>
      <w:r>
        <w:rPr>
          <w:lang w:val="es-ES"/>
        </w:rPr>
        <w:t>espectrales</w:t>
      </w:r>
      <w:r w:rsidRPr="00965C71">
        <w:rPr>
          <w:lang w:val="es-ES"/>
        </w:rPr>
        <w:t>. Asimismo, TD</w:t>
      </w:r>
      <w:r w:rsidRPr="00965C71">
        <w:rPr>
          <w:lang w:val="es-ES"/>
        </w:rPr>
        <w:noBreakHyphen/>
        <w:t>SCDMA puede implementarse para soportar varios escenarios radioeléctricos: cobertura rural y de zonas urbanas densamente pobladas, despliegue</w:t>
      </w:r>
      <w:r>
        <w:rPr>
          <w:lang w:val="es-ES"/>
        </w:rPr>
        <w:t>s</w:t>
      </w:r>
      <w:r w:rsidRPr="00965C71">
        <w:rPr>
          <w:lang w:val="es-ES"/>
        </w:rPr>
        <w:t xml:space="preserve"> pico/micro y macro celulares, y paso de un entorno de movilidad </w:t>
      </w:r>
      <w:r>
        <w:rPr>
          <w:lang w:val="es-ES"/>
        </w:rPr>
        <w:t>peatonal</w:t>
      </w:r>
      <w:r w:rsidRPr="00965C71">
        <w:rPr>
          <w:lang w:val="es-ES"/>
        </w:rPr>
        <w:t xml:space="preserve"> a otro de rápida movilidad. Los sistemas TD</w:t>
      </w:r>
      <w:r w:rsidRPr="00965C71">
        <w:rPr>
          <w:lang w:val="es-ES"/>
        </w:rPr>
        <w:noBreakHyphen/>
        <w:t xml:space="preserve">SCDMA </w:t>
      </w:r>
      <w:r>
        <w:rPr>
          <w:lang w:val="es-ES"/>
        </w:rPr>
        <w:t>pueden</w:t>
      </w:r>
      <w:r w:rsidRPr="00965C71">
        <w:rPr>
          <w:lang w:val="es-ES"/>
        </w:rPr>
        <w:t xml:space="preserve"> soportar </w:t>
      </w:r>
      <w:r>
        <w:rPr>
          <w:lang w:val="es-ES"/>
        </w:rPr>
        <w:t>la transmisión de datos con</w:t>
      </w:r>
      <w:r w:rsidRPr="00965C71">
        <w:rPr>
          <w:lang w:val="es-ES"/>
        </w:rPr>
        <w:t xml:space="preserve"> conmutación de circuitos y </w:t>
      </w:r>
      <w:r>
        <w:rPr>
          <w:lang w:val="es-ES"/>
        </w:rPr>
        <w:t xml:space="preserve">con </w:t>
      </w:r>
      <w:r w:rsidRPr="00965C71">
        <w:rPr>
          <w:lang w:val="es-ES"/>
        </w:rPr>
        <w:t xml:space="preserve">conmutación de paquetes a </w:t>
      </w:r>
      <w:r>
        <w:rPr>
          <w:lang w:val="es-ES"/>
        </w:rPr>
        <w:t>alta</w:t>
      </w:r>
      <w:r w:rsidRPr="00965C71">
        <w:rPr>
          <w:lang w:val="es-ES"/>
        </w:rPr>
        <w:t xml:space="preserve"> velocidad, así como una elevada calidad vocal.</w:t>
      </w:r>
    </w:p>
    <w:p w:rsidR="009A38A9" w:rsidRPr="00965C71" w:rsidRDefault="009A38A9" w:rsidP="009A38A9">
      <w:pPr>
        <w:rPr>
          <w:lang w:val="es-ES_tradnl"/>
        </w:rPr>
      </w:pPr>
      <w:r w:rsidRPr="00965C71">
        <w:rPr>
          <w:lang w:val="es-ES_tradnl"/>
        </w:rPr>
        <w:t xml:space="preserve">La red básica del sistema TD-SCDMA ha evolucionado desde la existente en GSM/GPRS/EDGE, dado que es la misma para los dos tipos de red básica en </w:t>
      </w:r>
      <w:r>
        <w:rPr>
          <w:lang w:val="es-ES_tradnl"/>
        </w:rPr>
        <w:t>cuanto a</w:t>
      </w:r>
      <w:r w:rsidRPr="00965C71">
        <w:rPr>
          <w:lang w:val="es-ES_tradnl"/>
        </w:rPr>
        <w:t xml:space="preserve"> elementos de red, arquitecturas de red y protocolos, es decir que TD-SCDMA está basada en el protocolo GSM-MAP. Si la red básica </w:t>
      </w:r>
      <w:r>
        <w:rPr>
          <w:lang w:val="es-ES_tradnl"/>
        </w:rPr>
        <w:t>TD</w:t>
      </w:r>
      <w:r>
        <w:rPr>
          <w:lang w:val="es-ES_tradnl"/>
        </w:rPr>
        <w:noBreakHyphen/>
        <w:t>SCDMA soporta la interfaz (</w:t>
      </w:r>
      <w:proofErr w:type="spellStart"/>
      <w:r>
        <w:rPr>
          <w:lang w:val="es-ES_tradnl"/>
        </w:rPr>
        <w:t>Iu</w:t>
      </w:r>
      <w:proofErr w:type="spellEnd"/>
      <w:r w:rsidRPr="00965C71">
        <w:rPr>
          <w:lang w:val="es-ES_tradnl"/>
        </w:rPr>
        <w:t xml:space="preserve">) entre la red de acceso y la red básica en el sistema TD-SCDMA y la interfaz (A) al mismo nivel estructural en la red GSM, estas dos redes de acceso podrían compartir la misma red básica. Pero, aunque no </w:t>
      </w:r>
      <w:r w:rsidRPr="00965C71">
        <w:rPr>
          <w:lang w:val="es-ES_tradnl"/>
        </w:rPr>
        <w:lastRenderedPageBreak/>
        <w:t>la compartan, el protocolo MAP puede satisfacer la conexión entre las dos redes básica</w:t>
      </w:r>
      <w:r>
        <w:rPr>
          <w:lang w:val="es-ES_tradnl"/>
        </w:rPr>
        <w:t>s</w:t>
      </w:r>
      <w:r w:rsidRPr="00965C71">
        <w:rPr>
          <w:lang w:val="es-ES_tradnl"/>
        </w:rPr>
        <w:t xml:space="preserve">. Justamente, cuando un usuario </w:t>
      </w:r>
      <w:r>
        <w:rPr>
          <w:lang w:val="es-ES_tradnl"/>
        </w:rPr>
        <w:t>dotado</w:t>
      </w:r>
      <w:r w:rsidRPr="00965C71">
        <w:rPr>
          <w:lang w:val="es-ES_tradnl"/>
        </w:rPr>
        <w:t xml:space="preserve"> de un terminal de modo dual </w:t>
      </w:r>
      <w:proofErr w:type="spellStart"/>
      <w:r w:rsidRPr="00965C71">
        <w:rPr>
          <w:lang w:val="es-ES_tradnl"/>
        </w:rPr>
        <w:t>itinera</w:t>
      </w:r>
      <w:proofErr w:type="spellEnd"/>
      <w:r w:rsidRPr="00965C71">
        <w:rPr>
          <w:lang w:val="es-ES_tradnl"/>
        </w:rPr>
        <w:t xml:space="preserve"> entre</w:t>
      </w:r>
      <w:r>
        <w:rPr>
          <w:lang w:val="es-ES_tradnl"/>
        </w:rPr>
        <w:t xml:space="preserve"> una red</w:t>
      </w:r>
      <w:r w:rsidRPr="00965C71">
        <w:rPr>
          <w:lang w:val="es-ES_tradnl"/>
        </w:rPr>
        <w:t xml:space="preserve"> GSM y </w:t>
      </w:r>
      <w:r>
        <w:rPr>
          <w:lang w:val="es-ES_tradnl"/>
        </w:rPr>
        <w:t>otra</w:t>
      </w:r>
      <w:r w:rsidRPr="00965C71">
        <w:rPr>
          <w:lang w:val="es-ES_tradnl"/>
        </w:rPr>
        <w:t xml:space="preserve"> TD-SCDMA gestionadas por el mismo operador, la estrategia de </w:t>
      </w:r>
      <w:proofErr w:type="spellStart"/>
      <w:r w:rsidRPr="00965C71">
        <w:rPr>
          <w:lang w:val="es-ES_tradnl"/>
        </w:rPr>
        <w:t>itinerancia</w:t>
      </w:r>
      <w:proofErr w:type="spellEnd"/>
      <w:r w:rsidRPr="00965C71">
        <w:rPr>
          <w:lang w:val="es-ES_tradnl"/>
        </w:rPr>
        <w:t xml:space="preserve"> podría basarse en la misma red básica o en el </w:t>
      </w:r>
      <w:proofErr w:type="spellStart"/>
      <w:r w:rsidRPr="00965C71">
        <w:rPr>
          <w:lang w:val="es-ES_tradnl"/>
        </w:rPr>
        <w:t>interfuncionamiento</w:t>
      </w:r>
      <w:proofErr w:type="spellEnd"/>
      <w:r w:rsidRPr="00965C71">
        <w:rPr>
          <w:lang w:val="es-ES_tradnl"/>
        </w:rPr>
        <w:t xml:space="preserve"> entre las dos redes. Cuando los dos operadores </w:t>
      </w:r>
      <w:r>
        <w:rPr>
          <w:lang w:val="es-ES_tradnl"/>
        </w:rPr>
        <w:t>tengan</w:t>
      </w:r>
      <w:r w:rsidRPr="00965C71">
        <w:rPr>
          <w:lang w:val="es-ES_tradnl"/>
        </w:rPr>
        <w:t xml:space="preserve"> un acuerdo de </w:t>
      </w:r>
      <w:proofErr w:type="spellStart"/>
      <w:r>
        <w:rPr>
          <w:lang w:val="es-ES_tradnl"/>
        </w:rPr>
        <w:t>itinerancia</w:t>
      </w:r>
      <w:proofErr w:type="spellEnd"/>
      <w:r>
        <w:rPr>
          <w:lang w:val="es-ES_tradnl"/>
        </w:rPr>
        <w:t>, los abonados podrá</w:t>
      </w:r>
      <w:r w:rsidRPr="00965C71">
        <w:rPr>
          <w:lang w:val="es-ES_tradnl"/>
        </w:rPr>
        <w:t xml:space="preserve">n </w:t>
      </w:r>
      <w:proofErr w:type="spellStart"/>
      <w:r w:rsidRPr="00965C71">
        <w:rPr>
          <w:lang w:val="es-ES_tradnl"/>
        </w:rPr>
        <w:t>itinerar</w:t>
      </w:r>
      <w:proofErr w:type="spellEnd"/>
      <w:r w:rsidRPr="00965C71">
        <w:rPr>
          <w:lang w:val="es-ES_tradnl"/>
        </w:rPr>
        <w:t xml:space="preserve"> entre la red GSM/GPRS/EDGE y las redes SCDMA libremente </w:t>
      </w:r>
      <w:r>
        <w:rPr>
          <w:lang w:val="es-ES_tradnl"/>
        </w:rPr>
        <w:t>si disponen de</w:t>
      </w:r>
      <w:r w:rsidRPr="00965C71">
        <w:rPr>
          <w:lang w:val="es-ES_tradnl"/>
        </w:rPr>
        <w:t xml:space="preserve"> los terminales de modo dual. </w:t>
      </w:r>
    </w:p>
    <w:p w:rsidR="00B93266" w:rsidRPr="00A43C05" w:rsidRDefault="009A38A9" w:rsidP="009A38A9">
      <w:pPr>
        <w:rPr>
          <w:lang w:val="es-ES_tradnl"/>
        </w:rPr>
      </w:pPr>
      <w:r w:rsidRPr="00965C71">
        <w:rPr>
          <w:lang w:val="es-ES_tradnl"/>
        </w:rPr>
        <w:t xml:space="preserve">La red básica TD-SCDMA ha definido totalmente la modificación entre sistemas. Cuando el móvil está en modo de reposo, puede </w:t>
      </w:r>
      <w:proofErr w:type="spellStart"/>
      <w:r w:rsidRPr="00965C71">
        <w:rPr>
          <w:lang w:val="es-ES_tradnl"/>
        </w:rPr>
        <w:t>itinerar</w:t>
      </w:r>
      <w:proofErr w:type="spellEnd"/>
      <w:r w:rsidRPr="00965C71">
        <w:rPr>
          <w:lang w:val="es-ES_tradnl"/>
        </w:rPr>
        <w:t xml:space="preserve"> entre las dos redes por el procedimiento de gestión de la posición. Cuando el móvil está en modo conectado, puede </w:t>
      </w:r>
      <w:proofErr w:type="spellStart"/>
      <w:r w:rsidRPr="00965C71">
        <w:rPr>
          <w:lang w:val="es-ES_tradnl"/>
        </w:rPr>
        <w:t>itinerar</w:t>
      </w:r>
      <w:proofErr w:type="spellEnd"/>
      <w:r w:rsidRPr="00965C71">
        <w:rPr>
          <w:lang w:val="es-ES_tradnl"/>
        </w:rPr>
        <w:t xml:space="preserve"> entre las dos redes gracias a la funcionalidad de </w:t>
      </w:r>
      <w:r>
        <w:rPr>
          <w:lang w:val="es-ES_tradnl"/>
        </w:rPr>
        <w:t>tras</w:t>
      </w:r>
      <w:r w:rsidRPr="00965C71">
        <w:rPr>
          <w:lang w:val="es-ES_tradnl"/>
        </w:rPr>
        <w:t>paso entre sistemas.</w:t>
      </w:r>
    </w:p>
    <w:p w:rsidR="002C68BD" w:rsidRPr="00A43C05" w:rsidRDefault="002C68BD" w:rsidP="009A38A9">
      <w:pPr>
        <w:pStyle w:val="Heading4"/>
        <w:rPr>
          <w:lang w:val="es-ES_tradnl"/>
        </w:rPr>
      </w:pPr>
      <w:bookmarkStart w:id="224" w:name="_Toc44438535"/>
      <w:bookmarkStart w:id="225" w:name="_Toc44446750"/>
      <w:bookmarkStart w:id="226" w:name="_Toc53323412"/>
      <w:bookmarkStart w:id="227" w:name="_Toc63611618"/>
      <w:bookmarkStart w:id="228" w:name="_Toc89083691"/>
      <w:bookmarkStart w:id="229" w:name="_Toc101931262"/>
      <w:bookmarkStart w:id="230" w:name="_Toc103399281"/>
      <w:bookmarkStart w:id="231" w:name="_Toc103400359"/>
      <w:bookmarkStart w:id="232" w:name="_Toc103400823"/>
      <w:bookmarkStart w:id="233" w:name="_Toc103401287"/>
      <w:bookmarkStart w:id="234" w:name="_Toc103401752"/>
      <w:bookmarkStart w:id="235" w:name="_Toc103402218"/>
      <w:bookmarkStart w:id="236" w:name="_Toc103402683"/>
      <w:bookmarkStart w:id="237" w:name="_Toc103403448"/>
      <w:bookmarkStart w:id="238" w:name="_Toc103421218"/>
      <w:bookmarkStart w:id="239" w:name="_Toc103528392"/>
      <w:bookmarkStart w:id="240" w:name="_Toc236826238"/>
      <w:r w:rsidRPr="00A43C05">
        <w:rPr>
          <w:lang w:val="es-ES_tradnl"/>
        </w:rPr>
        <w:t>9.2.1.4</w:t>
      </w:r>
      <w:r w:rsidRPr="00A43C05">
        <w:rPr>
          <w:lang w:val="es-ES_tradnl"/>
        </w:rPr>
        <w:tab/>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009A38A9" w:rsidRPr="009A38A9">
        <w:rPr>
          <w:lang w:val="es-ES_tradnl"/>
        </w:rPr>
        <w:t>TDMA IMT</w:t>
      </w:r>
      <w:r w:rsidR="009A38A9" w:rsidRPr="009A38A9">
        <w:rPr>
          <w:lang w:val="es-ES_tradnl"/>
        </w:rPr>
        <w:noBreakHyphen/>
        <w:t>2000 de portadora única</w:t>
      </w:r>
    </w:p>
    <w:p w:rsidR="002C68BD" w:rsidRPr="00A43C05" w:rsidRDefault="009A38A9" w:rsidP="009A38A9">
      <w:pPr>
        <w:rPr>
          <w:lang w:val="es-ES_tradnl"/>
        </w:rPr>
      </w:pPr>
      <w:r w:rsidRPr="009A38A9">
        <w:rPr>
          <w:lang w:val="es-ES_tradnl"/>
        </w:rPr>
        <w:t>Nombre en la UIT</w:t>
      </w:r>
      <w:r w:rsidR="002C68BD" w:rsidRPr="00A43C05">
        <w:rPr>
          <w:lang w:val="es-ES_tradnl"/>
        </w:rPr>
        <w:t>:</w:t>
      </w:r>
      <w:r w:rsidR="002A36B0" w:rsidRPr="00A43C05">
        <w:rPr>
          <w:lang w:val="es-ES_tradnl"/>
        </w:rPr>
        <w:tab/>
      </w:r>
      <w:r w:rsidRPr="00A43C05">
        <w:rPr>
          <w:lang w:val="es-ES_tradnl"/>
        </w:rPr>
        <w:tab/>
      </w:r>
      <w:r w:rsidRPr="009A38A9">
        <w:rPr>
          <w:lang w:val="es-ES_tradnl"/>
        </w:rPr>
        <w:t>TDMA IMT</w:t>
      </w:r>
      <w:r w:rsidRPr="009A38A9">
        <w:rPr>
          <w:lang w:val="es-ES_tradnl"/>
        </w:rPr>
        <w:noBreakHyphen/>
        <w:t>2000 de portadora única</w:t>
      </w:r>
    </w:p>
    <w:p w:rsidR="002C68BD" w:rsidRPr="00A43C05" w:rsidRDefault="009A38A9" w:rsidP="009A38A9">
      <w:pPr>
        <w:rPr>
          <w:lang w:val="es-ES_tradnl"/>
        </w:rPr>
      </w:pPr>
      <w:r w:rsidRPr="009A38A9">
        <w:rPr>
          <w:lang w:val="es-ES_tradnl"/>
        </w:rPr>
        <w:t>Nombres comunes</w:t>
      </w:r>
      <w:r w:rsidR="002C68BD" w:rsidRPr="00A43C05">
        <w:rPr>
          <w:lang w:val="es-ES_tradnl"/>
        </w:rPr>
        <w:t>:</w:t>
      </w:r>
      <w:r w:rsidR="002C68BD" w:rsidRPr="00A43C05">
        <w:rPr>
          <w:lang w:val="es-ES_tradnl"/>
        </w:rPr>
        <w:tab/>
      </w:r>
      <w:r w:rsidR="00BC46ED" w:rsidRPr="00A43C05">
        <w:rPr>
          <w:lang w:val="es-ES_tradnl"/>
        </w:rPr>
        <w:tab/>
      </w:r>
      <w:r w:rsidR="002C68BD" w:rsidRPr="00A43C05">
        <w:rPr>
          <w:lang w:val="es-ES_tradnl"/>
        </w:rPr>
        <w:t>EDGE</w:t>
      </w:r>
      <w:r w:rsidR="002C68BD" w:rsidRPr="00A43C05">
        <w:rPr>
          <w:lang w:val="es-ES_tradnl"/>
        </w:rPr>
        <w:br/>
      </w:r>
      <w:r w:rsidR="002C68BD" w:rsidRPr="00A43C05">
        <w:rPr>
          <w:lang w:val="es-ES_tradnl"/>
        </w:rPr>
        <w:tab/>
      </w:r>
      <w:r w:rsidR="002C68BD" w:rsidRPr="00A43C05">
        <w:rPr>
          <w:lang w:val="es-ES_tradnl"/>
        </w:rPr>
        <w:tab/>
      </w:r>
      <w:r w:rsidR="002C68BD" w:rsidRPr="00A43C05">
        <w:rPr>
          <w:lang w:val="es-ES_tradnl"/>
        </w:rPr>
        <w:tab/>
      </w:r>
      <w:r w:rsidR="002C68BD" w:rsidRPr="00A43C05">
        <w:rPr>
          <w:lang w:val="es-ES_tradnl"/>
        </w:rPr>
        <w:tab/>
      </w:r>
      <w:r w:rsidRPr="00A43C05">
        <w:rPr>
          <w:lang w:val="es-ES_tradnl"/>
        </w:rPr>
        <w:tab/>
      </w:r>
      <w:r w:rsidR="002C68BD" w:rsidRPr="00A43C05">
        <w:rPr>
          <w:lang w:val="es-ES_tradnl"/>
        </w:rPr>
        <w:t>GERAN</w:t>
      </w:r>
    </w:p>
    <w:p w:rsidR="009A38A9" w:rsidRPr="00965C71" w:rsidRDefault="009A38A9" w:rsidP="009A38A9">
      <w:pPr>
        <w:rPr>
          <w:lang w:val="es-ES"/>
        </w:rPr>
      </w:pPr>
      <w:r w:rsidRPr="00965C71">
        <w:rPr>
          <w:lang w:val="es-ES"/>
        </w:rPr>
        <w:t xml:space="preserve">La tecnología denominada velocidades de datos mejoradas para evolución global (EDGE) </w:t>
      </w:r>
      <w:r>
        <w:rPr>
          <w:lang w:val="es-ES"/>
        </w:rPr>
        <w:t>se desarrolló</w:t>
      </w:r>
      <w:r w:rsidRPr="00965C71">
        <w:rPr>
          <w:lang w:val="es-ES"/>
        </w:rPr>
        <w:t xml:space="preserve"> con el fin de permitir que los operadores </w:t>
      </w:r>
      <w:r>
        <w:rPr>
          <w:lang w:val="es-ES"/>
        </w:rPr>
        <w:t xml:space="preserve">de </w:t>
      </w:r>
      <w:r w:rsidRPr="00965C71">
        <w:rPr>
          <w:lang w:val="es-ES"/>
        </w:rPr>
        <w:t xml:space="preserve">TDMA, GSM y GPRS pudieran proporcionar servicios de la siguiente generación. EDGE utiliza los mismos canales radioeléctricos </w:t>
      </w:r>
      <w:r>
        <w:rPr>
          <w:lang w:val="es-ES"/>
        </w:rPr>
        <w:t>e</w:t>
      </w:r>
      <w:r w:rsidRPr="00965C71">
        <w:rPr>
          <w:lang w:val="es-ES"/>
        </w:rPr>
        <w:t xml:space="preserve"> </w:t>
      </w:r>
      <w:r>
        <w:rPr>
          <w:lang w:val="es-ES"/>
        </w:rPr>
        <w:t>intervalos de tiempo</w:t>
      </w:r>
      <w:r w:rsidRPr="00965C71">
        <w:rPr>
          <w:lang w:val="es-ES"/>
        </w:rPr>
        <w:t xml:space="preserve"> que GSM y GPRS, por lo cual no requiere más espectro. EDGE constituye una solución </w:t>
      </w:r>
      <w:r>
        <w:rPr>
          <w:lang w:val="es-ES"/>
        </w:rPr>
        <w:t>rentable</w:t>
      </w:r>
      <w:r w:rsidRPr="00965C71">
        <w:rPr>
          <w:lang w:val="es-ES"/>
        </w:rPr>
        <w:t xml:space="preserve"> para todos los operadores que desean pasar a las IMT</w:t>
      </w:r>
      <w:r w:rsidRPr="00965C71">
        <w:rPr>
          <w:lang w:val="es-ES"/>
        </w:rPr>
        <w:noBreakHyphen/>
        <w:t>2000, y permite mayores velocidades de datos y una mayor eficiencia. Para ello se mejora la interfaz radioeléctrica y se reutilizan los demás elementos de la red, incluidos BSC, SGSN (nodo de soporte de servicio</w:t>
      </w:r>
      <w:r w:rsidRPr="00472AFC">
        <w:rPr>
          <w:lang w:val="es-ES"/>
        </w:rPr>
        <w:t xml:space="preserve"> </w:t>
      </w:r>
      <w:r w:rsidRPr="00965C71">
        <w:rPr>
          <w:lang w:val="es-ES"/>
        </w:rPr>
        <w:t xml:space="preserve">GPRS), GGSN (nodo de soporte </w:t>
      </w:r>
      <w:r>
        <w:rPr>
          <w:lang w:val="es-ES"/>
        </w:rPr>
        <w:t xml:space="preserve">de la pasarela </w:t>
      </w:r>
      <w:r w:rsidRPr="00965C71">
        <w:rPr>
          <w:lang w:val="es-ES"/>
        </w:rPr>
        <w:t xml:space="preserve">GPRS) y HLR. De hecho, con </w:t>
      </w:r>
      <w:r>
        <w:rPr>
          <w:lang w:val="es-ES"/>
        </w:rPr>
        <w:t xml:space="preserve">los </w:t>
      </w:r>
      <w:r w:rsidRPr="00965C71">
        <w:rPr>
          <w:lang w:val="es-ES"/>
        </w:rPr>
        <w:t xml:space="preserve">nuevos despliegues GSM/GPRS, EDGE </w:t>
      </w:r>
      <w:r>
        <w:rPr>
          <w:lang w:val="es-ES"/>
        </w:rPr>
        <w:t>se ha convertido en una simple</w:t>
      </w:r>
      <w:r w:rsidRPr="00965C71">
        <w:rPr>
          <w:lang w:val="es-ES"/>
        </w:rPr>
        <w:t xml:space="preserve"> actualización </w:t>
      </w:r>
      <w:r>
        <w:rPr>
          <w:lang w:val="es-ES"/>
        </w:rPr>
        <w:t>del soporte lógico de la</w:t>
      </w:r>
      <w:r w:rsidRPr="00965C71">
        <w:rPr>
          <w:lang w:val="es-ES"/>
        </w:rPr>
        <w:t xml:space="preserve"> BTS y </w:t>
      </w:r>
      <w:r>
        <w:rPr>
          <w:lang w:val="es-ES"/>
        </w:rPr>
        <w:t>del</w:t>
      </w:r>
      <w:r w:rsidRPr="00965C71">
        <w:rPr>
          <w:lang w:val="es-ES"/>
        </w:rPr>
        <w:t xml:space="preserve"> BSC, ya que los transcriptores </w:t>
      </w:r>
      <w:r>
        <w:rPr>
          <w:lang w:val="es-ES"/>
        </w:rPr>
        <w:t>de</w:t>
      </w:r>
      <w:r w:rsidRPr="00965C71">
        <w:rPr>
          <w:lang w:val="es-ES"/>
        </w:rPr>
        <w:t xml:space="preserve"> estas redes ya </w:t>
      </w:r>
      <w:r>
        <w:rPr>
          <w:lang w:val="es-ES"/>
        </w:rPr>
        <w:t>soportan</w:t>
      </w:r>
      <w:r w:rsidRPr="00965C71">
        <w:rPr>
          <w:lang w:val="es-ES"/>
        </w:rPr>
        <w:t xml:space="preserve"> EDGE. La misma infraestructura </w:t>
      </w:r>
      <w:r>
        <w:rPr>
          <w:lang w:val="es-ES"/>
        </w:rPr>
        <w:t xml:space="preserve">mejorada </w:t>
      </w:r>
      <w:r w:rsidRPr="00965C71">
        <w:rPr>
          <w:lang w:val="es-ES"/>
        </w:rPr>
        <w:t>de</w:t>
      </w:r>
      <w:r>
        <w:rPr>
          <w:lang w:val="es-ES"/>
        </w:rPr>
        <w:t>l</w:t>
      </w:r>
      <w:r w:rsidRPr="00965C71">
        <w:rPr>
          <w:lang w:val="es-ES"/>
        </w:rPr>
        <w:t xml:space="preserve"> paquete GPRS soporta tanto GPRS como EDGE, por lo cual EDGE es plenamente compatible con GPRS y cualquier aplicación desarrollada para GPRS trabajará con EDGE</w:t>
      </w:r>
      <w:r>
        <w:rPr>
          <w:lang w:val="es-ES"/>
        </w:rPr>
        <w:t>. Una vez que los operadores h</w:t>
      </w:r>
      <w:r w:rsidRPr="00965C71">
        <w:rPr>
          <w:lang w:val="es-ES"/>
        </w:rPr>
        <w:t xml:space="preserve">an desplegado EDGE, pueden mejorar </w:t>
      </w:r>
      <w:r>
        <w:rPr>
          <w:lang w:val="es-ES"/>
        </w:rPr>
        <w:t>la</w:t>
      </w:r>
      <w:r w:rsidRPr="00965C71">
        <w:rPr>
          <w:lang w:val="es-ES"/>
        </w:rPr>
        <w:t xml:space="preserve"> capacidad de </w:t>
      </w:r>
      <w:r>
        <w:rPr>
          <w:lang w:val="es-ES"/>
        </w:rPr>
        <w:t>sus aplicaciones</w:t>
      </w:r>
      <w:r w:rsidRPr="00965C71">
        <w:rPr>
          <w:lang w:val="es-ES"/>
        </w:rPr>
        <w:t xml:space="preserve">, desplegando en sus redes básicas el subsistema multimedios IP, subsistema que soportará también una red de acceso radioeléctrico </w:t>
      </w:r>
      <w:r>
        <w:rPr>
          <w:lang w:val="es-ES"/>
        </w:rPr>
        <w:t>CDMA IMT-2000 con ensanchamiento directo</w:t>
      </w:r>
      <w:r w:rsidRPr="00965C71">
        <w:rPr>
          <w:lang w:val="es-ES"/>
        </w:rPr>
        <w:t xml:space="preserve">, ya que ambos utilizan una red básica UMTS (evolucionada </w:t>
      </w:r>
      <w:r>
        <w:rPr>
          <w:lang w:val="es-ES"/>
        </w:rPr>
        <w:t>del)</w:t>
      </w:r>
      <w:r w:rsidRPr="00965C71">
        <w:rPr>
          <w:lang w:val="es-ES"/>
        </w:rPr>
        <w:t> GSM.</w:t>
      </w:r>
    </w:p>
    <w:p w:rsidR="002C68BD" w:rsidRPr="00A43C05" w:rsidRDefault="009A38A9" w:rsidP="009A38A9">
      <w:pPr>
        <w:rPr>
          <w:lang w:val="es-ES_tradnl"/>
        </w:rPr>
      </w:pPr>
      <w:r w:rsidRPr="00965C71">
        <w:rPr>
          <w:lang w:val="es-ES"/>
        </w:rPr>
        <w:t xml:space="preserve">Comparada con la tecnología GPRS, EDGE </w:t>
      </w:r>
      <w:r>
        <w:rPr>
          <w:lang w:val="es-ES"/>
        </w:rPr>
        <w:t>triplica la velocidad</w:t>
      </w:r>
      <w:r w:rsidRPr="00965C71">
        <w:rPr>
          <w:lang w:val="es-ES"/>
        </w:rPr>
        <w:t xml:space="preserve"> de datos y duplica la capacidad de datos. </w:t>
      </w:r>
      <w:r>
        <w:rPr>
          <w:lang w:val="es-ES"/>
        </w:rPr>
        <w:t>Aunque</w:t>
      </w:r>
      <w:r w:rsidRPr="00965C71">
        <w:rPr>
          <w:lang w:val="es-ES"/>
        </w:rPr>
        <w:t xml:space="preserve"> teóricamente EDGE puede proporcionar 59,2 </w:t>
      </w:r>
      <w:proofErr w:type="spellStart"/>
      <w:r w:rsidRPr="00965C71">
        <w:rPr>
          <w:lang w:val="es-ES"/>
        </w:rPr>
        <w:t>kbit</w:t>
      </w:r>
      <w:proofErr w:type="spellEnd"/>
      <w:r w:rsidRPr="00965C71">
        <w:rPr>
          <w:lang w:val="es-ES"/>
        </w:rPr>
        <w:t xml:space="preserve">/s en cada uno de los ocho </w:t>
      </w:r>
      <w:r>
        <w:rPr>
          <w:lang w:val="es-ES"/>
        </w:rPr>
        <w:t>intervalos de tiempo</w:t>
      </w:r>
      <w:r w:rsidRPr="00965C71">
        <w:rPr>
          <w:lang w:val="es-ES"/>
        </w:rPr>
        <w:t>, ya que añade una velocidad de red máxima de 473,6 </w:t>
      </w:r>
      <w:proofErr w:type="spellStart"/>
      <w:r w:rsidRPr="00965C71">
        <w:rPr>
          <w:lang w:val="es-ES"/>
        </w:rPr>
        <w:t>kbit</w:t>
      </w:r>
      <w:proofErr w:type="spellEnd"/>
      <w:r w:rsidRPr="00965C71">
        <w:rPr>
          <w:lang w:val="es-ES"/>
        </w:rPr>
        <w:t xml:space="preserve">/s en ocho </w:t>
      </w:r>
      <w:r>
        <w:rPr>
          <w:lang w:val="es-ES"/>
        </w:rPr>
        <w:t>intervalos de tiempo</w:t>
      </w:r>
      <w:r w:rsidRPr="00965C71">
        <w:rPr>
          <w:lang w:val="es-ES"/>
        </w:rPr>
        <w:t xml:space="preserve">, las velocidades de datos de usuarios reales se sitúan normalmente entre 130 y 192 </w:t>
      </w:r>
      <w:proofErr w:type="spellStart"/>
      <w:r w:rsidRPr="00965C71">
        <w:rPr>
          <w:lang w:val="es-ES"/>
        </w:rPr>
        <w:t>kbit</w:t>
      </w:r>
      <w:proofErr w:type="spellEnd"/>
      <w:r w:rsidRPr="00965C71">
        <w:rPr>
          <w:lang w:val="es-ES"/>
        </w:rPr>
        <w:t>/s (</w:t>
      </w:r>
      <w:r>
        <w:rPr>
          <w:lang w:val="es-ES"/>
        </w:rPr>
        <w:t>parte útil del</w:t>
      </w:r>
      <w:r w:rsidRPr="00965C71">
        <w:rPr>
          <w:lang w:val="es-ES"/>
        </w:rPr>
        <w:t xml:space="preserve"> RLC) con dispositivos de </w:t>
      </w:r>
      <w:r>
        <w:rPr>
          <w:lang w:val="es-ES"/>
        </w:rPr>
        <w:t>cuatro intervalos de tiempo</w:t>
      </w:r>
      <w:r w:rsidRPr="00965C71">
        <w:rPr>
          <w:lang w:val="es-ES"/>
        </w:rPr>
        <w:t xml:space="preserve">. Al enviar más datos en cada </w:t>
      </w:r>
      <w:r>
        <w:rPr>
          <w:lang w:val="es-ES"/>
        </w:rPr>
        <w:t>intervalo de tiempo</w:t>
      </w:r>
      <w:r w:rsidRPr="00965C71">
        <w:rPr>
          <w:lang w:val="es-ES"/>
        </w:rPr>
        <w:t xml:space="preserve">, EDGE puede </w:t>
      </w:r>
      <w:r>
        <w:rPr>
          <w:lang w:val="es-ES"/>
        </w:rPr>
        <w:t>aumentar</w:t>
      </w:r>
      <w:r w:rsidRPr="00965C71">
        <w:rPr>
          <w:lang w:val="es-ES"/>
        </w:rPr>
        <w:t xml:space="preserve"> también la eficiencia espectral en un 150%</w:t>
      </w:r>
      <w:r>
        <w:rPr>
          <w:lang w:val="es-ES"/>
        </w:rPr>
        <w:t xml:space="preserve"> respecto al</w:t>
      </w:r>
      <w:r w:rsidRPr="00965C71">
        <w:rPr>
          <w:lang w:val="es-ES"/>
        </w:rPr>
        <w:t xml:space="preserve"> GPRS </w:t>
      </w:r>
      <w:r>
        <w:rPr>
          <w:lang w:val="es-ES"/>
        </w:rPr>
        <w:t>con los esquemas</w:t>
      </w:r>
      <w:r w:rsidRPr="00965C71">
        <w:rPr>
          <w:lang w:val="es-ES"/>
        </w:rPr>
        <w:t xml:space="preserve"> de codificación 1 y 2, y en un 100% </w:t>
      </w:r>
      <w:r>
        <w:rPr>
          <w:lang w:val="es-ES"/>
        </w:rPr>
        <w:t xml:space="preserve">respecto al </w:t>
      </w:r>
      <w:r w:rsidRPr="00965C71">
        <w:rPr>
          <w:lang w:val="es-ES"/>
        </w:rPr>
        <w:t xml:space="preserve">GPRS </w:t>
      </w:r>
      <w:r>
        <w:rPr>
          <w:lang w:val="es-ES"/>
        </w:rPr>
        <w:t>con los esquemas</w:t>
      </w:r>
      <w:r w:rsidRPr="00965C71">
        <w:rPr>
          <w:lang w:val="es-ES"/>
        </w:rPr>
        <w:t xml:space="preserve"> de codificación 1 a 4.</w:t>
      </w:r>
    </w:p>
    <w:p w:rsidR="002C68BD" w:rsidRPr="00A43C05" w:rsidRDefault="002C68BD" w:rsidP="009A38A9">
      <w:pPr>
        <w:pStyle w:val="Heading4"/>
        <w:rPr>
          <w:lang w:val="es-ES_tradnl"/>
        </w:rPr>
      </w:pPr>
      <w:bookmarkStart w:id="241" w:name="_Toc44438536"/>
      <w:bookmarkStart w:id="242" w:name="_Toc44446751"/>
      <w:bookmarkStart w:id="243" w:name="_Toc53323413"/>
      <w:bookmarkStart w:id="244" w:name="_Toc63611619"/>
      <w:bookmarkStart w:id="245" w:name="_Toc89083692"/>
      <w:bookmarkStart w:id="246" w:name="_Toc101931263"/>
      <w:bookmarkStart w:id="247" w:name="_Toc103399282"/>
      <w:bookmarkStart w:id="248" w:name="_Toc103400360"/>
      <w:bookmarkStart w:id="249" w:name="_Toc103400824"/>
      <w:bookmarkStart w:id="250" w:name="_Toc103401288"/>
      <w:bookmarkStart w:id="251" w:name="_Toc103401753"/>
      <w:bookmarkStart w:id="252" w:name="_Toc103402219"/>
      <w:bookmarkStart w:id="253" w:name="_Toc103402684"/>
      <w:bookmarkStart w:id="254" w:name="_Toc103403449"/>
      <w:bookmarkStart w:id="255" w:name="_Toc103421219"/>
      <w:bookmarkStart w:id="256" w:name="_Toc103528393"/>
      <w:bookmarkStart w:id="257" w:name="_Toc236826239"/>
      <w:r w:rsidRPr="00A43C05">
        <w:rPr>
          <w:lang w:val="es-ES_tradnl"/>
        </w:rPr>
        <w:t>9.2.1.5</w:t>
      </w:r>
      <w:r w:rsidRPr="00A43C05">
        <w:rPr>
          <w:lang w:val="es-ES_tradnl"/>
        </w:rPr>
        <w:tab/>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sidR="009A38A9" w:rsidRPr="009A38A9">
        <w:rPr>
          <w:lang w:val="es-ES_tradnl"/>
        </w:rPr>
        <w:t>FDMA/TDMA IMT</w:t>
      </w:r>
      <w:r w:rsidR="009A38A9" w:rsidRPr="009A38A9">
        <w:rPr>
          <w:lang w:val="es-ES_tradnl"/>
        </w:rPr>
        <w:noBreakHyphen/>
        <w:t>2000</w:t>
      </w:r>
    </w:p>
    <w:p w:rsidR="002C68BD" w:rsidRPr="00A43C05" w:rsidRDefault="009A38A9" w:rsidP="009A38A9">
      <w:pPr>
        <w:rPr>
          <w:lang w:val="es-ES_tradnl"/>
        </w:rPr>
      </w:pPr>
      <w:r w:rsidRPr="009A38A9">
        <w:rPr>
          <w:lang w:val="es-ES_tradnl"/>
        </w:rPr>
        <w:t>Nombre en la UIT</w:t>
      </w:r>
      <w:r w:rsidR="002C68BD" w:rsidRPr="00A43C05">
        <w:rPr>
          <w:lang w:val="es-ES_tradnl"/>
        </w:rPr>
        <w:t>:</w:t>
      </w:r>
      <w:r w:rsidR="002C68BD" w:rsidRPr="00A43C05">
        <w:rPr>
          <w:lang w:val="es-ES_tradnl"/>
        </w:rPr>
        <w:tab/>
      </w:r>
      <w:r w:rsidRPr="009A38A9">
        <w:rPr>
          <w:lang w:val="es-ES_tradnl"/>
        </w:rPr>
        <w:t>FDMA/TDMA IMT</w:t>
      </w:r>
      <w:r w:rsidRPr="009A38A9">
        <w:rPr>
          <w:lang w:val="es-ES_tradnl"/>
        </w:rPr>
        <w:noBreakHyphen/>
        <w:t>2000</w:t>
      </w:r>
    </w:p>
    <w:p w:rsidR="002C68BD" w:rsidRPr="00A43C05" w:rsidRDefault="009A38A9" w:rsidP="009A38A9">
      <w:pPr>
        <w:rPr>
          <w:lang w:val="es-ES_tradnl"/>
        </w:rPr>
      </w:pPr>
      <w:r w:rsidRPr="009A38A9">
        <w:rPr>
          <w:lang w:val="es-ES_tradnl"/>
        </w:rPr>
        <w:t>Nombre común</w:t>
      </w:r>
      <w:r w:rsidR="002C68BD" w:rsidRPr="00A43C05">
        <w:rPr>
          <w:lang w:val="es-ES_tradnl"/>
        </w:rPr>
        <w:t>:</w:t>
      </w:r>
      <w:r w:rsidR="002C68BD" w:rsidRPr="00A43C05">
        <w:rPr>
          <w:lang w:val="es-ES_tradnl"/>
        </w:rPr>
        <w:tab/>
      </w:r>
      <w:r w:rsidR="002C68BD" w:rsidRPr="00A43C05">
        <w:rPr>
          <w:lang w:val="es-ES_tradnl"/>
        </w:rPr>
        <w:tab/>
        <w:t>DECT</w:t>
      </w:r>
    </w:p>
    <w:p w:rsidR="009A38A9" w:rsidRPr="00965C71" w:rsidRDefault="009A38A9" w:rsidP="009A38A9">
      <w:pPr>
        <w:rPr>
          <w:lang w:val="es-ES"/>
        </w:rPr>
      </w:pPr>
      <w:r w:rsidRPr="00965C71">
        <w:rPr>
          <w:lang w:val="es-ES"/>
        </w:rPr>
        <w:t>Las especificaciones de</w:t>
      </w:r>
      <w:r>
        <w:rPr>
          <w:lang w:val="es-ES"/>
        </w:rPr>
        <w:t xml:space="preserve"> la</w:t>
      </w:r>
      <w:r w:rsidRPr="00965C71">
        <w:rPr>
          <w:lang w:val="es-ES"/>
        </w:rPr>
        <w:t xml:space="preserve"> interfaz radioeléctrica IMT-2000 para </w:t>
      </w:r>
      <w:r>
        <w:rPr>
          <w:lang w:val="es-ES"/>
        </w:rPr>
        <w:t>la tecnología</w:t>
      </w:r>
      <w:r w:rsidRPr="00965C71">
        <w:rPr>
          <w:lang w:val="es-ES"/>
        </w:rPr>
        <w:t xml:space="preserve"> FDMA/TDMA se definen en un conjunto de normas del ETSI. Esta interfaz radioeléctrica se denomina telecomunicaciones inalámbricas mejoradas digitales (DECT). Las distintas capas se definen en diferentes partes de la norma de </w:t>
      </w:r>
      <w:r>
        <w:rPr>
          <w:lang w:val="es-ES"/>
        </w:rPr>
        <w:t xml:space="preserve">la </w:t>
      </w:r>
      <w:r w:rsidRPr="00965C71">
        <w:rPr>
          <w:lang w:val="es-ES"/>
        </w:rPr>
        <w:t xml:space="preserve">interfaz común (CI). Esta norma </w:t>
      </w:r>
      <w:proofErr w:type="spellStart"/>
      <w:r w:rsidRPr="00965C71">
        <w:rPr>
          <w:lang w:val="es-ES"/>
        </w:rPr>
        <w:t>especifica</w:t>
      </w:r>
      <w:proofErr w:type="spellEnd"/>
      <w:r w:rsidRPr="00965C71">
        <w:rPr>
          <w:lang w:val="es-ES"/>
        </w:rPr>
        <w:t xml:space="preserve"> una interfaz radioeléctrica TDMA con dúplex </w:t>
      </w:r>
      <w:r>
        <w:rPr>
          <w:lang w:val="es-ES"/>
        </w:rPr>
        <w:t>por</w:t>
      </w:r>
      <w:r w:rsidRPr="00965C71">
        <w:rPr>
          <w:lang w:val="es-ES"/>
        </w:rPr>
        <w:t xml:space="preserve"> división en el tiempo (TDD). Las velocidades binarias de frecuencia radioeléctrica para los </w:t>
      </w:r>
      <w:r>
        <w:rPr>
          <w:lang w:val="es-ES"/>
        </w:rPr>
        <w:t>esquemas</w:t>
      </w:r>
      <w:r w:rsidRPr="00965C71">
        <w:rPr>
          <w:lang w:val="es-ES"/>
        </w:rPr>
        <w:t xml:space="preserve"> de modulación especificados son de 1,152 </w:t>
      </w:r>
      <w:proofErr w:type="spellStart"/>
      <w:r w:rsidRPr="00965C71">
        <w:rPr>
          <w:lang w:val="es-ES"/>
        </w:rPr>
        <w:t>Mbit</w:t>
      </w:r>
      <w:proofErr w:type="spellEnd"/>
      <w:r w:rsidRPr="00965C71">
        <w:rPr>
          <w:lang w:val="es-ES"/>
        </w:rPr>
        <w:t>/s, 2,304</w:t>
      </w:r>
      <w:r>
        <w:rPr>
          <w:lang w:val="es-ES"/>
        </w:rPr>
        <w:t> </w:t>
      </w:r>
      <w:proofErr w:type="spellStart"/>
      <w:r w:rsidRPr="00965C71">
        <w:rPr>
          <w:lang w:val="es-ES"/>
        </w:rPr>
        <w:t>Mbit</w:t>
      </w:r>
      <w:proofErr w:type="spellEnd"/>
      <w:r w:rsidRPr="00965C71">
        <w:rPr>
          <w:lang w:val="es-ES"/>
        </w:rPr>
        <w:t xml:space="preserve">/s y 3,456 </w:t>
      </w:r>
      <w:proofErr w:type="spellStart"/>
      <w:r w:rsidRPr="00965C71">
        <w:rPr>
          <w:lang w:val="es-ES"/>
        </w:rPr>
        <w:t>Mbit</w:t>
      </w:r>
      <w:proofErr w:type="spellEnd"/>
      <w:r w:rsidRPr="00965C71">
        <w:rPr>
          <w:lang w:val="es-ES"/>
        </w:rPr>
        <w:t xml:space="preserve">/s. La norma soporta conexiones simétricas y asimétricas, </w:t>
      </w:r>
      <w:r>
        <w:rPr>
          <w:lang w:val="es-ES"/>
        </w:rPr>
        <w:t xml:space="preserve">transporte orientado a la </w:t>
      </w:r>
      <w:r w:rsidRPr="00965C71">
        <w:rPr>
          <w:lang w:val="es-ES"/>
        </w:rPr>
        <w:t>conexión y transporte de datos</w:t>
      </w:r>
      <w:r>
        <w:rPr>
          <w:lang w:val="es-ES"/>
        </w:rPr>
        <w:t xml:space="preserve"> sin conexión</w:t>
      </w:r>
      <w:r w:rsidRPr="00965C71">
        <w:rPr>
          <w:lang w:val="es-ES"/>
        </w:rPr>
        <w:t xml:space="preserve">, así como velocidades binarias variables de hasta 2,88 </w:t>
      </w:r>
      <w:proofErr w:type="spellStart"/>
      <w:r w:rsidRPr="00965C71">
        <w:rPr>
          <w:lang w:val="es-ES"/>
        </w:rPr>
        <w:t>Mbit</w:t>
      </w:r>
      <w:proofErr w:type="spellEnd"/>
      <w:r w:rsidRPr="00965C71">
        <w:rPr>
          <w:lang w:val="es-ES"/>
        </w:rPr>
        <w:t>/s por portadora. La capa de red contiene los protocolos necesarios para el control de llamada, servicios suplemen</w:t>
      </w:r>
      <w:r w:rsidRPr="00965C71">
        <w:rPr>
          <w:lang w:val="es-ES"/>
        </w:rPr>
        <w:softHyphen/>
        <w:t xml:space="preserve">tarios, servicios de mensajes orientados a la conexión, servicios de mensajes </w:t>
      </w:r>
      <w:r>
        <w:rPr>
          <w:lang w:val="es-ES"/>
        </w:rPr>
        <w:t>sin</w:t>
      </w:r>
      <w:r w:rsidRPr="00965C71">
        <w:rPr>
          <w:lang w:val="es-ES"/>
        </w:rPr>
        <w:t xml:space="preserve"> conexión y gestión de</w:t>
      </w:r>
      <w:r>
        <w:rPr>
          <w:lang w:val="es-ES"/>
        </w:rPr>
        <w:t xml:space="preserve"> la </w:t>
      </w:r>
      <w:r w:rsidRPr="00965C71">
        <w:rPr>
          <w:lang w:val="es-ES"/>
        </w:rPr>
        <w:t>movilidad, incluidos los servicios de seguridad y confidencialidad.</w:t>
      </w:r>
    </w:p>
    <w:p w:rsidR="009A38A9" w:rsidRPr="00965C71" w:rsidRDefault="009A38A9" w:rsidP="009A38A9">
      <w:pPr>
        <w:rPr>
          <w:lang w:val="es-ES"/>
        </w:rPr>
      </w:pPr>
      <w:r w:rsidRPr="00965C71">
        <w:rPr>
          <w:lang w:val="es-ES"/>
        </w:rPr>
        <w:lastRenderedPageBreak/>
        <w:t>Aparte de la norma</w:t>
      </w:r>
      <w:r>
        <w:rPr>
          <w:lang w:val="es-ES"/>
        </w:rPr>
        <w:t xml:space="preserve"> de la</w:t>
      </w:r>
      <w:r w:rsidRPr="00965C71">
        <w:rPr>
          <w:lang w:val="es-ES"/>
        </w:rPr>
        <w:t xml:space="preserve"> CI, las normas de perfil de acceso definen </w:t>
      </w:r>
      <w:r>
        <w:rPr>
          <w:lang w:val="es-ES"/>
        </w:rPr>
        <w:t xml:space="preserve">los </w:t>
      </w:r>
      <w:r w:rsidRPr="00965C71">
        <w:rPr>
          <w:lang w:val="es-ES"/>
        </w:rPr>
        <w:t xml:space="preserve">requisitos mínimos </w:t>
      </w:r>
      <w:r>
        <w:rPr>
          <w:lang w:val="es-ES"/>
        </w:rPr>
        <w:t xml:space="preserve">de </w:t>
      </w:r>
      <w:r w:rsidRPr="00965C71">
        <w:rPr>
          <w:lang w:val="es-ES"/>
        </w:rPr>
        <w:t xml:space="preserve">acceso a redes </w:t>
      </w:r>
      <w:r>
        <w:rPr>
          <w:lang w:val="es-ES"/>
        </w:rPr>
        <w:t xml:space="preserve">específicas </w:t>
      </w:r>
      <w:r w:rsidRPr="00965C71">
        <w:rPr>
          <w:lang w:val="es-ES"/>
        </w:rPr>
        <w:t xml:space="preserve">y </w:t>
      </w:r>
      <w:r>
        <w:rPr>
          <w:lang w:val="es-ES"/>
        </w:rPr>
        <w:t>para el</w:t>
      </w:r>
      <w:r w:rsidRPr="00965C71">
        <w:rPr>
          <w:lang w:val="es-ES"/>
        </w:rPr>
        <w:t xml:space="preserve"> </w:t>
      </w:r>
      <w:proofErr w:type="spellStart"/>
      <w:r w:rsidRPr="00965C71">
        <w:rPr>
          <w:lang w:val="es-ES"/>
        </w:rPr>
        <w:t>interfuncionamiento</w:t>
      </w:r>
      <w:proofErr w:type="spellEnd"/>
      <w:r w:rsidRPr="00965C71">
        <w:rPr>
          <w:lang w:val="es-ES"/>
        </w:rPr>
        <w:t xml:space="preserve"> </w:t>
      </w:r>
      <w:r>
        <w:rPr>
          <w:lang w:val="es-ES"/>
        </w:rPr>
        <w:t>con las mismas</w:t>
      </w:r>
      <w:r w:rsidRPr="00965C71">
        <w:rPr>
          <w:lang w:val="es-ES"/>
        </w:rPr>
        <w:t>. Por ejemplo, la norma de</w:t>
      </w:r>
      <w:r>
        <w:rPr>
          <w:lang w:val="es-ES"/>
        </w:rPr>
        <w:t>l</w:t>
      </w:r>
      <w:r w:rsidRPr="00965C71">
        <w:rPr>
          <w:lang w:val="es-ES"/>
        </w:rPr>
        <w:t xml:space="preserve"> perfil de acceso genérico (GAP) </w:t>
      </w:r>
      <w:r>
        <w:rPr>
          <w:lang w:val="es-ES"/>
        </w:rPr>
        <w:t>define</w:t>
      </w:r>
      <w:r w:rsidRPr="00965C71">
        <w:rPr>
          <w:lang w:val="es-ES"/>
        </w:rPr>
        <w:t xml:space="preserve"> los requisitos </w:t>
      </w:r>
      <w:r>
        <w:rPr>
          <w:lang w:val="es-ES"/>
        </w:rPr>
        <w:t>de utilización d</w:t>
      </w:r>
      <w:r w:rsidRPr="00965C71">
        <w:rPr>
          <w:lang w:val="es-ES"/>
        </w:rPr>
        <w:t xml:space="preserve">el servicio </w:t>
      </w:r>
      <w:r>
        <w:rPr>
          <w:lang w:val="es-ES"/>
        </w:rPr>
        <w:t>vocal</w:t>
      </w:r>
      <w:r w:rsidRPr="00965C71">
        <w:rPr>
          <w:lang w:val="es-ES"/>
        </w:rPr>
        <w:t>, y la norma de</w:t>
      </w:r>
      <w:r>
        <w:rPr>
          <w:lang w:val="es-ES"/>
        </w:rPr>
        <w:t>l</w:t>
      </w:r>
      <w:r w:rsidRPr="00965C71">
        <w:rPr>
          <w:lang w:val="es-ES"/>
        </w:rPr>
        <w:t xml:space="preserve"> servicio radioeléctrico </w:t>
      </w:r>
      <w:r>
        <w:rPr>
          <w:lang w:val="es-ES"/>
        </w:rPr>
        <w:t>por</w:t>
      </w:r>
      <w:r w:rsidRPr="00965C71">
        <w:rPr>
          <w:lang w:val="es-ES"/>
        </w:rPr>
        <w:t xml:space="preserve"> paquetes DECT (DPRS) define los requisitos </w:t>
      </w:r>
      <w:r>
        <w:rPr>
          <w:lang w:val="es-ES"/>
        </w:rPr>
        <w:t>para el</w:t>
      </w:r>
      <w:r w:rsidRPr="00965C71">
        <w:rPr>
          <w:lang w:val="es-ES"/>
        </w:rPr>
        <w:t xml:space="preserve"> transporte de datos </w:t>
      </w:r>
      <w:r>
        <w:rPr>
          <w:lang w:val="es-ES"/>
        </w:rPr>
        <w:t>por</w:t>
      </w:r>
      <w:r w:rsidRPr="00965C71">
        <w:rPr>
          <w:lang w:val="es-ES"/>
        </w:rPr>
        <w:t xml:space="preserve"> paquetes.</w:t>
      </w:r>
    </w:p>
    <w:p w:rsidR="009A38A9" w:rsidRPr="00965C71" w:rsidRDefault="009A38A9" w:rsidP="009A38A9">
      <w:pPr>
        <w:rPr>
          <w:lang w:val="es-ES"/>
        </w:rPr>
      </w:pPr>
      <w:r>
        <w:rPr>
          <w:lang w:val="es-ES"/>
        </w:rPr>
        <w:t>E</w:t>
      </w:r>
      <w:r w:rsidRPr="00965C71">
        <w:rPr>
          <w:lang w:val="es-ES"/>
        </w:rPr>
        <w:t xml:space="preserve">l Informe Técnico TR 101 178 del ETSI, </w:t>
      </w:r>
      <w:r>
        <w:rPr>
          <w:lang w:val="es-ES"/>
        </w:rPr>
        <w:t xml:space="preserve">titulado </w:t>
      </w:r>
      <w:r w:rsidR="00030119">
        <w:rPr>
          <w:lang w:val="es-ES"/>
        </w:rPr>
        <w:t>«</w:t>
      </w:r>
      <w:r>
        <w:rPr>
          <w:lang w:val="es-ES"/>
        </w:rPr>
        <w:t>G</w:t>
      </w:r>
      <w:r w:rsidRPr="00965C71">
        <w:rPr>
          <w:lang w:val="es-ES"/>
        </w:rPr>
        <w:t xml:space="preserve">uía de alto nivel </w:t>
      </w:r>
      <w:r>
        <w:rPr>
          <w:lang w:val="es-ES"/>
        </w:rPr>
        <w:t>sobre</w:t>
      </w:r>
      <w:r w:rsidRPr="00965C71">
        <w:rPr>
          <w:lang w:val="es-ES"/>
        </w:rPr>
        <w:t xml:space="preserve"> la norma</w:t>
      </w:r>
      <w:r w:rsidRPr="00965C71">
        <w:rPr>
          <w:lang w:val="es-ES"/>
        </w:rPr>
        <w:softHyphen/>
        <w:t>lización</w:t>
      </w:r>
      <w:r>
        <w:rPr>
          <w:lang w:val="es-ES"/>
        </w:rPr>
        <w:t xml:space="preserve"> de las</w:t>
      </w:r>
      <w:r w:rsidRPr="00965C71">
        <w:rPr>
          <w:lang w:val="es-ES"/>
        </w:rPr>
        <w:t xml:space="preserve"> DECT</w:t>
      </w:r>
      <w:r w:rsidR="00030119">
        <w:rPr>
          <w:lang w:val="es-ES"/>
        </w:rPr>
        <w:t>»</w:t>
      </w:r>
      <w:r w:rsidRPr="00965C71">
        <w:rPr>
          <w:lang w:val="es-ES"/>
        </w:rPr>
        <w:t xml:space="preserve">, </w:t>
      </w:r>
      <w:r>
        <w:rPr>
          <w:lang w:val="es-ES"/>
        </w:rPr>
        <w:t>contiene</w:t>
      </w:r>
      <w:r w:rsidRPr="00965C71">
        <w:rPr>
          <w:lang w:val="es-ES"/>
        </w:rPr>
        <w:t xml:space="preserve"> una descripción de alto nivel de las características y de la forma en que las correspondientes normas del ETSI guardan relación con las distintas aplicaciones.</w:t>
      </w:r>
    </w:p>
    <w:p w:rsidR="009A38A9" w:rsidRPr="00965C71" w:rsidRDefault="009A38A9" w:rsidP="009A38A9">
      <w:pPr>
        <w:rPr>
          <w:lang w:val="es-ES"/>
        </w:rPr>
      </w:pPr>
      <w:r>
        <w:rPr>
          <w:lang w:val="es-ES"/>
        </w:rPr>
        <w:t>Esta</w:t>
      </w:r>
      <w:r w:rsidRPr="00965C71">
        <w:rPr>
          <w:lang w:val="es-ES"/>
        </w:rPr>
        <w:t xml:space="preserve"> interfaz radioeléctrica </w:t>
      </w:r>
      <w:r>
        <w:rPr>
          <w:lang w:val="es-ES"/>
        </w:rPr>
        <w:t>corresponde</w:t>
      </w:r>
      <w:r w:rsidRPr="00965C71">
        <w:rPr>
          <w:lang w:val="es-ES"/>
        </w:rPr>
        <w:t xml:space="preserve"> a una tecnología</w:t>
      </w:r>
      <w:r>
        <w:rPr>
          <w:lang w:val="es-ES"/>
        </w:rPr>
        <w:t xml:space="preserve"> genérica </w:t>
      </w:r>
      <w:r w:rsidRPr="00965C71">
        <w:rPr>
          <w:lang w:val="es-ES"/>
        </w:rPr>
        <w:t xml:space="preserve">de acceso radioeléctrico para las telecomunicaciones inalámbricas, y se trata de una tecnología de alta capacidad digital para células de grandes radios, </w:t>
      </w:r>
      <w:r>
        <w:rPr>
          <w:lang w:val="es-ES"/>
        </w:rPr>
        <w:t>desde algunos</w:t>
      </w:r>
      <w:r w:rsidRPr="00965C71">
        <w:rPr>
          <w:lang w:val="es-ES"/>
        </w:rPr>
        <w:t xml:space="preserve"> metros a varios kilómetros, dependiendo de la aplicación y </w:t>
      </w:r>
      <w:r>
        <w:rPr>
          <w:lang w:val="es-ES"/>
        </w:rPr>
        <w:t>d</w:t>
      </w:r>
      <w:r w:rsidRPr="00965C71">
        <w:rPr>
          <w:lang w:val="es-ES"/>
        </w:rPr>
        <w:t xml:space="preserve">el entorno. Esta interfaz permite proporcionar servicios telefónicos con calidad vocal y una amplia gama de servicios de datos, </w:t>
      </w:r>
      <w:r>
        <w:rPr>
          <w:lang w:val="es-ES"/>
        </w:rPr>
        <w:t>entre ellos</w:t>
      </w:r>
      <w:r w:rsidRPr="00965C71">
        <w:rPr>
          <w:lang w:val="es-ES"/>
        </w:rPr>
        <w:t xml:space="preserve"> la red digital de servicios integrados (RDSI) y </w:t>
      </w:r>
      <w:r>
        <w:rPr>
          <w:lang w:val="es-ES"/>
        </w:rPr>
        <w:t>los</w:t>
      </w:r>
      <w:r w:rsidRPr="00965C71">
        <w:rPr>
          <w:lang w:val="es-ES"/>
        </w:rPr>
        <w:t xml:space="preserve"> datos </w:t>
      </w:r>
      <w:r>
        <w:rPr>
          <w:lang w:val="es-ES"/>
        </w:rPr>
        <w:t>por</w:t>
      </w:r>
      <w:r w:rsidRPr="00965C71">
        <w:rPr>
          <w:lang w:val="es-ES"/>
        </w:rPr>
        <w:t xml:space="preserve"> paquetes. Asimismo, puede implementarse eficazmente con una gama </w:t>
      </w:r>
      <w:r>
        <w:rPr>
          <w:lang w:val="es-ES"/>
        </w:rPr>
        <w:t>de equipos que van des</w:t>
      </w:r>
      <w:r w:rsidRPr="00965C71">
        <w:rPr>
          <w:lang w:val="es-ES"/>
        </w:rPr>
        <w:t xml:space="preserve">de </w:t>
      </w:r>
      <w:r>
        <w:rPr>
          <w:lang w:val="es-ES"/>
        </w:rPr>
        <w:t xml:space="preserve">los </w:t>
      </w:r>
      <w:r w:rsidRPr="00965C71">
        <w:rPr>
          <w:lang w:val="es-ES"/>
        </w:rPr>
        <w:t>sencillos teléfonos inalámbricos residenciales</w:t>
      </w:r>
      <w:r>
        <w:rPr>
          <w:lang w:val="es-ES"/>
        </w:rPr>
        <w:t xml:space="preserve"> a los</w:t>
      </w:r>
      <w:r w:rsidRPr="00965C71">
        <w:rPr>
          <w:lang w:val="es-ES"/>
        </w:rPr>
        <w:t xml:space="preserve"> grandes sistemas que proporcionan una </w:t>
      </w:r>
      <w:r>
        <w:rPr>
          <w:lang w:val="es-ES"/>
        </w:rPr>
        <w:t>gran diversidad</w:t>
      </w:r>
      <w:r w:rsidRPr="00965C71">
        <w:rPr>
          <w:lang w:val="es-ES"/>
        </w:rPr>
        <w:t xml:space="preserve"> de</w:t>
      </w:r>
      <w:r>
        <w:rPr>
          <w:lang w:val="es-ES"/>
        </w:rPr>
        <w:t xml:space="preserve"> servicios de telecomunicación</w:t>
      </w:r>
      <w:r w:rsidRPr="00965C71">
        <w:rPr>
          <w:lang w:val="es-ES"/>
        </w:rPr>
        <w:t>, entre otros, el acceso inalámbrico fijo.</w:t>
      </w:r>
    </w:p>
    <w:p w:rsidR="002C68BD" w:rsidRPr="00A43C05" w:rsidRDefault="009A38A9" w:rsidP="009A38A9">
      <w:pPr>
        <w:rPr>
          <w:lang w:val="es-ES_tradnl"/>
        </w:rPr>
      </w:pPr>
      <w:r w:rsidRPr="00965C71">
        <w:rPr>
          <w:lang w:val="es-ES"/>
        </w:rPr>
        <w:t xml:space="preserve">Esta tecnología proporciona un </w:t>
      </w:r>
      <w:r>
        <w:rPr>
          <w:lang w:val="es-ES"/>
        </w:rPr>
        <w:t xml:space="preserve">amplio </w:t>
      </w:r>
      <w:r w:rsidRPr="00965C71">
        <w:rPr>
          <w:lang w:val="es-ES"/>
        </w:rPr>
        <w:t xml:space="preserve">conjunto de protocolos </w:t>
      </w:r>
      <w:r>
        <w:rPr>
          <w:lang w:val="es-ES"/>
        </w:rPr>
        <w:t>con</w:t>
      </w:r>
      <w:r w:rsidRPr="00965C71">
        <w:rPr>
          <w:lang w:val="es-ES"/>
        </w:rPr>
        <w:t xml:space="preserve"> la flexibilidad necesaria </w:t>
      </w:r>
      <w:r>
        <w:rPr>
          <w:lang w:val="es-ES"/>
        </w:rPr>
        <w:t>para el</w:t>
      </w:r>
      <w:r w:rsidRPr="00965C71">
        <w:rPr>
          <w:lang w:val="es-ES"/>
        </w:rPr>
        <w:t xml:space="preserve"> </w:t>
      </w:r>
      <w:proofErr w:type="spellStart"/>
      <w:r w:rsidRPr="00965C71">
        <w:rPr>
          <w:lang w:val="es-ES"/>
        </w:rPr>
        <w:t>interfuncionamiento</w:t>
      </w:r>
      <w:proofErr w:type="spellEnd"/>
      <w:r w:rsidRPr="00965C71">
        <w:rPr>
          <w:lang w:val="es-ES"/>
        </w:rPr>
        <w:t xml:space="preserve"> de numerosas aplicaciones y redes. Por esta razón, </w:t>
      </w:r>
      <w:r>
        <w:rPr>
          <w:lang w:val="es-ES"/>
        </w:rPr>
        <w:t>las redes locales y públicas</w:t>
      </w:r>
      <w:r w:rsidRPr="00965C71">
        <w:rPr>
          <w:lang w:val="es-ES"/>
        </w:rPr>
        <w:t xml:space="preserve"> no forma</w:t>
      </w:r>
      <w:r>
        <w:rPr>
          <w:lang w:val="es-ES"/>
        </w:rPr>
        <w:t>n</w:t>
      </w:r>
      <w:r w:rsidRPr="00965C71">
        <w:rPr>
          <w:lang w:val="es-ES"/>
        </w:rPr>
        <w:t xml:space="preserve"> parte de la especificación DECT.</w:t>
      </w:r>
    </w:p>
    <w:p w:rsidR="00E50107" w:rsidRPr="00A43C05" w:rsidRDefault="00E50107" w:rsidP="009A38A9">
      <w:pPr>
        <w:pStyle w:val="Heading4"/>
        <w:rPr>
          <w:lang w:val="es-ES_tradnl"/>
        </w:rPr>
      </w:pPr>
      <w:bookmarkStart w:id="258" w:name="_Toc236826240"/>
      <w:r w:rsidRPr="00A43C05">
        <w:rPr>
          <w:lang w:val="es-ES_tradnl"/>
        </w:rPr>
        <w:t>9.2.1.6</w:t>
      </w:r>
      <w:r w:rsidRPr="00A43C05">
        <w:rPr>
          <w:lang w:val="es-ES_tradnl"/>
        </w:rPr>
        <w:tab/>
      </w:r>
      <w:bookmarkEnd w:id="258"/>
      <w:r w:rsidR="009A38A9" w:rsidRPr="009A38A9">
        <w:rPr>
          <w:lang w:val="es-ES_tradnl"/>
        </w:rPr>
        <w:t>OFDMA TDD WMAN IMT-2000</w:t>
      </w:r>
    </w:p>
    <w:p w:rsidR="00E50107" w:rsidRPr="00A43C05" w:rsidRDefault="009A38A9" w:rsidP="009A38A9">
      <w:pPr>
        <w:spacing w:before="70"/>
        <w:rPr>
          <w:lang w:val="es-ES_tradnl"/>
        </w:rPr>
      </w:pPr>
      <w:r w:rsidRPr="009A38A9">
        <w:rPr>
          <w:lang w:val="es-ES_tradnl"/>
        </w:rPr>
        <w:t>Nombre en la UIT</w:t>
      </w:r>
      <w:r w:rsidR="00E50107" w:rsidRPr="00A43C05">
        <w:rPr>
          <w:lang w:val="es-ES_tradnl"/>
        </w:rPr>
        <w:t>:</w:t>
      </w:r>
      <w:r w:rsidR="00E64B94" w:rsidRPr="00A43C05">
        <w:rPr>
          <w:lang w:val="es-ES_tradnl"/>
        </w:rPr>
        <w:tab/>
      </w:r>
      <w:r w:rsidRPr="00A43C05">
        <w:rPr>
          <w:lang w:val="es-ES_tradnl"/>
        </w:rPr>
        <w:tab/>
      </w:r>
      <w:r w:rsidRPr="009A38A9">
        <w:rPr>
          <w:lang w:val="es-ES_tradnl"/>
        </w:rPr>
        <w:t>OFDMA TDD WMAN IMT-2000</w:t>
      </w:r>
    </w:p>
    <w:p w:rsidR="00E50107" w:rsidRPr="00A43C05" w:rsidRDefault="009A38A9" w:rsidP="009A38A9">
      <w:pPr>
        <w:spacing w:before="70"/>
        <w:rPr>
          <w:lang w:val="es-ES_tradnl"/>
        </w:rPr>
      </w:pPr>
      <w:r w:rsidRPr="009A38A9">
        <w:rPr>
          <w:lang w:val="es-ES_tradnl"/>
        </w:rPr>
        <w:t>Nombres comunes</w:t>
      </w:r>
      <w:r w:rsidR="00E50107" w:rsidRPr="00A43C05">
        <w:rPr>
          <w:lang w:val="es-ES_tradnl"/>
        </w:rPr>
        <w:t>:</w:t>
      </w:r>
      <w:r w:rsidR="00E64B94" w:rsidRPr="00A43C05">
        <w:rPr>
          <w:lang w:val="es-ES_tradnl"/>
        </w:rPr>
        <w:tab/>
      </w:r>
      <w:r w:rsidR="00E64B94" w:rsidRPr="00A43C05">
        <w:rPr>
          <w:lang w:val="es-ES_tradnl"/>
        </w:rPr>
        <w:tab/>
      </w:r>
      <w:proofErr w:type="spellStart"/>
      <w:r w:rsidRPr="009A38A9">
        <w:rPr>
          <w:lang w:val="es-ES_tradnl"/>
        </w:rPr>
        <w:t>WiMAX</w:t>
      </w:r>
      <w:proofErr w:type="spellEnd"/>
      <w:r w:rsidRPr="009A38A9">
        <w:rPr>
          <w:lang w:val="es-ES_tradnl"/>
        </w:rPr>
        <w:t xml:space="preserve">, </w:t>
      </w:r>
      <w:proofErr w:type="spellStart"/>
      <w:r w:rsidRPr="009A38A9">
        <w:rPr>
          <w:lang w:val="es-ES_tradnl"/>
        </w:rPr>
        <w:t>WirelessMAN</w:t>
      </w:r>
      <w:proofErr w:type="spellEnd"/>
      <w:r w:rsidRPr="009A38A9">
        <w:rPr>
          <w:lang w:val="es-ES_tradnl"/>
        </w:rPr>
        <w:t>-OFDMA</w:t>
      </w:r>
    </w:p>
    <w:p w:rsidR="009A38A9" w:rsidRPr="00965C71" w:rsidRDefault="009A38A9" w:rsidP="009A38A9">
      <w:pPr>
        <w:rPr>
          <w:lang w:val="es-ES_tradnl"/>
        </w:rPr>
      </w:pPr>
      <w:r w:rsidRPr="00965C71">
        <w:rPr>
          <w:lang w:val="es-ES_tradnl"/>
        </w:rPr>
        <w:t xml:space="preserve">La norma del IEEE correspondiente a </w:t>
      </w:r>
      <w:r>
        <w:rPr>
          <w:lang w:val="es-ES_tradnl"/>
        </w:rPr>
        <w:t>OFDMA TDD WMAN IMT-2000</w:t>
      </w:r>
      <w:r w:rsidRPr="00965C71">
        <w:rPr>
          <w:lang w:val="es-ES_tradnl"/>
        </w:rPr>
        <w:t xml:space="preserve">, recibe el nombre de IEEE </w:t>
      </w:r>
      <w:proofErr w:type="spellStart"/>
      <w:r w:rsidRPr="00965C71">
        <w:rPr>
          <w:lang w:val="es-ES_tradnl"/>
        </w:rPr>
        <w:t>Std</w:t>
      </w:r>
      <w:proofErr w:type="spellEnd"/>
      <w:r w:rsidRPr="00965C71">
        <w:rPr>
          <w:lang w:val="es-ES_tradnl"/>
        </w:rPr>
        <w:t xml:space="preserve"> 802.16 y su desarrollo y mantenimiento es responsabilidad del Grupo de Trabajo IEEE 802.16 sobre acceso inalámbrico de banda ancha. Esta norma ha sido publicada por la IEEE </w:t>
      </w:r>
      <w:proofErr w:type="spellStart"/>
      <w:r w:rsidRPr="00965C71">
        <w:rPr>
          <w:lang w:val="es-ES_tradnl"/>
        </w:rPr>
        <w:t>Standards</w:t>
      </w:r>
      <w:proofErr w:type="spellEnd"/>
      <w:r w:rsidRPr="00965C71">
        <w:rPr>
          <w:lang w:val="es-ES_tradnl"/>
        </w:rPr>
        <w:t xml:space="preserve"> </w:t>
      </w:r>
      <w:proofErr w:type="spellStart"/>
      <w:r w:rsidRPr="00965C71">
        <w:rPr>
          <w:lang w:val="es-ES_tradnl"/>
        </w:rPr>
        <w:t>Association</w:t>
      </w:r>
      <w:proofErr w:type="spellEnd"/>
      <w:r w:rsidRPr="00965C71">
        <w:rPr>
          <w:lang w:val="es-ES_tradnl"/>
        </w:rPr>
        <w:t xml:space="preserve"> (IEEE-SA, </w:t>
      </w:r>
      <w:r w:rsidRPr="00965C71">
        <w:rPr>
          <w:i/>
          <w:lang w:val="es-ES_tradnl"/>
        </w:rPr>
        <w:t>Asociación de Normas IEEE</w:t>
      </w:r>
      <w:r w:rsidRPr="00965C71">
        <w:rPr>
          <w:lang w:val="es-ES_tradnl"/>
        </w:rPr>
        <w:t xml:space="preserve">) del </w:t>
      </w:r>
      <w:proofErr w:type="spellStart"/>
      <w:r w:rsidRPr="00965C71">
        <w:rPr>
          <w:lang w:val="es-ES_tradnl"/>
        </w:rPr>
        <w:t>Institute</w:t>
      </w:r>
      <w:proofErr w:type="spellEnd"/>
      <w:r w:rsidRPr="00965C71">
        <w:rPr>
          <w:lang w:val="es-ES_tradnl"/>
        </w:rPr>
        <w:t xml:space="preserve"> of </w:t>
      </w:r>
      <w:proofErr w:type="spellStart"/>
      <w:r w:rsidRPr="00965C71">
        <w:rPr>
          <w:lang w:val="es-ES_tradnl"/>
        </w:rPr>
        <w:t>Electrical</w:t>
      </w:r>
      <w:proofErr w:type="spellEnd"/>
      <w:r w:rsidRPr="00965C71">
        <w:rPr>
          <w:lang w:val="es-ES_tradnl"/>
        </w:rPr>
        <w:t xml:space="preserve"> and </w:t>
      </w:r>
      <w:proofErr w:type="spellStart"/>
      <w:r w:rsidRPr="00965C71">
        <w:rPr>
          <w:lang w:val="es-ES_tradnl"/>
        </w:rPr>
        <w:t>Electronics</w:t>
      </w:r>
      <w:proofErr w:type="spellEnd"/>
      <w:r w:rsidRPr="00965C71">
        <w:rPr>
          <w:lang w:val="es-ES_tradnl"/>
        </w:rPr>
        <w:t xml:space="preserve"> </w:t>
      </w:r>
      <w:proofErr w:type="spellStart"/>
      <w:r w:rsidRPr="00965C71">
        <w:rPr>
          <w:lang w:val="es-ES_tradnl"/>
        </w:rPr>
        <w:t>Engineers</w:t>
      </w:r>
      <w:proofErr w:type="spellEnd"/>
      <w:r w:rsidRPr="00965C71">
        <w:rPr>
          <w:lang w:val="es-ES_tradnl"/>
        </w:rPr>
        <w:t xml:space="preserve"> (IEEE, </w:t>
      </w:r>
      <w:r w:rsidRPr="00965C71">
        <w:rPr>
          <w:i/>
          <w:lang w:val="es-ES_tradnl"/>
        </w:rPr>
        <w:t>Instituto de Ingenieros Eléctricos y Electrónicos</w:t>
      </w:r>
      <w:r w:rsidRPr="00965C71">
        <w:rPr>
          <w:lang w:val="es-ES_tradnl"/>
        </w:rPr>
        <w:t>).</w:t>
      </w:r>
    </w:p>
    <w:p w:rsidR="009A38A9" w:rsidRPr="00965C71" w:rsidRDefault="009A38A9" w:rsidP="009A38A9">
      <w:pPr>
        <w:rPr>
          <w:lang w:val="es-ES_tradnl"/>
        </w:rPr>
      </w:pPr>
      <w:r w:rsidRPr="00965C71">
        <w:rPr>
          <w:lang w:val="es-ES_tradnl"/>
        </w:rPr>
        <w:t>La tecnología de la interfaz radioeléctrica especificada en l</w:t>
      </w:r>
      <w:r>
        <w:rPr>
          <w:lang w:val="es-ES_tradnl"/>
        </w:rPr>
        <w:t>a norma IEEE 802.16 es flexible y</w:t>
      </w:r>
      <w:r w:rsidRPr="00965C71">
        <w:rPr>
          <w:lang w:val="es-ES_tradnl"/>
        </w:rPr>
        <w:t xml:space="preserve"> puede utilizarse en una amplia diversidad de aplicaciones, frecuencias de funcionamiento y entornos reglamentarios. IEEE 802.16 cuenta con especificaciones de varias capas físicas, una de las cuales se conoce como </w:t>
      </w:r>
      <w:proofErr w:type="spellStart"/>
      <w:r w:rsidRPr="00965C71">
        <w:rPr>
          <w:lang w:val="es-ES_tradnl"/>
        </w:rPr>
        <w:t>WirelessMAN</w:t>
      </w:r>
      <w:proofErr w:type="spellEnd"/>
      <w:r w:rsidRPr="00965C71">
        <w:rPr>
          <w:lang w:val="es-ES_tradnl"/>
        </w:rPr>
        <w:t xml:space="preserve">-OFDMA. </w:t>
      </w:r>
      <w:r>
        <w:rPr>
          <w:lang w:val="es-ES_tradnl"/>
        </w:rPr>
        <w:t>OFDMA TDD WMAN</w:t>
      </w:r>
      <w:r w:rsidRPr="00965C71">
        <w:rPr>
          <w:lang w:val="es-ES_tradnl"/>
        </w:rPr>
        <w:t xml:space="preserve"> constituye un caso especial de </w:t>
      </w:r>
      <w:proofErr w:type="spellStart"/>
      <w:r w:rsidRPr="00965C71">
        <w:rPr>
          <w:lang w:val="es-ES_tradnl"/>
        </w:rPr>
        <w:t>WirelessMAN</w:t>
      </w:r>
      <w:proofErr w:type="spellEnd"/>
      <w:r w:rsidRPr="00965C71">
        <w:rPr>
          <w:lang w:val="es-ES_tradnl"/>
        </w:rPr>
        <w:t xml:space="preserve">-OFDMA que especifica una interfaz radioeléctrica interoperable particular. </w:t>
      </w:r>
      <w:r>
        <w:rPr>
          <w:lang w:val="es-ES_tradnl"/>
        </w:rPr>
        <w:t>OFDMA TDD WMAN</w:t>
      </w:r>
      <w:r w:rsidRPr="00965C71">
        <w:rPr>
          <w:lang w:val="es-ES_tradnl"/>
        </w:rPr>
        <w:t xml:space="preserve"> aquí definida sólo funciona en modo TDD.</w:t>
      </w:r>
    </w:p>
    <w:p w:rsidR="00E50107" w:rsidRPr="00A43C05" w:rsidRDefault="009A38A9" w:rsidP="009A38A9">
      <w:pPr>
        <w:rPr>
          <w:lang w:val="es-ES_tradnl"/>
        </w:rPr>
      </w:pPr>
      <w:r w:rsidRPr="00965C71">
        <w:rPr>
          <w:lang w:val="es-ES_tradnl"/>
        </w:rPr>
        <w:t xml:space="preserve">La interfaz radioeléctrica </w:t>
      </w:r>
      <w:r>
        <w:rPr>
          <w:lang w:val="es-ES_tradnl"/>
        </w:rPr>
        <w:t>OFDMA TDD WMAN</w:t>
      </w:r>
      <w:r w:rsidRPr="00965C71">
        <w:rPr>
          <w:lang w:val="es-ES_tradnl"/>
        </w:rPr>
        <w:t xml:space="preserve"> comprende las dos capas de red inferiores </w:t>
      </w:r>
      <w:r>
        <w:rPr>
          <w:lang w:val="es-ES_tradnl"/>
        </w:rPr>
        <w:t xml:space="preserve">– </w:t>
      </w:r>
      <w:r w:rsidRPr="00965C71">
        <w:rPr>
          <w:lang w:val="es-ES_tradnl"/>
        </w:rPr>
        <w:t>la capa física (PHY) y la capa de control del enlace de datos (DLC). El elemento inferior de la DLC es la capa de control de acceso al medio (MAC); el elemento superior de la DLC es la capa de control del enlace lógico (LLC). La capa PHY utiliza acceso múltiple por división ortogonal de frecuencia</w:t>
      </w:r>
      <w:r>
        <w:rPr>
          <w:lang w:val="es-ES_tradnl"/>
        </w:rPr>
        <w:t>s</w:t>
      </w:r>
      <w:r w:rsidRPr="00965C71">
        <w:rPr>
          <w:lang w:val="es-ES_tradnl"/>
        </w:rPr>
        <w:t xml:space="preserve"> (OFDMA) adecuada para ser utilizada en una </w:t>
      </w:r>
      <w:r>
        <w:rPr>
          <w:lang w:val="es-ES_tradnl"/>
        </w:rPr>
        <w:t>asignación</w:t>
      </w:r>
      <w:r w:rsidRPr="00965C71">
        <w:rPr>
          <w:lang w:val="es-ES_tradnl"/>
        </w:rPr>
        <w:t xml:space="preserve"> de canal de 5 MHz o 10 </w:t>
      </w:r>
      <w:proofErr w:type="spellStart"/>
      <w:r w:rsidRPr="00965C71">
        <w:rPr>
          <w:lang w:val="es-ES_tradnl"/>
        </w:rPr>
        <w:t>MHz.</w:t>
      </w:r>
      <w:proofErr w:type="spellEnd"/>
      <w:r w:rsidRPr="00965C71">
        <w:rPr>
          <w:lang w:val="es-ES_tradnl"/>
        </w:rPr>
        <w:t xml:space="preserve"> La MAC funciona con un protocolo orientado a la conexión diseñado para ser utilizado en una configuración punto a multipunto. </w:t>
      </w:r>
      <w:r>
        <w:rPr>
          <w:lang w:val="es-ES_tradnl"/>
        </w:rPr>
        <w:t>Se ha concebido para</w:t>
      </w:r>
      <w:r w:rsidRPr="00965C71">
        <w:rPr>
          <w:lang w:val="es-ES_tradnl"/>
        </w:rPr>
        <w:t xml:space="preserve"> transportar una amplia gama de servicios por conmutación de paquetes (normalmente </w:t>
      </w:r>
      <w:r>
        <w:rPr>
          <w:lang w:val="es-ES_tradnl"/>
        </w:rPr>
        <w:t>por</w:t>
      </w:r>
      <w:r w:rsidRPr="00965C71">
        <w:rPr>
          <w:lang w:val="es-ES_tradnl"/>
        </w:rPr>
        <w:t xml:space="preserve"> IP) permitiendo al mismo tiempo el control preciso e instantáneo de la </w:t>
      </w:r>
      <w:r>
        <w:rPr>
          <w:lang w:val="es-ES_tradnl"/>
        </w:rPr>
        <w:t>asignación</w:t>
      </w:r>
      <w:r w:rsidRPr="00965C71">
        <w:rPr>
          <w:lang w:val="es-ES_tradnl"/>
        </w:rPr>
        <w:t xml:space="preserve"> de recursos para poder efectuar la diferenciación de la calidad de servicio (</w:t>
      </w:r>
      <w:proofErr w:type="spellStart"/>
      <w:r w:rsidRPr="00965C71">
        <w:rPr>
          <w:lang w:val="es-ES_tradnl"/>
        </w:rPr>
        <w:t>QoS</w:t>
      </w:r>
      <w:proofErr w:type="spellEnd"/>
      <w:r w:rsidRPr="00965C71">
        <w:rPr>
          <w:lang w:val="es-ES_tradnl"/>
        </w:rPr>
        <w:t>) de la clase portadora completa.</w:t>
      </w:r>
    </w:p>
    <w:p w:rsidR="00837E13" w:rsidRPr="00A43C05" w:rsidRDefault="00837E13" w:rsidP="009A38A9">
      <w:pPr>
        <w:pStyle w:val="Heading2"/>
        <w:rPr>
          <w:lang w:val="es-ES_tradnl"/>
        </w:rPr>
      </w:pPr>
      <w:bookmarkStart w:id="259" w:name="_Toc44438547"/>
      <w:bookmarkStart w:id="260" w:name="_Toc44446762"/>
      <w:bookmarkStart w:id="261" w:name="_Toc53323422"/>
      <w:bookmarkStart w:id="262" w:name="_Toc63611628"/>
      <w:bookmarkStart w:id="263" w:name="_Toc89083700"/>
      <w:bookmarkStart w:id="264" w:name="_Toc92878209"/>
      <w:bookmarkStart w:id="265" w:name="_Toc101931271"/>
      <w:bookmarkStart w:id="266" w:name="_Toc103399290"/>
      <w:bookmarkStart w:id="267" w:name="_Toc103400368"/>
      <w:bookmarkStart w:id="268" w:name="_Toc103400832"/>
      <w:bookmarkStart w:id="269" w:name="_Toc103401296"/>
      <w:bookmarkStart w:id="270" w:name="_Toc103401761"/>
      <w:bookmarkStart w:id="271" w:name="_Toc103402227"/>
      <w:bookmarkStart w:id="272" w:name="_Toc103402692"/>
      <w:bookmarkStart w:id="273" w:name="_Toc103403457"/>
      <w:bookmarkStart w:id="274" w:name="_Toc103421227"/>
      <w:bookmarkStart w:id="275" w:name="_Toc103528401"/>
      <w:bookmarkStart w:id="276" w:name="_Toc236826241"/>
      <w:bookmarkStart w:id="277" w:name="_Toc255292537"/>
      <w:bookmarkStart w:id="278" w:name="_Toc259024242"/>
      <w:r w:rsidRPr="00A43C05">
        <w:rPr>
          <w:lang w:val="es-ES_tradnl"/>
        </w:rPr>
        <w:t>9.3</w:t>
      </w:r>
      <w:r w:rsidRPr="00A43C05">
        <w:rPr>
          <w:lang w:val="es-ES_tradnl"/>
        </w:rPr>
        <w:tab/>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009A38A9" w:rsidRPr="009A38A9">
        <w:rPr>
          <w:lang w:val="es-ES_tradnl"/>
        </w:rPr>
        <w:t>Transición de los sistemas analógicos (1G) (AMPS, NMT y TACS)</w:t>
      </w:r>
      <w:bookmarkEnd w:id="278"/>
    </w:p>
    <w:p w:rsidR="00837E13" w:rsidRPr="00A43C05" w:rsidRDefault="009A38A9" w:rsidP="009A38A9">
      <w:pPr>
        <w:rPr>
          <w:lang w:val="es-ES_tradnl"/>
        </w:rPr>
      </w:pPr>
      <w:r w:rsidRPr="009A38A9">
        <w:rPr>
          <w:lang w:val="es-ES_tradnl"/>
        </w:rPr>
        <w:t>Los operadores de los sistemas analógicos pueden efectuar la migración de sus sistemas a las IMT</w:t>
      </w:r>
      <w:r w:rsidRPr="009A38A9">
        <w:rPr>
          <w:lang w:val="es-ES_tradnl"/>
        </w:rPr>
        <w:noBreakHyphen/>
        <w:t>2000 ya sea directamente o por migración previa a una tecnología digital anterior a las IMT</w:t>
      </w:r>
      <w:r w:rsidRPr="009A38A9">
        <w:rPr>
          <w:lang w:val="es-ES_tradnl"/>
        </w:rPr>
        <w:noBreakHyphen/>
        <w:t>2000 y de ésta a las IMT</w:t>
      </w:r>
      <w:r w:rsidRPr="009A38A9">
        <w:rPr>
          <w:lang w:val="es-ES_tradnl"/>
        </w:rPr>
        <w:noBreakHyphen/>
        <w:t>2000.</w:t>
      </w:r>
    </w:p>
    <w:p w:rsidR="00837E13" w:rsidRPr="00A43C05" w:rsidRDefault="00837E13" w:rsidP="00863244">
      <w:pPr>
        <w:pStyle w:val="Heading3"/>
        <w:rPr>
          <w:lang w:val="es-ES_tradnl"/>
        </w:rPr>
      </w:pPr>
      <w:bookmarkStart w:id="279" w:name="_Toc44438548"/>
      <w:bookmarkStart w:id="280" w:name="_Toc44446763"/>
      <w:bookmarkStart w:id="281" w:name="_Toc53323423"/>
      <w:bookmarkStart w:id="282" w:name="_Toc63611629"/>
      <w:bookmarkStart w:id="283" w:name="_Toc89083701"/>
      <w:bookmarkStart w:id="284" w:name="_Toc92878210"/>
      <w:bookmarkStart w:id="285" w:name="_Toc101931272"/>
      <w:bookmarkStart w:id="286" w:name="_Toc103399291"/>
      <w:bookmarkStart w:id="287" w:name="_Toc103400369"/>
      <w:bookmarkStart w:id="288" w:name="_Toc103400833"/>
      <w:bookmarkStart w:id="289" w:name="_Toc103401297"/>
      <w:bookmarkStart w:id="290" w:name="_Toc103401762"/>
      <w:bookmarkStart w:id="291" w:name="_Toc103402228"/>
      <w:bookmarkStart w:id="292" w:name="_Toc103402693"/>
      <w:bookmarkStart w:id="293" w:name="_Toc103403458"/>
      <w:bookmarkStart w:id="294" w:name="_Toc103421228"/>
      <w:bookmarkStart w:id="295" w:name="_Toc103528402"/>
      <w:bookmarkStart w:id="296" w:name="_Toc255292538"/>
      <w:bookmarkStart w:id="297" w:name="_Toc259024243"/>
      <w:r w:rsidRPr="00A43C05">
        <w:rPr>
          <w:lang w:val="es-ES_tradnl"/>
        </w:rPr>
        <w:lastRenderedPageBreak/>
        <w:t>9.3.1</w:t>
      </w:r>
      <w:r w:rsidRPr="00A43C05">
        <w:rPr>
          <w:lang w:val="es-ES_tradnl"/>
        </w:rPr>
        <w:tab/>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009A38A9" w:rsidRPr="009A38A9">
        <w:rPr>
          <w:lang w:val="es-ES_tradnl"/>
        </w:rPr>
        <w:t>Transición a CDMA IMT</w:t>
      </w:r>
      <w:r w:rsidR="009A38A9" w:rsidRPr="009A38A9">
        <w:rPr>
          <w:lang w:val="es-ES_tradnl"/>
        </w:rPr>
        <w:noBreakHyphen/>
        <w:t>2000 con ensanchamiento directo</w:t>
      </w:r>
      <w:bookmarkEnd w:id="297"/>
    </w:p>
    <w:p w:rsidR="009A38A9" w:rsidRPr="00965C71" w:rsidRDefault="009A38A9" w:rsidP="00863244">
      <w:pPr>
        <w:keepNext/>
        <w:keepLines/>
        <w:rPr>
          <w:lang w:val="es-ES"/>
        </w:rPr>
      </w:pPr>
      <w:r w:rsidRPr="00965C71">
        <w:rPr>
          <w:lang w:val="es-ES"/>
        </w:rPr>
        <w:t xml:space="preserve">Cuando hay espectro y recursos suficientes, los operadores AMPS pueden efectuar la migración de usuarios y/o servicios directamente a la técnica </w:t>
      </w:r>
      <w:r>
        <w:rPr>
          <w:lang w:val="es-ES"/>
        </w:rPr>
        <w:t>CDMA IMT-2000 con ensanchamiento directo</w:t>
      </w:r>
      <w:r w:rsidRPr="00965C71">
        <w:rPr>
          <w:lang w:val="es-ES"/>
        </w:rPr>
        <w:t>.</w:t>
      </w:r>
    </w:p>
    <w:p w:rsidR="009A38A9" w:rsidRPr="00965C71" w:rsidRDefault="009A38A9" w:rsidP="00863244">
      <w:pPr>
        <w:keepNext/>
        <w:keepLines/>
        <w:rPr>
          <w:strike/>
          <w:lang w:val="es-ES"/>
        </w:rPr>
      </w:pPr>
      <w:r>
        <w:rPr>
          <w:lang w:val="es-ES"/>
        </w:rPr>
        <w:t>Para</w:t>
      </w:r>
      <w:r w:rsidRPr="00965C71">
        <w:rPr>
          <w:lang w:val="es-ES"/>
        </w:rPr>
        <w:t xml:space="preserve"> los operadores de sistemas AMPS que prefieran </w:t>
      </w:r>
      <w:r>
        <w:rPr>
          <w:lang w:val="es-ES"/>
        </w:rPr>
        <w:t>la evolución</w:t>
      </w:r>
      <w:r w:rsidRPr="00965C71">
        <w:rPr>
          <w:lang w:val="es-ES"/>
        </w:rPr>
        <w:t xml:space="preserve">, un trayecto lógico es la evolución a TDMA y </w:t>
      </w:r>
      <w:r>
        <w:rPr>
          <w:lang w:val="es-ES"/>
        </w:rPr>
        <w:t xml:space="preserve">desde ésta </w:t>
      </w:r>
      <w:r w:rsidRPr="00965C71">
        <w:rPr>
          <w:lang w:val="es-ES"/>
        </w:rPr>
        <w:t>a las IMT</w:t>
      </w:r>
      <w:r w:rsidRPr="00965C71">
        <w:rPr>
          <w:lang w:val="es-ES"/>
        </w:rPr>
        <w:noBreakHyphen/>
        <w:t>2000, ya que la</w:t>
      </w:r>
      <w:r>
        <w:rPr>
          <w:lang w:val="es-ES"/>
        </w:rPr>
        <w:t>s</w:t>
      </w:r>
      <w:r w:rsidRPr="00965C71">
        <w:rPr>
          <w:lang w:val="es-ES"/>
        </w:rPr>
        <w:t xml:space="preserve"> </w:t>
      </w:r>
      <w:r>
        <w:rPr>
          <w:lang w:val="es-ES"/>
        </w:rPr>
        <w:t>interfaces aéreas</w:t>
      </w:r>
      <w:r w:rsidRPr="00965C71">
        <w:rPr>
          <w:lang w:val="es-ES"/>
        </w:rPr>
        <w:t xml:space="preserve"> de AMPS y TDMA utiliza</w:t>
      </w:r>
      <w:r>
        <w:rPr>
          <w:lang w:val="es-ES"/>
        </w:rPr>
        <w:t>n</w:t>
      </w:r>
      <w:r w:rsidRPr="00965C71">
        <w:rPr>
          <w:lang w:val="es-ES"/>
        </w:rPr>
        <w:t xml:space="preserve"> canales</w:t>
      </w:r>
      <w:r>
        <w:rPr>
          <w:lang w:val="es-ES"/>
        </w:rPr>
        <w:t xml:space="preserve"> de</w:t>
      </w:r>
      <w:r w:rsidRPr="00965C71">
        <w:rPr>
          <w:lang w:val="es-ES"/>
        </w:rPr>
        <w:t xml:space="preserve"> RF de 30 </w:t>
      </w:r>
      <w:proofErr w:type="spellStart"/>
      <w:r w:rsidRPr="00965C71">
        <w:rPr>
          <w:lang w:val="es-ES"/>
        </w:rPr>
        <w:t>kHz</w:t>
      </w:r>
      <w:proofErr w:type="spellEnd"/>
      <w:r w:rsidRPr="00965C71">
        <w:rPr>
          <w:lang w:val="es-ES"/>
        </w:rPr>
        <w:t>, lo que hace posible el paso de AMPS a TDMA</w:t>
      </w:r>
      <w:r>
        <w:rPr>
          <w:lang w:val="es-ES"/>
        </w:rPr>
        <w:t xml:space="preserve">, </w:t>
      </w:r>
      <w:r w:rsidRPr="00965C71">
        <w:rPr>
          <w:lang w:val="es-ES"/>
        </w:rPr>
        <w:t xml:space="preserve">canal </w:t>
      </w:r>
      <w:r>
        <w:rPr>
          <w:lang w:val="es-ES"/>
        </w:rPr>
        <w:t>a</w:t>
      </w:r>
      <w:r w:rsidRPr="00965C71">
        <w:rPr>
          <w:lang w:val="es-ES"/>
        </w:rPr>
        <w:t xml:space="preserve"> canal. Asimismo, TDMA (ANSI-136) soporta combinaciones de canales de control y canales de tráfico y analógicos y digitales, lo que facilita el trayecto de transición.</w:t>
      </w:r>
    </w:p>
    <w:p w:rsidR="009A38A9" w:rsidRPr="00965C71" w:rsidRDefault="009A38A9" w:rsidP="009A38A9">
      <w:pPr>
        <w:rPr>
          <w:lang w:val="es-ES"/>
        </w:rPr>
      </w:pPr>
      <w:r w:rsidRPr="00965C71">
        <w:rPr>
          <w:lang w:val="es-ES"/>
        </w:rPr>
        <w:t xml:space="preserve">La evolución </w:t>
      </w:r>
      <w:r>
        <w:rPr>
          <w:lang w:val="es-ES"/>
        </w:rPr>
        <w:t>de la red básica</w:t>
      </w:r>
      <w:r w:rsidRPr="00965C71">
        <w:rPr>
          <w:lang w:val="es-ES"/>
        </w:rPr>
        <w:t xml:space="preserve"> es posible debido a que </w:t>
      </w:r>
      <w:r>
        <w:rPr>
          <w:lang w:val="es-ES"/>
        </w:rPr>
        <w:t>tanto</w:t>
      </w:r>
      <w:r w:rsidRPr="00965C71">
        <w:rPr>
          <w:lang w:val="es-ES"/>
        </w:rPr>
        <w:t xml:space="preserve"> AMPS </w:t>
      </w:r>
      <w:r>
        <w:rPr>
          <w:lang w:val="es-ES"/>
        </w:rPr>
        <w:t>como</w:t>
      </w:r>
      <w:r w:rsidRPr="00965C71">
        <w:rPr>
          <w:lang w:val="es-ES"/>
        </w:rPr>
        <w:t xml:space="preserve"> TDMA pueden </w:t>
      </w:r>
      <w:r>
        <w:rPr>
          <w:lang w:val="es-ES"/>
        </w:rPr>
        <w:t>funcionar</w:t>
      </w:r>
      <w:r w:rsidRPr="00965C71">
        <w:rPr>
          <w:lang w:val="es-ES"/>
        </w:rPr>
        <w:t xml:space="preserve"> en las redes básicas ANSI</w:t>
      </w:r>
      <w:r w:rsidRPr="00965C71">
        <w:rPr>
          <w:lang w:val="es-ES"/>
        </w:rPr>
        <w:noBreakHyphen/>
        <w:t>41.</w:t>
      </w:r>
    </w:p>
    <w:p w:rsidR="009A38A9" w:rsidRPr="00965C71" w:rsidRDefault="009A38A9" w:rsidP="009A38A9">
      <w:pPr>
        <w:rPr>
          <w:lang w:val="es-ES"/>
        </w:rPr>
      </w:pPr>
      <w:r w:rsidRPr="00965C71">
        <w:rPr>
          <w:lang w:val="es-ES"/>
        </w:rPr>
        <w:t xml:space="preserve">Una vez efectuada la transición </w:t>
      </w:r>
      <w:r>
        <w:rPr>
          <w:lang w:val="es-ES"/>
        </w:rPr>
        <w:t>de</w:t>
      </w:r>
      <w:r w:rsidRPr="00965C71">
        <w:rPr>
          <w:lang w:val="es-ES"/>
        </w:rPr>
        <w:t xml:space="preserve"> AMPS </w:t>
      </w:r>
      <w:r>
        <w:rPr>
          <w:lang w:val="es-ES"/>
        </w:rPr>
        <w:t>a</w:t>
      </w:r>
      <w:r w:rsidRPr="00965C71">
        <w:rPr>
          <w:lang w:val="es-ES"/>
        </w:rPr>
        <w:t xml:space="preserve"> TDMA, puede adoptarse una estrategia d</w:t>
      </w:r>
      <w:r>
        <w:rPr>
          <w:lang w:val="es-ES"/>
        </w:rPr>
        <w:t>e super</w:t>
      </w:r>
      <w:r w:rsidRPr="00965C71">
        <w:rPr>
          <w:lang w:val="es-ES"/>
        </w:rPr>
        <w:t xml:space="preserve">posición </w:t>
      </w:r>
      <w:r>
        <w:rPr>
          <w:lang w:val="es-ES"/>
        </w:rPr>
        <w:t xml:space="preserve">de </w:t>
      </w:r>
      <w:r w:rsidRPr="00965C71">
        <w:rPr>
          <w:lang w:val="es-ES"/>
        </w:rPr>
        <w:t xml:space="preserve">GSM/GPRS para proporcionar un servicio común de datos por paquetes a los abonados </w:t>
      </w:r>
      <w:r>
        <w:rPr>
          <w:lang w:val="es-ES"/>
        </w:rPr>
        <w:t xml:space="preserve">del </w:t>
      </w:r>
      <w:r w:rsidRPr="00965C71">
        <w:rPr>
          <w:lang w:val="es-ES"/>
        </w:rPr>
        <w:t xml:space="preserve">TDMA y a los abonados </w:t>
      </w:r>
      <w:r>
        <w:rPr>
          <w:lang w:val="es-ES"/>
        </w:rPr>
        <w:t xml:space="preserve">del </w:t>
      </w:r>
      <w:r w:rsidRPr="00965C71">
        <w:rPr>
          <w:lang w:val="es-ES"/>
        </w:rPr>
        <w:t xml:space="preserve">GSM, puesto que muchos operadores TDMA han adoptado ya ese sistema, que los ha llevado a desplegar GSM MAP y a sentar las bases para realizar la transición hacia la tecnología </w:t>
      </w:r>
      <w:r>
        <w:rPr>
          <w:lang w:val="es-ES"/>
        </w:rPr>
        <w:t>CDMA IMT-2000 con ensanchamiento directo</w:t>
      </w:r>
      <w:r w:rsidRPr="00965C71">
        <w:rPr>
          <w:lang w:val="es-ES"/>
        </w:rPr>
        <w:t xml:space="preserve">. Este </w:t>
      </w:r>
      <w:r>
        <w:rPr>
          <w:lang w:val="es-ES"/>
        </w:rPr>
        <w:t>trayecto</w:t>
      </w:r>
      <w:r w:rsidRPr="00965C71">
        <w:rPr>
          <w:lang w:val="es-ES"/>
        </w:rPr>
        <w:t xml:space="preserve"> hace posible que los operadores analógicos aprovechen la experiencia obtenida por muchos operadores TDMA en su transición hacia TDM</w:t>
      </w:r>
      <w:r>
        <w:rPr>
          <w:lang w:val="es-ES"/>
        </w:rPr>
        <w:t>A</w:t>
      </w:r>
      <w:r w:rsidRPr="00965C71">
        <w:rPr>
          <w:lang w:val="es-ES"/>
        </w:rPr>
        <w:noBreakHyphen/>
        <w:t>SC IMT</w:t>
      </w:r>
      <w:r w:rsidRPr="00965C71">
        <w:rPr>
          <w:lang w:val="es-ES"/>
        </w:rPr>
        <w:noBreakHyphen/>
        <w:t xml:space="preserve">2000 y </w:t>
      </w:r>
      <w:r>
        <w:rPr>
          <w:lang w:val="es-ES"/>
        </w:rPr>
        <w:t>CDMA IMT-2000 con ensanchamiento directo</w:t>
      </w:r>
      <w:r w:rsidRPr="00965C71">
        <w:rPr>
          <w:lang w:val="es-ES"/>
        </w:rPr>
        <w:t>. Dicha estrategia permite también que un</w:t>
      </w:r>
      <w:r>
        <w:rPr>
          <w:lang w:val="es-ES"/>
        </w:rPr>
        <w:t xml:space="preserve"> operador analógico emprenda un trayecto de</w:t>
      </w:r>
      <w:r w:rsidRPr="00965C71">
        <w:rPr>
          <w:lang w:val="es-ES"/>
        </w:rPr>
        <w:t xml:space="preserve"> transición ordenada utilizando tecnologías tales como GAIT que </w:t>
      </w:r>
      <w:r>
        <w:rPr>
          <w:lang w:val="es-ES"/>
        </w:rPr>
        <w:t>permite</w:t>
      </w:r>
      <w:r w:rsidRPr="00965C71">
        <w:rPr>
          <w:lang w:val="es-ES"/>
        </w:rPr>
        <w:t xml:space="preserve"> la </w:t>
      </w:r>
      <w:proofErr w:type="spellStart"/>
      <w:r w:rsidRPr="00965C71">
        <w:rPr>
          <w:lang w:val="es-ES"/>
        </w:rPr>
        <w:t>itinerancia</w:t>
      </w:r>
      <w:proofErr w:type="spellEnd"/>
      <w:r w:rsidRPr="00965C71">
        <w:rPr>
          <w:lang w:val="es-ES"/>
        </w:rPr>
        <w:t xml:space="preserve"> entre las redes GSM y</w:t>
      </w:r>
      <w:r>
        <w:rPr>
          <w:lang w:val="es-ES"/>
        </w:rPr>
        <w:t xml:space="preserve"> las</w:t>
      </w:r>
      <w:r w:rsidRPr="00965C71">
        <w:rPr>
          <w:lang w:val="es-ES"/>
        </w:rPr>
        <w:t xml:space="preserve"> TDMA</w:t>
      </w:r>
      <w:r>
        <w:rPr>
          <w:lang w:val="es-ES"/>
        </w:rPr>
        <w:t>, efectuando</w:t>
      </w:r>
      <w:r w:rsidRPr="00965C71">
        <w:rPr>
          <w:lang w:val="es-ES"/>
        </w:rPr>
        <w:t xml:space="preserve"> así una transición </w:t>
      </w:r>
      <w:r>
        <w:rPr>
          <w:lang w:val="es-ES"/>
        </w:rPr>
        <w:t>en</w:t>
      </w:r>
      <w:r w:rsidRPr="00965C71">
        <w:rPr>
          <w:lang w:val="es-ES"/>
        </w:rPr>
        <w:t xml:space="preserve"> pequeños pasos incrementales, </w:t>
      </w:r>
      <w:r>
        <w:rPr>
          <w:lang w:val="es-ES"/>
        </w:rPr>
        <w:t>conforme</w:t>
      </w:r>
      <w:r w:rsidRPr="00965C71">
        <w:rPr>
          <w:lang w:val="es-ES"/>
        </w:rPr>
        <w:t xml:space="preserve"> se </w:t>
      </w:r>
      <w:r>
        <w:rPr>
          <w:lang w:val="es-ES"/>
        </w:rPr>
        <w:t>dispone</w:t>
      </w:r>
      <w:r w:rsidRPr="00965C71">
        <w:rPr>
          <w:lang w:val="es-ES"/>
        </w:rPr>
        <w:t xml:space="preserve"> de los recursos necesarios.</w:t>
      </w:r>
    </w:p>
    <w:p w:rsidR="00837E13" w:rsidRPr="00A43C05" w:rsidRDefault="009A38A9" w:rsidP="009A38A9">
      <w:pPr>
        <w:rPr>
          <w:lang w:val="es-ES_tradnl"/>
        </w:rPr>
      </w:pPr>
      <w:r w:rsidRPr="00965C71">
        <w:rPr>
          <w:lang w:val="es-ES"/>
        </w:rPr>
        <w:t xml:space="preserve">En Europa Occidental todos los sistemas NMT900, los sistemas TACS y algunos sistemas NMT450 ya han iniciado la transición hacia GSM. La transición de las redes NMT requirió una nueva red básica GMS-MAP, pese a que esta red se basa conceptualmente en la arquitectura de red </w:t>
      </w:r>
      <w:proofErr w:type="spellStart"/>
      <w:r w:rsidRPr="00965C71">
        <w:rPr>
          <w:lang w:val="es-ES"/>
        </w:rPr>
        <w:t>básica</w:t>
      </w:r>
      <w:r w:rsidRPr="00965C71">
        <w:rPr>
          <w:lang w:val="es-ES"/>
        </w:rPr>
        <w:noBreakHyphen/>
        <w:t>NMT</w:t>
      </w:r>
      <w:proofErr w:type="spellEnd"/>
      <w:r w:rsidRPr="00965C71">
        <w:rPr>
          <w:lang w:val="es-ES"/>
        </w:rPr>
        <w:t>.</w:t>
      </w:r>
    </w:p>
    <w:p w:rsidR="00837E13" w:rsidRPr="00A43C05" w:rsidRDefault="00837E13" w:rsidP="009A38A9">
      <w:pPr>
        <w:pStyle w:val="Heading3"/>
        <w:rPr>
          <w:lang w:val="es-ES_tradnl"/>
        </w:rPr>
      </w:pPr>
      <w:bookmarkStart w:id="298" w:name="_Toc255292539"/>
      <w:bookmarkStart w:id="299" w:name="_Toc259024244"/>
      <w:r w:rsidRPr="00A43C05">
        <w:rPr>
          <w:lang w:val="es-ES_tradnl"/>
        </w:rPr>
        <w:t>9.3.2</w:t>
      </w:r>
      <w:r w:rsidRPr="00A43C05">
        <w:rPr>
          <w:lang w:val="es-ES_tradnl"/>
        </w:rPr>
        <w:tab/>
      </w:r>
      <w:bookmarkEnd w:id="298"/>
      <w:r w:rsidR="009A38A9" w:rsidRPr="009A38A9">
        <w:rPr>
          <w:lang w:val="es-ES_tradnl"/>
        </w:rPr>
        <w:t>Transición a CDMA IMT</w:t>
      </w:r>
      <w:r w:rsidR="009A38A9" w:rsidRPr="009A38A9">
        <w:rPr>
          <w:lang w:val="es-ES_tradnl"/>
        </w:rPr>
        <w:noBreakHyphen/>
        <w:t xml:space="preserve">2000 con </w:t>
      </w:r>
      <w:proofErr w:type="spellStart"/>
      <w:r w:rsidR="009A38A9" w:rsidRPr="009A38A9">
        <w:rPr>
          <w:lang w:val="es-ES_tradnl"/>
        </w:rPr>
        <w:t>multiportadora</w:t>
      </w:r>
      <w:bookmarkEnd w:id="299"/>
      <w:proofErr w:type="spellEnd"/>
    </w:p>
    <w:p w:rsidR="00837E13" w:rsidRPr="00A43C05" w:rsidRDefault="009A38A9" w:rsidP="009A38A9">
      <w:pPr>
        <w:rPr>
          <w:lang w:val="es-ES_tradnl"/>
        </w:rPr>
      </w:pPr>
      <w:r w:rsidRPr="009A38A9">
        <w:rPr>
          <w:lang w:val="es-ES"/>
        </w:rPr>
        <w:t>Los sistemas AMPS se basan en los protocolos de red básica ANSI</w:t>
      </w:r>
      <w:r w:rsidRPr="009A38A9">
        <w:rPr>
          <w:lang w:val="es-ES"/>
        </w:rPr>
        <w:noBreakHyphen/>
        <w:t xml:space="preserve">41, que constituyen también el fundamento de las redes básicas CDMA IMT-2000 con </w:t>
      </w:r>
      <w:proofErr w:type="spellStart"/>
      <w:r w:rsidRPr="009A38A9">
        <w:rPr>
          <w:lang w:val="es-ES"/>
        </w:rPr>
        <w:t>multiportadora</w:t>
      </w:r>
      <w:proofErr w:type="spellEnd"/>
      <w:r w:rsidRPr="009A38A9">
        <w:rPr>
          <w:lang w:val="es-ES"/>
        </w:rPr>
        <w:t xml:space="preserve">. Esto facilita una transición fácil y paulatina de los sistemas AMPS hacia las IMT-2000 con </w:t>
      </w:r>
      <w:proofErr w:type="spellStart"/>
      <w:r w:rsidRPr="009A38A9">
        <w:rPr>
          <w:lang w:val="es-ES"/>
        </w:rPr>
        <w:t>multiportadora</w:t>
      </w:r>
      <w:proofErr w:type="spellEnd"/>
      <w:r w:rsidRPr="009A38A9">
        <w:rPr>
          <w:lang w:val="es-ES"/>
        </w:rPr>
        <w:t xml:space="preserve">, ya que puede volverse a utilizar la mayor parte de los elementos de red básica, lo que abarata el costo del despliegue. Para superponer el equipo CDMA IMT-2000 con </w:t>
      </w:r>
      <w:proofErr w:type="spellStart"/>
      <w:r w:rsidRPr="009A38A9">
        <w:rPr>
          <w:lang w:val="es-ES"/>
        </w:rPr>
        <w:t>multiportadora</w:t>
      </w:r>
      <w:proofErr w:type="spellEnd"/>
      <w:r w:rsidRPr="009A38A9">
        <w:rPr>
          <w:lang w:val="es-ES"/>
        </w:rPr>
        <w:t xml:space="preserve"> a estos sistemas analógicos, los operadores deben añadir nuevas estaciones de base, controladores de la estación de base y un nodo de soporte de datos en paquetes, así como actualizar los programas informáticos del centro de conmutación móvil. En la Figura 9.3.2 se indican los nuevos componentes que exige la transición de AMPS a CDMA2000. Muchos teléfonos portátiles CDMA soportan AMPS, motivo por el cual la liberación de espectro para añadir portadoras de RF CDMA2000 RF es prácticamente transparente para los abonados.</w:t>
      </w:r>
    </w:p>
    <w:p w:rsidR="00957A4F" w:rsidRPr="00A43C05" w:rsidRDefault="00957A4F" w:rsidP="00957A4F">
      <w:pPr>
        <w:pStyle w:val="Normalaftertitle0"/>
        <w:rPr>
          <w:lang w:val="es-ES_tradnl"/>
        </w:rPr>
      </w:pPr>
    </w:p>
    <w:p w:rsidR="00957A4F" w:rsidRPr="00A43C05" w:rsidRDefault="00957A4F" w:rsidP="002A506D">
      <w:pPr>
        <w:pStyle w:val="FigureTitle"/>
        <w:rPr>
          <w:rFonts w:asciiTheme="majorBidi" w:hAnsiTheme="majorBidi" w:cstheme="majorBidi"/>
          <w:lang w:val="es-ES_tradnl"/>
        </w:rPr>
      </w:pPr>
      <w:r w:rsidRPr="00A43C05">
        <w:rPr>
          <w:rFonts w:asciiTheme="majorBidi" w:hAnsiTheme="majorBidi" w:cstheme="majorBidi"/>
          <w:lang w:val="es-ES_tradnl"/>
        </w:rPr>
        <w:lastRenderedPageBreak/>
        <w:t>Figur</w:t>
      </w:r>
      <w:r w:rsidR="002A506D" w:rsidRPr="00A43C05">
        <w:rPr>
          <w:rFonts w:asciiTheme="majorBidi" w:hAnsiTheme="majorBidi" w:cstheme="majorBidi"/>
          <w:lang w:val="es-ES_tradnl"/>
        </w:rPr>
        <w:t>a</w:t>
      </w:r>
      <w:r w:rsidRPr="00A43C05">
        <w:rPr>
          <w:rFonts w:asciiTheme="majorBidi" w:hAnsiTheme="majorBidi" w:cstheme="majorBidi"/>
          <w:lang w:val="es-ES_tradnl"/>
        </w:rPr>
        <w:t xml:space="preserve"> 9.3.2: </w:t>
      </w:r>
      <w:r w:rsidR="002A506D" w:rsidRPr="002A506D">
        <w:rPr>
          <w:rFonts w:asciiTheme="majorBidi" w:hAnsiTheme="majorBidi" w:cstheme="majorBidi"/>
          <w:lang w:val="es-ES_tradnl"/>
        </w:rPr>
        <w:t>Trayecto de migración de AMPS a</w:t>
      </w:r>
      <w:r w:rsidR="002A506D">
        <w:rPr>
          <w:rFonts w:asciiTheme="majorBidi" w:hAnsiTheme="majorBidi" w:cstheme="majorBidi"/>
          <w:lang w:val="es-ES_tradnl"/>
        </w:rPr>
        <w:t xml:space="preserve"> </w:t>
      </w:r>
      <w:r w:rsidR="002A506D" w:rsidRPr="002A506D">
        <w:rPr>
          <w:rFonts w:asciiTheme="majorBidi" w:hAnsiTheme="majorBidi" w:cstheme="majorBidi"/>
          <w:lang w:val="es-ES_tradnl"/>
        </w:rPr>
        <w:t xml:space="preserve">CDMA IMT-2000 con </w:t>
      </w:r>
      <w:proofErr w:type="spellStart"/>
      <w:r w:rsidR="002A506D" w:rsidRPr="002A506D">
        <w:rPr>
          <w:rFonts w:asciiTheme="majorBidi" w:hAnsiTheme="majorBidi" w:cstheme="majorBidi"/>
          <w:lang w:val="es-ES_tradnl"/>
        </w:rPr>
        <w:t>multiportadora</w:t>
      </w:r>
      <w:proofErr w:type="spellEnd"/>
    </w:p>
    <w:p w:rsidR="00957A4F" w:rsidRDefault="00312559" w:rsidP="00957A4F">
      <w:pPr>
        <w:pStyle w:val="Figure"/>
        <w:rPr>
          <w:sz w:val="20"/>
          <w:szCs w:val="22"/>
        </w:rPr>
      </w:pPr>
      <w:r w:rsidRPr="00965C71">
        <w:rPr>
          <w:sz w:val="19"/>
          <w:szCs w:val="19"/>
          <w:lang w:val="es-ES_tradnl"/>
        </w:rPr>
        <w:object w:dxaOrig="5922" w:dyaOrig="6983">
          <v:shape id="_x0000_i1027" type="#_x0000_t75" style="width:275.25pt;height:324.75pt" o:ole="">
            <v:imagedata r:id="rId23" o:title=""/>
          </v:shape>
          <o:OLEObject Type="Embed" ProgID="CorelDRAW.Graphic.14" ShapeID="_x0000_i1027" DrawAspect="Content" ObjectID="_1334060540" r:id="rId24"/>
        </w:object>
      </w:r>
    </w:p>
    <w:p w:rsidR="00957A4F" w:rsidRDefault="00957A4F" w:rsidP="00957A4F">
      <w:pPr>
        <w:pStyle w:val="FigureSource"/>
      </w:pPr>
    </w:p>
    <w:p w:rsidR="00AF396C" w:rsidRPr="00965C71" w:rsidRDefault="00AF396C" w:rsidP="00863244">
      <w:pPr>
        <w:pStyle w:val="Normalaftertitle"/>
        <w:rPr>
          <w:lang w:val="es-ES_tradnl"/>
        </w:rPr>
      </w:pPr>
      <w:r w:rsidRPr="00965C71">
        <w:rPr>
          <w:lang w:val="es-ES_tradnl"/>
        </w:rPr>
        <w:t>Aunque los sistemas NMT no utilizan el protocolo de red básica ANSI-41, a algunos operadores NMT les ha resultado fácil efectuar la transición a CDMA2000 dentro de su banda de frecuencias NMT (450</w:t>
      </w:r>
      <w:r w:rsidRPr="00965C71">
        <w:rPr>
          <w:lang w:val="es-ES_tradnl"/>
        </w:rPr>
        <w:noBreakHyphen/>
        <w:t xml:space="preserve">470 MHz), identificada </w:t>
      </w:r>
      <w:r>
        <w:rPr>
          <w:lang w:val="es-ES_tradnl"/>
        </w:rPr>
        <w:t>por</w:t>
      </w:r>
      <w:r w:rsidRPr="00965C71">
        <w:rPr>
          <w:lang w:val="es-ES_tradnl"/>
        </w:rPr>
        <w:t xml:space="preserve"> la CMR-07 para las IMT. Una de </w:t>
      </w:r>
      <w:r>
        <w:rPr>
          <w:lang w:val="es-ES_tradnl"/>
        </w:rPr>
        <w:t>las</w:t>
      </w:r>
      <w:r w:rsidRPr="00965C71">
        <w:rPr>
          <w:lang w:val="es-ES_tradnl"/>
        </w:rPr>
        <w:t xml:space="preserve"> ventajas</w:t>
      </w:r>
      <w:r>
        <w:rPr>
          <w:lang w:val="es-ES_tradnl"/>
        </w:rPr>
        <w:t xml:space="preserve"> de la estación radioeléctrica dotada de CDMA IMT-2000 con </w:t>
      </w:r>
      <w:proofErr w:type="spellStart"/>
      <w:r>
        <w:rPr>
          <w:lang w:val="es-ES_tradnl"/>
        </w:rPr>
        <w:t>multiportadora</w:t>
      </w:r>
      <w:proofErr w:type="spellEnd"/>
      <w:r>
        <w:rPr>
          <w:lang w:val="es-ES_tradnl"/>
        </w:rPr>
        <w:t xml:space="preserve"> que funciona en la banda NMT, es su</w:t>
      </w:r>
      <w:r w:rsidRPr="00965C71">
        <w:rPr>
          <w:lang w:val="es-ES_tradnl"/>
        </w:rPr>
        <w:t xml:space="preserve"> cobertura</w:t>
      </w:r>
      <w:r>
        <w:rPr>
          <w:lang w:val="es-ES_tradnl"/>
        </w:rPr>
        <w:t>,</w:t>
      </w:r>
      <w:r w:rsidRPr="00965C71">
        <w:rPr>
          <w:lang w:val="es-ES_tradnl"/>
        </w:rPr>
        <w:t xml:space="preserve"> </w:t>
      </w:r>
      <w:r>
        <w:rPr>
          <w:lang w:val="es-ES_tradnl"/>
        </w:rPr>
        <w:t>mayor que</w:t>
      </w:r>
      <w:r w:rsidRPr="00965C71">
        <w:rPr>
          <w:lang w:val="es-ES_tradnl"/>
        </w:rPr>
        <w:t xml:space="preserve"> la </w:t>
      </w:r>
      <w:r>
        <w:rPr>
          <w:lang w:val="es-ES_tradnl"/>
        </w:rPr>
        <w:t>de</w:t>
      </w:r>
      <w:r w:rsidRPr="00965C71">
        <w:rPr>
          <w:lang w:val="es-ES_tradnl"/>
        </w:rPr>
        <w:t xml:space="preserve"> la estación de base analógica NMT-450 </w:t>
      </w:r>
      <w:r>
        <w:rPr>
          <w:lang w:val="es-ES_tradnl"/>
        </w:rPr>
        <w:t>de</w:t>
      </w:r>
      <w:r w:rsidRPr="00965C71">
        <w:rPr>
          <w:lang w:val="es-ES_tradnl"/>
        </w:rPr>
        <w:t xml:space="preserve"> la misma frecuencia. Por consiguiente, un operador necesitará </w:t>
      </w:r>
      <w:r>
        <w:rPr>
          <w:lang w:val="es-ES_tradnl"/>
        </w:rPr>
        <w:t>menos</w:t>
      </w:r>
      <w:r w:rsidRPr="00965C71">
        <w:rPr>
          <w:lang w:val="es-ES_tradnl"/>
        </w:rPr>
        <w:t xml:space="preserve"> estaciones de base para proporcionar la misma cobertura. Asimismo, los transcriptores de estación de base (BTS) </w:t>
      </w:r>
      <w:r>
        <w:rPr>
          <w:lang w:val="es-ES_tradnl"/>
        </w:rPr>
        <w:t xml:space="preserve">CDMA IMT-2000 con </w:t>
      </w:r>
      <w:proofErr w:type="spellStart"/>
      <w:r>
        <w:rPr>
          <w:lang w:val="es-ES_tradnl"/>
        </w:rPr>
        <w:t>multiportadora</w:t>
      </w:r>
      <w:proofErr w:type="spellEnd"/>
      <w:r w:rsidRPr="00965C71">
        <w:rPr>
          <w:lang w:val="es-ES_tradnl"/>
        </w:rPr>
        <w:t xml:space="preserve"> pueden </w:t>
      </w:r>
      <w:r>
        <w:rPr>
          <w:lang w:val="es-ES_tradnl"/>
        </w:rPr>
        <w:t xml:space="preserve">situarse junto a los de las </w:t>
      </w:r>
      <w:r w:rsidRPr="00965C71">
        <w:rPr>
          <w:lang w:val="es-ES_tradnl"/>
        </w:rPr>
        <w:t xml:space="preserve">BTS NMT analógicas, lo que reducirá significativamente el costo del despliegue de la red. </w:t>
      </w:r>
    </w:p>
    <w:p w:rsidR="00AF396C" w:rsidRDefault="00AF396C" w:rsidP="00AF396C">
      <w:pPr>
        <w:rPr>
          <w:lang w:val="es-ES"/>
        </w:rPr>
      </w:pPr>
      <w:r w:rsidRPr="00965C71">
        <w:rPr>
          <w:lang w:val="es-ES"/>
        </w:rPr>
        <w:t xml:space="preserve">La familia de sistemas de </w:t>
      </w:r>
      <w:r>
        <w:rPr>
          <w:lang w:val="es-ES"/>
        </w:rPr>
        <w:t xml:space="preserve">IMT-2000 con </w:t>
      </w:r>
      <w:proofErr w:type="spellStart"/>
      <w:r>
        <w:rPr>
          <w:lang w:val="es-ES"/>
        </w:rPr>
        <w:t>multiportadora</w:t>
      </w:r>
      <w:proofErr w:type="spellEnd"/>
      <w:r w:rsidRPr="00965C71">
        <w:rPr>
          <w:lang w:val="es-ES"/>
        </w:rPr>
        <w:t xml:space="preserve"> consiste en un sistema CDMA2000 1X para velocidades vocales y </w:t>
      </w:r>
      <w:r>
        <w:rPr>
          <w:lang w:val="es-ES"/>
        </w:rPr>
        <w:t xml:space="preserve">velocidades </w:t>
      </w:r>
      <w:r w:rsidRPr="00965C71">
        <w:rPr>
          <w:lang w:val="es-ES"/>
        </w:rPr>
        <w:t>de datos</w:t>
      </w:r>
      <w:r>
        <w:rPr>
          <w:lang w:val="es-ES"/>
        </w:rPr>
        <w:t xml:space="preserve"> medias,</w:t>
      </w:r>
      <w:r w:rsidRPr="00965C71">
        <w:rPr>
          <w:lang w:val="es-ES"/>
        </w:rPr>
        <w:t xml:space="preserve"> de hasta 307 </w:t>
      </w:r>
      <w:proofErr w:type="spellStart"/>
      <w:r w:rsidRPr="00965C71">
        <w:rPr>
          <w:lang w:val="es-ES"/>
        </w:rPr>
        <w:t>kbit</w:t>
      </w:r>
      <w:proofErr w:type="spellEnd"/>
      <w:r w:rsidRPr="00965C71">
        <w:rPr>
          <w:lang w:val="es-ES"/>
        </w:rPr>
        <w:t>/s, y un sistema CDMA2000 1xEV</w:t>
      </w:r>
      <w:r w:rsidRPr="00965C71">
        <w:rPr>
          <w:lang w:val="es-ES"/>
        </w:rPr>
        <w:noBreakHyphen/>
        <w:t xml:space="preserve">DO para </w:t>
      </w:r>
      <w:r>
        <w:rPr>
          <w:lang w:val="es-ES"/>
        </w:rPr>
        <w:t xml:space="preserve">altas </w:t>
      </w:r>
      <w:r w:rsidRPr="00965C71">
        <w:rPr>
          <w:lang w:val="es-ES"/>
        </w:rPr>
        <w:t>velocidades de datos en un único canal de 1,25 MHz, o velocidades superiores con canales agregados utilizando EV-DO Rev. B. Los operadores analógicos pre</w:t>
      </w:r>
      <w:r w:rsidRPr="00965C71">
        <w:rPr>
          <w:lang w:val="es-ES"/>
        </w:rPr>
        <w:noBreakHyphen/>
        <w:t>IMT</w:t>
      </w:r>
      <w:r w:rsidRPr="00965C71">
        <w:rPr>
          <w:lang w:val="es-ES"/>
        </w:rPr>
        <w:noBreakHyphen/>
        <w:t xml:space="preserve">2000 pueden optar por efectuar la transición primeramente a CDMA2000 1X y </w:t>
      </w:r>
      <w:r>
        <w:rPr>
          <w:lang w:val="es-ES"/>
        </w:rPr>
        <w:t>posteriormente</w:t>
      </w:r>
      <w:r w:rsidRPr="00965C71">
        <w:rPr>
          <w:lang w:val="es-ES"/>
        </w:rPr>
        <w:t xml:space="preserve"> superponer CDMA2000 1x</w:t>
      </w:r>
      <w:r w:rsidRPr="00965C71">
        <w:rPr>
          <w:lang w:val="es-ES"/>
        </w:rPr>
        <w:noBreakHyphen/>
        <w:t>EV</w:t>
      </w:r>
      <w:r w:rsidRPr="00965C71">
        <w:rPr>
          <w:lang w:val="es-ES"/>
        </w:rPr>
        <w:noBreakHyphen/>
        <w:t xml:space="preserve">DO en varias fases, dependiendo de la evolución de la capacidad de </w:t>
      </w:r>
      <w:r>
        <w:rPr>
          <w:lang w:val="es-ES"/>
        </w:rPr>
        <w:t xml:space="preserve">la </w:t>
      </w:r>
      <w:r w:rsidRPr="00965C71">
        <w:rPr>
          <w:lang w:val="es-ES"/>
        </w:rPr>
        <w:t xml:space="preserve">red. La transición a CDMA2000 ofrece asimismo a los operadores analógicos un trayecto de transición con flexibilidad suficiente para </w:t>
      </w:r>
      <w:r>
        <w:rPr>
          <w:lang w:val="es-ES"/>
        </w:rPr>
        <w:t>prestar</w:t>
      </w:r>
      <w:r w:rsidRPr="00965C71">
        <w:rPr>
          <w:lang w:val="es-ES"/>
        </w:rPr>
        <w:t xml:space="preserve"> servicios IMT</w:t>
      </w:r>
      <w:r w:rsidRPr="00965C71">
        <w:rPr>
          <w:lang w:val="es-ES"/>
        </w:rPr>
        <w:noBreakHyphen/>
        <w:t xml:space="preserve">2000 en las bandas de espectro que utilizan actualmente, lo que se traduce en sustanciales economías, ya que los sistemas CDMA2000 pueden evolucionar utilizando canales más estrechos de 1,25 MHz, </w:t>
      </w:r>
      <w:r>
        <w:rPr>
          <w:lang w:val="es-ES"/>
        </w:rPr>
        <w:t>lo que</w:t>
      </w:r>
      <w:r w:rsidRPr="00965C71">
        <w:rPr>
          <w:lang w:val="es-ES"/>
        </w:rPr>
        <w:t xml:space="preserve"> facilita el despliegue de tres portadoras CDMA en una anchura de banda de 5 </w:t>
      </w:r>
      <w:proofErr w:type="spellStart"/>
      <w:r w:rsidRPr="00965C71">
        <w:rPr>
          <w:lang w:val="es-ES"/>
        </w:rPr>
        <w:t>MHz.</w:t>
      </w:r>
      <w:proofErr w:type="spellEnd"/>
      <w:r w:rsidRPr="00965C71">
        <w:rPr>
          <w:lang w:val="es-ES"/>
        </w:rPr>
        <w:t xml:space="preserve"> Las redes CDMA se despliegan con un</w:t>
      </w:r>
      <w:r>
        <w:rPr>
          <w:lang w:val="es-ES"/>
        </w:rPr>
        <w:t xml:space="preserve"> factor de</w:t>
      </w:r>
      <w:r w:rsidRPr="00965C71">
        <w:rPr>
          <w:lang w:val="es-ES"/>
        </w:rPr>
        <w:t xml:space="preserve"> reutilización de frecuencias de 1, en lugar de factores de reutilización más elevados, por ejemplo</w:t>
      </w:r>
      <w:r>
        <w:rPr>
          <w:lang w:val="es-ES"/>
        </w:rPr>
        <w:t> </w:t>
      </w:r>
      <w:r w:rsidRPr="00965C71">
        <w:rPr>
          <w:lang w:val="es-ES"/>
        </w:rPr>
        <w:t xml:space="preserve">7/21 ó 4/12, necesarios </w:t>
      </w:r>
      <w:r>
        <w:rPr>
          <w:lang w:val="es-ES"/>
        </w:rPr>
        <w:t>para las</w:t>
      </w:r>
      <w:r w:rsidRPr="00965C71">
        <w:rPr>
          <w:lang w:val="es-ES"/>
        </w:rPr>
        <w:t xml:space="preserve"> redes AMPS. Esto, a su vez le simplificará al operador la planificación de sus redes. </w:t>
      </w:r>
    </w:p>
    <w:p w:rsidR="00917800" w:rsidRPr="00A43C05" w:rsidRDefault="00AF396C" w:rsidP="00AF396C">
      <w:pPr>
        <w:rPr>
          <w:lang w:val="es-ES_tradnl"/>
        </w:rPr>
      </w:pPr>
      <w:r w:rsidRPr="00965C71">
        <w:rPr>
          <w:lang w:val="es-ES"/>
        </w:rPr>
        <w:lastRenderedPageBreak/>
        <w:t>CDMA2000 permite también desplegar una red IMT</w:t>
      </w:r>
      <w:r w:rsidRPr="00965C71">
        <w:rPr>
          <w:lang w:val="es-ES"/>
        </w:rPr>
        <w:noBreakHyphen/>
        <w:t xml:space="preserve">2000 en fases sucesivas, dependiendo de la banda de frecuencias de la que disponga el operador y de la evolución de red que haga necesaria la demanda de servicios de datos </w:t>
      </w:r>
      <w:r>
        <w:rPr>
          <w:lang w:val="es-ES"/>
        </w:rPr>
        <w:t>de alta</w:t>
      </w:r>
      <w:r w:rsidRPr="00965C71">
        <w:rPr>
          <w:lang w:val="es-ES"/>
        </w:rPr>
        <w:t xml:space="preserve"> velocidad. En aquellos casos en que se cuente con una banda limitada (</w:t>
      </w:r>
      <w:r w:rsidRPr="00965C71">
        <w:rPr>
          <w:color w:val="000000"/>
          <w:lang w:val="es-ES"/>
        </w:rPr>
        <w:t>normalmente de unos 2 </w:t>
      </w:r>
      <w:r w:rsidRPr="00965C71">
        <w:rPr>
          <w:rFonts w:ascii="Symbol" w:hAnsi="Symbol"/>
          <w:color w:val="000000"/>
        </w:rPr>
        <w:t></w:t>
      </w:r>
      <w:r w:rsidRPr="00965C71">
        <w:rPr>
          <w:color w:val="000000"/>
          <w:lang w:val="es-ES"/>
        </w:rPr>
        <w:t> </w:t>
      </w:r>
      <w:r w:rsidRPr="00965C71">
        <w:rPr>
          <w:lang w:val="es-ES"/>
        </w:rPr>
        <w:t xml:space="preserve">5 MHz en los sistemas </w:t>
      </w:r>
      <w:r w:rsidRPr="00965C71">
        <w:rPr>
          <w:color w:val="000000"/>
          <w:lang w:val="es-ES"/>
        </w:rPr>
        <w:t>NMT), el operador podrá desplegar sucesivamente servicios CDMA2000; esto es, dos portadoras CDMA2000 1X para voz y datos en paquetes, o una portadora CDMA2000 1X para voz y datos, así como una sola portadora CDMA2000 EV</w:t>
      </w:r>
      <w:r w:rsidRPr="00965C71">
        <w:rPr>
          <w:color w:val="000000"/>
          <w:lang w:val="es-ES"/>
        </w:rPr>
        <w:noBreakHyphen/>
        <w:t xml:space="preserve">DO </w:t>
      </w:r>
      <w:r>
        <w:rPr>
          <w:color w:val="000000"/>
          <w:lang w:val="es-ES"/>
        </w:rPr>
        <w:t>dedicada</w:t>
      </w:r>
      <w:r w:rsidRPr="00965C71">
        <w:rPr>
          <w:color w:val="000000"/>
          <w:lang w:val="es-ES"/>
        </w:rPr>
        <w:t xml:space="preserve"> exclusivamente </w:t>
      </w:r>
      <w:r>
        <w:rPr>
          <w:color w:val="000000"/>
          <w:lang w:val="es-ES"/>
        </w:rPr>
        <w:t>a</w:t>
      </w:r>
      <w:r w:rsidRPr="00965C71">
        <w:rPr>
          <w:color w:val="000000"/>
          <w:lang w:val="es-ES"/>
        </w:rPr>
        <w:t xml:space="preserve"> datos por paquetes </w:t>
      </w:r>
      <w:r>
        <w:rPr>
          <w:color w:val="000000"/>
          <w:lang w:val="es-ES"/>
        </w:rPr>
        <w:t>de alta</w:t>
      </w:r>
      <w:r w:rsidRPr="00965C71">
        <w:rPr>
          <w:color w:val="000000"/>
          <w:lang w:val="es-ES"/>
        </w:rPr>
        <w:t xml:space="preserve"> velocidad (hasta 3,1 </w:t>
      </w:r>
      <w:proofErr w:type="spellStart"/>
      <w:r w:rsidRPr="00965C71">
        <w:rPr>
          <w:color w:val="000000"/>
          <w:lang w:val="es-ES"/>
        </w:rPr>
        <w:t>Mbit</w:t>
      </w:r>
      <w:proofErr w:type="spellEnd"/>
      <w:r w:rsidRPr="00965C71">
        <w:rPr>
          <w:color w:val="000000"/>
          <w:lang w:val="es-ES"/>
        </w:rPr>
        <w:t xml:space="preserve">/s para una sola portadora EV-DO o </w:t>
      </w:r>
      <w:r>
        <w:rPr>
          <w:color w:val="000000"/>
          <w:lang w:val="es-ES"/>
        </w:rPr>
        <w:t>incluso más p</w:t>
      </w:r>
      <w:r w:rsidRPr="00965C71">
        <w:rPr>
          <w:color w:val="000000"/>
          <w:lang w:val="es-ES"/>
        </w:rPr>
        <w:t xml:space="preserve">ara portadoras EV-DO agregadas). La tecnología CDMA permite, igualmente, </w:t>
      </w:r>
      <w:r>
        <w:rPr>
          <w:color w:val="000000"/>
          <w:lang w:val="es-ES"/>
        </w:rPr>
        <w:t>la</w:t>
      </w:r>
      <w:r w:rsidRPr="00965C71">
        <w:rPr>
          <w:color w:val="000000"/>
          <w:lang w:val="es-ES"/>
        </w:rPr>
        <w:t xml:space="preserve"> fácil coexistencia entre </w:t>
      </w:r>
      <w:r>
        <w:rPr>
          <w:color w:val="000000"/>
          <w:lang w:val="es-ES"/>
        </w:rPr>
        <w:t xml:space="preserve">las </w:t>
      </w:r>
      <w:r w:rsidRPr="00965C71">
        <w:rPr>
          <w:color w:val="000000"/>
          <w:lang w:val="es-ES"/>
        </w:rPr>
        <w:t xml:space="preserve">portadoras CDMA2000 y </w:t>
      </w:r>
      <w:r>
        <w:rPr>
          <w:color w:val="000000"/>
          <w:lang w:val="es-ES"/>
        </w:rPr>
        <w:t>las</w:t>
      </w:r>
      <w:r w:rsidRPr="00965C71">
        <w:rPr>
          <w:color w:val="000000"/>
          <w:lang w:val="es-ES"/>
        </w:rPr>
        <w:t xml:space="preserve"> NMT, con bandas de guarda suficientes. Esto hace posible una </w:t>
      </w:r>
      <w:r>
        <w:rPr>
          <w:color w:val="000000"/>
          <w:lang w:val="es-ES"/>
        </w:rPr>
        <w:t>transición paulatina</w:t>
      </w:r>
      <w:r w:rsidRPr="00965C71">
        <w:rPr>
          <w:color w:val="000000"/>
          <w:lang w:val="es-ES"/>
        </w:rPr>
        <w:t xml:space="preserve"> a </w:t>
      </w:r>
      <w:r>
        <w:rPr>
          <w:color w:val="000000"/>
          <w:lang w:val="es-ES"/>
        </w:rPr>
        <w:t>las</w:t>
      </w:r>
      <w:r w:rsidRPr="00965C71">
        <w:rPr>
          <w:color w:val="000000"/>
          <w:lang w:val="es-ES"/>
        </w:rPr>
        <w:t xml:space="preserve"> </w:t>
      </w:r>
      <w:r>
        <w:rPr>
          <w:color w:val="000000"/>
          <w:lang w:val="es-ES"/>
        </w:rPr>
        <w:t xml:space="preserve">IMT-2000 con </w:t>
      </w:r>
      <w:proofErr w:type="spellStart"/>
      <w:r>
        <w:rPr>
          <w:color w:val="000000"/>
          <w:lang w:val="es-ES"/>
        </w:rPr>
        <w:t>multiportadora</w:t>
      </w:r>
      <w:proofErr w:type="spellEnd"/>
      <w:r w:rsidRPr="00965C71">
        <w:rPr>
          <w:color w:val="000000"/>
          <w:lang w:val="es-ES"/>
        </w:rPr>
        <w:t xml:space="preserve"> y brinda al mismo tiempo el grado de flexibilidad suficiente para trabajar con </w:t>
      </w:r>
      <w:r>
        <w:rPr>
          <w:color w:val="000000"/>
          <w:lang w:val="es-ES"/>
        </w:rPr>
        <w:t>portadoras</w:t>
      </w:r>
      <w:r w:rsidRPr="00965C71">
        <w:rPr>
          <w:color w:val="000000"/>
          <w:lang w:val="es-ES"/>
        </w:rPr>
        <w:t xml:space="preserve"> existentes, sin que ello produzca interferencia alguna a ninguna portadora durante la transición. </w:t>
      </w:r>
      <w:r w:rsidRPr="00965C71">
        <w:rPr>
          <w:color w:val="000000"/>
          <w:lang w:val="es-ES_tradnl"/>
        </w:rPr>
        <w:t xml:space="preserve">Los operadores CDMA2000 pueden ofrecer aplicaciones ricas en datos soportadas por los sistemas CDMA2000 tales como el acceso a Internet </w:t>
      </w:r>
      <w:r>
        <w:rPr>
          <w:color w:val="000000"/>
          <w:lang w:val="es-ES_tradnl"/>
        </w:rPr>
        <w:t>en</w:t>
      </w:r>
      <w:r w:rsidRPr="00965C71">
        <w:rPr>
          <w:color w:val="000000"/>
          <w:lang w:val="es-ES_tradnl"/>
        </w:rPr>
        <w:t xml:space="preserve"> banda ancha, servicios de mensajería multimedios (MMS) y video completo. La transición a CDMA2000 </w:t>
      </w:r>
      <w:r>
        <w:rPr>
          <w:color w:val="000000"/>
          <w:lang w:val="es-ES_tradnl"/>
        </w:rPr>
        <w:t>brinda</w:t>
      </w:r>
      <w:r w:rsidRPr="00965C71">
        <w:rPr>
          <w:color w:val="000000"/>
          <w:lang w:val="es-ES_tradnl"/>
        </w:rPr>
        <w:t xml:space="preserve"> a los operadores analógicos la posibilidad de lanzar aplicaciones avanzadas, comercialmente disponibles, con relativa rapidez y en condiciones de rentabilidad aceptable</w:t>
      </w:r>
      <w:r>
        <w:rPr>
          <w:color w:val="000000"/>
          <w:lang w:val="es-ES_tradnl"/>
        </w:rPr>
        <w:t>s</w:t>
      </w:r>
      <w:r w:rsidRPr="00965C71">
        <w:rPr>
          <w:color w:val="000000"/>
          <w:lang w:val="es-ES_tradnl"/>
        </w:rPr>
        <w:t>.</w:t>
      </w:r>
    </w:p>
    <w:p w:rsidR="00413588" w:rsidRPr="00A43C05" w:rsidRDefault="00413588" w:rsidP="00AF396C">
      <w:pPr>
        <w:pStyle w:val="Heading3"/>
        <w:rPr>
          <w:lang w:val="es-ES_tradnl"/>
        </w:rPr>
      </w:pPr>
      <w:bookmarkStart w:id="300" w:name="_Toc255292540"/>
      <w:bookmarkStart w:id="301" w:name="_Toc259024245"/>
      <w:r w:rsidRPr="00A43C05">
        <w:rPr>
          <w:lang w:val="es-ES_tradnl"/>
        </w:rPr>
        <w:t>9.3.3</w:t>
      </w:r>
      <w:r w:rsidRPr="00A43C05">
        <w:rPr>
          <w:lang w:val="es-ES_tradnl"/>
        </w:rPr>
        <w:tab/>
      </w:r>
      <w:bookmarkEnd w:id="300"/>
      <w:r w:rsidR="00AF396C" w:rsidRPr="00AF396C">
        <w:rPr>
          <w:lang w:val="es-ES_tradnl"/>
        </w:rPr>
        <w:t>Transición a TDMA IMT</w:t>
      </w:r>
      <w:r w:rsidR="00AF396C" w:rsidRPr="00AF396C">
        <w:rPr>
          <w:lang w:val="es-ES_tradnl"/>
        </w:rPr>
        <w:noBreakHyphen/>
        <w:t>2000 de portadora única</w:t>
      </w:r>
      <w:bookmarkEnd w:id="301"/>
    </w:p>
    <w:p w:rsidR="00AF396C" w:rsidRPr="00965C71" w:rsidRDefault="00AF396C" w:rsidP="00AF396C">
      <w:pPr>
        <w:rPr>
          <w:strike/>
          <w:lang w:val="es-ES"/>
        </w:rPr>
      </w:pPr>
      <w:r>
        <w:rPr>
          <w:lang w:val="es-ES_tradnl"/>
        </w:rPr>
        <w:t>Para</w:t>
      </w:r>
      <w:r w:rsidRPr="00965C71">
        <w:rPr>
          <w:lang w:val="es-ES"/>
        </w:rPr>
        <w:t xml:space="preserve"> los operadores de sistemas AMPS que deseen desplegar la tecnología </w:t>
      </w:r>
      <w:r>
        <w:rPr>
          <w:lang w:val="es-ES"/>
        </w:rPr>
        <w:t>TDMA de portadora única</w:t>
      </w:r>
      <w:r w:rsidRPr="00965C71">
        <w:rPr>
          <w:lang w:val="es-ES"/>
        </w:rPr>
        <w:t xml:space="preserve">, un trayecto lógico comienza con la transición a TDMA, ya que </w:t>
      </w:r>
      <w:r>
        <w:rPr>
          <w:lang w:val="es-ES"/>
        </w:rPr>
        <w:t>las interfaces aéreas</w:t>
      </w:r>
      <w:r w:rsidRPr="00965C71">
        <w:rPr>
          <w:lang w:val="es-ES"/>
        </w:rPr>
        <w:t xml:space="preserve"> AMPS</w:t>
      </w:r>
      <w:r w:rsidRPr="00965C71">
        <w:rPr>
          <w:lang w:val="es-ES"/>
        </w:rPr>
        <w:noBreakHyphen/>
        <w:t>TDMA utiliza</w:t>
      </w:r>
      <w:r>
        <w:rPr>
          <w:lang w:val="es-ES"/>
        </w:rPr>
        <w:t>n</w:t>
      </w:r>
      <w:r w:rsidRPr="00965C71">
        <w:rPr>
          <w:lang w:val="es-ES"/>
        </w:rPr>
        <w:t xml:space="preserve"> canales de </w:t>
      </w:r>
      <w:r>
        <w:rPr>
          <w:lang w:val="es-ES"/>
        </w:rPr>
        <w:t>RF</w:t>
      </w:r>
      <w:r w:rsidRPr="00965C71">
        <w:rPr>
          <w:lang w:val="es-ES"/>
        </w:rPr>
        <w:t xml:space="preserve"> de 30 </w:t>
      </w:r>
      <w:proofErr w:type="spellStart"/>
      <w:r w:rsidRPr="00965C71">
        <w:rPr>
          <w:lang w:val="es-ES"/>
        </w:rPr>
        <w:t>kHz</w:t>
      </w:r>
      <w:proofErr w:type="spellEnd"/>
      <w:r w:rsidRPr="00965C71">
        <w:rPr>
          <w:lang w:val="es-ES"/>
        </w:rPr>
        <w:t xml:space="preserve">, lo que hace posible la </w:t>
      </w:r>
      <w:r>
        <w:rPr>
          <w:lang w:val="es-ES"/>
        </w:rPr>
        <w:t>transferencia</w:t>
      </w:r>
      <w:r w:rsidRPr="00965C71">
        <w:rPr>
          <w:lang w:val="es-ES"/>
        </w:rPr>
        <w:t xml:space="preserve"> de AMPS a TDMA</w:t>
      </w:r>
      <w:r w:rsidRPr="00041325">
        <w:rPr>
          <w:lang w:val="es-ES"/>
        </w:rPr>
        <w:t xml:space="preserve"> </w:t>
      </w:r>
      <w:r w:rsidRPr="00965C71">
        <w:rPr>
          <w:lang w:val="es-ES"/>
        </w:rPr>
        <w:t>canal por canal. Asimismo, TDMA (ANSI</w:t>
      </w:r>
      <w:r w:rsidRPr="00965C71">
        <w:rPr>
          <w:lang w:val="es-ES"/>
        </w:rPr>
        <w:noBreakHyphen/>
        <w:t xml:space="preserve">136) soporta combinaciones de canales de control y canales de tráfico analógicos y digitales, lo que facilita la transición. Es posible asignar canales de tráfico digitales TDMA a partir de canales de control analógicos, y pueden asignarse canales vocales analógicos a partir de canales de control digitales. Dado que AMPS y TDMA comparten el mismo canal RF de 30 </w:t>
      </w:r>
      <w:proofErr w:type="spellStart"/>
      <w:r w:rsidRPr="00965C71">
        <w:rPr>
          <w:lang w:val="es-ES"/>
        </w:rPr>
        <w:t>kHz</w:t>
      </w:r>
      <w:proofErr w:type="spellEnd"/>
      <w:r w:rsidRPr="00965C71">
        <w:rPr>
          <w:lang w:val="es-ES"/>
        </w:rPr>
        <w:t xml:space="preserve">, cabe la posibilidad de proceder a </w:t>
      </w:r>
      <w:r>
        <w:rPr>
          <w:lang w:val="es-ES"/>
        </w:rPr>
        <w:t>la sustitución,</w:t>
      </w:r>
      <w:r w:rsidRPr="00965C71">
        <w:rPr>
          <w:lang w:val="es-ES"/>
        </w:rPr>
        <w:t xml:space="preserve"> TRX por TRX</w:t>
      </w:r>
      <w:r>
        <w:rPr>
          <w:lang w:val="es-ES"/>
        </w:rPr>
        <w:t>,</w:t>
      </w:r>
      <w:r w:rsidRPr="00965C71">
        <w:rPr>
          <w:lang w:val="es-ES"/>
        </w:rPr>
        <w:t xml:space="preserve"> utilizando las mismas estaciones de base.</w:t>
      </w:r>
    </w:p>
    <w:p w:rsidR="00AF396C" w:rsidRPr="00965C71" w:rsidRDefault="00AF396C" w:rsidP="00AF396C">
      <w:pPr>
        <w:rPr>
          <w:lang w:val="es-ES"/>
        </w:rPr>
      </w:pPr>
      <w:r w:rsidRPr="00965C71">
        <w:rPr>
          <w:lang w:val="es-ES"/>
        </w:rPr>
        <w:t>La evolución de las redes básicas es posible, ya que AMPS y TDMA pueden explotarse en redes básicas ANSI</w:t>
      </w:r>
      <w:r w:rsidRPr="00965C71">
        <w:rPr>
          <w:lang w:val="es-ES"/>
        </w:rPr>
        <w:noBreakHyphen/>
        <w:t>41.</w:t>
      </w:r>
    </w:p>
    <w:p w:rsidR="00413588" w:rsidRPr="00A43C05" w:rsidRDefault="00AF396C" w:rsidP="00AF396C">
      <w:pPr>
        <w:rPr>
          <w:lang w:val="es-ES_tradnl"/>
        </w:rPr>
      </w:pPr>
      <w:r w:rsidRPr="00965C71">
        <w:rPr>
          <w:lang w:val="es-ES"/>
        </w:rPr>
        <w:t xml:space="preserve">Una vez que se ha desplegado TDMA, es posible añadir un componente de red basada en paquetes, utilizando GPRS y añadiendo canales radioeléctricos de 200 </w:t>
      </w:r>
      <w:proofErr w:type="spellStart"/>
      <w:r w:rsidRPr="00965C71">
        <w:rPr>
          <w:lang w:val="es-ES"/>
        </w:rPr>
        <w:t>kHz</w:t>
      </w:r>
      <w:proofErr w:type="spellEnd"/>
      <w:r w:rsidRPr="00965C71">
        <w:rPr>
          <w:lang w:val="es-ES"/>
        </w:rPr>
        <w:t xml:space="preserve">. A continuación, es posible utilizar la misma red </w:t>
      </w:r>
      <w:r>
        <w:rPr>
          <w:lang w:val="es-ES"/>
        </w:rPr>
        <w:t>medular</w:t>
      </w:r>
      <w:r w:rsidRPr="00965C71">
        <w:rPr>
          <w:lang w:val="es-ES"/>
        </w:rPr>
        <w:t xml:space="preserve"> de paquetes GPRS para la evolución hacia </w:t>
      </w:r>
      <w:r>
        <w:rPr>
          <w:lang w:val="es-ES"/>
        </w:rPr>
        <w:t>TDMA IMT-2000 de portadora única</w:t>
      </w:r>
      <w:r w:rsidRPr="00965C71">
        <w:rPr>
          <w:lang w:val="es-ES"/>
        </w:rPr>
        <w:t xml:space="preserve">. Opcionalmente, cabe la posibilidad de superponer GSM sobre el sistema TDMA, lo que permite pasar a explotar inmediatamente GSM/GPRS/EDGE en las mismas o diferentes bandas de frecuencias, garantizándose así una transición </w:t>
      </w:r>
      <w:r>
        <w:rPr>
          <w:lang w:val="es-ES"/>
        </w:rPr>
        <w:t>paulatina</w:t>
      </w:r>
      <w:r w:rsidRPr="00965C71">
        <w:rPr>
          <w:lang w:val="es-ES"/>
        </w:rPr>
        <w:t xml:space="preserve">, y mejorándose las oportunidades de </w:t>
      </w:r>
      <w:proofErr w:type="spellStart"/>
      <w:r w:rsidRPr="00965C71">
        <w:rPr>
          <w:lang w:val="es-ES"/>
        </w:rPr>
        <w:t>itinerancia</w:t>
      </w:r>
      <w:proofErr w:type="spellEnd"/>
      <w:r w:rsidRPr="00965C71">
        <w:rPr>
          <w:lang w:val="es-ES"/>
        </w:rPr>
        <w:t xml:space="preserve"> de los usuarios.</w:t>
      </w:r>
    </w:p>
    <w:p w:rsidR="00413588" w:rsidRPr="00A43C05" w:rsidRDefault="00413588" w:rsidP="00AF396C">
      <w:pPr>
        <w:pStyle w:val="Heading2"/>
        <w:rPr>
          <w:lang w:val="es-ES_tradnl"/>
        </w:rPr>
      </w:pPr>
      <w:bookmarkStart w:id="302" w:name="_Toc44438553"/>
      <w:bookmarkStart w:id="303" w:name="_Toc44446768"/>
      <w:bookmarkStart w:id="304" w:name="_Toc53323425"/>
      <w:bookmarkStart w:id="305" w:name="_Toc63611632"/>
      <w:bookmarkStart w:id="306" w:name="_Toc89083704"/>
      <w:bookmarkStart w:id="307" w:name="_Toc92878213"/>
      <w:bookmarkStart w:id="308" w:name="_Toc101931275"/>
      <w:bookmarkStart w:id="309" w:name="_Toc103399294"/>
      <w:bookmarkStart w:id="310" w:name="_Toc103400372"/>
      <w:bookmarkStart w:id="311" w:name="_Toc103400836"/>
      <w:bookmarkStart w:id="312" w:name="_Toc103401300"/>
      <w:bookmarkStart w:id="313" w:name="_Toc103401765"/>
      <w:bookmarkStart w:id="314" w:name="_Toc103402231"/>
      <w:bookmarkStart w:id="315" w:name="_Toc103402696"/>
      <w:bookmarkStart w:id="316" w:name="_Toc103403461"/>
      <w:bookmarkStart w:id="317" w:name="_Toc103421231"/>
      <w:bookmarkStart w:id="318" w:name="_Toc103528405"/>
      <w:bookmarkStart w:id="319" w:name="_Toc236826242"/>
      <w:bookmarkStart w:id="320" w:name="_Toc255292541"/>
      <w:bookmarkStart w:id="321" w:name="_Toc259024246"/>
      <w:r w:rsidRPr="00A43C05">
        <w:rPr>
          <w:lang w:val="es-ES_tradnl"/>
        </w:rPr>
        <w:t>9.4</w:t>
      </w:r>
      <w:r w:rsidRPr="00A43C05">
        <w:rPr>
          <w:lang w:val="es-ES_tradnl"/>
        </w:rPr>
        <w:tab/>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00AF396C" w:rsidRPr="00AF396C">
        <w:rPr>
          <w:lang w:val="es-ES_tradnl"/>
        </w:rPr>
        <w:t>Transición de los sistemas TDMA/D</w:t>
      </w:r>
      <w:r w:rsidR="00AF396C" w:rsidRPr="00AF396C">
        <w:rPr>
          <w:lang w:val="es-ES_tradnl"/>
        </w:rPr>
        <w:noBreakHyphen/>
        <w:t>AMPS</w:t>
      </w:r>
      <w:bookmarkEnd w:id="321"/>
    </w:p>
    <w:p w:rsidR="00413588" w:rsidRPr="00A43C05" w:rsidRDefault="00AF396C" w:rsidP="00AF396C">
      <w:pPr>
        <w:rPr>
          <w:lang w:val="es-ES_tradnl"/>
        </w:rPr>
      </w:pPr>
      <w:r w:rsidRPr="00AF396C">
        <w:rPr>
          <w:lang w:val="es-ES"/>
        </w:rPr>
        <w:t>TDMA ANSI</w:t>
      </w:r>
      <w:r w:rsidRPr="00AF396C">
        <w:rPr>
          <w:lang w:val="es-ES"/>
        </w:rPr>
        <w:noBreakHyphen/>
        <w:t>136 es una de las normas dominantes pre</w:t>
      </w:r>
      <w:r w:rsidRPr="00AF396C">
        <w:rPr>
          <w:lang w:val="es-ES"/>
        </w:rPr>
        <w:noBreakHyphen/>
        <w:t>IMT</w:t>
      </w:r>
      <w:r w:rsidRPr="00AF396C">
        <w:rPr>
          <w:lang w:val="es-ES"/>
        </w:rPr>
        <w:noBreakHyphen/>
        <w:t>2000 desplegadas en todo el continente de las Américas. Los operadores TDMA tienen varias opciones a la hora de efectuar la transición hacia las IMT</w:t>
      </w:r>
      <w:r w:rsidRPr="00AF396C">
        <w:rPr>
          <w:lang w:val="es-ES"/>
        </w:rPr>
        <w:noBreakHyphen/>
        <w:t>2000, por ejemplo, efectuar la transición a TDMA IMT-2000 de portadora única/UWC</w:t>
      </w:r>
      <w:r w:rsidRPr="00AF396C">
        <w:rPr>
          <w:lang w:val="es-ES"/>
        </w:rPr>
        <w:noBreakHyphen/>
        <w:t xml:space="preserve">136, a CDMA IMT-2000 con </w:t>
      </w:r>
      <w:proofErr w:type="spellStart"/>
      <w:r w:rsidRPr="00AF396C">
        <w:rPr>
          <w:lang w:val="es-ES"/>
        </w:rPr>
        <w:t>multiportadora</w:t>
      </w:r>
      <w:proofErr w:type="spellEnd"/>
      <w:r w:rsidRPr="00AF396C">
        <w:rPr>
          <w:lang w:val="es-ES"/>
        </w:rPr>
        <w:t xml:space="preserve"> o a CDMA IMT-2000 con ensanchamiento directo.</w:t>
      </w:r>
    </w:p>
    <w:p w:rsidR="00413588" w:rsidRPr="00A43C05" w:rsidRDefault="00413588" w:rsidP="00AF396C">
      <w:pPr>
        <w:pStyle w:val="Heading3"/>
        <w:rPr>
          <w:lang w:val="es-ES_tradnl"/>
        </w:rPr>
      </w:pPr>
      <w:bookmarkStart w:id="322" w:name="_Toc53323426"/>
      <w:bookmarkStart w:id="323" w:name="_Toc63611633"/>
      <w:bookmarkStart w:id="324" w:name="_Toc89083705"/>
      <w:bookmarkStart w:id="325" w:name="_Toc92878214"/>
      <w:bookmarkStart w:id="326" w:name="_Toc101931276"/>
      <w:bookmarkStart w:id="327" w:name="_Toc103399295"/>
      <w:bookmarkStart w:id="328" w:name="_Toc103400373"/>
      <w:bookmarkStart w:id="329" w:name="_Toc103400837"/>
      <w:bookmarkStart w:id="330" w:name="_Toc103401301"/>
      <w:bookmarkStart w:id="331" w:name="_Toc103401766"/>
      <w:bookmarkStart w:id="332" w:name="_Toc103402232"/>
      <w:bookmarkStart w:id="333" w:name="_Toc103402697"/>
      <w:bookmarkStart w:id="334" w:name="_Toc103403462"/>
      <w:bookmarkStart w:id="335" w:name="_Toc103421232"/>
      <w:bookmarkStart w:id="336" w:name="_Toc103528406"/>
      <w:bookmarkStart w:id="337" w:name="_Toc255292542"/>
      <w:bookmarkStart w:id="338" w:name="_Toc259024247"/>
      <w:bookmarkStart w:id="339" w:name="_Toc44438555"/>
      <w:bookmarkStart w:id="340" w:name="_Toc44446770"/>
      <w:r w:rsidRPr="00A43C05">
        <w:rPr>
          <w:lang w:val="es-ES_tradnl"/>
        </w:rPr>
        <w:t>9.4.1</w:t>
      </w:r>
      <w:r w:rsidRPr="00A43C05">
        <w:rPr>
          <w:lang w:val="es-ES_tradnl"/>
        </w:rPr>
        <w:tab/>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00AF396C" w:rsidRPr="00AF396C">
        <w:rPr>
          <w:lang w:val="es-ES_tradnl"/>
        </w:rPr>
        <w:t>Transición a CDMA IMT</w:t>
      </w:r>
      <w:r w:rsidR="00AF396C" w:rsidRPr="00AF396C">
        <w:rPr>
          <w:lang w:val="es-ES_tradnl"/>
        </w:rPr>
        <w:noBreakHyphen/>
        <w:t>2000 con ensanchamiento directo</w:t>
      </w:r>
      <w:bookmarkEnd w:id="338"/>
    </w:p>
    <w:p w:rsidR="00AF396C" w:rsidRPr="00965C71" w:rsidRDefault="00AF396C" w:rsidP="00CA56E9">
      <w:pPr>
        <w:rPr>
          <w:lang w:val="es-ES"/>
        </w:rPr>
      </w:pPr>
      <w:r w:rsidRPr="00965C71">
        <w:rPr>
          <w:lang w:val="es-ES"/>
        </w:rPr>
        <w:t xml:space="preserve">Muchos de los principales operadores TDMA </w:t>
      </w:r>
      <w:r>
        <w:rPr>
          <w:lang w:val="es-ES"/>
        </w:rPr>
        <w:t>están</w:t>
      </w:r>
      <w:r w:rsidRPr="00965C71">
        <w:rPr>
          <w:lang w:val="es-ES"/>
        </w:rPr>
        <w:t xml:space="preserve"> desplegando </w:t>
      </w:r>
      <w:r>
        <w:rPr>
          <w:lang w:val="es-ES"/>
        </w:rPr>
        <w:t>el</w:t>
      </w:r>
      <w:r w:rsidRPr="00965C71">
        <w:rPr>
          <w:lang w:val="es-ES"/>
        </w:rPr>
        <w:t xml:space="preserve"> acceso radioeléctrico GSM/GPRS/EDGE </w:t>
      </w:r>
      <w:r>
        <w:rPr>
          <w:lang w:val="es-ES"/>
        </w:rPr>
        <w:t xml:space="preserve">con superposición </w:t>
      </w:r>
      <w:r w:rsidRPr="00965C71">
        <w:rPr>
          <w:lang w:val="es-ES"/>
        </w:rPr>
        <w:t xml:space="preserve">y </w:t>
      </w:r>
      <w:r>
        <w:rPr>
          <w:lang w:val="es-ES"/>
        </w:rPr>
        <w:t>las</w:t>
      </w:r>
      <w:r w:rsidRPr="00965C71">
        <w:rPr>
          <w:lang w:val="es-ES"/>
        </w:rPr>
        <w:t xml:space="preserve"> redes básicas </w:t>
      </w:r>
      <w:r>
        <w:rPr>
          <w:lang w:val="es-ES"/>
        </w:rPr>
        <w:t>correspondientes</w:t>
      </w:r>
      <w:r w:rsidRPr="00965C71">
        <w:rPr>
          <w:lang w:val="es-ES"/>
        </w:rPr>
        <w:t>. El trayecto de migración/transición</w:t>
      </w:r>
      <w:r w:rsidRPr="00AF396C">
        <w:rPr>
          <w:rFonts w:eastAsia="SimSun"/>
          <w:vertAlign w:val="superscript"/>
        </w:rPr>
        <w:footnoteReference w:id="10"/>
      </w:r>
      <w:r w:rsidRPr="00965C71">
        <w:rPr>
          <w:lang w:val="es-ES"/>
        </w:rPr>
        <w:t xml:space="preserve"> basado en GSM ofrece a los operadores TDMA la posibilidad de desplegar la combinación GPRS, EDGE y </w:t>
      </w:r>
      <w:r>
        <w:rPr>
          <w:lang w:val="es-ES"/>
        </w:rPr>
        <w:t>CDMA IMT</w:t>
      </w:r>
      <w:r w:rsidR="00CA56E9">
        <w:rPr>
          <w:lang w:val="es-ES"/>
        </w:rPr>
        <w:noBreakHyphen/>
      </w:r>
      <w:r>
        <w:rPr>
          <w:lang w:val="es-ES"/>
        </w:rPr>
        <w:t>2000 con ensanchamiento directo</w:t>
      </w:r>
      <w:r w:rsidRPr="00965C71">
        <w:rPr>
          <w:lang w:val="es-ES"/>
        </w:rPr>
        <w:t xml:space="preserve"> que más se ajuste a sus necesidades</w:t>
      </w:r>
      <w:r w:rsidRPr="00965C71">
        <w:rPr>
          <w:lang w:val="es-ES_tradnl"/>
        </w:rPr>
        <w:t xml:space="preserve"> facilitando de este modo la migración/transición simplificada a CDMA</w:t>
      </w:r>
      <w:r>
        <w:rPr>
          <w:lang w:val="es-ES_tradnl"/>
        </w:rPr>
        <w:t> </w:t>
      </w:r>
      <w:r w:rsidRPr="00965C71">
        <w:rPr>
          <w:lang w:val="es-ES_tradnl"/>
        </w:rPr>
        <w:t>IMT</w:t>
      </w:r>
      <w:r>
        <w:rPr>
          <w:lang w:val="es-ES_tradnl"/>
        </w:rPr>
        <w:noBreakHyphen/>
      </w:r>
      <w:r w:rsidRPr="00965C71">
        <w:rPr>
          <w:lang w:val="es-ES_tradnl"/>
        </w:rPr>
        <w:t xml:space="preserve">2000 con ensanchamiento directo como una alternativa </w:t>
      </w:r>
      <w:r>
        <w:rPr>
          <w:lang w:val="es-ES_tradnl"/>
        </w:rPr>
        <w:t>de</w:t>
      </w:r>
      <w:r w:rsidRPr="00965C71">
        <w:rPr>
          <w:lang w:val="es-ES_tradnl"/>
        </w:rPr>
        <w:t xml:space="preserve"> futuro, de no seleccionarse como opción inicial</w:t>
      </w:r>
      <w:r w:rsidRPr="00965C71">
        <w:rPr>
          <w:lang w:val="es-ES"/>
        </w:rPr>
        <w:t>.</w:t>
      </w:r>
    </w:p>
    <w:p w:rsidR="00AF396C" w:rsidRPr="00965C71" w:rsidRDefault="00AF396C" w:rsidP="00863244">
      <w:pPr>
        <w:keepNext/>
        <w:keepLines/>
        <w:rPr>
          <w:lang w:val="es-ES"/>
        </w:rPr>
      </w:pPr>
      <w:r w:rsidRPr="00965C71">
        <w:rPr>
          <w:lang w:val="es-ES_tradnl"/>
        </w:rPr>
        <w:lastRenderedPageBreak/>
        <w:t xml:space="preserve">La migración/transición a </w:t>
      </w:r>
      <w:r w:rsidRPr="00965C71">
        <w:rPr>
          <w:lang w:val="es-ES"/>
        </w:rPr>
        <w:t>CDMA IMT</w:t>
      </w:r>
      <w:r w:rsidRPr="00965C71">
        <w:rPr>
          <w:lang w:val="es-ES"/>
        </w:rPr>
        <w:noBreakHyphen/>
        <w:t xml:space="preserve">2000 </w:t>
      </w:r>
      <w:r>
        <w:rPr>
          <w:lang w:val="es-ES"/>
        </w:rPr>
        <w:t xml:space="preserve">con </w:t>
      </w:r>
      <w:proofErr w:type="spellStart"/>
      <w:r>
        <w:rPr>
          <w:lang w:val="es-ES"/>
        </w:rPr>
        <w:t>ensachamiento</w:t>
      </w:r>
      <w:proofErr w:type="spellEnd"/>
      <w:r>
        <w:rPr>
          <w:lang w:val="es-ES"/>
        </w:rPr>
        <w:t xml:space="preserve"> directo </w:t>
      </w:r>
      <w:r w:rsidRPr="00965C71">
        <w:rPr>
          <w:lang w:val="es-ES"/>
        </w:rPr>
        <w:t xml:space="preserve">a partir de un sistema TDMA con GSM superpuesto hace necesario desplegar una nueva red de acceso radioeléctrico, pero existen varios factores que facilitan dicho despliegue. Primeramente, hay que señalar que la mayoría de los </w:t>
      </w:r>
      <w:r>
        <w:rPr>
          <w:lang w:val="es-ES"/>
        </w:rPr>
        <w:t>emplazamientos</w:t>
      </w:r>
      <w:r w:rsidRPr="00965C71">
        <w:rPr>
          <w:lang w:val="es-ES"/>
        </w:rPr>
        <w:t xml:space="preserve"> de </w:t>
      </w:r>
      <w:r>
        <w:rPr>
          <w:lang w:val="es-ES"/>
        </w:rPr>
        <w:t xml:space="preserve">las </w:t>
      </w:r>
      <w:r w:rsidRPr="00965C71">
        <w:rPr>
          <w:lang w:val="es-ES"/>
        </w:rPr>
        <w:t>célula</w:t>
      </w:r>
      <w:r>
        <w:rPr>
          <w:lang w:val="es-ES"/>
        </w:rPr>
        <w:t>s</w:t>
      </w:r>
      <w:r w:rsidRPr="00965C71">
        <w:rPr>
          <w:lang w:val="es-ES"/>
        </w:rPr>
        <w:t xml:space="preserve"> </w:t>
      </w:r>
      <w:r>
        <w:rPr>
          <w:lang w:val="es-ES"/>
        </w:rPr>
        <w:t xml:space="preserve">CDMA IMT-2000 con ensanchamiento directo, </w:t>
      </w:r>
      <w:r w:rsidRPr="00965C71">
        <w:rPr>
          <w:lang w:val="es-ES"/>
        </w:rPr>
        <w:t xml:space="preserve">pueden </w:t>
      </w:r>
      <w:r>
        <w:rPr>
          <w:lang w:val="es-ES"/>
        </w:rPr>
        <w:t xml:space="preserve">coincidir </w:t>
      </w:r>
      <w:r w:rsidRPr="00965C71">
        <w:rPr>
          <w:lang w:val="es-ES"/>
        </w:rPr>
        <w:t xml:space="preserve">con los </w:t>
      </w:r>
      <w:r>
        <w:rPr>
          <w:lang w:val="es-ES"/>
        </w:rPr>
        <w:t>de las</w:t>
      </w:r>
      <w:r w:rsidRPr="00965C71">
        <w:rPr>
          <w:lang w:val="es-ES"/>
        </w:rPr>
        <w:t xml:space="preserve"> célula</w:t>
      </w:r>
      <w:r>
        <w:rPr>
          <w:lang w:val="es-ES"/>
        </w:rPr>
        <w:t>s</w:t>
      </w:r>
      <w:r w:rsidRPr="00965C71">
        <w:rPr>
          <w:lang w:val="es-ES"/>
        </w:rPr>
        <w:t xml:space="preserve"> GSM. En segundo término, es necesario mencionar el hecho de que es posible utilizar gran parte de la red básica GSM/GPRS. Si bien la SGSN debe </w:t>
      </w:r>
      <w:r>
        <w:rPr>
          <w:lang w:val="es-ES"/>
        </w:rPr>
        <w:t>actualizarse,</w:t>
      </w:r>
      <w:r w:rsidRPr="00965C71">
        <w:rPr>
          <w:lang w:val="es-ES"/>
        </w:rPr>
        <w:t xml:space="preserve"> el centro de conmutación móvil exige únicamente un</w:t>
      </w:r>
      <w:r>
        <w:rPr>
          <w:lang w:val="es-ES"/>
        </w:rPr>
        <w:t>a</w:t>
      </w:r>
      <w:r w:rsidRPr="00965C71">
        <w:rPr>
          <w:lang w:val="es-ES"/>
        </w:rPr>
        <w:t xml:space="preserve"> simple </w:t>
      </w:r>
      <w:r>
        <w:rPr>
          <w:lang w:val="es-ES"/>
        </w:rPr>
        <w:t>actualización y la GGSN se mantiene sin cambios</w:t>
      </w:r>
      <w:r w:rsidRPr="00965C71">
        <w:rPr>
          <w:lang w:val="es-ES"/>
        </w:rPr>
        <w:t>.</w:t>
      </w:r>
    </w:p>
    <w:p w:rsidR="00413588" w:rsidRPr="00A43C05" w:rsidRDefault="00AF396C" w:rsidP="00AF396C">
      <w:pPr>
        <w:rPr>
          <w:lang w:val="es-ES_tradnl"/>
        </w:rPr>
      </w:pPr>
      <w:r w:rsidRPr="00965C71">
        <w:rPr>
          <w:lang w:val="es-ES"/>
        </w:rPr>
        <w:t>Otra solución en lo que respecta a TDMA es efectuar la migración/transición directamente a servicios IMT</w:t>
      </w:r>
      <w:r w:rsidRPr="00965C71">
        <w:rPr>
          <w:lang w:val="es-ES"/>
        </w:rPr>
        <w:noBreakHyphen/>
        <w:t xml:space="preserve">2000 a través de las tecnologías </w:t>
      </w:r>
      <w:r>
        <w:rPr>
          <w:lang w:val="es-ES"/>
        </w:rPr>
        <w:t>CDMA IMT-2000 con ensanchamiento directo</w:t>
      </w:r>
      <w:r w:rsidRPr="00965C71">
        <w:rPr>
          <w:lang w:val="es-ES"/>
        </w:rPr>
        <w:t xml:space="preserve"> y HSDPA. En este caso habrá que proceder a desplegar una superposición </w:t>
      </w:r>
      <w:r>
        <w:rPr>
          <w:lang w:val="es-ES"/>
        </w:rPr>
        <w:t>de CDMA IMT-2000 con ensanchamiento directo</w:t>
      </w:r>
      <w:r w:rsidRPr="00965C71">
        <w:rPr>
          <w:lang w:val="es-ES"/>
        </w:rPr>
        <w:t>, semejante a la superposición de GSM antes descrita.</w:t>
      </w:r>
    </w:p>
    <w:p w:rsidR="00413588" w:rsidRPr="00A43C05" w:rsidRDefault="00413588" w:rsidP="00AF396C">
      <w:pPr>
        <w:pStyle w:val="Heading3"/>
        <w:rPr>
          <w:lang w:val="es-ES_tradnl"/>
        </w:rPr>
      </w:pPr>
      <w:bookmarkStart w:id="341" w:name="_Toc53323427"/>
      <w:bookmarkStart w:id="342" w:name="_Toc63611634"/>
      <w:bookmarkStart w:id="343" w:name="_Toc89083706"/>
      <w:bookmarkStart w:id="344" w:name="_Toc92878215"/>
      <w:bookmarkStart w:id="345" w:name="_Toc101931277"/>
      <w:bookmarkStart w:id="346" w:name="_Toc103399296"/>
      <w:bookmarkStart w:id="347" w:name="_Toc103400374"/>
      <w:bookmarkStart w:id="348" w:name="_Toc103400838"/>
      <w:bookmarkStart w:id="349" w:name="_Toc103401302"/>
      <w:bookmarkStart w:id="350" w:name="_Toc103401767"/>
      <w:bookmarkStart w:id="351" w:name="_Toc103402233"/>
      <w:bookmarkStart w:id="352" w:name="_Toc103402698"/>
      <w:bookmarkStart w:id="353" w:name="_Toc103403463"/>
      <w:bookmarkStart w:id="354" w:name="_Toc103421233"/>
      <w:bookmarkStart w:id="355" w:name="_Toc103528407"/>
      <w:bookmarkStart w:id="356" w:name="_Toc255292543"/>
      <w:bookmarkStart w:id="357" w:name="_Toc259024248"/>
      <w:bookmarkEnd w:id="339"/>
      <w:bookmarkEnd w:id="340"/>
      <w:r w:rsidRPr="00A43C05">
        <w:rPr>
          <w:lang w:val="es-ES_tradnl"/>
        </w:rPr>
        <w:t>9.4.2</w:t>
      </w:r>
      <w:r w:rsidRPr="00A43C05">
        <w:rPr>
          <w:lang w:val="es-ES_tradnl"/>
        </w:rPr>
        <w:tab/>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00AF396C" w:rsidRPr="00AF396C">
        <w:rPr>
          <w:lang w:val="es-ES_tradnl"/>
        </w:rPr>
        <w:t>Transición a CDMA IMT</w:t>
      </w:r>
      <w:r w:rsidR="00AF396C" w:rsidRPr="00AF396C">
        <w:rPr>
          <w:lang w:val="es-ES_tradnl"/>
        </w:rPr>
        <w:noBreakHyphen/>
        <w:t xml:space="preserve">2000 con </w:t>
      </w:r>
      <w:proofErr w:type="spellStart"/>
      <w:r w:rsidR="00AF396C" w:rsidRPr="00AF396C">
        <w:rPr>
          <w:lang w:val="es-ES_tradnl"/>
        </w:rPr>
        <w:t>multiportadora</w:t>
      </w:r>
      <w:bookmarkEnd w:id="357"/>
      <w:proofErr w:type="spellEnd"/>
    </w:p>
    <w:p w:rsidR="00AF396C" w:rsidRPr="00965C71" w:rsidRDefault="00AF396C" w:rsidP="00AF396C">
      <w:pPr>
        <w:rPr>
          <w:lang w:val="es-ES"/>
        </w:rPr>
      </w:pPr>
      <w:r w:rsidRPr="00965C71">
        <w:rPr>
          <w:lang w:val="es-ES"/>
        </w:rPr>
        <w:t>Los operadores de sistemas digitales TDMA pre</w:t>
      </w:r>
      <w:r w:rsidRPr="00965C71">
        <w:rPr>
          <w:lang w:val="es-ES"/>
        </w:rPr>
        <w:noBreakHyphen/>
        <w:t>IMT</w:t>
      </w:r>
      <w:r w:rsidRPr="00965C71">
        <w:rPr>
          <w:lang w:val="es-ES"/>
        </w:rPr>
        <w:noBreakHyphen/>
        <w:t>2000 (ANSI-136, ANSI</w:t>
      </w:r>
      <w:r w:rsidRPr="00965C71">
        <w:rPr>
          <w:lang w:val="es-ES"/>
        </w:rPr>
        <w:noBreakHyphen/>
        <w:t xml:space="preserve">54) pueden </w:t>
      </w:r>
      <w:r>
        <w:rPr>
          <w:lang w:val="es-ES"/>
        </w:rPr>
        <w:t>efectuar</w:t>
      </w:r>
      <w:r w:rsidRPr="00965C71">
        <w:rPr>
          <w:lang w:val="es-ES"/>
        </w:rPr>
        <w:t xml:space="preserve"> un trayecto </w:t>
      </w:r>
      <w:r>
        <w:rPr>
          <w:lang w:val="es-ES"/>
        </w:rPr>
        <w:t>de migración/transición paulatino</w:t>
      </w:r>
      <w:r w:rsidRPr="00965C71">
        <w:rPr>
          <w:lang w:val="es-ES"/>
        </w:rPr>
        <w:t xml:space="preserve"> y fácil hacia </w:t>
      </w:r>
      <w:r>
        <w:rPr>
          <w:lang w:val="es-ES"/>
        </w:rPr>
        <w:t xml:space="preserve">las IMT-2000 con </w:t>
      </w:r>
      <w:proofErr w:type="spellStart"/>
      <w:r>
        <w:rPr>
          <w:lang w:val="es-ES"/>
        </w:rPr>
        <w:t>multiportadora</w:t>
      </w:r>
      <w:proofErr w:type="spellEnd"/>
      <w:r w:rsidRPr="00965C71">
        <w:rPr>
          <w:lang w:val="es-ES"/>
        </w:rPr>
        <w:t xml:space="preserve">. Los sistemas digitales TDMA se basan en el protocolo ANSI-41, que es una red básica comúnmente utilizada por la familia CDMA2000 que </w:t>
      </w:r>
      <w:r>
        <w:rPr>
          <w:lang w:val="es-ES"/>
        </w:rPr>
        <w:t>forma</w:t>
      </w:r>
      <w:r w:rsidRPr="00965C71">
        <w:rPr>
          <w:lang w:val="es-ES"/>
        </w:rPr>
        <w:t xml:space="preserve"> la </w:t>
      </w:r>
      <w:r>
        <w:rPr>
          <w:lang w:val="es-ES"/>
        </w:rPr>
        <w:t xml:space="preserve">CDMA IMT-2000 con </w:t>
      </w:r>
      <w:proofErr w:type="spellStart"/>
      <w:r>
        <w:rPr>
          <w:lang w:val="es-ES"/>
        </w:rPr>
        <w:t>multiportadora</w:t>
      </w:r>
      <w:proofErr w:type="spellEnd"/>
      <w:r w:rsidRPr="00965C71">
        <w:rPr>
          <w:lang w:val="es-ES"/>
        </w:rPr>
        <w:t xml:space="preserve">. La red básica común puede </w:t>
      </w:r>
      <w:r>
        <w:rPr>
          <w:lang w:val="es-ES"/>
        </w:rPr>
        <w:t>potenciarse</w:t>
      </w:r>
      <w:r w:rsidRPr="00965C71">
        <w:rPr>
          <w:lang w:val="es-ES"/>
        </w:rPr>
        <w:t xml:space="preserve"> mediante una migración/transición a la </w:t>
      </w:r>
      <w:r>
        <w:rPr>
          <w:lang w:val="es-ES"/>
        </w:rPr>
        <w:t xml:space="preserve">CDMA IMT-2000 con </w:t>
      </w:r>
      <w:proofErr w:type="spellStart"/>
      <w:r>
        <w:rPr>
          <w:lang w:val="es-ES"/>
        </w:rPr>
        <w:t>multiportadora</w:t>
      </w:r>
      <w:proofErr w:type="spellEnd"/>
      <w:r w:rsidRPr="00965C71">
        <w:rPr>
          <w:lang w:val="es-ES"/>
        </w:rPr>
        <w:t xml:space="preserve">, </w:t>
      </w:r>
      <w:r>
        <w:rPr>
          <w:lang w:val="es-ES"/>
        </w:rPr>
        <w:t>lo</w:t>
      </w:r>
      <w:r w:rsidRPr="00965C71">
        <w:rPr>
          <w:lang w:val="es-ES"/>
        </w:rPr>
        <w:t xml:space="preserve"> que exige únicamente que los operadores añadan estaciones </w:t>
      </w:r>
      <w:r>
        <w:rPr>
          <w:lang w:val="es-ES"/>
        </w:rPr>
        <w:t>de base</w:t>
      </w:r>
      <w:r w:rsidRPr="00965C71">
        <w:rPr>
          <w:lang w:val="es-ES"/>
        </w:rPr>
        <w:t xml:space="preserve"> CDMA2000 y controladores de estación de base (BSC), programas informáticos </w:t>
      </w:r>
      <w:r>
        <w:rPr>
          <w:lang w:val="es-ES"/>
        </w:rPr>
        <w:t xml:space="preserve">de actualización </w:t>
      </w:r>
      <w:r w:rsidRPr="00965C71">
        <w:rPr>
          <w:lang w:val="es-ES"/>
        </w:rPr>
        <w:t xml:space="preserve">en el centro de conmutación móvil (MSC) y añadan un nodo de soporte de datos en paquetes. Asimismo, los transceptores de la </w:t>
      </w:r>
      <w:r>
        <w:rPr>
          <w:lang w:val="es-ES"/>
        </w:rPr>
        <w:t>estación de base</w:t>
      </w:r>
      <w:r w:rsidRPr="00965C71">
        <w:rPr>
          <w:lang w:val="es-ES"/>
        </w:rPr>
        <w:t xml:space="preserve"> </w:t>
      </w:r>
      <w:r>
        <w:rPr>
          <w:lang w:val="es-ES"/>
        </w:rPr>
        <w:t xml:space="preserve">(BTS) </w:t>
      </w:r>
      <w:r w:rsidRPr="00965C71">
        <w:rPr>
          <w:lang w:val="es-ES"/>
        </w:rPr>
        <w:t xml:space="preserve">con tecnología </w:t>
      </w:r>
      <w:r>
        <w:rPr>
          <w:lang w:val="es-ES"/>
        </w:rPr>
        <w:t xml:space="preserve">CDMA IMT-2000 con </w:t>
      </w:r>
      <w:proofErr w:type="spellStart"/>
      <w:r>
        <w:rPr>
          <w:lang w:val="es-ES"/>
        </w:rPr>
        <w:t>multiportadora</w:t>
      </w:r>
      <w:proofErr w:type="spellEnd"/>
      <w:r w:rsidRPr="00965C71">
        <w:rPr>
          <w:lang w:val="es-ES"/>
        </w:rPr>
        <w:t xml:space="preserve"> pueden </w:t>
      </w:r>
      <w:r>
        <w:rPr>
          <w:lang w:val="es-ES"/>
        </w:rPr>
        <w:t>situarse junto a los</w:t>
      </w:r>
      <w:r w:rsidRPr="00965C71">
        <w:rPr>
          <w:lang w:val="es-ES"/>
        </w:rPr>
        <w:t xml:space="preserve"> BTS TDMA </w:t>
      </w:r>
      <w:r>
        <w:rPr>
          <w:lang w:val="es-ES"/>
        </w:rPr>
        <w:t>abaratando</w:t>
      </w:r>
      <w:r w:rsidRPr="00965C71">
        <w:rPr>
          <w:lang w:val="es-ES"/>
        </w:rPr>
        <w:t xml:space="preserve"> significativamente </w:t>
      </w:r>
      <w:r>
        <w:rPr>
          <w:lang w:val="es-ES"/>
        </w:rPr>
        <w:t>el costo</w:t>
      </w:r>
      <w:r w:rsidRPr="00965C71">
        <w:rPr>
          <w:lang w:val="es-ES"/>
        </w:rPr>
        <w:t xml:space="preserve"> de despliegue de</w:t>
      </w:r>
      <w:r>
        <w:rPr>
          <w:lang w:val="es-ES"/>
        </w:rPr>
        <w:t xml:space="preserve"> la</w:t>
      </w:r>
      <w:r w:rsidRPr="00965C71">
        <w:rPr>
          <w:lang w:val="es-ES"/>
        </w:rPr>
        <w:t xml:space="preserve"> red. La Figura 9.4.2 indica los nuevos componentes </w:t>
      </w:r>
      <w:r>
        <w:rPr>
          <w:lang w:val="es-ES"/>
        </w:rPr>
        <w:t>necesarios</w:t>
      </w:r>
      <w:r w:rsidRPr="00965C71">
        <w:rPr>
          <w:lang w:val="es-ES"/>
        </w:rPr>
        <w:t xml:space="preserve"> para la migración/transición de TDMA a CDMA2000. La migración/transición CDMA2000 brinda t</w:t>
      </w:r>
      <w:r>
        <w:rPr>
          <w:lang w:val="es-ES"/>
        </w:rPr>
        <w:t>ambién a los operadores TDMA una amplia</w:t>
      </w:r>
      <w:r w:rsidRPr="00965C71">
        <w:rPr>
          <w:lang w:val="es-ES"/>
        </w:rPr>
        <w:t xml:space="preserve"> </w:t>
      </w:r>
      <w:r>
        <w:rPr>
          <w:lang w:val="es-ES"/>
        </w:rPr>
        <w:t>gama</w:t>
      </w:r>
      <w:r w:rsidRPr="00965C71">
        <w:rPr>
          <w:lang w:val="es-ES"/>
        </w:rPr>
        <w:t xml:space="preserve"> de </w:t>
      </w:r>
      <w:proofErr w:type="spellStart"/>
      <w:r>
        <w:rPr>
          <w:lang w:val="es-ES"/>
        </w:rPr>
        <w:t>microteléfonos</w:t>
      </w:r>
      <w:proofErr w:type="spellEnd"/>
      <w:r w:rsidRPr="00965C71">
        <w:rPr>
          <w:lang w:val="es-ES"/>
        </w:rPr>
        <w:t xml:space="preserve"> de bajo costo, así como una tecnología madura y </w:t>
      </w:r>
      <w:r>
        <w:rPr>
          <w:lang w:val="es-ES"/>
        </w:rPr>
        <w:t>una</w:t>
      </w:r>
      <w:r w:rsidRPr="00965C71">
        <w:rPr>
          <w:lang w:val="es-ES"/>
        </w:rPr>
        <w:t xml:space="preserve"> infraestructura</w:t>
      </w:r>
      <w:r>
        <w:rPr>
          <w:lang w:val="es-ES"/>
        </w:rPr>
        <w:t xml:space="preserve"> de bajo costo</w:t>
      </w:r>
      <w:r w:rsidRPr="00965C71">
        <w:rPr>
          <w:lang w:val="es-ES"/>
        </w:rPr>
        <w:t>. Los opera</w:t>
      </w:r>
      <w:r w:rsidRPr="00965C71">
        <w:rPr>
          <w:lang w:val="es-ES"/>
        </w:rPr>
        <w:softHyphen/>
        <w:t xml:space="preserve">dores pueden </w:t>
      </w:r>
      <w:r>
        <w:rPr>
          <w:lang w:val="es-ES"/>
        </w:rPr>
        <w:t>obtener</w:t>
      </w:r>
      <w:r w:rsidRPr="00965C71">
        <w:rPr>
          <w:lang w:val="es-ES"/>
        </w:rPr>
        <w:t xml:space="preserve">, por otra parte, una ingeniería de red sencilla, ya que las </w:t>
      </w:r>
      <w:r>
        <w:rPr>
          <w:lang w:val="es-ES"/>
        </w:rPr>
        <w:t>redes CDMA se despliegan con un factor de</w:t>
      </w:r>
      <w:r w:rsidRPr="00965C71">
        <w:rPr>
          <w:lang w:val="es-ES"/>
        </w:rPr>
        <w:t xml:space="preserve"> reutilización de frecuencia</w:t>
      </w:r>
      <w:r>
        <w:rPr>
          <w:lang w:val="es-ES"/>
        </w:rPr>
        <w:t>s</w:t>
      </w:r>
      <w:r w:rsidRPr="00965C71">
        <w:rPr>
          <w:lang w:val="es-ES"/>
        </w:rPr>
        <w:t xml:space="preserve"> de 1, en </w:t>
      </w:r>
      <w:r>
        <w:rPr>
          <w:lang w:val="es-ES"/>
        </w:rPr>
        <w:t>vez</w:t>
      </w:r>
      <w:r w:rsidRPr="00965C71">
        <w:rPr>
          <w:lang w:val="es-ES"/>
        </w:rPr>
        <w:t xml:space="preserve"> de los factores más elevados de reutilización, tales como 7/21 ó 4/12, que exigen las redes TDMA. Asimismo, los </w:t>
      </w:r>
      <w:proofErr w:type="spellStart"/>
      <w:r>
        <w:rPr>
          <w:lang w:val="es-ES"/>
        </w:rPr>
        <w:t>micro</w:t>
      </w:r>
      <w:r w:rsidRPr="00965C71">
        <w:rPr>
          <w:lang w:val="es-ES"/>
        </w:rPr>
        <w:t>teléfonos</w:t>
      </w:r>
      <w:proofErr w:type="spellEnd"/>
      <w:r w:rsidRPr="00965C71">
        <w:rPr>
          <w:lang w:val="es-ES"/>
        </w:rPr>
        <w:t xml:space="preserve"> CDMA permiten a los usuarios finales </w:t>
      </w:r>
      <w:r>
        <w:rPr>
          <w:lang w:val="es-ES"/>
        </w:rPr>
        <w:t xml:space="preserve">la </w:t>
      </w:r>
      <w:proofErr w:type="spellStart"/>
      <w:r>
        <w:rPr>
          <w:lang w:val="es-ES"/>
        </w:rPr>
        <w:t>itinerancia</w:t>
      </w:r>
      <w:proofErr w:type="spellEnd"/>
      <w:r w:rsidRPr="00965C71">
        <w:rPr>
          <w:lang w:val="es-ES"/>
        </w:rPr>
        <w:t xml:space="preserve"> de una red CDMA2000 1X parcialmente construida </w:t>
      </w:r>
      <w:r>
        <w:rPr>
          <w:lang w:val="es-ES"/>
        </w:rPr>
        <w:t>al</w:t>
      </w:r>
      <w:r w:rsidRPr="00965C71">
        <w:rPr>
          <w:lang w:val="es-ES"/>
        </w:rPr>
        <w:t xml:space="preserve"> lado AMPS de una red TDMA</w:t>
      </w:r>
      <w:r w:rsidRPr="00965C71">
        <w:rPr>
          <w:lang w:val="es-ES"/>
        </w:rPr>
        <w:noBreakHyphen/>
        <w:t>AMPS. Esto, a su vez, le simplifica al operador la planificación de su red.</w:t>
      </w:r>
    </w:p>
    <w:p w:rsidR="00AE7664" w:rsidRPr="00A43C05" w:rsidRDefault="00AF396C" w:rsidP="001D58F3">
      <w:pPr>
        <w:rPr>
          <w:lang w:val="es-ES_tradnl"/>
        </w:rPr>
      </w:pPr>
      <w:r w:rsidRPr="00965C71">
        <w:rPr>
          <w:lang w:val="es-ES_tradnl"/>
        </w:rPr>
        <w:t xml:space="preserve">La familia de sistemas </w:t>
      </w:r>
      <w:r>
        <w:rPr>
          <w:lang w:val="es-ES_tradnl"/>
        </w:rPr>
        <w:t xml:space="preserve">IMT-2000 con </w:t>
      </w:r>
      <w:proofErr w:type="spellStart"/>
      <w:r>
        <w:rPr>
          <w:lang w:val="es-ES_tradnl"/>
        </w:rPr>
        <w:t>multiportadora</w:t>
      </w:r>
      <w:proofErr w:type="spellEnd"/>
      <w:r w:rsidRPr="00965C71">
        <w:rPr>
          <w:lang w:val="es-ES_tradnl"/>
        </w:rPr>
        <w:t xml:space="preserve"> está integrada por el sistema CDMA2000 1X para velocidad de voz y </w:t>
      </w:r>
      <w:r>
        <w:rPr>
          <w:lang w:val="es-ES_tradnl"/>
        </w:rPr>
        <w:t>velocidades</w:t>
      </w:r>
      <w:r w:rsidRPr="00965C71">
        <w:rPr>
          <w:lang w:val="es-ES_tradnl"/>
        </w:rPr>
        <w:t xml:space="preserve"> de datos</w:t>
      </w:r>
      <w:r>
        <w:rPr>
          <w:lang w:val="es-ES_tradnl"/>
        </w:rPr>
        <w:t xml:space="preserve"> medias, </w:t>
      </w:r>
      <w:r w:rsidRPr="00965C71">
        <w:rPr>
          <w:lang w:val="es-ES_tradnl"/>
        </w:rPr>
        <w:t xml:space="preserve">de hasta 307 </w:t>
      </w:r>
      <w:proofErr w:type="spellStart"/>
      <w:r w:rsidRPr="00965C71">
        <w:rPr>
          <w:lang w:val="es-ES_tradnl"/>
        </w:rPr>
        <w:t>kbit</w:t>
      </w:r>
      <w:proofErr w:type="spellEnd"/>
      <w:r w:rsidRPr="00965C71">
        <w:rPr>
          <w:lang w:val="es-ES_tradnl"/>
        </w:rPr>
        <w:t xml:space="preserve">/s, </w:t>
      </w:r>
      <w:r>
        <w:rPr>
          <w:lang w:val="es-ES_tradnl"/>
        </w:rPr>
        <w:t>y</w:t>
      </w:r>
      <w:r w:rsidRPr="00965C71">
        <w:rPr>
          <w:lang w:val="es-ES_tradnl"/>
        </w:rPr>
        <w:t xml:space="preserve"> CDMA2000 1xEV</w:t>
      </w:r>
      <w:r w:rsidRPr="00965C71">
        <w:rPr>
          <w:lang w:val="es-ES_tradnl"/>
        </w:rPr>
        <w:noBreakHyphen/>
        <w:t xml:space="preserve">DO para </w:t>
      </w:r>
      <w:r>
        <w:rPr>
          <w:lang w:val="es-ES_tradnl"/>
        </w:rPr>
        <w:t>altas</w:t>
      </w:r>
      <w:r w:rsidRPr="00965C71">
        <w:rPr>
          <w:lang w:val="es-ES_tradnl"/>
        </w:rPr>
        <w:t xml:space="preserve"> velocidades de datos de hasta 3,1 </w:t>
      </w:r>
      <w:proofErr w:type="spellStart"/>
      <w:r w:rsidRPr="00965C71">
        <w:rPr>
          <w:lang w:val="es-ES_tradnl"/>
        </w:rPr>
        <w:t>Mbit</w:t>
      </w:r>
      <w:proofErr w:type="spellEnd"/>
      <w:r w:rsidRPr="00965C71">
        <w:rPr>
          <w:lang w:val="es-ES_tradnl"/>
        </w:rPr>
        <w:t>/s en un único canal de 1,25 MHz, o velocidades superiores de hasta 14,7</w:t>
      </w:r>
      <w:r w:rsidR="001D58F3">
        <w:rPr>
          <w:lang w:val="es-ES_tradnl"/>
        </w:rPr>
        <w:t> </w:t>
      </w:r>
      <w:proofErr w:type="spellStart"/>
      <w:r w:rsidRPr="00965C71">
        <w:rPr>
          <w:lang w:val="es-ES_tradnl"/>
        </w:rPr>
        <w:t>Mbit</w:t>
      </w:r>
      <w:proofErr w:type="spellEnd"/>
      <w:r w:rsidRPr="00965C71">
        <w:rPr>
          <w:lang w:val="es-ES_tradnl"/>
        </w:rPr>
        <w:t xml:space="preserve">/s, con canales agregados utilizando EV-DO Rev. B. Los operadores TDMA pueden efectuar primeramente la transición a CDMA2000 1X y </w:t>
      </w:r>
      <w:r>
        <w:rPr>
          <w:lang w:val="es-ES_tradnl"/>
        </w:rPr>
        <w:t>superponer a continuación</w:t>
      </w:r>
      <w:r w:rsidRPr="00965C71">
        <w:rPr>
          <w:lang w:val="es-ES_tradnl"/>
        </w:rPr>
        <w:t xml:space="preserve"> CDMA2000 1xEV</w:t>
      </w:r>
      <w:r w:rsidRPr="00965C71">
        <w:rPr>
          <w:lang w:val="es-ES_tradnl"/>
        </w:rPr>
        <w:noBreakHyphen/>
        <w:t>DO en varias fases, dependiendo de la evolución de la capacidad de la red. Esta transición ofrece también a los operadores la flexibilidad suficiente para implementar servicios IMT</w:t>
      </w:r>
      <w:r w:rsidRPr="00965C71">
        <w:rPr>
          <w:lang w:val="es-ES_tradnl"/>
        </w:rPr>
        <w:noBreakHyphen/>
        <w:t>2000 en el espectro que utilizan, lo que les permitirá reducir sustancialmente sus costos, ya que estos sistemas pueden evolucionar con canales más estrechos de 1,25</w:t>
      </w:r>
      <w:r w:rsidR="001D58F3">
        <w:rPr>
          <w:lang w:val="es-ES_tradnl"/>
        </w:rPr>
        <w:t> </w:t>
      </w:r>
      <w:r w:rsidRPr="00965C71">
        <w:rPr>
          <w:lang w:val="es-ES_tradnl"/>
        </w:rPr>
        <w:t xml:space="preserve">MHz, </w:t>
      </w:r>
      <w:r>
        <w:rPr>
          <w:lang w:val="es-ES_tradnl"/>
        </w:rPr>
        <w:t>que</w:t>
      </w:r>
      <w:r w:rsidRPr="00965C71">
        <w:rPr>
          <w:lang w:val="es-ES_tradnl"/>
        </w:rPr>
        <w:t xml:space="preserve"> facilita el despliegue de tres portadoras CDMA en una anchura de banda de 5 </w:t>
      </w:r>
      <w:proofErr w:type="spellStart"/>
      <w:r w:rsidRPr="00965C71">
        <w:rPr>
          <w:lang w:val="es-ES_tradnl"/>
        </w:rPr>
        <w:t>MHz.</w:t>
      </w:r>
      <w:proofErr w:type="spellEnd"/>
    </w:p>
    <w:p w:rsidR="007425DF" w:rsidRPr="00A43C05" w:rsidRDefault="007425DF" w:rsidP="007425DF">
      <w:pPr>
        <w:pStyle w:val="Normalaftertitle0"/>
        <w:rPr>
          <w:lang w:val="es-ES_tradnl"/>
        </w:rPr>
      </w:pPr>
    </w:p>
    <w:p w:rsidR="007425DF" w:rsidRPr="00A43C05" w:rsidRDefault="007425DF" w:rsidP="001D58F3">
      <w:pPr>
        <w:pStyle w:val="FigureTitle"/>
        <w:rPr>
          <w:rFonts w:asciiTheme="majorBidi" w:hAnsiTheme="majorBidi" w:cstheme="majorBidi"/>
          <w:lang w:val="es-ES_tradnl"/>
        </w:rPr>
      </w:pPr>
      <w:r w:rsidRPr="00A43C05">
        <w:rPr>
          <w:rFonts w:asciiTheme="majorBidi" w:hAnsiTheme="majorBidi" w:cstheme="majorBidi"/>
          <w:lang w:val="es-ES_tradnl"/>
        </w:rPr>
        <w:lastRenderedPageBreak/>
        <w:t>Figur</w:t>
      </w:r>
      <w:r w:rsidR="001D58F3" w:rsidRPr="00A43C05">
        <w:rPr>
          <w:rFonts w:asciiTheme="majorBidi" w:hAnsiTheme="majorBidi" w:cstheme="majorBidi"/>
          <w:lang w:val="es-ES_tradnl"/>
        </w:rPr>
        <w:t>a</w:t>
      </w:r>
      <w:r w:rsidRPr="00A43C05">
        <w:rPr>
          <w:rFonts w:asciiTheme="majorBidi" w:hAnsiTheme="majorBidi" w:cstheme="majorBidi"/>
          <w:lang w:val="es-ES_tradnl"/>
        </w:rPr>
        <w:t xml:space="preserve"> 9.4.2: </w:t>
      </w:r>
      <w:r w:rsidR="001D58F3" w:rsidRPr="001D58F3">
        <w:rPr>
          <w:rFonts w:asciiTheme="majorBidi" w:hAnsiTheme="majorBidi" w:cstheme="majorBidi"/>
          <w:lang w:val="es-ES_tradnl"/>
        </w:rPr>
        <w:t>Trayecto de transición de TDMA a CDMA IMT</w:t>
      </w:r>
      <w:r w:rsidR="001D58F3" w:rsidRPr="001D58F3">
        <w:rPr>
          <w:rFonts w:asciiTheme="majorBidi" w:hAnsiTheme="majorBidi" w:cstheme="majorBidi"/>
          <w:lang w:val="es-ES_tradnl"/>
        </w:rPr>
        <w:noBreakHyphen/>
        <w:t xml:space="preserve">2000 con </w:t>
      </w:r>
      <w:proofErr w:type="spellStart"/>
      <w:r w:rsidR="001D58F3" w:rsidRPr="001D58F3">
        <w:rPr>
          <w:rFonts w:asciiTheme="majorBidi" w:hAnsiTheme="majorBidi" w:cstheme="majorBidi"/>
          <w:lang w:val="es-ES_tradnl"/>
        </w:rPr>
        <w:t>multiportadora</w:t>
      </w:r>
      <w:proofErr w:type="spellEnd"/>
    </w:p>
    <w:p w:rsidR="001D58F3" w:rsidRPr="00965C71" w:rsidRDefault="001D58F3" w:rsidP="00863244">
      <w:pPr>
        <w:pStyle w:val="Figure"/>
        <w:rPr>
          <w:lang w:val="es-ES_tradnl"/>
        </w:rPr>
      </w:pPr>
      <w:r w:rsidRPr="00965C71">
        <w:rPr>
          <w:lang w:val="es-ES_tradnl"/>
        </w:rPr>
        <w:object w:dxaOrig="8744" w:dyaOrig="6012">
          <v:shape id="_x0000_i1028" type="#_x0000_t75" style="width:438pt;height:300.75pt" o:ole="">
            <v:imagedata r:id="rId25" o:title=""/>
          </v:shape>
          <o:OLEObject Type="Embed" ProgID="CorelDRAW.Graphic.14" ShapeID="_x0000_i1028" DrawAspect="Content" ObjectID="_1334060541" r:id="rId26"/>
        </w:object>
      </w:r>
    </w:p>
    <w:p w:rsidR="007425DF" w:rsidRPr="00807D05" w:rsidRDefault="007425DF" w:rsidP="00807D05">
      <w:pPr>
        <w:pStyle w:val="FigureSource"/>
        <w:rPr>
          <w:sz w:val="4"/>
        </w:rPr>
      </w:pPr>
    </w:p>
    <w:p w:rsidR="001D58F3" w:rsidRPr="00965C71" w:rsidRDefault="001D58F3" w:rsidP="001D58F3">
      <w:pPr>
        <w:pStyle w:val="Normalaftertitle"/>
        <w:rPr>
          <w:lang w:val="es-ES"/>
        </w:rPr>
      </w:pPr>
      <w:r w:rsidRPr="00965C71">
        <w:rPr>
          <w:lang w:val="es-ES"/>
        </w:rPr>
        <w:t xml:space="preserve">La transición a CDMA2000 brinda también la posibilidad de optar por una evolución en fases durante la cual se </w:t>
      </w:r>
      <w:r>
        <w:rPr>
          <w:lang w:val="es-ES"/>
        </w:rPr>
        <w:t>libere</w:t>
      </w:r>
      <w:r w:rsidRPr="00965C71">
        <w:rPr>
          <w:lang w:val="es-ES"/>
        </w:rPr>
        <w:t xml:space="preserve"> espectro para efectuar </w:t>
      </w:r>
      <w:r>
        <w:rPr>
          <w:lang w:val="es-ES"/>
        </w:rPr>
        <w:t>la</w:t>
      </w:r>
      <w:r w:rsidRPr="00965C71">
        <w:rPr>
          <w:lang w:val="es-ES"/>
        </w:rPr>
        <w:t xml:space="preserve"> migración/transición. Esto permite a los operadores ampliar sus redes IMT-2000</w:t>
      </w:r>
      <w:r>
        <w:rPr>
          <w:lang w:val="es-ES"/>
        </w:rPr>
        <w:t xml:space="preserve"> en sucesivas etapas</w:t>
      </w:r>
      <w:r w:rsidRPr="00965C71">
        <w:rPr>
          <w:lang w:val="es-ES"/>
        </w:rPr>
        <w:t xml:space="preserve">, dependiendo de la banda de frecuencias disponible y la evolución de la red </w:t>
      </w:r>
      <w:r>
        <w:rPr>
          <w:lang w:val="es-ES"/>
        </w:rPr>
        <w:t>en respuesta a</w:t>
      </w:r>
      <w:r w:rsidRPr="00965C71">
        <w:rPr>
          <w:lang w:val="es-ES"/>
        </w:rPr>
        <w:t xml:space="preserve"> la demanda de servicios de datos de </w:t>
      </w:r>
      <w:r>
        <w:rPr>
          <w:lang w:val="es-ES"/>
        </w:rPr>
        <w:t>alta</w:t>
      </w:r>
      <w:r w:rsidRPr="00965C71">
        <w:rPr>
          <w:lang w:val="es-ES"/>
        </w:rPr>
        <w:t xml:space="preserve"> velocidad. Durante la trans</w:t>
      </w:r>
      <w:r>
        <w:rPr>
          <w:lang w:val="es-ES"/>
        </w:rPr>
        <w:t>ición, los operadores CDMA puede</w:t>
      </w:r>
      <w:r w:rsidRPr="00965C71">
        <w:rPr>
          <w:lang w:val="es-ES"/>
        </w:rPr>
        <w:t xml:space="preserve">n coexistir sin ningún problema con los operadores TDMA, lo que favorece un trayecto de migración/transición </w:t>
      </w:r>
      <w:r>
        <w:rPr>
          <w:lang w:val="es-ES"/>
        </w:rPr>
        <w:t>paulatino</w:t>
      </w:r>
      <w:r w:rsidRPr="00965C71">
        <w:rPr>
          <w:lang w:val="es-ES"/>
        </w:rPr>
        <w:t xml:space="preserve">. Los sistemas CDMA y TDMA han coexistido durante algún tiempo y se han desarrollado muchas técnicas para reducir </w:t>
      </w:r>
      <w:r>
        <w:rPr>
          <w:lang w:val="es-ES"/>
        </w:rPr>
        <w:t>la repercusión de esta coexistencia</w:t>
      </w:r>
      <w:r w:rsidRPr="00965C71">
        <w:rPr>
          <w:lang w:val="es-ES"/>
        </w:rPr>
        <w:t>.</w:t>
      </w:r>
    </w:p>
    <w:p w:rsidR="00AC63A8" w:rsidRPr="00A43C05" w:rsidRDefault="001D58F3" w:rsidP="001D58F3">
      <w:pPr>
        <w:rPr>
          <w:lang w:val="es-ES_tradnl"/>
        </w:rPr>
      </w:pPr>
      <w:r w:rsidRPr="00965C71">
        <w:rPr>
          <w:lang w:val="es-ES"/>
        </w:rPr>
        <w:t xml:space="preserve">Cuando se trata de que una red evolucione para responder a la demanda de servicio de datos a gran velocidad, es posible desplegar la combinación deseada de portadoras CDMA2000 1X y CDMA2000 EV-DO, para proporcionar una mezcla flexible de canales vocales de alta calidad y servicios de datos </w:t>
      </w:r>
      <w:r>
        <w:rPr>
          <w:lang w:val="es-ES"/>
        </w:rPr>
        <w:t>de alta</w:t>
      </w:r>
      <w:r w:rsidRPr="00965C71">
        <w:rPr>
          <w:lang w:val="es-ES"/>
        </w:rPr>
        <w:t xml:space="preserve"> velocidad. Asimismo, pueden añadirse portadoras CDMA a medida que la demanda aumente. Esto permitirá una migración/</w:t>
      </w:r>
      <w:r>
        <w:rPr>
          <w:lang w:val="es-ES"/>
        </w:rPr>
        <w:t>transición paulatina</w:t>
      </w:r>
      <w:r w:rsidRPr="00965C71">
        <w:rPr>
          <w:lang w:val="es-ES"/>
        </w:rPr>
        <w:t xml:space="preserve"> a la</w:t>
      </w:r>
      <w:r>
        <w:rPr>
          <w:lang w:val="es-ES"/>
        </w:rPr>
        <w:t>s</w:t>
      </w:r>
      <w:r w:rsidRPr="00965C71">
        <w:rPr>
          <w:lang w:val="es-ES"/>
        </w:rPr>
        <w:t xml:space="preserve"> </w:t>
      </w:r>
      <w:r>
        <w:rPr>
          <w:lang w:val="es-ES"/>
        </w:rPr>
        <w:t xml:space="preserve">IMT-2000 con </w:t>
      </w:r>
      <w:proofErr w:type="spellStart"/>
      <w:r>
        <w:rPr>
          <w:lang w:val="es-ES"/>
        </w:rPr>
        <w:t>multiportadora</w:t>
      </w:r>
      <w:proofErr w:type="spellEnd"/>
      <w:r w:rsidRPr="00965C71">
        <w:rPr>
          <w:lang w:val="es-ES"/>
        </w:rPr>
        <w:t xml:space="preserve">, y dará al mismo tiempo flexibilidad suficiente para </w:t>
      </w:r>
      <w:r>
        <w:rPr>
          <w:lang w:val="es-ES"/>
        </w:rPr>
        <w:t>funcionar con</w:t>
      </w:r>
      <w:r w:rsidRPr="00965C71">
        <w:rPr>
          <w:lang w:val="es-ES"/>
        </w:rPr>
        <w:t xml:space="preserve"> las portadoras existentes sin interferencia entre las mismas durante la transición. Gracias a esta migración/transición, los operadores CDMA pueden acrecentar significativamente</w:t>
      </w:r>
      <w:r>
        <w:rPr>
          <w:lang w:val="es-ES"/>
        </w:rPr>
        <w:t xml:space="preserve"> la capacidad de voz y</w:t>
      </w:r>
      <w:r w:rsidRPr="00965C71">
        <w:rPr>
          <w:lang w:val="es-ES"/>
        </w:rPr>
        <w:t xml:space="preserve"> empezar a ofrecer aplicaciones ricas en datos soportadas por sistemas CDMA2000, tales como </w:t>
      </w:r>
      <w:r>
        <w:rPr>
          <w:lang w:val="es-ES"/>
        </w:rPr>
        <w:t xml:space="preserve">el </w:t>
      </w:r>
      <w:r w:rsidRPr="00965C71">
        <w:rPr>
          <w:lang w:val="es-ES"/>
        </w:rPr>
        <w:t>acceso en banda ancha, servicios de mensajería multimedios (MMS</w:t>
      </w:r>
      <w:r>
        <w:rPr>
          <w:lang w:val="es-ES"/>
        </w:rPr>
        <w:t>)</w:t>
      </w:r>
      <w:r w:rsidRPr="00965C71">
        <w:rPr>
          <w:lang w:val="es-ES"/>
        </w:rPr>
        <w:t xml:space="preserve"> y vídeo. La migración/</w:t>
      </w:r>
      <w:r>
        <w:rPr>
          <w:lang w:val="es-ES"/>
        </w:rPr>
        <w:t xml:space="preserve"> </w:t>
      </w:r>
      <w:r w:rsidRPr="00965C71">
        <w:rPr>
          <w:lang w:val="es-ES"/>
        </w:rPr>
        <w:t xml:space="preserve">transición CDMA2000 brinda a los operadores TDMA la posibilidad de lanzar </w:t>
      </w:r>
      <w:r>
        <w:rPr>
          <w:lang w:val="es-ES"/>
        </w:rPr>
        <w:t>en un plazo relativamente breve</w:t>
      </w:r>
      <w:r w:rsidRPr="00965C71">
        <w:rPr>
          <w:lang w:val="es-ES"/>
        </w:rPr>
        <w:t xml:space="preserve"> y en condiciones de rentabilidad</w:t>
      </w:r>
      <w:r>
        <w:rPr>
          <w:lang w:val="es-ES"/>
        </w:rPr>
        <w:t>,</w:t>
      </w:r>
      <w:r w:rsidRPr="00965C71">
        <w:rPr>
          <w:lang w:val="es-ES"/>
        </w:rPr>
        <w:t xml:space="preserve"> aplicaciones comerciales.</w:t>
      </w:r>
    </w:p>
    <w:p w:rsidR="00AC63A8" w:rsidRPr="00A43C05" w:rsidRDefault="00AC63A8" w:rsidP="001D58F3">
      <w:pPr>
        <w:pStyle w:val="Heading3"/>
        <w:rPr>
          <w:lang w:val="es-ES_tradnl"/>
        </w:rPr>
      </w:pPr>
      <w:bookmarkStart w:id="358" w:name="_Toc255292544"/>
      <w:bookmarkStart w:id="359" w:name="_Toc259024249"/>
      <w:r w:rsidRPr="00A43C05">
        <w:rPr>
          <w:lang w:val="es-ES_tradnl"/>
        </w:rPr>
        <w:t>9.4.3</w:t>
      </w:r>
      <w:r w:rsidRPr="00A43C05">
        <w:rPr>
          <w:lang w:val="es-ES_tradnl"/>
        </w:rPr>
        <w:tab/>
      </w:r>
      <w:bookmarkEnd w:id="358"/>
      <w:r w:rsidR="001D58F3" w:rsidRPr="001D58F3">
        <w:rPr>
          <w:lang w:val="es-ES"/>
        </w:rPr>
        <w:t>Transición a TDMA IMT</w:t>
      </w:r>
      <w:r w:rsidR="001D58F3" w:rsidRPr="001D58F3">
        <w:rPr>
          <w:lang w:val="es-ES"/>
        </w:rPr>
        <w:noBreakHyphen/>
        <w:t>2000 de portadora única</w:t>
      </w:r>
      <w:bookmarkEnd w:id="359"/>
    </w:p>
    <w:p w:rsidR="001D58F3" w:rsidRPr="00965C71" w:rsidRDefault="001D58F3" w:rsidP="001D58F3">
      <w:pPr>
        <w:rPr>
          <w:lang w:val="es-ES"/>
        </w:rPr>
      </w:pPr>
      <w:bookmarkStart w:id="360" w:name="_Toc43007201"/>
      <w:r w:rsidRPr="00965C71">
        <w:rPr>
          <w:lang w:val="es-ES"/>
        </w:rPr>
        <w:t>La comunid</w:t>
      </w:r>
      <w:r>
        <w:rPr>
          <w:lang w:val="es-ES"/>
        </w:rPr>
        <w:t xml:space="preserve">ad TDMA (representada por 3G </w:t>
      </w:r>
      <w:proofErr w:type="spellStart"/>
      <w:r>
        <w:rPr>
          <w:lang w:val="es-ES"/>
        </w:rPr>
        <w:t>Ame</w:t>
      </w:r>
      <w:r w:rsidRPr="00965C71">
        <w:rPr>
          <w:lang w:val="es-ES"/>
        </w:rPr>
        <w:t>ricas</w:t>
      </w:r>
      <w:proofErr w:type="spellEnd"/>
      <w:r w:rsidRPr="00965C71">
        <w:rPr>
          <w:lang w:val="es-ES"/>
        </w:rPr>
        <w:t xml:space="preserve"> y GSMNA) ha decidido evolucionar a UWC</w:t>
      </w:r>
      <w:r>
        <w:rPr>
          <w:lang w:val="es-ES"/>
        </w:rPr>
        <w:noBreakHyphen/>
      </w:r>
      <w:r w:rsidRPr="00965C71">
        <w:rPr>
          <w:lang w:val="es-ES"/>
        </w:rPr>
        <w:t>136/</w:t>
      </w:r>
      <w:r>
        <w:rPr>
          <w:lang w:val="es-ES"/>
        </w:rPr>
        <w:t>TDMA</w:t>
      </w:r>
      <w:r w:rsidRPr="00965C71">
        <w:rPr>
          <w:lang w:val="es-ES"/>
        </w:rPr>
        <w:t xml:space="preserve"> IMT</w:t>
      </w:r>
      <w:r w:rsidRPr="00965C71">
        <w:rPr>
          <w:lang w:val="es-ES"/>
        </w:rPr>
        <w:noBreakHyphen/>
        <w:t>2000</w:t>
      </w:r>
      <w:r>
        <w:rPr>
          <w:lang w:val="es-ES"/>
        </w:rPr>
        <w:t xml:space="preserve"> de portadora única</w:t>
      </w:r>
      <w:r w:rsidRPr="00965C71">
        <w:rPr>
          <w:lang w:val="es-ES"/>
        </w:rPr>
        <w:t xml:space="preserve">. Muchos de los principales operadores </w:t>
      </w:r>
      <w:r>
        <w:rPr>
          <w:lang w:val="es-ES"/>
        </w:rPr>
        <w:t>están</w:t>
      </w:r>
      <w:r w:rsidRPr="00965C71">
        <w:rPr>
          <w:lang w:val="es-ES"/>
        </w:rPr>
        <w:t xml:space="preserve"> desplegando acceso radioeléctrico GSM/GPRS/EDGE y </w:t>
      </w:r>
      <w:r>
        <w:rPr>
          <w:lang w:val="es-ES"/>
        </w:rPr>
        <w:t xml:space="preserve">sus correspondientes </w:t>
      </w:r>
      <w:r w:rsidRPr="00965C71">
        <w:rPr>
          <w:lang w:val="es-ES"/>
        </w:rPr>
        <w:t>redes básicas</w:t>
      </w:r>
      <w:r>
        <w:rPr>
          <w:lang w:val="es-ES"/>
        </w:rPr>
        <w:t xml:space="preserve"> con superposición</w:t>
      </w:r>
      <w:r w:rsidRPr="00965C71">
        <w:rPr>
          <w:lang w:val="es-ES"/>
        </w:rPr>
        <w:t xml:space="preserve">. El trayecto de transición basado en GSM hacia la </w:t>
      </w:r>
      <w:r>
        <w:rPr>
          <w:lang w:val="es-ES"/>
        </w:rPr>
        <w:t>TDMA IMT-2000 de portadora única</w:t>
      </w:r>
      <w:r w:rsidRPr="00965C71">
        <w:rPr>
          <w:lang w:val="es-ES"/>
        </w:rPr>
        <w:t xml:space="preserve"> ofrece a los operadores TDMA </w:t>
      </w:r>
      <w:r w:rsidRPr="00965C71">
        <w:rPr>
          <w:lang w:val="es-ES"/>
        </w:rPr>
        <w:lastRenderedPageBreak/>
        <w:t>la oportunidad de escoger y desplegar la combinación</w:t>
      </w:r>
      <w:r>
        <w:rPr>
          <w:lang w:val="es-ES"/>
        </w:rPr>
        <w:t xml:space="preserve"> de</w:t>
      </w:r>
      <w:r w:rsidRPr="00965C71">
        <w:rPr>
          <w:lang w:val="es-ES"/>
        </w:rPr>
        <w:t xml:space="preserve"> GPRS, EDGE, </w:t>
      </w:r>
      <w:r>
        <w:rPr>
          <w:lang w:val="es-ES"/>
        </w:rPr>
        <w:t>CDMA IMT-2000 con ensanchamiento directo</w:t>
      </w:r>
      <w:r w:rsidRPr="00965C71">
        <w:rPr>
          <w:lang w:val="es-ES"/>
        </w:rPr>
        <w:t xml:space="preserve"> y/o CDMA TDD (código </w:t>
      </w:r>
      <w:r>
        <w:rPr>
          <w:lang w:val="es-ES"/>
        </w:rPr>
        <w:t>de tiempo</w:t>
      </w:r>
      <w:r w:rsidRPr="00965C71">
        <w:rPr>
          <w:lang w:val="es-ES"/>
        </w:rPr>
        <w:t>) IMT-2000 como opciones de futuro.</w:t>
      </w:r>
    </w:p>
    <w:p w:rsidR="001D58F3" w:rsidRPr="00965C71" w:rsidRDefault="001D58F3" w:rsidP="001D58F3">
      <w:pPr>
        <w:rPr>
          <w:lang w:val="es-ES"/>
        </w:rPr>
      </w:pPr>
      <w:r w:rsidRPr="00965C71">
        <w:rPr>
          <w:lang w:val="es-ES"/>
        </w:rPr>
        <w:t xml:space="preserve">La transición de los sistemas TDMA y TDMA con GSM superpuesto a la </w:t>
      </w:r>
      <w:r>
        <w:rPr>
          <w:lang w:val="es-ES"/>
        </w:rPr>
        <w:t>TDMA IMT-2000 de portadora única</w:t>
      </w:r>
      <w:r w:rsidRPr="00965C71">
        <w:rPr>
          <w:lang w:val="es-ES"/>
        </w:rPr>
        <w:t xml:space="preserve"> introduce mejoras constantes en cuanto a capacidad y eficiencia. </w:t>
      </w:r>
      <w:r>
        <w:rPr>
          <w:lang w:val="es-ES"/>
        </w:rPr>
        <w:t>Esta transición</w:t>
      </w:r>
      <w:r w:rsidRPr="00965C71">
        <w:rPr>
          <w:lang w:val="es-ES"/>
        </w:rPr>
        <w:t xml:space="preserve"> puede hacerse en varias fases</w:t>
      </w:r>
      <w:r>
        <w:rPr>
          <w:lang w:val="es-ES"/>
        </w:rPr>
        <w:t>,</w:t>
      </w:r>
      <w:r w:rsidRPr="00965C71">
        <w:rPr>
          <w:lang w:val="es-ES"/>
        </w:rPr>
        <w:t xml:space="preserve"> a saber</w:t>
      </w:r>
      <w:r>
        <w:rPr>
          <w:lang w:val="es-ES"/>
        </w:rPr>
        <w:t>,</w:t>
      </w:r>
      <w:r w:rsidRPr="00965C71">
        <w:rPr>
          <w:lang w:val="es-ES"/>
        </w:rPr>
        <w:t xml:space="preserve"> añadiendo primeramente GSM/GPRS y </w:t>
      </w:r>
      <w:r>
        <w:rPr>
          <w:lang w:val="es-ES"/>
        </w:rPr>
        <w:t>poster</w:t>
      </w:r>
      <w:r w:rsidRPr="00965C71">
        <w:rPr>
          <w:lang w:val="es-ES"/>
        </w:rPr>
        <w:t xml:space="preserve">iormente EDGE; o puede efectuarse agregando GSM/GPRS/EDGE en una sola fase de </w:t>
      </w:r>
      <w:r>
        <w:rPr>
          <w:lang w:val="es-ES"/>
        </w:rPr>
        <w:t>actualización</w:t>
      </w:r>
      <w:r w:rsidRPr="00965C71">
        <w:rPr>
          <w:lang w:val="es-ES"/>
        </w:rPr>
        <w:t xml:space="preserve">, como han hecho algunos operadores </w:t>
      </w:r>
      <w:r>
        <w:rPr>
          <w:lang w:val="es-ES"/>
        </w:rPr>
        <w:t>de</w:t>
      </w:r>
      <w:r w:rsidRPr="00965C71">
        <w:rPr>
          <w:lang w:val="es-ES"/>
        </w:rPr>
        <w:t xml:space="preserve"> América del Norte. Para mayor flexibilidad, es posible también agregar posteriormente </w:t>
      </w:r>
      <w:r>
        <w:rPr>
          <w:lang w:val="es-ES"/>
        </w:rPr>
        <w:t>la</w:t>
      </w:r>
      <w:r w:rsidRPr="00965C71">
        <w:rPr>
          <w:lang w:val="es-ES"/>
        </w:rPr>
        <w:t xml:space="preserve"> red de acceso radioeléctrico con </w:t>
      </w:r>
      <w:r>
        <w:rPr>
          <w:lang w:val="es-ES"/>
        </w:rPr>
        <w:t>tecnología CMDA IMT-2000 de ensanchamiento directo</w:t>
      </w:r>
      <w:r w:rsidRPr="00965C71">
        <w:rPr>
          <w:lang w:val="es-ES"/>
        </w:rPr>
        <w:t xml:space="preserve"> y después proceder a introducir mejoras de capacidad evolucionadas, tales como HSDPA. Por ejemplo, aunque en un principio un operador podría desplegar GSM/GPRS/EDGE en la zona </w:t>
      </w:r>
      <w:r>
        <w:rPr>
          <w:lang w:val="es-ES"/>
        </w:rPr>
        <w:t>para la que tenga licencia</w:t>
      </w:r>
      <w:r w:rsidRPr="00965C71">
        <w:rPr>
          <w:lang w:val="es-ES"/>
        </w:rPr>
        <w:t xml:space="preserve">, </w:t>
      </w:r>
      <w:r>
        <w:rPr>
          <w:lang w:val="es-ES"/>
        </w:rPr>
        <w:t>podría</w:t>
      </w:r>
      <w:r w:rsidRPr="00965C71">
        <w:rPr>
          <w:lang w:val="es-ES"/>
        </w:rPr>
        <w:t xml:space="preserve"> implementar a continuación </w:t>
      </w:r>
      <w:r>
        <w:rPr>
          <w:lang w:val="es-ES"/>
        </w:rPr>
        <w:t>CDMA IMT-2000 con ensanchamiento directo</w:t>
      </w:r>
      <w:r w:rsidRPr="00965C71">
        <w:rPr>
          <w:lang w:val="es-ES"/>
        </w:rPr>
        <w:t xml:space="preserve"> únicamente en las ciudades principales de dicha zona y </w:t>
      </w:r>
      <w:r>
        <w:rPr>
          <w:lang w:val="es-ES"/>
        </w:rPr>
        <w:t>transferir</w:t>
      </w:r>
      <w:r w:rsidRPr="00965C71">
        <w:rPr>
          <w:lang w:val="es-ES"/>
        </w:rPr>
        <w:t xml:space="preserve"> a sus clientes a sus redes EDGE o GPRS cuando éstos viajen fuera de la zona </w:t>
      </w:r>
      <w:r>
        <w:rPr>
          <w:lang w:val="es-ES"/>
        </w:rPr>
        <w:t xml:space="preserve">de cobertura de los equipos </w:t>
      </w:r>
      <w:r w:rsidRPr="00965C71">
        <w:rPr>
          <w:lang w:val="es-ES"/>
        </w:rPr>
        <w:t>CMDA IMT</w:t>
      </w:r>
      <w:r w:rsidRPr="00965C71">
        <w:rPr>
          <w:lang w:val="es-ES"/>
        </w:rPr>
        <w:noBreakHyphen/>
        <w:t>2000</w:t>
      </w:r>
      <w:r>
        <w:rPr>
          <w:lang w:val="es-ES"/>
        </w:rPr>
        <w:t xml:space="preserve"> con </w:t>
      </w:r>
      <w:r w:rsidRPr="00965C71">
        <w:rPr>
          <w:lang w:val="es-ES"/>
        </w:rPr>
        <w:t>ensanchamiento directo.</w:t>
      </w:r>
    </w:p>
    <w:p w:rsidR="001D58F3" w:rsidRPr="00965C71" w:rsidRDefault="001D58F3" w:rsidP="001D58F3">
      <w:pPr>
        <w:rPr>
          <w:lang w:val="es-ES"/>
        </w:rPr>
      </w:pPr>
      <w:r w:rsidRPr="00965C71">
        <w:rPr>
          <w:lang w:val="es-ES"/>
        </w:rPr>
        <w:t xml:space="preserve">No es necesario que los operadores TDMA dejen de explotar sus redes para iniciar el despliegue de GSM. Los operadores TDMA que han elegido el trayecto de evolución GSM se encuentran desplegando redes superpuestas </w:t>
      </w:r>
      <w:r>
        <w:rPr>
          <w:lang w:val="es-ES"/>
        </w:rPr>
        <w:t>que potencian</w:t>
      </w:r>
      <w:r w:rsidRPr="00965C71">
        <w:rPr>
          <w:lang w:val="es-ES"/>
        </w:rPr>
        <w:t xml:space="preserve"> las </w:t>
      </w:r>
      <w:r>
        <w:rPr>
          <w:lang w:val="es-ES"/>
        </w:rPr>
        <w:t xml:space="preserve">instalaciones </w:t>
      </w:r>
      <w:r w:rsidRPr="00965C71">
        <w:rPr>
          <w:lang w:val="es-ES"/>
        </w:rPr>
        <w:t xml:space="preserve">existentes </w:t>
      </w:r>
      <w:r>
        <w:rPr>
          <w:lang w:val="es-ES"/>
        </w:rPr>
        <w:t>en</w:t>
      </w:r>
      <w:r w:rsidRPr="00965C71">
        <w:rPr>
          <w:lang w:val="es-ES"/>
        </w:rPr>
        <w:t xml:space="preserve"> los </w:t>
      </w:r>
      <w:r>
        <w:rPr>
          <w:lang w:val="es-ES"/>
        </w:rPr>
        <w:t>emplazamientos</w:t>
      </w:r>
      <w:r w:rsidRPr="00965C71">
        <w:rPr>
          <w:lang w:val="es-ES"/>
        </w:rPr>
        <w:t xml:space="preserve"> de</w:t>
      </w:r>
      <w:r>
        <w:rPr>
          <w:lang w:val="es-ES"/>
        </w:rPr>
        <w:t xml:space="preserve"> las </w:t>
      </w:r>
      <w:r w:rsidRPr="00965C71">
        <w:rPr>
          <w:lang w:val="es-ES"/>
        </w:rPr>
        <w:t>célula</w:t>
      </w:r>
      <w:r>
        <w:rPr>
          <w:lang w:val="es-ES"/>
        </w:rPr>
        <w:t>s, lo</w:t>
      </w:r>
      <w:r w:rsidRPr="00965C71">
        <w:rPr>
          <w:lang w:val="es-ES"/>
        </w:rPr>
        <w:t>s transporte</w:t>
      </w:r>
      <w:r>
        <w:rPr>
          <w:lang w:val="es-ES"/>
        </w:rPr>
        <w:t xml:space="preserve">s de </w:t>
      </w:r>
      <w:proofErr w:type="spellStart"/>
      <w:r>
        <w:rPr>
          <w:lang w:val="es-ES"/>
        </w:rPr>
        <w:t>interfuncionamiento</w:t>
      </w:r>
      <w:proofErr w:type="spellEnd"/>
      <w:r w:rsidRPr="00965C71">
        <w:rPr>
          <w:lang w:val="es-ES"/>
        </w:rPr>
        <w:t xml:space="preserve"> y los recursos </w:t>
      </w:r>
      <w:r>
        <w:rPr>
          <w:lang w:val="es-ES"/>
        </w:rPr>
        <w:t>del emplazamiento</w:t>
      </w:r>
      <w:r w:rsidRPr="00965C71">
        <w:rPr>
          <w:lang w:val="es-ES"/>
        </w:rPr>
        <w:t xml:space="preserve"> central. Estos operadores han desplegado GSM y GPRS simultáneamente. Dependiendo de </w:t>
      </w:r>
      <w:proofErr w:type="spellStart"/>
      <w:r w:rsidRPr="00965C71">
        <w:rPr>
          <w:lang w:val="es-ES"/>
        </w:rPr>
        <w:t>cual</w:t>
      </w:r>
      <w:proofErr w:type="spellEnd"/>
      <w:r w:rsidRPr="00965C71">
        <w:rPr>
          <w:lang w:val="es-ES"/>
        </w:rPr>
        <w:t xml:space="preserve"> sea el </w:t>
      </w:r>
      <w:r>
        <w:rPr>
          <w:lang w:val="es-ES"/>
        </w:rPr>
        <w:t>fabricante</w:t>
      </w:r>
      <w:r w:rsidRPr="00965C71">
        <w:rPr>
          <w:lang w:val="es-ES"/>
        </w:rPr>
        <w:t xml:space="preserve"> de su</w:t>
      </w:r>
      <w:r>
        <w:rPr>
          <w:lang w:val="es-ES"/>
        </w:rPr>
        <w:t>s</w:t>
      </w:r>
      <w:r w:rsidRPr="00965C71">
        <w:rPr>
          <w:lang w:val="es-ES"/>
        </w:rPr>
        <w:t xml:space="preserve"> infraestructura</w:t>
      </w:r>
      <w:r>
        <w:rPr>
          <w:lang w:val="es-ES"/>
        </w:rPr>
        <w:t>s</w:t>
      </w:r>
      <w:r w:rsidRPr="00965C71">
        <w:rPr>
          <w:lang w:val="es-ES"/>
        </w:rPr>
        <w:t xml:space="preserve"> y de la edad de su</w:t>
      </w:r>
      <w:r>
        <w:rPr>
          <w:lang w:val="es-ES"/>
        </w:rPr>
        <w:t>s</w:t>
      </w:r>
      <w:r w:rsidRPr="00965C71">
        <w:rPr>
          <w:lang w:val="es-ES"/>
        </w:rPr>
        <w:t xml:space="preserve"> equipo</w:t>
      </w:r>
      <w:r>
        <w:rPr>
          <w:lang w:val="es-ES"/>
        </w:rPr>
        <w:t>s</w:t>
      </w:r>
      <w:r w:rsidRPr="00965C71">
        <w:rPr>
          <w:lang w:val="es-ES"/>
        </w:rPr>
        <w:t>, es posible que un operador incremente la capacidad de los centros de conmutación móvil (MSC) TDMA de manera suficiente para liberar uno o más MSC, que pueden actualizarse acto seguido con programas informáticos para soportar GSM. En la red radioeléctrica es frecuente que el equipo de estación base GSM pueda compartir las antenas TDMA.</w:t>
      </w:r>
    </w:p>
    <w:p w:rsidR="001D58F3" w:rsidRPr="00965C71" w:rsidRDefault="001D58F3" w:rsidP="001D58F3">
      <w:pPr>
        <w:rPr>
          <w:lang w:val="es-ES"/>
        </w:rPr>
      </w:pPr>
      <w:r w:rsidRPr="00965C71">
        <w:rPr>
          <w:lang w:val="es-ES"/>
        </w:rPr>
        <w:t xml:space="preserve">Para desplegar GPRS, un operador GSM añade una infraestructura básica de paquetes, que </w:t>
      </w:r>
      <w:r>
        <w:rPr>
          <w:lang w:val="es-ES"/>
        </w:rPr>
        <w:t>consta</w:t>
      </w:r>
      <w:r w:rsidRPr="00965C71">
        <w:rPr>
          <w:lang w:val="es-ES"/>
        </w:rPr>
        <w:t xml:space="preserve"> </w:t>
      </w:r>
      <w:r>
        <w:rPr>
          <w:lang w:val="es-ES"/>
        </w:rPr>
        <w:t>de</w:t>
      </w:r>
      <w:r w:rsidRPr="00965C71">
        <w:rPr>
          <w:lang w:val="es-ES"/>
        </w:rPr>
        <w:t xml:space="preserve"> dos tipos de elemento: GGSN y nodos de soporte de servicio GPRS (SGSN). Estos elementos constituyen el fundamento de la futura migración, ya que se reutilizan a medida que el operador añade EDGE y </w:t>
      </w:r>
      <w:r>
        <w:rPr>
          <w:lang w:val="es-ES"/>
        </w:rPr>
        <w:t>CDMA IMT-2000 con ensanchamiento directo</w:t>
      </w:r>
      <w:r w:rsidRPr="00965C71">
        <w:rPr>
          <w:lang w:val="es-ES"/>
        </w:rPr>
        <w:t xml:space="preserve">. En el </w:t>
      </w:r>
      <w:r>
        <w:rPr>
          <w:lang w:val="es-ES"/>
        </w:rPr>
        <w:t>emplazamiento</w:t>
      </w:r>
      <w:r w:rsidRPr="00965C71">
        <w:rPr>
          <w:lang w:val="es-ES"/>
        </w:rPr>
        <w:t xml:space="preserve"> de </w:t>
      </w:r>
      <w:r>
        <w:rPr>
          <w:lang w:val="es-ES"/>
        </w:rPr>
        <w:t xml:space="preserve">la </w:t>
      </w:r>
      <w:r w:rsidRPr="00965C71">
        <w:rPr>
          <w:lang w:val="es-ES"/>
        </w:rPr>
        <w:t xml:space="preserve">célula el equipo de la estación de base GSM se </w:t>
      </w:r>
      <w:r>
        <w:rPr>
          <w:lang w:val="es-ES"/>
        </w:rPr>
        <w:t>actualiza</w:t>
      </w:r>
      <w:r w:rsidRPr="00965C71">
        <w:rPr>
          <w:lang w:val="es-ES"/>
        </w:rPr>
        <w:t xml:space="preserve"> con programas informáticos y tarjetas de canal par</w:t>
      </w:r>
      <w:r>
        <w:rPr>
          <w:lang w:val="es-ES"/>
        </w:rPr>
        <w:t>a</w:t>
      </w:r>
      <w:r w:rsidRPr="00965C71">
        <w:rPr>
          <w:lang w:val="es-ES"/>
        </w:rPr>
        <w:t xml:space="preserve"> soportar GPRS. En muchas redes GSM/GPRS, EDGE </w:t>
      </w:r>
      <w:r>
        <w:rPr>
          <w:lang w:val="es-ES"/>
        </w:rPr>
        <w:t>sólo necesita una actualización del soporte lógico de los</w:t>
      </w:r>
      <w:r w:rsidRPr="00965C71">
        <w:rPr>
          <w:lang w:val="es-ES"/>
        </w:rPr>
        <w:t xml:space="preserve"> BTS y </w:t>
      </w:r>
      <w:r>
        <w:rPr>
          <w:lang w:val="es-ES"/>
        </w:rPr>
        <w:t xml:space="preserve">del </w:t>
      </w:r>
      <w:r w:rsidRPr="00965C71">
        <w:rPr>
          <w:lang w:val="es-ES"/>
        </w:rPr>
        <w:t xml:space="preserve">BSC, ya que los transceptores en estas redes </w:t>
      </w:r>
      <w:r>
        <w:rPr>
          <w:lang w:val="es-ES"/>
        </w:rPr>
        <w:t>ya soportan</w:t>
      </w:r>
      <w:r w:rsidRPr="00965C71">
        <w:rPr>
          <w:lang w:val="es-ES"/>
        </w:rPr>
        <w:t xml:space="preserve"> EDGE. Otros operadores podrían </w:t>
      </w:r>
      <w:r>
        <w:rPr>
          <w:lang w:val="es-ES"/>
        </w:rPr>
        <w:t>sustituir</w:t>
      </w:r>
      <w:r w:rsidRPr="00965C71">
        <w:rPr>
          <w:lang w:val="es-ES"/>
        </w:rPr>
        <w:t xml:space="preserve"> su</w:t>
      </w:r>
      <w:r>
        <w:rPr>
          <w:lang w:val="es-ES"/>
        </w:rPr>
        <w:t>s</w:t>
      </w:r>
      <w:r w:rsidRPr="00965C71">
        <w:rPr>
          <w:lang w:val="es-ES"/>
        </w:rPr>
        <w:t xml:space="preserve"> equipo</w:t>
      </w:r>
      <w:r>
        <w:rPr>
          <w:lang w:val="es-ES"/>
        </w:rPr>
        <w:t>s</w:t>
      </w:r>
      <w:r w:rsidRPr="00965C71">
        <w:rPr>
          <w:lang w:val="es-ES"/>
        </w:rPr>
        <w:t xml:space="preserve">, aprovechando los nuevos tipos de estaciones de base que </w:t>
      </w:r>
      <w:r>
        <w:rPr>
          <w:lang w:val="es-ES"/>
        </w:rPr>
        <w:t>admiten</w:t>
      </w:r>
      <w:r w:rsidRPr="00965C71">
        <w:rPr>
          <w:lang w:val="es-ES"/>
        </w:rPr>
        <w:t xml:space="preserve"> </w:t>
      </w:r>
      <w:r>
        <w:rPr>
          <w:lang w:val="es-ES"/>
        </w:rPr>
        <w:t>varias</w:t>
      </w:r>
      <w:r w:rsidRPr="00965C71">
        <w:rPr>
          <w:lang w:val="es-ES"/>
        </w:rPr>
        <w:t xml:space="preserve"> combinaciones de GSM, GPRS, EDGE y </w:t>
      </w:r>
      <w:r>
        <w:rPr>
          <w:lang w:val="es-ES"/>
        </w:rPr>
        <w:t>CDMA IMT-2000 con ensanchamiento directo, simultáneamente</w:t>
      </w:r>
      <w:r w:rsidRPr="00965C71">
        <w:rPr>
          <w:lang w:val="es-ES"/>
        </w:rPr>
        <w:t xml:space="preserve">, y les brindan el suficiente margen de flexibilidad para </w:t>
      </w:r>
      <w:r>
        <w:rPr>
          <w:lang w:val="es-ES"/>
        </w:rPr>
        <w:t>dedicar</w:t>
      </w:r>
      <w:r w:rsidRPr="00965C71">
        <w:rPr>
          <w:lang w:val="es-ES"/>
        </w:rPr>
        <w:t xml:space="preserve"> más recursos a un determinado servicio, si aumenta su demanda.</w:t>
      </w:r>
    </w:p>
    <w:p w:rsidR="00AC63A8" w:rsidRPr="00A43C05" w:rsidRDefault="001D58F3" w:rsidP="001D58F3">
      <w:pPr>
        <w:rPr>
          <w:lang w:val="es-ES_tradnl"/>
        </w:rPr>
      </w:pPr>
      <w:r w:rsidRPr="00965C71">
        <w:rPr>
          <w:lang w:val="es-ES"/>
        </w:rPr>
        <w:t xml:space="preserve">Para proporcionar más aplicaciones de datos a gran velocidad, aparte de los soportados por GPRS, los operadores pueden desplegar EDGE </w:t>
      </w:r>
      <w:r>
        <w:rPr>
          <w:lang w:val="es-ES"/>
        </w:rPr>
        <w:t>(</w:t>
      </w:r>
      <w:r w:rsidRPr="00965C71">
        <w:rPr>
          <w:lang w:val="es-ES"/>
        </w:rPr>
        <w:t xml:space="preserve">velocidades de datos </w:t>
      </w:r>
      <w:r>
        <w:rPr>
          <w:lang w:val="es-ES"/>
        </w:rPr>
        <w:t>ampliadas</w:t>
      </w:r>
      <w:r w:rsidRPr="00965C71">
        <w:rPr>
          <w:lang w:val="es-ES"/>
        </w:rPr>
        <w:t xml:space="preserve"> para </w:t>
      </w:r>
      <w:r>
        <w:rPr>
          <w:lang w:val="es-ES"/>
        </w:rPr>
        <w:t xml:space="preserve">la </w:t>
      </w:r>
      <w:r w:rsidRPr="00965C71">
        <w:rPr>
          <w:lang w:val="es-ES"/>
        </w:rPr>
        <w:t xml:space="preserve">evolución </w:t>
      </w:r>
      <w:r>
        <w:rPr>
          <w:lang w:val="es-ES"/>
        </w:rPr>
        <w:t>del GSM</w:t>
      </w:r>
      <w:r w:rsidRPr="00965C71">
        <w:rPr>
          <w:lang w:val="es-ES"/>
        </w:rPr>
        <w:t xml:space="preserve">). EDGE forma parte de la interfaz radioeléctrica con tecnología de </w:t>
      </w:r>
      <w:r>
        <w:rPr>
          <w:lang w:val="es-ES"/>
        </w:rPr>
        <w:t>TDMA IMT-2000 de portadora única</w:t>
      </w:r>
      <w:r w:rsidRPr="00965C71">
        <w:rPr>
          <w:lang w:val="es-ES"/>
        </w:rPr>
        <w:t xml:space="preserve"> y mejora en mayor medida esta interfaz radioeléctrica GSM/GPRS, </w:t>
      </w:r>
      <w:r>
        <w:rPr>
          <w:lang w:val="es-ES"/>
        </w:rPr>
        <w:t>adoptando una</w:t>
      </w:r>
      <w:r w:rsidRPr="00965C71">
        <w:rPr>
          <w:lang w:val="es-ES"/>
        </w:rPr>
        <w:t xml:space="preserve"> nueva tecnología de modulación para lograr velocidades de datos más elevadas, utilizando</w:t>
      </w:r>
      <w:r>
        <w:rPr>
          <w:lang w:val="es-ES"/>
        </w:rPr>
        <w:t xml:space="preserve"> el</w:t>
      </w:r>
      <w:r w:rsidRPr="00965C71">
        <w:rPr>
          <w:lang w:val="es-ES"/>
        </w:rPr>
        <w:t xml:space="preserve"> espectro </w:t>
      </w:r>
      <w:r>
        <w:rPr>
          <w:lang w:val="es-ES"/>
        </w:rPr>
        <w:t xml:space="preserve">radioeléctrico </w:t>
      </w:r>
      <w:r w:rsidRPr="00965C71">
        <w:rPr>
          <w:lang w:val="es-ES"/>
        </w:rPr>
        <w:t>con el que cuentan ya los operadores. La normalización de la GERAN (red de acceso radioeléctrico GSM/EDGE) en el 3GPP incluye mecanismos avanzados de calidad de servicio que permiten a los sistemas EDGE ofrecer prácticamente todos los servicios 3G, aunque con una velocidad de datos limitada</w:t>
      </w:r>
      <w:r>
        <w:rPr>
          <w:lang w:val="es-ES"/>
        </w:rPr>
        <w:t xml:space="preserve"> respecto a</w:t>
      </w:r>
      <w:r w:rsidRPr="00965C71">
        <w:rPr>
          <w:lang w:val="es-ES"/>
        </w:rPr>
        <w:t xml:space="preserve"> </w:t>
      </w:r>
      <w:r>
        <w:rPr>
          <w:lang w:val="es-ES"/>
        </w:rPr>
        <w:t>CDMA IMT-2000 con ensanchamiento directo</w:t>
      </w:r>
      <w:r w:rsidRPr="00965C71">
        <w:rPr>
          <w:lang w:val="es-ES"/>
        </w:rPr>
        <w:t xml:space="preserve">. Para mejorar aún más EDGE, los operadores podrían desplegar el subsistema multimedios IP en sus redes básica, que soportará también una red de acceso radioeléctrico </w:t>
      </w:r>
      <w:r>
        <w:rPr>
          <w:lang w:val="es-ES"/>
        </w:rPr>
        <w:t>CDMA IMT-2000 con ensanchamiento directo</w:t>
      </w:r>
      <w:r w:rsidRPr="00965C71">
        <w:rPr>
          <w:lang w:val="es-ES"/>
        </w:rPr>
        <w:t xml:space="preserve">. Esto brindaría a los operadores la flexibilidad necesaria para desplegar </w:t>
      </w:r>
      <w:r>
        <w:rPr>
          <w:lang w:val="es-ES"/>
        </w:rPr>
        <w:t>CDMA IMT-2000 con ensanchamiento directo</w:t>
      </w:r>
      <w:r w:rsidRPr="00965C71">
        <w:rPr>
          <w:lang w:val="es-ES"/>
        </w:rPr>
        <w:t xml:space="preserve"> con el fin de complementar EDGE con transparencia de servicio. EDGE es una solución encaminada a ofrecer servicios </w:t>
      </w:r>
      <w:r w:rsidRPr="00965C71">
        <w:rPr>
          <w:rFonts w:ascii="Times" w:hAnsi="Times"/>
          <w:lang w:val="es-ES"/>
        </w:rPr>
        <w:t>IMT-2000</w:t>
      </w:r>
      <w:r w:rsidRPr="00965C71">
        <w:rPr>
          <w:lang w:val="es-ES"/>
        </w:rPr>
        <w:t xml:space="preserve"> con los recursos espectrales de que se disponía antes de las IMT</w:t>
      </w:r>
      <w:r w:rsidRPr="00965C71">
        <w:rPr>
          <w:lang w:val="es-ES"/>
        </w:rPr>
        <w:noBreakHyphen/>
        <w:t>2000.</w:t>
      </w:r>
    </w:p>
    <w:p w:rsidR="00AC63A8" w:rsidRPr="00A43C05" w:rsidRDefault="00AC63A8" w:rsidP="001D58F3">
      <w:pPr>
        <w:pStyle w:val="Heading2"/>
        <w:rPr>
          <w:rFonts w:eastAsia="MS Mincho"/>
          <w:lang w:val="es-ES_tradnl" w:eastAsia="ja-JP"/>
        </w:rPr>
      </w:pPr>
      <w:bookmarkStart w:id="361" w:name="_Toc63611636"/>
      <w:bookmarkStart w:id="362" w:name="_Toc89083708"/>
      <w:bookmarkStart w:id="363" w:name="_Toc92878217"/>
      <w:bookmarkStart w:id="364" w:name="_Toc101931279"/>
      <w:bookmarkStart w:id="365" w:name="_Toc103399298"/>
      <w:bookmarkStart w:id="366" w:name="_Toc103400376"/>
      <w:bookmarkStart w:id="367" w:name="_Toc103400840"/>
      <w:bookmarkStart w:id="368" w:name="_Toc103401304"/>
      <w:bookmarkStart w:id="369" w:name="_Toc103401769"/>
      <w:bookmarkStart w:id="370" w:name="_Toc103402235"/>
      <w:bookmarkStart w:id="371" w:name="_Toc103402700"/>
      <w:bookmarkStart w:id="372" w:name="_Toc103403465"/>
      <w:bookmarkStart w:id="373" w:name="_Toc103421235"/>
      <w:bookmarkStart w:id="374" w:name="_Toc103528409"/>
      <w:bookmarkStart w:id="375" w:name="_Toc236826243"/>
      <w:bookmarkStart w:id="376" w:name="_Toc255292545"/>
      <w:bookmarkStart w:id="377" w:name="_Toc259024250"/>
      <w:bookmarkEnd w:id="360"/>
      <w:r w:rsidRPr="00A43C05">
        <w:rPr>
          <w:lang w:val="es-ES_tradnl"/>
        </w:rPr>
        <w:t>9.5</w:t>
      </w:r>
      <w:r w:rsidRPr="00A43C05">
        <w:rPr>
          <w:lang w:val="es-ES_tradnl"/>
        </w:rPr>
        <w:tab/>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001D58F3" w:rsidRPr="001D58F3">
        <w:rPr>
          <w:lang w:val="es-ES_tradnl"/>
        </w:rPr>
        <w:t>Transición del PDC</w:t>
      </w:r>
      <w:bookmarkEnd w:id="377"/>
    </w:p>
    <w:p w:rsidR="00AC63A8" w:rsidRPr="00A43C05" w:rsidRDefault="00AC63A8" w:rsidP="001D58F3">
      <w:pPr>
        <w:pStyle w:val="Heading3"/>
        <w:rPr>
          <w:lang w:val="es-ES_tradnl"/>
        </w:rPr>
      </w:pPr>
      <w:bookmarkStart w:id="378" w:name="_Toc89083709"/>
      <w:bookmarkStart w:id="379" w:name="_Toc92878218"/>
      <w:bookmarkStart w:id="380" w:name="_Toc101931280"/>
      <w:bookmarkStart w:id="381" w:name="_Toc103399299"/>
      <w:bookmarkStart w:id="382" w:name="_Toc103400377"/>
      <w:bookmarkStart w:id="383" w:name="_Toc103400841"/>
      <w:bookmarkStart w:id="384" w:name="_Toc103401305"/>
      <w:bookmarkStart w:id="385" w:name="_Toc103401770"/>
      <w:bookmarkStart w:id="386" w:name="_Toc103402236"/>
      <w:bookmarkStart w:id="387" w:name="_Toc103402701"/>
      <w:bookmarkStart w:id="388" w:name="_Toc103403466"/>
      <w:bookmarkStart w:id="389" w:name="_Toc103421236"/>
      <w:bookmarkStart w:id="390" w:name="_Toc103528410"/>
      <w:bookmarkStart w:id="391" w:name="_Toc255292546"/>
      <w:bookmarkStart w:id="392" w:name="_Toc259024251"/>
      <w:r w:rsidRPr="00A43C05">
        <w:rPr>
          <w:lang w:val="es-ES_tradnl"/>
        </w:rPr>
        <w:t>9.</w:t>
      </w:r>
      <w:r w:rsidRPr="00A43C05">
        <w:rPr>
          <w:rFonts w:hint="eastAsia"/>
          <w:lang w:val="es-ES_tradnl"/>
        </w:rPr>
        <w:t>5.</w:t>
      </w:r>
      <w:r w:rsidRPr="00A43C05">
        <w:rPr>
          <w:lang w:val="es-ES_tradnl"/>
        </w:rPr>
        <w:t>1</w:t>
      </w:r>
      <w:r w:rsidRPr="00A43C05">
        <w:rPr>
          <w:lang w:val="es-ES_tradnl"/>
        </w:rPr>
        <w:tab/>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001D58F3" w:rsidRPr="001D58F3">
        <w:rPr>
          <w:lang w:val="es-ES_tradnl"/>
        </w:rPr>
        <w:t>Transición a CDMA IMT</w:t>
      </w:r>
      <w:r w:rsidR="001D58F3" w:rsidRPr="001D58F3">
        <w:rPr>
          <w:lang w:val="es-ES_tradnl"/>
        </w:rPr>
        <w:noBreakHyphen/>
        <w:t>2000 con ensanchamiento directo</w:t>
      </w:r>
      <w:bookmarkEnd w:id="392"/>
    </w:p>
    <w:p w:rsidR="001D58F3" w:rsidRPr="00965C71" w:rsidRDefault="001D58F3" w:rsidP="001D58F3">
      <w:pPr>
        <w:rPr>
          <w:lang w:val="es-ES"/>
        </w:rPr>
      </w:pPr>
      <w:r w:rsidRPr="00965C71">
        <w:rPr>
          <w:lang w:val="es-ES"/>
        </w:rPr>
        <w:t xml:space="preserve">La mayoría de los operadores móviles japoneses han estado utilizando el PDC (sistema celular digital personal) que, según las normas japonesas, funciona en las bandas 800 MHz y 1,5 </w:t>
      </w:r>
      <w:proofErr w:type="spellStart"/>
      <w:r w:rsidRPr="00965C71">
        <w:rPr>
          <w:lang w:val="es-ES"/>
        </w:rPr>
        <w:t>GHz.</w:t>
      </w:r>
      <w:proofErr w:type="spellEnd"/>
      <w:r w:rsidRPr="00965C71">
        <w:rPr>
          <w:lang w:val="es-ES"/>
        </w:rPr>
        <w:t xml:space="preserve"> La norma PDC se basa en una </w:t>
      </w:r>
      <w:r>
        <w:rPr>
          <w:lang w:val="es-ES"/>
        </w:rPr>
        <w:t>interfaz aérea</w:t>
      </w:r>
      <w:r w:rsidRPr="00965C71">
        <w:rPr>
          <w:lang w:val="es-ES"/>
        </w:rPr>
        <w:t xml:space="preserve"> TDMA y una red </w:t>
      </w:r>
      <w:r>
        <w:rPr>
          <w:lang w:val="es-ES"/>
        </w:rPr>
        <w:t>básica</w:t>
      </w:r>
      <w:r w:rsidRPr="00965C71">
        <w:rPr>
          <w:lang w:val="es-ES"/>
        </w:rPr>
        <w:t xml:space="preserve"> específica </w:t>
      </w:r>
      <w:r>
        <w:rPr>
          <w:lang w:val="es-ES"/>
        </w:rPr>
        <w:t>de</w:t>
      </w:r>
      <w:r w:rsidRPr="00965C71">
        <w:rPr>
          <w:lang w:val="es-ES"/>
        </w:rPr>
        <w:t xml:space="preserve"> Japón a través de las cuales se prestan </w:t>
      </w:r>
      <w:r w:rsidRPr="00965C71">
        <w:rPr>
          <w:lang w:val="es-ES"/>
        </w:rPr>
        <w:lastRenderedPageBreak/>
        <w:t xml:space="preserve">servicios de transmisión de voz y datos por paquetes a una velocidad máxima de 28,8 </w:t>
      </w:r>
      <w:proofErr w:type="spellStart"/>
      <w:r w:rsidRPr="00965C71">
        <w:rPr>
          <w:lang w:val="es-ES"/>
        </w:rPr>
        <w:t>kbit</w:t>
      </w:r>
      <w:proofErr w:type="spellEnd"/>
      <w:r w:rsidRPr="00965C71">
        <w:rPr>
          <w:lang w:val="es-ES"/>
        </w:rPr>
        <w:t xml:space="preserve">/s. Casi todos los abonados emplean terminales avanzados que les permiten recibir servicios móviles de Internet. Se concedieron licencias 3G a tres operadores en Japón, dos de los cuales, NTT </w:t>
      </w:r>
      <w:proofErr w:type="spellStart"/>
      <w:r w:rsidRPr="00965C71">
        <w:rPr>
          <w:lang w:val="es-ES"/>
        </w:rPr>
        <w:t>DoCoMo</w:t>
      </w:r>
      <w:proofErr w:type="spellEnd"/>
      <w:r w:rsidRPr="00965C71">
        <w:rPr>
          <w:lang w:val="es-ES"/>
        </w:rPr>
        <w:t xml:space="preserve"> y J</w:t>
      </w:r>
      <w:r w:rsidRPr="00965C71">
        <w:rPr>
          <w:lang w:val="es-ES"/>
        </w:rPr>
        <w:noBreakHyphen/>
        <w:t xml:space="preserve">PHONE (actualmente denominado </w:t>
      </w:r>
      <w:proofErr w:type="spellStart"/>
      <w:r>
        <w:rPr>
          <w:lang w:val="es-ES"/>
        </w:rPr>
        <w:t>Soft</w:t>
      </w:r>
      <w:proofErr w:type="spellEnd"/>
      <w:r>
        <w:rPr>
          <w:lang w:val="es-ES"/>
        </w:rPr>
        <w:t xml:space="preserve"> Bank Mobile</w:t>
      </w:r>
      <w:r w:rsidRPr="00965C71">
        <w:rPr>
          <w:lang w:val="es-ES"/>
        </w:rPr>
        <w:t xml:space="preserve">), escogieron el sistema </w:t>
      </w:r>
      <w:r>
        <w:rPr>
          <w:lang w:val="es-ES"/>
        </w:rPr>
        <w:t>CDMA IMT-2000 con ensanchamiento directo</w:t>
      </w:r>
      <w:r w:rsidRPr="00965C71">
        <w:rPr>
          <w:lang w:val="es-ES"/>
        </w:rPr>
        <w:t xml:space="preserve"> y ya han comenzado a prestar servicios comerciales. Es preciso instalar dos redes independientes </w:t>
      </w:r>
      <w:r>
        <w:rPr>
          <w:lang w:val="es-ES"/>
        </w:rPr>
        <w:t>para</w:t>
      </w:r>
      <w:r w:rsidRPr="00965C71">
        <w:rPr>
          <w:lang w:val="es-ES"/>
        </w:rPr>
        <w:t xml:space="preserve"> PDC y </w:t>
      </w:r>
      <w:r>
        <w:rPr>
          <w:lang w:val="es-ES"/>
        </w:rPr>
        <w:t>CDMA IMT-2000 con ensanchamiento directo</w:t>
      </w:r>
      <w:r w:rsidRPr="00965C71">
        <w:rPr>
          <w:lang w:val="es-ES"/>
        </w:rPr>
        <w:t xml:space="preserve"> para lograr la compatibilidad.</w:t>
      </w:r>
    </w:p>
    <w:p w:rsidR="00AC63A8" w:rsidRPr="00A43C05" w:rsidRDefault="001D58F3" w:rsidP="001D58F3">
      <w:pPr>
        <w:rPr>
          <w:lang w:val="es-ES_tradnl"/>
        </w:rPr>
      </w:pPr>
      <w:r w:rsidRPr="00965C71">
        <w:rPr>
          <w:lang w:val="es-ES"/>
        </w:rPr>
        <w:t xml:space="preserve">En lo que respecta a la instalación del sistema </w:t>
      </w:r>
      <w:r>
        <w:rPr>
          <w:lang w:val="es-ES"/>
        </w:rPr>
        <w:t>CDMA IMT-2000 con ensanchamiento directo</w:t>
      </w:r>
      <w:r w:rsidRPr="00965C71">
        <w:rPr>
          <w:lang w:val="es-ES"/>
        </w:rPr>
        <w:t xml:space="preserve">, resultó muy complicado crear </w:t>
      </w:r>
      <w:r>
        <w:rPr>
          <w:lang w:val="es-ES"/>
        </w:rPr>
        <w:t>emplazamientos</w:t>
      </w:r>
      <w:r w:rsidRPr="00F84F3F">
        <w:rPr>
          <w:lang w:val="es-ES"/>
        </w:rPr>
        <w:t xml:space="preserve"> </w:t>
      </w:r>
      <w:r w:rsidRPr="00965C71">
        <w:rPr>
          <w:lang w:val="es-ES"/>
        </w:rPr>
        <w:t xml:space="preserve">independientes </w:t>
      </w:r>
      <w:r>
        <w:rPr>
          <w:lang w:val="es-ES"/>
        </w:rPr>
        <w:t>para las células</w:t>
      </w:r>
      <w:r w:rsidRPr="00965C71">
        <w:rPr>
          <w:lang w:val="es-ES"/>
        </w:rPr>
        <w:t xml:space="preserve"> </w:t>
      </w:r>
      <w:r>
        <w:rPr>
          <w:lang w:val="es-ES"/>
        </w:rPr>
        <w:t>de</w:t>
      </w:r>
      <w:r w:rsidRPr="00965C71">
        <w:rPr>
          <w:lang w:val="es-ES"/>
        </w:rPr>
        <w:t xml:space="preserve"> los sistemas 3G debido a que los operadores ya habían instalado antenas PDC en numerosos edificios para poder prestar servicios de gran calidad a un elevado número de abonados (más de 46 millones en 2000). Por consiguiente, los operadores instalaron </w:t>
      </w:r>
      <w:r>
        <w:rPr>
          <w:lang w:val="es-ES"/>
        </w:rPr>
        <w:t xml:space="preserve">las </w:t>
      </w:r>
      <w:r w:rsidRPr="00965C71">
        <w:rPr>
          <w:lang w:val="es-ES"/>
        </w:rPr>
        <w:t xml:space="preserve">antenas para el sistema 3G en </w:t>
      </w:r>
      <w:r>
        <w:rPr>
          <w:lang w:val="es-ES"/>
        </w:rPr>
        <w:t>los mismo</w:t>
      </w:r>
      <w:r w:rsidRPr="00965C71">
        <w:rPr>
          <w:lang w:val="es-ES"/>
        </w:rPr>
        <w:t xml:space="preserve">s </w:t>
      </w:r>
      <w:r>
        <w:rPr>
          <w:lang w:val="es-ES"/>
        </w:rPr>
        <w:t>sitios</w:t>
      </w:r>
      <w:r w:rsidRPr="00965C71">
        <w:rPr>
          <w:lang w:val="es-ES"/>
        </w:rPr>
        <w:t xml:space="preserve"> que </w:t>
      </w:r>
      <w:r>
        <w:rPr>
          <w:lang w:val="es-ES"/>
        </w:rPr>
        <w:t xml:space="preserve">las de </w:t>
      </w:r>
      <w:r w:rsidRPr="00965C71">
        <w:rPr>
          <w:lang w:val="es-ES"/>
        </w:rPr>
        <w:t xml:space="preserve">PDC, </w:t>
      </w:r>
      <w:r>
        <w:rPr>
          <w:lang w:val="es-ES"/>
        </w:rPr>
        <w:t>montando</w:t>
      </w:r>
      <w:r w:rsidRPr="00965C71">
        <w:rPr>
          <w:lang w:val="es-ES"/>
        </w:rPr>
        <w:t xml:space="preserve"> antenas </w:t>
      </w:r>
      <w:r>
        <w:rPr>
          <w:lang w:val="es-ES"/>
        </w:rPr>
        <w:t xml:space="preserve">de doble o triple banda </w:t>
      </w:r>
      <w:r w:rsidRPr="00965C71">
        <w:rPr>
          <w:lang w:val="es-ES"/>
        </w:rPr>
        <w:t>y estaciones de base de tamaño reducido con objeto de ganar espacio y reducir el peso.</w:t>
      </w:r>
    </w:p>
    <w:p w:rsidR="00AC63A8" w:rsidRPr="00A43C05" w:rsidRDefault="00AC63A8" w:rsidP="001D58F3">
      <w:pPr>
        <w:pStyle w:val="Heading3"/>
        <w:rPr>
          <w:lang w:val="es-ES_tradnl"/>
        </w:rPr>
      </w:pPr>
      <w:bookmarkStart w:id="393" w:name="_Toc89083710"/>
      <w:bookmarkStart w:id="394" w:name="_Toc92878219"/>
      <w:bookmarkStart w:id="395" w:name="_Toc101931281"/>
      <w:bookmarkStart w:id="396" w:name="_Toc103399300"/>
      <w:bookmarkStart w:id="397" w:name="_Toc103400378"/>
      <w:bookmarkStart w:id="398" w:name="_Toc103400842"/>
      <w:bookmarkStart w:id="399" w:name="_Toc103401306"/>
      <w:bookmarkStart w:id="400" w:name="_Toc103401771"/>
      <w:bookmarkStart w:id="401" w:name="_Toc103402237"/>
      <w:bookmarkStart w:id="402" w:name="_Toc103402702"/>
      <w:bookmarkStart w:id="403" w:name="_Toc103403467"/>
      <w:bookmarkStart w:id="404" w:name="_Toc103421237"/>
      <w:bookmarkStart w:id="405" w:name="_Toc103528411"/>
      <w:bookmarkStart w:id="406" w:name="_Toc255292547"/>
      <w:bookmarkStart w:id="407" w:name="_Toc259024252"/>
      <w:r w:rsidRPr="00A43C05">
        <w:rPr>
          <w:lang w:val="es-ES_tradnl"/>
        </w:rPr>
        <w:t>9.5.</w:t>
      </w:r>
      <w:r w:rsidRPr="00A43C05">
        <w:rPr>
          <w:rFonts w:hint="eastAsia"/>
          <w:lang w:val="es-ES_tradnl"/>
        </w:rPr>
        <w:t>2</w:t>
      </w:r>
      <w:r w:rsidRPr="00A43C05">
        <w:rPr>
          <w:lang w:val="es-ES_tradnl"/>
        </w:rPr>
        <w:tab/>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001D58F3" w:rsidRPr="001D58F3">
        <w:rPr>
          <w:lang w:val="es-ES_tradnl"/>
        </w:rPr>
        <w:t>Transición a CDMA IMT</w:t>
      </w:r>
      <w:r w:rsidR="001D58F3" w:rsidRPr="001D58F3">
        <w:rPr>
          <w:lang w:val="es-ES_tradnl"/>
        </w:rPr>
        <w:noBreakHyphen/>
        <w:t xml:space="preserve">2000 con </w:t>
      </w:r>
      <w:proofErr w:type="spellStart"/>
      <w:r w:rsidR="001D58F3" w:rsidRPr="001D58F3">
        <w:rPr>
          <w:lang w:val="es-ES_tradnl"/>
        </w:rPr>
        <w:t>multiportadora</w:t>
      </w:r>
      <w:bookmarkEnd w:id="407"/>
      <w:proofErr w:type="spellEnd"/>
    </w:p>
    <w:p w:rsidR="00AC63A8" w:rsidRPr="00A43C05" w:rsidRDefault="001D58F3" w:rsidP="001D58F3">
      <w:pPr>
        <w:rPr>
          <w:lang w:val="es-ES_tradnl"/>
        </w:rPr>
      </w:pPr>
      <w:r w:rsidRPr="001D58F3">
        <w:rPr>
          <w:lang w:val="es-ES_tradnl"/>
        </w:rPr>
        <w:t xml:space="preserve">Otro operador de PDC en Japón, KDDI, escogió el sistema CDMA IMT-2000 con </w:t>
      </w:r>
      <w:proofErr w:type="spellStart"/>
      <w:r w:rsidRPr="001D58F3">
        <w:rPr>
          <w:lang w:val="es-ES_tradnl"/>
        </w:rPr>
        <w:t>multiportadora</w:t>
      </w:r>
      <w:proofErr w:type="spellEnd"/>
      <w:r w:rsidRPr="001D58F3">
        <w:rPr>
          <w:lang w:val="es-ES_tradnl"/>
        </w:rPr>
        <w:t xml:space="preserve">. Debido a que los sistemas PDC y CDMA IMT-2000 con </w:t>
      </w:r>
      <w:proofErr w:type="spellStart"/>
      <w:r w:rsidRPr="001D58F3">
        <w:rPr>
          <w:lang w:val="es-ES_tradnl"/>
        </w:rPr>
        <w:t>multiportadora</w:t>
      </w:r>
      <w:proofErr w:type="spellEnd"/>
      <w:r w:rsidRPr="001D58F3">
        <w:rPr>
          <w:lang w:val="es-ES_tradnl"/>
        </w:rPr>
        <w:t xml:space="preserve"> cuentan con interfaces aéreas y protocolos de red básica diferentes, la transición de PDC hacia el sistema de CDMA IMT</w:t>
      </w:r>
      <w:r w:rsidRPr="001D58F3">
        <w:rPr>
          <w:lang w:val="es-ES_tradnl"/>
        </w:rPr>
        <w:noBreakHyphen/>
        <w:t xml:space="preserve">2000 con </w:t>
      </w:r>
      <w:proofErr w:type="spellStart"/>
      <w:r w:rsidRPr="001D58F3">
        <w:rPr>
          <w:lang w:val="es-ES_tradnl"/>
        </w:rPr>
        <w:t>multiportadora</w:t>
      </w:r>
      <w:proofErr w:type="spellEnd"/>
      <w:r w:rsidRPr="001D58F3">
        <w:rPr>
          <w:lang w:val="es-ES_tradnl"/>
        </w:rPr>
        <w:t xml:space="preserve"> se llevó a cabo por medio de </w:t>
      </w:r>
      <w:proofErr w:type="spellStart"/>
      <w:r w:rsidRPr="001D58F3">
        <w:rPr>
          <w:lang w:val="es-ES_tradnl"/>
        </w:rPr>
        <w:t>cdmaOne</w:t>
      </w:r>
      <w:proofErr w:type="spellEnd"/>
      <w:r w:rsidRPr="001D58F3">
        <w:rPr>
          <w:lang w:val="es-ES_tradnl"/>
        </w:rPr>
        <w:t xml:space="preserve"> (CDMA ANSI-95 A/B). Al principio, el operador PDC inició el nuevo sistema en bandas de frecuencia distintas de las de PDC o idénticas a ellas, y, a continuación, finalizó la transmisión de portadoras del servicio PDC. El operador compartió algunos de los equipos como, por ejemplo, la caseta de la estación de base, el suministro de energía eléctrica, la antena, el equipo de RF, etc., para la explotación dual de ambos sistemas, PDC y CDMA IMT</w:t>
      </w:r>
      <w:r w:rsidRPr="001D58F3">
        <w:rPr>
          <w:lang w:val="es-ES_tradnl"/>
        </w:rPr>
        <w:noBreakHyphen/>
        <w:t xml:space="preserve">2000 con </w:t>
      </w:r>
      <w:proofErr w:type="spellStart"/>
      <w:r w:rsidRPr="001D58F3">
        <w:rPr>
          <w:lang w:val="es-ES_tradnl"/>
        </w:rPr>
        <w:t>multiportadora</w:t>
      </w:r>
      <w:proofErr w:type="spellEnd"/>
      <w:r w:rsidRPr="001D58F3">
        <w:rPr>
          <w:lang w:val="es-ES_tradnl"/>
        </w:rPr>
        <w:t xml:space="preserve">. En el § 9.6.1 se explica el proceso de transición de </w:t>
      </w:r>
      <w:proofErr w:type="spellStart"/>
      <w:r w:rsidRPr="001D58F3">
        <w:rPr>
          <w:lang w:val="es-ES_tradnl"/>
        </w:rPr>
        <w:t>cdmaOne</w:t>
      </w:r>
      <w:proofErr w:type="spellEnd"/>
      <w:r w:rsidRPr="001D58F3">
        <w:rPr>
          <w:lang w:val="es-ES_tradnl"/>
        </w:rPr>
        <w:t xml:space="preserve"> hacia CDMA IMT-2000 con </w:t>
      </w:r>
      <w:proofErr w:type="spellStart"/>
      <w:r w:rsidRPr="001D58F3">
        <w:rPr>
          <w:lang w:val="es-ES_tradnl"/>
        </w:rPr>
        <w:t>multiportadora</w:t>
      </w:r>
      <w:proofErr w:type="spellEnd"/>
      <w:r w:rsidRPr="001D58F3">
        <w:rPr>
          <w:lang w:val="es-ES_tradnl"/>
        </w:rPr>
        <w:t>.</w:t>
      </w:r>
    </w:p>
    <w:p w:rsidR="00AC63A8" w:rsidRPr="00A43C05" w:rsidRDefault="00AC63A8" w:rsidP="001D58F3">
      <w:pPr>
        <w:pStyle w:val="Heading2"/>
        <w:rPr>
          <w:lang w:val="es-ES_tradnl"/>
        </w:rPr>
      </w:pPr>
      <w:bookmarkStart w:id="408" w:name="_Toc44438559"/>
      <w:bookmarkStart w:id="409" w:name="_Toc44446774"/>
      <w:bookmarkStart w:id="410" w:name="_Toc53323429"/>
      <w:bookmarkStart w:id="411" w:name="_Toc63611637"/>
      <w:bookmarkStart w:id="412" w:name="_Toc89083711"/>
      <w:bookmarkStart w:id="413" w:name="_Toc92878220"/>
      <w:bookmarkStart w:id="414" w:name="_Toc101931282"/>
      <w:bookmarkStart w:id="415" w:name="_Toc103399301"/>
      <w:bookmarkStart w:id="416" w:name="_Toc103400379"/>
      <w:bookmarkStart w:id="417" w:name="_Toc103400843"/>
      <w:bookmarkStart w:id="418" w:name="_Toc103401307"/>
      <w:bookmarkStart w:id="419" w:name="_Toc103401772"/>
      <w:bookmarkStart w:id="420" w:name="_Toc103402238"/>
      <w:bookmarkStart w:id="421" w:name="_Toc103402703"/>
      <w:bookmarkStart w:id="422" w:name="_Toc103403468"/>
      <w:bookmarkStart w:id="423" w:name="_Toc103421238"/>
      <w:bookmarkStart w:id="424" w:name="_Toc103528412"/>
      <w:bookmarkStart w:id="425" w:name="_Toc236826244"/>
      <w:bookmarkStart w:id="426" w:name="_Toc255292548"/>
      <w:bookmarkStart w:id="427" w:name="_Toc259024253"/>
      <w:r w:rsidRPr="00A43C05">
        <w:rPr>
          <w:lang w:val="es-ES_tradnl"/>
        </w:rPr>
        <w:t>9.6</w:t>
      </w:r>
      <w:r w:rsidRPr="00A43C05">
        <w:rPr>
          <w:lang w:val="es-ES_tradnl"/>
        </w:rPr>
        <w:tab/>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001D58F3" w:rsidRPr="001D58F3">
        <w:rPr>
          <w:lang w:val="es-ES_tradnl"/>
        </w:rPr>
        <w:t xml:space="preserve">Transición de los sistemas </w:t>
      </w:r>
      <w:proofErr w:type="spellStart"/>
      <w:r w:rsidR="001D58F3" w:rsidRPr="001D58F3">
        <w:rPr>
          <w:lang w:val="es-ES_tradnl"/>
        </w:rPr>
        <w:t>cdmaOne</w:t>
      </w:r>
      <w:bookmarkEnd w:id="427"/>
      <w:proofErr w:type="spellEnd"/>
    </w:p>
    <w:p w:rsidR="00AC63A8" w:rsidRPr="00A43C05" w:rsidRDefault="00AC63A8" w:rsidP="001D58F3">
      <w:pPr>
        <w:pStyle w:val="Heading3"/>
        <w:rPr>
          <w:lang w:val="es-ES_tradnl"/>
        </w:rPr>
      </w:pPr>
      <w:bookmarkStart w:id="428" w:name="_Toc255292549"/>
      <w:bookmarkStart w:id="429" w:name="_Toc259024254"/>
      <w:r w:rsidRPr="00A43C05">
        <w:rPr>
          <w:lang w:val="es-ES_tradnl"/>
        </w:rPr>
        <w:t>9.6.1</w:t>
      </w:r>
      <w:r w:rsidRPr="00A43C05">
        <w:rPr>
          <w:lang w:val="es-ES_tradnl"/>
        </w:rPr>
        <w:tab/>
      </w:r>
      <w:bookmarkEnd w:id="428"/>
      <w:r w:rsidR="001D58F3" w:rsidRPr="001D58F3">
        <w:rPr>
          <w:lang w:val="es-ES_tradnl"/>
        </w:rPr>
        <w:t>Transición a CDMA IMT</w:t>
      </w:r>
      <w:r w:rsidR="001D58F3" w:rsidRPr="001D58F3">
        <w:rPr>
          <w:lang w:val="es-ES_tradnl"/>
        </w:rPr>
        <w:noBreakHyphen/>
        <w:t xml:space="preserve">2000 con </w:t>
      </w:r>
      <w:proofErr w:type="spellStart"/>
      <w:r w:rsidR="001D58F3" w:rsidRPr="001D58F3">
        <w:rPr>
          <w:lang w:val="es-ES_tradnl"/>
        </w:rPr>
        <w:t>multiportadora</w:t>
      </w:r>
      <w:bookmarkEnd w:id="429"/>
      <w:proofErr w:type="spellEnd"/>
    </w:p>
    <w:p w:rsidR="007425DF" w:rsidRPr="00A43C05" w:rsidRDefault="001D58F3" w:rsidP="001D58F3">
      <w:pPr>
        <w:rPr>
          <w:lang w:val="es-ES_tradnl"/>
        </w:rPr>
      </w:pPr>
      <w:r w:rsidRPr="001D58F3">
        <w:rPr>
          <w:lang w:val="es-ES"/>
        </w:rPr>
        <w:t>Los operadores de sistemas digitales pre</w:t>
      </w:r>
      <w:r w:rsidRPr="001D58F3">
        <w:rPr>
          <w:lang w:val="es-ES"/>
        </w:rPr>
        <w:noBreakHyphen/>
        <w:t xml:space="preserve">IMT-2000 </w:t>
      </w:r>
      <w:proofErr w:type="spellStart"/>
      <w:r w:rsidRPr="001D58F3">
        <w:rPr>
          <w:lang w:val="es-ES"/>
        </w:rPr>
        <w:t>cdmaOne</w:t>
      </w:r>
      <w:proofErr w:type="spellEnd"/>
      <w:r w:rsidRPr="001D58F3">
        <w:rPr>
          <w:lang w:val="es-ES"/>
        </w:rPr>
        <w:t xml:space="preserve"> (CDMA ANSI</w:t>
      </w:r>
      <w:r w:rsidRPr="001D58F3">
        <w:rPr>
          <w:lang w:val="es-ES"/>
        </w:rPr>
        <w:noBreakHyphen/>
        <w:t xml:space="preserve">95 A/B) pueden evolucionar fácilmente y de manera directa hacia CDMA IMT-2000 con </w:t>
      </w:r>
      <w:proofErr w:type="spellStart"/>
      <w:r w:rsidRPr="001D58F3">
        <w:rPr>
          <w:lang w:val="es-ES"/>
        </w:rPr>
        <w:t>multiportadora</w:t>
      </w:r>
      <w:proofErr w:type="spellEnd"/>
      <w:r w:rsidRPr="001D58F3">
        <w:rPr>
          <w:lang w:val="es-ES"/>
        </w:rPr>
        <w:t xml:space="preserve">. Esta tecnología se diseñó para que fuese plenamente compatible con su predecesora, </w:t>
      </w:r>
      <w:proofErr w:type="spellStart"/>
      <w:r w:rsidRPr="001D58F3">
        <w:rPr>
          <w:lang w:val="es-ES"/>
        </w:rPr>
        <w:t>cdmaOne</w:t>
      </w:r>
      <w:proofErr w:type="spellEnd"/>
      <w:r w:rsidRPr="001D58F3">
        <w:rPr>
          <w:lang w:val="es-ES"/>
        </w:rPr>
        <w:t xml:space="preserve"> y que de este modo los requisitos de evolución del sistema fuesen más simples que los de otros sistemas.</w:t>
      </w:r>
    </w:p>
    <w:p w:rsidR="00CD60F8" w:rsidRPr="00A43C05" w:rsidRDefault="00CD60F8" w:rsidP="001D58F3">
      <w:pPr>
        <w:pStyle w:val="FigureTitle"/>
        <w:rPr>
          <w:rFonts w:asciiTheme="majorBidi" w:hAnsiTheme="majorBidi" w:cstheme="majorBidi"/>
          <w:lang w:val="es-ES_tradnl"/>
        </w:rPr>
      </w:pPr>
      <w:bookmarkStart w:id="430" w:name="_Toc92854712"/>
      <w:r w:rsidRPr="00A43C05">
        <w:rPr>
          <w:rFonts w:asciiTheme="majorBidi" w:hAnsiTheme="majorBidi" w:cstheme="majorBidi"/>
          <w:lang w:val="es-ES_tradnl"/>
        </w:rPr>
        <w:lastRenderedPageBreak/>
        <w:t>Figur</w:t>
      </w:r>
      <w:r w:rsidR="001D58F3" w:rsidRPr="00A43C05">
        <w:rPr>
          <w:rFonts w:asciiTheme="majorBidi" w:hAnsiTheme="majorBidi" w:cstheme="majorBidi"/>
          <w:lang w:val="es-ES_tradnl"/>
        </w:rPr>
        <w:t>a</w:t>
      </w:r>
      <w:r w:rsidRPr="00A43C05">
        <w:rPr>
          <w:rFonts w:asciiTheme="majorBidi" w:hAnsiTheme="majorBidi" w:cstheme="majorBidi"/>
          <w:lang w:val="es-ES_tradnl"/>
        </w:rPr>
        <w:t xml:space="preserve"> 9.6.1: </w:t>
      </w:r>
      <w:bookmarkEnd w:id="430"/>
      <w:r w:rsidR="001D58F3" w:rsidRPr="001D58F3">
        <w:rPr>
          <w:rFonts w:asciiTheme="majorBidi" w:hAnsiTheme="majorBidi" w:cstheme="majorBidi"/>
          <w:lang w:val="es-ES_tradnl"/>
        </w:rPr>
        <w:t xml:space="preserve">Trayecto de evolución de </w:t>
      </w:r>
      <w:proofErr w:type="spellStart"/>
      <w:r w:rsidR="001D58F3" w:rsidRPr="001D58F3">
        <w:rPr>
          <w:rFonts w:asciiTheme="majorBidi" w:hAnsiTheme="majorBidi" w:cstheme="majorBidi"/>
          <w:lang w:val="es-ES_tradnl"/>
        </w:rPr>
        <w:t>cdmaOne</w:t>
      </w:r>
      <w:proofErr w:type="spellEnd"/>
      <w:r w:rsidR="001D58F3" w:rsidRPr="001D58F3">
        <w:rPr>
          <w:rFonts w:asciiTheme="majorBidi" w:hAnsiTheme="majorBidi" w:cstheme="majorBidi"/>
          <w:lang w:val="es-ES_tradnl"/>
        </w:rPr>
        <w:t xml:space="preserve"> a CDMA2000 IMT</w:t>
      </w:r>
      <w:r w:rsidR="001D58F3" w:rsidRPr="001D58F3">
        <w:rPr>
          <w:rFonts w:asciiTheme="majorBidi" w:hAnsiTheme="majorBidi" w:cstheme="majorBidi"/>
          <w:lang w:val="es-ES_tradnl"/>
        </w:rPr>
        <w:noBreakHyphen/>
        <w:t xml:space="preserve">2000 con </w:t>
      </w:r>
      <w:proofErr w:type="spellStart"/>
      <w:r w:rsidR="001D58F3" w:rsidRPr="001D58F3">
        <w:rPr>
          <w:rFonts w:asciiTheme="majorBidi" w:hAnsiTheme="majorBidi" w:cstheme="majorBidi"/>
          <w:lang w:val="es-ES_tradnl"/>
        </w:rPr>
        <w:t>multiportadora</w:t>
      </w:r>
      <w:proofErr w:type="spellEnd"/>
    </w:p>
    <w:p w:rsidR="001D58F3" w:rsidRPr="00965C71" w:rsidRDefault="001D58F3" w:rsidP="00863244">
      <w:pPr>
        <w:pStyle w:val="Figure"/>
        <w:rPr>
          <w:sz w:val="19"/>
          <w:szCs w:val="19"/>
          <w:lang w:val="es-ES"/>
        </w:rPr>
      </w:pPr>
      <w:r>
        <w:object w:dxaOrig="7001" w:dyaOrig="5422">
          <v:shape id="_x0000_i1029" type="#_x0000_t75" style="width:348.75pt;height:270.75pt" o:ole="" o:allowoverlap="f">
            <v:imagedata r:id="rId27" o:title=""/>
          </v:shape>
          <o:OLEObject Type="Embed" ProgID="CorelDRAW.Graphic.14" ShapeID="_x0000_i1029" DrawAspect="Content" ObjectID="_1334060542" r:id="rId28"/>
        </w:object>
      </w:r>
    </w:p>
    <w:p w:rsidR="00CD60F8" w:rsidRDefault="00CD60F8" w:rsidP="00CD60F8">
      <w:pPr>
        <w:pStyle w:val="FigureSource"/>
      </w:pPr>
    </w:p>
    <w:p w:rsidR="001D58F3" w:rsidRPr="00965C71" w:rsidRDefault="001D58F3" w:rsidP="001D58F3">
      <w:pPr>
        <w:pStyle w:val="Normalaftertitle"/>
        <w:rPr>
          <w:lang w:val="es-ES"/>
        </w:rPr>
      </w:pPr>
      <w:r w:rsidRPr="00965C71">
        <w:rPr>
          <w:lang w:val="es-ES"/>
        </w:rPr>
        <w:t xml:space="preserve">La familia de sistemas </w:t>
      </w:r>
      <w:r>
        <w:rPr>
          <w:lang w:val="es-ES"/>
        </w:rPr>
        <w:t xml:space="preserve">IMT-2000 con </w:t>
      </w:r>
      <w:proofErr w:type="spellStart"/>
      <w:r>
        <w:rPr>
          <w:lang w:val="es-ES"/>
        </w:rPr>
        <w:t>multiportadora</w:t>
      </w:r>
      <w:proofErr w:type="spellEnd"/>
      <w:r>
        <w:rPr>
          <w:lang w:val="es-ES"/>
        </w:rPr>
        <w:t xml:space="preserve"> está integrada por</w:t>
      </w:r>
      <w:r w:rsidRPr="00965C71">
        <w:rPr>
          <w:lang w:val="es-ES"/>
        </w:rPr>
        <w:t xml:space="preserve"> un sistema CDMA2000 1X para velocidades vocales y </w:t>
      </w:r>
      <w:r>
        <w:rPr>
          <w:lang w:val="es-ES"/>
        </w:rPr>
        <w:t>velocidades</w:t>
      </w:r>
      <w:r w:rsidRPr="00965C71">
        <w:rPr>
          <w:lang w:val="es-ES"/>
        </w:rPr>
        <w:t xml:space="preserve"> de datos</w:t>
      </w:r>
      <w:r>
        <w:rPr>
          <w:lang w:val="es-ES"/>
        </w:rPr>
        <w:t xml:space="preserve"> medias,</w:t>
      </w:r>
      <w:r w:rsidRPr="00965C71">
        <w:rPr>
          <w:lang w:val="es-ES"/>
        </w:rPr>
        <w:t xml:space="preserve"> de hasta 307 </w:t>
      </w:r>
      <w:proofErr w:type="spellStart"/>
      <w:r w:rsidRPr="00965C71">
        <w:rPr>
          <w:lang w:val="es-ES"/>
        </w:rPr>
        <w:t>kbit</w:t>
      </w:r>
      <w:proofErr w:type="spellEnd"/>
      <w:r w:rsidRPr="00965C71">
        <w:rPr>
          <w:lang w:val="es-ES"/>
        </w:rPr>
        <w:t xml:space="preserve">/s, un sistema CDMA2000 1xEV-DO para </w:t>
      </w:r>
      <w:r>
        <w:rPr>
          <w:lang w:val="es-ES"/>
        </w:rPr>
        <w:t>altas</w:t>
      </w:r>
      <w:r w:rsidRPr="00965C71">
        <w:rPr>
          <w:lang w:val="es-ES"/>
        </w:rPr>
        <w:t xml:space="preserve"> velocidades de datos de hasta 3,1 </w:t>
      </w:r>
      <w:proofErr w:type="spellStart"/>
      <w:r w:rsidRPr="00965C71">
        <w:rPr>
          <w:lang w:val="es-ES"/>
        </w:rPr>
        <w:t>Mbit</w:t>
      </w:r>
      <w:proofErr w:type="spellEnd"/>
      <w:r w:rsidRPr="00965C71">
        <w:rPr>
          <w:lang w:val="es-ES"/>
        </w:rPr>
        <w:t>/s en un solo canal de 1,25</w:t>
      </w:r>
      <w:r>
        <w:rPr>
          <w:lang w:val="es-ES"/>
        </w:rPr>
        <w:t> </w:t>
      </w:r>
      <w:r w:rsidRPr="00965C71">
        <w:rPr>
          <w:lang w:val="es-ES"/>
        </w:rPr>
        <w:t xml:space="preserve">MHz, o velocidades superiores, de hasta 14,7 </w:t>
      </w:r>
      <w:proofErr w:type="spellStart"/>
      <w:r w:rsidRPr="00965C71">
        <w:rPr>
          <w:lang w:val="es-ES"/>
        </w:rPr>
        <w:t>Mbit</w:t>
      </w:r>
      <w:proofErr w:type="spellEnd"/>
      <w:r w:rsidRPr="00965C71">
        <w:rPr>
          <w:lang w:val="es-ES"/>
        </w:rPr>
        <w:t xml:space="preserve">/s, con canales agregados </w:t>
      </w:r>
      <w:r>
        <w:rPr>
          <w:lang w:val="es-ES"/>
        </w:rPr>
        <w:t>utilizando</w:t>
      </w:r>
      <w:r w:rsidRPr="00965C71">
        <w:rPr>
          <w:lang w:val="es-ES"/>
        </w:rPr>
        <w:t xml:space="preserve"> EV-DO Rev.</w:t>
      </w:r>
      <w:r>
        <w:rPr>
          <w:lang w:val="es-ES"/>
        </w:rPr>
        <w:t> </w:t>
      </w:r>
      <w:r w:rsidRPr="00965C71">
        <w:rPr>
          <w:lang w:val="es-ES"/>
        </w:rPr>
        <w:t xml:space="preserve">B. Los operadores pueden </w:t>
      </w:r>
      <w:r>
        <w:rPr>
          <w:lang w:val="es-ES"/>
        </w:rPr>
        <w:t>superponer</w:t>
      </w:r>
      <w:r w:rsidRPr="00965C71">
        <w:rPr>
          <w:lang w:val="es-ES"/>
        </w:rPr>
        <w:t xml:space="preserve"> CDMA2000 1X y CDMA2000 EV-DO en varias fases, dependiendo de la evolución que requiera la capacidad de</w:t>
      </w:r>
      <w:r>
        <w:rPr>
          <w:lang w:val="es-ES"/>
        </w:rPr>
        <w:t xml:space="preserve"> la</w:t>
      </w:r>
      <w:r w:rsidRPr="00965C71">
        <w:rPr>
          <w:lang w:val="es-ES"/>
        </w:rPr>
        <w:t xml:space="preserve"> red. La evolución hacia CDMA2000 ofrece a los operadores </w:t>
      </w:r>
      <w:proofErr w:type="spellStart"/>
      <w:r w:rsidRPr="00965C71">
        <w:rPr>
          <w:lang w:val="es-ES"/>
        </w:rPr>
        <w:t>cdmaOne</w:t>
      </w:r>
      <w:proofErr w:type="spellEnd"/>
      <w:r w:rsidRPr="00965C71">
        <w:rPr>
          <w:lang w:val="es-ES"/>
        </w:rPr>
        <w:t xml:space="preserve"> la flexibilidad necesaria para </w:t>
      </w:r>
      <w:r>
        <w:rPr>
          <w:lang w:val="es-ES"/>
        </w:rPr>
        <w:t>prestar</w:t>
      </w:r>
      <w:r w:rsidRPr="00965C71">
        <w:rPr>
          <w:lang w:val="es-ES"/>
        </w:rPr>
        <w:t xml:space="preserve"> servicios IMT-2000 en el espectro que utilizan actualmente, lo que </w:t>
      </w:r>
      <w:r>
        <w:rPr>
          <w:lang w:val="es-ES"/>
        </w:rPr>
        <w:t>abarata significativamente los</w:t>
      </w:r>
      <w:r w:rsidRPr="00965C71">
        <w:rPr>
          <w:lang w:val="es-ES"/>
        </w:rPr>
        <w:t xml:space="preserve"> costos, ya que estos sistemas pueden evolucionar con canales más estrechos</w:t>
      </w:r>
      <w:r>
        <w:rPr>
          <w:lang w:val="es-ES"/>
        </w:rPr>
        <w:t>,</w:t>
      </w:r>
      <w:r w:rsidRPr="00965C71">
        <w:rPr>
          <w:lang w:val="es-ES"/>
        </w:rPr>
        <w:t xml:space="preserve"> de 1,25 MHz, facilitándose así el despliegue de tres portadoras CDMA en una anchura de banda de 5 </w:t>
      </w:r>
      <w:proofErr w:type="spellStart"/>
      <w:r w:rsidRPr="00965C71">
        <w:rPr>
          <w:lang w:val="es-ES"/>
        </w:rPr>
        <w:t>MHz.</w:t>
      </w:r>
      <w:proofErr w:type="spellEnd"/>
      <w:r w:rsidRPr="00965C71">
        <w:rPr>
          <w:lang w:val="es-ES"/>
        </w:rPr>
        <w:t xml:space="preserve"> </w:t>
      </w:r>
    </w:p>
    <w:p w:rsidR="001D58F3" w:rsidRPr="00965C71" w:rsidRDefault="001D58F3" w:rsidP="001D58F3">
      <w:pPr>
        <w:rPr>
          <w:lang w:val="es-ES"/>
        </w:rPr>
      </w:pPr>
      <w:r w:rsidRPr="00965C71">
        <w:rPr>
          <w:lang w:val="es-ES"/>
        </w:rPr>
        <w:t xml:space="preserve">Todas las revisiones </w:t>
      </w:r>
      <w:r>
        <w:rPr>
          <w:lang w:val="es-ES"/>
        </w:rPr>
        <w:t>de la interfaz aérea</w:t>
      </w:r>
      <w:r w:rsidRPr="00965C71">
        <w:rPr>
          <w:lang w:val="es-ES"/>
        </w:rPr>
        <w:t xml:space="preserve"> CDMA2000 proporcionan plena compatibilidad </w:t>
      </w:r>
      <w:r>
        <w:rPr>
          <w:lang w:val="es-ES"/>
        </w:rPr>
        <w:t>ascendente</w:t>
      </w:r>
      <w:r w:rsidRPr="00965C71">
        <w:rPr>
          <w:lang w:val="es-ES"/>
        </w:rPr>
        <w:t xml:space="preserve"> con </w:t>
      </w:r>
      <w:proofErr w:type="spellStart"/>
      <w:r w:rsidRPr="00965C71">
        <w:rPr>
          <w:lang w:val="es-ES"/>
        </w:rPr>
        <w:t>cdmaOne</w:t>
      </w:r>
      <w:proofErr w:type="spellEnd"/>
      <w:r w:rsidRPr="00965C71">
        <w:rPr>
          <w:lang w:val="es-ES"/>
        </w:rPr>
        <w:t xml:space="preserve">. La familia de sistemas CDMA2000 incorpora varias innovaciones, por ejemplo </w:t>
      </w:r>
      <w:proofErr w:type="spellStart"/>
      <w:r w:rsidRPr="00965C71">
        <w:rPr>
          <w:lang w:val="es-ES"/>
        </w:rPr>
        <w:t>vocodificadores</w:t>
      </w:r>
      <w:proofErr w:type="spellEnd"/>
      <w:r w:rsidRPr="00965C71">
        <w:rPr>
          <w:lang w:val="es-ES"/>
        </w:rPr>
        <w:t xml:space="preserve"> en modo seleccionable (SMV), canales que permiten una rápida </w:t>
      </w:r>
      <w:proofErr w:type="spellStart"/>
      <w:r w:rsidRPr="00965C71">
        <w:rPr>
          <w:lang w:val="es-ES"/>
        </w:rPr>
        <w:t>radiobúsqueda</w:t>
      </w:r>
      <w:proofErr w:type="spellEnd"/>
      <w:r w:rsidRPr="00965C71">
        <w:rPr>
          <w:lang w:val="es-ES"/>
        </w:rPr>
        <w:t xml:space="preserve">, canales suplementarios de alta velocidad, control de potencia del enlace </w:t>
      </w:r>
      <w:r>
        <w:rPr>
          <w:lang w:val="es-ES"/>
        </w:rPr>
        <w:t>inverso</w:t>
      </w:r>
      <w:r w:rsidRPr="00965C71">
        <w:rPr>
          <w:lang w:val="es-ES"/>
        </w:rPr>
        <w:t xml:space="preserve"> y </w:t>
      </w:r>
      <w:r>
        <w:rPr>
          <w:lang w:val="es-ES"/>
        </w:rPr>
        <w:t>la inserción de una señal</w:t>
      </w:r>
      <w:r w:rsidRPr="00965C71">
        <w:rPr>
          <w:lang w:val="es-ES"/>
        </w:rPr>
        <w:t xml:space="preserve"> piloto, lo que hace que estos sistemas puedan entregar capacidades vocales mejoradas y elevadas velocidades de datos, garantizándose al mismo tiempo la aplicabilidad de procedimientos en modo desactivado que redundan en una mayor vida útil de los </w:t>
      </w:r>
      <w:proofErr w:type="spellStart"/>
      <w:r>
        <w:rPr>
          <w:lang w:val="es-ES"/>
        </w:rPr>
        <w:t>micro</w:t>
      </w:r>
      <w:r w:rsidRPr="00965C71">
        <w:rPr>
          <w:lang w:val="es-ES"/>
        </w:rPr>
        <w:t>teléfonos</w:t>
      </w:r>
      <w:proofErr w:type="spellEnd"/>
      <w:r w:rsidRPr="00965C71">
        <w:rPr>
          <w:lang w:val="es-ES"/>
        </w:rPr>
        <w:t xml:space="preserve">. Para superponer un sistema CDMA2000 </w:t>
      </w:r>
      <w:r>
        <w:rPr>
          <w:lang w:val="es-ES"/>
        </w:rPr>
        <w:t>a</w:t>
      </w:r>
      <w:r w:rsidRPr="00965C71">
        <w:rPr>
          <w:lang w:val="es-ES"/>
        </w:rPr>
        <w:t xml:space="preserve"> un sistema </w:t>
      </w:r>
      <w:proofErr w:type="spellStart"/>
      <w:r w:rsidRPr="00965C71">
        <w:rPr>
          <w:lang w:val="es-ES"/>
        </w:rPr>
        <w:t>cdmaOne</w:t>
      </w:r>
      <w:proofErr w:type="spellEnd"/>
      <w:r w:rsidRPr="00965C71">
        <w:rPr>
          <w:lang w:val="es-ES"/>
        </w:rPr>
        <w:t xml:space="preserve">, lo único que debe hacer </w:t>
      </w:r>
      <w:r>
        <w:rPr>
          <w:lang w:val="es-ES"/>
        </w:rPr>
        <w:t>el</w:t>
      </w:r>
      <w:r w:rsidRPr="00965C71">
        <w:rPr>
          <w:lang w:val="es-ES"/>
        </w:rPr>
        <w:t xml:space="preserve"> operador es </w:t>
      </w:r>
      <w:r>
        <w:rPr>
          <w:lang w:val="es-ES"/>
        </w:rPr>
        <w:t>actualizar</w:t>
      </w:r>
      <w:r w:rsidRPr="00965C71">
        <w:rPr>
          <w:lang w:val="es-ES"/>
        </w:rPr>
        <w:t xml:space="preserve"> el soporte lógico </w:t>
      </w:r>
      <w:r>
        <w:rPr>
          <w:lang w:val="es-ES"/>
        </w:rPr>
        <w:t>del</w:t>
      </w:r>
      <w:r w:rsidRPr="00965C71">
        <w:rPr>
          <w:lang w:val="es-ES"/>
        </w:rPr>
        <w:t xml:space="preserve"> controlador de la estación de base y </w:t>
      </w:r>
      <w:r>
        <w:rPr>
          <w:lang w:val="es-ES"/>
        </w:rPr>
        <w:t>de</w:t>
      </w:r>
      <w:r w:rsidRPr="00965C71">
        <w:rPr>
          <w:lang w:val="es-ES"/>
        </w:rPr>
        <w:t xml:space="preserve">l centro de conmutación móvil, añadir nuevas tarjetas de canal y programas informáticos en la estación de base, y un nodo de soporte de datos en paquetes. En la Figura 9.6.1 puede verse el trayecto de evolución de </w:t>
      </w:r>
      <w:proofErr w:type="spellStart"/>
      <w:r w:rsidRPr="00965C71">
        <w:rPr>
          <w:lang w:val="es-ES"/>
        </w:rPr>
        <w:t>cdmaOne</w:t>
      </w:r>
      <w:proofErr w:type="spellEnd"/>
      <w:r w:rsidRPr="00965C71">
        <w:rPr>
          <w:lang w:val="es-ES"/>
        </w:rPr>
        <w:t xml:space="preserve"> hacia CDMA2000.</w:t>
      </w:r>
    </w:p>
    <w:p w:rsidR="001D58F3" w:rsidRPr="00965C71" w:rsidRDefault="001D58F3" w:rsidP="001D58F3">
      <w:pPr>
        <w:rPr>
          <w:lang w:val="es-ES_tradnl"/>
        </w:rPr>
      </w:pPr>
      <w:r w:rsidRPr="00965C71">
        <w:rPr>
          <w:lang w:val="es-ES_tradnl"/>
        </w:rPr>
        <w:t xml:space="preserve">Los operadores </w:t>
      </w:r>
      <w:proofErr w:type="spellStart"/>
      <w:r w:rsidRPr="00965C71">
        <w:rPr>
          <w:lang w:val="es-ES_tradnl"/>
        </w:rPr>
        <w:t>cdmaOne</w:t>
      </w:r>
      <w:proofErr w:type="spellEnd"/>
      <w:r w:rsidRPr="00965C71">
        <w:rPr>
          <w:lang w:val="es-ES_tradnl"/>
        </w:rPr>
        <w:t xml:space="preserve"> pueden doblar prácticamente la capacidad vocal de sus redes, </w:t>
      </w:r>
      <w:r>
        <w:rPr>
          <w:lang w:val="es-ES_tradnl"/>
        </w:rPr>
        <w:t>si evolucionan</w:t>
      </w:r>
      <w:r w:rsidRPr="00965C71">
        <w:rPr>
          <w:lang w:val="es-ES_tradnl"/>
        </w:rPr>
        <w:t xml:space="preserve"> hacia CDMA2000. CDMA2000 1X soporta entre 33 y 40 llamadas vocales simultáneas por sector en un solo canal FDD de 1,25 </w:t>
      </w:r>
      <w:proofErr w:type="spellStart"/>
      <w:r w:rsidRPr="00965C71">
        <w:rPr>
          <w:lang w:val="es-ES_tradnl"/>
        </w:rPr>
        <w:t>MHz.</w:t>
      </w:r>
      <w:proofErr w:type="spellEnd"/>
      <w:r w:rsidRPr="00965C71">
        <w:rPr>
          <w:lang w:val="es-ES_tradnl"/>
        </w:rPr>
        <w:t xml:space="preserve"> Gracias a un nuevo códec (EVRC</w:t>
      </w:r>
      <w:r>
        <w:rPr>
          <w:lang w:val="es-ES_tradnl"/>
        </w:rPr>
        <w:t>-B</w:t>
      </w:r>
      <w:r w:rsidRPr="00965C71">
        <w:rPr>
          <w:lang w:val="es-ES_tradnl"/>
        </w:rPr>
        <w:t>) y</w:t>
      </w:r>
      <w:r>
        <w:rPr>
          <w:lang w:val="es-ES_tradnl"/>
        </w:rPr>
        <w:t xml:space="preserve"> a</w:t>
      </w:r>
      <w:r w:rsidRPr="00965C71">
        <w:rPr>
          <w:lang w:val="es-ES_tradnl"/>
        </w:rPr>
        <w:t xml:space="preserve"> un sistema de </w:t>
      </w:r>
      <w:r>
        <w:rPr>
          <w:lang w:val="es-ES_tradnl"/>
        </w:rPr>
        <w:t>compensación</w:t>
      </w:r>
      <w:r w:rsidRPr="00965C71">
        <w:rPr>
          <w:lang w:val="es-ES_tradnl"/>
        </w:rPr>
        <w:t xml:space="preserve"> de interferencias en el </w:t>
      </w:r>
      <w:proofErr w:type="spellStart"/>
      <w:r w:rsidRPr="00965C71">
        <w:rPr>
          <w:lang w:val="es-ES_tradnl"/>
        </w:rPr>
        <w:t>microteléfono</w:t>
      </w:r>
      <w:proofErr w:type="spellEnd"/>
      <w:r w:rsidRPr="00965C71">
        <w:rPr>
          <w:lang w:val="es-ES_tradnl"/>
        </w:rPr>
        <w:t xml:space="preserve">, puede manejar hasta 55 llamadas vocales. Las mejoras introducidas por 1X y 1X avanzado potenciarán aún más la capacidad 2.3 x gracias a la utilización del nuevo códec EVRC-B y a la introducción del mecanismo de </w:t>
      </w:r>
      <w:r>
        <w:rPr>
          <w:lang w:val="es-ES_tradnl"/>
        </w:rPr>
        <w:t>compensación</w:t>
      </w:r>
      <w:r w:rsidRPr="00965C71">
        <w:rPr>
          <w:lang w:val="es-ES_tradnl"/>
        </w:rPr>
        <w:t xml:space="preserve"> de interferencias en los enlaces ascendente y descendente, la </w:t>
      </w:r>
      <w:r w:rsidRPr="00965C71">
        <w:rPr>
          <w:lang w:val="es-ES_tradnl"/>
        </w:rPr>
        <w:lastRenderedPageBreak/>
        <w:t>diversidad de la recepción móvil, las funciones cuasi ortogonales (</w:t>
      </w:r>
      <w:proofErr w:type="spellStart"/>
      <w:r w:rsidRPr="00965C71">
        <w:rPr>
          <w:lang w:val="es-ES_tradnl"/>
        </w:rPr>
        <w:t>QoF</w:t>
      </w:r>
      <w:proofErr w:type="spellEnd"/>
      <w:r w:rsidRPr="00965C71">
        <w:rPr>
          <w:lang w:val="es-ES_tradnl"/>
        </w:rPr>
        <w:t>) y las mejoras en el radioenlace tales como la mejora del control de potencia, la terminación anticipada y la supresión inteligente. La superposición de CDMA2000 1xEV</w:t>
      </w:r>
      <w:r w:rsidRPr="00965C71">
        <w:rPr>
          <w:lang w:val="es-ES_tradnl"/>
        </w:rPr>
        <w:noBreakHyphen/>
        <w:t xml:space="preserve">DO ofrece un trayecto de evolución para velocidades de datos muy </w:t>
      </w:r>
      <w:r>
        <w:rPr>
          <w:lang w:val="es-ES_tradnl"/>
        </w:rPr>
        <w:t>altas</w:t>
      </w:r>
      <w:r w:rsidRPr="00965C71">
        <w:rPr>
          <w:lang w:val="es-ES_tradnl"/>
        </w:rPr>
        <w:t xml:space="preserve"> soportando</w:t>
      </w:r>
      <w:r>
        <w:rPr>
          <w:lang w:val="es-ES_tradnl"/>
        </w:rPr>
        <w:t xml:space="preserve"> el</w:t>
      </w:r>
      <w:r w:rsidRPr="00965C71">
        <w:rPr>
          <w:lang w:val="es-ES_tradnl"/>
        </w:rPr>
        <w:t xml:space="preserve"> acceso en banda ancha, servicios de mensajería multimedios (MMS) y vídeo de alta calidad. La evolución a CDMA2000 1xEV</w:t>
      </w:r>
      <w:r w:rsidRPr="00965C71">
        <w:rPr>
          <w:lang w:val="es-ES_tradnl"/>
        </w:rPr>
        <w:noBreakHyphen/>
        <w:t xml:space="preserve">DO ofrece un marco flexible para la entrega de </w:t>
      </w:r>
      <w:proofErr w:type="spellStart"/>
      <w:r w:rsidRPr="00965C71">
        <w:rPr>
          <w:lang w:val="es-ES_tradnl"/>
        </w:rPr>
        <w:t>QoS</w:t>
      </w:r>
      <w:proofErr w:type="spellEnd"/>
      <w:r w:rsidRPr="00965C71">
        <w:rPr>
          <w:lang w:val="es-ES_tradnl"/>
        </w:rPr>
        <w:t xml:space="preserve"> en servicios de datos gracias a una amplia gama de velocidades de datos y de tipos de paquetes. Los protocolos se han diseñado para ofrecer la funcionalidad de </w:t>
      </w:r>
      <w:r>
        <w:rPr>
          <w:lang w:val="es-ES_tradnl"/>
        </w:rPr>
        <w:t>transferencia virtual</w:t>
      </w:r>
      <w:r w:rsidRPr="00965C71">
        <w:rPr>
          <w:lang w:val="es-ES_tradnl"/>
        </w:rPr>
        <w:t xml:space="preserve"> sin solución de continuidad en una zona de servicio para los servicios de datos en paquetes así como el </w:t>
      </w:r>
      <w:proofErr w:type="spellStart"/>
      <w:r w:rsidRPr="00965C71">
        <w:rPr>
          <w:lang w:val="es-ES_tradnl"/>
        </w:rPr>
        <w:t>interfuncionamiento</w:t>
      </w:r>
      <w:proofErr w:type="spellEnd"/>
      <w:r w:rsidRPr="00965C71">
        <w:rPr>
          <w:lang w:val="es-ES_tradnl"/>
        </w:rPr>
        <w:t xml:space="preserve"> sin solución de continuidad con el enlace </w:t>
      </w:r>
      <w:r>
        <w:rPr>
          <w:lang w:val="es-ES_tradnl"/>
        </w:rPr>
        <w:t>aéreo</w:t>
      </w:r>
      <w:r w:rsidRPr="00965C71">
        <w:rPr>
          <w:lang w:val="es-ES_tradnl"/>
        </w:rPr>
        <w:t xml:space="preserve"> CDMA2000 1X. La inclusión de un canal de mensajería rápida mejora el tiempo de espera significativamente.</w:t>
      </w:r>
    </w:p>
    <w:p w:rsidR="00A061DF" w:rsidRPr="00A43C05" w:rsidRDefault="001D58F3" w:rsidP="001D58F3">
      <w:pPr>
        <w:rPr>
          <w:lang w:val="es-ES_tradnl"/>
        </w:rPr>
      </w:pPr>
      <w:r w:rsidRPr="00965C71">
        <w:rPr>
          <w:lang w:val="es-ES"/>
        </w:rPr>
        <w:t xml:space="preserve">La familia de tecnologías CDMA2000 permite pues una evolución </w:t>
      </w:r>
      <w:r>
        <w:rPr>
          <w:lang w:val="es-ES"/>
        </w:rPr>
        <w:t>paulatina</w:t>
      </w:r>
      <w:r w:rsidRPr="00965C71">
        <w:rPr>
          <w:lang w:val="es-ES"/>
        </w:rPr>
        <w:t xml:space="preserve"> de los sistemas </w:t>
      </w:r>
      <w:proofErr w:type="spellStart"/>
      <w:r w:rsidRPr="00965C71">
        <w:rPr>
          <w:lang w:val="es-ES"/>
        </w:rPr>
        <w:t>cdmaOne</w:t>
      </w:r>
      <w:proofErr w:type="spellEnd"/>
      <w:r w:rsidRPr="00965C71">
        <w:rPr>
          <w:lang w:val="es-ES"/>
        </w:rPr>
        <w:t xml:space="preserve"> a la</w:t>
      </w:r>
      <w:r>
        <w:rPr>
          <w:lang w:val="es-ES"/>
        </w:rPr>
        <w:t>s</w:t>
      </w:r>
      <w:r w:rsidRPr="00965C71">
        <w:rPr>
          <w:lang w:val="es-ES"/>
        </w:rPr>
        <w:t xml:space="preserve"> </w:t>
      </w:r>
      <w:r>
        <w:rPr>
          <w:lang w:val="es-ES"/>
        </w:rPr>
        <w:t xml:space="preserve">IMT-2000 con </w:t>
      </w:r>
      <w:proofErr w:type="spellStart"/>
      <w:r>
        <w:rPr>
          <w:lang w:val="es-ES"/>
        </w:rPr>
        <w:t>multiportadora</w:t>
      </w:r>
      <w:proofErr w:type="spellEnd"/>
      <w:r w:rsidRPr="00965C71">
        <w:rPr>
          <w:lang w:val="es-ES"/>
        </w:rPr>
        <w:t xml:space="preserve">, garantizándose así una mayor capacidad vocal para soportar un número más elevado de usuarios finales y </w:t>
      </w:r>
      <w:r>
        <w:rPr>
          <w:lang w:val="es-ES"/>
        </w:rPr>
        <w:t>altas velocidades</w:t>
      </w:r>
      <w:r w:rsidRPr="00965C71">
        <w:rPr>
          <w:lang w:val="es-ES"/>
        </w:rPr>
        <w:t xml:space="preserve"> de datos en paquetes, lo que hace posible, a su vez, contar con </w:t>
      </w:r>
      <w:r>
        <w:rPr>
          <w:lang w:val="es-ES"/>
        </w:rPr>
        <w:t>nuevas y mejores</w:t>
      </w:r>
      <w:r w:rsidRPr="00965C71">
        <w:rPr>
          <w:lang w:val="es-ES"/>
        </w:rPr>
        <w:t xml:space="preserve"> aplicaciones para soportar el entorno de servicios </w:t>
      </w:r>
      <w:r>
        <w:rPr>
          <w:lang w:val="es-ES"/>
        </w:rPr>
        <w:t xml:space="preserve">de las </w:t>
      </w:r>
      <w:r w:rsidRPr="00965C71">
        <w:rPr>
          <w:lang w:val="es-ES"/>
        </w:rPr>
        <w:t>IMT</w:t>
      </w:r>
      <w:r w:rsidRPr="00965C71">
        <w:rPr>
          <w:lang w:val="es-ES"/>
        </w:rPr>
        <w:noBreakHyphen/>
        <w:t xml:space="preserve">2000. </w:t>
      </w:r>
      <w:r w:rsidRPr="00965C71">
        <w:rPr>
          <w:lang w:val="es-ES_tradnl"/>
        </w:rPr>
        <w:t xml:space="preserve">CDMA2000 ofrece a los operadores CDMA la posibilidad de lanzar aplicaciones avanzadas comercialmente disponibles con rapidez y rentabilidad sin </w:t>
      </w:r>
      <w:r>
        <w:rPr>
          <w:lang w:val="es-ES_tradnl"/>
        </w:rPr>
        <w:t>interrumpir</w:t>
      </w:r>
      <w:r w:rsidRPr="00965C71">
        <w:rPr>
          <w:lang w:val="es-ES_tradnl"/>
        </w:rPr>
        <w:t xml:space="preserve"> los servicios prestados a sus </w:t>
      </w:r>
      <w:proofErr w:type="spellStart"/>
      <w:r w:rsidRPr="00965C71">
        <w:rPr>
          <w:lang w:val="es-ES_tradnl"/>
        </w:rPr>
        <w:t>abonados.</w:t>
      </w:r>
      <w:r w:rsidR="00A061DF" w:rsidRPr="00A43C05">
        <w:rPr>
          <w:lang w:val="es-ES_tradnl"/>
        </w:rPr>
        <w:t>quickly</w:t>
      </w:r>
      <w:proofErr w:type="spellEnd"/>
      <w:r w:rsidR="00A061DF" w:rsidRPr="00A43C05">
        <w:rPr>
          <w:lang w:val="es-ES_tradnl"/>
        </w:rPr>
        <w:t xml:space="preserve"> in a </w:t>
      </w:r>
      <w:proofErr w:type="spellStart"/>
      <w:r w:rsidR="00A061DF" w:rsidRPr="00A43C05">
        <w:rPr>
          <w:lang w:val="es-ES_tradnl"/>
        </w:rPr>
        <w:t>cost-effective</w:t>
      </w:r>
      <w:proofErr w:type="spellEnd"/>
      <w:r w:rsidR="00A061DF" w:rsidRPr="00A43C05">
        <w:rPr>
          <w:lang w:val="es-ES_tradnl"/>
        </w:rPr>
        <w:t xml:space="preserve"> </w:t>
      </w:r>
      <w:proofErr w:type="spellStart"/>
      <w:r w:rsidR="00A061DF" w:rsidRPr="00A43C05">
        <w:rPr>
          <w:lang w:val="es-ES_tradnl"/>
        </w:rPr>
        <w:t>manner</w:t>
      </w:r>
      <w:proofErr w:type="spellEnd"/>
      <w:r w:rsidR="00A061DF" w:rsidRPr="00A43C05">
        <w:rPr>
          <w:lang w:val="es-ES_tradnl"/>
        </w:rPr>
        <w:t xml:space="preserve"> </w:t>
      </w:r>
      <w:proofErr w:type="spellStart"/>
      <w:r w:rsidR="00A061DF" w:rsidRPr="00A43C05">
        <w:rPr>
          <w:lang w:val="es-ES_tradnl"/>
        </w:rPr>
        <w:t>without</w:t>
      </w:r>
      <w:proofErr w:type="spellEnd"/>
      <w:r w:rsidR="00A061DF" w:rsidRPr="00A43C05">
        <w:rPr>
          <w:lang w:val="es-ES_tradnl"/>
        </w:rPr>
        <w:t xml:space="preserve"> </w:t>
      </w:r>
      <w:proofErr w:type="spellStart"/>
      <w:r w:rsidR="00A061DF" w:rsidRPr="00A43C05">
        <w:rPr>
          <w:lang w:val="es-ES_tradnl"/>
        </w:rPr>
        <w:t>an</w:t>
      </w:r>
      <w:proofErr w:type="spellEnd"/>
      <w:r w:rsidR="00A061DF" w:rsidRPr="00A43C05">
        <w:rPr>
          <w:lang w:val="es-ES_tradnl"/>
        </w:rPr>
        <w:t xml:space="preserve"> </w:t>
      </w:r>
      <w:proofErr w:type="spellStart"/>
      <w:r w:rsidR="00A061DF" w:rsidRPr="00A43C05">
        <w:rPr>
          <w:lang w:val="es-ES_tradnl"/>
        </w:rPr>
        <w:t>interruption</w:t>
      </w:r>
      <w:proofErr w:type="spellEnd"/>
      <w:r w:rsidR="00A061DF" w:rsidRPr="00A43C05">
        <w:rPr>
          <w:lang w:val="es-ES_tradnl"/>
        </w:rPr>
        <w:t xml:space="preserve"> of </w:t>
      </w:r>
      <w:proofErr w:type="spellStart"/>
      <w:r w:rsidR="00A061DF" w:rsidRPr="00A43C05">
        <w:rPr>
          <w:lang w:val="es-ES_tradnl"/>
        </w:rPr>
        <w:t>services</w:t>
      </w:r>
      <w:proofErr w:type="spellEnd"/>
      <w:r w:rsidR="00A061DF" w:rsidRPr="00A43C05">
        <w:rPr>
          <w:lang w:val="es-ES_tradnl"/>
        </w:rPr>
        <w:t xml:space="preserve"> </w:t>
      </w:r>
      <w:proofErr w:type="spellStart"/>
      <w:r w:rsidR="00A061DF" w:rsidRPr="00A43C05">
        <w:rPr>
          <w:lang w:val="es-ES_tradnl"/>
        </w:rPr>
        <w:t>to</w:t>
      </w:r>
      <w:proofErr w:type="spellEnd"/>
      <w:r w:rsidR="00A061DF" w:rsidRPr="00A43C05">
        <w:rPr>
          <w:lang w:val="es-ES_tradnl"/>
        </w:rPr>
        <w:t xml:space="preserve"> </w:t>
      </w:r>
      <w:proofErr w:type="spellStart"/>
      <w:r w:rsidR="00A061DF" w:rsidRPr="00A43C05">
        <w:rPr>
          <w:lang w:val="es-ES_tradnl"/>
        </w:rPr>
        <w:t>their</w:t>
      </w:r>
      <w:proofErr w:type="spellEnd"/>
      <w:r w:rsidR="00A061DF" w:rsidRPr="00A43C05">
        <w:rPr>
          <w:lang w:val="es-ES_tradnl"/>
        </w:rPr>
        <w:t xml:space="preserve"> </w:t>
      </w:r>
      <w:proofErr w:type="spellStart"/>
      <w:r w:rsidR="00A061DF" w:rsidRPr="00A43C05">
        <w:rPr>
          <w:lang w:val="es-ES_tradnl"/>
        </w:rPr>
        <w:t>customers</w:t>
      </w:r>
      <w:proofErr w:type="spellEnd"/>
      <w:r w:rsidR="00A061DF" w:rsidRPr="00A43C05">
        <w:rPr>
          <w:lang w:val="es-ES_tradnl"/>
        </w:rPr>
        <w:t>.</w:t>
      </w:r>
    </w:p>
    <w:p w:rsidR="00A061DF" w:rsidRPr="00A43C05" w:rsidRDefault="00A061DF" w:rsidP="001D58F3">
      <w:pPr>
        <w:pStyle w:val="Heading2"/>
        <w:rPr>
          <w:lang w:val="es-ES_tradnl"/>
        </w:rPr>
      </w:pPr>
      <w:bookmarkStart w:id="431" w:name="_Toc236826245"/>
      <w:bookmarkStart w:id="432" w:name="_Toc255292550"/>
      <w:bookmarkStart w:id="433" w:name="_Toc259024255"/>
      <w:r w:rsidRPr="00A43C05">
        <w:rPr>
          <w:lang w:val="es-ES_tradnl"/>
        </w:rPr>
        <w:t>9.7</w:t>
      </w:r>
      <w:r w:rsidRPr="00A43C05">
        <w:rPr>
          <w:lang w:val="es-ES_tradnl"/>
        </w:rPr>
        <w:tab/>
      </w:r>
      <w:bookmarkEnd w:id="431"/>
      <w:bookmarkEnd w:id="432"/>
      <w:r w:rsidR="001D58F3" w:rsidRPr="001D58F3">
        <w:rPr>
          <w:lang w:val="es-ES_tradnl"/>
        </w:rPr>
        <w:t>Transición de los sistemas GSM</w:t>
      </w:r>
      <w:bookmarkEnd w:id="433"/>
    </w:p>
    <w:p w:rsidR="001D58F3" w:rsidRPr="00965C71" w:rsidRDefault="001D58F3" w:rsidP="001D58F3">
      <w:pPr>
        <w:rPr>
          <w:lang w:val="es-ES_tradnl"/>
        </w:rPr>
      </w:pPr>
      <w:r w:rsidRPr="00965C71">
        <w:rPr>
          <w:lang w:val="es-ES_tradnl"/>
        </w:rPr>
        <w:t xml:space="preserve">La industria GSM ha definido de manera lógica, estructurada y normalizada un trayecto </w:t>
      </w:r>
      <w:r>
        <w:rPr>
          <w:lang w:val="es-ES_tradnl"/>
        </w:rPr>
        <w:t>de transición</w:t>
      </w:r>
      <w:r w:rsidRPr="00965C71">
        <w:rPr>
          <w:lang w:val="es-ES_tradnl"/>
        </w:rPr>
        <w:t xml:space="preserve"> </w:t>
      </w:r>
      <w:r>
        <w:rPr>
          <w:lang w:val="es-ES_tradnl"/>
        </w:rPr>
        <w:t>hacia</w:t>
      </w:r>
      <w:r w:rsidRPr="00965C71">
        <w:rPr>
          <w:lang w:val="es-ES_tradnl"/>
        </w:rPr>
        <w:t xml:space="preserve"> las IMT</w:t>
      </w:r>
      <w:r w:rsidRPr="00965C71">
        <w:rPr>
          <w:lang w:val="es-ES_tradnl"/>
        </w:rPr>
        <w:noBreakHyphen/>
        <w:t xml:space="preserve">2000 que incluye la posibilidad de efectuarla </w:t>
      </w:r>
      <w:r>
        <w:rPr>
          <w:lang w:val="es-ES_tradnl"/>
        </w:rPr>
        <w:t>actualizando</w:t>
      </w:r>
      <w:r w:rsidRPr="00965C71">
        <w:rPr>
          <w:lang w:val="es-ES_tradnl"/>
        </w:rPr>
        <w:t xml:space="preserve"> GSM/GPRS/EDGE</w:t>
      </w:r>
      <w:r>
        <w:rPr>
          <w:lang w:val="es-ES_tradnl"/>
        </w:rPr>
        <w:t>,</w:t>
      </w:r>
      <w:r w:rsidRPr="00965C71">
        <w:rPr>
          <w:lang w:val="es-ES_tradnl"/>
        </w:rPr>
        <w:t xml:space="preserve"> introduciendo </w:t>
      </w:r>
      <w:r>
        <w:rPr>
          <w:lang w:val="es-ES_tradnl"/>
        </w:rPr>
        <w:t>CDMA IMT-2000 con ensanchamiento directo</w:t>
      </w:r>
      <w:r w:rsidRPr="00965C71">
        <w:rPr>
          <w:lang w:val="es-ES_tradnl"/>
        </w:rPr>
        <w:t xml:space="preserve">, o implementando ambos trayectos. Esta flexibilidad brinda a los operadores un conjunto excepcional de estrategias opcionales de despliegue para responder de manera óptima a sus necesidades en cuanto a redes </w:t>
      </w:r>
      <w:r>
        <w:rPr>
          <w:lang w:val="es-ES_tradnl"/>
        </w:rPr>
        <w:t>tradicionales</w:t>
      </w:r>
      <w:r w:rsidRPr="00965C71">
        <w:rPr>
          <w:lang w:val="es-ES_tradnl"/>
        </w:rPr>
        <w:t xml:space="preserve">, capacidad, disponibilidad de espectro y ritmo de </w:t>
      </w:r>
      <w:r>
        <w:rPr>
          <w:lang w:val="es-ES_tradnl"/>
        </w:rPr>
        <w:t>asimilación</w:t>
      </w:r>
      <w:r w:rsidRPr="00965C71">
        <w:rPr>
          <w:lang w:val="es-ES_tradnl"/>
        </w:rPr>
        <w:t xml:space="preserve"> de los nuevos servicios</w:t>
      </w:r>
      <w:r>
        <w:rPr>
          <w:lang w:val="es-ES_tradnl"/>
        </w:rPr>
        <w:t xml:space="preserve"> por parte del mercado</w:t>
      </w:r>
      <w:r w:rsidRPr="00965C71">
        <w:rPr>
          <w:lang w:val="es-ES_tradnl"/>
        </w:rPr>
        <w:t>.</w:t>
      </w:r>
    </w:p>
    <w:p w:rsidR="001D58F3" w:rsidRPr="00965C71" w:rsidRDefault="001D58F3" w:rsidP="001D58F3">
      <w:pPr>
        <w:rPr>
          <w:lang w:val="es-ES_tradnl"/>
        </w:rPr>
      </w:pPr>
      <w:r w:rsidRPr="00965C71">
        <w:rPr>
          <w:lang w:val="es-ES_tradnl"/>
        </w:rPr>
        <w:t xml:space="preserve">El sistema original GSM, que fue pensado para soportar servicios básicos vocales y de datos, consiste en una red básica de conmutación de circuitos que proporciona encaminamiento a las llamadas </w:t>
      </w:r>
      <w:r>
        <w:rPr>
          <w:lang w:val="es-ES_tradnl"/>
        </w:rPr>
        <w:t>a</w:t>
      </w:r>
      <w:r w:rsidRPr="00965C71">
        <w:rPr>
          <w:lang w:val="es-ES_tradnl"/>
        </w:rPr>
        <w:t xml:space="preserve"> los abonados móviles</w:t>
      </w:r>
      <w:r>
        <w:rPr>
          <w:lang w:val="es-ES_tradnl"/>
        </w:rPr>
        <w:t>,</w:t>
      </w:r>
      <w:r w:rsidRPr="00965C71">
        <w:rPr>
          <w:lang w:val="es-ES_tradnl"/>
        </w:rPr>
        <w:t xml:space="preserve"> el subsistema de estación de base para el acceso radioeléctrico y la estación móvil. Uno de los factores más importantes que explican el éxito de la tecnología GSM viene dado por las interfaces de norma abierta que ha permitido que todos los </w:t>
      </w:r>
      <w:r>
        <w:rPr>
          <w:lang w:val="es-ES_tradnl"/>
        </w:rPr>
        <w:t>fabricantes</w:t>
      </w:r>
      <w:r w:rsidRPr="00965C71">
        <w:rPr>
          <w:lang w:val="es-ES_tradnl"/>
        </w:rPr>
        <w:t xml:space="preserve"> puedan suministrar cualquier elemento de la red y que en todo el mundo los operadores despli</w:t>
      </w:r>
      <w:r>
        <w:rPr>
          <w:lang w:val="es-ES_tradnl"/>
        </w:rPr>
        <w:t xml:space="preserve">eguen los sistemas </w:t>
      </w:r>
      <w:proofErr w:type="spellStart"/>
      <w:r>
        <w:rPr>
          <w:lang w:val="es-ES_tradnl"/>
        </w:rPr>
        <w:t>multifabricante</w:t>
      </w:r>
      <w:proofErr w:type="spellEnd"/>
      <w:r w:rsidRPr="00965C71">
        <w:rPr>
          <w:lang w:val="es-ES_tradnl"/>
        </w:rPr>
        <w:t xml:space="preserve"> que hayan elegido.</w:t>
      </w:r>
    </w:p>
    <w:p w:rsidR="00A061DF" w:rsidRPr="00A43C05" w:rsidRDefault="001D58F3" w:rsidP="001D58F3">
      <w:pPr>
        <w:rPr>
          <w:lang w:val="es-ES_tradnl"/>
        </w:rPr>
      </w:pPr>
      <w:r w:rsidRPr="00965C71">
        <w:rPr>
          <w:lang w:val="es-ES_tradnl"/>
        </w:rPr>
        <w:t xml:space="preserve">Para mejorar las capacidades de datos de esta versión original de la tecnología GSM, puede añadirse el servicio general de radiocomunicaciones por paquetes (GPRS). Esto proporciona una conexión de alta velocidad </w:t>
      </w:r>
      <w:r w:rsidR="00030119">
        <w:rPr>
          <w:lang w:val="es-ES_tradnl"/>
        </w:rPr>
        <w:t>«</w:t>
      </w:r>
      <w:r w:rsidRPr="00965C71">
        <w:rPr>
          <w:lang w:val="es-ES_tradnl"/>
        </w:rPr>
        <w:t>siempre en funcionamiento</w:t>
      </w:r>
      <w:r w:rsidR="00030119">
        <w:rPr>
          <w:lang w:val="es-ES_tradnl"/>
        </w:rPr>
        <w:t>»</w:t>
      </w:r>
      <w:r w:rsidRPr="00965C71">
        <w:rPr>
          <w:lang w:val="es-ES_tradnl"/>
        </w:rPr>
        <w:t xml:space="preserve"> (hasta 171 </w:t>
      </w:r>
      <w:proofErr w:type="spellStart"/>
      <w:r w:rsidRPr="00965C71">
        <w:rPr>
          <w:lang w:val="es-ES_tradnl"/>
        </w:rPr>
        <w:t>kbit</w:t>
      </w:r>
      <w:proofErr w:type="spellEnd"/>
      <w:r w:rsidRPr="00965C71">
        <w:rPr>
          <w:lang w:val="es-ES_tradnl"/>
        </w:rPr>
        <w:t xml:space="preserve">/s) </w:t>
      </w:r>
      <w:r>
        <w:rPr>
          <w:lang w:val="es-ES_tradnl"/>
        </w:rPr>
        <w:t>con</w:t>
      </w:r>
      <w:r w:rsidRPr="00965C71">
        <w:rPr>
          <w:lang w:val="es-ES_tradnl"/>
        </w:rPr>
        <w:t xml:space="preserve"> las redes de datos en paquetes, que se adecuan al tráfico </w:t>
      </w:r>
      <w:r>
        <w:rPr>
          <w:lang w:val="es-ES_tradnl"/>
        </w:rPr>
        <w:t>en</w:t>
      </w:r>
      <w:r w:rsidRPr="00965C71">
        <w:rPr>
          <w:lang w:val="es-ES_tradnl"/>
        </w:rPr>
        <w:t xml:space="preserve"> ráfagas, por ejemplo el </w:t>
      </w:r>
      <w:r>
        <w:rPr>
          <w:lang w:val="es-ES_tradnl"/>
        </w:rPr>
        <w:t>de</w:t>
      </w:r>
      <w:r w:rsidRPr="00965C71">
        <w:rPr>
          <w:lang w:val="es-ES_tradnl"/>
        </w:rPr>
        <w:t xml:space="preserve"> Internet y la </w:t>
      </w:r>
      <w:proofErr w:type="spellStart"/>
      <w:r w:rsidRPr="00965C71">
        <w:rPr>
          <w:lang w:val="es-ES_tradnl"/>
        </w:rPr>
        <w:t>World</w:t>
      </w:r>
      <w:proofErr w:type="spellEnd"/>
      <w:r w:rsidRPr="00965C71">
        <w:rPr>
          <w:lang w:val="es-ES_tradnl"/>
        </w:rPr>
        <w:t xml:space="preserve"> </w:t>
      </w:r>
      <w:proofErr w:type="spellStart"/>
      <w:r w:rsidRPr="00965C71">
        <w:rPr>
          <w:lang w:val="es-ES_tradnl"/>
        </w:rPr>
        <w:t>Wide</w:t>
      </w:r>
      <w:proofErr w:type="spellEnd"/>
      <w:r w:rsidRPr="00965C71">
        <w:rPr>
          <w:lang w:val="es-ES_tradnl"/>
        </w:rPr>
        <w:t xml:space="preserve"> Web, sea directamente o a través de portarles de operador. Como con GPRS la red básica queda mejorada, es posible pasar al dominio de la conmutación de paquetes, añadiendo nuevos elementos de red conectados </w:t>
      </w:r>
      <w:r>
        <w:rPr>
          <w:lang w:val="es-ES_tradnl"/>
        </w:rPr>
        <w:t>por</w:t>
      </w:r>
      <w:r w:rsidRPr="00965C71">
        <w:rPr>
          <w:lang w:val="es-ES_tradnl"/>
        </w:rPr>
        <w:t xml:space="preserve"> IP. Esta </w:t>
      </w:r>
      <w:r>
        <w:rPr>
          <w:lang w:val="es-ES_tradnl"/>
        </w:rPr>
        <w:t>ampliación</w:t>
      </w:r>
      <w:r w:rsidRPr="00965C71">
        <w:rPr>
          <w:lang w:val="es-ES_tradnl"/>
        </w:rPr>
        <w:t xml:space="preserve"> de la red básica sienta las bases para desplegar una red básica común </w:t>
      </w:r>
      <w:r>
        <w:rPr>
          <w:lang w:val="es-ES_tradnl"/>
        </w:rPr>
        <w:t>tanto para</w:t>
      </w:r>
      <w:r w:rsidRPr="00965C71">
        <w:rPr>
          <w:lang w:val="es-ES_tradnl"/>
        </w:rPr>
        <w:t xml:space="preserve"> </w:t>
      </w:r>
      <w:r>
        <w:rPr>
          <w:lang w:val="es-ES_tradnl"/>
        </w:rPr>
        <w:t>TDMA IMT-2000 de portadora única</w:t>
      </w:r>
      <w:r w:rsidRPr="00965C71">
        <w:rPr>
          <w:lang w:val="es-ES_tradnl"/>
        </w:rPr>
        <w:t xml:space="preserve"> </w:t>
      </w:r>
      <w:r>
        <w:rPr>
          <w:lang w:val="es-ES_tradnl"/>
        </w:rPr>
        <w:t>como para CDMA IMT-2000 con ensanchamiento directo</w:t>
      </w:r>
      <w:r w:rsidRPr="00965C71">
        <w:rPr>
          <w:lang w:val="es-ES_tradnl"/>
        </w:rPr>
        <w:t>.</w:t>
      </w:r>
    </w:p>
    <w:p w:rsidR="00A061DF" w:rsidRPr="00A43C05" w:rsidRDefault="00A061DF" w:rsidP="001D58F3">
      <w:pPr>
        <w:pStyle w:val="Heading3"/>
        <w:rPr>
          <w:lang w:val="es-ES_tradnl"/>
        </w:rPr>
      </w:pPr>
      <w:bookmarkStart w:id="434" w:name="_Toc44438566"/>
      <w:bookmarkStart w:id="435" w:name="_Toc44446781"/>
      <w:bookmarkStart w:id="436" w:name="_Toc53323432"/>
      <w:bookmarkStart w:id="437" w:name="_Toc63611640"/>
      <w:bookmarkStart w:id="438" w:name="_Toc89083714"/>
      <w:bookmarkStart w:id="439" w:name="_Toc92878223"/>
      <w:bookmarkStart w:id="440" w:name="_Toc101931285"/>
      <w:bookmarkStart w:id="441" w:name="_Toc103399304"/>
      <w:bookmarkStart w:id="442" w:name="_Toc103400382"/>
      <w:bookmarkStart w:id="443" w:name="_Toc103400846"/>
      <w:bookmarkStart w:id="444" w:name="_Toc103401310"/>
      <w:bookmarkStart w:id="445" w:name="_Toc103401775"/>
      <w:bookmarkStart w:id="446" w:name="_Toc103402241"/>
      <w:bookmarkStart w:id="447" w:name="_Toc103402706"/>
      <w:bookmarkStart w:id="448" w:name="_Toc103403471"/>
      <w:bookmarkStart w:id="449" w:name="_Toc103421241"/>
      <w:bookmarkStart w:id="450" w:name="_Toc103528415"/>
      <w:bookmarkStart w:id="451" w:name="_Toc236826246"/>
      <w:bookmarkStart w:id="452" w:name="_Toc255292551"/>
      <w:bookmarkStart w:id="453" w:name="_Toc259024256"/>
      <w:r w:rsidRPr="00A43C05">
        <w:rPr>
          <w:lang w:val="es-ES_tradnl"/>
        </w:rPr>
        <w:t>9.7.1</w:t>
      </w:r>
      <w:r w:rsidRPr="00A43C05">
        <w:rPr>
          <w:lang w:val="es-ES_tradnl"/>
        </w:rPr>
        <w:tab/>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001D58F3" w:rsidRPr="001D58F3">
        <w:rPr>
          <w:lang w:val="es-ES_tradnl"/>
        </w:rPr>
        <w:t>Transición a CDMA IMT</w:t>
      </w:r>
      <w:r w:rsidR="001D58F3" w:rsidRPr="001D58F3">
        <w:rPr>
          <w:lang w:val="es-ES_tradnl"/>
        </w:rPr>
        <w:noBreakHyphen/>
        <w:t>2000 con ensanchamiento directo</w:t>
      </w:r>
      <w:bookmarkEnd w:id="453"/>
    </w:p>
    <w:p w:rsidR="001D58F3" w:rsidRPr="00965C71" w:rsidRDefault="001D58F3" w:rsidP="001D58F3">
      <w:pPr>
        <w:rPr>
          <w:lang w:val="es-ES"/>
        </w:rPr>
      </w:pPr>
      <w:r w:rsidRPr="00965C71">
        <w:rPr>
          <w:lang w:val="es-ES"/>
        </w:rPr>
        <w:t xml:space="preserve">Los operadores GSM pueden optar por efectuar la transición de sus redes directamente a </w:t>
      </w:r>
      <w:r>
        <w:rPr>
          <w:lang w:val="es-ES"/>
        </w:rPr>
        <w:t>CDMA IMT-2000 con ensanchamiento directo</w:t>
      </w:r>
      <w:r w:rsidRPr="00965C71">
        <w:rPr>
          <w:lang w:val="es-ES"/>
        </w:rPr>
        <w:t xml:space="preserve">, así como a través de EDGE. El trayecto de GSM a </w:t>
      </w:r>
      <w:r>
        <w:rPr>
          <w:lang w:val="es-ES"/>
        </w:rPr>
        <w:t>CDMA IMT-2000 con ensanchamiento directo</w:t>
      </w:r>
      <w:r w:rsidRPr="00965C71">
        <w:rPr>
          <w:lang w:val="es-ES"/>
        </w:rPr>
        <w:t xml:space="preserve"> </w:t>
      </w:r>
      <w:r>
        <w:rPr>
          <w:lang w:val="es-ES"/>
        </w:rPr>
        <w:t>está perfectamente</w:t>
      </w:r>
      <w:r w:rsidRPr="00965C71">
        <w:rPr>
          <w:lang w:val="es-ES"/>
        </w:rPr>
        <w:t xml:space="preserve"> definido, y comienza con un sistema GPRS (y/o EDGE), para pasar luego </w:t>
      </w:r>
      <w:r>
        <w:rPr>
          <w:lang w:val="es-ES"/>
        </w:rPr>
        <w:t>a CDMA con</w:t>
      </w:r>
      <w:r w:rsidRPr="00965C71">
        <w:rPr>
          <w:lang w:val="es-ES"/>
        </w:rPr>
        <w:t xml:space="preserve"> ensanchamiento directo. GPRS constituye, lógicamente, un paso intermedio, ya que la red básica es la que se requiere para </w:t>
      </w:r>
      <w:r>
        <w:rPr>
          <w:lang w:val="es-ES"/>
        </w:rPr>
        <w:t>CDMA con ensanchamiento directo</w:t>
      </w:r>
      <w:r w:rsidRPr="00965C71">
        <w:rPr>
          <w:lang w:val="es-ES"/>
        </w:rPr>
        <w:t xml:space="preserve">. Es muy probable que los operadores que dispongan de nuevo espectro para </w:t>
      </w:r>
      <w:r>
        <w:rPr>
          <w:lang w:val="es-ES"/>
        </w:rPr>
        <w:t>CDMA con ensanchamiento directo</w:t>
      </w:r>
      <w:r w:rsidRPr="00965C71">
        <w:rPr>
          <w:lang w:val="es-ES"/>
        </w:rPr>
        <w:t xml:space="preserve"> </w:t>
      </w:r>
      <w:r>
        <w:rPr>
          <w:lang w:val="es-ES"/>
        </w:rPr>
        <w:t>y tengan la apremiante necesidad de</w:t>
      </w:r>
      <w:r w:rsidRPr="00965C71">
        <w:rPr>
          <w:lang w:val="es-ES"/>
        </w:rPr>
        <w:t xml:space="preserve"> capacidad adicional para prestar nuevos servicios, desplieguen WCDMA. La calidad d</w:t>
      </w:r>
      <w:r>
        <w:rPr>
          <w:lang w:val="es-ES"/>
        </w:rPr>
        <w:t>e CDMA con ensanchamiento directo</w:t>
      </w:r>
      <w:r w:rsidRPr="00965C71">
        <w:rPr>
          <w:lang w:val="es-ES"/>
        </w:rPr>
        <w:t xml:space="preserve"> en cuanto a la velocidad de datos mejorará con HSDPA </w:t>
      </w:r>
      <w:r>
        <w:rPr>
          <w:lang w:val="es-ES"/>
        </w:rPr>
        <w:t>(</w:t>
      </w:r>
      <w:r w:rsidRPr="00965C71">
        <w:rPr>
          <w:lang w:val="es-ES"/>
        </w:rPr>
        <w:t>acceso en paquetes de alta velo</w:t>
      </w:r>
      <w:r>
        <w:rPr>
          <w:lang w:val="es-ES"/>
        </w:rPr>
        <w:t>cidad en el enlace descendente</w:t>
      </w:r>
      <w:r w:rsidRPr="00965C71">
        <w:rPr>
          <w:lang w:val="es-ES"/>
        </w:rPr>
        <w:t xml:space="preserve">). Asimismo, estos operadores pueden optar por </w:t>
      </w:r>
      <w:r>
        <w:rPr>
          <w:lang w:val="es-ES"/>
        </w:rPr>
        <w:t>actualizar</w:t>
      </w:r>
      <w:r w:rsidRPr="00965C71">
        <w:rPr>
          <w:lang w:val="es-ES"/>
        </w:rPr>
        <w:t xml:space="preserve"> su equipo radioeléctrico GSM/GPRS</w:t>
      </w:r>
      <w:r>
        <w:rPr>
          <w:lang w:val="es-ES"/>
        </w:rPr>
        <w:t xml:space="preserve"> con EDGE como</w:t>
      </w:r>
      <w:r w:rsidRPr="00965C71">
        <w:rPr>
          <w:lang w:val="es-ES"/>
        </w:rPr>
        <w:t xml:space="preserve"> tecnología complementaria en </w:t>
      </w:r>
      <w:r>
        <w:rPr>
          <w:lang w:val="es-ES"/>
        </w:rPr>
        <w:t xml:space="preserve">las </w:t>
      </w:r>
      <w:r w:rsidRPr="00965C71">
        <w:rPr>
          <w:lang w:val="es-ES"/>
        </w:rPr>
        <w:t xml:space="preserve">zonas de </w:t>
      </w:r>
      <w:r>
        <w:rPr>
          <w:lang w:val="es-ES"/>
        </w:rPr>
        <w:t>menos tráfico</w:t>
      </w:r>
      <w:r w:rsidRPr="00965C71">
        <w:rPr>
          <w:lang w:val="es-ES"/>
        </w:rPr>
        <w:t>.</w:t>
      </w:r>
    </w:p>
    <w:p w:rsidR="001D58F3" w:rsidRPr="00965C71" w:rsidRDefault="001D58F3" w:rsidP="001D58F3">
      <w:pPr>
        <w:rPr>
          <w:lang w:val="es-ES"/>
        </w:rPr>
      </w:pPr>
      <w:r w:rsidRPr="00965C71">
        <w:rPr>
          <w:lang w:val="es-ES"/>
        </w:rPr>
        <w:lastRenderedPageBreak/>
        <w:t>Para los operadores GSM, los cuales representan la gran mayoría de los operadores pre</w:t>
      </w:r>
      <w:r w:rsidRPr="00965C71">
        <w:rPr>
          <w:lang w:val="es-ES"/>
        </w:rPr>
        <w:noBreakHyphen/>
        <w:t>IMT</w:t>
      </w:r>
      <w:r w:rsidRPr="00965C71">
        <w:rPr>
          <w:lang w:val="es-ES"/>
        </w:rPr>
        <w:noBreakHyphen/>
        <w:t xml:space="preserve">2000 de los países en desarrollo, el trayecto más adecuado, conveniente y </w:t>
      </w:r>
      <w:r>
        <w:rPr>
          <w:lang w:val="es-ES"/>
        </w:rPr>
        <w:t>de más futuro</w:t>
      </w:r>
      <w:r w:rsidRPr="00965C71">
        <w:rPr>
          <w:lang w:val="es-ES"/>
        </w:rPr>
        <w:t xml:space="preserve"> hacia las IMT</w:t>
      </w:r>
      <w:r w:rsidRPr="00965C71">
        <w:rPr>
          <w:lang w:val="es-ES"/>
        </w:rPr>
        <w:noBreakHyphen/>
        <w:t xml:space="preserve">2000 es la evolución a GERAN y </w:t>
      </w:r>
      <w:r>
        <w:rPr>
          <w:lang w:val="es-ES"/>
        </w:rPr>
        <w:t>la mejora del acceso radioeléctrico con</w:t>
      </w:r>
      <w:r w:rsidRPr="00965C71">
        <w:rPr>
          <w:lang w:val="es-ES"/>
        </w:rPr>
        <w:t xml:space="preserve"> UTRAN. Hay que señalar, que GERAN y UTRAN </w:t>
      </w:r>
      <w:r>
        <w:rPr>
          <w:lang w:val="es-ES"/>
        </w:rPr>
        <w:t>están armonizadas</w:t>
      </w:r>
      <w:r w:rsidRPr="00965C71">
        <w:rPr>
          <w:lang w:val="es-ES"/>
        </w:rPr>
        <w:t xml:space="preserve"> para </w:t>
      </w:r>
      <w:r>
        <w:rPr>
          <w:lang w:val="es-ES"/>
        </w:rPr>
        <w:t>prestar el</w:t>
      </w:r>
      <w:r w:rsidRPr="00965C71">
        <w:rPr>
          <w:lang w:val="es-ES"/>
        </w:rPr>
        <w:t xml:space="preserve"> servicio </w:t>
      </w:r>
      <w:r>
        <w:rPr>
          <w:lang w:val="es-ES"/>
        </w:rPr>
        <w:t>con transparencia. Esto</w:t>
      </w:r>
      <w:r w:rsidRPr="00965C71">
        <w:rPr>
          <w:lang w:val="es-ES"/>
        </w:rPr>
        <w:t xml:space="preserve"> </w:t>
      </w:r>
      <w:r>
        <w:rPr>
          <w:lang w:val="es-ES"/>
        </w:rPr>
        <w:t>hace posible prestar el servicio sin solución de continuidad al utilizar</w:t>
      </w:r>
      <w:r w:rsidRPr="00965C71">
        <w:rPr>
          <w:lang w:val="es-ES"/>
        </w:rPr>
        <w:t xml:space="preserve"> la misma red básica, procedimientos de transferencia normalizados, etc. La evolución del sistema GSM a GERAN/UTRAN </w:t>
      </w:r>
      <w:r>
        <w:rPr>
          <w:lang w:val="es-ES"/>
        </w:rPr>
        <w:t>comprende</w:t>
      </w:r>
      <w:r w:rsidRPr="00965C71">
        <w:rPr>
          <w:lang w:val="es-ES"/>
        </w:rPr>
        <w:t xml:space="preserve"> la evolución de las redes básicas MAP y GPRS.</w:t>
      </w:r>
    </w:p>
    <w:p w:rsidR="001D58F3" w:rsidRPr="00965C71" w:rsidRDefault="001D58F3" w:rsidP="001D58F3">
      <w:pPr>
        <w:rPr>
          <w:lang w:val="es-ES"/>
        </w:rPr>
      </w:pPr>
      <w:r w:rsidRPr="00965C71">
        <w:rPr>
          <w:lang w:val="es-ES"/>
        </w:rPr>
        <w:t xml:space="preserve">Los sistemas </w:t>
      </w:r>
      <w:r>
        <w:rPr>
          <w:lang w:val="es-ES"/>
        </w:rPr>
        <w:t>CDMA IMT-2000 con ensanchamiento directo</w:t>
      </w:r>
      <w:r w:rsidRPr="00965C71">
        <w:rPr>
          <w:lang w:val="es-ES"/>
        </w:rPr>
        <w:t xml:space="preserve"> brindan ventajas de capacidad vocal, debido principalmente a las ventajas que ofrece la </w:t>
      </w:r>
      <w:proofErr w:type="spellStart"/>
      <w:r w:rsidRPr="00965C71">
        <w:rPr>
          <w:lang w:val="es-ES"/>
        </w:rPr>
        <w:t>promediación</w:t>
      </w:r>
      <w:proofErr w:type="spellEnd"/>
      <w:r w:rsidRPr="00965C71">
        <w:rPr>
          <w:lang w:val="es-ES"/>
        </w:rPr>
        <w:t xml:space="preserve"> de la interferencia </w:t>
      </w:r>
      <w:r>
        <w:rPr>
          <w:lang w:val="es-ES"/>
        </w:rPr>
        <w:t>facilitada por</w:t>
      </w:r>
      <w:r w:rsidRPr="00965C71">
        <w:rPr>
          <w:lang w:val="es-ES"/>
        </w:rPr>
        <w:t xml:space="preserve"> su tecnología de espectro ensanchado por división de</w:t>
      </w:r>
      <w:r>
        <w:rPr>
          <w:lang w:val="es-ES"/>
        </w:rPr>
        <w:t>l</w:t>
      </w:r>
      <w:r w:rsidRPr="00965C71">
        <w:rPr>
          <w:lang w:val="es-ES"/>
        </w:rPr>
        <w:t xml:space="preserve"> código, a lo que hay que añadir el estricto control de potencia que hace posible. Una mejora </w:t>
      </w:r>
      <w:r>
        <w:rPr>
          <w:lang w:val="es-ES"/>
        </w:rPr>
        <w:t>sobre el</w:t>
      </w:r>
      <w:r w:rsidRPr="00965C71">
        <w:rPr>
          <w:lang w:val="es-ES"/>
        </w:rPr>
        <w:t xml:space="preserve"> GPRS consiste en que los canales de control, que normalmente transportan datos de señalización, pueden transportar igualmente pequeñas cantidades de datos en paquetes, lo que reduce el tiempo de establecimiento de la comunicación de datos. Si bien </w:t>
      </w:r>
      <w:r>
        <w:rPr>
          <w:lang w:val="es-ES"/>
        </w:rPr>
        <w:t>CDMA con ensanchamiento directo</w:t>
      </w:r>
      <w:r w:rsidRPr="00965C71">
        <w:rPr>
          <w:lang w:val="es-ES"/>
        </w:rPr>
        <w:t xml:space="preserve"> no reemplazará necesa</w:t>
      </w:r>
      <w:r w:rsidRPr="00965C71">
        <w:rPr>
          <w:lang w:val="es-ES"/>
        </w:rPr>
        <w:softHyphen/>
        <w:t xml:space="preserve">riamente GPRS </w:t>
      </w:r>
      <w:r>
        <w:rPr>
          <w:lang w:val="es-ES"/>
        </w:rPr>
        <w:t>ni</w:t>
      </w:r>
      <w:r w:rsidRPr="00965C71">
        <w:rPr>
          <w:lang w:val="es-ES"/>
        </w:rPr>
        <w:t xml:space="preserve"> EDGE, coexistirá, de hecho, con dichos sistemas y puede desplegarse junto con éstos sobre una red básica común.</w:t>
      </w:r>
    </w:p>
    <w:p w:rsidR="001D58F3" w:rsidRPr="00965C71" w:rsidRDefault="001D58F3" w:rsidP="001D58F3">
      <w:pPr>
        <w:rPr>
          <w:lang w:val="es-ES"/>
        </w:rPr>
      </w:pPr>
      <w:r w:rsidRPr="00965C71">
        <w:rPr>
          <w:lang w:val="es-ES"/>
        </w:rPr>
        <w:t xml:space="preserve">Debido a su capacidad de salto de frecuencia, GSM puede considerarse como un sistema de espectro ensanchado basado en </w:t>
      </w:r>
      <w:r>
        <w:rPr>
          <w:lang w:val="es-ES"/>
        </w:rPr>
        <w:t xml:space="preserve">el </w:t>
      </w:r>
      <w:r w:rsidRPr="00965C71">
        <w:rPr>
          <w:lang w:val="es-ES"/>
        </w:rPr>
        <w:t>acceso múltiple por división en el tiempo (TDMA). El ensan</w:t>
      </w:r>
      <w:r w:rsidRPr="00965C71">
        <w:rPr>
          <w:lang w:val="es-ES"/>
        </w:rPr>
        <w:softHyphen/>
        <w:t>chamiento CDMA IMT</w:t>
      </w:r>
      <w:r w:rsidRPr="00965C71">
        <w:rPr>
          <w:lang w:val="es-ES"/>
        </w:rPr>
        <w:noBreakHyphen/>
        <w:t xml:space="preserve">2000 es un sistema de espectro ensanchado </w:t>
      </w:r>
      <w:r>
        <w:rPr>
          <w:lang w:val="es-ES"/>
        </w:rPr>
        <w:t>en secuencia directa</w:t>
      </w:r>
      <w:r w:rsidRPr="00965C71">
        <w:rPr>
          <w:lang w:val="es-ES"/>
        </w:rPr>
        <w:t xml:space="preserve">. Desde el punto de vista espectral, resulta más eficiente que GSM, ya que por ser un sistema de banda ancha ofrece una ventaja más, a saber, la posibilidad de </w:t>
      </w:r>
      <w:r>
        <w:rPr>
          <w:lang w:val="es-ES"/>
        </w:rPr>
        <w:t>traducir la disponibilidad de espectro en altas</w:t>
      </w:r>
      <w:r w:rsidRPr="00965C71">
        <w:rPr>
          <w:lang w:val="es-ES"/>
        </w:rPr>
        <w:t xml:space="preserve"> velocidades de datos. Esto redunda en </w:t>
      </w:r>
      <w:r>
        <w:rPr>
          <w:lang w:val="es-ES"/>
        </w:rPr>
        <w:t xml:space="preserve">la </w:t>
      </w:r>
      <w:r w:rsidRPr="00965C71">
        <w:rPr>
          <w:lang w:val="es-ES"/>
        </w:rPr>
        <w:t xml:space="preserve">flexibilidad a la hora de gestionar diferentes tipos de tráfico: vocal, datos en banda estrecha, datos en banda ancha, etc. En un sistema </w:t>
      </w:r>
      <w:r>
        <w:rPr>
          <w:lang w:val="es-ES"/>
        </w:rPr>
        <w:t>CDMA IMT-2000 con ensanchamiento directo</w:t>
      </w:r>
      <w:r w:rsidRPr="00965C71">
        <w:rPr>
          <w:lang w:val="es-ES"/>
        </w:rPr>
        <w:t xml:space="preserve"> los canales de datos pueden soportar un caudal máximo de datos de hasta 2,4</w:t>
      </w:r>
      <w:r>
        <w:rPr>
          <w:lang w:val="es-ES"/>
        </w:rPr>
        <w:t> </w:t>
      </w:r>
      <w:proofErr w:type="spellStart"/>
      <w:r w:rsidRPr="00965C71">
        <w:rPr>
          <w:lang w:val="es-ES"/>
        </w:rPr>
        <w:t>Mbit</w:t>
      </w:r>
      <w:proofErr w:type="spellEnd"/>
      <w:r w:rsidRPr="00965C71">
        <w:rPr>
          <w:lang w:val="es-ES"/>
        </w:rPr>
        <w:t>/s. Aunque el caudal de que se trate depen</w:t>
      </w:r>
      <w:r w:rsidRPr="00965C71">
        <w:rPr>
          <w:lang w:val="es-ES"/>
        </w:rPr>
        <w:softHyphen/>
        <w:t>derá del tamaño</w:t>
      </w:r>
      <w:r>
        <w:rPr>
          <w:lang w:val="es-ES"/>
        </w:rPr>
        <w:t xml:space="preserve"> de los canales que habilite</w:t>
      </w:r>
      <w:r w:rsidRPr="00965C71">
        <w:rPr>
          <w:lang w:val="es-ES"/>
        </w:rPr>
        <w:t xml:space="preserve"> el operador</w:t>
      </w:r>
      <w:r>
        <w:rPr>
          <w:lang w:val="es-ES"/>
        </w:rPr>
        <w:t xml:space="preserve"> y</w:t>
      </w:r>
      <w:r w:rsidRPr="00965C71">
        <w:rPr>
          <w:lang w:val="es-ES"/>
        </w:rPr>
        <w:t xml:space="preserve"> del número de usuarios activos en la red, </w:t>
      </w:r>
      <w:r>
        <w:rPr>
          <w:lang w:val="es-ES"/>
        </w:rPr>
        <w:t>éstos</w:t>
      </w:r>
      <w:r w:rsidRPr="00965C71">
        <w:rPr>
          <w:lang w:val="es-ES"/>
        </w:rPr>
        <w:t xml:space="preserve"> pueden esperar caudales de hasta 384 </w:t>
      </w:r>
      <w:proofErr w:type="spellStart"/>
      <w:r w:rsidRPr="00965C71">
        <w:rPr>
          <w:lang w:val="es-ES"/>
        </w:rPr>
        <w:t>kbit</w:t>
      </w:r>
      <w:proofErr w:type="spellEnd"/>
      <w:r w:rsidRPr="00965C71">
        <w:rPr>
          <w:lang w:val="es-ES"/>
        </w:rPr>
        <w:t>/s.</w:t>
      </w:r>
    </w:p>
    <w:p w:rsidR="001D58F3" w:rsidRPr="00965C71" w:rsidRDefault="001D58F3" w:rsidP="001D58F3">
      <w:pPr>
        <w:rPr>
          <w:lang w:val="es-ES"/>
        </w:rPr>
      </w:pPr>
      <w:r w:rsidRPr="00965C71">
        <w:rPr>
          <w:lang w:val="es-ES"/>
        </w:rPr>
        <w:t xml:space="preserve">Los sistemas </w:t>
      </w:r>
      <w:r>
        <w:rPr>
          <w:lang w:val="es-ES"/>
        </w:rPr>
        <w:t>CDMA IMT-2000 con ensanchamiento directo</w:t>
      </w:r>
      <w:r w:rsidRPr="00965C71">
        <w:rPr>
          <w:lang w:val="es-ES"/>
        </w:rPr>
        <w:t xml:space="preserve"> </w:t>
      </w:r>
      <w:r>
        <w:rPr>
          <w:lang w:val="es-ES"/>
        </w:rPr>
        <w:t>cuentan con</w:t>
      </w:r>
      <w:r w:rsidRPr="00965C71">
        <w:rPr>
          <w:lang w:val="es-ES"/>
        </w:rPr>
        <w:t xml:space="preserve"> </w:t>
      </w:r>
      <w:r>
        <w:rPr>
          <w:lang w:val="es-ES"/>
        </w:rPr>
        <w:t>mejores</w:t>
      </w:r>
      <w:r w:rsidRPr="00965C71">
        <w:rPr>
          <w:lang w:val="es-ES"/>
        </w:rPr>
        <w:t xml:space="preserve"> tecnologías de acceso radioeléctrico basadas en WCDMA, </w:t>
      </w:r>
      <w:r>
        <w:rPr>
          <w:lang w:val="es-ES"/>
        </w:rPr>
        <w:t>y ofrecen</w:t>
      </w:r>
      <w:r w:rsidRPr="00965C71">
        <w:rPr>
          <w:lang w:val="es-ES"/>
        </w:rPr>
        <w:t xml:space="preserve"> velocidades binarias más elevadas (</w:t>
      </w:r>
      <w:r>
        <w:rPr>
          <w:lang w:val="es-ES"/>
        </w:rPr>
        <w:t xml:space="preserve">de </w:t>
      </w:r>
      <w:r w:rsidRPr="00965C71">
        <w:rPr>
          <w:lang w:val="es-ES"/>
        </w:rPr>
        <w:t>hasta 14,2 </w:t>
      </w:r>
      <w:proofErr w:type="spellStart"/>
      <w:r w:rsidRPr="00965C71">
        <w:rPr>
          <w:lang w:val="es-ES"/>
        </w:rPr>
        <w:t>Mbit</w:t>
      </w:r>
      <w:proofErr w:type="spellEnd"/>
      <w:r w:rsidRPr="00965C71">
        <w:rPr>
          <w:lang w:val="es-ES"/>
        </w:rPr>
        <w:t>/s).</w:t>
      </w:r>
    </w:p>
    <w:p w:rsidR="0063421C" w:rsidRPr="00A43C05" w:rsidRDefault="001D58F3" w:rsidP="001D58F3">
      <w:pPr>
        <w:rPr>
          <w:lang w:val="es-ES_tradnl"/>
        </w:rPr>
      </w:pPr>
      <w:r w:rsidRPr="00965C71">
        <w:rPr>
          <w:lang w:val="es-ES_tradnl"/>
        </w:rPr>
        <w:t>En el Cuadro 9.7.1 se resumen las ventajas de estas mejoras.</w:t>
      </w:r>
    </w:p>
    <w:p w:rsidR="000708C0" w:rsidRPr="00A43C05" w:rsidRDefault="000708C0" w:rsidP="0057194E">
      <w:pPr>
        <w:rPr>
          <w:lang w:val="es-ES_tradnl"/>
        </w:rPr>
      </w:pPr>
    </w:p>
    <w:p w:rsidR="000708C0" w:rsidRPr="00A43C05" w:rsidRDefault="001D58F3" w:rsidP="001D58F3">
      <w:pPr>
        <w:pStyle w:val="FigureTitle"/>
        <w:rPr>
          <w:rFonts w:asciiTheme="majorBidi" w:hAnsiTheme="majorBidi" w:cstheme="majorBidi"/>
          <w:lang w:val="es-ES_tradnl"/>
        </w:rPr>
      </w:pPr>
      <w:r w:rsidRPr="00A43C05">
        <w:rPr>
          <w:rFonts w:asciiTheme="majorBidi" w:hAnsiTheme="majorBidi" w:cstheme="majorBidi"/>
          <w:lang w:val="es-ES_tradnl"/>
        </w:rPr>
        <w:t xml:space="preserve">Cuadro </w:t>
      </w:r>
      <w:r w:rsidR="000708C0" w:rsidRPr="00A43C05">
        <w:rPr>
          <w:rFonts w:asciiTheme="majorBidi" w:hAnsiTheme="majorBidi" w:cstheme="majorBidi"/>
          <w:lang w:val="es-ES_tradnl"/>
        </w:rPr>
        <w:t xml:space="preserve">9.7.1: </w:t>
      </w:r>
      <w:r w:rsidRPr="001D58F3">
        <w:rPr>
          <w:rFonts w:asciiTheme="majorBidi" w:hAnsiTheme="majorBidi" w:cstheme="majorBidi"/>
          <w:lang w:val="es-ES_tradnl"/>
        </w:rPr>
        <w:t>Ventajas resultantes de la elección de determinadas tecnologías en el proceso</w:t>
      </w:r>
      <w:r>
        <w:rPr>
          <w:rFonts w:asciiTheme="majorBidi" w:hAnsiTheme="majorBidi" w:cstheme="majorBidi"/>
          <w:lang w:val="es-ES_tradnl"/>
        </w:rPr>
        <w:t xml:space="preserve"> </w:t>
      </w:r>
      <w:r w:rsidRPr="001D58F3">
        <w:rPr>
          <w:rFonts w:asciiTheme="majorBidi" w:hAnsiTheme="majorBidi" w:cstheme="majorBidi"/>
          <w:lang w:val="es-ES_tradnl"/>
        </w:rPr>
        <w:t>de transición hacia CDMA IMT-2000 con ensanchamiento directo</w:t>
      </w:r>
    </w:p>
    <w:p w:rsidR="00B84B23" w:rsidRPr="00A43C05" w:rsidRDefault="00B84B23" w:rsidP="00B84B23">
      <w:pPr>
        <w:spacing w:before="0"/>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5"/>
        <w:gridCol w:w="6072"/>
      </w:tblGrid>
      <w:tr w:rsidR="00B84B23" w:rsidTr="00863244">
        <w:tc>
          <w:tcPr>
            <w:tcW w:w="2825" w:type="dxa"/>
          </w:tcPr>
          <w:p w:rsidR="00B84B23" w:rsidRDefault="001D58F3" w:rsidP="001D58F3">
            <w:pPr>
              <w:pStyle w:val="Tablehead"/>
              <w:framePr w:hSpace="181" w:wrap="around" w:vAnchor="text" w:hAnchor="margin" w:xAlign="center" w:y="1"/>
              <w:spacing w:before="100" w:after="100"/>
            </w:pPr>
            <w:r w:rsidRPr="001D58F3">
              <w:rPr>
                <w:bCs/>
                <w:lang w:val="es-ES_tradnl"/>
              </w:rPr>
              <w:t>Tecnología</w:t>
            </w:r>
          </w:p>
        </w:tc>
        <w:tc>
          <w:tcPr>
            <w:tcW w:w="6072" w:type="dxa"/>
          </w:tcPr>
          <w:p w:rsidR="00B84B23" w:rsidRDefault="001D58F3" w:rsidP="001D58F3">
            <w:pPr>
              <w:pStyle w:val="Tablehead"/>
              <w:framePr w:hSpace="181" w:wrap="around" w:vAnchor="text" w:hAnchor="margin" w:xAlign="center" w:y="1"/>
              <w:spacing w:before="100" w:after="100"/>
            </w:pPr>
            <w:r w:rsidRPr="001D58F3">
              <w:rPr>
                <w:bCs/>
                <w:lang w:val="es-ES_tradnl"/>
              </w:rPr>
              <w:t>Ventajas</w:t>
            </w:r>
          </w:p>
        </w:tc>
      </w:tr>
      <w:tr w:rsidR="00B84B23" w:rsidRPr="00A43C05" w:rsidTr="00863244">
        <w:tc>
          <w:tcPr>
            <w:tcW w:w="2825" w:type="dxa"/>
          </w:tcPr>
          <w:p w:rsidR="00B84B23" w:rsidRPr="00A43C05" w:rsidRDefault="001D58F3" w:rsidP="001D58F3">
            <w:pPr>
              <w:pStyle w:val="Tabletext"/>
              <w:framePr w:hSpace="181" w:wrap="around" w:vAnchor="text" w:hAnchor="margin" w:xAlign="center" w:y="1"/>
              <w:spacing w:beforeLines="40" w:afterLines="40"/>
              <w:jc w:val="left"/>
              <w:rPr>
                <w:szCs w:val="22"/>
                <w:lang w:val="es-ES_tradnl"/>
              </w:rPr>
            </w:pPr>
            <w:r w:rsidRPr="001D58F3">
              <w:rPr>
                <w:szCs w:val="22"/>
                <w:lang w:val="es-ES_tradnl"/>
              </w:rPr>
              <w:t>GSM/GPRS con esquemas de codificación 1 a 2</w:t>
            </w:r>
          </w:p>
        </w:tc>
        <w:tc>
          <w:tcPr>
            <w:tcW w:w="6072" w:type="dxa"/>
          </w:tcPr>
          <w:p w:rsidR="00B84B23" w:rsidRPr="00A43C05" w:rsidRDefault="001D58F3" w:rsidP="00F22F2F">
            <w:pPr>
              <w:pStyle w:val="Tabletext"/>
              <w:framePr w:hSpace="181" w:wrap="around" w:vAnchor="text" w:hAnchor="margin" w:xAlign="center" w:y="1"/>
              <w:spacing w:beforeLines="40" w:afterLines="40"/>
              <w:jc w:val="left"/>
              <w:rPr>
                <w:szCs w:val="22"/>
                <w:lang w:val="es-ES_tradnl"/>
              </w:rPr>
            </w:pPr>
            <w:r w:rsidRPr="001D58F3">
              <w:rPr>
                <w:szCs w:val="22"/>
                <w:lang w:val="es-ES_tradnl"/>
              </w:rPr>
              <w:t>El servicio de datos en paquetes IP se presta con caudales eficaces de hasta 40 </w:t>
            </w:r>
            <w:proofErr w:type="spellStart"/>
            <w:r w:rsidRPr="001D58F3">
              <w:rPr>
                <w:szCs w:val="22"/>
                <w:lang w:val="es-ES_tradnl"/>
              </w:rPr>
              <w:t>kbit</w:t>
            </w:r>
            <w:proofErr w:type="spellEnd"/>
            <w:r w:rsidRPr="001D58F3">
              <w:rPr>
                <w:szCs w:val="22"/>
                <w:lang w:val="es-ES_tradnl"/>
              </w:rPr>
              <w:t>/s para dispositivos de cuatro intervalos</w:t>
            </w:r>
          </w:p>
        </w:tc>
      </w:tr>
      <w:tr w:rsidR="00B84B23" w:rsidRPr="00A43C05" w:rsidTr="00863244">
        <w:tc>
          <w:tcPr>
            <w:tcW w:w="2825" w:type="dxa"/>
          </w:tcPr>
          <w:p w:rsidR="00B84B23" w:rsidRPr="00A43C05" w:rsidRDefault="001D58F3" w:rsidP="001D58F3">
            <w:pPr>
              <w:pStyle w:val="Tabletext"/>
              <w:framePr w:hSpace="181" w:wrap="around" w:vAnchor="text" w:hAnchor="margin" w:xAlign="center" w:y="1"/>
              <w:spacing w:beforeLines="40" w:afterLines="40"/>
              <w:jc w:val="left"/>
              <w:rPr>
                <w:szCs w:val="22"/>
                <w:lang w:val="es-ES_tradnl"/>
              </w:rPr>
            </w:pPr>
            <w:r w:rsidRPr="001D58F3">
              <w:rPr>
                <w:szCs w:val="22"/>
                <w:lang w:val="es-ES_tradnl"/>
              </w:rPr>
              <w:t>GSM/GPRS con esquemas de codificación 1 a 4</w:t>
            </w:r>
          </w:p>
        </w:tc>
        <w:tc>
          <w:tcPr>
            <w:tcW w:w="6072" w:type="dxa"/>
          </w:tcPr>
          <w:p w:rsidR="00B84B23" w:rsidRPr="00A43C05" w:rsidRDefault="001D58F3" w:rsidP="00F22F2F">
            <w:pPr>
              <w:pStyle w:val="Tabletext"/>
              <w:framePr w:hSpace="181" w:wrap="around" w:vAnchor="text" w:hAnchor="margin" w:xAlign="center" w:y="1"/>
              <w:spacing w:beforeLines="40" w:afterLines="40"/>
              <w:jc w:val="left"/>
              <w:rPr>
                <w:szCs w:val="22"/>
                <w:lang w:val="es-ES_tradnl"/>
              </w:rPr>
            </w:pPr>
            <w:r w:rsidRPr="001D58F3">
              <w:rPr>
                <w:szCs w:val="22"/>
                <w:lang w:val="es-ES_tradnl"/>
              </w:rPr>
              <w:t>Incluye una opción para que los operadores aumenten en un 33% las velocidades correspondientes al servicio GPRS</w:t>
            </w:r>
          </w:p>
        </w:tc>
      </w:tr>
      <w:tr w:rsidR="00B84B23" w:rsidRPr="00A43C05" w:rsidTr="00863244">
        <w:tc>
          <w:tcPr>
            <w:tcW w:w="2825" w:type="dxa"/>
          </w:tcPr>
          <w:p w:rsidR="00B84B23" w:rsidRPr="001D58F3" w:rsidRDefault="001D58F3" w:rsidP="001D58F3">
            <w:pPr>
              <w:pStyle w:val="Tabletext"/>
              <w:framePr w:hSpace="181" w:wrap="around" w:vAnchor="text" w:hAnchor="margin" w:xAlign="center" w:y="1"/>
              <w:spacing w:beforeLines="40" w:afterLines="40"/>
              <w:jc w:val="left"/>
              <w:rPr>
                <w:szCs w:val="22"/>
              </w:rPr>
            </w:pPr>
            <w:r w:rsidRPr="001D58F3">
              <w:rPr>
                <w:szCs w:val="22"/>
                <w:lang w:val="es-ES_tradnl"/>
              </w:rPr>
              <w:t>GSM/GPRS/EDGE</w:t>
            </w:r>
          </w:p>
        </w:tc>
        <w:tc>
          <w:tcPr>
            <w:tcW w:w="6072" w:type="dxa"/>
          </w:tcPr>
          <w:p w:rsidR="00B84B23" w:rsidRPr="00A43C05" w:rsidRDefault="001D58F3" w:rsidP="00F22F2F">
            <w:pPr>
              <w:pStyle w:val="Tabletext"/>
              <w:framePr w:hSpace="181" w:wrap="around" w:vAnchor="text" w:hAnchor="margin" w:xAlign="center" w:y="1"/>
              <w:spacing w:beforeLines="40" w:afterLines="40"/>
              <w:jc w:val="left"/>
              <w:rPr>
                <w:szCs w:val="22"/>
                <w:lang w:val="es-ES_tradnl"/>
              </w:rPr>
            </w:pPr>
            <w:r w:rsidRPr="001D58F3">
              <w:rPr>
                <w:szCs w:val="22"/>
                <w:lang w:val="es-ES_tradnl"/>
              </w:rPr>
              <w:t>La tecnología de tercera generación triplica las velocidades de datos GPRS y duplica la eficiencia espectral</w:t>
            </w:r>
          </w:p>
        </w:tc>
      </w:tr>
      <w:tr w:rsidR="00B84B23" w:rsidRPr="00A43C05" w:rsidTr="00863244">
        <w:tc>
          <w:tcPr>
            <w:tcW w:w="2825" w:type="dxa"/>
          </w:tcPr>
          <w:p w:rsidR="00B84B23" w:rsidRPr="00A43C05" w:rsidRDefault="001D58F3" w:rsidP="001D58F3">
            <w:pPr>
              <w:pStyle w:val="Tabletext"/>
              <w:framePr w:hSpace="181" w:wrap="around" w:vAnchor="text" w:hAnchor="margin" w:xAlign="center" w:y="1"/>
              <w:spacing w:beforeLines="40" w:afterLines="40"/>
              <w:jc w:val="left"/>
              <w:rPr>
                <w:szCs w:val="22"/>
                <w:lang w:val="es-ES_tradnl"/>
              </w:rPr>
            </w:pPr>
            <w:r w:rsidRPr="001D58F3">
              <w:rPr>
                <w:szCs w:val="22"/>
                <w:lang w:val="es-ES_tradnl"/>
              </w:rPr>
              <w:t>CDMA IMT-2000 con ensanchamiento directo</w:t>
            </w:r>
          </w:p>
        </w:tc>
        <w:tc>
          <w:tcPr>
            <w:tcW w:w="6072" w:type="dxa"/>
          </w:tcPr>
          <w:p w:rsidR="00B84B23" w:rsidRPr="00A43C05" w:rsidRDefault="001D58F3" w:rsidP="00F22F2F">
            <w:pPr>
              <w:pStyle w:val="Tabletext"/>
              <w:framePr w:hSpace="181" w:wrap="around" w:vAnchor="text" w:hAnchor="margin" w:xAlign="center" w:y="1"/>
              <w:spacing w:beforeLines="40" w:afterLines="40"/>
              <w:jc w:val="left"/>
              <w:rPr>
                <w:szCs w:val="22"/>
                <w:lang w:val="es-ES_tradnl"/>
              </w:rPr>
            </w:pPr>
            <w:r w:rsidRPr="001D58F3">
              <w:rPr>
                <w:szCs w:val="22"/>
                <w:lang w:val="es-ES_tradnl"/>
              </w:rPr>
              <w:t xml:space="preserve">Soporta servicios flexibles e integrados de voz y datos a velocidades punta de 2 </w:t>
            </w:r>
            <w:proofErr w:type="spellStart"/>
            <w:r w:rsidRPr="001D58F3">
              <w:rPr>
                <w:szCs w:val="22"/>
                <w:lang w:val="es-ES_tradnl"/>
              </w:rPr>
              <w:t>Mbit</w:t>
            </w:r>
            <w:proofErr w:type="spellEnd"/>
            <w:r w:rsidRPr="001D58F3">
              <w:rPr>
                <w:szCs w:val="22"/>
                <w:lang w:val="es-ES_tradnl"/>
              </w:rPr>
              <w:t>/s</w:t>
            </w:r>
          </w:p>
        </w:tc>
      </w:tr>
      <w:tr w:rsidR="00B84B23" w:rsidRPr="00A43C05" w:rsidTr="00863244">
        <w:tc>
          <w:tcPr>
            <w:tcW w:w="2825" w:type="dxa"/>
          </w:tcPr>
          <w:p w:rsidR="00B84B23" w:rsidRPr="001D58F3" w:rsidRDefault="001D58F3" w:rsidP="001D58F3">
            <w:pPr>
              <w:pStyle w:val="Tabletext"/>
              <w:framePr w:hSpace="181" w:wrap="around" w:vAnchor="text" w:hAnchor="margin" w:xAlign="center" w:y="1"/>
              <w:spacing w:beforeLines="40" w:afterLines="40"/>
              <w:jc w:val="left"/>
              <w:rPr>
                <w:szCs w:val="22"/>
              </w:rPr>
            </w:pPr>
            <w:r w:rsidRPr="001D58F3">
              <w:rPr>
                <w:szCs w:val="22"/>
                <w:lang w:val="es-ES_tradnl"/>
              </w:rPr>
              <w:t>HSDPA</w:t>
            </w:r>
          </w:p>
        </w:tc>
        <w:tc>
          <w:tcPr>
            <w:tcW w:w="6072" w:type="dxa"/>
          </w:tcPr>
          <w:p w:rsidR="001D58F3" w:rsidRPr="001D58F3" w:rsidRDefault="001D58F3" w:rsidP="00F22F2F">
            <w:pPr>
              <w:pStyle w:val="Tabletext"/>
              <w:framePr w:hSpace="181" w:wrap="around" w:vAnchor="text" w:hAnchor="margin" w:xAlign="center" w:y="1"/>
              <w:spacing w:beforeLines="40" w:afterLines="40"/>
              <w:jc w:val="left"/>
              <w:rPr>
                <w:szCs w:val="22"/>
                <w:lang w:val="es-ES_tradnl"/>
              </w:rPr>
            </w:pPr>
            <w:r w:rsidRPr="001D58F3">
              <w:rPr>
                <w:szCs w:val="22"/>
                <w:lang w:val="es-ES_tradnl"/>
              </w:rPr>
              <w:t>Una mejora de CDMA IMT-2000 con ensanchamiento directo, con total compatibilidad ascendente.</w:t>
            </w:r>
          </w:p>
          <w:p w:rsidR="00B84B23" w:rsidRPr="00A43C05" w:rsidRDefault="001D58F3" w:rsidP="00F22F2F">
            <w:pPr>
              <w:pStyle w:val="Tabletext"/>
              <w:framePr w:hSpace="181" w:wrap="around" w:vAnchor="text" w:hAnchor="margin" w:xAlign="center" w:y="1"/>
              <w:spacing w:beforeLines="40" w:afterLines="40"/>
              <w:jc w:val="left"/>
              <w:rPr>
                <w:szCs w:val="22"/>
                <w:lang w:val="es-ES_tradnl"/>
              </w:rPr>
            </w:pPr>
            <w:r w:rsidRPr="001D58F3">
              <w:rPr>
                <w:szCs w:val="22"/>
                <w:lang w:val="es-ES_tradnl"/>
              </w:rPr>
              <w:t xml:space="preserve">HSDPA ofrece velocidades de datos de cresta de 14,2 </w:t>
            </w:r>
            <w:proofErr w:type="spellStart"/>
            <w:r w:rsidRPr="001D58F3">
              <w:rPr>
                <w:szCs w:val="22"/>
                <w:lang w:val="es-ES_tradnl"/>
              </w:rPr>
              <w:t>Mbit</w:t>
            </w:r>
            <w:proofErr w:type="spellEnd"/>
            <w:r w:rsidRPr="001D58F3">
              <w:rPr>
                <w:szCs w:val="22"/>
                <w:lang w:val="es-ES_tradnl"/>
              </w:rPr>
              <w:t>/s</w:t>
            </w:r>
          </w:p>
        </w:tc>
      </w:tr>
    </w:tbl>
    <w:p w:rsidR="000708C0" w:rsidRPr="00A43C05" w:rsidRDefault="000708C0" w:rsidP="00863244">
      <w:pPr>
        <w:pStyle w:val="FigureSource"/>
        <w:keepNext w:val="0"/>
        <w:rPr>
          <w:lang w:val="es-ES_tradnl"/>
        </w:rPr>
      </w:pPr>
    </w:p>
    <w:p w:rsidR="00570C3A" w:rsidRPr="00A43C05" w:rsidRDefault="00570C3A" w:rsidP="00863244">
      <w:pPr>
        <w:pStyle w:val="Heading3"/>
        <w:keepNext w:val="0"/>
        <w:keepLines w:val="0"/>
        <w:rPr>
          <w:lang w:val="es-ES_tradnl"/>
        </w:rPr>
      </w:pPr>
      <w:bookmarkStart w:id="454" w:name="_Toc89083715"/>
      <w:bookmarkStart w:id="455" w:name="_Toc92878224"/>
      <w:bookmarkStart w:id="456" w:name="_Toc101931286"/>
      <w:bookmarkStart w:id="457" w:name="_Toc103399305"/>
      <w:bookmarkStart w:id="458" w:name="_Toc103400383"/>
      <w:bookmarkStart w:id="459" w:name="_Toc103400847"/>
      <w:bookmarkStart w:id="460" w:name="_Toc103401311"/>
      <w:bookmarkStart w:id="461" w:name="_Toc103401776"/>
      <w:bookmarkStart w:id="462" w:name="_Toc103402242"/>
      <w:bookmarkStart w:id="463" w:name="_Toc103402707"/>
      <w:bookmarkStart w:id="464" w:name="_Toc103403472"/>
      <w:bookmarkStart w:id="465" w:name="_Toc103421242"/>
      <w:bookmarkStart w:id="466" w:name="_Toc103528416"/>
      <w:bookmarkStart w:id="467" w:name="_Toc236826247"/>
      <w:bookmarkStart w:id="468" w:name="_Toc255292552"/>
      <w:bookmarkStart w:id="469" w:name="_Toc259024257"/>
      <w:r w:rsidRPr="00A43C05">
        <w:rPr>
          <w:lang w:val="es-ES_tradnl"/>
        </w:rPr>
        <w:lastRenderedPageBreak/>
        <w:t>9.7.2</w:t>
      </w:r>
      <w:r w:rsidRPr="00A43C05">
        <w:rPr>
          <w:lang w:val="es-ES_tradnl"/>
        </w:rPr>
        <w:tab/>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00F22F2F" w:rsidRPr="00F22F2F">
        <w:rPr>
          <w:lang w:val="es-ES"/>
        </w:rPr>
        <w:t>Transición a CDMA TDD IMT-2000 (codificación de tiempo)</w:t>
      </w:r>
      <w:bookmarkEnd w:id="469"/>
    </w:p>
    <w:p w:rsidR="00F22F2F" w:rsidRPr="00965C71" w:rsidRDefault="00F22F2F" w:rsidP="00F22F2F">
      <w:pPr>
        <w:rPr>
          <w:rFonts w:ascii="Times" w:hAnsi="Times"/>
          <w:lang w:val="es-ES"/>
        </w:rPr>
      </w:pPr>
      <w:r w:rsidRPr="00965C71">
        <w:rPr>
          <w:lang w:val="es-ES"/>
        </w:rPr>
        <w:t xml:space="preserve">Uno de los posibles trayectos de transición, </w:t>
      </w:r>
      <w:r>
        <w:rPr>
          <w:lang w:val="es-ES"/>
        </w:rPr>
        <w:t>en el que</w:t>
      </w:r>
      <w:r w:rsidRPr="00965C71">
        <w:rPr>
          <w:lang w:val="es-ES"/>
        </w:rPr>
        <w:t xml:space="preserve"> se reutiliza una red GSM</w:t>
      </w:r>
      <w:r w:rsidRPr="00A377FC">
        <w:rPr>
          <w:lang w:val="es-ES"/>
        </w:rPr>
        <w:t xml:space="preserve"> </w:t>
      </w:r>
      <w:r w:rsidRPr="00965C71">
        <w:rPr>
          <w:lang w:val="es-ES"/>
        </w:rPr>
        <w:t xml:space="preserve">existente, consiste </w:t>
      </w:r>
      <w:r>
        <w:rPr>
          <w:lang w:val="es-ES"/>
        </w:rPr>
        <w:t>es a través de</w:t>
      </w:r>
      <w:r w:rsidRPr="00965C71">
        <w:rPr>
          <w:lang w:val="es-ES"/>
        </w:rPr>
        <w:t xml:space="preserve"> </w:t>
      </w:r>
      <w:r>
        <w:rPr>
          <w:lang w:val="es-ES"/>
        </w:rPr>
        <w:t>CDMA TDD IMT-2000</w:t>
      </w:r>
      <w:r w:rsidRPr="00965C71">
        <w:rPr>
          <w:lang w:val="es-ES"/>
        </w:rPr>
        <w:t xml:space="preserve"> (codificación </w:t>
      </w:r>
      <w:r>
        <w:rPr>
          <w:lang w:val="es-ES"/>
        </w:rPr>
        <w:t>de tiempo</w:t>
      </w:r>
      <w:r w:rsidRPr="00965C71">
        <w:rPr>
          <w:lang w:val="es-ES"/>
        </w:rPr>
        <w:t>), esto es TD</w:t>
      </w:r>
      <w:r w:rsidRPr="00965C71">
        <w:rPr>
          <w:lang w:val="es-ES"/>
        </w:rPr>
        <w:noBreakHyphen/>
        <w:t>SCDMA. El proceso de dicha transición de GSM a TD</w:t>
      </w:r>
      <w:r w:rsidRPr="00965C71">
        <w:rPr>
          <w:lang w:val="es-ES"/>
        </w:rPr>
        <w:noBreakHyphen/>
        <w:t>SCDMA puede dividirse en dos fases de mejora gradual.</w:t>
      </w:r>
    </w:p>
    <w:p w:rsidR="00F22F2F" w:rsidRPr="00A9301F" w:rsidRDefault="00F22F2F" w:rsidP="00F22F2F">
      <w:pPr>
        <w:pStyle w:val="headingb0"/>
        <w:rPr>
          <w:lang w:val="es-ES"/>
        </w:rPr>
      </w:pPr>
      <w:bookmarkStart w:id="470" w:name="_Toc110411365"/>
      <w:r w:rsidRPr="00A9301F">
        <w:rPr>
          <w:lang w:val="es-ES"/>
        </w:rPr>
        <w:t>Fase 1</w:t>
      </w:r>
      <w:bookmarkEnd w:id="470"/>
    </w:p>
    <w:p w:rsidR="00F22F2F" w:rsidRPr="00965C71" w:rsidRDefault="00F22F2F" w:rsidP="00F22F2F">
      <w:pPr>
        <w:rPr>
          <w:lang w:val="es-ES"/>
        </w:rPr>
      </w:pPr>
      <w:r w:rsidRPr="00965C71">
        <w:rPr>
          <w:lang w:val="es-ES"/>
        </w:rPr>
        <w:t>TD-SCDMA constituye una opción de migración/transición de las redes existentes GSM/GPRS a las redes IMT</w:t>
      </w:r>
      <w:r w:rsidRPr="00965C71">
        <w:rPr>
          <w:lang w:val="es-ES"/>
        </w:rPr>
        <w:noBreakHyphen/>
        <w:t>2000. Un operador GSM/GPRS que no utilice grandes porciones de las bandas TDD disponibles (bandas TDD no apareadas) puede introducir la red de acceso radioeléctrico</w:t>
      </w:r>
      <w:r>
        <w:rPr>
          <w:lang w:val="es-ES"/>
        </w:rPr>
        <w:t xml:space="preserve"> (RAN) </w:t>
      </w:r>
      <w:r w:rsidRPr="00965C71">
        <w:rPr>
          <w:lang w:val="es-ES"/>
        </w:rPr>
        <w:t>TD</w:t>
      </w:r>
      <w:r w:rsidRPr="00965C71">
        <w:rPr>
          <w:lang w:val="es-ES"/>
        </w:rPr>
        <w:noBreakHyphen/>
        <w:t>SCDMA sin dejar por ello de utilizar la red básica GSM/GPRS existente.</w:t>
      </w:r>
    </w:p>
    <w:p w:rsidR="00570C3A" w:rsidRDefault="00F22F2F" w:rsidP="00F22F2F">
      <w:pPr>
        <w:rPr>
          <w:lang w:val="es-ES"/>
        </w:rPr>
      </w:pPr>
      <w:r w:rsidRPr="00965C71">
        <w:rPr>
          <w:lang w:val="es-ES"/>
        </w:rPr>
        <w:t xml:space="preserve">En primer lugar se </w:t>
      </w:r>
      <w:r>
        <w:rPr>
          <w:lang w:val="es-ES"/>
        </w:rPr>
        <w:t>actualiza</w:t>
      </w:r>
      <w:r w:rsidRPr="00965C71">
        <w:rPr>
          <w:lang w:val="es-ES"/>
        </w:rPr>
        <w:t xml:space="preserve"> el soporte lógico</w:t>
      </w:r>
      <w:r>
        <w:rPr>
          <w:lang w:val="es-ES"/>
        </w:rPr>
        <w:t xml:space="preserve"> del BSC</w:t>
      </w:r>
      <w:r w:rsidRPr="00965C71">
        <w:rPr>
          <w:lang w:val="es-ES"/>
        </w:rPr>
        <w:t xml:space="preserve"> GSM/GPRS para pasar</w:t>
      </w:r>
      <w:r>
        <w:rPr>
          <w:lang w:val="es-ES"/>
        </w:rPr>
        <w:t>lo</w:t>
      </w:r>
      <w:r w:rsidRPr="00965C71">
        <w:rPr>
          <w:lang w:val="es-ES"/>
        </w:rPr>
        <w:t xml:space="preserve"> a BSC+, que soporta el subsistema radioeléctrico TD-SCDMA. Acto seguido, las nuevas </w:t>
      </w:r>
      <w:r>
        <w:rPr>
          <w:lang w:val="es-ES"/>
        </w:rPr>
        <w:t>estaciones de base TD</w:t>
      </w:r>
      <w:r>
        <w:rPr>
          <w:lang w:val="es-ES"/>
        </w:rPr>
        <w:noBreakHyphen/>
        <w:t>SCDMA (</w:t>
      </w:r>
      <w:proofErr w:type="spellStart"/>
      <w:r>
        <w:rPr>
          <w:lang w:val="es-ES"/>
        </w:rPr>
        <w:t>Nodo_B</w:t>
      </w:r>
      <w:proofErr w:type="spellEnd"/>
      <w:r w:rsidRPr="00965C71">
        <w:rPr>
          <w:lang w:val="es-ES"/>
        </w:rPr>
        <w:t xml:space="preserve">) pueden conectarse al </w:t>
      </w:r>
      <w:r>
        <w:rPr>
          <w:lang w:val="es-ES"/>
        </w:rPr>
        <w:t>BSC</w:t>
      </w:r>
      <w:r w:rsidRPr="00965C71">
        <w:rPr>
          <w:lang w:val="es-ES"/>
        </w:rPr>
        <w:t xml:space="preserve"> GSM/GPRS </w:t>
      </w:r>
      <w:r>
        <w:rPr>
          <w:lang w:val="es-ES"/>
        </w:rPr>
        <w:t>actualizado</w:t>
      </w:r>
      <w:r w:rsidRPr="00965C71">
        <w:rPr>
          <w:lang w:val="es-ES"/>
        </w:rPr>
        <w:t xml:space="preserve">, para </w:t>
      </w:r>
      <w:r>
        <w:rPr>
          <w:lang w:val="es-ES"/>
        </w:rPr>
        <w:t>ofrecer</w:t>
      </w:r>
      <w:r w:rsidRPr="00965C71">
        <w:rPr>
          <w:lang w:val="es-ES"/>
        </w:rPr>
        <w:t xml:space="preserve"> un servicio basado en infraestructura de red GSM/GPRS. </w:t>
      </w:r>
      <w:r>
        <w:rPr>
          <w:lang w:val="es-ES"/>
        </w:rPr>
        <w:t xml:space="preserve">Paralelamente se actualiza la interfaz </w:t>
      </w:r>
      <w:proofErr w:type="spellStart"/>
      <w:r>
        <w:rPr>
          <w:lang w:val="es-ES"/>
        </w:rPr>
        <w:t>Abis</w:t>
      </w:r>
      <w:proofErr w:type="spellEnd"/>
      <w:r>
        <w:rPr>
          <w:lang w:val="es-ES"/>
        </w:rPr>
        <w:t xml:space="preserve"> a</w:t>
      </w:r>
      <w:r w:rsidRPr="00965C71">
        <w:rPr>
          <w:lang w:val="es-ES"/>
        </w:rPr>
        <w:t xml:space="preserve"> </w:t>
      </w:r>
      <w:proofErr w:type="spellStart"/>
      <w:r w:rsidRPr="00965C71">
        <w:rPr>
          <w:lang w:val="es-ES"/>
        </w:rPr>
        <w:t>Abis</w:t>
      </w:r>
      <w:proofErr w:type="spellEnd"/>
      <w:r w:rsidRPr="00965C71">
        <w:rPr>
          <w:lang w:val="es-ES"/>
        </w:rPr>
        <w:t xml:space="preserve">+. No es necesario introducir ninguna modificación en las interfaces existentes A y </w:t>
      </w:r>
      <w:proofErr w:type="spellStart"/>
      <w:r w:rsidRPr="00965C71">
        <w:rPr>
          <w:lang w:val="es-ES"/>
        </w:rPr>
        <w:t>Gb.</w:t>
      </w:r>
      <w:proofErr w:type="spellEnd"/>
      <w:r w:rsidRPr="00965C71">
        <w:rPr>
          <w:lang w:val="es-ES"/>
        </w:rPr>
        <w:t xml:space="preserve"> Esta integración de una </w:t>
      </w:r>
      <w:r>
        <w:rPr>
          <w:lang w:val="es-ES"/>
        </w:rPr>
        <w:t>interfaz aérea</w:t>
      </w:r>
      <w:r w:rsidRPr="00965C71">
        <w:rPr>
          <w:lang w:val="es-ES"/>
        </w:rPr>
        <w:t xml:space="preserve"> IMT-2000 </w:t>
      </w:r>
      <w:r>
        <w:rPr>
          <w:lang w:val="es-ES"/>
        </w:rPr>
        <w:t>en</w:t>
      </w:r>
      <w:r w:rsidRPr="00965C71">
        <w:rPr>
          <w:lang w:val="es-ES"/>
        </w:rPr>
        <w:t xml:space="preserve"> una infraestructura GSM/GPRS existente y estable</w:t>
      </w:r>
      <w:r>
        <w:rPr>
          <w:lang w:val="es-ES"/>
        </w:rPr>
        <w:t>,</w:t>
      </w:r>
      <w:r w:rsidRPr="00965C71">
        <w:rPr>
          <w:lang w:val="es-ES"/>
        </w:rPr>
        <w:t xml:space="preserve"> permite disponer rápidamente de gran capacidad en el sistema sin necesidad de desplegar una infraestructura de red básica absolutamente nueva.</w:t>
      </w:r>
    </w:p>
    <w:p w:rsidR="00F22F2F" w:rsidRPr="00A43C05" w:rsidRDefault="00F22F2F" w:rsidP="00F22F2F">
      <w:pPr>
        <w:rPr>
          <w:lang w:val="es-ES_tradnl"/>
        </w:rPr>
      </w:pPr>
    </w:p>
    <w:p w:rsidR="002D0D7C" w:rsidRPr="0057194E" w:rsidRDefault="002D0D7C" w:rsidP="00F22F2F">
      <w:pPr>
        <w:pStyle w:val="FigureTitle"/>
        <w:rPr>
          <w:rFonts w:asciiTheme="majorBidi" w:hAnsiTheme="majorBidi" w:cstheme="majorBidi"/>
        </w:rPr>
      </w:pPr>
      <w:proofErr w:type="spellStart"/>
      <w:r w:rsidRPr="0057194E">
        <w:rPr>
          <w:rFonts w:asciiTheme="majorBidi" w:hAnsiTheme="majorBidi" w:cstheme="majorBidi"/>
        </w:rPr>
        <w:t>Figur</w:t>
      </w:r>
      <w:r w:rsidR="00F22F2F">
        <w:rPr>
          <w:rFonts w:asciiTheme="majorBidi" w:hAnsiTheme="majorBidi" w:cstheme="majorBidi"/>
        </w:rPr>
        <w:t>a</w:t>
      </w:r>
      <w:proofErr w:type="spellEnd"/>
      <w:r w:rsidRPr="0057194E">
        <w:rPr>
          <w:rFonts w:asciiTheme="majorBidi" w:hAnsiTheme="majorBidi" w:cstheme="majorBidi"/>
        </w:rPr>
        <w:t xml:space="preserve"> 9.7.2</w:t>
      </w:r>
      <w:r w:rsidRPr="0057194E">
        <w:rPr>
          <w:rFonts w:asciiTheme="majorBidi" w:hAnsiTheme="majorBidi" w:cstheme="majorBidi"/>
        </w:rPr>
        <w:noBreakHyphen/>
        <w:t xml:space="preserve">1: </w:t>
      </w:r>
      <w:r w:rsidR="00F22F2F" w:rsidRPr="00F22F2F">
        <w:rPr>
          <w:rFonts w:asciiTheme="majorBidi" w:hAnsiTheme="majorBidi" w:cstheme="majorBidi"/>
          <w:lang w:val="es-ES_tradnl"/>
        </w:rPr>
        <w:t>Fase 1 de la transición</w:t>
      </w:r>
    </w:p>
    <w:p w:rsidR="002D0D7C" w:rsidRDefault="007938AB" w:rsidP="00863244">
      <w:pPr>
        <w:pStyle w:val="FigureSource"/>
      </w:pPr>
      <w:r w:rsidRPr="00965C71">
        <w:object w:dxaOrig="9981" w:dyaOrig="4699">
          <v:shape id="_x0000_i1030" type="#_x0000_t75" style="width:493.5pt;height:234.75pt" o:ole="">
            <v:imagedata r:id="rId29" o:title=""/>
          </v:shape>
          <o:OLEObject Type="Embed" ProgID="CorelDRAW.Graphic.14" ShapeID="_x0000_i1030" DrawAspect="Content" ObjectID="_1334060543" r:id="rId30"/>
        </w:object>
      </w:r>
    </w:p>
    <w:p w:rsidR="006F6450" w:rsidRPr="00A43C05" w:rsidRDefault="007938AB" w:rsidP="007938AB">
      <w:pPr>
        <w:pStyle w:val="Normalaftertitle"/>
        <w:rPr>
          <w:b/>
          <w:bCs/>
          <w:lang w:val="es-ES_tradnl"/>
        </w:rPr>
      </w:pPr>
      <w:bookmarkStart w:id="471" w:name="_Toc110411366"/>
      <w:r w:rsidRPr="007938AB">
        <w:rPr>
          <w:b/>
          <w:bCs/>
          <w:lang w:val="es-ES_tradnl"/>
        </w:rPr>
        <w:t>Fase 2</w:t>
      </w:r>
      <w:bookmarkEnd w:id="471"/>
    </w:p>
    <w:p w:rsidR="007938AB" w:rsidRPr="00965C71" w:rsidRDefault="007938AB" w:rsidP="007938AB">
      <w:pPr>
        <w:rPr>
          <w:lang w:val="es-ES_tradnl"/>
        </w:rPr>
      </w:pPr>
      <w:r w:rsidRPr="00965C71">
        <w:rPr>
          <w:lang w:val="es-ES_tradnl"/>
        </w:rPr>
        <w:t xml:space="preserve">Al desplegarse los servicios, se establecen redes básicas IMT-2000 que coexisten con las redes básicas GSM/GPRS. A continuación, se </w:t>
      </w:r>
      <w:r>
        <w:rPr>
          <w:lang w:val="es-ES_tradnl"/>
        </w:rPr>
        <w:t>actualizan</w:t>
      </w:r>
      <w:r w:rsidRPr="00965C71">
        <w:rPr>
          <w:lang w:val="es-ES_tradnl"/>
        </w:rPr>
        <w:t xml:space="preserve"> varias partes de los equipos TD</w:t>
      </w:r>
      <w:r w:rsidRPr="00965C71">
        <w:rPr>
          <w:lang w:val="es-ES_tradnl"/>
        </w:rPr>
        <w:noBreakHyphen/>
        <w:t>SCDMA para que puedan conectarse a las redes básicas IMT</w:t>
      </w:r>
      <w:r w:rsidRPr="00965C71">
        <w:rPr>
          <w:lang w:val="es-ES_tradnl"/>
        </w:rPr>
        <w:noBreakHyphen/>
        <w:t>2000.</w:t>
      </w:r>
    </w:p>
    <w:p w:rsidR="007938AB" w:rsidRPr="00965C71" w:rsidRDefault="007938AB" w:rsidP="007938AB">
      <w:pPr>
        <w:rPr>
          <w:lang w:val="es-ES_tradnl"/>
        </w:rPr>
      </w:pPr>
      <w:r>
        <w:rPr>
          <w:lang w:val="es-ES_tradnl"/>
        </w:rPr>
        <w:t xml:space="preserve">La tarjeta de interfaz del </w:t>
      </w:r>
      <w:proofErr w:type="spellStart"/>
      <w:r>
        <w:rPr>
          <w:lang w:val="es-ES_tradnl"/>
        </w:rPr>
        <w:t>Nodo_</w:t>
      </w:r>
      <w:r w:rsidRPr="00965C71">
        <w:rPr>
          <w:lang w:val="es-ES_tradnl"/>
        </w:rPr>
        <w:t>B</w:t>
      </w:r>
      <w:proofErr w:type="spellEnd"/>
      <w:r w:rsidRPr="00965C71">
        <w:rPr>
          <w:lang w:val="es-ES_tradnl"/>
        </w:rPr>
        <w:t xml:space="preserve"> se </w:t>
      </w:r>
      <w:r>
        <w:rPr>
          <w:lang w:val="es-ES_tradnl"/>
        </w:rPr>
        <w:t>actualiza</w:t>
      </w:r>
      <w:r w:rsidRPr="00965C71">
        <w:rPr>
          <w:lang w:val="es-ES_tradnl"/>
        </w:rPr>
        <w:t xml:space="preserve"> para soportar la interfaz </w:t>
      </w:r>
      <w:proofErr w:type="spellStart"/>
      <w:r w:rsidRPr="00965C71">
        <w:rPr>
          <w:lang w:val="es-ES_tradnl"/>
        </w:rPr>
        <w:t>Iub</w:t>
      </w:r>
      <w:proofErr w:type="spellEnd"/>
      <w:r w:rsidRPr="00965C71">
        <w:rPr>
          <w:lang w:val="es-ES_tradnl"/>
        </w:rPr>
        <w:t xml:space="preserve">. </w:t>
      </w:r>
      <w:r>
        <w:rPr>
          <w:lang w:val="es-ES_tradnl"/>
        </w:rPr>
        <w:t xml:space="preserve">El </w:t>
      </w:r>
      <w:r w:rsidRPr="00965C71">
        <w:rPr>
          <w:lang w:val="es-ES_tradnl"/>
        </w:rPr>
        <w:t xml:space="preserve">BSC+ se </w:t>
      </w:r>
      <w:r>
        <w:rPr>
          <w:lang w:val="es-ES_tradnl"/>
        </w:rPr>
        <w:t>actualiza</w:t>
      </w:r>
      <w:r w:rsidRPr="00965C71">
        <w:rPr>
          <w:lang w:val="es-ES_tradnl"/>
        </w:rPr>
        <w:t xml:space="preserve"> a RNC, con el fin de soportar la</w:t>
      </w:r>
      <w:r>
        <w:rPr>
          <w:lang w:val="es-ES_tradnl"/>
        </w:rPr>
        <w:t>s interfaces</w:t>
      </w:r>
      <w:r w:rsidRPr="00965C71">
        <w:rPr>
          <w:lang w:val="es-ES_tradnl"/>
        </w:rPr>
        <w:t xml:space="preserve"> </w:t>
      </w:r>
      <w:proofErr w:type="spellStart"/>
      <w:r w:rsidRPr="00965C71">
        <w:rPr>
          <w:lang w:val="es-ES_tradnl"/>
        </w:rPr>
        <w:t>Iub</w:t>
      </w:r>
      <w:proofErr w:type="spellEnd"/>
      <w:r w:rsidRPr="00965C71">
        <w:rPr>
          <w:lang w:val="es-ES_tradnl"/>
        </w:rPr>
        <w:t xml:space="preserve"> e </w:t>
      </w:r>
      <w:proofErr w:type="spellStart"/>
      <w:r w:rsidRPr="00965C71">
        <w:rPr>
          <w:lang w:val="es-ES_tradnl"/>
        </w:rPr>
        <w:t>Iu</w:t>
      </w:r>
      <w:proofErr w:type="spellEnd"/>
      <w:r w:rsidRPr="00965C71">
        <w:rPr>
          <w:lang w:val="es-ES_tradnl"/>
        </w:rPr>
        <w:t>, que consiste</w:t>
      </w:r>
      <w:r>
        <w:rPr>
          <w:lang w:val="es-ES_tradnl"/>
        </w:rPr>
        <w:t>n</w:t>
      </w:r>
      <w:r w:rsidRPr="00965C71">
        <w:rPr>
          <w:lang w:val="es-ES_tradnl"/>
        </w:rPr>
        <w:t xml:space="preserve"> en la</w:t>
      </w:r>
      <w:r>
        <w:rPr>
          <w:lang w:val="es-ES_tradnl"/>
        </w:rPr>
        <w:t>s interfaces</w:t>
      </w:r>
      <w:r w:rsidRPr="00965C71">
        <w:rPr>
          <w:lang w:val="es-ES_tradnl"/>
        </w:rPr>
        <w:t xml:space="preserve"> </w:t>
      </w:r>
      <w:proofErr w:type="spellStart"/>
      <w:r w:rsidRPr="00965C71">
        <w:rPr>
          <w:lang w:val="es-ES_tradnl"/>
        </w:rPr>
        <w:t>Iu</w:t>
      </w:r>
      <w:proofErr w:type="spellEnd"/>
      <w:r w:rsidRPr="00965C71">
        <w:rPr>
          <w:lang w:val="es-ES_tradnl"/>
        </w:rPr>
        <w:t xml:space="preserve"> CS </w:t>
      </w:r>
      <w:r>
        <w:rPr>
          <w:lang w:val="es-ES_tradnl"/>
        </w:rPr>
        <w:t>e</w:t>
      </w:r>
      <w:r w:rsidRPr="00965C71">
        <w:rPr>
          <w:lang w:val="es-ES_tradnl"/>
        </w:rPr>
        <w:t xml:space="preserve"> </w:t>
      </w:r>
      <w:proofErr w:type="spellStart"/>
      <w:r w:rsidRPr="00965C71">
        <w:rPr>
          <w:lang w:val="es-ES_tradnl"/>
        </w:rPr>
        <w:t>Iu</w:t>
      </w:r>
      <w:proofErr w:type="spellEnd"/>
      <w:r w:rsidRPr="00965C71">
        <w:rPr>
          <w:lang w:val="es-ES_tradnl"/>
        </w:rPr>
        <w:t xml:space="preserve"> PS. El SGSN pre</w:t>
      </w:r>
      <w:r w:rsidRPr="00965C71">
        <w:rPr>
          <w:lang w:val="es-ES_tradnl"/>
        </w:rPr>
        <w:noBreakHyphen/>
        <w:t xml:space="preserve">IMT-2000 se actualiza a SGSN IMT-2000 para que soporte la interfaz </w:t>
      </w:r>
      <w:proofErr w:type="spellStart"/>
      <w:r w:rsidRPr="00965C71">
        <w:rPr>
          <w:lang w:val="es-ES_tradnl"/>
        </w:rPr>
        <w:t>Iu</w:t>
      </w:r>
      <w:proofErr w:type="spellEnd"/>
      <w:r w:rsidRPr="00965C71">
        <w:rPr>
          <w:lang w:val="es-ES_tradnl"/>
        </w:rPr>
        <w:t xml:space="preserve"> PS. </w:t>
      </w:r>
      <w:r>
        <w:rPr>
          <w:lang w:val="es-ES_tradnl"/>
        </w:rPr>
        <w:t>En</w:t>
      </w:r>
      <w:r w:rsidRPr="00965C71">
        <w:rPr>
          <w:lang w:val="es-ES_tradnl"/>
        </w:rPr>
        <w:t xml:space="preserve"> un sistema TD-SCDMA, todos los trayectos de actualización y migración relativos a la red básica son los mismos que </w:t>
      </w:r>
      <w:r>
        <w:rPr>
          <w:lang w:val="es-ES_tradnl"/>
        </w:rPr>
        <w:t>los d</w:t>
      </w:r>
      <w:r w:rsidRPr="00965C71">
        <w:rPr>
          <w:lang w:val="es-ES_tradnl"/>
        </w:rPr>
        <w:t>el sistema WCDMA.</w:t>
      </w:r>
    </w:p>
    <w:p w:rsidR="006F6450" w:rsidRPr="00A43C05" w:rsidRDefault="007938AB" w:rsidP="007938AB">
      <w:pPr>
        <w:rPr>
          <w:lang w:val="es-ES_tradnl"/>
        </w:rPr>
      </w:pPr>
      <w:r w:rsidRPr="00965C71">
        <w:rPr>
          <w:lang w:val="es-ES_tradnl"/>
        </w:rPr>
        <w:t>Tras la actualización, se considera que el sistema ha efectuado su transición a las IMT-2000.</w:t>
      </w:r>
    </w:p>
    <w:p w:rsidR="00086051" w:rsidRPr="00A43C05" w:rsidRDefault="00086051" w:rsidP="0057194E">
      <w:pPr>
        <w:rPr>
          <w:lang w:val="es-ES_tradnl"/>
        </w:rPr>
      </w:pPr>
    </w:p>
    <w:p w:rsidR="00086051" w:rsidRDefault="00086051" w:rsidP="00863244">
      <w:pPr>
        <w:pStyle w:val="FigureTitle"/>
        <w:rPr>
          <w:lang w:val="es-ES_tradnl"/>
        </w:rPr>
      </w:pPr>
      <w:bookmarkStart w:id="472" w:name="_Toc92854715"/>
      <w:proofErr w:type="spellStart"/>
      <w:r w:rsidRPr="0057194E">
        <w:t>Figur</w:t>
      </w:r>
      <w:r w:rsidR="007938AB">
        <w:t>a</w:t>
      </w:r>
      <w:proofErr w:type="spellEnd"/>
      <w:r w:rsidRPr="0057194E">
        <w:t xml:space="preserve"> 9.7.2</w:t>
      </w:r>
      <w:r w:rsidRPr="0057194E">
        <w:noBreakHyphen/>
        <w:t xml:space="preserve">2: </w:t>
      </w:r>
      <w:bookmarkEnd w:id="472"/>
      <w:r w:rsidR="007938AB" w:rsidRPr="007938AB">
        <w:rPr>
          <w:lang w:val="es-ES_tradnl"/>
        </w:rPr>
        <w:t>Fase 2 de la transición</w:t>
      </w:r>
    </w:p>
    <w:p w:rsidR="00863244" w:rsidRPr="00863244" w:rsidRDefault="00863244" w:rsidP="00863244">
      <w:pPr>
        <w:rPr>
          <w:lang w:val="es-ES_tradnl"/>
        </w:rPr>
      </w:pPr>
    </w:p>
    <w:p w:rsidR="00086051" w:rsidRDefault="007938AB" w:rsidP="00863244">
      <w:pPr>
        <w:pStyle w:val="FigureSource"/>
      </w:pPr>
      <w:r w:rsidRPr="00863244">
        <w:rPr>
          <w:szCs w:val="19"/>
        </w:rPr>
        <w:object w:dxaOrig="9977" w:dyaOrig="4683">
          <v:shape id="_x0000_i1031" type="#_x0000_t75" style="width:498pt;height:231.75pt" o:ole="">
            <v:imagedata r:id="rId31" o:title=""/>
          </v:shape>
          <o:OLEObject Type="Embed" ProgID="CorelDRAW.Graphic.14" ShapeID="_x0000_i1031" DrawAspect="Content" ObjectID="_1334060544" r:id="rId32"/>
        </w:object>
      </w:r>
    </w:p>
    <w:p w:rsidR="00B47518" w:rsidRPr="00A43C05" w:rsidRDefault="007938AB" w:rsidP="00863244">
      <w:pPr>
        <w:pStyle w:val="Normalaftertitle"/>
        <w:rPr>
          <w:lang w:val="es-ES_tradnl"/>
        </w:rPr>
      </w:pPr>
      <w:r w:rsidRPr="007938AB">
        <w:rPr>
          <w:lang w:val="es-ES_tradnl"/>
        </w:rPr>
        <w:t>Las ventajas de estas actualizaciones se resumen a continuación:</w:t>
      </w:r>
    </w:p>
    <w:p w:rsidR="00E732C7" w:rsidRPr="00A43C05" w:rsidRDefault="00E732C7" w:rsidP="0057194E">
      <w:pPr>
        <w:rPr>
          <w:lang w:val="es-ES_tradnl"/>
        </w:rPr>
      </w:pPr>
    </w:p>
    <w:p w:rsidR="00E732C7" w:rsidRPr="00A43C05" w:rsidRDefault="00E732C7" w:rsidP="00E732C7">
      <w:pPr>
        <w:pStyle w:val="FigureTitle"/>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376"/>
        <w:gridCol w:w="6619"/>
      </w:tblGrid>
      <w:tr w:rsidR="00E732C7" w:rsidRPr="000D45EC" w:rsidTr="005B2372">
        <w:tc>
          <w:tcPr>
            <w:tcW w:w="2376" w:type="dxa"/>
            <w:shd w:val="clear" w:color="auto" w:fill="FFFFFF"/>
          </w:tcPr>
          <w:p w:rsidR="00E732C7" w:rsidRPr="000D45EC" w:rsidRDefault="007938AB" w:rsidP="007938AB">
            <w:pPr>
              <w:pStyle w:val="Tablehead"/>
              <w:keepLines/>
              <w:framePr w:hSpace="181" w:wrap="around" w:vAnchor="text" w:hAnchor="margin" w:xAlign="center" w:y="1"/>
              <w:rPr>
                <w:szCs w:val="22"/>
              </w:rPr>
            </w:pPr>
            <w:r w:rsidRPr="007938AB">
              <w:rPr>
                <w:bCs/>
                <w:szCs w:val="22"/>
                <w:lang w:val="es-ES_tradnl"/>
              </w:rPr>
              <w:t>Tecnología</w:t>
            </w:r>
          </w:p>
        </w:tc>
        <w:tc>
          <w:tcPr>
            <w:tcW w:w="6619" w:type="dxa"/>
            <w:tcBorders>
              <w:bottom w:val="single" w:sz="4" w:space="0" w:color="auto"/>
            </w:tcBorders>
            <w:shd w:val="clear" w:color="auto" w:fill="FFFFFF"/>
          </w:tcPr>
          <w:p w:rsidR="00E732C7" w:rsidRPr="000D45EC" w:rsidRDefault="007938AB" w:rsidP="007938AB">
            <w:pPr>
              <w:pStyle w:val="Tablehead"/>
              <w:keepLines/>
              <w:framePr w:hSpace="181" w:wrap="around" w:vAnchor="text" w:hAnchor="margin" w:xAlign="center" w:y="1"/>
              <w:rPr>
                <w:szCs w:val="22"/>
              </w:rPr>
            </w:pPr>
            <w:r w:rsidRPr="007938AB">
              <w:rPr>
                <w:bCs/>
                <w:szCs w:val="22"/>
                <w:lang w:val="es-ES_tradnl"/>
              </w:rPr>
              <w:t>Ventajas</w:t>
            </w:r>
          </w:p>
        </w:tc>
      </w:tr>
      <w:tr w:rsidR="00E732C7" w:rsidRPr="00A43C05" w:rsidTr="005B2372">
        <w:tc>
          <w:tcPr>
            <w:tcW w:w="2376" w:type="dxa"/>
            <w:shd w:val="clear" w:color="auto" w:fill="FFFFFF"/>
          </w:tcPr>
          <w:p w:rsidR="00E732C7" w:rsidRPr="00A43C05" w:rsidRDefault="007938AB" w:rsidP="005B2372">
            <w:pPr>
              <w:pStyle w:val="Tabletext"/>
              <w:framePr w:hSpace="181" w:wrap="around" w:vAnchor="text" w:hAnchor="margin" w:xAlign="center" w:y="1"/>
              <w:spacing w:beforeLines="40" w:afterLines="40"/>
              <w:jc w:val="left"/>
              <w:rPr>
                <w:szCs w:val="22"/>
                <w:lang w:val="es-ES_tradnl"/>
              </w:rPr>
            </w:pPr>
            <w:r w:rsidRPr="007938AB">
              <w:rPr>
                <w:szCs w:val="22"/>
                <w:lang w:val="es-ES_tradnl"/>
              </w:rPr>
              <w:t>CDMA TDD IMT-2000</w:t>
            </w:r>
            <w:r w:rsidRPr="007938AB">
              <w:rPr>
                <w:szCs w:val="22"/>
                <w:lang w:val="es-ES_tradnl"/>
              </w:rPr>
              <w:br/>
              <w:t>(código de tiempo)</w:t>
            </w:r>
          </w:p>
        </w:tc>
        <w:tc>
          <w:tcPr>
            <w:tcW w:w="6619" w:type="dxa"/>
          </w:tcPr>
          <w:p w:rsidR="007938AB" w:rsidRPr="007938AB" w:rsidRDefault="007938AB" w:rsidP="005B2372">
            <w:pPr>
              <w:pStyle w:val="Tabletext"/>
              <w:framePr w:hSpace="181" w:wrap="around" w:vAnchor="text" w:hAnchor="margin" w:xAlign="center" w:y="1"/>
              <w:spacing w:beforeLines="40" w:afterLines="40"/>
              <w:rPr>
                <w:szCs w:val="22"/>
                <w:lang w:val="es-ES_tradnl"/>
              </w:rPr>
            </w:pPr>
            <w:r w:rsidRPr="007938AB">
              <w:rPr>
                <w:szCs w:val="22"/>
                <w:lang w:val="es-ES_tradnl"/>
              </w:rPr>
              <w:t>Permite reutilizar la infraestructura de red básica GSM/GPRS pre</w:t>
            </w:r>
            <w:r w:rsidR="005B2372">
              <w:rPr>
                <w:szCs w:val="22"/>
                <w:lang w:val="es-ES_tradnl"/>
              </w:rPr>
              <w:noBreakHyphen/>
            </w:r>
            <w:r w:rsidRPr="007938AB">
              <w:rPr>
                <w:szCs w:val="22"/>
                <w:lang w:val="es-ES_tradnl"/>
              </w:rPr>
              <w:t>IMT</w:t>
            </w:r>
            <w:r w:rsidR="005B2372">
              <w:rPr>
                <w:szCs w:val="22"/>
                <w:lang w:val="es-ES_tradnl"/>
              </w:rPr>
              <w:noBreakHyphen/>
            </w:r>
            <w:r w:rsidRPr="007938AB">
              <w:rPr>
                <w:szCs w:val="22"/>
                <w:lang w:val="es-ES_tradnl"/>
              </w:rPr>
              <w:t>2000 existente.</w:t>
            </w:r>
          </w:p>
          <w:p w:rsidR="007938AB" w:rsidRPr="007938AB" w:rsidRDefault="007938AB" w:rsidP="007938AB">
            <w:pPr>
              <w:pStyle w:val="Tabletext"/>
              <w:framePr w:hSpace="181" w:wrap="around" w:vAnchor="text" w:hAnchor="margin" w:xAlign="center" w:y="1"/>
              <w:spacing w:beforeLines="40" w:afterLines="40"/>
              <w:rPr>
                <w:szCs w:val="22"/>
                <w:lang w:val="es-ES_tradnl"/>
              </w:rPr>
            </w:pPr>
            <w:r w:rsidRPr="007938AB">
              <w:rPr>
                <w:szCs w:val="22"/>
                <w:lang w:val="es-ES_tradnl"/>
              </w:rPr>
              <w:t>Permite implementar servicios IMT</w:t>
            </w:r>
            <w:r w:rsidRPr="007938AB">
              <w:rPr>
                <w:szCs w:val="22"/>
                <w:lang w:val="es-ES_tradnl"/>
              </w:rPr>
              <w:noBreakHyphen/>
              <w:t xml:space="preserve">2000 en bandas no apareada de un mínimo de 1,6 </w:t>
            </w:r>
            <w:proofErr w:type="spellStart"/>
            <w:r w:rsidRPr="007938AB">
              <w:rPr>
                <w:szCs w:val="22"/>
                <w:lang w:val="es-ES_tradnl"/>
              </w:rPr>
              <w:t>MHz.</w:t>
            </w:r>
            <w:proofErr w:type="spellEnd"/>
          </w:p>
          <w:p w:rsidR="007938AB" w:rsidRPr="007938AB" w:rsidRDefault="007938AB" w:rsidP="007938AB">
            <w:pPr>
              <w:pStyle w:val="Tabletext"/>
              <w:framePr w:hSpace="181" w:wrap="around" w:vAnchor="text" w:hAnchor="margin" w:xAlign="center" w:y="1"/>
              <w:spacing w:beforeLines="40" w:afterLines="40"/>
              <w:rPr>
                <w:szCs w:val="22"/>
                <w:lang w:val="es-ES_tradnl"/>
              </w:rPr>
            </w:pPr>
            <w:r w:rsidRPr="007938AB">
              <w:rPr>
                <w:szCs w:val="22"/>
                <w:lang w:val="es-ES_tradnl"/>
              </w:rPr>
              <w:t>Permite que los operadores planifiquen una transición por fases.</w:t>
            </w:r>
          </w:p>
          <w:p w:rsidR="00E732C7" w:rsidRPr="00A43C05" w:rsidRDefault="007938AB" w:rsidP="007938AB">
            <w:pPr>
              <w:pStyle w:val="Tabletext"/>
              <w:keepNext/>
              <w:keepLines/>
              <w:framePr w:hSpace="181" w:wrap="around" w:vAnchor="text" w:hAnchor="margin" w:xAlign="center" w:y="1"/>
              <w:spacing w:beforeLines="40" w:afterLines="40"/>
              <w:rPr>
                <w:i/>
                <w:iCs/>
                <w:szCs w:val="22"/>
                <w:lang w:val="es-ES_tradnl"/>
              </w:rPr>
            </w:pPr>
            <w:r w:rsidRPr="007938AB">
              <w:rPr>
                <w:szCs w:val="22"/>
                <w:lang w:val="es-ES_tradnl"/>
              </w:rPr>
              <w:t>Permite prestar servicios flexibles e integrados de voz y datos con una velocidad de cresta soportada de 2 </w:t>
            </w:r>
            <w:proofErr w:type="spellStart"/>
            <w:r w:rsidRPr="007938AB">
              <w:rPr>
                <w:szCs w:val="22"/>
                <w:lang w:val="es-ES_tradnl"/>
              </w:rPr>
              <w:t>Mbit</w:t>
            </w:r>
            <w:proofErr w:type="spellEnd"/>
            <w:r w:rsidRPr="007938AB">
              <w:rPr>
                <w:szCs w:val="22"/>
                <w:lang w:val="es-ES_tradnl"/>
              </w:rPr>
              <w:t>/s.</w:t>
            </w:r>
          </w:p>
        </w:tc>
      </w:tr>
    </w:tbl>
    <w:p w:rsidR="00E732C7" w:rsidRPr="00A43C05" w:rsidRDefault="00E732C7" w:rsidP="00E732C7">
      <w:pPr>
        <w:pStyle w:val="FigureSource"/>
        <w:rPr>
          <w:lang w:val="es-ES_tradnl"/>
        </w:rPr>
      </w:pPr>
    </w:p>
    <w:p w:rsidR="002422D2" w:rsidRPr="00A43C05" w:rsidRDefault="002422D2" w:rsidP="00FB2410">
      <w:pPr>
        <w:pStyle w:val="Heading3"/>
        <w:rPr>
          <w:szCs w:val="22"/>
          <w:lang w:val="es-ES_tradnl"/>
        </w:rPr>
      </w:pPr>
      <w:bookmarkStart w:id="473" w:name="_Toc236826248"/>
      <w:bookmarkStart w:id="474" w:name="_Toc255292555"/>
      <w:bookmarkStart w:id="475" w:name="_Toc259024258"/>
      <w:r w:rsidRPr="00A43C05">
        <w:rPr>
          <w:szCs w:val="22"/>
          <w:lang w:val="es-ES_tradnl"/>
        </w:rPr>
        <w:t>9.7.3</w:t>
      </w:r>
      <w:r w:rsidRPr="00A43C05">
        <w:rPr>
          <w:szCs w:val="22"/>
          <w:lang w:val="es-ES_tradnl"/>
        </w:rPr>
        <w:tab/>
      </w:r>
      <w:bookmarkEnd w:id="473"/>
      <w:bookmarkEnd w:id="474"/>
      <w:r w:rsidR="00FB2410" w:rsidRPr="0021192A">
        <w:rPr>
          <w:rStyle w:val="CEOHeading3Char"/>
          <w:rFonts w:ascii="Times New Roman" w:hAnsi="Times New Roman"/>
          <w:b/>
          <w:bCs w:val="0"/>
          <w:sz w:val="22"/>
          <w:szCs w:val="22"/>
          <w:lang w:val="es-ES_tradnl"/>
        </w:rPr>
        <w:t>Transición a TDMA IMT</w:t>
      </w:r>
      <w:r w:rsidR="00FB2410" w:rsidRPr="0021192A">
        <w:rPr>
          <w:rStyle w:val="CEOHeading3Char"/>
          <w:rFonts w:ascii="Times New Roman" w:hAnsi="Times New Roman"/>
          <w:b/>
          <w:bCs w:val="0"/>
          <w:sz w:val="22"/>
          <w:szCs w:val="22"/>
          <w:lang w:val="es-ES_tradnl"/>
        </w:rPr>
        <w:noBreakHyphen/>
        <w:t>2000 de portadora única</w:t>
      </w:r>
      <w:bookmarkEnd w:id="475"/>
    </w:p>
    <w:p w:rsidR="00FB2410" w:rsidRPr="00965C71" w:rsidRDefault="00FB2410" w:rsidP="00FB2410">
      <w:pPr>
        <w:rPr>
          <w:lang w:val="es-ES"/>
        </w:rPr>
      </w:pPr>
      <w:r w:rsidRPr="00965C71">
        <w:rPr>
          <w:lang w:val="es-ES"/>
        </w:rPr>
        <w:t xml:space="preserve">Los operadores GSM pueden efectuar la transición hacia las </w:t>
      </w:r>
      <w:r w:rsidRPr="00965C71">
        <w:rPr>
          <w:color w:val="000000"/>
          <w:lang w:val="es-ES"/>
        </w:rPr>
        <w:t>IMT-2000</w:t>
      </w:r>
      <w:r w:rsidRPr="00965C71">
        <w:rPr>
          <w:lang w:val="es-ES"/>
        </w:rPr>
        <w:t xml:space="preserve"> directamente haciendo evolucionar la red de acceso radioeléctrico de GSM a GERAN. Como GERAN despliega la interfaz radioeléctrica EDGE, es una red de acceso radioeléctrico que pertenece a la tecnología de radio</w:t>
      </w:r>
      <w:r w:rsidRPr="00965C71">
        <w:rPr>
          <w:lang w:val="es-ES"/>
        </w:rPr>
        <w:softHyphen/>
        <w:t xml:space="preserve">comunicaciones </w:t>
      </w:r>
      <w:r>
        <w:rPr>
          <w:lang w:val="es-ES"/>
        </w:rPr>
        <w:t xml:space="preserve">de las </w:t>
      </w:r>
      <w:r w:rsidRPr="00965C71">
        <w:rPr>
          <w:lang w:val="es-ES"/>
        </w:rPr>
        <w:t>IMT</w:t>
      </w:r>
      <w:r w:rsidRPr="00965C71">
        <w:rPr>
          <w:lang w:val="es-ES"/>
        </w:rPr>
        <w:noBreakHyphen/>
        <w:t xml:space="preserve">2000 </w:t>
      </w:r>
      <w:r>
        <w:rPr>
          <w:lang w:val="es-ES"/>
        </w:rPr>
        <w:t>TDMA IMT-2000 de portadora única. Esto</w:t>
      </w:r>
      <w:r w:rsidRPr="00965C71">
        <w:rPr>
          <w:lang w:val="es-ES"/>
        </w:rPr>
        <w:t>, a su vez, constituye un perfeccionamiento del acceso radioeléctrico GSM continuo</w:t>
      </w:r>
      <w:r>
        <w:rPr>
          <w:lang w:val="es-ES"/>
        </w:rPr>
        <w:t>,</w:t>
      </w:r>
      <w:r w:rsidRPr="00965C71">
        <w:rPr>
          <w:lang w:val="es-ES"/>
        </w:rPr>
        <w:t xml:space="preserve"> </w:t>
      </w:r>
      <w:r>
        <w:rPr>
          <w:lang w:val="es-ES"/>
        </w:rPr>
        <w:t>con total compatibilidad ascendente</w:t>
      </w:r>
      <w:r w:rsidRPr="00965C71">
        <w:rPr>
          <w:lang w:val="es-ES"/>
        </w:rPr>
        <w:t xml:space="preserve">, sin que para ello haya necesidad de modificar el espectro de frecuencias. Para seguir este trayecto de evolución, el operador añadirá </w:t>
      </w:r>
      <w:r>
        <w:rPr>
          <w:lang w:val="es-ES"/>
        </w:rPr>
        <w:t xml:space="preserve">la funcionalidad </w:t>
      </w:r>
      <w:r w:rsidRPr="00965C71">
        <w:rPr>
          <w:lang w:val="es-ES"/>
        </w:rPr>
        <w:t xml:space="preserve">GPRS y EDGE </w:t>
      </w:r>
      <w:r>
        <w:rPr>
          <w:lang w:val="es-ES"/>
        </w:rPr>
        <w:t>a</w:t>
      </w:r>
      <w:r w:rsidRPr="00965C71">
        <w:rPr>
          <w:lang w:val="es-ES"/>
        </w:rPr>
        <w:t xml:space="preserve"> su red de acceso radioeléctrico. El mejoramiento gradual de GSM con GPRS y EDGE hará evolucionar el acceso radioeléctrico pre</w:t>
      </w:r>
      <w:r w:rsidRPr="00965C71">
        <w:rPr>
          <w:lang w:val="es-ES"/>
        </w:rPr>
        <w:noBreakHyphen/>
        <w:t>IMT</w:t>
      </w:r>
      <w:r w:rsidRPr="00965C71">
        <w:rPr>
          <w:lang w:val="es-ES"/>
        </w:rPr>
        <w:noBreakHyphen/>
        <w:t>2000</w:t>
      </w:r>
      <w:r w:rsidRPr="00965C71">
        <w:rPr>
          <w:lang w:val="es-ES"/>
        </w:rPr>
        <w:noBreakHyphen/>
        <w:t>GSM a los sistemas 3G</w:t>
      </w:r>
      <w:r w:rsidRPr="00965C71">
        <w:rPr>
          <w:lang w:val="es-ES"/>
        </w:rPr>
        <w:noBreakHyphen/>
        <w:t>GERAN.</w:t>
      </w:r>
    </w:p>
    <w:p w:rsidR="00FB2410" w:rsidRPr="00965C71" w:rsidRDefault="00FB2410" w:rsidP="00FB2410">
      <w:pPr>
        <w:rPr>
          <w:lang w:val="es-ES"/>
        </w:rPr>
      </w:pPr>
      <w:r w:rsidRPr="00965C71">
        <w:rPr>
          <w:lang w:val="es-ES"/>
        </w:rPr>
        <w:t xml:space="preserve">EDGE forma parte de la interfaz radioeléctrica de </w:t>
      </w:r>
      <w:r>
        <w:rPr>
          <w:lang w:val="es-ES"/>
        </w:rPr>
        <w:t>TDMA IMT-2000 de portadora única</w:t>
      </w:r>
      <w:r w:rsidRPr="00965C71">
        <w:rPr>
          <w:lang w:val="es-ES"/>
        </w:rPr>
        <w:t xml:space="preserve"> y mejora la interfaz radioeléctrica GSM/GPRS con nueva tecnología de modulación para lograr </w:t>
      </w:r>
      <w:r>
        <w:rPr>
          <w:lang w:val="es-ES"/>
        </w:rPr>
        <w:t xml:space="preserve">mayores </w:t>
      </w:r>
      <w:r w:rsidRPr="00965C71">
        <w:rPr>
          <w:lang w:val="es-ES"/>
        </w:rPr>
        <w:t xml:space="preserve">velocidades de datos </w:t>
      </w:r>
      <w:r w:rsidRPr="00965C71">
        <w:rPr>
          <w:lang w:val="es-ES"/>
        </w:rPr>
        <w:lastRenderedPageBreak/>
        <w:t xml:space="preserve">utilizando el espectro radioeléctrico GSM </w:t>
      </w:r>
      <w:r>
        <w:rPr>
          <w:lang w:val="es-ES"/>
        </w:rPr>
        <w:t>existente</w:t>
      </w:r>
      <w:r w:rsidRPr="00965C71">
        <w:rPr>
          <w:lang w:val="es-ES"/>
        </w:rPr>
        <w:t xml:space="preserve">. La normalización del sistema GERAN (red de acceso radioeléctrico GSM/EDGE) </w:t>
      </w:r>
      <w:r>
        <w:rPr>
          <w:lang w:val="es-ES"/>
        </w:rPr>
        <w:t>por</w:t>
      </w:r>
      <w:r w:rsidRPr="00965C71">
        <w:rPr>
          <w:lang w:val="es-ES"/>
        </w:rPr>
        <w:t xml:space="preserve"> 3GPP incluye mecanismos avanzados de calidad de servicio, que permiten ofrecer con la tecnología EDGE prácticamente todos los servicios </w:t>
      </w:r>
      <w:r w:rsidRPr="00965C71">
        <w:rPr>
          <w:color w:val="000000"/>
          <w:lang w:val="es-ES"/>
        </w:rPr>
        <w:t>IMT</w:t>
      </w:r>
      <w:r w:rsidRPr="00965C71">
        <w:rPr>
          <w:color w:val="000000"/>
          <w:lang w:val="es-ES"/>
        </w:rPr>
        <w:noBreakHyphen/>
        <w:t>2000,</w:t>
      </w:r>
      <w:r w:rsidRPr="00965C71">
        <w:rPr>
          <w:lang w:val="es-ES"/>
        </w:rPr>
        <w:t xml:space="preserve"> aunque con una velocidad de datos limitada, si se compara con los sistemas UMTS. EDGE constituye una solución para proporcionar servicios </w:t>
      </w:r>
      <w:r w:rsidRPr="00965C71">
        <w:rPr>
          <w:color w:val="000000"/>
          <w:lang w:val="es-ES"/>
        </w:rPr>
        <w:t>IMT</w:t>
      </w:r>
      <w:r w:rsidRPr="00965C71">
        <w:rPr>
          <w:color w:val="000000"/>
          <w:lang w:val="es-ES"/>
        </w:rPr>
        <w:noBreakHyphen/>
        <w:t>2000</w:t>
      </w:r>
      <w:r w:rsidRPr="00965C71">
        <w:rPr>
          <w:lang w:val="es-ES"/>
        </w:rPr>
        <w:t xml:space="preserve"> con los recursos espectrales de los sistemas pre</w:t>
      </w:r>
      <w:r w:rsidRPr="00965C71">
        <w:rPr>
          <w:lang w:val="es-ES"/>
        </w:rPr>
        <w:noBreakHyphen/>
        <w:t>IMT</w:t>
      </w:r>
      <w:r w:rsidRPr="00965C71">
        <w:rPr>
          <w:lang w:val="es-ES"/>
        </w:rPr>
        <w:noBreakHyphen/>
        <w:t>2000.</w:t>
      </w:r>
    </w:p>
    <w:p w:rsidR="00FB2410" w:rsidRPr="00965C71" w:rsidRDefault="00FB2410" w:rsidP="00FB2410">
      <w:pPr>
        <w:rPr>
          <w:lang w:val="es-ES_tradnl"/>
        </w:rPr>
      </w:pPr>
      <w:r w:rsidRPr="00965C71">
        <w:rPr>
          <w:lang w:val="es-ES"/>
        </w:rPr>
        <w:t xml:space="preserve">La misma infraestructura mejorada </w:t>
      </w:r>
      <w:r>
        <w:rPr>
          <w:lang w:val="es-ES"/>
        </w:rPr>
        <w:t>para</w:t>
      </w:r>
      <w:r w:rsidRPr="00965C71">
        <w:rPr>
          <w:lang w:val="es-ES"/>
        </w:rPr>
        <w:t xml:space="preserve"> paquetes GPRS soporta GPRS y EDGE, por lo cual EDGE es plenamente compatible con GPRS y cualquier aplicación desarrollada para GPRS trabajará con EDGE, para lo cual reutiliza los demás elementos de la red, incluidos BSC, SGSN, GGSN y HLR. De hecho, con los despliegues GSM/GPRS más recientes, por ejemplo, los que se han realizado en las Américas, EDGE</w:t>
      </w:r>
      <w:r w:rsidRPr="00FB2410">
        <w:rPr>
          <w:rFonts w:eastAsia="SimSun"/>
          <w:vertAlign w:val="superscript"/>
        </w:rPr>
        <w:footnoteReference w:id="11"/>
      </w:r>
      <w:r>
        <w:rPr>
          <w:lang w:val="es-ES"/>
        </w:rPr>
        <w:t xml:space="preserve"> se limita a una actualización del soporte lógico de las </w:t>
      </w:r>
      <w:r w:rsidRPr="00965C71">
        <w:rPr>
          <w:lang w:val="es-ES"/>
        </w:rPr>
        <w:t xml:space="preserve">BTS y </w:t>
      </w:r>
      <w:r>
        <w:rPr>
          <w:lang w:val="es-ES"/>
        </w:rPr>
        <w:t>del</w:t>
      </w:r>
      <w:r w:rsidRPr="00965C71">
        <w:rPr>
          <w:lang w:val="es-ES"/>
        </w:rPr>
        <w:t xml:space="preserve"> BSC, puesto que los transceptores </w:t>
      </w:r>
      <w:r>
        <w:rPr>
          <w:lang w:val="es-ES"/>
        </w:rPr>
        <w:t>de</w:t>
      </w:r>
      <w:r w:rsidRPr="00965C71">
        <w:rPr>
          <w:lang w:val="es-ES"/>
        </w:rPr>
        <w:t xml:space="preserve"> estas redes ya </w:t>
      </w:r>
      <w:r>
        <w:rPr>
          <w:lang w:val="es-ES"/>
        </w:rPr>
        <w:t>soportan</w:t>
      </w:r>
      <w:r w:rsidRPr="00965C71">
        <w:rPr>
          <w:lang w:val="es-ES"/>
        </w:rPr>
        <w:t xml:space="preserve"> EDGE. </w:t>
      </w:r>
      <w:r>
        <w:rPr>
          <w:lang w:val="es-ES"/>
        </w:rPr>
        <w:t>TDMA de portadora única</w:t>
      </w:r>
      <w:r w:rsidRPr="00965C71">
        <w:rPr>
          <w:lang w:val="es-ES"/>
        </w:rPr>
        <w:t xml:space="preserve"> utiliza también los mismos canales radioeléctricos e intervalos </w:t>
      </w:r>
      <w:r>
        <w:rPr>
          <w:lang w:val="es-ES"/>
        </w:rPr>
        <w:t>de tiempo</w:t>
      </w:r>
      <w:r w:rsidRPr="00965C71">
        <w:rPr>
          <w:lang w:val="es-ES"/>
        </w:rPr>
        <w:t xml:space="preserve"> que GSM/GPRS, por lo cual no requiere contar con más recursos espectrales. Así pues, constituye una solución </w:t>
      </w:r>
      <w:r>
        <w:rPr>
          <w:lang w:val="es-ES"/>
        </w:rPr>
        <w:t>rentable</w:t>
      </w:r>
      <w:r w:rsidRPr="00965C71">
        <w:rPr>
          <w:lang w:val="es-ES"/>
        </w:rPr>
        <w:t xml:space="preserve"> para los operadores que desean </w:t>
      </w:r>
      <w:r>
        <w:rPr>
          <w:lang w:val="es-ES"/>
        </w:rPr>
        <w:t>actualizar</w:t>
      </w:r>
      <w:r w:rsidRPr="00965C71">
        <w:rPr>
          <w:lang w:val="es-ES"/>
        </w:rPr>
        <w:t xml:space="preserve"> sus sistemas a las IMT</w:t>
      </w:r>
      <w:r w:rsidRPr="00965C71">
        <w:rPr>
          <w:lang w:val="es-ES"/>
        </w:rPr>
        <w:noBreakHyphen/>
        <w:t xml:space="preserve">2000. Una vez que los operadores hayan desplegado EDGE, podrán mejorar en mayor medida su capacidad de aplicaciones desplegando el subsistema multimedios IP en sus redes básicas, lo que permitirá soportar también </w:t>
      </w:r>
      <w:r>
        <w:rPr>
          <w:lang w:val="es-ES"/>
        </w:rPr>
        <w:t>la</w:t>
      </w:r>
      <w:r w:rsidRPr="00965C71">
        <w:rPr>
          <w:lang w:val="es-ES"/>
        </w:rPr>
        <w:t xml:space="preserve"> red de acceso radioeléctrico </w:t>
      </w:r>
      <w:r>
        <w:rPr>
          <w:lang w:val="es-ES"/>
        </w:rPr>
        <w:t>CDMA IMT-2000 con ensanchamiento directo</w:t>
      </w:r>
      <w:r w:rsidRPr="00965C71">
        <w:rPr>
          <w:lang w:val="es-ES"/>
        </w:rPr>
        <w:t xml:space="preserve">. </w:t>
      </w:r>
      <w:r w:rsidRPr="00965C71">
        <w:rPr>
          <w:lang w:val="es-ES_tradnl"/>
        </w:rPr>
        <w:t>De hecho, conforme a lo expuesto a la Sección</w:t>
      </w:r>
      <w:r>
        <w:rPr>
          <w:lang w:val="es-ES_tradnl"/>
        </w:rPr>
        <w:t> </w:t>
      </w:r>
      <w:r w:rsidRPr="00965C71">
        <w:rPr>
          <w:lang w:val="es-ES_tradnl"/>
        </w:rPr>
        <w:t>9.7.1, una gran ventaja que ofrece la adición de CDMA IMT-2000 con ensanchamiento directo es que puede funcionar conjuntamente con la misma red básica que GSM/GERAN.</w:t>
      </w:r>
    </w:p>
    <w:p w:rsidR="002422D2" w:rsidRPr="00A43C05" w:rsidRDefault="00FB2410" w:rsidP="00FB2410">
      <w:pPr>
        <w:rPr>
          <w:lang w:val="es-ES_tradnl"/>
        </w:rPr>
      </w:pPr>
      <w:r w:rsidRPr="00965C71">
        <w:rPr>
          <w:lang w:val="es-ES_tradnl"/>
        </w:rPr>
        <w:t>Otra opción que ya ha sido seleccionada por muchos operadores GSM es la explotación adicional de la red de acceso radioeléctrico terrenal UMTS (UTRAN). UTRAN se explota en un nuevo espectro de frecuencias y por consiguiente mejora la capacidad de tráfico de los operado</w:t>
      </w:r>
      <w:r>
        <w:rPr>
          <w:lang w:val="es-ES_tradnl"/>
        </w:rPr>
        <w:t>res GSM existentes. Gracias a H</w:t>
      </w:r>
      <w:r w:rsidRPr="00965C71">
        <w:rPr>
          <w:lang w:val="es-ES_tradnl"/>
        </w:rPr>
        <w:t>SDPA pueden alcanzarse velocidades de datos de hasta 14</w:t>
      </w:r>
      <w:r>
        <w:rPr>
          <w:lang w:val="es-ES_tradnl"/>
        </w:rPr>
        <w:t> </w:t>
      </w:r>
      <w:proofErr w:type="spellStart"/>
      <w:r w:rsidRPr="00965C71">
        <w:rPr>
          <w:lang w:val="es-ES_tradnl"/>
        </w:rPr>
        <w:t>Mbit</w:t>
      </w:r>
      <w:proofErr w:type="spellEnd"/>
      <w:r w:rsidRPr="00965C71">
        <w:rPr>
          <w:lang w:val="es-ES_tradnl"/>
        </w:rPr>
        <w:t xml:space="preserve">/s, especialmente en entornos de </w:t>
      </w:r>
      <w:proofErr w:type="spellStart"/>
      <w:r w:rsidRPr="00965C71">
        <w:rPr>
          <w:lang w:val="es-ES_tradnl"/>
        </w:rPr>
        <w:t>microcélulas</w:t>
      </w:r>
      <w:proofErr w:type="spellEnd"/>
      <w:r w:rsidRPr="00965C71">
        <w:rPr>
          <w:lang w:val="es-ES_tradnl"/>
        </w:rPr>
        <w:t xml:space="preserve"> y </w:t>
      </w:r>
      <w:proofErr w:type="spellStart"/>
      <w:r w:rsidRPr="00965C71">
        <w:rPr>
          <w:lang w:val="es-ES_tradnl"/>
        </w:rPr>
        <w:t>picocélulas</w:t>
      </w:r>
      <w:proofErr w:type="spellEnd"/>
      <w:r w:rsidRPr="00965C71">
        <w:rPr>
          <w:lang w:val="es-ES_tradnl"/>
        </w:rPr>
        <w:t xml:space="preserve">. Si la velocidad de datos y la carga por célula se limitan a valores inferiores, UTRAN (especialmente en el modo FDD) también puede utilizarse para </w:t>
      </w:r>
      <w:r>
        <w:rPr>
          <w:lang w:val="es-ES_tradnl"/>
        </w:rPr>
        <w:t>dar</w:t>
      </w:r>
      <w:r w:rsidRPr="00965C71">
        <w:rPr>
          <w:lang w:val="es-ES_tradnl"/>
        </w:rPr>
        <w:t xml:space="preserve"> coberturas con tamaños de célula muy grandes. Los operadores GSM que no dispongan de nuevo espectro para las IMT-2000 pueden evolucionar las IMT-2000 desplegando EDGE como actualización de sus redes GSM/GPRS.</w:t>
      </w:r>
    </w:p>
    <w:p w:rsidR="002422D2" w:rsidRPr="00A43C05" w:rsidRDefault="002422D2" w:rsidP="00FB2410">
      <w:pPr>
        <w:pStyle w:val="Heading3"/>
        <w:rPr>
          <w:lang w:val="es-ES_tradnl"/>
        </w:rPr>
      </w:pPr>
      <w:bookmarkStart w:id="476" w:name="_Toc236826249"/>
      <w:bookmarkStart w:id="477" w:name="_Toc255292556"/>
      <w:bookmarkStart w:id="478" w:name="_Toc259024259"/>
      <w:r w:rsidRPr="00A43C05">
        <w:rPr>
          <w:lang w:val="es-ES_tradnl"/>
        </w:rPr>
        <w:t>9.7.4</w:t>
      </w:r>
      <w:r w:rsidRPr="00A43C05">
        <w:rPr>
          <w:lang w:val="es-ES_tradnl"/>
        </w:rPr>
        <w:tab/>
      </w:r>
      <w:bookmarkEnd w:id="476"/>
      <w:bookmarkEnd w:id="477"/>
      <w:r w:rsidR="00FB2410" w:rsidRPr="00FB2410">
        <w:rPr>
          <w:lang w:val="es-ES"/>
        </w:rPr>
        <w:t>Transición a OFDMA TDD WMAN IMT-2000</w:t>
      </w:r>
      <w:bookmarkEnd w:id="478"/>
    </w:p>
    <w:p w:rsidR="00FB2410" w:rsidRPr="00965C71" w:rsidRDefault="00FB2410" w:rsidP="00FB2410">
      <w:pPr>
        <w:rPr>
          <w:lang w:val="es-ES_tradnl"/>
        </w:rPr>
      </w:pPr>
      <w:r w:rsidRPr="00965C71">
        <w:rPr>
          <w:lang w:val="es-ES_tradnl"/>
        </w:rPr>
        <w:t xml:space="preserve">Los operadores GSM pueden optar por efectuar la transición directamente a </w:t>
      </w:r>
      <w:r>
        <w:rPr>
          <w:lang w:val="es-ES_tradnl"/>
        </w:rPr>
        <w:t>OFDMA TDD WMAN IMT</w:t>
      </w:r>
      <w:r>
        <w:rPr>
          <w:lang w:val="es-ES_tradnl"/>
        </w:rPr>
        <w:noBreakHyphen/>
        <w:t>2000</w:t>
      </w:r>
      <w:r w:rsidRPr="00965C71">
        <w:rPr>
          <w:lang w:val="es-ES_tradnl"/>
        </w:rPr>
        <w:t>. La adición de una red móvil de superposición de datos en banda ancha OFDMA-MIMO</w:t>
      </w:r>
      <w:r>
        <w:rPr>
          <w:lang w:val="es-ES_tradnl"/>
        </w:rPr>
        <w:t xml:space="preserve"> superpuesta</w:t>
      </w:r>
      <w:r w:rsidRPr="00965C71">
        <w:rPr>
          <w:lang w:val="es-ES_tradnl"/>
        </w:rPr>
        <w:t xml:space="preserve"> </w:t>
      </w:r>
      <w:r>
        <w:rPr>
          <w:lang w:val="es-ES_tradnl"/>
        </w:rPr>
        <w:t>conlleva</w:t>
      </w:r>
      <w:r w:rsidRPr="00965C71">
        <w:rPr>
          <w:lang w:val="es-ES_tradnl"/>
        </w:rPr>
        <w:t xml:space="preserve"> la instalación de nuevas tarjetas de línea y clientes de la estación base, así como actualizaciones de la red básica para soportar grandes cantidades de tráfico IP (protocolo de Internet). Los operadores GSM pueden instalar los equipos </w:t>
      </w:r>
      <w:proofErr w:type="spellStart"/>
      <w:r w:rsidRPr="00965C71">
        <w:rPr>
          <w:lang w:val="es-ES_tradnl"/>
        </w:rPr>
        <w:t>WiMAX</w:t>
      </w:r>
      <w:proofErr w:type="spellEnd"/>
      <w:r w:rsidRPr="00965C71">
        <w:rPr>
          <w:lang w:val="es-ES_tradnl"/>
        </w:rPr>
        <w:t xml:space="preserve"> de la estación base en </w:t>
      </w:r>
      <w:r>
        <w:rPr>
          <w:lang w:val="es-ES_tradnl"/>
        </w:rPr>
        <w:t>los mismos</w:t>
      </w:r>
      <w:r w:rsidRPr="00965C71">
        <w:rPr>
          <w:lang w:val="es-ES_tradnl"/>
        </w:rPr>
        <w:t xml:space="preserve"> emplazamientos </w:t>
      </w:r>
      <w:r>
        <w:rPr>
          <w:lang w:val="es-ES_tradnl"/>
        </w:rPr>
        <w:t>que las</w:t>
      </w:r>
      <w:r w:rsidRPr="00965C71">
        <w:rPr>
          <w:lang w:val="es-ES_tradnl"/>
        </w:rPr>
        <w:t xml:space="preserve"> células 2G. En las instalaciones móviles </w:t>
      </w:r>
      <w:proofErr w:type="spellStart"/>
      <w:r w:rsidRPr="00965C71">
        <w:rPr>
          <w:lang w:val="es-ES_tradnl"/>
        </w:rPr>
        <w:t>WiMAX</w:t>
      </w:r>
      <w:proofErr w:type="spellEnd"/>
      <w:r w:rsidRPr="00965C71">
        <w:rPr>
          <w:lang w:val="es-ES_tradnl"/>
        </w:rPr>
        <w:t xml:space="preserve"> </w:t>
      </w:r>
      <w:r>
        <w:rPr>
          <w:lang w:val="es-ES_tradnl"/>
        </w:rPr>
        <w:t>comercializadas</w:t>
      </w:r>
      <w:r w:rsidRPr="00965C71">
        <w:rPr>
          <w:lang w:val="es-ES_tradnl"/>
        </w:rPr>
        <w:t xml:space="preserve"> hasta la fecha, el índice de reutilización de emplazamiento</w:t>
      </w:r>
      <w:r>
        <w:rPr>
          <w:lang w:val="es-ES_tradnl"/>
        </w:rPr>
        <w:t xml:space="preserve">s de </w:t>
      </w:r>
      <w:r w:rsidRPr="00965C71">
        <w:rPr>
          <w:lang w:val="es-ES_tradnl"/>
        </w:rPr>
        <w:t>célula más representativo se ha situado en torno al 70%.</w:t>
      </w:r>
      <w:r w:rsidRPr="00965C71">
        <w:rPr>
          <w:rStyle w:val="A4"/>
          <w:sz w:val="19"/>
          <w:szCs w:val="19"/>
          <w:lang w:val="es-ES_tradnl"/>
        </w:rPr>
        <w:t xml:space="preserve"> </w:t>
      </w:r>
    </w:p>
    <w:p w:rsidR="00FB2410" w:rsidRPr="00965C71" w:rsidRDefault="00FB2410" w:rsidP="00FB2410">
      <w:pPr>
        <w:rPr>
          <w:lang w:val="es-ES_tradnl"/>
        </w:rPr>
      </w:pPr>
      <w:r w:rsidRPr="00965C71">
        <w:rPr>
          <w:lang w:val="es-ES_tradnl"/>
        </w:rPr>
        <w:t xml:space="preserve">Una vez que la red de de datos </w:t>
      </w:r>
      <w:r>
        <w:rPr>
          <w:lang w:val="es-ES_tradnl"/>
        </w:rPr>
        <w:t xml:space="preserve">superpuesta </w:t>
      </w:r>
      <w:r w:rsidRPr="00965C71">
        <w:rPr>
          <w:lang w:val="es-ES_tradnl"/>
        </w:rPr>
        <w:t xml:space="preserve">está instalada, los operadores pueden ofrecer dispositivos </w:t>
      </w:r>
      <w:proofErr w:type="spellStart"/>
      <w:r w:rsidRPr="00965C71">
        <w:rPr>
          <w:lang w:val="es-ES_tradnl"/>
        </w:rPr>
        <w:t>multimodo</w:t>
      </w:r>
      <w:proofErr w:type="spellEnd"/>
      <w:r w:rsidRPr="00965C71">
        <w:rPr>
          <w:lang w:val="es-ES_tradnl"/>
        </w:rPr>
        <w:t xml:space="preserve"> ya que parece lógico habilitar la </w:t>
      </w:r>
      <w:proofErr w:type="spellStart"/>
      <w:r w:rsidRPr="00965C71">
        <w:rPr>
          <w:lang w:val="es-ES_tradnl"/>
        </w:rPr>
        <w:t>itinerancia</w:t>
      </w:r>
      <w:proofErr w:type="spellEnd"/>
      <w:r w:rsidRPr="00965C71">
        <w:rPr>
          <w:lang w:val="es-ES_tradnl"/>
        </w:rPr>
        <w:t xml:space="preserve"> sin solución de continuidad entre sus redes optimizadas para voz y datos, como se ha indicado anteriormente.</w:t>
      </w:r>
    </w:p>
    <w:p w:rsidR="002422D2" w:rsidRPr="00A43C05" w:rsidRDefault="00FB2410" w:rsidP="00FB2410">
      <w:pPr>
        <w:rPr>
          <w:lang w:val="es-ES_tradnl"/>
        </w:rPr>
      </w:pPr>
      <w:r w:rsidRPr="00965C71">
        <w:rPr>
          <w:lang w:val="es-ES_tradnl"/>
        </w:rPr>
        <w:t xml:space="preserve">La red básica con IMS </w:t>
      </w:r>
      <w:r>
        <w:rPr>
          <w:lang w:val="es-ES_tradnl"/>
        </w:rPr>
        <w:t>permite</w:t>
      </w:r>
      <w:r w:rsidRPr="00965C71">
        <w:rPr>
          <w:lang w:val="es-ES_tradnl"/>
        </w:rPr>
        <w:t xml:space="preserve"> el </w:t>
      </w:r>
      <w:proofErr w:type="spellStart"/>
      <w:r w:rsidRPr="00965C71">
        <w:rPr>
          <w:lang w:val="es-ES_tradnl"/>
        </w:rPr>
        <w:t>interfuncionamiento</w:t>
      </w:r>
      <w:proofErr w:type="spellEnd"/>
      <w:r w:rsidRPr="00965C71">
        <w:rPr>
          <w:lang w:val="es-ES_tradnl"/>
        </w:rPr>
        <w:t xml:space="preserve"> entre las redes con </w:t>
      </w:r>
      <w:proofErr w:type="spellStart"/>
      <w:r w:rsidRPr="00965C71">
        <w:rPr>
          <w:lang w:val="es-ES_tradnl"/>
        </w:rPr>
        <w:t>WiMAX</w:t>
      </w:r>
      <w:proofErr w:type="spellEnd"/>
      <w:r w:rsidRPr="00965C71">
        <w:rPr>
          <w:lang w:val="es-ES_tradnl"/>
        </w:rPr>
        <w:t xml:space="preserve"> y 3GPP (GSM, UMTS</w:t>
      </w:r>
      <w:r w:rsidR="005F00F1">
        <w:rPr>
          <w:lang w:val="es-ES_tradnl"/>
        </w:rPr>
        <w:t>,</w:t>
      </w:r>
      <w:r w:rsidRPr="00965C71">
        <w:rPr>
          <w:lang w:val="es-ES_tradnl"/>
        </w:rPr>
        <w:t xml:space="preserve"> etc.)</w:t>
      </w:r>
    </w:p>
    <w:p w:rsidR="002422D2" w:rsidRPr="00A43C05" w:rsidRDefault="002422D2" w:rsidP="00FB2410">
      <w:pPr>
        <w:pStyle w:val="Heading2"/>
        <w:rPr>
          <w:lang w:val="es-ES_tradnl"/>
        </w:rPr>
      </w:pPr>
      <w:bookmarkStart w:id="479" w:name="_Toc44438582"/>
      <w:bookmarkStart w:id="480" w:name="_Toc44446797"/>
      <w:bookmarkStart w:id="481" w:name="_Toc53323445"/>
      <w:bookmarkStart w:id="482" w:name="_Toc63611643"/>
      <w:bookmarkStart w:id="483" w:name="_Toc89083717"/>
      <w:bookmarkStart w:id="484" w:name="_Toc92878226"/>
      <w:bookmarkStart w:id="485" w:name="_Toc101931288"/>
      <w:bookmarkStart w:id="486" w:name="_Toc103399307"/>
      <w:bookmarkStart w:id="487" w:name="_Toc103400385"/>
      <w:bookmarkStart w:id="488" w:name="_Toc103400849"/>
      <w:bookmarkStart w:id="489" w:name="_Toc103401313"/>
      <w:bookmarkStart w:id="490" w:name="_Toc103401778"/>
      <w:bookmarkStart w:id="491" w:name="_Toc103402244"/>
      <w:bookmarkStart w:id="492" w:name="_Toc103402709"/>
      <w:bookmarkStart w:id="493" w:name="_Toc103403474"/>
      <w:bookmarkStart w:id="494" w:name="_Toc103421244"/>
      <w:bookmarkStart w:id="495" w:name="_Toc103528418"/>
      <w:bookmarkStart w:id="496" w:name="_Toc236826250"/>
      <w:bookmarkStart w:id="497" w:name="_Toc255292557"/>
      <w:bookmarkStart w:id="498" w:name="_Toc259024260"/>
      <w:r w:rsidRPr="00A43C05">
        <w:rPr>
          <w:lang w:val="es-ES_tradnl"/>
        </w:rPr>
        <w:t>9.8</w:t>
      </w:r>
      <w:r w:rsidRPr="00A43C05">
        <w:rPr>
          <w:lang w:val="es-ES_tradnl"/>
        </w:rPr>
        <w:tab/>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00FB2410" w:rsidRPr="00FB2410">
        <w:rPr>
          <w:lang w:val="es-ES_tradnl"/>
        </w:rPr>
        <w:t>Capacidad de planificación y diseño del sistema</w:t>
      </w:r>
      <w:bookmarkEnd w:id="498"/>
    </w:p>
    <w:p w:rsidR="00FB2410" w:rsidRPr="00965C71" w:rsidRDefault="00FB2410" w:rsidP="00FB2410">
      <w:pPr>
        <w:rPr>
          <w:lang w:val="es-ES"/>
        </w:rPr>
      </w:pPr>
      <w:r w:rsidRPr="00965C71">
        <w:rPr>
          <w:lang w:val="es-ES"/>
        </w:rPr>
        <w:t xml:space="preserve">Una vez </w:t>
      </w:r>
      <w:r>
        <w:rPr>
          <w:lang w:val="es-ES"/>
        </w:rPr>
        <w:t>acordada</w:t>
      </w:r>
      <w:r w:rsidRPr="00965C71">
        <w:rPr>
          <w:lang w:val="es-ES"/>
        </w:rPr>
        <w:t xml:space="preserve"> la especificación de alto nivel de la red, podrá iniciarse la planificación de </w:t>
      </w:r>
      <w:r>
        <w:rPr>
          <w:lang w:val="es-ES"/>
        </w:rPr>
        <w:t>su</w:t>
      </w:r>
      <w:r w:rsidRPr="00965C71">
        <w:rPr>
          <w:lang w:val="es-ES"/>
        </w:rPr>
        <w:t xml:space="preserve"> capacidad.</w:t>
      </w:r>
    </w:p>
    <w:p w:rsidR="00FB2410" w:rsidRPr="00965C71" w:rsidRDefault="00FB2410" w:rsidP="00FB2410">
      <w:pPr>
        <w:rPr>
          <w:lang w:val="es-ES"/>
        </w:rPr>
      </w:pPr>
      <w:r w:rsidRPr="00965C71">
        <w:rPr>
          <w:lang w:val="es-ES"/>
        </w:rPr>
        <w:t xml:space="preserve">La planificación de la capacidad </w:t>
      </w:r>
      <w:r>
        <w:rPr>
          <w:lang w:val="es-ES"/>
        </w:rPr>
        <w:t>comprende la de</w:t>
      </w:r>
      <w:r w:rsidRPr="00965C71">
        <w:rPr>
          <w:lang w:val="es-ES"/>
        </w:rPr>
        <w:t xml:space="preserve"> la red básica y la de la red de acceso radioeléctrico. </w:t>
      </w:r>
      <w:r>
        <w:rPr>
          <w:lang w:val="es-ES"/>
        </w:rPr>
        <w:t>En</w:t>
      </w:r>
      <w:r w:rsidRPr="00965C71">
        <w:rPr>
          <w:lang w:val="es-ES"/>
        </w:rPr>
        <w:t xml:space="preserve"> un primer ejercicio de dimensionamiento, se determinan las características esenciales de la topología de la red requerida, esto es, en la mayoría de los casos, la índole y el número de los módulos de sistema necesarios.</w:t>
      </w:r>
    </w:p>
    <w:p w:rsidR="00FB2410" w:rsidRPr="00965C71" w:rsidRDefault="00FB2410" w:rsidP="00FB2410">
      <w:pPr>
        <w:rPr>
          <w:lang w:val="es-ES"/>
        </w:rPr>
      </w:pPr>
      <w:r>
        <w:rPr>
          <w:lang w:val="es-ES"/>
        </w:rPr>
        <w:t>Post</w:t>
      </w:r>
      <w:r w:rsidRPr="00965C71">
        <w:rPr>
          <w:lang w:val="es-ES"/>
        </w:rPr>
        <w:t>eriormente</w:t>
      </w:r>
      <w:r>
        <w:rPr>
          <w:lang w:val="es-ES"/>
        </w:rPr>
        <w:t>,</w:t>
      </w:r>
      <w:r w:rsidRPr="00965C71">
        <w:rPr>
          <w:lang w:val="es-ES"/>
        </w:rPr>
        <w:t xml:space="preserve"> aplicando el modelo de dimensionamiento, se planifican detalladamente la red básica y la red de acceso radioeléctrico.</w:t>
      </w:r>
    </w:p>
    <w:p w:rsidR="00FB2410" w:rsidRPr="00965C71" w:rsidRDefault="00FB2410" w:rsidP="00FB2410">
      <w:pPr>
        <w:rPr>
          <w:lang w:val="es-ES"/>
        </w:rPr>
      </w:pPr>
      <w:r>
        <w:rPr>
          <w:lang w:val="es-ES"/>
        </w:rPr>
        <w:lastRenderedPageBreak/>
        <w:t>Se determina el emplazamiento</w:t>
      </w:r>
      <w:r w:rsidRPr="00965C71">
        <w:rPr>
          <w:lang w:val="es-ES"/>
        </w:rPr>
        <w:t xml:space="preserve"> de los principales elementos de la red básica y se identifica la capacidad de transmisión requerida entre cada uno de estos lugares.</w:t>
      </w:r>
    </w:p>
    <w:p w:rsidR="00FB2410" w:rsidRPr="00965C71" w:rsidRDefault="00FB2410" w:rsidP="00FB2410">
      <w:pPr>
        <w:rPr>
          <w:lang w:val="es-ES"/>
        </w:rPr>
      </w:pPr>
      <w:r w:rsidRPr="00965C71">
        <w:rPr>
          <w:lang w:val="es-ES"/>
        </w:rPr>
        <w:t xml:space="preserve">Se definen </w:t>
      </w:r>
      <w:r>
        <w:rPr>
          <w:lang w:val="es-ES"/>
        </w:rPr>
        <w:t>el emplazamiento de</w:t>
      </w:r>
      <w:r w:rsidRPr="00965C71">
        <w:rPr>
          <w:lang w:val="es-ES"/>
        </w:rPr>
        <w:t xml:space="preserve"> las </w:t>
      </w:r>
      <w:r>
        <w:rPr>
          <w:lang w:val="es-ES"/>
        </w:rPr>
        <w:t>estaciones de base</w:t>
      </w:r>
      <w:r w:rsidRPr="00965C71">
        <w:rPr>
          <w:lang w:val="es-ES"/>
        </w:rPr>
        <w:t xml:space="preserve">, lo que se hace normalmente en torno a la topografía de red ya existente, y en caso necesario se incluyen </w:t>
      </w:r>
      <w:r>
        <w:rPr>
          <w:lang w:val="es-ES"/>
        </w:rPr>
        <w:t>emplazamientos para</w:t>
      </w:r>
      <w:r w:rsidRPr="00965C71">
        <w:rPr>
          <w:lang w:val="es-ES"/>
        </w:rPr>
        <w:t xml:space="preserve"> </w:t>
      </w:r>
      <w:r>
        <w:rPr>
          <w:lang w:val="es-ES"/>
        </w:rPr>
        <w:t>estación de base adicionales cuando sea necesario para alcanzar</w:t>
      </w:r>
      <w:r w:rsidRPr="00965C71">
        <w:rPr>
          <w:lang w:val="es-ES"/>
        </w:rPr>
        <w:t xml:space="preserve"> la cobertura y capacidad requeridas.</w:t>
      </w:r>
    </w:p>
    <w:p w:rsidR="00FB2410" w:rsidRPr="00965C71" w:rsidRDefault="00FB2410" w:rsidP="00FB2410">
      <w:pPr>
        <w:rPr>
          <w:lang w:val="es-ES"/>
        </w:rPr>
      </w:pPr>
      <w:r w:rsidRPr="00965C71">
        <w:rPr>
          <w:lang w:val="es-ES"/>
        </w:rPr>
        <w:t>A continuación, se verifica</w:t>
      </w:r>
      <w:r>
        <w:rPr>
          <w:lang w:val="es-ES"/>
        </w:rPr>
        <w:t>n</w:t>
      </w:r>
      <w:r w:rsidRPr="00965C71">
        <w:rPr>
          <w:lang w:val="es-ES"/>
        </w:rPr>
        <w:t xml:space="preserve"> la cobertura y la capacidad utilizando varios instrumentos de planificación radioeléctrica. Se prepara un plan de red de radiocomunicaciones y se verifica la carga </w:t>
      </w:r>
      <w:r>
        <w:rPr>
          <w:lang w:val="es-ES"/>
        </w:rPr>
        <w:t>de</w:t>
      </w:r>
      <w:r w:rsidRPr="00965C71">
        <w:rPr>
          <w:lang w:val="es-ES"/>
        </w:rPr>
        <w:t xml:space="preserve"> la red radioeléctrica. Acto seguido, se verifica la calidad de servicio, el traspaso con continuidad y la respiración de célula.</w:t>
      </w:r>
    </w:p>
    <w:p w:rsidR="002422D2" w:rsidRPr="00A43C05" w:rsidRDefault="00FB2410" w:rsidP="00FB2410">
      <w:pPr>
        <w:rPr>
          <w:lang w:val="es-ES_tradnl"/>
        </w:rPr>
      </w:pPr>
      <w:r w:rsidRPr="00965C71">
        <w:rPr>
          <w:lang w:val="es-ES_tradnl"/>
        </w:rPr>
        <w:t>Los equipos de las infraestructuras IMT-2000 disponibles suelen estar basados en un diseño</w:t>
      </w:r>
      <w:r w:rsidRPr="001C0E26">
        <w:rPr>
          <w:lang w:val="es-ES_tradnl"/>
        </w:rPr>
        <w:t xml:space="preserve"> </w:t>
      </w:r>
      <w:r w:rsidRPr="00965C71">
        <w:rPr>
          <w:lang w:val="es-ES_tradnl"/>
        </w:rPr>
        <w:t>modular de</w:t>
      </w:r>
      <w:r>
        <w:rPr>
          <w:lang w:val="es-ES_tradnl"/>
        </w:rPr>
        <w:t>l</w:t>
      </w:r>
      <w:r w:rsidRPr="00965C71">
        <w:rPr>
          <w:lang w:val="es-ES_tradnl"/>
        </w:rPr>
        <w:t xml:space="preserve"> sistema. Una vez confirmada las especificaciones de red de alto nivel (cobertura, tráfico, oferta de servicios, etc.) se dimensiona la implementación física de la red utilizando el adecuado conjunto de módulos.</w:t>
      </w:r>
    </w:p>
    <w:p w:rsidR="002422D2" w:rsidRPr="00A43C05" w:rsidRDefault="002422D2" w:rsidP="00FB2410">
      <w:pPr>
        <w:pStyle w:val="Heading1"/>
        <w:rPr>
          <w:lang w:val="es-ES_tradnl"/>
        </w:rPr>
      </w:pPr>
      <w:bookmarkStart w:id="499" w:name="_Toc236826251"/>
      <w:bookmarkStart w:id="500" w:name="_Toc255292558"/>
      <w:bookmarkStart w:id="501" w:name="_Toc259024261"/>
      <w:r w:rsidRPr="00A43C05">
        <w:rPr>
          <w:lang w:val="es-ES_tradnl"/>
        </w:rPr>
        <w:t>10</w:t>
      </w:r>
      <w:r w:rsidRPr="00A43C05">
        <w:rPr>
          <w:lang w:val="es-ES_tradnl"/>
        </w:rPr>
        <w:tab/>
      </w:r>
      <w:bookmarkEnd w:id="499"/>
      <w:bookmarkEnd w:id="500"/>
      <w:r w:rsidR="00FB2410" w:rsidRPr="00FB2410">
        <w:rPr>
          <w:lang w:val="es-ES_tradnl"/>
        </w:rPr>
        <w:t>Cuestiones diversas</w:t>
      </w:r>
      <w:bookmarkEnd w:id="501"/>
    </w:p>
    <w:p w:rsidR="002422D2" w:rsidRPr="00A43C05" w:rsidRDefault="002422D2" w:rsidP="00FB2410">
      <w:pPr>
        <w:pStyle w:val="Heading2"/>
        <w:rPr>
          <w:lang w:val="es-ES_tradnl"/>
        </w:rPr>
      </w:pPr>
      <w:bookmarkStart w:id="502" w:name="_Toc236826252"/>
      <w:bookmarkStart w:id="503" w:name="_Toc255292559"/>
      <w:bookmarkStart w:id="504" w:name="_Toc259024262"/>
      <w:r w:rsidRPr="00A43C05">
        <w:rPr>
          <w:lang w:val="es-ES_tradnl"/>
        </w:rPr>
        <w:t>10.1</w:t>
      </w:r>
      <w:r w:rsidRPr="00A43C05">
        <w:rPr>
          <w:lang w:val="es-ES_tradnl"/>
        </w:rPr>
        <w:tab/>
      </w:r>
      <w:bookmarkEnd w:id="502"/>
      <w:bookmarkEnd w:id="503"/>
      <w:r w:rsidR="00FB2410" w:rsidRPr="00FB2410">
        <w:rPr>
          <w:lang w:val="es-ES_tradnl"/>
        </w:rPr>
        <w:t>Redistribución por satélite</w:t>
      </w:r>
      <w:bookmarkEnd w:id="504"/>
    </w:p>
    <w:p w:rsidR="00FB2410" w:rsidRPr="00965C71" w:rsidRDefault="00FB2410" w:rsidP="00FB2410">
      <w:pPr>
        <w:rPr>
          <w:lang w:val="es-ES_tradnl"/>
        </w:rPr>
      </w:pPr>
      <w:r w:rsidRPr="00965C71">
        <w:rPr>
          <w:lang w:val="es-ES_tradnl"/>
        </w:rPr>
        <w:t xml:space="preserve">La redistribución por satélite ha desempeñado una importante </w:t>
      </w:r>
      <w:r>
        <w:rPr>
          <w:lang w:val="es-ES_tradnl"/>
        </w:rPr>
        <w:t>función</w:t>
      </w:r>
      <w:r w:rsidRPr="00965C71">
        <w:rPr>
          <w:lang w:val="es-ES_tradnl"/>
        </w:rPr>
        <w:t xml:space="preserve"> en la ampliación del alcance y cobertura de las redes de telefonía móvil de todo el mundo, especialmente en los mercados en desarrollo. El progreso tecnológico ha permitido encontrar soluciones satelitales </w:t>
      </w:r>
      <w:r>
        <w:rPr>
          <w:lang w:val="es-ES_tradnl"/>
        </w:rPr>
        <w:t xml:space="preserve">más </w:t>
      </w:r>
      <w:r w:rsidRPr="00965C71">
        <w:rPr>
          <w:lang w:val="es-ES_tradnl"/>
        </w:rPr>
        <w:t xml:space="preserve">rentables y robustas que se han integrado como componentes del despliegue de las redes móviles. En la transición de los países a las IMT-2000, la redistribución por satélite continuará desempeñando una función como proveedora de conectividad </w:t>
      </w:r>
      <w:r>
        <w:rPr>
          <w:lang w:val="es-ES_tradnl"/>
        </w:rPr>
        <w:t>para</w:t>
      </w:r>
      <w:r w:rsidRPr="00965C71">
        <w:rPr>
          <w:lang w:val="es-ES_tradnl"/>
        </w:rPr>
        <w:t xml:space="preserve"> las regiones en la que la tecnología de fibra</w:t>
      </w:r>
      <w:r>
        <w:rPr>
          <w:lang w:val="es-ES_tradnl"/>
        </w:rPr>
        <w:t>,</w:t>
      </w:r>
      <w:r w:rsidRPr="00965C71">
        <w:rPr>
          <w:lang w:val="es-ES_tradnl"/>
        </w:rPr>
        <w:t xml:space="preserve"> o la inalámbrica terrena</w:t>
      </w:r>
      <w:r>
        <w:rPr>
          <w:lang w:val="es-ES_tradnl"/>
        </w:rPr>
        <w:t>l,</w:t>
      </w:r>
      <w:r w:rsidRPr="00965C71">
        <w:rPr>
          <w:lang w:val="es-ES_tradnl"/>
        </w:rPr>
        <w:t xml:space="preserve"> por sí sola no constituye una solución económicamente viable. </w:t>
      </w:r>
    </w:p>
    <w:p w:rsidR="00FB2410" w:rsidRPr="00965C71" w:rsidRDefault="00FB2410" w:rsidP="00FB2410">
      <w:pPr>
        <w:rPr>
          <w:lang w:val="es-ES_tradnl"/>
        </w:rPr>
      </w:pPr>
      <w:r w:rsidRPr="00965C71">
        <w:rPr>
          <w:lang w:val="es-ES_tradnl"/>
        </w:rPr>
        <w:t>La utilización de la redistribución por satélite para ampliar las redes IMT-2000 es ventajosa en cuanto a cobertura, costo, seguridad y redundancia. Los satélites de órbita geoestacionaria (OSG) pueden ofrecer servicios de redistribución para regiones grandes con un gasto mínimo en infraestructuras. Las soluciones de redistribución por satélite permiten a los operadores situar las estaciones IMT-2000 de base en los lugares más ventajosos para los ciudadanos, sin prestar excesiva atención a las limitaciones que suelen afectar al despliegue de las IMT-2000 debido al emplazamiento de las infraestructuras terrenales.</w:t>
      </w:r>
    </w:p>
    <w:p w:rsidR="000708C0" w:rsidRDefault="00FB2410" w:rsidP="00FB2410">
      <w:pPr>
        <w:rPr>
          <w:lang w:val="es-ES_tradnl"/>
        </w:rPr>
      </w:pPr>
      <w:r w:rsidRPr="00965C71">
        <w:rPr>
          <w:lang w:val="es-ES_tradnl"/>
        </w:rPr>
        <w:t>La utilización de la redistribución por satélite también ofrece redundancia de conectividad. Si se daña</w:t>
      </w:r>
      <w:r>
        <w:rPr>
          <w:lang w:val="es-ES_tradnl"/>
        </w:rPr>
        <w:t>se</w:t>
      </w:r>
      <w:r w:rsidRPr="00965C71">
        <w:rPr>
          <w:lang w:val="es-ES_tradnl"/>
        </w:rPr>
        <w:t xml:space="preserve"> la red troncal de fibra óptica las estaciones terrenales de base </w:t>
      </w:r>
      <w:r>
        <w:rPr>
          <w:lang w:val="es-ES_tradnl"/>
        </w:rPr>
        <w:t>podrían</w:t>
      </w:r>
      <w:r w:rsidRPr="00965C71">
        <w:rPr>
          <w:lang w:val="es-ES_tradnl"/>
        </w:rPr>
        <w:t xml:space="preserve"> quedar desconectadas de redes </w:t>
      </w:r>
      <w:r>
        <w:rPr>
          <w:lang w:val="es-ES_tradnl"/>
        </w:rPr>
        <w:t>indispensables</w:t>
      </w:r>
      <w:r w:rsidRPr="00965C71">
        <w:rPr>
          <w:lang w:val="es-ES_tradnl"/>
        </w:rPr>
        <w:t xml:space="preserve">, mientras que la diversidad suplementaria que proporciona la redistribución por satélite garantiza </w:t>
      </w:r>
      <w:r>
        <w:rPr>
          <w:lang w:val="es-ES_tradnl"/>
        </w:rPr>
        <w:t>la integridad de</w:t>
      </w:r>
      <w:r w:rsidRPr="00965C71">
        <w:rPr>
          <w:lang w:val="es-ES_tradnl"/>
        </w:rPr>
        <w:t xml:space="preserve"> la conectividad, incluso en el caso de que las infraestructuras terrenales queden gravemente dañadas. Esta diversidad permite que cada una de las </w:t>
      </w:r>
      <w:r>
        <w:rPr>
          <w:lang w:val="es-ES_tradnl"/>
        </w:rPr>
        <w:t>estaciones de base con capacidad de acceso</w:t>
      </w:r>
      <w:r w:rsidRPr="00965C71">
        <w:rPr>
          <w:lang w:val="es-ES_tradnl"/>
        </w:rPr>
        <w:t xml:space="preserve"> a la redistribución por satélite funcione </w:t>
      </w:r>
      <w:r>
        <w:rPr>
          <w:lang w:val="es-ES_tradnl"/>
        </w:rPr>
        <w:t>con independencia</w:t>
      </w:r>
      <w:r w:rsidRPr="00965C71">
        <w:rPr>
          <w:lang w:val="es-ES_tradnl"/>
        </w:rPr>
        <w:t xml:space="preserve"> de acontecimientos </w:t>
      </w:r>
      <w:r>
        <w:rPr>
          <w:lang w:val="es-ES_tradnl"/>
        </w:rPr>
        <w:t>de ámbito regional,</w:t>
      </w:r>
      <w:r w:rsidRPr="00965C71">
        <w:rPr>
          <w:lang w:val="es-ES_tradnl"/>
        </w:rPr>
        <w:t xml:space="preserve"> tales como </w:t>
      </w:r>
      <w:r>
        <w:rPr>
          <w:lang w:val="es-ES_tradnl"/>
        </w:rPr>
        <w:t xml:space="preserve">las </w:t>
      </w:r>
      <w:r w:rsidRPr="00965C71">
        <w:rPr>
          <w:lang w:val="es-ES_tradnl"/>
        </w:rPr>
        <w:t>catástrofes naturales, que pueden provocar daños importantes a las infraestructuras locales y regionales.</w:t>
      </w:r>
    </w:p>
    <w:p w:rsidR="00863244" w:rsidRPr="00A43C05" w:rsidRDefault="00863244" w:rsidP="00863244">
      <w:pPr>
        <w:pStyle w:val="FigureTitle"/>
        <w:rPr>
          <w:lang w:val="es-ES_tradnl"/>
        </w:rPr>
      </w:pPr>
    </w:p>
    <w:p w:rsidR="00FB2410" w:rsidRPr="00965C71" w:rsidRDefault="002D71A8" w:rsidP="00FB2410">
      <w:pPr>
        <w:rPr>
          <w:sz w:val="19"/>
          <w:szCs w:val="19"/>
          <w:lang w:val="es-ES_tradnl"/>
        </w:rPr>
      </w:pPr>
      <w:r w:rsidRPr="002D71A8">
        <w:rPr>
          <w:sz w:val="19"/>
          <w:szCs w:val="19"/>
          <w:lang w:val="es-ES_tradnl"/>
        </w:rPr>
      </w:r>
      <w:r>
        <w:rPr>
          <w:sz w:val="19"/>
          <w:szCs w:val="19"/>
          <w:lang w:val="es-ES_tradnl"/>
        </w:rPr>
        <w:pict>
          <v:group id="_x0000_s40059" editas="canvas" style="width:481.85pt;height:290.9pt;mso-position-horizontal-relative:char;mso-position-vertical-relative:line" coordorigin="1134,1658" coordsize="9637,5818">
            <o:lock v:ext="edit" aspectratio="t"/>
            <v:shape id="_x0000_s40060" type="#_x0000_t75" style="position:absolute;left:1134;top:1658;width:9637;height:5818" o:preferrelative="f">
              <v:fill o:detectmouseclick="t"/>
              <v:path o:extrusionok="t" o:connecttype="none"/>
              <o:lock v:ext="edit" text="t"/>
            </v:shape>
            <v:line id="_x0000_s40061" style="position:absolute;flip:y" from="2081,4573" to="2081,4709"/>
            <v:group id="_x0000_s40062" style="position:absolute;left:4286;top:2926;width:922;height:337" coordorigin="1947,1719" coordsize="526,192">
              <v:group id="_x0000_s40063" style="position:absolute;left:1947;top:1719;width:68;height:192" coordorigin="1947,1725" coordsize="68,192">
                <v:group id="_x0000_s40064" style="position:absolute;left:1947;top:1725;width:68;height:192" coordorigin="1392,1728" coordsize="480,192">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40065" type="#_x0000_t19" style="position:absolute;left:1824;top:1728;width:48;height:192;v-text-anchor:middle" filled="t" fillcolor="#f96"/>
                  <v:shape id="_x0000_s40066" type="#_x0000_t19" style="position:absolute;left:1392;top:1728;width:48;height:192;flip:x;v-text-anchor:middle" filled="t" fillcolor="#f96"/>
                  <v:line id="_x0000_s40067" style="position:absolute" from="1440,1728" to="1824,1728"/>
                </v:group>
                <v:rect id="_x0000_s40068" style="position:absolute;left:1954;top:1726;width:56;height:190;v-text-anchor:middle" fillcolor="#f96" stroked="f"/>
              </v:group>
              <v:group id="_x0000_s40069" style="position:absolute;left:2038;top:1719;width:68;height:192" coordorigin="1947,1725" coordsize="68,192">
                <v:group id="_x0000_s40070" style="position:absolute;left:1947;top:1725;width:68;height:192" coordorigin="1392,1728" coordsize="480,192">
                  <v:shape id="_x0000_s40071" type="#_x0000_t19" style="position:absolute;left:1824;top:1728;width:48;height:192;v-text-anchor:middle" filled="t" fillcolor="#f96"/>
                  <v:shape id="_x0000_s40072" type="#_x0000_t19" style="position:absolute;left:1392;top:1728;width:48;height:192;flip:x;v-text-anchor:middle" filled="t" fillcolor="#f96"/>
                  <v:line id="_x0000_s40073" style="position:absolute" from="1440,1728" to="1824,1728"/>
                </v:group>
                <v:rect id="_x0000_s40074" style="position:absolute;left:1954;top:1726;width:56;height:190;v-text-anchor:middle" fillcolor="#f96" stroked="f"/>
              </v:group>
              <v:group id="_x0000_s40075" style="position:absolute;left:2130;top:1719;width:68;height:192" coordorigin="1947,1725" coordsize="68,192">
                <v:group id="_x0000_s40076" style="position:absolute;left:1947;top:1725;width:68;height:192" coordorigin="1392,1728" coordsize="480,192">
                  <v:shape id="_x0000_s40077" type="#_x0000_t19" style="position:absolute;left:1824;top:1728;width:48;height:192;v-text-anchor:middle" filled="t" fillcolor="#f96"/>
                  <v:shape id="_x0000_s40078" type="#_x0000_t19" style="position:absolute;left:1392;top:1728;width:48;height:192;flip:x;v-text-anchor:middle" filled="t" fillcolor="#f96"/>
                  <v:line id="_x0000_s40079" style="position:absolute" from="1440,1728" to="1824,1728"/>
                </v:group>
                <v:rect id="_x0000_s40080" style="position:absolute;left:1954;top:1726;width:56;height:190;v-text-anchor:middle" fillcolor="#f96" stroked="f"/>
              </v:group>
              <v:group id="_x0000_s40081" style="position:absolute;left:2221;top:1719;width:68;height:192" coordorigin="1947,1725" coordsize="68,192">
                <v:group id="_x0000_s40082" style="position:absolute;left:1947;top:1725;width:68;height:192" coordorigin="1392,1728" coordsize="480,192">
                  <v:shape id="_x0000_s40083" type="#_x0000_t19" style="position:absolute;left:1824;top:1728;width:48;height:192;v-text-anchor:middle" filled="t" fillcolor="#f96"/>
                  <v:shape id="_x0000_s40084" type="#_x0000_t19" style="position:absolute;left:1392;top:1728;width:48;height:192;flip:x;v-text-anchor:middle" filled="t" fillcolor="#f96"/>
                  <v:line id="_x0000_s40085" style="position:absolute" from="1440,1728" to="1824,1728"/>
                </v:group>
                <v:rect id="_x0000_s40086" style="position:absolute;left:1954;top:1726;width:56;height:190;v-text-anchor:middle" fillcolor="#f96" stroked="f"/>
              </v:group>
              <v:group id="_x0000_s40087" style="position:absolute;left:2313;top:1719;width:68;height:192" coordorigin="1947,1725" coordsize="68,192">
                <v:group id="_x0000_s40088" style="position:absolute;left:1947;top:1725;width:68;height:192" coordorigin="1392,1728" coordsize="480,192">
                  <v:shape id="_x0000_s40089" type="#_x0000_t19" style="position:absolute;left:1824;top:1728;width:48;height:192;v-text-anchor:middle" filled="t" fillcolor="#f96"/>
                  <v:shape id="_x0000_s40090" type="#_x0000_t19" style="position:absolute;left:1392;top:1728;width:48;height:192;flip:x;v-text-anchor:middle" filled="t" fillcolor="#f96"/>
                  <v:line id="_x0000_s40091" style="position:absolute" from="1440,1728" to="1824,1728"/>
                </v:group>
                <v:rect id="_x0000_s40092" style="position:absolute;left:1954;top:1726;width:56;height:190;v-text-anchor:middle" fillcolor="#f96" stroked="f"/>
              </v:group>
              <v:group id="_x0000_s40093" style="position:absolute;left:2405;top:1719;width:68;height:192" coordorigin="1947,1725" coordsize="68,192">
                <v:group id="_x0000_s40094" style="position:absolute;left:1947;top:1725;width:68;height:192" coordorigin="1392,1728" coordsize="480,192">
                  <v:shape id="_x0000_s40095" type="#_x0000_t19" style="position:absolute;left:1824;top:1728;width:48;height:192;v-text-anchor:middle" filled="t" fillcolor="#f96"/>
                  <v:shape id="_x0000_s40096" type="#_x0000_t19" style="position:absolute;left:1392;top:1728;width:48;height:192;flip:x;v-text-anchor:middle" filled="t" fillcolor="#f96"/>
                  <v:line id="_x0000_s40097" style="position:absolute" from="1440,1728" to="1824,1728"/>
                </v:group>
                <v:rect id="_x0000_s40098" style="position:absolute;left:1954;top:1726;width:56;height:190;v-text-anchor:middle" fillcolor="#f96" stroked="f"/>
              </v:group>
            </v:group>
            <v:group id="_x0000_s40099" style="position:absolute;left:3270;top:2926;width:915;height:337" coordorigin="498,1239" coordsize="480,192">
              <v:group id="_x0000_s40100" style="position:absolute;left:498;top:1239;width:480;height:192" coordorigin="468,1353" coordsize="480,192">
                <v:shape id="_x0000_s40101" type="#_x0000_t19" style="position:absolute;left:900;top:1353;width:48;height:192;v-text-anchor:middle" filled="t" fillcolor="#99c9ff"/>
                <v:shape id="_x0000_s40102" type="#_x0000_t19" style="position:absolute;left:468;top:1353;width:48;height:192;flip:x;v-text-anchor:middle" filled="t" fillcolor="#99c9ff"/>
                <v:line id="_x0000_s40103" style="position:absolute" from="516,1353" to="900,1353"/>
              </v:group>
              <v:rect id="_x0000_s40104" style="position:absolute;left:540;top:1242;width:393;height:189;v-text-anchor:middle" fillcolor="#99c9ff" stroked="f"/>
            </v:group>
            <v:shape id="_x0000_s40105" type="#_x0000_t202" style="position:absolute;left:7310;top:3299;width:1683;height:304" filled="f" fillcolor="#f85a00" stroked="f">
              <v:textbox style="mso-next-textbox:#_x0000_s40105" inset="5.04pt,2.52pt,5.04pt,2.52pt">
                <w:txbxContent>
                  <w:p w:rsidR="00FB2410" w:rsidRPr="00AC3CF8" w:rsidRDefault="00FB2410" w:rsidP="00FB2410">
                    <w:pPr>
                      <w:jc w:val="center"/>
                      <w:rPr>
                        <w:rFonts w:ascii="Arial" w:eastAsia="ヒラギノ角ゴ Pro W3" w:hAnsi="Arial" w:cs="Arial"/>
                        <w:color w:val="000000"/>
                        <w:sz w:val="17"/>
                      </w:rPr>
                    </w:pPr>
                    <w:r w:rsidRPr="00AC3CF8">
                      <w:rPr>
                        <w:rFonts w:ascii="Arial" w:eastAsia="ヒラギノ角ゴ Pro W3" w:hAnsi="Arial" w:cs="Arial"/>
                        <w:color w:val="000000"/>
                        <w:sz w:val="17"/>
                      </w:rPr>
                      <w:t xml:space="preserve"> </w:t>
                    </w:r>
                  </w:p>
                </w:txbxContent>
              </v:textbox>
            </v:shape>
            <v:group id="_x0000_s40106" style="position:absolute;left:7478;top:3846;width:595;height:1209" coordorigin="2177,2147" coordsize="414,898">
              <v:line id="_x0000_s40107" style="position:absolute" from="2311,2210" to="2459,2211" strokecolor="gray" strokeweight="1.25pt"/>
              <v:line id="_x0000_s40108" style="position:absolute;flip:y" from="2311,2153" to="2312,2296" strokecolor="gray" strokeweight="1.25pt"/>
              <v:line id="_x0000_s40109" style="position:absolute;flip:y" from="2290,2163" to="2291,2286" strokecolor="gray" strokeweight="1.25pt"/>
              <v:line id="_x0000_s40110" style="position:absolute;flip:y" from="2459,2155" to="2460,2291" strokecolor="gray" strokeweight="1.25pt"/>
              <v:line id="_x0000_s40111" style="position:absolute;flip:y" from="2479,2163" to="2480,2286" strokecolor="gray" strokeweight="1.25pt"/>
              <v:line id="_x0000_s40112" style="position:absolute" from="2290,2226" to="2357,2283" strokecolor="gray" strokeweight="1.25pt"/>
              <v:line id="_x0000_s40113" style="position:absolute;flip:y" from="2394,2228" to="2477,2283" strokecolor="gray" strokeweight="1.25pt"/>
              <v:line id="_x0000_s40114" style="position:absolute;flip:y" from="2361,2148" to="2362,2210" strokecolor="gray" strokeweight="1.25pt"/>
              <v:line id="_x0000_s40115" style="position:absolute;flip:y" from="2411,2147" to="2412,2209" strokecolor="gray" strokeweight="1.25pt"/>
              <v:line id="_x0000_s40116" style="position:absolute" from="2324,2260" to="2428,2261" strokecolor="gray" strokeweight="1.25pt"/>
              <v:group id="_x0000_s40117" style="position:absolute;left:2324;top:2234;width:16;height:44" coordorigin="2840,2077" coordsize="16,44">
                <v:rect id="_x0000_s40118" style="position:absolute;left:2840;top:2077;width:16;height:44" fillcolor="#eaeaea" strokecolor="gray"/>
                <v:rect id="_x0000_s40119" style="position:absolute;left:2840;top:2077;width:16;height:44" fillcolor="#eaeaea" strokecolor="gray" strokeweight="1.25pt">
                  <v:stroke endcap="round"/>
                </v:rect>
              </v:group>
              <v:group id="_x0000_s40120" style="position:absolute;left:2424;top:2235;width:17;height:45" coordorigin="2940,2078" coordsize="17,45">
                <v:rect id="_x0000_s40121" style="position:absolute;left:2940;top:2078;width:17;height:45" fillcolor="#eaeaea" strokecolor="gray"/>
                <v:rect id="_x0000_s40122" style="position:absolute;left:2940;top:2078;width:17;height:45" fillcolor="#eaeaea" strokecolor="gray" strokeweight="1.25pt">
                  <v:stroke endcap="round"/>
                </v:rect>
              </v:group>
              <v:line id="_x0000_s40123" style="position:absolute" from="2311,2210" to="2459,2211" strokecolor="gray" strokeweight="1.25pt"/>
              <v:line id="_x0000_s40124" style="position:absolute;flip:y" from="2311,2153" to="2312,2296" strokecolor="gray" strokeweight="1.25pt"/>
              <v:line id="_x0000_s40125" style="position:absolute;flip:y" from="2290,2163" to="2291,2286" strokecolor="gray" strokeweight="1.25pt"/>
              <v:line id="_x0000_s40126" style="position:absolute;flip:y" from="2459,2155" to="2460,2291" strokecolor="gray" strokeweight="1.25pt"/>
              <v:line id="_x0000_s40127" style="position:absolute;flip:y" from="2479,2163" to="2480,2286" strokecolor="gray" strokeweight="1.25pt"/>
              <v:line id="_x0000_s40128" style="position:absolute" from="2290,2226" to="2357,2283" strokecolor="gray" strokeweight="1.25pt"/>
              <v:line id="_x0000_s40129" style="position:absolute;flip:y" from="2394,2228" to="2477,2283" strokecolor="gray" strokeweight="1.25pt"/>
              <v:line id="_x0000_s40130" style="position:absolute;flip:y" from="2361,2148" to="2362,2210" strokecolor="gray" strokeweight="1.25pt"/>
              <v:line id="_x0000_s40131" style="position:absolute;flip:y" from="2411,2147" to="2412,2209" strokecolor="gray" strokeweight="1.25pt"/>
              <v:line id="_x0000_s40132" style="position:absolute" from="2324,2260" to="2428,2261" strokecolor="gray" strokeweight="1.25pt"/>
              <v:group id="_x0000_s40133" style="position:absolute;left:2324;top:2234;width:16;height:44" coordorigin="2840,2077" coordsize="16,44">
                <v:rect id="_x0000_s40134" style="position:absolute;left:2840;top:2077;width:16;height:44" fillcolor="#eaeaea" strokecolor="gray"/>
                <v:rect id="_x0000_s40135" style="position:absolute;left:2840;top:2077;width:16;height:44" fillcolor="#eaeaea" strokecolor="gray" strokeweight="1.25pt">
                  <v:stroke endcap="round"/>
                </v:rect>
              </v:group>
              <v:group id="_x0000_s40136" style="position:absolute;left:2424;top:2235;width:17;height:45" coordorigin="2940,2078" coordsize="17,45">
                <v:rect id="_x0000_s40137" style="position:absolute;left:2940;top:2078;width:17;height:45" fillcolor="#eaeaea" strokecolor="gray"/>
                <v:rect id="_x0000_s40138" style="position:absolute;left:2940;top:2078;width:17;height:45" fillcolor="#eaeaea" strokecolor="gray" strokeweight="1.25pt">
                  <v:stroke endcap="round"/>
                </v:rect>
              </v:group>
              <v:line id="_x0000_s40139" style="position:absolute;flip:y" from="2177,2222" to="2382,3045" strokecolor="gray" strokeweight="1.25pt"/>
              <v:line id="_x0000_s40140" style="position:absolute" from="2382,2220" to="2586,3045" strokecolor="gray" strokeweight="1.25pt"/>
              <v:line id="_x0000_s40141" style="position:absolute;flip:y" from="2177,2869" to="2537,3045" strokecolor="gray" strokeweight="1.25pt"/>
              <v:line id="_x0000_s40142" style="position:absolute;flip:x y" from="2220,2869" to="2591,3045" strokecolor="gray" strokeweight="1.25pt"/>
              <v:line id="_x0000_s40143" style="position:absolute" from="2223,2871" to="2534,2872" strokecolor="gray" strokeweight="1.25pt"/>
              <v:line id="_x0000_s40144" style="position:absolute;flip:x y" from="2257,2704" to="2534,2869" strokecolor="gray" strokeweight="1.25pt"/>
              <v:line id="_x0000_s40145" style="position:absolute;flip:y" from="2220,2711" to="2496,2878" strokecolor="gray" strokeweight="1.25pt"/>
              <v:line id="_x0000_s40146" style="position:absolute" from="2263,2704" to="2494,2705" strokecolor="gray" strokeweight="1.25pt"/>
              <v:line id="_x0000_s40147" style="position:absolute;flip:x y" from="2305,2541" to="2491,2700" strokecolor="gray" strokeweight="1.25pt"/>
              <v:line id="_x0000_s40148" style="position:absolute;flip:y" from="2268,2550" to="2465,2702" strokecolor="gray" strokeweight="1.25pt"/>
              <v:line id="_x0000_s40149" style="position:absolute" from="2297,2539" to="2463,2540" strokecolor="gray" strokeweight="1.25pt"/>
              <v:line id="_x0000_s40150" style="position:absolute;flip:y" from="2303,2396" to="2428,2537" strokecolor="gray" strokeweight="1.25pt"/>
              <v:line id="_x0000_s40151" style="position:absolute;flip:x y" from="2334,2396" to="2448,2539" strokecolor="gray" strokeweight="1.25pt"/>
              <v:line id="_x0000_s40152" style="position:absolute" from="2342,2394" to="2423,2395" strokecolor="gray" strokeweight="1.25pt"/>
              <v:line id="_x0000_s40153" style="position:absolute;flip:y" from="2177,2222" to="2382,3045" strokecolor="gray" strokeweight="1.25pt"/>
              <v:line id="_x0000_s40154" style="position:absolute" from="2382,2220" to="2586,3045" strokecolor="gray" strokeweight="1.25pt"/>
              <v:line id="_x0000_s40155" style="position:absolute;flip:y" from="2177,2869" to="2537,3045" strokecolor="gray" strokeweight="1.25pt"/>
              <v:line id="_x0000_s40156" style="position:absolute;flip:x y" from="2220,2869" to="2591,3045" strokecolor="gray" strokeweight="1.25pt"/>
              <v:line id="_x0000_s40157" style="position:absolute" from="2223,2871" to="2534,2872" strokecolor="gray" strokeweight="1.25pt"/>
              <v:line id="_x0000_s40158" style="position:absolute;flip:x y" from="2257,2704" to="2534,2869" strokecolor="gray" strokeweight="1.25pt"/>
              <v:line id="_x0000_s40159" style="position:absolute;flip:y" from="2220,2711" to="2496,2878" strokecolor="gray" strokeweight="1.25pt"/>
              <v:line id="_x0000_s40160" style="position:absolute" from="2263,2704" to="2494,2705" strokecolor="gray" strokeweight="1.25pt"/>
              <v:line id="_x0000_s40161" style="position:absolute;flip:x y" from="2305,2541" to="2491,2700" strokecolor="gray" strokeweight="1.25pt"/>
              <v:line id="_x0000_s40162" style="position:absolute;flip:y" from="2268,2550" to="2465,2702" strokecolor="gray" strokeweight="1.25pt"/>
              <v:line id="_x0000_s40163" style="position:absolute" from="2297,2539" to="2463,2540" strokecolor="gray" strokeweight="1.25pt"/>
              <v:line id="_x0000_s40164" style="position:absolute;flip:y" from="2303,2396" to="2428,2537" strokecolor="gray" strokeweight="1.25pt"/>
              <v:line id="_x0000_s40165" style="position:absolute;flip:x y" from="2334,2396" to="2448,2539" strokecolor="gray" strokeweight="1.25pt"/>
              <v:line id="_x0000_s40166" style="position:absolute" from="2342,2394" to="2423,2395" strokecolor="gray" strokeweight="1.25pt"/>
            </v:group>
            <v:group id="_x0000_s40167" style="position:absolute;left:8740;top:4394;width:1768;height:1010" coordorigin="4488,2586" coordsize="1008,576">
              <v:shape id="_x0000_s40168" type="#_x0000_t75" style="position:absolute;left:4593;top:2586;width:903;height:575">
                <v:imagedata r:id="rId33" o:title="" cropbottom="4201f" cropleft="13871f" cropright="-5590f"/>
              </v:shape>
              <v:shape id="_x0000_s40169" style="position:absolute;left:4583;top:2650;width:652;height:512;flip:x;mso-wrap-distance-left:9pt;mso-wrap-distance-top:0;mso-wrap-distance-right:9pt;mso-wrap-distance-bottom:0;v-text-anchor:middle" coordsize="1773,1467" path="m,l1764,90r9,1368l9,1467,,xe" fillcolor="#abc7ff" stroked="f" strokeweight="1pt">
                <v:stroke startarrowwidth="narrow" startarrowlength="short" endarrowwidth="narrow" endarrowlength="short"/>
                <v:path arrowok="t"/>
                <o:lock v:ext="edit" aspectratio="t"/>
              </v:shape>
              <v:shape id="_x0000_s40170" style="position:absolute;left:4603;top:2672;width:605;height:461;flip:x;mso-wrap-distance-left:9pt;mso-wrap-distance-top:0;mso-wrap-distance-right:9pt;mso-wrap-distance-bottom:0;v-text-anchor:middle" coordsize="1637,1325" path="m,l1628,83r9,1242l9,1321,,xe" fillcolor="#99c9ff" stroked="f" strokeweight="1pt">
                <v:stroke startarrowwidth="narrow" startarrowlength="short" endarrowwidth="narrow" endarrowlength="short"/>
                <v:path arrowok="t"/>
                <o:lock v:ext="edit" aspectratio="t"/>
              </v:shape>
              <v:shape id="_x0000_s40171" type="#_x0000_t202" style="position:absolute;left:4814;top:2731;width:264;height:173;flip:x" filled="f" fillcolor="#f85a00" stroked="f" strokeweight="1pt">
                <v:fill focus="100%" type="gradient"/>
                <o:lock v:ext="edit" aspectratio="t"/>
                <v:textbox style="mso-next-textbox:#_x0000_s40171" inset="1.77519mm,.88761mm,1.77519mm,.88761mm">
                  <w:txbxContent>
                    <w:p w:rsidR="00FB2410" w:rsidRPr="00AC3CF8" w:rsidRDefault="00FB2410" w:rsidP="00FB2410">
                      <w:pPr>
                        <w:jc w:val="center"/>
                        <w:rPr>
                          <w:rFonts w:ascii="Arial" w:eastAsia="ヒラギノ角ゴ Pro W3" w:hAnsi="Arial" w:cs="Arial"/>
                          <w:b/>
                          <w:bCs/>
                          <w:color w:val="000000"/>
                          <w:sz w:val="17"/>
                        </w:rPr>
                      </w:pPr>
                    </w:p>
                  </w:txbxContent>
                </v:textbox>
              </v:shape>
              <v:oval id="_x0000_s40172" style="position:absolute;left:4840;top:2954;width:431;height:168;flip:x;v-text-anchor:middle" fillcolor="gray" stroked="f" strokeweight="1pt">
                <v:fill color2="fill lighten(0)" o:opacity2="0" rotate="t" focusposition=".5,.5" focussize="" method="linear sigma" focus="100%" type="gradientRadial"/>
                <v:stroke startarrowwidth="narrow" startarrowlength="short" endarrowwidth="narrow" endarrowlength="short"/>
                <o:lock v:ext="edit" aspectratio="t"/>
                <v:textbox style="mso-next-textbox:#_x0000_s40172" inset="1.77519mm,.88761mm,1.77519mm,.88761mm">
                  <w:txbxContent>
                    <w:p w:rsidR="00FB2410" w:rsidRPr="00AC3CF8" w:rsidRDefault="00FB2410" w:rsidP="00FB2410">
                      <w:pPr>
                        <w:jc w:val="center"/>
                        <w:rPr>
                          <w:rFonts w:ascii="Arial" w:eastAsia="ヒラギノ角ゴ Pro W3" w:hAnsi="Arial" w:cs="Arial"/>
                          <w:b/>
                          <w:bCs/>
                          <w:color w:val="000000"/>
                          <w:sz w:val="28"/>
                          <w:szCs w:val="40"/>
                        </w:rPr>
                      </w:pPr>
                    </w:p>
                  </w:txbxContent>
                </v:textbox>
              </v:oval>
              <v:shape id="_x0000_s40173" type="#_x0000_t75" style="position:absolute;left:4824;top:2922;width:353;height:223">
                <v:imagedata r:id="rId34" o:title=""/>
                <v:shadow on="t"/>
              </v:shape>
              <v:shape id="_x0000_s40174" type="#_x0000_t75" style="position:absolute;left:4488;top:2596;width:116;height:330">
                <v:imagedata r:id="rId35" o:title=""/>
              </v:shape>
              <v:shape id="_x0000_s40175" type="#_x0000_t75" style="position:absolute;left:4603;top:3034;width:47;height:76">
                <v:imagedata r:id="rId36" o:title=""/>
              </v:shape>
              <v:oval id="_x0000_s40176" style="position:absolute;left:4618;top:3072;width:22;height:23;flip:x;v-text-anchor:middle" fillcolor="gray" stroked="f" strokeweight="1pt">
                <v:stroke startarrowwidth="narrow" startarrowlength="short" endarrowwidth="narrow" endarrowlength="short"/>
                <o:lock v:ext="edit" aspectratio="t"/>
              </v:oval>
            </v:group>
            <v:shape id="_x0000_s40177" type="#_x0000_t75" style="position:absolute;left:3228;top:1658;width:2020;height:819">
              <v:imagedata r:id="rId37" o:title=""/>
            </v:shape>
            <v:shape id="_x0000_s40178" type="#_x0000_t202" style="position:absolute;left:1292;top:4656;width:1599;height:646" strokeweight=".25pt">
              <v:textbox style="mso-next-textbox:#_x0000_s40178" inset="5.04pt,2.52pt,5.04pt,2.52pt">
                <w:txbxContent>
                  <w:p w:rsidR="00FB2410" w:rsidRPr="0017500E" w:rsidRDefault="00FB2410" w:rsidP="00FB2410">
                    <w:pPr>
                      <w:spacing w:before="0"/>
                      <w:jc w:val="center"/>
                      <w:rPr>
                        <w:rFonts w:eastAsia="ヒラギノ角ゴ Pro W3" w:cs="Arial"/>
                        <w:color w:val="000000"/>
                        <w:szCs w:val="32"/>
                        <w:lang w:val="es-ES_tradnl"/>
                      </w:rPr>
                    </w:pPr>
                    <w:r w:rsidRPr="0017500E">
                      <w:rPr>
                        <w:rFonts w:eastAsia="ヒラギノ角ゴ Pro W3" w:cs="Arial"/>
                        <w:color w:val="000000"/>
                        <w:szCs w:val="32"/>
                        <w:lang w:val="es-ES_tradnl"/>
                      </w:rPr>
                      <w:t>Estación central</w:t>
                    </w:r>
                    <w:r>
                      <w:rPr>
                        <w:rFonts w:eastAsia="ヒラギノ角ゴ Pro W3" w:cs="Arial"/>
                        <w:color w:val="000000"/>
                        <w:szCs w:val="32"/>
                        <w:lang w:val="es-ES_tradnl"/>
                      </w:rPr>
                      <w:t xml:space="preserve"> </w:t>
                    </w:r>
                    <w:r w:rsidRPr="0017500E">
                      <w:rPr>
                        <w:rFonts w:eastAsia="ヒラギノ角ゴ Pro W3" w:cs="Arial"/>
                        <w:color w:val="000000"/>
                        <w:szCs w:val="32"/>
                        <w:lang w:val="es-ES_tradnl"/>
                      </w:rPr>
                      <w:t>SAT</w:t>
                    </w:r>
                  </w:p>
                </w:txbxContent>
              </v:textbox>
            </v:shape>
            <v:shape id="_x0000_s40179" type="#_x0000_t202" style="position:absolute;left:5984;top:4236;width:1431;height:645" filled="f" fillcolor="#f85a00" strokeweight=".25pt">
              <v:textbox style="mso-next-textbox:#_x0000_s40179" inset="5.04pt,2.52pt,5.04pt,2.52pt">
                <w:txbxContent>
                  <w:p w:rsidR="00FB2410" w:rsidRPr="0017500E" w:rsidRDefault="00FB2410" w:rsidP="00FB2410">
                    <w:pPr>
                      <w:spacing w:before="0"/>
                      <w:jc w:val="center"/>
                      <w:rPr>
                        <w:rFonts w:eastAsia="ヒラギノ角ゴ Pro W3" w:cs="Arial"/>
                        <w:color w:val="000000"/>
                        <w:szCs w:val="32"/>
                      </w:rPr>
                    </w:pPr>
                    <w:r w:rsidRPr="0017500E">
                      <w:rPr>
                        <w:rFonts w:eastAsia="ヒラギノ角ゴ Pro W3" w:cs="Arial"/>
                        <w:color w:val="000000"/>
                        <w:szCs w:val="32"/>
                      </w:rPr>
                      <w:t>Terminal</w:t>
                    </w:r>
                    <w:r w:rsidRPr="0017500E">
                      <w:rPr>
                        <w:rFonts w:eastAsia="ヒラギノ角ゴ Pro W3" w:cs="Arial"/>
                        <w:color w:val="000000"/>
                        <w:szCs w:val="32"/>
                      </w:rPr>
                      <w:br/>
                      <w:t>SAT</w:t>
                    </w:r>
                  </w:p>
                </w:txbxContent>
              </v:textbox>
            </v:shape>
            <v:shape id="_x0000_s40180" type="#_x0000_t75" style="position:absolute;left:8993;top:4688;width:512;height:437" filled="t" fillcolor="#99c9ff">
              <v:imagedata r:id="rId38" o:title=""/>
            </v:shape>
            <v:shape id="_x0000_s40181" type="#_x0000_t75" style="position:absolute;left:9582;top:4688;width:421;height:289">
              <v:imagedata r:id="rId39" o:title=""/>
            </v:shape>
            <v:line id="_x0000_s40182" style="position:absolute" from="3143,3268" to="5248,3268"/>
            <v:line id="_x0000_s40183" style="position:absolute" from="3228,3099" to="3228,3520"/>
            <v:line id="_x0000_s40184" style="position:absolute" from="5248,3099" to="5248,3520"/>
            <v:shape id="_x0000_s40185" type="#_x0000_t202" style="position:absolute;left:3391;top:2422;width:708;height:413" filled="f" fillcolor="#f85a00" stroked="f">
              <v:textbox style="mso-next-textbox:#_x0000_s40185" inset="5.04pt,2.52pt,5.04pt,2.52pt">
                <w:txbxContent>
                  <w:p w:rsidR="00FB2410" w:rsidRPr="007059B8" w:rsidRDefault="00FB2410" w:rsidP="00FB2410">
                    <w:pPr>
                      <w:spacing w:before="0"/>
                      <w:jc w:val="center"/>
                      <w:rPr>
                        <w:rFonts w:eastAsia="ヒラギノ角ゴ Pro W3" w:cs="Arial"/>
                        <w:color w:val="000000"/>
                        <w:sz w:val="14"/>
                        <w:szCs w:val="14"/>
                      </w:rPr>
                    </w:pPr>
                    <w:r w:rsidRPr="007059B8">
                      <w:rPr>
                        <w:rFonts w:eastAsia="ヒラギノ角ゴ Pro W3" w:cs="Arial"/>
                        <w:color w:val="000000"/>
                        <w:sz w:val="14"/>
                        <w:szCs w:val="14"/>
                      </w:rPr>
                      <w:t>DVB-S2</w:t>
                    </w:r>
                    <w:r w:rsidRPr="007059B8">
                      <w:rPr>
                        <w:rFonts w:eastAsia="ヒラギノ角ゴ Pro W3" w:cs="Arial"/>
                        <w:color w:val="000000"/>
                        <w:sz w:val="14"/>
                        <w:szCs w:val="14"/>
                      </w:rPr>
                      <w:br/>
                      <w:t>TDM</w:t>
                    </w:r>
                  </w:p>
                </w:txbxContent>
              </v:textbox>
            </v:shape>
            <v:shape id="_x0000_s40186" type="#_x0000_t202" style="position:absolute;left:4375;top:2414;width:1040;height:384" filled="f" fillcolor="#f85a00" stroked="f">
              <v:textbox style="mso-next-textbox:#_x0000_s40186" inset="5.04pt,2.52pt,5.04pt,2.52pt">
                <w:txbxContent>
                  <w:p w:rsidR="00FB2410" w:rsidRPr="007059B8" w:rsidRDefault="00FB2410" w:rsidP="00FB2410">
                    <w:pPr>
                      <w:spacing w:before="0"/>
                      <w:jc w:val="center"/>
                      <w:rPr>
                        <w:rFonts w:eastAsia="ヒラギノ角ゴ Pro W3" w:cs="Arial"/>
                        <w:color w:val="000000"/>
                        <w:sz w:val="14"/>
                        <w:szCs w:val="14"/>
                      </w:rPr>
                    </w:pPr>
                    <w:r w:rsidRPr="007059B8">
                      <w:rPr>
                        <w:rFonts w:eastAsia="ヒラギノ角ゴ Pro W3" w:cs="Arial"/>
                        <w:color w:val="000000"/>
                        <w:sz w:val="14"/>
                        <w:szCs w:val="14"/>
                      </w:rPr>
                      <w:t>MF-TDMA</w:t>
                    </w:r>
                  </w:p>
                </w:txbxContent>
              </v:textbox>
            </v:shape>
            <v:group id="_x0000_s40187" style="position:absolute;left:1785;top:3874;width:594;height:721;flip:x" coordorigin="1655,2488" coordsize="291,345">
              <v:group id="_x0000_s40188" style="position:absolute;left:1655;top:2488;width:291;height:345" coordorigin="4031,2150" coordsize="291,345">
                <v:shape id="_x0000_s40189" style="position:absolute;left:4046;top:2451;width:266;height:35" coordsize="266,35" path="m85,l,27r208,8l266,6,85,xe">
                  <v:path arrowok="t"/>
                </v:shape>
                <v:shape id="_x0000_s40190" style="position:absolute;left:4045;top:2451;width:87;height:29" coordsize="87,29" path="m,25r1,4l87,3,86,,,25r,4l,25r,l,27r,2l1,29,,25xe" fillcolor="black">
                  <v:path arrowok="t"/>
                </v:shape>
                <v:shape id="_x0000_s40191" style="position:absolute;left:4046;top:2478;width:211;height:9" coordsize="211,9" path="m208,8r1,l,,,2,209,9r2,l211,8r-2,l208,8xe" fillcolor="black">
                  <v:path arrowok="t"/>
                </v:shape>
                <v:shape id="_x0000_s40192" style="position:absolute;left:4254;top:2457;width:61;height:30" coordsize="61,30" path="m60,1l58,,,29r1,1l60,1,60,r,1l61,1,61,r,l58,r2,1xe" fillcolor="black">
                  <v:path arrowok="t"/>
                </v:shape>
                <v:shape id="_x0000_s40193" style="position:absolute;left:4129;top:2451;width:183;height:7" coordsize="183,7" path="m3,3l2,3,183,7r,-1l2,,,,,1,,3r2,l3,3xe" fillcolor="black">
                  <v:path arrowok="t"/>
                </v:shape>
                <v:shape id="_x0000_s40194" style="position:absolute;left:4046;top:2458;width:266;height:35" coordsize="266,35" path="m266,6l208,35,,28,,22r208,7l266,r,6xe">
                  <v:path arrowok="t"/>
                </v:shape>
                <v:shape id="_x0000_s40195" style="position:absolute;left:4254;top:2463;width:61;height:32" coordsize="61,32" path="m1,32r2,l61,1,60,,1,29,,30r,2l1,32r2,l1,32xe" fillcolor="black">
                  <v:path arrowok="t"/>
                </v:shape>
                <v:shape id="_x0000_s40196" style="position:absolute;left:4045;top:2484;width:209;height:11" coordsize="209,11" path="m,l1,2r208,9l209,8,1,,2,,1,,,,,,,2r1,l,xe" fillcolor="black">
                  <v:path arrowok="t"/>
                </v:shape>
                <v:shape id="_x0000_s40197" style="position:absolute;left:4045;top:2478;width:2;height:8" coordsize="2,8" path="m1,l,2,,8r2,l2,2,1,3,2,2,1,r,l,,,2,1,xe" fillcolor="black">
                  <v:path arrowok="t"/>
                </v:shape>
                <v:shape id="_x0000_s40198" style="position:absolute;left:4046;top:2478;width:211;height:9" coordsize="211,9" path="m208,8r1,l,,,2,209,9r2,l211,8r-2,l208,8xe" fillcolor="black">
                  <v:path arrowok="t"/>
                </v:shape>
                <v:shape id="_x0000_s40199" style="position:absolute;left:4254;top:2457;width:61;height:30" coordsize="61,30" path="m61,l58,,,29r1,1l60,1,58,r2,1l61,1,61,,60,,58,r3,xe" fillcolor="black">
                  <v:path arrowok="t"/>
                </v:shape>
                <v:shape id="_x0000_s40200" style="position:absolute;left:4312;top:2458;width:3;height:8" coordsize="3,8" path="m2,8l3,6,3,,,,,6r,l,6,,8r,l3,8,3,6,2,8xe" fillcolor="black">
                  <v:path arrowok="t"/>
                </v:shape>
                <v:shape id="_x0000_s40201" style="position:absolute;left:4065;top:2195;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40202" style="position:absolute;left:4213;top:2199;width:70;height:135" coordsize="70,135" path="m55,3r,l57,4r3,3l63,12r1,4l65,21r,8l65,35r,9l63,50,58,61,54,71,46,82,39,93,29,105,16,120,,134r3,1l17,120,30,108,41,94,49,82,57,71r6,-9l65,51r3,-7l68,35r2,-6l68,21,65,15,64,10,63,6,60,3,57,,55,3xe" fillcolor="black">
                  <v:path arrowok="t"/>
                </v:shape>
                <v:shape id="_x0000_s40203" style="position:absolute;left:4134;top:2194;width:136;height:69" coordsize="136,69" path="m1,69r,l11,60,22,50,32,43,42,35,52,29,63,23,73,18r9,-4l90,9,99,8r7,-5l112,3r8,l125,3r5,2l133,8r3,-2l130,3,125,1,120,r-8,1l106,1,98,3,90,8,80,11r-9,4l61,20r-9,6l42,34,32,41,20,49,10,58,,67r1,2xe" fillcolor="black">
                  <v:path arrowok="t"/>
                </v:shape>
                <v:shape id="_x0000_s40204" style="position:absolute;left:4064;top:2261;width:71;height:130" coordsize="71,130" path="m7,130r,l5,125,2,121r,-5l2,109r,-7l5,95,7,87r4,-9l16,70,21,60r8,-9l36,41r7,-9l52,22,61,12,71,2,70,,60,11,49,20r-8,9l33,40,26,51r-7,9l14,69,8,78,5,86,2,95,,102r,7l,116r,5l2,127r3,3l7,130xe" fillcolor="black">
                  <v:path arrowok="t"/>
                </v:shape>
                <v:shape id="_x0000_s40205" style="position:absolute;left:4069;top:2333;width:147;height:70" coordsize="147,70" path="m144,r,l135,9r-10,8l114,24r-10,8l94,40,84,46r-9,6l66,56,56,61r-9,3l38,66r-7,1l22,67,15,64,9,63,2,58,,58r8,6l14,67r8,2l31,70r7,-1l49,66r8,-3l66,59,76,55r9,-8l97,41r10,-6l117,27r9,-9l136,9,147,1,144,xe" fillcolor="black">
                  <v:path arrowok="t"/>
                </v:shape>
                <v:shape id="_x0000_s40206" style="position:absolute;left:4036;top:2154;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40207" style="position:absolute;left:4235;top:2160;width:87;height:179" coordsize="87,179" path="m70,2r,l74,5r3,6l80,14r3,8l84,29r,8l84,46r,11l80,68,76,81,70,95,60,109,49,124,35,141,19,159,,177r1,2l22,161,38,142,51,126,62,110,73,95,79,81,83,69,86,57,87,46r,-9l87,29,84,20,83,14,80,8,76,3,73,,70,2xe" fillcolor="black">
                  <v:path arrowok="t"/>
                </v:shape>
                <v:shape id="_x0000_s40208" style="position:absolute;left:4128;top:2153;width:180;height:91" coordsize="180,91" path="m1,91r,l16,79,29,67,42,56,55,47,70,38,83,29,96,21r12,-6l120,10,131,7,142,4r8,-1l159,3r8,l174,6r4,1l180,7,174,3,167,1,159,r-9,1l142,1,131,6,120,9r-12,4l95,20,82,27,67,36,55,44,41,55,26,67,13,78,,90r1,1xe" fillcolor="black">
                  <v:path arrowok="t"/>
                </v:shape>
                <v:shape id="_x0000_s40209" style="position:absolute;left:4034;top:2243;width:95;height:172" coordsize="95,172" path="m11,171r,l8,166,5,160,3,153r,-8l5,136r1,-9l11,114r4,-10l22,91,30,79,37,67,47,53,57,41,69,27,81,15,95,1,94,,81,12,66,26,54,40,46,53,35,65,27,78,19,91r-6,13l8,114,5,125,2,136,,145r,8l2,160r3,8l9,172r2,-1xe" fillcolor="black">
                  <v:path arrowok="t"/>
                </v:shape>
                <v:shape id="_x0000_s40210" style="position:absolute;left:4042;top:2337;width:194;height:92" coordsize="194,92" path="m193,r,l179,13,168,23,153,36r-13,9l127,54r-15,9l99,71,86,77,74,81,63,86,51,89r-12,l29,89,19,88,10,83,3,77,,78r8,8l17,89r12,2l39,92,51,91,63,89,74,84,87,78r15,-6l114,66r13,-9l141,48,155,37,168,25,182,14,194,2,193,xe" fillcolor="black">
                  <v:path arrowok="t"/>
                </v:shape>
                <v:shape id="_x0000_s40211" style="position:absolute;left:4033;top:2151;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40212" style="position:absolute;left:4232;top:2157;width:87;height:177" coordsize="87,177" path="m70,2r,l73,5r3,6l80,16r2,6l83,29r3,8l84,46,83,57,80,67,76,81,68,93r-8,16l48,122,35,139,19,158,,176r1,1l20,159,38,141,51,124,63,109,70,93,77,81,82,69,86,57,87,46r,-9l86,29,84,20,82,14,79,9,76,3,71,,70,2xe" fillcolor="black">
                  <v:path arrowok="t"/>
                </v:shape>
                <v:shape id="_x0000_s40213" style="position:absolute;left:4122;top:2150;width:181;height:93" coordsize="181,93" path="m3,93r,l16,79,31,68,44,58,57,47,72,38,85,29,97,23r13,-7l121,10,132,7,142,4,152,3r9,l168,4r7,2l180,9r1,-2l175,4,168,1,161,r-9,1l142,1,132,6,121,9r-11,4l97,21,83,27,69,36,56,45,42,55,29,67,15,78,,90r3,3xe" fillcolor="black">
                  <v:path arrowok="t"/>
                </v:shape>
                <v:shape id="_x0000_s40214" style="position:absolute;left:4031;top:2240;width:93;height:172" coordsize="93,172" path="m9,171r,l6,168,3,160,2,152r,-7l3,136r3,-9l9,116r6,-12l21,93,28,79,35,68,46,53,56,41,66,27,79,15,93,3,91,,78,14,65,26,54,39,43,53,34,65,25,79,18,91r-4,11l8,114,3,125,,136r,9l,152r,10l3,168r5,4l9,171xe" fillcolor="black">
                  <v:path arrowok="t"/>
                </v:shape>
                <v:shape id="_x0000_s40215" style="position:absolute;left:4039;top:2334;width:194;height:92" coordsize="194,92" path="m193,r,l180,13,166,23,152,34,139,45r-14,9l112,62,98,69,86,77,74,81,61,86,49,87,39,89r-12,l19,87,10,81,3,77,,78r8,6l17,89r10,2l39,92,49,91,63,87,74,84,87,78r14,-6l114,65,127,55r13,-9l155,36,168,25,181,13,194,2,193,xe" fillcolor="black">
                  <v:path arrowok="t"/>
                </v:shape>
                <v:shape id="_x0000_s40216" style="position:absolute;left:4169;top:2305;width:32;height:29" coordsize="32,29" path="m22,20r4,-4l29,13r2,-3l31,7,32,5,31,3r,l29,2,28,,26,,25,,22,3r-3,l16,5,13,8,9,11,7,14,4,16,1,19,,22r,1l,26r,2l,28r1,1l4,29r3,l9,28r4,l16,26r3,-4l22,20xe">
                  <v:path arrowok="t"/>
                </v:shape>
                <v:shape id="_x0000_s40217" style="position:absolute;left:4189;top:2305;width:13;height:22" coordsize="13,22" path="m9,3r,l9,3r,l9,5r,3l9,10,8,13,5,16,,20r2,2l6,17,9,14r3,-3l12,8,13,5,12,3r,-1l11,,9,3xe" fillcolor="black">
                  <v:path arrowok="t"/>
                </v:shape>
                <v:shape id="_x0000_s40218" style="position:absolute;left:4178;top:2304;width:20;height:12" coordsize="20,12" path="m,12r,l4,9,7,8,10,4r3,l16,3,17,1r2,l19,3,20,,19,,17,,14,,11,,8,3,5,4,3,8,,11r,1xe" fillcolor="black">
                  <v:path arrowok="t"/>
                </v:shape>
                <v:shape id="_x0000_s40219" style="position:absolute;left:4166;top:2315;width:13;height:19" coordsize="13,19" path="m3,18r,l3,16r,-1l4,12,6,10,7,7,10,4,13,1,12,,9,3,4,6,3,9r,3l,13r,3l,18r3,1l3,18xe" fillcolor="black">
                  <v:path arrowok="t"/>
                </v:shape>
                <v:shape id="_x0000_s40220" style="position:absolute;left:4169;top:2325;width:22;height:12" coordsize="22,12" path="m19,r,l17,2,14,5,12,6,9,8,6,9,4,9,1,9,,8,,9r1,2l4,12,7,11,9,9,13,8,16,6,19,5,22,2,19,xe" fillcolor="black">
                  <v:path arrowok="t"/>
                </v:shape>
                <v:shape id="_x0000_s40221" style="position:absolute;left:4186;top:2330;width:5;height:43" coordsize="5,43" path="m3,43l5,27,3,14,2,3,2,,,,,3,2,14r,13l,43r3,xe" fillcolor="black">
                  <v:path arrowok="t"/>
                </v:shape>
                <v:shape id="_x0000_s40222" style="position:absolute;left:4150;top:2333;width:33;height:64" coordsize="33,64" path="m1,64l9,53,16,43,20,32r6,-9l29,14,32,6,33,1,33,,32,,31,1,29,6r-3,8l23,21,19,32,13,43,6,53,,63r1,1xe" fillcolor="black">
                  <v:path arrowok="t"/>
                </v:shape>
                <v:shape id="_x0000_s40223" style="position:absolute;left:4102;top:2334;width:76;height:86" coordsize="76,86" path="m1,86l13,75,24,65,33,55r9,-9l49,40r8,-7l61,26r3,-4l68,17r3,-4l73,8,74,5r,-2l76,3r,-1l76,,74,,73,2r,1l71,5,70,8r-2,3l67,16r-5,4l60,25r-8,6l48,39r-7,6l33,54,23,63,13,74,,84r1,2xe" fillcolor="black">
                  <v:path arrowok="t"/>
                </v:shape>
                <v:shape id="_x0000_s40224" style="position:absolute;left:4056;top:2334;width:119;height:89" coordsize="119,89" path="m2,89l18,81,32,75,46,69,57,62,68,54,78,46r9,-6l92,34r6,-8l106,22r4,-6l113,11r1,-3l117,5r2,-2l119,2,117,r-1,2l114,3r-1,2l110,10r-3,4l103,20r-6,5l91,31r-7,8l76,45,66,52,56,58,44,66,31,74,16,80,,86r2,3xe" fillcolor="black">
                  <v:path arrowok="t"/>
                </v:shape>
                <v:shape id="_x0000_s40225" style="position:absolute;left:4042;top:2334;width:131;height:78" coordsize="131,78" path="m128,r-3,5l122,8r-2,5l115,16r-4,4l105,23r-4,5l93,34r-7,5l79,43,68,48,58,54,45,58,32,65,17,69,,75r1,3l17,72,32,66,46,62,58,55,70,51r9,-6l87,40r8,-4l102,31r6,-6l112,22r5,-5l121,13r3,-3l128,5r3,-2l128,xe" fillcolor="black">
                  <v:path arrowok="t"/>
                </v:shape>
                <v:shape id="_x0000_s40226" style="position:absolute;left:4031;top:2334;width:139;height:62" coordsize="139,62" path="m,62l18,57,35,52,50,46,63,40,76,36,88,31,98,26r9,-4l114,17r8,-3l128,10r4,-2l135,5r3,-2l138,3r1,-1l138,r-3,l132,3r-1,2l125,8r-5,3l114,16r-8,4l97,23,87,28,76,34,63,39,50,45,34,51,18,54,,60r,2xe" fillcolor="black">
                  <v:path arrowok="t"/>
                </v:shape>
                <v:shape id="_x0000_s40227" style="position:absolute;left:4033;top:2333;width:137;height:43" coordsize="137,43" path="m,43l12,41,23,40,35,38,45,37,55,35,67,30,77,27r9,-3l95,21r7,-3l111,14r7,-3l124,9r5,-3l133,4r4,-3l136,r-3,1l129,4r-6,2l118,9r-7,3l102,17r-7,1l86,23,76,24r-9,5l55,32,45,35,35,37,23,38,12,40,,40r,3xe" fillcolor="black">
                  <v:path arrowok="t"/>
                </v:shape>
                <v:shape id="_x0000_s40228" style="position:absolute;left:4042;top:2331;width:127;height:22" coordsize="127,22" path="m,20r10,2l22,20r11,l43,20,54,19r9,-2l73,16r9,-3l90,13r8,-3l103,8r8,-2l117,5r3,-2l124,2r3,l125,r-3,l120,2r-5,1l109,3r-6,3l96,8r-7,2l82,11r-9,2l63,16r-9,l43,17,33,19r-11,l10,19,,19r,1xe" fillcolor="black">
                  <v:path arrowok="t"/>
                </v:shape>
                <v:shape id="_x0000_s40229" style="position:absolute;left:4052;top:2327;width:118;height:7" coordsize="118,7" path="m,4l12,6,22,7r11,l42,7r11,l60,7r9,l77,7,83,6r8,l96,6r6,-2l107,4r4,-1l115,3r3,-2l118,r-3,l111,r-4,1l102,3,96,4r-5,l83,4,77,6r-8,l60,6r-7,l42,6r-9,l22,6,12,4,,3,,4xe" fillcolor="black">
                  <v:path arrowok="t"/>
                </v:shape>
                <v:shape id="_x0000_s40230" style="position:absolute;left:4066;top:2305;width:104;height:22" coordsize="104,22" path="m,3l12,7r9,3l30,11r9,3l47,16r8,1l62,19r7,l75,20r6,l87,20r6,l96,22r4,l103,20r1,l104,19r-1,l100,19r-4,l93,19r-6,l81,19,75,17r-6,l62,16,55,14r-8,l39,11,31,10,21,7,12,3,2,,,3xe" fillcolor="black">
                  <v:path arrowok="t"/>
                </v:shape>
                <v:shape id="_x0000_s40231" style="position:absolute;left:4083;top:2281;width:90;height:41" coordsize="90,41" path="m,3l8,8r8,4l24,17r8,4l39,24r7,3l54,31r7,3l67,35r4,2l79,38r2,2l86,40r1,l90,41r,-3l87,38r-1,l83,37,79,35r-6,l68,34,61,31,54,27,46,26,41,23,32,20,26,15,17,11,10,6,2,,,3xe" fillcolor="black">
                  <v:path arrowok="t"/>
                </v:shape>
                <v:shape id="_x0000_s40232" style="position:absolute;left:4106;top:2255;width:73;height:61" coordsize="73,61" path="m,2l1,3,4,6,6,8r4,3l15,15r4,3l25,24r6,4l35,32r6,5l47,41r6,5l57,50r6,3l67,58r5,3l73,60,69,57,64,53,60,47,54,44,48,41,42,35,38,31,31,26,26,23,22,18,16,14,12,11,9,6,6,3,4,2,1,,,2xe" fillcolor="black">
                  <v:path arrowok="t"/>
                </v:shape>
                <v:shape id="_x0000_s40233" style="position:absolute;left:4129;top:2235;width:54;height:78" coordsize="54,78" path="m,2l11,12,21,23r9,12l37,46r4,11l47,66r2,7l52,78r2,-1l52,73,49,66,44,55,38,46,33,32,24,22,15,9,3,,,2xe" fillcolor="black">
                  <v:path arrowok="t"/>
                </v:shape>
                <v:shape id="_x0000_s40234" style="position:absolute;left:4154;top:2214;width:34;height:96" coordsize="34,96" path="m,l9,15r7,15l21,44r3,15l28,72r1,10l29,90r,6l34,96,32,90r,-8l29,72,27,59,24,44,18,29,12,14,3,,,xe" fillcolor="black">
                  <v:path arrowok="t"/>
                </v:shape>
                <v:shape id="_x0000_s40235" style="position:absolute;left:4183;top:2189;width:14;height:119" coordsize="14,119" path="m,l6,23,9,45r2,16l11,78r,14l8,103r-2,9l5,119r3,l9,112r2,-9l12,92,14,78,12,61r,-16l8,23,3,,,xe" fillcolor="black">
                  <v:path arrowok="t"/>
                </v:shape>
                <v:shape id="_x0000_s40236" style="position:absolute;left:4194;top:2173;width:23;height:132" coordsize="23,132" path="m19,r1,29l19,53,17,73,14,91r-4,14l6,117r-3,8l,131r1,1l4,126r4,-9l11,106,16,91,19,73,22,53,23,29,23,,19,xe" fillcolor="black">
                  <v:path arrowok="t"/>
                </v:shape>
                <v:shape id="_x0000_s40237" style="position:absolute;left:4197;top:2159;width:49;height:149" coordsize="49,149" path="m46,l45,30,39,58,32,81r-6,21l17,119r-7,12l4,140,,146r1,3l7,142r6,-11l20,119r7,-17l35,81,42,58,46,30,49,,46,xe" fillcolor="black">
                  <v:path arrowok="t"/>
                </v:shape>
                <v:shape id="_x0000_s40238" style="position:absolute;left:4198;top:2151;width:79;height:157" coordsize="79,157" path="m78,l73,19,69,34,64,49,59,63,54,77,47,89,41,99r-6,11l29,119r-6,9l19,135r-6,6l9,147r-3,4l3,153,,156r3,1l6,156r1,-5l12,147r3,-5l21,136r5,-8l31,121r7,-9l44,99r6,-9l56,77,61,64,66,51,72,35,76,19,79,,78,xe" fillcolor="black">
                  <v:path arrowok="t"/>
                </v:shape>
                <v:shape id="_x0000_s40239" style="position:absolute;left:4198;top:2156;width:104;height:154" coordsize="104,154" path="m102,l98,12,92,26,86,38,80,50,75,62,67,73,60,85r-7,9l44,105r-7,9l29,123r-7,7l15,137r-5,8l6,148,,152r3,2l6,151r6,-6l19,139r6,-6l32,125r8,-9l47,107r7,-9l61,87,70,75,78,64,83,52,89,38,95,26,99,12,104,r-2,xe" fillcolor="black">
                  <v:path arrowok="t"/>
                </v:shape>
                <v:shape id="_x0000_s40240" style="position:absolute;left:4198;top:2179;width:118;height:134" coordsize="118,134" path="m117,r-9,15l101,30,92,42,82,56,73,67,64,78r-8,9l48,94r-8,8l32,110r-7,6l19,120r-7,3l7,128r-4,1l,131r3,3l6,133r3,-4l13,126r6,-4l26,117r8,-6l41,105r9,-8l59,88r8,-9l78,68,85,56,95,45r7,-15l111,16,118,r-1,xe" fillcolor="black">
                  <v:path arrowok="t"/>
                </v:shape>
                <v:shape id="_x0000_s40241" style="position:absolute;left:4198;top:2215;width:118;height:101" coordsize="118,101" path="m117,r-7,11l102,19r-8,9l86,35,78,45r-9,7l60,58r-9,8l44,72r-7,5l28,83r-7,4l15,90,7,93,4,97,,100r2,1l6,100r4,-3l15,93r7,-4l29,86r8,-6l45,74r8,-6l61,61r9,-7l79,46r9,-7l97,29r7,-9l111,11r7,-9l117,xe" fillcolor="black">
                  <v:path arrowok="t"/>
                </v:shape>
                <v:shape id="_x0000_s40242" style="position:absolute;left:4197;top:2261;width:98;height:58" coordsize="98,58" path="m96,l90,6r-7,6l77,17r-7,6l62,28r-7,4l48,37r-7,3l35,43r-8,3l22,49r-8,2l10,54r-5,l3,55,,55r,3l3,58,7,57r4,-2l16,54r6,-3l27,47r8,-1l42,41r7,-3l57,34r7,-5l71,25r8,-5l86,12,92,8,98,2,96,xe" fillcolor="black">
                  <v:path arrowok="t"/>
                </v:shape>
                <v:shape id="_x0000_s40243" style="position:absolute;left:4192;top:2322;width:53;height:5" coordsize="53,5" path="m53,l48,2r-5,l35,2r-8,l19,2r-7,l5,2,,2,,3r5,l12,5r7,l27,3r8,l43,3r5,l53,2,53,xe" fillcolor="black">
                  <v:path arrowok="t"/>
                </v:shape>
                <v:shape id="_x0000_s40244" style="position:absolute;left:4189;top:2325;width:28;height:22" coordsize="28,22" path="m28,22r,l2,,,2,27,22r1,xe" fillcolor="black">
                  <v:path arrowok="t"/>
                </v:shape>
                <v:shape id="_x0000_s40245" style="position:absolute;left:4064;top:2220;width:29;height:90" coordsize="29,90" path="m2,l,1,26,90r3,-2l2,,1,3,2,,,,,1,2,xe" fillcolor="black">
                  <v:path arrowok="t"/>
                </v:shape>
                <v:shape id="_x0000_s40246" style="position:absolute;left:4065;top:2220;width:199;height:58" coordsize="199,58" path="m199,56r,-3l1,,,3,199,58r,-2xe" fillcolor="black">
                  <v:path arrowok="t"/>
                </v:shape>
                <v:shape id="_x0000_s40247" style="position:absolute;left:4064;top:2220;width:33;height:180" coordsize="33,180" path="m1,l,1,32,180r1,l2,1,1,3,1,,,,,1,1,xe" fillcolor="black">
                  <v:path arrowok="t"/>
                </v:shape>
                <v:shape id="_x0000_s40248" style="position:absolute;left:4065;top:2212;width:133;height:11" coordsize="133,11" path="m133,2r,-2l,8r,3l133,2r,xe" fillcolor="black">
                  <v:path arrowok="t"/>
                </v:shape>
                <v:shape id="_x0000_s40249" style="position:absolute;left:4047;top:2205;width:28;height:26" coordsize="28,26" path="m,10l17,26r4,-2l24,23r3,-4l28,15r-1,l25,12,24,10,21,7,17,4,15,3,14,1,12,,9,,8,1,3,4,,10xe">
                  <v:path arrowok="t"/>
                </v:shape>
                <v:shape id="_x0000_s40250" style="position:absolute;left:4047;top:2214;width:18;height:18" coordsize="18,18" path="m17,15r1,2l2,,,1,17,17r,1l17,17r,1l17,15xe" fillcolor="black">
                  <v:path arrowok="t"/>
                </v:shape>
                <v:shape id="_x0000_s40251" style="position:absolute;left:4064;top:2220;width:13;height:12" coordsize="13,12" path="m10,1l10,r,4l5,6,2,9,,11r,1l4,11,7,9,11,6,13,r,l10,1xe" fillcolor="black">
                  <v:path arrowok="t"/>
                </v:shape>
                <v:shape id="_x0000_s40252" style="position:absolute;left:4059;top:2205;width:16;height:15" coordsize="16,15" path="m,3r,l,3,3,4,5,7,7,9r3,3l12,15r3,l15,15r1,l15,15r,-3l12,10,9,7,6,4,5,3,3,3,,,,3xe" fillcolor="black">
                  <v:path arrowok="t"/>
                </v:shape>
                <v:shape id="_x0000_s40253" style="position:absolute;left:4046;top:2205;width:13;height:10" coordsize="13,10" path="m3,9r,l6,6,9,3r1,l13,3,13,,10,,7,1,3,4,,9r,1l,9r,1l,10,3,9xe" fillcolor="black">
                  <v:path arrowok="t"/>
                </v:shape>
                <v:shape id="_x0000_s40254" style="position:absolute;left:4169;top:2370;width:29;height:100" coordsize="29,100" path="m29,r,15l29,44r,32l29,93r,1l29,96r-1,1l26,97r-4,2l19,100r-5,l10,100r-3,l4,99r-3,l,99,,97r,l,96,,94,,84,,58,,33,,22r,l4,21,7,16r5,-3l17,9,22,4,26,3,29,xe">
                  <v:path arrowok="t"/>
                </v:shape>
                <v:shape id="_x0000_s40255" style="position:absolute;left:4198;top:2370;width:3;height:93" coordsize="3,93" path="m3,93r,l3,77,3,45,3,15,3,,,,,15,,45,,77,,93r3,xe" fillcolor="black">
                  <v:path arrowok="t"/>
                </v:shape>
                <v:shape id="_x0000_s40256" style="position:absolute;left:4195;top:2463;width:6;height:6" coordsize="6,6" path="m2,6r,l3,4,5,3,5,1,6,,3,r,1l3,3,2,3,,4,2,6xe" fillcolor="black">
                  <v:path arrowok="t"/>
                </v:shape>
                <v:shape id="_x0000_s40257" style="position:absolute;left:4169;top:2466;width:28;height:6" coordsize="28,6" path="m,3r,l,3,4,4,6,6r4,l14,6,19,4,23,3,28,1,26,,22,1,19,3r-5,l10,3,6,3,4,1,1,1,,1,,3xe" fillcolor="black">
                  <v:path arrowok="t"/>
                </v:shape>
                <v:shape id="_x0000_s40258" style="position:absolute;left:4166;top:2464;width:4;height:5" coordsize="4,5" path="m,l,,,,1,2r,1l3,5,4,3,4,2,3,2,4,r,l,xe" fillcolor="black">
                  <v:path arrowok="t"/>
                </v:shape>
                <v:shape id="_x0000_s40259" style="position:absolute;left:4166;top:2391;width:4;height:73" coordsize="4,73" path="m1,l,1,,12,,37,,61,,73r4,l4,61,4,37,4,12,4,1,3,1,1,,,1,1,xe" fillcolor="black">
                  <v:path arrowok="t"/>
                </v:shape>
                <v:shape id="_x0000_s40260" style="position:absolute;left:4166;top:2367;width:35;height:29" coordsize="35,29" path="m35,3r-3,l29,4,25,7r-5,5l15,16r-5,3l4,22,1,25,,25r3,4l3,27,6,25r4,-4l16,18r6,-5l26,10,31,7,34,4,32,3r3,l35,,32,3r3,xe" fillcolor="black">
                  <v:path arrowok="t"/>
                </v:shape>
                <v:shape id="_x0000_s40261" style="position:absolute;left:4197;top:2428;width:41;height:39" coordsize="41,39" path="m,38l,,41,39,,38xe">
                  <v:path arrowok="t"/>
                </v:shape>
                <v:shape id="_x0000_s40262" style="position:absolute;left:4195;top:2425;width:3;height:41" coordsize="3,41" path="m3,3l,3,,41r3,l3,3,2,4,3,3,,,,3r3,xe" fillcolor="black">
                  <v:path arrowok="t"/>
                </v:shape>
                <v:shape id="_x0000_s40263" style="position:absolute;left:4197;top:2428;width:45;height:41" coordsize="45,41" path="m41,41r1,-3l1,,,1,39,39r2,-1l41,41r4,l42,38r-1,3xe" fillcolor="black">
                  <v:path arrowok="t"/>
                </v:shape>
                <v:shape id="_x0000_s40264" style="position:absolute;left:4195;top:2464;width:43;height:3" coordsize="43,3" path="m,l2,2,43,3,43,,2,,3,,,,,2r2,l,xe" fillcolor="black">
                  <v:path arrowok="t"/>
                </v:shape>
                <v:shape id="_x0000_s40265" style="position:absolute;left:4129;top:2429;width:40;height:35" coordsize="40,35" path="m40,35l40,,,34r40,1xe">
                  <v:path arrowok="t"/>
                </v:shape>
                <v:shape id="_x0000_s40266" style="position:absolute;left:4166;top:2426;width:4;height:38" coordsize="4,38" path="m3,3l,2,,38r4,l4,2,1,2r3,l4,,1,2,3,3xe" fillcolor="black">
                  <v:path arrowok="t"/>
                </v:shape>
                <v:shape id="_x0000_s40267" style="position:absolute;left:4128;top:2429;width:41;height:37" coordsize="41,37" path="m3,34r1,1l41,2,38,,1,35r2,2l1,35,,37r3,l3,34xe" fillcolor="black">
                  <v:path arrowok="t"/>
                </v:shape>
                <v:shape id="_x0000_s40268" style="position:absolute;left:4129;top:2463;width:41;height:3" coordsize="41,3" path="m37,1r3,l,,,1,40,3,41,1,40,3r1,l41,1r-4,xe" fillcolor="black">
                  <v:path arrowok="t"/>
                </v:shape>
                <v:shape id="_x0000_s40269" style="position:absolute;left:4163;top:2428;width:16;height:53" coordsize="16,53" path="m16,l,53,16,42,16,xe">
                  <v:path arrowok="t"/>
                </v:shape>
                <v:shape id="_x0000_s40270" style="position:absolute;left:4162;top:2428;width:19;height:56" coordsize="19,56" path="m1,52r3,1l19,,17,,1,52r1,1l1,52,,56,2,53,1,52xe" fillcolor="black">
                  <v:path arrowok="t"/>
                </v:shape>
                <v:shape id="_x0000_s40271" style="position:absolute;left:4163;top:2470;width:18;height:13" coordsize="18,13" path="m15,2l16,,,11r1,2l18,2r,l18,2r,l18,2r-3,xe" fillcolor="black">
                  <v:path arrowok="t"/>
                </v:shape>
                <v:shape id="_x0000_s40272" style="position:absolute;left:4178;top:2417;width:3;height:53" coordsize="3,53" path="m3,11l,11,,53r3,l3,11,,11r3,l3,,,11r3,xe" fillcolor="black">
                  <v:path arrowok="t"/>
                </v:shape>
              </v:group>
              <v:shape id="_x0000_s40273" style="position:absolute;left:1670;top:2789;width:266;height:35" coordsize="266,35" path="m85,l,27r208,8l266,6,85,xe">
                <v:path arrowok="t"/>
              </v:shape>
              <v:shape id="_x0000_s40274" style="position:absolute;left:1669;top:2789;width:87;height:29" coordsize="87,29" path="m,25r1,4l87,3,86,,,25r,4l,25r,l,27r,2l1,29,,25xe" fillcolor="black">
                <v:path arrowok="t"/>
              </v:shape>
              <v:shape id="_x0000_s40275" style="position:absolute;left:1670;top:2816;width:211;height:9" coordsize="211,9" path="m208,8r1,l,,,2,209,9r2,l211,8r-2,l208,8xe" fillcolor="black">
                <v:path arrowok="t"/>
              </v:shape>
              <v:shape id="_x0000_s40276" style="position:absolute;left:1878;top:2795;width:61;height:30" coordsize="61,30" path="m60,1l58,,,29r1,1l60,1,60,r,1l61,1,61,r,l58,r2,1xe" fillcolor="black">
                <v:path arrowok="t"/>
              </v:shape>
              <v:shape id="_x0000_s40277" style="position:absolute;left:1753;top:2789;width:183;height:7" coordsize="183,7" path="m3,3l2,3,183,7r,-1l2,,,,,1,,3r2,l3,3xe" fillcolor="black">
                <v:path arrowok="t"/>
              </v:shape>
              <v:shape id="_x0000_s40278" style="position:absolute;left:1670;top:2796;width:266;height:35" coordsize="266,35" path="m266,6l208,35,,28,,22r208,7l266,r,6xe">
                <v:path arrowok="t"/>
              </v:shape>
              <v:shape id="_x0000_s40279" style="position:absolute;left:1878;top:2801;width:61;height:32" coordsize="61,32" path="m1,32r2,l61,1,60,,1,29,,30r,2l1,32r2,l1,32xe" fillcolor="black">
                <v:path arrowok="t"/>
              </v:shape>
              <v:shape id="_x0000_s40280" style="position:absolute;left:1669;top:2822;width:209;height:11" coordsize="209,11" path="m,l1,2r208,9l209,8,1,,2,,1,,,,,,,2r1,l,xe" fillcolor="black">
                <v:path arrowok="t"/>
              </v:shape>
              <v:shape id="_x0000_s40281" style="position:absolute;left:1669;top:2816;width:2;height:8" coordsize="2,8" path="m1,l,2,,8r2,l2,2,1,3,2,2,1,r,l,,,2,1,xe" fillcolor="black">
                <v:path arrowok="t"/>
              </v:shape>
              <v:shape id="_x0000_s40282" style="position:absolute;left:1670;top:2816;width:211;height:9" coordsize="211,9" path="m208,8r1,l,,,2,209,9r2,l211,8r-2,l208,8xe" fillcolor="black">
                <v:path arrowok="t"/>
              </v:shape>
              <v:shape id="_x0000_s40283" style="position:absolute;left:1878;top:2795;width:61;height:30" coordsize="61,30" path="m61,l58,,,29r1,1l60,1,58,r2,1l61,1,61,,60,,58,r3,xe" fillcolor="black">
                <v:path arrowok="t"/>
              </v:shape>
              <v:shape id="_x0000_s40284" style="position:absolute;left:1936;top:2796;width:3;height:8" coordsize="3,8" path="m2,8l3,6,3,,,,,6r,l,6,,8r,l3,8,3,6,2,8xe" fillcolor="black">
                <v:path arrowok="t"/>
              </v:shape>
              <v:shape id="_x0000_s40285" style="position:absolute;left:1689;top:2533;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40286" style="position:absolute;left:1837;top:2537;width:70;height:135" coordsize="70,135" path="m55,3r,l57,4r3,3l63,12r1,4l65,21r,8l65,35r,9l63,50,58,61,54,71,46,82,39,93,29,105,16,120,,134r3,1l17,120,30,108,41,94,49,82,57,71r6,-9l65,51r3,-7l68,35r2,-6l68,21,65,15,64,10,63,6,60,3,57,,55,3xe" fillcolor="black">
                <v:path arrowok="t"/>
              </v:shape>
              <v:shape id="_x0000_s40287" style="position:absolute;left:1758;top:2532;width:136;height:69" coordsize="136,69" path="m1,69r,l11,60,22,50,32,43,42,35,52,29,63,23,73,18r9,-4l90,9,99,8r7,-5l112,3r8,l125,3r5,2l133,8r3,-2l130,3,125,1,120,r-8,1l106,1,98,3,90,8,80,11r-9,4l61,20r-9,6l42,34,32,41,20,49,10,58,,67r1,2xe" fillcolor="black">
                <v:path arrowok="t"/>
              </v:shape>
              <v:shape id="_x0000_s40288" style="position:absolute;left:1688;top:2599;width:71;height:130" coordsize="71,130" path="m7,130r,l5,125,2,121r,-5l2,109r,-7l5,95,7,87r4,-9l16,70,21,60r8,-9l36,41r7,-9l52,22,61,12,71,2,70,,60,11,49,20r-8,9l33,40,26,51r-7,9l14,69,8,78,5,86,2,95,,102r,7l,116r,5l2,127r3,3l7,130xe" fillcolor="black">
                <v:path arrowok="t"/>
              </v:shape>
              <v:shape id="_x0000_s40289" style="position:absolute;left:1693;top:2671;width:147;height:70" coordsize="147,70" path="m144,r,l135,9r-10,8l114,24r-10,8l94,40,84,46r-9,6l66,56,56,61r-9,3l38,66r-7,1l22,67,15,64,9,63,2,58,,58r8,6l14,67r8,2l31,70r7,-1l49,66r8,-3l66,59,76,55r9,-8l97,41r10,-6l117,27r9,-9l136,9,147,1,144,xe" fillcolor="black">
                <v:path arrowok="t"/>
              </v:shape>
              <v:shape id="_x0000_s40290" style="position:absolute;left:1660;top:2492;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40291" style="position:absolute;left:1859;top:2498;width:87;height:179" coordsize="87,179" path="m70,2r,l74,5r3,6l80,14r3,8l84,29r,8l84,46r,11l80,68,76,81,70,95,60,109,49,124,35,141,19,159,,177r1,2l22,161,38,142,51,126,62,110,73,95,79,81,83,69,86,57,87,46r,-9l87,29,84,20,83,14,80,8,76,3,73,,70,2xe" fillcolor="black">
                <v:path arrowok="t"/>
              </v:shape>
              <v:shape id="_x0000_s40292" style="position:absolute;left:1752;top:2491;width:180;height:91" coordsize="180,91" path="m1,91r,l16,79,29,67,42,56,55,47,70,38,83,29,96,21r12,-6l120,10,131,7,142,4r8,-1l159,3r8,l174,6r4,1l180,7,174,3,167,1,159,r-9,1l142,1,131,6,120,9r-12,4l95,20,82,27,67,36,55,44,41,55,26,67,13,78,,90r1,1xe" fillcolor="black">
                <v:path arrowok="t"/>
              </v:shape>
              <v:shape id="_x0000_s40293" style="position:absolute;left:1658;top:2581;width:95;height:172" coordsize="95,172" path="m11,171r,l8,166,5,160,3,153r,-8l5,136r1,-9l11,114r4,-10l22,91,30,79,37,67,47,53,57,41,69,27,81,15,95,1,94,,81,12,66,26,54,40,46,53,35,65,27,78,19,91r-6,13l8,114,5,125,2,136,,145r,8l2,160r3,8l9,172r2,-1xe" fillcolor="black">
                <v:path arrowok="t"/>
              </v:shape>
              <v:shape id="_x0000_s40294" style="position:absolute;left:1666;top:2675;width:194;height:92" coordsize="194,92" path="m193,r,l179,13,168,23,153,36r-13,9l127,54r-15,9l99,71,86,77,74,81,63,86,51,89r-12,l29,89,19,88,10,83,3,77,,78r8,8l17,89r12,2l39,92,51,91,63,89,74,84,87,78r15,-6l114,66r13,-9l141,48,155,37,168,25,182,14,194,2,193,xe" fillcolor="black">
                <v:path arrowok="t"/>
              </v:shape>
              <v:shape id="_x0000_s40295" style="position:absolute;left:1657;top:2489;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40296" style="position:absolute;left:1856;top:2495;width:87;height:177" coordsize="87,177" path="m70,2r,l73,5r3,6l80,16r2,6l83,29r3,8l84,46,83,57,80,67,76,81,68,93r-8,16l48,122,35,139,19,158,,176r1,1l20,159,38,141,51,124,63,109,70,93,77,81,82,69,86,57,87,46r,-9l86,29,84,20,82,14,79,9,76,3,71,,70,2xe" fillcolor="black">
                <v:path arrowok="t"/>
              </v:shape>
              <v:shape id="_x0000_s40297" style="position:absolute;left:1746;top:2488;width:181;height:93" coordsize="181,93" path="m3,93r,l16,79,31,68,44,58,57,47,72,38,85,29,97,23r13,-7l121,10,132,7,142,4,152,3r9,l168,4r7,2l180,9r1,-2l175,4,168,1,161,r-9,1l142,1,132,6,121,9r-11,4l97,21,83,27,69,36,56,45,42,55,29,67,15,78,,90r3,3xe" fillcolor="black">
                <v:path arrowok="t"/>
              </v:shape>
              <v:shape id="_x0000_s40298" style="position:absolute;left:1655;top:2578;width:93;height:172" coordsize="93,172" path="m9,171r,l6,168,3,160,2,152r,-7l3,136r3,-9l9,116r6,-12l21,93,28,79,35,68,46,53,56,41,66,27,79,15,93,3,91,,78,14,65,26,54,39,43,53,34,65,25,79,18,91r-4,11l8,114,3,125,,136r,9l,152r,10l3,168r5,4l9,171xe" fillcolor="black">
                <v:path arrowok="t"/>
              </v:shape>
              <v:shape id="_x0000_s40299" style="position:absolute;left:1663;top:2672;width:194;height:92" coordsize="194,92" path="m193,r,l180,13,166,23,152,34,139,45r-14,9l112,62,98,69,86,77,74,81,61,86,49,87,39,89r-12,l19,87,10,81,3,77,,78r8,6l17,89r10,2l39,92,49,91,63,87,74,84,87,78r14,-6l114,65,127,55r13,-9l155,36,168,25,181,13,194,2,193,xe" fillcolor="black">
                <v:path arrowok="t"/>
              </v:shape>
              <v:shape id="_x0000_s40300" style="position:absolute;left:1793;top:2643;width:32;height:29" coordsize="32,29" path="m22,20r4,-4l29,13r2,-3l31,7,32,5,31,3r,l29,2,28,,26,,25,,22,3r-3,l16,5,13,8,9,11,7,14,4,16,1,19,,22r,1l,26r,2l,28r1,1l4,29r3,l9,28r4,l16,26r3,-4l22,20xe">
                <v:path arrowok="t"/>
              </v:shape>
              <v:shape id="_x0000_s40301" style="position:absolute;left:1813;top:2643;width:13;height:22" coordsize="13,22" path="m9,3r,l9,3r,l9,5r,3l9,10,8,13,5,16,,20r2,2l6,17,9,14r3,-3l12,8,13,5,12,3r,-1l11,,9,3xe" fillcolor="black">
                <v:path arrowok="t"/>
              </v:shape>
              <v:shape id="_x0000_s40302" style="position:absolute;left:1802;top:2642;width:20;height:12" coordsize="20,12" path="m,12r,l4,9,7,8,10,4r3,l16,3,17,1r2,l19,3,20,,19,,17,,14,,11,,8,3,5,4,3,8,,11r,1xe" fillcolor="black">
                <v:path arrowok="t"/>
              </v:shape>
              <v:shape id="_x0000_s40303" style="position:absolute;left:1790;top:2653;width:13;height:19" coordsize="13,19" path="m3,18r,l3,16r,-1l4,12,6,10,7,7,10,4,13,1,12,,9,3,4,6,3,9r,3l,13r,3l,18r3,1l3,18xe" fillcolor="black">
                <v:path arrowok="t"/>
              </v:shape>
              <v:shape id="_x0000_s40304" style="position:absolute;left:1793;top:2663;width:22;height:12" coordsize="22,12" path="m19,r,l17,2,14,5,12,6,9,8,6,9,4,9,1,9,,8,,9r1,2l4,12,7,11,9,9,13,8,16,6,19,5,22,2,19,xe" fillcolor="black">
                <v:path arrowok="t"/>
              </v:shape>
              <v:shape id="_x0000_s40305" style="position:absolute;left:1810;top:2668;width:5;height:43" coordsize="5,43" path="m3,43l5,27,3,14,2,3,2,,,,,3,2,14r,13l,43r3,xe" fillcolor="black">
                <v:path arrowok="t"/>
              </v:shape>
              <v:shape id="_x0000_s40306" style="position:absolute;left:1774;top:2671;width:33;height:64" coordsize="33,64" path="m1,64l9,53,16,43,20,32r6,-9l29,14,32,6,33,1,33,,32,,31,1,29,6r-3,8l23,21,19,32,13,43,6,53,,63r1,1xe" fillcolor="black">
                <v:path arrowok="t"/>
              </v:shape>
              <v:shape id="_x0000_s40307" style="position:absolute;left:1726;top:2672;width:76;height:86" coordsize="76,86" path="m1,86l13,75,24,65,33,55r9,-9l49,40r8,-7l61,26r3,-4l68,17r3,-4l73,8,74,5r,-2l76,3r,-1l76,,74,,73,2r,1l71,5,70,8r-2,3l67,16r-5,4l60,25r-8,6l48,39r-7,6l33,54,23,63,13,74,,84r1,2xe" fillcolor="black">
                <v:path arrowok="t"/>
              </v:shape>
              <v:shape id="_x0000_s40308" style="position:absolute;left:1680;top:2672;width:119;height:89" coordsize="119,89" path="m2,89l18,81,32,75,46,69,57,62,68,54,78,46r9,-6l92,34r6,-8l106,22r4,-6l113,11r1,-3l117,5r2,-2l119,2,117,r-1,2l114,3r-1,2l110,10r-3,4l103,20r-6,5l91,31r-7,8l76,45,66,52,56,58,44,66,31,74,16,80,,86r2,3xe" fillcolor="black">
                <v:path arrowok="t"/>
              </v:shape>
              <v:shape id="_x0000_s40309" style="position:absolute;left:1666;top:2672;width:131;height:78" coordsize="131,78" path="m128,r-3,5l122,8r-2,5l115,16r-4,4l105,23r-4,5l93,34r-7,5l79,43,68,48,58,54,45,58,32,65,17,69,,75r1,3l17,72,32,66,46,62,58,55,70,51r9,-6l87,40r8,-4l102,31r6,-6l112,22r5,-5l121,13r3,-3l128,5r3,-2l128,xe" fillcolor="black">
                <v:path arrowok="t"/>
              </v:shape>
              <v:shape id="_x0000_s40310" style="position:absolute;left:1655;top:2672;width:139;height:62" coordsize="139,62" path="m,62l18,57,35,52,50,46,63,40,76,36,88,31,98,26r9,-4l114,17r8,-3l128,10r4,-2l135,5r3,-2l138,3r1,-1l138,r-3,l132,3r-1,2l125,8r-5,3l114,16r-8,4l97,23,87,28,76,34,63,39,50,45,34,51,18,54,,60r,2xe" fillcolor="black">
                <v:path arrowok="t"/>
              </v:shape>
              <v:shape id="_x0000_s40311" style="position:absolute;left:1657;top:2671;width:137;height:43" coordsize="137,43" path="m,43l12,41,23,40,35,38,45,37,55,35,67,30,77,27r9,-3l95,21r7,-3l111,14r7,-3l124,9r5,-3l133,4r4,-3l136,r-3,1l129,4r-6,2l118,9r-7,3l102,17r-7,1l86,23,76,24r-9,5l55,32,45,35,35,37,23,38,12,40,,40r,3xe" fillcolor="black">
                <v:path arrowok="t"/>
              </v:shape>
              <v:shape id="_x0000_s40312" style="position:absolute;left:1666;top:2669;width:127;height:22" coordsize="127,22" path="m,20r10,2l22,20r11,l43,20,54,19r9,-2l73,16r9,-3l90,13r8,-3l103,8r8,-2l117,5r3,-2l124,2r3,l125,r-3,l120,2r-5,1l109,3r-6,3l96,8r-7,2l82,11r-9,2l63,16r-9,l43,17,33,19r-11,l10,19,,19r,1xe" fillcolor="black">
                <v:path arrowok="t"/>
              </v:shape>
              <v:shape id="_x0000_s40313" style="position:absolute;left:1676;top:2665;width:118;height:7" coordsize="118,7" path="m,4l12,6,22,7r11,l42,7r11,l60,7r9,l77,7,83,6r8,l96,6r6,-2l107,4r4,-1l115,3r3,-2l118,r-3,l111,r-4,1l102,3,96,4r-5,l83,4,77,6r-8,l60,6r-7,l42,6r-9,l22,6,12,4,,3,,4xe" fillcolor="black">
                <v:path arrowok="t"/>
              </v:shape>
              <v:shape id="_x0000_s40314" style="position:absolute;left:1690;top:2643;width:104;height:22" coordsize="104,22" path="m,3l12,7r9,3l30,11r9,3l47,16r8,1l62,19r7,l75,20r6,l87,20r6,l96,22r4,l103,20r1,l104,19r-1,l100,19r-4,l93,19r-6,l81,19,75,17r-6,l62,16,55,14r-8,l39,11,31,10,21,7,12,3,2,,,3xe" fillcolor="black">
                <v:path arrowok="t"/>
              </v:shape>
              <v:shape id="_x0000_s40315" style="position:absolute;left:1707;top:2619;width:90;height:41" coordsize="90,41" path="m,3l8,8r8,4l24,17r8,4l39,24r7,3l54,31r7,3l67,35r4,2l79,38r2,2l86,40r1,l90,41r,-3l87,38r-1,l83,37,79,35r-6,l68,34,61,31,54,27,46,26,41,23,32,20,26,15,17,11,10,6,2,,,3xe" fillcolor="black">
                <v:path arrowok="t"/>
              </v:shape>
              <v:shape id="_x0000_s40316" style="position:absolute;left:1730;top:2593;width:73;height:61" coordsize="73,61" path="m,2l1,3,4,6,6,8r4,3l15,15r4,3l25,24r6,4l35,32r6,5l47,41r6,5l57,50r6,3l67,58r5,3l73,60,69,57,64,53,60,47,54,44,48,41,42,35,38,31,31,26,26,23,22,18,16,14,12,11,9,6,6,3,4,2,1,,,2xe" fillcolor="black">
                <v:path arrowok="t"/>
              </v:shape>
              <v:shape id="_x0000_s40317" style="position:absolute;left:1753;top:2573;width:54;height:78" coordsize="54,78" path="m,2l11,12,21,23r9,12l37,46r4,11l47,66r2,7l52,78r2,-1l52,73,49,66,44,55,38,46,33,32,24,22,15,9,3,,,2xe" fillcolor="black">
                <v:path arrowok="t"/>
              </v:shape>
              <v:shape id="_x0000_s40318" style="position:absolute;left:1778;top:2552;width:34;height:96" coordsize="34,96" path="m,l9,15r7,15l21,44r3,15l28,72r1,10l29,90r,6l34,96,32,90r,-8l29,72,27,59,24,44,18,29,12,14,3,,,xe" fillcolor="black">
                <v:path arrowok="t"/>
              </v:shape>
              <v:shape id="_x0000_s40319" style="position:absolute;left:1807;top:2527;width:14;height:119" coordsize="14,119" path="m,l6,23,9,45r2,16l11,78r,14l8,103r-2,9l5,119r3,l9,112r2,-9l12,92,14,78,12,61r,-16l8,23,3,,,xe" fillcolor="black">
                <v:path arrowok="t"/>
              </v:shape>
              <v:shape id="_x0000_s40320" style="position:absolute;left:1818;top:2511;width:23;height:132" coordsize="23,132" path="m19,r1,29l19,53,17,73,14,91r-4,14l6,117r-3,8l,131r1,1l4,126r4,-9l11,106,16,91,19,73,22,53,23,29,23,,19,xe" fillcolor="black">
                <v:path arrowok="t"/>
              </v:shape>
              <v:shape id="_x0000_s40321" style="position:absolute;left:1821;top:2497;width:49;height:149" coordsize="49,149" path="m46,l45,30,39,58,32,81r-6,21l17,119r-7,12l4,140,,146r1,3l7,142r6,-11l20,119r7,-17l35,81,42,58,46,30,49,,46,xe" fillcolor="black">
                <v:path arrowok="t"/>
              </v:shape>
              <v:shape id="_x0000_s40322" style="position:absolute;left:1822;top:2489;width:79;height:157" coordsize="79,157" path="m78,l73,19,69,34,64,49,59,63,54,77,47,89,41,99r-6,11l29,119r-6,9l19,135r-6,6l9,147r-3,4l3,153,,156r3,1l6,156r1,-5l12,147r3,-5l21,136r5,-8l31,121r7,-9l44,99r6,-9l56,77,61,64,66,51,72,35,76,19,79,,78,xe" fillcolor="black">
                <v:path arrowok="t"/>
              </v:shape>
              <v:shape id="_x0000_s40323" style="position:absolute;left:1822;top:2494;width:104;height:154" coordsize="104,154" path="m102,l98,12,92,26,86,38,80,50,75,62,67,73,60,85r-7,9l44,105r-7,9l29,123r-7,7l15,137r-5,8l6,148,,152r3,2l6,151r6,-6l19,139r6,-6l32,125r8,-9l47,107r7,-9l61,87,70,75,78,64,83,52,89,38,95,26,99,12,104,r-2,xe" fillcolor="black">
                <v:path arrowok="t"/>
              </v:shape>
              <v:shape id="_x0000_s40324" style="position:absolute;left:1822;top:2517;width:118;height:134" coordsize="118,134" path="m117,r-9,15l101,30,92,42,82,56,73,67,64,78r-8,9l48,94r-8,8l32,110r-7,6l19,120r-7,3l7,128r-4,1l,131r3,3l6,133r3,-4l13,126r6,-4l26,117r8,-6l41,105r9,-8l59,88r8,-9l78,68,85,56,95,45r7,-15l111,16,118,r-1,xe" fillcolor="black">
                <v:path arrowok="t"/>
              </v:shape>
              <v:shape id="_x0000_s40325" style="position:absolute;left:1822;top:2553;width:118;height:101" coordsize="118,101" path="m117,r-7,11l102,19r-8,9l86,35,78,45r-9,7l60,58r-9,8l44,72r-7,5l28,83r-7,4l15,90,7,93,4,97,,100r2,1l6,100r4,-3l15,93r7,-4l29,86r8,-6l45,74r8,-6l61,61r9,-7l79,46r9,-7l97,29r7,-9l111,11r7,-9l117,xe" fillcolor="black">
                <v:path arrowok="t"/>
              </v:shape>
              <v:shape id="_x0000_s40326" style="position:absolute;left:1821;top:2599;width:98;height:58" coordsize="98,58" path="m96,l90,6r-7,6l77,17r-7,6l62,28r-7,4l48,37r-7,3l35,43r-8,3l22,49r-8,2l10,54r-5,l3,55,,55r,3l3,58,7,57r4,-2l16,54r6,-3l27,47r8,-1l42,41r7,-3l57,34r7,-5l71,25r8,-5l86,12,92,8,98,2,96,xe" fillcolor="black">
                <v:path arrowok="t"/>
              </v:shape>
              <v:shape id="_x0000_s40327" style="position:absolute;left:1816;top:2660;width:53;height:5" coordsize="53,5" path="m53,l48,2r-5,l35,2r-8,l19,2r-7,l5,2,,2,,3r5,l12,5r7,l27,3r8,l43,3r5,l53,2,53,xe" fillcolor="black">
                <v:path arrowok="t"/>
              </v:shape>
              <v:shape id="_x0000_s40328" style="position:absolute;left:1813;top:2663;width:28;height:22" coordsize="28,22" path="m28,22r,l2,,,2,27,22r1,xe" fillcolor="black">
                <v:path arrowok="t"/>
              </v:shape>
              <v:shape id="_x0000_s40329" style="position:absolute;left:1688;top:2558;width:29;height:90" coordsize="29,90" path="m2,l,1,26,90r3,-2l2,,1,3,2,,,,,1,2,xe" fillcolor="black">
                <v:path arrowok="t"/>
              </v:shape>
              <v:shape id="_x0000_s40330" style="position:absolute;left:1689;top:2558;width:199;height:58" coordsize="199,58" path="m199,56r,-3l1,,,3,199,58r,-2xe" fillcolor="black">
                <v:path arrowok="t"/>
              </v:shape>
              <v:shape id="_x0000_s40331" style="position:absolute;left:1688;top:2558;width:33;height:180" coordsize="33,180" path="m1,l,1,32,180r1,l2,1,1,3,1,,,,,1,1,xe" fillcolor="black">
                <v:path arrowok="t"/>
              </v:shape>
              <v:shape id="_x0000_s40332" style="position:absolute;left:1689;top:2550;width:133;height:11" coordsize="133,11" path="m133,2r,-2l,8r,3l133,2r,xe" fillcolor="black">
                <v:path arrowok="t"/>
              </v:shape>
              <v:shape id="_x0000_s40333" style="position:absolute;left:1671;top:2543;width:28;height:26" coordsize="28,26" path="m,10l17,26r4,-2l24,23r3,-4l28,15r-1,l25,12,24,10,21,7,17,4,15,3,14,1,12,,9,,8,1,3,4,,10xe">
                <v:path arrowok="t"/>
              </v:shape>
              <v:shape id="_x0000_s40334" style="position:absolute;left:1671;top:2552;width:18;height:18" coordsize="18,18" path="m17,15r1,2l2,,,1,17,17r,1l17,17r,1l17,15xe" fillcolor="black">
                <v:path arrowok="t"/>
              </v:shape>
              <v:shape id="_x0000_s40335" style="position:absolute;left:1688;top:2558;width:13;height:12" coordsize="13,12" path="m10,1l10,r,4l5,6,2,9,,11r,1l4,11,7,9,11,6,13,r,l10,1xe" fillcolor="black">
                <v:path arrowok="t"/>
              </v:shape>
              <v:shape id="_x0000_s40336" style="position:absolute;left:1683;top:2543;width:16;height:15" coordsize="16,15" path="m,3r,l,3,3,4,5,7,7,9r3,3l12,15r3,l15,15r1,l15,15r,-3l12,10,9,7,6,4,5,3,3,3,,,,3xe" fillcolor="black">
                <v:path arrowok="t"/>
              </v:shape>
              <v:shape id="_x0000_s40337" style="position:absolute;left:1670;top:2543;width:13;height:10" coordsize="13,10" path="m3,9r,l6,6,9,3r1,l13,3,13,,10,,7,1,3,4,,9r,1l,9r,1l,10,3,9xe" fillcolor="black">
                <v:path arrowok="t"/>
              </v:shape>
              <v:shape id="_x0000_s40338" style="position:absolute;left:1793;top:2708;width:29;height:100" coordsize="29,100" path="m29,r,15l29,44r,32l29,93r,1l29,96r-1,1l26,97r-4,2l19,100r-5,l10,100r-3,l4,99r-3,l,99,,97r,l,96,,94,,84,,58,,33,,22r,l4,21,7,16r5,-3l17,9,22,4,26,3,29,xe">
                <v:path arrowok="t"/>
              </v:shape>
              <v:shape id="_x0000_s40339" style="position:absolute;left:1822;top:2708;width:3;height:93" coordsize="3,93" path="m3,93r,l3,77,3,45,3,15,3,,,,,15,,45,,77,,93r3,xe" fillcolor="black">
                <v:path arrowok="t"/>
              </v:shape>
              <v:shape id="_x0000_s40340" style="position:absolute;left:1819;top:2801;width:6;height:6" coordsize="6,6" path="m2,6r,l3,4,5,3,5,1,6,,3,r,1l3,3,2,3,,4,2,6xe" fillcolor="black">
                <v:path arrowok="t"/>
              </v:shape>
              <v:shape id="_x0000_s40341" style="position:absolute;left:1793;top:2804;width:28;height:6" coordsize="28,6" path="m,3r,l,3,4,4,6,6r4,l14,6,19,4,23,3,28,1,26,,22,1,19,3r-5,l10,3,6,3,4,1,1,1,,1,,3xe" fillcolor="black">
                <v:path arrowok="t"/>
              </v:shape>
              <v:shape id="_x0000_s40342" style="position:absolute;left:1790;top:2802;width:4;height:5" coordsize="4,5" path="m,l,,,,1,2r,1l3,5,4,3,4,2,3,2,4,r,l,xe" fillcolor="black">
                <v:path arrowok="t"/>
              </v:shape>
              <v:shape id="_x0000_s40343" style="position:absolute;left:1790;top:2729;width:4;height:73" coordsize="4,73" path="m1,l,1,,12,,37,,61,,73r4,l4,61,4,37,4,12,4,1,3,1,1,,,1,1,xe" fillcolor="black">
                <v:path arrowok="t"/>
              </v:shape>
              <v:shape id="_x0000_s40344" style="position:absolute;left:1790;top:2705;width:35;height:29" coordsize="35,29" path="m35,3r-3,l29,4,25,7r-5,5l15,16r-5,3l4,22,1,25,,25r3,4l3,27,6,25r4,-4l16,18r6,-5l26,10,31,7,34,4,32,3r3,l35,,32,3r3,xe" fillcolor="black">
                <v:path arrowok="t"/>
              </v:shape>
              <v:shape id="_x0000_s40345" style="position:absolute;left:1821;top:2766;width:41;height:39" coordsize="41,39" path="m,38l,,41,39,,38xe">
                <v:path arrowok="t"/>
              </v:shape>
              <v:shape id="_x0000_s40346" style="position:absolute;left:1819;top:2763;width:3;height:41" coordsize="3,41" path="m3,3l,3,,41r3,l3,3,2,4,3,3,,,,3r3,xe" fillcolor="black">
                <v:path arrowok="t"/>
              </v:shape>
              <v:shape id="_x0000_s40347" style="position:absolute;left:1821;top:2766;width:45;height:41" coordsize="45,41" path="m41,41r1,-3l1,,,1,39,39r2,-1l41,41r4,l42,38r-1,3xe" fillcolor="black">
                <v:path arrowok="t"/>
              </v:shape>
              <v:shape id="_x0000_s40348" style="position:absolute;left:1819;top:2802;width:43;height:3" coordsize="43,3" path="m,l2,2,43,3,43,,2,,3,,,,,2r2,l,xe" fillcolor="black">
                <v:path arrowok="t"/>
              </v:shape>
              <v:shape id="_x0000_s40349" style="position:absolute;left:1753;top:2767;width:40;height:35" coordsize="40,35" path="m40,35l40,,,34r40,1xe">
                <v:path arrowok="t"/>
              </v:shape>
              <v:shape id="_x0000_s40350" style="position:absolute;left:1790;top:2764;width:4;height:38" coordsize="4,38" path="m3,3l,2,,38r4,l4,2,1,2r3,l4,,1,2,3,3xe" fillcolor="black">
                <v:path arrowok="t"/>
              </v:shape>
              <v:shape id="_x0000_s40351" style="position:absolute;left:1752;top:2767;width:41;height:37" coordsize="41,37" path="m3,34r1,1l41,2,38,,1,35r2,2l1,35,,37r3,l3,34xe" fillcolor="black">
                <v:path arrowok="t"/>
              </v:shape>
              <v:shape id="_x0000_s40352" style="position:absolute;left:1753;top:2801;width:41;height:3" coordsize="41,3" path="m37,1r3,l,,,1,40,3,41,1,40,3r1,l41,1r-4,xe" fillcolor="black">
                <v:path arrowok="t"/>
              </v:shape>
              <v:shape id="_x0000_s40353" style="position:absolute;left:1787;top:2766;width:16;height:53" coordsize="16,53" path="m16,l,53,16,42,16,xe">
                <v:path arrowok="t"/>
              </v:shape>
              <v:shape id="_x0000_s40354" style="position:absolute;left:1786;top:2766;width:19;height:56" coordsize="19,56" path="m1,52r3,1l19,,17,,1,52r1,1l1,52,,56,2,53,1,52xe" fillcolor="black">
                <v:path arrowok="t"/>
              </v:shape>
              <v:shape id="_x0000_s40355" style="position:absolute;left:1787;top:2808;width:18;height:13" coordsize="18,13" path="m15,2l16,,,11r1,2l18,2r,l18,2r,l18,2r-3,xe" fillcolor="black">
                <v:path arrowok="t"/>
              </v:shape>
              <v:shape id="_x0000_s40356" style="position:absolute;left:1802;top:2755;width:3;height:53" coordsize="3,53" path="m3,11l,11,,53r3,l3,11,,11r3,l3,,,11r3,xe" fillcolor="black">
                <v:path arrowok="t"/>
              </v:shape>
              <v:shape id="_x0000_s40357" style="position:absolute;left:1670;top:2789;width:266;height:35" coordsize="266,35" path="m85,l,27r208,8l266,6,85,xe">
                <v:path arrowok="t"/>
              </v:shape>
              <v:shape id="_x0000_s40358" style="position:absolute;left:1669;top:2789;width:87;height:29" coordsize="87,29" path="m,25r1,4l87,3,86,,,25r,4l,25r,l,27r,2l1,29,,25xe" fillcolor="black">
                <v:path arrowok="t"/>
              </v:shape>
              <v:shape id="_x0000_s40359" style="position:absolute;left:1670;top:2816;width:211;height:9" coordsize="211,9" path="m208,8r1,l,,,2,209,9r2,l211,8r-2,l208,8xe" fillcolor="black">
                <v:path arrowok="t"/>
              </v:shape>
              <v:shape id="_x0000_s40360" style="position:absolute;left:1878;top:2795;width:61;height:30" coordsize="61,30" path="m60,1l58,,,29r1,1l60,1,60,r,1l61,1,61,r,l58,r2,1xe" fillcolor="black">
                <v:path arrowok="t"/>
              </v:shape>
              <v:shape id="_x0000_s40361" style="position:absolute;left:1753;top:2789;width:183;height:7" coordsize="183,7" path="m3,3l2,3,183,7r,-1l2,,,,,1,,3r2,l3,3xe" fillcolor="black">
                <v:path arrowok="t"/>
              </v:shape>
              <v:shape id="_x0000_s40362" style="position:absolute;left:1670;top:2796;width:266;height:35" coordsize="266,35" path="m266,6l208,35,,28,,22r208,7l266,r,6xe">
                <v:path arrowok="t"/>
              </v:shape>
              <v:shape id="_x0000_s40363" style="position:absolute;left:1878;top:2801;width:61;height:32" coordsize="61,32" path="m1,32r2,l61,1,60,,1,29,,30r,2l1,32r2,l1,32xe" fillcolor="black">
                <v:path arrowok="t"/>
              </v:shape>
              <v:shape id="_x0000_s40364" style="position:absolute;left:1669;top:2822;width:209;height:11" coordsize="209,11" path="m,l1,2r208,9l209,8,1,,2,,1,,,,,,,2r1,l,xe" fillcolor="black">
                <v:path arrowok="t"/>
              </v:shape>
              <v:shape id="_x0000_s40365" style="position:absolute;left:1669;top:2816;width:2;height:8" coordsize="2,8" path="m1,l,2,,8r2,l2,2,1,3,2,2,1,r,l,,,2,1,xe" fillcolor="black">
                <v:path arrowok="t"/>
              </v:shape>
              <v:shape id="_x0000_s40366" style="position:absolute;left:1670;top:2816;width:211;height:9" coordsize="211,9" path="m208,8r1,l,,,2,209,9r2,l211,8r-2,l208,8xe" fillcolor="black">
                <v:path arrowok="t"/>
              </v:shape>
              <v:shape id="_x0000_s40367" style="position:absolute;left:1878;top:2795;width:61;height:30" coordsize="61,30" path="m61,l58,,,29r1,1l60,1,58,r2,1l61,1,61,,60,,58,r3,xe" fillcolor="black">
                <v:path arrowok="t"/>
              </v:shape>
              <v:shape id="_x0000_s40368" style="position:absolute;left:1936;top:2796;width:3;height:8" coordsize="3,8" path="m2,8l3,6,3,,,,,6r,l,6,,8r,l3,8,3,6,2,8xe" fillcolor="black">
                <v:path arrowok="t"/>
              </v:shape>
              <v:shape id="_x0000_s40369" style="position:absolute;left:1689;top:2533;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40370" style="position:absolute;left:1837;top:2537;width:70;height:135" coordsize="70,135" path="m55,3r,l57,4r3,3l63,12r1,4l65,21r,8l65,35r,9l63,50,58,61,54,71,46,82,39,93,29,105,16,120,,134r3,1l17,120,30,108,41,94,49,82,57,71r6,-9l65,51r3,-7l68,35r2,-6l68,21,65,15,64,10,63,6,60,3,57,,55,3xe" fillcolor="black">
                <v:path arrowok="t"/>
              </v:shape>
              <v:shape id="_x0000_s40371" style="position:absolute;left:1758;top:2532;width:136;height:69" coordsize="136,69" path="m1,69r,l11,60,22,50,32,43,42,35,52,29,63,23,73,18r9,-4l90,9,99,8r7,-5l112,3r8,l125,3r5,2l133,8r3,-2l130,3,125,1,120,r-8,1l106,1,98,3,90,8,80,11r-9,4l61,20r-9,6l42,34,32,41,20,49,10,58,,67r1,2xe" fillcolor="black">
                <v:path arrowok="t"/>
              </v:shape>
              <v:shape id="_x0000_s40372" style="position:absolute;left:1688;top:2599;width:71;height:130" coordsize="71,130" path="m7,130r,l5,125,2,121r,-5l2,109r,-7l5,95,7,87r4,-9l16,70,21,60r8,-9l36,41r7,-9l52,22,61,12,71,2,70,,60,11,49,20r-8,9l33,40,26,51r-7,9l14,69,8,78,5,86,2,95,,102r,7l,116r,5l2,127r3,3l7,130xe" fillcolor="black">
                <v:path arrowok="t"/>
              </v:shape>
              <v:shape id="_x0000_s40373" style="position:absolute;left:1693;top:2671;width:147;height:70" coordsize="147,70" path="m144,r,l135,9r-10,8l114,24r-10,8l94,40,84,46r-9,6l66,56,56,61r-9,3l38,66r-7,1l22,67,15,64,9,63,2,58,,58r8,6l14,67r8,2l31,70r7,-1l49,66r8,-3l66,59,76,55r9,-8l97,41r10,-6l117,27r9,-9l136,9,147,1,144,xe" fillcolor="black">
                <v:path arrowok="t"/>
              </v:shape>
              <v:shape id="_x0000_s40374" style="position:absolute;left:1660;top:2492;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40375" style="position:absolute;left:1859;top:2498;width:87;height:179" coordsize="87,179" path="m70,2r,l74,5r3,6l80,14r3,8l84,29r,8l84,46r,11l80,68,76,81,70,95,60,109,49,124,35,141,19,159,,177r1,2l22,161,38,142,51,126,62,110,73,95,79,81,83,69,86,57,87,46r,-9l87,29,84,20,83,14,80,8,76,3,73,,70,2xe" fillcolor="black">
                <v:path arrowok="t"/>
              </v:shape>
              <v:shape id="_x0000_s40376" style="position:absolute;left:1752;top:2491;width:180;height:91" coordsize="180,91" path="m1,91r,l16,79,29,67,42,56,55,47,70,38,83,29,96,21r12,-6l120,10,131,7,142,4r8,-1l159,3r8,l174,6r4,1l180,7,174,3,167,1,159,r-9,1l142,1,131,6,120,9r-12,4l95,20,82,27,67,36,55,44,41,55,26,67,13,78,,90r1,1xe" fillcolor="black">
                <v:path arrowok="t"/>
              </v:shape>
              <v:shape id="_x0000_s40377" style="position:absolute;left:1658;top:2581;width:95;height:172" coordsize="95,172" path="m11,171r,l8,166,5,160,3,153r,-8l5,136r1,-9l11,114r4,-10l22,91,30,79,37,67,47,53,57,41,69,27,81,15,95,1,94,,81,12,66,26,54,40,46,53,35,65,27,78,19,91r-6,13l8,114,5,125,2,136,,145r,8l2,160r3,8l9,172r2,-1xe" fillcolor="black">
                <v:path arrowok="t"/>
              </v:shape>
              <v:shape id="_x0000_s40378" style="position:absolute;left:1666;top:2675;width:194;height:92" coordsize="194,92" path="m193,r,l179,13,168,23,153,36r-13,9l127,54r-15,9l99,71,86,77,74,81,63,86,51,89r-12,l29,89,19,88,10,83,3,77,,78r8,8l17,89r12,2l39,92,51,91,63,89,74,84,87,78r15,-6l114,66r13,-9l141,48,155,37,168,25,182,14,194,2,193,xe" fillcolor="black">
                <v:path arrowok="t"/>
              </v:shape>
              <v:shape id="_x0000_s40379" style="position:absolute;left:1657;top:2489;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40380" style="position:absolute;left:1856;top:2495;width:87;height:177" coordsize="87,177" path="m70,2r,l73,5r3,6l80,16r2,6l83,29r3,8l84,46,83,57,80,67,76,81,68,93r-8,16l48,122,35,139,19,158,,176r1,1l20,159,38,141,51,124,63,109,70,93,77,81,82,69,86,57,87,46r,-9l86,29,84,20,82,14,79,9,76,3,71,,70,2xe" fillcolor="black">
                <v:path arrowok="t"/>
              </v:shape>
              <v:shape id="_x0000_s40381" style="position:absolute;left:1746;top:2488;width:181;height:93" coordsize="181,93" path="m3,93r,l16,79,31,68,44,58,57,47,72,38,85,29,97,23r13,-7l121,10,132,7,142,4,152,3r9,l168,4r7,2l180,9r1,-2l175,4,168,1,161,r-9,1l142,1,132,6,121,9r-11,4l97,21,83,27,69,36,56,45,42,55,29,67,15,78,,90r3,3xe" fillcolor="black">
                <v:path arrowok="t"/>
              </v:shape>
              <v:shape id="_x0000_s40382" style="position:absolute;left:1655;top:2578;width:93;height:172" coordsize="93,172" path="m9,171r,l6,168,3,160,2,152r,-7l3,136r3,-9l9,116r6,-12l21,93,28,79,35,68,46,53,56,41,66,27,79,15,93,3,91,,78,14,65,26,54,39,43,53,34,65,25,79,18,91r-4,11l8,114,3,125,,136r,9l,152r,10l3,168r5,4l9,171xe" fillcolor="black">
                <v:path arrowok="t"/>
              </v:shape>
              <v:shape id="_x0000_s40383" style="position:absolute;left:1663;top:2672;width:194;height:92" coordsize="194,92" path="m193,r,l180,13,166,23,152,34,139,45r-14,9l112,62,98,69,86,77,74,81,61,86,49,87,39,89r-12,l19,87,10,81,3,77,,78r8,6l17,89r10,2l39,92,49,91,63,87,74,84,87,78r14,-6l114,65,127,55r13,-9l155,36,168,25,181,13,194,2,193,xe" fillcolor="black">
                <v:path arrowok="t"/>
              </v:shape>
              <v:shape id="_x0000_s40384" style="position:absolute;left:1793;top:2643;width:32;height:29" coordsize="32,29" path="m22,20r4,-4l29,13r2,-3l31,7,32,5,31,3r,l29,2,28,,26,,25,,22,3r-3,l16,5,13,8,9,11,7,14,4,16,1,19,,22r,1l,26r,2l,28r1,1l4,29r3,l9,28r4,l16,26r3,-4l22,20xe">
                <v:path arrowok="t"/>
              </v:shape>
              <v:shape id="_x0000_s40385" style="position:absolute;left:1813;top:2643;width:13;height:22" coordsize="13,22" path="m9,3r,l9,3r,l9,5r,3l9,10,8,13,5,16,,20r2,2l6,17,9,14r3,-3l12,8,13,5,12,3r,-1l11,,9,3xe" fillcolor="black">
                <v:path arrowok="t"/>
              </v:shape>
              <v:shape id="_x0000_s40386" style="position:absolute;left:1802;top:2642;width:20;height:12" coordsize="20,12" path="m,12r,l4,9,7,8,10,4r3,l16,3,17,1r2,l19,3,20,,19,,17,,14,,11,,8,3,5,4,3,8,,11r,1xe" fillcolor="black">
                <v:path arrowok="t"/>
              </v:shape>
              <v:shape id="_x0000_s40387" style="position:absolute;left:1790;top:2653;width:13;height:19" coordsize="13,19" path="m3,18r,l3,16r,-1l4,12,6,10,7,7,10,4,13,1,12,,9,3,4,6,3,9r,3l,13r,3l,18r3,1l3,18xe" fillcolor="black">
                <v:path arrowok="t"/>
              </v:shape>
              <v:shape id="_x0000_s40388" style="position:absolute;left:1793;top:2663;width:22;height:12" coordsize="22,12" path="m19,r,l17,2,14,5,12,6,9,8,6,9,4,9,1,9,,8,,9r1,2l4,12,7,11,9,9,13,8,16,6,19,5,22,2,19,xe" fillcolor="black">
                <v:path arrowok="t"/>
              </v:shape>
              <v:shape id="_x0000_s40389" style="position:absolute;left:1810;top:2668;width:5;height:43" coordsize="5,43" path="m3,43l5,27,3,14,2,3,2,,,,,3,2,14r,13l,43r3,xe" fillcolor="black">
                <v:path arrowok="t"/>
              </v:shape>
              <v:shape id="_x0000_s40390" style="position:absolute;left:1774;top:2671;width:33;height:64" coordsize="33,64" path="m1,64l9,53,16,43,20,32r6,-9l29,14,32,6,33,1,33,,32,,31,1,29,6r-3,8l23,21,19,32,13,43,6,53,,63r1,1xe" fillcolor="black">
                <v:path arrowok="t"/>
              </v:shape>
              <v:shape id="_x0000_s40391" style="position:absolute;left:1726;top:2672;width:76;height:86" coordsize="76,86" path="m1,86l13,75,24,65,33,55r9,-9l49,40r8,-7l61,26r3,-4l68,17r3,-4l73,8,74,5r,-2l76,3r,-1l76,,74,,73,2r,1l71,5,70,8r-2,3l67,16r-5,4l60,25r-8,6l48,39r-7,6l33,54,23,63,13,74,,84r1,2xe" fillcolor="black">
                <v:path arrowok="t"/>
              </v:shape>
              <v:shape id="_x0000_s40392" style="position:absolute;left:1680;top:2672;width:119;height:89" coordsize="119,89" path="m2,89l18,81,32,75,46,69,57,62,68,54,78,46r9,-6l92,34r6,-8l106,22r4,-6l113,11r1,-3l117,5r2,-2l119,2,117,r-1,2l114,3r-1,2l110,10r-3,4l103,20r-6,5l91,31r-7,8l76,45,66,52,56,58,44,66,31,74,16,80,,86r2,3xe" fillcolor="black">
                <v:path arrowok="t"/>
              </v:shape>
              <v:shape id="_x0000_s40393" style="position:absolute;left:1666;top:2672;width:131;height:78" coordsize="131,78" path="m128,r-3,5l122,8r-2,5l115,16r-4,4l105,23r-4,5l93,34r-7,5l79,43,68,48,58,54,45,58,32,65,17,69,,75r1,3l17,72,32,66,46,62,58,55,70,51r9,-6l87,40r8,-4l102,31r6,-6l112,22r5,-5l121,13r3,-3l128,5r3,-2l128,xe" fillcolor="black">
                <v:path arrowok="t"/>
              </v:shape>
              <v:shape id="_x0000_s40394" style="position:absolute;left:1655;top:2672;width:139;height:62" coordsize="139,62" path="m,62l18,57,35,52,50,46,63,40,76,36,88,31,98,26r9,-4l114,17r8,-3l128,10r4,-2l135,5r3,-2l138,3r1,-1l138,r-3,l132,3r-1,2l125,8r-5,3l114,16r-8,4l97,23,87,28,76,34,63,39,50,45,34,51,18,54,,60r,2xe" fillcolor="black">
                <v:path arrowok="t"/>
              </v:shape>
              <v:shape id="_x0000_s40395" style="position:absolute;left:1657;top:2671;width:137;height:43" coordsize="137,43" path="m,43l12,41,23,40,35,38,45,37,55,35,67,30,77,27r9,-3l95,21r7,-3l111,14r7,-3l124,9r5,-3l133,4r4,-3l136,r-3,1l129,4r-6,2l118,9r-7,3l102,17r-7,1l86,23,76,24r-9,5l55,32,45,35,35,37,23,38,12,40,,40r,3xe" fillcolor="black">
                <v:path arrowok="t"/>
              </v:shape>
              <v:shape id="_x0000_s40396" style="position:absolute;left:1666;top:2669;width:127;height:22" coordsize="127,22" path="m,20r10,2l22,20r11,l43,20,54,19r9,-2l73,16r9,-3l90,13r8,-3l103,8r8,-2l117,5r3,-2l124,2r3,l125,r-3,l120,2r-5,1l109,3r-6,3l96,8r-7,2l82,11r-9,2l63,16r-9,l43,17,33,19r-11,l10,19,,19r,1xe" fillcolor="black">
                <v:path arrowok="t"/>
              </v:shape>
              <v:shape id="_x0000_s40397" style="position:absolute;left:1676;top:2665;width:118;height:7" coordsize="118,7" path="m,4l12,6,22,7r11,l42,7r11,l60,7r9,l77,7,83,6r8,l96,6r6,-2l107,4r4,-1l115,3r3,-2l118,r-3,l111,r-4,1l102,3,96,4r-5,l83,4,77,6r-8,l60,6r-7,l42,6r-9,l22,6,12,4,,3,,4xe" fillcolor="black">
                <v:path arrowok="t"/>
              </v:shape>
              <v:shape id="_x0000_s40398" style="position:absolute;left:1690;top:2643;width:104;height:22" coordsize="104,22" path="m,3l12,7r9,3l30,11r9,3l47,16r8,1l62,19r7,l75,20r6,l87,20r6,l96,22r4,l103,20r1,l104,19r-1,l100,19r-4,l93,19r-6,l81,19,75,17r-6,l62,16,55,14r-8,l39,11,31,10,21,7,12,3,2,,,3xe" fillcolor="black">
                <v:path arrowok="t"/>
              </v:shape>
              <v:shape id="_x0000_s40399" style="position:absolute;left:1707;top:2619;width:90;height:41" coordsize="90,41" path="m,3l8,8r8,4l24,17r8,4l39,24r7,3l54,31r7,3l67,35r4,2l79,38r2,2l86,40r1,l90,41r,-3l87,38r-1,l83,37,79,35r-6,l68,34,61,31,54,27,46,26,41,23,32,20,26,15,17,11,10,6,2,,,3xe" fillcolor="black">
                <v:path arrowok="t"/>
              </v:shape>
              <v:shape id="_x0000_s40400" style="position:absolute;left:1730;top:2593;width:73;height:61" coordsize="73,61" path="m,2l1,3,4,6,6,8r4,3l15,15r4,3l25,24r6,4l35,32r6,5l47,41r6,5l57,50r6,3l67,58r5,3l73,60,69,57,64,53,60,47,54,44,48,41,42,35,38,31,31,26,26,23,22,18,16,14,12,11,9,6,6,3,4,2,1,,,2xe" fillcolor="black">
                <v:path arrowok="t"/>
              </v:shape>
              <v:shape id="_x0000_s40401" style="position:absolute;left:1753;top:2573;width:54;height:78" coordsize="54,78" path="m,2l11,12,21,23r9,12l37,46r4,11l47,66r2,7l52,78r2,-1l52,73,49,66,44,55,38,46,33,32,24,22,15,9,3,,,2xe" fillcolor="black">
                <v:path arrowok="t"/>
              </v:shape>
              <v:shape id="_x0000_s40402" style="position:absolute;left:1778;top:2552;width:34;height:96" coordsize="34,96" path="m,l9,15r7,15l21,44r3,15l28,72r1,10l29,90r,6l34,96,32,90r,-8l29,72,27,59,24,44,18,29,12,14,3,,,xe" fillcolor="black">
                <v:path arrowok="t"/>
              </v:shape>
              <v:shape id="_x0000_s40403" style="position:absolute;left:1807;top:2527;width:14;height:119" coordsize="14,119" path="m,l6,23,9,45r2,16l11,78r,14l8,103r-2,9l5,119r3,l9,112r2,-9l12,92,14,78,12,61r,-16l8,23,3,,,xe" fillcolor="black">
                <v:path arrowok="t"/>
              </v:shape>
              <v:shape id="_x0000_s40404" style="position:absolute;left:1818;top:2511;width:23;height:132" coordsize="23,132" path="m19,r1,29l19,53,17,73,14,91r-4,14l6,117r-3,8l,131r1,1l4,126r4,-9l11,106,16,91,19,73,22,53,23,29,23,,19,xe" fillcolor="black">
                <v:path arrowok="t"/>
              </v:shape>
              <v:shape id="_x0000_s40405" style="position:absolute;left:1821;top:2497;width:49;height:149" coordsize="49,149" path="m46,l45,30,39,58,32,81r-6,21l17,119r-7,12l4,140,,146r1,3l7,142r6,-11l20,119r7,-17l35,81,42,58,46,30,49,,46,xe" fillcolor="black">
                <v:path arrowok="t"/>
              </v:shape>
              <v:shape id="_x0000_s40406" style="position:absolute;left:1822;top:2489;width:79;height:157" coordsize="79,157" path="m78,l73,19,69,34,64,49,59,63,54,77,47,89,41,99r-6,11l29,119r-6,9l19,135r-6,6l9,147r-3,4l3,153,,156r3,1l6,156r1,-5l12,147r3,-5l21,136r5,-8l31,121r7,-9l44,99r6,-9l56,77,61,64,66,51,72,35,76,19,79,,78,xe" fillcolor="black">
                <v:path arrowok="t"/>
              </v:shape>
              <v:shape id="_x0000_s40407" style="position:absolute;left:1822;top:2494;width:104;height:154" coordsize="104,154" path="m102,l98,12,92,26,86,38,80,50,75,62,67,73,60,85r-7,9l44,105r-7,9l29,123r-7,7l15,137r-5,8l6,148,,152r3,2l6,151r6,-6l19,139r6,-6l32,125r8,-9l47,107r7,-9l61,87,70,75,78,64,83,52,89,38,95,26,99,12,104,r-2,xe" fillcolor="black">
                <v:path arrowok="t"/>
              </v:shape>
              <v:shape id="_x0000_s40408" style="position:absolute;left:1822;top:2517;width:118;height:134" coordsize="118,134" path="m117,r-9,15l101,30,92,42,82,56,73,67,64,78r-8,9l48,94r-8,8l32,110r-7,6l19,120r-7,3l7,128r-4,1l,131r3,3l6,133r3,-4l13,126r6,-4l26,117r8,-6l41,105r9,-8l59,88r8,-9l78,68,85,56,95,45r7,-15l111,16,118,r-1,xe" fillcolor="black">
                <v:path arrowok="t"/>
              </v:shape>
              <v:shape id="_x0000_s40409" style="position:absolute;left:1822;top:2553;width:118;height:101" coordsize="118,101" path="m117,r-7,11l102,19r-8,9l86,35,78,45r-9,7l60,58r-9,8l44,72r-7,5l28,83r-7,4l15,90,7,93,4,97,,100r2,1l6,100r4,-3l15,93r7,-4l29,86r8,-6l45,74r8,-6l61,61r9,-7l79,46r9,-7l97,29r7,-9l111,11r7,-9l117,xe" fillcolor="black">
                <v:path arrowok="t"/>
              </v:shape>
              <v:shape id="_x0000_s40410" style="position:absolute;left:1821;top:2599;width:98;height:58" coordsize="98,58" path="m96,l90,6r-7,6l77,17r-7,6l62,28r-7,4l48,37r-7,3l35,43r-8,3l22,49r-8,2l10,54r-5,l3,55,,55r,3l3,58,7,57r4,-2l16,54r6,-3l27,47r8,-1l42,41r7,-3l57,34r7,-5l71,25r8,-5l86,12,92,8,98,2,96,xe" fillcolor="black">
                <v:path arrowok="t"/>
              </v:shape>
              <v:shape id="_x0000_s40411" style="position:absolute;left:1816;top:2660;width:53;height:5" coordsize="53,5" path="m53,l48,2r-5,l35,2r-8,l19,2r-7,l5,2,,2,,3r5,l12,5r7,l27,3r8,l43,3r5,l53,2,53,xe" fillcolor="black">
                <v:path arrowok="t"/>
              </v:shape>
              <v:shape id="_x0000_s40412" style="position:absolute;left:1813;top:2663;width:28;height:22" coordsize="28,22" path="m28,22r,l2,,,2,27,22r1,xe" fillcolor="black">
                <v:path arrowok="t"/>
              </v:shape>
              <v:shape id="_x0000_s40413" style="position:absolute;left:1688;top:2558;width:29;height:90" coordsize="29,90" path="m2,l,1,26,90r3,-2l2,,1,3,2,,,,,1,2,xe" fillcolor="black">
                <v:path arrowok="t"/>
              </v:shape>
              <v:shape id="_x0000_s40414" style="position:absolute;left:1689;top:2558;width:199;height:58" coordsize="199,58" path="m199,56r,-3l1,,,3,199,58r,-2xe" fillcolor="black">
                <v:path arrowok="t"/>
              </v:shape>
              <v:shape id="_x0000_s40415" style="position:absolute;left:1688;top:2558;width:33;height:180" coordsize="33,180" path="m1,l,1,32,180r1,l2,1,1,3,1,,,,,1,1,xe" fillcolor="black">
                <v:path arrowok="t"/>
              </v:shape>
              <v:shape id="_x0000_s40416" style="position:absolute;left:1689;top:2550;width:133;height:11" coordsize="133,11" path="m133,2r,-2l,8r,3l133,2r,xe" fillcolor="black">
                <v:path arrowok="t"/>
              </v:shape>
              <v:shape id="_x0000_s40417" style="position:absolute;left:1671;top:2543;width:28;height:26" coordsize="28,26" path="m,10l17,26r4,-2l24,23r3,-4l28,15r-1,l25,12,24,10,21,7,17,4,15,3,14,1,12,,9,,8,1,3,4,,10xe">
                <v:path arrowok="t"/>
              </v:shape>
              <v:shape id="_x0000_s40418" style="position:absolute;left:1671;top:2552;width:18;height:18" coordsize="18,18" path="m17,15r1,2l2,,,1,17,17r,1l17,17r,1l17,15xe" fillcolor="black">
                <v:path arrowok="t"/>
              </v:shape>
              <v:shape id="_x0000_s40419" style="position:absolute;left:1688;top:2558;width:13;height:12" coordsize="13,12" path="m10,1l10,r,4l5,6,2,9,,11r,1l4,11,7,9,11,6,13,r,l10,1xe" fillcolor="black">
                <v:path arrowok="t"/>
              </v:shape>
              <v:shape id="_x0000_s40420" style="position:absolute;left:1683;top:2543;width:16;height:15" coordsize="16,15" path="m,3r,l,3,3,4,5,7,7,9r3,3l12,15r3,l15,15r1,l15,15r,-3l12,10,9,7,6,4,5,3,3,3,,,,3xe" fillcolor="black">
                <v:path arrowok="t"/>
              </v:shape>
              <v:shape id="_x0000_s40421" style="position:absolute;left:1670;top:2543;width:13;height:10" coordsize="13,10" path="m3,9r,l6,6,9,3r1,l13,3,13,,10,,7,1,3,4,,9r,1l,9r,1l,10,3,9xe" fillcolor="black">
                <v:path arrowok="t"/>
              </v:shape>
              <v:shape id="_x0000_s40422" style="position:absolute;left:1793;top:2708;width:29;height:100" coordsize="29,100" path="m29,r,15l29,44r,32l29,93r,1l29,96r-1,1l26,97r-4,2l19,100r-5,l10,100r-3,l4,99r-3,l,99,,97r,l,96,,94,,84,,58,,33,,22r,l4,21,7,16r5,-3l17,9,22,4,26,3,29,xe">
                <v:path arrowok="t"/>
              </v:shape>
              <v:shape id="_x0000_s40423" style="position:absolute;left:1822;top:2708;width:3;height:93" coordsize="3,93" path="m3,93r,l3,77,3,45,3,15,3,,,,,15,,45,,77,,93r3,xe" fillcolor="black">
                <v:path arrowok="t"/>
              </v:shape>
              <v:shape id="_x0000_s40424" style="position:absolute;left:1819;top:2801;width:6;height:6" coordsize="6,6" path="m2,6r,l3,4,5,3,5,1,6,,3,r,1l3,3,2,3,,4,2,6xe" fillcolor="black">
                <v:path arrowok="t"/>
              </v:shape>
              <v:shape id="_x0000_s40425" style="position:absolute;left:1793;top:2804;width:28;height:6" coordsize="28,6" path="m,3r,l,3,4,4,6,6r4,l14,6,19,4,23,3,28,1,26,,22,1,19,3r-5,l10,3,6,3,4,1,1,1,,1,,3xe" fillcolor="black">
                <v:path arrowok="t"/>
              </v:shape>
              <v:shape id="_x0000_s40426" style="position:absolute;left:1790;top:2802;width:4;height:5" coordsize="4,5" path="m,l,,,,1,2r,1l3,5,4,3,4,2,3,2,4,r,l,xe" fillcolor="black">
                <v:path arrowok="t"/>
              </v:shape>
              <v:shape id="_x0000_s40427" style="position:absolute;left:1790;top:2729;width:4;height:73" coordsize="4,73" path="m1,l,1,,12,,37,,61,,73r4,l4,61,4,37,4,12,4,1,3,1,1,,,1,1,xe" fillcolor="black">
                <v:path arrowok="t"/>
              </v:shape>
              <v:shape id="_x0000_s40428" style="position:absolute;left:1790;top:2705;width:35;height:29" coordsize="35,29" path="m35,3r-3,l29,4,25,7r-5,5l15,16r-5,3l4,22,1,25,,25r3,4l3,27,6,25r4,-4l16,18r6,-5l26,10,31,7,34,4,32,3r3,l35,,32,3r3,xe" fillcolor="black">
                <v:path arrowok="t"/>
              </v:shape>
              <v:shape id="_x0000_s40429" style="position:absolute;left:1821;top:2766;width:41;height:39" coordsize="41,39" path="m,38l,,41,39,,38xe">
                <v:path arrowok="t"/>
              </v:shape>
              <v:shape id="_x0000_s40430" style="position:absolute;left:1819;top:2763;width:3;height:41" coordsize="3,41" path="m3,3l,3,,41r3,l3,3,2,4,3,3,,,,3r3,xe" fillcolor="black">
                <v:path arrowok="t"/>
              </v:shape>
              <v:shape id="_x0000_s40431" style="position:absolute;left:1821;top:2766;width:45;height:41" coordsize="45,41" path="m41,41r1,-3l1,,,1,39,39r2,-1l41,41r4,l42,38r-1,3xe" fillcolor="black">
                <v:path arrowok="t"/>
              </v:shape>
              <v:shape id="_x0000_s40432" style="position:absolute;left:1819;top:2802;width:43;height:3" coordsize="43,3" path="m,l2,2,43,3,43,,2,,3,,,,,2r2,l,xe" fillcolor="black">
                <v:path arrowok="t"/>
              </v:shape>
              <v:shape id="_x0000_s40433" style="position:absolute;left:1753;top:2767;width:40;height:35" coordsize="40,35" path="m40,35l40,,,34r40,1xe">
                <v:path arrowok="t"/>
              </v:shape>
              <v:shape id="_x0000_s40434" style="position:absolute;left:1790;top:2764;width:4;height:38" coordsize="4,38" path="m3,3l,2,,38r4,l4,2,1,2r3,l4,,1,2,3,3xe" fillcolor="black">
                <v:path arrowok="t"/>
              </v:shape>
              <v:shape id="_x0000_s40435" style="position:absolute;left:1752;top:2767;width:41;height:37" coordsize="41,37" path="m3,34r1,1l41,2,38,,1,35r2,2l1,35,,37r3,l3,34xe" fillcolor="black">
                <v:path arrowok="t"/>
              </v:shape>
              <v:shape id="_x0000_s40436" style="position:absolute;left:1753;top:2801;width:41;height:3" coordsize="41,3" path="m37,1r3,l,,,1,40,3,41,1,40,3r1,l41,1r-4,xe" fillcolor="black">
                <v:path arrowok="t"/>
              </v:shape>
              <v:shape id="_x0000_s40437" style="position:absolute;left:1787;top:2766;width:16;height:53" coordsize="16,53" path="m16,l,53,16,42,16,xe">
                <v:path arrowok="t"/>
              </v:shape>
              <v:shape id="_x0000_s40438" style="position:absolute;left:1786;top:2766;width:19;height:56" coordsize="19,56" path="m1,52r3,1l19,,17,,1,52r1,1l1,52,,56,2,53,1,52xe" fillcolor="black">
                <v:path arrowok="t"/>
              </v:shape>
              <v:shape id="_x0000_s40439" style="position:absolute;left:1787;top:2808;width:18;height:13" coordsize="18,13" path="m15,2l16,,,11r1,2l18,2r,l18,2r,l18,2r-3,xe" fillcolor="black">
                <v:path arrowok="t"/>
              </v:shape>
              <v:shape id="_x0000_s40440" style="position:absolute;left:1802;top:2755;width:3;height:53" coordsize="3,53" path="m3,11l,11,,53r3,l3,11,,11r3,l3,,,11r3,xe" fillcolor="black">
                <v:path arrowok="t"/>
              </v:shape>
            </v:group>
            <v:shape id="_x0000_s40441" type="#_x0000_t75" style="position:absolute;left:6263;top:3540;width:621;height:664" fillcolor="#f85a00">
              <v:imagedata r:id="rId40" o:title=""/>
            </v:shape>
            <v:shape id="_x0000_s40442" type="#_x0000_t75" style="position:absolute;left:5527;top:5444;width:620;height:664" fillcolor="#f85a00">
              <v:imagedata r:id="rId40" o:title=""/>
            </v:shape>
            <v:shape id="_x0000_s40443" type="#_x0000_t75" style="position:absolute;left:5159;top:6149;width:620;height:664" fillcolor="#f85a00">
              <v:imagedata r:id="rId40" o:title=""/>
            </v:shape>
            <v:line id="_x0000_s40444" style="position:absolute" from="6710,4068" to="6710,4278"/>
            <v:line id="_x0000_s40445" style="position:absolute" from="7415,4593" to="7594,459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0446" type="#_x0000_t13" style="position:absolute;left:2460;top:3454;width:662;height:315;rotation:-1935640fd;v-text-anchor:middle" fillcolor="#99c9ff" strokecolor="#99c9ff"/>
            <v:line id="_x0000_s40447" style="position:absolute" from="4238,3099" to="4238,3520"/>
            <v:line id="_x0000_s40448" style="position:absolute;flip:x y" from="5753,3449" to="6331,3783" strokecolor="#f96" strokeweight="1.5pt">
              <v:stroke endarrow="block"/>
            </v:line>
            <v:line id="_x0000_s40449" style="position:absolute;rotation:2354788fd;flip:x y" from="5343,5027" to="5921,5361" strokecolor="#f96" strokeweight="1.5pt">
              <v:stroke endarrow="block"/>
            </v:line>
            <v:line id="_x0000_s40450" style="position:absolute;rotation:2789707fd;flip:x y" from="4985,5690" to="5563,6024" strokecolor="#f96" strokeweight="1.5pt">
              <v:stroke endarrow="block"/>
            </v:line>
            <v:line id="_x0000_s40451" style="position:absolute" from="2070,5340" to="2070,5961"/>
            <v:group id="_x0000_s40452" style="position:absolute;left:1134;top:5900;width:1876;height:1576;rotation:300421fd" coordorigin="672,2256" coordsize="1070,899">
              <v:shape id="_x0000_s40453" type="#_x0000_t75" style="position:absolute;left:672;top:2256;width:1070;height:899" o:preferrelative="f">
                <v:fill o:detectmouseclick="t"/>
                <v:path o:extrusionok="t" o:connecttype="none"/>
              </v:shape>
              <v:shape id="_x0000_s40454" style="position:absolute;left:675;top:2259;width:1056;height:720" coordsize="8799,5999" path="m795,1995hdc343,2038,,2393,,2816v,293,167,565,438,713hal434,3519hdc280,3672,194,3873,194,4081v,454,398,822,888,822c1116,4903,1151,4901,1186,4897hal1181,4903hdc1461,5358,1982,5639,2546,5639v285,,565,-72,809,-209hal3353,5431hdc3608,5786,4037,5999,4497,5999v605,,1140,-369,1316,-909hal5814,5098hdc6002,5206,6218,5263,6438,5263v647,,1174,-483,1179,-1083hal7615,4177hdc8294,4087,8799,3546,8799,2909v,-282,-100,-556,-285,-780hal8511,2129hdc8569,2003,8599,1867,8599,1730v,-455,-329,-855,-801,-974hal7802,754hdc7717,318,7307,,6828,,6537,,6261,119,6073,324hal6075,325hdc5907,120,5645,,5368,,5031,,4722,177,4572,457hal4575,471hdc4372,285,4098,181,3813,181v-402,,-771,206,-959,536hal2850,723hdc2639,609,2399,548,2155,548,1395,548,779,1120,779,1825v,57,5,115,13,172hal795,1995hdxe" filled="f">
                <v:stroke endcap="round"/>
                <v:path arrowok="t"/>
              </v:shape>
              <v:shape id="_x0000_s40455" style="position:absolute;left:728;top:2683;width:62;height:14" coordsize="62,14" path="m,hdc16,9,35,14,54,14v2,,5,-1,8,-1e" filled="f">
                <v:stroke endcap="round"/>
                <v:path arrowok="t"/>
              </v:shape>
              <v:shape id="_x0000_s40456" style="position:absolute;left:818;top:2841;width:27;height:6" coordsize="27,6" path="m,6hdc9,5,18,3,27,e" filled="f">
                <v:stroke endcap="round"/>
                <v:path arrowok="t"/>
              </v:shape>
              <v:shape id="_x0000_s40457" style="position:absolute;left:1061;top:2882;width:17;height:29" coordsize="17,29" path="m,hdc5,10,10,20,17,29e" filled="f">
                <v:stroke endcap="round"/>
                <v:path arrowok="t"/>
              </v:shape>
              <v:shape id="_x0000_s40458" style="position:absolute;left:1373;top:2839;width:6;height:31" coordsize="6,31" path="m,31hdc3,21,5,10,6,e" filled="f">
                <v:stroke endcap="round"/>
                <v:path arrowok="t"/>
              </v:shape>
              <v:shape id="_x0000_s40459" style="position:absolute;left:1510;top:2642;width:79;height:119" coordsize="79,119" path="m79,119hdc79,119,79,118,79,118,79,68,48,22,,e" filled="f">
                <v:stroke endcap="round"/>
                <v:path arrowok="t"/>
              </v:shape>
              <v:shape id="_x0000_s40460" style="position:absolute;left:1661;top:2515;width:35;height:44" coordsize="35,44" path="m,44hdc15,32,27,17,35,e" filled="f">
                <v:stroke endcap="round"/>
                <v:path arrowok="t"/>
              </v:shape>
              <v:shape id="_x0000_s40461" style="position:absolute;left:1611;top:2350;width:2;height:21" coordsize="2,21" path="m2,21hdc2,20,2,20,2,19,2,13,2,6,,e" filled="f">
                <v:stroke endcap="round"/>
                <v:path arrowok="t"/>
              </v:shape>
              <v:shape id="_x0000_s40462" style="position:absolute;left:1386;top:2298;width:18;height:27" coordsize="18,27" path="m18,hdc10,8,4,17,,27e" filled="f">
                <v:stroke endcap="round"/>
                <v:path arrowok="t"/>
              </v:shape>
              <v:shape id="_x0000_s40463" style="position:absolute;left:1215;top:2314;width:9;height:23" coordsize="9,23" path="m9,hdc5,8,2,15,,23e" filled="f">
                <v:stroke endcap="round"/>
                <v:path arrowok="t"/>
              </v:shape>
              <v:shape id="_x0000_s40464" style="position:absolute;left:1017;top:2346;width:32;height:22" coordsize="32,22" path="m32,22hdc22,14,12,6,,e" filled="f">
                <v:stroke endcap="round"/>
                <v:path arrowok="t"/>
              </v:shape>
              <v:shape id="_x0000_s40465" style="position:absolute;left:770;top:2499;width:6;height:24" coordsize="6,24" path="m,hdc1,8,3,16,6,24e" filled="f">
                <v:stroke endcap="round"/>
                <v:path arrowok="t"/>
              </v:shape>
            </v:group>
            <v:shape id="_x0000_s40466" type="#_x0000_t202" style="position:absolute;left:2102;top:5390;width:1588;height:468" filled="f" fillcolor="#f85a00" stroked="f">
              <v:textbox style="mso-next-textbox:#_x0000_s40466" inset="5.04pt,2.52pt,5.04pt,2.52pt">
                <w:txbxContent>
                  <w:p w:rsidR="00FB2410" w:rsidRPr="00FB2410" w:rsidRDefault="00FB2410" w:rsidP="00FB2410">
                    <w:pPr>
                      <w:spacing w:before="0"/>
                      <w:jc w:val="left"/>
                      <w:rPr>
                        <w:rFonts w:eastAsia="ヒラギノ角ゴ Pro W3" w:cs="Arial"/>
                        <w:color w:val="000000"/>
                        <w:sz w:val="16"/>
                        <w:szCs w:val="16"/>
                        <w:lang w:val="es-ES_tradnl"/>
                      </w:rPr>
                    </w:pPr>
                    <w:r w:rsidRPr="00FB2410">
                      <w:rPr>
                        <w:rFonts w:eastAsia="ヒラギノ角ゴ Pro W3" w:cs="Arial"/>
                        <w:color w:val="000000"/>
                        <w:sz w:val="16"/>
                        <w:szCs w:val="16"/>
                        <w:lang w:val="es-ES_tradnl"/>
                      </w:rPr>
                      <w:t>Par Internet o línea</w:t>
                    </w:r>
                    <w:r w:rsidRPr="00FB2410">
                      <w:rPr>
                        <w:rFonts w:eastAsia="ヒラギノ角ゴ Pro W3" w:cs="Arial"/>
                        <w:color w:val="000000"/>
                        <w:sz w:val="16"/>
                        <w:szCs w:val="16"/>
                        <w:lang w:val="es-ES_tradnl"/>
                      </w:rPr>
                      <w:br/>
                      <w:t>VPN/arrendada</w:t>
                    </w:r>
                  </w:p>
                </w:txbxContent>
              </v:textbox>
            </v:shape>
            <v:shape id="_x0000_s40467" type="#_x0000_t202" style="position:absolute;left:5648;top:6329;width:1588;height:238" filled="f" fillcolor="#f85a00" stroked="f">
              <v:textbox style="mso-next-textbox:#_x0000_s40467" inset="5.04pt,2.52pt,5.04pt,2.52pt">
                <w:txbxContent>
                  <w:p w:rsidR="00FB2410" w:rsidRPr="00FB2410" w:rsidRDefault="00FB2410" w:rsidP="00FB2410">
                    <w:pPr>
                      <w:spacing w:before="0"/>
                      <w:rPr>
                        <w:rFonts w:eastAsia="ヒラギノ角ゴ Pro W3" w:cs="Arial"/>
                        <w:color w:val="000000"/>
                        <w:sz w:val="16"/>
                        <w:szCs w:val="16"/>
                      </w:rPr>
                    </w:pPr>
                    <w:proofErr w:type="spellStart"/>
                    <w:r w:rsidRPr="00FB2410">
                      <w:rPr>
                        <w:rFonts w:eastAsia="ヒラギノ角ゴ Pro W3" w:cs="Arial"/>
                        <w:color w:val="000000"/>
                        <w:sz w:val="16"/>
                        <w:szCs w:val="16"/>
                      </w:rPr>
                      <w:t>antena</w:t>
                    </w:r>
                    <w:proofErr w:type="spellEnd"/>
                    <w:r w:rsidR="00F26647">
                      <w:rPr>
                        <w:rFonts w:eastAsia="ヒラギノ角ゴ Pro W3" w:cs="Arial"/>
                        <w:color w:val="000000"/>
                        <w:sz w:val="16"/>
                        <w:szCs w:val="16"/>
                      </w:rPr>
                      <w:t xml:space="preserve"> </w:t>
                    </w:r>
                    <w:r w:rsidRPr="00FB2410">
                      <w:rPr>
                        <w:rFonts w:eastAsia="ヒラギノ角ゴ Pro W3" w:cs="Arial"/>
                        <w:color w:val="000000"/>
                        <w:sz w:val="16"/>
                        <w:szCs w:val="16"/>
                      </w:rPr>
                      <w:t>de 1,2.. 1,8 m</w:t>
                    </w:r>
                  </w:p>
                </w:txbxContent>
              </v:textbox>
            </v:shape>
            <v:shape id="_x0000_s40468" type="#_x0000_t202" style="position:absolute;left:8099;top:6234;width:2672;height:733" filled="f" fillcolor="#f85a00">
              <v:textbox style="mso-next-textbox:#_x0000_s40468" inset=".7mm,.7mm,.7mm,.7mm">
                <w:txbxContent>
                  <w:p w:rsidR="00FB2410" w:rsidRPr="00FB2410" w:rsidRDefault="00FB2410" w:rsidP="007059B8">
                    <w:pPr>
                      <w:rPr>
                        <w:rFonts w:eastAsia="ヒラギノ角ゴ Pro W3" w:cs="Arial"/>
                        <w:color w:val="000000"/>
                        <w:sz w:val="16"/>
                        <w:szCs w:val="16"/>
                        <w:lang w:val="de-CH"/>
                      </w:rPr>
                    </w:pPr>
                    <w:r w:rsidRPr="00FB2410">
                      <w:rPr>
                        <w:rFonts w:eastAsia="ヒラギノ角ゴ Pro W3" w:cs="Arial"/>
                        <w:color w:val="000000"/>
                        <w:sz w:val="16"/>
                        <w:szCs w:val="16"/>
                        <w:lang w:val="de-CH"/>
                      </w:rPr>
                      <w:t xml:space="preserve">DVB-S2: </w:t>
                    </w:r>
                  </w:p>
                  <w:p w:rsidR="00FB2410" w:rsidRPr="00FB2410" w:rsidRDefault="00FB2410" w:rsidP="00FB2410">
                    <w:pPr>
                      <w:rPr>
                        <w:rFonts w:eastAsia="ヒラギノ角ゴ Pro W3" w:cs="Arial"/>
                        <w:color w:val="000000"/>
                        <w:sz w:val="16"/>
                        <w:szCs w:val="16"/>
                        <w:lang w:val="de-CH"/>
                      </w:rPr>
                    </w:pPr>
                    <w:r w:rsidRPr="00FB2410">
                      <w:rPr>
                        <w:rFonts w:eastAsia="ヒラギノ角ゴ Pro W3" w:cs="Arial"/>
                        <w:color w:val="000000"/>
                        <w:sz w:val="16"/>
                        <w:szCs w:val="16"/>
                        <w:lang w:val="de-CH"/>
                      </w:rPr>
                      <w:t>Norma de DVB EN 302307</w:t>
                    </w:r>
                  </w:p>
                  <w:p w:rsidR="00FB2410" w:rsidRPr="00FB2410" w:rsidRDefault="00FB2410" w:rsidP="00FB2410">
                    <w:pPr>
                      <w:rPr>
                        <w:rFonts w:ascii="Arial" w:eastAsia="ヒラギノ角ゴ Pro W3" w:hAnsi="Arial" w:cs="Arial"/>
                        <w:color w:val="000000"/>
                        <w:sz w:val="16"/>
                        <w:szCs w:val="16"/>
                        <w:lang w:val="de-CH"/>
                      </w:rPr>
                    </w:pPr>
                    <w:r w:rsidRPr="00FB2410">
                      <w:rPr>
                        <w:rFonts w:ascii="Arial" w:eastAsia="ヒラギノ角ゴ Pro W3" w:hAnsi="Arial" w:cs="Arial"/>
                        <w:color w:val="000000"/>
                        <w:sz w:val="16"/>
                        <w:szCs w:val="16"/>
                        <w:lang w:val="de-CH"/>
                      </w:rPr>
                      <w:t xml:space="preserve">MF-TDMA : </w:t>
                    </w:r>
                  </w:p>
                  <w:p w:rsidR="00FB2410" w:rsidRPr="00AC3CF8" w:rsidRDefault="00FB2410" w:rsidP="00FB2410">
                    <w:pPr>
                      <w:rPr>
                        <w:rFonts w:ascii="Arial" w:eastAsia="ヒラギノ角ゴ Pro W3" w:hAnsi="Arial" w:cs="Arial"/>
                        <w:color w:val="000000"/>
                        <w:sz w:val="11"/>
                        <w:szCs w:val="16"/>
                      </w:rPr>
                    </w:pPr>
                    <w:r>
                      <w:rPr>
                        <w:rFonts w:ascii="Arial" w:eastAsia="ヒラギノ角ゴ Pro W3" w:hAnsi="Arial" w:cs="Arial"/>
                        <w:color w:val="000000"/>
                        <w:sz w:val="11"/>
                        <w:szCs w:val="16"/>
                        <w:lang w:val="de-CH"/>
                      </w:rPr>
                      <w:t xml:space="preserve"> </w:t>
                    </w:r>
                    <w:r w:rsidRPr="00AC3CF8">
                      <w:rPr>
                        <w:rFonts w:ascii="Arial" w:eastAsia="ヒラギノ角ゴ Pro W3" w:hAnsi="Arial" w:cs="Arial"/>
                        <w:color w:val="000000"/>
                        <w:sz w:val="11"/>
                        <w:szCs w:val="16"/>
                      </w:rPr>
                      <w:t>Multiple-Frequency Time-Division Multiple Access</w:t>
                    </w:r>
                  </w:p>
                </w:txbxContent>
              </v:textbox>
            </v:shape>
            <w10:wrap type="none"/>
            <w10:anchorlock/>
          </v:group>
        </w:pict>
      </w:r>
    </w:p>
    <w:p w:rsidR="006029AE" w:rsidRPr="00A43C05" w:rsidRDefault="00FB2410" w:rsidP="00FB2410">
      <w:pPr>
        <w:pStyle w:val="Normalaftertitle"/>
        <w:jc w:val="center"/>
        <w:rPr>
          <w:lang w:val="es-ES_tradnl"/>
        </w:rPr>
      </w:pPr>
      <w:r w:rsidRPr="00FB2410">
        <w:rPr>
          <w:lang w:val="es-ES_tradnl"/>
        </w:rPr>
        <w:t>Ejemplo de red de redistribución por satélite</w:t>
      </w:r>
    </w:p>
    <w:p w:rsidR="006A5397" w:rsidRPr="00A43C05" w:rsidRDefault="006A5397" w:rsidP="006A5397">
      <w:pPr>
        <w:pStyle w:val="FigureSource"/>
        <w:rPr>
          <w:lang w:val="es-ES_tradnl"/>
        </w:rPr>
      </w:pPr>
    </w:p>
    <w:p w:rsidR="00847DF4" w:rsidRPr="00A43C05" w:rsidRDefault="00EB5FE2" w:rsidP="00EB5FE2">
      <w:pPr>
        <w:pStyle w:val="Normalaftertitle"/>
        <w:rPr>
          <w:lang w:val="es-ES_tradnl"/>
        </w:rPr>
      </w:pPr>
      <w:r w:rsidRPr="00EB5FE2">
        <w:rPr>
          <w:lang w:val="es-ES_tradnl"/>
        </w:rPr>
        <w:t>El continuo avance de las tecnologías por satélite y la mayor difusión de las IMT-2000, hacen prever que las soluciones de redistribución por satélite desempeñen una función cada vez más crítica en la reducción de la brecha digital para los servicios avanzados tales como las IMT-2000.</w:t>
      </w:r>
    </w:p>
    <w:p w:rsidR="00FF3BE8" w:rsidRPr="00A43C05" w:rsidRDefault="00FF3BE8" w:rsidP="006C3B49">
      <w:pPr>
        <w:spacing w:before="0"/>
        <w:rPr>
          <w:lang w:val="es-ES_tradnl"/>
        </w:rPr>
      </w:pPr>
    </w:p>
    <w:p w:rsidR="00F64114" w:rsidRPr="00EB5FE2" w:rsidRDefault="00EB5FE2" w:rsidP="006C3B49">
      <w:pPr>
        <w:pStyle w:val="Title"/>
        <w:rPr>
          <w:sz w:val="28"/>
          <w:szCs w:val="28"/>
        </w:rPr>
      </w:pPr>
      <w:bookmarkStart w:id="505" w:name="_Toc238861806"/>
      <w:r w:rsidRPr="00EB5FE2">
        <w:rPr>
          <w:sz w:val="28"/>
          <w:szCs w:val="28"/>
          <w:lang w:val="es-ES_tradnl"/>
        </w:rPr>
        <w:t>Abreviaciones/Glosario</w:t>
      </w:r>
      <w:bookmarkEnd w:id="505"/>
    </w:p>
    <w:p w:rsidR="00F64114" w:rsidRDefault="00F64114" w:rsidP="006C3B4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8"/>
        <w:gridCol w:w="8311"/>
      </w:tblGrid>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1G</w:t>
            </w:r>
          </w:p>
        </w:tc>
        <w:tc>
          <w:tcPr>
            <w:tcW w:w="0" w:type="auto"/>
          </w:tcPr>
          <w:p w:rsidR="00323981" w:rsidRPr="002C1BA9" w:rsidRDefault="00323981" w:rsidP="00323981">
            <w:pPr>
              <w:pStyle w:val="TableText0"/>
              <w:spacing w:beforeLines="20" w:after="0"/>
              <w:rPr>
                <w:lang w:val="es-ES_tradnl"/>
              </w:rPr>
            </w:pPr>
            <w:r w:rsidRPr="002C1BA9">
              <w:rPr>
                <w:lang w:val="es-ES_tradnl"/>
              </w:rPr>
              <w:t>Primera generación</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2G</w:t>
            </w:r>
          </w:p>
        </w:tc>
        <w:tc>
          <w:tcPr>
            <w:tcW w:w="0" w:type="auto"/>
          </w:tcPr>
          <w:p w:rsidR="00323981" w:rsidRPr="002C1BA9" w:rsidRDefault="00323981" w:rsidP="00323981">
            <w:pPr>
              <w:pStyle w:val="TableText0"/>
              <w:spacing w:beforeLines="20" w:after="0"/>
              <w:rPr>
                <w:lang w:val="es-ES_tradnl"/>
              </w:rPr>
            </w:pPr>
            <w:r w:rsidRPr="002C1BA9">
              <w:rPr>
                <w:lang w:val="es-ES_tradnl"/>
              </w:rPr>
              <w:t>Segunda generación</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3G</w:t>
            </w:r>
          </w:p>
        </w:tc>
        <w:tc>
          <w:tcPr>
            <w:tcW w:w="0" w:type="auto"/>
          </w:tcPr>
          <w:p w:rsidR="00323981" w:rsidRPr="002C1BA9" w:rsidRDefault="00323981" w:rsidP="00323981">
            <w:pPr>
              <w:pStyle w:val="TableText0"/>
              <w:spacing w:beforeLines="20" w:after="0"/>
              <w:rPr>
                <w:lang w:val="es-ES_tradnl"/>
              </w:rPr>
            </w:pPr>
            <w:r w:rsidRPr="002C1BA9">
              <w:rPr>
                <w:lang w:val="es-ES_tradnl"/>
              </w:rPr>
              <w:t>Tercera generación</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3GPP</w:t>
            </w:r>
          </w:p>
        </w:tc>
        <w:tc>
          <w:tcPr>
            <w:tcW w:w="0" w:type="auto"/>
          </w:tcPr>
          <w:p w:rsidR="00323981" w:rsidRPr="002C1BA9" w:rsidRDefault="00323981" w:rsidP="00323981">
            <w:pPr>
              <w:pStyle w:val="TableText0"/>
              <w:spacing w:beforeLines="20" w:after="0"/>
              <w:rPr>
                <w:lang w:val="es-ES_tradnl"/>
              </w:rPr>
            </w:pPr>
            <w:r w:rsidRPr="002C1BA9">
              <w:rPr>
                <w:lang w:val="es-ES_tradnl"/>
              </w:rPr>
              <w:t>Proyecto de asociación de tercera generación</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3GPP2</w:t>
            </w:r>
          </w:p>
        </w:tc>
        <w:tc>
          <w:tcPr>
            <w:tcW w:w="0" w:type="auto"/>
          </w:tcPr>
          <w:p w:rsidR="00323981" w:rsidRPr="002C1BA9" w:rsidRDefault="00323981" w:rsidP="00323981">
            <w:pPr>
              <w:pStyle w:val="TableText0"/>
              <w:spacing w:beforeLines="20" w:after="0"/>
              <w:rPr>
                <w:lang w:val="es-ES_tradnl"/>
              </w:rPr>
            </w:pPr>
            <w:r w:rsidRPr="002C1BA9">
              <w:rPr>
                <w:lang w:val="es-ES_tradnl"/>
              </w:rPr>
              <w:t>Proyecto de asociación de tercera generación 2</w:t>
            </w:r>
          </w:p>
        </w:tc>
      </w:tr>
      <w:tr w:rsidR="00323981" w:rsidRPr="002C1BA9" w:rsidTr="00323981">
        <w:trPr>
          <w:jc w:val="center"/>
        </w:trPr>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r w:rsidRPr="002C1BA9">
              <w:rPr>
                <w:lang w:val="es-ES_tradnl"/>
              </w:rPr>
              <w:t>A</w:t>
            </w:r>
          </w:p>
        </w:tc>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AAA</w:t>
            </w:r>
          </w:p>
        </w:tc>
        <w:tc>
          <w:tcPr>
            <w:tcW w:w="0" w:type="auto"/>
          </w:tcPr>
          <w:p w:rsidR="00323981" w:rsidRPr="002C1BA9" w:rsidRDefault="00323981" w:rsidP="00323981">
            <w:pPr>
              <w:pStyle w:val="TableText0"/>
              <w:spacing w:beforeLines="20" w:after="0"/>
              <w:rPr>
                <w:lang w:val="es-ES_tradnl"/>
              </w:rPr>
            </w:pPr>
            <w:r w:rsidRPr="002C1BA9">
              <w:rPr>
                <w:lang w:val="es-ES_tradnl"/>
              </w:rPr>
              <w:t>Autenticación, autorización y contabilidad</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ANSI</w:t>
            </w:r>
          </w:p>
        </w:tc>
        <w:tc>
          <w:tcPr>
            <w:tcW w:w="0" w:type="auto"/>
          </w:tcPr>
          <w:p w:rsidR="00323981" w:rsidRPr="002C1BA9" w:rsidRDefault="00323981" w:rsidP="00323981">
            <w:pPr>
              <w:pStyle w:val="TableText0"/>
              <w:spacing w:beforeLines="20" w:after="0"/>
              <w:rPr>
                <w:lang w:val="es-ES_tradnl"/>
              </w:rPr>
            </w:pPr>
            <w:r w:rsidRPr="002C1BA9">
              <w:rPr>
                <w:lang w:val="es-ES_tradnl"/>
              </w:rPr>
              <w:t xml:space="preserve">American </w:t>
            </w:r>
            <w:proofErr w:type="spellStart"/>
            <w:r w:rsidRPr="002C1BA9">
              <w:rPr>
                <w:lang w:val="es-ES_tradnl"/>
              </w:rPr>
              <w:t>National</w:t>
            </w:r>
            <w:proofErr w:type="spellEnd"/>
            <w:r w:rsidRPr="002C1BA9">
              <w:rPr>
                <w:lang w:val="es-ES_tradnl"/>
              </w:rPr>
              <w:t xml:space="preserve"> Standard </w:t>
            </w:r>
            <w:proofErr w:type="spellStart"/>
            <w:r w:rsidRPr="002C1BA9">
              <w:rPr>
                <w:lang w:val="es-ES_tradnl"/>
              </w:rPr>
              <w:t>Institute</w:t>
            </w:r>
            <w:proofErr w:type="spellEnd"/>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ARPU</w:t>
            </w:r>
          </w:p>
        </w:tc>
        <w:tc>
          <w:tcPr>
            <w:tcW w:w="0" w:type="auto"/>
          </w:tcPr>
          <w:p w:rsidR="00323981" w:rsidRPr="002C1BA9" w:rsidRDefault="00323981" w:rsidP="00323981">
            <w:pPr>
              <w:pStyle w:val="TableText0"/>
              <w:spacing w:beforeLines="20" w:after="0"/>
              <w:rPr>
                <w:lang w:val="es-ES_tradnl"/>
              </w:rPr>
            </w:pPr>
            <w:r w:rsidRPr="002C1BA9">
              <w:rPr>
                <w:lang w:val="es-ES_tradnl"/>
              </w:rPr>
              <w:t>Ingreso medio por usuario</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ATM</w:t>
            </w:r>
          </w:p>
        </w:tc>
        <w:tc>
          <w:tcPr>
            <w:tcW w:w="0" w:type="auto"/>
          </w:tcPr>
          <w:p w:rsidR="00323981" w:rsidRPr="002C1BA9" w:rsidRDefault="00323981" w:rsidP="00323981">
            <w:pPr>
              <w:pStyle w:val="TableText0"/>
              <w:spacing w:beforeLines="20" w:after="0"/>
              <w:rPr>
                <w:lang w:val="es-ES_tradnl"/>
              </w:rPr>
            </w:pPr>
            <w:r w:rsidRPr="002C1BA9">
              <w:rPr>
                <w:lang w:val="es-ES_tradnl"/>
              </w:rPr>
              <w:t>Modo de transferencia asíncrono</w:t>
            </w:r>
          </w:p>
        </w:tc>
      </w:tr>
      <w:tr w:rsidR="006B5212" w:rsidRPr="002C1BA9" w:rsidTr="0089759F">
        <w:trPr>
          <w:jc w:val="center"/>
        </w:trPr>
        <w:tc>
          <w:tcPr>
            <w:tcW w:w="0" w:type="auto"/>
            <w:shd w:val="clear" w:color="auto" w:fill="A6A6A6" w:themeFill="background1" w:themeFillShade="A6"/>
          </w:tcPr>
          <w:p w:rsidR="006B5212" w:rsidRPr="002C1BA9" w:rsidRDefault="006B5212" w:rsidP="0089759F">
            <w:pPr>
              <w:pStyle w:val="TableText0"/>
              <w:spacing w:beforeLines="20" w:after="0"/>
              <w:rPr>
                <w:lang w:val="es-ES_tradnl"/>
              </w:rPr>
            </w:pPr>
            <w:r>
              <w:rPr>
                <w:lang w:val="es-ES_tradnl"/>
              </w:rPr>
              <w:t>B</w:t>
            </w:r>
          </w:p>
        </w:tc>
        <w:tc>
          <w:tcPr>
            <w:tcW w:w="0" w:type="auto"/>
            <w:shd w:val="clear" w:color="auto" w:fill="A6A6A6" w:themeFill="background1" w:themeFillShade="A6"/>
          </w:tcPr>
          <w:p w:rsidR="006B5212" w:rsidRPr="002C1BA9" w:rsidRDefault="006B5212" w:rsidP="0089759F">
            <w:pPr>
              <w:pStyle w:val="TableText0"/>
              <w:spacing w:beforeLines="20" w:after="0"/>
              <w:rPr>
                <w:lang w:val="es-ES_tradnl"/>
              </w:rPr>
            </w:pPr>
          </w:p>
        </w:tc>
      </w:tr>
      <w:tr w:rsidR="006B5212" w:rsidRPr="002C1BA9" w:rsidTr="00323981">
        <w:trPr>
          <w:jc w:val="center"/>
        </w:trPr>
        <w:tc>
          <w:tcPr>
            <w:tcW w:w="0" w:type="auto"/>
            <w:shd w:val="clear" w:color="auto" w:fill="A6A6A6" w:themeFill="background1" w:themeFillShade="A6"/>
          </w:tcPr>
          <w:p w:rsidR="006B5212" w:rsidRPr="002C1BA9" w:rsidRDefault="006B5212" w:rsidP="0089759F">
            <w:pPr>
              <w:pStyle w:val="TableText0"/>
              <w:spacing w:beforeLines="20" w:after="0"/>
              <w:rPr>
                <w:lang w:val="es-ES_tradnl"/>
              </w:rPr>
            </w:pPr>
            <w:r w:rsidRPr="002C1BA9">
              <w:rPr>
                <w:lang w:val="es-ES_tradnl"/>
              </w:rPr>
              <w:t>C</w:t>
            </w:r>
          </w:p>
        </w:tc>
        <w:tc>
          <w:tcPr>
            <w:tcW w:w="0" w:type="auto"/>
            <w:shd w:val="clear" w:color="auto" w:fill="A6A6A6" w:themeFill="background1" w:themeFillShade="A6"/>
          </w:tcPr>
          <w:p w:rsidR="006B5212" w:rsidRPr="002C1BA9" w:rsidRDefault="006B5212" w:rsidP="0089759F">
            <w:pPr>
              <w:pStyle w:val="TableText0"/>
              <w:spacing w:beforeLines="20" w:after="0"/>
              <w:rPr>
                <w:lang w:val="es-ES_tradnl"/>
              </w:rPr>
            </w:pP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CAPEX</w:t>
            </w:r>
          </w:p>
        </w:tc>
        <w:tc>
          <w:tcPr>
            <w:tcW w:w="0" w:type="auto"/>
          </w:tcPr>
          <w:p w:rsidR="00323981" w:rsidRPr="002C1BA9" w:rsidRDefault="00323981" w:rsidP="00323981">
            <w:pPr>
              <w:pStyle w:val="TableText0"/>
              <w:spacing w:beforeLines="20" w:after="0"/>
              <w:rPr>
                <w:lang w:val="es-ES_tradnl"/>
              </w:rPr>
            </w:pPr>
            <w:r w:rsidRPr="002C1BA9">
              <w:rPr>
                <w:lang w:val="es-ES_tradnl"/>
              </w:rPr>
              <w:t>Costos de capital</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CDMA</w:t>
            </w:r>
          </w:p>
        </w:tc>
        <w:tc>
          <w:tcPr>
            <w:tcW w:w="0" w:type="auto"/>
          </w:tcPr>
          <w:p w:rsidR="00323981" w:rsidRPr="002C1BA9" w:rsidRDefault="00323981" w:rsidP="00323981">
            <w:pPr>
              <w:pStyle w:val="TableText0"/>
              <w:spacing w:beforeLines="20" w:after="0"/>
              <w:rPr>
                <w:lang w:val="es-ES_tradnl"/>
              </w:rPr>
            </w:pPr>
            <w:r w:rsidRPr="002C1BA9">
              <w:rPr>
                <w:lang w:val="es-ES_tradnl"/>
              </w:rPr>
              <w:t>Acceso múltiple por división de código</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lastRenderedPageBreak/>
              <w:t>CEPT</w:t>
            </w:r>
          </w:p>
        </w:tc>
        <w:tc>
          <w:tcPr>
            <w:tcW w:w="0" w:type="auto"/>
          </w:tcPr>
          <w:p w:rsidR="00323981" w:rsidRPr="002C1BA9" w:rsidRDefault="00323981" w:rsidP="00323981">
            <w:pPr>
              <w:pStyle w:val="TableText0"/>
              <w:spacing w:beforeLines="20" w:after="0"/>
              <w:rPr>
                <w:lang w:val="es-ES_tradnl"/>
              </w:rPr>
            </w:pPr>
            <w:r w:rsidRPr="002C1BA9">
              <w:rPr>
                <w:lang w:val="es-ES_tradnl"/>
              </w:rPr>
              <w:t>Conferencia Europea de Administración de Correos y Telecomunicaciones</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CITEL</w:t>
            </w:r>
          </w:p>
        </w:tc>
        <w:tc>
          <w:tcPr>
            <w:tcW w:w="0" w:type="auto"/>
          </w:tcPr>
          <w:p w:rsidR="00323981" w:rsidRPr="002C1BA9" w:rsidRDefault="00323981" w:rsidP="00323981">
            <w:pPr>
              <w:pStyle w:val="TableText0"/>
              <w:spacing w:beforeLines="20" w:after="0"/>
              <w:rPr>
                <w:lang w:val="es-ES_tradnl"/>
              </w:rPr>
            </w:pPr>
            <w:r w:rsidRPr="002C1BA9">
              <w:rPr>
                <w:lang w:val="es-ES_tradnl"/>
              </w:rPr>
              <w:t>Comisión Interamericana de Telecomunicaciones</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CN</w:t>
            </w:r>
          </w:p>
        </w:tc>
        <w:tc>
          <w:tcPr>
            <w:tcW w:w="0" w:type="auto"/>
          </w:tcPr>
          <w:p w:rsidR="00323981" w:rsidRPr="002C1BA9" w:rsidRDefault="00323981" w:rsidP="00323981">
            <w:pPr>
              <w:pStyle w:val="TableText0"/>
              <w:spacing w:beforeLines="20" w:after="0"/>
              <w:rPr>
                <w:lang w:val="es-ES_tradnl"/>
              </w:rPr>
            </w:pPr>
            <w:r w:rsidRPr="002C1BA9">
              <w:rPr>
                <w:lang w:val="es-ES_tradnl"/>
              </w:rPr>
              <w:t>Red básica</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CS</w:t>
            </w:r>
          </w:p>
        </w:tc>
        <w:tc>
          <w:tcPr>
            <w:tcW w:w="0" w:type="auto"/>
          </w:tcPr>
          <w:p w:rsidR="00323981" w:rsidRPr="002C1BA9" w:rsidRDefault="00323981" w:rsidP="00323981">
            <w:pPr>
              <w:pStyle w:val="TableText0"/>
              <w:spacing w:beforeLines="20" w:after="0"/>
              <w:rPr>
                <w:lang w:val="es-ES_tradnl"/>
              </w:rPr>
            </w:pPr>
            <w:r w:rsidRPr="002C1BA9">
              <w:rPr>
                <w:lang w:val="es-ES_tradnl"/>
              </w:rPr>
              <w:t>Conmutación de circuitos</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CSCF</w:t>
            </w:r>
          </w:p>
        </w:tc>
        <w:tc>
          <w:tcPr>
            <w:tcW w:w="0" w:type="auto"/>
          </w:tcPr>
          <w:p w:rsidR="00323981" w:rsidRPr="002C1BA9" w:rsidRDefault="00323981" w:rsidP="00323981">
            <w:pPr>
              <w:pStyle w:val="TableText0"/>
              <w:spacing w:beforeLines="20" w:after="0"/>
              <w:rPr>
                <w:lang w:val="es-ES_tradnl"/>
              </w:rPr>
            </w:pPr>
            <w:r w:rsidRPr="002C1BA9">
              <w:rPr>
                <w:lang w:val="es-ES_tradnl"/>
              </w:rPr>
              <w:t>Función de control de sesión de llamada</w:t>
            </w:r>
          </w:p>
        </w:tc>
      </w:tr>
      <w:tr w:rsidR="00323981" w:rsidRPr="002C1BA9" w:rsidTr="00323981">
        <w:trPr>
          <w:jc w:val="center"/>
        </w:trPr>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r w:rsidRPr="002C1BA9">
              <w:rPr>
                <w:lang w:val="es-ES_tradnl"/>
              </w:rPr>
              <w:t>D</w:t>
            </w:r>
          </w:p>
        </w:tc>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DECT</w:t>
            </w:r>
          </w:p>
        </w:tc>
        <w:tc>
          <w:tcPr>
            <w:tcW w:w="0" w:type="auto"/>
          </w:tcPr>
          <w:p w:rsidR="00323981" w:rsidRPr="002C1BA9" w:rsidRDefault="00323981" w:rsidP="00323981">
            <w:pPr>
              <w:pStyle w:val="TableText0"/>
              <w:spacing w:beforeLines="20" w:after="0"/>
              <w:rPr>
                <w:lang w:val="es-ES_tradnl"/>
              </w:rPr>
            </w:pPr>
            <w:r w:rsidRPr="002C1BA9">
              <w:rPr>
                <w:lang w:val="es-ES_tradnl"/>
              </w:rPr>
              <w:t>Telecomunicaciones inalámbricas mejoradas digitalmente</w:t>
            </w:r>
          </w:p>
        </w:tc>
      </w:tr>
      <w:tr w:rsidR="00323981" w:rsidRPr="002C1BA9" w:rsidTr="00323981">
        <w:trPr>
          <w:jc w:val="center"/>
        </w:trPr>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r w:rsidRPr="002C1BA9">
              <w:rPr>
                <w:lang w:val="es-ES_tradnl"/>
              </w:rPr>
              <w:t>E</w:t>
            </w:r>
          </w:p>
        </w:tc>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EBIT</w:t>
            </w:r>
          </w:p>
        </w:tc>
        <w:tc>
          <w:tcPr>
            <w:tcW w:w="0" w:type="auto"/>
          </w:tcPr>
          <w:p w:rsidR="00323981" w:rsidRPr="002C1BA9" w:rsidRDefault="00323981" w:rsidP="00323981">
            <w:pPr>
              <w:pStyle w:val="TableText0"/>
              <w:spacing w:beforeLines="20" w:after="0"/>
              <w:rPr>
                <w:lang w:val="es-ES_tradnl"/>
              </w:rPr>
            </w:pPr>
            <w:r w:rsidRPr="002C1BA9">
              <w:rPr>
                <w:lang w:val="es-ES_tradnl"/>
              </w:rPr>
              <w:t>Ingresos antes de intereses e impuestos</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EBITDA</w:t>
            </w:r>
          </w:p>
        </w:tc>
        <w:tc>
          <w:tcPr>
            <w:tcW w:w="0" w:type="auto"/>
          </w:tcPr>
          <w:p w:rsidR="00323981" w:rsidRPr="002C1BA9" w:rsidRDefault="00323981" w:rsidP="00323981">
            <w:pPr>
              <w:pStyle w:val="TableText0"/>
              <w:spacing w:beforeLines="20" w:after="0"/>
              <w:rPr>
                <w:lang w:val="es-ES_tradnl"/>
              </w:rPr>
            </w:pPr>
            <w:r w:rsidRPr="002C1BA9">
              <w:rPr>
                <w:lang w:val="es-ES_tradnl"/>
              </w:rPr>
              <w:t>Ingresos antes de intereses e impuestos, depreciación y amortización</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EDGE</w:t>
            </w:r>
          </w:p>
        </w:tc>
        <w:tc>
          <w:tcPr>
            <w:tcW w:w="0" w:type="auto"/>
          </w:tcPr>
          <w:p w:rsidR="00323981" w:rsidRPr="002C1BA9" w:rsidRDefault="00323981" w:rsidP="00323981">
            <w:pPr>
              <w:pStyle w:val="TableText0"/>
              <w:spacing w:beforeLines="20" w:after="0"/>
              <w:rPr>
                <w:lang w:val="es-ES_tradnl"/>
              </w:rPr>
            </w:pPr>
            <w:r w:rsidRPr="002C1BA9">
              <w:rPr>
                <w:lang w:val="es-ES_tradnl"/>
              </w:rPr>
              <w:t>Datos mejorados para la evolución SGM</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EDGE DO</w:t>
            </w:r>
          </w:p>
        </w:tc>
        <w:tc>
          <w:tcPr>
            <w:tcW w:w="0" w:type="auto"/>
          </w:tcPr>
          <w:p w:rsidR="00323981" w:rsidRPr="002C1BA9" w:rsidRDefault="00323981" w:rsidP="00323981">
            <w:pPr>
              <w:pStyle w:val="TableText0"/>
              <w:spacing w:beforeLines="20" w:after="0"/>
              <w:rPr>
                <w:lang w:val="es-ES_tradnl"/>
              </w:rPr>
            </w:pPr>
            <w:r w:rsidRPr="002C1BA9">
              <w:rPr>
                <w:lang w:val="es-ES_tradnl"/>
              </w:rPr>
              <w:t>EDGE sólo para datos</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ETSI</w:t>
            </w:r>
          </w:p>
        </w:tc>
        <w:tc>
          <w:tcPr>
            <w:tcW w:w="0" w:type="auto"/>
          </w:tcPr>
          <w:p w:rsidR="00323981" w:rsidRPr="002C1BA9" w:rsidRDefault="00323981" w:rsidP="00323981">
            <w:pPr>
              <w:pStyle w:val="TableText0"/>
              <w:spacing w:beforeLines="20" w:after="0"/>
              <w:rPr>
                <w:lang w:val="es-ES_tradnl"/>
              </w:rPr>
            </w:pPr>
            <w:r w:rsidRPr="002C1BA9">
              <w:rPr>
                <w:lang w:val="es-ES_tradnl"/>
              </w:rPr>
              <w:t>Instituto Europeo de Normalización de las Telecomunicaciones</w:t>
            </w:r>
          </w:p>
        </w:tc>
      </w:tr>
      <w:tr w:rsidR="00323981" w:rsidRPr="002C1BA9" w:rsidTr="00323981">
        <w:trPr>
          <w:jc w:val="center"/>
        </w:trPr>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r w:rsidRPr="002C1BA9">
              <w:rPr>
                <w:lang w:val="es-ES_tradnl"/>
              </w:rPr>
              <w:t>F</w:t>
            </w:r>
          </w:p>
        </w:tc>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FDD</w:t>
            </w:r>
          </w:p>
        </w:tc>
        <w:tc>
          <w:tcPr>
            <w:tcW w:w="0" w:type="auto"/>
          </w:tcPr>
          <w:p w:rsidR="00323981" w:rsidRPr="002C1BA9" w:rsidRDefault="00323981" w:rsidP="00323981">
            <w:pPr>
              <w:pStyle w:val="TableText0"/>
              <w:spacing w:beforeLines="20" w:after="0"/>
              <w:rPr>
                <w:lang w:val="es-ES_tradnl"/>
              </w:rPr>
            </w:pPr>
            <w:proofErr w:type="spellStart"/>
            <w:r w:rsidRPr="002C1BA9">
              <w:rPr>
                <w:lang w:val="es-ES_tradnl"/>
              </w:rPr>
              <w:t>Multiplexación</w:t>
            </w:r>
            <w:proofErr w:type="spellEnd"/>
            <w:r w:rsidRPr="002C1BA9">
              <w:rPr>
                <w:lang w:val="es-ES_tradnl"/>
              </w:rPr>
              <w:t xml:space="preserve"> por división de frecuencia</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FDMA</w:t>
            </w:r>
          </w:p>
        </w:tc>
        <w:tc>
          <w:tcPr>
            <w:tcW w:w="0" w:type="auto"/>
          </w:tcPr>
          <w:p w:rsidR="00323981" w:rsidRPr="002C1BA9" w:rsidRDefault="00323981" w:rsidP="00323981">
            <w:pPr>
              <w:pStyle w:val="TableText0"/>
              <w:spacing w:beforeLines="20" w:after="0"/>
              <w:rPr>
                <w:lang w:val="es-ES_tradnl"/>
              </w:rPr>
            </w:pPr>
            <w:r w:rsidRPr="002C1BA9">
              <w:rPr>
                <w:lang w:val="es-ES_tradnl"/>
              </w:rPr>
              <w:t>Acceso múltiple por división de frecuencia</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G</w:t>
            </w:r>
          </w:p>
        </w:tc>
        <w:tc>
          <w:tcPr>
            <w:tcW w:w="0" w:type="auto"/>
          </w:tcPr>
          <w:p w:rsidR="00323981" w:rsidRPr="002C1BA9" w:rsidRDefault="00323981" w:rsidP="00323981">
            <w:pPr>
              <w:pStyle w:val="TableText0"/>
              <w:spacing w:beforeLines="20" w:after="0"/>
              <w:rPr>
                <w:lang w:val="es-ES_tradnl"/>
              </w:rPr>
            </w:pP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GGSN</w:t>
            </w:r>
          </w:p>
        </w:tc>
        <w:tc>
          <w:tcPr>
            <w:tcW w:w="0" w:type="auto"/>
          </w:tcPr>
          <w:p w:rsidR="00323981" w:rsidRPr="002C1BA9" w:rsidRDefault="00323981" w:rsidP="00323981">
            <w:pPr>
              <w:pStyle w:val="TableText0"/>
              <w:spacing w:beforeLines="20" w:after="0"/>
              <w:rPr>
                <w:lang w:val="es-ES_tradnl"/>
              </w:rPr>
            </w:pPr>
            <w:r w:rsidRPr="002C1BA9">
              <w:rPr>
                <w:lang w:val="es-ES_tradnl"/>
              </w:rPr>
              <w:t xml:space="preserve">Nodo de soporte de pasarela </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GPRS</w:t>
            </w:r>
          </w:p>
        </w:tc>
        <w:tc>
          <w:tcPr>
            <w:tcW w:w="0" w:type="auto"/>
          </w:tcPr>
          <w:p w:rsidR="00323981" w:rsidRPr="002C1BA9" w:rsidRDefault="00323981" w:rsidP="00323981">
            <w:pPr>
              <w:pStyle w:val="TableText0"/>
              <w:spacing w:beforeLines="20" w:after="0"/>
              <w:rPr>
                <w:lang w:val="es-ES_tradnl"/>
              </w:rPr>
            </w:pPr>
            <w:r w:rsidRPr="002C1BA9">
              <w:rPr>
                <w:lang w:val="es-ES_tradnl"/>
              </w:rPr>
              <w:t>Servicio general de radiocomunicaciones en paquetes</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GSM</w:t>
            </w:r>
          </w:p>
        </w:tc>
        <w:tc>
          <w:tcPr>
            <w:tcW w:w="0" w:type="auto"/>
          </w:tcPr>
          <w:p w:rsidR="00323981" w:rsidRPr="002C1BA9" w:rsidRDefault="00323981" w:rsidP="00323981">
            <w:pPr>
              <w:pStyle w:val="TableText0"/>
              <w:spacing w:beforeLines="20" w:after="0"/>
              <w:rPr>
                <w:lang w:val="es-ES_tradnl"/>
              </w:rPr>
            </w:pPr>
            <w:r w:rsidRPr="002C1BA9">
              <w:rPr>
                <w:lang w:val="es-ES_tradnl"/>
              </w:rPr>
              <w:t>Sistema mundial de telecomunicaciones móviles</w:t>
            </w:r>
          </w:p>
        </w:tc>
      </w:tr>
      <w:tr w:rsidR="006B5212" w:rsidRPr="002C1BA9" w:rsidTr="0089759F">
        <w:trPr>
          <w:jc w:val="center"/>
        </w:trPr>
        <w:tc>
          <w:tcPr>
            <w:tcW w:w="0" w:type="auto"/>
            <w:shd w:val="clear" w:color="auto" w:fill="A6A6A6" w:themeFill="background1" w:themeFillShade="A6"/>
          </w:tcPr>
          <w:p w:rsidR="006B5212" w:rsidRPr="002C1BA9" w:rsidRDefault="006B5212" w:rsidP="0089759F">
            <w:pPr>
              <w:pStyle w:val="TableText0"/>
              <w:spacing w:beforeLines="20" w:after="0"/>
              <w:rPr>
                <w:lang w:val="es-ES_tradnl"/>
              </w:rPr>
            </w:pPr>
            <w:r>
              <w:rPr>
                <w:lang w:val="es-ES_tradnl"/>
              </w:rPr>
              <w:t>G</w:t>
            </w:r>
          </w:p>
        </w:tc>
        <w:tc>
          <w:tcPr>
            <w:tcW w:w="0" w:type="auto"/>
            <w:shd w:val="clear" w:color="auto" w:fill="A6A6A6" w:themeFill="background1" w:themeFillShade="A6"/>
          </w:tcPr>
          <w:p w:rsidR="006B5212" w:rsidRPr="002C1BA9" w:rsidRDefault="006B5212" w:rsidP="0089759F">
            <w:pPr>
              <w:pStyle w:val="TableText0"/>
              <w:spacing w:beforeLines="20" w:after="0"/>
              <w:rPr>
                <w:lang w:val="es-ES_tradnl"/>
              </w:rPr>
            </w:pPr>
          </w:p>
        </w:tc>
      </w:tr>
      <w:tr w:rsidR="00323981" w:rsidRPr="002C1BA9" w:rsidTr="00323981">
        <w:trPr>
          <w:jc w:val="center"/>
        </w:trPr>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r w:rsidRPr="002C1BA9">
              <w:rPr>
                <w:lang w:val="es-ES_tradnl"/>
              </w:rPr>
              <w:t>H</w:t>
            </w:r>
          </w:p>
        </w:tc>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HA</w:t>
            </w:r>
          </w:p>
        </w:tc>
        <w:tc>
          <w:tcPr>
            <w:tcW w:w="0" w:type="auto"/>
          </w:tcPr>
          <w:p w:rsidR="00323981" w:rsidRPr="002C1BA9" w:rsidRDefault="00323981" w:rsidP="00323981">
            <w:pPr>
              <w:pStyle w:val="TableText0"/>
              <w:spacing w:beforeLines="20" w:after="0"/>
              <w:rPr>
                <w:lang w:val="es-ES_tradnl"/>
              </w:rPr>
            </w:pPr>
            <w:r w:rsidRPr="002C1BA9">
              <w:rPr>
                <w:lang w:val="es-ES_tradnl"/>
              </w:rPr>
              <w:t>Agente de hogar</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HLR</w:t>
            </w:r>
          </w:p>
        </w:tc>
        <w:tc>
          <w:tcPr>
            <w:tcW w:w="0" w:type="auto"/>
          </w:tcPr>
          <w:p w:rsidR="00323981" w:rsidRPr="002C1BA9" w:rsidRDefault="00323981" w:rsidP="00323981">
            <w:pPr>
              <w:pStyle w:val="TableText0"/>
              <w:spacing w:beforeLines="20" w:after="0"/>
              <w:rPr>
                <w:lang w:val="es-ES_tradnl"/>
              </w:rPr>
            </w:pPr>
            <w:r w:rsidRPr="002C1BA9">
              <w:rPr>
                <w:lang w:val="es-ES_tradnl"/>
              </w:rPr>
              <w:t>Registro de ubicación de hogar</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HSDPA</w:t>
            </w:r>
          </w:p>
        </w:tc>
        <w:tc>
          <w:tcPr>
            <w:tcW w:w="0" w:type="auto"/>
          </w:tcPr>
          <w:p w:rsidR="00323981" w:rsidRPr="002C1BA9" w:rsidRDefault="00323981" w:rsidP="00323981">
            <w:pPr>
              <w:pStyle w:val="TableText0"/>
              <w:spacing w:beforeLines="20" w:after="0"/>
              <w:rPr>
                <w:lang w:val="es-ES_tradnl"/>
              </w:rPr>
            </w:pPr>
            <w:r w:rsidRPr="002C1BA9">
              <w:rPr>
                <w:lang w:val="es-ES_tradnl"/>
              </w:rPr>
              <w:t xml:space="preserve">Acceso en paquetes de enlace descendente a gran velocidad </w:t>
            </w:r>
          </w:p>
        </w:tc>
      </w:tr>
      <w:tr w:rsidR="00323981" w:rsidRPr="002C1BA9" w:rsidTr="00323981">
        <w:trPr>
          <w:jc w:val="center"/>
        </w:trPr>
        <w:tc>
          <w:tcPr>
            <w:tcW w:w="0" w:type="auto"/>
            <w:shd w:val="clear" w:color="auto" w:fill="A6A6A6" w:themeFill="background1" w:themeFillShade="A6"/>
          </w:tcPr>
          <w:p w:rsidR="00323981" w:rsidRPr="002C1BA9" w:rsidRDefault="00323981" w:rsidP="006B5212">
            <w:pPr>
              <w:pStyle w:val="TableText0"/>
              <w:keepNext/>
              <w:keepLines/>
              <w:spacing w:beforeLines="20" w:after="0"/>
              <w:rPr>
                <w:lang w:val="es-ES_tradnl"/>
              </w:rPr>
            </w:pPr>
            <w:r w:rsidRPr="002C1BA9">
              <w:rPr>
                <w:lang w:val="es-ES_tradnl"/>
              </w:rPr>
              <w:t>I</w:t>
            </w:r>
          </w:p>
        </w:tc>
        <w:tc>
          <w:tcPr>
            <w:tcW w:w="0" w:type="auto"/>
            <w:shd w:val="clear" w:color="auto" w:fill="A6A6A6" w:themeFill="background1" w:themeFillShade="A6"/>
          </w:tcPr>
          <w:p w:rsidR="00323981" w:rsidRPr="002C1BA9" w:rsidRDefault="00323981" w:rsidP="006B5212">
            <w:pPr>
              <w:pStyle w:val="TableText0"/>
              <w:keepNext/>
              <w:keepLines/>
              <w:spacing w:beforeLines="20" w:after="0"/>
              <w:rPr>
                <w:lang w:val="es-ES_tradnl"/>
              </w:rPr>
            </w:pPr>
          </w:p>
        </w:tc>
      </w:tr>
      <w:tr w:rsidR="00323981" w:rsidRPr="00A43C05" w:rsidTr="0089759F">
        <w:trPr>
          <w:jc w:val="center"/>
        </w:trPr>
        <w:tc>
          <w:tcPr>
            <w:tcW w:w="0" w:type="auto"/>
          </w:tcPr>
          <w:p w:rsidR="00323981" w:rsidRPr="002C1BA9" w:rsidRDefault="00323981" w:rsidP="006B5212">
            <w:pPr>
              <w:pStyle w:val="TableText0"/>
              <w:keepNext/>
              <w:keepLines/>
              <w:spacing w:beforeLines="20" w:after="0"/>
              <w:rPr>
                <w:lang w:val="es-ES_tradnl"/>
              </w:rPr>
            </w:pPr>
            <w:r w:rsidRPr="002C1BA9">
              <w:rPr>
                <w:lang w:val="es-ES_tradnl"/>
              </w:rPr>
              <w:t>IEEE</w:t>
            </w:r>
          </w:p>
        </w:tc>
        <w:tc>
          <w:tcPr>
            <w:tcW w:w="0" w:type="auto"/>
          </w:tcPr>
          <w:p w:rsidR="00323981" w:rsidRPr="002C1BA9" w:rsidRDefault="00323981" w:rsidP="006B5212">
            <w:pPr>
              <w:pStyle w:val="TableText0"/>
              <w:keepNext/>
              <w:keepLines/>
              <w:spacing w:beforeLines="20" w:after="0"/>
              <w:rPr>
                <w:lang w:val="es-ES_tradnl"/>
              </w:rPr>
            </w:pPr>
            <w:r w:rsidRPr="002C1BA9">
              <w:rPr>
                <w:lang w:val="es-ES_tradnl"/>
              </w:rPr>
              <w:t>Instituto de ingenieros eléctricos y electrónicos</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IETF</w:t>
            </w:r>
          </w:p>
        </w:tc>
        <w:tc>
          <w:tcPr>
            <w:tcW w:w="0" w:type="auto"/>
          </w:tcPr>
          <w:p w:rsidR="00323981" w:rsidRPr="002C1BA9" w:rsidRDefault="00323981" w:rsidP="00323981">
            <w:pPr>
              <w:pStyle w:val="TableText0"/>
              <w:spacing w:beforeLines="20" w:after="0"/>
              <w:rPr>
                <w:lang w:val="es-ES_tradnl"/>
              </w:rPr>
            </w:pPr>
            <w:r w:rsidRPr="002C1BA9">
              <w:rPr>
                <w:lang w:val="es-ES_tradnl"/>
              </w:rPr>
              <w:t>Grupo Especial sobre Ingeniería de Internet</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IMS</w:t>
            </w:r>
          </w:p>
        </w:tc>
        <w:tc>
          <w:tcPr>
            <w:tcW w:w="0" w:type="auto"/>
          </w:tcPr>
          <w:p w:rsidR="00323981" w:rsidRPr="002C1BA9" w:rsidRDefault="00323981" w:rsidP="00323981">
            <w:pPr>
              <w:pStyle w:val="TableText0"/>
              <w:spacing w:beforeLines="20" w:after="0"/>
              <w:rPr>
                <w:lang w:val="es-ES_tradnl"/>
              </w:rPr>
            </w:pPr>
            <w:r w:rsidRPr="002C1BA9">
              <w:rPr>
                <w:lang w:val="es-ES_tradnl"/>
              </w:rPr>
              <w:t>Subsistema de multimedios IP</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IMT-2000</w:t>
            </w:r>
          </w:p>
        </w:tc>
        <w:tc>
          <w:tcPr>
            <w:tcW w:w="0" w:type="auto"/>
          </w:tcPr>
          <w:p w:rsidR="00323981" w:rsidRPr="002C1BA9" w:rsidRDefault="00323981" w:rsidP="00323981">
            <w:pPr>
              <w:pStyle w:val="TableText0"/>
              <w:spacing w:beforeLines="20" w:after="0"/>
              <w:rPr>
                <w:lang w:val="es-ES_tradnl"/>
              </w:rPr>
            </w:pPr>
            <w:r w:rsidRPr="002C1BA9">
              <w:rPr>
                <w:lang w:val="es-ES_tradnl"/>
              </w:rPr>
              <w:t>Telecomunicaciones móviles internacionales-2000</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IMU</w:t>
            </w:r>
          </w:p>
        </w:tc>
        <w:tc>
          <w:tcPr>
            <w:tcW w:w="0" w:type="auto"/>
          </w:tcPr>
          <w:p w:rsidR="00323981" w:rsidRPr="002C1BA9" w:rsidRDefault="00323981" w:rsidP="00323981">
            <w:pPr>
              <w:pStyle w:val="TableText0"/>
              <w:spacing w:beforeLines="20" w:after="0"/>
              <w:rPr>
                <w:lang w:val="es-ES_tradnl"/>
              </w:rPr>
            </w:pPr>
            <w:r w:rsidRPr="002C1BA9">
              <w:rPr>
                <w:lang w:val="es-ES_tradnl"/>
              </w:rPr>
              <w:t>Ingreso medio por usuario</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IP</w:t>
            </w:r>
          </w:p>
        </w:tc>
        <w:tc>
          <w:tcPr>
            <w:tcW w:w="0" w:type="auto"/>
          </w:tcPr>
          <w:p w:rsidR="00323981" w:rsidRPr="002C1BA9" w:rsidRDefault="00323981" w:rsidP="00323981">
            <w:pPr>
              <w:pStyle w:val="TableText0"/>
              <w:spacing w:beforeLines="20" w:after="0"/>
              <w:rPr>
                <w:lang w:val="es-ES_tradnl"/>
              </w:rPr>
            </w:pPr>
            <w:r w:rsidRPr="002C1BA9">
              <w:rPr>
                <w:lang w:val="es-ES_tradnl"/>
              </w:rPr>
              <w:t>Protocolo Internet</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IT</w:t>
            </w:r>
          </w:p>
        </w:tc>
        <w:tc>
          <w:tcPr>
            <w:tcW w:w="0" w:type="auto"/>
          </w:tcPr>
          <w:p w:rsidR="00323981" w:rsidRPr="002C1BA9" w:rsidRDefault="00323981" w:rsidP="00323981">
            <w:pPr>
              <w:pStyle w:val="TableText0"/>
              <w:spacing w:beforeLines="20" w:after="0"/>
              <w:rPr>
                <w:lang w:val="es-ES_tradnl"/>
              </w:rPr>
            </w:pPr>
            <w:r w:rsidRPr="002C1BA9">
              <w:rPr>
                <w:lang w:val="es-ES_tradnl"/>
              </w:rPr>
              <w:t>Tecnología de la información</w:t>
            </w:r>
          </w:p>
        </w:tc>
      </w:tr>
      <w:tr w:rsidR="006B5212" w:rsidRPr="002C1BA9" w:rsidTr="0089759F">
        <w:trPr>
          <w:jc w:val="center"/>
        </w:trPr>
        <w:tc>
          <w:tcPr>
            <w:tcW w:w="0" w:type="auto"/>
            <w:shd w:val="clear" w:color="auto" w:fill="A6A6A6" w:themeFill="background1" w:themeFillShade="A6"/>
          </w:tcPr>
          <w:p w:rsidR="006B5212" w:rsidRPr="002C1BA9" w:rsidRDefault="006B5212" w:rsidP="0089759F">
            <w:pPr>
              <w:pStyle w:val="TableText0"/>
              <w:spacing w:beforeLines="20" w:after="0"/>
              <w:rPr>
                <w:lang w:val="es-ES_tradnl"/>
              </w:rPr>
            </w:pPr>
            <w:r>
              <w:rPr>
                <w:lang w:val="es-ES_tradnl"/>
              </w:rPr>
              <w:t>J</w:t>
            </w:r>
          </w:p>
        </w:tc>
        <w:tc>
          <w:tcPr>
            <w:tcW w:w="0" w:type="auto"/>
            <w:shd w:val="clear" w:color="auto" w:fill="A6A6A6" w:themeFill="background1" w:themeFillShade="A6"/>
          </w:tcPr>
          <w:p w:rsidR="006B5212" w:rsidRPr="002C1BA9" w:rsidRDefault="006B5212" w:rsidP="0089759F">
            <w:pPr>
              <w:pStyle w:val="TableText0"/>
              <w:spacing w:beforeLines="20" w:after="0"/>
              <w:rPr>
                <w:lang w:val="es-ES_tradnl"/>
              </w:rPr>
            </w:pPr>
          </w:p>
        </w:tc>
      </w:tr>
      <w:tr w:rsidR="006B5212" w:rsidRPr="002C1BA9" w:rsidTr="0089759F">
        <w:trPr>
          <w:jc w:val="center"/>
        </w:trPr>
        <w:tc>
          <w:tcPr>
            <w:tcW w:w="0" w:type="auto"/>
            <w:shd w:val="clear" w:color="auto" w:fill="A6A6A6" w:themeFill="background1" w:themeFillShade="A6"/>
          </w:tcPr>
          <w:p w:rsidR="006B5212" w:rsidRPr="002C1BA9" w:rsidRDefault="006B5212" w:rsidP="0089759F">
            <w:pPr>
              <w:pStyle w:val="TableText0"/>
              <w:spacing w:beforeLines="20" w:after="0"/>
              <w:rPr>
                <w:lang w:val="es-ES_tradnl"/>
              </w:rPr>
            </w:pPr>
            <w:r>
              <w:rPr>
                <w:lang w:val="es-ES_tradnl"/>
              </w:rPr>
              <w:t>K</w:t>
            </w:r>
          </w:p>
        </w:tc>
        <w:tc>
          <w:tcPr>
            <w:tcW w:w="0" w:type="auto"/>
            <w:shd w:val="clear" w:color="auto" w:fill="A6A6A6" w:themeFill="background1" w:themeFillShade="A6"/>
          </w:tcPr>
          <w:p w:rsidR="006B5212" w:rsidRPr="002C1BA9" w:rsidRDefault="006B5212" w:rsidP="0089759F">
            <w:pPr>
              <w:pStyle w:val="TableText0"/>
              <w:spacing w:beforeLines="20" w:after="0"/>
              <w:rPr>
                <w:lang w:val="es-ES_tradnl"/>
              </w:rPr>
            </w:pPr>
          </w:p>
        </w:tc>
      </w:tr>
      <w:tr w:rsidR="006B5212" w:rsidRPr="002C1BA9" w:rsidTr="0089759F">
        <w:trPr>
          <w:jc w:val="center"/>
        </w:trPr>
        <w:tc>
          <w:tcPr>
            <w:tcW w:w="0" w:type="auto"/>
            <w:shd w:val="clear" w:color="auto" w:fill="A6A6A6" w:themeFill="background1" w:themeFillShade="A6"/>
          </w:tcPr>
          <w:p w:rsidR="006B5212" w:rsidRPr="002C1BA9" w:rsidRDefault="006B5212" w:rsidP="0089759F">
            <w:pPr>
              <w:pStyle w:val="TableText0"/>
              <w:spacing w:beforeLines="20" w:after="0"/>
              <w:rPr>
                <w:lang w:val="es-ES_tradnl"/>
              </w:rPr>
            </w:pPr>
            <w:r>
              <w:rPr>
                <w:lang w:val="es-ES_tradnl"/>
              </w:rPr>
              <w:t>L</w:t>
            </w:r>
          </w:p>
        </w:tc>
        <w:tc>
          <w:tcPr>
            <w:tcW w:w="0" w:type="auto"/>
            <w:shd w:val="clear" w:color="auto" w:fill="A6A6A6" w:themeFill="background1" w:themeFillShade="A6"/>
          </w:tcPr>
          <w:p w:rsidR="006B5212" w:rsidRPr="002C1BA9" w:rsidRDefault="006B5212" w:rsidP="0089759F">
            <w:pPr>
              <w:pStyle w:val="TableText0"/>
              <w:spacing w:beforeLines="20" w:after="0"/>
              <w:rPr>
                <w:lang w:val="es-ES_tradnl"/>
              </w:rPr>
            </w:pPr>
          </w:p>
        </w:tc>
      </w:tr>
      <w:tr w:rsidR="00323981" w:rsidRPr="002C1BA9" w:rsidTr="00323981">
        <w:trPr>
          <w:jc w:val="center"/>
        </w:trPr>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r w:rsidRPr="002C1BA9">
              <w:rPr>
                <w:lang w:val="es-ES_tradnl"/>
              </w:rPr>
              <w:t>M</w:t>
            </w:r>
          </w:p>
        </w:tc>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MAP</w:t>
            </w:r>
          </w:p>
        </w:tc>
        <w:tc>
          <w:tcPr>
            <w:tcW w:w="0" w:type="auto"/>
          </w:tcPr>
          <w:p w:rsidR="00323981" w:rsidRPr="002C1BA9" w:rsidRDefault="00323981" w:rsidP="00323981">
            <w:pPr>
              <w:pStyle w:val="TableText0"/>
              <w:spacing w:beforeLines="20" w:after="0"/>
              <w:rPr>
                <w:lang w:val="es-ES_tradnl"/>
              </w:rPr>
            </w:pPr>
            <w:r w:rsidRPr="002C1BA9">
              <w:rPr>
                <w:lang w:val="es-ES_tradnl"/>
              </w:rPr>
              <w:t>Parte de aplicación móvil</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MGCF</w:t>
            </w:r>
          </w:p>
        </w:tc>
        <w:tc>
          <w:tcPr>
            <w:tcW w:w="0" w:type="auto"/>
          </w:tcPr>
          <w:p w:rsidR="00323981" w:rsidRPr="002C1BA9" w:rsidRDefault="00323981" w:rsidP="00323981">
            <w:pPr>
              <w:pStyle w:val="TableText0"/>
              <w:spacing w:beforeLines="20" w:after="0"/>
              <w:rPr>
                <w:lang w:val="es-ES_tradnl"/>
              </w:rPr>
            </w:pPr>
            <w:r w:rsidRPr="002C1BA9">
              <w:rPr>
                <w:lang w:val="es-ES_tradnl"/>
              </w:rPr>
              <w:t>Función de control de cabecera de medios</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MMS</w:t>
            </w:r>
          </w:p>
        </w:tc>
        <w:tc>
          <w:tcPr>
            <w:tcW w:w="0" w:type="auto"/>
          </w:tcPr>
          <w:p w:rsidR="00323981" w:rsidRPr="002C1BA9" w:rsidRDefault="00323981" w:rsidP="00323981">
            <w:pPr>
              <w:pStyle w:val="TableText0"/>
              <w:spacing w:beforeLines="20" w:after="0"/>
              <w:rPr>
                <w:lang w:val="es-ES_tradnl"/>
              </w:rPr>
            </w:pPr>
            <w:r w:rsidRPr="002C1BA9">
              <w:rPr>
                <w:lang w:val="es-ES_tradnl"/>
              </w:rPr>
              <w:t>Servicio de mensajes multimedios</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MSC</w:t>
            </w:r>
          </w:p>
        </w:tc>
        <w:tc>
          <w:tcPr>
            <w:tcW w:w="0" w:type="auto"/>
          </w:tcPr>
          <w:p w:rsidR="00323981" w:rsidRPr="002C1BA9" w:rsidRDefault="00323981" w:rsidP="00323981">
            <w:pPr>
              <w:pStyle w:val="TableText0"/>
              <w:spacing w:beforeLines="20" w:after="0"/>
              <w:rPr>
                <w:lang w:val="es-ES_tradnl"/>
              </w:rPr>
            </w:pPr>
            <w:r w:rsidRPr="002C1BA9">
              <w:rPr>
                <w:lang w:val="es-ES_tradnl"/>
              </w:rPr>
              <w:t>Centro de conmutación móvil</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MT</w:t>
            </w:r>
          </w:p>
        </w:tc>
        <w:tc>
          <w:tcPr>
            <w:tcW w:w="0" w:type="auto"/>
          </w:tcPr>
          <w:p w:rsidR="00323981" w:rsidRPr="002C1BA9" w:rsidRDefault="00323981" w:rsidP="00323981">
            <w:pPr>
              <w:pStyle w:val="TableText0"/>
              <w:spacing w:beforeLines="20" w:after="0"/>
              <w:rPr>
                <w:lang w:val="es-ES_tradnl"/>
              </w:rPr>
            </w:pPr>
            <w:r w:rsidRPr="002C1BA9">
              <w:rPr>
                <w:lang w:val="es-ES_tradnl"/>
              </w:rPr>
              <w:t>Terminal móvil</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MVNO</w:t>
            </w:r>
          </w:p>
        </w:tc>
        <w:tc>
          <w:tcPr>
            <w:tcW w:w="0" w:type="auto"/>
          </w:tcPr>
          <w:p w:rsidR="00323981" w:rsidRPr="002C1BA9" w:rsidRDefault="00323981" w:rsidP="00323981">
            <w:pPr>
              <w:pStyle w:val="TableText0"/>
              <w:spacing w:beforeLines="20" w:after="0"/>
              <w:rPr>
                <w:lang w:val="es-ES_tradnl"/>
              </w:rPr>
            </w:pPr>
            <w:r w:rsidRPr="002C1BA9">
              <w:rPr>
                <w:lang w:val="es-ES_tradnl"/>
              </w:rPr>
              <w:t>Operador móvil de red virtual</w:t>
            </w:r>
          </w:p>
        </w:tc>
      </w:tr>
      <w:tr w:rsidR="00323981" w:rsidRPr="002C1BA9" w:rsidTr="00323981">
        <w:trPr>
          <w:jc w:val="center"/>
        </w:trPr>
        <w:tc>
          <w:tcPr>
            <w:tcW w:w="0" w:type="auto"/>
            <w:shd w:val="clear" w:color="auto" w:fill="A6A6A6" w:themeFill="background1" w:themeFillShade="A6"/>
          </w:tcPr>
          <w:p w:rsidR="00323981" w:rsidRPr="002C1BA9" w:rsidRDefault="00323981" w:rsidP="00863244">
            <w:pPr>
              <w:pStyle w:val="TableText0"/>
              <w:keepNext/>
              <w:keepLines/>
              <w:spacing w:beforeLines="20" w:after="0"/>
              <w:rPr>
                <w:lang w:val="es-ES_tradnl"/>
              </w:rPr>
            </w:pPr>
            <w:r w:rsidRPr="002C1BA9">
              <w:rPr>
                <w:lang w:val="es-ES_tradnl"/>
              </w:rPr>
              <w:lastRenderedPageBreak/>
              <w:t>N</w:t>
            </w:r>
          </w:p>
        </w:tc>
        <w:tc>
          <w:tcPr>
            <w:tcW w:w="0" w:type="auto"/>
            <w:shd w:val="clear" w:color="auto" w:fill="A6A6A6" w:themeFill="background1" w:themeFillShade="A6"/>
          </w:tcPr>
          <w:p w:rsidR="00323981" w:rsidRPr="002C1BA9" w:rsidRDefault="00323981" w:rsidP="00863244">
            <w:pPr>
              <w:pStyle w:val="TableText0"/>
              <w:keepNext/>
              <w:keepLines/>
              <w:spacing w:beforeLines="20" w:after="0"/>
              <w:rPr>
                <w:lang w:val="es-ES_tradnl"/>
              </w:rPr>
            </w:pPr>
          </w:p>
        </w:tc>
      </w:tr>
      <w:tr w:rsidR="00323981" w:rsidRPr="002C1BA9" w:rsidTr="0089759F">
        <w:trPr>
          <w:jc w:val="center"/>
        </w:trPr>
        <w:tc>
          <w:tcPr>
            <w:tcW w:w="0" w:type="auto"/>
          </w:tcPr>
          <w:p w:rsidR="00323981" w:rsidRPr="002C1BA9" w:rsidRDefault="00323981" w:rsidP="00863244">
            <w:pPr>
              <w:pStyle w:val="TableText0"/>
              <w:keepNext/>
              <w:keepLines/>
              <w:spacing w:beforeLines="20" w:after="0"/>
              <w:rPr>
                <w:lang w:val="en-US"/>
              </w:rPr>
            </w:pPr>
            <w:r w:rsidRPr="002C1BA9">
              <w:rPr>
                <w:lang w:val="es-ES_tradnl"/>
              </w:rPr>
              <w:t>NPV</w:t>
            </w:r>
          </w:p>
        </w:tc>
        <w:tc>
          <w:tcPr>
            <w:tcW w:w="0" w:type="auto"/>
          </w:tcPr>
          <w:p w:rsidR="00323981" w:rsidRPr="002C1BA9" w:rsidRDefault="00323981" w:rsidP="00863244">
            <w:pPr>
              <w:pStyle w:val="TableText0"/>
              <w:keepNext/>
              <w:keepLines/>
              <w:spacing w:beforeLines="20" w:after="0"/>
              <w:rPr>
                <w:lang w:val="es-ES_tradnl"/>
              </w:rPr>
            </w:pPr>
            <w:r w:rsidRPr="002C1BA9">
              <w:rPr>
                <w:lang w:val="es-ES_tradnl"/>
              </w:rPr>
              <w:t>Valor neto actual</w:t>
            </w:r>
          </w:p>
        </w:tc>
      </w:tr>
      <w:tr w:rsidR="00323981" w:rsidRPr="002C1BA9" w:rsidTr="00323981">
        <w:trPr>
          <w:jc w:val="center"/>
        </w:trPr>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r w:rsidRPr="002C1BA9">
              <w:rPr>
                <w:lang w:val="es-ES_tradnl"/>
              </w:rPr>
              <w:t>O</w:t>
            </w:r>
          </w:p>
        </w:tc>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OFDMA</w:t>
            </w:r>
          </w:p>
        </w:tc>
        <w:tc>
          <w:tcPr>
            <w:tcW w:w="0" w:type="auto"/>
          </w:tcPr>
          <w:p w:rsidR="00323981" w:rsidRPr="002C1BA9" w:rsidRDefault="00323981" w:rsidP="00323981">
            <w:pPr>
              <w:pStyle w:val="TableText0"/>
              <w:spacing w:beforeLines="20" w:after="0"/>
              <w:rPr>
                <w:lang w:val="es-ES_tradnl"/>
              </w:rPr>
            </w:pPr>
            <w:r w:rsidRPr="002C1BA9">
              <w:rPr>
                <w:lang w:val="es-ES_tradnl"/>
              </w:rPr>
              <w:t>Acceso múltiple por división ortogonal de frecuencias</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OPEX</w:t>
            </w:r>
          </w:p>
        </w:tc>
        <w:tc>
          <w:tcPr>
            <w:tcW w:w="0" w:type="auto"/>
          </w:tcPr>
          <w:p w:rsidR="00323981" w:rsidRPr="002C1BA9" w:rsidRDefault="00323981" w:rsidP="00323981">
            <w:pPr>
              <w:pStyle w:val="TableText0"/>
              <w:spacing w:beforeLines="20" w:after="0"/>
              <w:rPr>
                <w:lang w:val="es-ES_tradnl"/>
              </w:rPr>
            </w:pPr>
            <w:r w:rsidRPr="002C1BA9">
              <w:rPr>
                <w:lang w:val="es-ES_tradnl"/>
              </w:rPr>
              <w:t>Costos de funcionamiento</w:t>
            </w:r>
          </w:p>
        </w:tc>
      </w:tr>
      <w:tr w:rsidR="00323981" w:rsidRPr="002C1BA9" w:rsidTr="00323981">
        <w:trPr>
          <w:jc w:val="center"/>
        </w:trPr>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r w:rsidRPr="002C1BA9">
              <w:rPr>
                <w:lang w:val="es-ES_tradnl"/>
              </w:rPr>
              <w:t>P</w:t>
            </w:r>
          </w:p>
        </w:tc>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PCF</w:t>
            </w:r>
          </w:p>
        </w:tc>
        <w:tc>
          <w:tcPr>
            <w:tcW w:w="0" w:type="auto"/>
          </w:tcPr>
          <w:p w:rsidR="00323981" w:rsidRPr="002C1BA9" w:rsidRDefault="00323981" w:rsidP="00323981">
            <w:pPr>
              <w:pStyle w:val="TableText0"/>
              <w:spacing w:beforeLines="20" w:after="0"/>
              <w:rPr>
                <w:lang w:val="es-ES_tradnl"/>
              </w:rPr>
            </w:pPr>
            <w:r w:rsidRPr="002C1BA9">
              <w:rPr>
                <w:lang w:val="es-ES_tradnl"/>
              </w:rPr>
              <w:t>Función de controlador de paquetes</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PDC</w:t>
            </w:r>
          </w:p>
        </w:tc>
        <w:tc>
          <w:tcPr>
            <w:tcW w:w="0" w:type="auto"/>
          </w:tcPr>
          <w:p w:rsidR="00323981" w:rsidRPr="002C1BA9" w:rsidRDefault="00323981" w:rsidP="00323981">
            <w:pPr>
              <w:pStyle w:val="TableText0"/>
              <w:spacing w:beforeLines="20" w:after="0"/>
              <w:rPr>
                <w:lang w:val="es-ES_tradnl"/>
              </w:rPr>
            </w:pPr>
            <w:r w:rsidRPr="002C1BA9">
              <w:rPr>
                <w:lang w:val="es-ES_tradnl"/>
              </w:rPr>
              <w:t>Teléfono celular digital personal</w:t>
            </w:r>
          </w:p>
        </w:tc>
      </w:tr>
      <w:tr w:rsidR="00323981" w:rsidRPr="00A43C05" w:rsidTr="0089759F">
        <w:trPr>
          <w:jc w:val="center"/>
        </w:trPr>
        <w:tc>
          <w:tcPr>
            <w:tcW w:w="0" w:type="auto"/>
          </w:tcPr>
          <w:p w:rsidR="00323981" w:rsidRPr="002C1BA9" w:rsidRDefault="00323981" w:rsidP="00323981">
            <w:pPr>
              <w:pStyle w:val="TableText0"/>
              <w:spacing w:beforeLines="20" w:after="0"/>
              <w:rPr>
                <w:lang w:val="en-US"/>
              </w:rPr>
            </w:pPr>
            <w:r w:rsidRPr="002C1BA9">
              <w:rPr>
                <w:lang w:val="es-ES_tradnl"/>
              </w:rPr>
              <w:t>PDSN</w:t>
            </w:r>
          </w:p>
        </w:tc>
        <w:tc>
          <w:tcPr>
            <w:tcW w:w="0" w:type="auto"/>
          </w:tcPr>
          <w:p w:rsidR="00323981" w:rsidRPr="002C1BA9" w:rsidRDefault="00323981" w:rsidP="00323981">
            <w:pPr>
              <w:pStyle w:val="TableText0"/>
              <w:spacing w:beforeLines="20" w:after="0"/>
              <w:rPr>
                <w:lang w:val="es-ES_tradnl"/>
              </w:rPr>
            </w:pPr>
            <w:r w:rsidRPr="002C1BA9">
              <w:rPr>
                <w:lang w:val="es-ES_tradnl"/>
              </w:rPr>
              <w:t>Nodo o servidor de datos por paquetes</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PS</w:t>
            </w:r>
          </w:p>
        </w:tc>
        <w:tc>
          <w:tcPr>
            <w:tcW w:w="0" w:type="auto"/>
          </w:tcPr>
          <w:p w:rsidR="00323981" w:rsidRPr="002C1BA9" w:rsidRDefault="00323981" w:rsidP="00323981">
            <w:pPr>
              <w:pStyle w:val="TableText0"/>
              <w:spacing w:beforeLines="20" w:after="0"/>
              <w:rPr>
                <w:lang w:val="es-ES_tradnl"/>
              </w:rPr>
            </w:pPr>
            <w:r w:rsidRPr="002C1BA9">
              <w:rPr>
                <w:lang w:val="es-ES_tradnl"/>
              </w:rPr>
              <w:t>Conmutación de paquetes</w:t>
            </w:r>
          </w:p>
        </w:tc>
      </w:tr>
      <w:tr w:rsidR="006B5212" w:rsidRPr="002C1BA9" w:rsidTr="0089759F">
        <w:trPr>
          <w:jc w:val="center"/>
        </w:trPr>
        <w:tc>
          <w:tcPr>
            <w:tcW w:w="0" w:type="auto"/>
            <w:shd w:val="clear" w:color="auto" w:fill="A6A6A6" w:themeFill="background1" w:themeFillShade="A6"/>
          </w:tcPr>
          <w:p w:rsidR="006B5212" w:rsidRPr="002C1BA9" w:rsidRDefault="006B5212" w:rsidP="006B5212">
            <w:pPr>
              <w:pStyle w:val="TableText0"/>
              <w:spacing w:beforeLines="20" w:after="0"/>
              <w:rPr>
                <w:lang w:val="es-ES_tradnl"/>
              </w:rPr>
            </w:pPr>
            <w:r>
              <w:rPr>
                <w:lang w:val="es-ES_tradnl"/>
              </w:rPr>
              <w:t>Q</w:t>
            </w:r>
          </w:p>
        </w:tc>
        <w:tc>
          <w:tcPr>
            <w:tcW w:w="0" w:type="auto"/>
            <w:shd w:val="clear" w:color="auto" w:fill="A6A6A6" w:themeFill="background1" w:themeFillShade="A6"/>
          </w:tcPr>
          <w:p w:rsidR="006B5212" w:rsidRPr="002C1BA9" w:rsidRDefault="006B5212" w:rsidP="0089759F">
            <w:pPr>
              <w:pStyle w:val="TableText0"/>
              <w:spacing w:beforeLines="20" w:after="0"/>
              <w:rPr>
                <w:lang w:val="es-ES_tradnl"/>
              </w:rPr>
            </w:pPr>
          </w:p>
        </w:tc>
      </w:tr>
      <w:tr w:rsidR="00323981" w:rsidRPr="002C1BA9" w:rsidTr="00323981">
        <w:trPr>
          <w:jc w:val="center"/>
        </w:trPr>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r w:rsidRPr="002C1BA9">
              <w:rPr>
                <w:lang w:val="es-ES_tradnl"/>
              </w:rPr>
              <w:t>R</w:t>
            </w:r>
          </w:p>
        </w:tc>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RAN</w:t>
            </w:r>
          </w:p>
        </w:tc>
        <w:tc>
          <w:tcPr>
            <w:tcW w:w="0" w:type="auto"/>
          </w:tcPr>
          <w:p w:rsidR="00323981" w:rsidRPr="002C1BA9" w:rsidRDefault="00323981" w:rsidP="00323981">
            <w:pPr>
              <w:pStyle w:val="TableText0"/>
              <w:spacing w:beforeLines="20" w:after="0"/>
              <w:rPr>
                <w:lang w:val="es-ES_tradnl"/>
              </w:rPr>
            </w:pPr>
            <w:r w:rsidRPr="002C1BA9">
              <w:rPr>
                <w:lang w:val="es-ES_tradnl"/>
              </w:rPr>
              <w:t>Red de acceso radioeléctrico</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RDSI</w:t>
            </w:r>
          </w:p>
        </w:tc>
        <w:tc>
          <w:tcPr>
            <w:tcW w:w="0" w:type="auto"/>
          </w:tcPr>
          <w:p w:rsidR="00323981" w:rsidRPr="002C1BA9" w:rsidRDefault="00323981" w:rsidP="00323981">
            <w:pPr>
              <w:pStyle w:val="TableText0"/>
              <w:spacing w:beforeLines="20" w:after="0"/>
              <w:rPr>
                <w:lang w:val="es-ES_tradnl"/>
              </w:rPr>
            </w:pPr>
            <w:r w:rsidRPr="002C1BA9">
              <w:rPr>
                <w:lang w:val="es-ES_tradnl"/>
              </w:rPr>
              <w:t>Red digital de servicios integrados</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RNS</w:t>
            </w:r>
          </w:p>
        </w:tc>
        <w:tc>
          <w:tcPr>
            <w:tcW w:w="0" w:type="auto"/>
          </w:tcPr>
          <w:p w:rsidR="00323981" w:rsidRPr="002C1BA9" w:rsidRDefault="00323981" w:rsidP="00323981">
            <w:pPr>
              <w:pStyle w:val="TableText0"/>
              <w:spacing w:beforeLines="20" w:after="0"/>
              <w:rPr>
                <w:lang w:val="es-ES_tradnl"/>
              </w:rPr>
            </w:pPr>
            <w:r w:rsidRPr="002C1BA9">
              <w:rPr>
                <w:lang w:val="es-ES_tradnl"/>
              </w:rPr>
              <w:t>Sistema de red de radiocomunicación</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RPDC</w:t>
            </w:r>
          </w:p>
        </w:tc>
        <w:tc>
          <w:tcPr>
            <w:tcW w:w="0" w:type="auto"/>
          </w:tcPr>
          <w:p w:rsidR="00323981" w:rsidRPr="002C1BA9" w:rsidRDefault="00323981" w:rsidP="00323981">
            <w:pPr>
              <w:pStyle w:val="TableText0"/>
              <w:spacing w:beforeLines="20" w:after="0"/>
              <w:rPr>
                <w:lang w:val="es-ES_tradnl"/>
              </w:rPr>
            </w:pPr>
            <w:r w:rsidRPr="002C1BA9">
              <w:rPr>
                <w:lang w:val="es-ES_tradnl"/>
              </w:rPr>
              <w:t>Red pública de datos conmutada</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RTPC</w:t>
            </w:r>
          </w:p>
        </w:tc>
        <w:tc>
          <w:tcPr>
            <w:tcW w:w="0" w:type="auto"/>
          </w:tcPr>
          <w:p w:rsidR="00323981" w:rsidRPr="002C1BA9" w:rsidRDefault="00323981" w:rsidP="00323981">
            <w:pPr>
              <w:pStyle w:val="TableText0"/>
              <w:spacing w:beforeLines="20" w:after="0"/>
              <w:rPr>
                <w:lang w:val="es-ES_tradnl"/>
              </w:rPr>
            </w:pPr>
            <w:r w:rsidRPr="002C1BA9">
              <w:rPr>
                <w:lang w:val="es-ES_tradnl"/>
              </w:rPr>
              <w:t>Red telefónica pública conmutada</w:t>
            </w:r>
          </w:p>
        </w:tc>
      </w:tr>
      <w:tr w:rsidR="00323981" w:rsidRPr="002C1BA9" w:rsidTr="00323981">
        <w:trPr>
          <w:jc w:val="center"/>
        </w:trPr>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r w:rsidRPr="002C1BA9">
              <w:rPr>
                <w:lang w:val="es-ES_tradnl"/>
              </w:rPr>
              <w:t>S</w:t>
            </w:r>
          </w:p>
        </w:tc>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SDMA</w:t>
            </w:r>
          </w:p>
        </w:tc>
        <w:tc>
          <w:tcPr>
            <w:tcW w:w="0" w:type="auto"/>
          </w:tcPr>
          <w:p w:rsidR="00323981" w:rsidRPr="002C1BA9" w:rsidRDefault="00323981" w:rsidP="00323981">
            <w:pPr>
              <w:pStyle w:val="TableText0"/>
              <w:spacing w:beforeLines="20" w:after="0"/>
              <w:rPr>
                <w:lang w:val="es-ES_tradnl"/>
              </w:rPr>
            </w:pPr>
            <w:r w:rsidRPr="002C1BA9">
              <w:rPr>
                <w:lang w:val="es-ES_tradnl"/>
              </w:rPr>
              <w:t>Acceso múltiple por división de espacio</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SDO</w:t>
            </w:r>
          </w:p>
        </w:tc>
        <w:tc>
          <w:tcPr>
            <w:tcW w:w="0" w:type="auto"/>
          </w:tcPr>
          <w:p w:rsidR="00323981" w:rsidRPr="002C1BA9" w:rsidRDefault="00323981" w:rsidP="00323981">
            <w:pPr>
              <w:pStyle w:val="TableText0"/>
              <w:spacing w:beforeLines="20" w:after="0"/>
              <w:rPr>
                <w:lang w:val="es-ES_tradnl"/>
              </w:rPr>
            </w:pPr>
            <w:r w:rsidRPr="002C1BA9">
              <w:rPr>
                <w:lang w:val="es-ES_tradnl"/>
              </w:rPr>
              <w:t xml:space="preserve">Organización de normalización </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SGSN</w:t>
            </w:r>
          </w:p>
        </w:tc>
        <w:tc>
          <w:tcPr>
            <w:tcW w:w="0" w:type="auto"/>
          </w:tcPr>
          <w:p w:rsidR="00323981" w:rsidRPr="002C1BA9" w:rsidRDefault="00323981" w:rsidP="00323981">
            <w:pPr>
              <w:pStyle w:val="TableText0"/>
              <w:spacing w:beforeLines="20" w:after="0"/>
              <w:rPr>
                <w:lang w:val="es-ES_tradnl"/>
              </w:rPr>
            </w:pPr>
            <w:r w:rsidRPr="002C1BA9">
              <w:rPr>
                <w:lang w:val="es-ES_tradnl"/>
              </w:rPr>
              <w:t>Nodo de soporte de servicio GPRS</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SIM</w:t>
            </w:r>
          </w:p>
        </w:tc>
        <w:tc>
          <w:tcPr>
            <w:tcW w:w="0" w:type="auto"/>
          </w:tcPr>
          <w:p w:rsidR="00323981" w:rsidRPr="002C1BA9" w:rsidRDefault="00323981" w:rsidP="00323981">
            <w:pPr>
              <w:pStyle w:val="TableText0"/>
              <w:spacing w:beforeLines="20" w:after="0"/>
              <w:rPr>
                <w:lang w:val="es-ES_tradnl"/>
              </w:rPr>
            </w:pPr>
            <w:r w:rsidRPr="002C1BA9">
              <w:rPr>
                <w:lang w:val="es-ES_tradnl"/>
              </w:rPr>
              <w:t>Módulo de identificación de abonado</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SMS</w:t>
            </w:r>
          </w:p>
        </w:tc>
        <w:tc>
          <w:tcPr>
            <w:tcW w:w="0" w:type="auto"/>
          </w:tcPr>
          <w:p w:rsidR="00323981" w:rsidRPr="002C1BA9" w:rsidRDefault="00323981" w:rsidP="00323981">
            <w:pPr>
              <w:pStyle w:val="TableText0"/>
              <w:spacing w:beforeLines="20" w:after="0"/>
              <w:rPr>
                <w:lang w:val="es-ES_tradnl"/>
              </w:rPr>
            </w:pPr>
            <w:r w:rsidRPr="002C1BA9">
              <w:rPr>
                <w:lang w:val="es-ES_tradnl"/>
              </w:rPr>
              <w:t>Servicio de mensajes breves</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SCDMA</w:t>
            </w:r>
          </w:p>
        </w:tc>
        <w:tc>
          <w:tcPr>
            <w:tcW w:w="0" w:type="auto"/>
          </w:tcPr>
          <w:p w:rsidR="00323981" w:rsidRPr="002C1BA9" w:rsidRDefault="00323981" w:rsidP="00323981">
            <w:pPr>
              <w:pStyle w:val="TableText0"/>
              <w:spacing w:beforeLines="20" w:after="0"/>
              <w:rPr>
                <w:lang w:val="es-ES_tradnl"/>
              </w:rPr>
            </w:pPr>
            <w:r w:rsidRPr="002C1BA9">
              <w:rPr>
                <w:lang w:val="es-ES_tradnl"/>
              </w:rPr>
              <w:t>Acceso múltiple por división de código síncrono</w:t>
            </w:r>
          </w:p>
        </w:tc>
      </w:tr>
      <w:tr w:rsidR="00323981" w:rsidRPr="002C1BA9" w:rsidTr="00323981">
        <w:trPr>
          <w:jc w:val="center"/>
        </w:trPr>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r w:rsidRPr="002C1BA9">
              <w:rPr>
                <w:lang w:val="es-ES_tradnl"/>
              </w:rPr>
              <w:t>T</w:t>
            </w:r>
          </w:p>
        </w:tc>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TD-CDMA</w:t>
            </w:r>
          </w:p>
        </w:tc>
        <w:tc>
          <w:tcPr>
            <w:tcW w:w="0" w:type="auto"/>
          </w:tcPr>
          <w:p w:rsidR="00323981" w:rsidRPr="002C1BA9" w:rsidRDefault="00323981" w:rsidP="00323981">
            <w:pPr>
              <w:pStyle w:val="TableText0"/>
              <w:spacing w:beforeLines="20" w:after="0"/>
              <w:rPr>
                <w:lang w:val="es-ES_tradnl"/>
              </w:rPr>
            </w:pPr>
            <w:r w:rsidRPr="002C1BA9">
              <w:rPr>
                <w:lang w:val="es-ES_tradnl"/>
              </w:rPr>
              <w:t>Acceso múltiple por división de código y división en el tiempo</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TDD</w:t>
            </w:r>
          </w:p>
        </w:tc>
        <w:tc>
          <w:tcPr>
            <w:tcW w:w="0" w:type="auto"/>
          </w:tcPr>
          <w:p w:rsidR="00323981" w:rsidRPr="002C1BA9" w:rsidRDefault="00323981" w:rsidP="00323981">
            <w:pPr>
              <w:pStyle w:val="TableText0"/>
              <w:spacing w:beforeLines="20" w:after="0"/>
              <w:rPr>
                <w:lang w:val="es-ES_tradnl"/>
              </w:rPr>
            </w:pPr>
            <w:proofErr w:type="spellStart"/>
            <w:r w:rsidRPr="002C1BA9">
              <w:rPr>
                <w:lang w:val="es-ES_tradnl"/>
              </w:rPr>
              <w:t>Duplexación</w:t>
            </w:r>
            <w:proofErr w:type="spellEnd"/>
            <w:r w:rsidRPr="002C1BA9">
              <w:rPr>
                <w:lang w:val="es-ES_tradnl"/>
              </w:rPr>
              <w:t xml:space="preserve"> por división en el tiempo</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TDMA</w:t>
            </w:r>
          </w:p>
        </w:tc>
        <w:tc>
          <w:tcPr>
            <w:tcW w:w="0" w:type="auto"/>
          </w:tcPr>
          <w:p w:rsidR="00323981" w:rsidRPr="002C1BA9" w:rsidRDefault="00323981" w:rsidP="00323981">
            <w:pPr>
              <w:pStyle w:val="TableText0"/>
              <w:spacing w:beforeLines="20" w:after="0"/>
              <w:rPr>
                <w:lang w:val="es-ES_tradnl"/>
              </w:rPr>
            </w:pPr>
            <w:r w:rsidRPr="002C1BA9">
              <w:rPr>
                <w:lang w:val="es-ES_tradnl"/>
              </w:rPr>
              <w:t>Acceso múltiple por división en el tiempo</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TD-SCDMA</w:t>
            </w:r>
          </w:p>
        </w:tc>
        <w:tc>
          <w:tcPr>
            <w:tcW w:w="0" w:type="auto"/>
          </w:tcPr>
          <w:p w:rsidR="00323981" w:rsidRPr="002C1BA9" w:rsidRDefault="00323981" w:rsidP="00323981">
            <w:pPr>
              <w:pStyle w:val="TableText0"/>
              <w:spacing w:beforeLines="20" w:after="0"/>
              <w:rPr>
                <w:lang w:val="es-ES_tradnl"/>
              </w:rPr>
            </w:pPr>
            <w:r w:rsidRPr="002C1BA9">
              <w:rPr>
                <w:lang w:val="es-ES_tradnl"/>
              </w:rPr>
              <w:t>Acceso múltiple por división de código síncrono y por división en el tiempo</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TIA</w:t>
            </w:r>
          </w:p>
        </w:tc>
        <w:tc>
          <w:tcPr>
            <w:tcW w:w="0" w:type="auto"/>
          </w:tcPr>
          <w:p w:rsidR="00323981" w:rsidRPr="002C1BA9" w:rsidRDefault="00323981" w:rsidP="00323981">
            <w:pPr>
              <w:pStyle w:val="TableText0"/>
              <w:spacing w:beforeLines="20" w:after="0"/>
              <w:rPr>
                <w:lang w:val="es-ES_tradnl"/>
              </w:rPr>
            </w:pPr>
            <w:r w:rsidRPr="002C1BA9">
              <w:rPr>
                <w:lang w:val="es-ES_tradnl"/>
              </w:rPr>
              <w:t>Asociación de Industrias de Telecomunicaciones</w:t>
            </w:r>
          </w:p>
        </w:tc>
      </w:tr>
      <w:tr w:rsidR="00323981" w:rsidRPr="002C1BA9" w:rsidTr="00323981">
        <w:trPr>
          <w:jc w:val="center"/>
        </w:trPr>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r w:rsidRPr="002C1BA9">
              <w:rPr>
                <w:lang w:val="es-ES_tradnl"/>
              </w:rPr>
              <w:t>U</w:t>
            </w:r>
          </w:p>
        </w:tc>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UIM</w:t>
            </w:r>
          </w:p>
        </w:tc>
        <w:tc>
          <w:tcPr>
            <w:tcW w:w="0" w:type="auto"/>
          </w:tcPr>
          <w:p w:rsidR="00323981" w:rsidRPr="002C1BA9" w:rsidRDefault="00323981" w:rsidP="00323981">
            <w:pPr>
              <w:pStyle w:val="TableText0"/>
              <w:spacing w:beforeLines="20" w:after="0"/>
              <w:rPr>
                <w:lang w:val="es-ES_tradnl"/>
              </w:rPr>
            </w:pPr>
            <w:r w:rsidRPr="002C1BA9">
              <w:rPr>
                <w:lang w:val="es-ES_tradnl"/>
              </w:rPr>
              <w:t>Módulo de identidad de usuario</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UMB</w:t>
            </w:r>
          </w:p>
        </w:tc>
        <w:tc>
          <w:tcPr>
            <w:tcW w:w="0" w:type="auto"/>
          </w:tcPr>
          <w:p w:rsidR="00323981" w:rsidRPr="002C1BA9" w:rsidRDefault="00323981" w:rsidP="00323981">
            <w:pPr>
              <w:pStyle w:val="TableText0"/>
              <w:spacing w:beforeLines="20" w:after="0"/>
              <w:rPr>
                <w:lang w:val="es-ES_tradnl"/>
              </w:rPr>
            </w:pPr>
            <w:r w:rsidRPr="002C1BA9">
              <w:rPr>
                <w:lang w:val="es-ES_tradnl"/>
              </w:rPr>
              <w:t xml:space="preserve">Sistema de banda ancha </w:t>
            </w:r>
            <w:proofErr w:type="spellStart"/>
            <w:r w:rsidRPr="002C1BA9">
              <w:rPr>
                <w:lang w:val="es-ES_tradnl"/>
              </w:rPr>
              <w:t>ultramóvil</w:t>
            </w:r>
            <w:proofErr w:type="spellEnd"/>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UIT</w:t>
            </w:r>
          </w:p>
        </w:tc>
        <w:tc>
          <w:tcPr>
            <w:tcW w:w="0" w:type="auto"/>
          </w:tcPr>
          <w:p w:rsidR="00323981" w:rsidRPr="002C1BA9" w:rsidRDefault="00323981" w:rsidP="00323981">
            <w:pPr>
              <w:pStyle w:val="TableText0"/>
              <w:spacing w:beforeLines="20" w:after="0"/>
              <w:rPr>
                <w:lang w:val="es-ES_tradnl"/>
              </w:rPr>
            </w:pPr>
            <w:r w:rsidRPr="002C1BA9">
              <w:rPr>
                <w:lang w:val="es-ES_tradnl"/>
              </w:rPr>
              <w:t>Unión Internacional de Telecomunicaciones</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UIT-D</w:t>
            </w:r>
          </w:p>
        </w:tc>
        <w:tc>
          <w:tcPr>
            <w:tcW w:w="0" w:type="auto"/>
          </w:tcPr>
          <w:p w:rsidR="00323981" w:rsidRPr="002C1BA9" w:rsidRDefault="00323981" w:rsidP="00323981">
            <w:pPr>
              <w:pStyle w:val="TableText0"/>
              <w:spacing w:beforeLines="20" w:after="0"/>
              <w:rPr>
                <w:lang w:val="es-ES_tradnl"/>
              </w:rPr>
            </w:pPr>
            <w:r w:rsidRPr="002C1BA9">
              <w:rPr>
                <w:lang w:val="es-ES_tradnl"/>
              </w:rPr>
              <w:t>Sector de Desarrollo de la Unión Internacional de Telecomunicaciones</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UIT-R</w:t>
            </w:r>
          </w:p>
        </w:tc>
        <w:tc>
          <w:tcPr>
            <w:tcW w:w="0" w:type="auto"/>
          </w:tcPr>
          <w:p w:rsidR="00323981" w:rsidRPr="002C1BA9" w:rsidRDefault="00323981" w:rsidP="00323981">
            <w:pPr>
              <w:pStyle w:val="TableText0"/>
              <w:spacing w:beforeLines="20" w:after="0"/>
              <w:rPr>
                <w:lang w:val="es-ES_tradnl"/>
              </w:rPr>
            </w:pPr>
            <w:r w:rsidRPr="002C1BA9">
              <w:rPr>
                <w:lang w:val="es-ES_tradnl"/>
              </w:rPr>
              <w:t>Sector de Radiocomunicaciones de la Unión Internacional de Telecomunicaciones</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UIT-T</w:t>
            </w:r>
          </w:p>
        </w:tc>
        <w:tc>
          <w:tcPr>
            <w:tcW w:w="0" w:type="auto"/>
          </w:tcPr>
          <w:p w:rsidR="00323981" w:rsidRPr="002C1BA9" w:rsidRDefault="00323981" w:rsidP="00323981">
            <w:pPr>
              <w:pStyle w:val="TableText0"/>
              <w:spacing w:beforeLines="20" w:after="0"/>
              <w:rPr>
                <w:lang w:val="es-ES_tradnl"/>
              </w:rPr>
            </w:pPr>
            <w:r w:rsidRPr="002C1BA9">
              <w:rPr>
                <w:lang w:val="es-ES_tradnl"/>
              </w:rPr>
              <w:t>Sector de Normalización de las Telecomunicaciones de la Unión Internacional de Telecomunicaciones</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UMTS</w:t>
            </w:r>
          </w:p>
        </w:tc>
        <w:tc>
          <w:tcPr>
            <w:tcW w:w="0" w:type="auto"/>
          </w:tcPr>
          <w:p w:rsidR="00323981" w:rsidRPr="002C1BA9" w:rsidRDefault="00323981" w:rsidP="00323981">
            <w:pPr>
              <w:pStyle w:val="TableText0"/>
              <w:spacing w:beforeLines="20" w:after="0"/>
              <w:rPr>
                <w:lang w:val="es-ES_tradnl"/>
              </w:rPr>
            </w:pPr>
            <w:r w:rsidRPr="002C1BA9">
              <w:rPr>
                <w:lang w:val="es-ES_tradnl"/>
              </w:rPr>
              <w:t>sistema de telecomunicaciones móviles universales</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UPN</w:t>
            </w:r>
          </w:p>
        </w:tc>
        <w:tc>
          <w:tcPr>
            <w:tcW w:w="0" w:type="auto"/>
          </w:tcPr>
          <w:p w:rsidR="00323981" w:rsidRPr="002C1BA9" w:rsidRDefault="00323981" w:rsidP="00323981">
            <w:pPr>
              <w:pStyle w:val="TableText0"/>
              <w:spacing w:beforeLines="20" w:after="0"/>
              <w:rPr>
                <w:lang w:val="es-ES_tradnl"/>
              </w:rPr>
            </w:pPr>
            <w:r w:rsidRPr="002C1BA9">
              <w:rPr>
                <w:lang w:val="es-ES_tradnl"/>
              </w:rPr>
              <w:t>Valor presente neto</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UTRA</w:t>
            </w:r>
          </w:p>
        </w:tc>
        <w:tc>
          <w:tcPr>
            <w:tcW w:w="0" w:type="auto"/>
          </w:tcPr>
          <w:p w:rsidR="00323981" w:rsidRPr="002C1BA9" w:rsidRDefault="00323981" w:rsidP="00323981">
            <w:pPr>
              <w:pStyle w:val="TableText0"/>
              <w:spacing w:beforeLines="20" w:after="0"/>
              <w:rPr>
                <w:lang w:val="es-ES_tradnl"/>
              </w:rPr>
            </w:pPr>
            <w:r w:rsidRPr="002C1BA9">
              <w:rPr>
                <w:lang w:val="es-ES_tradnl"/>
              </w:rPr>
              <w:t>Acceso radioeléctrico terrenal UMTS</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UTRAN</w:t>
            </w:r>
          </w:p>
        </w:tc>
        <w:tc>
          <w:tcPr>
            <w:tcW w:w="0" w:type="auto"/>
          </w:tcPr>
          <w:p w:rsidR="00323981" w:rsidRPr="002C1BA9" w:rsidRDefault="00323981" w:rsidP="00323981">
            <w:pPr>
              <w:pStyle w:val="TableText0"/>
              <w:spacing w:beforeLines="20" w:after="0"/>
              <w:rPr>
                <w:lang w:val="es-ES_tradnl"/>
              </w:rPr>
            </w:pPr>
            <w:r w:rsidRPr="002C1BA9">
              <w:rPr>
                <w:lang w:val="es-ES_tradnl"/>
              </w:rPr>
              <w:t>Red de acceso radioeléctrico terrenal UMTS</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UWC</w:t>
            </w:r>
          </w:p>
        </w:tc>
        <w:tc>
          <w:tcPr>
            <w:tcW w:w="0" w:type="auto"/>
          </w:tcPr>
          <w:p w:rsidR="00323981" w:rsidRPr="002C1BA9" w:rsidRDefault="00323981" w:rsidP="00323981">
            <w:pPr>
              <w:pStyle w:val="TableText0"/>
              <w:spacing w:beforeLines="20" w:after="0"/>
              <w:rPr>
                <w:lang w:val="pt-BR"/>
              </w:rPr>
            </w:pPr>
            <w:r w:rsidRPr="002C1BA9">
              <w:rPr>
                <w:lang w:val="pt-BR"/>
              </w:rPr>
              <w:t>Universal Wireless Consortium (</w:t>
            </w:r>
            <w:proofErr w:type="spellStart"/>
            <w:r w:rsidRPr="002C1BA9">
              <w:rPr>
                <w:lang w:val="pt-BR"/>
              </w:rPr>
              <w:t>actualmente</w:t>
            </w:r>
            <w:proofErr w:type="spellEnd"/>
            <w:r w:rsidRPr="002C1BA9">
              <w:rPr>
                <w:lang w:val="pt-BR"/>
              </w:rPr>
              <w:t xml:space="preserve"> denominado 3G Américas)</w:t>
            </w:r>
          </w:p>
        </w:tc>
      </w:tr>
      <w:tr w:rsidR="00323981" w:rsidRPr="002C1BA9" w:rsidTr="00323981">
        <w:trPr>
          <w:jc w:val="center"/>
        </w:trPr>
        <w:tc>
          <w:tcPr>
            <w:tcW w:w="0" w:type="auto"/>
            <w:shd w:val="clear" w:color="auto" w:fill="A6A6A6" w:themeFill="background1" w:themeFillShade="A6"/>
          </w:tcPr>
          <w:p w:rsidR="00323981" w:rsidRPr="002C1BA9" w:rsidRDefault="00323981" w:rsidP="00863244">
            <w:pPr>
              <w:pStyle w:val="TableText0"/>
              <w:keepNext/>
              <w:keepLines/>
              <w:spacing w:beforeLines="20" w:after="0"/>
              <w:rPr>
                <w:lang w:val="es-ES_tradnl"/>
              </w:rPr>
            </w:pPr>
            <w:r w:rsidRPr="002C1BA9">
              <w:rPr>
                <w:lang w:val="es-ES_tradnl"/>
              </w:rPr>
              <w:lastRenderedPageBreak/>
              <w:t>V</w:t>
            </w:r>
          </w:p>
        </w:tc>
        <w:tc>
          <w:tcPr>
            <w:tcW w:w="0" w:type="auto"/>
            <w:shd w:val="clear" w:color="auto" w:fill="A6A6A6" w:themeFill="background1" w:themeFillShade="A6"/>
          </w:tcPr>
          <w:p w:rsidR="00323981" w:rsidRPr="002C1BA9" w:rsidRDefault="00323981" w:rsidP="00863244">
            <w:pPr>
              <w:pStyle w:val="TableText0"/>
              <w:keepNext/>
              <w:keepLines/>
              <w:spacing w:beforeLines="20" w:after="0"/>
              <w:rPr>
                <w:lang w:val="es-ES_tradnl"/>
              </w:rPr>
            </w:pPr>
          </w:p>
        </w:tc>
      </w:tr>
      <w:tr w:rsidR="00323981" w:rsidRPr="00A43C05" w:rsidTr="0089759F">
        <w:trPr>
          <w:jc w:val="center"/>
        </w:trPr>
        <w:tc>
          <w:tcPr>
            <w:tcW w:w="0" w:type="auto"/>
          </w:tcPr>
          <w:p w:rsidR="00323981" w:rsidRPr="002C1BA9" w:rsidRDefault="00323981" w:rsidP="00863244">
            <w:pPr>
              <w:pStyle w:val="TableText0"/>
              <w:keepNext/>
              <w:keepLines/>
              <w:spacing w:beforeLines="20" w:after="0"/>
              <w:rPr>
                <w:lang w:val="es-ES_tradnl"/>
              </w:rPr>
            </w:pPr>
            <w:r w:rsidRPr="002C1BA9">
              <w:rPr>
                <w:lang w:val="es-ES_tradnl"/>
              </w:rPr>
              <w:t>VLR</w:t>
            </w:r>
          </w:p>
        </w:tc>
        <w:tc>
          <w:tcPr>
            <w:tcW w:w="0" w:type="auto"/>
          </w:tcPr>
          <w:p w:rsidR="00323981" w:rsidRPr="002C1BA9" w:rsidRDefault="00323981" w:rsidP="00863244">
            <w:pPr>
              <w:pStyle w:val="TableText0"/>
              <w:keepNext/>
              <w:keepLines/>
              <w:spacing w:beforeLines="20" w:after="0"/>
              <w:rPr>
                <w:lang w:val="es-ES_tradnl"/>
              </w:rPr>
            </w:pPr>
            <w:r w:rsidRPr="002C1BA9">
              <w:rPr>
                <w:lang w:val="es-ES_tradnl"/>
              </w:rPr>
              <w:t>Registro de posiciones de visitante</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VNO</w:t>
            </w:r>
          </w:p>
        </w:tc>
        <w:tc>
          <w:tcPr>
            <w:tcW w:w="0" w:type="auto"/>
          </w:tcPr>
          <w:p w:rsidR="00323981" w:rsidRPr="002C1BA9" w:rsidRDefault="00323981" w:rsidP="00323981">
            <w:pPr>
              <w:pStyle w:val="TableText0"/>
              <w:spacing w:beforeLines="20" w:after="0"/>
              <w:rPr>
                <w:lang w:val="es-ES_tradnl"/>
              </w:rPr>
            </w:pPr>
            <w:r w:rsidRPr="002C1BA9">
              <w:rPr>
                <w:lang w:val="es-ES_tradnl"/>
              </w:rPr>
              <w:t>Operador de red virtual</w:t>
            </w:r>
          </w:p>
        </w:tc>
      </w:tr>
      <w:tr w:rsidR="00323981" w:rsidRPr="002C1BA9" w:rsidTr="0089759F">
        <w:trPr>
          <w:jc w:val="center"/>
        </w:trPr>
        <w:tc>
          <w:tcPr>
            <w:tcW w:w="0" w:type="auto"/>
          </w:tcPr>
          <w:p w:rsidR="00323981" w:rsidRPr="002C1BA9" w:rsidRDefault="00323981" w:rsidP="00323981">
            <w:pPr>
              <w:pStyle w:val="TableText0"/>
              <w:spacing w:beforeLines="20" w:after="0"/>
              <w:rPr>
                <w:lang w:val="es-ES_tradnl"/>
              </w:rPr>
            </w:pPr>
            <w:proofErr w:type="spellStart"/>
            <w:r w:rsidRPr="002C1BA9">
              <w:rPr>
                <w:lang w:val="es-ES_tradnl"/>
              </w:rPr>
              <w:t>VoIP</w:t>
            </w:r>
            <w:proofErr w:type="spellEnd"/>
          </w:p>
        </w:tc>
        <w:tc>
          <w:tcPr>
            <w:tcW w:w="0" w:type="auto"/>
          </w:tcPr>
          <w:p w:rsidR="00323981" w:rsidRPr="002C1BA9" w:rsidRDefault="00323981" w:rsidP="00323981">
            <w:pPr>
              <w:pStyle w:val="TableText0"/>
              <w:spacing w:beforeLines="20" w:after="0"/>
              <w:rPr>
                <w:lang w:val="es-ES_tradnl"/>
              </w:rPr>
            </w:pPr>
            <w:r w:rsidRPr="002C1BA9">
              <w:rPr>
                <w:lang w:val="es-ES_tradnl"/>
              </w:rPr>
              <w:t>Voz con IP</w:t>
            </w:r>
          </w:p>
        </w:tc>
      </w:tr>
      <w:tr w:rsidR="00323981" w:rsidRPr="002C1BA9" w:rsidTr="00323981">
        <w:trPr>
          <w:jc w:val="center"/>
        </w:trPr>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r w:rsidRPr="002C1BA9">
              <w:rPr>
                <w:lang w:val="es-ES_tradnl"/>
              </w:rPr>
              <w:t>W</w:t>
            </w:r>
          </w:p>
        </w:tc>
        <w:tc>
          <w:tcPr>
            <w:tcW w:w="0" w:type="auto"/>
            <w:shd w:val="clear" w:color="auto" w:fill="A6A6A6" w:themeFill="background1" w:themeFillShade="A6"/>
          </w:tcPr>
          <w:p w:rsidR="00323981" w:rsidRPr="002C1BA9" w:rsidRDefault="00323981" w:rsidP="00323981">
            <w:pPr>
              <w:pStyle w:val="TableText0"/>
              <w:spacing w:beforeLines="20" w:after="0"/>
              <w:rPr>
                <w:lang w:val="es-ES_tradnl"/>
              </w:rPr>
            </w:pP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r w:rsidRPr="002C1BA9">
              <w:rPr>
                <w:lang w:val="es-ES_tradnl"/>
              </w:rPr>
              <w:t>WCDMA</w:t>
            </w:r>
          </w:p>
        </w:tc>
        <w:tc>
          <w:tcPr>
            <w:tcW w:w="0" w:type="auto"/>
          </w:tcPr>
          <w:p w:rsidR="00323981" w:rsidRPr="002C1BA9" w:rsidRDefault="00323981" w:rsidP="00323981">
            <w:pPr>
              <w:pStyle w:val="TableText0"/>
              <w:spacing w:beforeLines="20" w:after="0"/>
              <w:rPr>
                <w:lang w:val="es-ES_tradnl"/>
              </w:rPr>
            </w:pPr>
            <w:r w:rsidRPr="002C1BA9">
              <w:rPr>
                <w:lang w:val="es-ES_tradnl"/>
              </w:rPr>
              <w:t>Acceso múltiple por división de código de banda ancha</w:t>
            </w:r>
          </w:p>
        </w:tc>
      </w:tr>
      <w:tr w:rsidR="00323981" w:rsidRPr="00A43C05" w:rsidTr="0089759F">
        <w:trPr>
          <w:jc w:val="center"/>
        </w:trPr>
        <w:tc>
          <w:tcPr>
            <w:tcW w:w="0" w:type="auto"/>
          </w:tcPr>
          <w:p w:rsidR="00323981" w:rsidRPr="002C1BA9" w:rsidRDefault="00323981" w:rsidP="00323981">
            <w:pPr>
              <w:pStyle w:val="TableText0"/>
              <w:spacing w:beforeLines="20" w:after="0"/>
              <w:rPr>
                <w:lang w:val="es-ES_tradnl"/>
              </w:rPr>
            </w:pPr>
            <w:proofErr w:type="spellStart"/>
            <w:r w:rsidRPr="002C1BA9">
              <w:rPr>
                <w:lang w:val="es-ES_tradnl"/>
              </w:rPr>
              <w:t>WiMAX</w:t>
            </w:r>
            <w:proofErr w:type="spellEnd"/>
          </w:p>
        </w:tc>
        <w:tc>
          <w:tcPr>
            <w:tcW w:w="0" w:type="auto"/>
          </w:tcPr>
          <w:p w:rsidR="00323981" w:rsidRPr="002C1BA9" w:rsidRDefault="00323981" w:rsidP="00323981">
            <w:pPr>
              <w:pStyle w:val="TableText0"/>
              <w:spacing w:beforeLines="20" w:after="0"/>
              <w:rPr>
                <w:lang w:val="es-ES_tradnl"/>
              </w:rPr>
            </w:pPr>
            <w:r w:rsidRPr="002C1BA9">
              <w:rPr>
                <w:lang w:val="es-ES_tradnl"/>
              </w:rPr>
              <w:t>Sistema de acceso móvil inalámbrico</w:t>
            </w:r>
          </w:p>
        </w:tc>
      </w:tr>
      <w:tr w:rsidR="006B5212" w:rsidRPr="002C1BA9" w:rsidTr="006B5212">
        <w:trPr>
          <w:jc w:val="center"/>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B5212" w:rsidRPr="002C1BA9" w:rsidRDefault="006B5212" w:rsidP="0089759F">
            <w:pPr>
              <w:pStyle w:val="TableText0"/>
              <w:spacing w:beforeLines="20" w:after="0"/>
              <w:rPr>
                <w:lang w:val="es-ES_tradnl"/>
              </w:rPr>
            </w:pPr>
            <w:r>
              <w:rPr>
                <w:lang w:val="es-ES_tradnl"/>
              </w:rPr>
              <w:t>X</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B5212" w:rsidRPr="002C1BA9" w:rsidRDefault="006B5212" w:rsidP="0089759F">
            <w:pPr>
              <w:pStyle w:val="TableText0"/>
              <w:spacing w:beforeLines="20" w:after="0"/>
              <w:rPr>
                <w:lang w:val="es-ES_tradnl"/>
              </w:rPr>
            </w:pPr>
          </w:p>
        </w:tc>
      </w:tr>
      <w:tr w:rsidR="006B5212" w:rsidRPr="002C1BA9" w:rsidTr="006B5212">
        <w:trPr>
          <w:jc w:val="center"/>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B5212" w:rsidRPr="002C1BA9" w:rsidRDefault="006B5212" w:rsidP="0089759F">
            <w:pPr>
              <w:pStyle w:val="TableText0"/>
              <w:spacing w:beforeLines="20" w:after="0"/>
              <w:rPr>
                <w:lang w:val="es-ES_tradnl"/>
              </w:rPr>
            </w:pPr>
            <w:r>
              <w:rPr>
                <w:lang w:val="es-ES_tradnl"/>
              </w:rPr>
              <w:t>Y</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B5212" w:rsidRPr="002C1BA9" w:rsidRDefault="006B5212" w:rsidP="0089759F">
            <w:pPr>
              <w:pStyle w:val="TableText0"/>
              <w:spacing w:beforeLines="20" w:after="0"/>
              <w:rPr>
                <w:lang w:val="es-ES_tradnl"/>
              </w:rPr>
            </w:pPr>
          </w:p>
        </w:tc>
      </w:tr>
      <w:tr w:rsidR="006B5212" w:rsidRPr="002C1BA9" w:rsidTr="006B5212">
        <w:trPr>
          <w:jc w:val="center"/>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B5212" w:rsidRPr="002C1BA9" w:rsidRDefault="006B5212" w:rsidP="0089759F">
            <w:pPr>
              <w:pStyle w:val="TableText0"/>
              <w:spacing w:beforeLines="20" w:after="0"/>
              <w:rPr>
                <w:lang w:val="es-ES_tradnl"/>
              </w:rPr>
            </w:pPr>
            <w:r>
              <w:rPr>
                <w:lang w:val="es-ES_tradnl"/>
              </w:rPr>
              <w:t>Z</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B5212" w:rsidRPr="002C1BA9" w:rsidRDefault="006B5212" w:rsidP="0089759F">
            <w:pPr>
              <w:pStyle w:val="TableText0"/>
              <w:spacing w:beforeLines="20" w:after="0"/>
              <w:rPr>
                <w:lang w:val="es-ES_tradnl"/>
              </w:rPr>
            </w:pPr>
          </w:p>
        </w:tc>
      </w:tr>
    </w:tbl>
    <w:p w:rsidR="00F64114" w:rsidRPr="00675126" w:rsidRDefault="00F64114" w:rsidP="003A4E5E"/>
    <w:p w:rsidR="003212E5" w:rsidRPr="00A43C05" w:rsidRDefault="003212E5" w:rsidP="003A4E5E">
      <w:pPr>
        <w:pStyle w:val="Heading2"/>
        <w:rPr>
          <w:lang w:val="es-ES_tradnl"/>
        </w:rPr>
      </w:pPr>
      <w:bookmarkStart w:id="506" w:name="_Toc236826254"/>
      <w:bookmarkStart w:id="507" w:name="_Toc255292560"/>
      <w:bookmarkStart w:id="508" w:name="_Toc259024263"/>
      <w:r w:rsidRPr="00A43C05">
        <w:rPr>
          <w:lang w:val="es-ES_tradnl"/>
        </w:rPr>
        <w:t>10.3</w:t>
      </w:r>
      <w:r w:rsidRPr="00A43C05">
        <w:rPr>
          <w:lang w:val="es-ES_tradnl"/>
        </w:rPr>
        <w:tab/>
      </w:r>
      <w:bookmarkEnd w:id="506"/>
      <w:bookmarkEnd w:id="507"/>
      <w:r w:rsidR="003A4E5E" w:rsidRPr="003A4E5E">
        <w:rPr>
          <w:lang w:val="es-ES_tradnl"/>
        </w:rPr>
        <w:t>Actualización del Anexo I con la inclusión de los estudios de casos prácticos de OFDMA TDD WMAN IP</w:t>
      </w:r>
      <w:bookmarkEnd w:id="508"/>
    </w:p>
    <w:p w:rsidR="003212E5" w:rsidRPr="00A43C05" w:rsidRDefault="003A4E5E" w:rsidP="00CA56E9">
      <w:pPr>
        <w:rPr>
          <w:szCs w:val="22"/>
          <w:lang w:val="es-ES_tradnl"/>
        </w:rPr>
      </w:pPr>
      <w:r w:rsidRPr="003A4E5E">
        <w:rPr>
          <w:szCs w:val="22"/>
          <w:lang w:val="es-ES_tradnl"/>
        </w:rPr>
        <w:t xml:space="preserve">Algunos de los estudios de casos prácticos de operadores de OFDMA TDD WMAN IMT-2000 pueden consultarse en: </w:t>
      </w:r>
      <w:hyperlink r:id="rId41" w:history="1">
        <w:r w:rsidR="00CA56E9" w:rsidRPr="002B0D80">
          <w:rPr>
            <w:rStyle w:val="Hyperlink"/>
            <w:bCs/>
            <w:szCs w:val="22"/>
            <w:lang w:val="es-ES_tradnl"/>
          </w:rPr>
          <w:t>www.wimaxforum.org/resources/documents/marketing/casestudies</w:t>
        </w:r>
      </w:hyperlink>
    </w:p>
    <w:p w:rsidR="003212E5" w:rsidRPr="00A43C05" w:rsidRDefault="003212E5" w:rsidP="003A4E5E">
      <w:pPr>
        <w:pStyle w:val="Heading3"/>
        <w:rPr>
          <w:lang w:val="es-ES_tradnl"/>
        </w:rPr>
      </w:pPr>
      <w:bookmarkStart w:id="509" w:name="_Toc236826255"/>
      <w:bookmarkStart w:id="510" w:name="_Toc255292561"/>
      <w:bookmarkStart w:id="511" w:name="_Toc259024264"/>
      <w:r w:rsidRPr="00A43C05">
        <w:rPr>
          <w:lang w:val="es-ES_tradnl"/>
        </w:rPr>
        <w:t>10.3.1</w:t>
      </w:r>
      <w:r w:rsidRPr="00A43C05">
        <w:rPr>
          <w:lang w:val="es-ES_tradnl"/>
        </w:rPr>
        <w:tab/>
      </w:r>
      <w:bookmarkEnd w:id="509"/>
      <w:bookmarkEnd w:id="510"/>
      <w:r w:rsidR="003A4E5E" w:rsidRPr="003A4E5E">
        <w:rPr>
          <w:lang w:val="es-ES_tradnl"/>
        </w:rPr>
        <w:t xml:space="preserve">Implementación de la tecnología OFDMA TDD WMAN IMT-2000 (con el nombre SHOW WIBRO) en la KT </w:t>
      </w:r>
      <w:proofErr w:type="spellStart"/>
      <w:r w:rsidR="003A4E5E" w:rsidRPr="003A4E5E">
        <w:rPr>
          <w:lang w:val="es-ES_tradnl"/>
        </w:rPr>
        <w:t>Corporation</w:t>
      </w:r>
      <w:proofErr w:type="spellEnd"/>
      <w:r w:rsidR="003A4E5E" w:rsidRPr="003A4E5E">
        <w:rPr>
          <w:lang w:val="es-ES_tradnl"/>
        </w:rPr>
        <w:t xml:space="preserve"> de la República de Corea</w:t>
      </w:r>
      <w:bookmarkEnd w:id="511"/>
    </w:p>
    <w:p w:rsidR="003212E5" w:rsidRPr="00A43C05" w:rsidRDefault="003212E5" w:rsidP="003A4E5E">
      <w:pPr>
        <w:rPr>
          <w:lang w:val="es-ES_tradnl"/>
        </w:rPr>
      </w:pPr>
      <w:r w:rsidRPr="00A43C05">
        <w:rPr>
          <w:lang w:val="es-ES_tradnl"/>
        </w:rPr>
        <w:t>1</w:t>
      </w:r>
      <w:r w:rsidRPr="00A43C05">
        <w:rPr>
          <w:lang w:val="es-ES_tradnl"/>
        </w:rPr>
        <w:tab/>
      </w:r>
      <w:r w:rsidR="003A4E5E" w:rsidRPr="003A4E5E">
        <w:rPr>
          <w:lang w:val="es-ES_tradnl"/>
        </w:rPr>
        <w:t>Introducción</w:t>
      </w:r>
    </w:p>
    <w:p w:rsidR="003A4E5E" w:rsidRPr="00965C71" w:rsidRDefault="003A4E5E" w:rsidP="003A4E5E">
      <w:pPr>
        <w:rPr>
          <w:lang w:val="es-ES_tradnl"/>
        </w:rPr>
      </w:pPr>
      <w:r w:rsidRPr="00965C71">
        <w:rPr>
          <w:lang w:val="es-ES_tradnl"/>
        </w:rPr>
        <w:t xml:space="preserve">KT Corp. (www.kt.com), primer proveedor de servicios integrados inalámbricos y por cable de Corea con más de 30 millones de abonados, ha liderado el desarrollo de la industria de la información y la comunicación durante los últimos 28 años. Por consiguiente, KT ha asumido un papel dominante </w:t>
      </w:r>
      <w:r>
        <w:rPr>
          <w:lang w:val="es-ES_tradnl"/>
        </w:rPr>
        <w:t>en la transformación de</w:t>
      </w:r>
      <w:r w:rsidRPr="00965C71">
        <w:rPr>
          <w:lang w:val="es-ES_tradnl"/>
        </w:rPr>
        <w:t xml:space="preserve"> Corea en una potencia de las IT </w:t>
      </w:r>
      <w:r>
        <w:rPr>
          <w:lang w:val="es-ES_tradnl"/>
        </w:rPr>
        <w:t xml:space="preserve">cuyos servicios de banda ancha cuentan con </w:t>
      </w:r>
      <w:r w:rsidRPr="00965C71">
        <w:rPr>
          <w:lang w:val="es-ES_tradnl"/>
        </w:rPr>
        <w:t xml:space="preserve">las tecnologías más avanzadas. </w:t>
      </w:r>
    </w:p>
    <w:p w:rsidR="003212E5" w:rsidRPr="00A43C05" w:rsidRDefault="003A4E5E" w:rsidP="003A4E5E">
      <w:pPr>
        <w:rPr>
          <w:lang w:val="es-ES_tradnl"/>
        </w:rPr>
      </w:pPr>
      <w:r w:rsidRPr="00965C71">
        <w:rPr>
          <w:lang w:val="es-ES_tradnl"/>
        </w:rPr>
        <w:t xml:space="preserve">Con el lanzamiento comercial de la tecnología </w:t>
      </w:r>
      <w:r>
        <w:rPr>
          <w:lang w:val="es-ES_tradnl"/>
        </w:rPr>
        <w:t>OFDMA TDD WMAN</w:t>
      </w:r>
      <w:r w:rsidRPr="00965C71">
        <w:rPr>
          <w:lang w:val="es-ES_tradnl"/>
        </w:rPr>
        <w:t xml:space="preserve"> (</w:t>
      </w:r>
      <w:proofErr w:type="spellStart"/>
      <w:r w:rsidRPr="00965C71">
        <w:rPr>
          <w:lang w:val="es-ES_tradnl"/>
        </w:rPr>
        <w:t>WiMAX</w:t>
      </w:r>
      <w:proofErr w:type="spellEnd"/>
      <w:r w:rsidRPr="00965C71">
        <w:rPr>
          <w:lang w:val="es-ES_tradnl"/>
        </w:rPr>
        <w:t xml:space="preserve"> móvil) en junio de 2006 con el nombre comercial SHOW WIBRO (anteriormente KT WIBRO), KT ent</w:t>
      </w:r>
      <w:r>
        <w:rPr>
          <w:lang w:val="es-ES_tradnl"/>
        </w:rPr>
        <w:t>ró</w:t>
      </w:r>
      <w:r w:rsidRPr="00965C71">
        <w:rPr>
          <w:lang w:val="es-ES_tradnl"/>
        </w:rPr>
        <w:t xml:space="preserve"> en el mercado de las comunicaciones personales móviles de banda ancha.</w:t>
      </w:r>
    </w:p>
    <w:p w:rsidR="003212E5" w:rsidRPr="00A43C05" w:rsidRDefault="003212E5" w:rsidP="003A4E5E">
      <w:pPr>
        <w:rPr>
          <w:lang w:val="es-ES_tradnl"/>
        </w:rPr>
      </w:pPr>
      <w:r w:rsidRPr="00A43C05">
        <w:rPr>
          <w:lang w:val="es-ES_tradnl"/>
        </w:rPr>
        <w:t>2</w:t>
      </w:r>
      <w:r w:rsidRPr="00A43C05">
        <w:rPr>
          <w:lang w:val="es-ES_tradnl"/>
        </w:rPr>
        <w:tab/>
      </w:r>
      <w:r w:rsidR="003A4E5E" w:rsidRPr="003A4E5E">
        <w:rPr>
          <w:lang w:val="es-ES_tradnl"/>
        </w:rPr>
        <w:t>Despliegue de la red</w:t>
      </w:r>
    </w:p>
    <w:p w:rsidR="003A4E5E" w:rsidRPr="00965C71" w:rsidRDefault="003A4E5E" w:rsidP="003A4E5E">
      <w:pPr>
        <w:rPr>
          <w:lang w:val="es-ES_tradnl"/>
        </w:rPr>
      </w:pPr>
      <w:r w:rsidRPr="00965C71">
        <w:rPr>
          <w:lang w:val="es-ES_tradnl"/>
        </w:rPr>
        <w:t xml:space="preserve">Desde octubre de 2008, la cobertura de la red se ha extendido a Seúl y 19 municipios de su entorno en la provincia </w:t>
      </w:r>
      <w:r>
        <w:rPr>
          <w:lang w:val="es-ES_tradnl"/>
        </w:rPr>
        <w:t xml:space="preserve">de </w:t>
      </w:r>
      <w:proofErr w:type="spellStart"/>
      <w:r w:rsidRPr="00965C71">
        <w:rPr>
          <w:lang w:val="es-ES_tradnl"/>
        </w:rPr>
        <w:t>Gyeonggi</w:t>
      </w:r>
      <w:proofErr w:type="spellEnd"/>
      <w:r w:rsidRPr="00965C71">
        <w:rPr>
          <w:lang w:val="es-ES_tradnl"/>
        </w:rPr>
        <w:t xml:space="preserve"> y </w:t>
      </w:r>
      <w:r>
        <w:rPr>
          <w:lang w:val="es-ES_tradnl"/>
        </w:rPr>
        <w:t>a</w:t>
      </w:r>
      <w:r w:rsidRPr="00965C71">
        <w:rPr>
          <w:lang w:val="es-ES_tradnl"/>
        </w:rPr>
        <w:t xml:space="preserve"> otras ciudades importantes de la nación</w:t>
      </w:r>
      <w:r>
        <w:rPr>
          <w:lang w:val="es-ES_tradnl"/>
        </w:rPr>
        <w:t>,</w:t>
      </w:r>
      <w:r w:rsidRPr="00965C71">
        <w:rPr>
          <w:lang w:val="es-ES_tradnl"/>
        </w:rPr>
        <w:t xml:space="preserve"> abriendo de este modo el camino a </w:t>
      </w:r>
      <w:proofErr w:type="spellStart"/>
      <w:r w:rsidRPr="00965C71">
        <w:rPr>
          <w:lang w:val="es-ES_tradnl"/>
        </w:rPr>
        <w:t>U</w:t>
      </w:r>
      <w:r>
        <w:rPr>
          <w:lang w:val="es-ES_tradnl"/>
        </w:rPr>
        <w:noBreakHyphen/>
      </w:r>
      <w:r w:rsidRPr="00965C71">
        <w:rPr>
          <w:lang w:val="es-ES_tradnl"/>
        </w:rPr>
        <w:t>Korea</w:t>
      </w:r>
      <w:proofErr w:type="spellEnd"/>
      <w:r w:rsidRPr="00965C71">
        <w:rPr>
          <w:lang w:val="es-ES_tradnl"/>
        </w:rPr>
        <w:t xml:space="preserve"> </w:t>
      </w:r>
      <w:r>
        <w:rPr>
          <w:lang w:val="es-ES_tradnl"/>
        </w:rPr>
        <w:t>cuya</w:t>
      </w:r>
      <w:r w:rsidRPr="00965C71">
        <w:rPr>
          <w:lang w:val="es-ES_tradnl"/>
        </w:rPr>
        <w:t xml:space="preserve"> infraestructura ubicua </w:t>
      </w:r>
      <w:r>
        <w:rPr>
          <w:lang w:val="es-ES_tradnl"/>
        </w:rPr>
        <w:t>permite</w:t>
      </w:r>
      <w:r w:rsidRPr="00965C71">
        <w:rPr>
          <w:lang w:val="es-ES_tradnl"/>
        </w:rPr>
        <w:t xml:space="preserve"> a las personas intercambiar información estén donde estén. El conjunto de la zona de servicio abarca casi el 50% de la población total de Corea.</w:t>
      </w:r>
    </w:p>
    <w:p w:rsidR="003A4E5E" w:rsidRPr="00965C71" w:rsidRDefault="003A4E5E" w:rsidP="003A4E5E">
      <w:pPr>
        <w:rPr>
          <w:lang w:val="es-ES_tradnl"/>
        </w:rPr>
      </w:pPr>
      <w:r w:rsidRPr="00965C71">
        <w:rPr>
          <w:lang w:val="es-ES_tradnl"/>
        </w:rPr>
        <w:t xml:space="preserve">Durante la fase de expansión de la cobertura, KT </w:t>
      </w:r>
      <w:r>
        <w:rPr>
          <w:lang w:val="es-ES_tradnl"/>
        </w:rPr>
        <w:t>desplegó</w:t>
      </w:r>
      <w:r w:rsidRPr="00965C71">
        <w:rPr>
          <w:lang w:val="es-ES_tradnl"/>
        </w:rPr>
        <w:t xml:space="preserve"> dos estaciones de base del tipo Wave 2, que soportan</w:t>
      </w:r>
      <w:r>
        <w:rPr>
          <w:lang w:val="es-ES_tradnl"/>
        </w:rPr>
        <w:t xml:space="preserve"> la</w:t>
      </w:r>
      <w:r w:rsidRPr="00965C71">
        <w:rPr>
          <w:lang w:val="es-ES_tradnl"/>
        </w:rPr>
        <w:t xml:space="preserve"> tecnología MIMO, de modo que la expansión de la cobertura y el aumento del caudal prácticamente se duplicó. En la actualidad, SHOW WIBRO permite el acceso móvil incluso desde vehículos a gran velocidad tales como autobuses y </w:t>
      </w:r>
      <w:r>
        <w:rPr>
          <w:lang w:val="es-ES_tradnl"/>
        </w:rPr>
        <w:t xml:space="preserve">el </w:t>
      </w:r>
      <w:r w:rsidRPr="00965C71">
        <w:rPr>
          <w:lang w:val="es-ES_tradnl"/>
        </w:rPr>
        <w:t>metro circulando hasta 120 km/h</w:t>
      </w:r>
      <w:r>
        <w:rPr>
          <w:lang w:val="es-ES_tradnl"/>
        </w:rPr>
        <w:t>,</w:t>
      </w:r>
      <w:r w:rsidRPr="00965C71">
        <w:rPr>
          <w:lang w:val="es-ES_tradnl"/>
        </w:rPr>
        <w:t xml:space="preserve"> con velocidades de datos de 37,4 </w:t>
      </w:r>
      <w:proofErr w:type="spellStart"/>
      <w:r w:rsidRPr="00965C71">
        <w:rPr>
          <w:lang w:val="es-ES_tradnl"/>
        </w:rPr>
        <w:t>Mbit</w:t>
      </w:r>
      <w:proofErr w:type="spellEnd"/>
      <w:r w:rsidRPr="00965C71">
        <w:rPr>
          <w:lang w:val="es-ES_tradnl"/>
        </w:rPr>
        <w:t xml:space="preserve">/s en el enlace descendente y de 8 </w:t>
      </w:r>
      <w:proofErr w:type="spellStart"/>
      <w:r w:rsidRPr="00965C71">
        <w:rPr>
          <w:lang w:val="es-ES_tradnl"/>
        </w:rPr>
        <w:t>Mbit</w:t>
      </w:r>
      <w:proofErr w:type="spellEnd"/>
      <w:r w:rsidRPr="00965C71">
        <w:rPr>
          <w:lang w:val="es-ES_tradnl"/>
        </w:rPr>
        <w:t xml:space="preserve">/s en el ascendente. </w:t>
      </w:r>
    </w:p>
    <w:p w:rsidR="003212E5" w:rsidRPr="00A43C05" w:rsidRDefault="003A4E5E" w:rsidP="003A4E5E">
      <w:pPr>
        <w:rPr>
          <w:lang w:val="es-ES_tradnl"/>
        </w:rPr>
      </w:pPr>
      <w:r w:rsidRPr="00965C71">
        <w:rPr>
          <w:lang w:val="es-ES_tradnl"/>
        </w:rPr>
        <w:t xml:space="preserve">La sencilla arquitectura de red de la tecnología </w:t>
      </w:r>
      <w:r>
        <w:rPr>
          <w:lang w:val="es-ES_tradnl"/>
        </w:rPr>
        <w:t>OFDMA TDD WMAN</w:t>
      </w:r>
      <w:r w:rsidRPr="00965C71">
        <w:rPr>
          <w:lang w:val="es-ES_tradnl"/>
        </w:rPr>
        <w:t xml:space="preserve"> </w:t>
      </w:r>
      <w:r>
        <w:rPr>
          <w:lang w:val="es-ES_tradnl"/>
        </w:rPr>
        <w:t>exige</w:t>
      </w:r>
      <w:r w:rsidRPr="00965C71">
        <w:rPr>
          <w:lang w:val="es-ES_tradnl"/>
        </w:rPr>
        <w:t xml:space="preserve"> a los proveedores de servicios </w:t>
      </w:r>
      <w:r>
        <w:rPr>
          <w:lang w:val="es-ES_tradnl"/>
        </w:rPr>
        <w:t>menos</w:t>
      </w:r>
      <w:r w:rsidRPr="00965C71">
        <w:rPr>
          <w:lang w:val="es-ES_tradnl"/>
        </w:rPr>
        <w:t xml:space="preserve"> gastos de capital y de explotación que otras normas. Además, la tecnología de red</w:t>
      </w:r>
      <w:r>
        <w:rPr>
          <w:lang w:val="es-ES_tradnl"/>
        </w:rPr>
        <w:t xml:space="preserve"> OFDMA TDD WMAN,</w:t>
      </w:r>
      <w:r w:rsidRPr="00B1388C">
        <w:rPr>
          <w:lang w:val="es-ES_tradnl"/>
        </w:rPr>
        <w:t xml:space="preserve"> </w:t>
      </w:r>
      <w:r w:rsidRPr="00965C71">
        <w:rPr>
          <w:lang w:val="es-ES_tradnl"/>
        </w:rPr>
        <w:t>totalmente basada en IP</w:t>
      </w:r>
      <w:r>
        <w:rPr>
          <w:lang w:val="es-ES_tradnl"/>
        </w:rPr>
        <w:t>,</w:t>
      </w:r>
      <w:r w:rsidRPr="00965C71">
        <w:rPr>
          <w:lang w:val="es-ES_tradnl"/>
        </w:rPr>
        <w:t xml:space="preserve"> tiene la ventaja de ofrecer servicios FMC (convergencia entre los servicios fijo y móvil). Gracias a todas estas ventajas SHOW WIBRO es ahora el líder indiscutible del sector con una </w:t>
      </w:r>
      <w:r>
        <w:rPr>
          <w:lang w:val="es-ES_tradnl"/>
        </w:rPr>
        <w:t>cuota d</w:t>
      </w:r>
      <w:r w:rsidRPr="00965C71">
        <w:rPr>
          <w:lang w:val="es-ES_tradnl"/>
        </w:rPr>
        <w:t>el 58% en el mercado de los servicios móviles de banda ancha de Corea.</w:t>
      </w:r>
    </w:p>
    <w:p w:rsidR="003212E5" w:rsidRPr="00A43C05" w:rsidRDefault="003212E5" w:rsidP="003A4E5E">
      <w:pPr>
        <w:rPr>
          <w:lang w:val="es-ES_tradnl"/>
        </w:rPr>
      </w:pPr>
      <w:r w:rsidRPr="00A43C05">
        <w:rPr>
          <w:lang w:val="es-ES_tradnl"/>
        </w:rPr>
        <w:t>3</w:t>
      </w:r>
      <w:r w:rsidRPr="00A43C05">
        <w:rPr>
          <w:lang w:val="es-ES_tradnl"/>
        </w:rPr>
        <w:tab/>
      </w:r>
      <w:r w:rsidR="003A4E5E" w:rsidRPr="003A4E5E">
        <w:rPr>
          <w:lang w:val="es-ES_tradnl"/>
        </w:rPr>
        <w:t>Estrategia empresarial</w:t>
      </w:r>
    </w:p>
    <w:p w:rsidR="003A4E5E" w:rsidRPr="00965C71" w:rsidRDefault="003A4E5E" w:rsidP="003A4E5E">
      <w:pPr>
        <w:rPr>
          <w:lang w:val="es-ES_tradnl"/>
        </w:rPr>
      </w:pPr>
      <w:r w:rsidRPr="00965C71">
        <w:rPr>
          <w:lang w:val="es-ES_tradnl"/>
        </w:rPr>
        <w:t xml:space="preserve">Aunque la tasa de penetración del servicio fijo de banda ancha en Corea es superior al 85%, los servicios móviles personales de banda ancha siguen siendo necesarios. SHOW WIBRO se dirige a los usuarios que necesitan manejar un gran volumen de datos a precios razonables y satisface sus necesidades dado que la velocidad de datos es superior y el precio más asequible que otras normas disponibles. Esto dio lugar a un </w:t>
      </w:r>
      <w:r w:rsidRPr="00965C71">
        <w:rPr>
          <w:lang w:val="es-ES_tradnl"/>
        </w:rPr>
        <w:lastRenderedPageBreak/>
        <w:t>planteamiento escalonado de la estrategia comercial como primera fase para liderar la penetración en el mercado de los servicios móviles de banda ancha. En la segunda fase se buscó un planteamiento más personal ofreciendo servicios y aplicaciones personalizadas. En la actualidad SHOW WIBRO ha ampliado sus actividades comerciales al mercado vertical y el M2M ofreciendo soluciones no sólo a los usuarios personales de banda ancha si no también a los usuarios empresariales.</w:t>
      </w:r>
    </w:p>
    <w:p w:rsidR="003212E5" w:rsidRPr="00A43C05" w:rsidRDefault="003A4E5E" w:rsidP="003A4E5E">
      <w:pPr>
        <w:rPr>
          <w:lang w:val="es-ES_tradnl"/>
        </w:rPr>
      </w:pPr>
      <w:r w:rsidRPr="00965C71">
        <w:rPr>
          <w:lang w:val="es-ES_tradnl"/>
        </w:rPr>
        <w:t xml:space="preserve">KT ofrece la posibilidad de que los usuarios en perspectiva puedan experimentar y compartir los servicios SHOW WIBRO de un modo más natural. Un buen ejemplo de ello lo constituyen las </w:t>
      </w:r>
      <w:r w:rsidR="00030119">
        <w:rPr>
          <w:lang w:val="es-ES_tradnl"/>
        </w:rPr>
        <w:t>«</w:t>
      </w:r>
      <w:proofErr w:type="spellStart"/>
      <w:r w:rsidRPr="00965C71">
        <w:rPr>
          <w:lang w:val="es-ES_tradnl"/>
        </w:rPr>
        <w:t>W</w:t>
      </w:r>
      <w:r w:rsidRPr="00965C71">
        <w:rPr>
          <w:lang w:val="es-ES_tradnl"/>
        </w:rPr>
        <w:noBreakHyphen/>
        <w:t>Style</w:t>
      </w:r>
      <w:proofErr w:type="spellEnd"/>
      <w:r w:rsidRPr="00965C71">
        <w:rPr>
          <w:lang w:val="es-ES_tradnl"/>
        </w:rPr>
        <w:t xml:space="preserve"> shop</w:t>
      </w:r>
      <w:r w:rsidR="00030119">
        <w:rPr>
          <w:lang w:val="es-ES_tradnl"/>
        </w:rPr>
        <w:t>»</w:t>
      </w:r>
      <w:r w:rsidRPr="00965C71">
        <w:rPr>
          <w:lang w:val="es-ES_tradnl"/>
        </w:rPr>
        <w:t xml:space="preserve"> (tiendas de estilo W). Por ejemplo, los usuarios pueden preparar sus propios contenidos y subirlos al estudio UGC (contenidos generados por los usuarios) o pueden disfrutar de diversas actividades en grupo. KT no</w:t>
      </w:r>
      <w:r>
        <w:rPr>
          <w:lang w:val="es-ES_tradnl"/>
        </w:rPr>
        <w:t xml:space="preserve"> sólo vende los productos si</w:t>
      </w:r>
      <w:r w:rsidRPr="00965C71">
        <w:rPr>
          <w:lang w:val="es-ES_tradnl"/>
        </w:rPr>
        <w:t>no que ofrece a las personas la oportunidad de experimentar una cultura y experiencia vital móvil 2.0 de modo que las aplicaciones de SHOW WIBRO penetren de un modo natural en el mercado móvil de ancha banda.</w:t>
      </w:r>
    </w:p>
    <w:p w:rsidR="003212E5" w:rsidRPr="00A43C05" w:rsidRDefault="003212E5" w:rsidP="003A4E5E">
      <w:pPr>
        <w:rPr>
          <w:lang w:val="es-ES_tradnl"/>
        </w:rPr>
      </w:pPr>
      <w:r w:rsidRPr="00A43C05">
        <w:rPr>
          <w:lang w:val="es-ES_tradnl"/>
        </w:rPr>
        <w:t>4</w:t>
      </w:r>
      <w:r w:rsidRPr="00A43C05">
        <w:rPr>
          <w:lang w:val="es-ES_tradnl"/>
        </w:rPr>
        <w:tab/>
      </w:r>
      <w:r w:rsidR="003A4E5E" w:rsidRPr="003A4E5E">
        <w:rPr>
          <w:lang w:val="es-ES_tradnl"/>
        </w:rPr>
        <w:t>Dispositivos y servicios para el usuario</w:t>
      </w:r>
    </w:p>
    <w:p w:rsidR="003A4E5E" w:rsidRPr="00965C71" w:rsidRDefault="003A4E5E" w:rsidP="003A4E5E">
      <w:pPr>
        <w:rPr>
          <w:lang w:val="es-ES"/>
        </w:rPr>
      </w:pPr>
      <w:r w:rsidRPr="00965C71">
        <w:rPr>
          <w:lang w:val="es-ES"/>
        </w:rPr>
        <w:t xml:space="preserve">SHOW WIBRO ofrece diversos tipos de dispositivos capaces de satisfacer todas las necesidades del usuario. La llave USB </w:t>
      </w:r>
      <w:r>
        <w:rPr>
          <w:lang w:val="es-ES"/>
        </w:rPr>
        <w:t>tiene fama de ser</w:t>
      </w:r>
      <w:r w:rsidRPr="00965C71">
        <w:rPr>
          <w:lang w:val="es-ES"/>
        </w:rPr>
        <w:t xml:space="preserve"> el mejor compañero de los portátiles ya que facilita el acceso a Internet en condiciones de movilidad. Algunos usuarios prefieren dispositivos integrados. El módem </w:t>
      </w:r>
      <w:proofErr w:type="spellStart"/>
      <w:r w:rsidRPr="00965C71">
        <w:rPr>
          <w:lang w:val="es-ES"/>
        </w:rPr>
        <w:t>WiMAX</w:t>
      </w:r>
      <w:proofErr w:type="spellEnd"/>
      <w:r w:rsidRPr="00965C71">
        <w:rPr>
          <w:lang w:val="es-ES"/>
        </w:rPr>
        <w:t xml:space="preserve"> viene integrado en diversos tipos de dispositivos tales como el teléfono inteligente, el PMP (reproductor multimedios portátil), el UMPC (PC </w:t>
      </w:r>
      <w:proofErr w:type="spellStart"/>
      <w:r w:rsidRPr="00965C71">
        <w:rPr>
          <w:lang w:val="es-ES"/>
        </w:rPr>
        <w:t>ultramóvil</w:t>
      </w:r>
      <w:proofErr w:type="spellEnd"/>
      <w:r w:rsidRPr="00965C71">
        <w:rPr>
          <w:lang w:val="es-ES"/>
        </w:rPr>
        <w:t xml:space="preserve">), el sistema de navegación para automóvil, etc. Estos dispositivos integrados se han diseñado para satisfacer las necesidades especiales de los usuarios ya que se ofrece a éstos servicios específicos de los dispositivos. Los teléfonos inteligentes están dotados de funciones </w:t>
      </w:r>
      <w:proofErr w:type="spellStart"/>
      <w:r w:rsidRPr="00965C71">
        <w:rPr>
          <w:lang w:val="es-ES"/>
        </w:rPr>
        <w:t>multimodo</w:t>
      </w:r>
      <w:proofErr w:type="spellEnd"/>
      <w:r w:rsidRPr="00965C71">
        <w:rPr>
          <w:lang w:val="es-ES"/>
        </w:rPr>
        <w:t xml:space="preserve"> tales como WCDMA y </w:t>
      </w:r>
      <w:proofErr w:type="spellStart"/>
      <w:r w:rsidRPr="00965C71">
        <w:rPr>
          <w:lang w:val="es-ES"/>
        </w:rPr>
        <w:t>WiMAX</w:t>
      </w:r>
      <w:proofErr w:type="spellEnd"/>
      <w:r w:rsidRPr="00965C71">
        <w:rPr>
          <w:lang w:val="es-ES"/>
        </w:rPr>
        <w:t xml:space="preserve">. En la actualidad, la llave USB es el tipo más popular de dispositivo de usuario. Últimamente está alcanzado popularidad el </w:t>
      </w:r>
      <w:proofErr w:type="spellStart"/>
      <w:r w:rsidRPr="00965C71">
        <w:rPr>
          <w:lang w:val="es-ES"/>
        </w:rPr>
        <w:t>encaminador</w:t>
      </w:r>
      <w:proofErr w:type="spellEnd"/>
      <w:r w:rsidRPr="00965C71">
        <w:rPr>
          <w:lang w:val="es-ES"/>
        </w:rPr>
        <w:t xml:space="preserve"> portátil </w:t>
      </w:r>
      <w:proofErr w:type="spellStart"/>
      <w:r w:rsidRPr="00965C71">
        <w:rPr>
          <w:lang w:val="es-ES"/>
        </w:rPr>
        <w:t>WiMAX-WiFi</w:t>
      </w:r>
      <w:proofErr w:type="spellEnd"/>
      <w:r w:rsidRPr="00965C71">
        <w:rPr>
          <w:lang w:val="es-ES"/>
        </w:rPr>
        <w:t xml:space="preserve"> que </w:t>
      </w:r>
      <w:r>
        <w:rPr>
          <w:lang w:val="es-ES"/>
        </w:rPr>
        <w:t>soporta</w:t>
      </w:r>
      <w:r w:rsidRPr="00965C71">
        <w:rPr>
          <w:lang w:val="es-ES"/>
        </w:rPr>
        <w:t xml:space="preserve"> un máximo de 3 dispositivos </w:t>
      </w:r>
      <w:proofErr w:type="spellStart"/>
      <w:r w:rsidRPr="00965C71">
        <w:rPr>
          <w:lang w:val="es-ES"/>
        </w:rPr>
        <w:t>WiFi</w:t>
      </w:r>
      <w:proofErr w:type="spellEnd"/>
      <w:r w:rsidRPr="00965C71">
        <w:rPr>
          <w:lang w:val="es-ES"/>
        </w:rPr>
        <w:t xml:space="preserve">, ya que la mayor parte de las personas utilizan dispositivos </w:t>
      </w:r>
      <w:r>
        <w:rPr>
          <w:lang w:val="es-ES"/>
        </w:rPr>
        <w:t>dotados de</w:t>
      </w:r>
      <w:r w:rsidRPr="00965C71">
        <w:rPr>
          <w:lang w:val="es-ES"/>
        </w:rPr>
        <w:t xml:space="preserve"> </w:t>
      </w:r>
      <w:proofErr w:type="spellStart"/>
      <w:r w:rsidRPr="00965C71">
        <w:rPr>
          <w:lang w:val="es-ES"/>
        </w:rPr>
        <w:t>Wi</w:t>
      </w:r>
      <w:proofErr w:type="spellEnd"/>
      <w:r w:rsidR="00CA56E9">
        <w:rPr>
          <w:lang w:val="es-ES"/>
        </w:rPr>
        <w:t>-</w:t>
      </w:r>
      <w:r w:rsidRPr="00965C71">
        <w:rPr>
          <w:lang w:val="es-ES"/>
        </w:rPr>
        <w:t>Fi.</w:t>
      </w:r>
    </w:p>
    <w:p w:rsidR="003A4E5E" w:rsidRPr="00965C71" w:rsidRDefault="003A4E5E" w:rsidP="003A4E5E">
      <w:pPr>
        <w:rPr>
          <w:lang w:val="es-ES_tradnl"/>
        </w:rPr>
      </w:pPr>
      <w:r w:rsidRPr="00965C71">
        <w:rPr>
          <w:lang w:val="es-ES"/>
        </w:rPr>
        <w:t xml:space="preserve">Las cinco características clave del servicio de SHOW WIBRO son UGC, </w:t>
      </w:r>
      <w:proofErr w:type="spellStart"/>
      <w:r w:rsidRPr="00965C71">
        <w:rPr>
          <w:lang w:val="es-ES"/>
        </w:rPr>
        <w:t>WebMail</w:t>
      </w:r>
      <w:proofErr w:type="spellEnd"/>
      <w:r w:rsidRPr="00965C71">
        <w:rPr>
          <w:lang w:val="es-ES"/>
        </w:rPr>
        <w:t xml:space="preserve">, </w:t>
      </w:r>
      <w:proofErr w:type="spellStart"/>
      <w:r w:rsidRPr="00965C71">
        <w:rPr>
          <w:lang w:val="es-ES"/>
        </w:rPr>
        <w:t>Multiboard</w:t>
      </w:r>
      <w:proofErr w:type="spellEnd"/>
      <w:r w:rsidRPr="00965C71">
        <w:rPr>
          <w:lang w:val="es-ES"/>
        </w:rPr>
        <w:t xml:space="preserve">, PC control y </w:t>
      </w:r>
      <w:proofErr w:type="spellStart"/>
      <w:r w:rsidRPr="00965C71">
        <w:rPr>
          <w:lang w:val="es-ES"/>
        </w:rPr>
        <w:t>MyWeb</w:t>
      </w:r>
      <w:proofErr w:type="spellEnd"/>
      <w:r w:rsidRPr="00965C71">
        <w:rPr>
          <w:lang w:val="es-ES"/>
        </w:rPr>
        <w:t xml:space="preserve">. El concepto básico de </w:t>
      </w:r>
      <w:r>
        <w:rPr>
          <w:lang w:val="es-ES"/>
        </w:rPr>
        <w:t>los</w:t>
      </w:r>
      <w:r w:rsidRPr="00965C71">
        <w:rPr>
          <w:lang w:val="es-ES"/>
        </w:rPr>
        <w:t xml:space="preserve"> servicios SHOW WIBRO </w:t>
      </w:r>
      <w:r>
        <w:rPr>
          <w:lang w:val="es-ES"/>
        </w:rPr>
        <w:t>consiste en</w:t>
      </w:r>
      <w:r w:rsidRPr="00965C71">
        <w:rPr>
          <w:lang w:val="es-ES"/>
        </w:rPr>
        <w:t xml:space="preserve"> ofrecer un servicio móvil de triple reproducción (M-TPS). M-TPS permite la transmisión de datos, medios y comunicaciones por una sola red</w:t>
      </w:r>
      <w:r w:rsidRPr="00965C71">
        <w:rPr>
          <w:lang w:val="es-ES_tradnl"/>
        </w:rPr>
        <w:t>. Estos servicios irán evolucionando a medida que vaya desarrollándose la tecnología.</w:t>
      </w:r>
    </w:p>
    <w:p w:rsidR="003A4E5E" w:rsidRPr="00A43C05" w:rsidRDefault="003A4E5E" w:rsidP="003A4E5E">
      <w:pPr>
        <w:pStyle w:val="enumlev1"/>
        <w:rPr>
          <w:lang w:val="es-ES_tradnl"/>
        </w:rPr>
      </w:pPr>
      <w:r w:rsidRPr="00A43C05">
        <w:rPr>
          <w:lang w:val="es-ES_tradnl"/>
        </w:rPr>
        <w:t>•</w:t>
      </w:r>
      <w:r w:rsidRPr="00A43C05">
        <w:rPr>
          <w:lang w:val="es-ES_tradnl"/>
        </w:rPr>
        <w:tab/>
        <w:t>UGC: permite a los usuarios generar y compartir contenidos generados por ellos mismos, en tiempo real.</w:t>
      </w:r>
    </w:p>
    <w:p w:rsidR="003A4E5E" w:rsidRPr="00A43C05" w:rsidRDefault="003A4E5E" w:rsidP="003A4E5E">
      <w:pPr>
        <w:pStyle w:val="enumlev1"/>
        <w:rPr>
          <w:lang w:val="es-ES_tradnl"/>
        </w:rPr>
      </w:pPr>
      <w:r w:rsidRPr="00A43C05">
        <w:rPr>
          <w:lang w:val="es-ES_tradnl"/>
        </w:rPr>
        <w:t>•</w:t>
      </w:r>
      <w:r w:rsidRPr="00A43C05">
        <w:rPr>
          <w:lang w:val="es-ES_tradnl"/>
        </w:rPr>
        <w:tab/>
      </w:r>
      <w:proofErr w:type="spellStart"/>
      <w:r w:rsidRPr="00A43C05">
        <w:rPr>
          <w:lang w:val="es-ES_tradnl"/>
        </w:rPr>
        <w:t>WebMail</w:t>
      </w:r>
      <w:proofErr w:type="spellEnd"/>
      <w:r w:rsidRPr="00A43C05">
        <w:rPr>
          <w:lang w:val="es-ES_tradnl"/>
        </w:rPr>
        <w:t xml:space="preserve"> (correo web): integra todas las cuentas de correo basadas en la web bajo el identificador del usuario de SHOW WIBRO de modo que los correos-e pueden verificarse en un solo paso.</w:t>
      </w:r>
    </w:p>
    <w:p w:rsidR="003A4E5E" w:rsidRPr="00A43C05" w:rsidRDefault="003A4E5E" w:rsidP="003A4E5E">
      <w:pPr>
        <w:pStyle w:val="enumlev1"/>
        <w:rPr>
          <w:lang w:val="es-ES_tradnl"/>
        </w:rPr>
      </w:pPr>
      <w:r w:rsidRPr="00A43C05">
        <w:rPr>
          <w:lang w:val="es-ES_tradnl"/>
        </w:rPr>
        <w:t>•</w:t>
      </w:r>
      <w:r w:rsidRPr="00A43C05">
        <w:rPr>
          <w:lang w:val="es-ES_tradnl"/>
        </w:rPr>
        <w:tab/>
      </w:r>
      <w:proofErr w:type="spellStart"/>
      <w:r w:rsidRPr="00A43C05">
        <w:rPr>
          <w:lang w:val="es-ES_tradnl"/>
        </w:rPr>
        <w:t>Multiboard</w:t>
      </w:r>
      <w:proofErr w:type="spellEnd"/>
      <w:r w:rsidRPr="00A43C05">
        <w:rPr>
          <w:lang w:val="es-ES_tradnl"/>
        </w:rPr>
        <w:t xml:space="preserve"> (</w:t>
      </w:r>
      <w:proofErr w:type="spellStart"/>
      <w:r w:rsidRPr="00A43C05">
        <w:rPr>
          <w:lang w:val="es-ES_tradnl"/>
        </w:rPr>
        <w:t>multiteclado</w:t>
      </w:r>
      <w:proofErr w:type="spellEnd"/>
      <w:r w:rsidRPr="00A43C05">
        <w:rPr>
          <w:lang w:val="es-ES_tradnl"/>
        </w:rPr>
        <w:t>): ofrece comunicaciones multimedios en línea en tiempo real con la mensajería de Internet y el intercambio de aplicaciones de usuario entre los usuarios de SHOW WIBRO.</w:t>
      </w:r>
    </w:p>
    <w:p w:rsidR="003A4E5E" w:rsidRPr="00A43C05" w:rsidRDefault="003A4E5E" w:rsidP="003A4E5E">
      <w:pPr>
        <w:pStyle w:val="enumlev1"/>
        <w:rPr>
          <w:lang w:val="es-ES_tradnl"/>
        </w:rPr>
      </w:pPr>
      <w:r w:rsidRPr="00A43C05">
        <w:rPr>
          <w:lang w:val="es-ES_tradnl"/>
        </w:rPr>
        <w:t>•</w:t>
      </w:r>
      <w:r w:rsidRPr="00A43C05">
        <w:rPr>
          <w:lang w:val="es-ES_tradnl"/>
        </w:rPr>
        <w:tab/>
        <w:t>PC control: permite el acceso remoto al PC del abonado situado en su hogar, desde el dispositivo manual del abonado.</w:t>
      </w:r>
    </w:p>
    <w:p w:rsidR="003212E5" w:rsidRPr="00A43C05" w:rsidRDefault="003A4E5E" w:rsidP="003A4E5E">
      <w:pPr>
        <w:pStyle w:val="enumlev1"/>
        <w:rPr>
          <w:lang w:val="es-ES_tradnl"/>
        </w:rPr>
      </w:pPr>
      <w:r w:rsidRPr="00A43C05">
        <w:rPr>
          <w:lang w:val="es-ES_tradnl"/>
        </w:rPr>
        <w:t>•</w:t>
      </w:r>
      <w:r w:rsidRPr="00A43C05">
        <w:rPr>
          <w:lang w:val="es-ES_tradnl"/>
        </w:rPr>
        <w:tab/>
      </w:r>
      <w:proofErr w:type="spellStart"/>
      <w:r w:rsidRPr="00A43C05">
        <w:rPr>
          <w:lang w:val="es-ES_tradnl"/>
        </w:rPr>
        <w:t>MyWeb</w:t>
      </w:r>
      <w:proofErr w:type="spellEnd"/>
      <w:r w:rsidRPr="00A43C05">
        <w:rPr>
          <w:lang w:val="es-ES_tradnl"/>
        </w:rPr>
        <w:t>: adapta los contenidos móviles a las preferencias personales del abonado.</w:t>
      </w:r>
    </w:p>
    <w:p w:rsidR="003212E5" w:rsidRPr="00A43C05" w:rsidRDefault="003212E5" w:rsidP="003A4E5E">
      <w:pPr>
        <w:rPr>
          <w:lang w:val="es-ES_tradnl"/>
        </w:rPr>
      </w:pPr>
      <w:r w:rsidRPr="00A43C05">
        <w:rPr>
          <w:lang w:val="es-ES_tradnl"/>
        </w:rPr>
        <w:t>5</w:t>
      </w:r>
      <w:r w:rsidRPr="00A43C05">
        <w:rPr>
          <w:lang w:val="es-ES_tradnl"/>
        </w:rPr>
        <w:tab/>
      </w:r>
      <w:r w:rsidR="003A4E5E" w:rsidRPr="003A4E5E">
        <w:rPr>
          <w:lang w:val="es-ES_tradnl"/>
        </w:rPr>
        <w:t>Experiencias obtenidas del funcionamiento de SHOW WIBRO</w:t>
      </w:r>
    </w:p>
    <w:p w:rsidR="003A4E5E" w:rsidRPr="00A43C05" w:rsidRDefault="003A4E5E" w:rsidP="003A4E5E">
      <w:pPr>
        <w:pStyle w:val="enumlev1"/>
        <w:rPr>
          <w:lang w:val="es-ES_tradnl"/>
        </w:rPr>
      </w:pPr>
      <w:r w:rsidRPr="00A43C05">
        <w:rPr>
          <w:lang w:val="es-ES_tradnl"/>
        </w:rPr>
        <w:t>•</w:t>
      </w:r>
      <w:r w:rsidRPr="00A43C05">
        <w:rPr>
          <w:lang w:val="es-ES_tradnl"/>
        </w:rPr>
        <w:tab/>
        <w:t>Abonados: Nuestros principales abonados son hombres de negocios (50,5%) y estudiantes (26,0%) con edades comprendidas entre los veinte y los treinta y cinco años.</w:t>
      </w:r>
    </w:p>
    <w:p w:rsidR="003A4E5E" w:rsidRPr="00A43C05" w:rsidRDefault="003A4E5E" w:rsidP="003A4E5E">
      <w:pPr>
        <w:pStyle w:val="enumlev1"/>
        <w:rPr>
          <w:lang w:val="es-ES_tradnl"/>
        </w:rPr>
      </w:pPr>
      <w:r w:rsidRPr="00A43C05">
        <w:rPr>
          <w:lang w:val="es-ES_tradnl"/>
        </w:rPr>
        <w:t>•</w:t>
      </w:r>
      <w:r w:rsidRPr="00A43C05">
        <w:rPr>
          <w:lang w:val="es-ES_tradnl"/>
        </w:rPr>
        <w:tab/>
        <w:t>Servicios:</w:t>
      </w:r>
    </w:p>
    <w:p w:rsidR="003A4E5E" w:rsidRPr="00A43C05" w:rsidRDefault="003A4E5E" w:rsidP="003A4E5E">
      <w:pPr>
        <w:pStyle w:val="enumlev2"/>
        <w:rPr>
          <w:lang w:val="es-ES_tradnl"/>
        </w:rPr>
      </w:pPr>
      <w:r w:rsidRPr="00A43C05">
        <w:rPr>
          <w:lang w:val="es-ES_tradnl"/>
        </w:rPr>
        <w:t>–</w:t>
      </w:r>
      <w:r w:rsidRPr="00A43C05">
        <w:rPr>
          <w:lang w:val="es-ES_tradnl"/>
        </w:rPr>
        <w:tab/>
        <w:t xml:space="preserve">La mayor parte de nuestros abonados utilizan SHOW WIBRO para navegar por Internet. </w:t>
      </w:r>
    </w:p>
    <w:p w:rsidR="003A4E5E" w:rsidRPr="00A43C05" w:rsidRDefault="003A4E5E" w:rsidP="003A4E5E">
      <w:pPr>
        <w:pStyle w:val="enumlev2"/>
        <w:rPr>
          <w:lang w:val="es-ES_tradnl"/>
        </w:rPr>
      </w:pPr>
      <w:r w:rsidRPr="00A43C05">
        <w:rPr>
          <w:lang w:val="es-ES_tradnl"/>
        </w:rPr>
        <w:t>–</w:t>
      </w:r>
      <w:r w:rsidRPr="00A43C05">
        <w:rPr>
          <w:lang w:val="es-ES_tradnl"/>
        </w:rPr>
        <w:tab/>
        <w:t xml:space="preserve">Los usuarios de teléfonos inteligentes prefieren servicios tales como </w:t>
      </w:r>
      <w:proofErr w:type="spellStart"/>
      <w:r w:rsidRPr="00A43C05">
        <w:rPr>
          <w:lang w:val="es-ES_tradnl"/>
        </w:rPr>
        <w:t>webmail</w:t>
      </w:r>
      <w:proofErr w:type="spellEnd"/>
      <w:r w:rsidRPr="00A43C05">
        <w:rPr>
          <w:lang w:val="es-ES_tradnl"/>
        </w:rPr>
        <w:t>, PC control, etc.</w:t>
      </w:r>
    </w:p>
    <w:p w:rsidR="003A4E5E" w:rsidRPr="00A43C05" w:rsidRDefault="003A4E5E" w:rsidP="003A4E5E">
      <w:pPr>
        <w:pStyle w:val="enumlev1"/>
        <w:rPr>
          <w:lang w:val="es-ES_tradnl"/>
        </w:rPr>
      </w:pPr>
      <w:r w:rsidRPr="00A43C05">
        <w:rPr>
          <w:lang w:val="es-ES_tradnl"/>
        </w:rPr>
        <w:t>•</w:t>
      </w:r>
      <w:r w:rsidRPr="00A43C05">
        <w:rPr>
          <w:lang w:val="es-ES_tradnl"/>
        </w:rPr>
        <w:tab/>
        <w:t>Dispositivos del usuario</w:t>
      </w:r>
    </w:p>
    <w:p w:rsidR="003A4E5E" w:rsidRPr="00A43C05" w:rsidRDefault="003A4E5E" w:rsidP="003A4E5E">
      <w:pPr>
        <w:pStyle w:val="enumlev2"/>
        <w:rPr>
          <w:lang w:val="es-ES_tradnl"/>
        </w:rPr>
      </w:pPr>
      <w:r w:rsidRPr="00A43C05">
        <w:rPr>
          <w:lang w:val="es-ES_tradnl"/>
        </w:rPr>
        <w:t>–</w:t>
      </w:r>
      <w:r w:rsidRPr="00A43C05">
        <w:rPr>
          <w:lang w:val="es-ES_tradnl"/>
        </w:rPr>
        <w:tab/>
        <w:t>La llave USB es el dispositivo de usuario que tiene mejor acogida (el 88%).</w:t>
      </w:r>
    </w:p>
    <w:p w:rsidR="003A4E5E" w:rsidRPr="00A43C05" w:rsidRDefault="003A4E5E" w:rsidP="003A4E5E">
      <w:pPr>
        <w:pStyle w:val="enumlev2"/>
        <w:rPr>
          <w:lang w:val="es-ES_tradnl"/>
        </w:rPr>
      </w:pPr>
      <w:r w:rsidRPr="00A43C05">
        <w:rPr>
          <w:lang w:val="es-ES_tradnl"/>
        </w:rPr>
        <w:t>–</w:t>
      </w:r>
      <w:r w:rsidRPr="00A43C05">
        <w:rPr>
          <w:lang w:val="es-ES_tradnl"/>
        </w:rPr>
        <w:tab/>
        <w:t xml:space="preserve">La aceptación del </w:t>
      </w:r>
      <w:proofErr w:type="spellStart"/>
      <w:r w:rsidRPr="00A43C05">
        <w:rPr>
          <w:lang w:val="es-ES_tradnl"/>
        </w:rPr>
        <w:t>encaminador</w:t>
      </w:r>
      <w:proofErr w:type="spellEnd"/>
      <w:r w:rsidRPr="00A43C05">
        <w:rPr>
          <w:lang w:val="es-ES_tradnl"/>
        </w:rPr>
        <w:t xml:space="preserve"> portátil </w:t>
      </w:r>
      <w:proofErr w:type="spellStart"/>
      <w:r w:rsidRPr="00A43C05">
        <w:rPr>
          <w:lang w:val="es-ES_tradnl"/>
        </w:rPr>
        <w:t>WiMAX-WiFi</w:t>
      </w:r>
      <w:proofErr w:type="spellEnd"/>
      <w:r w:rsidRPr="00A43C05">
        <w:rPr>
          <w:lang w:val="es-ES_tradnl"/>
        </w:rPr>
        <w:t xml:space="preserve"> está mejorando. </w:t>
      </w:r>
    </w:p>
    <w:p w:rsidR="003212E5" w:rsidRPr="00A43C05" w:rsidRDefault="003A4E5E" w:rsidP="003A4E5E">
      <w:pPr>
        <w:pStyle w:val="enumlev1"/>
        <w:rPr>
          <w:lang w:val="es-ES_tradnl"/>
        </w:rPr>
      </w:pPr>
      <w:r w:rsidRPr="00A43C05">
        <w:rPr>
          <w:lang w:val="es-ES_tradnl"/>
        </w:rPr>
        <w:t>•</w:t>
      </w:r>
      <w:r w:rsidRPr="00A43C05">
        <w:rPr>
          <w:lang w:val="es-ES_tradnl"/>
        </w:rPr>
        <w:tab/>
        <w:t xml:space="preserve">Tarifas: Los usuarios prefieren el plan de tarificación de </w:t>
      </w:r>
      <w:r w:rsidR="00030119" w:rsidRPr="00A43C05">
        <w:rPr>
          <w:lang w:val="es-ES_tradnl"/>
        </w:rPr>
        <w:t>«</w:t>
      </w:r>
      <w:r w:rsidRPr="00A43C05">
        <w:rPr>
          <w:lang w:val="es-ES_tradnl"/>
        </w:rPr>
        <w:t>Tipo libre (tarifa plan)</w:t>
      </w:r>
      <w:r w:rsidR="00030119" w:rsidRPr="00A43C05">
        <w:rPr>
          <w:lang w:val="es-ES_tradnl"/>
        </w:rPr>
        <w:t>»</w:t>
      </w:r>
      <w:r w:rsidRPr="00A43C05">
        <w:rPr>
          <w:lang w:val="es-ES_tradnl"/>
        </w:rPr>
        <w:t>.</w:t>
      </w:r>
    </w:p>
    <w:p w:rsidR="003212E5" w:rsidRPr="00A43C05" w:rsidRDefault="003212E5" w:rsidP="00863244">
      <w:pPr>
        <w:keepNext/>
        <w:keepLines/>
        <w:rPr>
          <w:lang w:val="es-ES_tradnl"/>
        </w:rPr>
      </w:pPr>
      <w:r w:rsidRPr="00A43C05">
        <w:rPr>
          <w:lang w:val="es-ES_tradnl"/>
        </w:rPr>
        <w:lastRenderedPageBreak/>
        <w:t>6</w:t>
      </w:r>
      <w:r w:rsidRPr="00A43C05">
        <w:rPr>
          <w:lang w:val="es-ES_tradnl"/>
        </w:rPr>
        <w:tab/>
      </w:r>
      <w:r w:rsidR="003A4E5E" w:rsidRPr="003A4E5E">
        <w:rPr>
          <w:lang w:val="es-ES_tradnl"/>
        </w:rPr>
        <w:t>Migración a las IMT-Avanzadas</w:t>
      </w:r>
    </w:p>
    <w:p w:rsidR="003A4E5E" w:rsidRPr="00965C71" w:rsidRDefault="003A4E5E" w:rsidP="00863244">
      <w:pPr>
        <w:keepNext/>
        <w:keepLines/>
        <w:rPr>
          <w:lang w:val="es-ES"/>
        </w:rPr>
      </w:pPr>
      <w:r w:rsidRPr="00965C71">
        <w:rPr>
          <w:lang w:val="es-ES"/>
        </w:rPr>
        <w:t>En la Asamblea de Radiocomunicaciones del UIT-R de 2007, la tecnología OFDMA TDD WMAN se ha añadido como sexta interfaz aérea de las IMT</w:t>
      </w:r>
      <w:r w:rsidRPr="00965C71">
        <w:rPr>
          <w:lang w:val="es-ES"/>
        </w:rPr>
        <w:noBreakHyphen/>
        <w:t>2000. La tecnología de la interfaz aérea de SHOW WIBRO viene especificada en IEEE 802.16-2005(OFDMA TDD WMAN). Asimismo, la banda de frecuencias 2,3</w:t>
      </w:r>
      <w:r>
        <w:rPr>
          <w:lang w:val="es-ES"/>
        </w:rPr>
        <w:t> </w:t>
      </w:r>
      <w:r w:rsidRPr="00965C71">
        <w:rPr>
          <w:lang w:val="es-ES"/>
        </w:rPr>
        <w:t>GHz de SHOW WIBRO también se ha identificado como espectro adicional para las IMT en la CMR-07.</w:t>
      </w:r>
    </w:p>
    <w:p w:rsidR="003212E5" w:rsidRPr="00A43C05" w:rsidRDefault="003A4E5E" w:rsidP="003A4E5E">
      <w:pPr>
        <w:rPr>
          <w:lang w:val="es-ES_tradnl"/>
        </w:rPr>
      </w:pPr>
      <w:r w:rsidRPr="00965C71">
        <w:rPr>
          <w:lang w:val="es-ES"/>
        </w:rPr>
        <w:t xml:space="preserve">Como la tecnología IEEE 802.16m es una de las RIT (tecnología de la interfaz radioeléctrica) candidatas a las IMT-Avanzadas y ofrecen asimismo compatibilidad ascendente con la tecnología OFDMA TDD WMAN, se prevé que SHOW WIBRO ofrezca una migración normalizada y </w:t>
      </w:r>
      <w:r>
        <w:rPr>
          <w:lang w:val="es-ES"/>
        </w:rPr>
        <w:t>paulatina</w:t>
      </w:r>
      <w:r w:rsidRPr="00965C71">
        <w:rPr>
          <w:lang w:val="es-ES"/>
        </w:rPr>
        <w:t xml:space="preserve"> hacia las IMT-Avanzadas.</w:t>
      </w:r>
    </w:p>
    <w:p w:rsidR="003212E5" w:rsidRPr="00A43C05" w:rsidRDefault="003212E5" w:rsidP="003A4E5E">
      <w:pPr>
        <w:pStyle w:val="Heading3"/>
        <w:rPr>
          <w:lang w:val="es-ES_tradnl"/>
        </w:rPr>
      </w:pPr>
      <w:bookmarkStart w:id="512" w:name="_Toc236826256"/>
      <w:bookmarkStart w:id="513" w:name="_Toc255292562"/>
      <w:bookmarkStart w:id="514" w:name="_Toc259024265"/>
      <w:r w:rsidRPr="00A43C05">
        <w:rPr>
          <w:lang w:val="es-ES_tradnl"/>
        </w:rPr>
        <w:t>10.3.2</w:t>
      </w:r>
      <w:r w:rsidRPr="00A43C05">
        <w:rPr>
          <w:lang w:val="es-ES_tradnl"/>
        </w:rPr>
        <w:tab/>
      </w:r>
      <w:bookmarkEnd w:id="512"/>
      <w:bookmarkEnd w:id="513"/>
      <w:r w:rsidR="003A4E5E" w:rsidRPr="003A4E5E">
        <w:rPr>
          <w:lang w:val="es-ES_tradnl"/>
        </w:rPr>
        <w:t>LG Telecom de la República de Corea lanza el servicio 3G (OZ) basado en CDMA 1x EV DO Rev. A</w:t>
      </w:r>
      <w:bookmarkEnd w:id="514"/>
    </w:p>
    <w:p w:rsidR="003A4E5E" w:rsidRPr="003A4E5E" w:rsidRDefault="003A4E5E" w:rsidP="003A4E5E">
      <w:pPr>
        <w:rPr>
          <w:szCs w:val="22"/>
          <w:lang w:val="es-ES_tradnl"/>
        </w:rPr>
      </w:pPr>
      <w:bookmarkStart w:id="515" w:name="_Toc238861816"/>
      <w:r w:rsidRPr="003A4E5E">
        <w:rPr>
          <w:szCs w:val="22"/>
          <w:lang w:val="es-ES_tradnl"/>
        </w:rPr>
        <w:t>1</w:t>
      </w:r>
      <w:r w:rsidRPr="003A4E5E">
        <w:rPr>
          <w:szCs w:val="22"/>
          <w:lang w:val="es-ES_tradnl"/>
        </w:rPr>
        <w:tab/>
        <w:t>Introducción</w:t>
      </w:r>
      <w:bookmarkEnd w:id="515"/>
      <w:r w:rsidRPr="003A4E5E">
        <w:rPr>
          <w:szCs w:val="22"/>
          <w:lang w:val="es-ES_tradnl"/>
        </w:rPr>
        <w:t xml:space="preserve"> </w:t>
      </w:r>
    </w:p>
    <w:p w:rsidR="003A4E5E" w:rsidRPr="003A4E5E" w:rsidRDefault="003A4E5E" w:rsidP="003A4E5E">
      <w:pPr>
        <w:rPr>
          <w:szCs w:val="22"/>
          <w:lang w:val="es-ES"/>
        </w:rPr>
      </w:pPr>
      <w:r w:rsidRPr="003A4E5E">
        <w:rPr>
          <w:szCs w:val="22"/>
          <w:lang w:val="es-ES"/>
        </w:rPr>
        <w:t>LG Telecom (www.lgtelecom.com) fue fundada en julio de 1996 y utilizó la tecnología de LG que fue la primera empresa del mundo que comercializó con éxito sistemas CDMA. Desde sus comienzos en octubre de 1997 como proveedora de servicios de comunicaciones personales a nivel nacional, la empresa ha prosperado considerablemente gracias a la acogida de sus clientes.</w:t>
      </w:r>
    </w:p>
    <w:p w:rsidR="003A4E5E" w:rsidRPr="003A4E5E" w:rsidRDefault="003A4E5E" w:rsidP="003A4E5E">
      <w:pPr>
        <w:rPr>
          <w:szCs w:val="22"/>
          <w:lang w:val="es-ES"/>
        </w:rPr>
      </w:pPr>
      <w:r w:rsidRPr="003A4E5E">
        <w:rPr>
          <w:szCs w:val="22"/>
          <w:lang w:val="es-ES"/>
        </w:rPr>
        <w:t xml:space="preserve">LG Telecom ha construido una red digital única a nivel nacional y pretende ofrecer a sus clientes los mejores servicios de comunicaciones móviles. En particular, las redes de conmutación y transporte de LG Telecom se construyeron con cables de fibra óptica que ofrecen una calidad de llamadas superior. Asimismo, los repetidores ópticos, los repetidores de ranura (inalámbricos) y las mini BTS, que LG Telecom ha desarrollado y comercializado por primera vez en el mundo, han sido reconocidos como sistemas de comunicaciones móviles innovadores que permiten suprimir las zonas de sombra de cobertura con inversiones moderadas. </w:t>
      </w:r>
    </w:p>
    <w:p w:rsidR="003A4E5E" w:rsidRPr="003A4E5E" w:rsidRDefault="003A4E5E" w:rsidP="003A4E5E">
      <w:pPr>
        <w:rPr>
          <w:szCs w:val="22"/>
          <w:lang w:val="es-ES"/>
        </w:rPr>
      </w:pPr>
      <w:r w:rsidRPr="003A4E5E">
        <w:rPr>
          <w:szCs w:val="22"/>
          <w:lang w:val="es-ES"/>
        </w:rPr>
        <w:t xml:space="preserve">En febrero de 1998, LG </w:t>
      </w:r>
      <w:proofErr w:type="spellStart"/>
      <w:r w:rsidRPr="003A4E5E">
        <w:rPr>
          <w:szCs w:val="22"/>
          <w:lang w:val="es-ES"/>
        </w:rPr>
        <w:t>telecom</w:t>
      </w:r>
      <w:proofErr w:type="spellEnd"/>
      <w:r w:rsidRPr="003A4E5E">
        <w:rPr>
          <w:szCs w:val="22"/>
          <w:lang w:val="es-ES"/>
        </w:rPr>
        <w:t xml:space="preserve"> lanzó el primer servicio móvil de datos comercial de todo el mundo y ha comercializado con éxito el EZ-I, primer servicio móvil por Internet de Corea. Desde mayo de 2001, ha ofrecido el servicio de CDMA2000 1x a nivel nacional, lo que ha permitido prestar servicios multimedios de alta velocidad tales como los de imagen y vídeo. Gracias a ello, ha consolidado su posición en el mercado de la Internet móvil.</w:t>
      </w:r>
    </w:p>
    <w:p w:rsidR="003A4E5E" w:rsidRPr="003A4E5E" w:rsidRDefault="003A4E5E" w:rsidP="003A4E5E">
      <w:pPr>
        <w:rPr>
          <w:szCs w:val="22"/>
          <w:lang w:val="es-ES"/>
        </w:rPr>
      </w:pPr>
      <w:r w:rsidRPr="003A4E5E">
        <w:rPr>
          <w:szCs w:val="22"/>
          <w:lang w:val="es-ES"/>
        </w:rPr>
        <w:t xml:space="preserve">Además, ha completado antes de lo esperado el despliegue de la red 3G EV-DO </w:t>
      </w:r>
      <w:proofErr w:type="spellStart"/>
      <w:r w:rsidRPr="003A4E5E">
        <w:rPr>
          <w:szCs w:val="22"/>
          <w:lang w:val="es-ES"/>
        </w:rPr>
        <w:t>Rev</w:t>
      </w:r>
      <w:r w:rsidRPr="003A4E5E">
        <w:rPr>
          <w:szCs w:val="22"/>
          <w:lang w:val="es-ES" w:eastAsia="ko-KR"/>
        </w:rPr>
        <w:t>.</w:t>
      </w:r>
      <w:r w:rsidRPr="003A4E5E">
        <w:rPr>
          <w:szCs w:val="22"/>
          <w:lang w:val="es-ES"/>
        </w:rPr>
        <w:t>A</w:t>
      </w:r>
      <w:proofErr w:type="spellEnd"/>
      <w:r w:rsidRPr="003A4E5E">
        <w:rPr>
          <w:szCs w:val="22"/>
          <w:lang w:val="es-ES"/>
        </w:rPr>
        <w:t xml:space="preserve">, haciendo posible de este modo la maximización de la calidad de las llamadas y reforzando su poder competitivo en el ámbito de contenidos y precios gracias a sus servicios de datos abiertos económicos y prácticos. </w:t>
      </w:r>
    </w:p>
    <w:p w:rsidR="003A4E5E" w:rsidRPr="003A4E5E" w:rsidRDefault="003A4E5E" w:rsidP="003A4E5E">
      <w:pPr>
        <w:rPr>
          <w:szCs w:val="22"/>
          <w:lang w:val="es-ES"/>
        </w:rPr>
      </w:pPr>
      <w:r w:rsidRPr="003A4E5E">
        <w:rPr>
          <w:szCs w:val="22"/>
          <w:lang w:val="es-ES"/>
        </w:rPr>
        <w:t>LG Telecom ha elaborado una estrategia de comercialización diferenciada que se adapta al estilo de comunicación de sus clientes y, al mismo tiempo, ha reforzado los cimientos sobre los que se apoya la empresa gracias a la expansión de su parque de abonados.</w:t>
      </w:r>
    </w:p>
    <w:p w:rsidR="003A4E5E" w:rsidRPr="003A4E5E" w:rsidRDefault="003A4E5E" w:rsidP="003A4E5E">
      <w:pPr>
        <w:rPr>
          <w:szCs w:val="22"/>
          <w:lang w:val="es-ES_tradnl"/>
        </w:rPr>
      </w:pPr>
      <w:bookmarkStart w:id="516" w:name="_Toc236826257"/>
      <w:bookmarkStart w:id="517" w:name="_Toc238861817"/>
      <w:r w:rsidRPr="003A4E5E">
        <w:rPr>
          <w:szCs w:val="22"/>
          <w:lang w:val="es-ES_tradnl"/>
        </w:rPr>
        <w:t>2</w:t>
      </w:r>
      <w:r w:rsidRPr="003A4E5E">
        <w:rPr>
          <w:szCs w:val="22"/>
          <w:lang w:val="es-ES_tradnl"/>
        </w:rPr>
        <w:tab/>
        <w:t xml:space="preserve">Lanzamiento y puesta en marcha del servicio de datos 3G 1x EVDO </w:t>
      </w:r>
      <w:proofErr w:type="spellStart"/>
      <w:r w:rsidRPr="003A4E5E">
        <w:rPr>
          <w:szCs w:val="22"/>
          <w:lang w:val="es-ES_tradnl"/>
        </w:rPr>
        <w:t>Rev.A</w:t>
      </w:r>
      <w:proofErr w:type="spellEnd"/>
      <w:r w:rsidRPr="003A4E5E">
        <w:rPr>
          <w:szCs w:val="22"/>
          <w:lang w:val="es-ES_tradnl"/>
        </w:rPr>
        <w:t xml:space="preserve"> (OZ)</w:t>
      </w:r>
      <w:bookmarkEnd w:id="516"/>
      <w:bookmarkEnd w:id="517"/>
    </w:p>
    <w:p w:rsidR="003A4E5E" w:rsidRPr="003A4E5E" w:rsidRDefault="003A4E5E" w:rsidP="003A4E5E">
      <w:pPr>
        <w:rPr>
          <w:szCs w:val="22"/>
          <w:lang w:val="es-ES"/>
        </w:rPr>
      </w:pPr>
      <w:r w:rsidRPr="003A4E5E">
        <w:rPr>
          <w:szCs w:val="22"/>
          <w:lang w:val="es-ES"/>
        </w:rPr>
        <w:t xml:space="preserve">LG Telecom ha desplegado ingentes esfuerzos para instalar la red EVDO </w:t>
      </w:r>
      <w:proofErr w:type="spellStart"/>
      <w:r w:rsidRPr="003A4E5E">
        <w:rPr>
          <w:szCs w:val="22"/>
          <w:lang w:val="es-ES"/>
        </w:rPr>
        <w:t>Rev</w:t>
      </w:r>
      <w:r w:rsidRPr="003A4E5E">
        <w:rPr>
          <w:szCs w:val="22"/>
          <w:lang w:val="es-ES" w:eastAsia="ko-KR"/>
        </w:rPr>
        <w:t>.</w:t>
      </w:r>
      <w:r w:rsidRPr="003A4E5E">
        <w:rPr>
          <w:szCs w:val="22"/>
          <w:lang w:val="es-ES"/>
        </w:rPr>
        <w:t>A</w:t>
      </w:r>
      <w:proofErr w:type="spellEnd"/>
      <w:r w:rsidRPr="003A4E5E">
        <w:rPr>
          <w:szCs w:val="22"/>
          <w:lang w:val="es-ES"/>
        </w:rPr>
        <w:t xml:space="preserve"> desde 2007. En abril de 2008 completó la instalación a nivel nacional y lanzó la OZ (zona abierta), nuevo nombre comercial para el servicio de datos 3G. Con el eslogan, </w:t>
      </w:r>
      <w:r w:rsidR="00030119">
        <w:rPr>
          <w:szCs w:val="22"/>
          <w:lang w:val="es-ES"/>
        </w:rPr>
        <w:t>«</w:t>
      </w:r>
      <w:r w:rsidRPr="003A4E5E">
        <w:rPr>
          <w:szCs w:val="22"/>
          <w:lang w:val="es-ES"/>
        </w:rPr>
        <w:t xml:space="preserve">Debería ser posible en cualquier momento y en cualquier lugar navegar por Internet y ver el correo electrónico y sus adjuntos con un </w:t>
      </w:r>
      <w:proofErr w:type="spellStart"/>
      <w:r w:rsidRPr="003A4E5E">
        <w:rPr>
          <w:szCs w:val="22"/>
          <w:lang w:val="es-ES"/>
        </w:rPr>
        <w:t>microteléfono</w:t>
      </w:r>
      <w:proofErr w:type="spellEnd"/>
      <w:r w:rsidRPr="003A4E5E">
        <w:rPr>
          <w:szCs w:val="22"/>
          <w:lang w:val="es-ES"/>
        </w:rPr>
        <w:t xml:space="preserve"> de pantalla grande y alta resolución de fácil manejo</w:t>
      </w:r>
      <w:r w:rsidR="00030119">
        <w:rPr>
          <w:szCs w:val="22"/>
          <w:lang w:val="es-ES"/>
        </w:rPr>
        <w:t>»</w:t>
      </w:r>
      <w:r w:rsidRPr="003A4E5E">
        <w:rPr>
          <w:szCs w:val="22"/>
          <w:lang w:val="es-ES"/>
        </w:rPr>
        <w:t>, ha puesto en marcha un revolucionario servicio de datos de la próxima generación que ofrecerá prestaciones necesarias en la vida cotidiana tales como la navegación por Internet y los servicios de correo electrónico. Esto supone la ruptura con el concepto tradicional de que el servicio 3G sea un servicio de telefonía con vídeo exclusivamente. El servicio OZ ofrecer Internet móvil abierta pasando de un modelo de Internet móvil cerrado a otro abierto. La empresa ha alcanzado un éxito sin precedentes al captar 130 000 abonados sólo en los 50 primeros días del lanzamiento y por el incesante crecimiento del número de sus abonados.</w:t>
      </w:r>
    </w:p>
    <w:p w:rsidR="003A4E5E" w:rsidRPr="003A4E5E" w:rsidRDefault="003A4E5E" w:rsidP="003A4E5E">
      <w:pPr>
        <w:rPr>
          <w:szCs w:val="22"/>
          <w:lang w:val="es-ES_tradnl"/>
        </w:rPr>
      </w:pPr>
      <w:bookmarkStart w:id="518" w:name="_Toc238861818"/>
      <w:bookmarkStart w:id="519" w:name="_Toc236826258"/>
      <w:r w:rsidRPr="003A4E5E">
        <w:rPr>
          <w:szCs w:val="22"/>
          <w:lang w:val="es-ES_tradnl"/>
        </w:rPr>
        <w:t>3</w:t>
      </w:r>
      <w:r w:rsidRPr="003A4E5E">
        <w:rPr>
          <w:szCs w:val="22"/>
          <w:lang w:val="es-ES_tradnl"/>
        </w:rPr>
        <w:tab/>
        <w:t>El servicio OZ</w:t>
      </w:r>
      <w:bookmarkEnd w:id="518"/>
      <w:r w:rsidRPr="003A4E5E">
        <w:rPr>
          <w:szCs w:val="22"/>
          <w:lang w:val="es-ES_tradnl"/>
        </w:rPr>
        <w:t xml:space="preserve"> </w:t>
      </w:r>
      <w:bookmarkEnd w:id="519"/>
    </w:p>
    <w:p w:rsidR="003A4E5E" w:rsidRPr="003A4E5E" w:rsidRDefault="003A4E5E" w:rsidP="00D711EA">
      <w:pPr>
        <w:rPr>
          <w:szCs w:val="22"/>
          <w:lang w:val="es-ES"/>
        </w:rPr>
      </w:pPr>
      <w:r w:rsidRPr="003A4E5E">
        <w:rPr>
          <w:szCs w:val="22"/>
          <w:lang w:val="es-ES"/>
        </w:rPr>
        <w:t xml:space="preserve">La palabra OZ significa en hebreo antiguo </w:t>
      </w:r>
      <w:r w:rsidR="00D711EA">
        <w:rPr>
          <w:szCs w:val="22"/>
          <w:lang w:val="es-ES"/>
        </w:rPr>
        <w:t>'</w:t>
      </w:r>
      <w:r w:rsidRPr="003A4E5E">
        <w:rPr>
          <w:szCs w:val="22"/>
          <w:lang w:val="es-ES"/>
        </w:rPr>
        <w:t>poder</w:t>
      </w:r>
      <w:r w:rsidR="00D711EA">
        <w:rPr>
          <w:szCs w:val="22"/>
          <w:lang w:val="es-ES"/>
        </w:rPr>
        <w:t>'</w:t>
      </w:r>
      <w:r w:rsidRPr="003A4E5E">
        <w:rPr>
          <w:szCs w:val="22"/>
          <w:lang w:val="es-ES"/>
        </w:rPr>
        <w:t xml:space="preserve"> o </w:t>
      </w:r>
      <w:r w:rsidR="00D711EA">
        <w:rPr>
          <w:szCs w:val="22"/>
          <w:lang w:val="es-ES"/>
        </w:rPr>
        <w:t>'</w:t>
      </w:r>
      <w:r w:rsidRPr="003A4E5E">
        <w:rPr>
          <w:szCs w:val="22"/>
          <w:lang w:val="es-ES"/>
        </w:rPr>
        <w:t>autoridad</w:t>
      </w:r>
      <w:r w:rsidR="00D711EA">
        <w:rPr>
          <w:szCs w:val="22"/>
          <w:lang w:val="es-ES"/>
        </w:rPr>
        <w:t>'</w:t>
      </w:r>
      <w:r w:rsidRPr="003A4E5E">
        <w:rPr>
          <w:szCs w:val="22"/>
          <w:lang w:val="es-ES"/>
        </w:rPr>
        <w:t xml:space="preserve"> y traduce el propósito de LG Telecom de dotar a sus clientes de poder y eficacia en el centro de sus vidas. El servicio OZ ofrece un </w:t>
      </w:r>
      <w:r w:rsidR="00453BA6">
        <w:rPr>
          <w:szCs w:val="22"/>
          <w:lang w:val="es-ES"/>
        </w:rPr>
        <w:t>'</w:t>
      </w:r>
      <w:r w:rsidRPr="003A4E5E">
        <w:rPr>
          <w:szCs w:val="22"/>
          <w:lang w:val="es-ES"/>
        </w:rPr>
        <w:t xml:space="preserve">entorno de </w:t>
      </w:r>
      <w:r w:rsidRPr="003A4E5E">
        <w:rPr>
          <w:szCs w:val="22"/>
          <w:lang w:val="es-ES"/>
        </w:rPr>
        <w:lastRenderedPageBreak/>
        <w:t>Internet abierto</w:t>
      </w:r>
      <w:r w:rsidR="00453BA6">
        <w:rPr>
          <w:szCs w:val="22"/>
          <w:lang w:val="es-ES"/>
        </w:rPr>
        <w:t>'</w:t>
      </w:r>
      <w:r w:rsidRPr="003A4E5E">
        <w:rPr>
          <w:szCs w:val="22"/>
          <w:lang w:val="es-ES"/>
        </w:rPr>
        <w:t xml:space="preserve"> en el que resulta fácil y práctico acceder con un teléfono móvil a los diversos contenidos y servicios de la Internet por cable.</w:t>
      </w:r>
    </w:p>
    <w:p w:rsidR="003A4E5E" w:rsidRPr="00A43C05" w:rsidRDefault="003A4E5E" w:rsidP="003A4E5E">
      <w:pPr>
        <w:pStyle w:val="enumlev1"/>
        <w:rPr>
          <w:lang w:val="es-ES_tradnl"/>
        </w:rPr>
      </w:pPr>
      <w:r w:rsidRPr="00A43C05">
        <w:rPr>
          <w:lang w:val="es-ES_tradnl"/>
        </w:rPr>
        <w:t>–</w:t>
      </w:r>
      <w:r w:rsidRPr="00A43C05">
        <w:rPr>
          <w:lang w:val="es-ES_tradnl"/>
        </w:rPr>
        <w:tab/>
        <w:t>Mensajería móvil: Lista de contactos (siempre activa), chat personal y general, iconos gestuales (</w:t>
      </w:r>
      <w:proofErr w:type="spellStart"/>
      <w:r w:rsidRPr="00A43C05">
        <w:rPr>
          <w:lang w:val="es-ES_tradnl"/>
        </w:rPr>
        <w:t>emoticons</w:t>
      </w:r>
      <w:proofErr w:type="spellEnd"/>
      <w:r w:rsidRPr="00A43C05">
        <w:rPr>
          <w:lang w:val="es-ES_tradnl"/>
        </w:rPr>
        <w:t>), guiños (</w:t>
      </w:r>
      <w:proofErr w:type="spellStart"/>
      <w:r w:rsidRPr="00A43C05">
        <w:rPr>
          <w:lang w:val="es-ES_tradnl"/>
        </w:rPr>
        <w:t>flashcons</w:t>
      </w:r>
      <w:proofErr w:type="spellEnd"/>
      <w:r w:rsidRPr="00A43C05">
        <w:rPr>
          <w:lang w:val="es-ES_tradnl"/>
        </w:rPr>
        <w:t>), y envío de imágenes.</w:t>
      </w:r>
    </w:p>
    <w:p w:rsidR="003A4E5E" w:rsidRPr="00A43C05" w:rsidRDefault="003A4E5E" w:rsidP="003A4E5E">
      <w:pPr>
        <w:pStyle w:val="enumlev1"/>
        <w:rPr>
          <w:lang w:val="es-ES_tradnl"/>
        </w:rPr>
      </w:pPr>
      <w:r w:rsidRPr="00A43C05">
        <w:rPr>
          <w:lang w:val="es-ES_tradnl"/>
        </w:rPr>
        <w:t>–</w:t>
      </w:r>
      <w:r w:rsidRPr="00A43C05">
        <w:rPr>
          <w:lang w:val="es-ES_tradnl"/>
        </w:rPr>
        <w:tab/>
        <w:t>Artilugios (</w:t>
      </w:r>
      <w:proofErr w:type="spellStart"/>
      <w:r w:rsidRPr="00A43C05">
        <w:rPr>
          <w:lang w:val="es-ES_tradnl"/>
        </w:rPr>
        <w:t>widgets</w:t>
      </w:r>
      <w:proofErr w:type="spellEnd"/>
      <w:r w:rsidRPr="00A43C05">
        <w:rPr>
          <w:lang w:val="es-ES_tradnl"/>
        </w:rPr>
        <w:t>): Ofreciendo una conexión directa con los contenidos deseados.</w:t>
      </w:r>
    </w:p>
    <w:p w:rsidR="003A4E5E" w:rsidRPr="00A43C05" w:rsidRDefault="003A4E5E" w:rsidP="003A4E5E">
      <w:pPr>
        <w:pStyle w:val="enumlev1"/>
        <w:rPr>
          <w:lang w:val="es-ES_tradnl"/>
        </w:rPr>
      </w:pPr>
      <w:r w:rsidRPr="00A43C05">
        <w:rPr>
          <w:lang w:val="es-ES_tradnl"/>
        </w:rPr>
        <w:t>–</w:t>
      </w:r>
      <w:r w:rsidRPr="00A43C05">
        <w:rPr>
          <w:lang w:val="es-ES_tradnl"/>
        </w:rPr>
        <w:tab/>
        <w:t xml:space="preserve">Navegación por Internet: Internet </w:t>
      </w:r>
      <w:r w:rsidR="00453BA6" w:rsidRPr="00A43C05">
        <w:rPr>
          <w:lang w:val="es-ES_tradnl"/>
        </w:rPr>
        <w:t>'</w:t>
      </w:r>
      <w:r w:rsidRPr="00A43C05">
        <w:rPr>
          <w:lang w:val="es-ES_tradnl"/>
        </w:rPr>
        <w:t>real</w:t>
      </w:r>
      <w:r w:rsidR="00453BA6" w:rsidRPr="00A43C05">
        <w:rPr>
          <w:lang w:val="es-ES_tradnl"/>
        </w:rPr>
        <w:t>'</w:t>
      </w:r>
      <w:r w:rsidRPr="00A43C05">
        <w:rPr>
          <w:lang w:val="es-ES_tradnl"/>
        </w:rPr>
        <w:t>.</w:t>
      </w:r>
    </w:p>
    <w:p w:rsidR="003A4E5E" w:rsidRPr="00A43C05" w:rsidRDefault="003A4E5E" w:rsidP="003A4E5E">
      <w:pPr>
        <w:pStyle w:val="enumlev1"/>
        <w:rPr>
          <w:lang w:val="es-ES_tradnl"/>
        </w:rPr>
      </w:pPr>
      <w:r w:rsidRPr="00A43C05">
        <w:rPr>
          <w:lang w:val="es-ES_tradnl"/>
        </w:rPr>
        <w:t>–</w:t>
      </w:r>
      <w:r w:rsidRPr="00A43C05">
        <w:rPr>
          <w:lang w:val="es-ES_tradnl"/>
        </w:rPr>
        <w:tab/>
        <w:t>Correo electrónico: Acceso por correo web (POP3) y visualización de los ficheros adjuntos (MS Office, imágenes, etc.).</w:t>
      </w:r>
    </w:p>
    <w:p w:rsidR="003A4E5E" w:rsidRPr="00A43C05" w:rsidRDefault="003A4E5E" w:rsidP="003A4E5E">
      <w:pPr>
        <w:pStyle w:val="enumlev1"/>
        <w:rPr>
          <w:lang w:val="es-ES_tradnl"/>
        </w:rPr>
      </w:pPr>
      <w:r w:rsidRPr="00A43C05">
        <w:rPr>
          <w:lang w:val="es-ES_tradnl"/>
        </w:rPr>
        <w:t>–</w:t>
      </w:r>
      <w:r w:rsidRPr="00A43C05">
        <w:rPr>
          <w:lang w:val="es-ES_tradnl"/>
        </w:rPr>
        <w:tab/>
        <w:t>Precio razonable.</w:t>
      </w:r>
    </w:p>
    <w:p w:rsidR="003A4E5E" w:rsidRPr="003A4E5E" w:rsidRDefault="003A4E5E" w:rsidP="003A4E5E">
      <w:pPr>
        <w:rPr>
          <w:szCs w:val="22"/>
          <w:lang w:val="es-ES"/>
        </w:rPr>
      </w:pPr>
      <w:bookmarkStart w:id="520" w:name="_Toc238861819"/>
      <w:bookmarkStart w:id="521" w:name="_Toc236826259"/>
      <w:r w:rsidRPr="003A4E5E">
        <w:rPr>
          <w:szCs w:val="22"/>
          <w:lang w:val="es-ES"/>
        </w:rPr>
        <w:t>4</w:t>
      </w:r>
      <w:r w:rsidRPr="003A4E5E">
        <w:rPr>
          <w:szCs w:val="22"/>
          <w:lang w:val="es-ES"/>
        </w:rPr>
        <w:tab/>
        <w:t>Migración y futuro inmediato de 3G</w:t>
      </w:r>
      <w:bookmarkEnd w:id="520"/>
      <w:r w:rsidRPr="003A4E5E">
        <w:rPr>
          <w:szCs w:val="22"/>
          <w:lang w:val="es-ES"/>
        </w:rPr>
        <w:t xml:space="preserve"> </w:t>
      </w:r>
      <w:bookmarkEnd w:id="521"/>
    </w:p>
    <w:p w:rsidR="003A4E5E" w:rsidRPr="003A4E5E" w:rsidRDefault="003A4E5E" w:rsidP="003A4E5E">
      <w:pPr>
        <w:rPr>
          <w:szCs w:val="22"/>
          <w:lang w:val="es-ES"/>
        </w:rPr>
      </w:pPr>
      <w:r w:rsidRPr="003A4E5E">
        <w:rPr>
          <w:szCs w:val="22"/>
          <w:lang w:val="es-ES"/>
        </w:rPr>
        <w:t xml:space="preserve">LG Telecom está consiguiendo un crecimiento notable del servicio de datos 3G gracias a su servicio OZ. El próximo paso para LG Telecom consiste en mantener el éxito del servicio 3G y prepararse en todos los aspectos para los servicios de la próxima generación. Para conseguirlo, LG Telecom tiene previsto mantener el crecimiento de 3G ofreciendo una velocidad de datos mayor gracias a la función de agregación de varias portadoras sobre la red EVDO </w:t>
      </w:r>
      <w:proofErr w:type="spellStart"/>
      <w:r w:rsidRPr="003A4E5E">
        <w:rPr>
          <w:szCs w:val="22"/>
          <w:lang w:val="es-ES"/>
        </w:rPr>
        <w:t>Rev.A</w:t>
      </w:r>
      <w:proofErr w:type="spellEnd"/>
      <w:r w:rsidRPr="003A4E5E">
        <w:rPr>
          <w:szCs w:val="22"/>
          <w:lang w:val="es-ES"/>
        </w:rPr>
        <w:t>, y desarrollando una diversidad de servicios de valor añadido.</w:t>
      </w:r>
    </w:p>
    <w:p w:rsidR="003212E5" w:rsidRPr="00A43C05" w:rsidRDefault="003A4E5E" w:rsidP="003A4E5E">
      <w:pPr>
        <w:rPr>
          <w:szCs w:val="22"/>
          <w:lang w:val="es-ES_tradnl"/>
        </w:rPr>
      </w:pPr>
      <w:r w:rsidRPr="003A4E5E">
        <w:rPr>
          <w:szCs w:val="22"/>
          <w:lang w:val="es-ES" w:eastAsia="ko-KR"/>
        </w:rPr>
        <w:t>LG Telecom</w:t>
      </w:r>
      <w:r w:rsidRPr="003A4E5E">
        <w:rPr>
          <w:szCs w:val="22"/>
          <w:lang w:val="es-ES"/>
        </w:rPr>
        <w:t xml:space="preserve"> ha desarrollado estaciones de base </w:t>
      </w:r>
      <w:proofErr w:type="spellStart"/>
      <w:r w:rsidRPr="003A4E5E">
        <w:rPr>
          <w:szCs w:val="22"/>
          <w:lang w:val="es-ES"/>
        </w:rPr>
        <w:t>multimodo</w:t>
      </w:r>
      <w:proofErr w:type="spellEnd"/>
      <w:r w:rsidRPr="003A4E5E">
        <w:rPr>
          <w:szCs w:val="22"/>
          <w:lang w:val="es-ES"/>
        </w:rPr>
        <w:t xml:space="preserve"> para los servicios de la próxima generación, que soportarán simultáneamente todas las tecnologías de red de acceso. Asimismo, está preparando una eficiente planificación de red al hacer que cualquier red de acceso soporte cualquier tecnología con el único requisito de cambiar las unidades de la estación base en el futuro despliegue de la red de la próxima generación.</w:t>
      </w:r>
    </w:p>
    <w:p w:rsidR="003212E5" w:rsidRPr="00A43C05" w:rsidRDefault="003212E5" w:rsidP="009A7C21">
      <w:pPr>
        <w:pStyle w:val="Heading2"/>
        <w:rPr>
          <w:lang w:val="es-ES_tradnl"/>
        </w:rPr>
      </w:pPr>
      <w:bookmarkStart w:id="522" w:name="_Toc236826260"/>
      <w:bookmarkStart w:id="523" w:name="_Toc255292563"/>
      <w:bookmarkStart w:id="524" w:name="_Toc259024266"/>
      <w:r w:rsidRPr="00A43C05">
        <w:rPr>
          <w:lang w:val="es-ES_tradnl"/>
        </w:rPr>
        <w:t>10.4</w:t>
      </w:r>
      <w:r w:rsidRPr="00A43C05">
        <w:rPr>
          <w:lang w:val="es-ES_tradnl"/>
        </w:rPr>
        <w:tab/>
      </w:r>
      <w:bookmarkEnd w:id="522"/>
      <w:bookmarkEnd w:id="523"/>
      <w:r w:rsidR="009A7C21" w:rsidRPr="009A7C21">
        <w:rPr>
          <w:lang w:val="es-ES_tradnl"/>
        </w:rPr>
        <w:t>Otras consideraciones</w:t>
      </w:r>
      <w:bookmarkEnd w:id="524"/>
    </w:p>
    <w:p w:rsidR="003212E5" w:rsidRPr="00A43C05" w:rsidRDefault="003212E5" w:rsidP="009A7C21">
      <w:pPr>
        <w:pStyle w:val="Heading3"/>
        <w:rPr>
          <w:lang w:val="es-ES_tradnl"/>
        </w:rPr>
      </w:pPr>
      <w:bookmarkStart w:id="525" w:name="_Toc41981316"/>
      <w:bookmarkStart w:id="526" w:name="_Toc41983629"/>
      <w:bookmarkStart w:id="527" w:name="_Toc44428182"/>
      <w:bookmarkStart w:id="528" w:name="_Toc44446705"/>
      <w:bookmarkStart w:id="529" w:name="_Toc53323378"/>
      <w:bookmarkStart w:id="530" w:name="_Toc63611585"/>
      <w:bookmarkStart w:id="531" w:name="_Toc89083659"/>
      <w:bookmarkStart w:id="532" w:name="_Toc92878183"/>
      <w:bookmarkStart w:id="533" w:name="_Toc101931225"/>
      <w:bookmarkStart w:id="534" w:name="_Toc103399244"/>
      <w:bookmarkStart w:id="535" w:name="_Toc103400322"/>
      <w:bookmarkStart w:id="536" w:name="_Toc103400786"/>
      <w:bookmarkStart w:id="537" w:name="_Toc103401250"/>
      <w:bookmarkStart w:id="538" w:name="_Toc103401715"/>
      <w:bookmarkStart w:id="539" w:name="_Toc103402181"/>
      <w:bookmarkStart w:id="540" w:name="_Toc103402646"/>
      <w:bookmarkStart w:id="541" w:name="_Toc103403411"/>
      <w:bookmarkStart w:id="542" w:name="_Toc103421181"/>
      <w:bookmarkStart w:id="543" w:name="_Toc103528355"/>
      <w:bookmarkStart w:id="544" w:name="_Toc236826261"/>
      <w:bookmarkStart w:id="545" w:name="_Toc255292564"/>
      <w:bookmarkStart w:id="546" w:name="_Toc259024267"/>
      <w:r w:rsidRPr="00A43C05">
        <w:rPr>
          <w:lang w:val="es-ES_tradnl"/>
        </w:rPr>
        <w:t>10.4.1</w:t>
      </w:r>
      <w:r w:rsidRPr="00A43C05">
        <w:rPr>
          <w:lang w:val="es-ES_tradnl"/>
        </w:rPr>
        <w:tab/>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sidR="009A7C21" w:rsidRPr="009A7C21">
        <w:rPr>
          <w:lang w:val="es-ES_tradnl"/>
        </w:rPr>
        <w:t>Necesidades especiales de política para los gobiernos, operadores, organismos reguladores y usuarios de los países en desarrollo</w:t>
      </w:r>
      <w:bookmarkEnd w:id="546"/>
    </w:p>
    <w:p w:rsidR="003212E5" w:rsidRPr="00A43C05" w:rsidRDefault="009A7C21" w:rsidP="009A7C21">
      <w:pPr>
        <w:rPr>
          <w:lang w:val="es-ES_tradnl"/>
        </w:rPr>
      </w:pPr>
      <w:r w:rsidRPr="009A7C21">
        <w:rPr>
          <w:lang w:val="es-ES"/>
        </w:rPr>
        <w:t>El número de abonados al servicio móvil de los países en desarrollo es bajo comparado con el de los países desarrollados, aunque está aumentando de manera importante. El pago por la parte llamante ha contribuido al rápido aumento de la penetración del servicio móvil en muchos países en desarrollo. De hecho, en muchos países, la penetración del servicio móvil supera a la de las líneas fijas, y, por consiguiente, los países en desarrollo tienen un gran potencial en lo que a índices de penetración se refiere. No obstante, debido a las condiciones económicas, los usuarios de los países en desarrollo sólo pueden destinar una parte muy pequeña de sus ingresos a las telecomunicaciones. Al prestar servicios adicionales tales como la videoconferencia y la Internet móvil de alta velocidad, se prevé que algunas tasas de utilización de los servicios IMT</w:t>
      </w:r>
      <w:r w:rsidRPr="009A7C21">
        <w:rPr>
          <w:lang w:val="es-ES"/>
        </w:rPr>
        <w:noBreakHyphen/>
        <w:t>2000 sean superiores a las de los actuales servicios móviles. En consecuencia, es posible que algunos abonados de los servicios anteriores a las IMT</w:t>
      </w:r>
      <w:r w:rsidRPr="009A7C21">
        <w:rPr>
          <w:lang w:val="es-ES"/>
        </w:rPr>
        <w:noBreakHyphen/>
        <w:t>2000 de los países en desarrollo deseen continuar utilizando los servicios actuales en las mismas condiciones. Por consiguiente, se plantea la importante cuestión de proteger los derechos de los abonados actuales que prefieran no migrar.</w:t>
      </w:r>
    </w:p>
    <w:p w:rsidR="003212E5" w:rsidRPr="00A43C05" w:rsidRDefault="003212E5" w:rsidP="009A7C21">
      <w:pPr>
        <w:pStyle w:val="Heading3"/>
        <w:rPr>
          <w:lang w:val="es-ES_tradnl"/>
        </w:rPr>
      </w:pPr>
      <w:bookmarkStart w:id="547" w:name="_Toc236826262"/>
      <w:bookmarkStart w:id="548" w:name="_Toc255292565"/>
      <w:bookmarkStart w:id="549" w:name="_Toc259024268"/>
      <w:r w:rsidRPr="00A43C05">
        <w:rPr>
          <w:lang w:val="es-ES_tradnl"/>
        </w:rPr>
        <w:t>10.4.2</w:t>
      </w:r>
      <w:r w:rsidRPr="00A43C05">
        <w:rPr>
          <w:lang w:val="es-ES_tradnl"/>
        </w:rPr>
        <w:tab/>
      </w:r>
      <w:bookmarkEnd w:id="547"/>
      <w:bookmarkEnd w:id="548"/>
      <w:r w:rsidR="009A7C21" w:rsidRPr="009A7C21">
        <w:rPr>
          <w:lang w:val="es-ES_tradnl"/>
        </w:rPr>
        <w:t>Necesidades especiales de los usuarios</w:t>
      </w:r>
      <w:bookmarkEnd w:id="549"/>
    </w:p>
    <w:p w:rsidR="009A7C21" w:rsidRPr="00965C71" w:rsidRDefault="009A7C21" w:rsidP="009A7C21">
      <w:pPr>
        <w:rPr>
          <w:lang w:val="es-ES"/>
        </w:rPr>
      </w:pPr>
      <w:r w:rsidRPr="00965C71">
        <w:rPr>
          <w:lang w:val="es-ES"/>
        </w:rPr>
        <w:t xml:space="preserve">Para el usuario, la facilidad de utilización y la interoperabilidad continuarán revistiendo la máxima importancia. </w:t>
      </w:r>
      <w:r>
        <w:rPr>
          <w:lang w:val="es-ES"/>
        </w:rPr>
        <w:t>No hay que cerrar los ojos al hecho de que los usuarios no esté</w:t>
      </w:r>
      <w:r w:rsidRPr="00965C71">
        <w:rPr>
          <w:lang w:val="es-ES"/>
        </w:rPr>
        <w:t>n interesados en la tecnologías de las IMT</w:t>
      </w:r>
      <w:r w:rsidRPr="00965C71">
        <w:rPr>
          <w:lang w:val="es-ES"/>
        </w:rPr>
        <w:noBreakHyphen/>
        <w:t xml:space="preserve">2000 per se sino en los servicios y aplicaciones que les ofrece. Los diversos tipos de usuario tienen distintas necesidades, por lo que resulta importante </w:t>
      </w:r>
      <w:r>
        <w:rPr>
          <w:lang w:val="es-ES"/>
        </w:rPr>
        <w:t>estudiar</w:t>
      </w:r>
      <w:r w:rsidRPr="00965C71">
        <w:rPr>
          <w:lang w:val="es-ES"/>
        </w:rPr>
        <w:t xml:space="preserve"> las plataformas de servicio que permitirán a los operadores diferenciar sus ofertas de servicios e introducir paulatinamente los nuevos servicios. </w:t>
      </w:r>
    </w:p>
    <w:p w:rsidR="003212E5" w:rsidRDefault="009A7C21" w:rsidP="009A7C21">
      <w:pPr>
        <w:rPr>
          <w:lang w:val="es-ES"/>
        </w:rPr>
      </w:pPr>
      <w:r w:rsidRPr="00965C71">
        <w:rPr>
          <w:lang w:val="es-ES"/>
        </w:rPr>
        <w:t xml:space="preserve">Debido a su </w:t>
      </w:r>
      <w:r>
        <w:rPr>
          <w:lang w:val="es-ES"/>
        </w:rPr>
        <w:t>menor</w:t>
      </w:r>
      <w:r w:rsidRPr="00965C71">
        <w:rPr>
          <w:lang w:val="es-ES"/>
        </w:rPr>
        <w:t xml:space="preserve"> nivel de ingresos, las posibilidades de pagar servicios de telecomunicaciones por parte de los usuarios es menor en los países en desarrollo que en los desarrollados</w:t>
      </w:r>
      <w:r>
        <w:rPr>
          <w:lang w:val="es-ES"/>
        </w:rPr>
        <w:t>. E</w:t>
      </w:r>
      <w:r w:rsidRPr="00965C71">
        <w:rPr>
          <w:lang w:val="es-ES"/>
        </w:rPr>
        <w:t>l sistema de pago por la parte llamante se introdujo en algunos países en desarrollo para facilitar el acceso por parte de los abonados de bajos ingresos. Los servicios y aplicaciones de las IMT</w:t>
      </w:r>
      <w:r w:rsidRPr="00965C71">
        <w:rPr>
          <w:lang w:val="es-ES"/>
        </w:rPr>
        <w:noBreakHyphen/>
        <w:t>2000 pueden adaptarse para satisfacer las necesidades de regiones específicas en sus lenguas vernáculas. Interesa muy especialmente a los usuarios que los servicios y terminales tengan un precio razonable.</w:t>
      </w:r>
    </w:p>
    <w:p w:rsidR="009A7C21" w:rsidRPr="00A43C05" w:rsidRDefault="009A7C21" w:rsidP="009A7C21">
      <w:pPr>
        <w:rPr>
          <w:lang w:val="es-ES_tradnl"/>
        </w:rPr>
      </w:pPr>
    </w:p>
    <w:p w:rsidR="00FC2152" w:rsidRPr="00A43C05" w:rsidRDefault="009A7C21" w:rsidP="009A7C21">
      <w:pPr>
        <w:pStyle w:val="FigureTitle"/>
        <w:rPr>
          <w:rFonts w:asciiTheme="majorBidi" w:hAnsiTheme="majorBidi" w:cstheme="majorBidi"/>
          <w:lang w:val="es-ES_tradnl"/>
        </w:rPr>
      </w:pPr>
      <w:bookmarkStart w:id="550" w:name="_Toc92854701"/>
      <w:r w:rsidRPr="00A43C05">
        <w:rPr>
          <w:rFonts w:asciiTheme="majorBidi" w:hAnsiTheme="majorBidi" w:cstheme="majorBidi"/>
          <w:lang w:val="es-ES_tradnl"/>
        </w:rPr>
        <w:lastRenderedPageBreak/>
        <w:t xml:space="preserve">Cuadro </w:t>
      </w:r>
      <w:r w:rsidR="00FC2152" w:rsidRPr="00A43C05">
        <w:rPr>
          <w:rFonts w:asciiTheme="majorBidi" w:hAnsiTheme="majorBidi" w:cstheme="majorBidi"/>
          <w:lang w:val="es-ES_tradnl"/>
        </w:rPr>
        <w:t xml:space="preserve">10.4.2: </w:t>
      </w:r>
      <w:bookmarkEnd w:id="550"/>
      <w:r w:rsidRPr="009A7C21">
        <w:rPr>
          <w:rFonts w:asciiTheme="majorBidi" w:hAnsiTheme="majorBidi" w:cstheme="majorBidi"/>
          <w:lang w:val="es-ES"/>
        </w:rPr>
        <w:t>Necesidades especiales de los usuarios</w:t>
      </w:r>
    </w:p>
    <w:p w:rsidR="00FC2152" w:rsidRPr="00A43C05" w:rsidRDefault="00FC2152" w:rsidP="00FC2152">
      <w:pPr>
        <w:spacing w:before="0"/>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72"/>
        <w:gridCol w:w="6831"/>
      </w:tblGrid>
      <w:tr w:rsidR="00FC2152" w:rsidRPr="00A43C05" w:rsidTr="00C15894">
        <w:tc>
          <w:tcPr>
            <w:tcW w:w="2072" w:type="dxa"/>
          </w:tcPr>
          <w:p w:rsidR="00FC2152" w:rsidRDefault="00C82893" w:rsidP="00C82893">
            <w:pPr>
              <w:pStyle w:val="Tablehead"/>
              <w:framePr w:hSpace="181" w:wrap="around" w:vAnchor="text" w:hAnchor="margin" w:xAlign="center" w:y="1"/>
            </w:pPr>
            <w:r w:rsidRPr="00C82893">
              <w:rPr>
                <w:lang w:val="es-ES_tradnl"/>
              </w:rPr>
              <w:t>Elemento</w:t>
            </w:r>
          </w:p>
        </w:tc>
        <w:tc>
          <w:tcPr>
            <w:tcW w:w="6831" w:type="dxa"/>
          </w:tcPr>
          <w:p w:rsidR="00FC2152" w:rsidRPr="00A43C05" w:rsidRDefault="00C82893" w:rsidP="00C82893">
            <w:pPr>
              <w:pStyle w:val="Tablehead"/>
              <w:framePr w:hSpace="181" w:wrap="around" w:vAnchor="text" w:hAnchor="margin" w:xAlign="center" w:y="1"/>
              <w:rPr>
                <w:lang w:val="es-ES_tradnl"/>
              </w:rPr>
            </w:pPr>
            <w:r w:rsidRPr="00C82893">
              <w:rPr>
                <w:lang w:val="es-ES_tradnl"/>
              </w:rPr>
              <w:t>Necesidades de los usuarios y fundamento</w:t>
            </w:r>
          </w:p>
        </w:tc>
      </w:tr>
      <w:tr w:rsidR="00FC2152" w:rsidRPr="00A43C05" w:rsidTr="00C15894">
        <w:tc>
          <w:tcPr>
            <w:tcW w:w="2072" w:type="dxa"/>
            <w:tcMar>
              <w:left w:w="108" w:type="dxa"/>
              <w:right w:w="108" w:type="dxa"/>
            </w:tcMar>
          </w:tcPr>
          <w:p w:rsidR="00FC2152" w:rsidRDefault="00C82893" w:rsidP="00C82893">
            <w:pPr>
              <w:pStyle w:val="Tabletext"/>
              <w:framePr w:hSpace="181" w:wrap="around" w:vAnchor="text" w:hAnchor="margin" w:xAlign="center" w:y="1"/>
              <w:spacing w:before="80" w:after="80"/>
              <w:jc w:val="left"/>
            </w:pPr>
            <w:r w:rsidRPr="00C82893">
              <w:rPr>
                <w:lang w:val="es-ES_tradnl"/>
              </w:rPr>
              <w:t>Costos</w:t>
            </w:r>
          </w:p>
        </w:tc>
        <w:tc>
          <w:tcPr>
            <w:tcW w:w="6831" w:type="dxa"/>
            <w:tcMar>
              <w:left w:w="108" w:type="dxa"/>
              <w:right w:w="108" w:type="dxa"/>
            </w:tcMar>
          </w:tcPr>
          <w:p w:rsidR="00C82893" w:rsidRPr="002C1BA9" w:rsidRDefault="00C82893" w:rsidP="00C82893">
            <w:pPr>
              <w:pStyle w:val="Tabletext"/>
              <w:framePr w:hSpace="181" w:wrap="around" w:vAnchor="text" w:hAnchor="margin" w:xAlign="center" w:y="1"/>
              <w:spacing w:before="80" w:after="80"/>
              <w:jc w:val="left"/>
              <w:rPr>
                <w:szCs w:val="22"/>
                <w:lang w:val="es-ES"/>
              </w:rPr>
            </w:pPr>
            <w:r w:rsidRPr="002C1BA9">
              <w:rPr>
                <w:szCs w:val="22"/>
                <w:lang w:val="es-ES"/>
              </w:rPr>
              <w:t>•</w:t>
            </w:r>
            <w:r w:rsidRPr="002C1BA9">
              <w:rPr>
                <w:szCs w:val="22"/>
                <w:lang w:val="es-ES"/>
              </w:rPr>
              <w:tab/>
              <w:t>Precios razonables de servicios y terminales.</w:t>
            </w:r>
          </w:p>
          <w:p w:rsidR="00C82893" w:rsidRPr="002C1BA9" w:rsidRDefault="00C82893" w:rsidP="00C82893">
            <w:pPr>
              <w:pStyle w:val="Tabletext"/>
              <w:framePr w:hSpace="181" w:wrap="around" w:vAnchor="text" w:hAnchor="margin" w:xAlign="center" w:y="1"/>
              <w:spacing w:before="80" w:after="80"/>
              <w:jc w:val="left"/>
              <w:rPr>
                <w:szCs w:val="22"/>
                <w:lang w:val="es-ES"/>
              </w:rPr>
            </w:pPr>
            <w:r w:rsidRPr="002C1BA9">
              <w:rPr>
                <w:szCs w:val="22"/>
                <w:lang w:val="es-ES"/>
              </w:rPr>
              <w:t>•</w:t>
            </w:r>
            <w:r w:rsidRPr="002C1BA9">
              <w:rPr>
                <w:szCs w:val="22"/>
                <w:lang w:val="es-ES"/>
              </w:rPr>
              <w:tab/>
              <w:t>Las tarifas para el usuario final deben ser razonables.</w:t>
            </w:r>
          </w:p>
          <w:p w:rsidR="00C82893" w:rsidRPr="002C1BA9" w:rsidRDefault="00C82893" w:rsidP="00C82893">
            <w:pPr>
              <w:pStyle w:val="Tabletext"/>
              <w:framePr w:hSpace="181" w:wrap="around" w:vAnchor="text" w:hAnchor="margin" w:xAlign="center" w:y="1"/>
              <w:spacing w:before="80" w:after="80"/>
              <w:jc w:val="left"/>
              <w:rPr>
                <w:szCs w:val="22"/>
                <w:lang w:val="es-ES"/>
              </w:rPr>
            </w:pPr>
            <w:r w:rsidRPr="002C1BA9">
              <w:rPr>
                <w:szCs w:val="22"/>
                <w:lang w:val="es-ES"/>
              </w:rPr>
              <w:t>•</w:t>
            </w:r>
            <w:r w:rsidRPr="002C1BA9">
              <w:rPr>
                <w:szCs w:val="22"/>
                <w:lang w:val="es-ES"/>
              </w:rPr>
              <w:tab/>
              <w:t>Servicios de previo pago.</w:t>
            </w:r>
          </w:p>
          <w:p w:rsidR="00FC2152" w:rsidRPr="00A43C05" w:rsidRDefault="00C82893" w:rsidP="00C82893">
            <w:pPr>
              <w:pStyle w:val="Tabletext"/>
              <w:framePr w:hSpace="181" w:wrap="around" w:vAnchor="text" w:hAnchor="margin" w:xAlign="center" w:y="1"/>
              <w:spacing w:before="80" w:after="80"/>
              <w:jc w:val="left"/>
              <w:rPr>
                <w:lang w:val="es-ES_tradnl"/>
              </w:rPr>
            </w:pPr>
            <w:r w:rsidRPr="002C1BA9">
              <w:rPr>
                <w:szCs w:val="22"/>
                <w:lang w:val="es-ES"/>
              </w:rPr>
              <w:t>•</w:t>
            </w:r>
            <w:r w:rsidRPr="002C1BA9">
              <w:rPr>
                <w:szCs w:val="22"/>
                <w:lang w:val="es-ES"/>
              </w:rPr>
              <w:tab/>
              <w:t>Pago por la parte llamante.</w:t>
            </w:r>
          </w:p>
        </w:tc>
      </w:tr>
      <w:tr w:rsidR="00FC2152" w:rsidRPr="00A43C05" w:rsidTr="00C15894">
        <w:tc>
          <w:tcPr>
            <w:tcW w:w="2072" w:type="dxa"/>
            <w:tcMar>
              <w:left w:w="108" w:type="dxa"/>
              <w:right w:w="108" w:type="dxa"/>
            </w:tcMar>
          </w:tcPr>
          <w:p w:rsidR="00FC2152" w:rsidRDefault="00C82893" w:rsidP="00C82893">
            <w:pPr>
              <w:pStyle w:val="Tabletext"/>
              <w:framePr w:hSpace="181" w:wrap="around" w:vAnchor="text" w:hAnchor="margin" w:xAlign="center" w:y="1"/>
              <w:spacing w:before="80" w:after="80"/>
              <w:jc w:val="left"/>
            </w:pPr>
            <w:proofErr w:type="spellStart"/>
            <w:r w:rsidRPr="00C82893">
              <w:rPr>
                <w:lang w:val="en-US"/>
              </w:rPr>
              <w:t>Terminales</w:t>
            </w:r>
            <w:proofErr w:type="spellEnd"/>
          </w:p>
        </w:tc>
        <w:tc>
          <w:tcPr>
            <w:tcW w:w="6831" w:type="dxa"/>
            <w:tcMar>
              <w:left w:w="108" w:type="dxa"/>
              <w:right w:w="108" w:type="dxa"/>
            </w:tcMar>
          </w:tcPr>
          <w:p w:rsidR="00C82893" w:rsidRPr="002C1BA9" w:rsidRDefault="00C82893" w:rsidP="00C82893">
            <w:pPr>
              <w:pStyle w:val="Tabletext"/>
              <w:framePr w:hSpace="181" w:wrap="around" w:vAnchor="text" w:hAnchor="margin" w:xAlign="center" w:y="1"/>
              <w:spacing w:before="80" w:after="80"/>
              <w:ind w:left="284" w:hanging="284"/>
              <w:jc w:val="left"/>
              <w:rPr>
                <w:szCs w:val="22"/>
                <w:lang w:val="es-ES"/>
              </w:rPr>
            </w:pPr>
            <w:r w:rsidRPr="002C1BA9">
              <w:rPr>
                <w:szCs w:val="22"/>
                <w:lang w:val="es-ES"/>
              </w:rPr>
              <w:t>•</w:t>
            </w:r>
            <w:r w:rsidRPr="002C1BA9">
              <w:rPr>
                <w:szCs w:val="22"/>
                <w:lang w:val="es-ES"/>
              </w:rPr>
              <w:tab/>
              <w:t>Facilidad de uso y carácter práctico de los terminales, larga duración de sus baterías.</w:t>
            </w:r>
          </w:p>
          <w:p w:rsidR="00FC2152" w:rsidRPr="00A43C05" w:rsidRDefault="00C82893" w:rsidP="00C82893">
            <w:pPr>
              <w:pStyle w:val="Tabletext"/>
              <w:framePr w:hSpace="181" w:wrap="around" w:vAnchor="text" w:hAnchor="margin" w:xAlign="center" w:y="1"/>
              <w:spacing w:before="80" w:after="80"/>
              <w:ind w:left="284" w:hanging="284"/>
              <w:jc w:val="left"/>
              <w:rPr>
                <w:lang w:val="es-ES_tradnl"/>
              </w:rPr>
            </w:pPr>
            <w:r w:rsidRPr="002C1BA9">
              <w:rPr>
                <w:szCs w:val="22"/>
                <w:lang w:val="es-ES"/>
              </w:rPr>
              <w:t>•</w:t>
            </w:r>
            <w:r w:rsidRPr="002C1BA9">
              <w:rPr>
                <w:szCs w:val="22"/>
                <w:lang w:val="es-ES"/>
              </w:rPr>
              <w:tab/>
              <w:t>Terminales que soporten los requisitos idiomáticos locales y tengan en cuenta el grado de alfabetización en el país.</w:t>
            </w:r>
          </w:p>
        </w:tc>
      </w:tr>
      <w:tr w:rsidR="00FC2152" w:rsidRPr="00A43C05" w:rsidTr="00C15894">
        <w:tc>
          <w:tcPr>
            <w:tcW w:w="2072" w:type="dxa"/>
            <w:tcMar>
              <w:left w:w="108" w:type="dxa"/>
              <w:right w:w="108" w:type="dxa"/>
            </w:tcMar>
          </w:tcPr>
          <w:p w:rsidR="00FC2152" w:rsidRDefault="00C82893" w:rsidP="00C82893">
            <w:pPr>
              <w:pStyle w:val="Tabletext"/>
              <w:framePr w:hSpace="181" w:wrap="around" w:vAnchor="text" w:hAnchor="margin" w:xAlign="center" w:y="1"/>
              <w:spacing w:before="80" w:after="80"/>
              <w:jc w:val="left"/>
            </w:pPr>
            <w:r w:rsidRPr="00C82893">
              <w:rPr>
                <w:lang w:val="es-ES_tradnl"/>
              </w:rPr>
              <w:t xml:space="preserve">Facilidad de </w:t>
            </w:r>
            <w:proofErr w:type="spellStart"/>
            <w:r w:rsidRPr="00C82893">
              <w:rPr>
                <w:lang w:val="es-ES_tradnl"/>
              </w:rPr>
              <w:t>itinerancia</w:t>
            </w:r>
            <w:proofErr w:type="spellEnd"/>
          </w:p>
        </w:tc>
        <w:tc>
          <w:tcPr>
            <w:tcW w:w="6831" w:type="dxa"/>
            <w:tcMar>
              <w:left w:w="108" w:type="dxa"/>
              <w:right w:w="108" w:type="dxa"/>
            </w:tcMar>
          </w:tcPr>
          <w:p w:rsidR="00C82893" w:rsidRPr="002C1BA9" w:rsidRDefault="00C82893" w:rsidP="00C82893">
            <w:pPr>
              <w:pStyle w:val="Tabletext"/>
              <w:framePr w:hSpace="181" w:wrap="around" w:vAnchor="text" w:hAnchor="margin" w:xAlign="center" w:y="1"/>
              <w:spacing w:before="80" w:after="80"/>
              <w:ind w:left="284" w:hanging="284"/>
              <w:jc w:val="left"/>
              <w:rPr>
                <w:szCs w:val="22"/>
                <w:lang w:val="es-ES"/>
              </w:rPr>
            </w:pPr>
            <w:r w:rsidRPr="002C1BA9">
              <w:rPr>
                <w:szCs w:val="22"/>
                <w:lang w:val="es-ES"/>
              </w:rPr>
              <w:t>•</w:t>
            </w:r>
            <w:r w:rsidRPr="002C1BA9">
              <w:rPr>
                <w:szCs w:val="22"/>
                <w:lang w:val="es-ES"/>
              </w:rPr>
              <w:tab/>
              <w:t>Los usuarios desean utilizar sus terminales cuando están de viaje.</w:t>
            </w:r>
          </w:p>
          <w:p w:rsidR="00FC2152" w:rsidRPr="00A43C05" w:rsidRDefault="00C82893" w:rsidP="00C82893">
            <w:pPr>
              <w:pStyle w:val="Tabletext"/>
              <w:framePr w:hSpace="181" w:wrap="around" w:vAnchor="text" w:hAnchor="margin" w:xAlign="center" w:y="1"/>
              <w:spacing w:before="80" w:after="80"/>
              <w:ind w:left="284" w:hanging="284"/>
              <w:jc w:val="left"/>
              <w:rPr>
                <w:lang w:val="es-ES_tradnl"/>
              </w:rPr>
            </w:pPr>
            <w:r w:rsidRPr="002C1BA9">
              <w:rPr>
                <w:szCs w:val="22"/>
                <w:lang w:val="es-ES"/>
              </w:rPr>
              <w:t>•</w:t>
            </w:r>
            <w:r w:rsidRPr="002C1BA9">
              <w:rPr>
                <w:szCs w:val="22"/>
                <w:lang w:val="es-ES"/>
              </w:rPr>
              <w:tab/>
              <w:t xml:space="preserve">Se facilita la </w:t>
            </w:r>
            <w:proofErr w:type="spellStart"/>
            <w:r w:rsidRPr="002C1BA9">
              <w:rPr>
                <w:szCs w:val="22"/>
                <w:lang w:val="es-ES"/>
              </w:rPr>
              <w:t>itinerancia</w:t>
            </w:r>
            <w:proofErr w:type="spellEnd"/>
            <w:r w:rsidRPr="002C1BA9">
              <w:rPr>
                <w:szCs w:val="22"/>
                <w:lang w:val="es-ES"/>
              </w:rPr>
              <w:t xml:space="preserve"> gracias a su reducido precio y a la disponibilidad de tecnologías y terminales compatibles en el extranjero.</w:t>
            </w:r>
          </w:p>
        </w:tc>
      </w:tr>
      <w:tr w:rsidR="00FC2152" w:rsidRPr="00A43C05" w:rsidTr="00C15894">
        <w:trPr>
          <w:trHeight w:val="241"/>
        </w:trPr>
        <w:tc>
          <w:tcPr>
            <w:tcW w:w="2072" w:type="dxa"/>
            <w:tcMar>
              <w:left w:w="108" w:type="dxa"/>
              <w:right w:w="108" w:type="dxa"/>
            </w:tcMar>
          </w:tcPr>
          <w:p w:rsidR="00FC2152" w:rsidRDefault="00C82893" w:rsidP="00C82893">
            <w:pPr>
              <w:pStyle w:val="Tabletext"/>
              <w:framePr w:hSpace="181" w:wrap="around" w:vAnchor="text" w:hAnchor="margin" w:xAlign="center" w:y="1"/>
              <w:jc w:val="left"/>
            </w:pPr>
            <w:r w:rsidRPr="00C82893">
              <w:rPr>
                <w:lang w:val="es-ES_tradnl"/>
              </w:rPr>
              <w:t>Servicios y aplicaciones</w:t>
            </w:r>
          </w:p>
        </w:tc>
        <w:tc>
          <w:tcPr>
            <w:tcW w:w="6831" w:type="dxa"/>
            <w:tcMar>
              <w:left w:w="108" w:type="dxa"/>
              <w:right w:w="108" w:type="dxa"/>
            </w:tcMar>
          </w:tcPr>
          <w:p w:rsidR="00C82893" w:rsidRPr="002C1BA9" w:rsidRDefault="00C82893" w:rsidP="00C82893">
            <w:pPr>
              <w:pStyle w:val="Tabletext"/>
              <w:framePr w:hSpace="181" w:wrap="around" w:vAnchor="text" w:hAnchor="margin" w:xAlign="center" w:y="1"/>
              <w:ind w:left="284" w:hanging="284"/>
              <w:jc w:val="left"/>
              <w:rPr>
                <w:szCs w:val="22"/>
                <w:lang w:val="es-ES"/>
              </w:rPr>
            </w:pPr>
            <w:r w:rsidRPr="002C1BA9">
              <w:rPr>
                <w:szCs w:val="22"/>
                <w:lang w:val="es-ES"/>
              </w:rPr>
              <w:t>•</w:t>
            </w:r>
            <w:r w:rsidRPr="002C1BA9">
              <w:rPr>
                <w:szCs w:val="22"/>
                <w:lang w:val="es-ES"/>
              </w:rPr>
              <w:tab/>
              <w:t>Utilización de las IMT</w:t>
            </w:r>
            <w:r w:rsidRPr="002C1BA9">
              <w:rPr>
                <w:szCs w:val="22"/>
                <w:lang w:val="es-ES"/>
              </w:rPr>
              <w:noBreakHyphen/>
              <w:t xml:space="preserve">2000 para la teleeducación, </w:t>
            </w:r>
            <w:proofErr w:type="spellStart"/>
            <w:r w:rsidRPr="002C1BA9">
              <w:rPr>
                <w:szCs w:val="22"/>
                <w:lang w:val="es-ES"/>
              </w:rPr>
              <w:t>cibersanidad</w:t>
            </w:r>
            <w:proofErr w:type="spellEnd"/>
            <w:r w:rsidRPr="002C1BA9">
              <w:rPr>
                <w:szCs w:val="22"/>
                <w:lang w:val="es-ES"/>
              </w:rPr>
              <w:t xml:space="preserve"> y cibercomercio en los pueblos remotos, para el desarrollo económico rural y para el acceso a Internet a un precio razonable. </w:t>
            </w:r>
          </w:p>
          <w:p w:rsidR="00C82893" w:rsidRPr="002C1BA9" w:rsidRDefault="00C82893" w:rsidP="00C82893">
            <w:pPr>
              <w:pStyle w:val="Tabletext"/>
              <w:framePr w:hSpace="181" w:wrap="around" w:vAnchor="text" w:hAnchor="margin" w:xAlign="center" w:y="1"/>
              <w:ind w:left="284" w:hanging="284"/>
              <w:jc w:val="left"/>
              <w:rPr>
                <w:szCs w:val="22"/>
                <w:lang w:val="es-ES_tradnl"/>
              </w:rPr>
            </w:pPr>
            <w:r w:rsidRPr="002C1BA9">
              <w:rPr>
                <w:szCs w:val="22"/>
                <w:lang w:val="es-ES_tradnl"/>
              </w:rPr>
              <w:t>•</w:t>
            </w:r>
            <w:r w:rsidRPr="002C1BA9">
              <w:rPr>
                <w:szCs w:val="22"/>
                <w:lang w:val="es-ES_tradnl"/>
              </w:rPr>
              <w:tab/>
              <w:t xml:space="preserve">Consideración de las necesidades de los usuarios. </w:t>
            </w:r>
          </w:p>
          <w:p w:rsidR="00FC2152" w:rsidRPr="00A43C05" w:rsidRDefault="00C82893" w:rsidP="00C82893">
            <w:pPr>
              <w:pStyle w:val="Tabletext"/>
              <w:framePr w:hSpace="181" w:wrap="around" w:vAnchor="text" w:hAnchor="margin" w:xAlign="center" w:y="1"/>
              <w:ind w:left="284" w:hanging="284"/>
              <w:jc w:val="left"/>
              <w:rPr>
                <w:lang w:val="es-ES_tradnl"/>
              </w:rPr>
            </w:pPr>
            <w:r w:rsidRPr="002C1BA9">
              <w:rPr>
                <w:szCs w:val="22"/>
                <w:lang w:val="es-ES_tradnl"/>
              </w:rPr>
              <w:t>•</w:t>
            </w:r>
            <w:r w:rsidRPr="002C1BA9">
              <w:rPr>
                <w:szCs w:val="22"/>
                <w:lang w:val="es-ES_tradnl"/>
              </w:rPr>
              <w:tab/>
              <w:t>Capacitación de los usuarios en aplicaciones inalámbricas de datos.</w:t>
            </w:r>
          </w:p>
        </w:tc>
      </w:tr>
      <w:tr w:rsidR="00FC2152" w:rsidRPr="00A43C05" w:rsidTr="00C15894">
        <w:trPr>
          <w:trHeight w:val="241"/>
        </w:trPr>
        <w:tc>
          <w:tcPr>
            <w:tcW w:w="2072" w:type="dxa"/>
            <w:tcMar>
              <w:left w:w="108" w:type="dxa"/>
              <w:right w:w="108" w:type="dxa"/>
            </w:tcMar>
          </w:tcPr>
          <w:p w:rsidR="00FC2152" w:rsidRDefault="00C82893" w:rsidP="00C82893">
            <w:pPr>
              <w:pStyle w:val="Tabletext"/>
              <w:framePr w:hSpace="181" w:wrap="around" w:vAnchor="text" w:hAnchor="margin" w:xAlign="center" w:y="1"/>
              <w:jc w:val="left"/>
            </w:pPr>
            <w:r w:rsidRPr="00C82893">
              <w:rPr>
                <w:lang w:val="es-ES_tradnl"/>
              </w:rPr>
              <w:t>Portabilidad de números</w:t>
            </w:r>
          </w:p>
        </w:tc>
        <w:tc>
          <w:tcPr>
            <w:tcW w:w="6831" w:type="dxa"/>
            <w:tcMar>
              <w:left w:w="108" w:type="dxa"/>
              <w:right w:w="108" w:type="dxa"/>
            </w:tcMar>
          </w:tcPr>
          <w:p w:rsidR="00FC2152" w:rsidRPr="00A43C05" w:rsidRDefault="00C82893" w:rsidP="00C82893">
            <w:pPr>
              <w:pStyle w:val="Tabletext"/>
              <w:framePr w:hSpace="181" w:wrap="around" w:vAnchor="text" w:hAnchor="margin" w:xAlign="center" w:y="1"/>
              <w:ind w:left="284" w:hanging="284"/>
              <w:jc w:val="left"/>
              <w:rPr>
                <w:lang w:val="es-ES_tradnl"/>
              </w:rPr>
            </w:pPr>
            <w:r w:rsidRPr="00C82893">
              <w:rPr>
                <w:lang w:val="es-ES_tradnl"/>
              </w:rPr>
              <w:t>•</w:t>
            </w:r>
            <w:r w:rsidRPr="00C82893">
              <w:rPr>
                <w:lang w:val="es-ES_tradnl"/>
              </w:rPr>
              <w:tab/>
              <w:t>Que ofrezca a los usuarios la oportunidad de escoger el operador sin cambiar el número de teléfono lo que pueda resultar importante por razones de índole personal o corporativa.</w:t>
            </w:r>
          </w:p>
        </w:tc>
      </w:tr>
    </w:tbl>
    <w:p w:rsidR="00FC2152" w:rsidRPr="00A43C05" w:rsidRDefault="00FC2152" w:rsidP="00FC2152">
      <w:pPr>
        <w:pStyle w:val="FigureSource"/>
        <w:rPr>
          <w:lang w:val="es-ES_tradnl"/>
        </w:rPr>
      </w:pPr>
    </w:p>
    <w:p w:rsidR="00457C97" w:rsidRPr="00A43C05" w:rsidRDefault="00457C97" w:rsidP="00245306">
      <w:pPr>
        <w:pStyle w:val="Heading3"/>
        <w:rPr>
          <w:lang w:val="es-ES_tradnl"/>
        </w:rPr>
      </w:pPr>
      <w:bookmarkStart w:id="551" w:name="_Toc236826263"/>
      <w:bookmarkStart w:id="552" w:name="_Toc255292566"/>
      <w:bookmarkStart w:id="553" w:name="_Toc259024269"/>
      <w:r w:rsidRPr="00A43C05">
        <w:rPr>
          <w:lang w:val="es-ES_tradnl"/>
        </w:rPr>
        <w:t>10.4.3</w:t>
      </w:r>
      <w:r w:rsidRPr="00A43C05">
        <w:rPr>
          <w:lang w:val="es-ES_tradnl"/>
        </w:rPr>
        <w:tab/>
      </w:r>
      <w:bookmarkEnd w:id="551"/>
      <w:bookmarkEnd w:id="552"/>
      <w:r w:rsidR="00245306" w:rsidRPr="00245306">
        <w:rPr>
          <w:lang w:val="es-ES_tradnl"/>
        </w:rPr>
        <w:t>Flexibilidad del marco reglamentario para facilitar la transición</w:t>
      </w:r>
      <w:bookmarkEnd w:id="553"/>
    </w:p>
    <w:p w:rsidR="00245306" w:rsidRDefault="00245306" w:rsidP="00245306">
      <w:pPr>
        <w:rPr>
          <w:lang w:val="es-ES"/>
        </w:rPr>
      </w:pPr>
      <w:r w:rsidRPr="00965C71">
        <w:rPr>
          <w:lang w:val="es-ES"/>
        </w:rPr>
        <w:t xml:space="preserve">La adopción de políticas flexibles para la atribución nacional de espectro radioeléctrico y para la elección de tecnologías ofrece incentivos comerciales para el desarrollo y despliegue de servicios inalámbricos avanzados en todo el mundo. </w:t>
      </w:r>
      <w:r>
        <w:rPr>
          <w:lang w:val="es-ES"/>
        </w:rPr>
        <w:t>Existe la posibilidad de que</w:t>
      </w:r>
      <w:r w:rsidRPr="00965C71">
        <w:rPr>
          <w:lang w:val="es-ES"/>
        </w:rPr>
        <w:t xml:space="preserve"> los organismos reguladores deseen permitir que los operadores efectúen la transición a las IMT-2000 de sus sistemas anteriores a éstas utilizando el espectro para el que tiene</w:t>
      </w:r>
      <w:r>
        <w:rPr>
          <w:lang w:val="es-ES"/>
        </w:rPr>
        <w:t>n</w:t>
      </w:r>
      <w:r w:rsidRPr="00965C71">
        <w:rPr>
          <w:lang w:val="es-ES"/>
        </w:rPr>
        <w:t xml:space="preserve"> licencia, de modo que </w:t>
      </w:r>
      <w:r>
        <w:rPr>
          <w:lang w:val="es-ES"/>
        </w:rPr>
        <w:t>se eviten el despliegue de</w:t>
      </w:r>
      <w:r w:rsidRPr="00965C71">
        <w:rPr>
          <w:lang w:val="es-ES"/>
        </w:rPr>
        <w:t xml:space="preserve"> estos sistemas en nuevas bandas de frecuencias. Esta flexibilidad espectral beneficia a los operadores al permitirles invertir recursos de capital en la mejora de sus sistemas</w:t>
      </w:r>
      <w:r>
        <w:rPr>
          <w:lang w:val="es-ES"/>
        </w:rPr>
        <w:t>, conteniendo</w:t>
      </w:r>
      <w:r w:rsidRPr="00965C71">
        <w:rPr>
          <w:lang w:val="es-ES"/>
        </w:rPr>
        <w:t xml:space="preserve"> los costos. Esto puede conseguirse también si se minimizan los costos de expedición de licencias para nuevo espectro.</w:t>
      </w:r>
    </w:p>
    <w:p w:rsidR="00245306" w:rsidRPr="00965C71" w:rsidRDefault="00245306" w:rsidP="00245306">
      <w:pPr>
        <w:rPr>
          <w:lang w:val="es-ES"/>
        </w:rPr>
      </w:pPr>
      <w:r w:rsidRPr="00965C71">
        <w:rPr>
          <w:lang w:val="es-ES"/>
        </w:rPr>
        <w:t>Al elaborar la política de espectro, los organismos reguladores deben ser conscientes de que los servicios que permiten las tecnologías más avanzadas consumirán una gran anchura de banda de modo que los operadores exigirán más espectro contiguo para desplegar estas nuevas tecnologías principalmente en las ciudades más pobladas a fin de evitar que se deteriore la calidad de servicio.</w:t>
      </w:r>
    </w:p>
    <w:p w:rsidR="00457C97" w:rsidRPr="00A43C05" w:rsidRDefault="00245306" w:rsidP="00245306">
      <w:pPr>
        <w:rPr>
          <w:lang w:val="es-ES_tradnl"/>
        </w:rPr>
      </w:pPr>
      <w:r w:rsidRPr="00965C71">
        <w:rPr>
          <w:lang w:val="es-ES"/>
        </w:rPr>
        <w:t>La UIT recomienda el despliegue de los sistemas IMT</w:t>
      </w:r>
      <w:r w:rsidRPr="00965C71">
        <w:rPr>
          <w:lang w:val="es-ES"/>
        </w:rPr>
        <w:noBreakHyphen/>
        <w:t>2000 en las bandas identificadas en el Reglamento de Radiocomunicaciones para las IMT</w:t>
      </w:r>
      <w:r w:rsidRPr="00965C71">
        <w:rPr>
          <w:lang w:val="es-ES"/>
        </w:rPr>
        <w:noBreakHyphen/>
        <w:t xml:space="preserve">2000. La Recomendación UIT-R M.1036 estipula que las administraciones pueden desplegar sistemas IMT-2000 en bandas distintas a las identificadas en el Reglamento de Radiocomunicaciones pero que </w:t>
      </w:r>
      <w:r>
        <w:rPr>
          <w:lang w:val="es-ES"/>
        </w:rPr>
        <w:t xml:space="preserve">es posible que </w:t>
      </w:r>
      <w:r w:rsidRPr="00965C71">
        <w:rPr>
          <w:lang w:val="es-ES"/>
        </w:rPr>
        <w:t xml:space="preserve">en estas bandas no </w:t>
      </w:r>
      <w:r>
        <w:rPr>
          <w:lang w:val="es-ES"/>
        </w:rPr>
        <w:t>puedan obtener</w:t>
      </w:r>
      <w:r w:rsidRPr="00965C71">
        <w:rPr>
          <w:lang w:val="es-ES"/>
        </w:rPr>
        <w:t xml:space="preserve"> economías de escala.</w:t>
      </w:r>
    </w:p>
    <w:p w:rsidR="00457C97" w:rsidRPr="00A43C05" w:rsidRDefault="00457C97" w:rsidP="00245306">
      <w:pPr>
        <w:pStyle w:val="Heading3"/>
        <w:rPr>
          <w:lang w:val="es-ES_tradnl"/>
        </w:rPr>
      </w:pPr>
      <w:bookmarkStart w:id="554" w:name="_Toc236826264"/>
      <w:bookmarkStart w:id="555" w:name="_Toc255292567"/>
      <w:bookmarkStart w:id="556" w:name="_Toc259024270"/>
      <w:r w:rsidRPr="00A43C05">
        <w:rPr>
          <w:lang w:val="es-ES_tradnl"/>
        </w:rPr>
        <w:lastRenderedPageBreak/>
        <w:t>10.4.4</w:t>
      </w:r>
      <w:r w:rsidRPr="00A43C05">
        <w:rPr>
          <w:lang w:val="es-ES_tradnl"/>
        </w:rPr>
        <w:tab/>
      </w:r>
      <w:bookmarkEnd w:id="554"/>
      <w:bookmarkEnd w:id="555"/>
      <w:r w:rsidR="00245306" w:rsidRPr="00245306">
        <w:rPr>
          <w:lang w:val="es-ES_tradnl"/>
        </w:rPr>
        <w:t>Aspectos del régimen de licencias</w:t>
      </w:r>
      <w:bookmarkEnd w:id="556"/>
    </w:p>
    <w:p w:rsidR="00457C97" w:rsidRPr="00A43C05" w:rsidRDefault="00457C97" w:rsidP="00245306">
      <w:pPr>
        <w:pStyle w:val="Heading4"/>
        <w:rPr>
          <w:lang w:val="es-ES_tradnl"/>
        </w:rPr>
      </w:pPr>
      <w:bookmarkStart w:id="557" w:name="_Toc44428209"/>
      <w:bookmarkStart w:id="558" w:name="_Toc44446732"/>
      <w:bookmarkStart w:id="559" w:name="_Toc53323396"/>
      <w:bookmarkStart w:id="560" w:name="_Toc63611602"/>
      <w:bookmarkStart w:id="561" w:name="_Toc89083676"/>
      <w:bookmarkStart w:id="562" w:name="_Toc92878200"/>
      <w:bookmarkStart w:id="563" w:name="_Toc101931247"/>
      <w:bookmarkStart w:id="564" w:name="_Toc103399266"/>
      <w:bookmarkStart w:id="565" w:name="_Toc103400344"/>
      <w:bookmarkStart w:id="566" w:name="_Toc103400808"/>
      <w:bookmarkStart w:id="567" w:name="_Toc103401272"/>
      <w:bookmarkStart w:id="568" w:name="_Toc103401737"/>
      <w:bookmarkStart w:id="569" w:name="_Toc103402203"/>
      <w:bookmarkStart w:id="570" w:name="_Toc103402668"/>
      <w:bookmarkStart w:id="571" w:name="_Toc103403433"/>
      <w:bookmarkStart w:id="572" w:name="_Toc103421203"/>
      <w:bookmarkStart w:id="573" w:name="_Toc103528377"/>
      <w:bookmarkStart w:id="574" w:name="_Toc236826265"/>
      <w:r w:rsidRPr="00A43C05">
        <w:rPr>
          <w:lang w:val="es-ES_tradnl"/>
        </w:rPr>
        <w:t>10.4.4.1</w:t>
      </w:r>
      <w:r w:rsidRPr="00A43C05">
        <w:rPr>
          <w:lang w:val="es-ES_tradnl"/>
        </w:rPr>
        <w:tab/>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00245306" w:rsidRPr="00245306">
        <w:rPr>
          <w:lang w:val="es-ES_tradnl"/>
        </w:rPr>
        <w:t>Condiciones del régimen de licencias</w:t>
      </w:r>
    </w:p>
    <w:p w:rsidR="00245306" w:rsidRPr="00965C71" w:rsidRDefault="00245306" w:rsidP="00245306">
      <w:pPr>
        <w:rPr>
          <w:lang w:val="es-ES"/>
        </w:rPr>
      </w:pPr>
      <w:r w:rsidRPr="00965C71">
        <w:rPr>
          <w:lang w:val="es-ES"/>
        </w:rPr>
        <w:t xml:space="preserve">Las condiciones </w:t>
      </w:r>
      <w:r>
        <w:rPr>
          <w:lang w:val="es-ES"/>
        </w:rPr>
        <w:t xml:space="preserve">del régimen de </w:t>
      </w:r>
      <w:r w:rsidRPr="00965C71">
        <w:rPr>
          <w:lang w:val="es-ES"/>
        </w:rPr>
        <w:t>licencias figuran entre los aspectos reglamentarios que revisten importancia para los países en desarrollo.</w:t>
      </w:r>
    </w:p>
    <w:p w:rsidR="00245306" w:rsidRPr="00A43C05" w:rsidRDefault="00245306" w:rsidP="00245306">
      <w:pPr>
        <w:pStyle w:val="enumlev1"/>
        <w:rPr>
          <w:lang w:val="es-ES_tradnl"/>
        </w:rPr>
      </w:pPr>
      <w:r w:rsidRPr="00965C71">
        <w:rPr>
          <w:lang w:val="es-ES"/>
        </w:rPr>
        <w:t>•</w:t>
      </w:r>
      <w:r w:rsidRPr="00965C71">
        <w:rPr>
          <w:lang w:val="es-ES"/>
        </w:rPr>
        <w:tab/>
      </w:r>
      <w:r w:rsidRPr="00965C71">
        <w:rPr>
          <w:bCs/>
          <w:lang w:val="es-ES"/>
        </w:rPr>
        <w:t>Requisitos tecnológicos</w:t>
      </w:r>
      <w:r w:rsidRPr="00965C71">
        <w:rPr>
          <w:lang w:val="es-ES"/>
        </w:rPr>
        <w:t>:</w:t>
      </w:r>
      <w:r w:rsidRPr="00965C71">
        <w:rPr>
          <w:i/>
          <w:lang w:val="es-ES"/>
        </w:rPr>
        <w:t> </w:t>
      </w:r>
      <w:r w:rsidRPr="00965C71">
        <w:rPr>
          <w:lang w:val="es-ES"/>
        </w:rPr>
        <w:t>Cabe considerar si los reguladores y encargados de formular polí</w:t>
      </w:r>
      <w:r w:rsidRPr="00965C71">
        <w:rPr>
          <w:lang w:val="es-ES"/>
        </w:rPr>
        <w:softHyphen/>
        <w:t xml:space="preserve">ticas deberían </w:t>
      </w:r>
      <w:r>
        <w:rPr>
          <w:lang w:val="es-ES"/>
        </w:rPr>
        <w:t xml:space="preserve">atenerse a </w:t>
      </w:r>
      <w:r w:rsidRPr="00A43C05">
        <w:rPr>
          <w:lang w:val="es-ES_tradnl"/>
        </w:rPr>
        <w:t>un planteamiento neutral desde el punto de vista tecnológico o imponer una tecnología y un trayecto de transición específicos. La adopción de un planteamiento neutral desde el punto de vista tecnológico podría ser ventajosa para los usuarios finales en cuanto a la rapidez de la evolución tecnológica la reducción del nivel de precios. En los despliegues de redes de banda ancha del servicio móvil, es importante considerar que los servicios permitidos por las tecnologías más avanzadas consumirán una gran anchura de banda de modo que los operadores exigirán más espectro contiguo para desplegar estas nuevas tecnologías.</w:t>
      </w:r>
    </w:p>
    <w:p w:rsidR="00245306" w:rsidRPr="00A43C05" w:rsidRDefault="00245306" w:rsidP="00245306">
      <w:pPr>
        <w:pStyle w:val="enumlev1"/>
        <w:rPr>
          <w:lang w:val="es-ES_tradnl"/>
        </w:rPr>
      </w:pPr>
      <w:r w:rsidRPr="00A43C05">
        <w:rPr>
          <w:lang w:val="es-ES_tradnl"/>
        </w:rPr>
        <w:t>•</w:t>
      </w:r>
      <w:r w:rsidRPr="00A43C05">
        <w:rPr>
          <w:lang w:val="es-ES_tradnl"/>
        </w:rPr>
        <w:tab/>
        <w:t>Requisitos financieros: Contribuyen a disuadir a los participantes poco serios y a garantizar cierto nivel de calidad de funcionamiento.</w:t>
      </w:r>
    </w:p>
    <w:p w:rsidR="00245306" w:rsidRPr="00A43C05" w:rsidRDefault="00245306" w:rsidP="00245306">
      <w:pPr>
        <w:pStyle w:val="enumlev1"/>
        <w:rPr>
          <w:lang w:val="es-ES_tradnl"/>
        </w:rPr>
      </w:pPr>
      <w:r w:rsidRPr="00A43C05">
        <w:rPr>
          <w:lang w:val="es-ES_tradnl"/>
        </w:rPr>
        <w:t>•</w:t>
      </w:r>
      <w:r w:rsidRPr="00A43C05">
        <w:rPr>
          <w:lang w:val="es-ES_tradnl"/>
        </w:rPr>
        <w:tab/>
        <w:t>Cobertura: Para evitar que se desarrollen comunidades ricas en información frente a otras pobres en información, los organismos reguladores y encargados de formular políticas de los diversos países tendrán que garantizar el acceso ubicuo a los servicios IMT-2000. No obstante, desde el punto de vista del proveedor de servicios, podría no resultar viable establecer una infra</w:t>
      </w:r>
      <w:r w:rsidRPr="00A43C05">
        <w:rPr>
          <w:lang w:val="es-ES_tradnl"/>
        </w:rPr>
        <w:softHyphen/>
        <w:t>estructura onerosa en zonas de alto costo. Acaso fuera preferible desplegar la cobertura de red escalonadamente, en función de la demanda y de las probables aplicaciones. Los sistemas y tecnologías actuales deberían tener un trayecto de transición progresivo que entrañase un costo reducido. Los estudios de casos prácticos han demostrado que los operadores pueden realizar perfeccionamientos graduales y progresivos de los sistemas actuales a las IMT</w:t>
      </w:r>
      <w:r w:rsidRPr="00A43C05">
        <w:rPr>
          <w:lang w:val="es-ES_tradnl"/>
        </w:rPr>
        <w:noBreakHyphen/>
        <w:t>2000.</w:t>
      </w:r>
    </w:p>
    <w:p w:rsidR="00245306" w:rsidRPr="00A43C05" w:rsidRDefault="00245306" w:rsidP="00245306">
      <w:pPr>
        <w:pStyle w:val="enumlev1"/>
        <w:rPr>
          <w:lang w:val="es-ES_tradnl"/>
        </w:rPr>
      </w:pPr>
      <w:r w:rsidRPr="00A43C05">
        <w:rPr>
          <w:lang w:val="es-ES_tradnl"/>
        </w:rPr>
        <w:t>•</w:t>
      </w:r>
      <w:r w:rsidRPr="00A43C05">
        <w:rPr>
          <w:lang w:val="es-ES_tradnl"/>
        </w:rPr>
        <w:tab/>
        <w:t>Calendario para la expedición de licencias IMT-2000: La elección del momento oportuno para la introducción de un nuevo servicio es fundamental, aunque varíe de un país a otro. Es necesario evaluar las posibilidades del mercado y desplegar tecnologías cuyos resultados estén comprobados. Los países en desarrollo no disponen del capital necesario para experimentar con nuevas tecnologías. Sin embargo, el proceso de introducción de servicios inalámbricos de banda ancha lleva mucho tiempo y exigiría la preparación anticipada del régimen de concesión de licencias y el marco reglamentario. Sería conveniente que los países en desarrollo comenzaran a entablar consultas a este respecto, lo antes posible.</w:t>
      </w:r>
    </w:p>
    <w:p w:rsidR="00245306" w:rsidRPr="00A43C05" w:rsidRDefault="00245306" w:rsidP="00245306">
      <w:pPr>
        <w:pStyle w:val="enumlev1"/>
        <w:rPr>
          <w:lang w:val="es-ES_tradnl"/>
        </w:rPr>
      </w:pPr>
      <w:r w:rsidRPr="00A43C05">
        <w:rPr>
          <w:lang w:val="es-ES_tradnl"/>
        </w:rPr>
        <w:t>•</w:t>
      </w:r>
      <w:r w:rsidRPr="00A43C05">
        <w:rPr>
          <w:lang w:val="es-ES_tradnl"/>
        </w:rPr>
        <w:tab/>
        <w:t xml:space="preserve">Número de operadores: La limitada disponibilidad de espectro restringe el número de operadores. En los países industrializados se prefiere admitir entre tres y cinco operadores. Por otro lado, es necesario determinar quién reúne las condiciones necesarias para ser titular de esa licencia: los operadores de servicios fijos, móviles, los nuevos operadores, todos ellos o una combinación de los mismos. </w:t>
      </w:r>
    </w:p>
    <w:p w:rsidR="00245306" w:rsidRPr="00A43C05" w:rsidRDefault="00245306" w:rsidP="00245306">
      <w:pPr>
        <w:pStyle w:val="enumlev1"/>
        <w:rPr>
          <w:lang w:val="es-ES_tradnl"/>
        </w:rPr>
      </w:pPr>
      <w:r w:rsidRPr="00A43C05">
        <w:rPr>
          <w:lang w:val="es-ES_tradnl"/>
        </w:rPr>
        <w:t>•</w:t>
      </w:r>
      <w:r w:rsidRPr="00A43C05">
        <w:rPr>
          <w:lang w:val="es-ES_tradnl"/>
        </w:rPr>
        <w:tab/>
        <w:t>Compartición de infraestructuras: La compartición de infraestructuras es particularmente importante en los países con poblaciones muy dispersas y mercados de servicios móviles incipientes. Ello reduce el costo que conlleva el despliegue de las redes y puede mejorar la penetración. Asimismo, sería necesario identificar los elementos que pueden compartirse y la cuantía de la reducción del costo que comportaría dicha compartición, por ejemplo en concepto de mástiles de antenas, torres y edificios. El organismo regulador puede adoptar iniciativas para fomentar la compartición de infraestructuras.</w:t>
      </w:r>
    </w:p>
    <w:p w:rsidR="00245306" w:rsidRPr="00A43C05" w:rsidRDefault="00245306" w:rsidP="00245306">
      <w:pPr>
        <w:pStyle w:val="enumlev1"/>
        <w:rPr>
          <w:lang w:val="es-ES_tradnl"/>
        </w:rPr>
      </w:pPr>
      <w:r w:rsidRPr="00A43C05">
        <w:rPr>
          <w:lang w:val="es-ES_tradnl"/>
        </w:rPr>
        <w:t>•</w:t>
      </w:r>
      <w:r w:rsidRPr="00A43C05">
        <w:rPr>
          <w:lang w:val="es-ES_tradnl"/>
        </w:rPr>
        <w:tab/>
        <w:t>Portabilidad de números: La portabilidad de números garantiza que los clientes pueden conservar los números de sus móviles cuando se cambian a otro operador de red móvil, lo que les da la libertad de escoger entre operadores en competencia.</w:t>
      </w:r>
    </w:p>
    <w:p w:rsidR="00245306" w:rsidRPr="00A43C05" w:rsidRDefault="00245306" w:rsidP="00245306">
      <w:pPr>
        <w:pStyle w:val="enumlev1"/>
        <w:rPr>
          <w:lang w:val="es-ES_tradnl"/>
        </w:rPr>
      </w:pPr>
      <w:r w:rsidRPr="00A43C05">
        <w:rPr>
          <w:lang w:val="es-ES_tradnl"/>
        </w:rPr>
        <w:t>•</w:t>
      </w:r>
      <w:r w:rsidRPr="00A43C05">
        <w:rPr>
          <w:lang w:val="es-ES_tradnl"/>
        </w:rPr>
        <w:tab/>
        <w:t>Pago por la parte llamante: El pago por la parte llamante es un sistema que permite a los operadores facilitar el acceso a los servicios móviles por parte de los abonados de bajos ingresos.</w:t>
      </w:r>
    </w:p>
    <w:p w:rsidR="00457C97" w:rsidRPr="00A43C05" w:rsidRDefault="00245306" w:rsidP="00245306">
      <w:pPr>
        <w:rPr>
          <w:lang w:val="es-ES_tradnl"/>
        </w:rPr>
      </w:pPr>
      <w:r w:rsidRPr="00965C71">
        <w:rPr>
          <w:lang w:val="es-ES"/>
        </w:rPr>
        <w:t>Para más información, véase el Informe UIT</w:t>
      </w:r>
      <w:r w:rsidRPr="00965C71">
        <w:rPr>
          <w:lang w:val="es-ES"/>
        </w:rPr>
        <w:noBreakHyphen/>
        <w:t xml:space="preserve">R SM.2012-1 – </w:t>
      </w:r>
      <w:r w:rsidR="00030119">
        <w:rPr>
          <w:lang w:val="es-ES"/>
        </w:rPr>
        <w:t>«</w:t>
      </w:r>
      <w:r w:rsidRPr="00965C71">
        <w:rPr>
          <w:lang w:val="es-ES"/>
        </w:rPr>
        <w:t>Aspectos económicos de la gestión del espectro</w:t>
      </w:r>
      <w:r w:rsidR="00030119">
        <w:rPr>
          <w:lang w:val="es-ES"/>
        </w:rPr>
        <w:t>»</w:t>
      </w:r>
      <w:r w:rsidRPr="00965C71">
        <w:rPr>
          <w:lang w:val="es-ES"/>
        </w:rPr>
        <w:t xml:space="preserve"> y el Capítulo 3, </w:t>
      </w:r>
      <w:r w:rsidR="00030119">
        <w:rPr>
          <w:lang w:val="es-ES"/>
        </w:rPr>
        <w:t>«</w:t>
      </w:r>
      <w:r w:rsidRPr="00965C71">
        <w:rPr>
          <w:lang w:val="es-ES"/>
        </w:rPr>
        <w:t>Concesión de licencias</w:t>
      </w:r>
      <w:r w:rsidR="00030119">
        <w:rPr>
          <w:lang w:val="es-ES"/>
        </w:rPr>
        <w:t>»</w:t>
      </w:r>
      <w:r w:rsidRPr="00965C71">
        <w:rPr>
          <w:lang w:val="es-ES"/>
        </w:rPr>
        <w:t xml:space="preserve"> del Manual del UIT-R – </w:t>
      </w:r>
      <w:r w:rsidR="00030119">
        <w:rPr>
          <w:lang w:val="es-ES"/>
        </w:rPr>
        <w:t>«</w:t>
      </w:r>
      <w:r w:rsidRPr="00965C71">
        <w:rPr>
          <w:lang w:val="es-ES"/>
        </w:rPr>
        <w:t>Gestión nacional del espectro</w:t>
      </w:r>
      <w:r w:rsidR="00030119">
        <w:rPr>
          <w:lang w:val="es-ES"/>
        </w:rPr>
        <w:t>»</w:t>
      </w:r>
      <w:r w:rsidRPr="00965C71">
        <w:rPr>
          <w:lang w:val="es-ES"/>
        </w:rPr>
        <w:t>.</w:t>
      </w:r>
    </w:p>
    <w:p w:rsidR="00457C97" w:rsidRPr="00A43C05" w:rsidRDefault="00457C97" w:rsidP="00245306">
      <w:pPr>
        <w:pStyle w:val="Heading4"/>
        <w:rPr>
          <w:lang w:val="es-ES_tradnl"/>
        </w:rPr>
      </w:pPr>
      <w:r w:rsidRPr="00A43C05">
        <w:rPr>
          <w:lang w:val="es-ES_tradnl"/>
        </w:rPr>
        <w:lastRenderedPageBreak/>
        <w:t>10.4.4.2</w:t>
      </w:r>
      <w:r w:rsidRPr="00A43C05">
        <w:rPr>
          <w:lang w:val="es-ES_tradnl"/>
        </w:rPr>
        <w:tab/>
      </w:r>
      <w:r w:rsidR="00245306" w:rsidRPr="00245306">
        <w:rPr>
          <w:lang w:val="es-ES"/>
        </w:rPr>
        <w:t>Regímenes de licencias para la utilización del espectro</w:t>
      </w:r>
    </w:p>
    <w:p w:rsidR="00245306" w:rsidRPr="00965C71" w:rsidRDefault="00245306" w:rsidP="00245306">
      <w:pPr>
        <w:rPr>
          <w:lang w:val="es-ES"/>
        </w:rPr>
      </w:pPr>
      <w:r w:rsidRPr="00965C71">
        <w:rPr>
          <w:lang w:val="es-ES"/>
        </w:rPr>
        <w:t xml:space="preserve">Hay numerosos </w:t>
      </w:r>
      <w:r>
        <w:rPr>
          <w:lang w:val="es-ES"/>
        </w:rPr>
        <w:t>regímenes</w:t>
      </w:r>
      <w:r w:rsidRPr="00965C71">
        <w:rPr>
          <w:lang w:val="es-ES"/>
        </w:rPr>
        <w:t xml:space="preserve"> de licencias para el espectro que han sido utilizados en la concesión de licencias para servicios móviles tanto de primera como de segunda generación, así como </w:t>
      </w:r>
      <w:r>
        <w:rPr>
          <w:lang w:val="es-ES"/>
        </w:rPr>
        <w:t>la de las</w:t>
      </w:r>
      <w:r w:rsidRPr="00965C71">
        <w:rPr>
          <w:lang w:val="es-ES"/>
        </w:rPr>
        <w:t xml:space="preserve"> licencias </w:t>
      </w:r>
      <w:r>
        <w:rPr>
          <w:lang w:val="es-ES"/>
        </w:rPr>
        <w:t xml:space="preserve">para las </w:t>
      </w:r>
      <w:r w:rsidRPr="00965C71">
        <w:rPr>
          <w:lang w:val="es-ES"/>
        </w:rPr>
        <w:t xml:space="preserve">IMT-2000. La mayor parte de los países ha exigido licencias especiales para que </w:t>
      </w:r>
      <w:r>
        <w:rPr>
          <w:lang w:val="es-ES"/>
        </w:rPr>
        <w:t xml:space="preserve">los </w:t>
      </w:r>
      <w:r w:rsidRPr="00965C71">
        <w:rPr>
          <w:lang w:val="es-ES"/>
        </w:rPr>
        <w:t>operador</w:t>
      </w:r>
      <w:r>
        <w:rPr>
          <w:lang w:val="es-ES"/>
        </w:rPr>
        <w:t>es</w:t>
      </w:r>
      <w:r w:rsidRPr="00965C71">
        <w:rPr>
          <w:lang w:val="es-ES"/>
        </w:rPr>
        <w:t xml:space="preserve"> pueda</w:t>
      </w:r>
      <w:r>
        <w:rPr>
          <w:lang w:val="es-ES"/>
        </w:rPr>
        <w:t>n</w:t>
      </w:r>
      <w:r w:rsidRPr="00965C71">
        <w:rPr>
          <w:lang w:val="es-ES"/>
        </w:rPr>
        <w:t xml:space="preserve"> ofrecer servicios IMT-2000, pero algunos países han adoptado un enfoque más flexible y autorizan a los operadores a utilizar el espectro actual para servicios IMT-2000 y/o conceden licencias para utilización del espectro de una manera más genérica. Algunos reguladores permiten la transición de los sistemas de primera y segunda generación hacia sistemas IMT-2000 en las bandas que utilizan actualmente y no exigen una autorización adicional para hacerlo.</w:t>
      </w:r>
    </w:p>
    <w:p w:rsidR="00245306" w:rsidRPr="00965C71" w:rsidRDefault="00245306" w:rsidP="00245306">
      <w:pPr>
        <w:rPr>
          <w:lang w:val="es-ES"/>
        </w:rPr>
      </w:pPr>
      <w:r w:rsidRPr="00965C71">
        <w:rPr>
          <w:lang w:val="es-ES"/>
        </w:rPr>
        <w:t>Aunque no se pretende que sea exhaustiva, en esta sección se exponen algunos de los métodos más comunes de concesión de licencias para utilización del espectro, por ejemplo: principio de la prioridad en el tiempo, concursos, loterías y subastas</w:t>
      </w:r>
      <w:r>
        <w:rPr>
          <w:lang w:val="es-ES"/>
        </w:rPr>
        <w:t xml:space="preserve">. </w:t>
      </w:r>
      <w:r w:rsidRPr="00965C71">
        <w:rPr>
          <w:lang w:val="es-ES"/>
        </w:rPr>
        <w:t xml:space="preserve">La concesión de licencias es una prerrogativa nacional y cada país debe decidir qué metodología se ajusta mejor a su marco jurídico, reglamentario y mercantil. Las políticas de limitación del espectro se utilizan para garantizar que no se produzcan concentraciones de espectro en el mercado y </w:t>
      </w:r>
      <w:r>
        <w:rPr>
          <w:lang w:val="es-ES"/>
        </w:rPr>
        <w:t xml:space="preserve">para </w:t>
      </w:r>
      <w:r w:rsidRPr="00965C71">
        <w:rPr>
          <w:lang w:val="es-ES"/>
        </w:rPr>
        <w:t xml:space="preserve">reducir las barreras comerciales </w:t>
      </w:r>
      <w:r>
        <w:rPr>
          <w:lang w:val="es-ES"/>
        </w:rPr>
        <w:t>para</w:t>
      </w:r>
      <w:r w:rsidRPr="00965C71">
        <w:rPr>
          <w:lang w:val="es-ES"/>
        </w:rPr>
        <w:t xml:space="preserve"> los nuevos participantes, aunque pueden limitar el desarrollo y crecimiento de las redes inalámbricas de banda ancha.</w:t>
      </w:r>
    </w:p>
    <w:p w:rsidR="00457C97" w:rsidRPr="00A43C05" w:rsidRDefault="00245306" w:rsidP="00245306">
      <w:pPr>
        <w:rPr>
          <w:lang w:val="es-ES_tradnl"/>
        </w:rPr>
      </w:pPr>
      <w:r w:rsidRPr="00965C71">
        <w:rPr>
          <w:lang w:val="es-ES"/>
        </w:rPr>
        <w:t>Para más información, véase el Informe UIT</w:t>
      </w:r>
      <w:r w:rsidRPr="00965C71">
        <w:rPr>
          <w:lang w:val="es-ES"/>
        </w:rPr>
        <w:noBreakHyphen/>
        <w:t xml:space="preserve">R SM.2012-1 – </w:t>
      </w:r>
      <w:r w:rsidR="00030119">
        <w:rPr>
          <w:lang w:val="es-ES"/>
        </w:rPr>
        <w:t>«</w:t>
      </w:r>
      <w:r w:rsidRPr="00965C71">
        <w:rPr>
          <w:lang w:val="es-ES"/>
        </w:rPr>
        <w:t>Aspectos económicos de la gestión del espectro</w:t>
      </w:r>
      <w:r w:rsidR="00030119">
        <w:rPr>
          <w:lang w:val="es-ES"/>
        </w:rPr>
        <w:t>»</w:t>
      </w:r>
      <w:r>
        <w:rPr>
          <w:lang w:val="es-ES"/>
        </w:rPr>
        <w:t>,</w:t>
      </w:r>
      <w:r w:rsidRPr="00965C71">
        <w:rPr>
          <w:lang w:val="es-ES"/>
        </w:rPr>
        <w:t xml:space="preserve"> el Capítulo 6, </w:t>
      </w:r>
      <w:r w:rsidR="00030119">
        <w:rPr>
          <w:lang w:val="es-ES"/>
        </w:rPr>
        <w:t>«</w:t>
      </w:r>
      <w:r w:rsidRPr="00965C71">
        <w:rPr>
          <w:lang w:val="es-ES"/>
        </w:rPr>
        <w:t>Aspectos económicos</w:t>
      </w:r>
      <w:r w:rsidR="00030119">
        <w:rPr>
          <w:lang w:val="es-ES"/>
        </w:rPr>
        <w:t>»</w:t>
      </w:r>
      <w:r w:rsidRPr="00965C71">
        <w:rPr>
          <w:lang w:val="es-ES"/>
        </w:rPr>
        <w:t xml:space="preserve"> del Manual del UIT-R – </w:t>
      </w:r>
      <w:r w:rsidR="00030119">
        <w:rPr>
          <w:lang w:val="es-ES"/>
        </w:rPr>
        <w:t>«</w:t>
      </w:r>
      <w:r w:rsidRPr="00965C71">
        <w:rPr>
          <w:lang w:val="es-ES"/>
        </w:rPr>
        <w:t>Gestión nacional del espectro</w:t>
      </w:r>
      <w:r w:rsidR="00030119">
        <w:rPr>
          <w:lang w:val="es-ES"/>
        </w:rPr>
        <w:t>»</w:t>
      </w:r>
      <w:r w:rsidRPr="00965C71">
        <w:rPr>
          <w:lang w:val="es-ES"/>
        </w:rPr>
        <w:t xml:space="preserve"> y la Sección 2.7.2 de las MTG.</w:t>
      </w:r>
    </w:p>
    <w:p w:rsidR="00457C97" w:rsidRPr="00A43C05" w:rsidRDefault="00457C97" w:rsidP="00245306">
      <w:pPr>
        <w:pStyle w:val="Heading1"/>
        <w:rPr>
          <w:lang w:val="es-ES_tradnl"/>
        </w:rPr>
      </w:pPr>
      <w:bookmarkStart w:id="575" w:name="_Toc236826266"/>
      <w:bookmarkStart w:id="576" w:name="_Toc255292568"/>
      <w:bookmarkStart w:id="577" w:name="_Toc259024271"/>
      <w:r w:rsidRPr="00A43C05">
        <w:rPr>
          <w:lang w:val="es-ES_tradnl"/>
        </w:rPr>
        <w:t>11</w:t>
      </w:r>
      <w:r w:rsidRPr="00A43C05">
        <w:rPr>
          <w:lang w:val="es-ES_tradnl"/>
        </w:rPr>
        <w:tab/>
      </w:r>
      <w:bookmarkEnd w:id="575"/>
      <w:bookmarkEnd w:id="576"/>
      <w:r w:rsidR="00245306" w:rsidRPr="00245306">
        <w:rPr>
          <w:lang w:val="es-ES_tradnl"/>
        </w:rPr>
        <w:t>Introducción a las IMT-Avanzadas</w:t>
      </w:r>
      <w:bookmarkEnd w:id="577"/>
    </w:p>
    <w:p w:rsidR="00245306" w:rsidRPr="007614F9" w:rsidRDefault="00245306" w:rsidP="00245306">
      <w:pPr>
        <w:rPr>
          <w:lang w:val="es-ES"/>
        </w:rPr>
      </w:pPr>
      <w:r w:rsidRPr="00965C71">
        <w:rPr>
          <w:lang w:val="es-ES"/>
        </w:rPr>
        <w:t xml:space="preserve">El UIT-R ha comenzado el proceso de elaborar </w:t>
      </w:r>
      <w:r>
        <w:rPr>
          <w:lang w:val="es-ES"/>
        </w:rPr>
        <w:t>sus</w:t>
      </w:r>
      <w:r w:rsidRPr="00965C71">
        <w:rPr>
          <w:lang w:val="es-ES"/>
        </w:rPr>
        <w:t xml:space="preserve"> Recomendaciones para las componentes terrenales de las interfaces radioeléctricas de las IMT-Avanzadas. </w:t>
      </w:r>
      <w:r w:rsidRPr="007614F9">
        <w:rPr>
          <w:lang w:val="es-ES"/>
        </w:rPr>
        <w:t>Esta labor se inspira en la Resolución UIT-R 57.</w:t>
      </w:r>
    </w:p>
    <w:p w:rsidR="00245306" w:rsidRPr="00965C71" w:rsidRDefault="00245306" w:rsidP="00245306">
      <w:pPr>
        <w:rPr>
          <w:lang w:val="es-ES"/>
        </w:rPr>
      </w:pPr>
      <w:r w:rsidRPr="00965C71">
        <w:rPr>
          <w:lang w:val="es-ES"/>
        </w:rPr>
        <w:t xml:space="preserve">La invitación para la presentación de propuestas a tecnologías candidatas para la interfaz radioeléctrica con destino a las componentes terrenales de las interfaces radioeléctricas de las </w:t>
      </w:r>
      <w:proofErr w:type="spellStart"/>
      <w:r w:rsidRPr="00965C71">
        <w:rPr>
          <w:lang w:val="es-ES"/>
        </w:rPr>
        <w:t>IMT</w:t>
      </w:r>
      <w:r w:rsidRPr="00965C71">
        <w:rPr>
          <w:lang w:val="es-ES"/>
        </w:rPr>
        <w:noBreakHyphen/>
        <w:t>Avanzadas</w:t>
      </w:r>
      <w:proofErr w:type="spellEnd"/>
      <w:r w:rsidRPr="00965C71">
        <w:rPr>
          <w:lang w:val="es-ES"/>
        </w:rPr>
        <w:t xml:space="preserve"> y la invitación a participar en la subsiguiente evaluación son objeto de deliberación en la Carta Circular 5/LCCE/2 y </w:t>
      </w:r>
      <w:r>
        <w:rPr>
          <w:lang w:val="es-ES"/>
        </w:rPr>
        <w:t>sus</w:t>
      </w:r>
      <w:r w:rsidRPr="00965C71">
        <w:rPr>
          <w:lang w:val="es-ES"/>
        </w:rPr>
        <w:t xml:space="preserve"> </w:t>
      </w:r>
      <w:proofErr w:type="spellStart"/>
      <w:r w:rsidRPr="00965C71">
        <w:rPr>
          <w:lang w:val="es-ES"/>
        </w:rPr>
        <w:t>Addenda</w:t>
      </w:r>
      <w:proofErr w:type="spellEnd"/>
      <w:r w:rsidRPr="00965C71">
        <w:rPr>
          <w:lang w:val="es-ES"/>
        </w:rPr>
        <w:t>.</w:t>
      </w:r>
    </w:p>
    <w:p w:rsidR="00245306" w:rsidRPr="00965C71" w:rsidRDefault="00245306" w:rsidP="00245306">
      <w:pPr>
        <w:rPr>
          <w:lang w:val="es-ES"/>
        </w:rPr>
      </w:pPr>
      <w:r w:rsidRPr="00965C71">
        <w:rPr>
          <w:lang w:val="es-ES"/>
        </w:rPr>
        <w:t xml:space="preserve">La primera invitación para la presentación de propuestas de candidatura de tecnologías de la interfaz radioeléctrica (RIT) o de un conjunto de RIT (SRIT) para las componentes terrenales de las </w:t>
      </w:r>
      <w:proofErr w:type="spellStart"/>
      <w:r w:rsidRPr="00965C71">
        <w:rPr>
          <w:lang w:val="es-ES"/>
        </w:rPr>
        <w:t>IMT</w:t>
      </w:r>
      <w:r w:rsidRPr="00965C71">
        <w:rPr>
          <w:lang w:val="es-ES"/>
        </w:rPr>
        <w:noBreakHyphen/>
        <w:t>Avanzadas</w:t>
      </w:r>
      <w:proofErr w:type="spellEnd"/>
      <w:r w:rsidRPr="00965C71">
        <w:rPr>
          <w:lang w:val="es-ES"/>
        </w:rPr>
        <w:t xml:space="preserve"> se publicó junto con la Carta Circular 5/LCCE/2 de 7 de marzo de 2008. En esta Carta Circular se iniciaba el proceso de evaluación de las RIT y SRIT candidatas para las </w:t>
      </w:r>
      <w:proofErr w:type="spellStart"/>
      <w:r w:rsidRPr="00965C71">
        <w:rPr>
          <w:lang w:val="es-ES"/>
        </w:rPr>
        <w:t>IMT</w:t>
      </w:r>
      <w:r w:rsidRPr="00965C71">
        <w:rPr>
          <w:lang w:val="es-ES"/>
        </w:rPr>
        <w:noBreakHyphen/>
        <w:t>Avanzadas</w:t>
      </w:r>
      <w:proofErr w:type="spellEnd"/>
      <w:r>
        <w:rPr>
          <w:lang w:val="es-ES"/>
        </w:rPr>
        <w:t xml:space="preserve">, actualmente </w:t>
      </w:r>
      <w:r w:rsidRPr="00965C71">
        <w:rPr>
          <w:lang w:val="es-ES"/>
        </w:rPr>
        <w:t>en curso</w:t>
      </w:r>
      <w:r>
        <w:rPr>
          <w:lang w:val="es-ES"/>
        </w:rPr>
        <w:t>,</w:t>
      </w:r>
      <w:r w:rsidRPr="00965C71">
        <w:rPr>
          <w:lang w:val="es-ES"/>
        </w:rPr>
        <w:t xml:space="preserve"> y se invitaba a la </w:t>
      </w:r>
      <w:r>
        <w:rPr>
          <w:lang w:val="es-ES"/>
        </w:rPr>
        <w:t>constitución</w:t>
      </w:r>
      <w:r w:rsidRPr="00965C71">
        <w:rPr>
          <w:lang w:val="es-ES"/>
        </w:rPr>
        <w:t xml:space="preserve"> de grupos de evaluación independientes y a la subsiguiente presentación de informes de evaluación sobre estas RIT y SRIT candidatas. El 13 de agosto de 2008, </w:t>
      </w:r>
      <w:r>
        <w:rPr>
          <w:lang w:val="es-ES"/>
        </w:rPr>
        <w:t xml:space="preserve">en </w:t>
      </w:r>
      <w:r w:rsidRPr="00965C71">
        <w:rPr>
          <w:lang w:val="es-ES"/>
        </w:rPr>
        <w:t xml:space="preserve">el </w:t>
      </w:r>
      <w:proofErr w:type="spellStart"/>
      <w:r w:rsidRPr="00965C71">
        <w:rPr>
          <w:lang w:val="es-ES"/>
        </w:rPr>
        <w:t>Addéndum</w:t>
      </w:r>
      <w:proofErr w:type="spellEnd"/>
      <w:r w:rsidRPr="00965C71">
        <w:rPr>
          <w:lang w:val="es-ES"/>
        </w:rPr>
        <w:t xml:space="preserve"> 1 a la Carta Circular 5/LCCE/2 </w:t>
      </w:r>
      <w:r>
        <w:rPr>
          <w:lang w:val="es-ES"/>
        </w:rPr>
        <w:t>se informó de</w:t>
      </w:r>
      <w:r w:rsidRPr="00965C71">
        <w:rPr>
          <w:lang w:val="es-ES"/>
        </w:rPr>
        <w:t xml:space="preserve"> la disponibilidad de </w:t>
      </w:r>
      <w:r>
        <w:rPr>
          <w:lang w:val="es-ES"/>
        </w:rPr>
        <w:t>detalles</w:t>
      </w:r>
      <w:r w:rsidRPr="00965C71">
        <w:rPr>
          <w:lang w:val="es-ES"/>
        </w:rPr>
        <w:t xml:space="preserve"> adicional</w:t>
      </w:r>
      <w:r>
        <w:rPr>
          <w:lang w:val="es-ES"/>
        </w:rPr>
        <w:t>es</w:t>
      </w:r>
      <w:r w:rsidRPr="00965C71">
        <w:rPr>
          <w:lang w:val="es-ES"/>
        </w:rPr>
        <w:t xml:space="preserve"> </w:t>
      </w:r>
      <w:r>
        <w:rPr>
          <w:lang w:val="es-ES"/>
        </w:rPr>
        <w:t xml:space="preserve">sobre </w:t>
      </w:r>
      <w:r w:rsidRPr="00965C71">
        <w:rPr>
          <w:lang w:val="es-ES"/>
        </w:rPr>
        <w:t xml:space="preserve">la presentación de las </w:t>
      </w:r>
      <w:proofErr w:type="spellStart"/>
      <w:r w:rsidRPr="00965C71">
        <w:rPr>
          <w:lang w:val="es-ES"/>
        </w:rPr>
        <w:t>IMT</w:t>
      </w:r>
      <w:r w:rsidRPr="00965C71">
        <w:rPr>
          <w:lang w:val="es-ES"/>
        </w:rPr>
        <w:noBreakHyphen/>
        <w:t>Avanzadas</w:t>
      </w:r>
      <w:proofErr w:type="spellEnd"/>
      <w:r w:rsidRPr="00965C71">
        <w:rPr>
          <w:lang w:val="es-ES"/>
        </w:rPr>
        <w:t xml:space="preserve"> y su proceso de evaluación, y en particular de tres Informes del UIT-R </w:t>
      </w:r>
      <w:r>
        <w:rPr>
          <w:lang w:val="es-ES"/>
        </w:rPr>
        <w:t>en los que se pormenorizaban</w:t>
      </w:r>
      <w:r w:rsidRPr="00965C71">
        <w:rPr>
          <w:lang w:val="es-ES"/>
        </w:rPr>
        <w:t xml:space="preserve"> los requisitos, criterios de evaluación y plantillas de presentación para las IMT-Avanzadas.</w:t>
      </w:r>
    </w:p>
    <w:p w:rsidR="00245306" w:rsidRPr="00965C71" w:rsidRDefault="00245306" w:rsidP="00245306">
      <w:pPr>
        <w:rPr>
          <w:lang w:val="es-ES" w:eastAsia="fr-CH"/>
        </w:rPr>
      </w:pPr>
      <w:r w:rsidRPr="00965C71">
        <w:rPr>
          <w:lang w:val="es-ES" w:eastAsia="fr-CH"/>
        </w:rPr>
        <w:t xml:space="preserve">Los sistemas de telecomunicaciones móviles internacionales avanzadas (IMT-Avanzadas) son sistemas móviles </w:t>
      </w:r>
      <w:r>
        <w:rPr>
          <w:lang w:val="es-ES" w:eastAsia="fr-CH"/>
        </w:rPr>
        <w:t xml:space="preserve">dotados de </w:t>
      </w:r>
      <w:r w:rsidRPr="00965C71">
        <w:rPr>
          <w:lang w:val="es-ES" w:eastAsia="fr-CH"/>
        </w:rPr>
        <w:t xml:space="preserve">las nuevas capacidades de las IMT, </w:t>
      </w:r>
      <w:r>
        <w:rPr>
          <w:lang w:val="es-ES" w:eastAsia="fr-CH"/>
        </w:rPr>
        <w:t>superiores</w:t>
      </w:r>
      <w:r w:rsidRPr="00965C71">
        <w:rPr>
          <w:lang w:val="es-ES" w:eastAsia="fr-CH"/>
        </w:rPr>
        <w:t xml:space="preserve"> a las </w:t>
      </w:r>
      <w:r>
        <w:rPr>
          <w:lang w:val="es-ES" w:eastAsia="fr-CH"/>
        </w:rPr>
        <w:t xml:space="preserve">de las </w:t>
      </w:r>
      <w:r w:rsidRPr="00965C71">
        <w:rPr>
          <w:lang w:val="es-ES" w:eastAsia="fr-CH"/>
        </w:rPr>
        <w:t xml:space="preserve">IMT-2000. </w:t>
      </w:r>
      <w:r>
        <w:rPr>
          <w:lang w:val="es-ES" w:eastAsia="fr-CH"/>
        </w:rPr>
        <w:t>Estos</w:t>
      </w:r>
      <w:r w:rsidRPr="00965C71">
        <w:rPr>
          <w:lang w:val="es-ES" w:eastAsia="fr-CH"/>
        </w:rPr>
        <w:t xml:space="preserve"> sistemas proporcionan acceso a un gran número de servicios de telecomunicaciones; entre otros, los servicios móviles avanzados soportados por redes móviles y fijas, </w:t>
      </w:r>
      <w:r>
        <w:rPr>
          <w:lang w:val="es-ES" w:eastAsia="fr-CH"/>
        </w:rPr>
        <w:t>que</w:t>
      </w:r>
      <w:r w:rsidRPr="00965C71">
        <w:rPr>
          <w:lang w:val="es-ES" w:eastAsia="fr-CH"/>
        </w:rPr>
        <w:t xml:space="preserve"> se basan cada vez más en paquetes.</w:t>
      </w:r>
    </w:p>
    <w:p w:rsidR="00245306" w:rsidRPr="00965C71" w:rsidRDefault="00245306" w:rsidP="00245306">
      <w:pPr>
        <w:rPr>
          <w:lang w:val="es-ES" w:eastAsia="fr-CH"/>
        </w:rPr>
      </w:pPr>
      <w:r w:rsidRPr="00965C71">
        <w:rPr>
          <w:lang w:val="es-ES" w:eastAsia="fr-CH"/>
        </w:rPr>
        <w:t xml:space="preserve">Los sistemas de IMT-Avanzadas soportan aplicaciones de baja a </w:t>
      </w:r>
      <w:r>
        <w:rPr>
          <w:lang w:val="es-ES" w:eastAsia="fr-CH"/>
        </w:rPr>
        <w:t>alta</w:t>
      </w:r>
      <w:r w:rsidRPr="00965C71">
        <w:rPr>
          <w:lang w:val="es-ES" w:eastAsia="fr-CH"/>
        </w:rPr>
        <w:t xml:space="preserve"> movilidad y una amplia gama de velocidades de datos, según lo exija el usuario y el servicio de que se trate en múltiples entornos de usuario. Las IMT-Avanzadas cuentan también con capacidades para ofrecer aplicaciones multimedios de </w:t>
      </w:r>
      <w:r>
        <w:rPr>
          <w:lang w:val="es-ES" w:eastAsia="fr-CH"/>
        </w:rPr>
        <w:t>alta</w:t>
      </w:r>
      <w:r w:rsidRPr="00965C71">
        <w:rPr>
          <w:lang w:val="es-ES" w:eastAsia="fr-CH"/>
        </w:rPr>
        <w:t xml:space="preserve"> calidad </w:t>
      </w:r>
      <w:r>
        <w:rPr>
          <w:lang w:val="es-ES" w:eastAsia="fr-CH"/>
        </w:rPr>
        <w:t>con una amplia gama de</w:t>
      </w:r>
      <w:r w:rsidRPr="00965C71">
        <w:rPr>
          <w:lang w:val="es-ES" w:eastAsia="fr-CH"/>
        </w:rPr>
        <w:t xml:space="preserve"> servicios y plataformas, lo que </w:t>
      </w:r>
      <w:r>
        <w:rPr>
          <w:lang w:val="es-ES" w:eastAsia="fr-CH"/>
        </w:rPr>
        <w:t>supone</w:t>
      </w:r>
      <w:r w:rsidRPr="00965C71">
        <w:rPr>
          <w:lang w:val="es-ES" w:eastAsia="fr-CH"/>
        </w:rPr>
        <w:t xml:space="preserve"> una mejora significativa de las prestaciones ofrecidas y</w:t>
      </w:r>
      <w:r>
        <w:rPr>
          <w:lang w:val="es-ES" w:eastAsia="fr-CH"/>
        </w:rPr>
        <w:t xml:space="preserve"> de</w:t>
      </w:r>
      <w:r w:rsidRPr="00965C71">
        <w:rPr>
          <w:lang w:val="es-ES" w:eastAsia="fr-CH"/>
        </w:rPr>
        <w:t xml:space="preserve"> la calidad de servicio.</w:t>
      </w:r>
    </w:p>
    <w:p w:rsidR="00245306" w:rsidRPr="00965C71" w:rsidRDefault="00245306" w:rsidP="00245306">
      <w:pPr>
        <w:rPr>
          <w:lang w:val="es-ES" w:eastAsia="fr-CH"/>
        </w:rPr>
      </w:pPr>
      <w:r w:rsidRPr="00965C71">
        <w:rPr>
          <w:lang w:val="es-ES" w:eastAsia="fr-CH"/>
        </w:rPr>
        <w:t>Las características esenciales de las IMT-Avanzadas son las siguientes:</w:t>
      </w:r>
    </w:p>
    <w:p w:rsidR="00245306" w:rsidRPr="00A43C05" w:rsidRDefault="00245306" w:rsidP="00245306">
      <w:pPr>
        <w:pStyle w:val="enumlev1"/>
        <w:rPr>
          <w:lang w:val="es-ES_tradnl"/>
        </w:rPr>
      </w:pPr>
      <w:r w:rsidRPr="00A43C05">
        <w:rPr>
          <w:lang w:val="es-ES_tradnl"/>
        </w:rPr>
        <w:t>–</w:t>
      </w:r>
      <w:r w:rsidRPr="00A43C05">
        <w:rPr>
          <w:lang w:val="es-ES_tradnl"/>
        </w:rPr>
        <w:tab/>
        <w:t>alto grado de uniformidad de su funcionalidad en todo el mundo, sin menoscabo de la flexibilidad necesaria para soportar un gran número de servicios y aplicaciones de manera rentable;</w:t>
      </w:r>
    </w:p>
    <w:p w:rsidR="00245306" w:rsidRPr="00A43C05" w:rsidRDefault="00245306" w:rsidP="00245306">
      <w:pPr>
        <w:pStyle w:val="enumlev1"/>
        <w:rPr>
          <w:lang w:val="es-ES_tradnl"/>
        </w:rPr>
      </w:pPr>
      <w:r w:rsidRPr="00A43C05">
        <w:rPr>
          <w:lang w:val="es-ES_tradnl"/>
        </w:rPr>
        <w:t>–</w:t>
      </w:r>
      <w:r w:rsidRPr="00A43C05">
        <w:rPr>
          <w:lang w:val="es-ES_tradnl"/>
        </w:rPr>
        <w:tab/>
        <w:t>compatibilidad de servicios en el marco de las IMT y con las redes fijas;</w:t>
      </w:r>
    </w:p>
    <w:p w:rsidR="00245306" w:rsidRPr="00A43C05" w:rsidRDefault="00245306" w:rsidP="00245306">
      <w:pPr>
        <w:pStyle w:val="enumlev1"/>
        <w:rPr>
          <w:lang w:val="es-ES_tradnl"/>
        </w:rPr>
      </w:pPr>
      <w:r w:rsidRPr="00A43C05">
        <w:rPr>
          <w:lang w:val="es-ES_tradnl"/>
        </w:rPr>
        <w:lastRenderedPageBreak/>
        <w:t>–</w:t>
      </w:r>
      <w:r w:rsidRPr="00A43C05">
        <w:rPr>
          <w:lang w:val="es-ES_tradnl"/>
        </w:rPr>
        <w:tab/>
        <w:t xml:space="preserve">capacidad de </w:t>
      </w:r>
      <w:proofErr w:type="spellStart"/>
      <w:r w:rsidRPr="00A43C05">
        <w:rPr>
          <w:lang w:val="es-ES_tradnl"/>
        </w:rPr>
        <w:t>interfuncionamiento</w:t>
      </w:r>
      <w:proofErr w:type="spellEnd"/>
      <w:r w:rsidRPr="00A43C05">
        <w:rPr>
          <w:lang w:val="es-ES_tradnl"/>
        </w:rPr>
        <w:t xml:space="preserve"> con otros sistemas de acceso radioeléctrico;</w:t>
      </w:r>
    </w:p>
    <w:p w:rsidR="00245306" w:rsidRPr="00A43C05" w:rsidRDefault="00245306" w:rsidP="00245306">
      <w:pPr>
        <w:pStyle w:val="enumlev1"/>
        <w:rPr>
          <w:lang w:val="es-ES_tradnl"/>
        </w:rPr>
      </w:pPr>
      <w:r w:rsidRPr="00A43C05">
        <w:rPr>
          <w:lang w:val="es-ES_tradnl"/>
        </w:rPr>
        <w:t>–</w:t>
      </w:r>
      <w:r w:rsidRPr="00A43C05">
        <w:rPr>
          <w:lang w:val="es-ES_tradnl"/>
        </w:rPr>
        <w:tab/>
        <w:t>servicios móviles de alta calidad;</w:t>
      </w:r>
    </w:p>
    <w:p w:rsidR="00245306" w:rsidRPr="00A43C05" w:rsidRDefault="00245306" w:rsidP="00245306">
      <w:pPr>
        <w:pStyle w:val="enumlev1"/>
        <w:rPr>
          <w:lang w:val="es-ES_tradnl"/>
        </w:rPr>
      </w:pPr>
      <w:r w:rsidRPr="00A43C05">
        <w:rPr>
          <w:lang w:val="es-ES_tradnl"/>
        </w:rPr>
        <w:t>–</w:t>
      </w:r>
      <w:r w:rsidRPr="00A43C05">
        <w:rPr>
          <w:lang w:val="es-ES_tradnl"/>
        </w:rPr>
        <w:tab/>
        <w:t>equipo de usuario adecuado para ser utilizado en todo el mundo;</w:t>
      </w:r>
    </w:p>
    <w:p w:rsidR="00245306" w:rsidRPr="00A43C05" w:rsidRDefault="00245306" w:rsidP="00245306">
      <w:pPr>
        <w:pStyle w:val="enumlev1"/>
        <w:rPr>
          <w:lang w:val="es-ES_tradnl"/>
        </w:rPr>
      </w:pPr>
      <w:r w:rsidRPr="00A43C05">
        <w:rPr>
          <w:lang w:val="es-ES_tradnl"/>
        </w:rPr>
        <w:t>–</w:t>
      </w:r>
      <w:r w:rsidRPr="00A43C05">
        <w:rPr>
          <w:lang w:val="es-ES_tradnl"/>
        </w:rPr>
        <w:tab/>
        <w:t>aplicaciones, servicios y equipos fáciles de utilizar por el usuario;</w:t>
      </w:r>
    </w:p>
    <w:p w:rsidR="00245306" w:rsidRPr="00A43C05" w:rsidRDefault="00245306" w:rsidP="00245306">
      <w:pPr>
        <w:pStyle w:val="enumlev1"/>
        <w:rPr>
          <w:lang w:val="es-ES_tradnl"/>
        </w:rPr>
      </w:pPr>
      <w:r w:rsidRPr="00A43C05">
        <w:rPr>
          <w:lang w:val="es-ES_tradnl"/>
        </w:rPr>
        <w:t>–</w:t>
      </w:r>
      <w:r w:rsidRPr="00A43C05">
        <w:rPr>
          <w:lang w:val="es-ES_tradnl"/>
        </w:rPr>
        <w:tab/>
        <w:t xml:space="preserve">capacidad de </w:t>
      </w:r>
      <w:proofErr w:type="spellStart"/>
      <w:r w:rsidRPr="00A43C05">
        <w:rPr>
          <w:lang w:val="es-ES_tradnl"/>
        </w:rPr>
        <w:t>itinerancia</w:t>
      </w:r>
      <w:proofErr w:type="spellEnd"/>
      <w:r w:rsidRPr="00A43C05">
        <w:rPr>
          <w:lang w:val="es-ES_tradnl"/>
        </w:rPr>
        <w:t xml:space="preserve"> mundial;</w:t>
      </w:r>
    </w:p>
    <w:p w:rsidR="00245306" w:rsidRPr="00A43C05" w:rsidRDefault="00245306" w:rsidP="00245306">
      <w:pPr>
        <w:pStyle w:val="enumlev1"/>
        <w:rPr>
          <w:lang w:val="es-ES_tradnl"/>
        </w:rPr>
      </w:pPr>
      <w:r w:rsidRPr="00A43C05">
        <w:rPr>
          <w:lang w:val="es-ES_tradnl"/>
        </w:rPr>
        <w:t>–</w:t>
      </w:r>
      <w:r w:rsidRPr="00A43C05">
        <w:rPr>
          <w:lang w:val="es-ES_tradnl"/>
        </w:rPr>
        <w:tab/>
        <w:t xml:space="preserve">mayores velocidades de cresta para soportar servicios y aplicaciones avanzados (los valores que se fijaron como objetivo para la investigación fueron 100 </w:t>
      </w:r>
      <w:proofErr w:type="spellStart"/>
      <w:r w:rsidRPr="00A43C05">
        <w:rPr>
          <w:lang w:val="es-ES_tradnl"/>
        </w:rPr>
        <w:t>Mbit</w:t>
      </w:r>
      <w:proofErr w:type="spellEnd"/>
      <w:r w:rsidRPr="00A43C05">
        <w:rPr>
          <w:lang w:val="es-ES_tradnl"/>
        </w:rPr>
        <w:t>/s para alta movilidad y 1 </w:t>
      </w:r>
      <w:proofErr w:type="spellStart"/>
      <w:r w:rsidRPr="00A43C05">
        <w:rPr>
          <w:lang w:val="es-ES_tradnl"/>
        </w:rPr>
        <w:t>Gbit</w:t>
      </w:r>
      <w:proofErr w:type="spellEnd"/>
      <w:r w:rsidRPr="00A43C05">
        <w:rPr>
          <w:lang w:val="es-ES_tradnl"/>
        </w:rPr>
        <w:t>/s para baja movilidad).</w:t>
      </w:r>
    </w:p>
    <w:p w:rsidR="00245306" w:rsidRPr="00965C71" w:rsidRDefault="00245306" w:rsidP="00245306">
      <w:pPr>
        <w:rPr>
          <w:lang w:val="es-ES"/>
        </w:rPr>
      </w:pPr>
      <w:r w:rsidRPr="00965C71">
        <w:rPr>
          <w:lang w:val="es-ES"/>
        </w:rPr>
        <w:t>El Documento IMT-ADV/2 Rev.1, contiene una descripción detallada de los procesos y actividades identificadas para la elaborac</w:t>
      </w:r>
      <w:r>
        <w:rPr>
          <w:lang w:val="es-ES"/>
        </w:rPr>
        <w:t>ión de las</w:t>
      </w:r>
      <w:r w:rsidRPr="00965C71">
        <w:rPr>
          <w:lang w:val="es-ES"/>
        </w:rPr>
        <w:t xml:space="preserve"> Recomendaciones sobre la interfaz radioeléctrica de las componentes terrenales de las IMT-Avanzadas. </w:t>
      </w:r>
    </w:p>
    <w:p w:rsidR="00245306" w:rsidRPr="00965C71" w:rsidRDefault="00245306" w:rsidP="00245306">
      <w:pPr>
        <w:rPr>
          <w:lang w:val="es-ES"/>
        </w:rPr>
      </w:pPr>
      <w:r w:rsidRPr="00965C71">
        <w:rPr>
          <w:lang w:val="es-ES"/>
        </w:rPr>
        <w:t>Los principales documentos de consulta sobre las IMT-Avanzadas son los siguientes:</w:t>
      </w:r>
    </w:p>
    <w:p w:rsidR="00245306" w:rsidRPr="00A43C05" w:rsidRDefault="00245306" w:rsidP="00245306">
      <w:pPr>
        <w:pStyle w:val="enumlev1"/>
        <w:rPr>
          <w:lang w:val="es-ES_tradnl"/>
        </w:rPr>
      </w:pPr>
      <w:r w:rsidRPr="00A43C05">
        <w:rPr>
          <w:lang w:val="es-ES_tradnl"/>
        </w:rPr>
        <w:t>•</w:t>
      </w:r>
      <w:r w:rsidRPr="00A43C05">
        <w:rPr>
          <w:lang w:val="es-ES_tradnl"/>
        </w:rPr>
        <w:tab/>
        <w:t xml:space="preserve">Carta Circular 5/LCCE/2 y </w:t>
      </w:r>
      <w:proofErr w:type="spellStart"/>
      <w:r w:rsidRPr="00A43C05">
        <w:rPr>
          <w:lang w:val="es-ES_tradnl"/>
        </w:rPr>
        <w:t>Addenda</w:t>
      </w:r>
      <w:proofErr w:type="spellEnd"/>
      <w:r w:rsidRPr="00A43C05">
        <w:rPr>
          <w:lang w:val="es-ES_tradnl"/>
        </w:rPr>
        <w:t xml:space="preserve"> 1 y 2 </w:t>
      </w:r>
    </w:p>
    <w:p w:rsidR="00F26647" w:rsidRPr="00A43C05" w:rsidRDefault="00F26647" w:rsidP="00F26647">
      <w:pPr>
        <w:pStyle w:val="enumlev1"/>
        <w:rPr>
          <w:lang w:val="fr-CH"/>
        </w:rPr>
      </w:pPr>
      <w:r w:rsidRPr="00A43C05">
        <w:rPr>
          <w:lang w:val="fr-CH"/>
        </w:rPr>
        <w:t>•</w:t>
      </w:r>
      <w:r w:rsidRPr="00A43C05">
        <w:rPr>
          <w:lang w:val="fr-CH"/>
        </w:rPr>
        <w:tab/>
      </w:r>
      <w:hyperlink r:id="rId42" w:history="1">
        <w:r w:rsidRPr="00A43C05">
          <w:rPr>
            <w:rStyle w:val="Hyperlink"/>
            <w:rFonts w:hint="eastAsia"/>
            <w:lang w:val="fr-CH"/>
          </w:rPr>
          <w:t>IMT-A</w:t>
        </w:r>
        <w:r w:rsidRPr="00A43C05">
          <w:rPr>
            <w:rStyle w:val="Hyperlink"/>
            <w:lang w:val="fr-CH"/>
          </w:rPr>
          <w:t>DV</w:t>
        </w:r>
        <w:r w:rsidRPr="00A43C05">
          <w:rPr>
            <w:rStyle w:val="Hyperlink"/>
            <w:rFonts w:hint="eastAsia"/>
            <w:lang w:val="fr-CH"/>
          </w:rPr>
          <w:t xml:space="preserve">/2 </w:t>
        </w:r>
        <w:proofErr w:type="spellStart"/>
        <w:r w:rsidRPr="00A43C05">
          <w:rPr>
            <w:rStyle w:val="Hyperlink"/>
            <w:rFonts w:hint="eastAsia"/>
            <w:lang w:val="fr-CH"/>
          </w:rPr>
          <w:t>Rev</w:t>
        </w:r>
        <w:proofErr w:type="spellEnd"/>
        <w:r w:rsidRPr="00A43C05">
          <w:rPr>
            <w:rStyle w:val="Hyperlink"/>
            <w:lang w:val="fr-CH"/>
          </w:rPr>
          <w:t>.</w:t>
        </w:r>
        <w:r w:rsidRPr="00A43C05">
          <w:rPr>
            <w:rStyle w:val="Hyperlink"/>
            <w:rFonts w:hint="eastAsia"/>
            <w:lang w:val="fr-CH"/>
          </w:rPr>
          <w:t>1</w:t>
        </w:r>
      </w:hyperlink>
    </w:p>
    <w:p w:rsidR="00245306" w:rsidRPr="00A43C05" w:rsidRDefault="00245306" w:rsidP="00245306">
      <w:pPr>
        <w:pStyle w:val="enumlev1"/>
        <w:rPr>
          <w:lang w:val="fr-CH"/>
        </w:rPr>
      </w:pPr>
      <w:r w:rsidRPr="00A43C05">
        <w:rPr>
          <w:lang w:val="fr-CH"/>
        </w:rPr>
        <w:t>•</w:t>
      </w:r>
      <w:r w:rsidRPr="00A43C05">
        <w:rPr>
          <w:lang w:val="fr-CH"/>
        </w:rPr>
        <w:tab/>
      </w:r>
      <w:hyperlink r:id="rId43" w:history="1">
        <w:r w:rsidRPr="00A43C05">
          <w:rPr>
            <w:rStyle w:val="Hyperlink"/>
            <w:color w:val="auto"/>
            <w:szCs w:val="19"/>
            <w:lang w:val="fr-CH"/>
          </w:rPr>
          <w:t>Informe UIT-R M.2133</w:t>
        </w:r>
      </w:hyperlink>
    </w:p>
    <w:p w:rsidR="00245306" w:rsidRPr="00A43C05" w:rsidRDefault="00245306" w:rsidP="00245306">
      <w:pPr>
        <w:pStyle w:val="enumlev1"/>
        <w:rPr>
          <w:lang w:val="fr-CH"/>
        </w:rPr>
      </w:pPr>
      <w:r w:rsidRPr="00A43C05">
        <w:rPr>
          <w:lang w:val="fr-CH"/>
        </w:rPr>
        <w:t>•</w:t>
      </w:r>
      <w:r w:rsidRPr="00A43C05">
        <w:rPr>
          <w:lang w:val="fr-CH"/>
        </w:rPr>
        <w:tab/>
      </w:r>
      <w:hyperlink r:id="rId44" w:history="1">
        <w:r w:rsidRPr="00A43C05">
          <w:rPr>
            <w:rStyle w:val="Hyperlink"/>
            <w:color w:val="auto"/>
            <w:szCs w:val="19"/>
            <w:lang w:val="fr-CH"/>
          </w:rPr>
          <w:t>Informe UIT-R M.2134</w:t>
        </w:r>
      </w:hyperlink>
    </w:p>
    <w:p w:rsidR="00CA2179" w:rsidRDefault="00245306" w:rsidP="00245306">
      <w:pPr>
        <w:pStyle w:val="enumlev1"/>
      </w:pPr>
      <w:r w:rsidRPr="00245306">
        <w:t>•</w:t>
      </w:r>
      <w:r w:rsidRPr="00245306">
        <w:tab/>
      </w:r>
      <w:hyperlink r:id="rId45" w:history="1">
        <w:proofErr w:type="spellStart"/>
        <w:r w:rsidRPr="00F26647">
          <w:rPr>
            <w:rStyle w:val="Hyperlink"/>
            <w:color w:val="auto"/>
            <w:szCs w:val="19"/>
          </w:rPr>
          <w:t>Informe</w:t>
        </w:r>
        <w:proofErr w:type="spellEnd"/>
        <w:r w:rsidRPr="00F26647">
          <w:rPr>
            <w:rStyle w:val="Hyperlink"/>
            <w:color w:val="auto"/>
            <w:szCs w:val="19"/>
          </w:rPr>
          <w:t xml:space="preserve"> UIT-R M.2135</w:t>
        </w:r>
      </w:hyperlink>
      <w:bookmarkStart w:id="578" w:name="dtitle3" w:colFirst="0" w:colLast="0"/>
      <w:r w:rsidRPr="00F26647">
        <w:rPr>
          <w:u w:val="single"/>
        </w:rPr>
        <w:t>.</w:t>
      </w:r>
      <w:bookmarkEnd w:id="578"/>
    </w:p>
    <w:p w:rsidR="00245306" w:rsidRPr="00245306" w:rsidRDefault="00245306" w:rsidP="00245306">
      <w:pPr>
        <w:pStyle w:val="enumlev1"/>
      </w:pPr>
    </w:p>
    <w:sectPr w:rsidR="00245306" w:rsidRPr="00245306" w:rsidSect="00D62C98">
      <w:headerReference w:type="even" r:id="rId46"/>
      <w:headerReference w:type="default" r:id="rId47"/>
      <w:pgSz w:w="11907" w:h="16834" w:code="9"/>
      <w:pgMar w:top="1418" w:right="1134" w:bottom="1418" w:left="1134" w:header="720" w:footer="720"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3A1" w:rsidRDefault="008253A1">
      <w:r>
        <w:separator/>
      </w:r>
    </w:p>
  </w:endnote>
  <w:endnote w:type="continuationSeparator" w:id="0">
    <w:p w:rsidR="008253A1" w:rsidRDefault="008253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plified Arabic">
    <w:altName w:val="Times New Roman"/>
    <w:panose1 w:val="02010000000000000000"/>
    <w:charset w:val="B2"/>
    <w:family w:val="auto"/>
    <w:pitch w:val="variable"/>
    <w:sig w:usb0="00002001" w:usb1="00000000" w:usb2="00000000" w:usb3="00000000" w:csb0="00000040" w:csb1="00000000"/>
  </w:font>
  <w:font w:name="SimHei">
    <w:altName w:val="黑体"/>
    <w:panose1 w:val="02010600030101010101"/>
    <w:charset w:val="86"/>
    <w:family w:val="modern"/>
    <w:notTrueType/>
    <w:pitch w:val="fixed"/>
    <w:sig w:usb0="00000001" w:usb1="080E0000" w:usb2="00000010" w:usb3="00000000" w:csb0="00040000" w:csb1="00000000"/>
  </w:font>
  <w:font w:name="Traditional Arabic">
    <w:panose1 w:val="02010000000000000000"/>
    <w:charset w:val="B2"/>
    <w:family w:val="auto"/>
    <w:pitch w:val="variable"/>
    <w:sig w:usb0="00002001" w:usb1="00000000" w:usb2="00000000" w:usb3="00000000" w:csb0="00000040"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Univers BoldExt">
    <w:panose1 w:val="02000807060000020003"/>
    <w:charset w:val="00"/>
    <w:family w:val="auto"/>
    <w:pitch w:val="variable"/>
    <w:sig w:usb0="80000027"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Times New Roman"/>
    <w:charset w:val="00"/>
    <w:family w:val="auto"/>
    <w:pitch w:val="default"/>
    <w:sig w:usb0="00000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ヒラギノ角ゴ Pro W3">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Default="00C2465F" w:rsidP="00115571">
    <w:pPr>
      <w:pStyle w:val="Footer"/>
      <w:jc w:val="right"/>
    </w:pPr>
    <w:r>
      <w:rPr>
        <w:lang w:val="en-US" w:eastAsia="zh-CN"/>
      </w:rPr>
      <w:drawing>
        <wp:inline distT="0" distB="0" distL="0" distR="0">
          <wp:extent cx="810842" cy="913915"/>
          <wp:effectExtent l="19050" t="0" r="8308"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Default="00C2465F">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Default="00C2465F"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3A1" w:rsidRDefault="008253A1">
      <w:r>
        <w:t>____________________</w:t>
      </w:r>
    </w:p>
  </w:footnote>
  <w:footnote w:type="continuationSeparator" w:id="0">
    <w:p w:rsidR="008253A1" w:rsidRDefault="008253A1">
      <w:r>
        <w:continuationSeparator/>
      </w:r>
    </w:p>
  </w:footnote>
  <w:footnote w:id="1">
    <w:p w:rsidR="00881351" w:rsidRPr="00A43C05" w:rsidRDefault="00881351" w:rsidP="00881351">
      <w:pPr>
        <w:pStyle w:val="FootnoteText"/>
        <w:ind w:left="256" w:hanging="256"/>
        <w:rPr>
          <w:lang w:val="es-ES_tradnl"/>
        </w:rPr>
      </w:pPr>
      <w:r w:rsidRPr="00881351">
        <w:rPr>
          <w:rFonts w:eastAsia="SimSun"/>
          <w:vertAlign w:val="superscript"/>
        </w:rPr>
        <w:footnoteRef/>
      </w:r>
      <w:r w:rsidRPr="00A43C05">
        <w:rPr>
          <w:lang w:val="es-ES_tradnl"/>
        </w:rPr>
        <w:t xml:space="preserve"> </w:t>
      </w:r>
      <w:r w:rsidRPr="00A43C05">
        <w:rPr>
          <w:lang w:val="es-ES_tradnl"/>
        </w:rPr>
        <w:tab/>
        <w:t>Aunque el objetivo original de las IMT</w:t>
      </w:r>
      <w:r w:rsidRPr="00A43C05">
        <w:rPr>
          <w:lang w:val="es-ES_tradnl"/>
        </w:rPr>
        <w:noBreakHyphen/>
        <w:t>2000 era una banda de frecuencias común en todo el mundo (véase, por ejemplo, la Recomendación UIT</w:t>
      </w:r>
      <w:r w:rsidRPr="00A43C05">
        <w:rPr>
          <w:lang w:val="es-ES_tradnl"/>
        </w:rPr>
        <w:noBreakHyphen/>
        <w:t>R M.1308) en la actualidad hay varias bandas de frecuencias definidas en el Reglamento de Radiocomunicaciones como resultado de las decisiones de la CAMR</w:t>
      </w:r>
      <w:r w:rsidRPr="00A43C05">
        <w:rPr>
          <w:lang w:val="es-ES_tradnl"/>
        </w:rPr>
        <w:noBreakHyphen/>
        <w:t>92, la CMR</w:t>
      </w:r>
      <w:r w:rsidRPr="00A43C05">
        <w:rPr>
          <w:lang w:val="es-ES_tradnl"/>
        </w:rPr>
        <w:noBreakHyphen/>
        <w:t>2000 y la CMR-07.</w:t>
      </w:r>
    </w:p>
  </w:footnote>
  <w:footnote w:id="2">
    <w:p w:rsidR="00881351" w:rsidRPr="00A43C05" w:rsidRDefault="00881351" w:rsidP="00881351">
      <w:pPr>
        <w:pStyle w:val="FootnoteText"/>
        <w:ind w:left="256" w:hanging="256"/>
        <w:rPr>
          <w:lang w:val="es-ES_tradnl"/>
        </w:rPr>
      </w:pPr>
      <w:r w:rsidRPr="00881351">
        <w:rPr>
          <w:rFonts w:eastAsia="SimSun"/>
          <w:vertAlign w:val="superscript"/>
        </w:rPr>
        <w:footnoteRef/>
      </w:r>
      <w:r w:rsidRPr="00A43C05">
        <w:rPr>
          <w:lang w:val="es-ES_tradnl"/>
        </w:rPr>
        <w:t xml:space="preserve"> </w:t>
      </w:r>
      <w:r w:rsidRPr="00A43C05">
        <w:rPr>
          <w:lang w:val="es-ES_tradnl"/>
        </w:rPr>
        <w:tab/>
        <w:t>«Evolución dentro de las IMT-2000» significa la evolución de cada una de las tecnologías de las radiocomunicaciones terrenales de las IMT-2000.</w:t>
      </w:r>
    </w:p>
  </w:footnote>
  <w:footnote w:id="3">
    <w:p w:rsidR="00881351" w:rsidRPr="00A43C05" w:rsidRDefault="00881351" w:rsidP="00881351">
      <w:pPr>
        <w:pStyle w:val="FootnoteText"/>
        <w:ind w:left="256" w:hanging="256"/>
        <w:rPr>
          <w:lang w:val="es-ES_tradnl"/>
        </w:rPr>
      </w:pPr>
      <w:r w:rsidRPr="00881351">
        <w:rPr>
          <w:rFonts w:eastAsia="SimSun"/>
          <w:vertAlign w:val="superscript"/>
        </w:rPr>
        <w:footnoteRef/>
      </w:r>
      <w:r w:rsidRPr="00A43C05">
        <w:rPr>
          <w:lang w:val="es-ES_tradnl"/>
        </w:rPr>
        <w:t xml:space="preserve"> </w:t>
      </w:r>
      <w:r w:rsidRPr="00A43C05">
        <w:rPr>
          <w:lang w:val="es-ES_tradnl"/>
        </w:rPr>
        <w:tab/>
        <w:t>En contexto del presente documento, la palabra «norma» se refiere a una especificación publicada por una Organización de normalización, por ejemplo, las Recomendaciones del UIT-R y del UIT-T.</w:t>
      </w:r>
    </w:p>
  </w:footnote>
  <w:footnote w:id="4">
    <w:p w:rsidR="00881351" w:rsidRPr="00A43C05" w:rsidRDefault="00881351" w:rsidP="00881351">
      <w:pPr>
        <w:pStyle w:val="FootnoteText"/>
        <w:rPr>
          <w:lang w:val="es-ES_tradnl"/>
        </w:rPr>
      </w:pPr>
      <w:r w:rsidRPr="00881351">
        <w:rPr>
          <w:rFonts w:eastAsia="SimSun"/>
          <w:vertAlign w:val="superscript"/>
        </w:rPr>
        <w:footnoteRef/>
      </w:r>
      <w:r w:rsidRPr="00A43C05">
        <w:rPr>
          <w:lang w:val="es-ES_tradnl"/>
        </w:rPr>
        <w:t xml:space="preserve"> </w:t>
      </w:r>
      <w:r w:rsidRPr="00A43C05">
        <w:rPr>
          <w:lang w:val="es-ES_tradnl"/>
        </w:rPr>
        <w:tab/>
        <w:t>Las siglas UWC-136 ya no se utilizan para la portadora única AMDT de las IMT-2000.</w:t>
      </w:r>
    </w:p>
  </w:footnote>
  <w:footnote w:id="5">
    <w:p w:rsidR="00102997" w:rsidRPr="00A43C05" w:rsidRDefault="00102997" w:rsidP="00102997">
      <w:pPr>
        <w:pStyle w:val="FootnoteText"/>
        <w:ind w:left="256" w:hanging="256"/>
        <w:jc w:val="left"/>
        <w:rPr>
          <w:lang w:val="es-ES_tradnl"/>
        </w:rPr>
      </w:pPr>
      <w:r w:rsidRPr="00102997">
        <w:rPr>
          <w:rFonts w:eastAsia="SimSun"/>
          <w:vertAlign w:val="superscript"/>
        </w:rPr>
        <w:footnoteRef/>
      </w:r>
      <w:r w:rsidRPr="00A43C05">
        <w:rPr>
          <w:lang w:val="es-ES_tradnl"/>
        </w:rPr>
        <w:t xml:space="preserve"> </w:t>
      </w:r>
      <w:r w:rsidRPr="00A43C05">
        <w:rPr>
          <w:lang w:val="es-ES_tradnl"/>
        </w:rPr>
        <w:tab/>
        <w:t>En el Manual sobre implantación de las IMT</w:t>
      </w:r>
      <w:r w:rsidRPr="00A43C05">
        <w:rPr>
          <w:lang w:val="es-ES_tradnl"/>
        </w:rPr>
        <w:noBreakHyphen/>
        <w:t>2000 se definen tres normas de redes básicas. No obstante, el UIT</w:t>
      </w:r>
      <w:r w:rsidRPr="00A43C05">
        <w:rPr>
          <w:lang w:val="es-ES_tradnl"/>
        </w:rPr>
        <w:noBreakHyphen/>
        <w:t>T sólo ha definido oficialmente las dos primeras en las Recomendaciones UIT-T Q.1741.x y Q.1742.x.</w:t>
      </w:r>
    </w:p>
  </w:footnote>
  <w:footnote w:id="6">
    <w:p w:rsidR="00F43AA7" w:rsidRPr="00A43C05" w:rsidRDefault="00F43AA7" w:rsidP="00A04655">
      <w:pPr>
        <w:pStyle w:val="FootnoteText"/>
        <w:ind w:left="256" w:hanging="256"/>
        <w:rPr>
          <w:lang w:val="es-ES_tradnl"/>
        </w:rPr>
      </w:pPr>
      <w:r w:rsidRPr="00A04655">
        <w:rPr>
          <w:rFonts w:eastAsia="SimSun"/>
          <w:vertAlign w:val="superscript"/>
        </w:rPr>
        <w:footnoteRef/>
      </w:r>
      <w:r w:rsidRPr="00A43C05">
        <w:rPr>
          <w:lang w:val="es-ES_tradnl"/>
        </w:rPr>
        <w:t xml:space="preserve"> </w:t>
      </w:r>
      <w:r w:rsidRPr="00A43C05">
        <w:rPr>
          <w:lang w:val="es-ES_tradnl"/>
        </w:rPr>
        <w:tab/>
        <w:t>Fuente: Documento de trabajo para la revisión de la Recomendación UIT-R M.1036-3, GT 5D del UIT</w:t>
      </w:r>
      <w:r w:rsidRPr="00A43C05">
        <w:rPr>
          <w:lang w:val="es-ES_tradnl"/>
        </w:rPr>
        <w:noBreakHyphen/>
        <w:t>R, Documento R07-WP5D-C-0413!H05!MSW.</w:t>
      </w:r>
    </w:p>
  </w:footnote>
  <w:footnote w:id="7">
    <w:p w:rsidR="00A04655" w:rsidRPr="00A43C05" w:rsidRDefault="00A04655" w:rsidP="00A04655">
      <w:pPr>
        <w:pStyle w:val="FootnoteText"/>
        <w:ind w:left="256" w:hanging="256"/>
        <w:rPr>
          <w:lang w:val="es-ES_tradnl"/>
        </w:rPr>
      </w:pPr>
      <w:r w:rsidRPr="00A04655">
        <w:rPr>
          <w:rFonts w:eastAsia="SimSun"/>
          <w:vertAlign w:val="superscript"/>
        </w:rPr>
        <w:footnoteRef/>
      </w:r>
      <w:r w:rsidRPr="00A43C05">
        <w:rPr>
          <w:lang w:val="es-ES_tradnl"/>
        </w:rPr>
        <w:t xml:space="preserve"> </w:t>
      </w:r>
      <w:r w:rsidRPr="00A43C05">
        <w:rPr>
          <w:lang w:val="es-ES_tradnl"/>
        </w:rPr>
        <w:tab/>
        <w:t>Fuente: Documento de trabajo para la revisión de la Recomendación UIT-R M.1036-3, GT 5D del UIT</w:t>
      </w:r>
      <w:r w:rsidRPr="00A43C05">
        <w:rPr>
          <w:lang w:val="es-ES_tradnl"/>
        </w:rPr>
        <w:noBreakHyphen/>
        <w:t>R, Documento R07-WP5D-C-0413!H05!MSW.</w:t>
      </w:r>
    </w:p>
  </w:footnote>
  <w:footnote w:id="8">
    <w:p w:rsidR="00A04655" w:rsidRPr="00030119" w:rsidRDefault="00A04655" w:rsidP="00A04655">
      <w:pPr>
        <w:pStyle w:val="FootnoteText"/>
        <w:rPr>
          <w:szCs w:val="18"/>
          <w:lang w:val="es-ES_tradnl"/>
        </w:rPr>
      </w:pPr>
      <w:r w:rsidRPr="00030119">
        <w:rPr>
          <w:rFonts w:eastAsia="SimSun"/>
          <w:vertAlign w:val="superscript"/>
        </w:rPr>
        <w:footnoteRef/>
      </w:r>
      <w:r w:rsidRPr="00030119">
        <w:rPr>
          <w:szCs w:val="18"/>
          <w:lang w:val="es-ES_tradnl"/>
        </w:rPr>
        <w:t xml:space="preserve"> </w:t>
      </w:r>
      <w:r w:rsidRPr="00030119">
        <w:rPr>
          <w:szCs w:val="18"/>
          <w:lang w:val="es-ES_tradnl"/>
        </w:rPr>
        <w:tab/>
      </w:r>
      <w:hyperlink r:id="rId1" w:history="1">
        <w:r w:rsidRPr="00030119">
          <w:rPr>
            <w:rStyle w:val="Hyperlink"/>
            <w:szCs w:val="18"/>
            <w:lang w:val="es-ES"/>
          </w:rPr>
          <w:t>www.openmobilealliance.org</w:t>
        </w:r>
      </w:hyperlink>
    </w:p>
  </w:footnote>
  <w:footnote w:id="9">
    <w:p w:rsidR="00A04655" w:rsidRPr="00A43C05" w:rsidRDefault="00A04655" w:rsidP="00A04655">
      <w:pPr>
        <w:pStyle w:val="FootnoteText"/>
        <w:rPr>
          <w:lang w:val="es-ES_tradnl"/>
        </w:rPr>
      </w:pPr>
      <w:r w:rsidRPr="006A1172">
        <w:rPr>
          <w:rFonts w:eastAsia="SimSun"/>
          <w:vertAlign w:val="superscript"/>
        </w:rPr>
        <w:footnoteRef/>
      </w:r>
      <w:r w:rsidRPr="00A43C05">
        <w:rPr>
          <w:lang w:val="es-ES_tradnl"/>
        </w:rPr>
        <w:t xml:space="preserve"> </w:t>
      </w:r>
      <w:r w:rsidRPr="00A43C05">
        <w:rPr>
          <w:lang w:val="es-ES_tradnl"/>
        </w:rPr>
        <w:tab/>
      </w:r>
      <w:r w:rsidRPr="00A43C05">
        <w:rPr>
          <w:lang w:val="es-ES_tradnl"/>
        </w:rPr>
        <w:t>Pueden consultarse los detalles del proceso de distribución de las 3GPP en el Anexo E de las MTG.</w:t>
      </w:r>
    </w:p>
  </w:footnote>
  <w:footnote w:id="10">
    <w:p w:rsidR="00AF396C" w:rsidRPr="00A43C05" w:rsidRDefault="00AF396C" w:rsidP="00AF396C">
      <w:pPr>
        <w:pStyle w:val="FootnoteText"/>
        <w:tabs>
          <w:tab w:val="clear" w:pos="255"/>
          <w:tab w:val="left" w:pos="426"/>
        </w:tabs>
        <w:rPr>
          <w:lang w:val="es-ES_tradnl"/>
        </w:rPr>
      </w:pPr>
      <w:r w:rsidRPr="00AF396C">
        <w:rPr>
          <w:rFonts w:eastAsia="SimSun"/>
          <w:vertAlign w:val="superscript"/>
        </w:rPr>
        <w:footnoteRef/>
      </w:r>
      <w:r w:rsidRPr="00A43C05">
        <w:rPr>
          <w:lang w:val="es-ES_tradnl"/>
        </w:rPr>
        <w:t xml:space="preserve"> </w:t>
      </w:r>
      <w:r w:rsidRPr="00A43C05">
        <w:rPr>
          <w:lang w:val="es-ES_tradnl"/>
        </w:rPr>
        <w:tab/>
        <w:t>La expresión «migración/transición» se utiliza para el cambio efectuado al evolucionar y migrar.</w:t>
      </w:r>
    </w:p>
  </w:footnote>
  <w:footnote w:id="11">
    <w:p w:rsidR="00FB2410" w:rsidRPr="00FB2410" w:rsidRDefault="00FB2410" w:rsidP="00FB2410">
      <w:pPr>
        <w:pStyle w:val="FootnoteText"/>
        <w:tabs>
          <w:tab w:val="clear" w:pos="255"/>
          <w:tab w:val="left" w:pos="426"/>
        </w:tabs>
        <w:rPr>
          <w:lang w:val="es-ES_tradnl"/>
        </w:rPr>
      </w:pPr>
      <w:r w:rsidRPr="00863244">
        <w:rPr>
          <w:rFonts w:eastAsia="SimSun"/>
          <w:vertAlign w:val="superscript"/>
        </w:rPr>
        <w:footnoteRef/>
      </w:r>
      <w:r w:rsidRPr="00FB2410">
        <w:rPr>
          <w:lang w:val="es-ES_tradnl"/>
        </w:rPr>
        <w:tab/>
        <w:t>Se supone la versión 99.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Default="002D71A8" w:rsidP="00747593">
    <w:pPr>
      <w:pStyle w:val="Header"/>
      <w:tabs>
        <w:tab w:val="left" w:pos="1122"/>
      </w:tabs>
      <w:jc w:val="left"/>
      <w:rPr>
        <w:lang w:val="fr-CH"/>
      </w:rPr>
    </w:pPr>
    <w:r>
      <w:rPr>
        <w:rStyle w:val="PageNumber"/>
      </w:rPr>
      <w:fldChar w:fldCharType="begin"/>
    </w:r>
    <w:r w:rsidR="00C2465F">
      <w:rPr>
        <w:rStyle w:val="PageNumber"/>
      </w:rPr>
      <w:instrText xml:space="preserve"> PAGE </w:instrText>
    </w:r>
    <w:r>
      <w:rPr>
        <w:rStyle w:val="PageNumber"/>
      </w:rPr>
      <w:fldChar w:fldCharType="separate"/>
    </w:r>
    <w:r w:rsidR="003C104B">
      <w:rPr>
        <w:rStyle w:val="PageNumber"/>
        <w:noProof/>
      </w:rPr>
      <w:t>ii</w:t>
    </w:r>
    <w:r>
      <w:rPr>
        <w:rStyle w:val="PageNumber"/>
      </w:rPr>
      <w:fldChar w:fldCharType="end"/>
    </w:r>
    <w:r w:rsidR="00C2465F">
      <w:rPr>
        <w:rStyle w:val="PageNumber"/>
        <w:lang w:val="fr-CH"/>
      </w:rPr>
      <w:tab/>
    </w:r>
    <w:r w:rsidR="00C2465F">
      <w:rPr>
        <w:rStyle w:val="PageNumber"/>
        <w:lang w:val="fr-CH"/>
      </w:rPr>
      <w:tab/>
      <w:t>Q</w:t>
    </w:r>
    <w:r w:rsidR="00C2465F" w:rsidRPr="002D4FCA">
      <w:rPr>
        <w:bCs/>
        <w:szCs w:val="22"/>
        <w:lang w:val="fr-CH"/>
      </w:rPr>
      <w:t>uestion</w:t>
    </w:r>
    <w:r w:rsidR="00C2465F">
      <w:rPr>
        <w:b w:val="0"/>
        <w:bCs/>
        <w:szCs w:val="22"/>
        <w:lang w:val="fr-CH"/>
      </w:rPr>
      <w:t xml:space="preserve"> </w:t>
    </w:r>
    <w:r w:rsidR="00C2465F">
      <w:rPr>
        <w:bCs/>
        <w:szCs w:val="22"/>
        <w:lang w:val="fr-CH"/>
      </w:rPr>
      <w:t>22</w:t>
    </w:r>
    <w:r w:rsidR="00C2465F" w:rsidRPr="00DB09F2">
      <w:rPr>
        <w:bCs/>
        <w:szCs w:val="22"/>
        <w:lang w:val="fr-CH"/>
      </w:rPr>
      <w:t>/</w:t>
    </w:r>
    <w:r w:rsidR="00C2465F">
      <w:rPr>
        <w:bCs/>
        <w:szCs w:val="22"/>
        <w:lang w:val="fr-CH"/>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Pr="000774A7" w:rsidRDefault="000774A7" w:rsidP="000774A7">
    <w:pPr>
      <w:pStyle w:val="Header"/>
      <w:tabs>
        <w:tab w:val="clear" w:pos="4820"/>
        <w:tab w:val="clear" w:pos="9639"/>
        <w:tab w:val="left" w:pos="907"/>
        <w:tab w:val="center" w:pos="4849"/>
        <w:tab w:val="right" w:pos="8789"/>
        <w:tab w:val="right" w:pos="9730"/>
      </w:tabs>
      <w:spacing w:before="240"/>
      <w:rPr>
        <w:rFonts w:ascii="Univers BoldExt" w:hAnsi="Univers BoldExt"/>
        <w:color w:val="999999"/>
        <w:spacing w:val="108"/>
        <w:szCs w:val="22"/>
        <w:lang w:val="fr-CH"/>
      </w:rPr>
    </w:pPr>
    <w:proofErr w:type="spellStart"/>
    <w:r w:rsidRPr="000774A7">
      <w:rPr>
        <w:rFonts w:ascii="Univers BoldExt" w:hAnsi="Univers BoldExt"/>
        <w:color w:val="999999"/>
        <w:spacing w:val="108"/>
        <w:szCs w:val="22"/>
        <w:lang w:val="fr-CH"/>
      </w:rPr>
      <w:t>Unión</w:t>
    </w:r>
    <w:proofErr w:type="spellEnd"/>
    <w:r w:rsidRPr="000774A7">
      <w:rPr>
        <w:rFonts w:ascii="Univers BoldExt" w:hAnsi="Univers BoldExt"/>
        <w:color w:val="999999"/>
        <w:spacing w:val="108"/>
        <w:szCs w:val="22"/>
        <w:lang w:val="fr-CH"/>
      </w:rPr>
      <w:t xml:space="preserve"> </w:t>
    </w:r>
    <w:proofErr w:type="spellStart"/>
    <w:r w:rsidRPr="000774A7">
      <w:rPr>
        <w:rFonts w:ascii="Univers BoldExt" w:hAnsi="Univers BoldExt"/>
        <w:color w:val="999999"/>
        <w:spacing w:val="108"/>
        <w:szCs w:val="22"/>
        <w:lang w:val="fr-CH"/>
      </w:rPr>
      <w:t>Internacional</w:t>
    </w:r>
    <w:proofErr w:type="spellEnd"/>
    <w:r w:rsidRPr="000774A7">
      <w:rPr>
        <w:rFonts w:ascii="Univers BoldExt" w:hAnsi="Univers BoldExt"/>
        <w:color w:val="999999"/>
        <w:spacing w:val="108"/>
        <w:szCs w:val="22"/>
        <w:lang w:val="fr-CH"/>
      </w:rPr>
      <w:t xml:space="preserve"> de </w:t>
    </w:r>
    <w:proofErr w:type="spellStart"/>
    <w:r w:rsidRPr="000774A7">
      <w:rPr>
        <w:rFonts w:ascii="Univers BoldExt" w:hAnsi="Univers BoldExt"/>
        <w:color w:val="999999"/>
        <w:spacing w:val="108"/>
        <w:szCs w:val="22"/>
        <w:lang w:val="fr-CH"/>
      </w:rPr>
      <w:t>Telecomunicaciones</w:t>
    </w:r>
    <w:proofErr w:type="spellEnd"/>
  </w:p>
  <w:p w:rsidR="00C2465F" w:rsidRPr="0062594A" w:rsidRDefault="00C2465F"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Pr="00E87C8C" w:rsidRDefault="00C2465F"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2D71A8">
      <w:rPr>
        <w:rStyle w:val="PageNumber"/>
      </w:rPr>
      <w:fldChar w:fldCharType="begin"/>
    </w:r>
    <w:r>
      <w:rPr>
        <w:rStyle w:val="PageNumber"/>
      </w:rPr>
      <w:instrText xml:space="preserve"> PAGE </w:instrText>
    </w:r>
    <w:r w:rsidR="002D71A8">
      <w:rPr>
        <w:rStyle w:val="PageNumber"/>
      </w:rPr>
      <w:fldChar w:fldCharType="separate"/>
    </w:r>
    <w:r>
      <w:rPr>
        <w:rStyle w:val="PageNumber"/>
        <w:noProof/>
      </w:rPr>
      <w:t>130</w:t>
    </w:r>
    <w:r w:rsidR="002D71A8">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Pr="0093317B" w:rsidRDefault="00C2465F"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Default="002D71A8" w:rsidP="007E7394">
    <w:pPr>
      <w:pStyle w:val="Header"/>
      <w:tabs>
        <w:tab w:val="left" w:pos="1122"/>
      </w:tabs>
      <w:jc w:val="left"/>
      <w:rPr>
        <w:lang w:val="fr-CH"/>
      </w:rPr>
    </w:pPr>
    <w:r>
      <w:rPr>
        <w:rStyle w:val="PageNumber"/>
      </w:rPr>
      <w:fldChar w:fldCharType="begin"/>
    </w:r>
    <w:r w:rsidR="00C2465F">
      <w:rPr>
        <w:rStyle w:val="PageNumber"/>
      </w:rPr>
      <w:instrText xml:space="preserve"> PAGE </w:instrText>
    </w:r>
    <w:r>
      <w:rPr>
        <w:rStyle w:val="PageNumber"/>
      </w:rPr>
      <w:fldChar w:fldCharType="separate"/>
    </w:r>
    <w:r w:rsidR="00A43C05">
      <w:rPr>
        <w:rStyle w:val="PageNumber"/>
        <w:noProof/>
      </w:rPr>
      <w:t>iv</w:t>
    </w:r>
    <w:r>
      <w:rPr>
        <w:rStyle w:val="PageNumber"/>
      </w:rPr>
      <w:fldChar w:fldCharType="end"/>
    </w:r>
    <w:r w:rsidR="00C2465F">
      <w:rPr>
        <w:rStyle w:val="PageNumber"/>
        <w:lang w:val="fr-CH"/>
      </w:rPr>
      <w:tab/>
    </w:r>
    <w:r w:rsidR="00C2465F">
      <w:rPr>
        <w:rStyle w:val="PageNumber"/>
        <w:lang w:val="fr-CH"/>
      </w:rPr>
      <w:tab/>
      <w:t>Q</w:t>
    </w:r>
    <w:r w:rsidR="00C2465F" w:rsidRPr="002D4FCA">
      <w:rPr>
        <w:bCs/>
        <w:szCs w:val="22"/>
        <w:lang w:val="fr-CH"/>
      </w:rPr>
      <w:t>uestion</w:t>
    </w:r>
    <w:r w:rsidR="00C2465F">
      <w:rPr>
        <w:b w:val="0"/>
        <w:bCs/>
        <w:szCs w:val="22"/>
        <w:lang w:val="fr-CH"/>
      </w:rPr>
      <w:t xml:space="preserve"> </w:t>
    </w:r>
    <w:r w:rsidR="00C2465F">
      <w:rPr>
        <w:bCs/>
        <w:szCs w:val="22"/>
        <w:lang w:val="fr-CH"/>
      </w:rPr>
      <w:t>18-1</w:t>
    </w:r>
    <w:r w:rsidR="00C2465F" w:rsidRPr="00DB09F2">
      <w:rPr>
        <w:bCs/>
        <w:szCs w:val="22"/>
        <w:lang w:val="fr-CH"/>
      </w:rPr>
      <w:t>/</w:t>
    </w:r>
    <w:r w:rsidR="00C2465F">
      <w:rPr>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Default="00C2465F" w:rsidP="00F26647">
    <w:pPr>
      <w:pStyle w:val="Header"/>
      <w:tabs>
        <w:tab w:val="left" w:pos="1122"/>
      </w:tabs>
      <w:jc w:val="left"/>
      <w:rPr>
        <w:lang w:val="fr-CH"/>
      </w:rPr>
    </w:pPr>
    <w:r>
      <w:rPr>
        <w:rStyle w:val="PageNumber"/>
        <w:lang w:val="fr-CH"/>
      </w:rPr>
      <w:tab/>
    </w:r>
    <w:r>
      <w:rPr>
        <w:rStyle w:val="PageNumber"/>
        <w:lang w:val="fr-CH"/>
      </w:rPr>
      <w:tab/>
    </w:r>
    <w:proofErr w:type="spellStart"/>
    <w:r w:rsidR="00F26647">
      <w:rPr>
        <w:rStyle w:val="PageNumber"/>
        <w:lang w:val="fr-CH"/>
      </w:rPr>
      <w:t>C</w:t>
    </w:r>
    <w:r w:rsidRPr="002D4FCA">
      <w:rPr>
        <w:bCs/>
        <w:szCs w:val="22"/>
        <w:lang w:val="fr-CH"/>
      </w:rPr>
      <w:t>uesti</w:t>
    </w:r>
    <w:r w:rsidR="00F26647">
      <w:rPr>
        <w:bCs/>
        <w:szCs w:val="22"/>
        <w:lang w:val="fr-CH"/>
      </w:rPr>
      <w:t>ó</w:t>
    </w:r>
    <w:r w:rsidRPr="002D4FCA">
      <w:rPr>
        <w:bCs/>
        <w:szCs w:val="22"/>
        <w:lang w:val="fr-CH"/>
      </w:rPr>
      <w:t>n</w:t>
    </w:r>
    <w:proofErr w:type="spellEnd"/>
    <w:r>
      <w:rPr>
        <w:b w:val="0"/>
        <w:bCs/>
        <w:szCs w:val="22"/>
        <w:lang w:val="fr-CH"/>
      </w:rPr>
      <w:t xml:space="preserve"> </w:t>
    </w:r>
    <w:r>
      <w:rPr>
        <w:szCs w:val="22"/>
        <w:lang w:val="fr-CH"/>
      </w:rPr>
      <w:t>18</w:t>
    </w:r>
    <w:r>
      <w:rPr>
        <w:bCs/>
        <w:szCs w:val="22"/>
        <w:lang w:val="fr-CH"/>
      </w:rPr>
      <w:t>-1</w:t>
    </w:r>
    <w:r w:rsidRPr="00DB09F2">
      <w:rPr>
        <w:bCs/>
        <w:szCs w:val="22"/>
        <w:lang w:val="fr-CH"/>
      </w:rPr>
      <w:t>/</w:t>
    </w:r>
    <w:r>
      <w:rPr>
        <w:bCs/>
        <w:szCs w:val="22"/>
        <w:lang w:val="fr-CH"/>
      </w:rPr>
      <w:t>2</w:t>
    </w:r>
    <w:r>
      <w:rPr>
        <w:bCs/>
        <w:szCs w:val="22"/>
        <w:lang w:val="fr-CH"/>
      </w:rPr>
      <w:tab/>
    </w:r>
    <w:r w:rsidR="002D71A8">
      <w:rPr>
        <w:rStyle w:val="PageNumber"/>
      </w:rPr>
      <w:fldChar w:fldCharType="begin"/>
    </w:r>
    <w:r>
      <w:rPr>
        <w:rStyle w:val="PageNumber"/>
      </w:rPr>
      <w:instrText xml:space="preserve"> PAGE </w:instrText>
    </w:r>
    <w:r w:rsidR="002D71A8">
      <w:rPr>
        <w:rStyle w:val="PageNumber"/>
      </w:rPr>
      <w:fldChar w:fldCharType="separate"/>
    </w:r>
    <w:r w:rsidR="00A43C05">
      <w:rPr>
        <w:rStyle w:val="PageNumber"/>
        <w:noProof/>
      </w:rPr>
      <w:t>v</w:t>
    </w:r>
    <w:r w:rsidR="002D71A8">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Default="002D71A8" w:rsidP="00125F93">
    <w:pPr>
      <w:pStyle w:val="Header"/>
      <w:tabs>
        <w:tab w:val="left" w:pos="1122"/>
      </w:tabs>
      <w:jc w:val="left"/>
      <w:rPr>
        <w:lang w:val="fr-CH"/>
      </w:rPr>
    </w:pPr>
    <w:r>
      <w:rPr>
        <w:rStyle w:val="PageNumber"/>
      </w:rPr>
      <w:fldChar w:fldCharType="begin"/>
    </w:r>
    <w:r w:rsidR="00C2465F">
      <w:rPr>
        <w:rStyle w:val="PageNumber"/>
      </w:rPr>
      <w:instrText xml:space="preserve"> PAGE </w:instrText>
    </w:r>
    <w:r>
      <w:rPr>
        <w:rStyle w:val="PageNumber"/>
      </w:rPr>
      <w:fldChar w:fldCharType="separate"/>
    </w:r>
    <w:r w:rsidR="00A43C05">
      <w:rPr>
        <w:rStyle w:val="PageNumber"/>
        <w:noProof/>
      </w:rPr>
      <w:t>4</w:t>
    </w:r>
    <w:r>
      <w:rPr>
        <w:rStyle w:val="PageNumber"/>
      </w:rPr>
      <w:fldChar w:fldCharType="end"/>
    </w:r>
    <w:r w:rsidR="00C2465F">
      <w:rPr>
        <w:rStyle w:val="PageNumber"/>
        <w:lang w:val="fr-CH"/>
      </w:rPr>
      <w:tab/>
    </w:r>
    <w:r w:rsidR="00C2465F">
      <w:rPr>
        <w:rStyle w:val="PageNumber"/>
        <w:lang w:val="fr-CH"/>
      </w:rPr>
      <w:tab/>
    </w:r>
    <w:proofErr w:type="spellStart"/>
    <w:r w:rsidR="00125F93">
      <w:rPr>
        <w:rStyle w:val="PageNumber"/>
        <w:lang w:val="fr-CH"/>
      </w:rPr>
      <w:t>C</w:t>
    </w:r>
    <w:r w:rsidR="00125F93" w:rsidRPr="002D4FCA">
      <w:rPr>
        <w:bCs/>
        <w:szCs w:val="22"/>
        <w:lang w:val="fr-CH"/>
      </w:rPr>
      <w:t>uesti</w:t>
    </w:r>
    <w:r w:rsidR="00125F93">
      <w:rPr>
        <w:bCs/>
        <w:szCs w:val="22"/>
        <w:lang w:val="fr-CH"/>
      </w:rPr>
      <w:t>ó</w:t>
    </w:r>
    <w:r w:rsidR="00125F93" w:rsidRPr="002D4FCA">
      <w:rPr>
        <w:bCs/>
        <w:szCs w:val="22"/>
        <w:lang w:val="fr-CH"/>
      </w:rPr>
      <w:t>n</w:t>
    </w:r>
    <w:proofErr w:type="spellEnd"/>
    <w:r w:rsidR="00125F93">
      <w:rPr>
        <w:bCs/>
        <w:szCs w:val="22"/>
        <w:lang w:val="fr-CH"/>
      </w:rPr>
      <w:t xml:space="preserve"> </w:t>
    </w:r>
    <w:r w:rsidR="00C2465F">
      <w:rPr>
        <w:bCs/>
        <w:szCs w:val="22"/>
        <w:lang w:val="fr-CH"/>
      </w:rPr>
      <w:t>18-1</w:t>
    </w:r>
    <w:r w:rsidR="00C2465F" w:rsidRPr="00DB09F2">
      <w:rPr>
        <w:bCs/>
        <w:szCs w:val="22"/>
        <w:lang w:val="fr-CH"/>
      </w:rPr>
      <w:t>/</w:t>
    </w:r>
    <w:r w:rsidR="00C2465F">
      <w:rPr>
        <w:bCs/>
        <w:szCs w:val="22"/>
        <w:lang w:val="fr-CH"/>
      </w:rPr>
      <w:t>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5F" w:rsidRDefault="00C2465F" w:rsidP="00125F93">
    <w:pPr>
      <w:pStyle w:val="Header"/>
      <w:tabs>
        <w:tab w:val="left" w:pos="1122"/>
      </w:tabs>
      <w:jc w:val="left"/>
      <w:rPr>
        <w:lang w:val="fr-CH"/>
      </w:rPr>
    </w:pPr>
    <w:r>
      <w:rPr>
        <w:rStyle w:val="PageNumber"/>
        <w:lang w:val="fr-CH"/>
      </w:rPr>
      <w:tab/>
    </w:r>
    <w:r>
      <w:rPr>
        <w:rStyle w:val="PageNumber"/>
        <w:lang w:val="fr-CH"/>
      </w:rPr>
      <w:tab/>
    </w:r>
    <w:proofErr w:type="spellStart"/>
    <w:r w:rsidR="00125F93">
      <w:rPr>
        <w:rStyle w:val="PageNumber"/>
        <w:lang w:val="fr-CH"/>
      </w:rPr>
      <w:t>C</w:t>
    </w:r>
    <w:r w:rsidRPr="002D4FCA">
      <w:rPr>
        <w:bCs/>
        <w:szCs w:val="22"/>
        <w:lang w:val="fr-CH"/>
      </w:rPr>
      <w:t>uesti</w:t>
    </w:r>
    <w:r w:rsidR="00125F93">
      <w:rPr>
        <w:bCs/>
        <w:szCs w:val="22"/>
        <w:lang w:val="fr-CH"/>
      </w:rPr>
      <w:t>ó</w:t>
    </w:r>
    <w:r w:rsidRPr="002D4FCA">
      <w:rPr>
        <w:bCs/>
        <w:szCs w:val="22"/>
        <w:lang w:val="fr-CH"/>
      </w:rPr>
      <w:t>n</w:t>
    </w:r>
    <w:proofErr w:type="spellEnd"/>
    <w:r>
      <w:rPr>
        <w:b w:val="0"/>
        <w:bCs/>
        <w:szCs w:val="22"/>
        <w:lang w:val="fr-CH"/>
      </w:rPr>
      <w:t xml:space="preserve"> </w:t>
    </w:r>
    <w:r>
      <w:rPr>
        <w:bCs/>
        <w:szCs w:val="22"/>
        <w:lang w:val="fr-CH"/>
      </w:rPr>
      <w:t>18-1</w:t>
    </w:r>
    <w:r w:rsidRPr="00DB09F2">
      <w:rPr>
        <w:bCs/>
        <w:szCs w:val="22"/>
        <w:lang w:val="fr-CH"/>
      </w:rPr>
      <w:t>/</w:t>
    </w:r>
    <w:r>
      <w:rPr>
        <w:bCs/>
        <w:szCs w:val="22"/>
        <w:lang w:val="fr-CH"/>
      </w:rPr>
      <w:t>2</w:t>
    </w:r>
    <w:r>
      <w:rPr>
        <w:bCs/>
        <w:szCs w:val="22"/>
        <w:lang w:val="fr-CH"/>
      </w:rPr>
      <w:tab/>
    </w:r>
    <w:r w:rsidR="002D71A8">
      <w:rPr>
        <w:rStyle w:val="PageNumber"/>
      </w:rPr>
      <w:fldChar w:fldCharType="begin"/>
    </w:r>
    <w:r>
      <w:rPr>
        <w:rStyle w:val="PageNumber"/>
      </w:rPr>
      <w:instrText xml:space="preserve"> PAGE </w:instrText>
    </w:r>
    <w:r w:rsidR="002D71A8">
      <w:rPr>
        <w:rStyle w:val="PageNumber"/>
      </w:rPr>
      <w:fldChar w:fldCharType="separate"/>
    </w:r>
    <w:r w:rsidR="00A43C05">
      <w:rPr>
        <w:rStyle w:val="PageNumber"/>
        <w:noProof/>
      </w:rPr>
      <w:t>5</w:t>
    </w:r>
    <w:r w:rsidR="002D71A8">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896D33E"/>
    <w:lvl w:ilvl="0">
      <w:start w:val="1"/>
      <w:numFmt w:val="decimal"/>
      <w:lvlText w:val="%1."/>
      <w:lvlJc w:val="left"/>
      <w:pPr>
        <w:tabs>
          <w:tab w:val="num" w:pos="1492"/>
        </w:tabs>
        <w:ind w:left="1492" w:hanging="360"/>
      </w:pPr>
    </w:lvl>
  </w:abstractNum>
  <w:abstractNum w:abstractNumId="1">
    <w:nsid w:val="FFFFFF7D"/>
    <w:multiLevelType w:val="singleLevel"/>
    <w:tmpl w:val="E6341ACE"/>
    <w:lvl w:ilvl="0">
      <w:start w:val="1"/>
      <w:numFmt w:val="decimal"/>
      <w:lvlText w:val="%1."/>
      <w:lvlJc w:val="left"/>
      <w:pPr>
        <w:tabs>
          <w:tab w:val="num" w:pos="1209"/>
        </w:tabs>
        <w:ind w:left="1209" w:hanging="360"/>
      </w:pPr>
    </w:lvl>
  </w:abstractNum>
  <w:abstractNum w:abstractNumId="2">
    <w:nsid w:val="FFFFFF7E"/>
    <w:multiLevelType w:val="singleLevel"/>
    <w:tmpl w:val="3E3262C0"/>
    <w:lvl w:ilvl="0">
      <w:start w:val="1"/>
      <w:numFmt w:val="decimal"/>
      <w:lvlText w:val="%1."/>
      <w:lvlJc w:val="left"/>
      <w:pPr>
        <w:tabs>
          <w:tab w:val="num" w:pos="926"/>
        </w:tabs>
        <w:ind w:left="926" w:hanging="360"/>
      </w:pPr>
    </w:lvl>
  </w:abstractNum>
  <w:abstractNum w:abstractNumId="3">
    <w:nsid w:val="FFFFFF7F"/>
    <w:multiLevelType w:val="singleLevel"/>
    <w:tmpl w:val="E7E010EA"/>
    <w:lvl w:ilvl="0">
      <w:start w:val="1"/>
      <w:numFmt w:val="decimal"/>
      <w:lvlText w:val="%1."/>
      <w:lvlJc w:val="left"/>
      <w:pPr>
        <w:tabs>
          <w:tab w:val="num" w:pos="643"/>
        </w:tabs>
        <w:ind w:left="643" w:hanging="360"/>
      </w:pPr>
    </w:lvl>
  </w:abstractNum>
  <w:abstractNum w:abstractNumId="4">
    <w:nsid w:val="FFFFFF80"/>
    <w:multiLevelType w:val="singleLevel"/>
    <w:tmpl w:val="6940571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4C22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A46E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2886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A165284"/>
    <w:lvl w:ilvl="0">
      <w:start w:val="1"/>
      <w:numFmt w:val="decimal"/>
      <w:lvlText w:val="%1."/>
      <w:lvlJc w:val="left"/>
      <w:pPr>
        <w:tabs>
          <w:tab w:val="num" w:pos="360"/>
        </w:tabs>
        <w:ind w:left="360" w:hanging="360"/>
      </w:pPr>
    </w:lvl>
  </w:abstractNum>
  <w:abstractNum w:abstractNumId="9">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263401E"/>
    <w:multiLevelType w:val="singleLevel"/>
    <w:tmpl w:val="B700F934"/>
    <w:lvl w:ilvl="0">
      <w:start w:val="1"/>
      <w:numFmt w:val="decimal"/>
      <w:lvlText w:val="%1)"/>
      <w:lvlJc w:val="left"/>
      <w:pPr>
        <w:tabs>
          <w:tab w:val="num" w:pos="360"/>
        </w:tabs>
        <w:ind w:left="360" w:hanging="360"/>
      </w:pPr>
    </w:lvl>
  </w:abstractNum>
  <w:abstractNum w:abstractNumId="12">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07D109A6"/>
    <w:multiLevelType w:val="multilevel"/>
    <w:tmpl w:val="CA9AFC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09BD4083"/>
    <w:multiLevelType w:val="hybridMultilevel"/>
    <w:tmpl w:val="4F5A9E2E"/>
    <w:lvl w:ilvl="0" w:tplc="9DC62F98">
      <w:numFmt w:val="bullet"/>
      <w:lvlText w:val="–"/>
      <w:lvlJc w:val="left"/>
      <w:pPr>
        <w:ind w:left="1155" w:hanging="360"/>
      </w:pPr>
      <w:rPr>
        <w:rFonts w:ascii="Times New Roman" w:eastAsia="Times New Roman" w:hAnsi="Times New Roman"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6">
    <w:nsid w:val="1015367A"/>
    <w:multiLevelType w:val="hybridMultilevel"/>
    <w:tmpl w:val="3E7CAA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18310AA"/>
    <w:multiLevelType w:val="hybridMultilevel"/>
    <w:tmpl w:val="D9B80F72"/>
    <w:lvl w:ilvl="0" w:tplc="3A5EA914">
      <w:start w:val="1"/>
      <w:numFmt w:val="decimal"/>
      <w:lvlText w:val="%1."/>
      <w:lvlJc w:val="left"/>
      <w:pPr>
        <w:tabs>
          <w:tab w:val="num" w:pos="360"/>
        </w:tabs>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8">
    <w:nsid w:val="162A06FD"/>
    <w:multiLevelType w:val="multilevel"/>
    <w:tmpl w:val="82C421F8"/>
    <w:lvl w:ilvl="0">
      <w:start w:val="1"/>
      <w:numFmt w:val="decimal"/>
      <w:lvlText w:val="%1"/>
      <w:lvlJc w:val="left"/>
      <w:pPr>
        <w:tabs>
          <w:tab w:val="num" w:pos="792"/>
        </w:tabs>
        <w:ind w:left="792" w:hanging="792"/>
      </w:pPr>
      <w:rPr>
        <w:rFonts w:hint="default"/>
      </w:rPr>
    </w:lvl>
    <w:lvl w:ilvl="1">
      <w:start w:val="20"/>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1B1B0061"/>
    <w:multiLevelType w:val="hybridMultilevel"/>
    <w:tmpl w:val="B63E0E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E07AD9"/>
    <w:multiLevelType w:val="multilevel"/>
    <w:tmpl w:val="2F04FD90"/>
    <w:lvl w:ilvl="0">
      <w:start w:val="1"/>
      <w:numFmt w:val="decimal"/>
      <w:lvlText w:val="%1"/>
      <w:lvlJc w:val="left"/>
      <w:pPr>
        <w:tabs>
          <w:tab w:val="num" w:pos="792"/>
        </w:tabs>
        <w:ind w:left="792" w:hanging="792"/>
      </w:pPr>
      <w:rPr>
        <w:rFonts w:hint="default"/>
      </w:rPr>
    </w:lvl>
    <w:lvl w:ilvl="1">
      <w:start w:val="8"/>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2893436D"/>
    <w:multiLevelType w:val="hybridMultilevel"/>
    <w:tmpl w:val="554E065A"/>
    <w:lvl w:ilvl="0" w:tplc="7A8CE2EE">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3">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9827F2D"/>
    <w:multiLevelType w:val="hybridMultilevel"/>
    <w:tmpl w:val="AC920F96"/>
    <w:lvl w:ilvl="0" w:tplc="503A19B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3E7D747A"/>
    <w:multiLevelType w:val="multilevel"/>
    <w:tmpl w:val="856AC75E"/>
    <w:lvl w:ilvl="0">
      <w:start w:val="1"/>
      <w:numFmt w:val="decimal"/>
      <w:lvlText w:val="(%1)"/>
      <w:lvlJc w:val="left"/>
      <w:pPr>
        <w:tabs>
          <w:tab w:val="num" w:pos="360"/>
        </w:tabs>
        <w:ind w:left="360" w:hanging="360"/>
      </w:pPr>
      <w:rPr>
        <w:rFonts w:hint="default"/>
        <w:color w:val="FF0000"/>
        <w:sz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6">
    <w:nsid w:val="3FB95AEC"/>
    <w:multiLevelType w:val="hybridMultilevel"/>
    <w:tmpl w:val="03E6ED72"/>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DE005F2A">
      <w:start w:val="1"/>
      <w:numFmt w:val="lowerRoman"/>
      <w:lvlText w:val="%3."/>
      <w:lvlJc w:val="right"/>
      <w:pPr>
        <w:tabs>
          <w:tab w:val="num" w:pos="2160"/>
        </w:tabs>
        <w:ind w:left="2160" w:hanging="180"/>
      </w:pPr>
      <w:rPr>
        <w:rFonts w:cs="Times New Roman"/>
        <w:b/>
        <w:bCs w:val="0"/>
      </w:rPr>
    </w:lvl>
    <w:lvl w:ilvl="3" w:tplc="040C000F">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7">
    <w:nsid w:val="42D35AA8"/>
    <w:multiLevelType w:val="hybridMultilevel"/>
    <w:tmpl w:val="D5466B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6A3443"/>
    <w:multiLevelType w:val="hybridMultilevel"/>
    <w:tmpl w:val="75580A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48B87808"/>
    <w:multiLevelType w:val="multilevel"/>
    <w:tmpl w:val="5ABE81DC"/>
    <w:lvl w:ilvl="0">
      <w:start w:val="1"/>
      <w:numFmt w:val="decimal"/>
      <w:lvlText w:val="%1"/>
      <w:lvlJc w:val="left"/>
      <w:pPr>
        <w:tabs>
          <w:tab w:val="num" w:pos="792"/>
        </w:tabs>
        <w:ind w:left="792" w:hanging="792"/>
      </w:pPr>
      <w:rPr>
        <w:rFonts w:hint="default"/>
      </w:rPr>
    </w:lvl>
    <w:lvl w:ilvl="1">
      <w:start w:val="3"/>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FD735AE"/>
    <w:multiLevelType w:val="hybridMultilevel"/>
    <w:tmpl w:val="4E487E06"/>
    <w:lvl w:ilvl="0" w:tplc="5D422276">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CF6979"/>
    <w:multiLevelType w:val="hybridMultilevel"/>
    <w:tmpl w:val="A2B454EA"/>
    <w:lvl w:ilvl="0" w:tplc="CB565F58">
      <w:start w:val="4"/>
      <w:numFmt w:val="decimal"/>
      <w:lvlText w:val="%1"/>
      <w:lvlJc w:val="left"/>
      <w:pPr>
        <w:tabs>
          <w:tab w:val="num" w:pos="1155"/>
        </w:tabs>
        <w:ind w:left="1155" w:hanging="795"/>
      </w:pPr>
      <w:rPr>
        <w:rFonts w:hint="default"/>
      </w:rPr>
    </w:lvl>
    <w:lvl w:ilvl="1" w:tplc="040C0001">
      <w:start w:val="1"/>
      <w:numFmt w:val="bullet"/>
      <w:lvlText w:val=""/>
      <w:lvlJc w:val="left"/>
      <w:pPr>
        <w:tabs>
          <w:tab w:val="num" w:pos="1440"/>
        </w:tabs>
        <w:ind w:left="1440" w:hanging="360"/>
      </w:pPr>
      <w:rPr>
        <w:rFonts w:ascii="Symbol" w:hAnsi="Symbol" w:cs="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2">
    <w:nsid w:val="5B505F91"/>
    <w:multiLevelType w:val="hybridMultilevel"/>
    <w:tmpl w:val="4EEC26AE"/>
    <w:lvl w:ilvl="0" w:tplc="D818C778">
      <w:numFmt w:val="bullet"/>
      <w:lvlText w:val=""/>
      <w:lvlJc w:val="left"/>
      <w:pPr>
        <w:tabs>
          <w:tab w:val="num" w:pos="284"/>
        </w:tabs>
        <w:ind w:left="284" w:hanging="284"/>
      </w:pPr>
      <w:rPr>
        <w:rFonts w:ascii="Symbol" w:hAnsi="Symbol" w:hint="default"/>
      </w:rPr>
    </w:lvl>
    <w:lvl w:ilvl="1" w:tplc="D876C34C" w:tentative="1">
      <w:start w:val="1"/>
      <w:numFmt w:val="bullet"/>
      <w:lvlText w:val="o"/>
      <w:lvlJc w:val="left"/>
      <w:pPr>
        <w:tabs>
          <w:tab w:val="num" w:pos="1440"/>
        </w:tabs>
        <w:ind w:left="1440" w:hanging="360"/>
      </w:pPr>
      <w:rPr>
        <w:rFonts w:ascii="Courier New" w:hAnsi="Courier New" w:cs="Courier New" w:hint="default"/>
      </w:rPr>
    </w:lvl>
    <w:lvl w:ilvl="2" w:tplc="BEF2FDEA" w:tentative="1">
      <w:start w:val="1"/>
      <w:numFmt w:val="bullet"/>
      <w:lvlText w:val=""/>
      <w:lvlJc w:val="left"/>
      <w:pPr>
        <w:tabs>
          <w:tab w:val="num" w:pos="2160"/>
        </w:tabs>
        <w:ind w:left="2160" w:hanging="360"/>
      </w:pPr>
      <w:rPr>
        <w:rFonts w:ascii="Wingdings" w:hAnsi="Wingdings" w:hint="default"/>
      </w:rPr>
    </w:lvl>
    <w:lvl w:ilvl="3" w:tplc="AFBAF1BC" w:tentative="1">
      <w:start w:val="1"/>
      <w:numFmt w:val="bullet"/>
      <w:lvlText w:val=""/>
      <w:lvlJc w:val="left"/>
      <w:pPr>
        <w:tabs>
          <w:tab w:val="num" w:pos="2880"/>
        </w:tabs>
        <w:ind w:left="2880" w:hanging="360"/>
      </w:pPr>
      <w:rPr>
        <w:rFonts w:ascii="Symbol" w:hAnsi="Symbol" w:hint="default"/>
      </w:rPr>
    </w:lvl>
    <w:lvl w:ilvl="4" w:tplc="69123D04" w:tentative="1">
      <w:start w:val="1"/>
      <w:numFmt w:val="bullet"/>
      <w:lvlText w:val="o"/>
      <w:lvlJc w:val="left"/>
      <w:pPr>
        <w:tabs>
          <w:tab w:val="num" w:pos="3600"/>
        </w:tabs>
        <w:ind w:left="3600" w:hanging="360"/>
      </w:pPr>
      <w:rPr>
        <w:rFonts w:ascii="Courier New" w:hAnsi="Courier New" w:cs="Courier New" w:hint="default"/>
      </w:rPr>
    </w:lvl>
    <w:lvl w:ilvl="5" w:tplc="33B4F770" w:tentative="1">
      <w:start w:val="1"/>
      <w:numFmt w:val="bullet"/>
      <w:lvlText w:val=""/>
      <w:lvlJc w:val="left"/>
      <w:pPr>
        <w:tabs>
          <w:tab w:val="num" w:pos="4320"/>
        </w:tabs>
        <w:ind w:left="4320" w:hanging="360"/>
      </w:pPr>
      <w:rPr>
        <w:rFonts w:ascii="Wingdings" w:hAnsi="Wingdings" w:hint="default"/>
      </w:rPr>
    </w:lvl>
    <w:lvl w:ilvl="6" w:tplc="1AEE9DA0" w:tentative="1">
      <w:start w:val="1"/>
      <w:numFmt w:val="bullet"/>
      <w:lvlText w:val=""/>
      <w:lvlJc w:val="left"/>
      <w:pPr>
        <w:tabs>
          <w:tab w:val="num" w:pos="5040"/>
        </w:tabs>
        <w:ind w:left="5040" w:hanging="360"/>
      </w:pPr>
      <w:rPr>
        <w:rFonts w:ascii="Symbol" w:hAnsi="Symbol" w:hint="default"/>
      </w:rPr>
    </w:lvl>
    <w:lvl w:ilvl="7" w:tplc="9AEAB030" w:tentative="1">
      <w:start w:val="1"/>
      <w:numFmt w:val="bullet"/>
      <w:lvlText w:val="o"/>
      <w:lvlJc w:val="left"/>
      <w:pPr>
        <w:tabs>
          <w:tab w:val="num" w:pos="5760"/>
        </w:tabs>
        <w:ind w:left="5760" w:hanging="360"/>
      </w:pPr>
      <w:rPr>
        <w:rFonts w:ascii="Courier New" w:hAnsi="Courier New" w:cs="Courier New" w:hint="default"/>
      </w:rPr>
    </w:lvl>
    <w:lvl w:ilvl="8" w:tplc="B4A485BC" w:tentative="1">
      <w:start w:val="1"/>
      <w:numFmt w:val="bullet"/>
      <w:lvlText w:val=""/>
      <w:lvlJc w:val="left"/>
      <w:pPr>
        <w:tabs>
          <w:tab w:val="num" w:pos="6480"/>
        </w:tabs>
        <w:ind w:left="6480" w:hanging="360"/>
      </w:pPr>
      <w:rPr>
        <w:rFonts w:ascii="Wingdings" w:hAnsi="Wingdings" w:hint="default"/>
      </w:rPr>
    </w:lvl>
  </w:abstractNum>
  <w:abstractNum w:abstractNumId="33">
    <w:nsid w:val="5E81442F"/>
    <w:multiLevelType w:val="hybridMultilevel"/>
    <w:tmpl w:val="E6BC5EAE"/>
    <w:lvl w:ilvl="0" w:tplc="ED405FD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1536E0C"/>
    <w:multiLevelType w:val="hybridMultilevel"/>
    <w:tmpl w:val="3A12123E"/>
    <w:lvl w:ilvl="0" w:tplc="04090001">
      <w:start w:val="1"/>
      <w:numFmt w:val="decimal"/>
      <w:lvlText w:val="%1."/>
      <w:lvlJc w:val="left"/>
      <w:pPr>
        <w:tabs>
          <w:tab w:val="num" w:pos="360"/>
        </w:tabs>
        <w:ind w:left="360" w:hanging="360"/>
      </w:p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5">
    <w:nsid w:val="65495C12"/>
    <w:multiLevelType w:val="multilevel"/>
    <w:tmpl w:val="C0A2ABBE"/>
    <w:lvl w:ilvl="0">
      <w:start w:val="1"/>
      <w:numFmt w:val="decimal"/>
      <w:lvlText w:val="%1"/>
      <w:lvlJc w:val="left"/>
      <w:pPr>
        <w:tabs>
          <w:tab w:val="num" w:pos="792"/>
        </w:tabs>
        <w:ind w:left="792" w:hanging="792"/>
      </w:pPr>
      <w:rPr>
        <w:rFonts w:hint="default"/>
      </w:rPr>
    </w:lvl>
    <w:lvl w:ilvl="1">
      <w:start w:val="15"/>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7A2E094F"/>
    <w:multiLevelType w:val="hybridMultilevel"/>
    <w:tmpl w:val="B4A0EF7E"/>
    <w:lvl w:ilvl="0" w:tplc="D4F2DB6C">
      <w:start w:val="1"/>
      <w:numFmt w:val="bullet"/>
      <w:lvlText w:val=""/>
      <w:lvlJc w:val="left"/>
      <w:pPr>
        <w:tabs>
          <w:tab w:val="num" w:pos="360"/>
        </w:tabs>
        <w:ind w:left="360" w:hanging="360"/>
      </w:pPr>
      <w:rPr>
        <w:rFonts w:ascii="Symbol" w:hAnsi="Symbol" w:hint="default"/>
      </w:rPr>
    </w:lvl>
    <w:lvl w:ilvl="1" w:tplc="7C986346" w:tentative="1">
      <w:start w:val="1"/>
      <w:numFmt w:val="bullet"/>
      <w:lvlText w:val="o"/>
      <w:lvlJc w:val="left"/>
      <w:pPr>
        <w:tabs>
          <w:tab w:val="num" w:pos="1080"/>
        </w:tabs>
        <w:ind w:left="1080" w:hanging="360"/>
      </w:pPr>
      <w:rPr>
        <w:rFonts w:ascii="Courier New" w:hAnsi="Courier New" w:cs="Courier New" w:hint="default"/>
      </w:rPr>
    </w:lvl>
    <w:lvl w:ilvl="2" w:tplc="0AD4CA1C" w:tentative="1">
      <w:start w:val="1"/>
      <w:numFmt w:val="bullet"/>
      <w:lvlText w:val=""/>
      <w:lvlJc w:val="left"/>
      <w:pPr>
        <w:tabs>
          <w:tab w:val="num" w:pos="1800"/>
        </w:tabs>
        <w:ind w:left="1800" w:hanging="360"/>
      </w:pPr>
      <w:rPr>
        <w:rFonts w:ascii="Wingdings" w:hAnsi="Wingdings" w:hint="default"/>
      </w:rPr>
    </w:lvl>
    <w:lvl w:ilvl="3" w:tplc="0C0EB4DA" w:tentative="1">
      <w:start w:val="1"/>
      <w:numFmt w:val="bullet"/>
      <w:lvlText w:val=""/>
      <w:lvlJc w:val="left"/>
      <w:pPr>
        <w:tabs>
          <w:tab w:val="num" w:pos="2520"/>
        </w:tabs>
        <w:ind w:left="2520" w:hanging="360"/>
      </w:pPr>
      <w:rPr>
        <w:rFonts w:ascii="Symbol" w:hAnsi="Symbol" w:hint="default"/>
      </w:rPr>
    </w:lvl>
    <w:lvl w:ilvl="4" w:tplc="9CBC752A" w:tentative="1">
      <w:start w:val="1"/>
      <w:numFmt w:val="bullet"/>
      <w:lvlText w:val="o"/>
      <w:lvlJc w:val="left"/>
      <w:pPr>
        <w:tabs>
          <w:tab w:val="num" w:pos="3240"/>
        </w:tabs>
        <w:ind w:left="3240" w:hanging="360"/>
      </w:pPr>
      <w:rPr>
        <w:rFonts w:ascii="Courier New" w:hAnsi="Courier New" w:cs="Courier New" w:hint="default"/>
      </w:rPr>
    </w:lvl>
    <w:lvl w:ilvl="5" w:tplc="68E22DD6" w:tentative="1">
      <w:start w:val="1"/>
      <w:numFmt w:val="bullet"/>
      <w:lvlText w:val=""/>
      <w:lvlJc w:val="left"/>
      <w:pPr>
        <w:tabs>
          <w:tab w:val="num" w:pos="3960"/>
        </w:tabs>
        <w:ind w:left="3960" w:hanging="360"/>
      </w:pPr>
      <w:rPr>
        <w:rFonts w:ascii="Wingdings" w:hAnsi="Wingdings" w:hint="default"/>
      </w:rPr>
    </w:lvl>
    <w:lvl w:ilvl="6" w:tplc="D3D8C4EC" w:tentative="1">
      <w:start w:val="1"/>
      <w:numFmt w:val="bullet"/>
      <w:lvlText w:val=""/>
      <w:lvlJc w:val="left"/>
      <w:pPr>
        <w:tabs>
          <w:tab w:val="num" w:pos="4680"/>
        </w:tabs>
        <w:ind w:left="4680" w:hanging="360"/>
      </w:pPr>
      <w:rPr>
        <w:rFonts w:ascii="Symbol" w:hAnsi="Symbol" w:hint="default"/>
      </w:rPr>
    </w:lvl>
    <w:lvl w:ilvl="7" w:tplc="1C44DEBC" w:tentative="1">
      <w:start w:val="1"/>
      <w:numFmt w:val="bullet"/>
      <w:lvlText w:val="o"/>
      <w:lvlJc w:val="left"/>
      <w:pPr>
        <w:tabs>
          <w:tab w:val="num" w:pos="5400"/>
        </w:tabs>
        <w:ind w:left="5400" w:hanging="360"/>
      </w:pPr>
      <w:rPr>
        <w:rFonts w:ascii="Courier New" w:hAnsi="Courier New" w:cs="Courier New" w:hint="default"/>
      </w:rPr>
    </w:lvl>
    <w:lvl w:ilvl="8" w:tplc="8AAEDD1E" w:tentative="1">
      <w:start w:val="1"/>
      <w:numFmt w:val="bullet"/>
      <w:lvlText w:val=""/>
      <w:lvlJc w:val="left"/>
      <w:pPr>
        <w:tabs>
          <w:tab w:val="num" w:pos="6120"/>
        </w:tabs>
        <w:ind w:left="6120" w:hanging="360"/>
      </w:pPr>
      <w:rPr>
        <w:rFonts w:ascii="Wingdings" w:hAnsi="Wingdings" w:hint="default"/>
      </w:rPr>
    </w:lvl>
  </w:abstractNum>
  <w:abstractNum w:abstractNumId="37">
    <w:nsid w:val="7B803F8C"/>
    <w:multiLevelType w:val="hybridMultilevel"/>
    <w:tmpl w:val="29843874"/>
    <w:lvl w:ilvl="0" w:tplc="04090001">
      <w:start w:val="1"/>
      <w:numFmt w:val="lowerLetter"/>
      <w:lvlText w:val="%1."/>
      <w:lvlJc w:val="left"/>
      <w:pPr>
        <w:tabs>
          <w:tab w:val="num" w:pos="360"/>
        </w:tabs>
        <w:ind w:left="360" w:hanging="360"/>
      </w:pPr>
      <w:rPr>
        <w:rFonts w:hint="default"/>
      </w:rPr>
    </w:lvl>
    <w:lvl w:ilvl="1" w:tplc="04090003">
      <w:start w:val="1"/>
      <w:numFmt w:val="lowerLetter"/>
      <w:pStyle w:val="CEOindent-abc"/>
      <w:lvlText w:val="%2."/>
      <w:lvlJc w:val="left"/>
      <w:pPr>
        <w:tabs>
          <w:tab w:val="num" w:pos="360"/>
        </w:tabs>
        <w:ind w:left="360" w:hanging="360"/>
      </w:pPr>
      <w:rPr>
        <w:rFonts w:hint="default"/>
      </w:rPr>
    </w:lvl>
    <w:lvl w:ilvl="2" w:tplc="04090005" w:tentative="1">
      <w:start w:val="1"/>
      <w:numFmt w:val="lowerRoman"/>
      <w:lvlText w:val="%3."/>
      <w:lvlJc w:val="right"/>
      <w:pPr>
        <w:tabs>
          <w:tab w:val="num" w:pos="1080"/>
        </w:tabs>
        <w:ind w:left="1080" w:hanging="180"/>
      </w:pPr>
    </w:lvl>
    <w:lvl w:ilvl="3" w:tplc="04090001" w:tentative="1">
      <w:start w:val="1"/>
      <w:numFmt w:val="decimal"/>
      <w:lvlText w:val="%4."/>
      <w:lvlJc w:val="left"/>
      <w:pPr>
        <w:tabs>
          <w:tab w:val="num" w:pos="1800"/>
        </w:tabs>
        <w:ind w:left="1800" w:hanging="360"/>
      </w:pPr>
    </w:lvl>
    <w:lvl w:ilvl="4" w:tplc="04090003" w:tentative="1">
      <w:start w:val="1"/>
      <w:numFmt w:val="lowerLetter"/>
      <w:lvlText w:val="%5."/>
      <w:lvlJc w:val="left"/>
      <w:pPr>
        <w:tabs>
          <w:tab w:val="num" w:pos="2520"/>
        </w:tabs>
        <w:ind w:left="2520" w:hanging="360"/>
      </w:pPr>
    </w:lvl>
    <w:lvl w:ilvl="5" w:tplc="04090005" w:tentative="1">
      <w:start w:val="1"/>
      <w:numFmt w:val="lowerRoman"/>
      <w:lvlText w:val="%6."/>
      <w:lvlJc w:val="right"/>
      <w:pPr>
        <w:tabs>
          <w:tab w:val="num" w:pos="3240"/>
        </w:tabs>
        <w:ind w:left="3240" w:hanging="180"/>
      </w:pPr>
    </w:lvl>
    <w:lvl w:ilvl="6" w:tplc="04090001" w:tentative="1">
      <w:start w:val="1"/>
      <w:numFmt w:val="decimal"/>
      <w:lvlText w:val="%7."/>
      <w:lvlJc w:val="left"/>
      <w:pPr>
        <w:tabs>
          <w:tab w:val="num" w:pos="3960"/>
        </w:tabs>
        <w:ind w:left="3960" w:hanging="360"/>
      </w:pPr>
    </w:lvl>
    <w:lvl w:ilvl="7" w:tplc="04090003" w:tentative="1">
      <w:start w:val="1"/>
      <w:numFmt w:val="lowerLetter"/>
      <w:lvlText w:val="%8."/>
      <w:lvlJc w:val="left"/>
      <w:pPr>
        <w:tabs>
          <w:tab w:val="num" w:pos="4680"/>
        </w:tabs>
        <w:ind w:left="4680" w:hanging="360"/>
      </w:pPr>
    </w:lvl>
    <w:lvl w:ilvl="8" w:tplc="04090005" w:tentative="1">
      <w:start w:val="1"/>
      <w:numFmt w:val="lowerRoman"/>
      <w:lvlText w:val="%9."/>
      <w:lvlJc w:val="right"/>
      <w:pPr>
        <w:tabs>
          <w:tab w:val="num" w:pos="5400"/>
        </w:tabs>
        <w:ind w:left="5400" w:hanging="180"/>
      </w:pPr>
    </w:lvl>
  </w:abstractNum>
  <w:abstractNum w:abstractNumId="38">
    <w:nsid w:val="7C883B00"/>
    <w:multiLevelType w:val="hybridMultilevel"/>
    <w:tmpl w:val="8D30E1C4"/>
    <w:lvl w:ilvl="0" w:tplc="72D4B984">
      <w:start w:val="1"/>
      <w:numFmt w:val="bullet"/>
      <w:lvlText w:val="–"/>
      <w:lvlJc w:val="left"/>
      <w:pPr>
        <w:ind w:left="720" w:hanging="360"/>
      </w:pPr>
      <w:rPr>
        <w:rFonts w:ascii="Times New Roman" w:eastAsia="Times New Roman" w:hAnsi="Times New Roman" w:cs="Times New Roman" w:hint="default"/>
      </w:rPr>
    </w:lvl>
    <w:lvl w:ilvl="1" w:tplc="E258DE48"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1"/>
  </w:num>
  <w:num w:numId="4">
    <w:abstractNumId w:val="25"/>
  </w:num>
  <w:num w:numId="5">
    <w:abstractNumId w:val="10"/>
    <w:lvlOverride w:ilvl="0">
      <w:lvl w:ilvl="0">
        <w:numFmt w:val="bullet"/>
        <w:lvlText w:val=""/>
        <w:legacy w:legacy="1" w:legacySpace="0" w:legacyIndent="0"/>
        <w:lvlJc w:val="left"/>
        <w:rPr>
          <w:rFonts w:ascii="Symbol" w:hAnsi="Symbol" w:hint="default"/>
        </w:rPr>
      </w:lvl>
    </w:lvlOverride>
  </w:num>
  <w:num w:numId="6">
    <w:abstractNumId w:val="31"/>
  </w:num>
  <w:num w:numId="7">
    <w:abstractNumId w:val="7"/>
  </w:num>
  <w:num w:numId="8">
    <w:abstractNumId w:val="6"/>
  </w:num>
  <w:num w:numId="9">
    <w:abstractNumId w:val="13"/>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8"/>
  </w:num>
  <w:num w:numId="18">
    <w:abstractNumId w:val="32"/>
  </w:num>
  <w:num w:numId="19">
    <w:abstractNumId w:val="23"/>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12"/>
  </w:num>
  <w:num w:numId="23">
    <w:abstractNumId w:val="26"/>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24"/>
  </w:num>
  <w:num w:numId="27">
    <w:abstractNumId w:val="20"/>
  </w:num>
  <w:num w:numId="28">
    <w:abstractNumId w:val="35"/>
  </w:num>
  <w:num w:numId="29">
    <w:abstractNumId w:val="18"/>
  </w:num>
  <w:num w:numId="30">
    <w:abstractNumId w:val="36"/>
  </w:num>
  <w:num w:numId="31">
    <w:abstractNumId w:val="22"/>
  </w:num>
  <w:num w:numId="32">
    <w:abstractNumId w:val="38"/>
  </w:num>
  <w:num w:numId="33">
    <w:abstractNumId w:val="33"/>
  </w:num>
  <w:num w:numId="34">
    <w:abstractNumId w:val="16"/>
  </w:num>
  <w:num w:numId="35">
    <w:abstractNumId w:val="21"/>
  </w:num>
  <w:num w:numId="36">
    <w:abstractNumId w:val="30"/>
  </w:num>
  <w:num w:numId="37">
    <w:abstractNumId w:val="37"/>
  </w:num>
  <w:num w:numId="38">
    <w:abstractNumId w:val="19"/>
  </w:num>
  <w:num w:numId="39">
    <w:abstractNumId w:val="27"/>
  </w:num>
  <w:num w:numId="40">
    <w:abstractNumId w:val="14"/>
  </w:num>
  <w:num w:numId="41">
    <w:abstractNumId w:val="1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proofState w:spelling="clean"/>
  <w:attachedTemplate r:id="rId1"/>
  <w:stylePaneFormatFilter w:val="3001"/>
  <w:defaultTabStop w:val="720"/>
  <w:hyphenationZone w:val="357"/>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9089">
      <o:colormru v:ext="edit" colors="#c60,#fc0,#f90,#c90"/>
      <o:colormenu v:ext="edit" fillcolor="none [3212]" strokecolor="none"/>
    </o:shapedefaults>
  </w:hdrShapeDefaults>
  <w:footnotePr>
    <w:footnote w:id="-1"/>
    <w:footnote w:id="0"/>
  </w:footnotePr>
  <w:endnotePr>
    <w:endnote w:id="-1"/>
    <w:endnote w:id="0"/>
  </w:endnotePr>
  <w:compat>
    <w:suppressBottomSpacing/>
    <w:splitPgBreakAndParaMark/>
  </w:compat>
  <w:rsids>
    <w:rsidRoot w:val="00F97148"/>
    <w:rsid w:val="00000A4F"/>
    <w:rsid w:val="000022CF"/>
    <w:rsid w:val="000032CF"/>
    <w:rsid w:val="0000365F"/>
    <w:rsid w:val="000038A5"/>
    <w:rsid w:val="00005709"/>
    <w:rsid w:val="00005807"/>
    <w:rsid w:val="00005958"/>
    <w:rsid w:val="0000784D"/>
    <w:rsid w:val="00010B79"/>
    <w:rsid w:val="00010B8D"/>
    <w:rsid w:val="00010FE6"/>
    <w:rsid w:val="00011887"/>
    <w:rsid w:val="0001320C"/>
    <w:rsid w:val="00013DC1"/>
    <w:rsid w:val="00015535"/>
    <w:rsid w:val="0001651E"/>
    <w:rsid w:val="00016903"/>
    <w:rsid w:val="00016BF5"/>
    <w:rsid w:val="000231E5"/>
    <w:rsid w:val="0002641B"/>
    <w:rsid w:val="00030119"/>
    <w:rsid w:val="0003039B"/>
    <w:rsid w:val="00030629"/>
    <w:rsid w:val="000313F7"/>
    <w:rsid w:val="00031E5A"/>
    <w:rsid w:val="00032CDA"/>
    <w:rsid w:val="0003433B"/>
    <w:rsid w:val="000343B3"/>
    <w:rsid w:val="00035700"/>
    <w:rsid w:val="00036303"/>
    <w:rsid w:val="0003633E"/>
    <w:rsid w:val="00041985"/>
    <w:rsid w:val="000438AD"/>
    <w:rsid w:val="0004485F"/>
    <w:rsid w:val="00047026"/>
    <w:rsid w:val="0004791C"/>
    <w:rsid w:val="00050295"/>
    <w:rsid w:val="00050756"/>
    <w:rsid w:val="00052702"/>
    <w:rsid w:val="00055C69"/>
    <w:rsid w:val="00061064"/>
    <w:rsid w:val="000615C2"/>
    <w:rsid w:val="00061C22"/>
    <w:rsid w:val="0006325B"/>
    <w:rsid w:val="00065262"/>
    <w:rsid w:val="00065683"/>
    <w:rsid w:val="0006684C"/>
    <w:rsid w:val="00067022"/>
    <w:rsid w:val="000705A6"/>
    <w:rsid w:val="000708C0"/>
    <w:rsid w:val="00070BBB"/>
    <w:rsid w:val="000734D6"/>
    <w:rsid w:val="00073A0C"/>
    <w:rsid w:val="000774A7"/>
    <w:rsid w:val="00077691"/>
    <w:rsid w:val="00077D5D"/>
    <w:rsid w:val="00080501"/>
    <w:rsid w:val="00080564"/>
    <w:rsid w:val="00080641"/>
    <w:rsid w:val="00080B99"/>
    <w:rsid w:val="00081F9F"/>
    <w:rsid w:val="0008342F"/>
    <w:rsid w:val="000845FD"/>
    <w:rsid w:val="00084875"/>
    <w:rsid w:val="00084C48"/>
    <w:rsid w:val="00086051"/>
    <w:rsid w:val="00086956"/>
    <w:rsid w:val="000915D1"/>
    <w:rsid w:val="000921F8"/>
    <w:rsid w:val="00092261"/>
    <w:rsid w:val="000966B0"/>
    <w:rsid w:val="000968A9"/>
    <w:rsid w:val="00096FCD"/>
    <w:rsid w:val="000A068B"/>
    <w:rsid w:val="000A0BAE"/>
    <w:rsid w:val="000A1C7E"/>
    <w:rsid w:val="000A1CB8"/>
    <w:rsid w:val="000A2861"/>
    <w:rsid w:val="000A596D"/>
    <w:rsid w:val="000A6EEF"/>
    <w:rsid w:val="000A7367"/>
    <w:rsid w:val="000B146C"/>
    <w:rsid w:val="000B1E86"/>
    <w:rsid w:val="000B3024"/>
    <w:rsid w:val="000B30AE"/>
    <w:rsid w:val="000B33D5"/>
    <w:rsid w:val="000B403C"/>
    <w:rsid w:val="000B54BE"/>
    <w:rsid w:val="000B5C27"/>
    <w:rsid w:val="000B736B"/>
    <w:rsid w:val="000C0DA9"/>
    <w:rsid w:val="000C1194"/>
    <w:rsid w:val="000C19F5"/>
    <w:rsid w:val="000C1A79"/>
    <w:rsid w:val="000C1B41"/>
    <w:rsid w:val="000C39BF"/>
    <w:rsid w:val="000C405B"/>
    <w:rsid w:val="000C523A"/>
    <w:rsid w:val="000C5CBD"/>
    <w:rsid w:val="000C6E3D"/>
    <w:rsid w:val="000C7F20"/>
    <w:rsid w:val="000D1657"/>
    <w:rsid w:val="000D476E"/>
    <w:rsid w:val="000D4A85"/>
    <w:rsid w:val="000D5603"/>
    <w:rsid w:val="000D5C10"/>
    <w:rsid w:val="000D61F2"/>
    <w:rsid w:val="000D7851"/>
    <w:rsid w:val="000E0346"/>
    <w:rsid w:val="000E2E20"/>
    <w:rsid w:val="000E3462"/>
    <w:rsid w:val="000E35DC"/>
    <w:rsid w:val="000E36DD"/>
    <w:rsid w:val="000E405B"/>
    <w:rsid w:val="000E6C26"/>
    <w:rsid w:val="000E7C4A"/>
    <w:rsid w:val="000F00FF"/>
    <w:rsid w:val="000F0928"/>
    <w:rsid w:val="000F126E"/>
    <w:rsid w:val="000F375A"/>
    <w:rsid w:val="000F6A2A"/>
    <w:rsid w:val="00102997"/>
    <w:rsid w:val="0010310F"/>
    <w:rsid w:val="001035E3"/>
    <w:rsid w:val="0010386F"/>
    <w:rsid w:val="0010499F"/>
    <w:rsid w:val="00105CFB"/>
    <w:rsid w:val="00110DFB"/>
    <w:rsid w:val="00112903"/>
    <w:rsid w:val="001134F9"/>
    <w:rsid w:val="0011440A"/>
    <w:rsid w:val="00114AA7"/>
    <w:rsid w:val="00115571"/>
    <w:rsid w:val="00115E2D"/>
    <w:rsid w:val="001162EB"/>
    <w:rsid w:val="00117A21"/>
    <w:rsid w:val="00120BDE"/>
    <w:rsid w:val="001229D0"/>
    <w:rsid w:val="00124DAD"/>
    <w:rsid w:val="00125F93"/>
    <w:rsid w:val="00126ED1"/>
    <w:rsid w:val="0012717E"/>
    <w:rsid w:val="00131F4D"/>
    <w:rsid w:val="00132FDF"/>
    <w:rsid w:val="00134C7D"/>
    <w:rsid w:val="00136260"/>
    <w:rsid w:val="00137E5A"/>
    <w:rsid w:val="00141100"/>
    <w:rsid w:val="001415A9"/>
    <w:rsid w:val="00141723"/>
    <w:rsid w:val="001426A7"/>
    <w:rsid w:val="001454D4"/>
    <w:rsid w:val="0014691A"/>
    <w:rsid w:val="001476E5"/>
    <w:rsid w:val="00147E69"/>
    <w:rsid w:val="0015035A"/>
    <w:rsid w:val="00153922"/>
    <w:rsid w:val="001556B7"/>
    <w:rsid w:val="00155A67"/>
    <w:rsid w:val="001560F3"/>
    <w:rsid w:val="0015627E"/>
    <w:rsid w:val="00156988"/>
    <w:rsid w:val="00156DA9"/>
    <w:rsid w:val="001625F8"/>
    <w:rsid w:val="00163F7E"/>
    <w:rsid w:val="00166053"/>
    <w:rsid w:val="00166431"/>
    <w:rsid w:val="00170FE4"/>
    <w:rsid w:val="0017110E"/>
    <w:rsid w:val="001719C0"/>
    <w:rsid w:val="00171B83"/>
    <w:rsid w:val="00172018"/>
    <w:rsid w:val="00173A63"/>
    <w:rsid w:val="00173ED0"/>
    <w:rsid w:val="001744CA"/>
    <w:rsid w:val="001757A8"/>
    <w:rsid w:val="0017672F"/>
    <w:rsid w:val="00180BBF"/>
    <w:rsid w:val="00181882"/>
    <w:rsid w:val="00181FAC"/>
    <w:rsid w:val="001836BF"/>
    <w:rsid w:val="00183C7C"/>
    <w:rsid w:val="00183F01"/>
    <w:rsid w:val="001847C9"/>
    <w:rsid w:val="001848E3"/>
    <w:rsid w:val="00186B5A"/>
    <w:rsid w:val="001906BB"/>
    <w:rsid w:val="001907FE"/>
    <w:rsid w:val="00190F06"/>
    <w:rsid w:val="0019155C"/>
    <w:rsid w:val="00191E9B"/>
    <w:rsid w:val="001927C0"/>
    <w:rsid w:val="00192AD0"/>
    <w:rsid w:val="00192FC4"/>
    <w:rsid w:val="0019314C"/>
    <w:rsid w:val="00193445"/>
    <w:rsid w:val="00193CCB"/>
    <w:rsid w:val="0019421A"/>
    <w:rsid w:val="00194AAB"/>
    <w:rsid w:val="0019694A"/>
    <w:rsid w:val="001A0156"/>
    <w:rsid w:val="001A1806"/>
    <w:rsid w:val="001A1EBB"/>
    <w:rsid w:val="001A2678"/>
    <w:rsid w:val="001A30C0"/>
    <w:rsid w:val="001A3E3C"/>
    <w:rsid w:val="001A4124"/>
    <w:rsid w:val="001A47DE"/>
    <w:rsid w:val="001A648C"/>
    <w:rsid w:val="001A6CBC"/>
    <w:rsid w:val="001B112E"/>
    <w:rsid w:val="001B1BC3"/>
    <w:rsid w:val="001B1CCF"/>
    <w:rsid w:val="001B4837"/>
    <w:rsid w:val="001B6C2B"/>
    <w:rsid w:val="001B7013"/>
    <w:rsid w:val="001B7231"/>
    <w:rsid w:val="001B7F4D"/>
    <w:rsid w:val="001B7F8A"/>
    <w:rsid w:val="001C02E3"/>
    <w:rsid w:val="001C147D"/>
    <w:rsid w:val="001C2FE5"/>
    <w:rsid w:val="001C450B"/>
    <w:rsid w:val="001C4BA3"/>
    <w:rsid w:val="001C621D"/>
    <w:rsid w:val="001D0543"/>
    <w:rsid w:val="001D1509"/>
    <w:rsid w:val="001D1739"/>
    <w:rsid w:val="001D1B00"/>
    <w:rsid w:val="001D3015"/>
    <w:rsid w:val="001D40DC"/>
    <w:rsid w:val="001D40F5"/>
    <w:rsid w:val="001D411E"/>
    <w:rsid w:val="001D4A3C"/>
    <w:rsid w:val="001D58F3"/>
    <w:rsid w:val="001D622B"/>
    <w:rsid w:val="001D62B2"/>
    <w:rsid w:val="001D68E9"/>
    <w:rsid w:val="001D6D9A"/>
    <w:rsid w:val="001D7B29"/>
    <w:rsid w:val="001D7EB3"/>
    <w:rsid w:val="001E1987"/>
    <w:rsid w:val="001E2C63"/>
    <w:rsid w:val="001E2E7D"/>
    <w:rsid w:val="001E35F8"/>
    <w:rsid w:val="001E393C"/>
    <w:rsid w:val="001E3E82"/>
    <w:rsid w:val="001E4EFC"/>
    <w:rsid w:val="001E6B63"/>
    <w:rsid w:val="001E7CAC"/>
    <w:rsid w:val="001F05BD"/>
    <w:rsid w:val="001F05EE"/>
    <w:rsid w:val="001F1011"/>
    <w:rsid w:val="001F229D"/>
    <w:rsid w:val="001F2F83"/>
    <w:rsid w:val="001F3325"/>
    <w:rsid w:val="001F3BFE"/>
    <w:rsid w:val="001F632A"/>
    <w:rsid w:val="002001C0"/>
    <w:rsid w:val="002009F0"/>
    <w:rsid w:val="00200D16"/>
    <w:rsid w:val="00202194"/>
    <w:rsid w:val="002024CF"/>
    <w:rsid w:val="00206C31"/>
    <w:rsid w:val="00206DD5"/>
    <w:rsid w:val="0020761F"/>
    <w:rsid w:val="002107F4"/>
    <w:rsid w:val="00210C72"/>
    <w:rsid w:val="0021192A"/>
    <w:rsid w:val="00215528"/>
    <w:rsid w:val="00215C08"/>
    <w:rsid w:val="00217E9F"/>
    <w:rsid w:val="00222646"/>
    <w:rsid w:val="00224924"/>
    <w:rsid w:val="00225938"/>
    <w:rsid w:val="0022778B"/>
    <w:rsid w:val="00227800"/>
    <w:rsid w:val="002314C9"/>
    <w:rsid w:val="0023295F"/>
    <w:rsid w:val="002336B5"/>
    <w:rsid w:val="00234059"/>
    <w:rsid w:val="00235E81"/>
    <w:rsid w:val="002369FD"/>
    <w:rsid w:val="0023765F"/>
    <w:rsid w:val="00240453"/>
    <w:rsid w:val="00240C1C"/>
    <w:rsid w:val="00240EA5"/>
    <w:rsid w:val="0024122F"/>
    <w:rsid w:val="002422D2"/>
    <w:rsid w:val="00242DAE"/>
    <w:rsid w:val="00244D9A"/>
    <w:rsid w:val="00244EF3"/>
    <w:rsid w:val="00245306"/>
    <w:rsid w:val="002455FC"/>
    <w:rsid w:val="00245C7B"/>
    <w:rsid w:val="002460E4"/>
    <w:rsid w:val="00246A28"/>
    <w:rsid w:val="00246ABA"/>
    <w:rsid w:val="00247AA5"/>
    <w:rsid w:val="00254364"/>
    <w:rsid w:val="00256C4F"/>
    <w:rsid w:val="00260AAB"/>
    <w:rsid w:val="00260F99"/>
    <w:rsid w:val="0026248C"/>
    <w:rsid w:val="002634F5"/>
    <w:rsid w:val="00264224"/>
    <w:rsid w:val="002647F0"/>
    <w:rsid w:val="0026535F"/>
    <w:rsid w:val="00266BB2"/>
    <w:rsid w:val="00267ED8"/>
    <w:rsid w:val="00270592"/>
    <w:rsid w:val="002714E0"/>
    <w:rsid w:val="00271566"/>
    <w:rsid w:val="00274628"/>
    <w:rsid w:val="0027589D"/>
    <w:rsid w:val="00277B65"/>
    <w:rsid w:val="00280AEE"/>
    <w:rsid w:val="00280DD5"/>
    <w:rsid w:val="00281436"/>
    <w:rsid w:val="002823CD"/>
    <w:rsid w:val="00282BE9"/>
    <w:rsid w:val="00284032"/>
    <w:rsid w:val="00285748"/>
    <w:rsid w:val="00286D9D"/>
    <w:rsid w:val="00287100"/>
    <w:rsid w:val="00290099"/>
    <w:rsid w:val="00291A4D"/>
    <w:rsid w:val="00291B8E"/>
    <w:rsid w:val="00291FEB"/>
    <w:rsid w:val="002949F9"/>
    <w:rsid w:val="00294C26"/>
    <w:rsid w:val="00294C44"/>
    <w:rsid w:val="00294FEA"/>
    <w:rsid w:val="00295870"/>
    <w:rsid w:val="002965D5"/>
    <w:rsid w:val="00296DBD"/>
    <w:rsid w:val="00296EDF"/>
    <w:rsid w:val="0029787C"/>
    <w:rsid w:val="002A1026"/>
    <w:rsid w:val="002A1617"/>
    <w:rsid w:val="002A2360"/>
    <w:rsid w:val="002A27D0"/>
    <w:rsid w:val="002A33A2"/>
    <w:rsid w:val="002A36B0"/>
    <w:rsid w:val="002A3F0A"/>
    <w:rsid w:val="002A4500"/>
    <w:rsid w:val="002A4BFD"/>
    <w:rsid w:val="002A506D"/>
    <w:rsid w:val="002A62A0"/>
    <w:rsid w:val="002A6A17"/>
    <w:rsid w:val="002A6EDD"/>
    <w:rsid w:val="002B0E45"/>
    <w:rsid w:val="002B1477"/>
    <w:rsid w:val="002B25C0"/>
    <w:rsid w:val="002B274B"/>
    <w:rsid w:val="002B2BA5"/>
    <w:rsid w:val="002B347C"/>
    <w:rsid w:val="002B53E2"/>
    <w:rsid w:val="002B62CE"/>
    <w:rsid w:val="002C37A9"/>
    <w:rsid w:val="002C3B16"/>
    <w:rsid w:val="002C5F86"/>
    <w:rsid w:val="002C67D1"/>
    <w:rsid w:val="002C68BD"/>
    <w:rsid w:val="002C77CC"/>
    <w:rsid w:val="002D0D7C"/>
    <w:rsid w:val="002D0D9A"/>
    <w:rsid w:val="002D122B"/>
    <w:rsid w:val="002D15B4"/>
    <w:rsid w:val="002D18B8"/>
    <w:rsid w:val="002D1A9C"/>
    <w:rsid w:val="002D2358"/>
    <w:rsid w:val="002D3849"/>
    <w:rsid w:val="002D39E6"/>
    <w:rsid w:val="002D4A26"/>
    <w:rsid w:val="002D4FCA"/>
    <w:rsid w:val="002D5285"/>
    <w:rsid w:val="002D528E"/>
    <w:rsid w:val="002D5CEB"/>
    <w:rsid w:val="002D5DA0"/>
    <w:rsid w:val="002D6197"/>
    <w:rsid w:val="002D71A8"/>
    <w:rsid w:val="002D766F"/>
    <w:rsid w:val="002D7756"/>
    <w:rsid w:val="002E060D"/>
    <w:rsid w:val="002E22B6"/>
    <w:rsid w:val="002E2FC7"/>
    <w:rsid w:val="002E410D"/>
    <w:rsid w:val="002E6A8B"/>
    <w:rsid w:val="002F29A6"/>
    <w:rsid w:val="002F30F0"/>
    <w:rsid w:val="002F31A2"/>
    <w:rsid w:val="002F49C3"/>
    <w:rsid w:val="002F68AC"/>
    <w:rsid w:val="002F68B0"/>
    <w:rsid w:val="002F7CBE"/>
    <w:rsid w:val="002F7CE1"/>
    <w:rsid w:val="00300AAB"/>
    <w:rsid w:val="00301B3B"/>
    <w:rsid w:val="0030342E"/>
    <w:rsid w:val="003036CC"/>
    <w:rsid w:val="00305194"/>
    <w:rsid w:val="003072AC"/>
    <w:rsid w:val="00310994"/>
    <w:rsid w:val="00311A96"/>
    <w:rsid w:val="00311D5D"/>
    <w:rsid w:val="00312559"/>
    <w:rsid w:val="0031285A"/>
    <w:rsid w:val="003136AD"/>
    <w:rsid w:val="00315567"/>
    <w:rsid w:val="003156AF"/>
    <w:rsid w:val="003160B6"/>
    <w:rsid w:val="00316FFD"/>
    <w:rsid w:val="0031792D"/>
    <w:rsid w:val="00320D72"/>
    <w:rsid w:val="003212E5"/>
    <w:rsid w:val="00323981"/>
    <w:rsid w:val="0032559F"/>
    <w:rsid w:val="003266BD"/>
    <w:rsid w:val="00330221"/>
    <w:rsid w:val="0033029C"/>
    <w:rsid w:val="00331292"/>
    <w:rsid w:val="00334361"/>
    <w:rsid w:val="00336B59"/>
    <w:rsid w:val="00337712"/>
    <w:rsid w:val="00337F4F"/>
    <w:rsid w:val="00340618"/>
    <w:rsid w:val="00343171"/>
    <w:rsid w:val="003437E9"/>
    <w:rsid w:val="00343D7F"/>
    <w:rsid w:val="003479E0"/>
    <w:rsid w:val="00350544"/>
    <w:rsid w:val="00355785"/>
    <w:rsid w:val="00355E77"/>
    <w:rsid w:val="00356049"/>
    <w:rsid w:val="00356CC2"/>
    <w:rsid w:val="003603B5"/>
    <w:rsid w:val="003627B2"/>
    <w:rsid w:val="00363384"/>
    <w:rsid w:val="00363DC6"/>
    <w:rsid w:val="00364137"/>
    <w:rsid w:val="00365283"/>
    <w:rsid w:val="0036541D"/>
    <w:rsid w:val="00365E04"/>
    <w:rsid w:val="00366375"/>
    <w:rsid w:val="00370725"/>
    <w:rsid w:val="00370C9A"/>
    <w:rsid w:val="00372DEF"/>
    <w:rsid w:val="00376745"/>
    <w:rsid w:val="00377B49"/>
    <w:rsid w:val="0038021B"/>
    <w:rsid w:val="003803B8"/>
    <w:rsid w:val="00381342"/>
    <w:rsid w:val="00381F3F"/>
    <w:rsid w:val="00382983"/>
    <w:rsid w:val="003829E6"/>
    <w:rsid w:val="00383F84"/>
    <w:rsid w:val="00387213"/>
    <w:rsid w:val="00390223"/>
    <w:rsid w:val="003907FB"/>
    <w:rsid w:val="0039354E"/>
    <w:rsid w:val="003946E7"/>
    <w:rsid w:val="00394791"/>
    <w:rsid w:val="0039616F"/>
    <w:rsid w:val="00396F81"/>
    <w:rsid w:val="003A04EA"/>
    <w:rsid w:val="003A321A"/>
    <w:rsid w:val="003A4E5E"/>
    <w:rsid w:val="003A51EA"/>
    <w:rsid w:val="003A5E56"/>
    <w:rsid w:val="003A717A"/>
    <w:rsid w:val="003A7769"/>
    <w:rsid w:val="003B0EFD"/>
    <w:rsid w:val="003B1017"/>
    <w:rsid w:val="003B1AFC"/>
    <w:rsid w:val="003B1CC2"/>
    <w:rsid w:val="003B21C8"/>
    <w:rsid w:val="003B6263"/>
    <w:rsid w:val="003B765D"/>
    <w:rsid w:val="003C0856"/>
    <w:rsid w:val="003C0BF7"/>
    <w:rsid w:val="003C104B"/>
    <w:rsid w:val="003C138C"/>
    <w:rsid w:val="003C39F0"/>
    <w:rsid w:val="003C4615"/>
    <w:rsid w:val="003C4A4C"/>
    <w:rsid w:val="003C5A5C"/>
    <w:rsid w:val="003C60F1"/>
    <w:rsid w:val="003C617B"/>
    <w:rsid w:val="003C6CA8"/>
    <w:rsid w:val="003C6CAF"/>
    <w:rsid w:val="003C6D0A"/>
    <w:rsid w:val="003C70B0"/>
    <w:rsid w:val="003C78B2"/>
    <w:rsid w:val="003C7BF7"/>
    <w:rsid w:val="003D0196"/>
    <w:rsid w:val="003D0AF3"/>
    <w:rsid w:val="003D1E70"/>
    <w:rsid w:val="003D2732"/>
    <w:rsid w:val="003D28C4"/>
    <w:rsid w:val="003D2DBE"/>
    <w:rsid w:val="003E0EB8"/>
    <w:rsid w:val="003E26DC"/>
    <w:rsid w:val="003E2E93"/>
    <w:rsid w:val="003E4192"/>
    <w:rsid w:val="003E41BF"/>
    <w:rsid w:val="003E4C34"/>
    <w:rsid w:val="003E6203"/>
    <w:rsid w:val="003E656B"/>
    <w:rsid w:val="003E6C90"/>
    <w:rsid w:val="003E6CE1"/>
    <w:rsid w:val="003E712A"/>
    <w:rsid w:val="003F268C"/>
    <w:rsid w:val="003F4B00"/>
    <w:rsid w:val="003F4B40"/>
    <w:rsid w:val="003F5B1B"/>
    <w:rsid w:val="003F64C1"/>
    <w:rsid w:val="00400E7A"/>
    <w:rsid w:val="004022EE"/>
    <w:rsid w:val="004022F0"/>
    <w:rsid w:val="004027AB"/>
    <w:rsid w:val="00402CCF"/>
    <w:rsid w:val="00402E74"/>
    <w:rsid w:val="00402F66"/>
    <w:rsid w:val="0040427B"/>
    <w:rsid w:val="00404F1D"/>
    <w:rsid w:val="004109A1"/>
    <w:rsid w:val="00411B3B"/>
    <w:rsid w:val="00412409"/>
    <w:rsid w:val="0041291B"/>
    <w:rsid w:val="00412FE0"/>
    <w:rsid w:val="00413588"/>
    <w:rsid w:val="00413C8A"/>
    <w:rsid w:val="00414106"/>
    <w:rsid w:val="0041414F"/>
    <w:rsid w:val="00415B02"/>
    <w:rsid w:val="00415F4C"/>
    <w:rsid w:val="00415FFD"/>
    <w:rsid w:val="00416CAB"/>
    <w:rsid w:val="004179BC"/>
    <w:rsid w:val="004204B9"/>
    <w:rsid w:val="00420F48"/>
    <w:rsid w:val="00422957"/>
    <w:rsid w:val="00423203"/>
    <w:rsid w:val="00425EEA"/>
    <w:rsid w:val="00425F5D"/>
    <w:rsid w:val="00426DC2"/>
    <w:rsid w:val="00430C02"/>
    <w:rsid w:val="004325CD"/>
    <w:rsid w:val="00432EAD"/>
    <w:rsid w:val="00433B27"/>
    <w:rsid w:val="00433D6A"/>
    <w:rsid w:val="00435C38"/>
    <w:rsid w:val="0043625B"/>
    <w:rsid w:val="004400F8"/>
    <w:rsid w:val="0044119B"/>
    <w:rsid w:val="00442FC0"/>
    <w:rsid w:val="00443F05"/>
    <w:rsid w:val="00444069"/>
    <w:rsid w:val="004452B8"/>
    <w:rsid w:val="00445B0E"/>
    <w:rsid w:val="004461A0"/>
    <w:rsid w:val="0045059C"/>
    <w:rsid w:val="00450F5E"/>
    <w:rsid w:val="00451F70"/>
    <w:rsid w:val="00453BA6"/>
    <w:rsid w:val="00454B79"/>
    <w:rsid w:val="00455632"/>
    <w:rsid w:val="00457B81"/>
    <w:rsid w:val="00457C97"/>
    <w:rsid w:val="0046306C"/>
    <w:rsid w:val="004632F7"/>
    <w:rsid w:val="00463770"/>
    <w:rsid w:val="00470244"/>
    <w:rsid w:val="0047229C"/>
    <w:rsid w:val="00473765"/>
    <w:rsid w:val="00473947"/>
    <w:rsid w:val="00475D8B"/>
    <w:rsid w:val="0047660C"/>
    <w:rsid w:val="004772F3"/>
    <w:rsid w:val="00480196"/>
    <w:rsid w:val="00480D3F"/>
    <w:rsid w:val="00481E4A"/>
    <w:rsid w:val="004833C0"/>
    <w:rsid w:val="004836AE"/>
    <w:rsid w:val="004848FD"/>
    <w:rsid w:val="00484CF4"/>
    <w:rsid w:val="00486AE5"/>
    <w:rsid w:val="00486E6B"/>
    <w:rsid w:val="00486F07"/>
    <w:rsid w:val="00486F32"/>
    <w:rsid w:val="00487898"/>
    <w:rsid w:val="0048795F"/>
    <w:rsid w:val="00487FEE"/>
    <w:rsid w:val="00490187"/>
    <w:rsid w:val="00491CD2"/>
    <w:rsid w:val="00493A5F"/>
    <w:rsid w:val="0049418E"/>
    <w:rsid w:val="00494537"/>
    <w:rsid w:val="004958C8"/>
    <w:rsid w:val="004A1B3E"/>
    <w:rsid w:val="004A212F"/>
    <w:rsid w:val="004A3104"/>
    <w:rsid w:val="004A4C07"/>
    <w:rsid w:val="004A5C70"/>
    <w:rsid w:val="004A7428"/>
    <w:rsid w:val="004A7FAE"/>
    <w:rsid w:val="004B0781"/>
    <w:rsid w:val="004B07FE"/>
    <w:rsid w:val="004B1877"/>
    <w:rsid w:val="004B2116"/>
    <w:rsid w:val="004B30C2"/>
    <w:rsid w:val="004B4949"/>
    <w:rsid w:val="004B531A"/>
    <w:rsid w:val="004B589A"/>
    <w:rsid w:val="004B63CC"/>
    <w:rsid w:val="004B6CDD"/>
    <w:rsid w:val="004B6F23"/>
    <w:rsid w:val="004B7BDA"/>
    <w:rsid w:val="004B7DC2"/>
    <w:rsid w:val="004C0320"/>
    <w:rsid w:val="004C09E4"/>
    <w:rsid w:val="004C1E49"/>
    <w:rsid w:val="004C1FBA"/>
    <w:rsid w:val="004C228C"/>
    <w:rsid w:val="004C2B34"/>
    <w:rsid w:val="004C3771"/>
    <w:rsid w:val="004D0A60"/>
    <w:rsid w:val="004D0D2B"/>
    <w:rsid w:val="004D360D"/>
    <w:rsid w:val="004D70BA"/>
    <w:rsid w:val="004E0D03"/>
    <w:rsid w:val="004E18ED"/>
    <w:rsid w:val="004E1A7F"/>
    <w:rsid w:val="004E3BB4"/>
    <w:rsid w:val="004E46AA"/>
    <w:rsid w:val="004E48B6"/>
    <w:rsid w:val="004E5BAF"/>
    <w:rsid w:val="004E6529"/>
    <w:rsid w:val="004E74C1"/>
    <w:rsid w:val="004F0C31"/>
    <w:rsid w:val="004F1055"/>
    <w:rsid w:val="004F1504"/>
    <w:rsid w:val="004F22F1"/>
    <w:rsid w:val="004F3149"/>
    <w:rsid w:val="004F4634"/>
    <w:rsid w:val="004F50C6"/>
    <w:rsid w:val="004F52FD"/>
    <w:rsid w:val="004F6E8F"/>
    <w:rsid w:val="005035A3"/>
    <w:rsid w:val="005054DD"/>
    <w:rsid w:val="0050673A"/>
    <w:rsid w:val="005072C0"/>
    <w:rsid w:val="00511555"/>
    <w:rsid w:val="00512CC8"/>
    <w:rsid w:val="005133C3"/>
    <w:rsid w:val="00513D5B"/>
    <w:rsid w:val="00513FEE"/>
    <w:rsid w:val="0051402C"/>
    <w:rsid w:val="00514B41"/>
    <w:rsid w:val="00516240"/>
    <w:rsid w:val="0052016F"/>
    <w:rsid w:val="00520894"/>
    <w:rsid w:val="005262F5"/>
    <w:rsid w:val="00526EBB"/>
    <w:rsid w:val="00527073"/>
    <w:rsid w:val="00530357"/>
    <w:rsid w:val="00533E71"/>
    <w:rsid w:val="00534CBB"/>
    <w:rsid w:val="00535489"/>
    <w:rsid w:val="005359A2"/>
    <w:rsid w:val="00535C30"/>
    <w:rsid w:val="00536338"/>
    <w:rsid w:val="00537AB7"/>
    <w:rsid w:val="00537B1C"/>
    <w:rsid w:val="0054008F"/>
    <w:rsid w:val="00541026"/>
    <w:rsid w:val="005422CE"/>
    <w:rsid w:val="00543384"/>
    <w:rsid w:val="00544030"/>
    <w:rsid w:val="005449F9"/>
    <w:rsid w:val="00545855"/>
    <w:rsid w:val="00546E3D"/>
    <w:rsid w:val="005473A0"/>
    <w:rsid w:val="005506F8"/>
    <w:rsid w:val="00551EC8"/>
    <w:rsid w:val="00552F8A"/>
    <w:rsid w:val="00553859"/>
    <w:rsid w:val="00553871"/>
    <w:rsid w:val="00553D5A"/>
    <w:rsid w:val="00554C4E"/>
    <w:rsid w:val="0055641B"/>
    <w:rsid w:val="0055685F"/>
    <w:rsid w:val="00556883"/>
    <w:rsid w:val="00556D78"/>
    <w:rsid w:val="00560DB3"/>
    <w:rsid w:val="0056101E"/>
    <w:rsid w:val="00561B1E"/>
    <w:rsid w:val="00561E3D"/>
    <w:rsid w:val="0056350A"/>
    <w:rsid w:val="00566AA8"/>
    <w:rsid w:val="00567410"/>
    <w:rsid w:val="00570C3A"/>
    <w:rsid w:val="00571538"/>
    <w:rsid w:val="0057194E"/>
    <w:rsid w:val="00575EC2"/>
    <w:rsid w:val="00576909"/>
    <w:rsid w:val="00576A3C"/>
    <w:rsid w:val="00576AED"/>
    <w:rsid w:val="00577838"/>
    <w:rsid w:val="00577ED5"/>
    <w:rsid w:val="0058028F"/>
    <w:rsid w:val="005825D6"/>
    <w:rsid w:val="005829F9"/>
    <w:rsid w:val="00583470"/>
    <w:rsid w:val="005836FD"/>
    <w:rsid w:val="00583865"/>
    <w:rsid w:val="00583B0F"/>
    <w:rsid w:val="00584E09"/>
    <w:rsid w:val="00585801"/>
    <w:rsid w:val="00585974"/>
    <w:rsid w:val="00594F8D"/>
    <w:rsid w:val="005958DB"/>
    <w:rsid w:val="00596238"/>
    <w:rsid w:val="00597D24"/>
    <w:rsid w:val="00597EF4"/>
    <w:rsid w:val="005A01F6"/>
    <w:rsid w:val="005A131C"/>
    <w:rsid w:val="005A3678"/>
    <w:rsid w:val="005A396A"/>
    <w:rsid w:val="005A3B2B"/>
    <w:rsid w:val="005A4F79"/>
    <w:rsid w:val="005A60C8"/>
    <w:rsid w:val="005A7166"/>
    <w:rsid w:val="005A76EF"/>
    <w:rsid w:val="005B0547"/>
    <w:rsid w:val="005B1AA2"/>
    <w:rsid w:val="005B2372"/>
    <w:rsid w:val="005B301D"/>
    <w:rsid w:val="005B3037"/>
    <w:rsid w:val="005B333D"/>
    <w:rsid w:val="005B38B5"/>
    <w:rsid w:val="005B6841"/>
    <w:rsid w:val="005C2975"/>
    <w:rsid w:val="005C656B"/>
    <w:rsid w:val="005C6883"/>
    <w:rsid w:val="005C6D5B"/>
    <w:rsid w:val="005C7389"/>
    <w:rsid w:val="005D129C"/>
    <w:rsid w:val="005D230A"/>
    <w:rsid w:val="005D3A72"/>
    <w:rsid w:val="005D3B1E"/>
    <w:rsid w:val="005D4B12"/>
    <w:rsid w:val="005D5873"/>
    <w:rsid w:val="005D5A95"/>
    <w:rsid w:val="005D6BCF"/>
    <w:rsid w:val="005D6F84"/>
    <w:rsid w:val="005E073F"/>
    <w:rsid w:val="005E0A51"/>
    <w:rsid w:val="005E108E"/>
    <w:rsid w:val="005E19BA"/>
    <w:rsid w:val="005E3627"/>
    <w:rsid w:val="005E3C36"/>
    <w:rsid w:val="005E449F"/>
    <w:rsid w:val="005E5408"/>
    <w:rsid w:val="005E69D5"/>
    <w:rsid w:val="005E702A"/>
    <w:rsid w:val="005F00F1"/>
    <w:rsid w:val="005F195A"/>
    <w:rsid w:val="005F25E8"/>
    <w:rsid w:val="005F300D"/>
    <w:rsid w:val="005F3A1A"/>
    <w:rsid w:val="005F3BA5"/>
    <w:rsid w:val="005F3C1E"/>
    <w:rsid w:val="005F3ED5"/>
    <w:rsid w:val="005F6B21"/>
    <w:rsid w:val="005F70C3"/>
    <w:rsid w:val="00600310"/>
    <w:rsid w:val="00600376"/>
    <w:rsid w:val="00601903"/>
    <w:rsid w:val="00601B7B"/>
    <w:rsid w:val="00601FDD"/>
    <w:rsid w:val="0060238B"/>
    <w:rsid w:val="006029AE"/>
    <w:rsid w:val="00604A68"/>
    <w:rsid w:val="006059B6"/>
    <w:rsid w:val="0060625E"/>
    <w:rsid w:val="00606A25"/>
    <w:rsid w:val="006070F7"/>
    <w:rsid w:val="00607BF2"/>
    <w:rsid w:val="00610B9B"/>
    <w:rsid w:val="0061125E"/>
    <w:rsid w:val="006139CD"/>
    <w:rsid w:val="00613F8D"/>
    <w:rsid w:val="00614008"/>
    <w:rsid w:val="0061625A"/>
    <w:rsid w:val="00616391"/>
    <w:rsid w:val="00616940"/>
    <w:rsid w:val="0061763D"/>
    <w:rsid w:val="006202E1"/>
    <w:rsid w:val="0062178C"/>
    <w:rsid w:val="00622F67"/>
    <w:rsid w:val="00625202"/>
    <w:rsid w:val="00625367"/>
    <w:rsid w:val="0062683D"/>
    <w:rsid w:val="006311D9"/>
    <w:rsid w:val="006336DA"/>
    <w:rsid w:val="006337D8"/>
    <w:rsid w:val="0063421C"/>
    <w:rsid w:val="006345D0"/>
    <w:rsid w:val="00634AB7"/>
    <w:rsid w:val="006405EB"/>
    <w:rsid w:val="00640F60"/>
    <w:rsid w:val="00641555"/>
    <w:rsid w:val="00641684"/>
    <w:rsid w:val="006429C5"/>
    <w:rsid w:val="00642D5B"/>
    <w:rsid w:val="00643C57"/>
    <w:rsid w:val="006444A3"/>
    <w:rsid w:val="006445FF"/>
    <w:rsid w:val="0064488D"/>
    <w:rsid w:val="006451FC"/>
    <w:rsid w:val="00645D4F"/>
    <w:rsid w:val="00651328"/>
    <w:rsid w:val="00651A6E"/>
    <w:rsid w:val="00655CB5"/>
    <w:rsid w:val="00655FB7"/>
    <w:rsid w:val="00656718"/>
    <w:rsid w:val="00657D4A"/>
    <w:rsid w:val="00660205"/>
    <w:rsid w:val="00660F9B"/>
    <w:rsid w:val="00661AA1"/>
    <w:rsid w:val="0066436F"/>
    <w:rsid w:val="00665A91"/>
    <w:rsid w:val="0066600F"/>
    <w:rsid w:val="00666B6F"/>
    <w:rsid w:val="0067047A"/>
    <w:rsid w:val="00671B62"/>
    <w:rsid w:val="0067200D"/>
    <w:rsid w:val="0067293B"/>
    <w:rsid w:val="00673555"/>
    <w:rsid w:val="00674565"/>
    <w:rsid w:val="00675126"/>
    <w:rsid w:val="00675D99"/>
    <w:rsid w:val="00675E66"/>
    <w:rsid w:val="00676345"/>
    <w:rsid w:val="00676486"/>
    <w:rsid w:val="0067693F"/>
    <w:rsid w:val="00680F50"/>
    <w:rsid w:val="00680FE6"/>
    <w:rsid w:val="0068155E"/>
    <w:rsid w:val="0068303D"/>
    <w:rsid w:val="006835FA"/>
    <w:rsid w:val="00684CA0"/>
    <w:rsid w:val="00684EAC"/>
    <w:rsid w:val="0068542F"/>
    <w:rsid w:val="006868D8"/>
    <w:rsid w:val="0068732E"/>
    <w:rsid w:val="006917E8"/>
    <w:rsid w:val="006918C7"/>
    <w:rsid w:val="0069198F"/>
    <w:rsid w:val="006921F3"/>
    <w:rsid w:val="0069247E"/>
    <w:rsid w:val="0069283E"/>
    <w:rsid w:val="0069290C"/>
    <w:rsid w:val="006930F0"/>
    <w:rsid w:val="00694BE3"/>
    <w:rsid w:val="006955EB"/>
    <w:rsid w:val="006959E2"/>
    <w:rsid w:val="006975D9"/>
    <w:rsid w:val="00697728"/>
    <w:rsid w:val="006A1172"/>
    <w:rsid w:val="006A1399"/>
    <w:rsid w:val="006A29C4"/>
    <w:rsid w:val="006A5397"/>
    <w:rsid w:val="006A53AF"/>
    <w:rsid w:val="006A593A"/>
    <w:rsid w:val="006B0FA8"/>
    <w:rsid w:val="006B18DC"/>
    <w:rsid w:val="006B2211"/>
    <w:rsid w:val="006B3884"/>
    <w:rsid w:val="006B5212"/>
    <w:rsid w:val="006B709C"/>
    <w:rsid w:val="006B7241"/>
    <w:rsid w:val="006B7A2A"/>
    <w:rsid w:val="006C0726"/>
    <w:rsid w:val="006C1414"/>
    <w:rsid w:val="006C3B49"/>
    <w:rsid w:val="006C3C3B"/>
    <w:rsid w:val="006C4BA5"/>
    <w:rsid w:val="006C5093"/>
    <w:rsid w:val="006C59DF"/>
    <w:rsid w:val="006C60C5"/>
    <w:rsid w:val="006C69A9"/>
    <w:rsid w:val="006C6AF7"/>
    <w:rsid w:val="006C755C"/>
    <w:rsid w:val="006D0154"/>
    <w:rsid w:val="006D09FA"/>
    <w:rsid w:val="006D17C1"/>
    <w:rsid w:val="006D1AA6"/>
    <w:rsid w:val="006D31D9"/>
    <w:rsid w:val="006D4D68"/>
    <w:rsid w:val="006E0CF1"/>
    <w:rsid w:val="006E0D7F"/>
    <w:rsid w:val="006E244C"/>
    <w:rsid w:val="006E55FD"/>
    <w:rsid w:val="006E5CF2"/>
    <w:rsid w:val="006E713D"/>
    <w:rsid w:val="006F01A1"/>
    <w:rsid w:val="006F0B3D"/>
    <w:rsid w:val="006F2B58"/>
    <w:rsid w:val="006F3468"/>
    <w:rsid w:val="006F3587"/>
    <w:rsid w:val="006F3DCF"/>
    <w:rsid w:val="006F4A36"/>
    <w:rsid w:val="006F5226"/>
    <w:rsid w:val="006F6450"/>
    <w:rsid w:val="006F73AE"/>
    <w:rsid w:val="006F7432"/>
    <w:rsid w:val="006F7B0E"/>
    <w:rsid w:val="00700B57"/>
    <w:rsid w:val="00701E4F"/>
    <w:rsid w:val="0070212E"/>
    <w:rsid w:val="00702929"/>
    <w:rsid w:val="00702D47"/>
    <w:rsid w:val="00703141"/>
    <w:rsid w:val="007059B8"/>
    <w:rsid w:val="00706343"/>
    <w:rsid w:val="00710223"/>
    <w:rsid w:val="007104E8"/>
    <w:rsid w:val="007107E9"/>
    <w:rsid w:val="00711687"/>
    <w:rsid w:val="007119F7"/>
    <w:rsid w:val="00712D2D"/>
    <w:rsid w:val="00713822"/>
    <w:rsid w:val="007145CB"/>
    <w:rsid w:val="00715574"/>
    <w:rsid w:val="00715A2A"/>
    <w:rsid w:val="00716600"/>
    <w:rsid w:val="00716936"/>
    <w:rsid w:val="00716F37"/>
    <w:rsid w:val="00716F96"/>
    <w:rsid w:val="00717DD7"/>
    <w:rsid w:val="00721D95"/>
    <w:rsid w:val="0072230F"/>
    <w:rsid w:val="0072267D"/>
    <w:rsid w:val="0072300D"/>
    <w:rsid w:val="00723136"/>
    <w:rsid w:val="00724153"/>
    <w:rsid w:val="007241E9"/>
    <w:rsid w:val="00725F11"/>
    <w:rsid w:val="00726C48"/>
    <w:rsid w:val="00727A55"/>
    <w:rsid w:val="00732EF0"/>
    <w:rsid w:val="00733044"/>
    <w:rsid w:val="007333AC"/>
    <w:rsid w:val="00733534"/>
    <w:rsid w:val="00734720"/>
    <w:rsid w:val="00734A3E"/>
    <w:rsid w:val="007363B7"/>
    <w:rsid w:val="007373B1"/>
    <w:rsid w:val="00740179"/>
    <w:rsid w:val="007412AC"/>
    <w:rsid w:val="0074140E"/>
    <w:rsid w:val="007425DF"/>
    <w:rsid w:val="007430BF"/>
    <w:rsid w:val="0074387F"/>
    <w:rsid w:val="00744FCC"/>
    <w:rsid w:val="00747593"/>
    <w:rsid w:val="00752697"/>
    <w:rsid w:val="007533EC"/>
    <w:rsid w:val="007549AD"/>
    <w:rsid w:val="00755C50"/>
    <w:rsid w:val="00756221"/>
    <w:rsid w:val="00757F2E"/>
    <w:rsid w:val="00760788"/>
    <w:rsid w:val="00761BB2"/>
    <w:rsid w:val="00764248"/>
    <w:rsid w:val="007642BF"/>
    <w:rsid w:val="00766F72"/>
    <w:rsid w:val="00767D06"/>
    <w:rsid w:val="00771441"/>
    <w:rsid w:val="00773401"/>
    <w:rsid w:val="00773D38"/>
    <w:rsid w:val="00774BEA"/>
    <w:rsid w:val="0077508D"/>
    <w:rsid w:val="00780157"/>
    <w:rsid w:val="00780862"/>
    <w:rsid w:val="00782520"/>
    <w:rsid w:val="007830E0"/>
    <w:rsid w:val="00783A1F"/>
    <w:rsid w:val="00784486"/>
    <w:rsid w:val="00784C35"/>
    <w:rsid w:val="00786D7F"/>
    <w:rsid w:val="00790393"/>
    <w:rsid w:val="00791592"/>
    <w:rsid w:val="00791968"/>
    <w:rsid w:val="0079302A"/>
    <w:rsid w:val="0079310F"/>
    <w:rsid w:val="0079380D"/>
    <w:rsid w:val="007938AB"/>
    <w:rsid w:val="00795C4D"/>
    <w:rsid w:val="007965FA"/>
    <w:rsid w:val="0079706F"/>
    <w:rsid w:val="007A06FA"/>
    <w:rsid w:val="007A3BF5"/>
    <w:rsid w:val="007A76F4"/>
    <w:rsid w:val="007B04D0"/>
    <w:rsid w:val="007B0F9F"/>
    <w:rsid w:val="007B3444"/>
    <w:rsid w:val="007B35AB"/>
    <w:rsid w:val="007B3F6B"/>
    <w:rsid w:val="007B4B2E"/>
    <w:rsid w:val="007B5989"/>
    <w:rsid w:val="007C05DE"/>
    <w:rsid w:val="007C16B3"/>
    <w:rsid w:val="007C22BE"/>
    <w:rsid w:val="007C3163"/>
    <w:rsid w:val="007C32B3"/>
    <w:rsid w:val="007C35E3"/>
    <w:rsid w:val="007C5683"/>
    <w:rsid w:val="007C56A1"/>
    <w:rsid w:val="007C776B"/>
    <w:rsid w:val="007C7A5C"/>
    <w:rsid w:val="007D0CE4"/>
    <w:rsid w:val="007D105D"/>
    <w:rsid w:val="007D1D68"/>
    <w:rsid w:val="007D4666"/>
    <w:rsid w:val="007D752C"/>
    <w:rsid w:val="007D7631"/>
    <w:rsid w:val="007D77AC"/>
    <w:rsid w:val="007D7FF4"/>
    <w:rsid w:val="007E1F25"/>
    <w:rsid w:val="007E5853"/>
    <w:rsid w:val="007E5DB8"/>
    <w:rsid w:val="007E7358"/>
    <w:rsid w:val="007E7394"/>
    <w:rsid w:val="007F0553"/>
    <w:rsid w:val="007F0B17"/>
    <w:rsid w:val="007F22CA"/>
    <w:rsid w:val="007F2806"/>
    <w:rsid w:val="007F39F1"/>
    <w:rsid w:val="007F3AC1"/>
    <w:rsid w:val="007F3CF6"/>
    <w:rsid w:val="007F3FEB"/>
    <w:rsid w:val="007F473A"/>
    <w:rsid w:val="007F5944"/>
    <w:rsid w:val="008033A9"/>
    <w:rsid w:val="00804FFD"/>
    <w:rsid w:val="00805BBB"/>
    <w:rsid w:val="0080634C"/>
    <w:rsid w:val="00806531"/>
    <w:rsid w:val="00807040"/>
    <w:rsid w:val="00807D05"/>
    <w:rsid w:val="008104D3"/>
    <w:rsid w:val="00811065"/>
    <w:rsid w:val="008129C6"/>
    <w:rsid w:val="00813A45"/>
    <w:rsid w:val="00814966"/>
    <w:rsid w:val="008154A5"/>
    <w:rsid w:val="00821B86"/>
    <w:rsid w:val="00822963"/>
    <w:rsid w:val="00822ACE"/>
    <w:rsid w:val="00822D58"/>
    <w:rsid w:val="00822F0A"/>
    <w:rsid w:val="008253A1"/>
    <w:rsid w:val="00830310"/>
    <w:rsid w:val="00830D5E"/>
    <w:rsid w:val="008310B3"/>
    <w:rsid w:val="00831C8C"/>
    <w:rsid w:val="00833443"/>
    <w:rsid w:val="008346BA"/>
    <w:rsid w:val="00834AC8"/>
    <w:rsid w:val="00835EAD"/>
    <w:rsid w:val="00837E13"/>
    <w:rsid w:val="0084160D"/>
    <w:rsid w:val="008426A3"/>
    <w:rsid w:val="00842CEB"/>
    <w:rsid w:val="00843C2F"/>
    <w:rsid w:val="00846F1C"/>
    <w:rsid w:val="0084713C"/>
    <w:rsid w:val="00847206"/>
    <w:rsid w:val="00847DF4"/>
    <w:rsid w:val="00853C04"/>
    <w:rsid w:val="00854680"/>
    <w:rsid w:val="00854C25"/>
    <w:rsid w:val="00854E60"/>
    <w:rsid w:val="00856579"/>
    <w:rsid w:val="00857BFD"/>
    <w:rsid w:val="00860D01"/>
    <w:rsid w:val="0086134E"/>
    <w:rsid w:val="0086189E"/>
    <w:rsid w:val="00862904"/>
    <w:rsid w:val="00863244"/>
    <w:rsid w:val="008635B9"/>
    <w:rsid w:val="00864BBD"/>
    <w:rsid w:val="00865758"/>
    <w:rsid w:val="0086580C"/>
    <w:rsid w:val="00866889"/>
    <w:rsid w:val="00867F5D"/>
    <w:rsid w:val="00870B0C"/>
    <w:rsid w:val="00871F70"/>
    <w:rsid w:val="00873754"/>
    <w:rsid w:val="0087488B"/>
    <w:rsid w:val="00874A69"/>
    <w:rsid w:val="008752C9"/>
    <w:rsid w:val="0087551E"/>
    <w:rsid w:val="00877E09"/>
    <w:rsid w:val="008811ED"/>
    <w:rsid w:val="00881351"/>
    <w:rsid w:val="0088702E"/>
    <w:rsid w:val="008871DE"/>
    <w:rsid w:val="00890458"/>
    <w:rsid w:val="008908E6"/>
    <w:rsid w:val="00891D36"/>
    <w:rsid w:val="00891F35"/>
    <w:rsid w:val="008946E2"/>
    <w:rsid w:val="00895962"/>
    <w:rsid w:val="00895B40"/>
    <w:rsid w:val="00895E9F"/>
    <w:rsid w:val="00896B55"/>
    <w:rsid w:val="008A0296"/>
    <w:rsid w:val="008A07E9"/>
    <w:rsid w:val="008A0BB2"/>
    <w:rsid w:val="008A14C2"/>
    <w:rsid w:val="008A19A6"/>
    <w:rsid w:val="008A341D"/>
    <w:rsid w:val="008A4658"/>
    <w:rsid w:val="008A4AAC"/>
    <w:rsid w:val="008B015A"/>
    <w:rsid w:val="008B019B"/>
    <w:rsid w:val="008B0890"/>
    <w:rsid w:val="008B0A69"/>
    <w:rsid w:val="008B11E8"/>
    <w:rsid w:val="008B280C"/>
    <w:rsid w:val="008B369F"/>
    <w:rsid w:val="008B5832"/>
    <w:rsid w:val="008B6BEE"/>
    <w:rsid w:val="008B7030"/>
    <w:rsid w:val="008B7A12"/>
    <w:rsid w:val="008C0414"/>
    <w:rsid w:val="008C3330"/>
    <w:rsid w:val="008C3A4E"/>
    <w:rsid w:val="008C406A"/>
    <w:rsid w:val="008C433C"/>
    <w:rsid w:val="008C45C3"/>
    <w:rsid w:val="008C6180"/>
    <w:rsid w:val="008C6232"/>
    <w:rsid w:val="008C6A31"/>
    <w:rsid w:val="008D1DF2"/>
    <w:rsid w:val="008D3746"/>
    <w:rsid w:val="008D3C05"/>
    <w:rsid w:val="008D4586"/>
    <w:rsid w:val="008D65AC"/>
    <w:rsid w:val="008D6FE0"/>
    <w:rsid w:val="008D730D"/>
    <w:rsid w:val="008D7320"/>
    <w:rsid w:val="008E0586"/>
    <w:rsid w:val="008E1065"/>
    <w:rsid w:val="008E414E"/>
    <w:rsid w:val="008E4899"/>
    <w:rsid w:val="008E4A16"/>
    <w:rsid w:val="008E4C99"/>
    <w:rsid w:val="008E4E33"/>
    <w:rsid w:val="008E674B"/>
    <w:rsid w:val="008E6D15"/>
    <w:rsid w:val="008F01E6"/>
    <w:rsid w:val="008F1AEE"/>
    <w:rsid w:val="008F1DA5"/>
    <w:rsid w:val="008F29FE"/>
    <w:rsid w:val="008F3858"/>
    <w:rsid w:val="008F3D4D"/>
    <w:rsid w:val="008F414A"/>
    <w:rsid w:val="008F43E8"/>
    <w:rsid w:val="008F459F"/>
    <w:rsid w:val="008F6308"/>
    <w:rsid w:val="008F63E5"/>
    <w:rsid w:val="008F7400"/>
    <w:rsid w:val="009009C3"/>
    <w:rsid w:val="00901955"/>
    <w:rsid w:val="009019E4"/>
    <w:rsid w:val="00902981"/>
    <w:rsid w:val="00903797"/>
    <w:rsid w:val="00903FF2"/>
    <w:rsid w:val="0090405A"/>
    <w:rsid w:val="00904765"/>
    <w:rsid w:val="0090533E"/>
    <w:rsid w:val="00911D79"/>
    <w:rsid w:val="00912549"/>
    <w:rsid w:val="00913113"/>
    <w:rsid w:val="00913193"/>
    <w:rsid w:val="00913C0E"/>
    <w:rsid w:val="0091546F"/>
    <w:rsid w:val="00916059"/>
    <w:rsid w:val="0091625B"/>
    <w:rsid w:val="00917800"/>
    <w:rsid w:val="00917DA4"/>
    <w:rsid w:val="009205FA"/>
    <w:rsid w:val="0092228F"/>
    <w:rsid w:val="0092386B"/>
    <w:rsid w:val="009240F9"/>
    <w:rsid w:val="0092517D"/>
    <w:rsid w:val="00927349"/>
    <w:rsid w:val="0092741A"/>
    <w:rsid w:val="00927755"/>
    <w:rsid w:val="009322C0"/>
    <w:rsid w:val="0093317B"/>
    <w:rsid w:val="00933216"/>
    <w:rsid w:val="009343A9"/>
    <w:rsid w:val="00934942"/>
    <w:rsid w:val="00934FC0"/>
    <w:rsid w:val="0094362C"/>
    <w:rsid w:val="0094369E"/>
    <w:rsid w:val="009439CD"/>
    <w:rsid w:val="009446CB"/>
    <w:rsid w:val="0094485D"/>
    <w:rsid w:val="00944972"/>
    <w:rsid w:val="00944BD3"/>
    <w:rsid w:val="00944DD7"/>
    <w:rsid w:val="00945242"/>
    <w:rsid w:val="009509C1"/>
    <w:rsid w:val="009523CD"/>
    <w:rsid w:val="0095312C"/>
    <w:rsid w:val="00953190"/>
    <w:rsid w:val="00953B9C"/>
    <w:rsid w:val="00953E8E"/>
    <w:rsid w:val="009546BE"/>
    <w:rsid w:val="0095653B"/>
    <w:rsid w:val="00956C8C"/>
    <w:rsid w:val="009575B0"/>
    <w:rsid w:val="00957A4F"/>
    <w:rsid w:val="00957D65"/>
    <w:rsid w:val="009612AF"/>
    <w:rsid w:val="00961AB8"/>
    <w:rsid w:val="0096232E"/>
    <w:rsid w:val="0096269D"/>
    <w:rsid w:val="00964050"/>
    <w:rsid w:val="00964347"/>
    <w:rsid w:val="00964627"/>
    <w:rsid w:val="00966FFE"/>
    <w:rsid w:val="00967BF6"/>
    <w:rsid w:val="00967ED9"/>
    <w:rsid w:val="00970688"/>
    <w:rsid w:val="009738F0"/>
    <w:rsid w:val="00973CF6"/>
    <w:rsid w:val="00974F1C"/>
    <w:rsid w:val="00975CD6"/>
    <w:rsid w:val="009772EE"/>
    <w:rsid w:val="00986821"/>
    <w:rsid w:val="00990C57"/>
    <w:rsid w:val="0099149A"/>
    <w:rsid w:val="00991D8E"/>
    <w:rsid w:val="00993733"/>
    <w:rsid w:val="0099384E"/>
    <w:rsid w:val="00993B48"/>
    <w:rsid w:val="00994A02"/>
    <w:rsid w:val="0099520D"/>
    <w:rsid w:val="00996152"/>
    <w:rsid w:val="00996528"/>
    <w:rsid w:val="00996598"/>
    <w:rsid w:val="00996CC1"/>
    <w:rsid w:val="0099714F"/>
    <w:rsid w:val="00997574"/>
    <w:rsid w:val="00997694"/>
    <w:rsid w:val="00997F35"/>
    <w:rsid w:val="009A041C"/>
    <w:rsid w:val="009A0AD0"/>
    <w:rsid w:val="009A1DF0"/>
    <w:rsid w:val="009A38A9"/>
    <w:rsid w:val="009A4344"/>
    <w:rsid w:val="009A479E"/>
    <w:rsid w:val="009A4B27"/>
    <w:rsid w:val="009A5BA9"/>
    <w:rsid w:val="009A735B"/>
    <w:rsid w:val="009A7C21"/>
    <w:rsid w:val="009A7C5E"/>
    <w:rsid w:val="009A7C74"/>
    <w:rsid w:val="009A7EE9"/>
    <w:rsid w:val="009B0561"/>
    <w:rsid w:val="009B0737"/>
    <w:rsid w:val="009B22FA"/>
    <w:rsid w:val="009B32AE"/>
    <w:rsid w:val="009B32E4"/>
    <w:rsid w:val="009B37D5"/>
    <w:rsid w:val="009B3CDA"/>
    <w:rsid w:val="009B3F51"/>
    <w:rsid w:val="009B73D5"/>
    <w:rsid w:val="009B7F27"/>
    <w:rsid w:val="009C27B3"/>
    <w:rsid w:val="009C5154"/>
    <w:rsid w:val="009C5764"/>
    <w:rsid w:val="009C61C4"/>
    <w:rsid w:val="009D09D6"/>
    <w:rsid w:val="009D30D7"/>
    <w:rsid w:val="009D58B3"/>
    <w:rsid w:val="009D75A3"/>
    <w:rsid w:val="009D76D7"/>
    <w:rsid w:val="009E11F3"/>
    <w:rsid w:val="009E21EE"/>
    <w:rsid w:val="009E28F7"/>
    <w:rsid w:val="009E3002"/>
    <w:rsid w:val="009E3483"/>
    <w:rsid w:val="009E43F0"/>
    <w:rsid w:val="009E53A2"/>
    <w:rsid w:val="009E584C"/>
    <w:rsid w:val="009E69F5"/>
    <w:rsid w:val="009E7F03"/>
    <w:rsid w:val="009F1067"/>
    <w:rsid w:val="009F4C28"/>
    <w:rsid w:val="009F5668"/>
    <w:rsid w:val="009F6FA8"/>
    <w:rsid w:val="009F71C2"/>
    <w:rsid w:val="00A005D9"/>
    <w:rsid w:val="00A00E0A"/>
    <w:rsid w:val="00A0378D"/>
    <w:rsid w:val="00A0393B"/>
    <w:rsid w:val="00A04655"/>
    <w:rsid w:val="00A04BF1"/>
    <w:rsid w:val="00A061DF"/>
    <w:rsid w:val="00A066A4"/>
    <w:rsid w:val="00A06E48"/>
    <w:rsid w:val="00A109EF"/>
    <w:rsid w:val="00A10FE5"/>
    <w:rsid w:val="00A11A3F"/>
    <w:rsid w:val="00A11ACD"/>
    <w:rsid w:val="00A13C39"/>
    <w:rsid w:val="00A15B9B"/>
    <w:rsid w:val="00A172EC"/>
    <w:rsid w:val="00A1756D"/>
    <w:rsid w:val="00A20E1B"/>
    <w:rsid w:val="00A20FD1"/>
    <w:rsid w:val="00A2202A"/>
    <w:rsid w:val="00A22F3C"/>
    <w:rsid w:val="00A23520"/>
    <w:rsid w:val="00A25D6A"/>
    <w:rsid w:val="00A26F26"/>
    <w:rsid w:val="00A27640"/>
    <w:rsid w:val="00A27A83"/>
    <w:rsid w:val="00A30B04"/>
    <w:rsid w:val="00A30B66"/>
    <w:rsid w:val="00A313C6"/>
    <w:rsid w:val="00A35350"/>
    <w:rsid w:val="00A3694C"/>
    <w:rsid w:val="00A36C7F"/>
    <w:rsid w:val="00A3793F"/>
    <w:rsid w:val="00A40346"/>
    <w:rsid w:val="00A407D4"/>
    <w:rsid w:val="00A40A64"/>
    <w:rsid w:val="00A41211"/>
    <w:rsid w:val="00A4299C"/>
    <w:rsid w:val="00A43685"/>
    <w:rsid w:val="00A436E0"/>
    <w:rsid w:val="00A43C05"/>
    <w:rsid w:val="00A43F14"/>
    <w:rsid w:val="00A44643"/>
    <w:rsid w:val="00A449B8"/>
    <w:rsid w:val="00A45FE8"/>
    <w:rsid w:val="00A460CB"/>
    <w:rsid w:val="00A50788"/>
    <w:rsid w:val="00A524FF"/>
    <w:rsid w:val="00A52738"/>
    <w:rsid w:val="00A562C1"/>
    <w:rsid w:val="00A566B0"/>
    <w:rsid w:val="00A61351"/>
    <w:rsid w:val="00A61D95"/>
    <w:rsid w:val="00A6370B"/>
    <w:rsid w:val="00A64D82"/>
    <w:rsid w:val="00A66033"/>
    <w:rsid w:val="00A666D7"/>
    <w:rsid w:val="00A67D91"/>
    <w:rsid w:val="00A70604"/>
    <w:rsid w:val="00A7120D"/>
    <w:rsid w:val="00A72060"/>
    <w:rsid w:val="00A729DE"/>
    <w:rsid w:val="00A77AE4"/>
    <w:rsid w:val="00A82838"/>
    <w:rsid w:val="00A83924"/>
    <w:rsid w:val="00A83EAF"/>
    <w:rsid w:val="00A851EB"/>
    <w:rsid w:val="00A85D08"/>
    <w:rsid w:val="00A92040"/>
    <w:rsid w:val="00A93DE2"/>
    <w:rsid w:val="00A9553B"/>
    <w:rsid w:val="00A96242"/>
    <w:rsid w:val="00A97055"/>
    <w:rsid w:val="00AA1B34"/>
    <w:rsid w:val="00AA2AAC"/>
    <w:rsid w:val="00AA2F70"/>
    <w:rsid w:val="00AA5FB6"/>
    <w:rsid w:val="00AA7D06"/>
    <w:rsid w:val="00AA7DDE"/>
    <w:rsid w:val="00AB0398"/>
    <w:rsid w:val="00AB15EE"/>
    <w:rsid w:val="00AB26CE"/>
    <w:rsid w:val="00AB2B48"/>
    <w:rsid w:val="00AB4F9A"/>
    <w:rsid w:val="00AB7D47"/>
    <w:rsid w:val="00AC11A6"/>
    <w:rsid w:val="00AC188E"/>
    <w:rsid w:val="00AC263E"/>
    <w:rsid w:val="00AC29B1"/>
    <w:rsid w:val="00AC581B"/>
    <w:rsid w:val="00AC63A8"/>
    <w:rsid w:val="00AC651A"/>
    <w:rsid w:val="00AC6795"/>
    <w:rsid w:val="00AC67B9"/>
    <w:rsid w:val="00AC7272"/>
    <w:rsid w:val="00AD02CC"/>
    <w:rsid w:val="00AD0555"/>
    <w:rsid w:val="00AD089F"/>
    <w:rsid w:val="00AD0CF1"/>
    <w:rsid w:val="00AD10BA"/>
    <w:rsid w:val="00AD2612"/>
    <w:rsid w:val="00AD3557"/>
    <w:rsid w:val="00AD4FF9"/>
    <w:rsid w:val="00AD552B"/>
    <w:rsid w:val="00AD79AE"/>
    <w:rsid w:val="00AD7C8A"/>
    <w:rsid w:val="00AE0334"/>
    <w:rsid w:val="00AE1AAA"/>
    <w:rsid w:val="00AE273C"/>
    <w:rsid w:val="00AE3FE4"/>
    <w:rsid w:val="00AE7302"/>
    <w:rsid w:val="00AE7664"/>
    <w:rsid w:val="00AE7855"/>
    <w:rsid w:val="00AE7B4B"/>
    <w:rsid w:val="00AF2001"/>
    <w:rsid w:val="00AF2564"/>
    <w:rsid w:val="00AF396C"/>
    <w:rsid w:val="00AF3CFF"/>
    <w:rsid w:val="00AF5696"/>
    <w:rsid w:val="00AF712B"/>
    <w:rsid w:val="00B005E6"/>
    <w:rsid w:val="00B01199"/>
    <w:rsid w:val="00B02614"/>
    <w:rsid w:val="00B0278B"/>
    <w:rsid w:val="00B032EC"/>
    <w:rsid w:val="00B03ECA"/>
    <w:rsid w:val="00B04761"/>
    <w:rsid w:val="00B05935"/>
    <w:rsid w:val="00B11073"/>
    <w:rsid w:val="00B111A9"/>
    <w:rsid w:val="00B11208"/>
    <w:rsid w:val="00B1244B"/>
    <w:rsid w:val="00B1254C"/>
    <w:rsid w:val="00B12762"/>
    <w:rsid w:val="00B12A0A"/>
    <w:rsid w:val="00B131D6"/>
    <w:rsid w:val="00B13FBC"/>
    <w:rsid w:val="00B1764C"/>
    <w:rsid w:val="00B20AB6"/>
    <w:rsid w:val="00B2236D"/>
    <w:rsid w:val="00B22BE0"/>
    <w:rsid w:val="00B25DE6"/>
    <w:rsid w:val="00B27BCC"/>
    <w:rsid w:val="00B31680"/>
    <w:rsid w:val="00B31B23"/>
    <w:rsid w:val="00B32A4C"/>
    <w:rsid w:val="00B347F3"/>
    <w:rsid w:val="00B37EBC"/>
    <w:rsid w:val="00B409B6"/>
    <w:rsid w:val="00B4669D"/>
    <w:rsid w:val="00B469DD"/>
    <w:rsid w:val="00B47518"/>
    <w:rsid w:val="00B5122F"/>
    <w:rsid w:val="00B519B3"/>
    <w:rsid w:val="00B51E98"/>
    <w:rsid w:val="00B5372A"/>
    <w:rsid w:val="00B54343"/>
    <w:rsid w:val="00B5568B"/>
    <w:rsid w:val="00B60BCC"/>
    <w:rsid w:val="00B60C0E"/>
    <w:rsid w:val="00B60D26"/>
    <w:rsid w:val="00B626EB"/>
    <w:rsid w:val="00B6310B"/>
    <w:rsid w:val="00B633F9"/>
    <w:rsid w:val="00B6562D"/>
    <w:rsid w:val="00B72DD6"/>
    <w:rsid w:val="00B74397"/>
    <w:rsid w:val="00B7767D"/>
    <w:rsid w:val="00B77CB7"/>
    <w:rsid w:val="00B81098"/>
    <w:rsid w:val="00B81703"/>
    <w:rsid w:val="00B81D10"/>
    <w:rsid w:val="00B84631"/>
    <w:rsid w:val="00B84B23"/>
    <w:rsid w:val="00B85053"/>
    <w:rsid w:val="00B8559F"/>
    <w:rsid w:val="00B85AB6"/>
    <w:rsid w:val="00B8708E"/>
    <w:rsid w:val="00B87D86"/>
    <w:rsid w:val="00B909D3"/>
    <w:rsid w:val="00B911A0"/>
    <w:rsid w:val="00B91A2E"/>
    <w:rsid w:val="00B925DA"/>
    <w:rsid w:val="00B92E48"/>
    <w:rsid w:val="00B93266"/>
    <w:rsid w:val="00B93C69"/>
    <w:rsid w:val="00B93CED"/>
    <w:rsid w:val="00B942BA"/>
    <w:rsid w:val="00B95843"/>
    <w:rsid w:val="00BA1418"/>
    <w:rsid w:val="00BA238E"/>
    <w:rsid w:val="00BA35FC"/>
    <w:rsid w:val="00BA4F76"/>
    <w:rsid w:val="00BA73D0"/>
    <w:rsid w:val="00BB0293"/>
    <w:rsid w:val="00BB0A0C"/>
    <w:rsid w:val="00BB67B0"/>
    <w:rsid w:val="00BB6AA5"/>
    <w:rsid w:val="00BB6C9C"/>
    <w:rsid w:val="00BC3498"/>
    <w:rsid w:val="00BC38ED"/>
    <w:rsid w:val="00BC3EB4"/>
    <w:rsid w:val="00BC46ED"/>
    <w:rsid w:val="00BC72B7"/>
    <w:rsid w:val="00BC7867"/>
    <w:rsid w:val="00BD0968"/>
    <w:rsid w:val="00BD2D2D"/>
    <w:rsid w:val="00BD5621"/>
    <w:rsid w:val="00BD6494"/>
    <w:rsid w:val="00BE0875"/>
    <w:rsid w:val="00BE6900"/>
    <w:rsid w:val="00BF40B4"/>
    <w:rsid w:val="00BF57C1"/>
    <w:rsid w:val="00BF716C"/>
    <w:rsid w:val="00BF74C7"/>
    <w:rsid w:val="00BF7D99"/>
    <w:rsid w:val="00BF7EF8"/>
    <w:rsid w:val="00C004F9"/>
    <w:rsid w:val="00C023B2"/>
    <w:rsid w:val="00C02A9A"/>
    <w:rsid w:val="00C02D3D"/>
    <w:rsid w:val="00C06F9E"/>
    <w:rsid w:val="00C07E1D"/>
    <w:rsid w:val="00C1084A"/>
    <w:rsid w:val="00C11A62"/>
    <w:rsid w:val="00C13461"/>
    <w:rsid w:val="00C13482"/>
    <w:rsid w:val="00C1358F"/>
    <w:rsid w:val="00C14C21"/>
    <w:rsid w:val="00C15390"/>
    <w:rsid w:val="00C1552A"/>
    <w:rsid w:val="00C15894"/>
    <w:rsid w:val="00C15EB2"/>
    <w:rsid w:val="00C16043"/>
    <w:rsid w:val="00C161A6"/>
    <w:rsid w:val="00C20E45"/>
    <w:rsid w:val="00C2465F"/>
    <w:rsid w:val="00C259BF"/>
    <w:rsid w:val="00C27917"/>
    <w:rsid w:val="00C300FC"/>
    <w:rsid w:val="00C303D6"/>
    <w:rsid w:val="00C307E8"/>
    <w:rsid w:val="00C3104A"/>
    <w:rsid w:val="00C32159"/>
    <w:rsid w:val="00C33340"/>
    <w:rsid w:val="00C35F4F"/>
    <w:rsid w:val="00C36D0B"/>
    <w:rsid w:val="00C37CC8"/>
    <w:rsid w:val="00C37E45"/>
    <w:rsid w:val="00C40171"/>
    <w:rsid w:val="00C41792"/>
    <w:rsid w:val="00C44206"/>
    <w:rsid w:val="00C45286"/>
    <w:rsid w:val="00C454C2"/>
    <w:rsid w:val="00C45DCA"/>
    <w:rsid w:val="00C51015"/>
    <w:rsid w:val="00C51F71"/>
    <w:rsid w:val="00C52023"/>
    <w:rsid w:val="00C535A3"/>
    <w:rsid w:val="00C56533"/>
    <w:rsid w:val="00C56C28"/>
    <w:rsid w:val="00C57E63"/>
    <w:rsid w:val="00C61637"/>
    <w:rsid w:val="00C62485"/>
    <w:rsid w:val="00C62BE4"/>
    <w:rsid w:val="00C63D35"/>
    <w:rsid w:val="00C6437B"/>
    <w:rsid w:val="00C6597A"/>
    <w:rsid w:val="00C67536"/>
    <w:rsid w:val="00C72CAC"/>
    <w:rsid w:val="00C74AAD"/>
    <w:rsid w:val="00C75CD6"/>
    <w:rsid w:val="00C761AE"/>
    <w:rsid w:val="00C76ADD"/>
    <w:rsid w:val="00C76B98"/>
    <w:rsid w:val="00C76DB3"/>
    <w:rsid w:val="00C7703C"/>
    <w:rsid w:val="00C77DBB"/>
    <w:rsid w:val="00C82893"/>
    <w:rsid w:val="00C829DE"/>
    <w:rsid w:val="00C842F9"/>
    <w:rsid w:val="00C84EE1"/>
    <w:rsid w:val="00C861B4"/>
    <w:rsid w:val="00C904CF"/>
    <w:rsid w:val="00C9068A"/>
    <w:rsid w:val="00C92A36"/>
    <w:rsid w:val="00C930D0"/>
    <w:rsid w:val="00C93737"/>
    <w:rsid w:val="00C94987"/>
    <w:rsid w:val="00C974DB"/>
    <w:rsid w:val="00C97B91"/>
    <w:rsid w:val="00CA0033"/>
    <w:rsid w:val="00CA1FBE"/>
    <w:rsid w:val="00CA2179"/>
    <w:rsid w:val="00CA32B4"/>
    <w:rsid w:val="00CA3629"/>
    <w:rsid w:val="00CA56E9"/>
    <w:rsid w:val="00CA615C"/>
    <w:rsid w:val="00CA6FB1"/>
    <w:rsid w:val="00CA7989"/>
    <w:rsid w:val="00CB158C"/>
    <w:rsid w:val="00CB1F4E"/>
    <w:rsid w:val="00CB3DCB"/>
    <w:rsid w:val="00CB40E7"/>
    <w:rsid w:val="00CB4B99"/>
    <w:rsid w:val="00CB740C"/>
    <w:rsid w:val="00CC10ED"/>
    <w:rsid w:val="00CC51F8"/>
    <w:rsid w:val="00CC68B2"/>
    <w:rsid w:val="00CC79EB"/>
    <w:rsid w:val="00CD08A5"/>
    <w:rsid w:val="00CD2BA9"/>
    <w:rsid w:val="00CD3DF4"/>
    <w:rsid w:val="00CD4694"/>
    <w:rsid w:val="00CD5BBC"/>
    <w:rsid w:val="00CD5FF4"/>
    <w:rsid w:val="00CD60F8"/>
    <w:rsid w:val="00CE11A4"/>
    <w:rsid w:val="00CE1F20"/>
    <w:rsid w:val="00CE57F6"/>
    <w:rsid w:val="00CE72B1"/>
    <w:rsid w:val="00CE7324"/>
    <w:rsid w:val="00CF0028"/>
    <w:rsid w:val="00CF1ADE"/>
    <w:rsid w:val="00CF1C82"/>
    <w:rsid w:val="00CF31EF"/>
    <w:rsid w:val="00CF3E45"/>
    <w:rsid w:val="00CF469A"/>
    <w:rsid w:val="00CF5859"/>
    <w:rsid w:val="00CF76B1"/>
    <w:rsid w:val="00CF789C"/>
    <w:rsid w:val="00D007A1"/>
    <w:rsid w:val="00D01BB3"/>
    <w:rsid w:val="00D05415"/>
    <w:rsid w:val="00D06E34"/>
    <w:rsid w:val="00D07F2F"/>
    <w:rsid w:val="00D10DAA"/>
    <w:rsid w:val="00D13507"/>
    <w:rsid w:val="00D13A3A"/>
    <w:rsid w:val="00D13C3F"/>
    <w:rsid w:val="00D13D51"/>
    <w:rsid w:val="00D16363"/>
    <w:rsid w:val="00D17663"/>
    <w:rsid w:val="00D17BFF"/>
    <w:rsid w:val="00D20936"/>
    <w:rsid w:val="00D20F06"/>
    <w:rsid w:val="00D228F1"/>
    <w:rsid w:val="00D2298B"/>
    <w:rsid w:val="00D278DE"/>
    <w:rsid w:val="00D308F2"/>
    <w:rsid w:val="00D3099D"/>
    <w:rsid w:val="00D31EFC"/>
    <w:rsid w:val="00D32A91"/>
    <w:rsid w:val="00D3517C"/>
    <w:rsid w:val="00D35862"/>
    <w:rsid w:val="00D36343"/>
    <w:rsid w:val="00D400DF"/>
    <w:rsid w:val="00D403F8"/>
    <w:rsid w:val="00D42148"/>
    <w:rsid w:val="00D434BF"/>
    <w:rsid w:val="00D44E5B"/>
    <w:rsid w:val="00D45FCE"/>
    <w:rsid w:val="00D501FD"/>
    <w:rsid w:val="00D51FD1"/>
    <w:rsid w:val="00D5490C"/>
    <w:rsid w:val="00D565EC"/>
    <w:rsid w:val="00D57A43"/>
    <w:rsid w:val="00D60711"/>
    <w:rsid w:val="00D61858"/>
    <w:rsid w:val="00D629DE"/>
    <w:rsid w:val="00D62C98"/>
    <w:rsid w:val="00D630F1"/>
    <w:rsid w:val="00D640A7"/>
    <w:rsid w:val="00D64ABA"/>
    <w:rsid w:val="00D64D12"/>
    <w:rsid w:val="00D64E25"/>
    <w:rsid w:val="00D65201"/>
    <w:rsid w:val="00D653D6"/>
    <w:rsid w:val="00D66604"/>
    <w:rsid w:val="00D70312"/>
    <w:rsid w:val="00D710CD"/>
    <w:rsid w:val="00D711EA"/>
    <w:rsid w:val="00D72438"/>
    <w:rsid w:val="00D72DF5"/>
    <w:rsid w:val="00D73E1B"/>
    <w:rsid w:val="00D74E02"/>
    <w:rsid w:val="00D75BF0"/>
    <w:rsid w:val="00D76966"/>
    <w:rsid w:val="00D80177"/>
    <w:rsid w:val="00D80DFF"/>
    <w:rsid w:val="00D81BCA"/>
    <w:rsid w:val="00D81C45"/>
    <w:rsid w:val="00D82754"/>
    <w:rsid w:val="00D82758"/>
    <w:rsid w:val="00D84416"/>
    <w:rsid w:val="00D85358"/>
    <w:rsid w:val="00D85EEA"/>
    <w:rsid w:val="00D86694"/>
    <w:rsid w:val="00D86934"/>
    <w:rsid w:val="00D908B4"/>
    <w:rsid w:val="00D9325E"/>
    <w:rsid w:val="00D9362D"/>
    <w:rsid w:val="00D95D8B"/>
    <w:rsid w:val="00D9684E"/>
    <w:rsid w:val="00DA13B1"/>
    <w:rsid w:val="00DA1C9A"/>
    <w:rsid w:val="00DA209B"/>
    <w:rsid w:val="00DA31C2"/>
    <w:rsid w:val="00DA3317"/>
    <w:rsid w:val="00DA482A"/>
    <w:rsid w:val="00DA6802"/>
    <w:rsid w:val="00DB09F2"/>
    <w:rsid w:val="00DB2266"/>
    <w:rsid w:val="00DB2F2C"/>
    <w:rsid w:val="00DB37DD"/>
    <w:rsid w:val="00DB5C25"/>
    <w:rsid w:val="00DB6D85"/>
    <w:rsid w:val="00DC01EF"/>
    <w:rsid w:val="00DC08AC"/>
    <w:rsid w:val="00DC0F14"/>
    <w:rsid w:val="00DC0F30"/>
    <w:rsid w:val="00DC1677"/>
    <w:rsid w:val="00DC18F2"/>
    <w:rsid w:val="00DC3952"/>
    <w:rsid w:val="00DC51E7"/>
    <w:rsid w:val="00DC5376"/>
    <w:rsid w:val="00DC5ECF"/>
    <w:rsid w:val="00DC6637"/>
    <w:rsid w:val="00DC759C"/>
    <w:rsid w:val="00DD1004"/>
    <w:rsid w:val="00DD11CC"/>
    <w:rsid w:val="00DD132D"/>
    <w:rsid w:val="00DD227B"/>
    <w:rsid w:val="00DD2AEC"/>
    <w:rsid w:val="00DD2D08"/>
    <w:rsid w:val="00DD34EE"/>
    <w:rsid w:val="00DD35EE"/>
    <w:rsid w:val="00DD44DC"/>
    <w:rsid w:val="00DD50E9"/>
    <w:rsid w:val="00DD7202"/>
    <w:rsid w:val="00DD79FB"/>
    <w:rsid w:val="00DE0146"/>
    <w:rsid w:val="00DE1E30"/>
    <w:rsid w:val="00DE3322"/>
    <w:rsid w:val="00DE3339"/>
    <w:rsid w:val="00DE335B"/>
    <w:rsid w:val="00DE34A7"/>
    <w:rsid w:val="00DE5826"/>
    <w:rsid w:val="00DE6375"/>
    <w:rsid w:val="00DF0344"/>
    <w:rsid w:val="00DF1207"/>
    <w:rsid w:val="00DF1731"/>
    <w:rsid w:val="00DF69AC"/>
    <w:rsid w:val="00DF7464"/>
    <w:rsid w:val="00E032B0"/>
    <w:rsid w:val="00E03724"/>
    <w:rsid w:val="00E03A5B"/>
    <w:rsid w:val="00E0411B"/>
    <w:rsid w:val="00E04EBA"/>
    <w:rsid w:val="00E05222"/>
    <w:rsid w:val="00E07570"/>
    <w:rsid w:val="00E10990"/>
    <w:rsid w:val="00E12076"/>
    <w:rsid w:val="00E20004"/>
    <w:rsid w:val="00E2047A"/>
    <w:rsid w:val="00E213DE"/>
    <w:rsid w:val="00E21765"/>
    <w:rsid w:val="00E23679"/>
    <w:rsid w:val="00E240BE"/>
    <w:rsid w:val="00E24B71"/>
    <w:rsid w:val="00E2565B"/>
    <w:rsid w:val="00E26B06"/>
    <w:rsid w:val="00E31DD7"/>
    <w:rsid w:val="00E341DF"/>
    <w:rsid w:val="00E346BE"/>
    <w:rsid w:val="00E34AAE"/>
    <w:rsid w:val="00E352E0"/>
    <w:rsid w:val="00E3651B"/>
    <w:rsid w:val="00E37388"/>
    <w:rsid w:val="00E428A5"/>
    <w:rsid w:val="00E42BE3"/>
    <w:rsid w:val="00E43880"/>
    <w:rsid w:val="00E43DBA"/>
    <w:rsid w:val="00E44717"/>
    <w:rsid w:val="00E4479A"/>
    <w:rsid w:val="00E4520D"/>
    <w:rsid w:val="00E46533"/>
    <w:rsid w:val="00E46AE5"/>
    <w:rsid w:val="00E46DA8"/>
    <w:rsid w:val="00E50107"/>
    <w:rsid w:val="00E508E2"/>
    <w:rsid w:val="00E529B8"/>
    <w:rsid w:val="00E54640"/>
    <w:rsid w:val="00E5487F"/>
    <w:rsid w:val="00E54D9F"/>
    <w:rsid w:val="00E56642"/>
    <w:rsid w:val="00E57A69"/>
    <w:rsid w:val="00E61DE6"/>
    <w:rsid w:val="00E62058"/>
    <w:rsid w:val="00E6310F"/>
    <w:rsid w:val="00E63419"/>
    <w:rsid w:val="00E63E5A"/>
    <w:rsid w:val="00E64B94"/>
    <w:rsid w:val="00E64F32"/>
    <w:rsid w:val="00E65F7A"/>
    <w:rsid w:val="00E67C5F"/>
    <w:rsid w:val="00E70BDE"/>
    <w:rsid w:val="00E70FF1"/>
    <w:rsid w:val="00E71594"/>
    <w:rsid w:val="00E732C7"/>
    <w:rsid w:val="00E74FA6"/>
    <w:rsid w:val="00E77688"/>
    <w:rsid w:val="00E77AA3"/>
    <w:rsid w:val="00E819AD"/>
    <w:rsid w:val="00E83FA2"/>
    <w:rsid w:val="00E8483B"/>
    <w:rsid w:val="00E84C93"/>
    <w:rsid w:val="00E878CA"/>
    <w:rsid w:val="00E879FE"/>
    <w:rsid w:val="00E87C8C"/>
    <w:rsid w:val="00E905FA"/>
    <w:rsid w:val="00E906D1"/>
    <w:rsid w:val="00E90B71"/>
    <w:rsid w:val="00E90DA7"/>
    <w:rsid w:val="00E91521"/>
    <w:rsid w:val="00E92403"/>
    <w:rsid w:val="00E92BBC"/>
    <w:rsid w:val="00E93006"/>
    <w:rsid w:val="00E93A53"/>
    <w:rsid w:val="00E95FD0"/>
    <w:rsid w:val="00E978B3"/>
    <w:rsid w:val="00E97E83"/>
    <w:rsid w:val="00EA07D0"/>
    <w:rsid w:val="00EA0DF8"/>
    <w:rsid w:val="00EA1DE4"/>
    <w:rsid w:val="00EA5863"/>
    <w:rsid w:val="00EA5D14"/>
    <w:rsid w:val="00EA6DDD"/>
    <w:rsid w:val="00EA7773"/>
    <w:rsid w:val="00EA7EFF"/>
    <w:rsid w:val="00EB0657"/>
    <w:rsid w:val="00EB19A3"/>
    <w:rsid w:val="00EB33C8"/>
    <w:rsid w:val="00EB3D94"/>
    <w:rsid w:val="00EB3DAF"/>
    <w:rsid w:val="00EB403F"/>
    <w:rsid w:val="00EB5FE2"/>
    <w:rsid w:val="00EB6601"/>
    <w:rsid w:val="00EB68AF"/>
    <w:rsid w:val="00EB6A81"/>
    <w:rsid w:val="00EB6E23"/>
    <w:rsid w:val="00EB7B6D"/>
    <w:rsid w:val="00EC1A83"/>
    <w:rsid w:val="00EC275F"/>
    <w:rsid w:val="00EC2A2B"/>
    <w:rsid w:val="00EC3579"/>
    <w:rsid w:val="00EC47CC"/>
    <w:rsid w:val="00EC4D30"/>
    <w:rsid w:val="00EC6564"/>
    <w:rsid w:val="00ED024A"/>
    <w:rsid w:val="00ED0881"/>
    <w:rsid w:val="00ED0AD0"/>
    <w:rsid w:val="00ED16F0"/>
    <w:rsid w:val="00ED1CC2"/>
    <w:rsid w:val="00ED2E8C"/>
    <w:rsid w:val="00ED3767"/>
    <w:rsid w:val="00ED3A4E"/>
    <w:rsid w:val="00ED3D19"/>
    <w:rsid w:val="00ED5FB8"/>
    <w:rsid w:val="00EE0B9B"/>
    <w:rsid w:val="00EE3439"/>
    <w:rsid w:val="00EE45A8"/>
    <w:rsid w:val="00EE60D6"/>
    <w:rsid w:val="00EE63AF"/>
    <w:rsid w:val="00EE72C6"/>
    <w:rsid w:val="00EE76B9"/>
    <w:rsid w:val="00EF1608"/>
    <w:rsid w:val="00EF16FF"/>
    <w:rsid w:val="00EF330B"/>
    <w:rsid w:val="00EF39E8"/>
    <w:rsid w:val="00EF5A1B"/>
    <w:rsid w:val="00F00D44"/>
    <w:rsid w:val="00F01822"/>
    <w:rsid w:val="00F022EF"/>
    <w:rsid w:val="00F02C39"/>
    <w:rsid w:val="00F03BD7"/>
    <w:rsid w:val="00F03C37"/>
    <w:rsid w:val="00F04C84"/>
    <w:rsid w:val="00F0574C"/>
    <w:rsid w:val="00F06B09"/>
    <w:rsid w:val="00F06EC5"/>
    <w:rsid w:val="00F06FBF"/>
    <w:rsid w:val="00F07019"/>
    <w:rsid w:val="00F072AA"/>
    <w:rsid w:val="00F1086F"/>
    <w:rsid w:val="00F10AB9"/>
    <w:rsid w:val="00F10F4D"/>
    <w:rsid w:val="00F11B71"/>
    <w:rsid w:val="00F1255A"/>
    <w:rsid w:val="00F133CD"/>
    <w:rsid w:val="00F152A2"/>
    <w:rsid w:val="00F15354"/>
    <w:rsid w:val="00F162FC"/>
    <w:rsid w:val="00F1747D"/>
    <w:rsid w:val="00F17D7A"/>
    <w:rsid w:val="00F17F68"/>
    <w:rsid w:val="00F21571"/>
    <w:rsid w:val="00F21DDF"/>
    <w:rsid w:val="00F22F2F"/>
    <w:rsid w:val="00F230ED"/>
    <w:rsid w:val="00F24B62"/>
    <w:rsid w:val="00F25101"/>
    <w:rsid w:val="00F258EF"/>
    <w:rsid w:val="00F26143"/>
    <w:rsid w:val="00F26647"/>
    <w:rsid w:val="00F316E1"/>
    <w:rsid w:val="00F328BF"/>
    <w:rsid w:val="00F329C9"/>
    <w:rsid w:val="00F33588"/>
    <w:rsid w:val="00F34C15"/>
    <w:rsid w:val="00F3573E"/>
    <w:rsid w:val="00F36EF4"/>
    <w:rsid w:val="00F375BD"/>
    <w:rsid w:val="00F412E5"/>
    <w:rsid w:val="00F418FF"/>
    <w:rsid w:val="00F42D6C"/>
    <w:rsid w:val="00F42E9B"/>
    <w:rsid w:val="00F43AA7"/>
    <w:rsid w:val="00F503A8"/>
    <w:rsid w:val="00F5260C"/>
    <w:rsid w:val="00F52AE7"/>
    <w:rsid w:val="00F52C53"/>
    <w:rsid w:val="00F539F9"/>
    <w:rsid w:val="00F540D0"/>
    <w:rsid w:val="00F546A5"/>
    <w:rsid w:val="00F54B05"/>
    <w:rsid w:val="00F54B93"/>
    <w:rsid w:val="00F55D33"/>
    <w:rsid w:val="00F55FFA"/>
    <w:rsid w:val="00F566EC"/>
    <w:rsid w:val="00F61542"/>
    <w:rsid w:val="00F61786"/>
    <w:rsid w:val="00F61A6F"/>
    <w:rsid w:val="00F6208C"/>
    <w:rsid w:val="00F629C5"/>
    <w:rsid w:val="00F64114"/>
    <w:rsid w:val="00F65231"/>
    <w:rsid w:val="00F65236"/>
    <w:rsid w:val="00F67560"/>
    <w:rsid w:val="00F70BEF"/>
    <w:rsid w:val="00F720EC"/>
    <w:rsid w:val="00F73B8A"/>
    <w:rsid w:val="00F756E6"/>
    <w:rsid w:val="00F7586C"/>
    <w:rsid w:val="00F76227"/>
    <w:rsid w:val="00F76A3A"/>
    <w:rsid w:val="00F76A5F"/>
    <w:rsid w:val="00F77EB2"/>
    <w:rsid w:val="00F816EB"/>
    <w:rsid w:val="00F81A7E"/>
    <w:rsid w:val="00F81C67"/>
    <w:rsid w:val="00F8278A"/>
    <w:rsid w:val="00F8454D"/>
    <w:rsid w:val="00F8571A"/>
    <w:rsid w:val="00F909C1"/>
    <w:rsid w:val="00F90C4B"/>
    <w:rsid w:val="00F90F52"/>
    <w:rsid w:val="00F9248C"/>
    <w:rsid w:val="00F92E00"/>
    <w:rsid w:val="00F932E9"/>
    <w:rsid w:val="00F9393D"/>
    <w:rsid w:val="00F93C65"/>
    <w:rsid w:val="00F93CBA"/>
    <w:rsid w:val="00F944CE"/>
    <w:rsid w:val="00F96CC5"/>
    <w:rsid w:val="00F96FB6"/>
    <w:rsid w:val="00F97148"/>
    <w:rsid w:val="00FA074B"/>
    <w:rsid w:val="00FA0D23"/>
    <w:rsid w:val="00FA2BA6"/>
    <w:rsid w:val="00FA3243"/>
    <w:rsid w:val="00FA3F6F"/>
    <w:rsid w:val="00FA46B7"/>
    <w:rsid w:val="00FA49A6"/>
    <w:rsid w:val="00FA55B5"/>
    <w:rsid w:val="00FA5E76"/>
    <w:rsid w:val="00FA7E5C"/>
    <w:rsid w:val="00FB18DD"/>
    <w:rsid w:val="00FB2410"/>
    <w:rsid w:val="00FB38A9"/>
    <w:rsid w:val="00FB582D"/>
    <w:rsid w:val="00FB5F1E"/>
    <w:rsid w:val="00FB60C8"/>
    <w:rsid w:val="00FC2152"/>
    <w:rsid w:val="00FC29B6"/>
    <w:rsid w:val="00FC309A"/>
    <w:rsid w:val="00FC3AFD"/>
    <w:rsid w:val="00FC3D7E"/>
    <w:rsid w:val="00FC794C"/>
    <w:rsid w:val="00FC7A06"/>
    <w:rsid w:val="00FD1D12"/>
    <w:rsid w:val="00FD4840"/>
    <w:rsid w:val="00FD4D4D"/>
    <w:rsid w:val="00FD5074"/>
    <w:rsid w:val="00FE08CF"/>
    <w:rsid w:val="00FE29DC"/>
    <w:rsid w:val="00FE2A8D"/>
    <w:rsid w:val="00FE6326"/>
    <w:rsid w:val="00FE76D0"/>
    <w:rsid w:val="00FF1492"/>
    <w:rsid w:val="00FF1C2F"/>
    <w:rsid w:val="00FF1D49"/>
    <w:rsid w:val="00FF3BE8"/>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89">
      <o:colormru v:ext="edit" colors="#c60,#fc0,#f90,#c90"/>
      <o:colormenu v:ext="edit" fillcolor="none [3212]" strokecolor="none"/>
    </o:shapedefaults>
    <o:shapelayout v:ext="edit">
      <o:idmap v:ext="edit" data="1,38,39"/>
      <o:rules v:ext="edit">
        <o:r id="V:Rule1" type="arc" idref="#_x0000_s40065"/>
        <o:r id="V:Rule2" type="arc" idref="#_x0000_s40066"/>
        <o:r id="V:Rule3" type="arc" idref="#_x0000_s40071"/>
        <o:r id="V:Rule4" type="arc" idref="#_x0000_s40072"/>
        <o:r id="V:Rule5" type="arc" idref="#_x0000_s40077"/>
        <o:r id="V:Rule6" type="arc" idref="#_x0000_s40078"/>
        <o:r id="V:Rule7" type="arc" idref="#_x0000_s40083"/>
        <o:r id="V:Rule8" type="arc" idref="#_x0000_s40084"/>
        <o:r id="V:Rule9" type="arc" idref="#_x0000_s40089"/>
        <o:r id="V:Rule10" type="arc" idref="#_x0000_s40090"/>
        <o:r id="V:Rule11" type="arc" idref="#_x0000_s40095"/>
        <o:r id="V:Rule12" type="arc" idref="#_x0000_s40096"/>
        <o:r id="V:Rule13" type="arc" idref="#_x0000_s40101"/>
        <o:r id="V:Rule14" type="arc" idref="#_x0000_s4010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itle" w:qFormat="1"/>
    <w:lsdException w:name="Subtitle" w:qFormat="1"/>
    <w:lsdException w:name="Hyperlink" w:uiPriority="99"/>
    <w:lsdException w:name="Strong"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link w:val="NormalaftertitleChar"/>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link w:val="enumlev1Char"/>
    <w:qFormat/>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link w:val="HeadingbChar"/>
    <w:rsid w:val="00016BF5"/>
    <w:pPr>
      <w:keepNext/>
      <w:spacing w:before="160"/>
    </w:pPr>
    <w:rPr>
      <w:b/>
    </w:rPr>
  </w:style>
  <w:style w:type="paragraph" w:customStyle="1" w:styleId="Headingi">
    <w:name w:val="Heading_i"/>
    <w:basedOn w:val="Normal"/>
    <w:next w:val="Normal"/>
    <w:qFormat/>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semiHidden/>
    <w:rsid w:val="0008342F"/>
  </w:style>
  <w:style w:type="paragraph" w:styleId="TOC5">
    <w:name w:val="toc 5"/>
    <w:basedOn w:val="TOC4"/>
    <w:semiHidden/>
    <w:rsid w:val="0008342F"/>
  </w:style>
  <w:style w:type="paragraph" w:styleId="TOC6">
    <w:name w:val="toc 6"/>
    <w:basedOn w:val="TOC4"/>
    <w:semiHidden/>
    <w:rsid w:val="0008342F"/>
  </w:style>
  <w:style w:type="paragraph" w:styleId="TOC7">
    <w:name w:val="toc 7"/>
    <w:basedOn w:val="TOC4"/>
    <w:semiHidden/>
    <w:rsid w:val="0008342F"/>
  </w:style>
  <w:style w:type="paragraph" w:styleId="TOC8">
    <w:name w:val="toc 8"/>
    <w:basedOn w:val="TOC4"/>
    <w:semiHidden/>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basedOn w:val="DefaultParagraphFont"/>
    <w:uiPriority w:val="99"/>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9"/>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2"/>
      </w:numPr>
    </w:pPr>
  </w:style>
  <w:style w:type="paragraph" w:customStyle="1" w:styleId="FigureTitle">
    <w:name w:val="Figure Title"/>
    <w:basedOn w:val="Normal"/>
    <w:next w:val="Normal"/>
    <w:rsid w:val="009E7F0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rsid w:val="0008342F"/>
    <w:pPr>
      <w:spacing w:before="0"/>
    </w:pPr>
    <w:rPr>
      <w:b/>
      <w:sz w:val="16"/>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customStyle="1" w:styleId="CEONormal">
    <w:name w:val="CEO_Normal"/>
    <w:link w:val="CEONormalChar"/>
    <w:autoRedefine/>
    <w:rsid w:val="00881351"/>
    <w:rPr>
      <w:rFonts w:ascii="Verdana" w:eastAsia="SimSun" w:hAnsi="Verdana"/>
      <w:sz w:val="19"/>
      <w:szCs w:val="19"/>
      <w:lang w:val="en-GB" w:eastAsia="en-US"/>
    </w:rPr>
  </w:style>
  <w:style w:type="character" w:customStyle="1" w:styleId="CEONormalChar">
    <w:name w:val="CEO_Normal Char"/>
    <w:basedOn w:val="DefaultParagraphFont"/>
    <w:link w:val="CEONormal"/>
    <w:rsid w:val="00881351"/>
    <w:rPr>
      <w:rFonts w:ascii="Verdana" w:eastAsia="SimSun" w:hAnsi="Verdana"/>
      <w:sz w:val="19"/>
      <w:szCs w:val="19"/>
      <w:lang w:val="en-GB" w:eastAsia="en-US"/>
    </w:rPr>
  </w:style>
  <w:style w:type="paragraph" w:customStyle="1" w:styleId="CEOHeading2indent1-123">
    <w:name w:val="CEO_Heading2_indent1-123"/>
    <w:basedOn w:val="Heading2"/>
    <w:next w:val="CEONormal"/>
    <w:autoRedefine/>
    <w:rsid w:val="00D64ABA"/>
    <w:pPr>
      <w:keepNext w:val="0"/>
      <w:keepLines w:val="0"/>
      <w:tabs>
        <w:tab w:val="clear" w:pos="794"/>
        <w:tab w:val="clear" w:pos="1191"/>
        <w:tab w:val="clear" w:pos="1588"/>
        <w:tab w:val="clear" w:pos="1985"/>
      </w:tabs>
      <w:overflowPunct/>
      <w:autoSpaceDE/>
      <w:autoSpaceDN/>
      <w:adjustRightInd/>
      <w:spacing w:before="120" w:after="120"/>
      <w:ind w:left="0" w:firstLine="0"/>
      <w:jc w:val="left"/>
      <w:textAlignment w:val="auto"/>
    </w:pPr>
    <w:rPr>
      <w:rFonts w:ascii="Verdana" w:eastAsia="SimSun" w:hAnsi="Verdana" w:cs="Simplified Arabic"/>
      <w:bCs/>
      <w:sz w:val="18"/>
      <w:szCs w:val="28"/>
      <w:lang w:eastAsia="zh-CN"/>
    </w:rPr>
  </w:style>
  <w:style w:type="paragraph" w:customStyle="1" w:styleId="CEOindent-endash">
    <w:name w:val="CEO_indent-endash"/>
    <w:basedOn w:val="Normal"/>
    <w:next w:val="enumlev2"/>
    <w:rsid w:val="00415FFD"/>
    <w:pPr>
      <w:numPr>
        <w:numId w:val="31"/>
      </w:numPr>
      <w:tabs>
        <w:tab w:val="clear" w:pos="794"/>
        <w:tab w:val="clear" w:pos="1191"/>
        <w:tab w:val="clear" w:pos="1588"/>
        <w:tab w:val="clear" w:pos="1985"/>
      </w:tabs>
      <w:overflowPunct/>
      <w:autoSpaceDE/>
      <w:autoSpaceDN/>
      <w:adjustRightInd/>
      <w:jc w:val="left"/>
      <w:textAlignment w:val="auto"/>
    </w:pPr>
    <w:rPr>
      <w:rFonts w:ascii="Verdana" w:eastAsia="SimSun" w:hAnsi="Verdana"/>
      <w:sz w:val="19"/>
      <w:szCs w:val="19"/>
    </w:rPr>
  </w:style>
  <w:style w:type="paragraph" w:customStyle="1" w:styleId="CEOcontribution-H123">
    <w:name w:val="CEO_contribution-H123"/>
    <w:basedOn w:val="Normal"/>
    <w:rsid w:val="00F96CC5"/>
    <w:pPr>
      <w:tabs>
        <w:tab w:val="clear" w:pos="794"/>
        <w:tab w:val="clear" w:pos="1191"/>
        <w:tab w:val="clear" w:pos="1588"/>
        <w:tab w:val="clear" w:pos="1985"/>
        <w:tab w:val="num" w:pos="720"/>
      </w:tabs>
      <w:overflowPunct/>
      <w:autoSpaceDE/>
      <w:autoSpaceDN/>
      <w:adjustRightInd/>
      <w:spacing w:after="120"/>
      <w:ind w:left="720" w:hanging="360"/>
      <w:jc w:val="left"/>
      <w:textAlignment w:val="auto"/>
    </w:pPr>
    <w:rPr>
      <w:rFonts w:ascii="Verdana" w:eastAsia="SimHei" w:hAnsi="Verdana" w:cs="Simplified Arabic"/>
      <w:b/>
      <w:sz w:val="19"/>
      <w:szCs w:val="19"/>
    </w:rPr>
  </w:style>
  <w:style w:type="paragraph" w:customStyle="1" w:styleId="Tabletitle">
    <w:name w:val="Table_title"/>
    <w:basedOn w:val="Normal"/>
    <w:next w:val="Tablehead"/>
    <w:rsid w:val="00181FAC"/>
    <w:pPr>
      <w:keepNext/>
      <w:keepLines/>
      <w:spacing w:before="0" w:after="120"/>
      <w:jc w:val="center"/>
    </w:pPr>
    <w:rPr>
      <w:b/>
      <w:sz w:val="24"/>
    </w:rPr>
  </w:style>
  <w:style w:type="paragraph" w:customStyle="1" w:styleId="Normalaftertitle0">
    <w:name w:val="Normal after title"/>
    <w:basedOn w:val="Normal"/>
    <w:next w:val="Normal"/>
    <w:rsid w:val="0000784D"/>
    <w:pPr>
      <w:spacing w:before="280"/>
    </w:pPr>
  </w:style>
  <w:style w:type="paragraph" w:customStyle="1" w:styleId="CEOIndent-bulletsblackdot">
    <w:name w:val="CEO_Indent-bulletsblackdot"/>
    <w:basedOn w:val="Normal"/>
    <w:rsid w:val="000E0346"/>
    <w:pPr>
      <w:tabs>
        <w:tab w:val="clear" w:pos="794"/>
        <w:tab w:val="clear" w:pos="1191"/>
        <w:tab w:val="clear" w:pos="1588"/>
        <w:tab w:val="clear" w:pos="1985"/>
        <w:tab w:val="num" w:pos="284"/>
      </w:tabs>
      <w:overflowPunct/>
      <w:autoSpaceDE/>
      <w:autoSpaceDN/>
      <w:adjustRightInd/>
      <w:spacing w:before="60" w:after="60"/>
      <w:ind w:left="284" w:hanging="284"/>
      <w:jc w:val="left"/>
      <w:textAlignment w:val="auto"/>
    </w:pPr>
    <w:rPr>
      <w:rFonts w:ascii="Verdana" w:eastAsia="SimHei" w:hAnsi="Verdana" w:cs="Simplified Arabic"/>
      <w:bCs/>
      <w:sz w:val="19"/>
      <w:szCs w:val="19"/>
    </w:rPr>
  </w:style>
  <w:style w:type="paragraph" w:customStyle="1" w:styleId="CEOHeading2">
    <w:name w:val="CEO_Heading2"/>
    <w:basedOn w:val="Heading2"/>
    <w:next w:val="CEONormal"/>
    <w:autoRedefine/>
    <w:rsid w:val="000E0346"/>
    <w:pPr>
      <w:keepNext w:val="0"/>
      <w:keepLines w:val="0"/>
      <w:tabs>
        <w:tab w:val="clear" w:pos="794"/>
        <w:tab w:val="clear" w:pos="1191"/>
        <w:tab w:val="clear" w:pos="1588"/>
        <w:tab w:val="clear" w:pos="1985"/>
      </w:tabs>
      <w:overflowPunct/>
      <w:autoSpaceDE/>
      <w:autoSpaceDN/>
      <w:adjustRightInd/>
      <w:spacing w:before="120" w:after="120"/>
      <w:ind w:left="0" w:firstLine="0"/>
      <w:jc w:val="left"/>
      <w:textAlignment w:val="auto"/>
    </w:pPr>
    <w:rPr>
      <w:rFonts w:ascii="Verdana" w:eastAsia="SimHei" w:hAnsi="Verdana" w:cs="Simplified Arabic"/>
      <w:bCs/>
      <w:sz w:val="19"/>
      <w:szCs w:val="28"/>
      <w:lang w:eastAsia="zh-CN"/>
    </w:rPr>
  </w:style>
  <w:style w:type="paragraph" w:customStyle="1" w:styleId="CEOindent-abc">
    <w:name w:val="CEO_indent-abc"/>
    <w:basedOn w:val="Normal"/>
    <w:rsid w:val="00ED0881"/>
    <w:pPr>
      <w:numPr>
        <w:ilvl w:val="1"/>
        <w:numId w:val="37"/>
      </w:numPr>
      <w:tabs>
        <w:tab w:val="clear" w:pos="794"/>
        <w:tab w:val="clear" w:pos="1191"/>
        <w:tab w:val="clear" w:pos="1588"/>
        <w:tab w:val="clear" w:pos="1985"/>
      </w:tabs>
      <w:overflowPunct/>
      <w:autoSpaceDE/>
      <w:autoSpaceDN/>
      <w:adjustRightInd/>
      <w:spacing w:before="0"/>
      <w:jc w:val="left"/>
      <w:textAlignment w:val="auto"/>
    </w:pPr>
    <w:rPr>
      <w:rFonts w:ascii="Verdana" w:eastAsia="SimHei" w:hAnsi="Verdana" w:cs="Traditional Arabic"/>
      <w:bCs/>
      <w:sz w:val="18"/>
      <w:szCs w:val="28"/>
    </w:rPr>
  </w:style>
  <w:style w:type="paragraph" w:customStyle="1" w:styleId="Figuretitle0">
    <w:name w:val="Figure_title"/>
    <w:basedOn w:val="Normal"/>
    <w:next w:val="Normal"/>
    <w:rsid w:val="0045059C"/>
    <w:pPr>
      <w:keepLines/>
      <w:spacing w:before="0" w:after="120"/>
      <w:jc w:val="center"/>
    </w:pPr>
    <w:rPr>
      <w:b/>
      <w:sz w:val="24"/>
    </w:rPr>
  </w:style>
  <w:style w:type="character" w:customStyle="1" w:styleId="enumlev1Char">
    <w:name w:val="enumlev1 Char"/>
    <w:basedOn w:val="DefaultParagraphFont"/>
    <w:link w:val="enumlev1"/>
    <w:rsid w:val="00744FCC"/>
    <w:rPr>
      <w:rFonts w:ascii="Times New Roman" w:hAnsi="Times New Roman"/>
      <w:sz w:val="22"/>
      <w:lang w:val="en-GB" w:eastAsia="en-US"/>
    </w:rPr>
  </w:style>
  <w:style w:type="paragraph" w:customStyle="1" w:styleId="CEOHeading3">
    <w:name w:val="CEO_Heading 3"/>
    <w:basedOn w:val="CEONormal"/>
    <w:link w:val="CEOHeading3Char"/>
    <w:autoRedefine/>
    <w:rsid w:val="00FA3243"/>
    <w:pPr>
      <w:spacing w:after="120"/>
    </w:pPr>
    <w:rPr>
      <w:b/>
      <w:bCs/>
    </w:rPr>
  </w:style>
  <w:style w:type="character" w:customStyle="1" w:styleId="CEOHeading3Char">
    <w:name w:val="CEO_Heading 3 Char"/>
    <w:basedOn w:val="CEONormalChar"/>
    <w:link w:val="CEOHeading3"/>
    <w:rsid w:val="00FA3243"/>
    <w:rPr>
      <w:b/>
      <w:bCs/>
    </w:rPr>
  </w:style>
  <w:style w:type="paragraph" w:customStyle="1" w:styleId="CEOHeading4">
    <w:name w:val="CEO_Heading 4"/>
    <w:basedOn w:val="Normal"/>
    <w:next w:val="CEONormal"/>
    <w:link w:val="CEOHeading4Char"/>
    <w:rsid w:val="00FA3243"/>
    <w:pPr>
      <w:tabs>
        <w:tab w:val="clear" w:pos="794"/>
        <w:tab w:val="clear" w:pos="1191"/>
        <w:tab w:val="clear" w:pos="1588"/>
        <w:tab w:val="clear" w:pos="1985"/>
      </w:tabs>
      <w:overflowPunct/>
      <w:autoSpaceDE/>
      <w:autoSpaceDN/>
      <w:adjustRightInd/>
      <w:spacing w:after="120"/>
      <w:jc w:val="left"/>
      <w:textAlignment w:val="auto"/>
      <w:outlineLvl w:val="3"/>
    </w:pPr>
    <w:rPr>
      <w:rFonts w:ascii="Verdana" w:eastAsia="SimHei" w:hAnsi="Verdana" w:cs="Simplified Arabic"/>
      <w:bCs/>
      <w:sz w:val="18"/>
      <w:szCs w:val="28"/>
      <w:lang w:eastAsia="zh-CN"/>
    </w:rPr>
  </w:style>
  <w:style w:type="character" w:customStyle="1" w:styleId="CEOHeading4Char">
    <w:name w:val="CEO_Heading 4 Char"/>
    <w:basedOn w:val="DefaultParagraphFont"/>
    <w:link w:val="CEOHeading4"/>
    <w:rsid w:val="00FA3243"/>
    <w:rPr>
      <w:rFonts w:ascii="Verdana" w:eastAsia="SimHei" w:hAnsi="Verdana" w:cs="Simplified Arabic"/>
      <w:bCs/>
      <w:sz w:val="18"/>
      <w:szCs w:val="28"/>
      <w:lang w:val="en-GB"/>
    </w:rPr>
  </w:style>
  <w:style w:type="paragraph" w:customStyle="1" w:styleId="CEOHeader1">
    <w:name w:val="CEO_Header1"/>
    <w:basedOn w:val="Normal"/>
    <w:rsid w:val="00B93266"/>
    <w:pPr>
      <w:tabs>
        <w:tab w:val="clear" w:pos="794"/>
        <w:tab w:val="clear" w:pos="1191"/>
        <w:tab w:val="clear" w:pos="1588"/>
        <w:tab w:val="clear" w:pos="1985"/>
        <w:tab w:val="num" w:pos="720"/>
      </w:tabs>
      <w:overflowPunct/>
      <w:autoSpaceDE/>
      <w:autoSpaceDN/>
      <w:adjustRightInd/>
      <w:spacing w:before="0"/>
      <w:ind w:left="720" w:hanging="720"/>
      <w:jc w:val="left"/>
      <w:textAlignment w:val="auto"/>
    </w:pPr>
    <w:rPr>
      <w:rFonts w:ascii="Verdana" w:eastAsia="SimHei" w:hAnsi="Verdana" w:cs="Simplified Arabic"/>
      <w:bCs/>
      <w:sz w:val="19"/>
      <w:szCs w:val="19"/>
      <w:lang w:val="en-US"/>
    </w:rPr>
  </w:style>
  <w:style w:type="paragraph" w:customStyle="1" w:styleId="CEOParagraph111">
    <w:name w:val="CEO_Paragraph1.1.1"/>
    <w:basedOn w:val="Heading3"/>
    <w:link w:val="CEOParagraph111Char"/>
    <w:rsid w:val="00B93266"/>
    <w:pPr>
      <w:keepNext w:val="0"/>
      <w:keepLines w:val="0"/>
      <w:numPr>
        <w:ilvl w:val="2"/>
      </w:numPr>
      <w:tabs>
        <w:tab w:val="clear" w:pos="794"/>
        <w:tab w:val="clear" w:pos="1191"/>
        <w:tab w:val="clear" w:pos="1588"/>
        <w:tab w:val="clear" w:pos="1985"/>
        <w:tab w:val="num" w:pos="1418"/>
      </w:tabs>
      <w:overflowPunct/>
      <w:autoSpaceDE/>
      <w:autoSpaceDN/>
      <w:adjustRightInd/>
      <w:spacing w:before="0"/>
      <w:ind w:left="1418" w:hanging="851"/>
      <w:jc w:val="left"/>
      <w:textAlignment w:val="auto"/>
    </w:pPr>
    <w:rPr>
      <w:rFonts w:ascii="Verdana" w:eastAsia="SimHei" w:hAnsi="Verdana" w:cs="Simplified Arabic"/>
      <w:b w:val="0"/>
      <w:sz w:val="19"/>
      <w:szCs w:val="28"/>
      <w:lang w:eastAsia="zh-CN"/>
    </w:rPr>
  </w:style>
  <w:style w:type="character" w:customStyle="1" w:styleId="CEOParagraph111Char">
    <w:name w:val="CEO_Paragraph1.1.1 Char"/>
    <w:basedOn w:val="DefaultParagraphFont"/>
    <w:link w:val="CEOParagraph111"/>
    <w:rsid w:val="00B93266"/>
    <w:rPr>
      <w:rFonts w:ascii="Verdana" w:eastAsia="SimHei" w:hAnsi="Verdana" w:cs="Simplified Arabic"/>
      <w:sz w:val="19"/>
      <w:szCs w:val="28"/>
      <w:lang w:val="en-GB"/>
    </w:rPr>
  </w:style>
  <w:style w:type="character" w:customStyle="1" w:styleId="HeadingbChar">
    <w:name w:val="Heading_b Char"/>
    <w:basedOn w:val="DefaultParagraphFont"/>
    <w:link w:val="Headingb"/>
    <w:rsid w:val="00B93266"/>
    <w:rPr>
      <w:rFonts w:ascii="Times New Roman" w:hAnsi="Times New Roman"/>
      <w:b/>
      <w:sz w:val="22"/>
      <w:lang w:val="en-GB" w:eastAsia="en-US"/>
    </w:rPr>
  </w:style>
  <w:style w:type="paragraph" w:customStyle="1" w:styleId="CEOHeadingb">
    <w:name w:val="CEO_Heading_b"/>
    <w:basedOn w:val="Headingb"/>
    <w:next w:val="CEONormal"/>
    <w:autoRedefine/>
    <w:rsid w:val="00570C3A"/>
    <w:pPr>
      <w:jc w:val="left"/>
    </w:pPr>
    <w:rPr>
      <w:rFonts w:ascii="Verdana" w:hAnsi="Verdana"/>
      <w:sz w:val="19"/>
    </w:rPr>
  </w:style>
  <w:style w:type="character" w:customStyle="1" w:styleId="A4">
    <w:name w:val="A4"/>
    <w:rsid w:val="002422D2"/>
    <w:rPr>
      <w:rFonts w:cs="Futura Std Book"/>
      <w:color w:val="000000"/>
      <w:sz w:val="11"/>
      <w:szCs w:val="11"/>
    </w:rPr>
  </w:style>
  <w:style w:type="paragraph" w:customStyle="1" w:styleId="CEOcontributionH1">
    <w:name w:val="CEO_contributionH1"/>
    <w:basedOn w:val="CEOcontribution-H123"/>
    <w:next w:val="CEONormal"/>
    <w:rsid w:val="00F64114"/>
    <w:pPr>
      <w:keepNext/>
      <w:keepLines/>
      <w:tabs>
        <w:tab w:val="clear" w:pos="720"/>
      </w:tabs>
      <w:spacing w:before="480"/>
      <w:ind w:left="0" w:firstLine="0"/>
    </w:pPr>
  </w:style>
  <w:style w:type="character" w:styleId="Strong">
    <w:name w:val="Strong"/>
    <w:basedOn w:val="DefaultParagraphFont"/>
    <w:qFormat/>
    <w:rsid w:val="00F64114"/>
    <w:rPr>
      <w:b/>
      <w:bCs/>
    </w:rPr>
  </w:style>
  <w:style w:type="paragraph" w:customStyle="1" w:styleId="CEOHeader4">
    <w:name w:val="CEO_Header 4"/>
    <w:basedOn w:val="CEOHeader1"/>
    <w:autoRedefine/>
    <w:rsid w:val="003212E5"/>
    <w:pPr>
      <w:tabs>
        <w:tab w:val="clear" w:pos="720"/>
      </w:tabs>
      <w:spacing w:before="120" w:after="120"/>
      <w:ind w:left="0" w:firstLine="0"/>
    </w:pPr>
  </w:style>
  <w:style w:type="paragraph" w:styleId="EnvelopeAddress">
    <w:name w:val="envelope address"/>
    <w:basedOn w:val="CEONormal"/>
    <w:next w:val="CEONormal"/>
    <w:rsid w:val="00881351"/>
    <w:pPr>
      <w:framePr w:w="7920" w:h="1980" w:hRule="exact" w:hSpace="180" w:wrap="auto" w:hAnchor="page" w:xAlign="center" w:yAlign="bottom"/>
      <w:spacing w:before="120" w:after="120"/>
      <w:ind w:left="2880"/>
    </w:pPr>
    <w:rPr>
      <w:rFonts w:cs="Arial"/>
      <w:sz w:val="24"/>
      <w:szCs w:val="24"/>
    </w:rPr>
  </w:style>
  <w:style w:type="character" w:styleId="HTMLTypewriter">
    <w:name w:val="HTML Typewriter"/>
    <w:basedOn w:val="DefaultParagraphFont"/>
    <w:rsid w:val="00A3694C"/>
    <w:rPr>
      <w:rFonts w:ascii="Courier New" w:hAnsi="Courier New" w:cs="Courier New"/>
      <w:sz w:val="20"/>
      <w:szCs w:val="20"/>
    </w:rPr>
  </w:style>
  <w:style w:type="character" w:customStyle="1" w:styleId="NormalaftertitleChar">
    <w:name w:val="Normal_after_title Char"/>
    <w:basedOn w:val="DefaultParagraphFont"/>
    <w:link w:val="Normalaftertitle"/>
    <w:locked/>
    <w:rsid w:val="007938AB"/>
    <w:rPr>
      <w:rFonts w:ascii="Times New Roman" w:hAnsi="Times New Roman"/>
      <w:sz w:val="22"/>
      <w:lang w:val="en-GB" w:eastAsia="en-US"/>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itu.int/itudoc/itu-d/question/studygr2/87040.html" TargetMode="External"/><Relationship Id="rId26" Type="http://schemas.openxmlformats.org/officeDocument/2006/relationships/oleObject" Target="embeddings/oleObject3.bin"/><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1.png"/><Relationship Id="rId42" Type="http://schemas.openxmlformats.org/officeDocument/2006/relationships/hyperlink" Target="http://www.itu.int/md/R07-IMT.ADV-C-0002/en" TargetMode="External"/><Relationship Id="rId47"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wmf"/><Relationship Id="rId29" Type="http://schemas.openxmlformats.org/officeDocument/2006/relationships/image" Target="media/image8.emf"/><Relationship Id="rId41" Type="http://schemas.openxmlformats.org/officeDocument/2006/relationships/hyperlink" Target="http://www.wimaxforum.org/resources/documents/marketing/casestud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www.itu.int/publ/R-REP-M.2135-2008/en"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emf"/><Relationship Id="rId28" Type="http://schemas.openxmlformats.org/officeDocument/2006/relationships/oleObject" Target="embeddings/oleObject4.bin"/><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itu.int/UIT-D/IMT-2000/ProgressStatus_textIMT2000.PDF" TargetMode="External"/><Relationship Id="rId31" Type="http://schemas.openxmlformats.org/officeDocument/2006/relationships/image" Target="media/image9.emf"/><Relationship Id="rId44" Type="http://schemas.openxmlformats.org/officeDocument/2006/relationships/hyperlink" Target="http://www.itu.int/publ/R-REP-M.2134-2008/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4.wmf"/><Relationship Id="rId27" Type="http://schemas.openxmlformats.org/officeDocument/2006/relationships/image" Target="media/image7.wmf"/><Relationship Id="rId30" Type="http://schemas.openxmlformats.org/officeDocument/2006/relationships/oleObject" Target="embeddings/oleObject5.bin"/><Relationship Id="rId35" Type="http://schemas.openxmlformats.org/officeDocument/2006/relationships/image" Target="media/image12.png"/><Relationship Id="rId43" Type="http://schemas.openxmlformats.org/officeDocument/2006/relationships/hyperlink" Target="http://www.itu.int/publ/R-REP-M.2133-2008/en" TargetMode="External"/><Relationship Id="rId48" Type="http://schemas.openxmlformats.org/officeDocument/2006/relationships/fontTable" Target="fontTable.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file:///C:\Documents%20and%20Settings\fernando\Escritorio\www.openmobileallianc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F54DC-9CD3-429C-B065-748235FD9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363</TotalTime>
  <Pages>52</Pages>
  <Words>23025</Words>
  <Characters>129179</Characters>
  <Application>Microsoft Office Word</Application>
  <DocSecurity>0</DocSecurity>
  <Lines>1076</Lines>
  <Paragraphs>303</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151901</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lucasi</cp:lastModifiedBy>
  <cp:revision>81</cp:revision>
  <cp:lastPrinted>2010-02-19T09:56:00Z</cp:lastPrinted>
  <dcterms:created xsi:type="dcterms:W3CDTF">2010-04-14T08:12:00Z</dcterms:created>
  <dcterms:modified xsi:type="dcterms:W3CDTF">2010-04-29T13:36:00Z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