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965" w:rsidRDefault="00E03965" w:rsidP="00E03965">
      <w:pPr>
        <w:rPr>
          <w:lang w:val="en-US" w:eastAsia="zh-CN"/>
        </w:rPr>
      </w:pPr>
      <w:bookmarkStart w:id="0" w:name="_Toc320695025"/>
      <w:bookmarkStart w:id="1" w:name="_Toc320695348"/>
      <w:bookmarkStart w:id="2" w:name="_Toc303604611"/>
      <w:bookmarkStart w:id="3" w:name="_Toc303690909"/>
    </w:p>
    <w:p w:rsidR="00E03965" w:rsidRDefault="00E03965" w:rsidP="00E03965">
      <w:pPr>
        <w:rPr>
          <w:lang w:val="en-US" w:eastAsia="zh-CN"/>
        </w:rPr>
      </w:pPr>
    </w:p>
    <w:p w:rsidR="00E03965" w:rsidRDefault="00E03965" w:rsidP="00E03965">
      <w:pPr>
        <w:rPr>
          <w:lang w:val="en-US" w:eastAsia="zh-CN"/>
        </w:rPr>
      </w:pPr>
    </w:p>
    <w:p w:rsidR="00E03965" w:rsidRDefault="00E03965" w:rsidP="00E03965">
      <w:pPr>
        <w:rPr>
          <w:lang w:val="en-US" w:eastAsia="zh-CN"/>
        </w:rPr>
      </w:pPr>
    </w:p>
    <w:p w:rsidR="00E03965" w:rsidRDefault="00E03965" w:rsidP="00E03965">
      <w:pPr>
        <w:pStyle w:val="QuestionNo"/>
        <w:rPr>
          <w:lang w:eastAsia="zh-CN"/>
        </w:rPr>
      </w:pPr>
      <w:r>
        <w:rPr>
          <w:rFonts w:hint="eastAsia"/>
          <w:lang w:eastAsia="zh-CN"/>
        </w:rPr>
        <w:t>第</w:t>
      </w:r>
      <w:r>
        <w:rPr>
          <w:rFonts w:hint="eastAsia"/>
          <w:lang w:eastAsia="zh-CN"/>
        </w:rPr>
        <w:t>23/1</w:t>
      </w:r>
      <w:r>
        <w:rPr>
          <w:rFonts w:hint="eastAsia"/>
          <w:lang w:eastAsia="zh-CN"/>
        </w:rPr>
        <w:t>号课题</w:t>
      </w:r>
    </w:p>
    <w:p w:rsidR="00E03965" w:rsidRDefault="00E03965" w:rsidP="00E03965">
      <w:pPr>
        <w:pStyle w:val="QuestionTitle"/>
        <w:rPr>
          <w:lang w:eastAsia="zh-CN"/>
        </w:rPr>
      </w:pPr>
      <w:r>
        <w:rPr>
          <w:rFonts w:hint="eastAsia"/>
          <w:lang w:eastAsia="zh-CN"/>
        </w:rPr>
        <w:t>与人体电磁场暴露相关的战略和政策</w:t>
      </w: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CB08AD">
      <w:pPr>
        <w:jc w:val="right"/>
        <w:rPr>
          <w:lang w:val="en-US"/>
        </w:rPr>
      </w:pPr>
      <w:r>
        <w:rPr>
          <w:noProof/>
          <w:lang w:val="en-US" w:eastAsia="zh-CN"/>
        </w:rPr>
        <w:drawing>
          <wp:inline distT="0" distB="0" distL="0" distR="0" wp14:anchorId="1BDD21C7" wp14:editId="0D658C37">
            <wp:extent cx="723900" cy="819150"/>
            <wp:effectExtent l="0" t="0" r="0" b="0"/>
            <wp:docPr id="4" name="Picture 11" descr="sigleITU.jpg"/>
            <wp:cNvGraphicFramePr/>
            <a:graphic xmlns:a="http://schemas.openxmlformats.org/drawingml/2006/main">
              <a:graphicData uri="http://schemas.openxmlformats.org/drawingml/2006/picture">
                <pic:pic xmlns:pic="http://schemas.openxmlformats.org/drawingml/2006/picture">
                  <pic:nvPicPr>
                    <pic:cNvPr id="2" name="Picture 11" descr="sigleITU.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inline>
        </w:drawing>
      </w:r>
      <w:r>
        <w:rPr>
          <w:lang w:val="en-US"/>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E03965" w:rsidRPr="00167EA6" w:rsidTr="00C52C1C">
        <w:tc>
          <w:tcPr>
            <w:tcW w:w="9072" w:type="dxa"/>
            <w:shd w:val="clear" w:color="auto" w:fill="E8F8FD"/>
          </w:tcPr>
          <w:p w:rsidR="00091C56" w:rsidRDefault="00091C56" w:rsidP="00091C56">
            <w:pPr>
              <w:pStyle w:val="HeadingB"/>
              <w:rPr>
                <w:lang w:eastAsia="zh-CN"/>
              </w:rPr>
            </w:pPr>
            <w:r>
              <w:rPr>
                <w:rFonts w:hint="eastAsia"/>
                <w:lang w:eastAsia="zh-CN"/>
              </w:rPr>
              <w:lastRenderedPageBreak/>
              <w:t xml:space="preserve">ITU-D </w:t>
            </w:r>
            <w:r>
              <w:rPr>
                <w:rFonts w:hint="eastAsia"/>
                <w:lang w:eastAsia="zh-CN"/>
              </w:rPr>
              <w:t>研究组</w:t>
            </w:r>
          </w:p>
          <w:p w:rsidR="00091C56" w:rsidRDefault="00091C56" w:rsidP="00091C56">
            <w:pPr>
              <w:rPr>
                <w:lang w:eastAsia="zh-CN"/>
              </w:rPr>
            </w:pPr>
            <w:r>
              <w:rPr>
                <w:rFonts w:hint="eastAsia"/>
                <w:lang w:eastAsia="zh-CN"/>
              </w:rPr>
              <w:t>作为电信发展局知识共享和能力建设议程的后盾，</w:t>
            </w:r>
            <w:r>
              <w:rPr>
                <w:rFonts w:hint="eastAsia"/>
                <w:lang w:eastAsia="zh-CN"/>
              </w:rPr>
              <w:t>ITU-D</w:t>
            </w:r>
            <w:r>
              <w:rPr>
                <w:rFonts w:hint="eastAsia"/>
                <w:lang w:eastAsia="zh-CN"/>
              </w:rPr>
              <w:t>研究组支持各国实现其发展目标。通过推动为减贫和经济社会发展进行</w:t>
            </w:r>
            <w:r>
              <w:rPr>
                <w:rFonts w:hint="eastAsia"/>
                <w:lang w:eastAsia="zh-CN"/>
              </w:rPr>
              <w:t>ICT</w:t>
            </w:r>
            <w:r>
              <w:rPr>
                <w:rFonts w:hint="eastAsia"/>
                <w:lang w:eastAsia="zh-CN"/>
              </w:rPr>
              <w:t>知识的创建、共享和运用，</w:t>
            </w:r>
            <w:r>
              <w:rPr>
                <w:rFonts w:hint="eastAsia"/>
                <w:lang w:eastAsia="zh-CN"/>
              </w:rPr>
              <w:t>ITU-D</w:t>
            </w:r>
            <w:r>
              <w:rPr>
                <w:rFonts w:hint="eastAsia"/>
                <w:lang w:eastAsia="zh-CN"/>
              </w:rPr>
              <w:t>研究组鼓励为成员国创作条件，利用知识更有效地实现其发展目标。</w:t>
            </w:r>
          </w:p>
          <w:p w:rsidR="00091C56" w:rsidRDefault="00091C56" w:rsidP="00091C56">
            <w:pPr>
              <w:pStyle w:val="HeadingB"/>
              <w:rPr>
                <w:lang w:eastAsia="zh-CN"/>
              </w:rPr>
            </w:pPr>
            <w:r>
              <w:rPr>
                <w:rFonts w:hint="eastAsia"/>
                <w:lang w:eastAsia="zh-CN"/>
              </w:rPr>
              <w:t>知识平台</w:t>
            </w:r>
          </w:p>
          <w:p w:rsidR="00091C56" w:rsidRDefault="00091C56" w:rsidP="00091C56">
            <w:pPr>
              <w:rPr>
                <w:lang w:eastAsia="zh-CN"/>
              </w:rPr>
            </w:pPr>
            <w:r>
              <w:rPr>
                <w:rFonts w:hint="eastAsia"/>
                <w:lang w:eastAsia="zh-CN"/>
              </w:rPr>
              <w:t>ITU-D</w:t>
            </w:r>
            <w:r>
              <w:rPr>
                <w:rFonts w:hint="eastAsia"/>
                <w:lang w:eastAsia="zh-CN"/>
              </w:rPr>
              <w:t>研究组通过的输出成果和相关参考资料，被用于</w:t>
            </w:r>
            <w:r>
              <w:rPr>
                <w:rFonts w:hint="eastAsia"/>
                <w:lang w:eastAsia="zh-CN"/>
              </w:rPr>
              <w:t>193</w:t>
            </w:r>
            <w:r>
              <w:rPr>
                <w:rFonts w:hint="eastAsia"/>
                <w:lang w:eastAsia="zh-CN"/>
              </w:rPr>
              <w:t>个国际电联成员国的政策、战略、项目和特别举措的落实工作。这些活动还有助于巩固成员的知识共享基础。</w:t>
            </w:r>
          </w:p>
          <w:p w:rsidR="00091C56" w:rsidRDefault="00091C56" w:rsidP="00091C56">
            <w:pPr>
              <w:pStyle w:val="HeadingB"/>
              <w:rPr>
                <w:lang w:eastAsia="zh-CN"/>
              </w:rPr>
            </w:pPr>
            <w:r>
              <w:rPr>
                <w:rFonts w:hint="eastAsia"/>
                <w:lang w:eastAsia="zh-CN"/>
              </w:rPr>
              <w:t>信息交换和知识共享中枢</w:t>
            </w:r>
          </w:p>
          <w:p w:rsidR="00091C56" w:rsidRDefault="00091C56" w:rsidP="00091C56">
            <w:pPr>
              <w:rPr>
                <w:lang w:eastAsia="zh-CN"/>
              </w:rPr>
            </w:pPr>
            <w:r>
              <w:rPr>
                <w:rFonts w:hint="eastAsia"/>
                <w:lang w:eastAsia="zh-CN"/>
              </w:rPr>
              <w:t>共同关心议题的共享是通过面对面会议、电子论坛和远程与会，在鼓励公开讨论和信息交流的气氛中实现的。</w:t>
            </w:r>
          </w:p>
          <w:p w:rsidR="00091C56" w:rsidRDefault="00091C56" w:rsidP="00091C56">
            <w:pPr>
              <w:pStyle w:val="HeadingB"/>
              <w:rPr>
                <w:lang w:eastAsia="zh-CN"/>
              </w:rPr>
            </w:pPr>
            <w:r>
              <w:rPr>
                <w:rFonts w:hint="eastAsia"/>
                <w:lang w:eastAsia="zh-CN"/>
              </w:rPr>
              <w:t>信息存储库</w:t>
            </w:r>
          </w:p>
          <w:p w:rsidR="00091C56" w:rsidRDefault="00091C56" w:rsidP="00091C56">
            <w:pPr>
              <w:rPr>
                <w:lang w:eastAsia="zh-CN"/>
              </w:rPr>
            </w:pPr>
            <w:r>
              <w:rPr>
                <w:rFonts w:hint="eastAsia"/>
                <w:lang w:eastAsia="zh-CN"/>
              </w:rPr>
              <w:t>研究组成员根据收到的供审议的输入文件起草报告、导则、最佳做法和建议书。信息通过调查、文稿和案例研究采集，并通过内容管理和网络发布工具提供成员方便地使用。</w:t>
            </w:r>
          </w:p>
          <w:p w:rsidR="00091C56" w:rsidRDefault="00091C56" w:rsidP="00091C56">
            <w:pPr>
              <w:pStyle w:val="HeadingB"/>
              <w:rPr>
                <w:lang w:eastAsia="zh-CN"/>
              </w:rPr>
            </w:pPr>
            <w:r>
              <w:rPr>
                <w:rFonts w:hint="eastAsia"/>
                <w:lang w:eastAsia="zh-CN"/>
              </w:rPr>
              <w:t>第</w:t>
            </w:r>
            <w:r>
              <w:rPr>
                <w:rFonts w:hint="eastAsia"/>
                <w:lang w:eastAsia="zh-CN"/>
              </w:rPr>
              <w:t>1</w:t>
            </w:r>
            <w:r>
              <w:rPr>
                <w:rFonts w:hint="eastAsia"/>
                <w:lang w:eastAsia="zh-CN"/>
              </w:rPr>
              <w:t>研究组</w:t>
            </w:r>
          </w:p>
          <w:p w:rsidR="00091C56" w:rsidRDefault="00091C56" w:rsidP="00091C56">
            <w:pPr>
              <w:rPr>
                <w:lang w:eastAsia="zh-CN"/>
              </w:rPr>
            </w:pPr>
            <w:r>
              <w:rPr>
                <w:rFonts w:hint="eastAsia"/>
                <w:lang w:eastAsia="zh-CN"/>
              </w:rPr>
              <w:t>2010-2014</w:t>
            </w:r>
            <w:r>
              <w:rPr>
                <w:rFonts w:hint="eastAsia"/>
                <w:lang w:eastAsia="zh-CN"/>
              </w:rPr>
              <w:t>年研究期，第</w:t>
            </w:r>
            <w:r>
              <w:rPr>
                <w:rFonts w:hint="eastAsia"/>
                <w:lang w:eastAsia="zh-CN"/>
              </w:rPr>
              <w:t>1</w:t>
            </w:r>
            <w:r>
              <w:rPr>
                <w:rFonts w:hint="eastAsia"/>
                <w:lang w:eastAsia="zh-CN"/>
              </w:rPr>
              <w:t>研究组受命研究有关有利环境、网络安全、</w:t>
            </w:r>
            <w:r>
              <w:rPr>
                <w:rFonts w:hint="eastAsia"/>
                <w:lang w:eastAsia="zh-CN"/>
              </w:rPr>
              <w:t>ICT</w:t>
            </w:r>
            <w:r>
              <w:rPr>
                <w:rFonts w:hint="eastAsia"/>
                <w:lang w:eastAsia="zh-CN"/>
              </w:rPr>
              <w:t>应用和互联网相关问题领域的九个课题。工作重点是最有利于各国从电信</w:t>
            </w:r>
            <w:r>
              <w:rPr>
                <w:rFonts w:hint="eastAsia"/>
                <w:lang w:eastAsia="zh-CN"/>
              </w:rPr>
              <w:t>/ICT</w:t>
            </w:r>
            <w:r>
              <w:rPr>
                <w:rFonts w:hint="eastAsia"/>
                <w:lang w:eastAsia="zh-CN"/>
              </w:rPr>
              <w:t>推动持续发展、创造就业、经济社会和文化发展中受益的国家电信政策和战略，同时考虑到发展中国家的优先问题。此项工作包括电信</w:t>
            </w:r>
            <w:r>
              <w:rPr>
                <w:rFonts w:hint="eastAsia"/>
                <w:lang w:eastAsia="zh-CN"/>
              </w:rPr>
              <w:t>/ICT</w:t>
            </w:r>
            <w:r>
              <w:rPr>
                <w:rFonts w:hint="eastAsia"/>
                <w:lang w:eastAsia="zh-CN"/>
              </w:rPr>
              <w:t>的接入政策，特别是残疾人和有特殊需要的人们的无障碍获取，以及电信</w:t>
            </w:r>
            <w:r>
              <w:rPr>
                <w:rFonts w:hint="eastAsia"/>
                <w:lang w:eastAsia="zh-CN"/>
              </w:rPr>
              <w:t>/ICT</w:t>
            </w:r>
            <w:r>
              <w:rPr>
                <w:rFonts w:hint="eastAsia"/>
                <w:lang w:eastAsia="zh-CN"/>
              </w:rPr>
              <w:t>的网络安全。此外，本组的工作还侧重于下一代网络的资费政策和资费模式、融合问题、宽带固定和移动业务的普遍接入、影响分析和成本与结算原则的应用，同时兼顾</w:t>
            </w:r>
            <w:r>
              <w:rPr>
                <w:rFonts w:hint="eastAsia"/>
                <w:lang w:eastAsia="zh-CN"/>
              </w:rPr>
              <w:t>ITU-T</w:t>
            </w:r>
            <w:r>
              <w:rPr>
                <w:rFonts w:hint="eastAsia"/>
                <w:lang w:eastAsia="zh-CN"/>
              </w:rPr>
              <w:t>和</w:t>
            </w:r>
            <w:r>
              <w:rPr>
                <w:rFonts w:hint="eastAsia"/>
                <w:lang w:eastAsia="zh-CN"/>
              </w:rPr>
              <w:t>ITU-R</w:t>
            </w:r>
            <w:r>
              <w:rPr>
                <w:rFonts w:hint="eastAsia"/>
                <w:lang w:eastAsia="zh-CN"/>
              </w:rPr>
              <w:t>部门开展的研究以及发展中国家的优先事宜。</w:t>
            </w:r>
          </w:p>
          <w:p w:rsidR="00091C56" w:rsidRDefault="00091C56" w:rsidP="00091C56">
            <w:pPr>
              <w:rPr>
                <w:lang w:eastAsia="zh-CN"/>
              </w:rPr>
            </w:pPr>
            <w:r>
              <w:rPr>
                <w:rFonts w:hint="eastAsia"/>
                <w:lang w:eastAsia="zh-CN"/>
              </w:rPr>
              <w:t>本报告是由来自不同主管部门和组织的众多志愿人员编写的。文中提到了某些公司或产品，但这并不意味着它们得到了国际电联的认可或推崇。文中表述的仅为作者的意见，与国际电联无关。</w:t>
            </w:r>
          </w:p>
          <w:p w:rsidR="00E03965" w:rsidRPr="00EC56BA" w:rsidRDefault="00E03965" w:rsidP="00091C56">
            <w:pPr>
              <w:rPr>
                <w:lang w:val="en-US" w:eastAsia="zh-CN"/>
              </w:rPr>
            </w:pPr>
          </w:p>
        </w:tc>
      </w:tr>
    </w:tbl>
    <w:p w:rsidR="00E03965" w:rsidRDefault="00E03965" w:rsidP="00E03965">
      <w:pPr>
        <w:rPr>
          <w:lang w:val="en-GB" w:eastAsia="zh-CN"/>
        </w:rPr>
      </w:pPr>
    </w:p>
    <w:p w:rsidR="00E03965" w:rsidRDefault="00E03965" w:rsidP="00E03965">
      <w:pPr>
        <w:rPr>
          <w:lang w:val="en-US" w:eastAsia="zh-CN"/>
        </w:rPr>
      </w:pPr>
    </w:p>
    <w:p w:rsidR="00E44532" w:rsidRDefault="00E44532" w:rsidP="00E03965">
      <w:pPr>
        <w:rPr>
          <w:lang w:val="en-US" w:eastAsia="zh-CN"/>
        </w:rPr>
      </w:pPr>
    </w:p>
    <w:p w:rsidR="00E03965" w:rsidRDefault="00E03965" w:rsidP="00E03965">
      <w:pPr>
        <w:rPr>
          <w:lang w:val="en-US" w:eastAsia="zh-CN"/>
        </w:rPr>
      </w:pPr>
    </w:p>
    <w:p w:rsidR="00E44532" w:rsidRPr="00E03965" w:rsidRDefault="00E44532" w:rsidP="00E03965">
      <w:pPr>
        <w:rPr>
          <w:lang w:val="en-US" w:eastAsia="zh-CN"/>
        </w:rPr>
      </w:pPr>
    </w:p>
    <w:p w:rsidR="00E03965" w:rsidRPr="00E03965" w:rsidRDefault="00E03965" w:rsidP="00E03965">
      <w:pPr>
        <w:rPr>
          <w:lang w:val="en-US" w:eastAsia="zh-CN"/>
        </w:rPr>
      </w:pPr>
    </w:p>
    <w:p w:rsidR="00E03965" w:rsidRPr="00E03965" w:rsidRDefault="00E03965" w:rsidP="00E03965">
      <w:pPr>
        <w:jc w:val="center"/>
        <w:rPr>
          <w:lang w:val="en-US" w:eastAsia="zh-CN"/>
        </w:rPr>
      </w:pPr>
      <w:r w:rsidRPr="00E03965">
        <w:rPr>
          <w:rFonts w:ascii="Symbol" w:hAnsi="Symbol"/>
          <w:lang w:eastAsia="zh-CN"/>
        </w:rPr>
        <w:t></w:t>
      </w:r>
      <w:r w:rsidRPr="00E03965">
        <w:rPr>
          <w:lang w:val="en-US" w:eastAsia="zh-CN"/>
        </w:rPr>
        <w:t xml:space="preserve"> ITU 2014</w:t>
      </w:r>
    </w:p>
    <w:p w:rsidR="00E03965" w:rsidRDefault="00E44532" w:rsidP="00E44532">
      <w:pPr>
        <w:rPr>
          <w:lang w:val="en-US" w:eastAsia="zh-CN"/>
        </w:rPr>
        <w:sectPr w:rsidR="00E03965" w:rsidSect="00B1349F">
          <w:headerReference w:type="even" r:id="rId10"/>
          <w:headerReference w:type="default" r:id="rId11"/>
          <w:endnotePr>
            <w:numFmt w:val="decimal"/>
          </w:endnotePr>
          <w:type w:val="oddPage"/>
          <w:pgSz w:w="11907" w:h="16840" w:code="9"/>
          <w:pgMar w:top="1418" w:right="1418" w:bottom="1418" w:left="1418" w:header="709" w:footer="709" w:gutter="0"/>
          <w:pgNumType w:fmt="lowerRoman" w:start="3"/>
          <w:cols w:space="720"/>
          <w:titlePg/>
        </w:sectPr>
      </w:pPr>
      <w:r w:rsidRPr="00E44532">
        <w:rPr>
          <w:rFonts w:hint="eastAsia"/>
          <w:lang w:val="en-US" w:eastAsia="zh-CN"/>
        </w:rPr>
        <w:t>版权所有。未经国际电信联盟事先书面允许，本出版物的任何部分均不得以任何方式复制。</w:t>
      </w:r>
      <w:r w:rsidR="00E03965" w:rsidRPr="00E03965">
        <w:rPr>
          <w:lang w:val="en-US" w:eastAsia="zh-CN"/>
        </w:rPr>
        <w:t xml:space="preserve"> </w:t>
      </w:r>
    </w:p>
    <w:p w:rsidR="00E03965" w:rsidRPr="00E03965" w:rsidRDefault="00E03965" w:rsidP="00E03965">
      <w:pPr>
        <w:pStyle w:val="Chapttitle"/>
        <w:rPr>
          <w:lang w:eastAsia="zh-CN"/>
        </w:rPr>
      </w:pPr>
      <w:bookmarkStart w:id="4" w:name="_Toc377129285"/>
      <w:bookmarkStart w:id="5" w:name="_Toc377132341"/>
      <w:r>
        <w:rPr>
          <w:rFonts w:hint="eastAsia"/>
          <w:lang w:eastAsia="zh-CN"/>
        </w:rPr>
        <w:lastRenderedPageBreak/>
        <w:t>目录</w:t>
      </w:r>
      <w:bookmarkEnd w:id="4"/>
      <w:bookmarkEnd w:id="5"/>
    </w:p>
    <w:p w:rsidR="00E03965" w:rsidRPr="00E03965" w:rsidRDefault="00E03965" w:rsidP="00E03965">
      <w:pPr>
        <w:pStyle w:val="Toc0"/>
        <w:rPr>
          <w:lang w:eastAsia="zh-CN"/>
        </w:rPr>
      </w:pPr>
      <w:r w:rsidRPr="00E03965">
        <w:rPr>
          <w:rFonts w:hint="eastAsia"/>
          <w:lang w:eastAsia="zh-CN"/>
        </w:rPr>
        <w:tab/>
      </w:r>
      <w:r>
        <w:rPr>
          <w:rFonts w:hint="eastAsia"/>
          <w:lang w:eastAsia="zh-CN"/>
        </w:rPr>
        <w:t>页码</w:t>
      </w:r>
    </w:p>
    <w:p w:rsidR="009D7FFD" w:rsidRDefault="00DB519F" w:rsidP="00466AE5">
      <w:pPr>
        <w:pStyle w:val="TOC1"/>
        <w:rPr>
          <w:rFonts w:asciiTheme="minorHAnsi" w:eastAsiaTheme="minorEastAsia" w:hAnsiTheme="minorHAnsi" w:cstheme="minorBidi"/>
          <w:b w:val="0"/>
          <w:bCs w:val="0"/>
          <w:spacing w:val="0"/>
          <w:szCs w:val="22"/>
          <w:lang w:eastAsia="zh-CN"/>
        </w:rPr>
      </w:pPr>
      <w:r>
        <w:rPr>
          <w:lang w:eastAsia="zh-CN"/>
        </w:rPr>
        <w:fldChar w:fldCharType="begin"/>
      </w:r>
      <w:r>
        <w:rPr>
          <w:lang w:eastAsia="zh-CN"/>
        </w:rPr>
        <w:instrText xml:space="preserve"> TOC \o "1-3" \h \z \u </w:instrText>
      </w:r>
      <w:r>
        <w:rPr>
          <w:lang w:eastAsia="zh-CN"/>
        </w:rPr>
        <w:fldChar w:fldCharType="separate"/>
      </w:r>
      <w:hyperlink w:anchor="_Toc377132343" w:history="1">
        <w:r w:rsidR="009D7FFD" w:rsidRPr="00892861">
          <w:rPr>
            <w:rStyle w:val="Hyperlink"/>
            <w:lang w:eastAsia="zh-CN"/>
          </w:rPr>
          <w:t>1</w:t>
        </w:r>
        <w:r w:rsidR="009D7FFD">
          <w:rPr>
            <w:rFonts w:asciiTheme="minorHAnsi" w:eastAsiaTheme="minorEastAsia" w:hAnsiTheme="minorHAnsi" w:cstheme="minorBidi"/>
            <w:b w:val="0"/>
            <w:bCs w:val="0"/>
            <w:spacing w:val="0"/>
            <w:szCs w:val="22"/>
            <w:lang w:eastAsia="zh-CN"/>
          </w:rPr>
          <w:tab/>
        </w:r>
        <w:r w:rsidR="009D7FFD" w:rsidRPr="00892861">
          <w:rPr>
            <w:rStyle w:val="Hyperlink"/>
            <w:rFonts w:ascii="SimSun" w:hAnsi="SimSun" w:cs="SimSun" w:hint="eastAsia"/>
            <w:lang w:eastAsia="zh-CN"/>
          </w:rPr>
          <w:t>背景</w:t>
        </w:r>
        <w:r w:rsidR="009D7FFD">
          <w:rPr>
            <w:webHidden/>
          </w:rPr>
          <w:tab/>
        </w:r>
        <w:r w:rsidR="00466AE5">
          <w:rPr>
            <w:webHidden/>
          </w:rPr>
          <w:tab/>
        </w:r>
        <w:r w:rsidR="009D7FFD">
          <w:rPr>
            <w:webHidden/>
          </w:rPr>
          <w:fldChar w:fldCharType="begin"/>
        </w:r>
        <w:r w:rsidR="009D7FFD">
          <w:rPr>
            <w:webHidden/>
          </w:rPr>
          <w:instrText xml:space="preserve"> PAGEREF _Toc377132343 \h </w:instrText>
        </w:r>
        <w:r w:rsidR="009D7FFD">
          <w:rPr>
            <w:webHidden/>
          </w:rPr>
        </w:r>
        <w:r w:rsidR="009D7FFD">
          <w:rPr>
            <w:webHidden/>
          </w:rPr>
          <w:fldChar w:fldCharType="separate"/>
        </w:r>
        <w:r w:rsidR="00FE71A7">
          <w:rPr>
            <w:webHidden/>
          </w:rPr>
          <w:t>1</w:t>
        </w:r>
        <w:r w:rsidR="009D7FFD">
          <w:rPr>
            <w:webHidden/>
          </w:rPr>
          <w:fldChar w:fldCharType="end"/>
        </w:r>
      </w:hyperlink>
    </w:p>
    <w:p w:rsidR="009D7FFD" w:rsidRDefault="004D6922">
      <w:pPr>
        <w:pStyle w:val="TOC1"/>
        <w:rPr>
          <w:rFonts w:asciiTheme="minorHAnsi" w:eastAsiaTheme="minorEastAsia" w:hAnsiTheme="minorHAnsi" w:cstheme="minorBidi"/>
          <w:b w:val="0"/>
          <w:bCs w:val="0"/>
          <w:spacing w:val="0"/>
          <w:szCs w:val="22"/>
          <w:lang w:eastAsia="zh-CN"/>
        </w:rPr>
      </w:pPr>
      <w:hyperlink w:anchor="_Toc377132344" w:history="1">
        <w:r w:rsidR="009D7FFD" w:rsidRPr="00892861">
          <w:rPr>
            <w:rStyle w:val="Hyperlink"/>
            <w:lang w:eastAsia="zh-CN"/>
          </w:rPr>
          <w:t>2</w:t>
        </w:r>
        <w:r w:rsidR="009D7FFD">
          <w:rPr>
            <w:rFonts w:asciiTheme="minorHAnsi" w:eastAsiaTheme="minorEastAsia" w:hAnsiTheme="minorHAnsi" w:cstheme="minorBidi"/>
            <w:b w:val="0"/>
            <w:bCs w:val="0"/>
            <w:spacing w:val="0"/>
            <w:szCs w:val="22"/>
            <w:lang w:eastAsia="zh-CN"/>
          </w:rPr>
          <w:tab/>
        </w:r>
        <w:r w:rsidR="009D7FFD" w:rsidRPr="00892861">
          <w:rPr>
            <w:rStyle w:val="Hyperlink"/>
            <w:rFonts w:ascii="SimSun" w:hAnsi="SimSun" w:cs="SimSun" w:hint="eastAsia"/>
            <w:lang w:eastAsia="zh-CN"/>
          </w:rPr>
          <w:t>本报告的范围和目的</w:t>
        </w:r>
        <w:r w:rsidR="009D7FFD">
          <w:rPr>
            <w:webHidden/>
          </w:rPr>
          <w:tab/>
        </w:r>
        <w:r w:rsidR="00466AE5">
          <w:rPr>
            <w:webHidden/>
          </w:rPr>
          <w:tab/>
        </w:r>
        <w:r w:rsidR="009D7FFD">
          <w:rPr>
            <w:webHidden/>
          </w:rPr>
          <w:fldChar w:fldCharType="begin"/>
        </w:r>
        <w:r w:rsidR="009D7FFD">
          <w:rPr>
            <w:webHidden/>
          </w:rPr>
          <w:instrText xml:space="preserve"> PAGEREF _Toc377132344 \h </w:instrText>
        </w:r>
        <w:r w:rsidR="009D7FFD">
          <w:rPr>
            <w:webHidden/>
          </w:rPr>
        </w:r>
        <w:r w:rsidR="009D7FFD">
          <w:rPr>
            <w:webHidden/>
          </w:rPr>
          <w:fldChar w:fldCharType="separate"/>
        </w:r>
        <w:r w:rsidR="00FE71A7">
          <w:rPr>
            <w:webHidden/>
          </w:rPr>
          <w:t>2</w:t>
        </w:r>
        <w:r w:rsidR="009D7FFD">
          <w:rPr>
            <w:webHidden/>
          </w:rPr>
          <w:fldChar w:fldCharType="end"/>
        </w:r>
      </w:hyperlink>
    </w:p>
    <w:p w:rsidR="009D7FFD" w:rsidRDefault="004D6922">
      <w:pPr>
        <w:pStyle w:val="TOC1"/>
        <w:rPr>
          <w:rFonts w:asciiTheme="minorHAnsi" w:eastAsiaTheme="minorEastAsia" w:hAnsiTheme="minorHAnsi" w:cstheme="minorBidi"/>
          <w:b w:val="0"/>
          <w:bCs w:val="0"/>
          <w:spacing w:val="0"/>
          <w:szCs w:val="22"/>
          <w:lang w:eastAsia="zh-CN"/>
        </w:rPr>
      </w:pPr>
      <w:hyperlink w:anchor="_Toc377132345" w:history="1">
        <w:r w:rsidR="009D7FFD" w:rsidRPr="00892861">
          <w:rPr>
            <w:rStyle w:val="Hyperlink"/>
            <w:lang w:eastAsia="zh-CN"/>
          </w:rPr>
          <w:t>3</w:t>
        </w:r>
        <w:r w:rsidR="009D7FFD">
          <w:rPr>
            <w:rFonts w:asciiTheme="minorHAnsi" w:eastAsiaTheme="minorEastAsia" w:hAnsiTheme="minorHAnsi" w:cstheme="minorBidi"/>
            <w:b w:val="0"/>
            <w:bCs w:val="0"/>
            <w:spacing w:val="0"/>
            <w:szCs w:val="22"/>
            <w:lang w:eastAsia="zh-CN"/>
          </w:rPr>
          <w:tab/>
        </w:r>
        <w:r w:rsidR="009D7FFD" w:rsidRPr="00892861">
          <w:rPr>
            <w:rStyle w:val="Hyperlink"/>
            <w:rFonts w:ascii="SimSun" w:hAnsi="SimSun" w:cs="SimSun" w:hint="eastAsia"/>
            <w:lang w:eastAsia="zh-CN"/>
          </w:rPr>
          <w:t>与其他部门和组织的合作</w:t>
        </w:r>
        <w:r w:rsidR="009D7FFD">
          <w:rPr>
            <w:webHidden/>
          </w:rPr>
          <w:tab/>
        </w:r>
        <w:r w:rsidR="00466AE5">
          <w:rPr>
            <w:webHidden/>
          </w:rPr>
          <w:tab/>
        </w:r>
        <w:r w:rsidR="009D7FFD">
          <w:rPr>
            <w:webHidden/>
          </w:rPr>
          <w:fldChar w:fldCharType="begin"/>
        </w:r>
        <w:r w:rsidR="009D7FFD">
          <w:rPr>
            <w:webHidden/>
          </w:rPr>
          <w:instrText xml:space="preserve"> PAGEREF _Toc377132345 \h </w:instrText>
        </w:r>
        <w:r w:rsidR="009D7FFD">
          <w:rPr>
            <w:webHidden/>
          </w:rPr>
        </w:r>
        <w:r w:rsidR="009D7FFD">
          <w:rPr>
            <w:webHidden/>
          </w:rPr>
          <w:fldChar w:fldCharType="separate"/>
        </w:r>
        <w:r w:rsidR="00FE71A7">
          <w:rPr>
            <w:webHidden/>
          </w:rPr>
          <w:t>3</w:t>
        </w:r>
        <w:r w:rsidR="009D7FFD">
          <w:rPr>
            <w:webHidden/>
          </w:rPr>
          <w:fldChar w:fldCharType="end"/>
        </w:r>
      </w:hyperlink>
    </w:p>
    <w:p w:rsidR="009D7FFD" w:rsidRDefault="004D6922">
      <w:pPr>
        <w:pStyle w:val="TOC1"/>
        <w:rPr>
          <w:rFonts w:asciiTheme="minorHAnsi" w:eastAsiaTheme="minorEastAsia" w:hAnsiTheme="minorHAnsi" w:cstheme="minorBidi"/>
          <w:b w:val="0"/>
          <w:bCs w:val="0"/>
          <w:spacing w:val="0"/>
          <w:szCs w:val="22"/>
          <w:lang w:eastAsia="zh-CN"/>
        </w:rPr>
      </w:pPr>
      <w:hyperlink w:anchor="_Toc377132346" w:history="1">
        <w:r w:rsidR="009D7FFD" w:rsidRPr="00892861">
          <w:rPr>
            <w:rStyle w:val="Hyperlink"/>
            <w:lang w:eastAsia="zh-CN"/>
          </w:rPr>
          <w:t>4</w:t>
        </w:r>
        <w:r w:rsidR="009D7FFD">
          <w:rPr>
            <w:rFonts w:asciiTheme="minorHAnsi" w:eastAsiaTheme="minorEastAsia" w:hAnsiTheme="minorHAnsi" w:cstheme="minorBidi"/>
            <w:b w:val="0"/>
            <w:bCs w:val="0"/>
            <w:spacing w:val="0"/>
            <w:szCs w:val="22"/>
            <w:lang w:eastAsia="zh-CN"/>
          </w:rPr>
          <w:tab/>
        </w:r>
        <w:r w:rsidR="009D7FFD" w:rsidRPr="00892861">
          <w:rPr>
            <w:rStyle w:val="Hyperlink"/>
            <w:rFonts w:ascii="SimSun" w:hAnsi="SimSun" w:cs="SimSun" w:hint="eastAsia"/>
            <w:lang w:eastAsia="zh-CN"/>
          </w:rPr>
          <w:t>适用于人体电磁场暴露的防护原则</w:t>
        </w:r>
        <w:r w:rsidR="009D7FFD">
          <w:rPr>
            <w:webHidden/>
          </w:rPr>
          <w:tab/>
        </w:r>
        <w:r w:rsidR="00466AE5">
          <w:rPr>
            <w:webHidden/>
          </w:rPr>
          <w:tab/>
        </w:r>
        <w:r w:rsidR="009D7FFD">
          <w:rPr>
            <w:webHidden/>
          </w:rPr>
          <w:fldChar w:fldCharType="begin"/>
        </w:r>
        <w:r w:rsidR="009D7FFD">
          <w:rPr>
            <w:webHidden/>
          </w:rPr>
          <w:instrText xml:space="preserve"> PAGEREF _Toc377132346 \h </w:instrText>
        </w:r>
        <w:r w:rsidR="009D7FFD">
          <w:rPr>
            <w:webHidden/>
          </w:rPr>
        </w:r>
        <w:r w:rsidR="009D7FFD">
          <w:rPr>
            <w:webHidden/>
          </w:rPr>
          <w:fldChar w:fldCharType="separate"/>
        </w:r>
        <w:r w:rsidR="00FE71A7">
          <w:rPr>
            <w:webHidden/>
          </w:rPr>
          <w:t>4</w:t>
        </w:r>
        <w:r w:rsidR="009D7FFD">
          <w:rPr>
            <w:webHidden/>
          </w:rPr>
          <w:fldChar w:fldCharType="end"/>
        </w:r>
      </w:hyperlink>
    </w:p>
    <w:p w:rsidR="009D7FFD" w:rsidRDefault="004D6922">
      <w:pPr>
        <w:pStyle w:val="TOC1"/>
        <w:rPr>
          <w:rFonts w:asciiTheme="minorHAnsi" w:eastAsiaTheme="minorEastAsia" w:hAnsiTheme="minorHAnsi" w:cstheme="minorBidi"/>
          <w:b w:val="0"/>
          <w:bCs w:val="0"/>
          <w:spacing w:val="0"/>
          <w:szCs w:val="22"/>
          <w:lang w:eastAsia="zh-CN"/>
        </w:rPr>
      </w:pPr>
      <w:hyperlink w:anchor="_Toc377132347" w:history="1">
        <w:r w:rsidR="009D7FFD" w:rsidRPr="00892861">
          <w:rPr>
            <w:rStyle w:val="Hyperlink"/>
            <w:lang w:eastAsia="zh-CN"/>
          </w:rPr>
          <w:t>5</w:t>
        </w:r>
        <w:r w:rsidR="009D7FFD">
          <w:rPr>
            <w:rFonts w:asciiTheme="minorHAnsi" w:eastAsiaTheme="minorEastAsia" w:hAnsiTheme="minorHAnsi" w:cstheme="minorBidi"/>
            <w:b w:val="0"/>
            <w:bCs w:val="0"/>
            <w:spacing w:val="0"/>
            <w:szCs w:val="22"/>
            <w:lang w:eastAsia="zh-CN"/>
          </w:rPr>
          <w:tab/>
        </w:r>
        <w:r w:rsidR="009D7FFD" w:rsidRPr="00892861">
          <w:rPr>
            <w:rStyle w:val="Hyperlink"/>
            <w:rFonts w:ascii="SimSun" w:hAnsi="SimSun" w:cs="SimSun" w:hint="eastAsia"/>
            <w:lang w:eastAsia="zh-CN"/>
          </w:rPr>
          <w:t>一些国家监管政策分析</w:t>
        </w:r>
        <w:r w:rsidR="009D7FFD">
          <w:rPr>
            <w:webHidden/>
          </w:rPr>
          <w:tab/>
        </w:r>
        <w:r w:rsidR="00466AE5">
          <w:rPr>
            <w:webHidden/>
          </w:rPr>
          <w:tab/>
        </w:r>
        <w:r w:rsidR="009D7FFD">
          <w:rPr>
            <w:webHidden/>
          </w:rPr>
          <w:fldChar w:fldCharType="begin"/>
        </w:r>
        <w:r w:rsidR="009D7FFD">
          <w:rPr>
            <w:webHidden/>
          </w:rPr>
          <w:instrText xml:space="preserve"> PAGEREF _Toc377132347 \h </w:instrText>
        </w:r>
        <w:r w:rsidR="009D7FFD">
          <w:rPr>
            <w:webHidden/>
          </w:rPr>
        </w:r>
        <w:r w:rsidR="009D7FFD">
          <w:rPr>
            <w:webHidden/>
          </w:rPr>
          <w:fldChar w:fldCharType="separate"/>
        </w:r>
        <w:r w:rsidR="00FE71A7">
          <w:rPr>
            <w:webHidden/>
          </w:rPr>
          <w:t>6</w:t>
        </w:r>
        <w:r w:rsidR="009D7FFD">
          <w:rPr>
            <w:webHidden/>
          </w:rPr>
          <w:fldChar w:fldCharType="end"/>
        </w:r>
      </w:hyperlink>
    </w:p>
    <w:p w:rsidR="009D7FFD" w:rsidRDefault="004D6922">
      <w:pPr>
        <w:pStyle w:val="TOC2"/>
        <w:rPr>
          <w:rFonts w:asciiTheme="minorHAnsi" w:eastAsiaTheme="minorEastAsia" w:hAnsiTheme="minorHAnsi" w:cstheme="minorBidi"/>
          <w:bCs w:val="0"/>
          <w:spacing w:val="0"/>
          <w:szCs w:val="22"/>
          <w:lang w:val="en-US" w:eastAsia="zh-CN"/>
        </w:rPr>
      </w:pPr>
      <w:hyperlink w:anchor="_Toc377132348" w:history="1">
        <w:r w:rsidR="009D7FFD" w:rsidRPr="00892861">
          <w:rPr>
            <w:rStyle w:val="Hyperlink"/>
            <w:lang w:eastAsia="zh-CN"/>
          </w:rPr>
          <w:t>5.1</w:t>
        </w:r>
        <w:r w:rsidR="009D7FFD">
          <w:rPr>
            <w:rFonts w:asciiTheme="minorHAnsi" w:eastAsiaTheme="minorEastAsia" w:hAnsiTheme="minorHAnsi" w:cstheme="minorBidi"/>
            <w:bCs w:val="0"/>
            <w:spacing w:val="0"/>
            <w:szCs w:val="22"/>
            <w:lang w:val="en-US" w:eastAsia="zh-CN"/>
          </w:rPr>
          <w:tab/>
        </w:r>
        <w:r w:rsidR="009D7FFD" w:rsidRPr="00892861">
          <w:rPr>
            <w:rStyle w:val="Hyperlink"/>
            <w:rFonts w:hint="eastAsia"/>
            <w:lang w:eastAsia="zh-CN"/>
          </w:rPr>
          <w:t>科特迪瓦</w:t>
        </w:r>
        <w:r w:rsidR="009D7FFD">
          <w:rPr>
            <w:webHidden/>
          </w:rPr>
          <w:tab/>
        </w:r>
        <w:r w:rsidR="00466AE5">
          <w:rPr>
            <w:webHidden/>
          </w:rPr>
          <w:tab/>
        </w:r>
        <w:r w:rsidR="009D7FFD">
          <w:rPr>
            <w:webHidden/>
          </w:rPr>
          <w:fldChar w:fldCharType="begin"/>
        </w:r>
        <w:r w:rsidR="009D7FFD">
          <w:rPr>
            <w:webHidden/>
          </w:rPr>
          <w:instrText xml:space="preserve"> PAGEREF _Toc377132348 \h </w:instrText>
        </w:r>
        <w:r w:rsidR="009D7FFD">
          <w:rPr>
            <w:webHidden/>
          </w:rPr>
        </w:r>
        <w:r w:rsidR="009D7FFD">
          <w:rPr>
            <w:webHidden/>
          </w:rPr>
          <w:fldChar w:fldCharType="separate"/>
        </w:r>
        <w:r w:rsidR="00FE71A7">
          <w:rPr>
            <w:webHidden/>
          </w:rPr>
          <w:t>6</w:t>
        </w:r>
        <w:r w:rsidR="009D7FFD">
          <w:rPr>
            <w:webHidden/>
          </w:rPr>
          <w:fldChar w:fldCharType="end"/>
        </w:r>
      </w:hyperlink>
    </w:p>
    <w:p w:rsidR="009D7FFD" w:rsidRDefault="004D6922">
      <w:pPr>
        <w:pStyle w:val="TOC2"/>
        <w:rPr>
          <w:rFonts w:asciiTheme="minorHAnsi" w:eastAsiaTheme="minorEastAsia" w:hAnsiTheme="minorHAnsi" w:cstheme="minorBidi"/>
          <w:bCs w:val="0"/>
          <w:spacing w:val="0"/>
          <w:szCs w:val="22"/>
          <w:lang w:val="en-US" w:eastAsia="zh-CN"/>
        </w:rPr>
      </w:pPr>
      <w:hyperlink w:anchor="_Toc377132349" w:history="1">
        <w:r w:rsidR="009D7FFD" w:rsidRPr="00892861">
          <w:rPr>
            <w:rStyle w:val="Hyperlink"/>
            <w:lang w:eastAsia="zh-CN"/>
          </w:rPr>
          <w:t>5.2</w:t>
        </w:r>
        <w:r w:rsidR="009D7FFD">
          <w:rPr>
            <w:rFonts w:asciiTheme="minorHAnsi" w:eastAsiaTheme="minorEastAsia" w:hAnsiTheme="minorHAnsi" w:cstheme="minorBidi"/>
            <w:bCs w:val="0"/>
            <w:spacing w:val="0"/>
            <w:szCs w:val="22"/>
            <w:lang w:val="en-US" w:eastAsia="zh-CN"/>
          </w:rPr>
          <w:tab/>
        </w:r>
        <w:r w:rsidR="009D7FFD" w:rsidRPr="00892861">
          <w:rPr>
            <w:rStyle w:val="Hyperlink"/>
            <w:rFonts w:hint="eastAsia"/>
            <w:lang w:eastAsia="zh-CN"/>
          </w:rPr>
          <w:t>巴西</w:t>
        </w:r>
        <w:r w:rsidR="009D7FFD">
          <w:rPr>
            <w:webHidden/>
          </w:rPr>
          <w:tab/>
        </w:r>
        <w:r w:rsidR="00466AE5">
          <w:rPr>
            <w:webHidden/>
          </w:rPr>
          <w:tab/>
        </w:r>
        <w:r w:rsidR="009D7FFD">
          <w:rPr>
            <w:webHidden/>
          </w:rPr>
          <w:fldChar w:fldCharType="begin"/>
        </w:r>
        <w:r w:rsidR="009D7FFD">
          <w:rPr>
            <w:webHidden/>
          </w:rPr>
          <w:instrText xml:space="preserve"> PAGEREF _Toc377132349 \h </w:instrText>
        </w:r>
        <w:r w:rsidR="009D7FFD">
          <w:rPr>
            <w:webHidden/>
          </w:rPr>
        </w:r>
        <w:r w:rsidR="009D7FFD">
          <w:rPr>
            <w:webHidden/>
          </w:rPr>
          <w:fldChar w:fldCharType="separate"/>
        </w:r>
        <w:r w:rsidR="00FE71A7">
          <w:rPr>
            <w:webHidden/>
          </w:rPr>
          <w:t>6</w:t>
        </w:r>
        <w:r w:rsidR="009D7FFD">
          <w:rPr>
            <w:webHidden/>
          </w:rPr>
          <w:fldChar w:fldCharType="end"/>
        </w:r>
      </w:hyperlink>
    </w:p>
    <w:p w:rsidR="009D7FFD" w:rsidRDefault="004D6922">
      <w:pPr>
        <w:pStyle w:val="TOC2"/>
        <w:rPr>
          <w:rFonts w:asciiTheme="minorHAnsi" w:eastAsiaTheme="minorEastAsia" w:hAnsiTheme="minorHAnsi" w:cstheme="minorBidi"/>
          <w:bCs w:val="0"/>
          <w:spacing w:val="0"/>
          <w:szCs w:val="22"/>
          <w:lang w:val="en-US" w:eastAsia="zh-CN"/>
        </w:rPr>
      </w:pPr>
      <w:hyperlink w:anchor="_Toc377132350" w:history="1">
        <w:r w:rsidR="009D7FFD" w:rsidRPr="00892861">
          <w:rPr>
            <w:rStyle w:val="Hyperlink"/>
            <w:lang w:eastAsia="zh-CN"/>
          </w:rPr>
          <w:t>5.3</w:t>
        </w:r>
        <w:r w:rsidR="009D7FFD">
          <w:rPr>
            <w:rFonts w:asciiTheme="minorHAnsi" w:eastAsiaTheme="minorEastAsia" w:hAnsiTheme="minorHAnsi" w:cstheme="minorBidi"/>
            <w:bCs w:val="0"/>
            <w:spacing w:val="0"/>
            <w:szCs w:val="22"/>
            <w:lang w:val="en-US" w:eastAsia="zh-CN"/>
          </w:rPr>
          <w:tab/>
        </w:r>
        <w:r w:rsidR="009D7FFD" w:rsidRPr="00892861">
          <w:rPr>
            <w:rStyle w:val="Hyperlink"/>
            <w:rFonts w:hint="eastAsia"/>
            <w:lang w:eastAsia="zh-CN"/>
          </w:rPr>
          <w:t>韩国</w:t>
        </w:r>
        <w:r w:rsidR="009D7FFD">
          <w:rPr>
            <w:webHidden/>
          </w:rPr>
          <w:tab/>
        </w:r>
        <w:r w:rsidR="00466AE5">
          <w:rPr>
            <w:webHidden/>
          </w:rPr>
          <w:tab/>
        </w:r>
        <w:r w:rsidR="009D7FFD">
          <w:rPr>
            <w:webHidden/>
          </w:rPr>
          <w:fldChar w:fldCharType="begin"/>
        </w:r>
        <w:r w:rsidR="009D7FFD">
          <w:rPr>
            <w:webHidden/>
          </w:rPr>
          <w:instrText xml:space="preserve"> PAGEREF _Toc377132350 \h </w:instrText>
        </w:r>
        <w:r w:rsidR="009D7FFD">
          <w:rPr>
            <w:webHidden/>
          </w:rPr>
        </w:r>
        <w:r w:rsidR="009D7FFD">
          <w:rPr>
            <w:webHidden/>
          </w:rPr>
          <w:fldChar w:fldCharType="separate"/>
        </w:r>
        <w:r w:rsidR="00FE71A7">
          <w:rPr>
            <w:webHidden/>
          </w:rPr>
          <w:t>7</w:t>
        </w:r>
        <w:r w:rsidR="009D7FFD">
          <w:rPr>
            <w:webHidden/>
          </w:rPr>
          <w:fldChar w:fldCharType="end"/>
        </w:r>
      </w:hyperlink>
    </w:p>
    <w:p w:rsidR="009D7FFD" w:rsidRDefault="004D6922">
      <w:pPr>
        <w:pStyle w:val="TOC2"/>
        <w:rPr>
          <w:rFonts w:asciiTheme="minorHAnsi" w:eastAsiaTheme="minorEastAsia" w:hAnsiTheme="minorHAnsi" w:cstheme="minorBidi"/>
          <w:bCs w:val="0"/>
          <w:spacing w:val="0"/>
          <w:szCs w:val="22"/>
          <w:lang w:val="en-US" w:eastAsia="zh-CN"/>
        </w:rPr>
      </w:pPr>
      <w:hyperlink w:anchor="_Toc377132351" w:history="1">
        <w:r w:rsidR="009D7FFD" w:rsidRPr="00892861">
          <w:rPr>
            <w:rStyle w:val="Hyperlink"/>
            <w:lang w:eastAsia="zh-CN"/>
          </w:rPr>
          <w:t>5.4</w:t>
        </w:r>
        <w:r w:rsidR="009D7FFD">
          <w:rPr>
            <w:rFonts w:asciiTheme="minorHAnsi" w:eastAsiaTheme="minorEastAsia" w:hAnsiTheme="minorHAnsi" w:cstheme="minorBidi"/>
            <w:bCs w:val="0"/>
            <w:spacing w:val="0"/>
            <w:szCs w:val="22"/>
            <w:lang w:val="en-US" w:eastAsia="zh-CN"/>
          </w:rPr>
          <w:tab/>
        </w:r>
        <w:r w:rsidR="009D7FFD" w:rsidRPr="00892861">
          <w:rPr>
            <w:rStyle w:val="Hyperlink"/>
            <w:rFonts w:hint="eastAsia"/>
            <w:lang w:eastAsia="zh-CN"/>
          </w:rPr>
          <w:t>以色列</w:t>
        </w:r>
        <w:r w:rsidR="009D7FFD">
          <w:rPr>
            <w:webHidden/>
          </w:rPr>
          <w:tab/>
        </w:r>
        <w:r w:rsidR="00466AE5">
          <w:rPr>
            <w:webHidden/>
          </w:rPr>
          <w:tab/>
        </w:r>
        <w:r w:rsidR="009D7FFD">
          <w:rPr>
            <w:webHidden/>
          </w:rPr>
          <w:fldChar w:fldCharType="begin"/>
        </w:r>
        <w:r w:rsidR="009D7FFD">
          <w:rPr>
            <w:webHidden/>
          </w:rPr>
          <w:instrText xml:space="preserve"> PAGEREF _Toc377132351 \h </w:instrText>
        </w:r>
        <w:r w:rsidR="009D7FFD">
          <w:rPr>
            <w:webHidden/>
          </w:rPr>
        </w:r>
        <w:r w:rsidR="009D7FFD">
          <w:rPr>
            <w:webHidden/>
          </w:rPr>
          <w:fldChar w:fldCharType="separate"/>
        </w:r>
        <w:r w:rsidR="00FE71A7">
          <w:rPr>
            <w:webHidden/>
          </w:rPr>
          <w:t>7</w:t>
        </w:r>
        <w:r w:rsidR="009D7FFD">
          <w:rPr>
            <w:webHidden/>
          </w:rPr>
          <w:fldChar w:fldCharType="end"/>
        </w:r>
      </w:hyperlink>
    </w:p>
    <w:p w:rsidR="009D7FFD" w:rsidRDefault="004D6922">
      <w:pPr>
        <w:pStyle w:val="TOC2"/>
        <w:rPr>
          <w:rFonts w:asciiTheme="minorHAnsi" w:eastAsiaTheme="minorEastAsia" w:hAnsiTheme="minorHAnsi" w:cstheme="minorBidi"/>
          <w:bCs w:val="0"/>
          <w:spacing w:val="0"/>
          <w:szCs w:val="22"/>
          <w:lang w:val="en-US" w:eastAsia="zh-CN"/>
        </w:rPr>
      </w:pPr>
      <w:hyperlink w:anchor="_Toc377132352" w:history="1">
        <w:r w:rsidR="009D7FFD" w:rsidRPr="00892861">
          <w:rPr>
            <w:rStyle w:val="Hyperlink"/>
            <w:lang w:eastAsia="zh-CN"/>
          </w:rPr>
          <w:t>5.5</w:t>
        </w:r>
        <w:r w:rsidR="009D7FFD">
          <w:rPr>
            <w:rFonts w:asciiTheme="minorHAnsi" w:eastAsiaTheme="minorEastAsia" w:hAnsiTheme="minorHAnsi" w:cstheme="minorBidi"/>
            <w:bCs w:val="0"/>
            <w:spacing w:val="0"/>
            <w:szCs w:val="22"/>
            <w:lang w:val="en-US" w:eastAsia="zh-CN"/>
          </w:rPr>
          <w:tab/>
        </w:r>
        <w:r w:rsidR="009D7FFD" w:rsidRPr="00892861">
          <w:rPr>
            <w:rStyle w:val="Hyperlink"/>
            <w:rFonts w:hint="eastAsia"/>
            <w:lang w:eastAsia="zh-CN"/>
          </w:rPr>
          <w:t>委内瑞拉</w:t>
        </w:r>
        <w:r w:rsidR="009D7FFD">
          <w:rPr>
            <w:webHidden/>
          </w:rPr>
          <w:tab/>
        </w:r>
        <w:r w:rsidR="00466AE5">
          <w:rPr>
            <w:webHidden/>
          </w:rPr>
          <w:tab/>
        </w:r>
        <w:r w:rsidR="009D7FFD">
          <w:rPr>
            <w:webHidden/>
          </w:rPr>
          <w:fldChar w:fldCharType="begin"/>
        </w:r>
        <w:r w:rsidR="009D7FFD">
          <w:rPr>
            <w:webHidden/>
          </w:rPr>
          <w:instrText xml:space="preserve"> PAGEREF _Toc377132352 \h </w:instrText>
        </w:r>
        <w:r w:rsidR="009D7FFD">
          <w:rPr>
            <w:webHidden/>
          </w:rPr>
        </w:r>
        <w:r w:rsidR="009D7FFD">
          <w:rPr>
            <w:webHidden/>
          </w:rPr>
          <w:fldChar w:fldCharType="separate"/>
        </w:r>
        <w:r w:rsidR="00FE71A7">
          <w:rPr>
            <w:webHidden/>
          </w:rPr>
          <w:t>8</w:t>
        </w:r>
        <w:r w:rsidR="009D7FFD">
          <w:rPr>
            <w:webHidden/>
          </w:rPr>
          <w:fldChar w:fldCharType="end"/>
        </w:r>
      </w:hyperlink>
    </w:p>
    <w:p w:rsidR="009D7FFD" w:rsidRDefault="004D6922">
      <w:pPr>
        <w:pStyle w:val="TOC2"/>
        <w:rPr>
          <w:rFonts w:asciiTheme="minorHAnsi" w:eastAsiaTheme="minorEastAsia" w:hAnsiTheme="minorHAnsi" w:cstheme="minorBidi"/>
          <w:bCs w:val="0"/>
          <w:spacing w:val="0"/>
          <w:szCs w:val="22"/>
          <w:lang w:val="en-US" w:eastAsia="zh-CN"/>
        </w:rPr>
      </w:pPr>
      <w:hyperlink w:anchor="_Toc377132353" w:history="1">
        <w:r w:rsidR="009D7FFD" w:rsidRPr="00892861">
          <w:rPr>
            <w:rStyle w:val="Hyperlink"/>
            <w:lang w:eastAsia="zh-CN"/>
          </w:rPr>
          <w:t>5.6</w:t>
        </w:r>
        <w:r w:rsidR="009D7FFD">
          <w:rPr>
            <w:rFonts w:asciiTheme="minorHAnsi" w:eastAsiaTheme="minorEastAsia" w:hAnsiTheme="minorHAnsi" w:cstheme="minorBidi"/>
            <w:bCs w:val="0"/>
            <w:spacing w:val="0"/>
            <w:szCs w:val="22"/>
            <w:lang w:val="en-US" w:eastAsia="zh-CN"/>
          </w:rPr>
          <w:tab/>
        </w:r>
        <w:r w:rsidR="009D7FFD" w:rsidRPr="00892861">
          <w:rPr>
            <w:rStyle w:val="Hyperlink"/>
            <w:rFonts w:hint="eastAsia"/>
            <w:lang w:eastAsia="zh-CN"/>
          </w:rPr>
          <w:t>匈牙利</w:t>
        </w:r>
        <w:r w:rsidR="009D7FFD">
          <w:rPr>
            <w:webHidden/>
          </w:rPr>
          <w:tab/>
        </w:r>
        <w:r w:rsidR="00466AE5">
          <w:rPr>
            <w:webHidden/>
          </w:rPr>
          <w:tab/>
        </w:r>
        <w:r w:rsidR="009D7FFD">
          <w:rPr>
            <w:webHidden/>
          </w:rPr>
          <w:fldChar w:fldCharType="begin"/>
        </w:r>
        <w:r w:rsidR="009D7FFD">
          <w:rPr>
            <w:webHidden/>
          </w:rPr>
          <w:instrText xml:space="preserve"> PAGEREF _Toc377132353 \h </w:instrText>
        </w:r>
        <w:r w:rsidR="009D7FFD">
          <w:rPr>
            <w:webHidden/>
          </w:rPr>
        </w:r>
        <w:r w:rsidR="009D7FFD">
          <w:rPr>
            <w:webHidden/>
          </w:rPr>
          <w:fldChar w:fldCharType="separate"/>
        </w:r>
        <w:r w:rsidR="00FE71A7">
          <w:rPr>
            <w:webHidden/>
          </w:rPr>
          <w:t>9</w:t>
        </w:r>
        <w:r w:rsidR="009D7FFD">
          <w:rPr>
            <w:webHidden/>
          </w:rPr>
          <w:fldChar w:fldCharType="end"/>
        </w:r>
      </w:hyperlink>
    </w:p>
    <w:p w:rsidR="009D7FFD" w:rsidRDefault="004D6922">
      <w:pPr>
        <w:pStyle w:val="TOC2"/>
        <w:rPr>
          <w:rFonts w:asciiTheme="minorHAnsi" w:eastAsiaTheme="minorEastAsia" w:hAnsiTheme="minorHAnsi" w:cstheme="minorBidi"/>
          <w:bCs w:val="0"/>
          <w:spacing w:val="0"/>
          <w:szCs w:val="22"/>
          <w:lang w:val="en-US" w:eastAsia="zh-CN"/>
        </w:rPr>
      </w:pPr>
      <w:hyperlink w:anchor="_Toc377132354" w:history="1">
        <w:r w:rsidR="009D7FFD" w:rsidRPr="00892861">
          <w:rPr>
            <w:rStyle w:val="Hyperlink"/>
            <w:lang w:eastAsia="zh-CN"/>
          </w:rPr>
          <w:t>5.7</w:t>
        </w:r>
        <w:r w:rsidR="009D7FFD">
          <w:rPr>
            <w:rFonts w:asciiTheme="minorHAnsi" w:eastAsiaTheme="minorEastAsia" w:hAnsiTheme="minorHAnsi" w:cstheme="minorBidi"/>
            <w:bCs w:val="0"/>
            <w:spacing w:val="0"/>
            <w:szCs w:val="22"/>
            <w:lang w:val="en-US" w:eastAsia="zh-CN"/>
          </w:rPr>
          <w:tab/>
        </w:r>
        <w:r w:rsidR="009D7FFD" w:rsidRPr="00892861">
          <w:rPr>
            <w:rStyle w:val="Hyperlink"/>
            <w:rFonts w:hint="eastAsia"/>
            <w:lang w:eastAsia="zh-CN"/>
          </w:rPr>
          <w:t>乌兹别克斯坦</w:t>
        </w:r>
        <w:r w:rsidR="009D7FFD">
          <w:rPr>
            <w:webHidden/>
          </w:rPr>
          <w:tab/>
        </w:r>
        <w:r w:rsidR="00466AE5">
          <w:rPr>
            <w:webHidden/>
          </w:rPr>
          <w:tab/>
        </w:r>
        <w:r w:rsidR="009D7FFD">
          <w:rPr>
            <w:webHidden/>
          </w:rPr>
          <w:fldChar w:fldCharType="begin"/>
        </w:r>
        <w:r w:rsidR="009D7FFD">
          <w:rPr>
            <w:webHidden/>
          </w:rPr>
          <w:instrText xml:space="preserve"> PAGEREF _Toc377132354 \h </w:instrText>
        </w:r>
        <w:r w:rsidR="009D7FFD">
          <w:rPr>
            <w:webHidden/>
          </w:rPr>
        </w:r>
        <w:r w:rsidR="009D7FFD">
          <w:rPr>
            <w:webHidden/>
          </w:rPr>
          <w:fldChar w:fldCharType="separate"/>
        </w:r>
        <w:r w:rsidR="00FE71A7">
          <w:rPr>
            <w:webHidden/>
          </w:rPr>
          <w:t>9</w:t>
        </w:r>
        <w:r w:rsidR="009D7FFD">
          <w:rPr>
            <w:webHidden/>
          </w:rPr>
          <w:fldChar w:fldCharType="end"/>
        </w:r>
      </w:hyperlink>
    </w:p>
    <w:p w:rsidR="009D7FFD" w:rsidRDefault="004D6922">
      <w:pPr>
        <w:pStyle w:val="TOC2"/>
        <w:rPr>
          <w:rFonts w:asciiTheme="minorHAnsi" w:eastAsiaTheme="minorEastAsia" w:hAnsiTheme="minorHAnsi" w:cstheme="minorBidi"/>
          <w:bCs w:val="0"/>
          <w:spacing w:val="0"/>
          <w:szCs w:val="22"/>
          <w:lang w:val="en-US" w:eastAsia="zh-CN"/>
        </w:rPr>
      </w:pPr>
      <w:hyperlink w:anchor="_Toc377132355" w:history="1">
        <w:r w:rsidR="009D7FFD" w:rsidRPr="00892861">
          <w:rPr>
            <w:rStyle w:val="Hyperlink"/>
            <w:lang w:eastAsia="zh-CN"/>
          </w:rPr>
          <w:t>5.8</w:t>
        </w:r>
        <w:r w:rsidR="009D7FFD">
          <w:rPr>
            <w:rFonts w:asciiTheme="minorHAnsi" w:eastAsiaTheme="minorEastAsia" w:hAnsiTheme="minorHAnsi" w:cstheme="minorBidi"/>
            <w:bCs w:val="0"/>
            <w:spacing w:val="0"/>
            <w:szCs w:val="22"/>
            <w:lang w:val="en-US" w:eastAsia="zh-CN"/>
          </w:rPr>
          <w:tab/>
        </w:r>
        <w:r w:rsidR="009D7FFD" w:rsidRPr="00892861">
          <w:rPr>
            <w:rStyle w:val="Hyperlink"/>
            <w:rFonts w:hint="eastAsia"/>
            <w:lang w:eastAsia="zh-CN"/>
          </w:rPr>
          <w:t>贝宁</w:t>
        </w:r>
        <w:r w:rsidR="009D7FFD">
          <w:rPr>
            <w:webHidden/>
          </w:rPr>
          <w:tab/>
        </w:r>
        <w:r w:rsidR="00466AE5">
          <w:rPr>
            <w:webHidden/>
          </w:rPr>
          <w:tab/>
        </w:r>
        <w:r w:rsidR="009D7FFD">
          <w:rPr>
            <w:webHidden/>
          </w:rPr>
          <w:fldChar w:fldCharType="begin"/>
        </w:r>
        <w:r w:rsidR="009D7FFD">
          <w:rPr>
            <w:webHidden/>
          </w:rPr>
          <w:instrText xml:space="preserve"> PAGEREF _Toc377132355 \h </w:instrText>
        </w:r>
        <w:r w:rsidR="009D7FFD">
          <w:rPr>
            <w:webHidden/>
          </w:rPr>
        </w:r>
        <w:r w:rsidR="009D7FFD">
          <w:rPr>
            <w:webHidden/>
          </w:rPr>
          <w:fldChar w:fldCharType="separate"/>
        </w:r>
        <w:r w:rsidR="00FE71A7">
          <w:rPr>
            <w:webHidden/>
          </w:rPr>
          <w:t>9</w:t>
        </w:r>
        <w:r w:rsidR="009D7FFD">
          <w:rPr>
            <w:webHidden/>
          </w:rPr>
          <w:fldChar w:fldCharType="end"/>
        </w:r>
      </w:hyperlink>
    </w:p>
    <w:p w:rsidR="009D7FFD" w:rsidRDefault="004D6922">
      <w:pPr>
        <w:pStyle w:val="TOC2"/>
        <w:rPr>
          <w:rFonts w:asciiTheme="minorHAnsi" w:eastAsiaTheme="minorEastAsia" w:hAnsiTheme="minorHAnsi" w:cstheme="minorBidi"/>
          <w:bCs w:val="0"/>
          <w:spacing w:val="0"/>
          <w:szCs w:val="22"/>
          <w:lang w:val="en-US" w:eastAsia="zh-CN"/>
        </w:rPr>
      </w:pPr>
      <w:hyperlink w:anchor="_Toc377132356" w:history="1">
        <w:r w:rsidR="009D7FFD" w:rsidRPr="00892861">
          <w:rPr>
            <w:rStyle w:val="Hyperlink"/>
            <w:lang w:eastAsia="zh-CN"/>
          </w:rPr>
          <w:t>5.9</w:t>
        </w:r>
        <w:r w:rsidR="009D7FFD">
          <w:rPr>
            <w:rFonts w:asciiTheme="minorHAnsi" w:eastAsiaTheme="minorEastAsia" w:hAnsiTheme="minorHAnsi" w:cstheme="minorBidi"/>
            <w:bCs w:val="0"/>
            <w:spacing w:val="0"/>
            <w:szCs w:val="22"/>
            <w:lang w:val="en-US" w:eastAsia="zh-CN"/>
          </w:rPr>
          <w:tab/>
        </w:r>
        <w:r w:rsidR="009D7FFD" w:rsidRPr="00892861">
          <w:rPr>
            <w:rStyle w:val="Hyperlink"/>
            <w:rFonts w:hint="eastAsia"/>
            <w:lang w:eastAsia="zh-CN"/>
          </w:rPr>
          <w:t>印度</w:t>
        </w:r>
        <w:r w:rsidR="009D7FFD">
          <w:rPr>
            <w:webHidden/>
          </w:rPr>
          <w:tab/>
        </w:r>
        <w:r w:rsidR="00466AE5">
          <w:rPr>
            <w:webHidden/>
          </w:rPr>
          <w:tab/>
        </w:r>
        <w:r w:rsidR="009D7FFD">
          <w:rPr>
            <w:webHidden/>
          </w:rPr>
          <w:fldChar w:fldCharType="begin"/>
        </w:r>
        <w:r w:rsidR="009D7FFD">
          <w:rPr>
            <w:webHidden/>
          </w:rPr>
          <w:instrText xml:space="preserve"> PAGEREF _Toc377132356 \h </w:instrText>
        </w:r>
        <w:r w:rsidR="009D7FFD">
          <w:rPr>
            <w:webHidden/>
          </w:rPr>
        </w:r>
        <w:r w:rsidR="009D7FFD">
          <w:rPr>
            <w:webHidden/>
          </w:rPr>
          <w:fldChar w:fldCharType="separate"/>
        </w:r>
        <w:r w:rsidR="00FE71A7">
          <w:rPr>
            <w:webHidden/>
          </w:rPr>
          <w:t>10</w:t>
        </w:r>
        <w:r w:rsidR="009D7FFD">
          <w:rPr>
            <w:webHidden/>
          </w:rPr>
          <w:fldChar w:fldCharType="end"/>
        </w:r>
      </w:hyperlink>
    </w:p>
    <w:p w:rsidR="009D7FFD" w:rsidRDefault="004D6922">
      <w:pPr>
        <w:pStyle w:val="TOC1"/>
        <w:rPr>
          <w:rFonts w:asciiTheme="minorHAnsi" w:eastAsiaTheme="minorEastAsia" w:hAnsiTheme="minorHAnsi" w:cstheme="minorBidi"/>
          <w:b w:val="0"/>
          <w:bCs w:val="0"/>
          <w:spacing w:val="0"/>
          <w:szCs w:val="22"/>
          <w:lang w:eastAsia="zh-CN"/>
        </w:rPr>
      </w:pPr>
      <w:hyperlink w:anchor="_Toc377132357" w:history="1">
        <w:r w:rsidR="009D7FFD" w:rsidRPr="00892861">
          <w:rPr>
            <w:rStyle w:val="Hyperlink"/>
            <w:lang w:eastAsia="zh-CN"/>
          </w:rPr>
          <w:t>6</w:t>
        </w:r>
        <w:r w:rsidR="009D7FFD">
          <w:rPr>
            <w:rFonts w:asciiTheme="minorHAnsi" w:eastAsiaTheme="minorEastAsia" w:hAnsiTheme="minorHAnsi" w:cstheme="minorBidi"/>
            <w:b w:val="0"/>
            <w:bCs w:val="0"/>
            <w:spacing w:val="0"/>
            <w:szCs w:val="22"/>
            <w:lang w:eastAsia="zh-CN"/>
          </w:rPr>
          <w:tab/>
        </w:r>
        <w:r w:rsidR="009D7FFD" w:rsidRPr="00892861">
          <w:rPr>
            <w:rStyle w:val="Hyperlink"/>
            <w:rFonts w:ascii="SimSun" w:hAnsi="SimSun" w:cs="SimSun" w:hint="eastAsia"/>
            <w:lang w:eastAsia="zh-CN"/>
          </w:rPr>
          <w:t>有关非电离电磁辐射以及部署无线网络和相关基础设施时人体暴露监管的国际电联中美洲项目</w:t>
        </w:r>
        <w:r w:rsidR="009D7FFD">
          <w:rPr>
            <w:webHidden/>
          </w:rPr>
          <w:tab/>
        </w:r>
        <w:r w:rsidR="00466AE5">
          <w:rPr>
            <w:webHidden/>
          </w:rPr>
          <w:tab/>
        </w:r>
        <w:r w:rsidR="009D7FFD">
          <w:rPr>
            <w:webHidden/>
          </w:rPr>
          <w:fldChar w:fldCharType="begin"/>
        </w:r>
        <w:r w:rsidR="009D7FFD">
          <w:rPr>
            <w:webHidden/>
          </w:rPr>
          <w:instrText xml:space="preserve"> PAGEREF _Toc377132357 \h </w:instrText>
        </w:r>
        <w:r w:rsidR="009D7FFD">
          <w:rPr>
            <w:webHidden/>
          </w:rPr>
        </w:r>
        <w:r w:rsidR="009D7FFD">
          <w:rPr>
            <w:webHidden/>
          </w:rPr>
          <w:fldChar w:fldCharType="separate"/>
        </w:r>
        <w:r w:rsidR="00FE71A7">
          <w:rPr>
            <w:webHidden/>
          </w:rPr>
          <w:t>11</w:t>
        </w:r>
        <w:r w:rsidR="009D7FFD">
          <w:rPr>
            <w:webHidden/>
          </w:rPr>
          <w:fldChar w:fldCharType="end"/>
        </w:r>
      </w:hyperlink>
    </w:p>
    <w:p w:rsidR="009D7FFD" w:rsidRDefault="004D6922">
      <w:pPr>
        <w:pStyle w:val="TOC1"/>
        <w:rPr>
          <w:rFonts w:asciiTheme="minorHAnsi" w:eastAsiaTheme="minorEastAsia" w:hAnsiTheme="minorHAnsi" w:cstheme="minorBidi"/>
          <w:b w:val="0"/>
          <w:bCs w:val="0"/>
          <w:spacing w:val="0"/>
          <w:szCs w:val="22"/>
          <w:lang w:eastAsia="zh-CN"/>
        </w:rPr>
      </w:pPr>
      <w:hyperlink w:anchor="_Toc377132358" w:history="1">
        <w:r w:rsidR="009D7FFD" w:rsidRPr="00892861">
          <w:rPr>
            <w:rStyle w:val="Hyperlink"/>
            <w:lang w:eastAsia="zh-CN"/>
          </w:rPr>
          <w:t>7</w:t>
        </w:r>
        <w:r w:rsidR="009D7FFD">
          <w:rPr>
            <w:rFonts w:asciiTheme="minorHAnsi" w:eastAsiaTheme="minorEastAsia" w:hAnsiTheme="minorHAnsi" w:cstheme="minorBidi"/>
            <w:b w:val="0"/>
            <w:bCs w:val="0"/>
            <w:spacing w:val="0"/>
            <w:szCs w:val="22"/>
            <w:lang w:eastAsia="zh-CN"/>
          </w:rPr>
          <w:tab/>
        </w:r>
        <w:r w:rsidR="009D7FFD" w:rsidRPr="00892861">
          <w:rPr>
            <w:rStyle w:val="Hyperlink"/>
            <w:rFonts w:ascii="SimSun" w:hAnsi="SimSun" w:cs="SimSun" w:hint="eastAsia"/>
            <w:lang w:eastAsia="zh-CN"/>
          </w:rPr>
          <w:t>为成员国提供的指导</w:t>
        </w:r>
        <w:r w:rsidR="009D7FFD">
          <w:rPr>
            <w:webHidden/>
          </w:rPr>
          <w:tab/>
        </w:r>
        <w:r w:rsidR="00466AE5">
          <w:rPr>
            <w:webHidden/>
          </w:rPr>
          <w:tab/>
        </w:r>
        <w:r w:rsidR="009D7FFD">
          <w:rPr>
            <w:webHidden/>
          </w:rPr>
          <w:fldChar w:fldCharType="begin"/>
        </w:r>
        <w:r w:rsidR="009D7FFD">
          <w:rPr>
            <w:webHidden/>
          </w:rPr>
          <w:instrText xml:space="preserve"> PAGEREF _Toc377132358 \h </w:instrText>
        </w:r>
        <w:r w:rsidR="009D7FFD">
          <w:rPr>
            <w:webHidden/>
          </w:rPr>
        </w:r>
        <w:r w:rsidR="009D7FFD">
          <w:rPr>
            <w:webHidden/>
          </w:rPr>
          <w:fldChar w:fldCharType="separate"/>
        </w:r>
        <w:r w:rsidR="00FE71A7">
          <w:rPr>
            <w:webHidden/>
          </w:rPr>
          <w:t>15</w:t>
        </w:r>
        <w:r w:rsidR="009D7FFD">
          <w:rPr>
            <w:webHidden/>
          </w:rPr>
          <w:fldChar w:fldCharType="end"/>
        </w:r>
      </w:hyperlink>
    </w:p>
    <w:p w:rsidR="009D7FFD" w:rsidRDefault="004D6922">
      <w:pPr>
        <w:pStyle w:val="TOC1"/>
        <w:rPr>
          <w:rFonts w:asciiTheme="minorHAnsi" w:eastAsiaTheme="minorEastAsia" w:hAnsiTheme="minorHAnsi" w:cstheme="minorBidi"/>
          <w:b w:val="0"/>
          <w:bCs w:val="0"/>
          <w:spacing w:val="0"/>
          <w:szCs w:val="22"/>
          <w:lang w:eastAsia="zh-CN"/>
        </w:rPr>
      </w:pPr>
      <w:hyperlink w:anchor="_Toc377132359" w:history="1">
        <w:r w:rsidR="009D7FFD" w:rsidRPr="00892861">
          <w:rPr>
            <w:rStyle w:val="Hyperlink"/>
            <w:lang w:eastAsia="zh-CN"/>
          </w:rPr>
          <w:t>8</w:t>
        </w:r>
        <w:r w:rsidR="009D7FFD">
          <w:rPr>
            <w:rFonts w:asciiTheme="minorHAnsi" w:eastAsiaTheme="minorEastAsia" w:hAnsiTheme="minorHAnsi" w:cstheme="minorBidi"/>
            <w:b w:val="0"/>
            <w:bCs w:val="0"/>
            <w:spacing w:val="0"/>
            <w:szCs w:val="22"/>
            <w:lang w:eastAsia="zh-CN"/>
          </w:rPr>
          <w:tab/>
        </w:r>
        <w:r w:rsidR="009D7FFD" w:rsidRPr="00892861">
          <w:rPr>
            <w:rStyle w:val="Hyperlink"/>
            <w:rFonts w:ascii="SimSun" w:hAnsi="SimSun" w:cs="SimSun" w:hint="eastAsia"/>
            <w:lang w:eastAsia="zh-CN"/>
          </w:rPr>
          <w:t>结论</w:t>
        </w:r>
        <w:r w:rsidR="009D7FFD">
          <w:rPr>
            <w:webHidden/>
          </w:rPr>
          <w:tab/>
        </w:r>
        <w:r w:rsidR="00466AE5">
          <w:rPr>
            <w:webHidden/>
          </w:rPr>
          <w:tab/>
        </w:r>
        <w:r w:rsidR="009D7FFD">
          <w:rPr>
            <w:webHidden/>
          </w:rPr>
          <w:fldChar w:fldCharType="begin"/>
        </w:r>
        <w:r w:rsidR="009D7FFD">
          <w:rPr>
            <w:webHidden/>
          </w:rPr>
          <w:instrText xml:space="preserve"> PAGEREF _Toc377132359 \h </w:instrText>
        </w:r>
        <w:r w:rsidR="009D7FFD">
          <w:rPr>
            <w:webHidden/>
          </w:rPr>
        </w:r>
        <w:r w:rsidR="009D7FFD">
          <w:rPr>
            <w:webHidden/>
          </w:rPr>
          <w:fldChar w:fldCharType="separate"/>
        </w:r>
        <w:r w:rsidR="00FE71A7">
          <w:rPr>
            <w:webHidden/>
          </w:rPr>
          <w:t>17</w:t>
        </w:r>
        <w:r w:rsidR="009D7FFD">
          <w:rPr>
            <w:webHidden/>
          </w:rPr>
          <w:fldChar w:fldCharType="end"/>
        </w:r>
      </w:hyperlink>
    </w:p>
    <w:p w:rsidR="009D7FFD" w:rsidRDefault="004D6922">
      <w:pPr>
        <w:pStyle w:val="TOC1"/>
        <w:rPr>
          <w:rFonts w:asciiTheme="minorHAnsi" w:eastAsiaTheme="minorEastAsia" w:hAnsiTheme="minorHAnsi" w:cstheme="minorBidi"/>
          <w:b w:val="0"/>
          <w:bCs w:val="0"/>
          <w:spacing w:val="0"/>
          <w:szCs w:val="22"/>
          <w:lang w:eastAsia="zh-CN"/>
        </w:rPr>
      </w:pPr>
      <w:hyperlink w:anchor="_Toc377132360" w:history="1">
        <w:r w:rsidR="009D7FFD" w:rsidRPr="00892861">
          <w:rPr>
            <w:rStyle w:val="Hyperlink"/>
            <w:lang w:eastAsia="zh-CN"/>
          </w:rPr>
          <w:t>9</w:t>
        </w:r>
        <w:r w:rsidR="009D7FFD">
          <w:rPr>
            <w:rFonts w:asciiTheme="minorHAnsi" w:eastAsiaTheme="minorEastAsia" w:hAnsiTheme="minorHAnsi" w:cstheme="minorBidi"/>
            <w:b w:val="0"/>
            <w:bCs w:val="0"/>
            <w:spacing w:val="0"/>
            <w:szCs w:val="22"/>
            <w:lang w:eastAsia="zh-CN"/>
          </w:rPr>
          <w:tab/>
        </w:r>
        <w:r w:rsidR="009D7FFD" w:rsidRPr="00892861">
          <w:rPr>
            <w:rStyle w:val="Hyperlink"/>
            <w:rFonts w:ascii="SimSun" w:hAnsi="SimSun" w:cs="SimSun" w:hint="eastAsia"/>
            <w:lang w:eastAsia="zh-CN"/>
          </w:rPr>
          <w:t>指导原则</w:t>
        </w:r>
        <w:r w:rsidR="009D7FFD">
          <w:rPr>
            <w:webHidden/>
          </w:rPr>
          <w:tab/>
        </w:r>
        <w:r w:rsidR="00466AE5">
          <w:rPr>
            <w:webHidden/>
          </w:rPr>
          <w:tab/>
        </w:r>
        <w:r w:rsidR="009D7FFD">
          <w:rPr>
            <w:webHidden/>
          </w:rPr>
          <w:fldChar w:fldCharType="begin"/>
        </w:r>
        <w:r w:rsidR="009D7FFD">
          <w:rPr>
            <w:webHidden/>
          </w:rPr>
          <w:instrText xml:space="preserve"> PAGEREF _Toc377132360 \h </w:instrText>
        </w:r>
        <w:r w:rsidR="009D7FFD">
          <w:rPr>
            <w:webHidden/>
          </w:rPr>
        </w:r>
        <w:r w:rsidR="009D7FFD">
          <w:rPr>
            <w:webHidden/>
          </w:rPr>
          <w:fldChar w:fldCharType="separate"/>
        </w:r>
        <w:r w:rsidR="00FE71A7">
          <w:rPr>
            <w:webHidden/>
          </w:rPr>
          <w:t>17</w:t>
        </w:r>
        <w:r w:rsidR="009D7FFD">
          <w:rPr>
            <w:webHidden/>
          </w:rPr>
          <w:fldChar w:fldCharType="end"/>
        </w:r>
      </w:hyperlink>
    </w:p>
    <w:p w:rsidR="009D7FFD" w:rsidRDefault="004D6922">
      <w:pPr>
        <w:pStyle w:val="TOC2"/>
        <w:rPr>
          <w:rFonts w:asciiTheme="minorHAnsi" w:eastAsiaTheme="minorEastAsia" w:hAnsiTheme="minorHAnsi" w:cstheme="minorBidi"/>
          <w:bCs w:val="0"/>
          <w:spacing w:val="0"/>
          <w:szCs w:val="22"/>
          <w:lang w:val="en-US" w:eastAsia="zh-CN"/>
        </w:rPr>
      </w:pPr>
      <w:hyperlink w:anchor="_Toc377132361" w:history="1">
        <w:r w:rsidR="009D7FFD" w:rsidRPr="00892861">
          <w:rPr>
            <w:rStyle w:val="Hyperlink"/>
            <w:lang w:eastAsia="zh-CN"/>
          </w:rPr>
          <w:t>9.1</w:t>
        </w:r>
        <w:r w:rsidR="009D7FFD">
          <w:rPr>
            <w:rFonts w:asciiTheme="minorHAnsi" w:eastAsiaTheme="minorEastAsia" w:hAnsiTheme="minorHAnsi" w:cstheme="minorBidi"/>
            <w:bCs w:val="0"/>
            <w:spacing w:val="0"/>
            <w:szCs w:val="22"/>
            <w:lang w:val="en-US" w:eastAsia="zh-CN"/>
          </w:rPr>
          <w:tab/>
        </w:r>
        <w:r w:rsidR="009D7FFD" w:rsidRPr="00892861">
          <w:rPr>
            <w:rStyle w:val="Hyperlink"/>
            <w:rFonts w:hint="eastAsia"/>
            <w:lang w:eastAsia="zh-CN"/>
          </w:rPr>
          <w:t>指导原则的范围</w:t>
        </w:r>
        <w:r w:rsidR="009D7FFD">
          <w:rPr>
            <w:webHidden/>
          </w:rPr>
          <w:tab/>
        </w:r>
        <w:r w:rsidR="00466AE5">
          <w:rPr>
            <w:webHidden/>
          </w:rPr>
          <w:tab/>
        </w:r>
        <w:r w:rsidR="009D7FFD">
          <w:rPr>
            <w:webHidden/>
          </w:rPr>
          <w:fldChar w:fldCharType="begin"/>
        </w:r>
        <w:r w:rsidR="009D7FFD">
          <w:rPr>
            <w:webHidden/>
          </w:rPr>
          <w:instrText xml:space="preserve"> PAGEREF _Toc377132361 \h </w:instrText>
        </w:r>
        <w:r w:rsidR="009D7FFD">
          <w:rPr>
            <w:webHidden/>
          </w:rPr>
        </w:r>
        <w:r w:rsidR="009D7FFD">
          <w:rPr>
            <w:webHidden/>
          </w:rPr>
          <w:fldChar w:fldCharType="separate"/>
        </w:r>
        <w:r w:rsidR="00FE71A7">
          <w:rPr>
            <w:webHidden/>
          </w:rPr>
          <w:t>17</w:t>
        </w:r>
        <w:r w:rsidR="009D7FFD">
          <w:rPr>
            <w:webHidden/>
          </w:rPr>
          <w:fldChar w:fldCharType="end"/>
        </w:r>
      </w:hyperlink>
    </w:p>
    <w:p w:rsidR="009D7FFD" w:rsidRDefault="004D6922">
      <w:pPr>
        <w:pStyle w:val="TOC2"/>
        <w:rPr>
          <w:rFonts w:asciiTheme="minorHAnsi" w:eastAsiaTheme="minorEastAsia" w:hAnsiTheme="minorHAnsi" w:cstheme="minorBidi"/>
          <w:bCs w:val="0"/>
          <w:spacing w:val="0"/>
          <w:szCs w:val="22"/>
          <w:lang w:val="en-US" w:eastAsia="zh-CN"/>
        </w:rPr>
      </w:pPr>
      <w:hyperlink w:anchor="_Toc377132362" w:history="1">
        <w:r w:rsidR="009D7FFD" w:rsidRPr="00892861">
          <w:rPr>
            <w:rStyle w:val="Hyperlink"/>
            <w:lang w:eastAsia="zh-CN"/>
          </w:rPr>
          <w:t>9.2</w:t>
        </w:r>
        <w:r w:rsidR="009D7FFD">
          <w:rPr>
            <w:rFonts w:asciiTheme="minorHAnsi" w:eastAsiaTheme="minorEastAsia" w:hAnsiTheme="minorHAnsi" w:cstheme="minorBidi"/>
            <w:bCs w:val="0"/>
            <w:spacing w:val="0"/>
            <w:szCs w:val="22"/>
            <w:lang w:val="en-US" w:eastAsia="zh-CN"/>
          </w:rPr>
          <w:tab/>
        </w:r>
        <w:r w:rsidR="009D7FFD" w:rsidRPr="00892861">
          <w:rPr>
            <w:rStyle w:val="Hyperlink"/>
            <w:rFonts w:hint="eastAsia"/>
            <w:lang w:eastAsia="zh-CN"/>
          </w:rPr>
          <w:t>导则的目标</w:t>
        </w:r>
        <w:r w:rsidR="009D7FFD">
          <w:rPr>
            <w:webHidden/>
          </w:rPr>
          <w:tab/>
        </w:r>
        <w:r w:rsidR="00466AE5">
          <w:rPr>
            <w:webHidden/>
          </w:rPr>
          <w:tab/>
        </w:r>
        <w:r w:rsidR="009D7FFD">
          <w:rPr>
            <w:webHidden/>
          </w:rPr>
          <w:fldChar w:fldCharType="begin"/>
        </w:r>
        <w:r w:rsidR="009D7FFD">
          <w:rPr>
            <w:webHidden/>
          </w:rPr>
          <w:instrText xml:space="preserve"> PAGEREF _Toc377132362 \h </w:instrText>
        </w:r>
        <w:r w:rsidR="009D7FFD">
          <w:rPr>
            <w:webHidden/>
          </w:rPr>
        </w:r>
        <w:r w:rsidR="009D7FFD">
          <w:rPr>
            <w:webHidden/>
          </w:rPr>
          <w:fldChar w:fldCharType="separate"/>
        </w:r>
        <w:r w:rsidR="00FE71A7">
          <w:rPr>
            <w:webHidden/>
          </w:rPr>
          <w:t>18</w:t>
        </w:r>
        <w:r w:rsidR="009D7FFD">
          <w:rPr>
            <w:webHidden/>
          </w:rPr>
          <w:fldChar w:fldCharType="end"/>
        </w:r>
      </w:hyperlink>
    </w:p>
    <w:p w:rsidR="009D7FFD" w:rsidRDefault="004D6922">
      <w:pPr>
        <w:pStyle w:val="TOC2"/>
        <w:rPr>
          <w:rFonts w:asciiTheme="minorHAnsi" w:eastAsiaTheme="minorEastAsia" w:hAnsiTheme="minorHAnsi" w:cstheme="minorBidi"/>
          <w:bCs w:val="0"/>
          <w:spacing w:val="0"/>
          <w:szCs w:val="22"/>
          <w:lang w:val="en-US" w:eastAsia="zh-CN"/>
        </w:rPr>
      </w:pPr>
      <w:hyperlink w:anchor="_Toc377132363" w:history="1">
        <w:r w:rsidR="009D7FFD" w:rsidRPr="00892861">
          <w:rPr>
            <w:rStyle w:val="Hyperlink"/>
            <w:lang w:eastAsia="zh-CN"/>
          </w:rPr>
          <w:t>9.3</w:t>
        </w:r>
        <w:r w:rsidR="009D7FFD">
          <w:rPr>
            <w:rFonts w:asciiTheme="minorHAnsi" w:eastAsiaTheme="minorEastAsia" w:hAnsiTheme="minorHAnsi" w:cstheme="minorBidi"/>
            <w:bCs w:val="0"/>
            <w:spacing w:val="0"/>
            <w:szCs w:val="22"/>
            <w:lang w:val="en-US" w:eastAsia="zh-CN"/>
          </w:rPr>
          <w:tab/>
        </w:r>
        <w:r w:rsidR="009D7FFD" w:rsidRPr="00892861">
          <w:rPr>
            <w:rStyle w:val="Hyperlink"/>
            <w:rFonts w:hint="eastAsia"/>
            <w:lang w:eastAsia="zh-CN"/>
          </w:rPr>
          <w:t>导则制定原则</w:t>
        </w:r>
        <w:r w:rsidR="009D7FFD">
          <w:rPr>
            <w:webHidden/>
          </w:rPr>
          <w:tab/>
        </w:r>
        <w:r w:rsidR="00466AE5">
          <w:rPr>
            <w:webHidden/>
          </w:rPr>
          <w:tab/>
        </w:r>
        <w:r w:rsidR="009D7FFD">
          <w:rPr>
            <w:webHidden/>
          </w:rPr>
          <w:fldChar w:fldCharType="begin"/>
        </w:r>
        <w:r w:rsidR="009D7FFD">
          <w:rPr>
            <w:webHidden/>
          </w:rPr>
          <w:instrText xml:space="preserve"> PAGEREF _Toc377132363 \h </w:instrText>
        </w:r>
        <w:r w:rsidR="009D7FFD">
          <w:rPr>
            <w:webHidden/>
          </w:rPr>
        </w:r>
        <w:r w:rsidR="009D7FFD">
          <w:rPr>
            <w:webHidden/>
          </w:rPr>
          <w:fldChar w:fldCharType="separate"/>
        </w:r>
        <w:r w:rsidR="00FE71A7">
          <w:rPr>
            <w:webHidden/>
          </w:rPr>
          <w:t>18</w:t>
        </w:r>
        <w:r w:rsidR="009D7FFD">
          <w:rPr>
            <w:webHidden/>
          </w:rPr>
          <w:fldChar w:fldCharType="end"/>
        </w:r>
      </w:hyperlink>
    </w:p>
    <w:p w:rsidR="009D7FFD" w:rsidRDefault="004D6922">
      <w:pPr>
        <w:pStyle w:val="TOC2"/>
        <w:rPr>
          <w:rFonts w:asciiTheme="minorHAnsi" w:eastAsiaTheme="minorEastAsia" w:hAnsiTheme="minorHAnsi" w:cstheme="minorBidi"/>
          <w:bCs w:val="0"/>
          <w:spacing w:val="0"/>
          <w:szCs w:val="22"/>
          <w:lang w:val="en-US" w:eastAsia="zh-CN"/>
        </w:rPr>
      </w:pPr>
      <w:hyperlink w:anchor="_Toc377132364" w:history="1">
        <w:r w:rsidR="009D7FFD" w:rsidRPr="00892861">
          <w:rPr>
            <w:rStyle w:val="Hyperlink"/>
            <w:lang w:eastAsia="zh-CN"/>
          </w:rPr>
          <w:t>9.4</w:t>
        </w:r>
        <w:r w:rsidR="009D7FFD">
          <w:rPr>
            <w:rFonts w:asciiTheme="minorHAnsi" w:eastAsiaTheme="minorEastAsia" w:hAnsiTheme="minorHAnsi" w:cstheme="minorBidi"/>
            <w:bCs w:val="0"/>
            <w:spacing w:val="0"/>
            <w:szCs w:val="22"/>
            <w:lang w:val="en-US" w:eastAsia="zh-CN"/>
          </w:rPr>
          <w:tab/>
        </w:r>
        <w:r w:rsidR="009D7FFD" w:rsidRPr="00892861">
          <w:rPr>
            <w:rStyle w:val="Hyperlink"/>
            <w:rFonts w:hint="eastAsia"/>
            <w:lang w:eastAsia="zh-CN"/>
          </w:rPr>
          <w:t>电磁场辐射相关运营商的义务</w:t>
        </w:r>
        <w:r w:rsidR="009D7FFD">
          <w:rPr>
            <w:webHidden/>
          </w:rPr>
          <w:tab/>
        </w:r>
        <w:r w:rsidR="00466AE5">
          <w:rPr>
            <w:webHidden/>
          </w:rPr>
          <w:tab/>
        </w:r>
        <w:r w:rsidR="009D7FFD">
          <w:rPr>
            <w:webHidden/>
          </w:rPr>
          <w:fldChar w:fldCharType="begin"/>
        </w:r>
        <w:r w:rsidR="009D7FFD">
          <w:rPr>
            <w:webHidden/>
          </w:rPr>
          <w:instrText xml:space="preserve"> PAGEREF _Toc377132364 \h </w:instrText>
        </w:r>
        <w:r w:rsidR="009D7FFD">
          <w:rPr>
            <w:webHidden/>
          </w:rPr>
        </w:r>
        <w:r w:rsidR="009D7FFD">
          <w:rPr>
            <w:webHidden/>
          </w:rPr>
          <w:fldChar w:fldCharType="separate"/>
        </w:r>
        <w:r w:rsidR="00FE71A7">
          <w:rPr>
            <w:webHidden/>
          </w:rPr>
          <w:t>18</w:t>
        </w:r>
        <w:r w:rsidR="009D7FFD">
          <w:rPr>
            <w:webHidden/>
          </w:rPr>
          <w:fldChar w:fldCharType="end"/>
        </w:r>
      </w:hyperlink>
    </w:p>
    <w:p w:rsidR="009D7FFD" w:rsidRDefault="004D6922">
      <w:pPr>
        <w:pStyle w:val="TOC2"/>
        <w:rPr>
          <w:rFonts w:asciiTheme="minorHAnsi" w:eastAsiaTheme="minorEastAsia" w:hAnsiTheme="minorHAnsi" w:cstheme="minorBidi"/>
          <w:bCs w:val="0"/>
          <w:spacing w:val="0"/>
          <w:szCs w:val="22"/>
          <w:lang w:val="en-US" w:eastAsia="zh-CN"/>
        </w:rPr>
      </w:pPr>
      <w:hyperlink w:anchor="_Toc377132365" w:history="1">
        <w:r w:rsidR="009D7FFD" w:rsidRPr="00892861">
          <w:rPr>
            <w:rStyle w:val="Hyperlink"/>
            <w:lang w:eastAsia="zh-CN"/>
          </w:rPr>
          <w:t>9.5</w:t>
        </w:r>
        <w:r w:rsidR="009D7FFD">
          <w:rPr>
            <w:rFonts w:asciiTheme="minorHAnsi" w:eastAsiaTheme="minorEastAsia" w:hAnsiTheme="minorHAnsi" w:cstheme="minorBidi"/>
            <w:bCs w:val="0"/>
            <w:spacing w:val="0"/>
            <w:szCs w:val="22"/>
            <w:lang w:val="en-US" w:eastAsia="zh-CN"/>
          </w:rPr>
          <w:tab/>
        </w:r>
        <w:r w:rsidR="009D7FFD" w:rsidRPr="00892861">
          <w:rPr>
            <w:rStyle w:val="Hyperlink"/>
            <w:rFonts w:hint="eastAsia"/>
            <w:lang w:eastAsia="zh-CN"/>
          </w:rPr>
          <w:t>目标</w:t>
        </w:r>
        <w:r w:rsidR="009D7FFD">
          <w:rPr>
            <w:webHidden/>
          </w:rPr>
          <w:tab/>
        </w:r>
        <w:r w:rsidR="00466AE5">
          <w:rPr>
            <w:webHidden/>
          </w:rPr>
          <w:tab/>
        </w:r>
        <w:r w:rsidR="009D7FFD">
          <w:rPr>
            <w:webHidden/>
          </w:rPr>
          <w:fldChar w:fldCharType="begin"/>
        </w:r>
        <w:r w:rsidR="009D7FFD">
          <w:rPr>
            <w:webHidden/>
          </w:rPr>
          <w:instrText xml:space="preserve"> PAGEREF _Toc377132365 \h </w:instrText>
        </w:r>
        <w:r w:rsidR="009D7FFD">
          <w:rPr>
            <w:webHidden/>
          </w:rPr>
        </w:r>
        <w:r w:rsidR="009D7FFD">
          <w:rPr>
            <w:webHidden/>
          </w:rPr>
          <w:fldChar w:fldCharType="separate"/>
        </w:r>
        <w:r w:rsidR="00FE71A7">
          <w:rPr>
            <w:webHidden/>
          </w:rPr>
          <w:t>19</w:t>
        </w:r>
        <w:r w:rsidR="009D7FFD">
          <w:rPr>
            <w:webHidden/>
          </w:rPr>
          <w:fldChar w:fldCharType="end"/>
        </w:r>
      </w:hyperlink>
    </w:p>
    <w:p w:rsidR="009D7FFD" w:rsidRDefault="004D6922">
      <w:pPr>
        <w:pStyle w:val="TOC2"/>
        <w:rPr>
          <w:rFonts w:asciiTheme="minorHAnsi" w:eastAsiaTheme="minorEastAsia" w:hAnsiTheme="minorHAnsi" w:cstheme="minorBidi"/>
          <w:bCs w:val="0"/>
          <w:spacing w:val="0"/>
          <w:szCs w:val="22"/>
          <w:lang w:val="en-US" w:eastAsia="zh-CN"/>
        </w:rPr>
      </w:pPr>
      <w:hyperlink w:anchor="_Toc377132366" w:history="1">
        <w:r w:rsidR="009D7FFD" w:rsidRPr="00892861">
          <w:rPr>
            <w:rStyle w:val="Hyperlink"/>
            <w:lang w:eastAsia="zh-CN"/>
          </w:rPr>
          <w:t>9.6</w:t>
        </w:r>
        <w:r w:rsidR="009D7FFD">
          <w:rPr>
            <w:rFonts w:asciiTheme="minorHAnsi" w:eastAsiaTheme="minorEastAsia" w:hAnsiTheme="minorHAnsi" w:cstheme="minorBidi"/>
            <w:bCs w:val="0"/>
            <w:spacing w:val="0"/>
            <w:szCs w:val="22"/>
            <w:lang w:val="en-US" w:eastAsia="zh-CN"/>
          </w:rPr>
          <w:tab/>
        </w:r>
        <w:r w:rsidR="009D7FFD" w:rsidRPr="00892861">
          <w:rPr>
            <w:rStyle w:val="Hyperlink"/>
            <w:rFonts w:hint="eastAsia"/>
            <w:lang w:eastAsia="zh-CN"/>
          </w:rPr>
          <w:t>测量</w:t>
        </w:r>
        <w:r w:rsidR="009D7FFD">
          <w:rPr>
            <w:webHidden/>
          </w:rPr>
          <w:tab/>
        </w:r>
        <w:r w:rsidR="00466AE5">
          <w:rPr>
            <w:webHidden/>
          </w:rPr>
          <w:tab/>
        </w:r>
        <w:r w:rsidR="009D7FFD">
          <w:rPr>
            <w:webHidden/>
          </w:rPr>
          <w:fldChar w:fldCharType="begin"/>
        </w:r>
        <w:r w:rsidR="009D7FFD">
          <w:rPr>
            <w:webHidden/>
          </w:rPr>
          <w:instrText xml:space="preserve"> PAGEREF _Toc377132366 \h </w:instrText>
        </w:r>
        <w:r w:rsidR="009D7FFD">
          <w:rPr>
            <w:webHidden/>
          </w:rPr>
        </w:r>
        <w:r w:rsidR="009D7FFD">
          <w:rPr>
            <w:webHidden/>
          </w:rPr>
          <w:fldChar w:fldCharType="separate"/>
        </w:r>
        <w:r w:rsidR="00FE71A7">
          <w:rPr>
            <w:webHidden/>
          </w:rPr>
          <w:t>19</w:t>
        </w:r>
        <w:r w:rsidR="009D7FFD">
          <w:rPr>
            <w:webHidden/>
          </w:rPr>
          <w:fldChar w:fldCharType="end"/>
        </w:r>
      </w:hyperlink>
    </w:p>
    <w:p w:rsidR="009D7FFD" w:rsidRDefault="004D6922">
      <w:pPr>
        <w:pStyle w:val="TOC2"/>
        <w:rPr>
          <w:rFonts w:asciiTheme="minorHAnsi" w:eastAsiaTheme="minorEastAsia" w:hAnsiTheme="minorHAnsi" w:cstheme="minorBidi"/>
          <w:bCs w:val="0"/>
          <w:spacing w:val="0"/>
          <w:szCs w:val="22"/>
          <w:lang w:val="en-US" w:eastAsia="zh-CN"/>
        </w:rPr>
      </w:pPr>
      <w:hyperlink w:anchor="_Toc377132367" w:history="1">
        <w:r w:rsidR="009D7FFD" w:rsidRPr="00892861">
          <w:rPr>
            <w:rStyle w:val="Hyperlink"/>
            <w:lang w:eastAsia="zh-CN"/>
          </w:rPr>
          <w:t>9.7</w:t>
        </w:r>
        <w:r w:rsidR="009D7FFD">
          <w:rPr>
            <w:rFonts w:asciiTheme="minorHAnsi" w:eastAsiaTheme="minorEastAsia" w:hAnsiTheme="minorHAnsi" w:cstheme="minorBidi"/>
            <w:bCs w:val="0"/>
            <w:spacing w:val="0"/>
            <w:szCs w:val="22"/>
            <w:lang w:val="en-US" w:eastAsia="zh-CN"/>
          </w:rPr>
          <w:tab/>
        </w:r>
        <w:r w:rsidR="009D7FFD" w:rsidRPr="00892861">
          <w:rPr>
            <w:rStyle w:val="Hyperlink"/>
            <w:rFonts w:hint="eastAsia"/>
            <w:lang w:eastAsia="zh-CN"/>
          </w:rPr>
          <w:t>监管机构发布测量结果</w:t>
        </w:r>
        <w:r w:rsidR="009D7FFD">
          <w:rPr>
            <w:webHidden/>
          </w:rPr>
          <w:tab/>
        </w:r>
        <w:r w:rsidR="00466AE5">
          <w:rPr>
            <w:webHidden/>
          </w:rPr>
          <w:tab/>
        </w:r>
        <w:r w:rsidR="009D7FFD">
          <w:rPr>
            <w:webHidden/>
          </w:rPr>
          <w:fldChar w:fldCharType="begin"/>
        </w:r>
        <w:r w:rsidR="009D7FFD">
          <w:rPr>
            <w:webHidden/>
          </w:rPr>
          <w:instrText xml:space="preserve"> PAGEREF _Toc377132367 \h </w:instrText>
        </w:r>
        <w:r w:rsidR="009D7FFD">
          <w:rPr>
            <w:webHidden/>
          </w:rPr>
        </w:r>
        <w:r w:rsidR="009D7FFD">
          <w:rPr>
            <w:webHidden/>
          </w:rPr>
          <w:fldChar w:fldCharType="separate"/>
        </w:r>
        <w:r w:rsidR="00FE71A7">
          <w:rPr>
            <w:webHidden/>
          </w:rPr>
          <w:t>19</w:t>
        </w:r>
        <w:r w:rsidR="009D7FFD">
          <w:rPr>
            <w:webHidden/>
          </w:rPr>
          <w:fldChar w:fldCharType="end"/>
        </w:r>
      </w:hyperlink>
    </w:p>
    <w:p w:rsidR="009D7FFD" w:rsidRDefault="004D6922">
      <w:pPr>
        <w:pStyle w:val="TOC2"/>
        <w:rPr>
          <w:rFonts w:asciiTheme="minorHAnsi" w:eastAsiaTheme="minorEastAsia" w:hAnsiTheme="minorHAnsi" w:cstheme="minorBidi"/>
          <w:bCs w:val="0"/>
          <w:spacing w:val="0"/>
          <w:szCs w:val="22"/>
          <w:lang w:val="en-US" w:eastAsia="zh-CN"/>
        </w:rPr>
      </w:pPr>
      <w:hyperlink w:anchor="_Toc377132368" w:history="1">
        <w:r w:rsidR="009D7FFD" w:rsidRPr="00892861">
          <w:rPr>
            <w:rStyle w:val="Hyperlink"/>
            <w:lang w:eastAsia="zh-CN"/>
          </w:rPr>
          <w:t>9.8</w:t>
        </w:r>
        <w:r w:rsidR="009D7FFD">
          <w:rPr>
            <w:rFonts w:asciiTheme="minorHAnsi" w:eastAsiaTheme="minorEastAsia" w:hAnsiTheme="minorHAnsi" w:cstheme="minorBidi"/>
            <w:bCs w:val="0"/>
            <w:spacing w:val="0"/>
            <w:szCs w:val="22"/>
            <w:lang w:val="en-US" w:eastAsia="zh-CN"/>
          </w:rPr>
          <w:tab/>
        </w:r>
        <w:r w:rsidR="009D7FFD" w:rsidRPr="00892861">
          <w:rPr>
            <w:rStyle w:val="Hyperlink"/>
            <w:rFonts w:hint="eastAsia"/>
            <w:lang w:eastAsia="zh-CN"/>
          </w:rPr>
          <w:t>出版物的内容与格式</w:t>
        </w:r>
        <w:r w:rsidR="009D7FFD">
          <w:rPr>
            <w:webHidden/>
          </w:rPr>
          <w:tab/>
        </w:r>
        <w:r w:rsidR="00466AE5">
          <w:rPr>
            <w:webHidden/>
          </w:rPr>
          <w:tab/>
        </w:r>
        <w:r w:rsidR="009D7FFD">
          <w:rPr>
            <w:webHidden/>
          </w:rPr>
          <w:fldChar w:fldCharType="begin"/>
        </w:r>
        <w:r w:rsidR="009D7FFD">
          <w:rPr>
            <w:webHidden/>
          </w:rPr>
          <w:instrText xml:space="preserve"> PAGEREF _Toc377132368 \h </w:instrText>
        </w:r>
        <w:r w:rsidR="009D7FFD">
          <w:rPr>
            <w:webHidden/>
          </w:rPr>
        </w:r>
        <w:r w:rsidR="009D7FFD">
          <w:rPr>
            <w:webHidden/>
          </w:rPr>
          <w:fldChar w:fldCharType="separate"/>
        </w:r>
        <w:r w:rsidR="00FE71A7">
          <w:rPr>
            <w:webHidden/>
          </w:rPr>
          <w:t>20</w:t>
        </w:r>
        <w:r w:rsidR="009D7FFD">
          <w:rPr>
            <w:webHidden/>
          </w:rPr>
          <w:fldChar w:fldCharType="end"/>
        </w:r>
      </w:hyperlink>
    </w:p>
    <w:p w:rsidR="00466AE5" w:rsidRPr="00E03965" w:rsidRDefault="00466AE5" w:rsidP="00466AE5">
      <w:pPr>
        <w:pStyle w:val="Toc0"/>
        <w:rPr>
          <w:lang w:eastAsia="zh-CN"/>
        </w:rPr>
      </w:pPr>
      <w:r w:rsidRPr="00E03965">
        <w:rPr>
          <w:rFonts w:hint="eastAsia"/>
          <w:lang w:eastAsia="zh-CN"/>
        </w:rPr>
        <w:lastRenderedPageBreak/>
        <w:tab/>
      </w:r>
      <w:r>
        <w:rPr>
          <w:rFonts w:hint="eastAsia"/>
          <w:lang w:eastAsia="zh-CN"/>
        </w:rPr>
        <w:t>页码</w:t>
      </w:r>
    </w:p>
    <w:p w:rsidR="009D7FFD" w:rsidRDefault="004D6922">
      <w:pPr>
        <w:pStyle w:val="TOC2"/>
        <w:rPr>
          <w:rFonts w:asciiTheme="minorHAnsi" w:eastAsiaTheme="minorEastAsia" w:hAnsiTheme="minorHAnsi" w:cstheme="minorBidi"/>
          <w:bCs w:val="0"/>
          <w:spacing w:val="0"/>
          <w:szCs w:val="22"/>
          <w:lang w:val="en-US" w:eastAsia="zh-CN"/>
        </w:rPr>
      </w:pPr>
      <w:hyperlink w:anchor="_Toc377132369" w:history="1">
        <w:r w:rsidR="009D7FFD" w:rsidRPr="00892861">
          <w:rPr>
            <w:rStyle w:val="Hyperlink"/>
            <w:lang w:eastAsia="zh-CN"/>
          </w:rPr>
          <w:t>9.9</w:t>
        </w:r>
        <w:r w:rsidR="009D7FFD">
          <w:rPr>
            <w:rFonts w:asciiTheme="minorHAnsi" w:eastAsiaTheme="minorEastAsia" w:hAnsiTheme="minorHAnsi" w:cstheme="minorBidi"/>
            <w:bCs w:val="0"/>
            <w:spacing w:val="0"/>
            <w:szCs w:val="22"/>
            <w:lang w:val="en-US" w:eastAsia="zh-CN"/>
          </w:rPr>
          <w:tab/>
        </w:r>
        <w:r w:rsidR="009D7FFD" w:rsidRPr="00892861">
          <w:rPr>
            <w:rStyle w:val="Hyperlink"/>
            <w:rFonts w:hint="eastAsia"/>
            <w:lang w:eastAsia="zh-CN"/>
          </w:rPr>
          <w:t>检查与调查</w:t>
        </w:r>
        <w:r w:rsidR="009D7FFD">
          <w:rPr>
            <w:webHidden/>
          </w:rPr>
          <w:tab/>
        </w:r>
        <w:r w:rsidR="00466AE5">
          <w:rPr>
            <w:webHidden/>
          </w:rPr>
          <w:tab/>
        </w:r>
        <w:r w:rsidR="009D7FFD">
          <w:rPr>
            <w:webHidden/>
          </w:rPr>
          <w:fldChar w:fldCharType="begin"/>
        </w:r>
        <w:r w:rsidR="009D7FFD">
          <w:rPr>
            <w:webHidden/>
          </w:rPr>
          <w:instrText xml:space="preserve"> PAGEREF _Toc377132369 \h </w:instrText>
        </w:r>
        <w:r w:rsidR="009D7FFD">
          <w:rPr>
            <w:webHidden/>
          </w:rPr>
        </w:r>
        <w:r w:rsidR="009D7FFD">
          <w:rPr>
            <w:webHidden/>
          </w:rPr>
          <w:fldChar w:fldCharType="separate"/>
        </w:r>
        <w:r w:rsidR="00FE71A7">
          <w:rPr>
            <w:webHidden/>
          </w:rPr>
          <w:t>20</w:t>
        </w:r>
        <w:r w:rsidR="009D7FFD">
          <w:rPr>
            <w:webHidden/>
          </w:rPr>
          <w:fldChar w:fldCharType="end"/>
        </w:r>
      </w:hyperlink>
    </w:p>
    <w:p w:rsidR="009D7FFD" w:rsidRDefault="004D6922">
      <w:pPr>
        <w:pStyle w:val="TOC2"/>
        <w:rPr>
          <w:rFonts w:asciiTheme="minorHAnsi" w:eastAsiaTheme="minorEastAsia" w:hAnsiTheme="minorHAnsi" w:cstheme="minorBidi"/>
          <w:bCs w:val="0"/>
          <w:spacing w:val="0"/>
          <w:szCs w:val="22"/>
          <w:lang w:val="en-US" w:eastAsia="zh-CN"/>
        </w:rPr>
      </w:pPr>
      <w:hyperlink w:anchor="_Toc377132370" w:history="1">
        <w:r w:rsidR="009D7FFD" w:rsidRPr="00892861">
          <w:rPr>
            <w:rStyle w:val="Hyperlink"/>
            <w:lang w:eastAsia="zh-CN"/>
          </w:rPr>
          <w:t>9.10</w:t>
        </w:r>
        <w:r w:rsidR="009D7FFD">
          <w:rPr>
            <w:rFonts w:asciiTheme="minorHAnsi" w:eastAsiaTheme="minorEastAsia" w:hAnsiTheme="minorHAnsi" w:cstheme="minorBidi"/>
            <w:bCs w:val="0"/>
            <w:spacing w:val="0"/>
            <w:szCs w:val="22"/>
            <w:lang w:val="en-US" w:eastAsia="zh-CN"/>
          </w:rPr>
          <w:tab/>
        </w:r>
        <w:r w:rsidR="009D7FFD" w:rsidRPr="00892861">
          <w:rPr>
            <w:rStyle w:val="Hyperlink"/>
            <w:rFonts w:hint="eastAsia"/>
            <w:lang w:eastAsia="zh-CN"/>
          </w:rPr>
          <w:t>对指导原则的修改</w:t>
        </w:r>
        <w:r w:rsidR="009D7FFD">
          <w:rPr>
            <w:webHidden/>
          </w:rPr>
          <w:tab/>
        </w:r>
        <w:r w:rsidR="00466AE5">
          <w:rPr>
            <w:webHidden/>
          </w:rPr>
          <w:tab/>
        </w:r>
        <w:r w:rsidR="009D7FFD">
          <w:rPr>
            <w:webHidden/>
          </w:rPr>
          <w:fldChar w:fldCharType="begin"/>
        </w:r>
        <w:r w:rsidR="009D7FFD">
          <w:rPr>
            <w:webHidden/>
          </w:rPr>
          <w:instrText xml:space="preserve"> PAGEREF _Toc377132370 \h </w:instrText>
        </w:r>
        <w:r w:rsidR="009D7FFD">
          <w:rPr>
            <w:webHidden/>
          </w:rPr>
        </w:r>
        <w:r w:rsidR="009D7FFD">
          <w:rPr>
            <w:webHidden/>
          </w:rPr>
          <w:fldChar w:fldCharType="separate"/>
        </w:r>
        <w:r w:rsidR="00FE71A7">
          <w:rPr>
            <w:webHidden/>
          </w:rPr>
          <w:t>20</w:t>
        </w:r>
        <w:r w:rsidR="009D7FFD">
          <w:rPr>
            <w:webHidden/>
          </w:rPr>
          <w:fldChar w:fldCharType="end"/>
        </w:r>
      </w:hyperlink>
    </w:p>
    <w:p w:rsidR="009D7FFD" w:rsidRPr="00466AE5" w:rsidRDefault="0066005A" w:rsidP="00466AE5">
      <w:pPr>
        <w:pStyle w:val="TOC1"/>
        <w:rPr>
          <w:rFonts w:asciiTheme="minorHAnsi" w:eastAsiaTheme="minorEastAsia" w:hAnsiTheme="minorHAnsi" w:cstheme="minorBidi"/>
          <w:b w:val="0"/>
          <w:bCs w:val="0"/>
          <w:spacing w:val="0"/>
          <w:szCs w:val="22"/>
          <w:lang w:eastAsia="zh-CN"/>
        </w:rPr>
      </w:pPr>
      <w:r w:rsidRPr="0066005A">
        <w:t>I.</w:t>
      </w:r>
      <w:r w:rsidRPr="0066005A">
        <w:tab/>
        <w:t>Annexes</w:t>
      </w:r>
      <w:r w:rsidR="009D7FFD" w:rsidRPr="00466AE5">
        <w:rPr>
          <w:webHidden/>
        </w:rPr>
        <w:tab/>
      </w:r>
      <w:r w:rsidR="00466AE5" w:rsidRPr="00466AE5">
        <w:rPr>
          <w:webHidden/>
        </w:rPr>
        <w:tab/>
        <w:t>2</w:t>
      </w:r>
      <w:r w:rsidR="002F72CF">
        <w:rPr>
          <w:rFonts w:hint="eastAsia"/>
          <w:webHidden/>
          <w:lang w:eastAsia="zh-CN"/>
        </w:rPr>
        <w:t>5</w:t>
      </w:r>
    </w:p>
    <w:p w:rsidR="00466AE5" w:rsidRDefault="00466AE5" w:rsidP="00466AE5">
      <w:pPr>
        <w:pStyle w:val="TOC1"/>
        <w:ind w:left="1134" w:hanging="1134"/>
        <w:rPr>
          <w:rFonts w:asciiTheme="minorHAnsi" w:eastAsiaTheme="minorEastAsia" w:hAnsiTheme="minorHAnsi" w:cstheme="minorBidi"/>
          <w:b w:val="0"/>
          <w:bCs w:val="0"/>
          <w:szCs w:val="22"/>
          <w:lang w:eastAsia="zh-CN"/>
        </w:rPr>
      </w:pPr>
      <w:r w:rsidRPr="00497634">
        <w:t xml:space="preserve">Annex 1: </w:t>
      </w:r>
      <w:r>
        <w:tab/>
      </w:r>
      <w:r w:rsidRPr="00497634">
        <w:t>RF Exposure Units and Standards</w:t>
      </w:r>
      <w:r>
        <w:rPr>
          <w:webHidden/>
        </w:rPr>
        <w:tab/>
      </w:r>
      <w:r>
        <w:rPr>
          <w:webHidden/>
        </w:rPr>
        <w:tab/>
        <w:t>2</w:t>
      </w:r>
      <w:r w:rsidR="002F72CF">
        <w:rPr>
          <w:rFonts w:hint="eastAsia"/>
          <w:webHidden/>
          <w:lang w:eastAsia="zh-CN"/>
        </w:rPr>
        <w:t>5</w:t>
      </w:r>
    </w:p>
    <w:p w:rsidR="00466AE5" w:rsidRDefault="00466AE5" w:rsidP="00466AE5">
      <w:pPr>
        <w:pStyle w:val="TOC1"/>
        <w:ind w:left="1134" w:hanging="1134"/>
        <w:rPr>
          <w:rFonts w:asciiTheme="minorHAnsi" w:eastAsiaTheme="minorEastAsia" w:hAnsiTheme="minorHAnsi" w:cstheme="minorBidi"/>
          <w:b w:val="0"/>
          <w:bCs w:val="0"/>
          <w:szCs w:val="22"/>
          <w:lang w:eastAsia="zh-CN"/>
        </w:rPr>
      </w:pPr>
      <w:r w:rsidRPr="00497634">
        <w:t>Annex 2:</w:t>
      </w:r>
      <w:r>
        <w:tab/>
      </w:r>
      <w:r w:rsidRPr="00497634">
        <w:t xml:space="preserve"> ICNIRP 1998 Exposure Levels and IEEE Levels</w:t>
      </w:r>
      <w:r>
        <w:rPr>
          <w:webHidden/>
        </w:rPr>
        <w:tab/>
      </w:r>
      <w:r>
        <w:rPr>
          <w:webHidden/>
        </w:rPr>
        <w:tab/>
      </w:r>
      <w:r w:rsidR="002F72CF">
        <w:rPr>
          <w:rFonts w:hint="eastAsia"/>
          <w:webHidden/>
          <w:lang w:eastAsia="zh-CN"/>
        </w:rPr>
        <w:t>26</w:t>
      </w:r>
    </w:p>
    <w:p w:rsidR="00466AE5" w:rsidRDefault="00466AE5" w:rsidP="00466AE5">
      <w:pPr>
        <w:pStyle w:val="TOC1"/>
        <w:ind w:left="1134" w:hanging="1134"/>
        <w:rPr>
          <w:rFonts w:asciiTheme="minorHAnsi" w:eastAsiaTheme="minorEastAsia" w:hAnsiTheme="minorHAnsi" w:cstheme="minorBidi"/>
          <w:b w:val="0"/>
          <w:bCs w:val="0"/>
          <w:szCs w:val="22"/>
          <w:lang w:eastAsia="zh-CN"/>
        </w:rPr>
      </w:pPr>
      <w:r w:rsidRPr="00497634">
        <w:t xml:space="preserve">Annex 3: </w:t>
      </w:r>
      <w:r>
        <w:tab/>
      </w:r>
      <w:r w:rsidRPr="00497634">
        <w:t>Mandate of Question 23/1 (WTDC-10/139 (Rev.1)).</w:t>
      </w:r>
      <w:r>
        <w:rPr>
          <w:webHidden/>
        </w:rPr>
        <w:tab/>
      </w:r>
      <w:r>
        <w:rPr>
          <w:webHidden/>
        </w:rPr>
        <w:tab/>
      </w:r>
      <w:r w:rsidR="002F72CF">
        <w:rPr>
          <w:rFonts w:hint="eastAsia"/>
          <w:webHidden/>
          <w:lang w:eastAsia="zh-CN"/>
        </w:rPr>
        <w:t>29</w:t>
      </w:r>
    </w:p>
    <w:p w:rsidR="00466AE5" w:rsidRDefault="00466AE5" w:rsidP="00466AE5">
      <w:pPr>
        <w:pStyle w:val="TOC1"/>
        <w:ind w:left="1134" w:hanging="1134"/>
        <w:rPr>
          <w:rFonts w:asciiTheme="minorHAnsi" w:eastAsiaTheme="minorEastAsia" w:hAnsiTheme="minorHAnsi" w:cstheme="minorBidi"/>
          <w:b w:val="0"/>
          <w:bCs w:val="0"/>
          <w:szCs w:val="22"/>
          <w:lang w:eastAsia="zh-CN"/>
        </w:rPr>
      </w:pPr>
      <w:r w:rsidRPr="00497634">
        <w:t xml:space="preserve">Annex 4: </w:t>
      </w:r>
      <w:r>
        <w:rPr>
          <w:rFonts w:asciiTheme="minorHAnsi" w:eastAsiaTheme="minorEastAsia" w:hAnsiTheme="minorHAnsi" w:cstheme="minorBidi"/>
          <w:b w:val="0"/>
          <w:bCs w:val="0"/>
          <w:szCs w:val="22"/>
          <w:lang w:eastAsia="zh-CN"/>
        </w:rPr>
        <w:tab/>
      </w:r>
      <w:r w:rsidRPr="00497634">
        <w:t>WTSA-12 Resolution 72 on “Measurement concerns related to human exposure to electromagnetic fields”'</w:t>
      </w:r>
      <w:r>
        <w:rPr>
          <w:webHidden/>
        </w:rPr>
        <w:tab/>
      </w:r>
      <w:r>
        <w:rPr>
          <w:webHidden/>
        </w:rPr>
        <w:tab/>
        <w:t>3</w:t>
      </w:r>
      <w:r w:rsidR="002F72CF">
        <w:rPr>
          <w:rFonts w:hint="eastAsia"/>
          <w:webHidden/>
          <w:lang w:eastAsia="zh-CN"/>
        </w:rPr>
        <w:t>0</w:t>
      </w:r>
    </w:p>
    <w:p w:rsidR="00466AE5" w:rsidRDefault="00466AE5" w:rsidP="00466AE5">
      <w:pPr>
        <w:pStyle w:val="TOC1"/>
        <w:ind w:left="1134" w:hanging="1134"/>
        <w:rPr>
          <w:rFonts w:asciiTheme="minorHAnsi" w:eastAsiaTheme="minorEastAsia" w:hAnsiTheme="minorHAnsi" w:cstheme="minorBidi"/>
          <w:b w:val="0"/>
          <w:bCs w:val="0"/>
          <w:szCs w:val="22"/>
          <w:lang w:eastAsia="zh-CN"/>
        </w:rPr>
      </w:pPr>
      <w:r w:rsidRPr="00497634">
        <w:t xml:space="preserve">Annex 5: </w:t>
      </w:r>
      <w:r>
        <w:rPr>
          <w:rFonts w:asciiTheme="minorHAnsi" w:eastAsiaTheme="minorEastAsia" w:hAnsiTheme="minorHAnsi" w:cstheme="minorBidi"/>
          <w:b w:val="0"/>
          <w:bCs w:val="0"/>
          <w:szCs w:val="22"/>
          <w:lang w:eastAsia="zh-CN"/>
        </w:rPr>
        <w:tab/>
      </w:r>
      <w:r w:rsidRPr="00497634">
        <w:t>WTDC-10 Resolution 62 on "Measurement concerns related to human exposure to EMF"</w:t>
      </w:r>
      <w:r w:rsidRPr="00497634">
        <w:tab/>
      </w:r>
      <w:r w:rsidRPr="00497634">
        <w:tab/>
      </w:r>
      <w:r>
        <w:rPr>
          <w:webHidden/>
        </w:rPr>
        <w:t>3</w:t>
      </w:r>
      <w:r w:rsidR="002F72CF">
        <w:rPr>
          <w:rFonts w:hint="eastAsia"/>
          <w:webHidden/>
          <w:lang w:eastAsia="zh-CN"/>
        </w:rPr>
        <w:t>3</w:t>
      </w:r>
    </w:p>
    <w:p w:rsidR="00466AE5" w:rsidRDefault="00466AE5" w:rsidP="00466AE5">
      <w:pPr>
        <w:pStyle w:val="TOC1"/>
        <w:ind w:left="1134" w:hanging="1134"/>
        <w:rPr>
          <w:rFonts w:asciiTheme="minorHAnsi" w:eastAsiaTheme="minorEastAsia" w:hAnsiTheme="minorHAnsi" w:cstheme="minorBidi"/>
          <w:b w:val="0"/>
          <w:bCs w:val="0"/>
          <w:szCs w:val="22"/>
          <w:lang w:eastAsia="zh-CN"/>
        </w:rPr>
      </w:pPr>
      <w:r w:rsidRPr="00497634">
        <w:t xml:space="preserve">Annex 6: </w:t>
      </w:r>
      <w:r>
        <w:rPr>
          <w:rFonts w:asciiTheme="minorHAnsi" w:eastAsiaTheme="minorEastAsia" w:hAnsiTheme="minorHAnsi" w:cstheme="minorBidi"/>
          <w:b w:val="0"/>
          <w:bCs w:val="0"/>
          <w:szCs w:val="22"/>
          <w:lang w:eastAsia="zh-CN"/>
        </w:rPr>
        <w:tab/>
      </w:r>
      <w:r w:rsidRPr="00497634">
        <w:t>Plenipotentiary Conference (PP-10) Resolution 176 on "Human exposure to and measurement of electromagnetic fields".</w:t>
      </w:r>
      <w:r>
        <w:rPr>
          <w:webHidden/>
        </w:rPr>
        <w:tab/>
      </w:r>
      <w:r>
        <w:rPr>
          <w:webHidden/>
        </w:rPr>
        <w:tab/>
        <w:t>3</w:t>
      </w:r>
      <w:r w:rsidR="002F72CF">
        <w:rPr>
          <w:rFonts w:hint="eastAsia"/>
          <w:webHidden/>
          <w:lang w:eastAsia="zh-CN"/>
        </w:rPr>
        <w:t>5</w:t>
      </w:r>
    </w:p>
    <w:p w:rsidR="00466AE5" w:rsidRDefault="00466AE5" w:rsidP="00466AE5">
      <w:pPr>
        <w:pStyle w:val="TOC1"/>
        <w:ind w:left="1134" w:hanging="1134"/>
        <w:rPr>
          <w:rFonts w:asciiTheme="minorHAnsi" w:eastAsiaTheme="minorEastAsia" w:hAnsiTheme="minorHAnsi" w:cstheme="minorBidi"/>
          <w:b w:val="0"/>
          <w:bCs w:val="0"/>
          <w:szCs w:val="22"/>
          <w:lang w:eastAsia="zh-CN"/>
        </w:rPr>
      </w:pPr>
      <w:r w:rsidRPr="00497634">
        <w:t xml:space="preserve">Annex 7: </w:t>
      </w:r>
      <w:r>
        <w:tab/>
      </w:r>
      <w:r w:rsidRPr="00497634">
        <w:t>ITU Project in Central America Document</w:t>
      </w:r>
      <w:r>
        <w:rPr>
          <w:webHidden/>
        </w:rPr>
        <w:tab/>
      </w:r>
      <w:r>
        <w:rPr>
          <w:webHidden/>
        </w:rPr>
        <w:tab/>
      </w:r>
      <w:r w:rsidR="002F72CF">
        <w:rPr>
          <w:rFonts w:hint="eastAsia"/>
          <w:webHidden/>
          <w:lang w:eastAsia="zh-CN"/>
        </w:rPr>
        <w:t>37</w:t>
      </w:r>
    </w:p>
    <w:p w:rsidR="00466AE5" w:rsidRDefault="00466AE5" w:rsidP="00466AE5">
      <w:pPr>
        <w:pStyle w:val="TOC1"/>
        <w:ind w:left="1134" w:hanging="1134"/>
        <w:rPr>
          <w:rFonts w:asciiTheme="minorHAnsi" w:eastAsiaTheme="minorEastAsia" w:hAnsiTheme="minorHAnsi" w:cstheme="minorBidi"/>
          <w:b w:val="0"/>
          <w:bCs w:val="0"/>
          <w:szCs w:val="22"/>
          <w:lang w:eastAsia="zh-CN"/>
        </w:rPr>
      </w:pPr>
      <w:r w:rsidRPr="00497634">
        <w:t xml:space="preserve">Annex 8: </w:t>
      </w:r>
      <w:r>
        <w:tab/>
      </w:r>
      <w:r w:rsidRPr="00497634">
        <w:t>Q23/1 Work Plan</w:t>
      </w:r>
      <w:r>
        <w:rPr>
          <w:webHidden/>
        </w:rPr>
        <w:tab/>
      </w:r>
      <w:r>
        <w:rPr>
          <w:webHidden/>
        </w:rPr>
        <w:tab/>
      </w:r>
      <w:r w:rsidR="002F72CF">
        <w:rPr>
          <w:rFonts w:hint="eastAsia"/>
          <w:webHidden/>
          <w:lang w:eastAsia="zh-CN"/>
        </w:rPr>
        <w:t>38</w:t>
      </w:r>
    </w:p>
    <w:p w:rsidR="00466AE5" w:rsidRDefault="00466AE5" w:rsidP="00466AE5">
      <w:pPr>
        <w:pStyle w:val="TOC1"/>
        <w:ind w:left="1134" w:hanging="1134"/>
        <w:rPr>
          <w:rFonts w:asciiTheme="minorHAnsi" w:eastAsiaTheme="minorEastAsia" w:hAnsiTheme="minorHAnsi" w:cstheme="minorBidi"/>
          <w:b w:val="0"/>
          <w:bCs w:val="0"/>
          <w:szCs w:val="22"/>
          <w:lang w:eastAsia="zh-CN"/>
        </w:rPr>
      </w:pPr>
      <w:r w:rsidRPr="00497634">
        <w:t xml:space="preserve">Annex 9: </w:t>
      </w:r>
      <w:r>
        <w:tab/>
      </w:r>
      <w:r w:rsidRPr="00497634">
        <w:t>Documents for Q23/1</w:t>
      </w:r>
      <w:r>
        <w:rPr>
          <w:webHidden/>
        </w:rPr>
        <w:tab/>
      </w:r>
      <w:r>
        <w:rPr>
          <w:webHidden/>
        </w:rPr>
        <w:tab/>
      </w:r>
      <w:r w:rsidR="002F72CF">
        <w:rPr>
          <w:rFonts w:hint="eastAsia"/>
          <w:webHidden/>
          <w:lang w:eastAsia="zh-CN"/>
        </w:rPr>
        <w:t>40</w:t>
      </w:r>
    </w:p>
    <w:p w:rsidR="00466AE5" w:rsidRDefault="00466AE5" w:rsidP="00466AE5">
      <w:pPr>
        <w:pStyle w:val="TOC1"/>
        <w:ind w:left="1134" w:hanging="1134"/>
        <w:rPr>
          <w:rFonts w:asciiTheme="minorHAnsi" w:eastAsiaTheme="minorEastAsia" w:hAnsiTheme="minorHAnsi" w:cstheme="minorBidi"/>
          <w:b w:val="0"/>
          <w:bCs w:val="0"/>
          <w:szCs w:val="22"/>
          <w:lang w:eastAsia="zh-CN"/>
        </w:rPr>
      </w:pPr>
      <w:r w:rsidRPr="00497634">
        <w:t xml:space="preserve">Annex 10: </w:t>
      </w:r>
      <w:r>
        <w:tab/>
      </w:r>
      <w:r w:rsidRPr="00497634">
        <w:t>A case study from India on EMF</w:t>
      </w:r>
      <w:r>
        <w:rPr>
          <w:webHidden/>
        </w:rPr>
        <w:tab/>
      </w:r>
      <w:r>
        <w:rPr>
          <w:webHidden/>
        </w:rPr>
        <w:tab/>
        <w:t>4</w:t>
      </w:r>
      <w:r w:rsidR="002F72CF">
        <w:rPr>
          <w:rFonts w:hint="eastAsia"/>
          <w:webHidden/>
          <w:lang w:eastAsia="zh-CN"/>
        </w:rPr>
        <w:t>1</w:t>
      </w:r>
    </w:p>
    <w:p w:rsidR="00466AE5" w:rsidRDefault="0066005A" w:rsidP="00466AE5">
      <w:pPr>
        <w:pStyle w:val="TOC1"/>
        <w:rPr>
          <w:rFonts w:asciiTheme="minorHAnsi" w:eastAsiaTheme="minorEastAsia" w:hAnsiTheme="minorHAnsi" w:cstheme="minorBidi"/>
          <w:b w:val="0"/>
          <w:bCs w:val="0"/>
          <w:szCs w:val="22"/>
          <w:lang w:eastAsia="zh-CN"/>
        </w:rPr>
      </w:pPr>
      <w:r w:rsidRPr="0066005A">
        <w:rPr>
          <w:lang w:eastAsia="zh-CN"/>
        </w:rPr>
        <w:t>II.</w:t>
      </w:r>
      <w:r w:rsidRPr="0066005A">
        <w:rPr>
          <w:lang w:eastAsia="zh-CN"/>
        </w:rPr>
        <w:tab/>
        <w:t>List of Contributions</w:t>
      </w:r>
      <w:r w:rsidR="00466AE5">
        <w:rPr>
          <w:webHidden/>
          <w:lang w:eastAsia="zh-CN"/>
        </w:rPr>
        <w:tab/>
      </w:r>
      <w:r w:rsidR="00466AE5">
        <w:rPr>
          <w:webHidden/>
          <w:lang w:eastAsia="zh-CN"/>
        </w:rPr>
        <w:tab/>
        <w:t>5</w:t>
      </w:r>
      <w:r w:rsidR="002F72CF">
        <w:rPr>
          <w:rFonts w:hint="eastAsia"/>
          <w:webHidden/>
          <w:lang w:eastAsia="zh-CN"/>
        </w:rPr>
        <w:t>2</w:t>
      </w:r>
    </w:p>
    <w:p w:rsidR="00466AE5" w:rsidRDefault="0066005A" w:rsidP="00466AE5">
      <w:pPr>
        <w:pStyle w:val="TOC1"/>
        <w:rPr>
          <w:rFonts w:asciiTheme="minorHAnsi" w:eastAsiaTheme="minorEastAsia" w:hAnsiTheme="minorHAnsi" w:cstheme="minorBidi"/>
          <w:b w:val="0"/>
          <w:bCs w:val="0"/>
          <w:szCs w:val="22"/>
          <w:lang w:eastAsia="zh-CN"/>
        </w:rPr>
      </w:pPr>
      <w:r w:rsidRPr="0066005A">
        <w:rPr>
          <w:lang w:eastAsia="zh-CN"/>
        </w:rPr>
        <w:t>III.</w:t>
      </w:r>
      <w:r w:rsidRPr="0066005A">
        <w:rPr>
          <w:lang w:eastAsia="zh-CN"/>
        </w:rPr>
        <w:tab/>
        <w:t>References</w:t>
      </w:r>
      <w:r w:rsidR="00466AE5">
        <w:rPr>
          <w:webHidden/>
          <w:lang w:eastAsia="zh-CN"/>
        </w:rPr>
        <w:tab/>
      </w:r>
      <w:r w:rsidR="00466AE5">
        <w:rPr>
          <w:webHidden/>
          <w:lang w:eastAsia="zh-CN"/>
        </w:rPr>
        <w:tab/>
        <w:t>5</w:t>
      </w:r>
      <w:r w:rsidR="002F72CF">
        <w:rPr>
          <w:rFonts w:hint="eastAsia"/>
          <w:webHidden/>
          <w:lang w:eastAsia="zh-CN"/>
        </w:rPr>
        <w:t>3</w:t>
      </w:r>
    </w:p>
    <w:p w:rsidR="00E03965" w:rsidRPr="00AD22C3" w:rsidRDefault="00DB519F" w:rsidP="00E03965">
      <w:pPr>
        <w:rPr>
          <w:lang w:val="en-US" w:eastAsia="zh-CN"/>
        </w:rPr>
      </w:pPr>
      <w:r>
        <w:rPr>
          <w:lang w:eastAsia="zh-CN"/>
        </w:rPr>
        <w:fldChar w:fldCharType="end"/>
      </w:r>
    </w:p>
    <w:p w:rsidR="0004427B" w:rsidRPr="00AD22C3" w:rsidRDefault="0004427B" w:rsidP="00E03965">
      <w:pPr>
        <w:rPr>
          <w:lang w:val="en-US" w:eastAsia="zh-CN"/>
        </w:rPr>
      </w:pPr>
    </w:p>
    <w:p w:rsidR="00894802" w:rsidRDefault="00894802" w:rsidP="00894802">
      <w:pPr>
        <w:pStyle w:val="HeadingB"/>
        <w:rPr>
          <w:lang w:eastAsia="zh-CN"/>
        </w:rPr>
      </w:pPr>
      <w:r>
        <w:rPr>
          <w:rFonts w:hint="eastAsia"/>
          <w:lang w:eastAsia="zh-CN"/>
        </w:rPr>
        <w:t>图</w:t>
      </w:r>
    </w:p>
    <w:p w:rsidR="002B47AD" w:rsidRPr="00E03965" w:rsidRDefault="002B47AD" w:rsidP="002B47AD">
      <w:pPr>
        <w:pStyle w:val="Toc0"/>
        <w:rPr>
          <w:lang w:eastAsia="zh-CN"/>
        </w:rPr>
      </w:pPr>
      <w:r w:rsidRPr="00E03965">
        <w:rPr>
          <w:rFonts w:hint="eastAsia"/>
          <w:lang w:eastAsia="zh-CN"/>
        </w:rPr>
        <w:tab/>
      </w:r>
      <w:r>
        <w:rPr>
          <w:rFonts w:hint="eastAsia"/>
          <w:lang w:eastAsia="zh-CN"/>
        </w:rPr>
        <w:t>页码</w:t>
      </w:r>
    </w:p>
    <w:p w:rsidR="0004427B" w:rsidRPr="0004427B" w:rsidRDefault="0004427B">
      <w:pPr>
        <w:pStyle w:val="TOC1"/>
        <w:rPr>
          <w:rFonts w:asciiTheme="minorHAnsi" w:eastAsiaTheme="minorEastAsia" w:hAnsiTheme="minorHAnsi" w:cstheme="minorBidi"/>
          <w:b w:val="0"/>
          <w:bCs w:val="0"/>
          <w:spacing w:val="0"/>
          <w:szCs w:val="22"/>
          <w:lang w:eastAsia="zh-CN"/>
        </w:rPr>
      </w:pPr>
      <w:r w:rsidRPr="0004427B">
        <w:rPr>
          <w:b w:val="0"/>
          <w:bCs w:val="0"/>
          <w:lang w:eastAsia="zh-CN"/>
        </w:rPr>
        <w:fldChar w:fldCharType="begin"/>
      </w:r>
      <w:r w:rsidRPr="0004427B">
        <w:rPr>
          <w:b w:val="0"/>
          <w:bCs w:val="0"/>
          <w:lang w:eastAsia="zh-CN"/>
        </w:rPr>
        <w:instrText xml:space="preserve"> </w:instrText>
      </w:r>
      <w:r w:rsidRPr="0004427B">
        <w:rPr>
          <w:rFonts w:hint="eastAsia"/>
          <w:b w:val="0"/>
          <w:bCs w:val="0"/>
          <w:lang w:eastAsia="zh-CN"/>
        </w:rPr>
        <w:instrText>TOC \h \z \t "Figure title,1"</w:instrText>
      </w:r>
      <w:r w:rsidRPr="0004427B">
        <w:rPr>
          <w:b w:val="0"/>
          <w:bCs w:val="0"/>
          <w:lang w:eastAsia="zh-CN"/>
        </w:rPr>
        <w:instrText xml:space="preserve"> </w:instrText>
      </w:r>
      <w:r w:rsidRPr="0004427B">
        <w:rPr>
          <w:b w:val="0"/>
          <w:bCs w:val="0"/>
          <w:lang w:eastAsia="zh-CN"/>
        </w:rPr>
        <w:fldChar w:fldCharType="separate"/>
      </w:r>
      <w:hyperlink w:anchor="_Toc377373430" w:history="1">
        <w:r w:rsidRPr="0004427B">
          <w:rPr>
            <w:rStyle w:val="Hyperlink"/>
            <w:rFonts w:hint="eastAsia"/>
            <w:b w:val="0"/>
            <w:bCs w:val="0"/>
            <w:lang w:eastAsia="zh-CN"/>
          </w:rPr>
          <w:t>图</w:t>
        </w:r>
        <w:r w:rsidRPr="0004427B">
          <w:rPr>
            <w:rStyle w:val="Hyperlink"/>
            <w:b w:val="0"/>
            <w:bCs w:val="0"/>
            <w:lang w:eastAsia="zh-CN"/>
          </w:rPr>
          <w:t>1</w:t>
        </w:r>
        <w:r w:rsidRPr="0004427B">
          <w:rPr>
            <w:rStyle w:val="Hyperlink"/>
            <w:rFonts w:hint="eastAsia"/>
            <w:b w:val="0"/>
            <w:bCs w:val="0"/>
            <w:lang w:eastAsia="zh-CN"/>
          </w:rPr>
          <w:t>：圣萨尔瓦多</w:t>
        </w:r>
        <w:r w:rsidRPr="0004427B">
          <w:rPr>
            <w:rStyle w:val="Hyperlink"/>
            <w:b w:val="0"/>
            <w:bCs w:val="0"/>
            <w:lang w:eastAsia="zh-CN"/>
          </w:rPr>
          <w:t>NIR</w:t>
        </w:r>
        <w:r w:rsidRPr="0004427B">
          <w:rPr>
            <w:rStyle w:val="Hyperlink"/>
            <w:rFonts w:hint="eastAsia"/>
            <w:b w:val="0"/>
            <w:bCs w:val="0"/>
            <w:lang w:eastAsia="zh-CN"/>
          </w:rPr>
          <w:t>地图，在本报告期间尚未出版</w:t>
        </w:r>
        <w:r w:rsidRPr="0004427B">
          <w:rPr>
            <w:b w:val="0"/>
            <w:bCs w:val="0"/>
            <w:webHidden/>
          </w:rPr>
          <w:tab/>
        </w:r>
        <w:r w:rsidRPr="0004427B">
          <w:rPr>
            <w:rFonts w:hint="eastAsia"/>
            <w:b w:val="0"/>
            <w:bCs w:val="0"/>
            <w:webHidden/>
            <w:lang w:eastAsia="zh-CN"/>
          </w:rPr>
          <w:tab/>
        </w:r>
        <w:r w:rsidRPr="0004427B">
          <w:rPr>
            <w:b w:val="0"/>
            <w:bCs w:val="0"/>
            <w:webHidden/>
          </w:rPr>
          <w:fldChar w:fldCharType="begin"/>
        </w:r>
        <w:r w:rsidRPr="0004427B">
          <w:rPr>
            <w:b w:val="0"/>
            <w:bCs w:val="0"/>
            <w:webHidden/>
          </w:rPr>
          <w:instrText xml:space="preserve"> PAGEREF _Toc377373430 \h </w:instrText>
        </w:r>
        <w:r w:rsidRPr="0004427B">
          <w:rPr>
            <w:b w:val="0"/>
            <w:bCs w:val="0"/>
            <w:webHidden/>
          </w:rPr>
        </w:r>
        <w:r w:rsidRPr="0004427B">
          <w:rPr>
            <w:b w:val="0"/>
            <w:bCs w:val="0"/>
            <w:webHidden/>
          </w:rPr>
          <w:fldChar w:fldCharType="separate"/>
        </w:r>
        <w:r w:rsidRPr="0004427B">
          <w:rPr>
            <w:b w:val="0"/>
            <w:bCs w:val="0"/>
            <w:webHidden/>
          </w:rPr>
          <w:t>13</w:t>
        </w:r>
        <w:r w:rsidRPr="0004427B">
          <w:rPr>
            <w:b w:val="0"/>
            <w:bCs w:val="0"/>
            <w:webHidden/>
          </w:rPr>
          <w:fldChar w:fldCharType="end"/>
        </w:r>
      </w:hyperlink>
    </w:p>
    <w:p w:rsidR="0004427B" w:rsidRPr="0004427B" w:rsidRDefault="004D6922" w:rsidP="0004427B">
      <w:pPr>
        <w:pStyle w:val="TOC1"/>
        <w:rPr>
          <w:rFonts w:asciiTheme="minorHAnsi" w:eastAsiaTheme="minorEastAsia" w:hAnsiTheme="minorHAnsi" w:cstheme="minorBidi"/>
          <w:b w:val="0"/>
          <w:bCs w:val="0"/>
          <w:spacing w:val="0"/>
          <w:szCs w:val="22"/>
          <w:lang w:eastAsia="zh-CN"/>
        </w:rPr>
      </w:pPr>
      <w:hyperlink w:anchor="_Toc377373431" w:history="1">
        <w:r w:rsidR="0004427B" w:rsidRPr="0004427B">
          <w:rPr>
            <w:rStyle w:val="Hyperlink"/>
            <w:rFonts w:hint="eastAsia"/>
            <w:b w:val="0"/>
            <w:bCs w:val="0"/>
            <w:lang w:eastAsia="zh-CN"/>
          </w:rPr>
          <w:t>图</w:t>
        </w:r>
        <w:r w:rsidR="0004427B" w:rsidRPr="0004427B">
          <w:rPr>
            <w:rStyle w:val="Hyperlink"/>
            <w:b w:val="0"/>
            <w:bCs w:val="0"/>
            <w:lang w:eastAsia="zh-CN"/>
          </w:rPr>
          <w:t>2</w:t>
        </w:r>
        <w:r w:rsidR="0004427B" w:rsidRPr="0004427B">
          <w:rPr>
            <w:rStyle w:val="Hyperlink"/>
            <w:rFonts w:hint="eastAsia"/>
            <w:b w:val="0"/>
            <w:bCs w:val="0"/>
            <w:lang w:eastAsia="zh-CN"/>
          </w:rPr>
          <w:t>：连续监测系统</w:t>
        </w:r>
        <w:r w:rsidR="0004427B" w:rsidRPr="0004427B">
          <w:rPr>
            <w:rStyle w:val="Hyperlink"/>
            <w:b w:val="0"/>
            <w:bCs w:val="0"/>
            <w:lang w:eastAsia="zh-CN"/>
          </w:rPr>
          <w:t xml:space="preserve"> – </w:t>
        </w:r>
        <w:r w:rsidR="0004427B">
          <w:rPr>
            <w:rStyle w:val="Hyperlink"/>
            <w:rFonts w:eastAsiaTheme="minorEastAsia" w:hint="eastAsia"/>
            <w:b w:val="0"/>
            <w:bCs w:val="0"/>
            <w:lang w:eastAsia="zh-CN"/>
          </w:rPr>
          <w:t>“</w:t>
        </w:r>
        <w:r w:rsidR="0004427B" w:rsidRPr="0004427B">
          <w:rPr>
            <w:rStyle w:val="Hyperlink"/>
            <w:b w:val="0"/>
            <w:bCs w:val="0"/>
            <w:lang w:eastAsia="zh-CN"/>
          </w:rPr>
          <w:t>NIR</w:t>
        </w:r>
        <w:r w:rsidR="0004427B" w:rsidRPr="0004427B">
          <w:rPr>
            <w:rStyle w:val="Hyperlink"/>
            <w:rFonts w:hint="eastAsia"/>
            <w:b w:val="0"/>
            <w:bCs w:val="0"/>
            <w:lang w:eastAsia="zh-CN"/>
          </w:rPr>
          <w:t>的民众控制”</w:t>
        </w:r>
        <w:r w:rsidR="0004427B" w:rsidRPr="0004427B">
          <w:rPr>
            <w:b w:val="0"/>
            <w:bCs w:val="0"/>
            <w:webHidden/>
          </w:rPr>
          <w:tab/>
        </w:r>
        <w:r w:rsidR="0004427B" w:rsidRPr="0004427B">
          <w:rPr>
            <w:rFonts w:hint="eastAsia"/>
            <w:b w:val="0"/>
            <w:bCs w:val="0"/>
            <w:webHidden/>
            <w:lang w:eastAsia="zh-CN"/>
          </w:rPr>
          <w:tab/>
        </w:r>
        <w:r w:rsidR="0004427B" w:rsidRPr="0004427B">
          <w:rPr>
            <w:b w:val="0"/>
            <w:bCs w:val="0"/>
            <w:webHidden/>
          </w:rPr>
          <w:fldChar w:fldCharType="begin"/>
        </w:r>
        <w:r w:rsidR="0004427B" w:rsidRPr="0004427B">
          <w:rPr>
            <w:b w:val="0"/>
            <w:bCs w:val="0"/>
            <w:webHidden/>
          </w:rPr>
          <w:instrText xml:space="preserve"> PAGEREF _Toc377373431 \h </w:instrText>
        </w:r>
        <w:r w:rsidR="0004427B" w:rsidRPr="0004427B">
          <w:rPr>
            <w:b w:val="0"/>
            <w:bCs w:val="0"/>
            <w:webHidden/>
          </w:rPr>
        </w:r>
        <w:r w:rsidR="0004427B" w:rsidRPr="0004427B">
          <w:rPr>
            <w:b w:val="0"/>
            <w:bCs w:val="0"/>
            <w:webHidden/>
          </w:rPr>
          <w:fldChar w:fldCharType="separate"/>
        </w:r>
        <w:r w:rsidR="0004427B" w:rsidRPr="0004427B">
          <w:rPr>
            <w:b w:val="0"/>
            <w:bCs w:val="0"/>
            <w:webHidden/>
          </w:rPr>
          <w:t>14</w:t>
        </w:r>
        <w:r w:rsidR="0004427B" w:rsidRPr="0004427B">
          <w:rPr>
            <w:b w:val="0"/>
            <w:bCs w:val="0"/>
            <w:webHidden/>
          </w:rPr>
          <w:fldChar w:fldCharType="end"/>
        </w:r>
      </w:hyperlink>
    </w:p>
    <w:p w:rsidR="0004427B" w:rsidRPr="0004427B" w:rsidRDefault="004D6922">
      <w:pPr>
        <w:pStyle w:val="TOC1"/>
        <w:rPr>
          <w:rFonts w:asciiTheme="minorHAnsi" w:eastAsiaTheme="minorEastAsia" w:hAnsiTheme="minorHAnsi" w:cstheme="minorBidi"/>
          <w:b w:val="0"/>
          <w:bCs w:val="0"/>
          <w:spacing w:val="0"/>
          <w:szCs w:val="22"/>
          <w:lang w:eastAsia="zh-CN"/>
        </w:rPr>
      </w:pPr>
      <w:hyperlink w:anchor="_Toc377373432" w:history="1">
        <w:r w:rsidR="0004427B" w:rsidRPr="0004427B">
          <w:rPr>
            <w:rStyle w:val="Hyperlink"/>
            <w:rFonts w:hint="eastAsia"/>
            <w:b w:val="0"/>
            <w:bCs w:val="0"/>
            <w:lang w:eastAsia="zh-CN"/>
          </w:rPr>
          <w:t>图</w:t>
        </w:r>
        <w:r w:rsidR="0004427B" w:rsidRPr="0004427B">
          <w:rPr>
            <w:rStyle w:val="Hyperlink"/>
            <w:b w:val="0"/>
            <w:bCs w:val="0"/>
            <w:lang w:eastAsia="zh-CN"/>
          </w:rPr>
          <w:t>3</w:t>
        </w:r>
        <w:r w:rsidR="0004427B" w:rsidRPr="0004427B">
          <w:rPr>
            <w:rStyle w:val="Hyperlink"/>
            <w:rFonts w:hint="eastAsia"/>
            <w:b w:val="0"/>
            <w:bCs w:val="0"/>
            <w:lang w:eastAsia="zh-CN"/>
          </w:rPr>
          <w:t>：萨尔瓦多与国际电联联合开展的连续监测系统项目</w:t>
        </w:r>
        <w:r w:rsidR="0004427B" w:rsidRPr="0004427B">
          <w:rPr>
            <w:b w:val="0"/>
            <w:bCs w:val="0"/>
            <w:webHidden/>
          </w:rPr>
          <w:tab/>
        </w:r>
        <w:r w:rsidR="0004427B" w:rsidRPr="0004427B">
          <w:rPr>
            <w:rFonts w:hint="eastAsia"/>
            <w:b w:val="0"/>
            <w:bCs w:val="0"/>
            <w:webHidden/>
            <w:lang w:eastAsia="zh-CN"/>
          </w:rPr>
          <w:tab/>
        </w:r>
        <w:r w:rsidR="0004427B" w:rsidRPr="0004427B">
          <w:rPr>
            <w:b w:val="0"/>
            <w:bCs w:val="0"/>
            <w:webHidden/>
          </w:rPr>
          <w:fldChar w:fldCharType="begin"/>
        </w:r>
        <w:r w:rsidR="0004427B" w:rsidRPr="0004427B">
          <w:rPr>
            <w:b w:val="0"/>
            <w:bCs w:val="0"/>
            <w:webHidden/>
          </w:rPr>
          <w:instrText xml:space="preserve"> PAGEREF _Toc377373432 \h </w:instrText>
        </w:r>
        <w:r w:rsidR="0004427B" w:rsidRPr="0004427B">
          <w:rPr>
            <w:b w:val="0"/>
            <w:bCs w:val="0"/>
            <w:webHidden/>
          </w:rPr>
        </w:r>
        <w:r w:rsidR="0004427B" w:rsidRPr="0004427B">
          <w:rPr>
            <w:b w:val="0"/>
            <w:bCs w:val="0"/>
            <w:webHidden/>
          </w:rPr>
          <w:fldChar w:fldCharType="separate"/>
        </w:r>
        <w:r w:rsidR="0004427B" w:rsidRPr="0004427B">
          <w:rPr>
            <w:b w:val="0"/>
            <w:bCs w:val="0"/>
            <w:webHidden/>
          </w:rPr>
          <w:t>14</w:t>
        </w:r>
        <w:r w:rsidR="0004427B" w:rsidRPr="0004427B">
          <w:rPr>
            <w:b w:val="0"/>
            <w:bCs w:val="0"/>
            <w:webHidden/>
          </w:rPr>
          <w:fldChar w:fldCharType="end"/>
        </w:r>
      </w:hyperlink>
    </w:p>
    <w:p w:rsidR="00894802" w:rsidRPr="00466AE5" w:rsidRDefault="0004427B" w:rsidP="00894802">
      <w:pPr>
        <w:rPr>
          <w:lang w:val="en-US" w:eastAsia="zh-CN"/>
        </w:rPr>
      </w:pPr>
      <w:r w:rsidRPr="0004427B">
        <w:rPr>
          <w:lang w:val="en-US" w:eastAsia="zh-CN"/>
        </w:rPr>
        <w:fldChar w:fldCharType="end"/>
      </w:r>
    </w:p>
    <w:p w:rsidR="00E03965" w:rsidRPr="00466AE5" w:rsidRDefault="00E03965">
      <w:pPr>
        <w:tabs>
          <w:tab w:val="clear" w:pos="794"/>
        </w:tabs>
        <w:spacing w:before="0"/>
        <w:jc w:val="left"/>
        <w:rPr>
          <w:lang w:val="en-US" w:eastAsia="zh-CN"/>
        </w:rPr>
      </w:pPr>
    </w:p>
    <w:p w:rsidR="00E03965" w:rsidRPr="00466AE5" w:rsidRDefault="00E03965" w:rsidP="00E03965">
      <w:pPr>
        <w:rPr>
          <w:lang w:val="en-US" w:eastAsia="zh-CN"/>
        </w:rPr>
        <w:sectPr w:rsidR="00E03965" w:rsidRPr="00466AE5" w:rsidSect="00B1349F">
          <w:headerReference w:type="even" r:id="rId12"/>
          <w:headerReference w:type="default" r:id="rId13"/>
          <w:footerReference w:type="even" r:id="rId14"/>
          <w:footerReference w:type="default" r:id="rId15"/>
          <w:headerReference w:type="first" r:id="rId16"/>
          <w:footerReference w:type="first" r:id="rId17"/>
          <w:endnotePr>
            <w:numFmt w:val="decimal"/>
          </w:endnotePr>
          <w:type w:val="oddPage"/>
          <w:pgSz w:w="11907" w:h="16840" w:code="9"/>
          <w:pgMar w:top="1418" w:right="1418" w:bottom="1418" w:left="1418" w:header="709" w:footer="709" w:gutter="0"/>
          <w:pgNumType w:fmt="lowerRoman" w:start="3"/>
          <w:cols w:space="720"/>
          <w:titlePg/>
        </w:sectPr>
      </w:pPr>
    </w:p>
    <w:p w:rsidR="00E03965" w:rsidRDefault="00E03965" w:rsidP="00E03965">
      <w:pPr>
        <w:pStyle w:val="Chapttitle"/>
        <w:rPr>
          <w:lang w:eastAsia="zh-CN"/>
        </w:rPr>
      </w:pPr>
      <w:bookmarkStart w:id="6" w:name="_Toc377129286"/>
      <w:bookmarkStart w:id="7" w:name="_Toc377132342"/>
      <w:r>
        <w:rPr>
          <w:rFonts w:hint="eastAsia"/>
          <w:lang w:eastAsia="zh-CN"/>
        </w:rPr>
        <w:lastRenderedPageBreak/>
        <w:t>第</w:t>
      </w:r>
      <w:r>
        <w:rPr>
          <w:rFonts w:hint="eastAsia"/>
          <w:lang w:eastAsia="zh-CN"/>
        </w:rPr>
        <w:t>23/1</w:t>
      </w:r>
      <w:r>
        <w:rPr>
          <w:rFonts w:hint="eastAsia"/>
          <w:lang w:eastAsia="zh-CN"/>
        </w:rPr>
        <w:t>号课题</w:t>
      </w:r>
      <w:bookmarkEnd w:id="6"/>
      <w:bookmarkEnd w:id="7"/>
      <w:r>
        <w:rPr>
          <w:lang w:eastAsia="zh-CN"/>
        </w:rPr>
        <w:br/>
      </w:r>
    </w:p>
    <w:p w:rsidR="00E03965" w:rsidRDefault="00E03965" w:rsidP="00E03965">
      <w:pPr>
        <w:pStyle w:val="Heading1"/>
        <w:rPr>
          <w:lang w:eastAsia="zh-CN"/>
        </w:rPr>
      </w:pPr>
      <w:bookmarkStart w:id="8" w:name="_Toc377132343"/>
      <w:r>
        <w:rPr>
          <w:rFonts w:hint="eastAsia"/>
          <w:lang w:eastAsia="zh-CN"/>
        </w:rPr>
        <w:t>1</w:t>
      </w:r>
      <w:r>
        <w:rPr>
          <w:rFonts w:hint="eastAsia"/>
          <w:lang w:eastAsia="zh-CN"/>
        </w:rPr>
        <w:tab/>
      </w:r>
      <w:r>
        <w:rPr>
          <w:rFonts w:ascii="SimSun" w:eastAsia="SimSun" w:hAnsi="SimSun" w:cs="SimSun" w:hint="eastAsia"/>
          <w:lang w:eastAsia="zh-CN"/>
        </w:rPr>
        <w:t>背景</w:t>
      </w:r>
      <w:bookmarkEnd w:id="8"/>
    </w:p>
    <w:p w:rsidR="00E03965" w:rsidRDefault="00E03965" w:rsidP="00E03965">
      <w:pPr>
        <w:rPr>
          <w:lang w:eastAsia="zh-CN"/>
        </w:rPr>
      </w:pPr>
      <w:r w:rsidRPr="00466AE5">
        <w:rPr>
          <w:rFonts w:hint="eastAsia"/>
          <w:lang w:val="en-US" w:eastAsia="zh-CN"/>
        </w:rPr>
        <w:t>1.1</w:t>
      </w:r>
      <w:r w:rsidRPr="00466AE5">
        <w:rPr>
          <w:rFonts w:hint="eastAsia"/>
          <w:lang w:val="en-US" w:eastAsia="zh-CN"/>
        </w:rPr>
        <w:tab/>
      </w:r>
      <w:r>
        <w:rPr>
          <w:rFonts w:hint="eastAsia"/>
          <w:lang w:eastAsia="zh-CN"/>
        </w:rPr>
        <w:t>在过去几年中</w:t>
      </w:r>
      <w:r w:rsidRPr="00466AE5">
        <w:rPr>
          <w:rFonts w:hint="eastAsia"/>
          <w:lang w:val="en-US" w:eastAsia="zh-CN"/>
        </w:rPr>
        <w:t>，</w:t>
      </w:r>
      <w:r>
        <w:rPr>
          <w:rFonts w:hint="eastAsia"/>
          <w:lang w:eastAsia="zh-CN"/>
        </w:rPr>
        <w:t>为满足城市和农村社区电信和信息技术</w:t>
      </w:r>
      <w:r w:rsidRPr="00466AE5">
        <w:rPr>
          <w:rFonts w:hint="eastAsia"/>
          <w:lang w:val="en-US" w:eastAsia="zh-CN"/>
        </w:rPr>
        <w:t>（</w:t>
      </w:r>
      <w:r w:rsidRPr="00466AE5">
        <w:rPr>
          <w:rFonts w:hint="eastAsia"/>
          <w:lang w:val="en-US" w:eastAsia="zh-CN"/>
        </w:rPr>
        <w:t>ICT</w:t>
      </w:r>
      <w:r w:rsidRPr="00466AE5">
        <w:rPr>
          <w:rFonts w:hint="eastAsia"/>
          <w:lang w:val="en-US" w:eastAsia="zh-CN"/>
        </w:rPr>
        <w:t>）</w:t>
      </w:r>
      <w:r>
        <w:rPr>
          <w:rFonts w:hint="eastAsia"/>
          <w:lang w:eastAsia="zh-CN"/>
        </w:rPr>
        <w:t>的需求</w:t>
      </w:r>
      <w:r w:rsidRPr="00466AE5">
        <w:rPr>
          <w:rFonts w:hint="eastAsia"/>
          <w:lang w:val="en-US" w:eastAsia="zh-CN"/>
        </w:rPr>
        <w:t>，</w:t>
      </w:r>
      <w:r>
        <w:rPr>
          <w:rFonts w:hint="eastAsia"/>
          <w:lang w:eastAsia="zh-CN"/>
        </w:rPr>
        <w:t>部署了不同来源的射频</w:t>
      </w:r>
      <w:r w:rsidRPr="00466AE5">
        <w:rPr>
          <w:rFonts w:hint="eastAsia"/>
          <w:lang w:val="en-US" w:eastAsia="zh-CN"/>
        </w:rPr>
        <w:t>（</w:t>
      </w:r>
      <w:r w:rsidRPr="00466AE5">
        <w:rPr>
          <w:rFonts w:hint="eastAsia"/>
          <w:lang w:val="en-US" w:eastAsia="zh-CN"/>
        </w:rPr>
        <w:t>RF</w:t>
      </w:r>
      <w:r w:rsidRPr="00466AE5">
        <w:rPr>
          <w:rFonts w:hint="eastAsia"/>
          <w:lang w:val="en-US" w:eastAsia="zh-CN"/>
        </w:rPr>
        <w:t>）</w:t>
      </w:r>
      <w:r>
        <w:rPr>
          <w:rFonts w:hint="eastAsia"/>
          <w:lang w:eastAsia="zh-CN"/>
        </w:rPr>
        <w:t>电磁场</w:t>
      </w:r>
      <w:r w:rsidRPr="00466AE5">
        <w:rPr>
          <w:rFonts w:hint="eastAsia"/>
          <w:lang w:val="en-US" w:eastAsia="zh-CN"/>
        </w:rPr>
        <w:t>（</w:t>
      </w:r>
      <w:r w:rsidRPr="00466AE5">
        <w:rPr>
          <w:rFonts w:hint="eastAsia"/>
          <w:lang w:val="en-US" w:eastAsia="zh-CN"/>
        </w:rPr>
        <w:t>EMF</w:t>
      </w:r>
      <w:r w:rsidRPr="00466AE5">
        <w:rPr>
          <w:rFonts w:hint="eastAsia"/>
          <w:lang w:val="en-US" w:eastAsia="zh-CN"/>
        </w:rPr>
        <w:t>），</w:t>
      </w:r>
      <w:r>
        <w:rPr>
          <w:rFonts w:hint="eastAsia"/>
          <w:lang w:eastAsia="zh-CN"/>
        </w:rPr>
        <w:t>这在过去几年发展非常迅速。通信技术部署的增加带来了竞争、流量增加、业务质量需求、网络覆盖以及新技术的引入。这一现象已经引起了公众关于长期暴露于通信设备发出的无线电信号可能带来的对人体健康的危害的关注。</w:t>
      </w:r>
    </w:p>
    <w:p w:rsidR="00E03965" w:rsidRDefault="00E03965" w:rsidP="00E03965">
      <w:pPr>
        <w:rPr>
          <w:lang w:eastAsia="zh-CN"/>
        </w:rPr>
      </w:pPr>
      <w:r>
        <w:rPr>
          <w:rFonts w:hint="eastAsia"/>
          <w:lang w:eastAsia="zh-CN"/>
        </w:rPr>
        <w:t>1.2</w:t>
      </w:r>
      <w:r>
        <w:rPr>
          <w:rFonts w:hint="eastAsia"/>
          <w:lang w:eastAsia="zh-CN"/>
        </w:rPr>
        <w:tab/>
      </w:r>
      <w:r>
        <w:rPr>
          <w:rFonts w:hint="eastAsia"/>
          <w:lang w:eastAsia="zh-CN"/>
        </w:rPr>
        <w:t>国际电信联盟</w:t>
      </w:r>
      <w:r>
        <w:rPr>
          <w:rFonts w:hint="eastAsia"/>
          <w:lang w:eastAsia="zh-CN"/>
        </w:rPr>
        <w:t>2011</w:t>
      </w:r>
      <w:r>
        <w:rPr>
          <w:rFonts w:hint="eastAsia"/>
          <w:lang w:eastAsia="zh-CN"/>
        </w:rPr>
        <w:t>年统计数据库表明，在</w:t>
      </w:r>
      <w:r>
        <w:rPr>
          <w:rFonts w:hint="eastAsia"/>
          <w:lang w:eastAsia="zh-CN"/>
        </w:rPr>
        <w:t>2011</w:t>
      </w:r>
      <w:r>
        <w:rPr>
          <w:rFonts w:hint="eastAsia"/>
          <w:lang w:eastAsia="zh-CN"/>
        </w:rPr>
        <w:t>年移动蜂窝注册用户数达到了</w:t>
      </w:r>
      <w:r>
        <w:rPr>
          <w:rFonts w:hint="eastAsia"/>
          <w:lang w:eastAsia="zh-CN"/>
        </w:rPr>
        <w:t>60</w:t>
      </w:r>
      <w:r>
        <w:rPr>
          <w:rFonts w:hint="eastAsia"/>
          <w:lang w:eastAsia="zh-CN"/>
        </w:rPr>
        <w:t>亿。当用户达到</w:t>
      </w:r>
      <w:r>
        <w:rPr>
          <w:rFonts w:hint="eastAsia"/>
          <w:lang w:eastAsia="zh-CN"/>
        </w:rPr>
        <w:t>59</w:t>
      </w:r>
      <w:r>
        <w:rPr>
          <w:rFonts w:hint="eastAsia"/>
          <w:lang w:eastAsia="zh-CN"/>
        </w:rPr>
        <w:t>亿时，全球和发展中世界普及率分别为</w:t>
      </w:r>
      <w:r>
        <w:rPr>
          <w:rFonts w:hint="eastAsia"/>
          <w:lang w:eastAsia="zh-CN"/>
        </w:rPr>
        <w:t>87%</w:t>
      </w:r>
      <w:r>
        <w:rPr>
          <w:rFonts w:hint="eastAsia"/>
          <w:lang w:eastAsia="zh-CN"/>
        </w:rPr>
        <w:t>和</w:t>
      </w:r>
      <w:r w:rsidR="00355D14">
        <w:rPr>
          <w:rFonts w:hint="eastAsia"/>
          <w:lang w:eastAsia="zh-CN"/>
        </w:rPr>
        <w:t>79%</w:t>
      </w:r>
      <w:r w:rsidR="00355D14">
        <w:rPr>
          <w:rStyle w:val="FootnoteReference"/>
          <w:lang w:eastAsia="zh-CN"/>
        </w:rPr>
        <w:footnoteReference w:id="2"/>
      </w:r>
      <w:r>
        <w:rPr>
          <w:rFonts w:hint="eastAsia"/>
          <w:lang w:eastAsia="zh-CN"/>
        </w:rPr>
        <w:t>。随着移动业务的增长，预期全球移动电话用户数将继续增加，这意味着基站也将增加。</w:t>
      </w:r>
    </w:p>
    <w:p w:rsidR="00E03965" w:rsidRDefault="00E03965" w:rsidP="00E03965">
      <w:pPr>
        <w:rPr>
          <w:lang w:eastAsia="zh-CN"/>
        </w:rPr>
      </w:pPr>
      <w:r>
        <w:rPr>
          <w:rFonts w:hint="eastAsia"/>
          <w:lang w:eastAsia="zh-CN"/>
        </w:rPr>
        <w:t>1.3</w:t>
      </w:r>
      <w:r>
        <w:rPr>
          <w:rFonts w:hint="eastAsia"/>
          <w:lang w:eastAsia="zh-CN"/>
        </w:rPr>
        <w:tab/>
      </w:r>
      <w:r>
        <w:rPr>
          <w:rFonts w:hint="eastAsia"/>
          <w:lang w:eastAsia="zh-CN"/>
        </w:rPr>
        <w:t>社会上对于电信设施无线电信号暴露可能造成的影响的担忧，也因为这些设施的建立并不总能征询民意而愈演愈烈。有证据显示射频暴露可能产生的有害效应是包容万象的，这一事实导致了很多结论，诸如在世界上一些国家被认为可能引发严重健康威胁。该报告的更高价值在于考察了某些国家如何防止射频暴露负面效应的出现。</w:t>
      </w:r>
    </w:p>
    <w:p w:rsidR="00E03965" w:rsidRDefault="00E03965" w:rsidP="00E03965">
      <w:pPr>
        <w:rPr>
          <w:lang w:eastAsia="zh-CN"/>
        </w:rPr>
      </w:pPr>
      <w:r>
        <w:rPr>
          <w:rFonts w:hint="eastAsia"/>
          <w:lang w:eastAsia="zh-CN"/>
        </w:rPr>
        <w:t>1.4</w:t>
      </w:r>
      <w:r>
        <w:rPr>
          <w:rFonts w:hint="eastAsia"/>
          <w:lang w:eastAsia="zh-CN"/>
        </w:rPr>
        <w:tab/>
      </w:r>
      <w:r>
        <w:rPr>
          <w:rFonts w:hint="eastAsia"/>
          <w:lang w:eastAsia="zh-CN"/>
        </w:rPr>
        <w:t>移动电话从一些国家流向另一些国家导致了对此类设备的控制和监控变得很困难。也有一些关注认为移动电话的</w:t>
      </w:r>
      <w:r>
        <w:rPr>
          <w:rFonts w:hint="eastAsia"/>
          <w:lang w:eastAsia="zh-CN"/>
        </w:rPr>
        <w:t>SAR</w:t>
      </w:r>
      <w:r>
        <w:rPr>
          <w:rFonts w:hint="eastAsia"/>
          <w:lang w:eastAsia="zh-CN"/>
        </w:rPr>
        <w:t>是否兼容或符合规定很难监测，因为设计用以实现这些功能的设备很难购买到。对基站的辐射需要进行监测，而这也需要监控设备和使用这些设备的专家。</w:t>
      </w:r>
    </w:p>
    <w:p w:rsidR="00E03965" w:rsidRDefault="00E03965" w:rsidP="00E03965">
      <w:pPr>
        <w:rPr>
          <w:lang w:eastAsia="zh-CN"/>
        </w:rPr>
      </w:pPr>
      <w:r>
        <w:rPr>
          <w:rFonts w:hint="eastAsia"/>
          <w:lang w:eastAsia="zh-CN"/>
        </w:rPr>
        <w:t>1.5</w:t>
      </w:r>
      <w:r>
        <w:rPr>
          <w:rFonts w:hint="eastAsia"/>
          <w:lang w:eastAsia="zh-CN"/>
        </w:rPr>
        <w:tab/>
      </w:r>
      <w:r>
        <w:rPr>
          <w:rFonts w:hint="eastAsia"/>
          <w:lang w:eastAsia="zh-CN"/>
        </w:rPr>
        <w:t>为赢得人们（消费者）的对无线电通信的持续发展需求至关重要的信任，国际电联电信标准化部门（</w:t>
      </w:r>
      <w:r>
        <w:rPr>
          <w:rFonts w:hint="eastAsia"/>
          <w:lang w:eastAsia="zh-CN"/>
        </w:rPr>
        <w:t>ITU-T</w:t>
      </w:r>
      <w:r>
        <w:rPr>
          <w:rFonts w:hint="eastAsia"/>
          <w:lang w:eastAsia="zh-CN"/>
        </w:rPr>
        <w:t>）第</w:t>
      </w:r>
      <w:r>
        <w:rPr>
          <w:rFonts w:hint="eastAsia"/>
          <w:lang w:eastAsia="zh-CN"/>
        </w:rPr>
        <w:t>5</w:t>
      </w:r>
      <w:r>
        <w:rPr>
          <w:rFonts w:hint="eastAsia"/>
          <w:lang w:eastAsia="zh-CN"/>
        </w:rPr>
        <w:t>研究组（</w:t>
      </w:r>
      <w:r>
        <w:rPr>
          <w:rFonts w:hint="eastAsia"/>
          <w:lang w:eastAsia="zh-CN"/>
        </w:rPr>
        <w:t>SG5</w:t>
      </w:r>
      <w:r>
        <w:rPr>
          <w:rFonts w:hint="eastAsia"/>
          <w:lang w:eastAsia="zh-CN"/>
        </w:rPr>
        <w:t>）和国际电联无线电通信部门（</w:t>
      </w:r>
      <w:r>
        <w:rPr>
          <w:rFonts w:hint="eastAsia"/>
          <w:lang w:eastAsia="zh-CN"/>
        </w:rPr>
        <w:t>ITU-R</w:t>
      </w:r>
      <w:r>
        <w:rPr>
          <w:rFonts w:hint="eastAsia"/>
          <w:lang w:eastAsia="zh-CN"/>
        </w:rPr>
        <w:t>）第</w:t>
      </w:r>
      <w:r>
        <w:rPr>
          <w:rFonts w:hint="eastAsia"/>
          <w:lang w:eastAsia="zh-CN"/>
        </w:rPr>
        <w:t>1</w:t>
      </w:r>
      <w:r>
        <w:rPr>
          <w:rFonts w:hint="eastAsia"/>
          <w:lang w:eastAsia="zh-CN"/>
        </w:rPr>
        <w:t>研究组（</w:t>
      </w:r>
      <w:r>
        <w:rPr>
          <w:rFonts w:hint="eastAsia"/>
          <w:lang w:eastAsia="zh-CN"/>
        </w:rPr>
        <w:t>SG1</w:t>
      </w:r>
      <w:r>
        <w:rPr>
          <w:rFonts w:hint="eastAsia"/>
          <w:lang w:eastAsia="zh-CN"/>
        </w:rPr>
        <w:t>）第</w:t>
      </w:r>
      <w:r>
        <w:rPr>
          <w:rFonts w:hint="eastAsia"/>
          <w:lang w:eastAsia="zh-CN"/>
        </w:rPr>
        <w:t>1C</w:t>
      </w:r>
      <w:r>
        <w:rPr>
          <w:rFonts w:hint="eastAsia"/>
          <w:lang w:eastAsia="zh-CN"/>
        </w:rPr>
        <w:t>工作组（</w:t>
      </w:r>
      <w:r>
        <w:rPr>
          <w:rFonts w:hint="eastAsia"/>
          <w:lang w:eastAsia="zh-CN"/>
        </w:rPr>
        <w:t>WP1C</w:t>
      </w:r>
      <w:r>
        <w:rPr>
          <w:rFonts w:hint="eastAsia"/>
          <w:lang w:eastAsia="zh-CN"/>
        </w:rPr>
        <w:t>）已经开展了关于非电离辐射测量的研究，以提供尤其是有关测量所使用的设备</w:t>
      </w:r>
      <w:r>
        <w:rPr>
          <w:rFonts w:hint="eastAsia"/>
          <w:lang w:eastAsia="zh-CN"/>
        </w:rPr>
        <w:t>/</w:t>
      </w:r>
      <w:r>
        <w:rPr>
          <w:rFonts w:hint="eastAsia"/>
          <w:lang w:eastAsia="zh-CN"/>
        </w:rPr>
        <w:t>工具和程序方面的信息。</w:t>
      </w:r>
    </w:p>
    <w:p w:rsidR="00E03965" w:rsidRDefault="00E03965" w:rsidP="00E03965">
      <w:pPr>
        <w:rPr>
          <w:lang w:eastAsia="zh-CN"/>
        </w:rPr>
      </w:pPr>
      <w:r>
        <w:rPr>
          <w:rFonts w:hint="eastAsia"/>
          <w:lang w:eastAsia="zh-CN"/>
        </w:rPr>
        <w:t>1.6</w:t>
      </w:r>
      <w:r>
        <w:rPr>
          <w:rFonts w:hint="eastAsia"/>
          <w:lang w:eastAsia="zh-CN"/>
        </w:rPr>
        <w:tab/>
      </w:r>
      <w:r>
        <w:rPr>
          <w:rFonts w:hint="eastAsia"/>
          <w:lang w:eastAsia="zh-CN"/>
        </w:rPr>
        <w:t>国际电联电信发展部门（</w:t>
      </w:r>
      <w:r>
        <w:rPr>
          <w:rFonts w:hint="eastAsia"/>
          <w:lang w:eastAsia="zh-CN"/>
        </w:rPr>
        <w:t>ITU-D</w:t>
      </w:r>
      <w:r>
        <w:rPr>
          <w:rFonts w:hint="eastAsia"/>
          <w:lang w:eastAsia="zh-CN"/>
        </w:rPr>
        <w:t>）第</w:t>
      </w:r>
      <w:r>
        <w:rPr>
          <w:rFonts w:hint="eastAsia"/>
          <w:lang w:eastAsia="zh-CN"/>
        </w:rPr>
        <w:t>1</w:t>
      </w:r>
      <w:r>
        <w:rPr>
          <w:rFonts w:hint="eastAsia"/>
          <w:lang w:eastAsia="zh-CN"/>
        </w:rPr>
        <w:t>研究组（</w:t>
      </w:r>
      <w:r>
        <w:rPr>
          <w:rFonts w:hint="eastAsia"/>
          <w:lang w:eastAsia="zh-CN"/>
        </w:rPr>
        <w:t>SG1</w:t>
      </w:r>
      <w:r>
        <w:rPr>
          <w:rFonts w:hint="eastAsia"/>
          <w:lang w:eastAsia="zh-CN"/>
        </w:rPr>
        <w:t>）第</w:t>
      </w:r>
      <w:r>
        <w:rPr>
          <w:rFonts w:hint="eastAsia"/>
          <w:lang w:eastAsia="zh-CN"/>
        </w:rPr>
        <w:t>23/1</w:t>
      </w:r>
      <w:r>
        <w:rPr>
          <w:rFonts w:hint="eastAsia"/>
          <w:lang w:eastAsia="zh-CN"/>
        </w:rPr>
        <w:t>课题（</w:t>
      </w:r>
      <w:r>
        <w:rPr>
          <w:rFonts w:hint="eastAsia"/>
          <w:lang w:eastAsia="zh-CN"/>
        </w:rPr>
        <w:t>Q23/1</w:t>
      </w:r>
      <w:r>
        <w:rPr>
          <w:rFonts w:hint="eastAsia"/>
          <w:lang w:eastAsia="zh-CN"/>
        </w:rPr>
        <w:t>）对各国制定的不同规制和通信机制进行了研究，以便使人们更加了解知情，并为无线电通信系统的部署和运行提供了方便。</w:t>
      </w:r>
    </w:p>
    <w:p w:rsidR="00E03965" w:rsidRDefault="00E03965" w:rsidP="00E03965">
      <w:pPr>
        <w:rPr>
          <w:lang w:eastAsia="zh-CN"/>
        </w:rPr>
      </w:pPr>
      <w:r>
        <w:rPr>
          <w:rFonts w:hint="eastAsia"/>
          <w:lang w:eastAsia="zh-CN"/>
        </w:rPr>
        <w:t>1.7</w:t>
      </w:r>
      <w:r>
        <w:rPr>
          <w:rFonts w:hint="eastAsia"/>
          <w:lang w:eastAsia="zh-CN"/>
        </w:rPr>
        <w:tab/>
      </w:r>
      <w:r>
        <w:rPr>
          <w:rFonts w:hint="eastAsia"/>
          <w:lang w:eastAsia="zh-CN"/>
        </w:rPr>
        <w:t>有关“与人体暴露于电磁场的相关战略和政策”的第</w:t>
      </w:r>
      <w:r>
        <w:rPr>
          <w:rFonts w:hint="eastAsia"/>
          <w:lang w:eastAsia="zh-CN"/>
        </w:rPr>
        <w:t>23/1</w:t>
      </w:r>
      <w:r>
        <w:rPr>
          <w:rFonts w:hint="eastAsia"/>
          <w:lang w:eastAsia="zh-CN"/>
        </w:rPr>
        <w:t>课题负责整理和分析各国制定的用于授权无线电通信设施安装的监管政策。这个课题的来源是因为人们认为长期暴露于无线电通信设备的发射环境下将会给人体带来伤害。</w:t>
      </w:r>
    </w:p>
    <w:p w:rsidR="00E03965" w:rsidRDefault="00E03965" w:rsidP="00E03965">
      <w:pPr>
        <w:rPr>
          <w:lang w:eastAsia="zh-CN"/>
        </w:rPr>
      </w:pPr>
      <w:r>
        <w:rPr>
          <w:rFonts w:hint="eastAsia"/>
          <w:lang w:eastAsia="zh-CN"/>
        </w:rPr>
        <w:t>1.8</w:t>
      </w:r>
      <w:r>
        <w:rPr>
          <w:rFonts w:hint="eastAsia"/>
          <w:lang w:eastAsia="zh-CN"/>
        </w:rPr>
        <w:tab/>
      </w:r>
      <w:r>
        <w:rPr>
          <w:rFonts w:hint="eastAsia"/>
          <w:lang w:eastAsia="zh-CN"/>
        </w:rPr>
        <w:t>因为目前的研究没有最终显示会对人体产生任何伤害，有必要将这一信息告知消费者，以便促进通信设备的平稳部署。已有证据表明，在一些国家已经出现公共电信运营商拒绝陆地应用（用于网络部署）的情况。在一些例子里，人们将得病归罪于通信运营商，认为是暴露于设备的射频环境导致人生病。</w:t>
      </w:r>
    </w:p>
    <w:p w:rsidR="00E03965" w:rsidRDefault="00E03965" w:rsidP="00E03965">
      <w:pPr>
        <w:rPr>
          <w:lang w:eastAsia="zh-CN"/>
        </w:rPr>
      </w:pPr>
      <w:r>
        <w:rPr>
          <w:rFonts w:hint="eastAsia"/>
          <w:lang w:eastAsia="zh-CN"/>
        </w:rPr>
        <w:lastRenderedPageBreak/>
        <w:t>1.9</w:t>
      </w:r>
      <w:r>
        <w:rPr>
          <w:rFonts w:hint="eastAsia"/>
          <w:lang w:eastAsia="zh-CN"/>
        </w:rPr>
        <w:tab/>
      </w:r>
      <w:r>
        <w:rPr>
          <w:rFonts w:hint="eastAsia"/>
          <w:lang w:eastAsia="zh-CN"/>
        </w:rPr>
        <w:t>因此，国际电联有必要表明立场，拿出可供其成员国使用的指南，避免出现拒绝开展通信网络部署的情况，同时采取谨慎措施，避免因长期暴露于射频环境而带来的任何可能的危害。</w:t>
      </w:r>
    </w:p>
    <w:p w:rsidR="00E03965" w:rsidRDefault="00E03965" w:rsidP="00E03965">
      <w:pPr>
        <w:rPr>
          <w:lang w:eastAsia="zh-CN"/>
        </w:rPr>
      </w:pPr>
      <w:r>
        <w:rPr>
          <w:rFonts w:hint="eastAsia"/>
          <w:lang w:eastAsia="zh-CN"/>
        </w:rPr>
        <w:t>1.10</w:t>
      </w:r>
      <w:r>
        <w:rPr>
          <w:rFonts w:hint="eastAsia"/>
          <w:lang w:eastAsia="zh-CN"/>
        </w:rPr>
        <w:tab/>
      </w:r>
      <w:r>
        <w:rPr>
          <w:rFonts w:hint="eastAsia"/>
          <w:lang w:eastAsia="zh-CN"/>
        </w:rPr>
        <w:t>在迪拜召开的</w:t>
      </w:r>
      <w:r>
        <w:rPr>
          <w:rFonts w:hint="eastAsia"/>
          <w:lang w:eastAsia="zh-CN"/>
        </w:rPr>
        <w:t>2012</w:t>
      </w:r>
      <w:r>
        <w:rPr>
          <w:rFonts w:hint="eastAsia"/>
          <w:lang w:eastAsia="zh-CN"/>
        </w:rPr>
        <w:t>年世界电信标准化全会（</w:t>
      </w:r>
      <w:r>
        <w:rPr>
          <w:rFonts w:hint="eastAsia"/>
          <w:lang w:eastAsia="zh-CN"/>
        </w:rPr>
        <w:t>WTSA-12</w:t>
      </w:r>
      <w:r>
        <w:rPr>
          <w:rFonts w:hint="eastAsia"/>
          <w:lang w:eastAsia="zh-CN"/>
        </w:rPr>
        <w:t>）做出了以下决议：</w:t>
      </w:r>
    </w:p>
    <w:p w:rsidR="00E03965" w:rsidRDefault="00167EA6" w:rsidP="00E03965">
      <w:pPr>
        <w:pStyle w:val="Enumlevel1"/>
        <w:rPr>
          <w:lang w:eastAsia="zh-CN"/>
        </w:rPr>
      </w:pPr>
      <w:r w:rsidRPr="00167EA6">
        <w:rPr>
          <w:lang w:eastAsia="zh-CN"/>
        </w:rPr>
        <w:t>–</w:t>
      </w:r>
      <w:r w:rsidR="00E03965">
        <w:rPr>
          <w:rFonts w:hint="eastAsia"/>
          <w:lang w:eastAsia="zh-CN"/>
        </w:rPr>
        <w:tab/>
      </w:r>
      <w:r w:rsidR="00E03965">
        <w:rPr>
          <w:rFonts w:hint="eastAsia"/>
          <w:lang w:eastAsia="zh-CN"/>
        </w:rPr>
        <w:t>第</w:t>
      </w:r>
      <w:r w:rsidR="00E03965">
        <w:rPr>
          <w:rFonts w:hint="eastAsia"/>
          <w:lang w:eastAsia="zh-CN"/>
        </w:rPr>
        <w:t>72</w:t>
      </w:r>
      <w:r w:rsidR="00E03965">
        <w:rPr>
          <w:rFonts w:hint="eastAsia"/>
          <w:lang w:eastAsia="zh-CN"/>
        </w:rPr>
        <w:t>号决议“有关电磁场人体暴露的测量问题”</w:t>
      </w:r>
    </w:p>
    <w:p w:rsidR="00E03965" w:rsidRDefault="00E03965" w:rsidP="00E03965">
      <w:pPr>
        <w:rPr>
          <w:lang w:eastAsia="zh-CN"/>
        </w:rPr>
      </w:pPr>
      <w:r>
        <w:rPr>
          <w:rFonts w:hint="eastAsia"/>
          <w:lang w:eastAsia="zh-CN"/>
        </w:rPr>
        <w:t>1.11</w:t>
      </w:r>
      <w:r>
        <w:rPr>
          <w:rFonts w:hint="eastAsia"/>
          <w:lang w:eastAsia="zh-CN"/>
        </w:rPr>
        <w:tab/>
      </w:r>
      <w:r>
        <w:rPr>
          <w:rFonts w:hint="eastAsia"/>
          <w:lang w:eastAsia="zh-CN"/>
        </w:rPr>
        <w:t>此外，在印度海得拉巴召开的</w:t>
      </w:r>
      <w:r>
        <w:rPr>
          <w:rFonts w:hint="eastAsia"/>
          <w:lang w:eastAsia="zh-CN"/>
        </w:rPr>
        <w:t>2010</w:t>
      </w:r>
      <w:r>
        <w:rPr>
          <w:rFonts w:hint="eastAsia"/>
          <w:lang w:eastAsia="zh-CN"/>
        </w:rPr>
        <w:t>年世界电信发展大会（</w:t>
      </w:r>
      <w:r>
        <w:rPr>
          <w:rFonts w:hint="eastAsia"/>
          <w:lang w:eastAsia="zh-CN"/>
        </w:rPr>
        <w:t>WTDC-10</w:t>
      </w:r>
      <w:r>
        <w:rPr>
          <w:rFonts w:hint="eastAsia"/>
          <w:lang w:eastAsia="zh-CN"/>
        </w:rPr>
        <w:t>）批准了以下文件：</w:t>
      </w:r>
    </w:p>
    <w:p w:rsidR="00E03965" w:rsidRDefault="00167EA6" w:rsidP="00E03965">
      <w:pPr>
        <w:pStyle w:val="Enumlevel1"/>
        <w:rPr>
          <w:lang w:eastAsia="zh-CN"/>
        </w:rPr>
      </w:pPr>
      <w:r w:rsidRPr="00167EA6">
        <w:rPr>
          <w:lang w:eastAsia="zh-CN"/>
        </w:rPr>
        <w:t>–</w:t>
      </w:r>
      <w:r w:rsidR="00E03965" w:rsidRPr="00E03965">
        <w:rPr>
          <w:rFonts w:asciiTheme="minorHAnsi" w:hAnsiTheme="minorHAnsi"/>
          <w:lang w:eastAsia="zh-CN"/>
        </w:rPr>
        <w:tab/>
      </w:r>
      <w:r w:rsidR="00E03965">
        <w:rPr>
          <w:rFonts w:hint="eastAsia"/>
          <w:lang w:eastAsia="zh-CN"/>
        </w:rPr>
        <w:t>第</w:t>
      </w:r>
      <w:r w:rsidR="00E03965">
        <w:rPr>
          <w:rFonts w:hint="eastAsia"/>
          <w:lang w:eastAsia="zh-CN"/>
        </w:rPr>
        <w:t>62</w:t>
      </w:r>
      <w:r w:rsidR="00E03965">
        <w:rPr>
          <w:rFonts w:hint="eastAsia"/>
          <w:lang w:eastAsia="zh-CN"/>
        </w:rPr>
        <w:t>号决议“有关人体暴露于电磁场的测量问题”</w:t>
      </w:r>
    </w:p>
    <w:p w:rsidR="00E03965" w:rsidRDefault="00167EA6" w:rsidP="00E03965">
      <w:pPr>
        <w:pStyle w:val="Enumlevel1"/>
        <w:rPr>
          <w:lang w:eastAsia="zh-CN"/>
        </w:rPr>
      </w:pPr>
      <w:r w:rsidRPr="00167EA6">
        <w:rPr>
          <w:lang w:eastAsia="zh-CN"/>
        </w:rPr>
        <w:t>–</w:t>
      </w:r>
      <w:r w:rsidR="00E03965" w:rsidRPr="00E03965">
        <w:rPr>
          <w:rFonts w:asciiTheme="minorHAnsi" w:hAnsiTheme="minorHAnsi"/>
          <w:lang w:eastAsia="zh-CN"/>
        </w:rPr>
        <w:tab/>
      </w:r>
      <w:r w:rsidR="00E03965">
        <w:rPr>
          <w:rFonts w:hint="eastAsia"/>
          <w:lang w:eastAsia="zh-CN"/>
        </w:rPr>
        <w:t>批准了有关“与人体暴露于电磁场相关的战略和政策”的第</w:t>
      </w:r>
      <w:r w:rsidR="00E03965">
        <w:rPr>
          <w:rFonts w:hint="eastAsia"/>
          <w:lang w:eastAsia="zh-CN"/>
        </w:rPr>
        <w:t>23/1</w:t>
      </w:r>
      <w:r w:rsidR="00E03965">
        <w:rPr>
          <w:rFonts w:hint="eastAsia"/>
          <w:lang w:eastAsia="zh-CN"/>
        </w:rPr>
        <w:t>号</w:t>
      </w:r>
      <w:r w:rsidR="00E03965">
        <w:rPr>
          <w:rFonts w:hint="eastAsia"/>
          <w:lang w:eastAsia="zh-CN"/>
        </w:rPr>
        <w:t>ITU-D</w:t>
      </w:r>
      <w:r w:rsidR="00E03965">
        <w:rPr>
          <w:rFonts w:hint="eastAsia"/>
          <w:lang w:eastAsia="zh-CN"/>
        </w:rPr>
        <w:t>课题。</w:t>
      </w:r>
    </w:p>
    <w:p w:rsidR="00E03965" w:rsidRDefault="00E03965" w:rsidP="00E03965">
      <w:pPr>
        <w:rPr>
          <w:lang w:eastAsia="zh-CN"/>
        </w:rPr>
      </w:pPr>
      <w:r>
        <w:rPr>
          <w:rFonts w:hint="eastAsia"/>
          <w:lang w:eastAsia="zh-CN"/>
        </w:rPr>
        <w:t>1.12</w:t>
      </w:r>
      <w:r>
        <w:rPr>
          <w:rFonts w:hint="eastAsia"/>
          <w:lang w:eastAsia="zh-CN"/>
        </w:rPr>
        <w:tab/>
      </w:r>
      <w:r>
        <w:rPr>
          <w:rFonts w:hint="eastAsia"/>
          <w:lang w:eastAsia="zh-CN"/>
        </w:rPr>
        <w:t>在墨西哥瓜达拉哈拉召开的全权代表大会（</w:t>
      </w:r>
      <w:r>
        <w:rPr>
          <w:rFonts w:hint="eastAsia"/>
          <w:lang w:eastAsia="zh-CN"/>
        </w:rPr>
        <w:t>PP-10</w:t>
      </w:r>
      <w:r>
        <w:rPr>
          <w:rFonts w:hint="eastAsia"/>
          <w:lang w:eastAsia="zh-CN"/>
        </w:rPr>
        <w:t>）批准了第</w:t>
      </w:r>
      <w:r>
        <w:rPr>
          <w:rFonts w:hint="eastAsia"/>
          <w:lang w:eastAsia="zh-CN"/>
        </w:rPr>
        <w:t>176</w:t>
      </w:r>
      <w:r>
        <w:rPr>
          <w:rFonts w:hint="eastAsia"/>
          <w:lang w:eastAsia="zh-CN"/>
        </w:rPr>
        <w:t>号新决议“人体暴露电磁场及其测量”，并鼓励世界不同区域的成员国相互合作，分享专家资源，并在测量和培训方面提供帮助。</w:t>
      </w:r>
    </w:p>
    <w:p w:rsidR="00E03965" w:rsidRDefault="00E03965" w:rsidP="00E03965">
      <w:pPr>
        <w:rPr>
          <w:lang w:eastAsia="zh-CN"/>
        </w:rPr>
      </w:pPr>
      <w:r>
        <w:rPr>
          <w:rFonts w:hint="eastAsia"/>
          <w:lang w:eastAsia="zh-CN"/>
        </w:rPr>
        <w:t>1.13</w:t>
      </w:r>
      <w:r>
        <w:rPr>
          <w:rFonts w:hint="eastAsia"/>
          <w:lang w:eastAsia="zh-CN"/>
        </w:rPr>
        <w:tab/>
        <w:t>PP-10</w:t>
      </w:r>
      <w:r>
        <w:rPr>
          <w:rFonts w:hint="eastAsia"/>
          <w:lang w:eastAsia="zh-CN"/>
        </w:rPr>
        <w:t>第</w:t>
      </w:r>
      <w:r>
        <w:rPr>
          <w:rFonts w:hint="eastAsia"/>
          <w:lang w:eastAsia="zh-CN"/>
        </w:rPr>
        <w:t>176</w:t>
      </w:r>
      <w:r>
        <w:rPr>
          <w:rFonts w:hint="eastAsia"/>
          <w:lang w:eastAsia="zh-CN"/>
        </w:rPr>
        <w:t>号决议指示电信发展局（</w:t>
      </w:r>
      <w:r>
        <w:rPr>
          <w:rFonts w:hint="eastAsia"/>
          <w:lang w:eastAsia="zh-CN"/>
        </w:rPr>
        <w:t>BDT</w:t>
      </w:r>
      <w:r>
        <w:rPr>
          <w:rFonts w:hint="eastAsia"/>
          <w:lang w:eastAsia="zh-CN"/>
        </w:rPr>
        <w:t>）主任与电信标准化局（</w:t>
      </w:r>
      <w:r>
        <w:rPr>
          <w:rFonts w:hint="eastAsia"/>
          <w:lang w:eastAsia="zh-CN"/>
        </w:rPr>
        <w:t>TSB</w:t>
      </w:r>
      <w:r>
        <w:rPr>
          <w:rFonts w:hint="eastAsia"/>
          <w:lang w:eastAsia="zh-CN"/>
        </w:rPr>
        <w:t>）主任和无线电通信局（</w:t>
      </w:r>
      <w:r>
        <w:rPr>
          <w:rFonts w:hint="eastAsia"/>
          <w:lang w:eastAsia="zh-CN"/>
        </w:rPr>
        <w:t>BR</w:t>
      </w:r>
      <w:r>
        <w:rPr>
          <w:rFonts w:hint="eastAsia"/>
          <w:lang w:eastAsia="zh-CN"/>
        </w:rPr>
        <w:t>）主任合作：</w:t>
      </w:r>
    </w:p>
    <w:p w:rsidR="00E03965" w:rsidRDefault="00167EA6" w:rsidP="00E03965">
      <w:pPr>
        <w:pStyle w:val="Enumlevel1"/>
        <w:rPr>
          <w:lang w:eastAsia="zh-CN"/>
        </w:rPr>
      </w:pPr>
      <w:r w:rsidRPr="00167EA6">
        <w:rPr>
          <w:lang w:eastAsia="zh-CN"/>
        </w:rPr>
        <w:t>–</w:t>
      </w:r>
      <w:r w:rsidR="00E03965" w:rsidRPr="00E03965">
        <w:rPr>
          <w:rFonts w:asciiTheme="minorHAnsi" w:hAnsiTheme="minorHAnsi"/>
          <w:lang w:eastAsia="zh-CN"/>
        </w:rPr>
        <w:tab/>
      </w:r>
      <w:r w:rsidR="00E03965">
        <w:rPr>
          <w:rFonts w:hint="eastAsia"/>
          <w:lang w:eastAsia="zh-CN"/>
        </w:rPr>
        <w:t>鼓励成员国合作共享专家和资源；</w:t>
      </w:r>
    </w:p>
    <w:p w:rsidR="00E03965" w:rsidRDefault="00167EA6" w:rsidP="00E03965">
      <w:pPr>
        <w:pStyle w:val="Enumlevel1"/>
        <w:rPr>
          <w:lang w:eastAsia="zh-CN"/>
        </w:rPr>
      </w:pPr>
      <w:r w:rsidRPr="00167EA6">
        <w:rPr>
          <w:lang w:eastAsia="zh-CN"/>
        </w:rPr>
        <w:t>–</w:t>
      </w:r>
      <w:r w:rsidR="00E03965" w:rsidRPr="00E03965">
        <w:rPr>
          <w:rFonts w:asciiTheme="minorHAnsi" w:hAnsiTheme="minorHAnsi"/>
          <w:lang w:eastAsia="zh-CN"/>
        </w:rPr>
        <w:tab/>
      </w:r>
      <w:r w:rsidR="00E03965">
        <w:rPr>
          <w:rFonts w:hint="eastAsia"/>
          <w:lang w:eastAsia="zh-CN"/>
        </w:rPr>
        <w:t>组织召开区域性研讨会和讲习班。</w:t>
      </w:r>
    </w:p>
    <w:p w:rsidR="00E03965" w:rsidRDefault="00E03965" w:rsidP="00E03965">
      <w:pPr>
        <w:pStyle w:val="Heading1"/>
        <w:rPr>
          <w:lang w:eastAsia="zh-CN"/>
        </w:rPr>
      </w:pPr>
      <w:bookmarkStart w:id="9" w:name="_Toc377132344"/>
      <w:r>
        <w:rPr>
          <w:rFonts w:hint="eastAsia"/>
          <w:lang w:eastAsia="zh-CN"/>
        </w:rPr>
        <w:t>2</w:t>
      </w:r>
      <w:r>
        <w:rPr>
          <w:rFonts w:hint="eastAsia"/>
          <w:lang w:eastAsia="zh-CN"/>
        </w:rPr>
        <w:tab/>
      </w:r>
      <w:r>
        <w:rPr>
          <w:rFonts w:ascii="SimSun" w:eastAsia="SimSun" w:hAnsi="SimSun" w:cs="SimSun" w:hint="eastAsia"/>
          <w:lang w:eastAsia="zh-CN"/>
        </w:rPr>
        <w:t>本报告的范围和目的</w:t>
      </w:r>
      <w:bookmarkEnd w:id="9"/>
    </w:p>
    <w:p w:rsidR="00E03965" w:rsidRDefault="00E03965" w:rsidP="00E03965">
      <w:pPr>
        <w:rPr>
          <w:lang w:eastAsia="zh-CN"/>
        </w:rPr>
      </w:pPr>
      <w:r>
        <w:rPr>
          <w:rFonts w:hint="eastAsia"/>
          <w:lang w:eastAsia="zh-CN"/>
        </w:rPr>
        <w:t>本报告预期涵盖以下范围：</w:t>
      </w:r>
    </w:p>
    <w:p w:rsidR="00E03965" w:rsidRDefault="00E03965" w:rsidP="00E03965">
      <w:pPr>
        <w:rPr>
          <w:lang w:eastAsia="zh-CN"/>
        </w:rPr>
      </w:pPr>
      <w:r>
        <w:rPr>
          <w:rFonts w:hint="eastAsia"/>
          <w:lang w:eastAsia="zh-CN"/>
        </w:rPr>
        <w:t>2.1</w:t>
      </w:r>
      <w:r>
        <w:rPr>
          <w:rFonts w:hint="eastAsia"/>
          <w:lang w:eastAsia="zh-CN"/>
        </w:rPr>
        <w:tab/>
      </w:r>
      <w:r>
        <w:rPr>
          <w:rFonts w:hint="eastAsia"/>
          <w:lang w:eastAsia="zh-CN"/>
        </w:rPr>
        <w:t>整理和分析与人体暴露于射频电磁场有关的监管政策，这些政策将在授权安装无线电通信站址时加以考虑或采用。</w:t>
      </w:r>
    </w:p>
    <w:p w:rsidR="00E03965" w:rsidRDefault="00E03965" w:rsidP="00E03965">
      <w:pPr>
        <w:rPr>
          <w:lang w:eastAsia="zh-CN"/>
        </w:rPr>
      </w:pPr>
      <w:r>
        <w:rPr>
          <w:rFonts w:hint="eastAsia"/>
          <w:lang w:eastAsia="zh-CN"/>
        </w:rPr>
        <w:t>2.2</w:t>
      </w:r>
      <w:r>
        <w:rPr>
          <w:rFonts w:hint="eastAsia"/>
          <w:lang w:eastAsia="zh-CN"/>
        </w:rPr>
        <w:tab/>
      </w:r>
      <w:r>
        <w:rPr>
          <w:rFonts w:hint="eastAsia"/>
          <w:lang w:eastAsia="zh-CN"/>
        </w:rPr>
        <w:t>在无线电通信系统造成的射频电磁场方面，介绍用于提高人们认识程度的战略和方法以及向人们提供的信息。</w:t>
      </w:r>
    </w:p>
    <w:p w:rsidR="00E03965" w:rsidRDefault="00E03965" w:rsidP="00E03965">
      <w:pPr>
        <w:rPr>
          <w:lang w:eastAsia="zh-CN"/>
        </w:rPr>
      </w:pPr>
      <w:r>
        <w:rPr>
          <w:rFonts w:hint="eastAsia"/>
          <w:lang w:eastAsia="zh-CN"/>
        </w:rPr>
        <w:t>2.3</w:t>
      </w:r>
      <w:r>
        <w:rPr>
          <w:rFonts w:hint="eastAsia"/>
          <w:lang w:eastAsia="zh-CN"/>
        </w:rPr>
        <w:tab/>
      </w:r>
      <w:r>
        <w:rPr>
          <w:rFonts w:hint="eastAsia"/>
          <w:lang w:eastAsia="zh-CN"/>
        </w:rPr>
        <w:t>基于各国在此方面的最佳实践做法，提出增强人们认识程度的方法的指导原则。</w:t>
      </w:r>
    </w:p>
    <w:p w:rsidR="00E03965" w:rsidRDefault="00E03965" w:rsidP="00E03965">
      <w:pPr>
        <w:rPr>
          <w:lang w:eastAsia="zh-CN"/>
        </w:rPr>
      </w:pPr>
      <w:r>
        <w:rPr>
          <w:rFonts w:hint="eastAsia"/>
          <w:lang w:eastAsia="zh-CN"/>
        </w:rPr>
        <w:t>2.4</w:t>
      </w:r>
      <w:r>
        <w:rPr>
          <w:rFonts w:hint="eastAsia"/>
          <w:lang w:eastAsia="zh-CN"/>
        </w:rPr>
        <w:tab/>
      </w:r>
      <w:r>
        <w:rPr>
          <w:rFonts w:hint="eastAsia"/>
          <w:lang w:eastAsia="zh-CN"/>
        </w:rPr>
        <w:t>本报告目的在于帮助成员国确保满足人体射频暴露的标准，并回应有关人体暴露的感觉问题。</w:t>
      </w:r>
    </w:p>
    <w:p w:rsidR="00E03965" w:rsidRDefault="00E03965" w:rsidP="00E03965">
      <w:pPr>
        <w:rPr>
          <w:lang w:eastAsia="zh-CN"/>
        </w:rPr>
      </w:pPr>
      <w:r>
        <w:rPr>
          <w:rFonts w:hint="eastAsia"/>
          <w:lang w:eastAsia="zh-CN"/>
        </w:rPr>
        <w:t>2.5</w:t>
      </w:r>
      <w:r>
        <w:rPr>
          <w:rFonts w:hint="eastAsia"/>
          <w:lang w:eastAsia="zh-CN"/>
        </w:rPr>
        <w:tab/>
      </w:r>
      <w:r>
        <w:rPr>
          <w:rFonts w:hint="eastAsia"/>
          <w:lang w:eastAsia="zh-CN"/>
        </w:rPr>
        <w:t>报告提供以下内容：</w:t>
      </w:r>
    </w:p>
    <w:p w:rsidR="00E03965" w:rsidRDefault="00167EA6" w:rsidP="00E03965">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有关技术参数的信息（如射频暴露限值、最小距离、天线距屋顶的高度）；</w:t>
      </w:r>
    </w:p>
    <w:p w:rsidR="00E03965" w:rsidRDefault="00167EA6" w:rsidP="00E03965">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技术评估以确定发射天线与相关射频暴露限值的兼容；</w:t>
      </w:r>
    </w:p>
    <w:p w:rsidR="00E03965" w:rsidRDefault="00167EA6" w:rsidP="00E03965">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详细讨论如何处理与社区设施相邻的站址的选择问题；</w:t>
      </w:r>
    </w:p>
    <w:p w:rsidR="00E03965" w:rsidRDefault="00167EA6" w:rsidP="00E03965">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设备与射频暴露限值的兼容性的监控；以及</w:t>
      </w:r>
    </w:p>
    <w:p w:rsidR="00E03965" w:rsidRDefault="00167EA6" w:rsidP="00E03965">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射频暴露限值测量的指导原则。</w:t>
      </w:r>
    </w:p>
    <w:p w:rsidR="00E03965" w:rsidRDefault="00E03965" w:rsidP="00E03965">
      <w:pPr>
        <w:pStyle w:val="Heading1"/>
        <w:rPr>
          <w:lang w:eastAsia="zh-CN"/>
        </w:rPr>
      </w:pPr>
      <w:bookmarkStart w:id="10" w:name="_Toc377132345"/>
      <w:r>
        <w:rPr>
          <w:rFonts w:hint="eastAsia"/>
          <w:lang w:eastAsia="zh-CN"/>
        </w:rPr>
        <w:lastRenderedPageBreak/>
        <w:t>3</w:t>
      </w:r>
      <w:r>
        <w:rPr>
          <w:rFonts w:hint="eastAsia"/>
          <w:lang w:eastAsia="zh-CN"/>
        </w:rPr>
        <w:tab/>
      </w:r>
      <w:r>
        <w:rPr>
          <w:rFonts w:ascii="SimSun" w:eastAsia="SimSun" w:hAnsi="SimSun" w:cs="SimSun" w:hint="eastAsia"/>
          <w:lang w:eastAsia="zh-CN"/>
        </w:rPr>
        <w:t>与其他部门和组织的合作</w:t>
      </w:r>
      <w:bookmarkEnd w:id="10"/>
    </w:p>
    <w:p w:rsidR="00E03965" w:rsidRDefault="00E03965" w:rsidP="00E03965">
      <w:pPr>
        <w:rPr>
          <w:lang w:eastAsia="zh-CN"/>
        </w:rPr>
      </w:pPr>
      <w:r>
        <w:rPr>
          <w:rFonts w:hint="eastAsia"/>
          <w:lang w:eastAsia="zh-CN"/>
        </w:rPr>
        <w:t>3.1</w:t>
      </w:r>
      <w:r>
        <w:rPr>
          <w:rFonts w:hint="eastAsia"/>
          <w:lang w:eastAsia="zh-CN"/>
        </w:rPr>
        <w:tab/>
      </w:r>
      <w:r>
        <w:rPr>
          <w:rFonts w:hint="eastAsia"/>
          <w:lang w:eastAsia="zh-CN"/>
        </w:rPr>
        <w:t>在研究的全过程中，该课题一直与其他部门和组织进行协调，包括：</w:t>
      </w:r>
      <w:r>
        <w:rPr>
          <w:rFonts w:hint="eastAsia"/>
          <w:lang w:eastAsia="zh-CN"/>
        </w:rPr>
        <w:t>ITU-T SG5</w:t>
      </w:r>
      <w:r>
        <w:rPr>
          <w:rFonts w:hint="eastAsia"/>
          <w:lang w:eastAsia="zh-CN"/>
        </w:rPr>
        <w:t>、</w:t>
      </w:r>
      <w:r w:rsidR="00CB08AD">
        <w:rPr>
          <w:lang w:val="en-US" w:eastAsia="zh-CN"/>
        </w:rPr>
        <w:br/>
      </w:r>
      <w:r>
        <w:rPr>
          <w:rFonts w:hint="eastAsia"/>
          <w:lang w:eastAsia="zh-CN"/>
        </w:rPr>
        <w:t>ITU-R SG1 WP1C</w:t>
      </w:r>
      <w:r>
        <w:rPr>
          <w:rFonts w:hint="eastAsia"/>
          <w:lang w:eastAsia="zh-CN"/>
        </w:rPr>
        <w:t>以及</w:t>
      </w:r>
      <w:r>
        <w:rPr>
          <w:rFonts w:hint="eastAsia"/>
          <w:lang w:eastAsia="zh-CN"/>
        </w:rPr>
        <w:t>WHO</w:t>
      </w:r>
      <w:r w:rsidR="00820A2F">
        <w:rPr>
          <w:rFonts w:hint="eastAsia"/>
          <w:lang w:eastAsia="zh-CN"/>
        </w:rPr>
        <w:t>。</w:t>
      </w:r>
    </w:p>
    <w:p w:rsidR="00E03965" w:rsidRDefault="00E03965" w:rsidP="00E03965">
      <w:pPr>
        <w:rPr>
          <w:lang w:eastAsia="zh-CN"/>
        </w:rPr>
      </w:pPr>
      <w:r>
        <w:rPr>
          <w:rFonts w:hint="eastAsia"/>
          <w:lang w:eastAsia="zh-CN"/>
        </w:rPr>
        <w:t>3.2</w:t>
      </w:r>
      <w:r>
        <w:rPr>
          <w:rFonts w:hint="eastAsia"/>
          <w:lang w:eastAsia="zh-CN"/>
        </w:rPr>
        <w:tab/>
      </w:r>
      <w:r>
        <w:rPr>
          <w:rFonts w:hint="eastAsia"/>
          <w:lang w:eastAsia="zh-CN"/>
        </w:rPr>
        <w:t>已经向</w:t>
      </w:r>
      <w:r>
        <w:rPr>
          <w:rFonts w:hint="eastAsia"/>
          <w:lang w:eastAsia="zh-CN"/>
        </w:rPr>
        <w:t>ITU-T SG5</w:t>
      </w:r>
      <w:r>
        <w:rPr>
          <w:rFonts w:hint="eastAsia"/>
          <w:lang w:eastAsia="zh-CN"/>
        </w:rPr>
        <w:t>和</w:t>
      </w:r>
      <w:r>
        <w:rPr>
          <w:rFonts w:hint="eastAsia"/>
          <w:lang w:eastAsia="zh-CN"/>
        </w:rPr>
        <w:t>ITU-R SG1 WP1C</w:t>
      </w:r>
      <w:r>
        <w:rPr>
          <w:rFonts w:hint="eastAsia"/>
          <w:lang w:eastAsia="zh-CN"/>
        </w:rPr>
        <w:t>发出了联络声明，要求它们提供技术发现的综述，并定期通报它们在</w:t>
      </w:r>
      <w:r>
        <w:rPr>
          <w:rFonts w:hint="eastAsia"/>
          <w:lang w:eastAsia="zh-CN"/>
        </w:rPr>
        <w:t>EMF</w:t>
      </w:r>
      <w:r>
        <w:rPr>
          <w:rFonts w:hint="eastAsia"/>
          <w:lang w:eastAsia="zh-CN"/>
        </w:rPr>
        <w:t>方面的工作进展。研究组提供了相关活动的具体信息，并表示应加强在</w:t>
      </w:r>
      <w:r>
        <w:rPr>
          <w:rFonts w:hint="eastAsia"/>
          <w:lang w:eastAsia="zh-CN"/>
        </w:rPr>
        <w:t>EMF</w:t>
      </w:r>
      <w:r>
        <w:rPr>
          <w:rFonts w:hint="eastAsia"/>
          <w:lang w:eastAsia="zh-CN"/>
        </w:rPr>
        <w:t>方面的更多合作，让所有研究组的专家都参与近来，以避免重复劳动。这对所有研究组的工作都有益。</w:t>
      </w:r>
    </w:p>
    <w:p w:rsidR="00E03965" w:rsidRDefault="00E03965" w:rsidP="00E03965">
      <w:pPr>
        <w:rPr>
          <w:lang w:eastAsia="zh-CN"/>
        </w:rPr>
      </w:pPr>
      <w:r>
        <w:rPr>
          <w:rFonts w:hint="eastAsia"/>
          <w:lang w:eastAsia="zh-CN"/>
        </w:rPr>
        <w:t>3.3</w:t>
      </w:r>
      <w:r>
        <w:rPr>
          <w:rFonts w:hint="eastAsia"/>
          <w:lang w:eastAsia="zh-CN"/>
        </w:rPr>
        <w:tab/>
      </w:r>
      <w:r>
        <w:rPr>
          <w:rFonts w:hint="eastAsia"/>
          <w:lang w:eastAsia="zh-CN"/>
        </w:rPr>
        <w:t>为缩小标准化差距，</w:t>
      </w:r>
      <w:r>
        <w:rPr>
          <w:rFonts w:hint="eastAsia"/>
          <w:lang w:eastAsia="zh-CN"/>
        </w:rPr>
        <w:t>ITU-T</w:t>
      </w:r>
      <w:r>
        <w:rPr>
          <w:rFonts w:hint="eastAsia"/>
          <w:lang w:eastAsia="zh-CN"/>
        </w:rPr>
        <w:t>在全球举办了能力建设活动，以帮助各国实施</w:t>
      </w:r>
      <w:r>
        <w:rPr>
          <w:rFonts w:hint="eastAsia"/>
          <w:lang w:eastAsia="zh-CN"/>
        </w:rPr>
        <w:t>ITU-T</w:t>
      </w:r>
      <w:r>
        <w:rPr>
          <w:rFonts w:hint="eastAsia"/>
          <w:lang w:eastAsia="zh-CN"/>
        </w:rPr>
        <w:t>标准。为提高</w:t>
      </w:r>
      <w:r>
        <w:rPr>
          <w:rFonts w:hint="eastAsia"/>
          <w:lang w:eastAsia="zh-CN"/>
        </w:rPr>
        <w:t>EMF</w:t>
      </w:r>
      <w:r>
        <w:rPr>
          <w:rFonts w:hint="eastAsia"/>
          <w:lang w:eastAsia="zh-CN"/>
        </w:rPr>
        <w:t>意识程度，也举办了一些讲习班，其中最近的一次于</w:t>
      </w:r>
      <w:r>
        <w:rPr>
          <w:rFonts w:hint="eastAsia"/>
          <w:lang w:eastAsia="zh-CN"/>
        </w:rPr>
        <w:t>2013</w:t>
      </w:r>
      <w:r>
        <w:rPr>
          <w:rFonts w:hint="eastAsia"/>
          <w:lang w:eastAsia="zh-CN"/>
        </w:rPr>
        <w:t>年</w:t>
      </w:r>
      <w:r>
        <w:rPr>
          <w:rFonts w:hint="eastAsia"/>
          <w:lang w:eastAsia="zh-CN"/>
        </w:rPr>
        <w:t>5</w:t>
      </w:r>
      <w:r>
        <w:rPr>
          <w:rFonts w:hint="eastAsia"/>
          <w:lang w:eastAsia="zh-CN"/>
        </w:rPr>
        <w:t>月</w:t>
      </w:r>
      <w:r>
        <w:rPr>
          <w:rFonts w:hint="eastAsia"/>
          <w:lang w:eastAsia="zh-CN"/>
        </w:rPr>
        <w:t>9</w:t>
      </w:r>
      <w:r>
        <w:rPr>
          <w:rFonts w:hint="eastAsia"/>
          <w:lang w:eastAsia="zh-CN"/>
        </w:rPr>
        <w:t>日在意大利都灵举办，还形成了行动呼吁</w:t>
      </w:r>
      <w:r>
        <w:rPr>
          <w:rFonts w:hint="eastAsia"/>
          <w:lang w:eastAsia="zh-CN"/>
        </w:rPr>
        <w:t xml:space="preserve"> </w:t>
      </w:r>
      <w:r w:rsidR="00355D14">
        <w:rPr>
          <w:rStyle w:val="FootnoteReference"/>
          <w:lang w:eastAsia="zh-CN"/>
        </w:rPr>
        <w:footnoteReference w:id="3"/>
      </w:r>
      <w:r>
        <w:rPr>
          <w:rFonts w:hint="eastAsia"/>
          <w:lang w:eastAsia="zh-CN"/>
        </w:rPr>
        <w:t>。</w:t>
      </w:r>
    </w:p>
    <w:p w:rsidR="00E03965" w:rsidRDefault="00E03965" w:rsidP="00E03965">
      <w:pPr>
        <w:rPr>
          <w:lang w:eastAsia="zh-CN"/>
        </w:rPr>
      </w:pPr>
      <w:r>
        <w:rPr>
          <w:rFonts w:hint="eastAsia"/>
          <w:lang w:eastAsia="zh-CN"/>
        </w:rPr>
        <w:t>3.4</w:t>
      </w:r>
      <w:r>
        <w:rPr>
          <w:rFonts w:hint="eastAsia"/>
          <w:lang w:eastAsia="zh-CN"/>
        </w:rPr>
        <w:tab/>
      </w:r>
      <w:r>
        <w:rPr>
          <w:rFonts w:hint="eastAsia"/>
          <w:lang w:eastAsia="zh-CN"/>
        </w:rPr>
        <w:t>工作在“频谱监控”专题的</w:t>
      </w:r>
      <w:r>
        <w:rPr>
          <w:rFonts w:hint="eastAsia"/>
          <w:lang w:eastAsia="zh-CN"/>
        </w:rPr>
        <w:t>ITU-R SG1 WP 1C</w:t>
      </w:r>
      <w:r>
        <w:rPr>
          <w:rFonts w:hint="eastAsia"/>
          <w:lang w:eastAsia="zh-CN"/>
        </w:rPr>
        <w:t>批准了《频谱监测手册》</w:t>
      </w:r>
      <w:r>
        <w:rPr>
          <w:rFonts w:hint="eastAsia"/>
          <w:lang w:eastAsia="zh-CN"/>
        </w:rPr>
        <w:t>2011</w:t>
      </w:r>
      <w:r>
        <w:rPr>
          <w:rFonts w:hint="eastAsia"/>
          <w:lang w:eastAsia="zh-CN"/>
        </w:rPr>
        <w:t>版，其中涉及电离辐射测量的有关内容。</w:t>
      </w:r>
    </w:p>
    <w:p w:rsidR="00E03965" w:rsidRDefault="00E03965" w:rsidP="00E03965">
      <w:pPr>
        <w:rPr>
          <w:lang w:eastAsia="zh-CN"/>
        </w:rPr>
      </w:pPr>
      <w:r>
        <w:rPr>
          <w:rFonts w:hint="eastAsia"/>
          <w:lang w:eastAsia="zh-CN"/>
        </w:rPr>
        <w:t>3.5</w:t>
      </w:r>
      <w:r>
        <w:rPr>
          <w:rFonts w:hint="eastAsia"/>
          <w:lang w:eastAsia="zh-CN"/>
        </w:rPr>
        <w:tab/>
        <w:t>ITU-R</w:t>
      </w:r>
      <w:r>
        <w:rPr>
          <w:rFonts w:hint="eastAsia"/>
          <w:lang w:eastAsia="zh-CN"/>
        </w:rPr>
        <w:t>第</w:t>
      </w:r>
      <w:r>
        <w:rPr>
          <w:rFonts w:hint="eastAsia"/>
          <w:lang w:eastAsia="zh-CN"/>
        </w:rPr>
        <w:t>6</w:t>
      </w:r>
      <w:r>
        <w:rPr>
          <w:rFonts w:hint="eastAsia"/>
          <w:lang w:eastAsia="zh-CN"/>
        </w:rPr>
        <w:t>研究组也出版了</w:t>
      </w:r>
      <w:r>
        <w:rPr>
          <w:rFonts w:hint="eastAsia"/>
          <w:lang w:eastAsia="zh-CN"/>
        </w:rPr>
        <w:t>BS.1698</w:t>
      </w:r>
      <w:r>
        <w:rPr>
          <w:rFonts w:hint="eastAsia"/>
          <w:lang w:eastAsia="zh-CN"/>
        </w:rPr>
        <w:t>（</w:t>
      </w:r>
      <w:r>
        <w:rPr>
          <w:rFonts w:hint="eastAsia"/>
          <w:lang w:eastAsia="zh-CN"/>
        </w:rPr>
        <w:t>2005</w:t>
      </w:r>
      <w:r>
        <w:rPr>
          <w:rFonts w:hint="eastAsia"/>
          <w:lang w:eastAsia="zh-CN"/>
        </w:rPr>
        <w:t>）建议书“工作在任意发射频率的地面广播系统设施非电离辐射场强的评估方法”。该建议书提出了广播基站射频暴露的限值预测，以帮助制定有关保护人体不受潜在的有害效应影响的标准。</w:t>
      </w:r>
    </w:p>
    <w:p w:rsidR="00E03965" w:rsidRDefault="00E03965" w:rsidP="00E03965">
      <w:pPr>
        <w:rPr>
          <w:lang w:eastAsia="zh-CN"/>
        </w:rPr>
      </w:pPr>
      <w:r>
        <w:rPr>
          <w:rFonts w:hint="eastAsia"/>
          <w:lang w:eastAsia="zh-CN"/>
        </w:rPr>
        <w:t>3.6</w:t>
      </w:r>
      <w:r>
        <w:rPr>
          <w:rFonts w:hint="eastAsia"/>
          <w:lang w:eastAsia="zh-CN"/>
        </w:rPr>
        <w:tab/>
        <w:t>ITU-T SG5</w:t>
      </w:r>
      <w:r>
        <w:rPr>
          <w:rFonts w:hint="eastAsia"/>
          <w:lang w:eastAsia="zh-CN"/>
        </w:rPr>
        <w:t>向</w:t>
      </w:r>
      <w:r>
        <w:rPr>
          <w:rFonts w:hint="eastAsia"/>
          <w:lang w:eastAsia="zh-CN"/>
        </w:rPr>
        <w:t>ITU-D</w:t>
      </w:r>
      <w:r>
        <w:rPr>
          <w:rFonts w:hint="eastAsia"/>
          <w:lang w:eastAsia="zh-CN"/>
        </w:rPr>
        <w:t>通报了新出的建议书：</w:t>
      </w:r>
    </w:p>
    <w:p w:rsidR="00E03965" w:rsidRDefault="00167EA6" w:rsidP="00E03965">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有关“人体暴露射频电磁场的测量、评估和监控的导则”的</w:t>
      </w:r>
      <w:r w:rsidR="00E03965">
        <w:rPr>
          <w:rFonts w:hint="eastAsia"/>
          <w:lang w:eastAsia="zh-CN"/>
        </w:rPr>
        <w:t>K.91</w:t>
      </w:r>
      <w:r w:rsidR="00E03965">
        <w:rPr>
          <w:rFonts w:hint="eastAsia"/>
          <w:lang w:eastAsia="zh-CN"/>
        </w:rPr>
        <w:t>，</w:t>
      </w:r>
    </w:p>
    <w:p w:rsidR="00E03965" w:rsidRDefault="00167EA6" w:rsidP="00E03965">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有关“电磁场强度监控”的</w:t>
      </w:r>
      <w:r w:rsidR="00E03965">
        <w:rPr>
          <w:rFonts w:hint="eastAsia"/>
          <w:lang w:eastAsia="zh-CN"/>
        </w:rPr>
        <w:t>K.83</w:t>
      </w:r>
      <w:r w:rsidR="00E03965">
        <w:rPr>
          <w:rFonts w:hint="eastAsia"/>
          <w:lang w:eastAsia="zh-CN"/>
        </w:rPr>
        <w:t>，</w:t>
      </w:r>
    </w:p>
    <w:p w:rsidR="00E03965" w:rsidRDefault="00167EA6" w:rsidP="00E03965">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有关“限制临近无线电通信基站对射频信号人体辐射影响的减弱技术”的建议书</w:t>
      </w:r>
      <w:r w:rsidR="00E03965">
        <w:rPr>
          <w:rFonts w:hint="eastAsia"/>
          <w:lang w:eastAsia="zh-CN"/>
        </w:rPr>
        <w:t>K.70 (06/2007</w:t>
      </w:r>
      <w:proofErr w:type="gramStart"/>
      <w:r w:rsidR="00E03965">
        <w:rPr>
          <w:rFonts w:hint="eastAsia"/>
          <w:lang w:eastAsia="zh-CN"/>
        </w:rPr>
        <w:t>)</w:t>
      </w:r>
      <w:r w:rsidR="00E03965">
        <w:rPr>
          <w:rFonts w:hint="eastAsia"/>
          <w:lang w:eastAsia="zh-CN"/>
        </w:rPr>
        <w:t>，</w:t>
      </w:r>
      <w:proofErr w:type="gramEnd"/>
    </w:p>
    <w:p w:rsidR="00E03965" w:rsidRDefault="00167EA6" w:rsidP="00E03965">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有关人体暴露的</w:t>
      </w:r>
      <w:r w:rsidR="00E03965">
        <w:rPr>
          <w:rFonts w:hint="eastAsia"/>
          <w:lang w:eastAsia="zh-CN"/>
        </w:rPr>
        <w:t>ITU-T</w:t>
      </w:r>
      <w:r w:rsidR="00E03965">
        <w:rPr>
          <w:rFonts w:hint="eastAsia"/>
          <w:lang w:eastAsia="zh-CN"/>
        </w:rPr>
        <w:t>新课题</w:t>
      </w:r>
      <w:r w:rsidR="00E03965">
        <w:rPr>
          <w:rFonts w:hint="eastAsia"/>
          <w:lang w:eastAsia="zh-CN"/>
        </w:rPr>
        <w:t>7/5</w:t>
      </w:r>
      <w:r w:rsidR="00E03965">
        <w:rPr>
          <w:rFonts w:hint="eastAsia"/>
          <w:lang w:eastAsia="zh-CN"/>
        </w:rPr>
        <w:t>。</w:t>
      </w:r>
    </w:p>
    <w:p w:rsidR="00E03965" w:rsidRDefault="00E03965" w:rsidP="00E03965">
      <w:pPr>
        <w:rPr>
          <w:lang w:eastAsia="zh-CN"/>
        </w:rPr>
      </w:pPr>
      <w:r>
        <w:rPr>
          <w:rFonts w:hint="eastAsia"/>
          <w:lang w:eastAsia="zh-CN"/>
        </w:rPr>
        <w:t>3.7</w:t>
      </w:r>
      <w:r>
        <w:rPr>
          <w:rFonts w:hint="eastAsia"/>
          <w:lang w:eastAsia="zh-CN"/>
        </w:rPr>
        <w:tab/>
      </w:r>
      <w:r>
        <w:rPr>
          <w:rFonts w:hint="eastAsia"/>
          <w:lang w:eastAsia="zh-CN"/>
        </w:rPr>
        <w:t>世界卫生组织（</w:t>
      </w:r>
      <w:r>
        <w:rPr>
          <w:rFonts w:hint="eastAsia"/>
          <w:lang w:eastAsia="zh-CN"/>
        </w:rPr>
        <w:t>WHO</w:t>
      </w:r>
      <w:r>
        <w:rPr>
          <w:rFonts w:hint="eastAsia"/>
          <w:lang w:eastAsia="zh-CN"/>
        </w:rPr>
        <w:t>）的观点</w:t>
      </w:r>
      <w:r w:rsidR="00820A2F">
        <w:rPr>
          <w:rFonts w:hint="eastAsia"/>
          <w:lang w:eastAsia="zh-CN"/>
        </w:rPr>
        <w:t>：</w:t>
      </w:r>
    </w:p>
    <w:p w:rsidR="00E03965" w:rsidRDefault="00E03965" w:rsidP="00E03965">
      <w:pPr>
        <w:rPr>
          <w:lang w:eastAsia="zh-CN"/>
        </w:rPr>
      </w:pPr>
      <w:r>
        <w:rPr>
          <w:rFonts w:hint="eastAsia"/>
          <w:lang w:eastAsia="zh-CN"/>
        </w:rPr>
        <w:t>3.7.1</w:t>
      </w:r>
      <w:r>
        <w:rPr>
          <w:rFonts w:hint="eastAsia"/>
          <w:lang w:eastAsia="zh-CN"/>
        </w:rPr>
        <w:tab/>
        <w:t>WHO</w:t>
      </w:r>
      <w:r>
        <w:rPr>
          <w:rFonts w:hint="eastAsia"/>
          <w:lang w:eastAsia="zh-CN"/>
        </w:rPr>
        <w:t>国际</w:t>
      </w:r>
      <w:r>
        <w:rPr>
          <w:rFonts w:hint="eastAsia"/>
          <w:lang w:eastAsia="zh-CN"/>
        </w:rPr>
        <w:t>EMF</w:t>
      </w:r>
      <w:r>
        <w:rPr>
          <w:rFonts w:hint="eastAsia"/>
          <w:lang w:eastAsia="zh-CN"/>
        </w:rPr>
        <w:t>项目设立于</w:t>
      </w:r>
      <w:r>
        <w:rPr>
          <w:rFonts w:hint="eastAsia"/>
          <w:lang w:eastAsia="zh-CN"/>
        </w:rPr>
        <w:t>1996</w:t>
      </w:r>
      <w:r>
        <w:rPr>
          <w:rFonts w:hint="eastAsia"/>
          <w:lang w:eastAsia="zh-CN"/>
        </w:rPr>
        <w:t>年。其目标主要内容是：审查有关</w:t>
      </w:r>
      <w:r>
        <w:rPr>
          <w:rFonts w:hint="eastAsia"/>
          <w:lang w:eastAsia="zh-CN"/>
        </w:rPr>
        <w:t>EMF</w:t>
      </w:r>
      <w:r>
        <w:rPr>
          <w:rFonts w:hint="eastAsia"/>
          <w:lang w:eastAsia="zh-CN"/>
        </w:rPr>
        <w:t>辐射对人体影响的文献，并鼓励国际可接受的协调一致的标准。</w:t>
      </w:r>
      <w:r>
        <w:rPr>
          <w:rFonts w:hint="eastAsia"/>
          <w:lang w:eastAsia="zh-CN"/>
        </w:rPr>
        <w:t>WHO</w:t>
      </w:r>
      <w:r>
        <w:rPr>
          <w:rFonts w:hint="eastAsia"/>
          <w:lang w:eastAsia="zh-CN"/>
        </w:rPr>
        <w:t>在此课题方面的合作伙伴是：国际电联，国际劳工组织（</w:t>
      </w:r>
      <w:r>
        <w:rPr>
          <w:rFonts w:hint="eastAsia"/>
          <w:lang w:eastAsia="zh-CN"/>
        </w:rPr>
        <w:t>ILO</w:t>
      </w:r>
      <w:r>
        <w:rPr>
          <w:rFonts w:hint="eastAsia"/>
          <w:lang w:eastAsia="zh-CN"/>
        </w:rPr>
        <w:t>）、国际非电离保护委员会（</w:t>
      </w:r>
      <w:r>
        <w:rPr>
          <w:rFonts w:hint="eastAsia"/>
          <w:lang w:eastAsia="zh-CN"/>
        </w:rPr>
        <w:t>ICNIRP</w:t>
      </w:r>
      <w:r>
        <w:rPr>
          <w:rFonts w:hint="eastAsia"/>
          <w:lang w:eastAsia="zh-CN"/>
        </w:rPr>
        <w:t>）、联合国环境规划署（</w:t>
      </w:r>
      <w:r>
        <w:rPr>
          <w:rFonts w:hint="eastAsia"/>
          <w:lang w:eastAsia="zh-CN"/>
        </w:rPr>
        <w:t>UNEP</w:t>
      </w:r>
      <w:r>
        <w:rPr>
          <w:rFonts w:hint="eastAsia"/>
          <w:lang w:eastAsia="zh-CN"/>
        </w:rPr>
        <w:t>）以及其他组织。</w:t>
      </w:r>
      <w:r>
        <w:rPr>
          <w:rFonts w:hint="eastAsia"/>
          <w:lang w:eastAsia="zh-CN"/>
        </w:rPr>
        <w:t>WHO</w:t>
      </w:r>
      <w:r>
        <w:rPr>
          <w:rFonts w:hint="eastAsia"/>
          <w:lang w:eastAsia="zh-CN"/>
        </w:rPr>
        <w:t>不开展或资助研究，而是通过召开科学研讨会和健康危险评估来对研究进行评估。</w:t>
      </w:r>
    </w:p>
    <w:p w:rsidR="00E03965" w:rsidRDefault="00E03965" w:rsidP="00355D14">
      <w:pPr>
        <w:rPr>
          <w:lang w:eastAsia="zh-CN"/>
        </w:rPr>
      </w:pPr>
      <w:r>
        <w:rPr>
          <w:rFonts w:hint="eastAsia"/>
          <w:lang w:eastAsia="zh-CN"/>
        </w:rPr>
        <w:t>3.7.2</w:t>
      </w:r>
      <w:r>
        <w:rPr>
          <w:rFonts w:hint="eastAsia"/>
          <w:lang w:eastAsia="zh-CN"/>
        </w:rPr>
        <w:tab/>
      </w:r>
      <w:r>
        <w:rPr>
          <w:rFonts w:hint="eastAsia"/>
          <w:lang w:eastAsia="zh-CN"/>
        </w:rPr>
        <w:t>根据</w:t>
      </w:r>
      <w:r>
        <w:rPr>
          <w:rFonts w:hint="eastAsia"/>
          <w:lang w:eastAsia="zh-CN"/>
        </w:rPr>
        <w:t>WHO</w:t>
      </w:r>
      <w:r>
        <w:rPr>
          <w:rFonts w:hint="eastAsia"/>
          <w:lang w:eastAsia="zh-CN"/>
        </w:rPr>
        <w:t>的</w:t>
      </w:r>
      <w:r>
        <w:rPr>
          <w:rFonts w:hint="eastAsia"/>
          <w:lang w:eastAsia="zh-CN"/>
        </w:rPr>
        <w:t>2011</w:t>
      </w:r>
      <w:r>
        <w:rPr>
          <w:rFonts w:hint="eastAsia"/>
          <w:lang w:eastAsia="zh-CN"/>
        </w:rPr>
        <w:t>年第</w:t>
      </w:r>
      <w:r>
        <w:rPr>
          <w:rFonts w:hint="eastAsia"/>
          <w:lang w:eastAsia="zh-CN"/>
        </w:rPr>
        <w:t>193</w:t>
      </w:r>
      <w:r>
        <w:rPr>
          <w:rFonts w:hint="eastAsia"/>
          <w:lang w:eastAsia="zh-CN"/>
        </w:rPr>
        <w:t>号情况简报</w:t>
      </w:r>
      <w:r w:rsidR="00355D14">
        <w:rPr>
          <w:rStyle w:val="FootnoteReference"/>
          <w:lang w:eastAsia="zh-CN"/>
        </w:rPr>
        <w:footnoteReference w:id="4"/>
      </w:r>
      <w:r>
        <w:rPr>
          <w:rFonts w:hint="eastAsia"/>
          <w:lang w:eastAsia="zh-CN"/>
        </w:rPr>
        <w:t>，没有发现任何既有的有关移动应用的负面效应，有关移动应用长期效应的研究仍在继续之中。</w:t>
      </w:r>
      <w:r>
        <w:rPr>
          <w:rFonts w:hint="eastAsia"/>
          <w:lang w:eastAsia="zh-CN"/>
        </w:rPr>
        <w:t>WHO</w:t>
      </w:r>
      <w:r>
        <w:rPr>
          <w:rFonts w:hint="eastAsia"/>
          <w:lang w:eastAsia="zh-CN"/>
        </w:rPr>
        <w:t>第</w:t>
      </w:r>
      <w:r>
        <w:rPr>
          <w:rFonts w:hint="eastAsia"/>
          <w:lang w:eastAsia="zh-CN"/>
        </w:rPr>
        <w:t>304</w:t>
      </w:r>
      <w:r>
        <w:rPr>
          <w:rFonts w:hint="eastAsia"/>
          <w:lang w:eastAsia="zh-CN"/>
        </w:rPr>
        <w:t>号情况简报显示，没有让人信服的科学证据表明来自基站和无线网络的射频信号会对健康产生负面影响。</w:t>
      </w:r>
      <w:r w:rsidR="00355D14">
        <w:rPr>
          <w:rStyle w:val="FootnoteReference"/>
          <w:lang w:eastAsia="zh-CN"/>
        </w:rPr>
        <w:footnoteReference w:id="5"/>
      </w:r>
      <w:r>
        <w:rPr>
          <w:rFonts w:hint="eastAsia"/>
          <w:lang w:eastAsia="zh-CN"/>
        </w:rPr>
        <w:t xml:space="preserve"> </w:t>
      </w:r>
    </w:p>
    <w:p w:rsidR="00E03965" w:rsidRDefault="00E03965" w:rsidP="00E03965">
      <w:pPr>
        <w:pStyle w:val="Heading1"/>
        <w:rPr>
          <w:lang w:eastAsia="zh-CN"/>
        </w:rPr>
      </w:pPr>
      <w:bookmarkStart w:id="11" w:name="_Toc377132346"/>
      <w:r>
        <w:rPr>
          <w:rFonts w:hint="eastAsia"/>
          <w:lang w:eastAsia="zh-CN"/>
        </w:rPr>
        <w:lastRenderedPageBreak/>
        <w:t>4</w:t>
      </w:r>
      <w:r>
        <w:rPr>
          <w:rFonts w:hint="eastAsia"/>
          <w:lang w:eastAsia="zh-CN"/>
        </w:rPr>
        <w:tab/>
      </w:r>
      <w:r>
        <w:rPr>
          <w:rFonts w:ascii="SimSun" w:eastAsia="SimSun" w:hAnsi="SimSun" w:cs="SimSun" w:hint="eastAsia"/>
          <w:lang w:eastAsia="zh-CN"/>
        </w:rPr>
        <w:t>适用于人体电磁场暴露的防护原则</w:t>
      </w:r>
      <w:bookmarkEnd w:id="11"/>
    </w:p>
    <w:p w:rsidR="000553C2" w:rsidRDefault="00E03965" w:rsidP="00412A25">
      <w:pPr>
        <w:rPr>
          <w:rFonts w:cs="Calibri"/>
          <w:szCs w:val="21"/>
          <w:lang w:val="en-GB" w:eastAsia="zh-CN"/>
        </w:rPr>
      </w:pPr>
      <w:r>
        <w:rPr>
          <w:rFonts w:hint="eastAsia"/>
          <w:lang w:eastAsia="zh-CN"/>
        </w:rPr>
        <w:t>4.1</w:t>
      </w:r>
      <w:r>
        <w:rPr>
          <w:rFonts w:hint="eastAsia"/>
          <w:lang w:eastAsia="zh-CN"/>
        </w:rPr>
        <w:tab/>
      </w:r>
      <w:r>
        <w:rPr>
          <w:rFonts w:hint="eastAsia"/>
          <w:lang w:eastAsia="zh-CN"/>
        </w:rPr>
        <w:t>当前公众的关切集中于长期暴露在不足以引起急剧生理反应的电磁场环境可能对身体健康造成的影响。一份提供给世界卫生组织（</w:t>
      </w:r>
      <w:r>
        <w:rPr>
          <w:rFonts w:hint="eastAsia"/>
          <w:lang w:eastAsia="zh-CN"/>
        </w:rPr>
        <w:t>WHO</w:t>
      </w:r>
      <w:r>
        <w:rPr>
          <w:rFonts w:hint="eastAsia"/>
          <w:lang w:eastAsia="zh-CN"/>
        </w:rPr>
        <w:t>）无线电频率政策国际利益攸关方讲习班（</w:t>
      </w:r>
      <w:r>
        <w:rPr>
          <w:rFonts w:hint="eastAsia"/>
          <w:lang w:eastAsia="zh-CN"/>
        </w:rPr>
        <w:t>2013</w:t>
      </w:r>
      <w:r>
        <w:rPr>
          <w:rFonts w:hint="eastAsia"/>
          <w:lang w:eastAsia="zh-CN"/>
        </w:rPr>
        <w:t>年</w:t>
      </w:r>
      <w:r>
        <w:rPr>
          <w:rFonts w:hint="eastAsia"/>
          <w:lang w:eastAsia="zh-CN"/>
        </w:rPr>
        <w:t>6</w:t>
      </w:r>
      <w:r>
        <w:rPr>
          <w:rFonts w:hint="eastAsia"/>
          <w:lang w:eastAsia="zh-CN"/>
        </w:rPr>
        <w:t>月</w:t>
      </w:r>
      <w:r>
        <w:rPr>
          <w:rFonts w:hint="eastAsia"/>
          <w:lang w:eastAsia="zh-CN"/>
        </w:rPr>
        <w:t>5</w:t>
      </w:r>
      <w:r>
        <w:rPr>
          <w:rFonts w:hint="eastAsia"/>
          <w:lang w:eastAsia="zh-CN"/>
        </w:rPr>
        <w:t>日，法国巴黎）的背景报告草案</w:t>
      </w:r>
      <w:r w:rsidR="00355D14">
        <w:rPr>
          <w:rStyle w:val="FootnoteReference"/>
          <w:lang w:eastAsia="zh-CN"/>
        </w:rPr>
        <w:footnoteReference w:id="6"/>
      </w:r>
      <w:r>
        <w:rPr>
          <w:rFonts w:hint="eastAsia"/>
          <w:lang w:eastAsia="zh-CN"/>
        </w:rPr>
        <w:t xml:space="preserve"> </w:t>
      </w:r>
      <w:r>
        <w:rPr>
          <w:rFonts w:hint="eastAsia"/>
          <w:lang w:eastAsia="zh-CN"/>
        </w:rPr>
        <w:t>，确认了全世界实行电磁场暴露风险管理的五类政策（可能有重合）。经确认的政策类别有：</w:t>
      </w:r>
    </w:p>
    <w:p w:rsidR="00E03965" w:rsidRDefault="00167EA6" w:rsidP="00E03965">
      <w:pPr>
        <w:pStyle w:val="Enumlevel1"/>
        <w:rPr>
          <w:lang w:eastAsia="zh-CN"/>
        </w:rPr>
      </w:pPr>
      <w:r w:rsidRPr="00167EA6">
        <w:rPr>
          <w:lang w:eastAsia="zh-CN"/>
        </w:rPr>
        <w:t>–</w:t>
      </w:r>
      <w:r w:rsidR="00E03965" w:rsidRPr="00E03965">
        <w:rPr>
          <w:rFonts w:asciiTheme="minorHAnsi" w:hAnsiTheme="minorHAnsi"/>
          <w:lang w:eastAsia="zh-CN"/>
        </w:rPr>
        <w:tab/>
      </w:r>
      <w:r w:rsidR="00E03965">
        <w:rPr>
          <w:rFonts w:hint="eastAsia"/>
          <w:lang w:eastAsia="zh-CN"/>
        </w:rPr>
        <w:t>基于证据的做法</w:t>
      </w:r>
    </w:p>
    <w:p w:rsidR="00E03965" w:rsidRDefault="00167EA6" w:rsidP="00E03965">
      <w:pPr>
        <w:pStyle w:val="Enumlevel1"/>
        <w:rPr>
          <w:lang w:eastAsia="zh-CN"/>
        </w:rPr>
      </w:pPr>
      <w:r w:rsidRPr="00167EA6">
        <w:rPr>
          <w:lang w:eastAsia="zh-CN"/>
        </w:rPr>
        <w:t>–</w:t>
      </w:r>
      <w:r w:rsidR="00E03965" w:rsidRPr="00E03965">
        <w:rPr>
          <w:rFonts w:asciiTheme="minorHAnsi" w:hAnsiTheme="minorHAnsi"/>
          <w:lang w:eastAsia="zh-CN"/>
        </w:rPr>
        <w:tab/>
      </w:r>
      <w:r w:rsidR="00E03965">
        <w:rPr>
          <w:rFonts w:hint="eastAsia"/>
          <w:lang w:eastAsia="zh-CN"/>
        </w:rPr>
        <w:t>防护性的做法</w:t>
      </w:r>
    </w:p>
    <w:p w:rsidR="00E03965" w:rsidRDefault="00167EA6" w:rsidP="00E03965">
      <w:pPr>
        <w:pStyle w:val="Enumlevel1"/>
        <w:rPr>
          <w:lang w:eastAsia="zh-CN"/>
        </w:rPr>
      </w:pPr>
      <w:r w:rsidRPr="00167EA6">
        <w:rPr>
          <w:lang w:eastAsia="zh-CN"/>
        </w:rPr>
        <w:t>–</w:t>
      </w:r>
      <w:r w:rsidR="00E03965" w:rsidRPr="00E03965">
        <w:rPr>
          <w:rFonts w:asciiTheme="minorHAnsi" w:hAnsiTheme="minorHAnsi"/>
          <w:lang w:eastAsia="zh-CN"/>
        </w:rPr>
        <w:tab/>
      </w:r>
      <w:r w:rsidR="00E03965">
        <w:rPr>
          <w:rFonts w:hint="eastAsia"/>
          <w:lang w:eastAsia="zh-CN"/>
        </w:rPr>
        <w:t xml:space="preserve">ALARA </w:t>
      </w:r>
      <w:r w:rsidR="00355D14">
        <w:rPr>
          <w:rStyle w:val="FootnoteReference"/>
          <w:lang w:eastAsia="zh-CN"/>
        </w:rPr>
        <w:footnoteReference w:id="7"/>
      </w:r>
      <w:r w:rsidR="00E03965">
        <w:rPr>
          <w:rFonts w:hint="eastAsia"/>
          <w:lang w:eastAsia="zh-CN"/>
        </w:rPr>
        <w:t>原则</w:t>
      </w:r>
    </w:p>
    <w:p w:rsidR="00E03965" w:rsidRDefault="00167EA6" w:rsidP="00E03965">
      <w:pPr>
        <w:pStyle w:val="Enumlevel1"/>
        <w:rPr>
          <w:lang w:eastAsia="zh-CN"/>
        </w:rPr>
      </w:pPr>
      <w:r w:rsidRPr="00167EA6">
        <w:rPr>
          <w:lang w:eastAsia="zh-CN"/>
        </w:rPr>
        <w:t>–</w:t>
      </w:r>
      <w:r w:rsidR="00E03965" w:rsidRPr="00E03965">
        <w:rPr>
          <w:rFonts w:asciiTheme="minorHAnsi" w:hAnsiTheme="minorHAnsi"/>
          <w:lang w:eastAsia="zh-CN"/>
        </w:rPr>
        <w:tab/>
      </w:r>
      <w:r w:rsidR="00E03965">
        <w:rPr>
          <w:rFonts w:hint="eastAsia"/>
          <w:lang w:eastAsia="zh-CN"/>
        </w:rPr>
        <w:t>采取自愿的做法</w:t>
      </w:r>
    </w:p>
    <w:p w:rsidR="00E03965" w:rsidRDefault="00167EA6" w:rsidP="00E03965">
      <w:pPr>
        <w:pStyle w:val="Enumlevel1"/>
        <w:rPr>
          <w:lang w:eastAsia="zh-CN"/>
        </w:rPr>
      </w:pPr>
      <w:r w:rsidRPr="00167EA6">
        <w:rPr>
          <w:lang w:eastAsia="zh-CN"/>
        </w:rPr>
        <w:t>–</w:t>
      </w:r>
      <w:r w:rsidR="00E03965" w:rsidRPr="00E03965">
        <w:rPr>
          <w:rFonts w:asciiTheme="minorHAnsi" w:hAnsiTheme="minorHAnsi"/>
          <w:lang w:eastAsia="zh-CN"/>
        </w:rPr>
        <w:tab/>
      </w:r>
      <w:r w:rsidR="00E03965">
        <w:rPr>
          <w:rFonts w:hint="eastAsia"/>
          <w:lang w:eastAsia="zh-CN"/>
        </w:rPr>
        <w:t>信息和磋商</w:t>
      </w:r>
    </w:p>
    <w:p w:rsidR="00E03965" w:rsidRDefault="00E03965" w:rsidP="000553C2">
      <w:pPr>
        <w:ind w:firstLine="510"/>
        <w:rPr>
          <w:lang w:eastAsia="zh-CN"/>
        </w:rPr>
      </w:pPr>
      <w:r>
        <w:rPr>
          <w:rFonts w:hint="eastAsia"/>
          <w:lang w:eastAsia="zh-CN"/>
        </w:rPr>
        <w:t>报告对世卫组织调查所收到的回复</w:t>
      </w:r>
      <w:r w:rsidR="00355D14">
        <w:rPr>
          <w:rStyle w:val="FootnoteReference"/>
          <w:lang w:eastAsia="zh-CN"/>
        </w:rPr>
        <w:footnoteReference w:id="8"/>
      </w:r>
      <w:r>
        <w:rPr>
          <w:rFonts w:hint="eastAsia"/>
          <w:lang w:eastAsia="zh-CN"/>
        </w:rPr>
        <w:t>进行分析后指出，</w:t>
      </w:r>
      <w:r>
        <w:rPr>
          <w:rFonts w:hint="eastAsia"/>
          <w:lang w:eastAsia="zh-CN"/>
        </w:rPr>
        <w:t>85</w:t>
      </w:r>
      <w:r>
        <w:rPr>
          <w:rFonts w:hint="eastAsia"/>
          <w:lang w:eastAsia="zh-CN"/>
        </w:rPr>
        <w:t>个回复的国家中，有</w:t>
      </w:r>
      <w:r>
        <w:rPr>
          <w:rFonts w:hint="eastAsia"/>
          <w:lang w:eastAsia="zh-CN"/>
        </w:rPr>
        <w:t>77</w:t>
      </w:r>
      <w:r>
        <w:rPr>
          <w:rFonts w:hint="eastAsia"/>
          <w:lang w:eastAsia="zh-CN"/>
        </w:rPr>
        <w:t>个国家有固定设备的暴露限值。在这些有明确暴露限值的国家（</w:t>
      </w:r>
      <w:r>
        <w:rPr>
          <w:rFonts w:hint="eastAsia"/>
          <w:lang w:eastAsia="zh-CN"/>
        </w:rPr>
        <w:t>77</w:t>
      </w:r>
      <w:r>
        <w:rPr>
          <w:rFonts w:hint="eastAsia"/>
          <w:lang w:eastAsia="zh-CN"/>
        </w:rPr>
        <w:t>个）中，大多数是采用</w:t>
      </w:r>
      <w:r>
        <w:rPr>
          <w:rFonts w:hint="eastAsia"/>
          <w:lang w:eastAsia="zh-CN"/>
        </w:rPr>
        <w:t>ICNIRP</w:t>
      </w:r>
      <w:r>
        <w:rPr>
          <w:rFonts w:hint="eastAsia"/>
          <w:lang w:eastAsia="zh-CN"/>
        </w:rPr>
        <w:t>限值（</w:t>
      </w:r>
      <w:r>
        <w:rPr>
          <w:rFonts w:hint="eastAsia"/>
          <w:lang w:eastAsia="zh-CN"/>
        </w:rPr>
        <w:t>55</w:t>
      </w:r>
      <w:r>
        <w:rPr>
          <w:rFonts w:hint="eastAsia"/>
          <w:lang w:eastAsia="zh-CN"/>
        </w:rPr>
        <w:t>个），</w:t>
      </w:r>
      <w:r>
        <w:rPr>
          <w:rFonts w:hint="eastAsia"/>
          <w:lang w:eastAsia="zh-CN"/>
        </w:rPr>
        <w:t>4</w:t>
      </w:r>
      <w:r>
        <w:rPr>
          <w:rFonts w:hint="eastAsia"/>
          <w:lang w:eastAsia="zh-CN"/>
        </w:rPr>
        <w:t>个国家称已在科学证据的基础上自行设定限值，两个国家采用</w:t>
      </w:r>
      <w:r>
        <w:rPr>
          <w:rFonts w:hint="eastAsia"/>
          <w:lang w:eastAsia="zh-CN"/>
        </w:rPr>
        <w:t>FCC</w:t>
      </w:r>
      <w:r w:rsidR="00355D14">
        <w:rPr>
          <w:rStyle w:val="FootnoteReference"/>
          <w:lang w:eastAsia="zh-CN"/>
        </w:rPr>
        <w:footnoteReference w:id="9"/>
      </w:r>
      <w:r>
        <w:rPr>
          <w:rFonts w:hint="eastAsia"/>
          <w:lang w:eastAsia="zh-CN"/>
        </w:rPr>
        <w:t xml:space="preserve"> </w:t>
      </w:r>
      <w:r>
        <w:rPr>
          <w:rFonts w:hint="eastAsia"/>
          <w:lang w:eastAsia="zh-CN"/>
        </w:rPr>
        <w:t>限值，还有</w:t>
      </w:r>
      <w:r>
        <w:rPr>
          <w:rFonts w:hint="eastAsia"/>
          <w:lang w:eastAsia="zh-CN"/>
        </w:rPr>
        <w:t>16</w:t>
      </w:r>
      <w:r>
        <w:rPr>
          <w:rFonts w:hint="eastAsia"/>
          <w:lang w:eastAsia="zh-CN"/>
        </w:rPr>
        <w:t>个国家是按</w:t>
      </w:r>
      <w:r>
        <w:rPr>
          <w:rFonts w:hint="eastAsia"/>
          <w:lang w:eastAsia="zh-CN"/>
        </w:rPr>
        <w:t>ALARA</w:t>
      </w:r>
      <w:r>
        <w:rPr>
          <w:rFonts w:hint="eastAsia"/>
          <w:lang w:eastAsia="zh-CN"/>
        </w:rPr>
        <w:t>（</w:t>
      </w:r>
      <w:r>
        <w:rPr>
          <w:rFonts w:hint="eastAsia"/>
          <w:lang w:eastAsia="zh-CN"/>
        </w:rPr>
        <w:t>3</w:t>
      </w:r>
      <w:r>
        <w:rPr>
          <w:rFonts w:hint="eastAsia"/>
          <w:lang w:eastAsia="zh-CN"/>
        </w:rPr>
        <w:t>个）或防护性做法（</w:t>
      </w:r>
      <w:r>
        <w:rPr>
          <w:rFonts w:hint="eastAsia"/>
          <w:lang w:eastAsia="zh-CN"/>
        </w:rPr>
        <w:t>13</w:t>
      </w:r>
      <w:r>
        <w:rPr>
          <w:rFonts w:hint="eastAsia"/>
          <w:lang w:eastAsia="zh-CN"/>
        </w:rPr>
        <w:t>个），采用低于国际导则的暴露限值。</w:t>
      </w:r>
    </w:p>
    <w:p w:rsidR="00E03965" w:rsidRDefault="00E03965" w:rsidP="000553C2">
      <w:pPr>
        <w:ind w:firstLine="510"/>
        <w:rPr>
          <w:lang w:eastAsia="zh-CN"/>
        </w:rPr>
      </w:pPr>
      <w:r>
        <w:rPr>
          <w:rFonts w:hint="eastAsia"/>
          <w:lang w:eastAsia="zh-CN"/>
        </w:rPr>
        <w:t>世卫组织和其他很多组织开展了有关</w:t>
      </w:r>
      <w:r>
        <w:rPr>
          <w:rFonts w:hint="eastAsia"/>
          <w:lang w:eastAsia="zh-CN"/>
        </w:rPr>
        <w:t>EMF</w:t>
      </w:r>
      <w:r>
        <w:rPr>
          <w:rFonts w:hint="eastAsia"/>
          <w:lang w:eastAsia="zh-CN"/>
        </w:rPr>
        <w:t>的研究，以便就公众对电磁场潜在危害的关切做出科学、合理和客观的解答。世卫组织</w:t>
      </w:r>
      <w:r w:rsidR="00355D14">
        <w:rPr>
          <w:rStyle w:val="FootnoteReference"/>
          <w:lang w:eastAsia="zh-CN"/>
        </w:rPr>
        <w:footnoteReference w:id="10"/>
      </w:r>
      <w:r>
        <w:rPr>
          <w:rFonts w:hint="eastAsia"/>
          <w:lang w:eastAsia="zh-CN"/>
        </w:rPr>
        <w:t xml:space="preserve"> </w:t>
      </w:r>
      <w:r>
        <w:rPr>
          <w:rFonts w:hint="eastAsia"/>
          <w:lang w:eastAsia="zh-CN"/>
        </w:rPr>
        <w:t>解释称：“防护原则是在高度缺乏科学证据的情况下所采取的风险管理政策，它反映出有必要在不经等待科学研究结果的情况下采取措施，预防可能存在的严重风险。”</w:t>
      </w:r>
    </w:p>
    <w:p w:rsidR="00E03965" w:rsidRDefault="00E03965" w:rsidP="00E03965">
      <w:pPr>
        <w:rPr>
          <w:lang w:eastAsia="zh-CN"/>
        </w:rPr>
      </w:pPr>
      <w:r>
        <w:rPr>
          <w:rFonts w:hint="eastAsia"/>
          <w:lang w:eastAsia="zh-CN"/>
        </w:rPr>
        <w:t>4.2</w:t>
      </w:r>
      <w:r>
        <w:rPr>
          <w:rFonts w:hint="eastAsia"/>
          <w:lang w:eastAsia="zh-CN"/>
        </w:rPr>
        <w:tab/>
      </w:r>
      <w:r>
        <w:rPr>
          <w:rFonts w:hint="eastAsia"/>
          <w:lang w:eastAsia="zh-CN"/>
        </w:rPr>
        <w:t>在某些情况下，人们忽视对卫生或环境危害的早期警示，仅仅只是因为没有确实的科学证据证明有风险甚至高风险存在。这种态度导致人们在健康或环境危害发生或最起码威胁证据出现之前一直处于观望状态，而未能采取反制或防护措施。人类健康和环境事故的后果是人所共知的。防护原则不允许因为没有证明就否认威胁的存在，相反，要求我们从更有效保护的角度出发，通过逆向寻求确定可能的环境和健康影响的方法。</w:t>
      </w:r>
    </w:p>
    <w:p w:rsidR="00AD22C3" w:rsidRDefault="00AD22C3">
      <w:pPr>
        <w:tabs>
          <w:tab w:val="clear" w:pos="794"/>
        </w:tabs>
        <w:overflowPunct/>
        <w:spacing w:before="0" w:line="240" w:lineRule="auto"/>
        <w:jc w:val="left"/>
        <w:rPr>
          <w:lang w:eastAsia="zh-CN"/>
        </w:rPr>
      </w:pPr>
      <w:r>
        <w:rPr>
          <w:lang w:eastAsia="zh-CN"/>
        </w:rPr>
        <w:br w:type="page"/>
      </w:r>
    </w:p>
    <w:p w:rsidR="00E03965" w:rsidRDefault="00E03965" w:rsidP="00E03965">
      <w:pPr>
        <w:rPr>
          <w:lang w:eastAsia="zh-CN"/>
        </w:rPr>
      </w:pPr>
      <w:r>
        <w:rPr>
          <w:rFonts w:hint="eastAsia"/>
          <w:lang w:eastAsia="zh-CN"/>
        </w:rPr>
        <w:lastRenderedPageBreak/>
        <w:t>4.3</w:t>
      </w:r>
      <w:r>
        <w:rPr>
          <w:rFonts w:hint="eastAsia"/>
          <w:lang w:eastAsia="zh-CN"/>
        </w:rPr>
        <w:tab/>
      </w:r>
      <w:r>
        <w:rPr>
          <w:rFonts w:hint="eastAsia"/>
          <w:lang w:eastAsia="zh-CN"/>
        </w:rPr>
        <w:t>防护原则并非是科学不确定性的解决方案，相反是一种行动和知识之间的常规互动。和固定规则不一样，它提供参考点（摘要或具体实例）以供经常性的审查，需要对每个个体案例做出判断。在假设严重威胁发生之前加以考虑非常有必要，遮掩就可以提前防止威胁发生，并采取有效的和适当的措施来加以预防。其目的不是要在预防方面变得没有必要的小心，而是在早期阶段对威胁进行清点。</w:t>
      </w:r>
    </w:p>
    <w:p w:rsidR="00E03965" w:rsidRDefault="00E03965" w:rsidP="00E03965">
      <w:pPr>
        <w:rPr>
          <w:lang w:eastAsia="zh-CN"/>
        </w:rPr>
      </w:pPr>
      <w:r>
        <w:rPr>
          <w:rFonts w:hint="eastAsia"/>
          <w:lang w:eastAsia="zh-CN"/>
        </w:rPr>
        <w:t>4.4</w:t>
      </w:r>
      <w:r>
        <w:rPr>
          <w:rFonts w:hint="eastAsia"/>
          <w:lang w:eastAsia="zh-CN"/>
        </w:rPr>
        <w:tab/>
      </w:r>
      <w:r>
        <w:rPr>
          <w:rFonts w:hint="eastAsia"/>
          <w:lang w:eastAsia="zh-CN"/>
        </w:rPr>
        <w:t>总而言之，有两种相反的态度：一种是积极寻找威胁的存在的确定性及其强度，另一种是视而不见。显然视而不见对于威胁管理而言是无益的，而对于防护和预防原则有一些通用的规则：威胁的确定，评估和定级。在危险的基本现象和存在都不具备确定性的时候，威胁是假想的。但是，即使这没有得到确认，也不意味着威胁就可以视为不太可能发生或直接可以忽视。即使是确定了存在威胁，其精确的可能性依然未知。因此，防护原则的范围从理论上而言，是可能无限制的。</w:t>
      </w:r>
    </w:p>
    <w:p w:rsidR="00E03965" w:rsidRDefault="00E03965" w:rsidP="00E03965">
      <w:pPr>
        <w:rPr>
          <w:lang w:eastAsia="zh-CN"/>
        </w:rPr>
      </w:pPr>
      <w:r>
        <w:rPr>
          <w:rFonts w:hint="eastAsia"/>
          <w:lang w:eastAsia="zh-CN"/>
        </w:rPr>
        <w:t>4.5</w:t>
      </w:r>
      <w:r>
        <w:rPr>
          <w:rFonts w:hint="eastAsia"/>
          <w:lang w:eastAsia="zh-CN"/>
        </w:rPr>
        <w:tab/>
      </w:r>
      <w:r>
        <w:rPr>
          <w:rFonts w:hint="eastAsia"/>
          <w:lang w:eastAsia="zh-CN"/>
        </w:rPr>
        <w:t>防护原则的适用使得主管当局在面临当前或未来暴露导致缺乏科学知识的可能的、严重的、不可逆的伤害情况以及在不确定性盛行情况下采取的健康防护性措施成为合理行动。历史告诉我们，在出现了第一个警报信号之后马上采取防护原则，使得我们避免了与石棉、烟草</w:t>
      </w:r>
      <w:r>
        <w:rPr>
          <w:rFonts w:hint="eastAsia"/>
          <w:lang w:eastAsia="zh-CN"/>
        </w:rPr>
        <w:t>PCB</w:t>
      </w:r>
      <w:r>
        <w:rPr>
          <w:rFonts w:hint="eastAsia"/>
          <w:lang w:eastAsia="zh-CN"/>
        </w:rPr>
        <w:t>、</w:t>
      </w:r>
      <w:r>
        <w:rPr>
          <w:rFonts w:hint="eastAsia"/>
          <w:lang w:eastAsia="zh-CN"/>
        </w:rPr>
        <w:t>X</w:t>
      </w:r>
      <w:r>
        <w:rPr>
          <w:rFonts w:hint="eastAsia"/>
          <w:lang w:eastAsia="zh-CN"/>
        </w:rPr>
        <w:t>射线等相关的成本。为了科学完整性起见，决策机构应考虑到环境用药在寻找真正元凶时的偏差，这类偏差可能对人体健康和环境产生危害。</w:t>
      </w:r>
    </w:p>
    <w:p w:rsidR="00E03965" w:rsidRDefault="00E03965" w:rsidP="00E03965">
      <w:pPr>
        <w:rPr>
          <w:lang w:eastAsia="zh-CN"/>
        </w:rPr>
      </w:pPr>
      <w:r>
        <w:rPr>
          <w:rFonts w:hint="eastAsia"/>
          <w:lang w:eastAsia="zh-CN"/>
        </w:rPr>
        <w:t>4.6</w:t>
      </w:r>
      <w:r>
        <w:rPr>
          <w:rFonts w:hint="eastAsia"/>
          <w:lang w:eastAsia="zh-CN"/>
        </w:rPr>
        <w:tab/>
      </w:r>
      <w:r>
        <w:rPr>
          <w:rFonts w:hint="eastAsia"/>
          <w:lang w:eastAsia="zh-CN"/>
        </w:rPr>
        <w:t>防护原则基于不同的证据等级（或证据力度）以证明可能的暴露级别的降低。证据等级取决于：采取行动或者不采取行动导致的成本的特性及其均衡；从所考虑的产品或物质能够获得的益处；可用性或替代性；等等。如果等待较高等级的因果关系的科学证据，或对相关机制的了解，将被证明是成本较高的，这些成本包括补偿性赔偿、健康看护、失业和科研团体威信的受损等。用于解释行动合理性的选定的证据级别不能决定任何具体措施或行动类别。它取决于诸如措施成本、资金、威胁来源（如自愿或强迫）等因素。各利益攸关方均应参与其中，以便帮助进行风险管理难题的评估，并选择用于减少暴露的行动的级别和类型。</w:t>
      </w:r>
    </w:p>
    <w:p w:rsidR="00E03965" w:rsidRDefault="00E03965" w:rsidP="00E03965">
      <w:pPr>
        <w:rPr>
          <w:lang w:eastAsia="zh-CN"/>
        </w:rPr>
      </w:pPr>
      <w:r>
        <w:rPr>
          <w:rFonts w:hint="eastAsia"/>
          <w:lang w:eastAsia="zh-CN"/>
        </w:rPr>
        <w:t>4.7</w:t>
      </w:r>
      <w:r>
        <w:rPr>
          <w:rFonts w:hint="eastAsia"/>
          <w:lang w:eastAsia="zh-CN"/>
        </w:rPr>
        <w:tab/>
        <w:t>1972</w:t>
      </w:r>
      <w:r>
        <w:rPr>
          <w:rFonts w:hint="eastAsia"/>
          <w:lang w:eastAsia="zh-CN"/>
        </w:rPr>
        <w:t>年斯德哥尔摩召开的联合国人类环境大会确立了环境领域的第一个权利和义务。其原则</w:t>
      </w:r>
      <w:r>
        <w:rPr>
          <w:rFonts w:hint="eastAsia"/>
          <w:lang w:eastAsia="zh-CN"/>
        </w:rPr>
        <w:t>1</w:t>
      </w:r>
      <w:r>
        <w:rPr>
          <w:rFonts w:hint="eastAsia"/>
          <w:lang w:eastAsia="zh-CN"/>
        </w:rPr>
        <w:t>规定：</w:t>
      </w:r>
    </w:p>
    <w:p w:rsidR="00E03965" w:rsidRDefault="00167EA6" w:rsidP="00E03965">
      <w:pPr>
        <w:pStyle w:val="Enumlevel1"/>
        <w:rPr>
          <w:lang w:eastAsia="zh-CN"/>
        </w:rPr>
      </w:pPr>
      <w:r w:rsidRPr="00167EA6">
        <w:rPr>
          <w:lang w:eastAsia="zh-CN"/>
        </w:rPr>
        <w:t>–</w:t>
      </w:r>
      <w:r w:rsidR="00E03965" w:rsidRPr="00E03965">
        <w:rPr>
          <w:rFonts w:asciiTheme="minorHAnsi" w:hAnsiTheme="minorHAnsi"/>
          <w:lang w:eastAsia="zh-CN"/>
        </w:rPr>
        <w:tab/>
      </w:r>
      <w:r w:rsidR="00E03965">
        <w:rPr>
          <w:rFonts w:hint="eastAsia"/>
          <w:lang w:eastAsia="zh-CN"/>
        </w:rPr>
        <w:t>“任何人都享有拥有自由、平等、适合的生存条件的权利，能够生活在一个能够以尊严和幸福为生存质量的环境中，且其应有为现在和未来世代改善和保护环境的责任，”</w:t>
      </w:r>
    </w:p>
    <w:p w:rsidR="00E03965" w:rsidRDefault="00167EA6" w:rsidP="00E03965">
      <w:pPr>
        <w:pStyle w:val="Enumlevel1"/>
        <w:rPr>
          <w:lang w:eastAsia="zh-CN"/>
        </w:rPr>
      </w:pPr>
      <w:r w:rsidRPr="00167EA6">
        <w:rPr>
          <w:lang w:eastAsia="zh-CN"/>
        </w:rPr>
        <w:t>–</w:t>
      </w:r>
      <w:r w:rsidR="00E03965" w:rsidRPr="00E03965">
        <w:rPr>
          <w:rFonts w:asciiTheme="minorHAnsi" w:hAnsiTheme="minorHAnsi"/>
          <w:lang w:eastAsia="zh-CN"/>
        </w:rPr>
        <w:tab/>
      </w:r>
      <w:r w:rsidR="00E03965">
        <w:rPr>
          <w:rFonts w:hint="eastAsia"/>
          <w:lang w:eastAsia="zh-CN"/>
        </w:rPr>
        <w:t>在联合国系统内，防护原则第一次出现在</w:t>
      </w:r>
      <w:r w:rsidR="00E03965">
        <w:rPr>
          <w:rFonts w:hint="eastAsia"/>
          <w:lang w:eastAsia="zh-CN"/>
        </w:rPr>
        <w:t>1992</w:t>
      </w:r>
      <w:r w:rsidR="00E03965">
        <w:rPr>
          <w:rFonts w:hint="eastAsia"/>
          <w:lang w:eastAsia="zh-CN"/>
        </w:rPr>
        <w:t>年里约环境和发展宣言的原则</w:t>
      </w:r>
      <w:r w:rsidR="00E03965">
        <w:rPr>
          <w:rFonts w:hint="eastAsia"/>
          <w:lang w:eastAsia="zh-CN"/>
        </w:rPr>
        <w:t>15</w:t>
      </w:r>
      <w:r w:rsidR="00E03965">
        <w:rPr>
          <w:rFonts w:hint="eastAsia"/>
          <w:lang w:eastAsia="zh-CN"/>
        </w:rPr>
        <w:t>：“当出现严重的不可逆的损害威胁时，缺乏科学确定性不能作为延迟采取有效措施防止环境恶化的理由”，以及在联合国环境框架公约（</w:t>
      </w:r>
      <w:r w:rsidR="00E03965">
        <w:rPr>
          <w:rFonts w:hint="eastAsia"/>
          <w:lang w:eastAsia="zh-CN"/>
        </w:rPr>
        <w:t>UNFCCC</w:t>
      </w:r>
      <w:r w:rsidR="00E03965">
        <w:rPr>
          <w:rFonts w:hint="eastAsia"/>
          <w:lang w:eastAsia="zh-CN"/>
        </w:rPr>
        <w:t>，</w:t>
      </w:r>
      <w:r w:rsidR="00E03965">
        <w:rPr>
          <w:rFonts w:hint="eastAsia"/>
          <w:lang w:eastAsia="zh-CN"/>
        </w:rPr>
        <w:t>1994</w:t>
      </w:r>
      <w:r w:rsidR="00E03965">
        <w:rPr>
          <w:rFonts w:hint="eastAsia"/>
          <w:lang w:eastAsia="zh-CN"/>
        </w:rPr>
        <w:t>）及其京都协议（</w:t>
      </w:r>
      <w:r w:rsidR="00E03965">
        <w:rPr>
          <w:rFonts w:hint="eastAsia"/>
          <w:lang w:eastAsia="zh-CN"/>
        </w:rPr>
        <w:t>1997</w:t>
      </w:r>
      <w:r w:rsidR="00E03965">
        <w:rPr>
          <w:rFonts w:hint="eastAsia"/>
          <w:lang w:eastAsia="zh-CN"/>
        </w:rPr>
        <w:t>）。</w:t>
      </w:r>
    </w:p>
    <w:p w:rsidR="00E03965" w:rsidRDefault="00E03965" w:rsidP="00E03965">
      <w:pPr>
        <w:rPr>
          <w:lang w:eastAsia="zh-CN"/>
        </w:rPr>
      </w:pPr>
      <w:r>
        <w:rPr>
          <w:rFonts w:hint="eastAsia"/>
          <w:lang w:eastAsia="zh-CN"/>
        </w:rPr>
        <w:t>4.8</w:t>
      </w:r>
      <w:r>
        <w:rPr>
          <w:rFonts w:hint="eastAsia"/>
          <w:lang w:eastAsia="zh-CN"/>
        </w:rPr>
        <w:tab/>
      </w:r>
      <w:r>
        <w:rPr>
          <w:rFonts w:hint="eastAsia"/>
          <w:lang w:eastAsia="zh-CN"/>
        </w:rPr>
        <w:t>防护原则在以下文件中载明：</w:t>
      </w:r>
    </w:p>
    <w:p w:rsidR="00E03965" w:rsidRDefault="00E03965" w:rsidP="00E03965">
      <w:pPr>
        <w:pStyle w:val="Enumlevel1"/>
        <w:rPr>
          <w:lang w:eastAsia="zh-CN"/>
        </w:rPr>
      </w:pPr>
      <w:r>
        <w:rPr>
          <w:rFonts w:hint="eastAsia"/>
          <w:lang w:eastAsia="zh-CN"/>
        </w:rPr>
        <w:t>a)</w:t>
      </w:r>
      <w:r>
        <w:rPr>
          <w:rFonts w:hint="eastAsia"/>
          <w:lang w:eastAsia="zh-CN"/>
        </w:rPr>
        <w:tab/>
        <w:t>WTO</w:t>
      </w:r>
      <w:r>
        <w:rPr>
          <w:rFonts w:hint="eastAsia"/>
          <w:lang w:eastAsia="zh-CN"/>
        </w:rPr>
        <w:t>协定检疫和植物检疫应用（</w:t>
      </w:r>
      <w:r>
        <w:rPr>
          <w:rFonts w:hint="eastAsia"/>
          <w:lang w:eastAsia="zh-CN"/>
        </w:rPr>
        <w:t>SPS</w:t>
      </w:r>
      <w:r>
        <w:rPr>
          <w:rFonts w:hint="eastAsia"/>
          <w:lang w:eastAsia="zh-CN"/>
        </w:rPr>
        <w:t>协定）（</w:t>
      </w:r>
      <w:r>
        <w:rPr>
          <w:rFonts w:hint="eastAsia"/>
          <w:lang w:eastAsia="zh-CN"/>
        </w:rPr>
        <w:t>1994</w:t>
      </w:r>
      <w:r>
        <w:rPr>
          <w:rFonts w:hint="eastAsia"/>
          <w:lang w:eastAsia="zh-CN"/>
        </w:rPr>
        <w:t>）中有关防护原则的第</w:t>
      </w:r>
      <w:r>
        <w:rPr>
          <w:rFonts w:hint="eastAsia"/>
          <w:lang w:eastAsia="zh-CN"/>
        </w:rPr>
        <w:t>5.7</w:t>
      </w:r>
      <w:r>
        <w:rPr>
          <w:rFonts w:hint="eastAsia"/>
          <w:lang w:eastAsia="zh-CN"/>
        </w:rPr>
        <w:t>条，其中清楚规定允许政府在缺乏足够科学证据的情况下对一个产品或流程的最终决定采取防护性做法。</w:t>
      </w:r>
    </w:p>
    <w:p w:rsidR="00E03965" w:rsidRDefault="00E03965" w:rsidP="00E03965">
      <w:pPr>
        <w:pStyle w:val="Enumlevel1"/>
        <w:rPr>
          <w:lang w:eastAsia="zh-CN"/>
        </w:rPr>
      </w:pPr>
      <w:r>
        <w:rPr>
          <w:rFonts w:hint="eastAsia"/>
          <w:lang w:eastAsia="zh-CN"/>
        </w:rPr>
        <w:t>b)</w:t>
      </w:r>
      <w:r>
        <w:rPr>
          <w:rFonts w:hint="eastAsia"/>
          <w:lang w:eastAsia="zh-CN"/>
        </w:rPr>
        <w:tab/>
        <w:t>2000</w:t>
      </w:r>
      <w:r>
        <w:rPr>
          <w:rFonts w:hint="eastAsia"/>
          <w:lang w:eastAsia="zh-CN"/>
        </w:rPr>
        <w:t>年</w:t>
      </w:r>
      <w:r>
        <w:rPr>
          <w:rFonts w:hint="eastAsia"/>
          <w:lang w:eastAsia="zh-CN"/>
        </w:rPr>
        <w:t>1</w:t>
      </w:r>
      <w:r>
        <w:rPr>
          <w:rFonts w:hint="eastAsia"/>
          <w:lang w:eastAsia="zh-CN"/>
        </w:rPr>
        <w:t>月在蒙特利尔批准的生物安全协议。实际上，今天在生物安全协议中明确引入防护原则是更为广泛的推动将该原则载入法律框架的行动的一部分。</w:t>
      </w:r>
    </w:p>
    <w:p w:rsidR="00AD22C3" w:rsidRDefault="00AD22C3">
      <w:pPr>
        <w:tabs>
          <w:tab w:val="clear" w:pos="794"/>
        </w:tabs>
        <w:overflowPunct/>
        <w:spacing w:before="0" w:line="240" w:lineRule="auto"/>
        <w:jc w:val="left"/>
        <w:rPr>
          <w:rFonts w:cs="Arial"/>
          <w:sz w:val="20"/>
          <w:lang w:eastAsia="zh-CN"/>
        </w:rPr>
      </w:pPr>
      <w:r>
        <w:rPr>
          <w:lang w:eastAsia="zh-CN"/>
        </w:rPr>
        <w:br w:type="page"/>
      </w:r>
    </w:p>
    <w:p w:rsidR="00E03965" w:rsidRPr="002F72CF" w:rsidRDefault="00E03965" w:rsidP="002F72CF">
      <w:pPr>
        <w:pStyle w:val="Note"/>
        <w:rPr>
          <w:lang w:eastAsia="zh-CN"/>
        </w:rPr>
      </w:pPr>
      <w:r w:rsidRPr="002F72CF">
        <w:rPr>
          <w:rFonts w:hint="eastAsia"/>
          <w:lang w:eastAsia="zh-CN"/>
        </w:rPr>
        <w:lastRenderedPageBreak/>
        <w:t>注：防护原则从来没有在</w:t>
      </w:r>
      <w:r w:rsidRPr="002F72CF">
        <w:rPr>
          <w:rFonts w:hint="eastAsia"/>
          <w:lang w:eastAsia="zh-CN"/>
        </w:rPr>
        <w:t>WTO</w:t>
      </w:r>
      <w:r w:rsidRPr="002F72CF">
        <w:rPr>
          <w:rFonts w:hint="eastAsia"/>
          <w:lang w:eastAsia="zh-CN"/>
        </w:rPr>
        <w:t>协定中明确载入。负责该组织成员之间争端解决的争端解决组织</w:t>
      </w:r>
      <w:r w:rsidR="002F72CF">
        <w:rPr>
          <w:lang w:eastAsia="zh-CN"/>
        </w:rPr>
        <w:br/>
      </w:r>
      <w:r w:rsidRPr="002F72CF">
        <w:rPr>
          <w:rFonts w:hint="eastAsia"/>
          <w:lang w:eastAsia="zh-CN"/>
        </w:rPr>
        <w:t>（</w:t>
      </w:r>
      <w:r w:rsidRPr="002F72CF">
        <w:rPr>
          <w:rFonts w:hint="eastAsia"/>
          <w:lang w:eastAsia="zh-CN"/>
        </w:rPr>
        <w:t>DSB</w:t>
      </w:r>
      <w:r w:rsidRPr="002F72CF">
        <w:rPr>
          <w:rFonts w:hint="eastAsia"/>
          <w:lang w:eastAsia="zh-CN"/>
        </w:rPr>
        <w:t>）总是拒绝就防护原则的真正范围做出任何决定，因为它认为该原则从来就不是通用的法律原则。如果可能存在潜在威胁，则</w:t>
      </w:r>
      <w:r w:rsidRPr="002F72CF">
        <w:rPr>
          <w:rFonts w:hint="eastAsia"/>
          <w:lang w:eastAsia="zh-CN"/>
        </w:rPr>
        <w:t>DSB</w:t>
      </w:r>
      <w:r w:rsidRPr="002F72CF">
        <w:rPr>
          <w:rFonts w:hint="eastAsia"/>
          <w:lang w:eastAsia="zh-CN"/>
        </w:rPr>
        <w:t>在出现危险情况可见证据的情况下完全基于该原则授权进行贸易限制。</w:t>
      </w:r>
    </w:p>
    <w:p w:rsidR="00E03965" w:rsidRDefault="00E03965" w:rsidP="00E03965">
      <w:pPr>
        <w:pStyle w:val="Heading1"/>
        <w:rPr>
          <w:lang w:eastAsia="zh-CN"/>
        </w:rPr>
      </w:pPr>
      <w:bookmarkStart w:id="12" w:name="_Toc377132347"/>
      <w:r>
        <w:rPr>
          <w:rFonts w:hint="eastAsia"/>
          <w:lang w:eastAsia="zh-CN"/>
        </w:rPr>
        <w:t>5</w:t>
      </w:r>
      <w:r>
        <w:rPr>
          <w:rFonts w:hint="eastAsia"/>
          <w:lang w:eastAsia="zh-CN"/>
        </w:rPr>
        <w:tab/>
      </w:r>
      <w:r>
        <w:rPr>
          <w:rFonts w:ascii="SimSun" w:eastAsia="SimSun" w:hAnsi="SimSun" w:cs="SimSun" w:hint="eastAsia"/>
          <w:lang w:eastAsia="zh-CN"/>
        </w:rPr>
        <w:t>一些国家监管政策分析</w:t>
      </w:r>
      <w:bookmarkEnd w:id="12"/>
    </w:p>
    <w:p w:rsidR="00E03965" w:rsidRDefault="00E03965" w:rsidP="000553C2">
      <w:pPr>
        <w:ind w:firstLine="510"/>
        <w:rPr>
          <w:lang w:eastAsia="zh-CN"/>
        </w:rPr>
      </w:pPr>
      <w:r>
        <w:rPr>
          <w:rFonts w:hint="eastAsia"/>
          <w:lang w:eastAsia="zh-CN"/>
        </w:rPr>
        <w:t>在起草这份报告时，对一些国家用于授权无线电通信基站建设的人体暴露电磁场监管政策进行了分析和整理。同时也讨论了有关向人们告知因无线电通信系统发出的电磁场的效应的战略和方法。</w:t>
      </w:r>
    </w:p>
    <w:p w:rsidR="00E03965" w:rsidRDefault="00E03965" w:rsidP="00E03965">
      <w:pPr>
        <w:pStyle w:val="Heading2"/>
        <w:rPr>
          <w:lang w:eastAsia="zh-CN"/>
        </w:rPr>
      </w:pPr>
      <w:bookmarkStart w:id="13" w:name="_Toc377132348"/>
      <w:r>
        <w:rPr>
          <w:rFonts w:hint="eastAsia"/>
          <w:lang w:eastAsia="zh-CN"/>
        </w:rPr>
        <w:t>5.1</w:t>
      </w:r>
      <w:r>
        <w:rPr>
          <w:rFonts w:hint="eastAsia"/>
          <w:lang w:eastAsia="zh-CN"/>
        </w:rPr>
        <w:tab/>
      </w:r>
      <w:r>
        <w:rPr>
          <w:rFonts w:hint="eastAsia"/>
          <w:lang w:eastAsia="zh-CN"/>
        </w:rPr>
        <w:t>科特迪瓦</w:t>
      </w:r>
      <w:bookmarkEnd w:id="13"/>
    </w:p>
    <w:p w:rsidR="00E03965" w:rsidRDefault="00E03965" w:rsidP="00E03965">
      <w:pPr>
        <w:rPr>
          <w:lang w:eastAsia="zh-CN"/>
        </w:rPr>
      </w:pPr>
      <w:r w:rsidRPr="00C52C1C">
        <w:rPr>
          <w:rFonts w:hint="eastAsia"/>
          <w:b/>
          <w:bCs/>
          <w:lang w:eastAsia="zh-CN"/>
        </w:rPr>
        <w:t>政策：</w:t>
      </w:r>
      <w:r>
        <w:rPr>
          <w:rFonts w:hint="eastAsia"/>
          <w:lang w:eastAsia="zh-CN"/>
        </w:rPr>
        <w:t>管制机构和其他本地主管部门负责批准科特迪瓦的无线电安装的实施或修改。已经为防止社区敏感区域和易受伤害人群受到辐射影响采取了防护措施，其中敏感区域包括医院、学校、托儿所、活动区域等。这些防护措施不是清除通信天线，而是对天线模式做出特别关注，防止不必要辐射。在部署通信天线之前，做以下工作：</w:t>
      </w:r>
    </w:p>
    <w:p w:rsidR="00E03965" w:rsidRDefault="00167EA6" w:rsidP="00E03965">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评估技术特性是否符合基于</w:t>
      </w:r>
      <w:r w:rsidR="00E03965">
        <w:rPr>
          <w:rFonts w:hint="eastAsia"/>
          <w:lang w:eastAsia="zh-CN"/>
        </w:rPr>
        <w:t>ITU-T</w:t>
      </w:r>
      <w:r w:rsidR="00E03965">
        <w:rPr>
          <w:rFonts w:hint="eastAsia"/>
          <w:lang w:eastAsia="zh-CN"/>
        </w:rPr>
        <w:t>建议书的监管要求。</w:t>
      </w:r>
    </w:p>
    <w:p w:rsidR="00E03965" w:rsidRDefault="00167EA6" w:rsidP="00E03965">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对站点进行确认，以确保工作按照建筑许可进行。</w:t>
      </w:r>
    </w:p>
    <w:p w:rsidR="00E03965" w:rsidRDefault="00167EA6" w:rsidP="00E03965">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进行技术分析，以便最终授权站点运行。</w:t>
      </w:r>
    </w:p>
    <w:p w:rsidR="00E03965" w:rsidRDefault="00167EA6" w:rsidP="00E03965">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根据相关标准在国家层面上对站点进行每年一次的检测。</w:t>
      </w:r>
    </w:p>
    <w:p w:rsidR="00E03965" w:rsidRDefault="00167EA6" w:rsidP="00E03965">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同时正在开展一项政策项目以监管射频暴露问题：</w:t>
      </w:r>
    </w:p>
    <w:p w:rsidR="00E03965" w:rsidRDefault="00167EA6" w:rsidP="00E03965">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根据</w:t>
      </w:r>
      <w:r w:rsidR="00E03965">
        <w:rPr>
          <w:rFonts w:hint="eastAsia"/>
          <w:lang w:eastAsia="zh-CN"/>
        </w:rPr>
        <w:t>ICNIRP</w:t>
      </w:r>
      <w:r w:rsidR="00E03965">
        <w:rPr>
          <w:rFonts w:hint="eastAsia"/>
          <w:lang w:eastAsia="zh-CN"/>
        </w:rPr>
        <w:t>指南，确定科特迪瓦境内有关射频发射设施暴露的最低限值。</w:t>
      </w:r>
    </w:p>
    <w:p w:rsidR="00E03965" w:rsidRDefault="00167EA6" w:rsidP="00E03965">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确定此类设施拥有者的义务。</w:t>
      </w:r>
    </w:p>
    <w:p w:rsidR="00E03965" w:rsidRDefault="00E03965" w:rsidP="00E03965">
      <w:pPr>
        <w:rPr>
          <w:lang w:eastAsia="zh-CN"/>
        </w:rPr>
      </w:pPr>
      <w:r w:rsidRPr="00C52C1C">
        <w:rPr>
          <w:rFonts w:hint="eastAsia"/>
          <w:b/>
          <w:bCs/>
          <w:lang w:eastAsia="zh-CN"/>
        </w:rPr>
        <w:t>信息提供和公众介入：</w:t>
      </w:r>
      <w:r>
        <w:rPr>
          <w:rFonts w:hint="eastAsia"/>
          <w:lang w:eastAsia="zh-CN"/>
        </w:rPr>
        <w:t>在设立天线前进行公开磋商。使用广播业务向公众传递关于射频信号的信息。监管机构网站上有一个</w:t>
      </w:r>
      <w:r>
        <w:rPr>
          <w:rFonts w:hint="eastAsia"/>
          <w:lang w:eastAsia="zh-CN"/>
        </w:rPr>
        <w:t>FAQ</w:t>
      </w:r>
      <w:r>
        <w:rPr>
          <w:rFonts w:hint="eastAsia"/>
          <w:lang w:eastAsia="zh-CN"/>
        </w:rPr>
        <w:t>区域用于介绍非电离辐射和</w:t>
      </w:r>
      <w:r>
        <w:rPr>
          <w:rFonts w:hint="eastAsia"/>
          <w:lang w:eastAsia="zh-CN"/>
        </w:rPr>
        <w:t>SAR</w:t>
      </w:r>
      <w:r>
        <w:rPr>
          <w:rFonts w:hint="eastAsia"/>
          <w:lang w:eastAsia="zh-CN"/>
        </w:rPr>
        <w:t>。测量结果将公布。</w:t>
      </w:r>
    </w:p>
    <w:p w:rsidR="00E03965" w:rsidRDefault="00E03965" w:rsidP="00C52C1C">
      <w:pPr>
        <w:pStyle w:val="Headingi"/>
        <w:rPr>
          <w:lang w:eastAsia="zh-CN"/>
        </w:rPr>
      </w:pPr>
      <w:r>
        <w:rPr>
          <w:rFonts w:hint="eastAsia"/>
          <w:lang w:eastAsia="zh-CN"/>
        </w:rPr>
        <w:t>分析</w:t>
      </w:r>
    </w:p>
    <w:p w:rsidR="00E03965" w:rsidRDefault="00E03965" w:rsidP="000553C2">
      <w:pPr>
        <w:ind w:firstLine="510"/>
        <w:rPr>
          <w:lang w:eastAsia="zh-CN"/>
        </w:rPr>
      </w:pPr>
      <w:r>
        <w:rPr>
          <w:rFonts w:hint="eastAsia"/>
          <w:lang w:eastAsia="zh-CN"/>
        </w:rPr>
        <w:t>其他成员国可以试用该政策。建议有关确定最小限值的项目参照有关限定射频源暴露的</w:t>
      </w:r>
      <w:r>
        <w:rPr>
          <w:rFonts w:hint="eastAsia"/>
          <w:lang w:eastAsia="zh-CN"/>
        </w:rPr>
        <w:t>ICNIRP</w:t>
      </w:r>
      <w:r>
        <w:rPr>
          <w:rFonts w:hint="eastAsia"/>
          <w:lang w:eastAsia="zh-CN"/>
        </w:rPr>
        <w:t>指南。</w:t>
      </w:r>
    </w:p>
    <w:p w:rsidR="00E03965" w:rsidRDefault="00E03965" w:rsidP="00E03965">
      <w:pPr>
        <w:pStyle w:val="Heading2"/>
        <w:rPr>
          <w:lang w:eastAsia="zh-CN"/>
        </w:rPr>
      </w:pPr>
      <w:bookmarkStart w:id="14" w:name="_Toc377132349"/>
      <w:r>
        <w:rPr>
          <w:rFonts w:hint="eastAsia"/>
          <w:lang w:eastAsia="zh-CN"/>
        </w:rPr>
        <w:t>5.2</w:t>
      </w:r>
      <w:r>
        <w:rPr>
          <w:rFonts w:hint="eastAsia"/>
          <w:lang w:eastAsia="zh-CN"/>
        </w:rPr>
        <w:tab/>
      </w:r>
      <w:r>
        <w:rPr>
          <w:rFonts w:hint="eastAsia"/>
          <w:lang w:eastAsia="zh-CN"/>
        </w:rPr>
        <w:t>巴西</w:t>
      </w:r>
      <w:bookmarkEnd w:id="14"/>
    </w:p>
    <w:p w:rsidR="00E03965" w:rsidRDefault="00E03965" w:rsidP="00E03965">
      <w:pPr>
        <w:rPr>
          <w:lang w:eastAsia="zh-CN"/>
        </w:rPr>
      </w:pPr>
      <w:r w:rsidRPr="00C52C1C">
        <w:rPr>
          <w:rFonts w:hint="eastAsia"/>
          <w:b/>
          <w:bCs/>
          <w:lang w:eastAsia="zh-CN"/>
        </w:rPr>
        <w:t>政策：</w:t>
      </w:r>
      <w:r>
        <w:rPr>
          <w:rFonts w:hint="eastAsia"/>
          <w:lang w:eastAsia="zh-CN"/>
        </w:rPr>
        <w:t>巴西暴露限值遵循国际非电离辐射保护委员会（</w:t>
      </w:r>
      <w:r>
        <w:rPr>
          <w:rFonts w:hint="eastAsia"/>
          <w:lang w:eastAsia="zh-CN"/>
        </w:rPr>
        <w:t>ICNIRP</w:t>
      </w:r>
      <w:r>
        <w:rPr>
          <w:rFonts w:hint="eastAsia"/>
          <w:lang w:eastAsia="zh-CN"/>
        </w:rPr>
        <w:t>）指南。巴西联邦法律负责监控和确保无线电通信系统符合</w:t>
      </w:r>
      <w:r>
        <w:rPr>
          <w:rFonts w:hint="eastAsia"/>
          <w:lang w:eastAsia="zh-CN"/>
        </w:rPr>
        <w:t>WHO</w:t>
      </w:r>
      <w:r>
        <w:rPr>
          <w:rFonts w:hint="eastAsia"/>
          <w:lang w:eastAsia="zh-CN"/>
        </w:rPr>
        <w:t>推荐的电磁场强度。</w:t>
      </w:r>
    </w:p>
    <w:p w:rsidR="00E03965" w:rsidRDefault="00E03965" w:rsidP="000553C2">
      <w:pPr>
        <w:ind w:firstLine="510"/>
        <w:rPr>
          <w:lang w:eastAsia="zh-CN"/>
        </w:rPr>
      </w:pPr>
      <w:r>
        <w:rPr>
          <w:rFonts w:hint="eastAsia"/>
          <w:lang w:eastAsia="zh-CN"/>
        </w:rPr>
        <w:t>巴西辐射电平测量；</w:t>
      </w:r>
      <w:proofErr w:type="spellStart"/>
      <w:r>
        <w:rPr>
          <w:rFonts w:hint="eastAsia"/>
          <w:lang w:eastAsia="zh-CN"/>
        </w:rPr>
        <w:t>Anatel</w:t>
      </w:r>
      <w:proofErr w:type="spellEnd"/>
      <w:r>
        <w:rPr>
          <w:rFonts w:hint="eastAsia"/>
          <w:lang w:eastAsia="zh-CN"/>
        </w:rPr>
        <w:t>负责评估在医院、诊所、学校、日间看护中心和老年之家半径</w:t>
      </w:r>
      <w:r>
        <w:rPr>
          <w:rFonts w:hint="eastAsia"/>
          <w:lang w:eastAsia="zh-CN"/>
        </w:rPr>
        <w:t>50</w:t>
      </w:r>
      <w:r>
        <w:rPr>
          <w:rFonts w:hint="eastAsia"/>
          <w:lang w:eastAsia="zh-CN"/>
        </w:rPr>
        <w:t>米范围内无线电通信站点许可发放</w:t>
      </w:r>
      <w:r>
        <w:rPr>
          <w:rFonts w:hint="eastAsia"/>
          <w:lang w:eastAsia="zh-CN"/>
        </w:rPr>
        <w:t>60</w:t>
      </w:r>
      <w:r>
        <w:rPr>
          <w:rFonts w:hint="eastAsia"/>
          <w:lang w:eastAsia="zh-CN"/>
        </w:rPr>
        <w:t>天内对站点的</w:t>
      </w:r>
      <w:r>
        <w:rPr>
          <w:rFonts w:hint="eastAsia"/>
          <w:lang w:eastAsia="zh-CN"/>
        </w:rPr>
        <w:t>EMP</w:t>
      </w:r>
      <w:r>
        <w:rPr>
          <w:rFonts w:hint="eastAsia"/>
          <w:lang w:eastAsia="zh-CN"/>
        </w:rPr>
        <w:t>暴露是否符合规定进行评估。</w:t>
      </w:r>
    </w:p>
    <w:p w:rsidR="00E03965" w:rsidRDefault="00E03965" w:rsidP="000553C2">
      <w:pPr>
        <w:ind w:firstLine="510"/>
        <w:rPr>
          <w:lang w:eastAsia="zh-CN"/>
        </w:rPr>
      </w:pPr>
      <w:r>
        <w:rPr>
          <w:rFonts w:hint="eastAsia"/>
          <w:lang w:eastAsia="zh-CN"/>
        </w:rPr>
        <w:t>EMF</w:t>
      </w:r>
      <w:r>
        <w:rPr>
          <w:rFonts w:hint="eastAsia"/>
          <w:lang w:eastAsia="zh-CN"/>
        </w:rPr>
        <w:t>暴露验证有效期为最长</w:t>
      </w:r>
      <w:r>
        <w:rPr>
          <w:rFonts w:hint="eastAsia"/>
          <w:lang w:eastAsia="zh-CN"/>
        </w:rPr>
        <w:t>5</w:t>
      </w:r>
      <w:r>
        <w:rPr>
          <w:rFonts w:hint="eastAsia"/>
          <w:lang w:eastAsia="zh-CN"/>
        </w:rPr>
        <w:t>年。</w:t>
      </w:r>
      <w:proofErr w:type="spellStart"/>
      <w:r>
        <w:rPr>
          <w:rFonts w:hint="eastAsia"/>
          <w:lang w:eastAsia="zh-CN"/>
        </w:rPr>
        <w:t>Anatel</w:t>
      </w:r>
      <w:proofErr w:type="spellEnd"/>
      <w:r>
        <w:rPr>
          <w:rFonts w:hint="eastAsia"/>
          <w:lang w:eastAsia="zh-CN"/>
        </w:rPr>
        <w:t>负责在年度实施规划内根据法律以及社会和呼叫中心、网页和其他公共关系渠道等不同来源收集到的具体需求对已规划的站址进行测量。</w:t>
      </w:r>
      <w:r>
        <w:rPr>
          <w:rFonts w:hint="eastAsia"/>
          <w:lang w:eastAsia="zh-CN"/>
        </w:rPr>
        <w:lastRenderedPageBreak/>
        <w:t>大多数这些兼容评估与蜂窝基站收发信台（</w:t>
      </w:r>
      <w:r>
        <w:rPr>
          <w:rFonts w:hint="eastAsia"/>
          <w:lang w:eastAsia="zh-CN"/>
        </w:rPr>
        <w:t>BTS</w:t>
      </w:r>
      <w:r>
        <w:rPr>
          <w:rFonts w:hint="eastAsia"/>
          <w:lang w:eastAsia="zh-CN"/>
        </w:rPr>
        <w:t>）有关，其中一些这类评估是由于邻里投诉和关于</w:t>
      </w:r>
      <w:r>
        <w:rPr>
          <w:rFonts w:hint="eastAsia"/>
          <w:lang w:eastAsia="zh-CN"/>
        </w:rPr>
        <w:t>EMF</w:t>
      </w:r>
      <w:r>
        <w:rPr>
          <w:rFonts w:hint="eastAsia"/>
          <w:lang w:eastAsia="zh-CN"/>
        </w:rPr>
        <w:t>暴露的关注。</w:t>
      </w:r>
    </w:p>
    <w:p w:rsidR="00E03965" w:rsidRDefault="00E03965" w:rsidP="00E03965">
      <w:pPr>
        <w:rPr>
          <w:lang w:eastAsia="zh-CN"/>
        </w:rPr>
      </w:pPr>
      <w:r w:rsidRPr="00412A25">
        <w:rPr>
          <w:rFonts w:hint="eastAsia"/>
          <w:b/>
          <w:bCs/>
          <w:lang w:eastAsia="zh-CN"/>
        </w:rPr>
        <w:t>信息提供：</w:t>
      </w:r>
      <w:proofErr w:type="spellStart"/>
      <w:r>
        <w:rPr>
          <w:rFonts w:hint="eastAsia"/>
          <w:lang w:eastAsia="zh-CN"/>
        </w:rPr>
        <w:t>Anatel</w:t>
      </w:r>
      <w:proofErr w:type="spellEnd"/>
      <w:r>
        <w:rPr>
          <w:rFonts w:hint="eastAsia"/>
          <w:lang w:eastAsia="zh-CN"/>
        </w:rPr>
        <w:t>发布了一个提供总暴露率理论计算的软件，其中采用了自由空间传输模型和国家无线电通信站点数据库。</w:t>
      </w:r>
      <w:proofErr w:type="spellStart"/>
      <w:r>
        <w:rPr>
          <w:rFonts w:hint="eastAsia"/>
          <w:lang w:eastAsia="zh-CN"/>
        </w:rPr>
        <w:t>Anatel</w:t>
      </w:r>
      <w:proofErr w:type="spellEnd"/>
      <w:r>
        <w:rPr>
          <w:rFonts w:hint="eastAsia"/>
          <w:lang w:eastAsia="zh-CN"/>
        </w:rPr>
        <w:t>执行处的测量结果整合进入了该软件，这样在一些没有测量值的地点，也能提供计算值。</w:t>
      </w:r>
    </w:p>
    <w:p w:rsidR="00E03965" w:rsidRDefault="00E03965" w:rsidP="000553C2">
      <w:pPr>
        <w:ind w:firstLine="510"/>
        <w:rPr>
          <w:lang w:eastAsia="zh-CN"/>
        </w:rPr>
      </w:pPr>
      <w:proofErr w:type="spellStart"/>
      <w:r>
        <w:rPr>
          <w:rFonts w:hint="eastAsia"/>
          <w:lang w:eastAsia="zh-CN"/>
        </w:rPr>
        <w:t>Anatel</w:t>
      </w:r>
      <w:proofErr w:type="spellEnd"/>
      <w:r>
        <w:rPr>
          <w:rFonts w:hint="eastAsia"/>
          <w:lang w:eastAsia="zh-CN"/>
        </w:rPr>
        <w:t>网页也提供了巴西境内所有批准的移动电话的比吸收率（</w:t>
      </w:r>
      <w:r>
        <w:rPr>
          <w:rFonts w:hint="eastAsia"/>
          <w:lang w:eastAsia="zh-CN"/>
        </w:rPr>
        <w:t>SAR</w:t>
      </w:r>
      <w:r>
        <w:rPr>
          <w:rFonts w:hint="eastAsia"/>
          <w:lang w:eastAsia="zh-CN"/>
        </w:rPr>
        <w:t>）。巴西认为提供一份具有测量结果和理论计算的互动地图，将有助于确保向公众提供相关的准确信息。</w:t>
      </w:r>
    </w:p>
    <w:p w:rsidR="00E03965" w:rsidRDefault="00E03965" w:rsidP="00C52C1C">
      <w:pPr>
        <w:pStyle w:val="Headingi"/>
        <w:rPr>
          <w:lang w:eastAsia="zh-CN"/>
        </w:rPr>
      </w:pPr>
      <w:r>
        <w:rPr>
          <w:rFonts w:hint="eastAsia"/>
          <w:lang w:eastAsia="zh-CN"/>
        </w:rPr>
        <w:t>分析</w:t>
      </w:r>
    </w:p>
    <w:p w:rsidR="00E03965" w:rsidRDefault="00E03965" w:rsidP="000553C2">
      <w:pPr>
        <w:ind w:firstLine="510"/>
        <w:rPr>
          <w:lang w:eastAsia="zh-CN"/>
        </w:rPr>
      </w:pPr>
      <w:r>
        <w:rPr>
          <w:rFonts w:hint="eastAsia"/>
          <w:lang w:eastAsia="zh-CN"/>
        </w:rPr>
        <w:t>该政策遵循</w:t>
      </w:r>
      <w:r>
        <w:rPr>
          <w:rFonts w:hint="eastAsia"/>
          <w:lang w:eastAsia="zh-CN"/>
        </w:rPr>
        <w:t>WHO</w:t>
      </w:r>
      <w:r>
        <w:rPr>
          <w:rFonts w:hint="eastAsia"/>
          <w:lang w:eastAsia="zh-CN"/>
        </w:rPr>
        <w:t>和</w:t>
      </w:r>
      <w:r>
        <w:rPr>
          <w:rFonts w:hint="eastAsia"/>
          <w:lang w:eastAsia="zh-CN"/>
        </w:rPr>
        <w:t>ICNIRP</w:t>
      </w:r>
      <w:r>
        <w:rPr>
          <w:rFonts w:hint="eastAsia"/>
          <w:lang w:eastAsia="zh-CN"/>
        </w:rPr>
        <w:t>指南。关键区域如医院等已被考虑。收到投诉这一事实表明公众可能对</w:t>
      </w:r>
      <w:r>
        <w:rPr>
          <w:rFonts w:hint="eastAsia"/>
          <w:lang w:eastAsia="zh-CN"/>
        </w:rPr>
        <w:t>EMF</w:t>
      </w:r>
      <w:r>
        <w:rPr>
          <w:rFonts w:hint="eastAsia"/>
          <w:lang w:eastAsia="zh-CN"/>
        </w:rPr>
        <w:t>已有了解，因此发布基于软件的数据将是向公众提供信息的一种好的途径。</w:t>
      </w:r>
    </w:p>
    <w:p w:rsidR="00E03965" w:rsidRDefault="00E03965" w:rsidP="00C52C1C">
      <w:pPr>
        <w:pStyle w:val="Heading2"/>
        <w:rPr>
          <w:lang w:eastAsia="zh-CN"/>
        </w:rPr>
      </w:pPr>
      <w:bookmarkStart w:id="15" w:name="_Toc377132350"/>
      <w:r>
        <w:rPr>
          <w:rFonts w:hint="eastAsia"/>
          <w:lang w:eastAsia="zh-CN"/>
        </w:rPr>
        <w:t>5.3</w:t>
      </w:r>
      <w:r>
        <w:rPr>
          <w:rFonts w:hint="eastAsia"/>
          <w:lang w:eastAsia="zh-CN"/>
        </w:rPr>
        <w:tab/>
      </w:r>
      <w:r>
        <w:rPr>
          <w:rFonts w:hint="eastAsia"/>
          <w:lang w:eastAsia="zh-CN"/>
        </w:rPr>
        <w:t>韩国</w:t>
      </w:r>
      <w:bookmarkEnd w:id="15"/>
    </w:p>
    <w:p w:rsidR="00E03965" w:rsidRDefault="00E03965" w:rsidP="00E03965">
      <w:pPr>
        <w:rPr>
          <w:lang w:eastAsia="zh-CN"/>
        </w:rPr>
      </w:pPr>
      <w:r w:rsidRPr="00C52C1C">
        <w:rPr>
          <w:rFonts w:hint="eastAsia"/>
          <w:b/>
          <w:bCs/>
          <w:lang w:eastAsia="zh-CN"/>
        </w:rPr>
        <w:t>政策：</w:t>
      </w:r>
      <w:r>
        <w:rPr>
          <w:rFonts w:hint="eastAsia"/>
          <w:lang w:eastAsia="zh-CN"/>
        </w:rPr>
        <w:t>采用了</w:t>
      </w:r>
      <w:r>
        <w:rPr>
          <w:rFonts w:hint="eastAsia"/>
          <w:lang w:eastAsia="zh-CN"/>
        </w:rPr>
        <w:t>ICNIRP</w:t>
      </w:r>
      <w:r>
        <w:rPr>
          <w:rFonts w:hint="eastAsia"/>
          <w:lang w:eastAsia="zh-CN"/>
        </w:rPr>
        <w:t>和</w:t>
      </w:r>
      <w:r>
        <w:rPr>
          <w:rFonts w:hint="eastAsia"/>
          <w:lang w:eastAsia="zh-CN"/>
        </w:rPr>
        <w:t>IEEE EMF</w:t>
      </w:r>
      <w:r>
        <w:rPr>
          <w:rFonts w:hint="eastAsia"/>
          <w:lang w:eastAsia="zh-CN"/>
        </w:rPr>
        <w:t>暴露限值。报道了对基站和广播发射机的</w:t>
      </w:r>
      <w:r>
        <w:rPr>
          <w:rFonts w:hint="eastAsia"/>
          <w:lang w:eastAsia="zh-CN"/>
        </w:rPr>
        <w:t>EMF</w:t>
      </w:r>
      <w:r>
        <w:rPr>
          <w:rFonts w:hint="eastAsia"/>
          <w:lang w:eastAsia="zh-CN"/>
        </w:rPr>
        <w:t>环境评估结果。所有辐射射频能量的设备将被要求进行</w:t>
      </w:r>
      <w:r>
        <w:rPr>
          <w:rFonts w:hint="eastAsia"/>
          <w:lang w:eastAsia="zh-CN"/>
        </w:rPr>
        <w:t>EMF</w:t>
      </w:r>
      <w:r>
        <w:rPr>
          <w:rFonts w:hint="eastAsia"/>
          <w:lang w:eastAsia="zh-CN"/>
        </w:rPr>
        <w:t>电平测量，这其中以下无线电设备除外：移动基站、急救站、位于公众极少进入的区域之内，如高山、小岛等，以及低功率站点，如那些无需许可的无线麦克风、无线控制器，以及无线寻呼机。</w:t>
      </w:r>
    </w:p>
    <w:p w:rsidR="00E03965" w:rsidRDefault="00E03965" w:rsidP="000553C2">
      <w:pPr>
        <w:ind w:firstLine="510"/>
        <w:rPr>
          <w:lang w:eastAsia="zh-CN"/>
        </w:rPr>
      </w:pPr>
      <w:r>
        <w:rPr>
          <w:rFonts w:hint="eastAsia"/>
          <w:lang w:eastAsia="zh-CN"/>
        </w:rPr>
        <w:t>在公共区域附近架设的无线站点需要报告</w:t>
      </w:r>
      <w:r>
        <w:rPr>
          <w:rFonts w:hint="eastAsia"/>
          <w:lang w:eastAsia="zh-CN"/>
        </w:rPr>
        <w:t>EMF</w:t>
      </w:r>
      <w:r>
        <w:rPr>
          <w:rFonts w:hint="eastAsia"/>
          <w:lang w:eastAsia="zh-CN"/>
        </w:rPr>
        <w:t>电平的评定值，以便在开展正常运行前测试是否符合限值要求。</w:t>
      </w:r>
    </w:p>
    <w:p w:rsidR="00E03965" w:rsidRDefault="00E03965" w:rsidP="00E03965">
      <w:pPr>
        <w:rPr>
          <w:lang w:eastAsia="zh-CN"/>
        </w:rPr>
      </w:pPr>
      <w:r w:rsidRPr="000553C2">
        <w:rPr>
          <w:rFonts w:hint="eastAsia"/>
          <w:b/>
          <w:bCs/>
          <w:lang w:eastAsia="zh-CN"/>
        </w:rPr>
        <w:t>信息提供：</w:t>
      </w:r>
      <w:r>
        <w:rPr>
          <w:rFonts w:hint="eastAsia"/>
          <w:lang w:eastAsia="zh-CN"/>
        </w:rPr>
        <w:t>从</w:t>
      </w:r>
      <w:r>
        <w:rPr>
          <w:rFonts w:hint="eastAsia"/>
          <w:lang w:eastAsia="zh-CN"/>
        </w:rPr>
        <w:t>2004</w:t>
      </w:r>
      <w:r>
        <w:rPr>
          <w:rFonts w:hint="eastAsia"/>
          <w:lang w:eastAsia="zh-CN"/>
        </w:rPr>
        <w:t>年起，每半年发布一次两种类型的新闻通讯，一种是</w:t>
      </w:r>
      <w:r>
        <w:rPr>
          <w:rFonts w:hint="eastAsia"/>
          <w:lang w:eastAsia="zh-CN"/>
        </w:rPr>
        <w:t>EMF</w:t>
      </w:r>
      <w:r>
        <w:rPr>
          <w:rFonts w:hint="eastAsia"/>
          <w:lang w:eastAsia="zh-CN"/>
        </w:rPr>
        <w:t>测量标准（来自</w:t>
      </w:r>
      <w:r>
        <w:rPr>
          <w:rFonts w:hint="eastAsia"/>
          <w:lang w:eastAsia="zh-CN"/>
        </w:rPr>
        <w:t>RRA</w:t>
      </w:r>
      <w:r>
        <w:rPr>
          <w:rFonts w:hint="eastAsia"/>
          <w:lang w:eastAsia="zh-CN"/>
        </w:rPr>
        <w:t>），另一种是生物效应（来自</w:t>
      </w:r>
      <w:r>
        <w:rPr>
          <w:rFonts w:hint="eastAsia"/>
          <w:lang w:eastAsia="zh-CN"/>
        </w:rPr>
        <w:t>KIEES</w:t>
      </w:r>
      <w:r>
        <w:rPr>
          <w:rFonts w:hint="eastAsia"/>
          <w:lang w:eastAsia="zh-CN"/>
        </w:rPr>
        <w:t>），暴露限值和政策。每两年发布一次包含</w:t>
      </w:r>
      <w:r>
        <w:rPr>
          <w:rFonts w:hint="eastAsia"/>
          <w:lang w:eastAsia="zh-CN"/>
        </w:rPr>
        <w:t>EMF</w:t>
      </w:r>
      <w:r>
        <w:rPr>
          <w:rFonts w:hint="eastAsia"/>
          <w:lang w:eastAsia="zh-CN"/>
        </w:rPr>
        <w:t>暴露信息的指导书和</w:t>
      </w:r>
      <w:r>
        <w:rPr>
          <w:rFonts w:hint="eastAsia"/>
          <w:lang w:eastAsia="zh-CN"/>
        </w:rPr>
        <w:t>CD</w:t>
      </w:r>
      <w:r>
        <w:rPr>
          <w:rFonts w:hint="eastAsia"/>
          <w:lang w:eastAsia="zh-CN"/>
        </w:rPr>
        <w:t>。每年向专业认识发布一份专门期刊。自</w:t>
      </w:r>
      <w:r>
        <w:rPr>
          <w:rFonts w:hint="eastAsia"/>
          <w:lang w:eastAsia="zh-CN"/>
        </w:rPr>
        <w:t>1999</w:t>
      </w:r>
      <w:r>
        <w:rPr>
          <w:rFonts w:hint="eastAsia"/>
          <w:lang w:eastAsia="zh-CN"/>
        </w:rPr>
        <w:t>年起，每年举办一次或两次有关</w:t>
      </w:r>
      <w:r>
        <w:rPr>
          <w:rFonts w:hint="eastAsia"/>
          <w:lang w:eastAsia="zh-CN"/>
        </w:rPr>
        <w:t>EMF</w:t>
      </w:r>
      <w:r>
        <w:rPr>
          <w:rFonts w:hint="eastAsia"/>
          <w:lang w:eastAsia="zh-CN"/>
        </w:rPr>
        <w:t>和生物学关系的研讨会。</w:t>
      </w:r>
    </w:p>
    <w:p w:rsidR="00E03965" w:rsidRDefault="00E03965" w:rsidP="00C52C1C">
      <w:pPr>
        <w:pStyle w:val="Headingi"/>
        <w:rPr>
          <w:lang w:eastAsia="zh-CN"/>
        </w:rPr>
      </w:pPr>
      <w:r>
        <w:rPr>
          <w:rFonts w:hint="eastAsia"/>
          <w:lang w:eastAsia="zh-CN"/>
        </w:rPr>
        <w:t>分析</w:t>
      </w:r>
    </w:p>
    <w:p w:rsidR="00E03965" w:rsidRDefault="00E03965" w:rsidP="00412A25">
      <w:pPr>
        <w:ind w:firstLine="510"/>
        <w:rPr>
          <w:lang w:eastAsia="zh-CN"/>
        </w:rPr>
      </w:pPr>
      <w:r>
        <w:rPr>
          <w:rFonts w:hint="eastAsia"/>
          <w:lang w:eastAsia="zh-CN"/>
        </w:rPr>
        <w:t>韩国在</w:t>
      </w:r>
      <w:r>
        <w:rPr>
          <w:rFonts w:hint="eastAsia"/>
          <w:lang w:eastAsia="zh-CN"/>
        </w:rPr>
        <w:t>EMF</w:t>
      </w:r>
      <w:r>
        <w:rPr>
          <w:rFonts w:hint="eastAsia"/>
          <w:lang w:eastAsia="zh-CN"/>
        </w:rPr>
        <w:t>有关的研究项目方面非常积极。公众也通过新闻报纸、</w:t>
      </w:r>
      <w:r>
        <w:rPr>
          <w:rFonts w:hint="eastAsia"/>
          <w:lang w:eastAsia="zh-CN"/>
        </w:rPr>
        <w:t>CD</w:t>
      </w:r>
      <w:r>
        <w:rPr>
          <w:rFonts w:hint="eastAsia"/>
          <w:lang w:eastAsia="zh-CN"/>
        </w:rPr>
        <w:t>、研讨会和书籍等介入其中。它们也采用了</w:t>
      </w:r>
      <w:r>
        <w:rPr>
          <w:rFonts w:hint="eastAsia"/>
          <w:lang w:eastAsia="zh-CN"/>
        </w:rPr>
        <w:t>ICNIRP</w:t>
      </w:r>
      <w:r>
        <w:rPr>
          <w:rFonts w:hint="eastAsia"/>
          <w:lang w:eastAsia="zh-CN"/>
        </w:rPr>
        <w:t>和</w:t>
      </w:r>
      <w:r>
        <w:rPr>
          <w:rFonts w:hint="eastAsia"/>
          <w:lang w:eastAsia="zh-CN"/>
        </w:rPr>
        <w:t>IEEE</w:t>
      </w:r>
      <w:r>
        <w:rPr>
          <w:rFonts w:hint="eastAsia"/>
          <w:lang w:eastAsia="zh-CN"/>
        </w:rPr>
        <w:t>标准。</w:t>
      </w:r>
    </w:p>
    <w:p w:rsidR="00E03965" w:rsidRDefault="00E03965" w:rsidP="00C52C1C">
      <w:pPr>
        <w:pStyle w:val="Heading2"/>
        <w:rPr>
          <w:lang w:eastAsia="zh-CN"/>
        </w:rPr>
      </w:pPr>
      <w:bookmarkStart w:id="16" w:name="_Toc377132351"/>
      <w:r>
        <w:rPr>
          <w:rFonts w:hint="eastAsia"/>
          <w:lang w:eastAsia="zh-CN"/>
        </w:rPr>
        <w:t>5.4</w:t>
      </w:r>
      <w:r>
        <w:rPr>
          <w:rFonts w:hint="eastAsia"/>
          <w:lang w:eastAsia="zh-CN"/>
        </w:rPr>
        <w:tab/>
      </w:r>
      <w:r>
        <w:rPr>
          <w:rFonts w:hint="eastAsia"/>
          <w:lang w:eastAsia="zh-CN"/>
        </w:rPr>
        <w:t>以色列</w:t>
      </w:r>
      <w:bookmarkEnd w:id="16"/>
    </w:p>
    <w:p w:rsidR="00E03965" w:rsidRDefault="00E03965" w:rsidP="00E03965">
      <w:pPr>
        <w:rPr>
          <w:lang w:eastAsia="zh-CN"/>
        </w:rPr>
      </w:pPr>
      <w:r w:rsidRPr="00C52C1C">
        <w:rPr>
          <w:rFonts w:hint="eastAsia"/>
          <w:b/>
          <w:bCs/>
          <w:lang w:eastAsia="zh-CN"/>
        </w:rPr>
        <w:t>政策：</w:t>
      </w:r>
      <w:r>
        <w:rPr>
          <w:rFonts w:hint="eastAsia"/>
          <w:lang w:eastAsia="zh-CN"/>
        </w:rPr>
        <w:t>采用了</w:t>
      </w:r>
      <w:r>
        <w:rPr>
          <w:rFonts w:hint="eastAsia"/>
          <w:lang w:eastAsia="zh-CN"/>
        </w:rPr>
        <w:t>ICNIRP</w:t>
      </w:r>
      <w:r>
        <w:rPr>
          <w:rFonts w:hint="eastAsia"/>
          <w:lang w:eastAsia="zh-CN"/>
        </w:rPr>
        <w:t>暴露限值。环境保护部负责控制与人体暴露基站电磁场有关的事项。</w:t>
      </w:r>
      <w:r>
        <w:rPr>
          <w:rFonts w:hint="eastAsia"/>
          <w:lang w:eastAsia="zh-CN"/>
        </w:rPr>
        <w:t>ISR</w:t>
      </w:r>
      <w:r>
        <w:rPr>
          <w:rFonts w:hint="eastAsia"/>
          <w:lang w:eastAsia="zh-CN"/>
        </w:rPr>
        <w:t>监管框架基于以下：非电离辐射法，</w:t>
      </w:r>
      <w:r>
        <w:rPr>
          <w:rFonts w:hint="eastAsia"/>
          <w:lang w:eastAsia="zh-CN"/>
        </w:rPr>
        <w:t>2006</w:t>
      </w:r>
      <w:r>
        <w:rPr>
          <w:rFonts w:hint="eastAsia"/>
          <w:lang w:eastAsia="zh-CN"/>
        </w:rPr>
        <w:t>年；以及非电离辐射规定，</w:t>
      </w:r>
      <w:r>
        <w:rPr>
          <w:rFonts w:hint="eastAsia"/>
          <w:lang w:eastAsia="zh-CN"/>
        </w:rPr>
        <w:t>2009</w:t>
      </w:r>
      <w:r>
        <w:rPr>
          <w:rFonts w:hint="eastAsia"/>
          <w:lang w:eastAsia="zh-CN"/>
        </w:rPr>
        <w:t>年。按照非电离辐射法，防护原则是强制性的。以色列是第一个对发射基站实施年度测量的。每个市民都可以在网上看到所有的蜂窝基站：</w:t>
      </w:r>
      <w:r>
        <w:rPr>
          <w:rFonts w:hint="eastAsia"/>
          <w:lang w:eastAsia="zh-CN"/>
        </w:rPr>
        <w:t>2013</w:t>
      </w:r>
      <w:r>
        <w:rPr>
          <w:rFonts w:hint="eastAsia"/>
          <w:lang w:eastAsia="zh-CN"/>
        </w:rPr>
        <w:t>年</w:t>
      </w:r>
      <w:r>
        <w:rPr>
          <w:rFonts w:hint="eastAsia"/>
          <w:lang w:eastAsia="zh-CN"/>
        </w:rPr>
        <w:t>7</w:t>
      </w:r>
      <w:r>
        <w:rPr>
          <w:rFonts w:hint="eastAsia"/>
          <w:lang w:eastAsia="zh-CN"/>
        </w:rPr>
        <w:t>月</w:t>
      </w:r>
      <w:r>
        <w:rPr>
          <w:rFonts w:hint="eastAsia"/>
          <w:lang w:eastAsia="zh-CN"/>
        </w:rPr>
        <w:t>10</w:t>
      </w:r>
      <w:r>
        <w:rPr>
          <w:rFonts w:hint="eastAsia"/>
          <w:lang w:eastAsia="zh-CN"/>
        </w:rPr>
        <w:t>日为</w:t>
      </w:r>
      <w:r>
        <w:rPr>
          <w:rFonts w:hint="eastAsia"/>
          <w:lang w:eastAsia="zh-CN"/>
        </w:rPr>
        <w:t>8591</w:t>
      </w:r>
      <w:r>
        <w:rPr>
          <w:rFonts w:hint="eastAsia"/>
          <w:lang w:eastAsia="zh-CN"/>
        </w:rPr>
        <w:t>个基站（见</w:t>
      </w:r>
      <w:proofErr w:type="spellStart"/>
      <w:r>
        <w:rPr>
          <w:rFonts w:hint="eastAsia"/>
          <w:lang w:eastAsia="zh-CN"/>
        </w:rPr>
        <w:t>xls</w:t>
      </w:r>
      <w:proofErr w:type="spellEnd"/>
      <w:r>
        <w:rPr>
          <w:rFonts w:hint="eastAsia"/>
          <w:lang w:eastAsia="zh-CN"/>
        </w:rPr>
        <w:t>文件</w:t>
      </w:r>
      <w:r>
        <w:rPr>
          <w:rFonts w:hint="eastAsia"/>
          <w:lang w:eastAsia="zh-CN"/>
        </w:rPr>
        <w:t xml:space="preserve"> </w:t>
      </w:r>
      <w:r w:rsidR="00355D14">
        <w:rPr>
          <w:rStyle w:val="FootnoteReference"/>
          <w:lang w:eastAsia="zh-CN"/>
        </w:rPr>
        <w:footnoteReference w:id="11"/>
      </w:r>
      <w:r>
        <w:rPr>
          <w:rFonts w:hint="eastAsia"/>
          <w:lang w:eastAsia="zh-CN"/>
        </w:rPr>
        <w:t>）。该信息包括运营商的名录、确切地址、经纬度、批准和架设时间。</w:t>
      </w:r>
    </w:p>
    <w:p w:rsidR="00E03965" w:rsidRDefault="00E03965" w:rsidP="000553C2">
      <w:pPr>
        <w:ind w:firstLine="510"/>
        <w:rPr>
          <w:lang w:eastAsia="zh-CN"/>
        </w:rPr>
      </w:pPr>
      <w:r>
        <w:rPr>
          <w:rFonts w:hint="eastAsia"/>
          <w:lang w:eastAsia="zh-CN"/>
        </w:rPr>
        <w:lastRenderedPageBreak/>
        <w:t>环境保护部噪声和辐射降低司于</w:t>
      </w:r>
      <w:r>
        <w:rPr>
          <w:rFonts w:hint="eastAsia"/>
          <w:lang w:eastAsia="zh-CN"/>
        </w:rPr>
        <w:t>2010</w:t>
      </w:r>
      <w:r>
        <w:rPr>
          <w:rFonts w:hint="eastAsia"/>
          <w:lang w:eastAsia="zh-CN"/>
        </w:rPr>
        <w:t>年实施了一个革新性的项目，允许辐射专员在其办公室里一年</w:t>
      </w:r>
      <w:r>
        <w:rPr>
          <w:rFonts w:hint="eastAsia"/>
          <w:lang w:eastAsia="zh-CN"/>
        </w:rPr>
        <w:t>365</w:t>
      </w:r>
      <w:r>
        <w:rPr>
          <w:rFonts w:hint="eastAsia"/>
          <w:lang w:eastAsia="zh-CN"/>
        </w:rPr>
        <w:t>天、每天</w:t>
      </w:r>
      <w:r>
        <w:rPr>
          <w:rFonts w:hint="eastAsia"/>
          <w:lang w:eastAsia="zh-CN"/>
        </w:rPr>
        <w:t>24</w:t>
      </w:r>
      <w:r>
        <w:rPr>
          <w:rFonts w:hint="eastAsia"/>
          <w:lang w:eastAsia="zh-CN"/>
        </w:rPr>
        <w:t>小时监控该国所有区域涉及</w:t>
      </w:r>
      <w:r>
        <w:rPr>
          <w:rFonts w:hint="eastAsia"/>
          <w:lang w:eastAsia="zh-CN"/>
        </w:rPr>
        <w:t>30 000 UMTS</w:t>
      </w:r>
      <w:r>
        <w:rPr>
          <w:rFonts w:hint="eastAsia"/>
          <w:lang w:eastAsia="zh-CN"/>
        </w:rPr>
        <w:t>部门的辐射。该项目从蜂窝运营商无线交换控制器的原始数据文件中提取相关信息。数据进行真实性验证、分析，并与限值进行比较。违反规定的将被标出。</w:t>
      </w:r>
    </w:p>
    <w:p w:rsidR="00E03965" w:rsidRDefault="00E03965" w:rsidP="000553C2">
      <w:pPr>
        <w:ind w:firstLine="510"/>
        <w:rPr>
          <w:lang w:eastAsia="zh-CN"/>
        </w:rPr>
      </w:pPr>
      <w:r>
        <w:rPr>
          <w:rFonts w:hint="eastAsia"/>
          <w:lang w:eastAsia="zh-CN"/>
        </w:rPr>
        <w:t>此外，该系统也可以用于不间断监控如下参数：射频相对于分配频谱的使用率；服务质量参数，如掉话率、呼叫屏蔽、返回业务时间、区域类型覆盖率。</w:t>
      </w:r>
    </w:p>
    <w:p w:rsidR="00E03965" w:rsidRDefault="00E03965" w:rsidP="00E03965">
      <w:pPr>
        <w:rPr>
          <w:lang w:eastAsia="zh-CN"/>
        </w:rPr>
      </w:pPr>
      <w:r w:rsidRPr="00C52C1C">
        <w:rPr>
          <w:rFonts w:hint="eastAsia"/>
          <w:b/>
          <w:bCs/>
          <w:lang w:eastAsia="zh-CN"/>
        </w:rPr>
        <w:t>信息提供：</w:t>
      </w:r>
      <w:r>
        <w:rPr>
          <w:rFonts w:hint="eastAsia"/>
          <w:lang w:eastAsia="zh-CN"/>
        </w:rPr>
        <w:t>以色列监控技术提供了高可用的数据，因其全部是电子的，且可以在该部的网站上获取、分析，并由该部网站公布，从而确保了对普通公众的完全透明。只要该系统显示出了一个违反规定的情况，它将自动发出报警，一方面是内部向该部发出，另一方面是向运营商发出；同时提供从活动开始到结束的全部记录。违反规定列表也在网页上显示。</w:t>
      </w:r>
    </w:p>
    <w:p w:rsidR="00E03965" w:rsidRDefault="00E03965" w:rsidP="00C52C1C">
      <w:pPr>
        <w:pStyle w:val="Headingi"/>
        <w:rPr>
          <w:lang w:eastAsia="zh-CN"/>
        </w:rPr>
      </w:pPr>
      <w:r>
        <w:rPr>
          <w:rFonts w:hint="eastAsia"/>
          <w:lang w:eastAsia="zh-CN"/>
        </w:rPr>
        <w:t>分析</w:t>
      </w:r>
    </w:p>
    <w:p w:rsidR="00E03965" w:rsidRDefault="00E03965" w:rsidP="000553C2">
      <w:pPr>
        <w:ind w:firstLine="510"/>
        <w:rPr>
          <w:lang w:eastAsia="zh-CN"/>
        </w:rPr>
      </w:pPr>
      <w:r>
        <w:rPr>
          <w:rFonts w:hint="eastAsia"/>
          <w:lang w:eastAsia="zh-CN"/>
        </w:rPr>
        <w:t>以色列已经实施了一个用户友好的更为有效和可靠的监控系统。</w:t>
      </w:r>
    </w:p>
    <w:p w:rsidR="00E03965" w:rsidRDefault="00E03965" w:rsidP="000553C2">
      <w:pPr>
        <w:ind w:firstLine="510"/>
        <w:rPr>
          <w:lang w:eastAsia="zh-CN"/>
        </w:rPr>
      </w:pPr>
      <w:r>
        <w:rPr>
          <w:rFonts w:hint="eastAsia"/>
          <w:lang w:eastAsia="zh-CN"/>
        </w:rPr>
        <w:t>由于广播发射机和蜂窝基站对人们发出的过多射频辐射，且由于在科学上尚无明确的伤害效应，以色列建议首要考虑采用替代性的电缆、光纤和卫星通信，以取代固定无线、无线电视和无线互联网路由器。同样，运营商之间的无线基站共享应加以促进，以便降低基站的数量和人体对</w:t>
      </w:r>
      <w:r>
        <w:rPr>
          <w:rFonts w:hint="eastAsia"/>
          <w:lang w:eastAsia="zh-CN"/>
        </w:rPr>
        <w:t>EMF</w:t>
      </w:r>
      <w:r>
        <w:rPr>
          <w:rFonts w:hint="eastAsia"/>
          <w:lang w:eastAsia="zh-CN"/>
        </w:rPr>
        <w:t>场的暴露。</w:t>
      </w:r>
    </w:p>
    <w:p w:rsidR="00E03965" w:rsidRDefault="00E03965" w:rsidP="00C52C1C">
      <w:pPr>
        <w:pStyle w:val="Heading2"/>
        <w:rPr>
          <w:lang w:eastAsia="zh-CN"/>
        </w:rPr>
      </w:pPr>
      <w:bookmarkStart w:id="17" w:name="_Toc377132352"/>
      <w:r>
        <w:rPr>
          <w:rFonts w:hint="eastAsia"/>
          <w:lang w:eastAsia="zh-CN"/>
        </w:rPr>
        <w:t>5.5</w:t>
      </w:r>
      <w:r>
        <w:rPr>
          <w:rFonts w:hint="eastAsia"/>
          <w:lang w:eastAsia="zh-CN"/>
        </w:rPr>
        <w:tab/>
      </w:r>
      <w:r>
        <w:rPr>
          <w:rFonts w:hint="eastAsia"/>
          <w:lang w:eastAsia="zh-CN"/>
        </w:rPr>
        <w:t>委内瑞拉</w:t>
      </w:r>
      <w:bookmarkEnd w:id="17"/>
    </w:p>
    <w:p w:rsidR="00E03965" w:rsidRDefault="00E03965" w:rsidP="00E03965">
      <w:pPr>
        <w:rPr>
          <w:lang w:eastAsia="zh-CN"/>
        </w:rPr>
      </w:pPr>
      <w:r w:rsidRPr="009D7D92">
        <w:rPr>
          <w:rFonts w:hint="eastAsia"/>
          <w:b/>
          <w:bCs/>
          <w:lang w:eastAsia="zh-CN"/>
        </w:rPr>
        <w:t>政策：</w:t>
      </w:r>
      <w:r>
        <w:rPr>
          <w:rFonts w:hint="eastAsia"/>
          <w:lang w:eastAsia="zh-CN"/>
        </w:rPr>
        <w:t>CONATEL</w:t>
      </w:r>
      <w:r>
        <w:rPr>
          <w:rFonts w:hint="eastAsia"/>
          <w:lang w:eastAsia="zh-CN"/>
        </w:rPr>
        <w:t>于</w:t>
      </w:r>
      <w:r>
        <w:rPr>
          <w:rFonts w:hint="eastAsia"/>
          <w:lang w:eastAsia="zh-CN"/>
        </w:rPr>
        <w:t>2005</w:t>
      </w:r>
      <w:r>
        <w:rPr>
          <w:rFonts w:hint="eastAsia"/>
          <w:lang w:eastAsia="zh-CN"/>
        </w:rPr>
        <w:t>年</w:t>
      </w:r>
      <w:r>
        <w:rPr>
          <w:rFonts w:hint="eastAsia"/>
          <w:lang w:eastAsia="zh-CN"/>
        </w:rPr>
        <w:t>6</w:t>
      </w:r>
      <w:r>
        <w:rPr>
          <w:rFonts w:hint="eastAsia"/>
          <w:lang w:eastAsia="zh-CN"/>
        </w:rPr>
        <w:t>月</w:t>
      </w:r>
      <w:r>
        <w:rPr>
          <w:rFonts w:hint="eastAsia"/>
          <w:lang w:eastAsia="zh-CN"/>
        </w:rPr>
        <w:t>3</w:t>
      </w:r>
      <w:r>
        <w:rPr>
          <w:rFonts w:hint="eastAsia"/>
          <w:lang w:eastAsia="zh-CN"/>
        </w:rPr>
        <w:t>日发布了第</w:t>
      </w:r>
      <w:r>
        <w:rPr>
          <w:rFonts w:hint="eastAsia"/>
          <w:lang w:eastAsia="zh-CN"/>
        </w:rPr>
        <w:t>581</w:t>
      </w:r>
      <w:r>
        <w:rPr>
          <w:rFonts w:hint="eastAsia"/>
          <w:lang w:eastAsia="zh-CN"/>
        </w:rPr>
        <w:t>行政决定。该行政决定旨在为在</w:t>
      </w:r>
      <w:r>
        <w:rPr>
          <w:rFonts w:hint="eastAsia"/>
          <w:lang w:eastAsia="zh-CN"/>
        </w:rPr>
        <w:t>3 kHz</w:t>
      </w:r>
      <w:r>
        <w:rPr>
          <w:rFonts w:hint="eastAsia"/>
          <w:lang w:eastAsia="zh-CN"/>
        </w:rPr>
        <w:t>至</w:t>
      </w:r>
      <w:r>
        <w:rPr>
          <w:rFonts w:hint="eastAsia"/>
          <w:lang w:eastAsia="zh-CN"/>
        </w:rPr>
        <w:t>300 GHz</w:t>
      </w:r>
      <w:r>
        <w:rPr>
          <w:rFonts w:hint="eastAsia"/>
          <w:lang w:eastAsia="zh-CN"/>
        </w:rPr>
        <w:t>区间运营的固定无线电台产生的无线电暴露确定安全条件，即发射天线安装的技术要求，以及确定此类辐射是否符合现有法规的方法。</w:t>
      </w:r>
    </w:p>
    <w:p w:rsidR="00E03965" w:rsidRDefault="00E03965" w:rsidP="000553C2">
      <w:pPr>
        <w:ind w:firstLine="510"/>
        <w:rPr>
          <w:lang w:eastAsia="zh-CN"/>
        </w:rPr>
      </w:pPr>
      <w:r>
        <w:rPr>
          <w:rFonts w:hint="eastAsia"/>
          <w:lang w:eastAsia="zh-CN"/>
        </w:rPr>
        <w:t>行政规定包括一系列有关工作在</w:t>
      </w:r>
      <w:r>
        <w:rPr>
          <w:rFonts w:hint="eastAsia"/>
          <w:lang w:eastAsia="zh-CN"/>
        </w:rPr>
        <w:t>3 kHz</w:t>
      </w:r>
      <w:r>
        <w:rPr>
          <w:rFonts w:hint="eastAsia"/>
          <w:lang w:eastAsia="zh-CN"/>
        </w:rPr>
        <w:t>至</w:t>
      </w:r>
      <w:r>
        <w:rPr>
          <w:rFonts w:hint="eastAsia"/>
          <w:lang w:eastAsia="zh-CN"/>
        </w:rPr>
        <w:t>300 GHz</w:t>
      </w:r>
      <w:r>
        <w:rPr>
          <w:rFonts w:hint="eastAsia"/>
          <w:lang w:eastAsia="zh-CN"/>
        </w:rPr>
        <w:t>固定无线电台的无线辐射安全条件的条款，以及</w:t>
      </w:r>
      <w:r>
        <w:rPr>
          <w:rFonts w:hint="eastAsia"/>
          <w:lang w:eastAsia="zh-CN"/>
        </w:rPr>
        <w:t>3</w:t>
      </w:r>
      <w:r>
        <w:rPr>
          <w:rFonts w:hint="eastAsia"/>
          <w:lang w:eastAsia="zh-CN"/>
        </w:rPr>
        <w:t>个附件。它适用于所有工作在</w:t>
      </w:r>
      <w:r>
        <w:rPr>
          <w:rFonts w:hint="eastAsia"/>
          <w:lang w:eastAsia="zh-CN"/>
        </w:rPr>
        <w:t>3 kHz</w:t>
      </w:r>
      <w:r>
        <w:rPr>
          <w:rFonts w:hint="eastAsia"/>
          <w:lang w:eastAsia="zh-CN"/>
        </w:rPr>
        <w:t>至</w:t>
      </w:r>
      <w:r>
        <w:rPr>
          <w:rFonts w:hint="eastAsia"/>
          <w:lang w:eastAsia="zh-CN"/>
        </w:rPr>
        <w:t>300 GHz</w:t>
      </w:r>
      <w:r>
        <w:rPr>
          <w:rFonts w:hint="eastAsia"/>
          <w:lang w:eastAsia="zh-CN"/>
        </w:rPr>
        <w:t>固定无线电台的运营商。</w:t>
      </w:r>
    </w:p>
    <w:p w:rsidR="00E03965" w:rsidRDefault="00E03965" w:rsidP="000553C2">
      <w:pPr>
        <w:ind w:firstLine="510"/>
        <w:rPr>
          <w:lang w:eastAsia="zh-CN"/>
        </w:rPr>
      </w:pPr>
      <w:r>
        <w:rPr>
          <w:rFonts w:hint="eastAsia"/>
          <w:lang w:eastAsia="zh-CN"/>
        </w:rPr>
        <w:t>在暴露限值方面，行政决定要求固定无线电台运营商必须确保在任何可接入区域测得的由该无线电台发射的能量电平不得超过其在相关表格中根据委内瑞拉标准</w:t>
      </w:r>
      <w:r>
        <w:rPr>
          <w:rFonts w:hint="eastAsia"/>
          <w:lang w:eastAsia="zh-CN"/>
        </w:rPr>
        <w:t>COVEIN 2238</w:t>
      </w:r>
      <w:r>
        <w:rPr>
          <w:rFonts w:hint="eastAsia"/>
          <w:lang w:eastAsia="zh-CN"/>
        </w:rPr>
        <w:t>规定在行政决定覆盖的频率范围内登记的频率的最大暴露限值。</w:t>
      </w:r>
    </w:p>
    <w:p w:rsidR="00E03965" w:rsidRDefault="00E03965" w:rsidP="000553C2">
      <w:pPr>
        <w:ind w:firstLine="510"/>
        <w:rPr>
          <w:lang w:eastAsia="zh-CN"/>
        </w:rPr>
      </w:pPr>
      <w:r>
        <w:rPr>
          <w:rFonts w:hint="eastAsia"/>
          <w:lang w:eastAsia="zh-CN"/>
        </w:rPr>
        <w:t>根据卫生部第</w:t>
      </w:r>
      <w:r>
        <w:rPr>
          <w:rFonts w:hint="eastAsia"/>
          <w:lang w:eastAsia="zh-CN"/>
        </w:rPr>
        <w:t>508</w:t>
      </w:r>
      <w:r>
        <w:rPr>
          <w:rFonts w:hint="eastAsia"/>
          <w:lang w:eastAsia="zh-CN"/>
        </w:rPr>
        <w:t>号决议的规定，设在医院、学校、疗养院、孤儿院以及运动场等建筑物内的无线电台，应为这些区域的人们考虑就电磁场暴露电平做出必要调整，要低于委内瑞拉</w:t>
      </w:r>
      <w:r>
        <w:rPr>
          <w:rFonts w:hint="eastAsia"/>
          <w:lang w:eastAsia="zh-CN"/>
        </w:rPr>
        <w:t>COVEIN 2238</w:t>
      </w:r>
      <w:r>
        <w:rPr>
          <w:rFonts w:hint="eastAsia"/>
          <w:lang w:eastAsia="zh-CN"/>
        </w:rPr>
        <w:t>标准规定限值的十倍。</w:t>
      </w:r>
    </w:p>
    <w:p w:rsidR="00E03965" w:rsidRDefault="00E03965" w:rsidP="00E03965">
      <w:pPr>
        <w:rPr>
          <w:lang w:eastAsia="zh-CN"/>
        </w:rPr>
      </w:pPr>
      <w:r w:rsidRPr="000553C2">
        <w:rPr>
          <w:rFonts w:hint="eastAsia"/>
          <w:b/>
          <w:bCs/>
          <w:lang w:eastAsia="zh-CN"/>
        </w:rPr>
        <w:t>信息提供：</w:t>
      </w:r>
      <w:r>
        <w:rPr>
          <w:rFonts w:hint="eastAsia"/>
          <w:lang w:eastAsia="zh-CN"/>
        </w:rPr>
        <w:t>为确保国家法令的遵守，</w:t>
      </w:r>
      <w:r>
        <w:rPr>
          <w:rFonts w:hint="eastAsia"/>
          <w:lang w:eastAsia="zh-CN"/>
        </w:rPr>
        <w:t>CONATEL</w:t>
      </w:r>
      <w:r>
        <w:rPr>
          <w:rFonts w:hint="eastAsia"/>
          <w:lang w:eastAsia="zh-CN"/>
        </w:rPr>
        <w:t>在全国范围对非电离无线电台进行监测，以便验证电信运营商的报告。然后，它向卫生部提交报告，后者可以据此裁定这些电台对人们健康的影响范围，并向那些感觉受到类电台的部署和运营影响的人提供适当的、完全和及时的回应。</w:t>
      </w:r>
    </w:p>
    <w:p w:rsidR="00E03965" w:rsidRDefault="00E03965" w:rsidP="000553C2">
      <w:pPr>
        <w:ind w:firstLine="510"/>
        <w:rPr>
          <w:lang w:eastAsia="zh-CN"/>
        </w:rPr>
      </w:pPr>
      <w:r>
        <w:rPr>
          <w:rFonts w:hint="eastAsia"/>
          <w:lang w:eastAsia="zh-CN"/>
        </w:rPr>
        <w:t>此外，组织社区开展有关无线电台发出辐射及其对人们健康的影响的信息性讲座。讲座内容包括国家电信业务发展情况以及与居民区电磁场有关基本的监管、立法和惯例规则，唯一目的是为了促进居民融入国家电信发展和演进过程。</w:t>
      </w:r>
    </w:p>
    <w:p w:rsidR="00E03965" w:rsidRDefault="00E03965" w:rsidP="009D7D92">
      <w:pPr>
        <w:pStyle w:val="Headingi"/>
        <w:rPr>
          <w:lang w:eastAsia="zh-CN"/>
        </w:rPr>
      </w:pPr>
      <w:r>
        <w:rPr>
          <w:rFonts w:hint="eastAsia"/>
          <w:lang w:eastAsia="zh-CN"/>
        </w:rPr>
        <w:lastRenderedPageBreak/>
        <w:t>分析</w:t>
      </w:r>
    </w:p>
    <w:p w:rsidR="00E03965" w:rsidRDefault="00E03965" w:rsidP="00412A25">
      <w:pPr>
        <w:ind w:firstLine="510"/>
        <w:rPr>
          <w:lang w:eastAsia="zh-CN"/>
        </w:rPr>
      </w:pPr>
      <w:r>
        <w:rPr>
          <w:rFonts w:hint="eastAsia"/>
          <w:lang w:eastAsia="zh-CN"/>
        </w:rPr>
        <w:t>该政策采用了</w:t>
      </w:r>
      <w:r>
        <w:rPr>
          <w:rFonts w:hint="eastAsia"/>
          <w:lang w:eastAsia="zh-CN"/>
        </w:rPr>
        <w:t>WHO</w:t>
      </w:r>
      <w:r>
        <w:rPr>
          <w:rFonts w:hint="eastAsia"/>
          <w:lang w:eastAsia="zh-CN"/>
        </w:rPr>
        <w:t>和</w:t>
      </w:r>
      <w:r>
        <w:rPr>
          <w:rFonts w:hint="eastAsia"/>
          <w:lang w:eastAsia="zh-CN"/>
        </w:rPr>
        <w:t>ICNIRP</w:t>
      </w:r>
      <w:r>
        <w:rPr>
          <w:rFonts w:hint="eastAsia"/>
          <w:lang w:eastAsia="zh-CN"/>
        </w:rPr>
        <w:t>指南的内容。此外，</w:t>
      </w:r>
      <w:r>
        <w:rPr>
          <w:rFonts w:hint="eastAsia"/>
          <w:lang w:eastAsia="zh-CN"/>
        </w:rPr>
        <w:t>COVEIN</w:t>
      </w:r>
      <w:r>
        <w:rPr>
          <w:rFonts w:hint="eastAsia"/>
          <w:lang w:eastAsia="zh-CN"/>
        </w:rPr>
        <w:t>标准</w:t>
      </w:r>
      <w:r>
        <w:rPr>
          <w:rFonts w:hint="eastAsia"/>
          <w:lang w:eastAsia="zh-CN"/>
        </w:rPr>
        <w:t>2238</w:t>
      </w:r>
      <w:r>
        <w:rPr>
          <w:rFonts w:hint="eastAsia"/>
          <w:lang w:eastAsia="zh-CN"/>
        </w:rPr>
        <w:t>基本内容也采用了</w:t>
      </w:r>
      <w:r>
        <w:rPr>
          <w:rFonts w:hint="eastAsia"/>
          <w:lang w:eastAsia="zh-CN"/>
        </w:rPr>
        <w:t>ICNIRP</w:t>
      </w:r>
      <w:r>
        <w:rPr>
          <w:rFonts w:hint="eastAsia"/>
          <w:lang w:eastAsia="zh-CN"/>
        </w:rPr>
        <w:t>建议书的内容。</w:t>
      </w:r>
    </w:p>
    <w:p w:rsidR="00E03965" w:rsidRDefault="00E03965" w:rsidP="00412A25">
      <w:pPr>
        <w:ind w:firstLine="510"/>
        <w:rPr>
          <w:lang w:eastAsia="zh-CN"/>
        </w:rPr>
      </w:pPr>
      <w:r>
        <w:rPr>
          <w:rFonts w:hint="eastAsia"/>
          <w:lang w:eastAsia="zh-CN"/>
        </w:rPr>
        <w:t>监管机构、运营商和具有相当资质的实体负责向公众提供有价值信息。</w:t>
      </w:r>
    </w:p>
    <w:p w:rsidR="00E03965" w:rsidRDefault="00E03965" w:rsidP="009D7D92">
      <w:pPr>
        <w:pStyle w:val="Heading2"/>
        <w:rPr>
          <w:lang w:eastAsia="zh-CN"/>
        </w:rPr>
      </w:pPr>
      <w:bookmarkStart w:id="18" w:name="_Toc377132353"/>
      <w:r>
        <w:rPr>
          <w:rFonts w:hint="eastAsia"/>
          <w:lang w:eastAsia="zh-CN"/>
        </w:rPr>
        <w:t>5.6</w:t>
      </w:r>
      <w:r>
        <w:rPr>
          <w:rFonts w:hint="eastAsia"/>
          <w:lang w:eastAsia="zh-CN"/>
        </w:rPr>
        <w:tab/>
      </w:r>
      <w:r>
        <w:rPr>
          <w:rFonts w:hint="eastAsia"/>
          <w:lang w:eastAsia="zh-CN"/>
        </w:rPr>
        <w:t>匈牙利</w:t>
      </w:r>
      <w:bookmarkEnd w:id="18"/>
    </w:p>
    <w:p w:rsidR="00E03965" w:rsidRDefault="00E03965" w:rsidP="00E03965">
      <w:pPr>
        <w:rPr>
          <w:lang w:eastAsia="zh-CN"/>
        </w:rPr>
      </w:pPr>
      <w:r w:rsidRPr="009D7D92">
        <w:rPr>
          <w:rFonts w:hint="eastAsia"/>
          <w:b/>
          <w:bCs/>
          <w:lang w:eastAsia="zh-CN"/>
        </w:rPr>
        <w:t>政策：</w:t>
      </w:r>
      <w:r>
        <w:rPr>
          <w:rFonts w:hint="eastAsia"/>
          <w:lang w:eastAsia="zh-CN"/>
        </w:rPr>
        <w:t>在匈牙利，电磁场辐射方面的事务由专门机构负责，即国家公众健康服务机构下述的国家射频生物和射频卫生研究所（</w:t>
      </w:r>
      <w:r>
        <w:rPr>
          <w:rFonts w:hint="eastAsia"/>
          <w:lang w:eastAsia="zh-CN"/>
        </w:rPr>
        <w:t>NRIRR</w:t>
      </w:r>
      <w:r>
        <w:rPr>
          <w:rFonts w:hint="eastAsia"/>
          <w:lang w:eastAsia="zh-CN"/>
        </w:rPr>
        <w:t>）。其职责之一是负责无线电台的许可证发放并开展个别的测量。但是，因为能力和专家资源有限，匈牙利国家媒体和信息通信总局（</w:t>
      </w:r>
      <w:r>
        <w:rPr>
          <w:rFonts w:hint="eastAsia"/>
          <w:lang w:eastAsia="zh-CN"/>
        </w:rPr>
        <w:t>NMIAH</w:t>
      </w:r>
      <w:r>
        <w:rPr>
          <w:rFonts w:hint="eastAsia"/>
          <w:lang w:eastAsia="zh-CN"/>
        </w:rPr>
        <w:t>）与</w:t>
      </w:r>
      <w:r>
        <w:rPr>
          <w:rFonts w:hint="eastAsia"/>
          <w:lang w:eastAsia="zh-CN"/>
        </w:rPr>
        <w:t>NRIRR</w:t>
      </w:r>
      <w:r>
        <w:rPr>
          <w:rFonts w:hint="eastAsia"/>
          <w:lang w:eastAsia="zh-CN"/>
        </w:rPr>
        <w:t>以协议方式安装了一个国家</w:t>
      </w:r>
      <w:r>
        <w:rPr>
          <w:rFonts w:hint="eastAsia"/>
          <w:lang w:eastAsia="zh-CN"/>
        </w:rPr>
        <w:t>EMF</w:t>
      </w:r>
      <w:r>
        <w:rPr>
          <w:rFonts w:hint="eastAsia"/>
          <w:lang w:eastAsia="zh-CN"/>
        </w:rPr>
        <w:t>监测和信息网络。</w:t>
      </w:r>
    </w:p>
    <w:p w:rsidR="00E03965" w:rsidRDefault="00E03965" w:rsidP="00412A25">
      <w:pPr>
        <w:ind w:firstLine="510"/>
        <w:rPr>
          <w:lang w:eastAsia="zh-CN"/>
        </w:rPr>
      </w:pPr>
      <w:r>
        <w:rPr>
          <w:rFonts w:hint="eastAsia"/>
          <w:lang w:eastAsia="zh-CN"/>
        </w:rPr>
        <w:t>测量项目是通过将</w:t>
      </w:r>
      <w:r>
        <w:rPr>
          <w:rFonts w:hint="eastAsia"/>
          <w:lang w:eastAsia="zh-CN"/>
        </w:rPr>
        <w:t>25</w:t>
      </w:r>
      <w:r>
        <w:rPr>
          <w:rFonts w:hint="eastAsia"/>
          <w:lang w:eastAsia="zh-CN"/>
        </w:rPr>
        <w:t>个测量工具在每两周移动至新的地点来实现的。测量地点选择的是在无线电设施附件的教育机构、托儿所和学校。根据个人的要求，也可以临时开展一些测试。</w:t>
      </w:r>
    </w:p>
    <w:p w:rsidR="00E03965" w:rsidRDefault="00E03965" w:rsidP="00E03965">
      <w:pPr>
        <w:rPr>
          <w:lang w:eastAsia="zh-CN"/>
        </w:rPr>
      </w:pPr>
      <w:r w:rsidRPr="009D7D92">
        <w:rPr>
          <w:rFonts w:hint="eastAsia"/>
          <w:b/>
          <w:bCs/>
          <w:lang w:eastAsia="zh-CN"/>
        </w:rPr>
        <w:t>信息提供：</w:t>
      </w:r>
      <w:r>
        <w:rPr>
          <w:rFonts w:hint="eastAsia"/>
          <w:lang w:eastAsia="zh-CN"/>
        </w:rPr>
        <w:t>测量结果通过网络公布。</w:t>
      </w:r>
    </w:p>
    <w:p w:rsidR="00E03965" w:rsidRDefault="00E03965" w:rsidP="009D7D92">
      <w:pPr>
        <w:pStyle w:val="Headingi"/>
        <w:rPr>
          <w:lang w:eastAsia="zh-CN"/>
        </w:rPr>
      </w:pPr>
      <w:r>
        <w:rPr>
          <w:rFonts w:hint="eastAsia"/>
          <w:lang w:eastAsia="zh-CN"/>
        </w:rPr>
        <w:t>分析</w:t>
      </w:r>
    </w:p>
    <w:p w:rsidR="00E03965" w:rsidRDefault="00E03965" w:rsidP="00412A25">
      <w:pPr>
        <w:ind w:firstLine="510"/>
        <w:rPr>
          <w:lang w:eastAsia="zh-CN"/>
        </w:rPr>
      </w:pPr>
      <w:r>
        <w:rPr>
          <w:rFonts w:hint="eastAsia"/>
          <w:lang w:eastAsia="zh-CN"/>
        </w:rPr>
        <w:t>全国性的监控设施并将结果在网上公布，这回应了公众对电磁场健康威胁的关注，同时也提高了公众的认识程度。</w:t>
      </w:r>
    </w:p>
    <w:p w:rsidR="00E03965" w:rsidRDefault="00E03965" w:rsidP="009D7D92">
      <w:pPr>
        <w:pStyle w:val="Heading2"/>
        <w:rPr>
          <w:lang w:eastAsia="zh-CN"/>
        </w:rPr>
      </w:pPr>
      <w:bookmarkStart w:id="19" w:name="_Toc377132354"/>
      <w:r>
        <w:rPr>
          <w:rFonts w:hint="eastAsia"/>
          <w:lang w:eastAsia="zh-CN"/>
        </w:rPr>
        <w:t>5.7</w:t>
      </w:r>
      <w:r>
        <w:rPr>
          <w:rFonts w:hint="eastAsia"/>
          <w:lang w:eastAsia="zh-CN"/>
        </w:rPr>
        <w:tab/>
      </w:r>
      <w:r>
        <w:rPr>
          <w:rFonts w:hint="eastAsia"/>
          <w:lang w:eastAsia="zh-CN"/>
        </w:rPr>
        <w:t>乌兹别克斯坦</w:t>
      </w:r>
      <w:bookmarkEnd w:id="19"/>
    </w:p>
    <w:p w:rsidR="00E03965" w:rsidRDefault="00E03965" w:rsidP="00E03965">
      <w:pPr>
        <w:rPr>
          <w:lang w:eastAsia="zh-CN"/>
        </w:rPr>
      </w:pPr>
      <w:r w:rsidRPr="009D7D92">
        <w:rPr>
          <w:rFonts w:hint="eastAsia"/>
          <w:b/>
          <w:bCs/>
          <w:lang w:eastAsia="zh-CN"/>
        </w:rPr>
        <w:t>政策：</w:t>
      </w:r>
      <w:r>
        <w:rPr>
          <w:rFonts w:hint="eastAsia"/>
          <w:lang w:eastAsia="zh-CN"/>
        </w:rPr>
        <w:t>乌兹别克斯坦有关人体暴露电磁场辐射问题的国家政策涉及两个法律，即：无线电频谱法和国家卫生监督法。无线电频谱法规定了人类健康优先考虑原则，以及在使用射频和高频率设备时必须考虑的环境条件。国家卫生监督法规定了确保人们卫生流行病学福利和辐射安全的社会关系，建立了拥有有利生存环境及其他权利的人权，并确保这些权利的实现。</w:t>
      </w:r>
    </w:p>
    <w:p w:rsidR="00E03965" w:rsidRDefault="00E03965" w:rsidP="00412A25">
      <w:pPr>
        <w:ind w:firstLine="510"/>
        <w:rPr>
          <w:lang w:eastAsia="zh-CN"/>
        </w:rPr>
      </w:pPr>
      <w:r>
        <w:rPr>
          <w:rFonts w:hint="eastAsia"/>
          <w:lang w:eastAsia="zh-CN"/>
        </w:rPr>
        <w:t>负责重建或设计无线电设施的组织被要求遵守这些卫生准则和规则。负责对遵守这些要求或限值行为进行监督的是卫生部下属的国家卫生和流行病学机构。在设定无线电设施辐射出的</w:t>
      </w:r>
      <w:r>
        <w:rPr>
          <w:rFonts w:hint="eastAsia"/>
          <w:lang w:eastAsia="zh-CN"/>
        </w:rPr>
        <w:t>EMF</w:t>
      </w:r>
      <w:r>
        <w:rPr>
          <w:rFonts w:hint="eastAsia"/>
          <w:lang w:eastAsia="zh-CN"/>
        </w:rPr>
        <w:t>电平值时采用了计算和真实测量两类值。</w:t>
      </w:r>
    </w:p>
    <w:p w:rsidR="00E03965" w:rsidRDefault="00E03965" w:rsidP="00E03965">
      <w:pPr>
        <w:rPr>
          <w:lang w:eastAsia="zh-CN"/>
        </w:rPr>
      </w:pPr>
      <w:r w:rsidRPr="009D7D92">
        <w:rPr>
          <w:rFonts w:hint="eastAsia"/>
          <w:b/>
          <w:bCs/>
          <w:lang w:eastAsia="zh-CN"/>
        </w:rPr>
        <w:t>信息提供：</w:t>
      </w:r>
      <w:r>
        <w:rPr>
          <w:rFonts w:hint="eastAsia"/>
          <w:lang w:eastAsia="zh-CN"/>
        </w:rPr>
        <w:t>每个向周围环境传送电磁能量的无线电设施都必须拥有一份由其负责人及国家卫生监察官签发的卫生护照，并在该设施处保存。</w:t>
      </w:r>
    </w:p>
    <w:p w:rsidR="00E03965" w:rsidRDefault="00E03965" w:rsidP="009D7D92">
      <w:pPr>
        <w:pStyle w:val="Heading2"/>
        <w:rPr>
          <w:lang w:eastAsia="zh-CN"/>
        </w:rPr>
      </w:pPr>
      <w:bookmarkStart w:id="20" w:name="_Toc377132355"/>
      <w:r>
        <w:rPr>
          <w:rFonts w:hint="eastAsia"/>
          <w:lang w:eastAsia="zh-CN"/>
        </w:rPr>
        <w:t>5.8</w:t>
      </w:r>
      <w:r>
        <w:rPr>
          <w:rFonts w:hint="eastAsia"/>
          <w:lang w:eastAsia="zh-CN"/>
        </w:rPr>
        <w:tab/>
      </w:r>
      <w:r>
        <w:rPr>
          <w:rFonts w:hint="eastAsia"/>
          <w:lang w:eastAsia="zh-CN"/>
        </w:rPr>
        <w:t>贝宁</w:t>
      </w:r>
      <w:bookmarkEnd w:id="20"/>
    </w:p>
    <w:p w:rsidR="00E03965" w:rsidRDefault="00E03965" w:rsidP="00E03965">
      <w:pPr>
        <w:rPr>
          <w:lang w:eastAsia="zh-CN"/>
        </w:rPr>
      </w:pPr>
      <w:r w:rsidRPr="009D7D92">
        <w:rPr>
          <w:rFonts w:hint="eastAsia"/>
          <w:b/>
          <w:bCs/>
          <w:lang w:eastAsia="zh-CN"/>
        </w:rPr>
        <w:t>政策：</w:t>
      </w:r>
      <w:r>
        <w:rPr>
          <w:rFonts w:hint="eastAsia"/>
          <w:lang w:eastAsia="zh-CN"/>
        </w:rPr>
        <w:t>贝宁国家监管机构（</w:t>
      </w:r>
      <w:r>
        <w:rPr>
          <w:rFonts w:hint="eastAsia"/>
          <w:lang w:eastAsia="zh-CN"/>
        </w:rPr>
        <w:t>ATRPT</w:t>
      </w:r>
      <w:r>
        <w:rPr>
          <w:rFonts w:hint="eastAsia"/>
          <w:lang w:eastAsia="zh-CN"/>
        </w:rPr>
        <w:t>）于</w:t>
      </w:r>
      <w:r>
        <w:rPr>
          <w:rFonts w:hint="eastAsia"/>
          <w:lang w:eastAsia="zh-CN"/>
        </w:rPr>
        <w:t>2012</w:t>
      </w:r>
      <w:r>
        <w:rPr>
          <w:rFonts w:hint="eastAsia"/>
          <w:lang w:eastAsia="zh-CN"/>
        </w:rPr>
        <w:t>年购买了包括设备在内的固定和移动监测站，用于对人体暴露</w:t>
      </w:r>
      <w:r>
        <w:rPr>
          <w:rFonts w:hint="eastAsia"/>
          <w:lang w:eastAsia="zh-CN"/>
        </w:rPr>
        <w:t>NIR</w:t>
      </w:r>
      <w:r>
        <w:rPr>
          <w:rFonts w:hint="eastAsia"/>
          <w:lang w:eastAsia="zh-CN"/>
        </w:rPr>
        <w:t>的辐射进行评估。该设备在一个固定点对电场强进行测量。</w:t>
      </w:r>
      <w:r>
        <w:rPr>
          <w:rFonts w:hint="eastAsia"/>
          <w:lang w:eastAsia="zh-CN"/>
        </w:rPr>
        <w:t>ATRPT</w:t>
      </w:r>
      <w:r>
        <w:rPr>
          <w:rFonts w:hint="eastAsia"/>
          <w:lang w:eastAsia="zh-CN"/>
        </w:rPr>
        <w:t>在</w:t>
      </w:r>
      <w:r>
        <w:rPr>
          <w:rFonts w:hint="eastAsia"/>
          <w:lang w:eastAsia="zh-CN"/>
        </w:rPr>
        <w:t>2012</w:t>
      </w:r>
      <w:r>
        <w:rPr>
          <w:rFonts w:hint="eastAsia"/>
          <w:lang w:eastAsia="zh-CN"/>
        </w:rPr>
        <w:t>年也召开了一次全国性研讨会，用于讨论非电离辐射对人类健康的影响。</w:t>
      </w:r>
    </w:p>
    <w:p w:rsidR="00E03965" w:rsidRDefault="00E03965" w:rsidP="00E03965">
      <w:pPr>
        <w:rPr>
          <w:lang w:eastAsia="zh-CN"/>
        </w:rPr>
      </w:pPr>
      <w:r>
        <w:rPr>
          <w:rFonts w:hint="eastAsia"/>
          <w:lang w:eastAsia="zh-CN"/>
        </w:rPr>
        <w:t>在研讨会上，提出了三个监管文件草案：</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有关保护个人不受</w:t>
      </w:r>
      <w:r w:rsidR="00E03965">
        <w:rPr>
          <w:rFonts w:hint="eastAsia"/>
          <w:lang w:eastAsia="zh-CN"/>
        </w:rPr>
        <w:t>0</w:t>
      </w:r>
      <w:r w:rsidR="00E03965">
        <w:rPr>
          <w:rFonts w:hint="eastAsia"/>
          <w:lang w:eastAsia="zh-CN"/>
        </w:rPr>
        <w:t>至</w:t>
      </w:r>
      <w:r w:rsidR="00E03965">
        <w:rPr>
          <w:rFonts w:hint="eastAsia"/>
          <w:lang w:eastAsia="zh-CN"/>
        </w:rPr>
        <w:t>300 GHz</w:t>
      </w:r>
      <w:r w:rsidR="00E03965">
        <w:rPr>
          <w:rFonts w:hint="eastAsia"/>
          <w:lang w:eastAsia="zh-CN"/>
        </w:rPr>
        <w:t>电、磁和电磁场效应影响的法令草案；</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有关无线电台安装条件的法令草案；</w:t>
      </w:r>
    </w:p>
    <w:p w:rsidR="00E03965" w:rsidRDefault="00167EA6" w:rsidP="009D7D92">
      <w:pPr>
        <w:pStyle w:val="Enumlevel1"/>
        <w:rPr>
          <w:lang w:eastAsia="zh-CN"/>
        </w:rPr>
      </w:pPr>
      <w:r w:rsidRPr="00167EA6">
        <w:rPr>
          <w:lang w:eastAsia="zh-CN"/>
        </w:rPr>
        <w:lastRenderedPageBreak/>
        <w:t>–</w:t>
      </w:r>
      <w:r w:rsidR="00E03965" w:rsidRPr="00167EA6">
        <w:rPr>
          <w:rFonts w:asciiTheme="minorHAnsi" w:hAnsiTheme="minorHAnsi"/>
          <w:lang w:eastAsia="zh-CN"/>
        </w:rPr>
        <w:tab/>
      </w:r>
      <w:r w:rsidR="00E03965">
        <w:rPr>
          <w:rFonts w:hint="eastAsia"/>
          <w:lang w:eastAsia="zh-CN"/>
        </w:rPr>
        <w:t>有关电信终端设备和无线电终端设备技术规范的法令草案；</w:t>
      </w:r>
    </w:p>
    <w:p w:rsidR="00E03965" w:rsidRDefault="00E03965" w:rsidP="00E03965">
      <w:pPr>
        <w:rPr>
          <w:lang w:eastAsia="zh-CN"/>
        </w:rPr>
      </w:pPr>
      <w:r>
        <w:rPr>
          <w:rFonts w:hint="eastAsia"/>
          <w:lang w:eastAsia="zh-CN"/>
        </w:rPr>
        <w:t>制定的监管框架处理以下问题：</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采用的暴露电平是由</w:t>
      </w:r>
      <w:r w:rsidR="00E03965">
        <w:rPr>
          <w:rFonts w:hint="eastAsia"/>
          <w:lang w:eastAsia="zh-CN"/>
        </w:rPr>
        <w:t>INCIRP</w:t>
      </w:r>
      <w:r w:rsidR="00E03965">
        <w:rPr>
          <w:rFonts w:hint="eastAsia"/>
          <w:lang w:eastAsia="zh-CN"/>
        </w:rPr>
        <w:t>为普通公众设定的。对于工人和普通公众没有做出去人。</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重点放在防护原则上。对于学校和类似机构，托儿所、幼儿园和公园，其电场、磁场和电磁场的电平应不高于为普通公众设定的基线值的</w:t>
      </w:r>
      <w:r w:rsidR="00E03965">
        <w:rPr>
          <w:rFonts w:hint="eastAsia"/>
          <w:lang w:eastAsia="zh-CN"/>
        </w:rPr>
        <w:t>25%</w:t>
      </w:r>
      <w:r w:rsidR="00E03965">
        <w:rPr>
          <w:rFonts w:hint="eastAsia"/>
          <w:lang w:eastAsia="zh-CN"/>
        </w:rPr>
        <w:t>。</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此外，为防止运营商功率浮动，在运营商的天线距离学校、医院及其他敏感机构的中心不足</w:t>
      </w:r>
      <w:r w:rsidR="00E03965">
        <w:rPr>
          <w:rFonts w:hint="eastAsia"/>
          <w:lang w:eastAsia="zh-CN"/>
        </w:rPr>
        <w:t>100</w:t>
      </w:r>
      <w:r w:rsidR="00E03965">
        <w:rPr>
          <w:rFonts w:hint="eastAsia"/>
          <w:lang w:eastAsia="zh-CN"/>
        </w:rPr>
        <w:t>米情况下，禁止运营商将其天线主瓣指向学校、医院及其他敏感机构。</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要求运营商在新的基站部署期间对暴露电平进行自我监测。</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运营商必须在其设施外建设防护栏。</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对于终端，最大比吸收率（</w:t>
      </w:r>
      <w:r w:rsidR="00E03965">
        <w:rPr>
          <w:rFonts w:hint="eastAsia"/>
          <w:lang w:eastAsia="zh-CN"/>
        </w:rPr>
        <w:t>SAR</w:t>
      </w:r>
      <w:r w:rsidR="00E03965">
        <w:rPr>
          <w:rFonts w:hint="eastAsia"/>
          <w:lang w:eastAsia="zh-CN"/>
        </w:rPr>
        <w:t>）为</w:t>
      </w:r>
      <w:r w:rsidR="00E03965">
        <w:rPr>
          <w:rFonts w:hint="eastAsia"/>
          <w:lang w:eastAsia="zh-CN"/>
        </w:rPr>
        <w:t>2W/kg</w:t>
      </w:r>
      <w:r w:rsidR="00E03965">
        <w:rPr>
          <w:rFonts w:hint="eastAsia"/>
          <w:lang w:eastAsia="zh-CN"/>
        </w:rPr>
        <w:t>。</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ATRPT</w:t>
      </w:r>
      <w:r w:rsidR="00E03965">
        <w:rPr>
          <w:rFonts w:hint="eastAsia"/>
          <w:lang w:eastAsia="zh-CN"/>
        </w:rPr>
        <w:t>负责监控对规则设定的暴露电平的遵守情况。</w:t>
      </w:r>
    </w:p>
    <w:p w:rsidR="00E03965" w:rsidRDefault="00E03965" w:rsidP="00E03965">
      <w:pPr>
        <w:rPr>
          <w:lang w:eastAsia="zh-CN"/>
        </w:rPr>
      </w:pPr>
      <w:r w:rsidRPr="009D7D92">
        <w:rPr>
          <w:rFonts w:hint="eastAsia"/>
          <w:b/>
          <w:bCs/>
          <w:lang w:eastAsia="zh-CN"/>
        </w:rPr>
        <w:t>信息提供：</w:t>
      </w:r>
      <w:r>
        <w:rPr>
          <w:rFonts w:hint="eastAsia"/>
          <w:lang w:eastAsia="zh-CN"/>
        </w:rPr>
        <w:t>开展了有关非电离辐射对人体健康影响的活动以提高公众对此问题的知情度。</w:t>
      </w:r>
    </w:p>
    <w:p w:rsidR="00E03965" w:rsidRDefault="00E03965" w:rsidP="009D7D92">
      <w:pPr>
        <w:pStyle w:val="Heading2"/>
        <w:rPr>
          <w:lang w:eastAsia="zh-CN"/>
        </w:rPr>
      </w:pPr>
      <w:bookmarkStart w:id="21" w:name="_Toc377132356"/>
      <w:r>
        <w:rPr>
          <w:rFonts w:hint="eastAsia"/>
          <w:lang w:eastAsia="zh-CN"/>
        </w:rPr>
        <w:t>5.9</w:t>
      </w:r>
      <w:r>
        <w:rPr>
          <w:rFonts w:hint="eastAsia"/>
          <w:lang w:eastAsia="zh-CN"/>
        </w:rPr>
        <w:tab/>
      </w:r>
      <w:r>
        <w:rPr>
          <w:rFonts w:hint="eastAsia"/>
          <w:lang w:eastAsia="zh-CN"/>
        </w:rPr>
        <w:t>印度</w:t>
      </w:r>
      <w:bookmarkEnd w:id="21"/>
    </w:p>
    <w:p w:rsidR="00E03965" w:rsidRDefault="00E03965" w:rsidP="00E03965">
      <w:pPr>
        <w:rPr>
          <w:lang w:eastAsia="zh-CN"/>
        </w:rPr>
      </w:pPr>
      <w:r w:rsidRPr="009D7D92">
        <w:rPr>
          <w:rFonts w:hint="eastAsia"/>
          <w:b/>
          <w:bCs/>
          <w:lang w:eastAsia="zh-CN"/>
        </w:rPr>
        <w:t>政策：</w:t>
      </w:r>
      <w:r>
        <w:rPr>
          <w:rFonts w:hint="eastAsia"/>
          <w:lang w:eastAsia="zh-CN"/>
        </w:rPr>
        <w:t>印度电磁场案例研究（可见</w:t>
      </w:r>
      <w:r>
        <w:rPr>
          <w:rFonts w:hint="eastAsia"/>
          <w:lang w:eastAsia="zh-CN"/>
        </w:rPr>
        <w:t>1/278</w:t>
      </w:r>
      <w:r>
        <w:rPr>
          <w:rFonts w:hint="eastAsia"/>
          <w:lang w:eastAsia="zh-CN"/>
        </w:rPr>
        <w:t>号文件及本报告附件</w:t>
      </w:r>
      <w:r>
        <w:rPr>
          <w:rFonts w:hint="eastAsia"/>
          <w:lang w:eastAsia="zh-CN"/>
        </w:rPr>
        <w:t>10</w:t>
      </w:r>
      <w:r>
        <w:rPr>
          <w:rFonts w:hint="eastAsia"/>
          <w:lang w:eastAsia="zh-CN"/>
        </w:rPr>
        <w:t>）包含了一些耐人寻味的有关移动电话使用的输入资料，资料显示，发展中国家的移动电话使用程度很高。这可能导致的一个结果是，许多呼叫中心的活动是通过移动电话，而不是之前的固定电话来处理。</w:t>
      </w:r>
    </w:p>
    <w:p w:rsidR="00E03965" w:rsidRDefault="00E03965" w:rsidP="00E03965">
      <w:pPr>
        <w:rPr>
          <w:lang w:eastAsia="zh-CN"/>
        </w:rPr>
      </w:pPr>
      <w:r>
        <w:rPr>
          <w:rFonts w:hint="eastAsia"/>
          <w:lang w:eastAsia="zh-CN"/>
        </w:rPr>
        <w:t>与欧洲相比，印度和其他发展中国家的一些参数可能存在差异，具体有：</w:t>
      </w:r>
    </w:p>
    <w:p w:rsidR="00E03965" w:rsidRDefault="00167EA6" w:rsidP="00FC2028">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移动电话的使用数量；</w:t>
      </w:r>
      <w:r w:rsidR="00E03965">
        <w:rPr>
          <w:rFonts w:hint="eastAsia"/>
          <w:lang w:eastAsia="zh-CN"/>
        </w:rPr>
        <w:t xml:space="preserve"> </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运营商数量；</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人口密度较高；</w:t>
      </w:r>
      <w:r w:rsidR="00E03965">
        <w:rPr>
          <w:rFonts w:hint="eastAsia"/>
          <w:lang w:eastAsia="zh-CN"/>
        </w:rPr>
        <w:t xml:space="preserve"> </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城市地区的无机增长；</w:t>
      </w:r>
      <w:r w:rsidR="00E03965">
        <w:rPr>
          <w:rFonts w:hint="eastAsia"/>
          <w:lang w:eastAsia="zh-CN"/>
        </w:rPr>
        <w:t xml:space="preserve"> </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隔离建筑的狭窄通道；</w:t>
      </w:r>
      <w:r w:rsidR="00E03965">
        <w:rPr>
          <w:rFonts w:hint="eastAsia"/>
          <w:lang w:eastAsia="zh-CN"/>
        </w:rPr>
        <w:t xml:space="preserve"> </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每个运营商平均持有的频谱较少；</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辐射功率为平均每扇区</w:t>
      </w:r>
      <w:r w:rsidR="00E03965">
        <w:rPr>
          <w:rFonts w:hint="eastAsia"/>
          <w:lang w:eastAsia="zh-CN"/>
        </w:rPr>
        <w:t>20</w:t>
      </w:r>
      <w:r w:rsidR="00E03965">
        <w:rPr>
          <w:rFonts w:hint="eastAsia"/>
          <w:lang w:eastAsia="zh-CN"/>
        </w:rPr>
        <w:t>瓦；</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天线高度较低；</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覆盖条件较差，也导致手持设备在较高的功率水平运行；</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基础设施的安装和维护由运营商外包给第三方；</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基层和本地主管部门缺乏技术经验，不足以理解基于国际电联</w:t>
      </w:r>
      <w:r w:rsidR="00E03965">
        <w:rPr>
          <w:rFonts w:hint="eastAsia"/>
          <w:lang w:eastAsia="zh-CN"/>
        </w:rPr>
        <w:t>K</w:t>
      </w:r>
      <w:r w:rsidR="00E03965">
        <w:rPr>
          <w:rFonts w:hint="eastAsia"/>
          <w:lang w:eastAsia="zh-CN"/>
        </w:rPr>
        <w:t>系列建议书的排斥区域计算。对这一点的考虑还需要结合向</w:t>
      </w:r>
      <w:r w:rsidR="00E03965">
        <w:rPr>
          <w:rFonts w:hint="eastAsia"/>
          <w:lang w:eastAsia="zh-CN"/>
        </w:rPr>
        <w:t>74.7</w:t>
      </w:r>
      <w:r w:rsidR="00E03965">
        <w:rPr>
          <w:rFonts w:hint="eastAsia"/>
          <w:lang w:eastAsia="zh-CN"/>
        </w:rPr>
        <w:t>万个</w:t>
      </w:r>
      <w:r w:rsidR="00E03965">
        <w:rPr>
          <w:rFonts w:hint="eastAsia"/>
          <w:lang w:eastAsia="zh-CN"/>
        </w:rPr>
        <w:t>BTS</w:t>
      </w:r>
      <w:r w:rsidR="00E03965">
        <w:rPr>
          <w:rFonts w:hint="eastAsia"/>
          <w:lang w:eastAsia="zh-CN"/>
        </w:rPr>
        <w:t>普及监测要求的背景。</w:t>
      </w:r>
    </w:p>
    <w:p w:rsidR="00412A25" w:rsidRDefault="00412A25">
      <w:pPr>
        <w:tabs>
          <w:tab w:val="clear" w:pos="794"/>
        </w:tabs>
        <w:overflowPunct/>
        <w:spacing w:before="0" w:line="240" w:lineRule="auto"/>
        <w:jc w:val="left"/>
        <w:rPr>
          <w:lang w:eastAsia="zh-CN"/>
        </w:rPr>
      </w:pPr>
      <w:r>
        <w:rPr>
          <w:lang w:eastAsia="zh-CN"/>
        </w:rPr>
        <w:br w:type="page"/>
      </w:r>
    </w:p>
    <w:p w:rsidR="00E03965" w:rsidRDefault="00E03965" w:rsidP="00412A25">
      <w:pPr>
        <w:ind w:firstLine="510"/>
        <w:rPr>
          <w:lang w:eastAsia="zh-CN"/>
        </w:rPr>
      </w:pPr>
      <w:r>
        <w:rPr>
          <w:rFonts w:hint="eastAsia"/>
          <w:lang w:eastAsia="zh-CN"/>
        </w:rPr>
        <w:lastRenderedPageBreak/>
        <w:t>该案例研究还提及许多其他有关印度政策举措的输入资料，包括含有详细信息的网络参考链接。</w:t>
      </w:r>
      <w:r w:rsidR="00FC2028">
        <w:rPr>
          <w:rStyle w:val="FootnoteReference"/>
          <w:lang w:eastAsia="zh-CN"/>
        </w:rPr>
        <w:footnoteReference w:id="12"/>
      </w:r>
      <w:r>
        <w:rPr>
          <w:rFonts w:hint="eastAsia"/>
          <w:lang w:eastAsia="zh-CN"/>
        </w:rPr>
        <w:t xml:space="preserve"> </w:t>
      </w:r>
    </w:p>
    <w:p w:rsidR="00E03965" w:rsidRDefault="00E03965" w:rsidP="006809C5">
      <w:pPr>
        <w:pStyle w:val="Heading1"/>
        <w:rPr>
          <w:lang w:eastAsia="zh-CN"/>
        </w:rPr>
      </w:pPr>
      <w:bookmarkStart w:id="22" w:name="_Toc377132357"/>
      <w:r>
        <w:rPr>
          <w:rFonts w:hint="eastAsia"/>
          <w:lang w:eastAsia="zh-CN"/>
        </w:rPr>
        <w:t>6</w:t>
      </w:r>
      <w:r>
        <w:rPr>
          <w:rFonts w:hint="eastAsia"/>
          <w:lang w:eastAsia="zh-CN"/>
        </w:rPr>
        <w:tab/>
      </w:r>
      <w:r>
        <w:rPr>
          <w:rFonts w:ascii="SimSun" w:eastAsia="SimSun" w:hAnsi="SimSun" w:cs="SimSun" w:hint="eastAsia"/>
          <w:lang w:eastAsia="zh-CN"/>
        </w:rPr>
        <w:t>有关非电离电磁辐射以及部署无线网络和相关基础设施时人体暴露监管的国际电联中美洲项目</w:t>
      </w:r>
      <w:bookmarkEnd w:id="22"/>
    </w:p>
    <w:p w:rsidR="00E03965" w:rsidRDefault="00E03965" w:rsidP="00E03965">
      <w:pPr>
        <w:rPr>
          <w:lang w:eastAsia="zh-CN"/>
        </w:rPr>
      </w:pPr>
      <w:r>
        <w:rPr>
          <w:rFonts w:hint="eastAsia"/>
          <w:lang w:eastAsia="zh-CN"/>
        </w:rPr>
        <w:t>6.1</w:t>
      </w:r>
      <w:r>
        <w:rPr>
          <w:rFonts w:hint="eastAsia"/>
          <w:lang w:eastAsia="zh-CN"/>
        </w:rPr>
        <w:tab/>
      </w:r>
      <w:r>
        <w:rPr>
          <w:rFonts w:hint="eastAsia"/>
          <w:lang w:eastAsia="zh-CN"/>
        </w:rPr>
        <w:t>该项目旨在分析在中美洲由于社会对于电磁场辐射的担忧而造成的移动网络及其相关基础设施部署困难的问题，并考察这些国家对此问题的监管情况。类似的，该项目基于这些研究和评估开展，并提出解决方案，包括变动或政策发展；试验项目；在上述测量中介入社会通信；以及开发必需的通用工具，以便在部署无线网络时促进人们及其政治和民间团体的社会接纳。</w:t>
      </w:r>
    </w:p>
    <w:p w:rsidR="00E03965" w:rsidRDefault="00E03965" w:rsidP="000553C2">
      <w:pPr>
        <w:ind w:firstLine="510"/>
        <w:rPr>
          <w:lang w:eastAsia="zh-CN"/>
        </w:rPr>
      </w:pPr>
      <w:r>
        <w:rPr>
          <w:rFonts w:hint="eastAsia"/>
          <w:lang w:eastAsia="zh-CN"/>
        </w:rPr>
        <w:t>特别的，对于后面的议题，萨尔瓦多开展了测量试验，这将在后文介绍。</w:t>
      </w:r>
    </w:p>
    <w:p w:rsidR="00412A25" w:rsidRDefault="00E03965" w:rsidP="006809C5">
      <w:pPr>
        <w:rPr>
          <w:lang w:eastAsia="zh-CN"/>
        </w:rPr>
      </w:pPr>
      <w:r>
        <w:rPr>
          <w:rFonts w:hint="eastAsia"/>
          <w:lang w:eastAsia="zh-CN"/>
        </w:rPr>
        <w:t>6.2</w:t>
      </w:r>
      <w:r>
        <w:rPr>
          <w:rFonts w:hint="eastAsia"/>
          <w:lang w:eastAsia="zh-CN"/>
        </w:rPr>
        <w:tab/>
      </w:r>
      <w:r>
        <w:rPr>
          <w:rFonts w:hint="eastAsia"/>
          <w:lang w:eastAsia="zh-CN"/>
        </w:rPr>
        <w:t>由于社会上对于天线以及射频暴露可能造成的效应的担忧导致的无线电通信网络部署难已经成了一个不好解决的问题，这已成为国际电联、美洲间电信委员会（</w:t>
      </w:r>
      <w:r>
        <w:rPr>
          <w:rFonts w:hint="eastAsia"/>
          <w:lang w:eastAsia="zh-CN"/>
        </w:rPr>
        <w:t>CITEL</w:t>
      </w:r>
      <w:r>
        <w:rPr>
          <w:rFonts w:hint="eastAsia"/>
          <w:lang w:eastAsia="zh-CN"/>
        </w:rPr>
        <w:t>）以及中美洲电信技术委员会（</w:t>
      </w:r>
      <w:r>
        <w:rPr>
          <w:rFonts w:hint="eastAsia"/>
          <w:lang w:eastAsia="zh-CN"/>
        </w:rPr>
        <w:t>COMTELCA</w:t>
      </w:r>
      <w:r>
        <w:rPr>
          <w:rFonts w:hint="eastAsia"/>
          <w:lang w:eastAsia="zh-CN"/>
        </w:rPr>
        <w:t>）研究的优先课题。</w:t>
      </w:r>
      <w:r w:rsidR="00412A25">
        <w:rPr>
          <w:lang w:eastAsia="zh-CN"/>
        </w:rPr>
        <w:br w:type="page"/>
      </w:r>
    </w:p>
    <w:p w:rsidR="00E03965" w:rsidRDefault="00E03965" w:rsidP="00E03965">
      <w:pPr>
        <w:rPr>
          <w:lang w:eastAsia="zh-CN"/>
        </w:rPr>
      </w:pPr>
      <w:r>
        <w:rPr>
          <w:rFonts w:hint="eastAsia"/>
          <w:lang w:eastAsia="zh-CN"/>
        </w:rPr>
        <w:lastRenderedPageBreak/>
        <w:t>6.3</w:t>
      </w:r>
      <w:r>
        <w:rPr>
          <w:rFonts w:hint="eastAsia"/>
          <w:lang w:eastAsia="zh-CN"/>
        </w:rPr>
        <w:tab/>
      </w:r>
      <w:r>
        <w:rPr>
          <w:rFonts w:hint="eastAsia"/>
          <w:lang w:eastAsia="zh-CN"/>
        </w:rPr>
        <w:t>该项目目的是要在中美洲研究、提出并实施一个项目，该项目涉及一个移动电话杆和基础设施的部署以及非电离辐射及健康保护等议题，根据的是若干决议，如国际电联</w:t>
      </w:r>
      <w:r>
        <w:rPr>
          <w:rFonts w:hint="eastAsia"/>
          <w:lang w:eastAsia="zh-CN"/>
        </w:rPr>
        <w:t>2010</w:t>
      </w:r>
      <w:r>
        <w:rPr>
          <w:rFonts w:hint="eastAsia"/>
          <w:lang w:eastAsia="zh-CN"/>
        </w:rPr>
        <w:t>年全权代表大会第</w:t>
      </w:r>
      <w:r>
        <w:rPr>
          <w:rFonts w:hint="eastAsia"/>
          <w:lang w:eastAsia="zh-CN"/>
        </w:rPr>
        <w:t>176</w:t>
      </w:r>
      <w:r>
        <w:rPr>
          <w:rFonts w:hint="eastAsia"/>
          <w:lang w:eastAsia="zh-CN"/>
        </w:rPr>
        <w:t>号决议（</w:t>
      </w:r>
      <w:r>
        <w:rPr>
          <w:rFonts w:hint="eastAsia"/>
          <w:lang w:eastAsia="zh-CN"/>
        </w:rPr>
        <w:t>2010</w:t>
      </w:r>
      <w:r>
        <w:rPr>
          <w:rFonts w:hint="eastAsia"/>
          <w:lang w:eastAsia="zh-CN"/>
        </w:rPr>
        <w:t>年，瓜达拉哈拉）“电磁场对人体的辐射及测量”，第</w:t>
      </w:r>
      <w:r>
        <w:rPr>
          <w:rFonts w:hint="eastAsia"/>
          <w:lang w:eastAsia="zh-CN"/>
        </w:rPr>
        <w:t>72</w:t>
      </w:r>
      <w:r>
        <w:rPr>
          <w:rFonts w:hint="eastAsia"/>
          <w:lang w:eastAsia="zh-CN"/>
        </w:rPr>
        <w:t>号决议（</w:t>
      </w:r>
      <w:r>
        <w:rPr>
          <w:rFonts w:hint="eastAsia"/>
          <w:lang w:eastAsia="zh-CN"/>
        </w:rPr>
        <w:t>WTSA</w:t>
      </w:r>
      <w:r>
        <w:rPr>
          <w:rFonts w:hint="eastAsia"/>
          <w:lang w:eastAsia="zh-CN"/>
        </w:rPr>
        <w:t>，</w:t>
      </w:r>
      <w:r>
        <w:rPr>
          <w:rFonts w:hint="eastAsia"/>
          <w:lang w:eastAsia="zh-CN"/>
        </w:rPr>
        <w:t>2008</w:t>
      </w:r>
      <w:r>
        <w:rPr>
          <w:rFonts w:hint="eastAsia"/>
          <w:lang w:eastAsia="zh-CN"/>
        </w:rPr>
        <w:t>年约翰内斯堡，</w:t>
      </w:r>
      <w:r>
        <w:rPr>
          <w:rFonts w:hint="eastAsia"/>
          <w:lang w:eastAsia="zh-CN"/>
        </w:rPr>
        <w:t>2012</w:t>
      </w:r>
      <w:r>
        <w:rPr>
          <w:rFonts w:hint="eastAsia"/>
          <w:lang w:eastAsia="zh-CN"/>
        </w:rPr>
        <w:t>年迪拜）与人体暴露电磁场有关的测量，以及第</w:t>
      </w:r>
      <w:r>
        <w:rPr>
          <w:rFonts w:hint="eastAsia"/>
          <w:lang w:eastAsia="zh-CN"/>
        </w:rPr>
        <w:t>62</w:t>
      </w:r>
      <w:r>
        <w:rPr>
          <w:rFonts w:hint="eastAsia"/>
          <w:lang w:eastAsia="zh-CN"/>
        </w:rPr>
        <w:t>号决议（</w:t>
      </w:r>
      <w:r>
        <w:rPr>
          <w:rFonts w:hint="eastAsia"/>
          <w:lang w:eastAsia="zh-CN"/>
        </w:rPr>
        <w:t>WTDC</w:t>
      </w:r>
      <w:r>
        <w:rPr>
          <w:rFonts w:hint="eastAsia"/>
          <w:lang w:eastAsia="zh-CN"/>
        </w:rPr>
        <w:t>，</w:t>
      </w:r>
      <w:r>
        <w:rPr>
          <w:rFonts w:hint="eastAsia"/>
          <w:lang w:eastAsia="zh-CN"/>
        </w:rPr>
        <w:t>2010</w:t>
      </w:r>
      <w:r>
        <w:rPr>
          <w:rFonts w:hint="eastAsia"/>
          <w:lang w:eastAsia="zh-CN"/>
        </w:rPr>
        <w:t>海得拉巴）。此外，该项目考虑向电信发展部门第</w:t>
      </w:r>
      <w:r>
        <w:rPr>
          <w:rFonts w:hint="eastAsia"/>
          <w:lang w:eastAsia="zh-CN"/>
        </w:rPr>
        <w:t>1</w:t>
      </w:r>
      <w:r>
        <w:rPr>
          <w:rFonts w:hint="eastAsia"/>
          <w:lang w:eastAsia="zh-CN"/>
        </w:rPr>
        <w:t>研究组以及</w:t>
      </w:r>
      <w:r w:rsidR="000553C2">
        <w:rPr>
          <w:lang w:val="en-US" w:eastAsia="zh-CN"/>
        </w:rPr>
        <w:br/>
      </w:r>
      <w:r>
        <w:rPr>
          <w:rFonts w:hint="eastAsia"/>
          <w:lang w:eastAsia="zh-CN"/>
        </w:rPr>
        <w:t>ITU-T</w:t>
      </w:r>
      <w:r>
        <w:rPr>
          <w:rFonts w:hint="eastAsia"/>
          <w:lang w:eastAsia="zh-CN"/>
        </w:rPr>
        <w:t>第</w:t>
      </w:r>
      <w:r>
        <w:rPr>
          <w:rFonts w:hint="eastAsia"/>
          <w:lang w:eastAsia="zh-CN"/>
        </w:rPr>
        <w:t>5</w:t>
      </w:r>
      <w:r>
        <w:rPr>
          <w:rFonts w:hint="eastAsia"/>
          <w:lang w:eastAsia="zh-CN"/>
        </w:rPr>
        <w:t>研究组拉丁美洲和加勒比区域组提供有关第</w:t>
      </w:r>
      <w:r>
        <w:rPr>
          <w:rFonts w:hint="eastAsia"/>
          <w:lang w:eastAsia="zh-CN"/>
        </w:rPr>
        <w:t>23/1</w:t>
      </w:r>
      <w:r>
        <w:rPr>
          <w:rFonts w:hint="eastAsia"/>
          <w:lang w:eastAsia="zh-CN"/>
        </w:rPr>
        <w:t>号课题方面获得的经验：“与人体暴露电磁场有关的战略和政策”。</w:t>
      </w:r>
    </w:p>
    <w:p w:rsidR="00E03965" w:rsidRDefault="00E03965" w:rsidP="00E03965">
      <w:pPr>
        <w:rPr>
          <w:lang w:eastAsia="zh-CN"/>
        </w:rPr>
      </w:pPr>
      <w:r>
        <w:rPr>
          <w:rFonts w:hint="eastAsia"/>
          <w:lang w:eastAsia="zh-CN"/>
        </w:rPr>
        <w:t>6.4</w:t>
      </w:r>
      <w:r>
        <w:rPr>
          <w:rFonts w:hint="eastAsia"/>
          <w:lang w:eastAsia="zh-CN"/>
        </w:rPr>
        <w:tab/>
      </w:r>
      <w:r>
        <w:rPr>
          <w:rFonts w:hint="eastAsia"/>
          <w:lang w:eastAsia="zh-CN"/>
        </w:rPr>
        <w:t>该项目由国际电联发展局（</w:t>
      </w:r>
      <w:r>
        <w:rPr>
          <w:rFonts w:hint="eastAsia"/>
          <w:lang w:eastAsia="zh-CN"/>
        </w:rPr>
        <w:t>BDT</w:t>
      </w:r>
      <w:r>
        <w:rPr>
          <w:rFonts w:hint="eastAsia"/>
          <w:lang w:eastAsia="zh-CN"/>
        </w:rPr>
        <w:t>）负责实施，通过中美洲与古巴、墨西哥和多米尼加共和国区域办事处与美洲区域办事处紧密合作，并由外部专家以及参加该项目的国家帮助完成。</w:t>
      </w:r>
    </w:p>
    <w:p w:rsidR="00E03965" w:rsidRDefault="00E03965" w:rsidP="00E03965">
      <w:pPr>
        <w:rPr>
          <w:lang w:eastAsia="zh-CN"/>
        </w:rPr>
      </w:pPr>
      <w:r>
        <w:rPr>
          <w:rFonts w:hint="eastAsia"/>
          <w:lang w:eastAsia="zh-CN"/>
        </w:rPr>
        <w:t>6.5</w:t>
      </w:r>
      <w:r>
        <w:rPr>
          <w:rFonts w:hint="eastAsia"/>
          <w:lang w:eastAsia="zh-CN"/>
        </w:rPr>
        <w:tab/>
      </w:r>
      <w:r>
        <w:rPr>
          <w:rFonts w:hint="eastAsia"/>
          <w:lang w:eastAsia="zh-CN"/>
        </w:rPr>
        <w:t>社会上对于电磁辐射的担忧是通过社区和电信业务用户组通过对部署天线的不情愿、担心对健康的可能伤害而表达出来的。中美洲国家曾在寻求获得解决办法，这其中包括制定一套通用工具，用来促进无线网络的部署，同时促进人们及其政治和民事组织的社会接纳程度。</w:t>
      </w:r>
    </w:p>
    <w:p w:rsidR="00E03965" w:rsidRDefault="00E03965" w:rsidP="00E03965">
      <w:pPr>
        <w:rPr>
          <w:lang w:eastAsia="zh-CN"/>
        </w:rPr>
      </w:pPr>
      <w:r>
        <w:rPr>
          <w:rFonts w:hint="eastAsia"/>
          <w:lang w:eastAsia="zh-CN"/>
        </w:rPr>
        <w:t>6.6</w:t>
      </w:r>
      <w:r>
        <w:rPr>
          <w:rFonts w:hint="eastAsia"/>
          <w:lang w:eastAsia="zh-CN"/>
        </w:rPr>
        <w:tab/>
      </w:r>
      <w:r>
        <w:rPr>
          <w:rFonts w:hint="eastAsia"/>
          <w:lang w:eastAsia="zh-CN"/>
        </w:rPr>
        <w:t>萨尔瓦多、巴拿马和洪都拉斯加入了该项目，目的是要开展一项研究，以确定在其国内由于对电磁辐射的担忧而造成的无线网络及其相关基础设施的部署的当前情况，其最终目标是要促进天线及其相关基础设施的部署。</w:t>
      </w:r>
    </w:p>
    <w:p w:rsidR="00E03965" w:rsidRDefault="00E03965" w:rsidP="00E03965">
      <w:pPr>
        <w:rPr>
          <w:lang w:eastAsia="zh-CN"/>
        </w:rPr>
      </w:pPr>
      <w:r>
        <w:rPr>
          <w:rFonts w:hint="eastAsia"/>
          <w:lang w:eastAsia="zh-CN"/>
        </w:rPr>
        <w:t>6.7</w:t>
      </w:r>
      <w:r>
        <w:rPr>
          <w:rFonts w:hint="eastAsia"/>
          <w:lang w:eastAsia="zh-CN"/>
        </w:rPr>
        <w:tab/>
      </w:r>
      <w:r>
        <w:rPr>
          <w:rFonts w:hint="eastAsia"/>
          <w:lang w:eastAsia="zh-CN"/>
        </w:rPr>
        <w:t>决定与可能与此话题相关的政府有关部门开会：电信监管机构、卫生部、环境部向市政府提供支持的国家办公室、都市区域以及主要城市的市政规划办公室、市长协会、运营公司。目的是一方面获取各方面的信息，不一定是关联的，同时也期望在涉及此事的国家政府各分支机构之间达成一致观点。</w:t>
      </w:r>
    </w:p>
    <w:p w:rsidR="00E03965" w:rsidRDefault="00E03965" w:rsidP="00E03965">
      <w:pPr>
        <w:rPr>
          <w:lang w:eastAsia="zh-CN"/>
        </w:rPr>
      </w:pPr>
      <w:r>
        <w:rPr>
          <w:rFonts w:hint="eastAsia"/>
          <w:lang w:eastAsia="zh-CN"/>
        </w:rPr>
        <w:t>6.8</w:t>
      </w:r>
      <w:r>
        <w:rPr>
          <w:rFonts w:hint="eastAsia"/>
          <w:lang w:eastAsia="zh-CN"/>
        </w:rPr>
        <w:tab/>
      </w:r>
      <w:r>
        <w:rPr>
          <w:rFonts w:hint="eastAsia"/>
          <w:lang w:eastAsia="zh-CN"/>
        </w:rPr>
        <w:t>我们可能对三个具有以下特征的参与国家的两个进行以上问题的评估，而类似特征也存在于那些剩余的拉丁美洲国家和世界其他区域的国家。</w:t>
      </w:r>
    </w:p>
    <w:p w:rsidR="00E03965" w:rsidRDefault="00E03965" w:rsidP="00820A2F">
      <w:pPr>
        <w:ind w:firstLine="510"/>
        <w:rPr>
          <w:lang w:eastAsia="zh-CN"/>
        </w:rPr>
      </w:pPr>
      <w:r>
        <w:rPr>
          <w:rFonts w:hint="eastAsia"/>
          <w:lang w:eastAsia="zh-CN"/>
        </w:rPr>
        <w:t>政府在各个领域的政策缺乏一致性。国家政府各个分支机构之间缺乏整合以及共同的政策。在</w:t>
      </w:r>
      <w:r>
        <w:rPr>
          <w:rFonts w:hint="eastAsia"/>
          <w:lang w:eastAsia="zh-CN"/>
        </w:rPr>
        <w:t>NIR</w:t>
      </w:r>
      <w:r>
        <w:rPr>
          <w:rFonts w:hint="eastAsia"/>
          <w:lang w:eastAsia="zh-CN"/>
        </w:rPr>
        <w:t>及健康保护问题上缺乏一个社会沟通政策。市政规则的不遵守。在市层面上存在非授权的设施。人们对于设施存在拒绝情绪。参与环境组织。议题的政治化。担忧</w:t>
      </w:r>
      <w:r>
        <w:rPr>
          <w:rFonts w:hint="eastAsia"/>
          <w:lang w:eastAsia="zh-CN"/>
        </w:rPr>
        <w:t>NIR</w:t>
      </w:r>
      <w:r>
        <w:rPr>
          <w:rFonts w:hint="eastAsia"/>
          <w:lang w:eastAsia="zh-CN"/>
        </w:rPr>
        <w:t>可能造成的健康影响。社会报警开始出现。在相邻或本地区域对设施部署的拒绝有增加趋势。</w:t>
      </w:r>
    </w:p>
    <w:p w:rsidR="00E03965" w:rsidRDefault="00E03965" w:rsidP="00E03965">
      <w:pPr>
        <w:rPr>
          <w:lang w:eastAsia="zh-CN"/>
        </w:rPr>
      </w:pPr>
      <w:r>
        <w:rPr>
          <w:rFonts w:hint="eastAsia"/>
          <w:lang w:eastAsia="zh-CN"/>
        </w:rPr>
        <w:t>6.9</w:t>
      </w:r>
      <w:r>
        <w:rPr>
          <w:rFonts w:hint="eastAsia"/>
          <w:lang w:eastAsia="zh-CN"/>
        </w:rPr>
        <w:tab/>
      </w:r>
      <w:r>
        <w:rPr>
          <w:rFonts w:hint="eastAsia"/>
          <w:lang w:eastAsia="zh-CN"/>
        </w:rPr>
        <w:t>这种冲突不是技术性的，也不是商业性的，从根本上说，这也不是一个与健康有关的问题，而是一个基于社会对危险的感知，继而出现了人们对辐射的惧怕，通过对市长和市政立法机构施加压力，从而在电信设施部署问题上产生这些监管障碍。</w:t>
      </w:r>
    </w:p>
    <w:p w:rsidR="00E03965" w:rsidRDefault="00E03965" w:rsidP="00E03965">
      <w:pPr>
        <w:rPr>
          <w:lang w:eastAsia="zh-CN"/>
        </w:rPr>
      </w:pPr>
      <w:r>
        <w:rPr>
          <w:rFonts w:hint="eastAsia"/>
          <w:lang w:eastAsia="zh-CN"/>
        </w:rPr>
        <w:t>6.10</w:t>
      </w:r>
      <w:r>
        <w:rPr>
          <w:rFonts w:hint="eastAsia"/>
          <w:lang w:eastAsia="zh-CN"/>
        </w:rPr>
        <w:tab/>
      </w:r>
      <w:r>
        <w:rPr>
          <w:rFonts w:hint="eastAsia"/>
          <w:lang w:eastAsia="zh-CN"/>
        </w:rPr>
        <w:t>一些国家没有专门针对</w:t>
      </w:r>
      <w:r>
        <w:rPr>
          <w:rFonts w:hint="eastAsia"/>
          <w:lang w:eastAsia="zh-CN"/>
        </w:rPr>
        <w:t>NIR</w:t>
      </w:r>
      <w:r>
        <w:rPr>
          <w:rFonts w:hint="eastAsia"/>
          <w:lang w:eastAsia="zh-CN"/>
        </w:rPr>
        <w:t>的使用进行国家卫生立法，但是在一些情况下在电信部门有相关规章，而在其他情况下适用</w:t>
      </w:r>
      <w:r>
        <w:rPr>
          <w:rFonts w:hint="eastAsia"/>
          <w:lang w:eastAsia="zh-CN"/>
        </w:rPr>
        <w:t>COMTELCA</w:t>
      </w:r>
      <w:r>
        <w:rPr>
          <w:rFonts w:hint="eastAsia"/>
          <w:lang w:eastAsia="zh-CN"/>
        </w:rPr>
        <w:t>的规则。在所有情况下，我们就开展本地立法方面提出具体建议。</w:t>
      </w:r>
    </w:p>
    <w:p w:rsidR="00E03965" w:rsidRDefault="00E03965" w:rsidP="00E03965">
      <w:pPr>
        <w:rPr>
          <w:lang w:eastAsia="zh-CN"/>
        </w:rPr>
      </w:pPr>
      <w:r>
        <w:rPr>
          <w:rFonts w:hint="eastAsia"/>
          <w:lang w:eastAsia="zh-CN"/>
        </w:rPr>
        <w:t>6.11</w:t>
      </w:r>
      <w:r>
        <w:rPr>
          <w:rFonts w:hint="eastAsia"/>
          <w:lang w:eastAsia="zh-CN"/>
        </w:rPr>
        <w:tab/>
      </w:r>
      <w:r>
        <w:rPr>
          <w:rFonts w:hint="eastAsia"/>
          <w:lang w:eastAsia="zh-CN"/>
        </w:rPr>
        <w:t>根据各国具体情况，并根据</w:t>
      </w:r>
      <w:r>
        <w:rPr>
          <w:rFonts w:hint="eastAsia"/>
          <w:lang w:eastAsia="zh-CN"/>
        </w:rPr>
        <w:t>WHO</w:t>
      </w:r>
      <w:r>
        <w:rPr>
          <w:rFonts w:hint="eastAsia"/>
          <w:lang w:eastAsia="zh-CN"/>
        </w:rPr>
        <w:t>“建立有关电磁场威胁的对话”文件，我们为每个国家都提出了如何管理社会对于部署天线接受程度的建议，并提供了为实现该目标的随时间变化的可持续工作计划。</w:t>
      </w:r>
    </w:p>
    <w:p w:rsidR="00412A25" w:rsidRDefault="00E03965" w:rsidP="00E82D09">
      <w:pPr>
        <w:rPr>
          <w:lang w:eastAsia="zh-CN"/>
        </w:rPr>
      </w:pPr>
      <w:r>
        <w:rPr>
          <w:rFonts w:hint="eastAsia"/>
          <w:lang w:eastAsia="zh-CN"/>
        </w:rPr>
        <w:t>6.12</w:t>
      </w:r>
      <w:r>
        <w:rPr>
          <w:rFonts w:hint="eastAsia"/>
          <w:lang w:eastAsia="zh-CN"/>
        </w:rPr>
        <w:tab/>
      </w:r>
      <w:r>
        <w:rPr>
          <w:rFonts w:hint="eastAsia"/>
          <w:lang w:eastAsia="zh-CN"/>
        </w:rPr>
        <w:t>起草了有关天线安装好实践指南的草案，其内容从一份评论给出的有关移动电话操作和非电离辐射基本知识，到保护环境、降低视觉印象以及试图规划监管的安装方法，文物保护和辐射监控。同时预计还将纳入一些有关市级层面许可程序的指南，目的在于在不同城市的相同问题上取得一致性的方案。</w:t>
      </w:r>
    </w:p>
    <w:p w:rsidR="00E03965" w:rsidRDefault="00E03965" w:rsidP="00E03965">
      <w:pPr>
        <w:rPr>
          <w:lang w:eastAsia="zh-CN"/>
        </w:rPr>
      </w:pPr>
      <w:r>
        <w:rPr>
          <w:rFonts w:hint="eastAsia"/>
          <w:lang w:eastAsia="zh-CN"/>
        </w:rPr>
        <w:lastRenderedPageBreak/>
        <w:t>6.13</w:t>
      </w:r>
      <w:r>
        <w:rPr>
          <w:rFonts w:hint="eastAsia"/>
          <w:lang w:eastAsia="zh-CN"/>
        </w:rPr>
        <w:tab/>
      </w:r>
      <w:r>
        <w:rPr>
          <w:rFonts w:hint="eastAsia"/>
          <w:lang w:eastAsia="zh-CN"/>
        </w:rPr>
        <w:t>开展试验的萨尔瓦多购买了以下设备：</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NIR</w:t>
      </w:r>
      <w:r w:rsidR="00E03965">
        <w:rPr>
          <w:rFonts w:hint="eastAsia"/>
          <w:lang w:eastAsia="zh-CN"/>
        </w:rPr>
        <w:t>便携测量系统。</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提供、校准、安装和管理两套用于电磁场的固定测量设备，及其具有必要应用的控制中心，基于</w:t>
      </w:r>
      <w:r w:rsidR="00E03965">
        <w:rPr>
          <w:rFonts w:hint="eastAsia"/>
          <w:lang w:eastAsia="zh-CN"/>
        </w:rPr>
        <w:t>ITU-T K.83</w:t>
      </w:r>
      <w:r w:rsidR="00E03965">
        <w:rPr>
          <w:rFonts w:hint="eastAsia"/>
          <w:lang w:eastAsia="zh-CN"/>
        </w:rPr>
        <w:t>建议书的规定，进行数据管理并发布到网上。</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萨尔瓦多首都区域内一部分的辐射地图。</w:t>
      </w:r>
    </w:p>
    <w:p w:rsidR="00E03965" w:rsidRDefault="00E03965" w:rsidP="000553C2">
      <w:pPr>
        <w:ind w:firstLine="510"/>
        <w:rPr>
          <w:lang w:eastAsia="zh-CN"/>
        </w:rPr>
      </w:pPr>
      <w:r>
        <w:rPr>
          <w:rFonts w:hint="eastAsia"/>
          <w:lang w:eastAsia="zh-CN"/>
        </w:rPr>
        <w:t>购买设备由国际电联通过招标方式进行，其中该波控公司（</w:t>
      </w:r>
      <w:proofErr w:type="spellStart"/>
      <w:r>
        <w:rPr>
          <w:rFonts w:hint="eastAsia"/>
          <w:lang w:eastAsia="zh-CN"/>
        </w:rPr>
        <w:t>Wave</w:t>
      </w:r>
      <w:proofErr w:type="spellEnd"/>
      <w:r>
        <w:rPr>
          <w:rFonts w:hint="eastAsia"/>
          <w:lang w:eastAsia="zh-CN"/>
        </w:rPr>
        <w:t xml:space="preserve"> Control</w:t>
      </w:r>
      <w:r>
        <w:rPr>
          <w:rFonts w:hint="eastAsia"/>
          <w:lang w:eastAsia="zh-CN"/>
        </w:rPr>
        <w:t>）中标。</w:t>
      </w:r>
    </w:p>
    <w:p w:rsidR="00E03965" w:rsidRDefault="00E03965" w:rsidP="00E03965">
      <w:pPr>
        <w:rPr>
          <w:lang w:eastAsia="zh-CN"/>
        </w:rPr>
      </w:pPr>
      <w:r>
        <w:rPr>
          <w:rFonts w:hint="eastAsia"/>
          <w:lang w:eastAsia="zh-CN"/>
        </w:rPr>
        <w:t>6.14</w:t>
      </w:r>
      <w:r>
        <w:rPr>
          <w:rFonts w:hint="eastAsia"/>
          <w:lang w:eastAsia="zh-CN"/>
        </w:rPr>
        <w:tab/>
      </w:r>
      <w:r>
        <w:rPr>
          <w:rFonts w:hint="eastAsia"/>
          <w:lang w:eastAsia="zh-CN"/>
        </w:rPr>
        <w:t>该工具未基于所要遵守的测量标准，因此它部取代执行部门开展的控制测量，并应被视为一个与公众进行社交沟通的附加工具，以减轻其对</w:t>
      </w:r>
      <w:r>
        <w:rPr>
          <w:rFonts w:hint="eastAsia"/>
          <w:lang w:eastAsia="zh-CN"/>
        </w:rPr>
        <w:t>NIR</w:t>
      </w:r>
      <w:r>
        <w:rPr>
          <w:rFonts w:hint="eastAsia"/>
          <w:lang w:eastAsia="zh-CN"/>
        </w:rPr>
        <w:t>可能对健康负面影响的担忧。目的是为了在街道级别和公众部门确定的敏感地点测量</w:t>
      </w:r>
      <w:r>
        <w:rPr>
          <w:rFonts w:hint="eastAsia"/>
          <w:lang w:eastAsia="zh-CN"/>
        </w:rPr>
        <w:t>NIR</w:t>
      </w:r>
      <w:r>
        <w:rPr>
          <w:rFonts w:hint="eastAsia"/>
          <w:lang w:eastAsia="zh-CN"/>
        </w:rPr>
        <w:t>电平。这些电平应以不间断方式进行监控。这将有助于以透明和可以理解的方式（网络、公告等）告诉公众，辐射电平远低于那些规则制定的值，目的是为了减轻公众的担忧。</w:t>
      </w:r>
    </w:p>
    <w:p w:rsidR="00E03965" w:rsidRDefault="00E03965" w:rsidP="00E03965">
      <w:pPr>
        <w:rPr>
          <w:lang w:eastAsia="zh-CN"/>
        </w:rPr>
      </w:pPr>
      <w:r>
        <w:rPr>
          <w:rFonts w:hint="eastAsia"/>
          <w:lang w:eastAsia="zh-CN"/>
        </w:rPr>
        <w:t>6.15</w:t>
      </w:r>
      <w:r>
        <w:rPr>
          <w:rFonts w:hint="eastAsia"/>
          <w:lang w:eastAsia="zh-CN"/>
        </w:rPr>
        <w:tab/>
      </w:r>
      <w:r>
        <w:rPr>
          <w:rFonts w:hint="eastAsia"/>
          <w:lang w:eastAsia="zh-CN"/>
        </w:rPr>
        <w:t>通过在圣萨尔瓦多都市圈内的一个区域内的每个街道进行步行测量，获得了电磁场地图，从而能够在街道级别上对电磁场电平有个完整的总体印象。在频率范围</w:t>
      </w:r>
      <w:r>
        <w:rPr>
          <w:rFonts w:hint="eastAsia"/>
          <w:lang w:eastAsia="zh-CN"/>
        </w:rPr>
        <w:t>300 kHz</w:t>
      </w:r>
      <w:r>
        <w:rPr>
          <w:rFonts w:hint="eastAsia"/>
          <w:lang w:eastAsia="zh-CN"/>
        </w:rPr>
        <w:t>至</w:t>
      </w:r>
      <w:r w:rsidR="00820A2F">
        <w:rPr>
          <w:lang w:eastAsia="zh-CN"/>
        </w:rPr>
        <w:br/>
      </w:r>
      <w:r>
        <w:rPr>
          <w:rFonts w:hint="eastAsia"/>
          <w:lang w:eastAsia="zh-CN"/>
        </w:rPr>
        <w:t>3 GHz</w:t>
      </w:r>
      <w:r>
        <w:rPr>
          <w:rFonts w:hint="eastAsia"/>
          <w:lang w:eastAsia="zh-CN"/>
        </w:rPr>
        <w:t>（宽带）范围内，通过电磁场同向探头，对街道级别进行了测量。城市每个点的电平是通过动态方式与日期和</w:t>
      </w:r>
      <w:r>
        <w:rPr>
          <w:rFonts w:hint="eastAsia"/>
          <w:lang w:eastAsia="zh-CN"/>
        </w:rPr>
        <w:t>GPS</w:t>
      </w:r>
      <w:r>
        <w:rPr>
          <w:rFonts w:hint="eastAsia"/>
          <w:lang w:eastAsia="zh-CN"/>
        </w:rPr>
        <w:t>位置一次测量的。</w:t>
      </w:r>
    </w:p>
    <w:p w:rsidR="00E03965" w:rsidRDefault="00E03965" w:rsidP="00E03965">
      <w:pPr>
        <w:rPr>
          <w:lang w:eastAsia="zh-CN"/>
        </w:rPr>
      </w:pPr>
      <w:r>
        <w:rPr>
          <w:rFonts w:hint="eastAsia"/>
          <w:lang w:eastAsia="zh-CN"/>
        </w:rPr>
        <w:t>6.16</w:t>
      </w:r>
      <w:r>
        <w:rPr>
          <w:rFonts w:hint="eastAsia"/>
          <w:lang w:eastAsia="zh-CN"/>
        </w:rPr>
        <w:tab/>
      </w:r>
      <w:r>
        <w:rPr>
          <w:rFonts w:hint="eastAsia"/>
          <w:lang w:eastAsia="zh-CN"/>
        </w:rPr>
        <w:t>这个过程是通过</w:t>
      </w:r>
      <w:r>
        <w:rPr>
          <w:rFonts w:hint="eastAsia"/>
          <w:lang w:eastAsia="zh-CN"/>
        </w:rPr>
        <w:t>SIGET</w:t>
      </w:r>
      <w:r>
        <w:rPr>
          <w:rFonts w:hint="eastAsia"/>
          <w:lang w:eastAsia="zh-CN"/>
        </w:rPr>
        <w:t>提供的一辆汽车和后勤人员实现的。电平测量单位为</w:t>
      </w:r>
      <w:r>
        <w:rPr>
          <w:rFonts w:hint="eastAsia"/>
          <w:lang w:eastAsia="zh-CN"/>
        </w:rPr>
        <w:t>V/m</w:t>
      </w:r>
      <w:r>
        <w:rPr>
          <w:rFonts w:hint="eastAsia"/>
          <w:lang w:eastAsia="zh-CN"/>
        </w:rPr>
        <w:t>，因此在人体暴露射频电磁场限值方面可以与国际标准规定的电频进行直接比较。数据经采集和存储，加上日期和</w:t>
      </w:r>
      <w:r>
        <w:rPr>
          <w:rFonts w:hint="eastAsia"/>
          <w:lang w:eastAsia="zh-CN"/>
        </w:rPr>
        <w:t>GPS</w:t>
      </w:r>
      <w:r>
        <w:rPr>
          <w:rFonts w:hint="eastAsia"/>
          <w:lang w:eastAsia="zh-CN"/>
        </w:rPr>
        <w:t>方位，随后通过地理信息系统（</w:t>
      </w:r>
      <w:r>
        <w:rPr>
          <w:rFonts w:hint="eastAsia"/>
          <w:lang w:eastAsia="zh-CN"/>
        </w:rPr>
        <w:t>GIS</w:t>
      </w:r>
      <w:r>
        <w:rPr>
          <w:rFonts w:hint="eastAsia"/>
          <w:lang w:eastAsia="zh-CN"/>
        </w:rPr>
        <w:t>）传送，后者对数据进行可视化处理后以色彩代表值的方式显示在地图上。</w:t>
      </w:r>
    </w:p>
    <w:p w:rsidR="00E03965" w:rsidRDefault="00E03965" w:rsidP="009D7D92">
      <w:pPr>
        <w:pStyle w:val="Figuretitle"/>
        <w:rPr>
          <w:lang w:val="en-US" w:eastAsia="zh-CN"/>
        </w:rPr>
      </w:pPr>
      <w:bookmarkStart w:id="23" w:name="_Toc377373430"/>
      <w:r>
        <w:rPr>
          <w:rFonts w:hint="eastAsia"/>
          <w:lang w:eastAsia="zh-CN"/>
        </w:rPr>
        <w:t>图</w:t>
      </w:r>
      <w:r>
        <w:rPr>
          <w:rFonts w:hint="eastAsia"/>
          <w:lang w:eastAsia="zh-CN"/>
        </w:rPr>
        <w:t>1</w:t>
      </w:r>
      <w:r>
        <w:rPr>
          <w:rFonts w:hint="eastAsia"/>
          <w:lang w:eastAsia="zh-CN"/>
        </w:rPr>
        <w:t>：圣萨尔瓦多</w:t>
      </w:r>
      <w:r>
        <w:rPr>
          <w:rFonts w:hint="eastAsia"/>
          <w:lang w:eastAsia="zh-CN"/>
        </w:rPr>
        <w:t>NIR</w:t>
      </w:r>
      <w:r>
        <w:rPr>
          <w:rFonts w:hint="eastAsia"/>
          <w:lang w:eastAsia="zh-CN"/>
        </w:rPr>
        <w:t>地图，在本报告期间尚未出版</w:t>
      </w:r>
      <w:bookmarkEnd w:id="23"/>
    </w:p>
    <w:p w:rsidR="009D7D92" w:rsidRDefault="009D7D92" w:rsidP="009D7D92">
      <w:pPr>
        <w:pStyle w:val="Figure"/>
        <w:rPr>
          <w:lang w:eastAsia="zh-CN"/>
        </w:rPr>
      </w:pPr>
      <w:r w:rsidRPr="00E07094">
        <w:rPr>
          <w:noProof/>
          <w:lang w:val="en-US" w:eastAsia="zh-CN"/>
        </w:rPr>
        <w:drawing>
          <wp:inline distT="0" distB="0" distL="0" distR="0" wp14:anchorId="0BC0C0F2" wp14:editId="7CB6C8C5">
            <wp:extent cx="3876675" cy="2276475"/>
            <wp:effectExtent l="0" t="0" r="9525" b="9525"/>
            <wp:docPr id="5" name="图片框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6675" cy="2276475"/>
                    </a:xfrm>
                    <a:prstGeom prst="rect">
                      <a:avLst/>
                    </a:prstGeom>
                    <a:noFill/>
                    <a:ln>
                      <a:noFill/>
                    </a:ln>
                  </pic:spPr>
                </pic:pic>
              </a:graphicData>
            </a:graphic>
          </wp:inline>
        </w:drawing>
      </w:r>
    </w:p>
    <w:p w:rsidR="009D7D92" w:rsidRPr="009D7D92" w:rsidRDefault="009D7D92" w:rsidP="009D7D92">
      <w:pPr>
        <w:pStyle w:val="Figure"/>
        <w:rPr>
          <w:lang w:eastAsia="zh-CN"/>
        </w:rPr>
      </w:pPr>
    </w:p>
    <w:p w:rsidR="00E03965" w:rsidRDefault="00E03965" w:rsidP="00E03965">
      <w:pPr>
        <w:rPr>
          <w:lang w:eastAsia="zh-CN"/>
        </w:rPr>
      </w:pPr>
      <w:r>
        <w:rPr>
          <w:rFonts w:hint="eastAsia"/>
          <w:lang w:eastAsia="zh-CN"/>
        </w:rPr>
        <w:t>6.17</w:t>
      </w:r>
      <w:r>
        <w:rPr>
          <w:rFonts w:hint="eastAsia"/>
          <w:lang w:eastAsia="zh-CN"/>
        </w:rPr>
        <w:tab/>
      </w:r>
      <w:r>
        <w:rPr>
          <w:rFonts w:hint="eastAsia"/>
          <w:lang w:eastAsia="zh-CN"/>
        </w:rPr>
        <w:t>在这个地图中，你可以看到</w:t>
      </w:r>
      <w:r>
        <w:rPr>
          <w:rFonts w:hint="eastAsia"/>
          <w:lang w:eastAsia="zh-CN"/>
        </w:rPr>
        <w:t>NIR</w:t>
      </w:r>
      <w:r>
        <w:rPr>
          <w:rFonts w:hint="eastAsia"/>
          <w:lang w:eastAsia="zh-CN"/>
        </w:rPr>
        <w:t>的层级，后者可以在一个尺度上从蓝色到红色进行比较，在红色之上已超出</w:t>
      </w:r>
      <w:r>
        <w:rPr>
          <w:rFonts w:hint="eastAsia"/>
          <w:lang w:eastAsia="zh-CN"/>
        </w:rPr>
        <w:t>WHO</w:t>
      </w:r>
      <w:r>
        <w:rPr>
          <w:rFonts w:hint="eastAsia"/>
          <w:lang w:eastAsia="zh-CN"/>
        </w:rPr>
        <w:t>规定的最大限值。</w:t>
      </w:r>
    </w:p>
    <w:p w:rsidR="00E03965" w:rsidRPr="009D7D92" w:rsidRDefault="00E03965" w:rsidP="000553C2">
      <w:pPr>
        <w:rPr>
          <w:b/>
          <w:bCs/>
          <w:lang w:eastAsia="zh-CN"/>
        </w:rPr>
      </w:pPr>
      <w:r>
        <w:rPr>
          <w:rFonts w:hint="eastAsia"/>
          <w:lang w:eastAsia="zh-CN"/>
        </w:rPr>
        <w:t>6.18</w:t>
      </w:r>
      <w:r>
        <w:rPr>
          <w:rFonts w:hint="eastAsia"/>
          <w:lang w:eastAsia="zh-CN"/>
        </w:rPr>
        <w:tab/>
      </w:r>
      <w:r>
        <w:rPr>
          <w:rFonts w:hint="eastAsia"/>
          <w:lang w:eastAsia="zh-CN"/>
        </w:rPr>
        <w:t>下图为一份阿根廷城市洛马斯德萨莫拉的类似地图，其中已经公布了有关</w:t>
      </w:r>
      <w:r>
        <w:rPr>
          <w:rFonts w:hint="eastAsia"/>
          <w:lang w:eastAsia="zh-CN"/>
        </w:rPr>
        <w:t>NIR</w:t>
      </w:r>
      <w:r>
        <w:rPr>
          <w:rFonts w:hint="eastAsia"/>
          <w:lang w:eastAsia="zh-CN"/>
        </w:rPr>
        <w:t>的级别高低：</w:t>
      </w:r>
    </w:p>
    <w:p w:rsidR="00E03965" w:rsidRDefault="00E03965" w:rsidP="009D7D92">
      <w:pPr>
        <w:pStyle w:val="Figuretitle"/>
        <w:rPr>
          <w:lang w:val="en-US" w:eastAsia="zh-CN"/>
        </w:rPr>
      </w:pPr>
      <w:bookmarkStart w:id="24" w:name="_Toc377373431"/>
      <w:r>
        <w:rPr>
          <w:rFonts w:hint="eastAsia"/>
          <w:lang w:eastAsia="zh-CN"/>
        </w:rPr>
        <w:lastRenderedPageBreak/>
        <w:t>图</w:t>
      </w:r>
      <w:r>
        <w:rPr>
          <w:rFonts w:hint="eastAsia"/>
          <w:lang w:eastAsia="zh-CN"/>
        </w:rPr>
        <w:t>2</w:t>
      </w:r>
      <w:r>
        <w:rPr>
          <w:rFonts w:hint="eastAsia"/>
          <w:lang w:eastAsia="zh-CN"/>
        </w:rPr>
        <w:t>：连续监测系统</w:t>
      </w:r>
      <w:r>
        <w:rPr>
          <w:rFonts w:hint="eastAsia"/>
          <w:lang w:eastAsia="zh-CN"/>
        </w:rPr>
        <w:t xml:space="preserve"> </w:t>
      </w:r>
      <w:r w:rsidR="00167EA6" w:rsidRPr="00167EA6">
        <w:rPr>
          <w:lang w:eastAsia="zh-CN"/>
        </w:rPr>
        <w:t>–</w:t>
      </w:r>
      <w:r>
        <w:rPr>
          <w:rFonts w:hint="eastAsia"/>
          <w:lang w:eastAsia="zh-CN"/>
        </w:rPr>
        <w:t xml:space="preserve"> </w:t>
      </w:r>
      <w:r>
        <w:rPr>
          <w:rFonts w:hint="eastAsia"/>
          <w:lang w:eastAsia="zh-CN"/>
        </w:rPr>
        <w:t>“</w:t>
      </w:r>
      <w:r>
        <w:rPr>
          <w:rFonts w:hint="eastAsia"/>
          <w:lang w:eastAsia="zh-CN"/>
        </w:rPr>
        <w:t>NIR</w:t>
      </w:r>
      <w:r>
        <w:rPr>
          <w:rFonts w:hint="eastAsia"/>
          <w:lang w:eastAsia="zh-CN"/>
        </w:rPr>
        <w:t>的民众控制”</w:t>
      </w:r>
      <w:bookmarkEnd w:id="24"/>
    </w:p>
    <w:p w:rsidR="009D7D92" w:rsidRDefault="009D7D92" w:rsidP="009D7D92">
      <w:pPr>
        <w:pStyle w:val="Figure"/>
        <w:rPr>
          <w:lang w:eastAsia="zh-CN"/>
        </w:rPr>
      </w:pPr>
      <w:r w:rsidRPr="00E07094">
        <w:rPr>
          <w:noProof/>
          <w:lang w:val="en-US" w:eastAsia="zh-CN"/>
        </w:rPr>
        <w:drawing>
          <wp:inline distT="0" distB="0" distL="0" distR="0" wp14:anchorId="0B412B00" wp14:editId="5E1B5506">
            <wp:extent cx="2990850" cy="2533650"/>
            <wp:effectExtent l="0" t="0" r="0" b="0"/>
            <wp:docPr id="6" name="图片框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0850" cy="2533650"/>
                    </a:xfrm>
                    <a:prstGeom prst="rect">
                      <a:avLst/>
                    </a:prstGeom>
                    <a:noFill/>
                    <a:ln>
                      <a:noFill/>
                    </a:ln>
                  </pic:spPr>
                </pic:pic>
              </a:graphicData>
            </a:graphic>
          </wp:inline>
        </w:drawing>
      </w:r>
    </w:p>
    <w:p w:rsidR="009D7D92" w:rsidRPr="009D7D92" w:rsidRDefault="009D7D92" w:rsidP="009D7D92">
      <w:pPr>
        <w:pStyle w:val="Figure"/>
        <w:rPr>
          <w:lang w:eastAsia="zh-CN"/>
        </w:rPr>
      </w:pPr>
    </w:p>
    <w:p w:rsidR="00E03965" w:rsidRDefault="00E03965" w:rsidP="00E03965">
      <w:pPr>
        <w:rPr>
          <w:lang w:eastAsia="zh-CN"/>
        </w:rPr>
      </w:pPr>
      <w:r>
        <w:rPr>
          <w:rFonts w:hint="eastAsia"/>
          <w:lang w:eastAsia="zh-CN"/>
        </w:rPr>
        <w:t>6.19</w:t>
      </w:r>
      <w:r>
        <w:rPr>
          <w:rFonts w:hint="eastAsia"/>
          <w:lang w:eastAsia="zh-CN"/>
        </w:rPr>
        <w:tab/>
      </w:r>
      <w:r>
        <w:rPr>
          <w:rFonts w:hint="eastAsia"/>
          <w:lang w:eastAsia="zh-CN"/>
        </w:rPr>
        <w:t>为实现不同邻里之间以及因对于</w:t>
      </w:r>
      <w:r>
        <w:rPr>
          <w:rFonts w:hint="eastAsia"/>
          <w:lang w:eastAsia="zh-CN"/>
        </w:rPr>
        <w:t>NIR</w:t>
      </w:r>
      <w:r>
        <w:rPr>
          <w:rFonts w:hint="eastAsia"/>
          <w:lang w:eastAsia="zh-CN"/>
        </w:rPr>
        <w:t>的恐惧而导致高度冲突的邻里之间的安宁，作为试验开展了一个小的连续性的监测项目。人们可以登录到</w:t>
      </w:r>
      <w:r>
        <w:rPr>
          <w:rFonts w:hint="eastAsia"/>
          <w:lang w:eastAsia="zh-CN"/>
        </w:rPr>
        <w:t>SIGET</w:t>
      </w:r>
      <w:r>
        <w:rPr>
          <w:rFonts w:hint="eastAsia"/>
          <w:lang w:eastAsia="zh-CN"/>
        </w:rPr>
        <w:t>网站，点击绿点将可以看到选定点的如下图所示的测量结果。程序系统将把带有频率信息的报告通过电子邮件送给关键人物，如相邻地区理事会主席、学校校长、邻里领导、与此有关的非政府协会等。</w:t>
      </w:r>
    </w:p>
    <w:p w:rsidR="00E03965" w:rsidRDefault="00E03965" w:rsidP="00E03965">
      <w:pPr>
        <w:rPr>
          <w:lang w:val="en-US" w:eastAsia="zh-CN"/>
        </w:rPr>
      </w:pPr>
      <w:r>
        <w:rPr>
          <w:rFonts w:hint="eastAsia"/>
          <w:lang w:eastAsia="zh-CN"/>
        </w:rPr>
        <w:t>6.20</w:t>
      </w:r>
      <w:r>
        <w:rPr>
          <w:rFonts w:hint="eastAsia"/>
          <w:lang w:eastAsia="zh-CN"/>
        </w:rPr>
        <w:tab/>
      </w:r>
      <w:r>
        <w:rPr>
          <w:rFonts w:hint="eastAsia"/>
          <w:lang w:eastAsia="zh-CN"/>
        </w:rPr>
        <w:t>在准备本份报告时，</w:t>
      </w:r>
      <w:r>
        <w:rPr>
          <w:rFonts w:hint="eastAsia"/>
          <w:lang w:eastAsia="zh-CN"/>
        </w:rPr>
        <w:t>SIGET</w:t>
      </w:r>
      <w:r>
        <w:rPr>
          <w:rFonts w:hint="eastAsia"/>
          <w:lang w:eastAsia="zh-CN"/>
        </w:rPr>
        <w:t>尚未公开发布有关信息，因此未纳入对应的链接。</w:t>
      </w:r>
    </w:p>
    <w:p w:rsidR="00E82D09" w:rsidRPr="00E82D09" w:rsidRDefault="00E82D09" w:rsidP="00E82D09">
      <w:pPr>
        <w:spacing w:before="0"/>
        <w:rPr>
          <w:lang w:val="en-US" w:eastAsia="zh-CN"/>
        </w:rPr>
      </w:pPr>
    </w:p>
    <w:p w:rsidR="00E03965" w:rsidRDefault="00E03965" w:rsidP="009D7D92">
      <w:pPr>
        <w:pStyle w:val="Figuretitle"/>
        <w:rPr>
          <w:lang w:val="en-US" w:eastAsia="zh-CN"/>
        </w:rPr>
      </w:pPr>
      <w:bookmarkStart w:id="25" w:name="_Toc377373432"/>
      <w:r>
        <w:rPr>
          <w:rFonts w:hint="eastAsia"/>
          <w:lang w:eastAsia="zh-CN"/>
        </w:rPr>
        <w:t>图</w:t>
      </w:r>
      <w:r>
        <w:rPr>
          <w:rFonts w:hint="eastAsia"/>
          <w:lang w:eastAsia="zh-CN"/>
        </w:rPr>
        <w:t>3</w:t>
      </w:r>
      <w:r>
        <w:rPr>
          <w:rFonts w:hint="eastAsia"/>
          <w:lang w:eastAsia="zh-CN"/>
        </w:rPr>
        <w:t>：萨尔瓦多与国际电联联合开展的连续监测系统项目</w:t>
      </w:r>
      <w:bookmarkEnd w:id="25"/>
    </w:p>
    <w:p w:rsidR="009D7D92" w:rsidRDefault="009D7D92" w:rsidP="009D7D92">
      <w:pPr>
        <w:pStyle w:val="Figure"/>
        <w:rPr>
          <w:lang w:eastAsia="zh-CN"/>
        </w:rPr>
      </w:pPr>
      <w:r w:rsidRPr="00E07094">
        <w:rPr>
          <w:noProof/>
          <w:lang w:val="en-US" w:eastAsia="zh-CN"/>
        </w:rPr>
        <w:drawing>
          <wp:inline distT="0" distB="0" distL="0" distR="0" wp14:anchorId="59999F98" wp14:editId="758C70F1">
            <wp:extent cx="3609975" cy="2895600"/>
            <wp:effectExtent l="0" t="0" r="9525" b="0"/>
            <wp:docPr id="7" name="图片框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975" cy="2895600"/>
                    </a:xfrm>
                    <a:prstGeom prst="rect">
                      <a:avLst/>
                    </a:prstGeom>
                    <a:noFill/>
                    <a:ln>
                      <a:noFill/>
                    </a:ln>
                  </pic:spPr>
                </pic:pic>
              </a:graphicData>
            </a:graphic>
          </wp:inline>
        </w:drawing>
      </w:r>
    </w:p>
    <w:p w:rsidR="009D7D92" w:rsidRPr="009D7D92" w:rsidRDefault="009D7D92" w:rsidP="009D7D92">
      <w:pPr>
        <w:pStyle w:val="Figure"/>
        <w:rPr>
          <w:lang w:eastAsia="zh-CN"/>
        </w:rPr>
      </w:pPr>
    </w:p>
    <w:p w:rsidR="009D7D92" w:rsidRPr="00E82D09" w:rsidRDefault="009D7D92" w:rsidP="00E82D09">
      <w:pPr>
        <w:spacing w:before="0"/>
        <w:rPr>
          <w:sz w:val="10"/>
          <w:szCs w:val="10"/>
          <w:lang w:val="en-US" w:eastAsia="zh-CN"/>
        </w:rPr>
      </w:pPr>
    </w:p>
    <w:p w:rsidR="00E03965" w:rsidRDefault="00E03965" w:rsidP="00E03965">
      <w:pPr>
        <w:rPr>
          <w:lang w:eastAsia="zh-CN"/>
        </w:rPr>
      </w:pPr>
      <w:r>
        <w:rPr>
          <w:rFonts w:hint="eastAsia"/>
          <w:lang w:eastAsia="zh-CN"/>
        </w:rPr>
        <w:lastRenderedPageBreak/>
        <w:t>6.21</w:t>
      </w:r>
      <w:r>
        <w:rPr>
          <w:rFonts w:hint="eastAsia"/>
          <w:lang w:eastAsia="zh-CN"/>
        </w:rPr>
        <w:tab/>
      </w:r>
      <w:r>
        <w:rPr>
          <w:rFonts w:hint="eastAsia"/>
          <w:lang w:eastAsia="zh-CN"/>
        </w:rPr>
        <w:t>对于萨尔瓦多案例，我们采用了一个宽带探头和一个窄带探头，其中包括在该国运营的蜂窝移动公司的频段。</w:t>
      </w:r>
    </w:p>
    <w:p w:rsidR="00E03965" w:rsidRDefault="00E03965" w:rsidP="00E03965">
      <w:pPr>
        <w:rPr>
          <w:lang w:eastAsia="zh-CN"/>
        </w:rPr>
      </w:pPr>
      <w:r>
        <w:rPr>
          <w:rFonts w:hint="eastAsia"/>
          <w:lang w:eastAsia="zh-CN"/>
        </w:rPr>
        <w:t>6.22</w:t>
      </w:r>
      <w:r>
        <w:rPr>
          <w:rFonts w:hint="eastAsia"/>
          <w:lang w:eastAsia="zh-CN"/>
        </w:rPr>
        <w:tab/>
      </w:r>
      <w:r>
        <w:rPr>
          <w:rFonts w:hint="eastAsia"/>
          <w:lang w:eastAsia="zh-CN"/>
        </w:rPr>
        <w:t>美洲地区连续监测系统</w:t>
      </w:r>
    </w:p>
    <w:p w:rsidR="00E03965" w:rsidRDefault="00E03965" w:rsidP="000553C2">
      <w:pPr>
        <w:ind w:firstLine="510"/>
        <w:rPr>
          <w:lang w:eastAsia="zh-CN"/>
        </w:rPr>
      </w:pPr>
      <w:r>
        <w:rPr>
          <w:rFonts w:hint="eastAsia"/>
          <w:lang w:eastAsia="zh-CN"/>
        </w:rPr>
        <w:t>除本项目外，美洲地区很多国家正在根据</w:t>
      </w:r>
      <w:r>
        <w:rPr>
          <w:rFonts w:hint="eastAsia"/>
          <w:lang w:eastAsia="zh-CN"/>
        </w:rPr>
        <w:t>ITU-T K.83</w:t>
      </w:r>
      <w:r>
        <w:rPr>
          <w:rFonts w:hint="eastAsia"/>
          <w:lang w:eastAsia="zh-CN"/>
        </w:rPr>
        <w:t>建议书的规定发展自身的连续监测系统。</w:t>
      </w:r>
    </w:p>
    <w:p w:rsidR="00E03965" w:rsidRDefault="00E03965" w:rsidP="002F72CF">
      <w:pPr>
        <w:tabs>
          <w:tab w:val="clear" w:pos="794"/>
          <w:tab w:val="left" w:pos="1276"/>
        </w:tabs>
        <w:rPr>
          <w:lang w:eastAsia="zh-CN"/>
        </w:rPr>
      </w:pPr>
      <w:r>
        <w:rPr>
          <w:rFonts w:hint="eastAsia"/>
          <w:lang w:eastAsia="zh-CN"/>
        </w:rPr>
        <w:t>阿根廷：</w:t>
      </w:r>
      <w:r w:rsidR="002F72CF">
        <w:rPr>
          <w:lang w:eastAsia="zh-CN"/>
        </w:rPr>
        <w:tab/>
      </w:r>
      <w:r>
        <w:rPr>
          <w:rFonts w:hint="eastAsia"/>
          <w:lang w:eastAsia="zh-CN"/>
        </w:rPr>
        <w:t>在扩展阶段</w:t>
      </w:r>
    </w:p>
    <w:p w:rsidR="00E03965" w:rsidRDefault="00E03965" w:rsidP="002F72CF">
      <w:pPr>
        <w:tabs>
          <w:tab w:val="clear" w:pos="794"/>
          <w:tab w:val="left" w:pos="1276"/>
        </w:tabs>
        <w:rPr>
          <w:lang w:eastAsia="zh-CN"/>
        </w:rPr>
      </w:pPr>
      <w:r>
        <w:rPr>
          <w:rFonts w:hint="eastAsia"/>
          <w:lang w:eastAsia="zh-CN"/>
        </w:rPr>
        <w:t>哥伦比亚：</w:t>
      </w:r>
      <w:r w:rsidR="002F72CF">
        <w:rPr>
          <w:lang w:eastAsia="zh-CN"/>
        </w:rPr>
        <w:tab/>
      </w:r>
      <w:r>
        <w:rPr>
          <w:rFonts w:hint="eastAsia"/>
          <w:lang w:eastAsia="zh-CN"/>
        </w:rPr>
        <w:t>已于近期安装（尚未公布）</w:t>
      </w:r>
    </w:p>
    <w:p w:rsidR="00E03965" w:rsidRDefault="00E03965" w:rsidP="002F72CF">
      <w:pPr>
        <w:tabs>
          <w:tab w:val="clear" w:pos="794"/>
          <w:tab w:val="left" w:pos="1276"/>
        </w:tabs>
        <w:rPr>
          <w:lang w:eastAsia="zh-CN"/>
        </w:rPr>
      </w:pPr>
      <w:r>
        <w:rPr>
          <w:rFonts w:hint="eastAsia"/>
          <w:lang w:eastAsia="zh-CN"/>
        </w:rPr>
        <w:t>厄瓜多尔：</w:t>
      </w:r>
      <w:r w:rsidR="002F72CF">
        <w:rPr>
          <w:rFonts w:hint="eastAsia"/>
          <w:lang w:eastAsia="zh-CN"/>
        </w:rPr>
        <w:tab/>
      </w:r>
      <w:r>
        <w:rPr>
          <w:rFonts w:hint="eastAsia"/>
          <w:lang w:eastAsia="zh-CN"/>
        </w:rPr>
        <w:t>已于近期安装（尚未公布）</w:t>
      </w:r>
    </w:p>
    <w:p w:rsidR="00E03965" w:rsidRDefault="00E03965" w:rsidP="002F72CF">
      <w:pPr>
        <w:tabs>
          <w:tab w:val="clear" w:pos="794"/>
          <w:tab w:val="left" w:pos="1276"/>
        </w:tabs>
        <w:rPr>
          <w:lang w:eastAsia="zh-CN"/>
        </w:rPr>
      </w:pPr>
      <w:r>
        <w:rPr>
          <w:rFonts w:hint="eastAsia"/>
          <w:lang w:eastAsia="zh-CN"/>
        </w:rPr>
        <w:t>巴西：</w:t>
      </w:r>
      <w:r w:rsidR="002F72CF">
        <w:rPr>
          <w:lang w:eastAsia="zh-CN"/>
        </w:rPr>
        <w:tab/>
      </w:r>
      <w:r>
        <w:rPr>
          <w:rFonts w:hint="eastAsia"/>
          <w:lang w:eastAsia="zh-CN"/>
        </w:rPr>
        <w:t>已于近期购买，尚未安装</w:t>
      </w:r>
    </w:p>
    <w:p w:rsidR="00E03965" w:rsidRDefault="00E03965" w:rsidP="002F72CF">
      <w:pPr>
        <w:tabs>
          <w:tab w:val="clear" w:pos="794"/>
          <w:tab w:val="left" w:pos="1276"/>
        </w:tabs>
        <w:ind w:firstLine="510"/>
      </w:pPr>
      <w:r>
        <w:rPr>
          <w:rFonts w:hint="eastAsia"/>
          <w:lang w:eastAsia="zh-CN"/>
        </w:rPr>
        <w:t>欲了解本项目更多情况，请洽：</w:t>
      </w:r>
      <w:r>
        <w:rPr>
          <w:rFonts w:hint="eastAsia"/>
          <w:lang w:eastAsia="zh-CN"/>
        </w:rPr>
        <w:t>H</w:t>
      </w:r>
      <w:r>
        <w:rPr>
          <w:rFonts w:hint="eastAsia"/>
          <w:lang w:eastAsia="zh-CN"/>
        </w:rPr>
        <w:t>é</w:t>
      </w:r>
      <w:proofErr w:type="spellStart"/>
      <w:r>
        <w:rPr>
          <w:rFonts w:hint="eastAsia"/>
          <w:lang w:eastAsia="zh-CN"/>
        </w:rPr>
        <w:t>ctor</w:t>
      </w:r>
      <w:proofErr w:type="spellEnd"/>
      <w:r>
        <w:rPr>
          <w:rFonts w:hint="eastAsia"/>
          <w:lang w:eastAsia="zh-CN"/>
        </w:rPr>
        <w:t xml:space="preserve"> Mario </w:t>
      </w:r>
      <w:proofErr w:type="spellStart"/>
      <w:r>
        <w:rPr>
          <w:rFonts w:hint="eastAsia"/>
          <w:lang w:eastAsia="zh-CN"/>
        </w:rPr>
        <w:t>Carril</w:t>
      </w:r>
      <w:proofErr w:type="spellEnd"/>
      <w:r>
        <w:rPr>
          <w:rFonts w:hint="eastAsia"/>
          <w:lang w:eastAsia="zh-CN"/>
        </w:rPr>
        <w:t>，</w:t>
      </w:r>
      <w:r>
        <w:rPr>
          <w:rFonts w:hint="eastAsia"/>
          <w:lang w:eastAsia="zh-CN"/>
        </w:rPr>
        <w:t>hectormario.carril@ties.itu.int</w:t>
      </w:r>
      <w:r>
        <w:rPr>
          <w:rFonts w:hint="eastAsia"/>
          <w:lang w:eastAsia="zh-CN"/>
        </w:rPr>
        <w:t>或国际电联洪都拉斯区域办事处</w:t>
      </w:r>
      <w:r>
        <w:rPr>
          <w:rFonts w:hint="eastAsia"/>
          <w:lang w:eastAsia="zh-CN"/>
        </w:rPr>
        <w:t>Miguel Alcaine</w:t>
      </w:r>
      <w:r>
        <w:rPr>
          <w:rFonts w:hint="eastAsia"/>
        </w:rPr>
        <w:t>，</w:t>
      </w:r>
      <w:r>
        <w:rPr>
          <w:rFonts w:hint="eastAsia"/>
        </w:rPr>
        <w:t>miguel.alcaine@itu.int</w:t>
      </w:r>
      <w:r>
        <w:rPr>
          <w:rFonts w:hint="eastAsia"/>
        </w:rPr>
        <w:t>。</w:t>
      </w:r>
    </w:p>
    <w:p w:rsidR="00E03965" w:rsidRDefault="00E03965" w:rsidP="009D7D92">
      <w:pPr>
        <w:pStyle w:val="Heading1"/>
        <w:rPr>
          <w:lang w:eastAsia="zh-CN"/>
        </w:rPr>
      </w:pPr>
      <w:bookmarkStart w:id="26" w:name="_Toc377132358"/>
      <w:r>
        <w:rPr>
          <w:rFonts w:hint="eastAsia"/>
          <w:lang w:eastAsia="zh-CN"/>
        </w:rPr>
        <w:t>7</w:t>
      </w:r>
      <w:r>
        <w:rPr>
          <w:rFonts w:hint="eastAsia"/>
          <w:lang w:eastAsia="zh-CN"/>
        </w:rPr>
        <w:tab/>
      </w:r>
      <w:r>
        <w:rPr>
          <w:rFonts w:ascii="SimSun" w:eastAsia="SimSun" w:hAnsi="SimSun" w:cs="SimSun" w:hint="eastAsia"/>
          <w:lang w:eastAsia="zh-CN"/>
        </w:rPr>
        <w:t>为成员国提供的指导</w:t>
      </w:r>
      <w:bookmarkEnd w:id="26"/>
    </w:p>
    <w:p w:rsidR="00E03965" w:rsidRDefault="00E03965" w:rsidP="00E03965">
      <w:pPr>
        <w:rPr>
          <w:lang w:eastAsia="zh-CN"/>
        </w:rPr>
      </w:pPr>
      <w:r>
        <w:rPr>
          <w:rFonts w:hint="eastAsia"/>
          <w:lang w:eastAsia="zh-CN"/>
        </w:rPr>
        <w:t>7.1</w:t>
      </w:r>
      <w:r>
        <w:rPr>
          <w:rFonts w:hint="eastAsia"/>
          <w:lang w:eastAsia="zh-CN"/>
        </w:rPr>
        <w:tab/>
      </w:r>
      <w:r>
        <w:rPr>
          <w:rFonts w:hint="eastAsia"/>
          <w:lang w:eastAsia="zh-CN"/>
        </w:rPr>
        <w:t>建议成员国采用</w:t>
      </w:r>
      <w:r>
        <w:rPr>
          <w:rFonts w:hint="eastAsia"/>
          <w:lang w:eastAsia="zh-CN"/>
        </w:rPr>
        <w:t>ICNIRP</w:t>
      </w:r>
      <w:r>
        <w:rPr>
          <w:rFonts w:hint="eastAsia"/>
          <w:lang w:eastAsia="zh-CN"/>
        </w:rPr>
        <w:t>制定的</w:t>
      </w:r>
      <w:r>
        <w:rPr>
          <w:rFonts w:hint="eastAsia"/>
          <w:lang w:eastAsia="zh-CN"/>
        </w:rPr>
        <w:t>EMF</w:t>
      </w:r>
      <w:r>
        <w:rPr>
          <w:rFonts w:hint="eastAsia"/>
          <w:lang w:eastAsia="zh-CN"/>
        </w:rPr>
        <w:t>指导原则（获得世卫组织</w:t>
      </w:r>
      <w:r w:rsidR="00FC2028">
        <w:rPr>
          <w:rStyle w:val="FootnoteReference"/>
          <w:lang w:eastAsia="zh-CN"/>
        </w:rPr>
        <w:footnoteReference w:id="13"/>
      </w:r>
      <w:r>
        <w:rPr>
          <w:rFonts w:hint="eastAsia"/>
          <w:lang w:eastAsia="zh-CN"/>
        </w:rPr>
        <w:t xml:space="preserve"> </w:t>
      </w:r>
      <w:r>
        <w:rPr>
          <w:rFonts w:hint="eastAsia"/>
          <w:lang w:eastAsia="zh-CN"/>
        </w:rPr>
        <w:t>和国际电联</w:t>
      </w:r>
      <w:r w:rsidR="00FC2028">
        <w:rPr>
          <w:rStyle w:val="FootnoteReference"/>
          <w:lang w:eastAsia="zh-CN"/>
        </w:rPr>
        <w:footnoteReference w:id="14"/>
      </w:r>
      <w:r>
        <w:rPr>
          <w:rFonts w:hint="eastAsia"/>
          <w:lang w:eastAsia="zh-CN"/>
        </w:rPr>
        <w:t xml:space="preserve"> </w:t>
      </w:r>
      <w:r>
        <w:rPr>
          <w:rFonts w:hint="eastAsia"/>
          <w:lang w:eastAsia="zh-CN"/>
        </w:rPr>
        <w:t>支持），而不是自己发明其自身的门限值。</w:t>
      </w:r>
      <w:r>
        <w:rPr>
          <w:rFonts w:hint="eastAsia"/>
          <w:lang w:eastAsia="zh-CN"/>
        </w:rPr>
        <w:t>WHO</w:t>
      </w:r>
      <w:r>
        <w:rPr>
          <w:rFonts w:hint="eastAsia"/>
          <w:lang w:eastAsia="zh-CN"/>
        </w:rPr>
        <w:t>通过其国际</w:t>
      </w:r>
      <w:r>
        <w:rPr>
          <w:rFonts w:hint="eastAsia"/>
          <w:lang w:eastAsia="zh-CN"/>
        </w:rPr>
        <w:t>EMF</w:t>
      </w:r>
      <w:r>
        <w:rPr>
          <w:rFonts w:hint="eastAsia"/>
          <w:lang w:eastAsia="zh-CN"/>
        </w:rPr>
        <w:t>项目已经制定了一份有关开发基于健康的</w:t>
      </w:r>
      <w:r>
        <w:rPr>
          <w:rFonts w:hint="eastAsia"/>
          <w:lang w:eastAsia="zh-CN"/>
        </w:rPr>
        <w:t>EMF</w:t>
      </w:r>
      <w:r>
        <w:rPr>
          <w:rFonts w:hint="eastAsia"/>
          <w:lang w:eastAsia="zh-CN"/>
        </w:rPr>
        <w:t>标准的框架，可以用这个框架来制定与国际标准不同的国家标准。</w:t>
      </w:r>
      <w:r w:rsidR="00FC2028">
        <w:rPr>
          <w:rStyle w:val="FootnoteReference"/>
          <w:lang w:eastAsia="zh-CN"/>
        </w:rPr>
        <w:footnoteReference w:id="15"/>
      </w:r>
      <w:r>
        <w:rPr>
          <w:rFonts w:hint="eastAsia"/>
          <w:lang w:eastAsia="zh-CN"/>
        </w:rPr>
        <w:t xml:space="preserve"> </w:t>
      </w:r>
      <w:r>
        <w:rPr>
          <w:rFonts w:hint="eastAsia"/>
          <w:lang w:eastAsia="zh-CN"/>
        </w:rPr>
        <w:t>世卫组织认识到一些国家可能选择采用其他射频暴露风险管理政策。</w:t>
      </w:r>
    </w:p>
    <w:p w:rsidR="00E03965" w:rsidRDefault="00E03965" w:rsidP="00E03965">
      <w:pPr>
        <w:rPr>
          <w:lang w:eastAsia="zh-CN"/>
        </w:rPr>
      </w:pPr>
      <w:r>
        <w:rPr>
          <w:rFonts w:hint="eastAsia"/>
          <w:lang w:eastAsia="zh-CN"/>
        </w:rPr>
        <w:t>7.2</w:t>
      </w:r>
      <w:r>
        <w:rPr>
          <w:rFonts w:hint="eastAsia"/>
          <w:lang w:eastAsia="zh-CN"/>
        </w:rPr>
        <w:tab/>
      </w:r>
      <w:r>
        <w:rPr>
          <w:rFonts w:hint="eastAsia"/>
          <w:lang w:eastAsia="zh-CN"/>
        </w:rPr>
        <w:t>在国家层面，限值暴露</w:t>
      </w:r>
      <w:r>
        <w:rPr>
          <w:rFonts w:hint="eastAsia"/>
          <w:lang w:eastAsia="zh-CN"/>
        </w:rPr>
        <w:t>EMF</w:t>
      </w:r>
      <w:r>
        <w:rPr>
          <w:rFonts w:hint="eastAsia"/>
          <w:lang w:eastAsia="zh-CN"/>
        </w:rPr>
        <w:t>的规定可以范围两类，即自愿的和强制性的。</w:t>
      </w:r>
    </w:p>
    <w:p w:rsidR="00E03965" w:rsidRDefault="00E03965" w:rsidP="00E03965">
      <w:pPr>
        <w:rPr>
          <w:lang w:eastAsia="zh-CN"/>
        </w:rPr>
      </w:pPr>
      <w:r>
        <w:rPr>
          <w:rFonts w:hint="eastAsia"/>
          <w:lang w:eastAsia="zh-CN"/>
        </w:rPr>
        <w:t>7.2.1</w:t>
      </w:r>
      <w:r>
        <w:rPr>
          <w:rFonts w:hint="eastAsia"/>
          <w:lang w:eastAsia="zh-CN"/>
        </w:rPr>
        <w:tab/>
      </w:r>
      <w:r>
        <w:rPr>
          <w:rFonts w:hint="eastAsia"/>
          <w:lang w:eastAsia="zh-CN"/>
        </w:rPr>
        <w:t>自愿条款包括导则、指示和建议，这些条款不具法律意义上的强制性，通常没有法律执行力，比如由</w:t>
      </w:r>
      <w:r>
        <w:rPr>
          <w:rFonts w:hint="eastAsia"/>
          <w:lang w:eastAsia="zh-CN"/>
        </w:rPr>
        <w:t>ICNIRP</w:t>
      </w:r>
      <w:r>
        <w:rPr>
          <w:rFonts w:hint="eastAsia"/>
          <w:lang w:eastAsia="zh-CN"/>
        </w:rPr>
        <w:t>、</w:t>
      </w:r>
      <w:r>
        <w:rPr>
          <w:rFonts w:hint="eastAsia"/>
          <w:lang w:eastAsia="zh-CN"/>
        </w:rPr>
        <w:t>IEEE</w:t>
      </w:r>
      <w:r>
        <w:rPr>
          <w:rFonts w:hint="eastAsia"/>
          <w:lang w:eastAsia="zh-CN"/>
        </w:rPr>
        <w:t>和其他组织制定的用于为各国政府机构提供指导的国际导则，它们只有当该国将其纳入其自身立法框架后才具备法律约束力。</w:t>
      </w:r>
    </w:p>
    <w:p w:rsidR="00E03965" w:rsidRDefault="00E03965" w:rsidP="009D7D92">
      <w:pPr>
        <w:rPr>
          <w:lang w:eastAsia="zh-CN"/>
        </w:rPr>
      </w:pPr>
      <w:r>
        <w:rPr>
          <w:rFonts w:hint="eastAsia"/>
          <w:lang w:eastAsia="zh-CN"/>
        </w:rPr>
        <w:t>7.2.2</w:t>
      </w:r>
      <w:r>
        <w:rPr>
          <w:rFonts w:hint="eastAsia"/>
          <w:lang w:eastAsia="zh-CN"/>
        </w:rPr>
        <w:tab/>
      </w:r>
      <w:r>
        <w:rPr>
          <w:rFonts w:hint="eastAsia"/>
          <w:lang w:eastAsia="zh-CN"/>
        </w:rPr>
        <w:t>强制、义务或法律约束性监管条款包括法律、法案、规章、条例、决定和法令，且需要一个立法框架。</w:t>
      </w:r>
    </w:p>
    <w:p w:rsidR="00E03965" w:rsidRDefault="00E03965" w:rsidP="003C1F6F">
      <w:pPr>
        <w:rPr>
          <w:lang w:eastAsia="zh-CN"/>
        </w:rPr>
      </w:pPr>
      <w:r>
        <w:rPr>
          <w:rFonts w:hint="eastAsia"/>
          <w:lang w:eastAsia="zh-CN"/>
        </w:rPr>
        <w:t>7.2.3</w:t>
      </w:r>
      <w:r>
        <w:rPr>
          <w:rFonts w:hint="eastAsia"/>
          <w:lang w:eastAsia="zh-CN"/>
        </w:rPr>
        <w:tab/>
        <w:t>WHO</w:t>
      </w:r>
      <w:r>
        <w:rPr>
          <w:rFonts w:hint="eastAsia"/>
          <w:lang w:eastAsia="zh-CN"/>
        </w:rPr>
        <w:t>的</w:t>
      </w:r>
      <w:r>
        <w:rPr>
          <w:rFonts w:hint="eastAsia"/>
          <w:lang w:eastAsia="zh-CN"/>
        </w:rPr>
        <w:t>EMF</w:t>
      </w:r>
      <w:r>
        <w:rPr>
          <w:rFonts w:hint="eastAsia"/>
          <w:lang w:eastAsia="zh-CN"/>
        </w:rPr>
        <w:t>项目认为，如果能促成将现有的国际标准变为法律范本，则将更有助于帮助感兴趣的国家将其纳入本国法律。此外，该法律范本</w:t>
      </w:r>
      <w:r w:rsidR="00FC2028">
        <w:rPr>
          <w:rStyle w:val="FootnoteReference"/>
          <w:lang w:eastAsia="zh-CN"/>
        </w:rPr>
        <w:footnoteReference w:id="16"/>
      </w:r>
      <w:r>
        <w:rPr>
          <w:rFonts w:hint="eastAsia"/>
          <w:lang w:eastAsia="zh-CN"/>
        </w:rPr>
        <w:t>将使所有希望制定国内标准的国家也能够在此框架内开展工作。</w:t>
      </w:r>
    </w:p>
    <w:p w:rsidR="00E03965" w:rsidRDefault="00E03965" w:rsidP="00E03965">
      <w:pPr>
        <w:rPr>
          <w:lang w:eastAsia="zh-CN"/>
        </w:rPr>
      </w:pPr>
      <w:r>
        <w:rPr>
          <w:rFonts w:hint="eastAsia"/>
          <w:lang w:eastAsia="zh-CN"/>
        </w:rPr>
        <w:lastRenderedPageBreak/>
        <w:t>7.3</w:t>
      </w:r>
      <w:r>
        <w:rPr>
          <w:rFonts w:hint="eastAsia"/>
          <w:lang w:eastAsia="zh-CN"/>
        </w:rPr>
        <w:tab/>
        <w:t>IEC</w:t>
      </w:r>
      <w:r>
        <w:rPr>
          <w:rFonts w:hint="eastAsia"/>
          <w:lang w:eastAsia="zh-CN"/>
        </w:rPr>
        <w:t>、</w:t>
      </w:r>
      <w:r>
        <w:rPr>
          <w:rFonts w:hint="eastAsia"/>
          <w:lang w:eastAsia="zh-CN"/>
        </w:rPr>
        <w:t>IEEE/ICES</w:t>
      </w:r>
      <w:r>
        <w:rPr>
          <w:rFonts w:hint="eastAsia"/>
          <w:lang w:eastAsia="zh-CN"/>
        </w:rPr>
        <w:t>以及</w:t>
      </w:r>
      <w:r>
        <w:rPr>
          <w:rFonts w:hint="eastAsia"/>
          <w:lang w:eastAsia="zh-CN"/>
        </w:rPr>
        <w:t>WHO EMF</w:t>
      </w:r>
      <w:r>
        <w:rPr>
          <w:rFonts w:hint="eastAsia"/>
          <w:lang w:eastAsia="zh-CN"/>
        </w:rPr>
        <w:t>项目的</w:t>
      </w:r>
      <w:r>
        <w:rPr>
          <w:rFonts w:hint="eastAsia"/>
          <w:lang w:eastAsia="zh-CN"/>
        </w:rPr>
        <w:t>CENELEC</w:t>
      </w:r>
      <w:r>
        <w:rPr>
          <w:rFonts w:hint="eastAsia"/>
          <w:lang w:eastAsia="zh-CN"/>
        </w:rPr>
        <w:t>制定了如何遵守暴露和辐射标准的测量标准。它们可以对由于设备安装或引入一个产品导致的</w:t>
      </w:r>
      <w:r>
        <w:rPr>
          <w:rFonts w:hint="eastAsia"/>
          <w:lang w:eastAsia="zh-CN"/>
        </w:rPr>
        <w:t>EMF</w:t>
      </w:r>
      <w:r>
        <w:rPr>
          <w:rFonts w:hint="eastAsia"/>
          <w:lang w:eastAsia="zh-CN"/>
        </w:rPr>
        <w:t>暴露的测量提供指导，如为了测量移动电话的</w:t>
      </w:r>
      <w:r>
        <w:rPr>
          <w:rFonts w:hint="eastAsia"/>
          <w:lang w:eastAsia="zh-CN"/>
        </w:rPr>
        <w:t>SAR</w:t>
      </w:r>
      <w:r>
        <w:rPr>
          <w:rFonts w:hint="eastAsia"/>
          <w:lang w:eastAsia="zh-CN"/>
        </w:rPr>
        <w:t>值而进行的假体测量。</w:t>
      </w:r>
    </w:p>
    <w:p w:rsidR="00E03965" w:rsidRDefault="00E03965" w:rsidP="00E03965">
      <w:pPr>
        <w:rPr>
          <w:lang w:eastAsia="zh-CN"/>
        </w:rPr>
      </w:pPr>
      <w:r>
        <w:rPr>
          <w:rFonts w:hint="eastAsia"/>
          <w:lang w:eastAsia="zh-CN"/>
        </w:rPr>
        <w:t>7.3.1</w:t>
      </w:r>
      <w:r>
        <w:rPr>
          <w:rFonts w:hint="eastAsia"/>
          <w:lang w:eastAsia="zh-CN"/>
        </w:rPr>
        <w:tab/>
      </w:r>
      <w:r>
        <w:rPr>
          <w:rFonts w:hint="eastAsia"/>
          <w:lang w:eastAsia="zh-CN"/>
        </w:rPr>
        <w:t>根据国际电联《频谱监测手册》第</w:t>
      </w:r>
      <w:r>
        <w:rPr>
          <w:rFonts w:hint="eastAsia"/>
          <w:lang w:eastAsia="zh-CN"/>
        </w:rPr>
        <w:t>5.6</w:t>
      </w:r>
      <w:r>
        <w:rPr>
          <w:rFonts w:hint="eastAsia"/>
          <w:lang w:eastAsia="zh-CN"/>
        </w:rPr>
        <w:t>章所述，对电信设备最大</w:t>
      </w:r>
      <w:r>
        <w:rPr>
          <w:rFonts w:hint="eastAsia"/>
          <w:lang w:eastAsia="zh-CN"/>
        </w:rPr>
        <w:t>NIR</w:t>
      </w:r>
      <w:r>
        <w:rPr>
          <w:rFonts w:hint="eastAsia"/>
          <w:lang w:eastAsia="zh-CN"/>
        </w:rPr>
        <w:t>电平法规的执行由负责频谱管理的机构充分利用现有专家资源开展。提交本报告的各国经验文稿显示这一执行工作通常由负责发放许可的机构负责。</w:t>
      </w:r>
    </w:p>
    <w:p w:rsidR="00E03965" w:rsidRDefault="00E03965" w:rsidP="00E03965">
      <w:pPr>
        <w:rPr>
          <w:lang w:eastAsia="zh-CN"/>
        </w:rPr>
      </w:pPr>
      <w:r>
        <w:rPr>
          <w:rFonts w:hint="eastAsia"/>
          <w:lang w:eastAsia="zh-CN"/>
        </w:rPr>
        <w:t>7.3.2</w:t>
      </w:r>
      <w:r>
        <w:rPr>
          <w:rFonts w:hint="eastAsia"/>
          <w:lang w:eastAsia="zh-CN"/>
        </w:rPr>
        <w:tab/>
      </w:r>
      <w:r>
        <w:rPr>
          <w:rFonts w:hint="eastAsia"/>
          <w:lang w:eastAsia="zh-CN"/>
        </w:rPr>
        <w:t>手册进一步建议按照以下步骤开展</w:t>
      </w:r>
      <w:r>
        <w:rPr>
          <w:rFonts w:hint="eastAsia"/>
          <w:lang w:eastAsia="zh-CN"/>
        </w:rPr>
        <w:t>NIR</w:t>
      </w:r>
      <w:r>
        <w:rPr>
          <w:rFonts w:hint="eastAsia"/>
          <w:lang w:eastAsia="zh-CN"/>
        </w:rPr>
        <w:t>测量：</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相关于无线电执照的发放工作；</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根据</w:t>
      </w:r>
      <w:r w:rsidR="00E03965">
        <w:rPr>
          <w:rFonts w:hint="eastAsia"/>
          <w:lang w:eastAsia="zh-CN"/>
        </w:rPr>
        <w:t>NIR</w:t>
      </w:r>
      <w:r w:rsidR="00E03965">
        <w:rPr>
          <w:rFonts w:hint="eastAsia"/>
          <w:lang w:eastAsia="zh-CN"/>
        </w:rPr>
        <w:t>控制和监控规划定期开展，或</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在合适原因如公众或官方要求情况下开展。</w:t>
      </w:r>
      <w:r w:rsidR="00FC2028">
        <w:rPr>
          <w:rStyle w:val="FootnoteReference"/>
          <w:lang w:eastAsia="zh-CN"/>
        </w:rPr>
        <w:footnoteReference w:id="17"/>
      </w:r>
      <w:r w:rsidR="00E03965">
        <w:rPr>
          <w:rFonts w:hint="eastAsia"/>
          <w:lang w:eastAsia="zh-CN"/>
        </w:rPr>
        <w:t xml:space="preserve"> </w:t>
      </w:r>
    </w:p>
    <w:p w:rsidR="00E03965" w:rsidRDefault="00E03965" w:rsidP="00E03965">
      <w:pPr>
        <w:rPr>
          <w:lang w:eastAsia="zh-CN"/>
        </w:rPr>
      </w:pPr>
      <w:r>
        <w:rPr>
          <w:rFonts w:hint="eastAsia"/>
          <w:lang w:eastAsia="zh-CN"/>
        </w:rPr>
        <w:t>7.4</w:t>
      </w:r>
      <w:r>
        <w:rPr>
          <w:rFonts w:hint="eastAsia"/>
          <w:lang w:eastAsia="zh-CN"/>
        </w:rPr>
        <w:tab/>
      </w:r>
      <w:r>
        <w:rPr>
          <w:rFonts w:hint="eastAsia"/>
          <w:lang w:eastAsia="zh-CN"/>
        </w:rPr>
        <w:t>需测量的发射机包括：</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广播和蜂窝基站；</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业务无线电台；</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手持机只检查提供商的技术规范，因为对手持机的测量将会很昂贵。</w:t>
      </w:r>
    </w:p>
    <w:p w:rsidR="00E03965" w:rsidRDefault="00E03965" w:rsidP="00E03965">
      <w:pPr>
        <w:rPr>
          <w:lang w:eastAsia="zh-CN"/>
        </w:rPr>
      </w:pPr>
      <w:r>
        <w:rPr>
          <w:rFonts w:hint="eastAsia"/>
          <w:lang w:eastAsia="zh-CN"/>
        </w:rPr>
        <w:t>7.5</w:t>
      </w:r>
      <w:r>
        <w:rPr>
          <w:rFonts w:hint="eastAsia"/>
          <w:lang w:eastAsia="zh-CN"/>
        </w:rPr>
        <w:tab/>
      </w:r>
      <w:r>
        <w:rPr>
          <w:rFonts w:hint="eastAsia"/>
          <w:lang w:eastAsia="zh-CN"/>
        </w:rPr>
        <w:t>程序</w:t>
      </w:r>
    </w:p>
    <w:p w:rsidR="00E03965" w:rsidRDefault="00E03965" w:rsidP="00E03965">
      <w:pPr>
        <w:rPr>
          <w:lang w:eastAsia="zh-CN"/>
        </w:rPr>
      </w:pPr>
      <w:r>
        <w:rPr>
          <w:rFonts w:hint="eastAsia"/>
          <w:lang w:eastAsia="zh-CN"/>
        </w:rPr>
        <w:t>7.5.1</w:t>
      </w:r>
      <w:r>
        <w:rPr>
          <w:rFonts w:hint="eastAsia"/>
          <w:lang w:eastAsia="zh-CN"/>
        </w:rPr>
        <w:tab/>
      </w:r>
      <w:r>
        <w:rPr>
          <w:rFonts w:hint="eastAsia"/>
          <w:lang w:eastAsia="zh-CN"/>
        </w:rPr>
        <w:t>应具备确保遵守强制性标准的程序。对于</w:t>
      </w:r>
      <w:r>
        <w:rPr>
          <w:rFonts w:hint="eastAsia"/>
          <w:lang w:eastAsia="zh-CN"/>
        </w:rPr>
        <w:t>EMF</w:t>
      </w:r>
      <w:r>
        <w:rPr>
          <w:rFonts w:hint="eastAsia"/>
          <w:lang w:eastAsia="zh-CN"/>
        </w:rPr>
        <w:t>暴露标准，通常会要求一个组织（可能是国家的，也可能是私人的）负责通过在工地或其他区域进行计算或测量来检查是否遵循了标准。设备对于暴露限值的遵循通常是由制造商核准的（</w:t>
      </w:r>
      <w:r>
        <w:rPr>
          <w:rFonts w:hint="eastAsia"/>
          <w:lang w:eastAsia="zh-CN"/>
        </w:rPr>
        <w:t>SAR</w:t>
      </w:r>
      <w:r>
        <w:rPr>
          <w:rFonts w:hint="eastAsia"/>
          <w:lang w:eastAsia="zh-CN"/>
        </w:rPr>
        <w:t>测量）。</w:t>
      </w:r>
    </w:p>
    <w:p w:rsidR="00E03965" w:rsidRDefault="00E03965" w:rsidP="009D7D92">
      <w:pPr>
        <w:rPr>
          <w:lang w:eastAsia="zh-CN"/>
        </w:rPr>
      </w:pPr>
      <w:r>
        <w:rPr>
          <w:rFonts w:hint="eastAsia"/>
          <w:lang w:eastAsia="zh-CN"/>
        </w:rPr>
        <w:t>7.5.2</w:t>
      </w:r>
      <w:r>
        <w:rPr>
          <w:rFonts w:hint="eastAsia"/>
          <w:lang w:eastAsia="zh-CN"/>
        </w:rPr>
        <w:tab/>
      </w:r>
      <w:r>
        <w:rPr>
          <w:rFonts w:hint="eastAsia"/>
          <w:lang w:eastAsia="zh-CN"/>
        </w:rPr>
        <w:t>目前在实际情况中评估人体暴露的导则是基于现有</w:t>
      </w:r>
      <w:r>
        <w:rPr>
          <w:rFonts w:hint="eastAsia"/>
          <w:lang w:eastAsia="zh-CN"/>
        </w:rPr>
        <w:t>IEC/CENELEC</w:t>
      </w:r>
      <w:r>
        <w:rPr>
          <w:rFonts w:hint="eastAsia"/>
          <w:lang w:eastAsia="zh-CN"/>
        </w:rPr>
        <w:t>标准。因此，建议成员国遵守</w:t>
      </w:r>
      <w:r>
        <w:rPr>
          <w:rFonts w:hint="eastAsia"/>
          <w:lang w:eastAsia="zh-CN"/>
        </w:rPr>
        <w:t>IEC/CENELEC</w:t>
      </w:r>
      <w:r>
        <w:rPr>
          <w:rFonts w:hint="eastAsia"/>
          <w:lang w:eastAsia="zh-CN"/>
        </w:rPr>
        <w:t>标准。欧洲邮政电信行政大会（</w:t>
      </w:r>
      <w:r>
        <w:rPr>
          <w:rFonts w:hint="eastAsia"/>
          <w:lang w:eastAsia="zh-CN"/>
        </w:rPr>
        <w:t>CEPT</w:t>
      </w:r>
      <w:r>
        <w:rPr>
          <w:rFonts w:hint="eastAsia"/>
          <w:lang w:eastAsia="zh-CN"/>
        </w:rPr>
        <w:t>）的电子通信委员会（</w:t>
      </w:r>
      <w:r>
        <w:rPr>
          <w:rFonts w:hint="eastAsia"/>
          <w:lang w:eastAsia="zh-CN"/>
        </w:rPr>
        <w:t>ECC</w:t>
      </w:r>
      <w:r>
        <w:rPr>
          <w:rFonts w:hint="eastAsia"/>
          <w:lang w:eastAsia="zh-CN"/>
        </w:rPr>
        <w:t>）有关非电离电磁辐射（</w:t>
      </w:r>
      <w:r>
        <w:rPr>
          <w:rFonts w:hint="eastAsia"/>
          <w:lang w:eastAsia="zh-CN"/>
        </w:rPr>
        <w:t xml:space="preserve">9 kHz </w:t>
      </w:r>
      <w:r w:rsidR="00167EA6" w:rsidRPr="00167EA6">
        <w:rPr>
          <w:lang w:eastAsia="zh-CN"/>
        </w:rPr>
        <w:t>–</w:t>
      </w:r>
      <w:r>
        <w:rPr>
          <w:rFonts w:hint="eastAsia"/>
          <w:lang w:eastAsia="zh-CN"/>
        </w:rPr>
        <w:t xml:space="preserve"> 300 GHz</w:t>
      </w:r>
      <w:r>
        <w:rPr>
          <w:rFonts w:hint="eastAsia"/>
          <w:lang w:eastAsia="zh-CN"/>
        </w:rPr>
        <w:t>）的测量的建议书（</w:t>
      </w:r>
      <w:r>
        <w:rPr>
          <w:rFonts w:hint="eastAsia"/>
          <w:lang w:eastAsia="zh-CN"/>
        </w:rPr>
        <w:t>02</w:t>
      </w:r>
      <w:r>
        <w:rPr>
          <w:rFonts w:hint="eastAsia"/>
          <w:lang w:eastAsia="zh-CN"/>
        </w:rPr>
        <w:t>）</w:t>
      </w:r>
      <w:r>
        <w:rPr>
          <w:rFonts w:hint="eastAsia"/>
          <w:lang w:eastAsia="zh-CN"/>
        </w:rPr>
        <w:t>04</w:t>
      </w:r>
      <w:r>
        <w:rPr>
          <w:rFonts w:hint="eastAsia"/>
          <w:lang w:eastAsia="zh-CN"/>
        </w:rPr>
        <w:t>（修订于</w:t>
      </w:r>
      <w:r>
        <w:rPr>
          <w:rFonts w:hint="eastAsia"/>
          <w:lang w:eastAsia="zh-CN"/>
        </w:rPr>
        <w:t>2003</w:t>
      </w:r>
      <w:r>
        <w:rPr>
          <w:rFonts w:hint="eastAsia"/>
          <w:lang w:eastAsia="zh-CN"/>
        </w:rPr>
        <w:t>年布拉迪斯拉发，</w:t>
      </w:r>
      <w:r>
        <w:rPr>
          <w:rFonts w:hint="eastAsia"/>
          <w:lang w:eastAsia="zh-CN"/>
        </w:rPr>
        <w:t>2007</w:t>
      </w:r>
      <w:r>
        <w:rPr>
          <w:rFonts w:hint="eastAsia"/>
          <w:lang w:eastAsia="zh-CN"/>
        </w:rPr>
        <w:t>年赫尔辛基），也可供参考。</w:t>
      </w:r>
    </w:p>
    <w:p w:rsidR="00E03965" w:rsidRDefault="00E03965" w:rsidP="009D7D92">
      <w:pPr>
        <w:rPr>
          <w:lang w:eastAsia="zh-CN"/>
        </w:rPr>
      </w:pPr>
      <w:r>
        <w:rPr>
          <w:rFonts w:hint="eastAsia"/>
          <w:lang w:eastAsia="zh-CN"/>
        </w:rPr>
        <w:t>7.5.3</w:t>
      </w:r>
      <w:r>
        <w:rPr>
          <w:rFonts w:hint="eastAsia"/>
          <w:lang w:eastAsia="zh-CN"/>
        </w:rPr>
        <w:tab/>
      </w:r>
      <w:r>
        <w:rPr>
          <w:rFonts w:hint="eastAsia"/>
          <w:lang w:eastAsia="zh-CN"/>
        </w:rPr>
        <w:t>国际电联监测手册第</w:t>
      </w:r>
      <w:r>
        <w:rPr>
          <w:rFonts w:hint="eastAsia"/>
          <w:lang w:eastAsia="zh-CN"/>
        </w:rPr>
        <w:t>5.6</w:t>
      </w:r>
      <w:r>
        <w:rPr>
          <w:rFonts w:hint="eastAsia"/>
          <w:lang w:eastAsia="zh-CN"/>
        </w:rPr>
        <w:t>章介绍了测量程序，其中解释了站址选择、设备定位、防护、使用的设备、不确定性和报告格式。</w:t>
      </w:r>
    </w:p>
    <w:p w:rsidR="00E03965" w:rsidRDefault="00E03965" w:rsidP="00E03965">
      <w:pPr>
        <w:rPr>
          <w:lang w:eastAsia="zh-CN"/>
        </w:rPr>
      </w:pPr>
      <w:r>
        <w:rPr>
          <w:rFonts w:hint="eastAsia"/>
          <w:lang w:eastAsia="zh-CN"/>
        </w:rPr>
        <w:t>7.5.4</w:t>
      </w:r>
      <w:r>
        <w:rPr>
          <w:rFonts w:hint="eastAsia"/>
          <w:lang w:eastAsia="zh-CN"/>
        </w:rPr>
        <w:tab/>
      </w:r>
      <w:r>
        <w:rPr>
          <w:rFonts w:hint="eastAsia"/>
          <w:lang w:eastAsia="zh-CN"/>
        </w:rPr>
        <w:t>建议制定一些有关在任何国家或区域移动手机流通控制的指导原则，以避免出现不兼容或不遵守规定的设备。</w:t>
      </w:r>
    </w:p>
    <w:p w:rsidR="00E03965" w:rsidRDefault="00E03965" w:rsidP="00E03965">
      <w:pPr>
        <w:rPr>
          <w:lang w:eastAsia="zh-CN"/>
        </w:rPr>
      </w:pPr>
      <w:r>
        <w:rPr>
          <w:rFonts w:hint="eastAsia"/>
          <w:lang w:eastAsia="zh-CN"/>
        </w:rPr>
        <w:t>7.5.5</w:t>
      </w:r>
      <w:r>
        <w:rPr>
          <w:rFonts w:hint="eastAsia"/>
          <w:lang w:eastAsia="zh-CN"/>
        </w:rPr>
        <w:tab/>
      </w:r>
      <w:r>
        <w:rPr>
          <w:rFonts w:hint="eastAsia"/>
          <w:lang w:eastAsia="zh-CN"/>
        </w:rPr>
        <w:t>建议和一致性监测一样，定期进行辐射测量。各国也应鼓励共址和基础设施共享，以便减少不必要的天线架设，并减少人体暴露和接收到有害效应。</w:t>
      </w:r>
    </w:p>
    <w:p w:rsidR="00E03965" w:rsidRDefault="00E03965" w:rsidP="009D7D92">
      <w:pPr>
        <w:pStyle w:val="Heading1"/>
        <w:rPr>
          <w:lang w:eastAsia="zh-CN"/>
        </w:rPr>
      </w:pPr>
      <w:bookmarkStart w:id="27" w:name="_Toc377132359"/>
      <w:r>
        <w:rPr>
          <w:rFonts w:hint="eastAsia"/>
          <w:lang w:eastAsia="zh-CN"/>
        </w:rPr>
        <w:lastRenderedPageBreak/>
        <w:t>8</w:t>
      </w:r>
      <w:r>
        <w:rPr>
          <w:rFonts w:hint="eastAsia"/>
          <w:lang w:eastAsia="zh-CN"/>
        </w:rPr>
        <w:tab/>
      </w:r>
      <w:r>
        <w:rPr>
          <w:rFonts w:ascii="SimSun" w:eastAsia="SimSun" w:hAnsi="SimSun" w:cs="SimSun" w:hint="eastAsia"/>
          <w:lang w:eastAsia="zh-CN"/>
        </w:rPr>
        <w:t>结论</w:t>
      </w:r>
      <w:bookmarkEnd w:id="27"/>
    </w:p>
    <w:p w:rsidR="00E03965" w:rsidRDefault="00E03965" w:rsidP="00E03965">
      <w:pPr>
        <w:rPr>
          <w:lang w:eastAsia="zh-CN"/>
        </w:rPr>
      </w:pPr>
      <w:r>
        <w:rPr>
          <w:rFonts w:hint="eastAsia"/>
          <w:lang w:eastAsia="zh-CN"/>
        </w:rPr>
        <w:t>8.1</w:t>
      </w:r>
      <w:r>
        <w:rPr>
          <w:rFonts w:hint="eastAsia"/>
          <w:lang w:eastAsia="zh-CN"/>
        </w:rPr>
        <w:tab/>
      </w:r>
      <w:r>
        <w:rPr>
          <w:rFonts w:hint="eastAsia"/>
          <w:lang w:eastAsia="zh-CN"/>
        </w:rPr>
        <w:t>发布公众可查阅的报告非常重要。这可以通过使用该国现有媒体渠道来实现。有必要对测量和计算得到的量进行比较。如果测量或计算所得的值高于</w:t>
      </w:r>
      <w:r>
        <w:rPr>
          <w:rFonts w:hint="eastAsia"/>
          <w:lang w:eastAsia="zh-CN"/>
        </w:rPr>
        <w:t>ICNIRP</w:t>
      </w:r>
      <w:r>
        <w:rPr>
          <w:rFonts w:hint="eastAsia"/>
          <w:lang w:eastAsia="zh-CN"/>
        </w:rPr>
        <w:t>电平，则应在报告中特别提及并应根据现行的规则采取适当的行动。</w:t>
      </w:r>
    </w:p>
    <w:p w:rsidR="00E03965" w:rsidRDefault="00E03965" w:rsidP="00E03965">
      <w:pPr>
        <w:rPr>
          <w:lang w:eastAsia="zh-CN"/>
        </w:rPr>
      </w:pPr>
      <w:r>
        <w:rPr>
          <w:rFonts w:hint="eastAsia"/>
          <w:lang w:eastAsia="zh-CN"/>
        </w:rPr>
        <w:t>8.2</w:t>
      </w:r>
      <w:r>
        <w:rPr>
          <w:rFonts w:hint="eastAsia"/>
          <w:lang w:eastAsia="zh-CN"/>
        </w:rPr>
        <w:tab/>
      </w:r>
      <w:r>
        <w:rPr>
          <w:rFonts w:hint="eastAsia"/>
          <w:lang w:eastAsia="zh-CN"/>
        </w:rPr>
        <w:t>建议一个全面的测量报告也应包含以下信息：</w:t>
      </w:r>
    </w:p>
    <w:p w:rsidR="00E03965" w:rsidRDefault="00167EA6" w:rsidP="00E03965">
      <w:pPr>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测量的宗旨与目的；</w:t>
      </w:r>
    </w:p>
    <w:p w:rsidR="00E03965" w:rsidRDefault="00167EA6" w:rsidP="00E03965">
      <w:pPr>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日期、开始和停止时间；</w:t>
      </w:r>
    </w:p>
    <w:p w:rsidR="00E03965" w:rsidRDefault="00167EA6" w:rsidP="00E03965">
      <w:pPr>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地理坐标、高过地平的高度，以及测量地点的具体特征；</w:t>
      </w:r>
    </w:p>
    <w:p w:rsidR="00E03965" w:rsidRDefault="00167EA6" w:rsidP="00E03965">
      <w:pPr>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确定发射机的列表；</w:t>
      </w:r>
    </w:p>
    <w:p w:rsidR="00E03965" w:rsidRDefault="00167EA6" w:rsidP="00E03965">
      <w:pPr>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所用的测量设备，其序列号和校准状态；</w:t>
      </w:r>
    </w:p>
    <w:p w:rsidR="00E03965" w:rsidRDefault="00167EA6" w:rsidP="00E03965">
      <w:pPr>
        <w:rPr>
          <w:lang w:eastAsia="zh-CN"/>
        </w:rPr>
      </w:pPr>
      <w:r w:rsidRPr="00167EA6">
        <w:rPr>
          <w:lang w:eastAsia="zh-CN"/>
        </w:rPr>
        <w:t>–</w:t>
      </w:r>
      <w:r w:rsidR="00E03965" w:rsidRPr="00167EA6">
        <w:rPr>
          <w:rFonts w:asciiTheme="minorHAnsi" w:hAnsiTheme="minorHAnsi"/>
          <w:lang w:eastAsia="zh-CN"/>
        </w:rPr>
        <w:tab/>
      </w:r>
      <w:r w:rsidR="004456DA">
        <w:rPr>
          <w:rFonts w:hint="eastAsia"/>
          <w:lang w:eastAsia="zh-CN"/>
        </w:rPr>
        <w:t>测量的不确定性；</w:t>
      </w:r>
    </w:p>
    <w:p w:rsidR="00E03965" w:rsidRDefault="00167EA6" w:rsidP="00E03965">
      <w:pPr>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测量协议或标准；温度或天气条件包括湿度。</w:t>
      </w:r>
      <w:r w:rsidR="00FC2028">
        <w:rPr>
          <w:rStyle w:val="FootnoteReference"/>
          <w:lang w:eastAsia="zh-CN"/>
        </w:rPr>
        <w:footnoteReference w:id="18"/>
      </w:r>
      <w:r w:rsidR="00E03965">
        <w:rPr>
          <w:rFonts w:hint="eastAsia"/>
          <w:lang w:eastAsia="zh-CN"/>
        </w:rPr>
        <w:t xml:space="preserve"> </w:t>
      </w:r>
    </w:p>
    <w:p w:rsidR="00E03965" w:rsidRDefault="00E03965" w:rsidP="00E03965">
      <w:pPr>
        <w:rPr>
          <w:lang w:eastAsia="zh-CN"/>
        </w:rPr>
      </w:pPr>
      <w:r>
        <w:rPr>
          <w:rFonts w:hint="eastAsia"/>
          <w:lang w:eastAsia="zh-CN"/>
        </w:rPr>
        <w:t>8.3</w:t>
      </w:r>
      <w:r>
        <w:rPr>
          <w:rFonts w:hint="eastAsia"/>
          <w:lang w:eastAsia="zh-CN"/>
        </w:rPr>
        <w:tab/>
      </w:r>
      <w:r>
        <w:rPr>
          <w:rFonts w:hint="eastAsia"/>
          <w:lang w:eastAsia="zh-CN"/>
        </w:rPr>
        <w:t>此外，为提高报告的可理解度，以地图、图表和相片等图示方式来表达会有更好的效果。测量结果可以连同主发射机的位置或相对位置以及所在区域如学校、医院和房间来表</w:t>
      </w:r>
      <w:r w:rsidR="000553C2">
        <w:rPr>
          <w:lang w:val="en-US" w:eastAsia="zh-CN"/>
        </w:rPr>
        <w:br/>
      </w:r>
      <w:r>
        <w:rPr>
          <w:rFonts w:hint="eastAsia"/>
          <w:lang w:eastAsia="zh-CN"/>
        </w:rPr>
        <w:t>述。</w:t>
      </w:r>
      <w:r w:rsidR="00FC2028">
        <w:rPr>
          <w:rStyle w:val="FootnoteReference"/>
          <w:lang w:eastAsia="zh-CN"/>
        </w:rPr>
        <w:footnoteReference w:id="19"/>
      </w:r>
      <w:r>
        <w:rPr>
          <w:rFonts w:hint="eastAsia"/>
          <w:lang w:eastAsia="zh-CN"/>
        </w:rPr>
        <w:t xml:space="preserve"> </w:t>
      </w:r>
    </w:p>
    <w:p w:rsidR="00E03965" w:rsidRDefault="00E03965" w:rsidP="00E03965">
      <w:pPr>
        <w:rPr>
          <w:lang w:eastAsia="zh-CN"/>
        </w:rPr>
      </w:pPr>
      <w:r>
        <w:rPr>
          <w:rFonts w:hint="eastAsia"/>
          <w:lang w:eastAsia="zh-CN"/>
        </w:rPr>
        <w:t>8.4</w:t>
      </w:r>
      <w:r>
        <w:rPr>
          <w:rFonts w:hint="eastAsia"/>
          <w:lang w:eastAsia="zh-CN"/>
        </w:rPr>
        <w:tab/>
      </w:r>
      <w:r>
        <w:rPr>
          <w:rFonts w:hint="eastAsia"/>
          <w:lang w:eastAsia="zh-CN"/>
        </w:rPr>
        <w:t>在提高公众意识方面，有必要向公众提供</w:t>
      </w:r>
      <w:r>
        <w:rPr>
          <w:rFonts w:hint="eastAsia"/>
          <w:lang w:eastAsia="zh-CN"/>
        </w:rPr>
        <w:t>EMF</w:t>
      </w:r>
      <w:r>
        <w:rPr>
          <w:rFonts w:hint="eastAsia"/>
          <w:lang w:eastAsia="zh-CN"/>
        </w:rPr>
        <w:t>产品的信息来降低有关有害暴露的认识。公众可以了解有关进口</w:t>
      </w:r>
      <w:r>
        <w:rPr>
          <w:rFonts w:hint="eastAsia"/>
          <w:lang w:eastAsia="zh-CN"/>
        </w:rPr>
        <w:t>EMF</w:t>
      </w:r>
      <w:r>
        <w:rPr>
          <w:rFonts w:hint="eastAsia"/>
          <w:lang w:eastAsia="zh-CN"/>
        </w:rPr>
        <w:t>测量设备进入该国提供</w:t>
      </w:r>
      <w:r>
        <w:rPr>
          <w:rFonts w:hint="eastAsia"/>
          <w:lang w:eastAsia="zh-CN"/>
        </w:rPr>
        <w:t>SAR</w:t>
      </w:r>
      <w:r>
        <w:rPr>
          <w:rFonts w:hint="eastAsia"/>
          <w:lang w:eastAsia="zh-CN"/>
        </w:rPr>
        <w:t>的信息。在此方面，在相邻国家进行区域协调可以有助于控制这些设备的非法交易，从而只允许授权产品进入该国。</w:t>
      </w:r>
    </w:p>
    <w:p w:rsidR="00E03965" w:rsidRDefault="00E03965" w:rsidP="00E03965">
      <w:pPr>
        <w:rPr>
          <w:lang w:eastAsia="zh-CN"/>
        </w:rPr>
      </w:pPr>
      <w:r>
        <w:rPr>
          <w:rFonts w:hint="eastAsia"/>
          <w:lang w:eastAsia="zh-CN"/>
        </w:rPr>
        <w:t>8.5</w:t>
      </w:r>
      <w:r>
        <w:rPr>
          <w:rFonts w:hint="eastAsia"/>
          <w:lang w:eastAsia="zh-CN"/>
        </w:rPr>
        <w:tab/>
      </w:r>
      <w:r>
        <w:rPr>
          <w:rFonts w:hint="eastAsia"/>
          <w:lang w:eastAsia="zh-CN"/>
        </w:rPr>
        <w:t>要注意的是在业务提供商安装的基站和个人使用的手持移动电话之间有不同之处。这些设备的控制是在不同层面上的（业务提供商和客户），这要求在业务提供商和客户之间加强协调和信息共享。因此建议每个手持机的</w:t>
      </w:r>
      <w:r>
        <w:rPr>
          <w:rFonts w:hint="eastAsia"/>
          <w:lang w:eastAsia="zh-CN"/>
        </w:rPr>
        <w:t>SAR</w:t>
      </w:r>
      <w:r>
        <w:rPr>
          <w:rFonts w:hint="eastAsia"/>
          <w:lang w:eastAsia="zh-CN"/>
        </w:rPr>
        <w:t>都要提供给公众</w:t>
      </w:r>
      <w:r>
        <w:rPr>
          <w:rFonts w:hint="eastAsia"/>
          <w:lang w:eastAsia="zh-CN"/>
        </w:rPr>
        <w:t xml:space="preserve"> </w:t>
      </w:r>
      <w:r w:rsidR="00FC2028">
        <w:rPr>
          <w:rStyle w:val="FootnoteReference"/>
          <w:lang w:eastAsia="zh-CN"/>
        </w:rPr>
        <w:footnoteReference w:id="20"/>
      </w:r>
      <w:r>
        <w:rPr>
          <w:rFonts w:hint="eastAsia"/>
          <w:lang w:eastAsia="zh-CN"/>
        </w:rPr>
        <w:t>以便做出知情的选择。</w:t>
      </w:r>
    </w:p>
    <w:p w:rsidR="00E03965" w:rsidRDefault="00E03965" w:rsidP="009D7D92">
      <w:pPr>
        <w:pStyle w:val="Heading1"/>
        <w:rPr>
          <w:lang w:eastAsia="zh-CN"/>
        </w:rPr>
      </w:pPr>
      <w:bookmarkStart w:id="28" w:name="_Toc377132360"/>
      <w:r>
        <w:rPr>
          <w:rFonts w:hint="eastAsia"/>
          <w:lang w:eastAsia="zh-CN"/>
        </w:rPr>
        <w:t>9</w:t>
      </w:r>
      <w:r>
        <w:rPr>
          <w:rFonts w:hint="eastAsia"/>
          <w:lang w:eastAsia="zh-CN"/>
        </w:rPr>
        <w:tab/>
      </w:r>
      <w:r>
        <w:rPr>
          <w:rFonts w:ascii="SimSun" w:eastAsia="SimSun" w:hAnsi="SimSun" w:cs="SimSun" w:hint="eastAsia"/>
          <w:lang w:eastAsia="zh-CN"/>
        </w:rPr>
        <w:t>指导原则</w:t>
      </w:r>
      <w:bookmarkEnd w:id="28"/>
    </w:p>
    <w:p w:rsidR="00E03965" w:rsidRDefault="00E03965" w:rsidP="00412A25">
      <w:pPr>
        <w:pStyle w:val="Heading2"/>
        <w:rPr>
          <w:lang w:eastAsia="zh-CN"/>
        </w:rPr>
      </w:pPr>
      <w:bookmarkStart w:id="29" w:name="_Toc377132361"/>
      <w:r>
        <w:rPr>
          <w:rFonts w:hint="eastAsia"/>
          <w:lang w:eastAsia="zh-CN"/>
        </w:rPr>
        <w:t>9.1</w:t>
      </w:r>
      <w:r>
        <w:rPr>
          <w:rFonts w:hint="eastAsia"/>
          <w:lang w:eastAsia="zh-CN"/>
        </w:rPr>
        <w:tab/>
      </w:r>
      <w:r>
        <w:rPr>
          <w:rFonts w:hint="eastAsia"/>
          <w:lang w:eastAsia="zh-CN"/>
        </w:rPr>
        <w:t>指导原则的范围</w:t>
      </w:r>
      <w:bookmarkEnd w:id="29"/>
    </w:p>
    <w:p w:rsidR="00E03965" w:rsidRDefault="00E03965" w:rsidP="00E03965">
      <w:pPr>
        <w:rPr>
          <w:lang w:eastAsia="zh-CN"/>
        </w:rPr>
      </w:pPr>
      <w:r>
        <w:rPr>
          <w:rFonts w:hint="eastAsia"/>
          <w:lang w:eastAsia="zh-CN"/>
        </w:rPr>
        <w:t>本导则预期涵盖以下范围：</w:t>
      </w:r>
    </w:p>
    <w:p w:rsidR="00E03965" w:rsidRDefault="00E03965" w:rsidP="00E03965">
      <w:pPr>
        <w:rPr>
          <w:lang w:eastAsia="zh-CN"/>
        </w:rPr>
      </w:pPr>
      <w:r>
        <w:rPr>
          <w:rFonts w:hint="eastAsia"/>
          <w:lang w:eastAsia="zh-CN"/>
        </w:rPr>
        <w:t>9.1.1</w:t>
      </w:r>
      <w:r>
        <w:rPr>
          <w:rFonts w:hint="eastAsia"/>
          <w:lang w:eastAsia="zh-CN"/>
        </w:rPr>
        <w:tab/>
      </w:r>
      <w:r>
        <w:rPr>
          <w:rFonts w:hint="eastAsia"/>
          <w:lang w:eastAsia="zh-CN"/>
        </w:rPr>
        <w:t>与人体电磁场暴露相关的监管政策，这些政策将在授权安装无线电通信站址时加以考虑或采用。</w:t>
      </w:r>
    </w:p>
    <w:p w:rsidR="00E03965" w:rsidRDefault="00E03965" w:rsidP="00E03965">
      <w:pPr>
        <w:rPr>
          <w:lang w:eastAsia="zh-CN"/>
        </w:rPr>
      </w:pPr>
      <w:r>
        <w:rPr>
          <w:rFonts w:hint="eastAsia"/>
          <w:lang w:eastAsia="zh-CN"/>
        </w:rPr>
        <w:lastRenderedPageBreak/>
        <w:t>9.1.2</w:t>
      </w:r>
      <w:r>
        <w:rPr>
          <w:rFonts w:hint="eastAsia"/>
          <w:lang w:eastAsia="zh-CN"/>
        </w:rPr>
        <w:tab/>
      </w:r>
      <w:r>
        <w:rPr>
          <w:rFonts w:hint="eastAsia"/>
          <w:lang w:eastAsia="zh-CN"/>
        </w:rPr>
        <w:t>描述用于就无线电通信系统造成的电磁场的影响这一问题提高公众认识并向其传播相关信息的战略和方法。</w:t>
      </w:r>
    </w:p>
    <w:p w:rsidR="00E03965" w:rsidRDefault="00E03965" w:rsidP="00412A25">
      <w:pPr>
        <w:pStyle w:val="Heading2"/>
        <w:rPr>
          <w:lang w:eastAsia="zh-CN"/>
        </w:rPr>
      </w:pPr>
      <w:bookmarkStart w:id="30" w:name="_Toc377132362"/>
      <w:r>
        <w:rPr>
          <w:rFonts w:hint="eastAsia"/>
          <w:lang w:eastAsia="zh-CN"/>
        </w:rPr>
        <w:t>9.2</w:t>
      </w:r>
      <w:r>
        <w:rPr>
          <w:rFonts w:hint="eastAsia"/>
          <w:lang w:eastAsia="zh-CN"/>
        </w:rPr>
        <w:tab/>
      </w:r>
      <w:r>
        <w:rPr>
          <w:rFonts w:hint="eastAsia"/>
          <w:lang w:eastAsia="zh-CN"/>
        </w:rPr>
        <w:t>导则的目标</w:t>
      </w:r>
      <w:bookmarkEnd w:id="30"/>
    </w:p>
    <w:p w:rsidR="00E03965" w:rsidRDefault="00E03965" w:rsidP="00E03965">
      <w:pPr>
        <w:rPr>
          <w:lang w:eastAsia="zh-CN"/>
        </w:rPr>
      </w:pPr>
      <w:r>
        <w:rPr>
          <w:rFonts w:hint="eastAsia"/>
          <w:lang w:eastAsia="zh-CN"/>
        </w:rPr>
        <w:t>9.2.1</w:t>
      </w:r>
      <w:r>
        <w:rPr>
          <w:rFonts w:hint="eastAsia"/>
          <w:lang w:eastAsia="zh-CN"/>
        </w:rPr>
        <w:tab/>
      </w:r>
      <w:r>
        <w:rPr>
          <w:rFonts w:hint="eastAsia"/>
          <w:lang w:eastAsia="zh-CN"/>
        </w:rPr>
        <w:t>本导则是为指导成员国建立有关人体电磁场暴露的认识。</w:t>
      </w:r>
    </w:p>
    <w:p w:rsidR="00E03965" w:rsidRDefault="00E03965" w:rsidP="00E03965">
      <w:pPr>
        <w:rPr>
          <w:lang w:eastAsia="zh-CN"/>
        </w:rPr>
      </w:pPr>
      <w:r>
        <w:rPr>
          <w:rFonts w:hint="eastAsia"/>
          <w:lang w:eastAsia="zh-CN"/>
        </w:rPr>
        <w:t>导则提供以下内容：</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技术参数方面的信息（如，辐射限值、距离、天线伸出屋顶的高度）；</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证明塔式设施安全性的科学结果；</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有关如何处理敏感地区（如学校和医院）的细节；</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监测设施遵守辐射限值的情况；以及</w:t>
      </w:r>
    </w:p>
    <w:p w:rsidR="00E03965" w:rsidRDefault="00167EA6" w:rsidP="009D7D92">
      <w:pPr>
        <w:pStyle w:val="Enumlevel1"/>
        <w:rPr>
          <w:lang w:eastAsia="zh-CN"/>
        </w:rPr>
      </w:pPr>
      <w:r w:rsidRPr="00167EA6">
        <w:rPr>
          <w:lang w:eastAsia="zh-CN"/>
        </w:rPr>
        <w:t>–</w:t>
      </w:r>
      <w:r w:rsidR="00E03965" w:rsidRPr="00167EA6">
        <w:rPr>
          <w:rFonts w:asciiTheme="minorHAnsi" w:hAnsiTheme="minorHAnsi"/>
          <w:lang w:eastAsia="zh-CN"/>
        </w:rPr>
        <w:tab/>
      </w:r>
      <w:r w:rsidR="00E03965">
        <w:rPr>
          <w:rFonts w:hint="eastAsia"/>
          <w:lang w:eastAsia="zh-CN"/>
        </w:rPr>
        <w:t>测量辐射水平的程序。</w:t>
      </w:r>
    </w:p>
    <w:p w:rsidR="00E03965" w:rsidRDefault="00E03965" w:rsidP="00412A25">
      <w:pPr>
        <w:pStyle w:val="Heading2"/>
        <w:rPr>
          <w:lang w:eastAsia="zh-CN"/>
        </w:rPr>
      </w:pPr>
      <w:bookmarkStart w:id="31" w:name="_Toc377132363"/>
      <w:r>
        <w:rPr>
          <w:rFonts w:hint="eastAsia"/>
          <w:lang w:eastAsia="zh-CN"/>
        </w:rPr>
        <w:t>9.3</w:t>
      </w:r>
      <w:r>
        <w:rPr>
          <w:rFonts w:hint="eastAsia"/>
          <w:lang w:eastAsia="zh-CN"/>
        </w:rPr>
        <w:tab/>
      </w:r>
      <w:r>
        <w:rPr>
          <w:rFonts w:hint="eastAsia"/>
          <w:lang w:eastAsia="zh-CN"/>
        </w:rPr>
        <w:t>导则制定原则</w:t>
      </w:r>
      <w:bookmarkEnd w:id="31"/>
    </w:p>
    <w:p w:rsidR="00E03965" w:rsidRDefault="00E03965" w:rsidP="00E03965">
      <w:pPr>
        <w:rPr>
          <w:lang w:eastAsia="zh-CN"/>
        </w:rPr>
      </w:pPr>
      <w:r>
        <w:rPr>
          <w:rFonts w:hint="eastAsia"/>
          <w:lang w:eastAsia="zh-CN"/>
        </w:rPr>
        <w:t>有关电磁场辐射和人体暴露的主要原则如下：</w:t>
      </w:r>
    </w:p>
    <w:p w:rsidR="00E03965" w:rsidRDefault="00E03965" w:rsidP="00E03965">
      <w:pPr>
        <w:rPr>
          <w:lang w:eastAsia="zh-CN"/>
        </w:rPr>
      </w:pPr>
      <w:r>
        <w:rPr>
          <w:rFonts w:hint="eastAsia"/>
          <w:lang w:eastAsia="zh-CN"/>
        </w:rPr>
        <w:t>9.3.1</w:t>
      </w:r>
      <w:r>
        <w:rPr>
          <w:rFonts w:hint="eastAsia"/>
          <w:lang w:eastAsia="zh-CN"/>
        </w:rPr>
        <w:tab/>
      </w:r>
      <w:r>
        <w:rPr>
          <w:rFonts w:hint="eastAsia"/>
          <w:lang w:eastAsia="zh-CN"/>
        </w:rPr>
        <w:t>遵守有关电磁场限制的国际电联建议书；</w:t>
      </w:r>
    </w:p>
    <w:p w:rsidR="00E03965" w:rsidRDefault="00E03965" w:rsidP="00E03965">
      <w:pPr>
        <w:rPr>
          <w:lang w:eastAsia="zh-CN"/>
        </w:rPr>
      </w:pPr>
      <w:r>
        <w:rPr>
          <w:rFonts w:hint="eastAsia"/>
          <w:lang w:eastAsia="zh-CN"/>
        </w:rPr>
        <w:t>9.3.2</w:t>
      </w:r>
      <w:r>
        <w:rPr>
          <w:rFonts w:hint="eastAsia"/>
          <w:lang w:eastAsia="zh-CN"/>
        </w:rPr>
        <w:tab/>
      </w:r>
      <w:r>
        <w:rPr>
          <w:rFonts w:hint="eastAsia"/>
          <w:lang w:eastAsia="zh-CN"/>
        </w:rPr>
        <w:t>遵守</w:t>
      </w:r>
      <w:r>
        <w:rPr>
          <w:rFonts w:hint="eastAsia"/>
          <w:lang w:eastAsia="zh-CN"/>
        </w:rPr>
        <w:t>ICNIRP</w:t>
      </w:r>
      <w:r>
        <w:rPr>
          <w:rFonts w:hint="eastAsia"/>
          <w:lang w:eastAsia="zh-CN"/>
        </w:rPr>
        <w:t>导则和拟议目标；</w:t>
      </w:r>
    </w:p>
    <w:p w:rsidR="00E03965" w:rsidRDefault="00E03965" w:rsidP="00E03965">
      <w:pPr>
        <w:rPr>
          <w:lang w:eastAsia="zh-CN"/>
        </w:rPr>
      </w:pPr>
      <w:r>
        <w:rPr>
          <w:rFonts w:hint="eastAsia"/>
          <w:lang w:eastAsia="zh-CN"/>
        </w:rPr>
        <w:t>9.3.3</w:t>
      </w:r>
      <w:r>
        <w:rPr>
          <w:rFonts w:hint="eastAsia"/>
          <w:lang w:eastAsia="zh-CN"/>
        </w:rPr>
        <w:tab/>
      </w:r>
      <w:r>
        <w:rPr>
          <w:rFonts w:hint="eastAsia"/>
          <w:lang w:eastAsia="zh-CN"/>
        </w:rPr>
        <w:t>遵守世卫组织、劳工组织、</w:t>
      </w:r>
      <w:r>
        <w:rPr>
          <w:rFonts w:hint="eastAsia"/>
          <w:lang w:eastAsia="zh-CN"/>
        </w:rPr>
        <w:t>ICNIRP</w:t>
      </w:r>
      <w:r>
        <w:rPr>
          <w:rFonts w:hint="eastAsia"/>
          <w:lang w:eastAsia="zh-CN"/>
        </w:rPr>
        <w:t>和联合国环境署的建议（书）；</w:t>
      </w:r>
    </w:p>
    <w:p w:rsidR="00E03965" w:rsidRDefault="00E03965" w:rsidP="00E03965">
      <w:pPr>
        <w:rPr>
          <w:lang w:eastAsia="zh-CN"/>
        </w:rPr>
      </w:pPr>
      <w:r>
        <w:rPr>
          <w:rFonts w:hint="eastAsia"/>
          <w:lang w:eastAsia="zh-CN"/>
        </w:rPr>
        <w:t>9.3.4</w:t>
      </w:r>
      <w:r>
        <w:rPr>
          <w:rFonts w:hint="eastAsia"/>
          <w:lang w:eastAsia="zh-CN"/>
        </w:rPr>
        <w:tab/>
      </w:r>
      <w:r>
        <w:rPr>
          <w:rFonts w:hint="eastAsia"/>
          <w:lang w:eastAsia="zh-CN"/>
        </w:rPr>
        <w:t>必须向公众告知有关任何通信设备造成的电磁场的测量结果；</w:t>
      </w:r>
    </w:p>
    <w:p w:rsidR="00E03965" w:rsidRDefault="00E03965" w:rsidP="00E03965">
      <w:pPr>
        <w:rPr>
          <w:lang w:eastAsia="zh-CN"/>
        </w:rPr>
      </w:pPr>
      <w:r>
        <w:rPr>
          <w:rFonts w:hint="eastAsia"/>
          <w:lang w:eastAsia="zh-CN"/>
        </w:rPr>
        <w:t>9.3.5</w:t>
      </w:r>
      <w:r>
        <w:rPr>
          <w:rFonts w:hint="eastAsia"/>
          <w:lang w:eastAsia="zh-CN"/>
        </w:rPr>
        <w:tab/>
      </w:r>
      <w:r>
        <w:rPr>
          <w:rFonts w:hint="eastAsia"/>
          <w:lang w:eastAsia="zh-CN"/>
        </w:rPr>
        <w:t>公布的报告应写明不应超过的辐射最低要求；以及</w:t>
      </w:r>
    </w:p>
    <w:p w:rsidR="00E03965" w:rsidRDefault="00E03965" w:rsidP="00E03965">
      <w:pPr>
        <w:rPr>
          <w:lang w:eastAsia="zh-CN"/>
        </w:rPr>
      </w:pPr>
      <w:r>
        <w:rPr>
          <w:rFonts w:hint="eastAsia"/>
          <w:lang w:eastAsia="zh-CN"/>
        </w:rPr>
        <w:t>9.3.6</w:t>
      </w:r>
      <w:r>
        <w:rPr>
          <w:rFonts w:hint="eastAsia"/>
          <w:lang w:eastAsia="zh-CN"/>
        </w:rPr>
        <w:tab/>
      </w:r>
      <w:r>
        <w:rPr>
          <w:rFonts w:hint="eastAsia"/>
          <w:lang w:eastAsia="zh-CN"/>
        </w:rPr>
        <w:t>在医院、学校和人口密集地区一类的区域部署无线电通信设备时应格外注意。</w:t>
      </w:r>
    </w:p>
    <w:p w:rsidR="00E03965" w:rsidRDefault="00E03965" w:rsidP="00412A25">
      <w:pPr>
        <w:pStyle w:val="Heading2"/>
        <w:rPr>
          <w:lang w:eastAsia="zh-CN"/>
        </w:rPr>
      </w:pPr>
      <w:bookmarkStart w:id="32" w:name="_Toc377132364"/>
      <w:r>
        <w:rPr>
          <w:rFonts w:hint="eastAsia"/>
          <w:lang w:eastAsia="zh-CN"/>
        </w:rPr>
        <w:t>9.4</w:t>
      </w:r>
      <w:r>
        <w:rPr>
          <w:rFonts w:hint="eastAsia"/>
          <w:lang w:eastAsia="zh-CN"/>
        </w:rPr>
        <w:tab/>
      </w:r>
      <w:r>
        <w:rPr>
          <w:rFonts w:hint="eastAsia"/>
          <w:lang w:eastAsia="zh-CN"/>
        </w:rPr>
        <w:t>电磁场辐射相关运营商的义务</w:t>
      </w:r>
      <w:bookmarkEnd w:id="32"/>
    </w:p>
    <w:p w:rsidR="00E03965" w:rsidRDefault="00E03965" w:rsidP="00E03965">
      <w:pPr>
        <w:rPr>
          <w:lang w:eastAsia="zh-CN"/>
        </w:rPr>
      </w:pPr>
      <w:r>
        <w:rPr>
          <w:rFonts w:hint="eastAsia"/>
          <w:lang w:eastAsia="zh-CN"/>
        </w:rPr>
        <w:t>在部署通信设备时，运营商应确保：</w:t>
      </w:r>
    </w:p>
    <w:p w:rsidR="00E03965" w:rsidRDefault="00E03965" w:rsidP="00E03965">
      <w:pPr>
        <w:rPr>
          <w:lang w:eastAsia="zh-CN"/>
        </w:rPr>
      </w:pPr>
      <w:r>
        <w:rPr>
          <w:rFonts w:hint="eastAsia"/>
          <w:lang w:eastAsia="zh-CN"/>
        </w:rPr>
        <w:t>9.4.1</w:t>
      </w:r>
      <w:r>
        <w:rPr>
          <w:rFonts w:hint="eastAsia"/>
          <w:lang w:eastAsia="zh-CN"/>
        </w:rPr>
        <w:tab/>
      </w:r>
      <w:r>
        <w:rPr>
          <w:rFonts w:hint="eastAsia"/>
          <w:lang w:eastAsia="zh-CN"/>
        </w:rPr>
        <w:t>不超过辐射限值；</w:t>
      </w:r>
    </w:p>
    <w:p w:rsidR="00E03965" w:rsidRDefault="00E03965" w:rsidP="00E03965">
      <w:pPr>
        <w:rPr>
          <w:lang w:eastAsia="zh-CN"/>
        </w:rPr>
      </w:pPr>
      <w:r>
        <w:rPr>
          <w:rFonts w:hint="eastAsia"/>
          <w:lang w:eastAsia="zh-CN"/>
        </w:rPr>
        <w:t>9.4.2</w:t>
      </w:r>
      <w:r>
        <w:rPr>
          <w:rFonts w:hint="eastAsia"/>
          <w:lang w:eastAsia="zh-CN"/>
        </w:rPr>
        <w:tab/>
      </w:r>
      <w:r>
        <w:rPr>
          <w:rFonts w:hint="eastAsia"/>
          <w:lang w:eastAsia="zh-CN"/>
        </w:rPr>
        <w:t>不超过距离限值；</w:t>
      </w:r>
    </w:p>
    <w:p w:rsidR="00E03965" w:rsidRDefault="00E03965" w:rsidP="00E03965">
      <w:pPr>
        <w:rPr>
          <w:lang w:eastAsia="zh-CN"/>
        </w:rPr>
      </w:pPr>
      <w:r>
        <w:rPr>
          <w:rFonts w:hint="eastAsia"/>
          <w:lang w:eastAsia="zh-CN"/>
        </w:rPr>
        <w:t>9.4.3</w:t>
      </w:r>
      <w:r>
        <w:rPr>
          <w:rFonts w:hint="eastAsia"/>
          <w:lang w:eastAsia="zh-CN"/>
        </w:rPr>
        <w:tab/>
      </w:r>
      <w:r>
        <w:rPr>
          <w:rFonts w:hint="eastAsia"/>
          <w:lang w:eastAsia="zh-CN"/>
        </w:rPr>
        <w:t>安装和运行设备前都先进行测试；</w:t>
      </w:r>
    </w:p>
    <w:p w:rsidR="00E03965" w:rsidRDefault="00E03965" w:rsidP="00E03965">
      <w:pPr>
        <w:rPr>
          <w:lang w:eastAsia="zh-CN"/>
        </w:rPr>
      </w:pPr>
      <w:r>
        <w:rPr>
          <w:rFonts w:hint="eastAsia"/>
          <w:lang w:eastAsia="zh-CN"/>
        </w:rPr>
        <w:t>9.4.4</w:t>
      </w:r>
      <w:r>
        <w:rPr>
          <w:rFonts w:hint="eastAsia"/>
          <w:lang w:eastAsia="zh-CN"/>
        </w:rPr>
        <w:tab/>
      </w:r>
      <w:r>
        <w:rPr>
          <w:rFonts w:hint="eastAsia"/>
          <w:lang w:eastAsia="zh-CN"/>
        </w:rPr>
        <w:t>测试须经监管部门批准；</w:t>
      </w:r>
    </w:p>
    <w:p w:rsidR="00E03965" w:rsidRDefault="00E03965" w:rsidP="00E03965">
      <w:pPr>
        <w:rPr>
          <w:lang w:eastAsia="zh-CN"/>
        </w:rPr>
      </w:pPr>
      <w:r>
        <w:rPr>
          <w:rFonts w:hint="eastAsia"/>
          <w:lang w:eastAsia="zh-CN"/>
        </w:rPr>
        <w:t>9.4.5</w:t>
      </w:r>
      <w:r>
        <w:rPr>
          <w:rFonts w:hint="eastAsia"/>
          <w:lang w:eastAsia="zh-CN"/>
        </w:rPr>
        <w:tab/>
      </w:r>
      <w:r>
        <w:rPr>
          <w:rFonts w:hint="eastAsia"/>
          <w:lang w:eastAsia="zh-CN"/>
        </w:rPr>
        <w:t>就新设施向客户征求意见并通报信息；</w:t>
      </w:r>
    </w:p>
    <w:p w:rsidR="00E03965" w:rsidRDefault="00E03965" w:rsidP="00E03965">
      <w:pPr>
        <w:rPr>
          <w:lang w:eastAsia="zh-CN"/>
        </w:rPr>
      </w:pPr>
      <w:r>
        <w:rPr>
          <w:rFonts w:hint="eastAsia"/>
          <w:lang w:eastAsia="zh-CN"/>
        </w:rPr>
        <w:t>9.4.6</w:t>
      </w:r>
      <w:r>
        <w:rPr>
          <w:rFonts w:hint="eastAsia"/>
          <w:lang w:eastAsia="zh-CN"/>
        </w:rPr>
        <w:tab/>
      </w:r>
      <w:r>
        <w:rPr>
          <w:rFonts w:hint="eastAsia"/>
          <w:lang w:eastAsia="zh-CN"/>
        </w:rPr>
        <w:t>向公众告知有关新设施及其设备发出的辐射方面的信息；</w:t>
      </w:r>
    </w:p>
    <w:p w:rsidR="00E03965" w:rsidRDefault="00E03965" w:rsidP="00E03965">
      <w:pPr>
        <w:rPr>
          <w:lang w:eastAsia="zh-CN"/>
        </w:rPr>
      </w:pPr>
      <w:r>
        <w:rPr>
          <w:rFonts w:hint="eastAsia"/>
          <w:lang w:eastAsia="zh-CN"/>
        </w:rPr>
        <w:t>9.4.7</w:t>
      </w:r>
      <w:r>
        <w:rPr>
          <w:rFonts w:hint="eastAsia"/>
          <w:lang w:eastAsia="zh-CN"/>
        </w:rPr>
        <w:tab/>
      </w:r>
      <w:r>
        <w:rPr>
          <w:rFonts w:hint="eastAsia"/>
          <w:lang w:eastAsia="zh-CN"/>
        </w:rPr>
        <w:t>如可能，尽量避开学院、医院等敏感地区；以及</w:t>
      </w:r>
    </w:p>
    <w:p w:rsidR="00E03965" w:rsidRDefault="00E03965" w:rsidP="00E03965">
      <w:pPr>
        <w:rPr>
          <w:lang w:eastAsia="zh-CN"/>
        </w:rPr>
      </w:pPr>
      <w:r>
        <w:rPr>
          <w:rFonts w:hint="eastAsia"/>
          <w:lang w:eastAsia="zh-CN"/>
        </w:rPr>
        <w:t>9.4.8</w:t>
      </w:r>
      <w:r>
        <w:rPr>
          <w:rFonts w:hint="eastAsia"/>
          <w:lang w:eastAsia="zh-CN"/>
        </w:rPr>
        <w:tab/>
      </w:r>
      <w:r>
        <w:rPr>
          <w:rFonts w:hint="eastAsia"/>
          <w:lang w:eastAsia="zh-CN"/>
        </w:rPr>
        <w:t>投入运行的无线电通信设备上应标有如“危险”字样的大型标识。</w:t>
      </w:r>
    </w:p>
    <w:p w:rsidR="00CB08AD" w:rsidRDefault="00CB08AD">
      <w:pPr>
        <w:tabs>
          <w:tab w:val="clear" w:pos="794"/>
        </w:tabs>
        <w:overflowPunct/>
        <w:spacing w:before="0" w:line="240" w:lineRule="auto"/>
        <w:jc w:val="left"/>
        <w:rPr>
          <w:rFonts w:cs="Helvetica"/>
          <w:b/>
          <w:bCs/>
          <w:color w:val="005173"/>
          <w:sz w:val="24"/>
          <w:szCs w:val="32"/>
          <w:lang w:val="en-US" w:eastAsia="zh-CN"/>
        </w:rPr>
      </w:pPr>
      <w:r>
        <w:rPr>
          <w:lang w:eastAsia="zh-CN"/>
        </w:rPr>
        <w:br w:type="page"/>
      </w:r>
    </w:p>
    <w:p w:rsidR="00E03965" w:rsidRDefault="00E03965" w:rsidP="00412A25">
      <w:pPr>
        <w:pStyle w:val="Heading2"/>
        <w:rPr>
          <w:lang w:eastAsia="zh-CN"/>
        </w:rPr>
      </w:pPr>
      <w:bookmarkStart w:id="33" w:name="_Toc377132365"/>
      <w:r>
        <w:rPr>
          <w:rFonts w:hint="eastAsia"/>
          <w:lang w:eastAsia="zh-CN"/>
        </w:rPr>
        <w:lastRenderedPageBreak/>
        <w:t>9.5</w:t>
      </w:r>
      <w:r>
        <w:rPr>
          <w:rFonts w:hint="eastAsia"/>
          <w:lang w:eastAsia="zh-CN"/>
        </w:rPr>
        <w:tab/>
      </w:r>
      <w:r>
        <w:rPr>
          <w:rFonts w:hint="eastAsia"/>
          <w:lang w:eastAsia="zh-CN"/>
        </w:rPr>
        <w:t>目标</w:t>
      </w:r>
      <w:bookmarkEnd w:id="33"/>
    </w:p>
    <w:p w:rsidR="00E03965" w:rsidRDefault="00E03965" w:rsidP="00E03965">
      <w:pPr>
        <w:rPr>
          <w:lang w:eastAsia="zh-CN"/>
        </w:rPr>
      </w:pPr>
      <w:r>
        <w:rPr>
          <w:rFonts w:hint="eastAsia"/>
          <w:lang w:eastAsia="zh-CN"/>
        </w:rPr>
        <w:t>根据导则确定的电磁场辐射目标暴露限值应基于：</w:t>
      </w:r>
    </w:p>
    <w:p w:rsidR="00E03965" w:rsidRDefault="00E03965" w:rsidP="00E03965">
      <w:pPr>
        <w:rPr>
          <w:lang w:eastAsia="zh-CN"/>
        </w:rPr>
      </w:pPr>
      <w:r>
        <w:rPr>
          <w:rFonts w:hint="eastAsia"/>
          <w:lang w:eastAsia="zh-CN"/>
        </w:rPr>
        <w:t>9.5.1</w:t>
      </w:r>
      <w:r>
        <w:rPr>
          <w:rFonts w:hint="eastAsia"/>
          <w:lang w:eastAsia="zh-CN"/>
        </w:rPr>
        <w:tab/>
        <w:t>ICNIRP</w:t>
      </w:r>
      <w:r>
        <w:rPr>
          <w:rFonts w:hint="eastAsia"/>
          <w:lang w:eastAsia="zh-CN"/>
        </w:rPr>
        <w:t>、</w:t>
      </w:r>
      <w:r>
        <w:rPr>
          <w:rFonts w:hint="eastAsia"/>
          <w:lang w:eastAsia="zh-CN"/>
        </w:rPr>
        <w:t>IEEE</w:t>
      </w:r>
      <w:r>
        <w:rPr>
          <w:rFonts w:hint="eastAsia"/>
          <w:lang w:eastAsia="zh-CN"/>
        </w:rPr>
        <w:t>和其它国际标准化机构制定的</w:t>
      </w:r>
      <w:r>
        <w:rPr>
          <w:rFonts w:hint="eastAsia"/>
          <w:lang w:eastAsia="zh-CN"/>
        </w:rPr>
        <w:t>EMF</w:t>
      </w:r>
      <w:r>
        <w:rPr>
          <w:rFonts w:hint="eastAsia"/>
          <w:lang w:eastAsia="zh-CN"/>
        </w:rPr>
        <w:t>国际指导原则（</w:t>
      </w:r>
      <w:r>
        <w:rPr>
          <w:rFonts w:hint="eastAsia"/>
          <w:lang w:eastAsia="zh-CN"/>
        </w:rPr>
        <w:t>ICNIRP</w:t>
      </w:r>
      <w:r>
        <w:rPr>
          <w:rFonts w:hint="eastAsia"/>
          <w:lang w:eastAsia="zh-CN"/>
        </w:rPr>
        <w:t>的导则获世卫组织认可）；</w:t>
      </w:r>
    </w:p>
    <w:p w:rsidR="00E03965" w:rsidRDefault="00E03965" w:rsidP="00E03965">
      <w:pPr>
        <w:rPr>
          <w:lang w:eastAsia="zh-CN"/>
        </w:rPr>
      </w:pPr>
      <w:r>
        <w:rPr>
          <w:rFonts w:hint="eastAsia"/>
          <w:lang w:eastAsia="zh-CN"/>
        </w:rPr>
        <w:t>9.5.2</w:t>
      </w:r>
      <w:r>
        <w:rPr>
          <w:rFonts w:hint="eastAsia"/>
          <w:lang w:eastAsia="zh-CN"/>
        </w:rPr>
        <w:tab/>
      </w:r>
      <w:r>
        <w:rPr>
          <w:rFonts w:hint="eastAsia"/>
          <w:lang w:eastAsia="zh-CN"/>
        </w:rPr>
        <w:t>国家一级的</w:t>
      </w:r>
      <w:r>
        <w:rPr>
          <w:rFonts w:hint="eastAsia"/>
          <w:lang w:eastAsia="zh-CN"/>
        </w:rPr>
        <w:t>EMF</w:t>
      </w:r>
      <w:r>
        <w:rPr>
          <w:rFonts w:hint="eastAsia"/>
          <w:lang w:eastAsia="zh-CN"/>
        </w:rPr>
        <w:t>暴露规定可以是自愿性的（像本导则一样），也可以是强制性文书（如果该国将其纳入本国法律）；</w:t>
      </w:r>
    </w:p>
    <w:p w:rsidR="00E03965" w:rsidRDefault="00E03965" w:rsidP="00E03965">
      <w:pPr>
        <w:rPr>
          <w:lang w:eastAsia="zh-CN"/>
        </w:rPr>
      </w:pPr>
      <w:r>
        <w:rPr>
          <w:rFonts w:hint="eastAsia"/>
          <w:lang w:eastAsia="zh-CN"/>
        </w:rPr>
        <w:t>9.5.3</w:t>
      </w:r>
      <w:r>
        <w:rPr>
          <w:rFonts w:hint="eastAsia"/>
          <w:lang w:eastAsia="zh-CN"/>
        </w:rPr>
        <w:tab/>
      </w:r>
      <w:r>
        <w:rPr>
          <w:rFonts w:hint="eastAsia"/>
          <w:lang w:eastAsia="zh-CN"/>
        </w:rPr>
        <w:t>如果某些发射电磁场的设备尚无可遵循的国际发射标准，成员国应通过适当的国际组织大力推动相关标准的制定；以及</w:t>
      </w:r>
    </w:p>
    <w:p w:rsidR="00E03965" w:rsidRDefault="00E03965" w:rsidP="00E03965">
      <w:pPr>
        <w:rPr>
          <w:lang w:eastAsia="zh-CN"/>
        </w:rPr>
      </w:pPr>
      <w:r>
        <w:rPr>
          <w:rFonts w:hint="eastAsia"/>
          <w:lang w:eastAsia="zh-CN"/>
        </w:rPr>
        <w:t>9.5.4</w:t>
      </w:r>
      <w:r>
        <w:rPr>
          <w:rFonts w:hint="eastAsia"/>
          <w:lang w:eastAsia="zh-CN"/>
        </w:rPr>
        <w:tab/>
      </w:r>
      <w:r>
        <w:rPr>
          <w:rFonts w:hint="eastAsia"/>
          <w:lang w:eastAsia="zh-CN"/>
        </w:rPr>
        <w:t>如有必要制定国家标准，应采用世卫组织通过国际</w:t>
      </w:r>
      <w:r>
        <w:rPr>
          <w:rFonts w:hint="eastAsia"/>
          <w:lang w:eastAsia="zh-CN"/>
        </w:rPr>
        <w:t>EMF</w:t>
      </w:r>
      <w:r>
        <w:rPr>
          <w:rFonts w:hint="eastAsia"/>
          <w:lang w:eastAsia="zh-CN"/>
        </w:rPr>
        <w:t>项目开发的基于卫生的</w:t>
      </w:r>
      <w:r>
        <w:rPr>
          <w:rFonts w:hint="eastAsia"/>
          <w:lang w:eastAsia="zh-CN"/>
        </w:rPr>
        <w:t>EMF</w:t>
      </w:r>
      <w:r>
        <w:rPr>
          <w:rFonts w:hint="eastAsia"/>
          <w:lang w:eastAsia="zh-CN"/>
        </w:rPr>
        <w:t>标准制定框架。如有必要，可采用基于卫生的</w:t>
      </w:r>
      <w:r>
        <w:rPr>
          <w:rFonts w:hint="eastAsia"/>
          <w:lang w:eastAsia="zh-CN"/>
        </w:rPr>
        <w:t>EMF</w:t>
      </w:r>
      <w:r>
        <w:rPr>
          <w:rFonts w:hint="eastAsia"/>
          <w:lang w:eastAsia="zh-CN"/>
        </w:rPr>
        <w:t>标准作为国家标准。</w:t>
      </w:r>
    </w:p>
    <w:p w:rsidR="00E03965" w:rsidRDefault="00E03965" w:rsidP="00412A25">
      <w:pPr>
        <w:pStyle w:val="Heading2"/>
        <w:rPr>
          <w:lang w:eastAsia="zh-CN"/>
        </w:rPr>
      </w:pPr>
      <w:bookmarkStart w:id="34" w:name="_Toc377132366"/>
      <w:r>
        <w:rPr>
          <w:rFonts w:hint="eastAsia"/>
          <w:lang w:eastAsia="zh-CN"/>
        </w:rPr>
        <w:t>9.6</w:t>
      </w:r>
      <w:r>
        <w:rPr>
          <w:rFonts w:hint="eastAsia"/>
          <w:lang w:eastAsia="zh-CN"/>
        </w:rPr>
        <w:tab/>
      </w:r>
      <w:r>
        <w:rPr>
          <w:rFonts w:hint="eastAsia"/>
          <w:lang w:eastAsia="zh-CN"/>
        </w:rPr>
        <w:t>测量</w:t>
      </w:r>
      <w:bookmarkEnd w:id="34"/>
    </w:p>
    <w:p w:rsidR="00E03965" w:rsidRDefault="00E03965" w:rsidP="00E03965">
      <w:pPr>
        <w:rPr>
          <w:lang w:eastAsia="zh-CN"/>
        </w:rPr>
      </w:pPr>
      <w:r>
        <w:rPr>
          <w:rFonts w:hint="eastAsia"/>
          <w:lang w:eastAsia="zh-CN"/>
        </w:rPr>
        <w:t>9.6.1</w:t>
      </w:r>
      <w:r>
        <w:rPr>
          <w:rFonts w:hint="eastAsia"/>
          <w:lang w:eastAsia="zh-CN"/>
        </w:rPr>
        <w:tab/>
      </w:r>
      <w:r>
        <w:rPr>
          <w:rFonts w:hint="eastAsia"/>
          <w:lang w:eastAsia="zh-CN"/>
        </w:rPr>
        <w:t>世卫组织</w:t>
      </w:r>
      <w:r>
        <w:rPr>
          <w:rFonts w:hint="eastAsia"/>
          <w:lang w:eastAsia="zh-CN"/>
        </w:rPr>
        <w:t>EMF</w:t>
      </w:r>
      <w:r>
        <w:rPr>
          <w:rFonts w:hint="eastAsia"/>
          <w:lang w:eastAsia="zh-CN"/>
        </w:rPr>
        <w:t>项目建议采用说明如何确保符合暴露或发射标准的测量标准。</w:t>
      </w:r>
    </w:p>
    <w:p w:rsidR="00E03965" w:rsidRDefault="00E03965" w:rsidP="00E03965">
      <w:pPr>
        <w:rPr>
          <w:lang w:eastAsia="zh-CN"/>
        </w:rPr>
      </w:pPr>
      <w:r>
        <w:rPr>
          <w:rFonts w:hint="eastAsia"/>
          <w:lang w:eastAsia="zh-CN"/>
        </w:rPr>
        <w:t>9.6.2</w:t>
      </w:r>
      <w:r>
        <w:rPr>
          <w:rFonts w:hint="eastAsia"/>
          <w:lang w:eastAsia="zh-CN"/>
        </w:rPr>
        <w:tab/>
      </w:r>
      <w:r>
        <w:rPr>
          <w:rFonts w:hint="eastAsia"/>
          <w:lang w:eastAsia="zh-CN"/>
        </w:rPr>
        <w:t>关于在实际情况中评估人体暴露的导则，将基于现有的</w:t>
      </w:r>
      <w:r>
        <w:rPr>
          <w:rFonts w:hint="eastAsia"/>
          <w:lang w:eastAsia="zh-CN"/>
        </w:rPr>
        <w:t>IEC/CENELEC</w:t>
      </w:r>
      <w:r>
        <w:rPr>
          <w:rFonts w:hint="eastAsia"/>
          <w:lang w:eastAsia="zh-CN"/>
        </w:rPr>
        <w:t>标准。</w:t>
      </w:r>
    </w:p>
    <w:p w:rsidR="00E03965" w:rsidRDefault="00E03965" w:rsidP="00E03965">
      <w:pPr>
        <w:rPr>
          <w:lang w:eastAsia="zh-CN"/>
        </w:rPr>
      </w:pPr>
      <w:r>
        <w:rPr>
          <w:rFonts w:hint="eastAsia"/>
          <w:lang w:eastAsia="zh-CN"/>
        </w:rPr>
        <w:t>9.6.3</w:t>
      </w:r>
      <w:r>
        <w:rPr>
          <w:rFonts w:hint="eastAsia"/>
          <w:lang w:eastAsia="zh-CN"/>
        </w:rPr>
        <w:tab/>
      </w:r>
      <w:r>
        <w:rPr>
          <w:rFonts w:hint="eastAsia"/>
          <w:lang w:eastAsia="zh-CN"/>
        </w:rPr>
        <w:t>可以参照欧洲邮电管理局会议（</w:t>
      </w:r>
      <w:r>
        <w:rPr>
          <w:rFonts w:hint="eastAsia"/>
          <w:lang w:eastAsia="zh-CN"/>
        </w:rPr>
        <w:t>CEPT</w:t>
      </w:r>
      <w:r>
        <w:rPr>
          <w:rFonts w:hint="eastAsia"/>
          <w:lang w:eastAsia="zh-CN"/>
        </w:rPr>
        <w:t>）下的电子信息委员会（</w:t>
      </w:r>
      <w:r>
        <w:rPr>
          <w:rFonts w:hint="eastAsia"/>
          <w:lang w:eastAsia="zh-CN"/>
        </w:rPr>
        <w:t>ECC</w:t>
      </w:r>
      <w:r>
        <w:rPr>
          <w:rFonts w:hint="eastAsia"/>
          <w:lang w:eastAsia="zh-CN"/>
        </w:rPr>
        <w:t>）有关测量非电离电磁辐射（</w:t>
      </w:r>
      <w:r>
        <w:rPr>
          <w:rFonts w:hint="eastAsia"/>
          <w:lang w:eastAsia="zh-CN"/>
        </w:rPr>
        <w:t xml:space="preserve">9 kHz </w:t>
      </w:r>
      <w:r w:rsidR="00167EA6" w:rsidRPr="00167EA6">
        <w:rPr>
          <w:lang w:eastAsia="zh-CN"/>
        </w:rPr>
        <w:t>–</w:t>
      </w:r>
      <w:r>
        <w:rPr>
          <w:rFonts w:hint="eastAsia"/>
          <w:lang w:eastAsia="zh-CN"/>
        </w:rPr>
        <w:t xml:space="preserve"> 300 GHz</w:t>
      </w:r>
      <w:r>
        <w:rPr>
          <w:rFonts w:hint="eastAsia"/>
          <w:lang w:eastAsia="zh-CN"/>
        </w:rPr>
        <w:t>）的（</w:t>
      </w:r>
      <w:r>
        <w:rPr>
          <w:rFonts w:hint="eastAsia"/>
          <w:lang w:eastAsia="zh-CN"/>
        </w:rPr>
        <w:t>02</w:t>
      </w:r>
      <w:r>
        <w:rPr>
          <w:rFonts w:hint="eastAsia"/>
          <w:lang w:eastAsia="zh-CN"/>
        </w:rPr>
        <w:t>）</w:t>
      </w:r>
      <w:r>
        <w:rPr>
          <w:rFonts w:hint="eastAsia"/>
          <w:lang w:eastAsia="zh-CN"/>
        </w:rPr>
        <w:t>04</w:t>
      </w:r>
      <w:r>
        <w:rPr>
          <w:rFonts w:hint="eastAsia"/>
          <w:lang w:eastAsia="zh-CN"/>
        </w:rPr>
        <w:t>建议书（布拉迪斯拉发</w:t>
      </w:r>
      <w:r>
        <w:rPr>
          <w:rFonts w:hint="eastAsia"/>
          <w:lang w:eastAsia="zh-CN"/>
        </w:rPr>
        <w:t>2003</w:t>
      </w:r>
      <w:r>
        <w:rPr>
          <w:rFonts w:hint="eastAsia"/>
          <w:lang w:eastAsia="zh-CN"/>
        </w:rPr>
        <w:t>年修订版和赫尔辛基</w:t>
      </w:r>
      <w:r>
        <w:rPr>
          <w:rFonts w:hint="eastAsia"/>
          <w:lang w:eastAsia="zh-CN"/>
        </w:rPr>
        <w:t>2007</w:t>
      </w:r>
      <w:r>
        <w:rPr>
          <w:rFonts w:hint="eastAsia"/>
          <w:lang w:eastAsia="zh-CN"/>
        </w:rPr>
        <w:t>年版）。</w:t>
      </w:r>
    </w:p>
    <w:p w:rsidR="00E03965" w:rsidRDefault="00E03965" w:rsidP="00E03965">
      <w:pPr>
        <w:rPr>
          <w:lang w:eastAsia="zh-CN"/>
        </w:rPr>
      </w:pPr>
      <w:r>
        <w:rPr>
          <w:rFonts w:hint="eastAsia"/>
          <w:lang w:eastAsia="zh-CN"/>
        </w:rPr>
        <w:t>9.6.4</w:t>
      </w:r>
      <w:r>
        <w:rPr>
          <w:rFonts w:hint="eastAsia"/>
          <w:lang w:eastAsia="zh-CN"/>
        </w:rPr>
        <w:tab/>
      </w:r>
      <w:r>
        <w:rPr>
          <w:rFonts w:hint="eastAsia"/>
          <w:lang w:eastAsia="zh-CN"/>
        </w:rPr>
        <w:t>国际电联频谱管理手册第</w:t>
      </w:r>
      <w:r>
        <w:rPr>
          <w:rFonts w:hint="eastAsia"/>
          <w:lang w:eastAsia="zh-CN"/>
        </w:rPr>
        <w:t>5.6</w:t>
      </w:r>
      <w:r>
        <w:rPr>
          <w:rFonts w:hint="eastAsia"/>
          <w:lang w:eastAsia="zh-CN"/>
        </w:rPr>
        <w:t>章建议开展非电离辐射（</w:t>
      </w:r>
      <w:r>
        <w:rPr>
          <w:rFonts w:hint="eastAsia"/>
          <w:lang w:eastAsia="zh-CN"/>
        </w:rPr>
        <w:t>NIR</w:t>
      </w:r>
      <w:r>
        <w:rPr>
          <w:rFonts w:hint="eastAsia"/>
          <w:lang w:eastAsia="zh-CN"/>
        </w:rPr>
        <w:t>）测量工作时采取以下做法：</w:t>
      </w:r>
    </w:p>
    <w:p w:rsidR="00E03965" w:rsidRDefault="00E03965" w:rsidP="00E03965">
      <w:pPr>
        <w:rPr>
          <w:lang w:eastAsia="zh-CN"/>
        </w:rPr>
      </w:pPr>
      <w:r>
        <w:rPr>
          <w:rFonts w:hint="eastAsia"/>
          <w:lang w:eastAsia="zh-CN"/>
        </w:rPr>
        <w:t>9.6.4.1</w:t>
      </w:r>
      <w:r w:rsidR="00412A25">
        <w:rPr>
          <w:lang w:eastAsia="zh-CN"/>
        </w:rPr>
        <w:tab/>
      </w:r>
      <w:r>
        <w:rPr>
          <w:rFonts w:hint="eastAsia"/>
          <w:lang w:eastAsia="zh-CN"/>
        </w:rPr>
        <w:t>与颁发无线电许可证的工作相结合；</w:t>
      </w:r>
    </w:p>
    <w:p w:rsidR="00E03965" w:rsidRDefault="00E03965" w:rsidP="00E03965">
      <w:pPr>
        <w:rPr>
          <w:lang w:eastAsia="zh-CN"/>
        </w:rPr>
      </w:pPr>
      <w:r>
        <w:rPr>
          <w:rFonts w:hint="eastAsia"/>
          <w:lang w:eastAsia="zh-CN"/>
        </w:rPr>
        <w:t>9.6.4.2</w:t>
      </w:r>
      <w:r w:rsidR="00412A25">
        <w:rPr>
          <w:lang w:eastAsia="zh-CN"/>
        </w:rPr>
        <w:tab/>
      </w:r>
      <w:r>
        <w:rPr>
          <w:rFonts w:hint="eastAsia"/>
          <w:lang w:eastAsia="zh-CN"/>
        </w:rPr>
        <w:t>根据</w:t>
      </w:r>
      <w:r>
        <w:rPr>
          <w:rFonts w:hint="eastAsia"/>
          <w:lang w:eastAsia="zh-CN"/>
        </w:rPr>
        <w:t>NIR</w:t>
      </w:r>
      <w:r>
        <w:rPr>
          <w:rFonts w:hint="eastAsia"/>
          <w:lang w:eastAsia="zh-CN"/>
        </w:rPr>
        <w:t>控制和监测计划定期进行测量；或者</w:t>
      </w:r>
    </w:p>
    <w:p w:rsidR="00E03965" w:rsidRDefault="00E03965" w:rsidP="00E03965">
      <w:pPr>
        <w:rPr>
          <w:lang w:eastAsia="zh-CN"/>
        </w:rPr>
      </w:pPr>
      <w:r>
        <w:rPr>
          <w:rFonts w:hint="eastAsia"/>
          <w:lang w:eastAsia="zh-CN"/>
        </w:rPr>
        <w:t>9.6.4.3</w:t>
      </w:r>
      <w:r w:rsidR="00412A25">
        <w:rPr>
          <w:lang w:eastAsia="zh-CN"/>
        </w:rPr>
        <w:tab/>
      </w:r>
      <w:r>
        <w:rPr>
          <w:rFonts w:hint="eastAsia"/>
          <w:lang w:eastAsia="zh-CN"/>
        </w:rPr>
        <w:t>根据公众或官方要求等正当理由进行。</w:t>
      </w:r>
    </w:p>
    <w:p w:rsidR="00E03965" w:rsidRDefault="00E03965" w:rsidP="00E03965">
      <w:pPr>
        <w:rPr>
          <w:lang w:eastAsia="zh-CN"/>
        </w:rPr>
      </w:pPr>
      <w:r>
        <w:rPr>
          <w:rFonts w:hint="eastAsia"/>
          <w:lang w:eastAsia="zh-CN"/>
        </w:rPr>
        <w:t>9.6.5</w:t>
      </w:r>
      <w:r>
        <w:rPr>
          <w:rFonts w:hint="eastAsia"/>
          <w:lang w:eastAsia="zh-CN"/>
        </w:rPr>
        <w:tab/>
      </w:r>
      <w:r>
        <w:rPr>
          <w:rFonts w:hint="eastAsia"/>
          <w:lang w:eastAsia="zh-CN"/>
        </w:rPr>
        <w:t>手册还简要介绍了测量程序，对选址、器械定位、防护措施、所用设备、不确定因素和报告形式做了说明。</w:t>
      </w:r>
    </w:p>
    <w:p w:rsidR="00E03965" w:rsidRDefault="00E03965" w:rsidP="00412A25">
      <w:pPr>
        <w:pStyle w:val="Heading2"/>
        <w:rPr>
          <w:lang w:eastAsia="zh-CN"/>
        </w:rPr>
      </w:pPr>
      <w:bookmarkStart w:id="35" w:name="_Toc377132367"/>
      <w:r>
        <w:rPr>
          <w:rFonts w:hint="eastAsia"/>
          <w:lang w:eastAsia="zh-CN"/>
        </w:rPr>
        <w:t>9.7</w:t>
      </w:r>
      <w:r>
        <w:rPr>
          <w:rFonts w:hint="eastAsia"/>
          <w:lang w:eastAsia="zh-CN"/>
        </w:rPr>
        <w:tab/>
      </w:r>
      <w:r>
        <w:rPr>
          <w:rFonts w:hint="eastAsia"/>
          <w:lang w:eastAsia="zh-CN"/>
        </w:rPr>
        <w:t>监管机构发布测量结果</w:t>
      </w:r>
      <w:bookmarkEnd w:id="35"/>
    </w:p>
    <w:p w:rsidR="00E03965" w:rsidRDefault="00E03965" w:rsidP="00E03965">
      <w:pPr>
        <w:rPr>
          <w:lang w:eastAsia="zh-CN"/>
        </w:rPr>
      </w:pPr>
      <w:r>
        <w:rPr>
          <w:rFonts w:hint="eastAsia"/>
          <w:lang w:eastAsia="zh-CN"/>
        </w:rPr>
        <w:t>9.7.1</w:t>
      </w:r>
      <w:r>
        <w:rPr>
          <w:rFonts w:hint="eastAsia"/>
          <w:lang w:eastAsia="zh-CN"/>
        </w:rPr>
        <w:tab/>
      </w:r>
      <w:r>
        <w:rPr>
          <w:rFonts w:hint="eastAsia"/>
          <w:lang w:eastAsia="zh-CN"/>
        </w:rPr>
        <w:t>监管机构应公布由运营商提交、并由监管机构在报告期后进行定期核实的测量结果。报告期须由监管机构确定。</w:t>
      </w:r>
    </w:p>
    <w:p w:rsidR="00E03965" w:rsidRDefault="00E03965" w:rsidP="00E03965">
      <w:pPr>
        <w:rPr>
          <w:lang w:eastAsia="zh-CN"/>
        </w:rPr>
      </w:pPr>
      <w:r>
        <w:rPr>
          <w:rFonts w:hint="eastAsia"/>
          <w:lang w:eastAsia="zh-CN"/>
        </w:rPr>
        <w:t>9.7.2</w:t>
      </w:r>
      <w:r>
        <w:rPr>
          <w:rFonts w:hint="eastAsia"/>
          <w:lang w:eastAsia="zh-CN"/>
        </w:rPr>
        <w:tab/>
      </w:r>
      <w:r>
        <w:rPr>
          <w:rFonts w:hint="eastAsia"/>
          <w:lang w:eastAsia="zh-CN"/>
        </w:rPr>
        <w:t>发布的通知应对测量工作、报告期和最低目标要求做出具体说明。</w:t>
      </w:r>
    </w:p>
    <w:p w:rsidR="00E03965" w:rsidRDefault="00E03965" w:rsidP="00E03965">
      <w:pPr>
        <w:rPr>
          <w:lang w:eastAsia="zh-CN"/>
        </w:rPr>
      </w:pPr>
      <w:r>
        <w:rPr>
          <w:rFonts w:hint="eastAsia"/>
          <w:lang w:eastAsia="zh-CN"/>
        </w:rPr>
        <w:t>9.7.3</w:t>
      </w:r>
      <w:r>
        <w:rPr>
          <w:rFonts w:hint="eastAsia"/>
          <w:lang w:eastAsia="zh-CN"/>
        </w:rPr>
        <w:tab/>
      </w:r>
      <w:r>
        <w:rPr>
          <w:rFonts w:hint="eastAsia"/>
          <w:lang w:eastAsia="zh-CN"/>
        </w:rPr>
        <w:t>公布的参数应按照但不限于以下设备类别进行分类：</w:t>
      </w:r>
    </w:p>
    <w:p w:rsidR="00E03965" w:rsidRDefault="00167EA6" w:rsidP="009D7D92">
      <w:pPr>
        <w:pStyle w:val="Enumlevel1"/>
        <w:rPr>
          <w:lang w:eastAsia="zh-CN"/>
        </w:rPr>
      </w:pPr>
      <w:r w:rsidRPr="00167EA6">
        <w:rPr>
          <w:lang w:eastAsia="zh-CN"/>
        </w:rPr>
        <w:t>–</w:t>
      </w:r>
      <w:r w:rsidR="00E03965">
        <w:rPr>
          <w:rFonts w:hint="eastAsia"/>
          <w:lang w:eastAsia="zh-CN"/>
        </w:rPr>
        <w:tab/>
      </w:r>
      <w:r w:rsidR="00E03965">
        <w:rPr>
          <w:rFonts w:hint="eastAsia"/>
          <w:lang w:eastAsia="zh-CN"/>
        </w:rPr>
        <w:t>广播和蜂窝基站；</w:t>
      </w:r>
    </w:p>
    <w:p w:rsidR="00E03965" w:rsidRDefault="00167EA6" w:rsidP="009D7D92">
      <w:pPr>
        <w:pStyle w:val="Enumlevel1"/>
        <w:rPr>
          <w:lang w:eastAsia="zh-CN"/>
        </w:rPr>
      </w:pPr>
      <w:r w:rsidRPr="00167EA6">
        <w:rPr>
          <w:lang w:eastAsia="zh-CN"/>
        </w:rPr>
        <w:t>–</w:t>
      </w:r>
      <w:r w:rsidR="00E03965">
        <w:rPr>
          <w:rFonts w:hint="eastAsia"/>
          <w:lang w:eastAsia="zh-CN"/>
        </w:rPr>
        <w:tab/>
      </w:r>
      <w:r w:rsidR="00E03965">
        <w:rPr>
          <w:rFonts w:hint="eastAsia"/>
          <w:lang w:eastAsia="zh-CN"/>
        </w:rPr>
        <w:t>业余无线电台；以及</w:t>
      </w:r>
    </w:p>
    <w:p w:rsidR="00DC6901" w:rsidRDefault="00167EA6" w:rsidP="00E82D09">
      <w:pPr>
        <w:pStyle w:val="Enumlevel1"/>
        <w:rPr>
          <w:lang w:eastAsia="zh-CN"/>
        </w:rPr>
      </w:pPr>
      <w:r w:rsidRPr="00167EA6">
        <w:rPr>
          <w:lang w:eastAsia="zh-CN"/>
        </w:rPr>
        <w:t>–</w:t>
      </w:r>
      <w:r w:rsidR="00E03965">
        <w:rPr>
          <w:rFonts w:hint="eastAsia"/>
          <w:lang w:eastAsia="zh-CN"/>
        </w:rPr>
        <w:tab/>
      </w:r>
      <w:r w:rsidR="00E03965">
        <w:rPr>
          <w:rFonts w:hint="eastAsia"/>
          <w:lang w:eastAsia="zh-CN"/>
        </w:rPr>
        <w:t>手持设备（由于很难测量手持设备的比吸收率，而且该测量不是各个国家都必须，因此仅以检查供应商的技术规范作为手持设备的测量结果可能十分昂贵。）</w:t>
      </w:r>
    </w:p>
    <w:p w:rsidR="00E03965" w:rsidRDefault="00E03965" w:rsidP="00E03965">
      <w:pPr>
        <w:rPr>
          <w:lang w:eastAsia="zh-CN"/>
        </w:rPr>
      </w:pPr>
      <w:r>
        <w:rPr>
          <w:rFonts w:hint="eastAsia"/>
          <w:lang w:eastAsia="zh-CN"/>
        </w:rPr>
        <w:lastRenderedPageBreak/>
        <w:t>9.7.4</w:t>
      </w:r>
      <w:r>
        <w:rPr>
          <w:rFonts w:hint="eastAsia"/>
          <w:lang w:eastAsia="zh-CN"/>
        </w:rPr>
        <w:tab/>
      </w:r>
      <w:r>
        <w:rPr>
          <w:rFonts w:hint="eastAsia"/>
          <w:lang w:eastAsia="zh-CN"/>
        </w:rPr>
        <w:t>编制公众可获取的报告非常重要。此种报告可在该国可用的媒体上进行发布。</w:t>
      </w:r>
    </w:p>
    <w:p w:rsidR="00E03965" w:rsidRDefault="00E03965" w:rsidP="00412A25">
      <w:pPr>
        <w:pStyle w:val="Heading2"/>
        <w:rPr>
          <w:lang w:eastAsia="zh-CN"/>
        </w:rPr>
      </w:pPr>
      <w:bookmarkStart w:id="36" w:name="_Toc377132368"/>
      <w:r>
        <w:rPr>
          <w:rFonts w:hint="eastAsia"/>
          <w:lang w:eastAsia="zh-CN"/>
        </w:rPr>
        <w:t>9.8</w:t>
      </w:r>
      <w:r>
        <w:rPr>
          <w:rFonts w:hint="eastAsia"/>
          <w:lang w:eastAsia="zh-CN"/>
        </w:rPr>
        <w:tab/>
      </w:r>
      <w:r>
        <w:rPr>
          <w:rFonts w:hint="eastAsia"/>
          <w:lang w:eastAsia="zh-CN"/>
        </w:rPr>
        <w:t>出版物的内容与格式</w:t>
      </w:r>
      <w:bookmarkEnd w:id="36"/>
    </w:p>
    <w:p w:rsidR="00E03965" w:rsidRDefault="00E03965" w:rsidP="00E03965">
      <w:pPr>
        <w:rPr>
          <w:lang w:eastAsia="zh-CN"/>
        </w:rPr>
      </w:pPr>
      <w:r>
        <w:rPr>
          <w:rFonts w:hint="eastAsia"/>
          <w:lang w:eastAsia="zh-CN"/>
        </w:rPr>
        <w:t>9.8.1</w:t>
      </w:r>
      <w:r>
        <w:rPr>
          <w:rFonts w:hint="eastAsia"/>
          <w:lang w:eastAsia="zh-CN"/>
        </w:rPr>
        <w:tab/>
      </w:r>
      <w:r>
        <w:rPr>
          <w:rFonts w:hint="eastAsia"/>
          <w:lang w:eastAsia="zh-CN"/>
        </w:rPr>
        <w:t>预计一份综合测量报告应包含以下信息：</w:t>
      </w:r>
    </w:p>
    <w:p w:rsidR="00E03965" w:rsidRDefault="00167EA6" w:rsidP="009D7D92">
      <w:pPr>
        <w:pStyle w:val="Enumlevel1"/>
        <w:rPr>
          <w:lang w:eastAsia="zh-CN"/>
        </w:rPr>
      </w:pPr>
      <w:r w:rsidRPr="00167EA6">
        <w:rPr>
          <w:lang w:eastAsia="zh-CN"/>
        </w:rPr>
        <w:t>–</w:t>
      </w:r>
      <w:r w:rsidR="00E03965">
        <w:rPr>
          <w:rFonts w:hint="eastAsia"/>
          <w:lang w:eastAsia="zh-CN"/>
        </w:rPr>
        <w:tab/>
      </w:r>
      <w:r w:rsidR="00E03965">
        <w:rPr>
          <w:rFonts w:hint="eastAsia"/>
          <w:lang w:eastAsia="zh-CN"/>
        </w:rPr>
        <w:t>测量结果；</w:t>
      </w:r>
    </w:p>
    <w:p w:rsidR="00E03965" w:rsidRDefault="00167EA6" w:rsidP="009D7D92">
      <w:pPr>
        <w:pStyle w:val="Enumlevel1"/>
        <w:rPr>
          <w:lang w:eastAsia="zh-CN"/>
        </w:rPr>
      </w:pPr>
      <w:r w:rsidRPr="00167EA6">
        <w:rPr>
          <w:lang w:eastAsia="zh-CN"/>
        </w:rPr>
        <w:t>–</w:t>
      </w:r>
      <w:r w:rsidR="00E03965">
        <w:rPr>
          <w:rFonts w:hint="eastAsia"/>
          <w:lang w:eastAsia="zh-CN"/>
        </w:rPr>
        <w:tab/>
      </w:r>
      <w:r w:rsidR="00E03965">
        <w:rPr>
          <w:rFonts w:hint="eastAsia"/>
          <w:lang w:eastAsia="zh-CN"/>
        </w:rPr>
        <w:t>测量的宗旨与目的；</w:t>
      </w:r>
    </w:p>
    <w:p w:rsidR="00E03965" w:rsidRDefault="00167EA6" w:rsidP="009D7D92">
      <w:pPr>
        <w:pStyle w:val="Enumlevel1"/>
        <w:rPr>
          <w:lang w:eastAsia="zh-CN"/>
        </w:rPr>
      </w:pPr>
      <w:r w:rsidRPr="00167EA6">
        <w:rPr>
          <w:lang w:eastAsia="zh-CN"/>
        </w:rPr>
        <w:t>–</w:t>
      </w:r>
      <w:r w:rsidR="00E03965">
        <w:rPr>
          <w:rFonts w:hint="eastAsia"/>
          <w:lang w:eastAsia="zh-CN"/>
        </w:rPr>
        <w:tab/>
      </w:r>
      <w:r w:rsidR="00E03965">
        <w:rPr>
          <w:rFonts w:hint="eastAsia"/>
          <w:lang w:eastAsia="zh-CN"/>
        </w:rPr>
        <w:t>日期和起止时间；</w:t>
      </w:r>
    </w:p>
    <w:p w:rsidR="00E03965" w:rsidRDefault="00167EA6" w:rsidP="009D7D92">
      <w:pPr>
        <w:pStyle w:val="Enumlevel1"/>
        <w:rPr>
          <w:lang w:eastAsia="zh-CN"/>
        </w:rPr>
      </w:pPr>
      <w:r w:rsidRPr="00167EA6">
        <w:rPr>
          <w:lang w:eastAsia="zh-CN"/>
        </w:rPr>
        <w:t>–</w:t>
      </w:r>
      <w:r w:rsidR="00E03965">
        <w:rPr>
          <w:rFonts w:hint="eastAsia"/>
          <w:lang w:eastAsia="zh-CN"/>
        </w:rPr>
        <w:tab/>
      </w:r>
      <w:r w:rsidR="00E03965">
        <w:rPr>
          <w:rFonts w:hint="eastAsia"/>
          <w:lang w:eastAsia="zh-CN"/>
        </w:rPr>
        <w:t>测量地点的地理坐标、地表以上高度和具体特征；</w:t>
      </w:r>
    </w:p>
    <w:p w:rsidR="00E03965" w:rsidRDefault="00167EA6" w:rsidP="009D7D92">
      <w:pPr>
        <w:pStyle w:val="Enumlevel1"/>
        <w:rPr>
          <w:lang w:eastAsia="zh-CN"/>
        </w:rPr>
      </w:pPr>
      <w:r w:rsidRPr="00167EA6">
        <w:rPr>
          <w:lang w:eastAsia="zh-CN"/>
        </w:rPr>
        <w:t>–</w:t>
      </w:r>
      <w:r w:rsidR="00E03965">
        <w:rPr>
          <w:rFonts w:hint="eastAsia"/>
          <w:lang w:eastAsia="zh-CN"/>
        </w:rPr>
        <w:tab/>
      </w:r>
      <w:r w:rsidR="00E03965">
        <w:rPr>
          <w:rFonts w:hint="eastAsia"/>
          <w:lang w:eastAsia="zh-CN"/>
        </w:rPr>
        <w:t>经确认的发射机的清单；</w:t>
      </w:r>
    </w:p>
    <w:p w:rsidR="00E03965" w:rsidRDefault="00167EA6" w:rsidP="009D7D92">
      <w:pPr>
        <w:pStyle w:val="Enumlevel1"/>
        <w:rPr>
          <w:lang w:eastAsia="zh-CN"/>
        </w:rPr>
      </w:pPr>
      <w:r w:rsidRPr="00167EA6">
        <w:rPr>
          <w:lang w:eastAsia="zh-CN"/>
        </w:rPr>
        <w:t>–</w:t>
      </w:r>
      <w:r w:rsidR="00E03965">
        <w:rPr>
          <w:rFonts w:hint="eastAsia"/>
          <w:lang w:eastAsia="zh-CN"/>
        </w:rPr>
        <w:tab/>
      </w:r>
      <w:r w:rsidR="00E03965">
        <w:rPr>
          <w:rFonts w:hint="eastAsia"/>
          <w:lang w:eastAsia="zh-CN"/>
        </w:rPr>
        <w:t>所使用的设备及其序号；以及</w:t>
      </w:r>
    </w:p>
    <w:p w:rsidR="00E03965" w:rsidRDefault="00167EA6" w:rsidP="009D7D92">
      <w:pPr>
        <w:pStyle w:val="Enumlevel1"/>
        <w:rPr>
          <w:lang w:eastAsia="zh-CN"/>
        </w:rPr>
      </w:pPr>
      <w:r w:rsidRPr="00167EA6">
        <w:rPr>
          <w:lang w:eastAsia="zh-CN"/>
        </w:rPr>
        <w:t>–</w:t>
      </w:r>
      <w:r w:rsidR="00E03965">
        <w:rPr>
          <w:rFonts w:hint="eastAsia"/>
          <w:lang w:eastAsia="zh-CN"/>
        </w:rPr>
        <w:tab/>
      </w:r>
      <w:r w:rsidR="00E03965">
        <w:rPr>
          <w:rFonts w:hint="eastAsia"/>
          <w:lang w:eastAsia="zh-CN"/>
        </w:rPr>
        <w:t>测量的不确定因素。</w:t>
      </w:r>
    </w:p>
    <w:p w:rsidR="00E03965" w:rsidRDefault="00E03965" w:rsidP="00E03965">
      <w:pPr>
        <w:rPr>
          <w:lang w:eastAsia="zh-CN"/>
        </w:rPr>
      </w:pPr>
      <w:r>
        <w:rPr>
          <w:rFonts w:hint="eastAsia"/>
          <w:lang w:eastAsia="zh-CN"/>
        </w:rPr>
        <w:t>9.8.2</w:t>
      </w:r>
      <w:r>
        <w:rPr>
          <w:rFonts w:hint="eastAsia"/>
          <w:lang w:eastAsia="zh-CN"/>
        </w:rPr>
        <w:tab/>
      </w:r>
      <w:r>
        <w:rPr>
          <w:rFonts w:hint="eastAsia"/>
          <w:lang w:eastAsia="zh-CN"/>
        </w:rPr>
        <w:t>需对测量和计算的数值进行比较。如果测量或计算数值高于较低</w:t>
      </w:r>
      <w:r>
        <w:rPr>
          <w:rFonts w:hint="eastAsia"/>
          <w:lang w:eastAsia="zh-CN"/>
        </w:rPr>
        <w:t>ICNIRP</w:t>
      </w:r>
      <w:r>
        <w:rPr>
          <w:rFonts w:hint="eastAsia"/>
          <w:lang w:eastAsia="zh-CN"/>
        </w:rPr>
        <w:t>水平，应在报告中突出标明，并应根据现行规定采取适当措施。</w:t>
      </w:r>
    </w:p>
    <w:p w:rsidR="00E03965" w:rsidRDefault="00E03965" w:rsidP="00E03965">
      <w:pPr>
        <w:rPr>
          <w:lang w:eastAsia="zh-CN"/>
        </w:rPr>
      </w:pPr>
      <w:r>
        <w:rPr>
          <w:rFonts w:hint="eastAsia"/>
          <w:lang w:eastAsia="zh-CN"/>
        </w:rPr>
        <w:t>9.8.3</w:t>
      </w:r>
      <w:r>
        <w:rPr>
          <w:rFonts w:hint="eastAsia"/>
          <w:lang w:eastAsia="zh-CN"/>
        </w:rPr>
        <w:tab/>
      </w:r>
      <w:r>
        <w:rPr>
          <w:rFonts w:hint="eastAsia"/>
          <w:lang w:eastAsia="zh-CN"/>
        </w:rPr>
        <w:t>此外，为提高报告的可理解度，要求采用地图、图表和照片等图示方式来表示结果。这样可以显示对主发射机的位置及其距离关切区域（如学校、医院和住宅区）的相对位置的测量结果。</w:t>
      </w:r>
    </w:p>
    <w:p w:rsidR="00E03965" w:rsidRDefault="00E03965" w:rsidP="00412A25">
      <w:pPr>
        <w:pStyle w:val="Heading2"/>
        <w:rPr>
          <w:lang w:eastAsia="zh-CN"/>
        </w:rPr>
      </w:pPr>
      <w:bookmarkStart w:id="37" w:name="_Toc377132369"/>
      <w:r>
        <w:rPr>
          <w:rFonts w:hint="eastAsia"/>
          <w:lang w:eastAsia="zh-CN"/>
        </w:rPr>
        <w:t>9.9</w:t>
      </w:r>
      <w:r>
        <w:rPr>
          <w:rFonts w:hint="eastAsia"/>
          <w:lang w:eastAsia="zh-CN"/>
        </w:rPr>
        <w:tab/>
      </w:r>
      <w:r>
        <w:rPr>
          <w:rFonts w:hint="eastAsia"/>
          <w:lang w:eastAsia="zh-CN"/>
        </w:rPr>
        <w:t>检查与调查</w:t>
      </w:r>
      <w:bookmarkEnd w:id="37"/>
    </w:p>
    <w:p w:rsidR="00E03965" w:rsidRDefault="00E03965" w:rsidP="00E03965">
      <w:pPr>
        <w:rPr>
          <w:lang w:eastAsia="zh-CN"/>
        </w:rPr>
      </w:pPr>
      <w:r>
        <w:rPr>
          <w:rFonts w:hint="eastAsia"/>
          <w:lang w:eastAsia="zh-CN"/>
        </w:rPr>
        <w:t>9.9.1</w:t>
      </w:r>
      <w:r>
        <w:rPr>
          <w:rFonts w:hint="eastAsia"/>
          <w:lang w:eastAsia="zh-CN"/>
        </w:rPr>
        <w:tab/>
      </w:r>
      <w:r>
        <w:rPr>
          <w:rFonts w:hint="eastAsia"/>
          <w:lang w:eastAsia="zh-CN"/>
        </w:rPr>
        <w:t>监管机构应对运营商提交的测量相关事项进行检查或调查，以确保合规。对于</w:t>
      </w:r>
      <w:r>
        <w:rPr>
          <w:rFonts w:hint="eastAsia"/>
          <w:lang w:eastAsia="zh-CN"/>
        </w:rPr>
        <w:t>EMF</w:t>
      </w:r>
      <w:r>
        <w:rPr>
          <w:rFonts w:hint="eastAsia"/>
          <w:lang w:eastAsia="zh-CN"/>
        </w:rPr>
        <w:t>暴露标准，监管机构应获得能通过在工作地点及其他区域进行计算和测量来检查合规性的授权。对于发射标准，设备的合规性通常由制造商进行认证。</w:t>
      </w:r>
    </w:p>
    <w:p w:rsidR="00E03965" w:rsidRDefault="00E03965" w:rsidP="00E03965">
      <w:pPr>
        <w:rPr>
          <w:lang w:eastAsia="zh-CN"/>
        </w:rPr>
      </w:pPr>
      <w:r>
        <w:rPr>
          <w:rFonts w:hint="eastAsia"/>
          <w:lang w:eastAsia="zh-CN"/>
        </w:rPr>
        <w:t>9.9.2</w:t>
      </w:r>
      <w:r>
        <w:rPr>
          <w:rFonts w:hint="eastAsia"/>
          <w:lang w:eastAsia="zh-CN"/>
        </w:rPr>
        <w:tab/>
      </w:r>
      <w:r>
        <w:rPr>
          <w:rFonts w:hint="eastAsia"/>
          <w:lang w:eastAsia="zh-CN"/>
        </w:rPr>
        <w:t>不符合标准要求的设备不允许投入运营。</w:t>
      </w:r>
    </w:p>
    <w:p w:rsidR="00E03965" w:rsidRDefault="00E03965" w:rsidP="00E03965">
      <w:pPr>
        <w:rPr>
          <w:lang w:eastAsia="zh-CN"/>
        </w:rPr>
      </w:pPr>
      <w:r>
        <w:rPr>
          <w:rFonts w:hint="eastAsia"/>
          <w:lang w:eastAsia="zh-CN"/>
        </w:rPr>
        <w:t>9.9.3</w:t>
      </w:r>
      <w:r>
        <w:rPr>
          <w:rFonts w:hint="eastAsia"/>
          <w:lang w:eastAsia="zh-CN"/>
        </w:rPr>
        <w:tab/>
      </w:r>
      <w:r>
        <w:rPr>
          <w:rFonts w:hint="eastAsia"/>
          <w:lang w:eastAsia="zh-CN"/>
        </w:rPr>
        <w:t>提交虚假测量结果的运营商应予以销毁设备并在全国禁止运营。</w:t>
      </w:r>
    </w:p>
    <w:p w:rsidR="00E03965" w:rsidRDefault="00E03965" w:rsidP="00E03965">
      <w:pPr>
        <w:rPr>
          <w:lang w:eastAsia="zh-CN"/>
        </w:rPr>
      </w:pPr>
      <w:r>
        <w:rPr>
          <w:rFonts w:hint="eastAsia"/>
          <w:lang w:eastAsia="zh-CN"/>
        </w:rPr>
        <w:t>9.9.4</w:t>
      </w:r>
      <w:r>
        <w:rPr>
          <w:rFonts w:hint="eastAsia"/>
          <w:lang w:eastAsia="zh-CN"/>
        </w:rPr>
        <w:tab/>
      </w:r>
      <w:r>
        <w:rPr>
          <w:rFonts w:hint="eastAsia"/>
          <w:lang w:eastAsia="zh-CN"/>
        </w:rPr>
        <w:t>有关电信设备非电离辐射水平最大限值的规定的执行，取决于可利用领域内现有专业经验的频谱管理主管部门。</w:t>
      </w:r>
    </w:p>
    <w:p w:rsidR="00E03965" w:rsidRDefault="00E03965" w:rsidP="00412A25">
      <w:pPr>
        <w:pStyle w:val="Heading2"/>
        <w:rPr>
          <w:lang w:eastAsia="zh-CN"/>
        </w:rPr>
      </w:pPr>
      <w:bookmarkStart w:id="38" w:name="_Toc377132370"/>
      <w:r>
        <w:rPr>
          <w:rFonts w:hint="eastAsia"/>
          <w:lang w:eastAsia="zh-CN"/>
        </w:rPr>
        <w:t>9.10</w:t>
      </w:r>
      <w:r>
        <w:rPr>
          <w:rFonts w:hint="eastAsia"/>
          <w:lang w:eastAsia="zh-CN"/>
        </w:rPr>
        <w:tab/>
      </w:r>
      <w:r>
        <w:rPr>
          <w:rFonts w:hint="eastAsia"/>
          <w:lang w:eastAsia="zh-CN"/>
        </w:rPr>
        <w:t>对指导原则的修改</w:t>
      </w:r>
      <w:bookmarkEnd w:id="38"/>
    </w:p>
    <w:p w:rsidR="00E03965" w:rsidRDefault="00E03965" w:rsidP="00E03965">
      <w:pPr>
        <w:rPr>
          <w:lang w:eastAsia="zh-CN"/>
        </w:rPr>
      </w:pPr>
      <w:r>
        <w:rPr>
          <w:rFonts w:hint="eastAsia"/>
          <w:lang w:eastAsia="zh-CN"/>
        </w:rPr>
        <w:t>9.10.1</w:t>
      </w:r>
      <w:r>
        <w:rPr>
          <w:rFonts w:hint="eastAsia"/>
          <w:lang w:eastAsia="zh-CN"/>
        </w:rPr>
        <w:tab/>
      </w:r>
      <w:r>
        <w:rPr>
          <w:rFonts w:hint="eastAsia"/>
          <w:lang w:eastAsia="zh-CN"/>
        </w:rPr>
        <w:t>可在考虑本导则提出的主要原则的基础上，对本导则进行修改。</w:t>
      </w:r>
    </w:p>
    <w:p w:rsidR="00E03965" w:rsidRDefault="00E03965" w:rsidP="00E03965">
      <w:pPr>
        <w:rPr>
          <w:lang w:eastAsia="zh-CN"/>
        </w:rPr>
      </w:pPr>
      <w:r>
        <w:rPr>
          <w:rFonts w:hint="eastAsia"/>
          <w:lang w:eastAsia="zh-CN"/>
        </w:rPr>
        <w:t>9.10.2</w:t>
      </w:r>
      <w:r>
        <w:rPr>
          <w:rFonts w:hint="eastAsia"/>
          <w:lang w:eastAsia="zh-CN"/>
        </w:rPr>
        <w:tab/>
        <w:t>ICNIRP</w:t>
      </w:r>
      <w:r>
        <w:rPr>
          <w:rFonts w:hint="eastAsia"/>
          <w:lang w:eastAsia="zh-CN"/>
        </w:rPr>
        <w:t>如设定新目标，本导则可能会进行修改。</w:t>
      </w:r>
    </w:p>
    <w:p w:rsidR="00E03965" w:rsidRDefault="00E03965" w:rsidP="00E03965">
      <w:pPr>
        <w:rPr>
          <w:lang w:eastAsia="zh-CN"/>
        </w:rPr>
      </w:pPr>
      <w:r>
        <w:rPr>
          <w:rFonts w:hint="eastAsia"/>
          <w:lang w:eastAsia="zh-CN"/>
        </w:rPr>
        <w:t>9.10.3</w:t>
      </w:r>
      <w:r>
        <w:rPr>
          <w:rFonts w:hint="eastAsia"/>
          <w:lang w:eastAsia="zh-CN"/>
        </w:rPr>
        <w:tab/>
      </w:r>
      <w:r>
        <w:rPr>
          <w:rFonts w:hint="eastAsia"/>
          <w:lang w:eastAsia="zh-CN"/>
        </w:rPr>
        <w:t>必须征求所有利益攸关方包括公众的意见。</w:t>
      </w:r>
    </w:p>
    <w:p w:rsidR="00E03965" w:rsidRDefault="00E03965" w:rsidP="00E03965">
      <w:pPr>
        <w:rPr>
          <w:lang w:eastAsia="zh-CN"/>
        </w:rPr>
      </w:pPr>
      <w:r>
        <w:rPr>
          <w:rFonts w:hint="eastAsia"/>
          <w:lang w:eastAsia="zh-CN"/>
        </w:rPr>
        <w:t>9.10.4</w:t>
      </w:r>
      <w:r>
        <w:rPr>
          <w:rFonts w:hint="eastAsia"/>
          <w:lang w:eastAsia="zh-CN"/>
        </w:rPr>
        <w:tab/>
      </w:r>
      <w:r>
        <w:rPr>
          <w:rFonts w:hint="eastAsia"/>
          <w:lang w:eastAsia="zh-CN"/>
        </w:rPr>
        <w:t>在针对本国情况对本导则做出适当修改的一段时期之后，应落实修改后的导则。</w:t>
      </w:r>
    </w:p>
    <w:p w:rsidR="00E03965" w:rsidRDefault="00E03965" w:rsidP="00E03965">
      <w:pPr>
        <w:rPr>
          <w:lang w:eastAsia="zh-CN"/>
        </w:rPr>
      </w:pPr>
      <w:r>
        <w:rPr>
          <w:rFonts w:hint="eastAsia"/>
          <w:lang w:eastAsia="zh-CN"/>
        </w:rPr>
        <w:t>9.10.5</w:t>
      </w:r>
      <w:r>
        <w:rPr>
          <w:rFonts w:hint="eastAsia"/>
          <w:lang w:eastAsia="zh-CN"/>
        </w:rPr>
        <w:tab/>
      </w:r>
      <w:r>
        <w:rPr>
          <w:rFonts w:hint="eastAsia"/>
          <w:lang w:eastAsia="zh-CN"/>
        </w:rPr>
        <w:t>对本导则进行审议。审议内容将涵盖：</w:t>
      </w:r>
    </w:p>
    <w:p w:rsidR="00CB08AD" w:rsidRDefault="00CB08AD">
      <w:pPr>
        <w:tabs>
          <w:tab w:val="clear" w:pos="794"/>
        </w:tabs>
        <w:overflowPunct/>
        <w:spacing w:before="0" w:line="240" w:lineRule="auto"/>
        <w:jc w:val="left"/>
        <w:rPr>
          <w:rFonts w:cs="Calibri"/>
          <w:szCs w:val="21"/>
          <w:lang w:val="en-GB" w:eastAsia="zh-CN"/>
        </w:rPr>
      </w:pPr>
      <w:r>
        <w:rPr>
          <w:lang w:eastAsia="zh-CN"/>
        </w:rPr>
        <w:br w:type="page"/>
      </w:r>
    </w:p>
    <w:p w:rsidR="00E03965" w:rsidRDefault="00167EA6" w:rsidP="009D7D92">
      <w:pPr>
        <w:pStyle w:val="Enumlevel1"/>
        <w:rPr>
          <w:lang w:eastAsia="zh-CN"/>
        </w:rPr>
      </w:pPr>
      <w:r w:rsidRPr="00167EA6">
        <w:rPr>
          <w:lang w:eastAsia="zh-CN"/>
        </w:rPr>
        <w:lastRenderedPageBreak/>
        <w:t>–</w:t>
      </w:r>
      <w:r w:rsidR="00E03965">
        <w:rPr>
          <w:rFonts w:hint="eastAsia"/>
          <w:lang w:eastAsia="zh-CN"/>
        </w:rPr>
        <w:tab/>
      </w:r>
      <w:r w:rsidR="00E03965">
        <w:rPr>
          <w:rFonts w:hint="eastAsia"/>
          <w:lang w:eastAsia="zh-CN"/>
        </w:rPr>
        <w:t>既定目标；</w:t>
      </w:r>
    </w:p>
    <w:p w:rsidR="00E03965" w:rsidRDefault="00167EA6" w:rsidP="009D7D92">
      <w:pPr>
        <w:pStyle w:val="Enumlevel1"/>
        <w:rPr>
          <w:lang w:eastAsia="zh-CN"/>
        </w:rPr>
      </w:pPr>
      <w:r w:rsidRPr="00167EA6">
        <w:rPr>
          <w:lang w:eastAsia="zh-CN"/>
        </w:rPr>
        <w:t>–</w:t>
      </w:r>
      <w:r w:rsidR="00E03965">
        <w:rPr>
          <w:rFonts w:hint="eastAsia"/>
          <w:lang w:eastAsia="zh-CN"/>
        </w:rPr>
        <w:tab/>
      </w:r>
      <w:r w:rsidR="00E03965">
        <w:rPr>
          <w:rFonts w:hint="eastAsia"/>
          <w:lang w:eastAsia="zh-CN"/>
        </w:rPr>
        <w:t>测量设备；</w:t>
      </w:r>
    </w:p>
    <w:p w:rsidR="00E03965" w:rsidRDefault="00167EA6" w:rsidP="009D7D92">
      <w:pPr>
        <w:pStyle w:val="Enumlevel1"/>
        <w:rPr>
          <w:lang w:eastAsia="zh-CN"/>
        </w:rPr>
      </w:pPr>
      <w:r w:rsidRPr="00167EA6">
        <w:rPr>
          <w:lang w:eastAsia="zh-CN"/>
        </w:rPr>
        <w:t>–</w:t>
      </w:r>
      <w:r w:rsidR="00E03965">
        <w:rPr>
          <w:rFonts w:hint="eastAsia"/>
          <w:lang w:eastAsia="zh-CN"/>
        </w:rPr>
        <w:tab/>
      </w:r>
      <w:r w:rsidR="00E03965">
        <w:rPr>
          <w:rFonts w:hint="eastAsia"/>
          <w:lang w:eastAsia="zh-CN"/>
        </w:rPr>
        <w:t>出版物；</w:t>
      </w:r>
    </w:p>
    <w:p w:rsidR="00E03965" w:rsidRDefault="00167EA6" w:rsidP="009D7D92">
      <w:pPr>
        <w:pStyle w:val="Enumlevel1"/>
        <w:rPr>
          <w:lang w:eastAsia="zh-CN"/>
        </w:rPr>
      </w:pPr>
      <w:r w:rsidRPr="00167EA6">
        <w:rPr>
          <w:lang w:eastAsia="zh-CN"/>
        </w:rPr>
        <w:t>–</w:t>
      </w:r>
      <w:r w:rsidR="00E03965">
        <w:rPr>
          <w:rFonts w:hint="eastAsia"/>
          <w:lang w:eastAsia="zh-CN"/>
        </w:rPr>
        <w:tab/>
      </w:r>
      <w:r w:rsidR="00E03965">
        <w:rPr>
          <w:rFonts w:hint="eastAsia"/>
          <w:lang w:eastAsia="zh-CN"/>
        </w:rPr>
        <w:t>需测量的设备；以及</w:t>
      </w:r>
    </w:p>
    <w:p w:rsidR="00E03965" w:rsidRDefault="00167EA6" w:rsidP="009D7D92">
      <w:pPr>
        <w:pStyle w:val="Enumlevel1"/>
        <w:rPr>
          <w:lang w:eastAsia="zh-CN"/>
        </w:rPr>
      </w:pPr>
      <w:r w:rsidRPr="00167EA6">
        <w:rPr>
          <w:lang w:eastAsia="zh-CN"/>
        </w:rPr>
        <w:t>–</w:t>
      </w:r>
      <w:r w:rsidR="00E03965">
        <w:rPr>
          <w:rFonts w:hint="eastAsia"/>
          <w:lang w:eastAsia="zh-CN"/>
        </w:rPr>
        <w:tab/>
      </w:r>
      <w:r w:rsidR="00E03965">
        <w:rPr>
          <w:rFonts w:hint="eastAsia"/>
          <w:lang w:eastAsia="zh-CN"/>
        </w:rPr>
        <w:t>测量方法。</w:t>
      </w:r>
    </w:p>
    <w:p w:rsidR="00E03965" w:rsidRDefault="00E03965" w:rsidP="00E03965">
      <w:pPr>
        <w:rPr>
          <w:lang w:eastAsia="zh-CN"/>
        </w:rPr>
      </w:pPr>
    </w:p>
    <w:p w:rsidR="009D7D92" w:rsidRDefault="009D7D92" w:rsidP="00E03965">
      <w:pPr>
        <w:rPr>
          <w:lang w:eastAsia="zh-CN"/>
        </w:rPr>
        <w:sectPr w:rsidR="009D7D92" w:rsidSect="006D2E62">
          <w:headerReference w:type="even" r:id="rId21"/>
          <w:headerReference w:type="default" r:id="rId22"/>
          <w:footerReference w:type="even" r:id="rId23"/>
          <w:footerReference w:type="default" r:id="rId24"/>
          <w:headerReference w:type="first" r:id="rId25"/>
          <w:footerReference w:type="first" r:id="rId26"/>
          <w:endnotePr>
            <w:numFmt w:val="decimal"/>
          </w:endnotePr>
          <w:type w:val="oddPage"/>
          <w:pgSz w:w="11907" w:h="16840" w:code="9"/>
          <w:pgMar w:top="1418" w:right="1418" w:bottom="1418" w:left="1418" w:header="709" w:footer="709" w:gutter="0"/>
          <w:pgNumType w:start="1"/>
          <w:cols w:space="720"/>
          <w:titlePg/>
        </w:sectPr>
      </w:pPr>
    </w:p>
    <w:p w:rsidR="0045680A" w:rsidRPr="002314BE" w:rsidRDefault="0045680A" w:rsidP="0045680A">
      <w:pPr>
        <w:pStyle w:val="Heading1"/>
      </w:pPr>
      <w:r w:rsidRPr="002314BE">
        <w:lastRenderedPageBreak/>
        <w:t>I.</w:t>
      </w:r>
      <w:r w:rsidRPr="002314BE">
        <w:tab/>
        <w:t>Annexes</w:t>
      </w:r>
    </w:p>
    <w:p w:rsidR="0045680A" w:rsidRPr="00CB013A" w:rsidRDefault="0045680A" w:rsidP="0045680A">
      <w:pPr>
        <w:pStyle w:val="HeadingB"/>
        <w:rPr>
          <w:lang w:val="en-US"/>
        </w:rPr>
      </w:pPr>
      <w:r w:rsidRPr="00CB013A">
        <w:rPr>
          <w:lang w:val="en-US"/>
        </w:rPr>
        <w:t xml:space="preserve">Annex 1: </w:t>
      </w:r>
      <w:r>
        <w:rPr>
          <w:lang w:val="en-US"/>
        </w:rPr>
        <w:tab/>
      </w:r>
      <w:r w:rsidRPr="00CB013A">
        <w:rPr>
          <w:lang w:val="en-US"/>
        </w:rPr>
        <w:t>RF Exposure Units and Standards</w:t>
      </w:r>
    </w:p>
    <w:p w:rsidR="0045680A" w:rsidRPr="00CB013A" w:rsidRDefault="0045680A" w:rsidP="0045680A">
      <w:pPr>
        <w:pStyle w:val="HeadingB"/>
        <w:rPr>
          <w:lang w:val="en-US"/>
        </w:rPr>
      </w:pPr>
      <w:r w:rsidRPr="00CB013A">
        <w:rPr>
          <w:lang w:val="en-US"/>
        </w:rPr>
        <w:t xml:space="preserve">Annex 2: </w:t>
      </w:r>
      <w:r>
        <w:rPr>
          <w:lang w:val="en-US"/>
        </w:rPr>
        <w:tab/>
      </w:r>
      <w:r w:rsidRPr="00CB013A">
        <w:rPr>
          <w:lang w:val="en-US"/>
        </w:rPr>
        <w:t>ICNIRP 1998 Exposure Levels and IEEE Levels</w:t>
      </w:r>
    </w:p>
    <w:p w:rsidR="0045680A" w:rsidRPr="00CB013A" w:rsidRDefault="0045680A" w:rsidP="0045680A">
      <w:pPr>
        <w:pStyle w:val="HeadingB"/>
        <w:rPr>
          <w:lang w:val="en-US"/>
        </w:rPr>
      </w:pPr>
      <w:r w:rsidRPr="00CB013A">
        <w:rPr>
          <w:lang w:val="en-US"/>
        </w:rPr>
        <w:t xml:space="preserve">Annex 3: </w:t>
      </w:r>
      <w:r>
        <w:rPr>
          <w:lang w:val="en-US"/>
        </w:rPr>
        <w:tab/>
      </w:r>
      <w:r w:rsidRPr="00CB013A">
        <w:rPr>
          <w:lang w:val="en-US"/>
        </w:rPr>
        <w:t>Mandate of Question 23/1 (WTDC-10/139 (Rev.1))</w:t>
      </w:r>
    </w:p>
    <w:p w:rsidR="0045680A" w:rsidRPr="00CB013A" w:rsidRDefault="0045680A" w:rsidP="0045680A">
      <w:pPr>
        <w:pStyle w:val="HeadingB"/>
        <w:ind w:left="1134" w:hanging="1134"/>
        <w:rPr>
          <w:lang w:val="en-US"/>
        </w:rPr>
      </w:pPr>
      <w:r w:rsidRPr="00CB013A">
        <w:rPr>
          <w:lang w:val="en-US"/>
        </w:rPr>
        <w:t xml:space="preserve">Annex 4: </w:t>
      </w:r>
      <w:r>
        <w:rPr>
          <w:lang w:val="en-US"/>
        </w:rPr>
        <w:tab/>
      </w:r>
      <w:r w:rsidRPr="00CB013A">
        <w:rPr>
          <w:lang w:val="en-US"/>
        </w:rPr>
        <w:t>WTSA-12 Resolution 72 on “Measurement concerns related to human exposure to electromagnetic fields”'</w:t>
      </w:r>
    </w:p>
    <w:p w:rsidR="0045680A" w:rsidRPr="00CB013A" w:rsidRDefault="0045680A" w:rsidP="0045680A">
      <w:pPr>
        <w:pStyle w:val="HeadingB"/>
        <w:ind w:left="1134" w:hanging="1134"/>
        <w:rPr>
          <w:lang w:val="en-US"/>
        </w:rPr>
      </w:pPr>
      <w:r w:rsidRPr="00CB013A">
        <w:rPr>
          <w:lang w:val="en-US"/>
        </w:rPr>
        <w:t xml:space="preserve">Annex 5: </w:t>
      </w:r>
      <w:r>
        <w:rPr>
          <w:lang w:val="en-US"/>
        </w:rPr>
        <w:tab/>
      </w:r>
      <w:r w:rsidRPr="00CB013A">
        <w:rPr>
          <w:lang w:val="en-US"/>
        </w:rPr>
        <w:t>WTDC-10 Resolution 62 on "Measurement concerns related to human exposure to EMF".</w:t>
      </w:r>
    </w:p>
    <w:p w:rsidR="0045680A" w:rsidRPr="00CB013A" w:rsidRDefault="0045680A" w:rsidP="0045680A">
      <w:pPr>
        <w:pStyle w:val="HeadingB"/>
        <w:ind w:left="1134" w:hanging="1134"/>
        <w:rPr>
          <w:lang w:val="en-US"/>
        </w:rPr>
      </w:pPr>
      <w:r w:rsidRPr="00CB013A">
        <w:rPr>
          <w:lang w:val="en-US"/>
        </w:rPr>
        <w:t xml:space="preserve">Annex 6: </w:t>
      </w:r>
      <w:r>
        <w:rPr>
          <w:lang w:val="en-US"/>
        </w:rPr>
        <w:tab/>
      </w:r>
      <w:r w:rsidRPr="00CB013A">
        <w:rPr>
          <w:lang w:val="en-US"/>
        </w:rPr>
        <w:t>Plenipotentiary Conference (PP-10) Resolution 176 on "Human exposure to and measurement of electromagnetic fields"</w:t>
      </w:r>
    </w:p>
    <w:p w:rsidR="0045680A" w:rsidRPr="00CB013A" w:rsidRDefault="0045680A" w:rsidP="0045680A">
      <w:pPr>
        <w:pStyle w:val="HeadingB"/>
        <w:rPr>
          <w:lang w:val="en-US"/>
        </w:rPr>
      </w:pPr>
      <w:r w:rsidRPr="00CB013A">
        <w:rPr>
          <w:lang w:val="en-US"/>
        </w:rPr>
        <w:t xml:space="preserve">Annex 7: </w:t>
      </w:r>
      <w:r>
        <w:rPr>
          <w:lang w:val="en-US"/>
        </w:rPr>
        <w:tab/>
      </w:r>
      <w:r w:rsidRPr="00CB013A">
        <w:rPr>
          <w:lang w:val="en-US"/>
        </w:rPr>
        <w:t>ITU Project in Central America Document</w:t>
      </w:r>
    </w:p>
    <w:p w:rsidR="0045680A" w:rsidRPr="00CB013A" w:rsidRDefault="0045680A" w:rsidP="0045680A">
      <w:pPr>
        <w:pStyle w:val="HeadingB"/>
        <w:rPr>
          <w:lang w:val="en-US"/>
        </w:rPr>
      </w:pPr>
      <w:r w:rsidRPr="00CB013A">
        <w:rPr>
          <w:lang w:val="en-US"/>
        </w:rPr>
        <w:t xml:space="preserve">Annex 8: </w:t>
      </w:r>
      <w:r>
        <w:rPr>
          <w:lang w:val="en-US"/>
        </w:rPr>
        <w:tab/>
      </w:r>
      <w:r w:rsidRPr="00CB013A">
        <w:rPr>
          <w:lang w:val="en-US"/>
        </w:rPr>
        <w:t xml:space="preserve">Q23/1 </w:t>
      </w:r>
      <w:proofErr w:type="spellStart"/>
      <w:r w:rsidRPr="00CB013A">
        <w:rPr>
          <w:lang w:val="en-US"/>
        </w:rPr>
        <w:t>Workplan</w:t>
      </w:r>
      <w:proofErr w:type="spellEnd"/>
    </w:p>
    <w:p w:rsidR="0045680A" w:rsidRPr="00CB013A" w:rsidRDefault="0045680A" w:rsidP="0045680A">
      <w:pPr>
        <w:pStyle w:val="HeadingB"/>
        <w:rPr>
          <w:lang w:val="en-US"/>
        </w:rPr>
      </w:pPr>
      <w:r w:rsidRPr="00CB013A">
        <w:rPr>
          <w:lang w:val="en-US"/>
        </w:rPr>
        <w:t xml:space="preserve">Annex 9: </w:t>
      </w:r>
      <w:r>
        <w:rPr>
          <w:lang w:val="en-US"/>
        </w:rPr>
        <w:tab/>
      </w:r>
      <w:r w:rsidRPr="00CB013A">
        <w:rPr>
          <w:lang w:val="en-US"/>
        </w:rPr>
        <w:t>Documents for Q23/1</w:t>
      </w:r>
    </w:p>
    <w:p w:rsidR="0045680A" w:rsidRPr="00CB013A" w:rsidRDefault="0045680A" w:rsidP="0045680A">
      <w:pPr>
        <w:pStyle w:val="HeadingB"/>
        <w:rPr>
          <w:lang w:val="en-US"/>
        </w:rPr>
      </w:pPr>
      <w:r w:rsidRPr="00CB013A">
        <w:rPr>
          <w:lang w:val="en-US"/>
        </w:rPr>
        <w:t xml:space="preserve">Annex 10: </w:t>
      </w:r>
      <w:r>
        <w:rPr>
          <w:lang w:val="en-US"/>
        </w:rPr>
        <w:tab/>
      </w:r>
      <w:r w:rsidRPr="00CB013A">
        <w:rPr>
          <w:lang w:val="en-US"/>
        </w:rPr>
        <w:t>A Case Study from India on EMF</w:t>
      </w:r>
    </w:p>
    <w:p w:rsidR="0045680A" w:rsidRPr="00CB013A" w:rsidRDefault="0045680A" w:rsidP="0045680A">
      <w:pPr>
        <w:pStyle w:val="Heading1"/>
      </w:pPr>
      <w:r w:rsidRPr="00CB013A">
        <w:t>II.</w:t>
      </w:r>
      <w:r w:rsidRPr="00CB013A">
        <w:tab/>
        <w:t>List of Contributions</w:t>
      </w:r>
    </w:p>
    <w:p w:rsidR="0045680A" w:rsidRPr="002314BE" w:rsidRDefault="0045680A" w:rsidP="0045680A">
      <w:pPr>
        <w:pStyle w:val="Heading1"/>
      </w:pPr>
      <w:r w:rsidRPr="00CB013A">
        <w:t>III.</w:t>
      </w:r>
      <w:r w:rsidRPr="00CB013A">
        <w:tab/>
        <w:t>References</w:t>
      </w:r>
    </w:p>
    <w:p w:rsidR="00C729F1" w:rsidRPr="0045680A" w:rsidRDefault="00C729F1" w:rsidP="00C729F1">
      <w:pPr>
        <w:rPr>
          <w:lang w:val="en-US" w:eastAsia="zh-CN"/>
        </w:rPr>
      </w:pPr>
    </w:p>
    <w:bookmarkEnd w:id="0"/>
    <w:bookmarkEnd w:id="1"/>
    <w:bookmarkEnd w:id="2"/>
    <w:bookmarkEnd w:id="3"/>
    <w:p w:rsidR="00127996" w:rsidRPr="00127996" w:rsidRDefault="00127996" w:rsidP="00C729F1">
      <w:pPr>
        <w:rPr>
          <w:lang w:val="en-AU" w:eastAsia="zh-CN"/>
        </w:rPr>
        <w:sectPr w:rsidR="00127996" w:rsidRPr="00127996" w:rsidSect="006F54E5">
          <w:headerReference w:type="first" r:id="rId27"/>
          <w:footerReference w:type="first" r:id="rId28"/>
          <w:endnotePr>
            <w:numFmt w:val="decimal"/>
          </w:endnotePr>
          <w:type w:val="oddPage"/>
          <w:pgSz w:w="11907" w:h="16840" w:code="9"/>
          <w:pgMar w:top="1418" w:right="1418" w:bottom="1418" w:left="1418" w:header="709" w:footer="709" w:gutter="0"/>
          <w:cols w:space="720"/>
          <w:titlePg/>
        </w:sectPr>
      </w:pPr>
    </w:p>
    <w:p w:rsidR="00D56217" w:rsidRPr="00191C79" w:rsidRDefault="00D56217" w:rsidP="00191C79">
      <w:pPr>
        <w:pStyle w:val="Heading1"/>
        <w:spacing w:before="0" w:line="240" w:lineRule="auto"/>
        <w:rPr>
          <w:spacing w:val="0"/>
        </w:rPr>
      </w:pPr>
      <w:r w:rsidRPr="00191C79">
        <w:rPr>
          <w:spacing w:val="0"/>
        </w:rPr>
        <w:lastRenderedPageBreak/>
        <w:t xml:space="preserve">Annex 1: </w:t>
      </w:r>
      <w:r w:rsidRPr="00191C79">
        <w:rPr>
          <w:spacing w:val="0"/>
        </w:rPr>
        <w:tab/>
        <w:t>RF Exposure Units and Standards</w:t>
      </w:r>
    </w:p>
    <w:p w:rsidR="00D56217" w:rsidRPr="00191C79" w:rsidRDefault="00D56217" w:rsidP="00191C79">
      <w:pPr>
        <w:pStyle w:val="Normalaftertitle0"/>
      </w:pPr>
      <w:r w:rsidRPr="00191C79">
        <w:rPr>
          <w:rStyle w:val="FootnoteReference"/>
          <w:szCs w:val="19"/>
          <w:lang w:val="en-US" w:eastAsia="en-GB"/>
        </w:rPr>
        <w:footnoteReference w:customMarkFollows="1" w:id="21"/>
        <w:t>1</w:t>
      </w:r>
      <w:r w:rsidRPr="00191C79">
        <w:rPr>
          <w:lang w:eastAsia="en-GB"/>
        </w:rPr>
        <w:t xml:space="preserve">Table 1 </w:t>
      </w:r>
      <w:r w:rsidRPr="00191C79">
        <w:t>lists the reference units of the physical quantities used in this report.</w:t>
      </w:r>
    </w:p>
    <w:p w:rsidR="00D56217" w:rsidRPr="00191C79" w:rsidRDefault="00D56217" w:rsidP="00191C79">
      <w:pPr>
        <w:spacing w:line="240" w:lineRule="auto"/>
        <w:rPr>
          <w:spacing w:val="0"/>
          <w:lang w:val="en-GB" w:eastAsia="en-US"/>
        </w:rPr>
      </w:pPr>
    </w:p>
    <w:p w:rsidR="00D56217" w:rsidRPr="00191C79" w:rsidRDefault="00D56217" w:rsidP="00191C79">
      <w:pPr>
        <w:pStyle w:val="Tabletitle"/>
        <w:spacing w:line="240" w:lineRule="auto"/>
        <w:rPr>
          <w:spacing w:val="0"/>
          <w:lang w:eastAsia="zh-CN"/>
        </w:rPr>
      </w:pPr>
      <w:bookmarkStart w:id="39" w:name="_Toc148460119"/>
      <w:bookmarkStart w:id="40" w:name="_Toc199908850"/>
      <w:r w:rsidRPr="00191C79">
        <w:rPr>
          <w:spacing w:val="0"/>
          <w:lang w:eastAsia="zh-CN"/>
        </w:rPr>
        <w:t>Table 1: Physical quantities and units</w:t>
      </w:r>
      <w:bookmarkEnd w:id="39"/>
      <w:bookmarkEnd w:id="40"/>
    </w:p>
    <w:tbl>
      <w:tblPr>
        <w:tblStyle w:val="Style1"/>
        <w:tblW w:w="4804" w:type="pct"/>
        <w:jc w:val="center"/>
        <w:tblLook w:val="0020" w:firstRow="1" w:lastRow="0" w:firstColumn="0" w:lastColumn="0" w:noHBand="0" w:noVBand="0"/>
      </w:tblPr>
      <w:tblGrid>
        <w:gridCol w:w="3773"/>
        <w:gridCol w:w="1049"/>
        <w:gridCol w:w="2452"/>
        <w:gridCol w:w="1649"/>
      </w:tblGrid>
      <w:tr w:rsidR="00D56217" w:rsidRPr="00191C79" w:rsidTr="00774FEC">
        <w:trPr>
          <w:cnfStyle w:val="100000000000" w:firstRow="1" w:lastRow="0" w:firstColumn="0" w:lastColumn="0" w:oddVBand="0" w:evenVBand="0" w:oddHBand="0" w:evenHBand="0" w:firstRowFirstColumn="0" w:firstRowLastColumn="0" w:lastRowFirstColumn="0" w:lastRowLastColumn="0"/>
          <w:trHeight w:val="385"/>
          <w:jc w:val="center"/>
        </w:trPr>
        <w:tc>
          <w:tcPr>
            <w:tcW w:w="2114" w:type="pct"/>
          </w:tcPr>
          <w:p w:rsidR="00D56217" w:rsidRPr="00191C79" w:rsidRDefault="00D56217" w:rsidP="00191C79">
            <w:pPr>
              <w:pStyle w:val="Tablehead"/>
              <w:spacing w:line="240" w:lineRule="auto"/>
              <w:rPr>
                <w:spacing w:val="0"/>
                <w:lang w:eastAsia="en-GB"/>
              </w:rPr>
            </w:pPr>
            <w:r w:rsidRPr="00191C79">
              <w:rPr>
                <w:spacing w:val="0"/>
                <w:lang w:eastAsia="en-GB"/>
              </w:rPr>
              <w:t>Quantity</w:t>
            </w:r>
          </w:p>
        </w:tc>
        <w:tc>
          <w:tcPr>
            <w:tcW w:w="588" w:type="pct"/>
          </w:tcPr>
          <w:p w:rsidR="00D56217" w:rsidRPr="00191C79" w:rsidRDefault="00D56217" w:rsidP="00191C79">
            <w:pPr>
              <w:pStyle w:val="Tablehead"/>
              <w:spacing w:line="240" w:lineRule="auto"/>
              <w:rPr>
                <w:spacing w:val="0"/>
                <w:lang w:eastAsia="en-GB"/>
              </w:rPr>
            </w:pPr>
            <w:r w:rsidRPr="00191C79">
              <w:rPr>
                <w:spacing w:val="0"/>
                <w:lang w:eastAsia="en-GB"/>
              </w:rPr>
              <w:t>Symbol</w:t>
            </w:r>
          </w:p>
        </w:tc>
        <w:tc>
          <w:tcPr>
            <w:tcW w:w="1374" w:type="pct"/>
          </w:tcPr>
          <w:p w:rsidR="00D56217" w:rsidRPr="00191C79" w:rsidRDefault="00D56217" w:rsidP="00191C79">
            <w:pPr>
              <w:pStyle w:val="Tablehead"/>
              <w:spacing w:line="240" w:lineRule="auto"/>
              <w:rPr>
                <w:spacing w:val="0"/>
                <w:lang w:eastAsia="en-GB"/>
              </w:rPr>
            </w:pPr>
            <w:r w:rsidRPr="00191C79">
              <w:rPr>
                <w:spacing w:val="0"/>
                <w:lang w:eastAsia="en-GB"/>
              </w:rPr>
              <w:t>Unit</w:t>
            </w:r>
          </w:p>
        </w:tc>
        <w:tc>
          <w:tcPr>
            <w:tcW w:w="924" w:type="pct"/>
          </w:tcPr>
          <w:p w:rsidR="00D56217" w:rsidRPr="00191C79" w:rsidRDefault="00D56217" w:rsidP="00191C79">
            <w:pPr>
              <w:pStyle w:val="Tablehead"/>
              <w:spacing w:line="240" w:lineRule="auto"/>
              <w:rPr>
                <w:spacing w:val="0"/>
                <w:lang w:eastAsia="en-GB"/>
              </w:rPr>
            </w:pPr>
            <w:r w:rsidRPr="00191C79">
              <w:rPr>
                <w:spacing w:val="0"/>
                <w:lang w:eastAsia="en-GB"/>
              </w:rPr>
              <w:t>Symbol</w:t>
            </w:r>
          </w:p>
        </w:tc>
      </w:tr>
      <w:tr w:rsidR="00D56217" w:rsidRPr="00191C79" w:rsidTr="00774FEC">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tcPr>
          <w:p w:rsidR="00D56217" w:rsidRPr="00191C79" w:rsidRDefault="00D56217" w:rsidP="00191C79">
            <w:pPr>
              <w:pStyle w:val="Tabletext"/>
              <w:spacing w:line="240" w:lineRule="auto"/>
              <w:rPr>
                <w:spacing w:val="0"/>
                <w:lang w:eastAsia="en-GB"/>
              </w:rPr>
            </w:pPr>
            <w:proofErr w:type="spellStart"/>
            <w:r w:rsidRPr="00191C79">
              <w:rPr>
                <w:spacing w:val="0"/>
                <w:lang w:eastAsia="en-GB"/>
              </w:rPr>
              <w:t>Frequency</w:t>
            </w:r>
            <w:proofErr w:type="spellEnd"/>
          </w:p>
        </w:tc>
        <w:tc>
          <w:tcPr>
            <w:tcW w:w="588" w:type="pct"/>
          </w:tcPr>
          <w:p w:rsidR="00D56217" w:rsidRPr="00191C79" w:rsidRDefault="00D56217" w:rsidP="00191C79">
            <w:pPr>
              <w:pStyle w:val="Tabletext"/>
              <w:spacing w:line="240" w:lineRule="auto"/>
              <w:rPr>
                <w:spacing w:val="0"/>
                <w:lang w:eastAsia="en-GB"/>
              </w:rPr>
            </w:pPr>
            <w:r w:rsidRPr="00191C79">
              <w:rPr>
                <w:spacing w:val="0"/>
                <w:lang w:eastAsia="en-GB"/>
              </w:rPr>
              <w:t>f</w:t>
            </w:r>
          </w:p>
        </w:tc>
        <w:tc>
          <w:tcPr>
            <w:tcW w:w="1374" w:type="pct"/>
          </w:tcPr>
          <w:p w:rsidR="00D56217" w:rsidRPr="00191C79" w:rsidRDefault="00D56217" w:rsidP="00191C79">
            <w:pPr>
              <w:pStyle w:val="Tabletext"/>
              <w:spacing w:line="240" w:lineRule="auto"/>
              <w:rPr>
                <w:spacing w:val="0"/>
                <w:lang w:eastAsia="en-GB"/>
              </w:rPr>
            </w:pPr>
            <w:r w:rsidRPr="00191C79">
              <w:rPr>
                <w:spacing w:val="0"/>
                <w:lang w:eastAsia="en-GB"/>
              </w:rPr>
              <w:t>Hertz</w:t>
            </w:r>
          </w:p>
        </w:tc>
        <w:tc>
          <w:tcPr>
            <w:tcW w:w="924" w:type="pct"/>
          </w:tcPr>
          <w:p w:rsidR="00D56217" w:rsidRPr="00191C79" w:rsidRDefault="00D56217" w:rsidP="00191C79">
            <w:pPr>
              <w:pStyle w:val="Tabletext"/>
              <w:spacing w:line="240" w:lineRule="auto"/>
              <w:rPr>
                <w:spacing w:val="0"/>
                <w:lang w:eastAsia="en-GB"/>
              </w:rPr>
            </w:pPr>
            <w:r w:rsidRPr="00191C79">
              <w:rPr>
                <w:spacing w:val="0"/>
                <w:lang w:eastAsia="en-GB"/>
              </w:rPr>
              <w:t>Hz</w:t>
            </w:r>
          </w:p>
        </w:tc>
      </w:tr>
      <w:tr w:rsidR="00D56217" w:rsidRPr="00191C79" w:rsidTr="00774FEC">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tcPr>
          <w:p w:rsidR="00D56217" w:rsidRPr="00191C79" w:rsidRDefault="00D56217" w:rsidP="00191C79">
            <w:pPr>
              <w:pStyle w:val="Tabletext"/>
              <w:spacing w:line="240" w:lineRule="auto"/>
              <w:rPr>
                <w:spacing w:val="0"/>
                <w:lang w:eastAsia="en-GB"/>
              </w:rPr>
            </w:pPr>
            <w:r w:rsidRPr="00191C79">
              <w:rPr>
                <w:spacing w:val="0"/>
                <w:lang w:eastAsia="en-GB"/>
              </w:rPr>
              <w:t xml:space="preserve">Electric </w:t>
            </w:r>
            <w:proofErr w:type="spellStart"/>
            <w:r w:rsidRPr="00191C79">
              <w:rPr>
                <w:spacing w:val="0"/>
                <w:lang w:eastAsia="en-GB"/>
              </w:rPr>
              <w:t>field</w:t>
            </w:r>
            <w:proofErr w:type="spellEnd"/>
            <w:r w:rsidRPr="00191C79">
              <w:rPr>
                <w:spacing w:val="0"/>
                <w:lang w:eastAsia="en-GB"/>
              </w:rPr>
              <w:t xml:space="preserve"> </w:t>
            </w:r>
            <w:proofErr w:type="spellStart"/>
            <w:r w:rsidRPr="00191C79">
              <w:rPr>
                <w:spacing w:val="0"/>
                <w:lang w:eastAsia="en-GB"/>
              </w:rPr>
              <w:t>strength</w:t>
            </w:r>
            <w:proofErr w:type="spellEnd"/>
          </w:p>
        </w:tc>
        <w:tc>
          <w:tcPr>
            <w:tcW w:w="588" w:type="pct"/>
          </w:tcPr>
          <w:p w:rsidR="00D56217" w:rsidRPr="00191C79" w:rsidRDefault="00D56217" w:rsidP="00191C79">
            <w:pPr>
              <w:pStyle w:val="Tabletext"/>
              <w:spacing w:line="240" w:lineRule="auto"/>
              <w:rPr>
                <w:spacing w:val="0"/>
                <w:lang w:eastAsia="en-GB"/>
              </w:rPr>
            </w:pPr>
            <w:r w:rsidRPr="00191C79">
              <w:rPr>
                <w:spacing w:val="0"/>
                <w:lang w:eastAsia="en-GB"/>
              </w:rPr>
              <w:t>E</w:t>
            </w:r>
          </w:p>
        </w:tc>
        <w:tc>
          <w:tcPr>
            <w:tcW w:w="1374" w:type="pct"/>
          </w:tcPr>
          <w:p w:rsidR="00D56217" w:rsidRPr="00191C79" w:rsidRDefault="00D56217" w:rsidP="00191C79">
            <w:pPr>
              <w:pStyle w:val="Tabletext"/>
              <w:spacing w:line="240" w:lineRule="auto"/>
              <w:rPr>
                <w:spacing w:val="0"/>
                <w:lang w:eastAsia="en-GB"/>
              </w:rPr>
            </w:pPr>
            <w:r w:rsidRPr="00191C79">
              <w:rPr>
                <w:spacing w:val="0"/>
                <w:lang w:eastAsia="en-GB"/>
              </w:rPr>
              <w:t xml:space="preserve">Volt per </w:t>
            </w:r>
            <w:proofErr w:type="spellStart"/>
            <w:r w:rsidRPr="00191C79">
              <w:rPr>
                <w:spacing w:val="0"/>
                <w:lang w:eastAsia="en-GB"/>
              </w:rPr>
              <w:t>metre</w:t>
            </w:r>
            <w:proofErr w:type="spellEnd"/>
          </w:p>
        </w:tc>
        <w:tc>
          <w:tcPr>
            <w:tcW w:w="924" w:type="pct"/>
          </w:tcPr>
          <w:p w:rsidR="00D56217" w:rsidRPr="00191C79" w:rsidRDefault="00D56217" w:rsidP="00191C79">
            <w:pPr>
              <w:pStyle w:val="Tabletext"/>
              <w:spacing w:line="240" w:lineRule="auto"/>
              <w:rPr>
                <w:spacing w:val="0"/>
                <w:lang w:eastAsia="en-GB"/>
              </w:rPr>
            </w:pPr>
            <w:r w:rsidRPr="00191C79">
              <w:rPr>
                <w:spacing w:val="0"/>
                <w:lang w:eastAsia="en-GB"/>
              </w:rPr>
              <w:t>V/m</w:t>
            </w:r>
          </w:p>
        </w:tc>
      </w:tr>
      <w:tr w:rsidR="00D56217" w:rsidRPr="00191C79" w:rsidTr="00774FEC">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tcPr>
          <w:p w:rsidR="00D56217" w:rsidRPr="00191C79" w:rsidRDefault="00D56217" w:rsidP="00191C79">
            <w:pPr>
              <w:pStyle w:val="Tabletext"/>
              <w:spacing w:line="240" w:lineRule="auto"/>
              <w:rPr>
                <w:spacing w:val="0"/>
                <w:lang w:eastAsia="en-GB"/>
              </w:rPr>
            </w:pPr>
            <w:r w:rsidRPr="00191C79">
              <w:rPr>
                <w:spacing w:val="0"/>
                <w:lang w:eastAsia="en-GB"/>
              </w:rPr>
              <w:t>Power</w:t>
            </w:r>
          </w:p>
        </w:tc>
        <w:tc>
          <w:tcPr>
            <w:tcW w:w="588" w:type="pct"/>
          </w:tcPr>
          <w:p w:rsidR="00D56217" w:rsidRPr="00191C79" w:rsidRDefault="00D56217" w:rsidP="00191C79">
            <w:pPr>
              <w:pStyle w:val="Tabletext"/>
              <w:spacing w:line="240" w:lineRule="auto"/>
              <w:rPr>
                <w:spacing w:val="0"/>
                <w:lang w:eastAsia="en-GB"/>
              </w:rPr>
            </w:pPr>
            <w:r w:rsidRPr="00191C79">
              <w:rPr>
                <w:spacing w:val="0"/>
                <w:lang w:eastAsia="en-GB"/>
              </w:rPr>
              <w:t>P</w:t>
            </w:r>
          </w:p>
        </w:tc>
        <w:tc>
          <w:tcPr>
            <w:tcW w:w="1374" w:type="pct"/>
          </w:tcPr>
          <w:p w:rsidR="00D56217" w:rsidRPr="00191C79" w:rsidRDefault="00D56217" w:rsidP="00191C79">
            <w:pPr>
              <w:pStyle w:val="Tabletext"/>
              <w:spacing w:line="240" w:lineRule="auto"/>
              <w:rPr>
                <w:spacing w:val="0"/>
                <w:lang w:eastAsia="en-GB"/>
              </w:rPr>
            </w:pPr>
            <w:r w:rsidRPr="00191C79">
              <w:rPr>
                <w:spacing w:val="0"/>
                <w:lang w:eastAsia="en-GB"/>
              </w:rPr>
              <w:t>Watts</w:t>
            </w:r>
          </w:p>
        </w:tc>
        <w:tc>
          <w:tcPr>
            <w:tcW w:w="924" w:type="pct"/>
          </w:tcPr>
          <w:p w:rsidR="00D56217" w:rsidRPr="00191C79" w:rsidRDefault="00D56217" w:rsidP="00191C79">
            <w:pPr>
              <w:pStyle w:val="Tabletext"/>
              <w:spacing w:line="240" w:lineRule="auto"/>
              <w:rPr>
                <w:spacing w:val="0"/>
                <w:lang w:eastAsia="en-GB"/>
              </w:rPr>
            </w:pPr>
            <w:r w:rsidRPr="00191C79">
              <w:rPr>
                <w:spacing w:val="0"/>
                <w:lang w:eastAsia="en-GB"/>
              </w:rPr>
              <w:t>W</w:t>
            </w:r>
          </w:p>
        </w:tc>
      </w:tr>
      <w:tr w:rsidR="00D56217" w:rsidRPr="00191C79" w:rsidTr="00774FEC">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tcPr>
          <w:p w:rsidR="00D56217" w:rsidRPr="00191C79" w:rsidRDefault="00D56217" w:rsidP="00191C79">
            <w:pPr>
              <w:pStyle w:val="Tabletext"/>
              <w:spacing w:line="240" w:lineRule="auto"/>
              <w:rPr>
                <w:spacing w:val="0"/>
                <w:lang w:eastAsia="en-GB"/>
              </w:rPr>
            </w:pPr>
            <w:proofErr w:type="spellStart"/>
            <w:r w:rsidRPr="00191C79">
              <w:rPr>
                <w:spacing w:val="0"/>
                <w:lang w:eastAsia="en-GB"/>
              </w:rPr>
              <w:t>Specific</w:t>
            </w:r>
            <w:proofErr w:type="spellEnd"/>
            <w:r w:rsidRPr="00191C79">
              <w:rPr>
                <w:spacing w:val="0"/>
                <w:lang w:eastAsia="en-GB"/>
              </w:rPr>
              <w:t xml:space="preserve"> Absorption Rate </w:t>
            </w:r>
          </w:p>
        </w:tc>
        <w:tc>
          <w:tcPr>
            <w:tcW w:w="588" w:type="pct"/>
          </w:tcPr>
          <w:p w:rsidR="00D56217" w:rsidRPr="00191C79" w:rsidRDefault="00D56217" w:rsidP="00191C79">
            <w:pPr>
              <w:pStyle w:val="Tabletext"/>
              <w:spacing w:line="240" w:lineRule="auto"/>
              <w:rPr>
                <w:spacing w:val="0"/>
                <w:lang w:eastAsia="en-GB"/>
              </w:rPr>
            </w:pPr>
            <w:r w:rsidRPr="00191C79">
              <w:rPr>
                <w:spacing w:val="0"/>
                <w:lang w:eastAsia="en-GB"/>
              </w:rPr>
              <w:t>SAR</w:t>
            </w:r>
          </w:p>
        </w:tc>
        <w:tc>
          <w:tcPr>
            <w:tcW w:w="1374" w:type="pct"/>
          </w:tcPr>
          <w:p w:rsidR="00D56217" w:rsidRPr="00191C79" w:rsidRDefault="00D56217" w:rsidP="00191C79">
            <w:pPr>
              <w:pStyle w:val="Tabletext"/>
              <w:spacing w:line="240" w:lineRule="auto"/>
              <w:rPr>
                <w:spacing w:val="0"/>
                <w:lang w:val="en-US" w:eastAsia="en-GB"/>
              </w:rPr>
            </w:pPr>
            <w:r w:rsidRPr="00191C79">
              <w:rPr>
                <w:spacing w:val="0"/>
                <w:lang w:val="en-US" w:eastAsia="en-GB"/>
              </w:rPr>
              <w:t xml:space="preserve">Watt per kilogram or </w:t>
            </w:r>
            <w:proofErr w:type="spellStart"/>
            <w:r w:rsidRPr="00191C79">
              <w:rPr>
                <w:spacing w:val="0"/>
                <w:lang w:val="en-US" w:eastAsia="en-GB"/>
              </w:rPr>
              <w:t>milliWatt</w:t>
            </w:r>
            <w:proofErr w:type="spellEnd"/>
            <w:r w:rsidRPr="00191C79">
              <w:rPr>
                <w:spacing w:val="0"/>
                <w:lang w:val="en-US" w:eastAsia="en-GB"/>
              </w:rPr>
              <w:t xml:space="preserve"> per gram</w:t>
            </w:r>
          </w:p>
        </w:tc>
        <w:tc>
          <w:tcPr>
            <w:tcW w:w="924" w:type="pct"/>
          </w:tcPr>
          <w:p w:rsidR="00D56217" w:rsidRPr="00191C79" w:rsidRDefault="00D56217" w:rsidP="00191C79">
            <w:pPr>
              <w:pStyle w:val="Tabletext"/>
              <w:spacing w:line="240" w:lineRule="auto"/>
              <w:rPr>
                <w:spacing w:val="0"/>
                <w:lang w:eastAsia="en-GB"/>
              </w:rPr>
            </w:pPr>
            <w:r w:rsidRPr="00191C79">
              <w:rPr>
                <w:spacing w:val="0"/>
                <w:lang w:eastAsia="en-GB"/>
              </w:rPr>
              <w:t>W/kg or mW/g</w:t>
            </w:r>
          </w:p>
        </w:tc>
      </w:tr>
      <w:tr w:rsidR="00D56217" w:rsidRPr="00191C79" w:rsidTr="00774FEC">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vMerge w:val="restart"/>
          </w:tcPr>
          <w:p w:rsidR="00D56217" w:rsidRPr="00191C79" w:rsidRDefault="00D56217" w:rsidP="00191C79">
            <w:pPr>
              <w:pStyle w:val="Tabletext"/>
              <w:spacing w:line="240" w:lineRule="auto"/>
              <w:rPr>
                <w:spacing w:val="0"/>
                <w:lang w:val="en-US" w:eastAsia="en-GB"/>
              </w:rPr>
            </w:pPr>
            <w:r w:rsidRPr="00191C79">
              <w:rPr>
                <w:spacing w:val="0"/>
                <w:lang w:val="en-US" w:eastAsia="en-GB"/>
              </w:rPr>
              <w:t xml:space="preserve">Power density or power flux density </w:t>
            </w:r>
          </w:p>
        </w:tc>
        <w:tc>
          <w:tcPr>
            <w:tcW w:w="588" w:type="pct"/>
            <w:vMerge w:val="restart"/>
          </w:tcPr>
          <w:p w:rsidR="00D56217" w:rsidRPr="00191C79" w:rsidRDefault="00D56217" w:rsidP="00191C79">
            <w:pPr>
              <w:pStyle w:val="Tabletext"/>
              <w:spacing w:line="240" w:lineRule="auto"/>
              <w:rPr>
                <w:spacing w:val="0"/>
                <w:lang w:eastAsia="en-GB"/>
              </w:rPr>
            </w:pPr>
            <w:r w:rsidRPr="00191C79">
              <w:rPr>
                <w:spacing w:val="0"/>
                <w:lang w:eastAsia="en-GB"/>
              </w:rPr>
              <w:t>S</w:t>
            </w:r>
          </w:p>
        </w:tc>
        <w:tc>
          <w:tcPr>
            <w:tcW w:w="1374" w:type="pct"/>
          </w:tcPr>
          <w:p w:rsidR="00D56217" w:rsidRPr="00191C79" w:rsidRDefault="00D56217" w:rsidP="00191C79">
            <w:pPr>
              <w:pStyle w:val="Tabletext"/>
              <w:spacing w:line="240" w:lineRule="auto"/>
              <w:rPr>
                <w:spacing w:val="0"/>
                <w:lang w:eastAsia="en-GB"/>
              </w:rPr>
            </w:pPr>
            <w:r w:rsidRPr="00191C79">
              <w:rPr>
                <w:spacing w:val="0"/>
                <w:lang w:eastAsia="en-GB"/>
              </w:rPr>
              <w:t xml:space="preserve">Watt per square </w:t>
            </w:r>
            <w:proofErr w:type="spellStart"/>
            <w:r w:rsidRPr="00191C79">
              <w:rPr>
                <w:spacing w:val="0"/>
                <w:lang w:eastAsia="en-GB"/>
              </w:rPr>
              <w:t>metre</w:t>
            </w:r>
            <w:proofErr w:type="spellEnd"/>
          </w:p>
        </w:tc>
        <w:tc>
          <w:tcPr>
            <w:tcW w:w="924" w:type="pct"/>
          </w:tcPr>
          <w:p w:rsidR="00D56217" w:rsidRPr="00191C79" w:rsidRDefault="00D56217" w:rsidP="00191C79">
            <w:pPr>
              <w:pStyle w:val="Tabletext"/>
              <w:spacing w:line="240" w:lineRule="auto"/>
              <w:rPr>
                <w:spacing w:val="0"/>
                <w:lang w:eastAsia="en-GB"/>
              </w:rPr>
            </w:pPr>
            <w:r w:rsidRPr="00191C79">
              <w:rPr>
                <w:spacing w:val="0"/>
                <w:lang w:eastAsia="en-GB"/>
              </w:rPr>
              <w:t>W/m²</w:t>
            </w:r>
          </w:p>
        </w:tc>
      </w:tr>
      <w:tr w:rsidR="00D56217" w:rsidRPr="00191C79" w:rsidTr="00774FEC">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vMerge/>
          </w:tcPr>
          <w:p w:rsidR="00D56217" w:rsidRPr="00191C79" w:rsidRDefault="00D56217" w:rsidP="00191C79">
            <w:pPr>
              <w:pStyle w:val="BodyText"/>
              <w:rPr>
                <w:rFonts w:ascii="Verdana" w:hAnsi="Verdana"/>
                <w:sz w:val="19"/>
                <w:szCs w:val="19"/>
                <w:lang w:eastAsia="en-GB"/>
              </w:rPr>
            </w:pPr>
          </w:p>
        </w:tc>
        <w:tc>
          <w:tcPr>
            <w:tcW w:w="588" w:type="pct"/>
            <w:vMerge/>
          </w:tcPr>
          <w:p w:rsidR="00D56217" w:rsidRPr="00191C79" w:rsidRDefault="00D56217" w:rsidP="00191C79">
            <w:pPr>
              <w:pStyle w:val="BodyText"/>
              <w:rPr>
                <w:rFonts w:ascii="Verdana" w:hAnsi="Verdana"/>
                <w:sz w:val="19"/>
                <w:szCs w:val="19"/>
                <w:lang w:eastAsia="en-GB"/>
              </w:rPr>
            </w:pPr>
          </w:p>
        </w:tc>
        <w:tc>
          <w:tcPr>
            <w:tcW w:w="1374" w:type="pct"/>
          </w:tcPr>
          <w:p w:rsidR="00D56217" w:rsidRPr="00191C79" w:rsidRDefault="00D56217" w:rsidP="00191C79">
            <w:pPr>
              <w:pStyle w:val="Tabletext"/>
              <w:spacing w:line="240" w:lineRule="auto"/>
              <w:rPr>
                <w:spacing w:val="0"/>
                <w:lang w:eastAsia="en-GB"/>
              </w:rPr>
            </w:pPr>
            <w:proofErr w:type="spellStart"/>
            <w:r w:rsidRPr="00191C79">
              <w:rPr>
                <w:spacing w:val="0"/>
                <w:lang w:eastAsia="en-GB"/>
              </w:rPr>
              <w:t>mWatt</w:t>
            </w:r>
            <w:proofErr w:type="spellEnd"/>
            <w:r w:rsidRPr="00191C79">
              <w:rPr>
                <w:spacing w:val="0"/>
                <w:lang w:eastAsia="en-GB"/>
              </w:rPr>
              <w:t xml:space="preserve"> per square cm</w:t>
            </w:r>
          </w:p>
        </w:tc>
        <w:tc>
          <w:tcPr>
            <w:tcW w:w="924" w:type="pct"/>
          </w:tcPr>
          <w:p w:rsidR="00D56217" w:rsidRPr="00191C79" w:rsidRDefault="00D56217" w:rsidP="00191C79">
            <w:pPr>
              <w:pStyle w:val="Tabletext"/>
              <w:spacing w:line="240" w:lineRule="auto"/>
              <w:rPr>
                <w:spacing w:val="0"/>
                <w:lang w:eastAsia="en-GB"/>
              </w:rPr>
            </w:pPr>
            <w:r w:rsidRPr="00191C79">
              <w:rPr>
                <w:spacing w:val="0"/>
                <w:lang w:eastAsia="en-GB"/>
              </w:rPr>
              <w:t>mW/cm²</w:t>
            </w:r>
          </w:p>
        </w:tc>
      </w:tr>
    </w:tbl>
    <w:p w:rsidR="00D56217" w:rsidRPr="00191C79" w:rsidRDefault="00D56217" w:rsidP="00191C79">
      <w:pPr>
        <w:spacing w:line="240" w:lineRule="auto"/>
        <w:rPr>
          <w:spacing w:val="0"/>
          <w:lang w:val="en-US"/>
        </w:rPr>
      </w:pPr>
    </w:p>
    <w:p w:rsidR="00D56217" w:rsidRPr="00191C79" w:rsidRDefault="00D56217" w:rsidP="00191C79">
      <w:pPr>
        <w:spacing w:line="240" w:lineRule="auto"/>
        <w:rPr>
          <w:spacing w:val="0"/>
          <w:lang w:val="en-US"/>
        </w:rPr>
      </w:pPr>
      <w:r w:rsidRPr="00191C79">
        <w:rPr>
          <w:spacing w:val="0"/>
          <w:lang w:val="en-US"/>
        </w:rPr>
        <w:t xml:space="preserve">Various institutions define the allowed limits permitted in specific regions: ICNIRP (1998, </w:t>
      </w:r>
      <w:r w:rsidRPr="00191C79">
        <w:rPr>
          <w:i/>
          <w:iCs/>
          <w:spacing w:val="0"/>
          <w:lang w:val="en-US"/>
        </w:rPr>
        <w:t>Guidelines</w:t>
      </w:r>
      <w:r w:rsidRPr="00191C79">
        <w:rPr>
          <w:spacing w:val="0"/>
          <w:lang w:val="en-US"/>
        </w:rPr>
        <w:t xml:space="preserve">); FCC- Federal Communications Commission (1997, </w:t>
      </w:r>
      <w:r w:rsidRPr="00191C79">
        <w:rPr>
          <w:i/>
          <w:iCs/>
          <w:spacing w:val="0"/>
          <w:lang w:val="en-US"/>
        </w:rPr>
        <w:t>Bulletin 65</w:t>
      </w:r>
      <w:r w:rsidRPr="00191C79">
        <w:rPr>
          <w:spacing w:val="0"/>
          <w:lang w:val="en-US"/>
        </w:rPr>
        <w:t xml:space="preserve">), developed by IEEE (Institute of Electrical and Electronic Engineers) 1991 C95.1 and adopted by ANSI (American National Standards Institute) (1992, ANSI/IEEE C95.1); IEEE 2006 standard (C95.1-2005), not adopted by FCC. ICNIRP (1998 p. 509 table 4 and p. 511 table 7) defines the exposure thresholds of the World Health </w:t>
      </w:r>
      <w:proofErr w:type="spellStart"/>
      <w:r w:rsidRPr="00191C79">
        <w:rPr>
          <w:spacing w:val="0"/>
          <w:lang w:val="en-US"/>
        </w:rPr>
        <w:t>Organisation</w:t>
      </w:r>
      <w:proofErr w:type="spellEnd"/>
      <w:r w:rsidRPr="00191C79">
        <w:rPr>
          <w:spacing w:val="0"/>
          <w:lang w:val="en-US"/>
        </w:rPr>
        <w:t xml:space="preserve"> (WHO) for EMF. The European Council EC 1999/519 (Annex III, tables 1 and 2) adopted its values.   The following tables refer to the exposure limits for general public/ uncontrolled/ unperturbed environment (unlike the controlled/ occupational) for the cellular (UHF bands), where 'f' represents frequency in MHz, unless otherwise stated. </w:t>
      </w:r>
    </w:p>
    <w:p w:rsidR="00D56217" w:rsidRPr="00191C79" w:rsidRDefault="00D56217" w:rsidP="00191C79">
      <w:pPr>
        <w:spacing w:line="240" w:lineRule="auto"/>
        <w:rPr>
          <w:spacing w:val="0"/>
          <w:lang w:val="en-US"/>
        </w:rPr>
      </w:pPr>
      <w:r w:rsidRPr="00191C79">
        <w:rPr>
          <w:spacing w:val="0"/>
          <w:lang w:val="en-US"/>
        </w:rPr>
        <w:t>A distinction is made between the exposure levels from cellular base stations and handsets. The hazards from a base station’s radiation refer to the field intensity and power density generated, whereas the hazards from handsets are considered by the SAR value. The reason for the two different approaches: the far-field standard (easily computable and measured) is used for the base station case, whereas the near-field standard (SAR and phantom-based measurements) is applied for the handset case. The standards and guidelines give the 'baseline limits' for power density and SAR.</w:t>
      </w:r>
    </w:p>
    <w:p w:rsidR="00D56217" w:rsidRPr="00191C79" w:rsidRDefault="00D56217" w:rsidP="00191C79">
      <w:pPr>
        <w:pStyle w:val="HeadingB"/>
        <w:spacing w:line="240" w:lineRule="auto"/>
        <w:rPr>
          <w:spacing w:val="0"/>
        </w:rPr>
      </w:pPr>
      <w:bookmarkStart w:id="41" w:name="_Toc361912441"/>
      <w:bookmarkStart w:id="42" w:name="_Toc374691841"/>
      <w:bookmarkStart w:id="43" w:name="_Toc149211791"/>
      <w:r w:rsidRPr="00191C79">
        <w:rPr>
          <w:spacing w:val="0"/>
        </w:rPr>
        <w:br w:type="page"/>
      </w:r>
    </w:p>
    <w:p w:rsidR="00D56217" w:rsidRPr="00191C79" w:rsidRDefault="00D56217" w:rsidP="00191C79">
      <w:pPr>
        <w:pStyle w:val="Heading1"/>
        <w:spacing w:line="240" w:lineRule="auto"/>
        <w:rPr>
          <w:smallCaps/>
          <w:spacing w:val="0"/>
        </w:rPr>
      </w:pPr>
      <w:r w:rsidRPr="00191C79">
        <w:rPr>
          <w:spacing w:val="0"/>
        </w:rPr>
        <w:lastRenderedPageBreak/>
        <w:t xml:space="preserve">Annex 2: </w:t>
      </w:r>
      <w:r w:rsidRPr="00191C79">
        <w:rPr>
          <w:spacing w:val="0"/>
        </w:rPr>
        <w:tab/>
        <w:t>ICNIRP 1998 Exposure Levels and IEEE Levels</w:t>
      </w:r>
      <w:bookmarkEnd w:id="41"/>
      <w:bookmarkEnd w:id="42"/>
    </w:p>
    <w:p w:rsidR="00D56217" w:rsidRPr="00191C79" w:rsidRDefault="00D56217" w:rsidP="00191C79">
      <w:pPr>
        <w:pStyle w:val="Tabletitle"/>
        <w:spacing w:before="120" w:line="240" w:lineRule="auto"/>
        <w:rPr>
          <w:spacing w:val="0"/>
          <w:lang w:val="en-GB" w:eastAsia="en-GB"/>
        </w:rPr>
      </w:pPr>
      <w:bookmarkStart w:id="44" w:name="_Toc361912442"/>
      <w:r w:rsidRPr="00191C79">
        <w:rPr>
          <w:rStyle w:val="FootnoteReference"/>
          <w:spacing w:val="0"/>
          <w:lang w:val="en-US"/>
        </w:rPr>
        <w:footnoteReference w:customMarkFollows="1" w:id="22"/>
        <w:t>1</w:t>
      </w:r>
      <w:r w:rsidRPr="00191C79">
        <w:rPr>
          <w:spacing w:val="0"/>
        </w:rPr>
        <w:t>Table 2</w:t>
      </w:r>
      <w:r w:rsidRPr="00191C79">
        <w:rPr>
          <w:spacing w:val="0"/>
          <w:lang w:eastAsia="en-GB"/>
        </w:rPr>
        <w:t>: ICNIRP (1998:511) Reference levels for occupational and general public exposure</w:t>
      </w:r>
      <w:bookmarkEnd w:id="44"/>
    </w:p>
    <w:tbl>
      <w:tblPr>
        <w:tblStyle w:val="Style1"/>
        <w:tblW w:w="4851" w:type="pct"/>
        <w:jc w:val="center"/>
        <w:tblLook w:val="01E0" w:firstRow="1" w:lastRow="1" w:firstColumn="1" w:lastColumn="1" w:noHBand="0" w:noVBand="0"/>
      </w:tblPr>
      <w:tblGrid>
        <w:gridCol w:w="2702"/>
        <w:gridCol w:w="1842"/>
        <w:gridCol w:w="1487"/>
        <w:gridCol w:w="1485"/>
        <w:gridCol w:w="1494"/>
      </w:tblGrid>
      <w:tr w:rsidR="00D56217" w:rsidRPr="004D6922" w:rsidTr="00774FEC">
        <w:trPr>
          <w:cnfStyle w:val="100000000000" w:firstRow="1" w:lastRow="0" w:firstColumn="0" w:lastColumn="0" w:oddVBand="0" w:evenVBand="0" w:oddHBand="0" w:evenHBand="0" w:firstRowFirstColumn="0" w:firstRowLastColumn="0" w:lastRowFirstColumn="0" w:lastRowLastColumn="0"/>
          <w:trHeight w:val="664"/>
          <w:jc w:val="center"/>
        </w:trPr>
        <w:tc>
          <w:tcPr>
            <w:tcW w:w="1500" w:type="pct"/>
            <w:hideMark/>
          </w:tcPr>
          <w:p w:rsidR="00D56217" w:rsidRPr="00191C79" w:rsidRDefault="00D56217" w:rsidP="00191C79">
            <w:pPr>
              <w:pStyle w:val="Tablehead"/>
              <w:spacing w:line="240" w:lineRule="auto"/>
              <w:rPr>
                <w:spacing w:val="0"/>
                <w:lang w:val="en-GB" w:eastAsia="en-GB"/>
              </w:rPr>
            </w:pPr>
            <w:r w:rsidRPr="00191C79">
              <w:rPr>
                <w:spacing w:val="0"/>
                <w:lang w:eastAsia="en-GB"/>
              </w:rPr>
              <w:t>Frequency  range</w:t>
            </w:r>
          </w:p>
        </w:tc>
        <w:tc>
          <w:tcPr>
            <w:tcW w:w="1846" w:type="pct"/>
            <w:gridSpan w:val="2"/>
            <w:hideMark/>
          </w:tcPr>
          <w:p w:rsidR="00D56217" w:rsidRPr="00191C79" w:rsidRDefault="00D56217" w:rsidP="00191C79">
            <w:pPr>
              <w:pStyle w:val="Tablehead"/>
              <w:spacing w:line="240" w:lineRule="auto"/>
              <w:rPr>
                <w:spacing w:val="0"/>
                <w:lang w:val="en-GB" w:eastAsia="en-GB"/>
              </w:rPr>
            </w:pPr>
            <w:r w:rsidRPr="00191C79">
              <w:rPr>
                <w:spacing w:val="0"/>
                <w:lang w:eastAsia="en-GB"/>
              </w:rPr>
              <w:t>Electric field strength (V/m)</w:t>
            </w:r>
          </w:p>
        </w:tc>
        <w:tc>
          <w:tcPr>
            <w:tcW w:w="1654" w:type="pct"/>
            <w:gridSpan w:val="2"/>
            <w:hideMark/>
          </w:tcPr>
          <w:p w:rsidR="00D56217" w:rsidRPr="00191C79" w:rsidRDefault="00D56217" w:rsidP="00191C79">
            <w:pPr>
              <w:pStyle w:val="Tablehead"/>
              <w:spacing w:line="240" w:lineRule="auto"/>
              <w:rPr>
                <w:spacing w:val="0"/>
                <w:lang w:val="en-GB" w:eastAsia="en-GB"/>
              </w:rPr>
            </w:pPr>
            <w:r w:rsidRPr="00191C79">
              <w:rPr>
                <w:spacing w:val="0"/>
                <w:lang w:eastAsia="en-GB"/>
              </w:rPr>
              <w:t xml:space="preserve">Equivalent plane wave power density </w:t>
            </w:r>
            <w:proofErr w:type="spellStart"/>
            <w:r w:rsidRPr="00191C79">
              <w:rPr>
                <w:spacing w:val="0"/>
                <w:lang w:eastAsia="en-GB"/>
              </w:rPr>
              <w:t>S</w:t>
            </w:r>
            <w:r w:rsidRPr="00191C79">
              <w:rPr>
                <w:spacing w:val="0"/>
                <w:vertAlign w:val="subscript"/>
                <w:lang w:eastAsia="en-GB"/>
              </w:rPr>
              <w:t>eq</w:t>
            </w:r>
            <w:proofErr w:type="spellEnd"/>
            <w:r w:rsidRPr="00191C79">
              <w:rPr>
                <w:spacing w:val="0"/>
                <w:lang w:eastAsia="en-GB"/>
              </w:rPr>
              <w:t>(W/m</w:t>
            </w:r>
            <w:r w:rsidRPr="00191C79">
              <w:rPr>
                <w:spacing w:val="0"/>
                <w:vertAlign w:val="superscript"/>
                <w:lang w:eastAsia="en-GB"/>
              </w:rPr>
              <w:t>2</w:t>
            </w:r>
            <w:r w:rsidRPr="00191C79">
              <w:rPr>
                <w:spacing w:val="0"/>
                <w:lang w:eastAsia="en-GB"/>
              </w:rPr>
              <w:t>)</w:t>
            </w:r>
          </w:p>
        </w:tc>
      </w:tr>
      <w:tr w:rsidR="00D56217" w:rsidRPr="00191C79" w:rsidTr="00774FEC">
        <w:trPr>
          <w:cnfStyle w:val="000000100000" w:firstRow="0" w:lastRow="0" w:firstColumn="0" w:lastColumn="0" w:oddVBand="0" w:evenVBand="0" w:oddHBand="1" w:evenHBand="0" w:firstRowFirstColumn="0" w:firstRowLastColumn="0" w:lastRowFirstColumn="0" w:lastRowLastColumn="0"/>
          <w:trHeight w:val="345"/>
          <w:jc w:val="center"/>
        </w:trPr>
        <w:tc>
          <w:tcPr>
            <w:tcW w:w="1500" w:type="pct"/>
          </w:tcPr>
          <w:p w:rsidR="00D56217" w:rsidRPr="00191C79" w:rsidRDefault="00D56217" w:rsidP="00191C79">
            <w:pPr>
              <w:pStyle w:val="Tabletext"/>
              <w:spacing w:line="240" w:lineRule="auto"/>
              <w:rPr>
                <w:spacing w:val="0"/>
                <w:lang w:val="en-GB" w:eastAsia="en-GB"/>
              </w:rPr>
            </w:pPr>
          </w:p>
        </w:tc>
        <w:tc>
          <w:tcPr>
            <w:tcW w:w="1022" w:type="pct"/>
            <w:hideMark/>
          </w:tcPr>
          <w:p w:rsidR="00D56217" w:rsidRPr="00191C79" w:rsidRDefault="00D56217" w:rsidP="00191C79">
            <w:pPr>
              <w:pStyle w:val="Tabletext"/>
              <w:spacing w:line="240" w:lineRule="auto"/>
              <w:rPr>
                <w:b/>
                <w:spacing w:val="0"/>
                <w:lang w:val="en-GB" w:eastAsia="en-GB"/>
              </w:rPr>
            </w:pPr>
            <w:proofErr w:type="spellStart"/>
            <w:r w:rsidRPr="00191C79">
              <w:rPr>
                <w:rFonts w:eastAsiaTheme="minorHAnsi"/>
                <w:b/>
                <w:spacing w:val="0"/>
                <w:lang w:eastAsia="en-US"/>
              </w:rPr>
              <w:t>general</w:t>
            </w:r>
            <w:proofErr w:type="spellEnd"/>
            <w:r w:rsidRPr="00191C79">
              <w:rPr>
                <w:rFonts w:eastAsiaTheme="minorHAnsi"/>
                <w:b/>
                <w:spacing w:val="0"/>
                <w:lang w:eastAsia="en-US"/>
              </w:rPr>
              <w:t xml:space="preserve"> public</w:t>
            </w:r>
          </w:p>
        </w:tc>
        <w:tc>
          <w:tcPr>
            <w:tcW w:w="825" w:type="pct"/>
            <w:hideMark/>
          </w:tcPr>
          <w:p w:rsidR="00D56217" w:rsidRPr="00191C79" w:rsidRDefault="00D56217" w:rsidP="00191C79">
            <w:pPr>
              <w:pStyle w:val="Tabletext"/>
              <w:spacing w:line="240" w:lineRule="auto"/>
              <w:rPr>
                <w:b/>
                <w:spacing w:val="0"/>
                <w:lang w:val="en-GB" w:eastAsia="en-GB"/>
              </w:rPr>
            </w:pPr>
            <w:proofErr w:type="spellStart"/>
            <w:r w:rsidRPr="00191C79">
              <w:rPr>
                <w:rFonts w:eastAsiaTheme="minorHAnsi"/>
                <w:b/>
                <w:spacing w:val="0"/>
                <w:lang w:eastAsia="en-US"/>
              </w:rPr>
              <w:t>occupational</w:t>
            </w:r>
            <w:proofErr w:type="spellEnd"/>
          </w:p>
        </w:tc>
        <w:tc>
          <w:tcPr>
            <w:tcW w:w="824" w:type="pct"/>
            <w:hideMark/>
          </w:tcPr>
          <w:p w:rsidR="00D56217" w:rsidRPr="00191C79" w:rsidRDefault="00D56217" w:rsidP="00191C79">
            <w:pPr>
              <w:pStyle w:val="Tabletext"/>
              <w:spacing w:line="240" w:lineRule="auto"/>
              <w:rPr>
                <w:b/>
                <w:spacing w:val="0"/>
                <w:lang w:val="en-GB" w:eastAsia="en-GB"/>
              </w:rPr>
            </w:pPr>
            <w:proofErr w:type="spellStart"/>
            <w:r w:rsidRPr="00191C79">
              <w:rPr>
                <w:rFonts w:eastAsiaTheme="minorHAnsi"/>
                <w:b/>
                <w:spacing w:val="0"/>
                <w:lang w:eastAsia="en-US"/>
              </w:rPr>
              <w:t>general</w:t>
            </w:r>
            <w:proofErr w:type="spellEnd"/>
            <w:r w:rsidRPr="00191C79">
              <w:rPr>
                <w:rFonts w:eastAsiaTheme="minorHAnsi"/>
                <w:b/>
                <w:spacing w:val="0"/>
                <w:lang w:eastAsia="en-US"/>
              </w:rPr>
              <w:t xml:space="preserve"> public</w:t>
            </w:r>
          </w:p>
        </w:tc>
        <w:tc>
          <w:tcPr>
            <w:tcW w:w="830" w:type="pct"/>
            <w:hideMark/>
          </w:tcPr>
          <w:p w:rsidR="00D56217" w:rsidRPr="00191C79" w:rsidRDefault="00D56217" w:rsidP="00191C79">
            <w:pPr>
              <w:pStyle w:val="Tabletext"/>
              <w:spacing w:line="240" w:lineRule="auto"/>
              <w:rPr>
                <w:b/>
                <w:spacing w:val="0"/>
                <w:lang w:val="en-GB" w:eastAsia="en-GB"/>
              </w:rPr>
            </w:pPr>
            <w:proofErr w:type="spellStart"/>
            <w:r w:rsidRPr="00191C79">
              <w:rPr>
                <w:rFonts w:eastAsiaTheme="minorHAnsi"/>
                <w:b/>
                <w:spacing w:val="0"/>
                <w:lang w:eastAsia="en-US"/>
              </w:rPr>
              <w:t>Occupational</w:t>
            </w:r>
            <w:proofErr w:type="spellEnd"/>
          </w:p>
        </w:tc>
      </w:tr>
      <w:tr w:rsidR="00D56217" w:rsidRPr="00191C79" w:rsidTr="00774FEC">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 xml:space="preserve">1-25  Hz </w:t>
            </w:r>
          </w:p>
        </w:tc>
        <w:tc>
          <w:tcPr>
            <w:tcW w:w="1022"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10,000</w:t>
            </w:r>
          </w:p>
        </w:tc>
        <w:tc>
          <w:tcPr>
            <w:tcW w:w="825"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20,000</w:t>
            </w:r>
          </w:p>
        </w:tc>
        <w:tc>
          <w:tcPr>
            <w:tcW w:w="1654" w:type="pct"/>
            <w:gridSpan w:val="2"/>
            <w:vMerge w:val="restart"/>
            <w:hideMark/>
          </w:tcPr>
          <w:p w:rsidR="00D56217" w:rsidRPr="00191C79" w:rsidRDefault="00D56217" w:rsidP="00191C79">
            <w:pPr>
              <w:pStyle w:val="Tabletext"/>
              <w:spacing w:line="240" w:lineRule="auto"/>
              <w:rPr>
                <w:spacing w:val="0"/>
                <w:lang w:val="en-GB" w:eastAsia="en-GB"/>
              </w:rPr>
            </w:pPr>
          </w:p>
        </w:tc>
      </w:tr>
      <w:tr w:rsidR="00D56217" w:rsidRPr="00191C79" w:rsidTr="00774FEC">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 xml:space="preserve">0.025- 0.82 KHz </w:t>
            </w:r>
          </w:p>
        </w:tc>
        <w:tc>
          <w:tcPr>
            <w:tcW w:w="1022"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250/f(KHz)</w:t>
            </w:r>
          </w:p>
        </w:tc>
        <w:tc>
          <w:tcPr>
            <w:tcW w:w="825"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500/f(KHz)</w:t>
            </w:r>
          </w:p>
        </w:tc>
        <w:tc>
          <w:tcPr>
            <w:tcW w:w="0" w:type="auto"/>
            <w:gridSpan w:val="2"/>
            <w:vMerge/>
            <w:hideMark/>
          </w:tcPr>
          <w:p w:rsidR="00D56217" w:rsidRPr="00191C79" w:rsidRDefault="00D56217" w:rsidP="00191C79">
            <w:pPr>
              <w:pStyle w:val="Tabletext"/>
              <w:spacing w:line="240" w:lineRule="auto"/>
              <w:rPr>
                <w:spacing w:val="0"/>
                <w:lang w:val="en-GB" w:eastAsia="en-GB"/>
              </w:rPr>
            </w:pPr>
          </w:p>
        </w:tc>
      </w:tr>
      <w:tr w:rsidR="00D56217" w:rsidRPr="00191C79" w:rsidTr="00774FEC">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 xml:space="preserve">0.82 -3 KHz </w:t>
            </w:r>
          </w:p>
        </w:tc>
        <w:tc>
          <w:tcPr>
            <w:tcW w:w="1022"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250/f(KHz)</w:t>
            </w:r>
          </w:p>
        </w:tc>
        <w:tc>
          <w:tcPr>
            <w:tcW w:w="825"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610</w:t>
            </w:r>
          </w:p>
        </w:tc>
        <w:tc>
          <w:tcPr>
            <w:tcW w:w="0" w:type="auto"/>
            <w:gridSpan w:val="2"/>
            <w:vMerge/>
            <w:hideMark/>
          </w:tcPr>
          <w:p w:rsidR="00D56217" w:rsidRPr="00191C79" w:rsidRDefault="00D56217" w:rsidP="00191C79">
            <w:pPr>
              <w:pStyle w:val="Tabletext"/>
              <w:spacing w:line="240" w:lineRule="auto"/>
              <w:rPr>
                <w:spacing w:val="0"/>
                <w:lang w:val="en-GB" w:eastAsia="en-GB"/>
              </w:rPr>
            </w:pPr>
          </w:p>
        </w:tc>
      </w:tr>
      <w:tr w:rsidR="00D56217" w:rsidRPr="00191C79" w:rsidTr="00774FEC">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 xml:space="preserve">3-1000 KHz </w:t>
            </w:r>
          </w:p>
        </w:tc>
        <w:tc>
          <w:tcPr>
            <w:tcW w:w="1022"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87</w:t>
            </w:r>
          </w:p>
        </w:tc>
        <w:tc>
          <w:tcPr>
            <w:tcW w:w="825"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610</w:t>
            </w:r>
          </w:p>
        </w:tc>
        <w:tc>
          <w:tcPr>
            <w:tcW w:w="0" w:type="auto"/>
            <w:gridSpan w:val="2"/>
            <w:vMerge/>
            <w:hideMark/>
          </w:tcPr>
          <w:p w:rsidR="00D56217" w:rsidRPr="00191C79" w:rsidRDefault="00D56217" w:rsidP="00191C79">
            <w:pPr>
              <w:pStyle w:val="Tabletext"/>
              <w:spacing w:line="240" w:lineRule="auto"/>
              <w:rPr>
                <w:spacing w:val="0"/>
                <w:lang w:val="en-GB" w:eastAsia="en-GB"/>
              </w:rPr>
            </w:pPr>
          </w:p>
        </w:tc>
      </w:tr>
      <w:tr w:rsidR="00D56217" w:rsidRPr="00191C79" w:rsidTr="00774FEC">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 xml:space="preserve">1-10 MHz </w:t>
            </w:r>
          </w:p>
        </w:tc>
        <w:tc>
          <w:tcPr>
            <w:tcW w:w="1022"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 xml:space="preserve">87/f </w:t>
            </w:r>
            <w:r w:rsidRPr="00191C79">
              <w:rPr>
                <w:spacing w:val="0"/>
                <w:vertAlign w:val="superscript"/>
                <w:lang w:eastAsia="en-GB"/>
              </w:rPr>
              <w:t>1/2</w:t>
            </w:r>
            <w:r w:rsidRPr="00191C79">
              <w:rPr>
                <w:spacing w:val="0"/>
                <w:lang w:eastAsia="en-GB"/>
              </w:rPr>
              <w:t xml:space="preserve"> (MHz)</w:t>
            </w:r>
          </w:p>
        </w:tc>
        <w:tc>
          <w:tcPr>
            <w:tcW w:w="825"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610/f (MHz)</w:t>
            </w:r>
          </w:p>
        </w:tc>
        <w:tc>
          <w:tcPr>
            <w:tcW w:w="0" w:type="auto"/>
            <w:gridSpan w:val="2"/>
            <w:vMerge/>
            <w:hideMark/>
          </w:tcPr>
          <w:p w:rsidR="00D56217" w:rsidRPr="00191C79" w:rsidRDefault="00D56217" w:rsidP="00191C79">
            <w:pPr>
              <w:pStyle w:val="Tabletext"/>
              <w:spacing w:line="240" w:lineRule="auto"/>
              <w:rPr>
                <w:spacing w:val="0"/>
                <w:lang w:val="en-GB" w:eastAsia="en-GB"/>
              </w:rPr>
            </w:pPr>
          </w:p>
        </w:tc>
      </w:tr>
      <w:tr w:rsidR="00D56217" w:rsidRPr="00191C79" w:rsidTr="00774FEC">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10-400  MHz</w:t>
            </w:r>
          </w:p>
        </w:tc>
        <w:tc>
          <w:tcPr>
            <w:tcW w:w="1022"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28</w:t>
            </w:r>
          </w:p>
        </w:tc>
        <w:tc>
          <w:tcPr>
            <w:tcW w:w="825"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61</w:t>
            </w:r>
          </w:p>
        </w:tc>
        <w:tc>
          <w:tcPr>
            <w:tcW w:w="824"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2</w:t>
            </w:r>
          </w:p>
        </w:tc>
        <w:tc>
          <w:tcPr>
            <w:tcW w:w="830"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10</w:t>
            </w:r>
          </w:p>
        </w:tc>
      </w:tr>
      <w:tr w:rsidR="00D56217" w:rsidRPr="00191C79" w:rsidTr="00774FEC">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400-2000 MHz</w:t>
            </w:r>
          </w:p>
        </w:tc>
        <w:tc>
          <w:tcPr>
            <w:tcW w:w="1022"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 xml:space="preserve">1.375f </w:t>
            </w:r>
            <w:r w:rsidRPr="00191C79">
              <w:rPr>
                <w:spacing w:val="0"/>
                <w:vertAlign w:val="superscript"/>
                <w:lang w:eastAsia="en-GB"/>
              </w:rPr>
              <w:t>1/2</w:t>
            </w:r>
            <w:r w:rsidRPr="00191C79">
              <w:rPr>
                <w:spacing w:val="0"/>
                <w:lang w:eastAsia="en-GB"/>
              </w:rPr>
              <w:t xml:space="preserve"> (MHz)</w:t>
            </w:r>
          </w:p>
        </w:tc>
        <w:tc>
          <w:tcPr>
            <w:tcW w:w="825"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 xml:space="preserve">3f </w:t>
            </w:r>
            <w:r w:rsidRPr="00191C79">
              <w:rPr>
                <w:spacing w:val="0"/>
                <w:vertAlign w:val="superscript"/>
                <w:lang w:eastAsia="en-GB"/>
              </w:rPr>
              <w:t>1/2</w:t>
            </w:r>
            <w:r w:rsidRPr="00191C79">
              <w:rPr>
                <w:spacing w:val="0"/>
                <w:lang w:eastAsia="en-GB"/>
              </w:rPr>
              <w:t xml:space="preserve"> (MHz)</w:t>
            </w:r>
          </w:p>
        </w:tc>
        <w:tc>
          <w:tcPr>
            <w:tcW w:w="824"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f/200</w:t>
            </w:r>
          </w:p>
        </w:tc>
        <w:tc>
          <w:tcPr>
            <w:tcW w:w="830"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f/40</w:t>
            </w:r>
          </w:p>
        </w:tc>
      </w:tr>
      <w:tr w:rsidR="00D56217" w:rsidRPr="00191C79" w:rsidTr="00774FEC">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 xml:space="preserve">2-300 GHz  </w:t>
            </w:r>
          </w:p>
        </w:tc>
        <w:tc>
          <w:tcPr>
            <w:tcW w:w="1022"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61</w:t>
            </w:r>
          </w:p>
        </w:tc>
        <w:tc>
          <w:tcPr>
            <w:tcW w:w="825"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137</w:t>
            </w:r>
          </w:p>
        </w:tc>
        <w:tc>
          <w:tcPr>
            <w:tcW w:w="824"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10</w:t>
            </w:r>
          </w:p>
        </w:tc>
        <w:tc>
          <w:tcPr>
            <w:tcW w:w="830" w:type="pct"/>
            <w:hideMark/>
          </w:tcPr>
          <w:p w:rsidR="00D56217" w:rsidRPr="00191C79" w:rsidRDefault="00D56217" w:rsidP="00191C79">
            <w:pPr>
              <w:pStyle w:val="Tabletext"/>
              <w:spacing w:line="240" w:lineRule="auto"/>
              <w:rPr>
                <w:spacing w:val="0"/>
                <w:lang w:val="en-GB" w:eastAsia="en-GB"/>
              </w:rPr>
            </w:pPr>
            <w:r w:rsidRPr="00191C79">
              <w:rPr>
                <w:spacing w:val="0"/>
                <w:lang w:eastAsia="en-GB"/>
              </w:rPr>
              <w:t>50</w:t>
            </w:r>
          </w:p>
        </w:tc>
      </w:tr>
    </w:tbl>
    <w:p w:rsidR="00D56217" w:rsidRPr="00191C79" w:rsidRDefault="00D56217" w:rsidP="00191C79">
      <w:pPr>
        <w:spacing w:line="240" w:lineRule="auto"/>
        <w:rPr>
          <w:spacing w:val="0"/>
          <w:szCs w:val="19"/>
          <w:lang w:eastAsia="en-US"/>
        </w:rPr>
      </w:pPr>
    </w:p>
    <w:p w:rsidR="00D56217" w:rsidRPr="00191C79" w:rsidRDefault="00D56217" w:rsidP="00191C79">
      <w:pPr>
        <w:pStyle w:val="Figuretitle"/>
        <w:spacing w:before="120" w:line="240" w:lineRule="auto"/>
        <w:rPr>
          <w:spacing w:val="0"/>
        </w:rPr>
      </w:pPr>
      <w:bookmarkStart w:id="45" w:name="_Toc356299111"/>
      <w:bookmarkStart w:id="46" w:name="_Toc336265634"/>
      <w:bookmarkStart w:id="47" w:name="_Toc375239132"/>
      <w:r w:rsidRPr="00191C79">
        <w:rPr>
          <w:spacing w:val="0"/>
        </w:rPr>
        <w:t xml:space="preserve">Figure </w:t>
      </w:r>
      <w:r w:rsidRPr="00191C79">
        <w:rPr>
          <w:spacing w:val="0"/>
        </w:rPr>
        <w:fldChar w:fldCharType="begin"/>
      </w:r>
      <w:r w:rsidRPr="00191C79">
        <w:rPr>
          <w:spacing w:val="0"/>
        </w:rPr>
        <w:instrText xml:space="preserve"> SEQ Figure \* ARABIC \s 1 </w:instrText>
      </w:r>
      <w:r w:rsidRPr="00191C79">
        <w:rPr>
          <w:spacing w:val="0"/>
        </w:rPr>
        <w:fldChar w:fldCharType="separate"/>
      </w:r>
      <w:r w:rsidRPr="00191C79">
        <w:rPr>
          <w:noProof/>
          <w:spacing w:val="0"/>
        </w:rPr>
        <w:t>1</w:t>
      </w:r>
      <w:r w:rsidRPr="00191C79">
        <w:rPr>
          <w:spacing w:val="0"/>
        </w:rPr>
        <w:fldChar w:fldCharType="end"/>
      </w:r>
      <w:r w:rsidRPr="00191C79">
        <w:rPr>
          <w:spacing w:val="0"/>
        </w:rPr>
        <w:t>: ICNIRP field strength reference levels; see also Table 2</w:t>
      </w:r>
      <w:bookmarkEnd w:id="45"/>
      <w:bookmarkEnd w:id="46"/>
      <w:bookmarkEnd w:id="47"/>
    </w:p>
    <w:p w:rsidR="00D56217" w:rsidRPr="00191C79" w:rsidRDefault="00D56217" w:rsidP="00191C79">
      <w:pPr>
        <w:pStyle w:val="Figure"/>
        <w:spacing w:before="120" w:line="240" w:lineRule="auto"/>
        <w:rPr>
          <w:spacing w:val="0"/>
        </w:rPr>
      </w:pPr>
      <w:r w:rsidRPr="00191C79">
        <w:rPr>
          <w:noProof/>
          <w:spacing w:val="0"/>
          <w:lang w:val="en-US" w:eastAsia="zh-CN"/>
        </w:rPr>
        <w:drawing>
          <wp:inline distT="0" distB="0" distL="0" distR="0" wp14:anchorId="2955B1E6" wp14:editId="57968ECF">
            <wp:extent cx="5179162" cy="2560320"/>
            <wp:effectExtent l="0" t="0" r="2159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56217" w:rsidRPr="00191C79" w:rsidRDefault="00D56217" w:rsidP="00191C79">
      <w:pPr>
        <w:pStyle w:val="figuresource"/>
        <w:spacing w:line="240" w:lineRule="auto"/>
        <w:rPr>
          <w:spacing w:val="0"/>
        </w:rPr>
      </w:pPr>
    </w:p>
    <w:p w:rsidR="00D56217" w:rsidRPr="00191C79" w:rsidRDefault="00D56217" w:rsidP="00191C79">
      <w:pPr>
        <w:pStyle w:val="Caption"/>
        <w:jc w:val="center"/>
      </w:pPr>
      <w:bookmarkStart w:id="48" w:name="_Toc356299112"/>
      <w:bookmarkStart w:id="49" w:name="_Toc336265635"/>
    </w:p>
    <w:p w:rsidR="00D56217" w:rsidRPr="00191C79" w:rsidRDefault="00D56217" w:rsidP="00191C79">
      <w:pPr>
        <w:pStyle w:val="Figuretitle"/>
        <w:spacing w:line="240" w:lineRule="auto"/>
        <w:rPr>
          <w:spacing w:val="0"/>
        </w:rPr>
      </w:pPr>
      <w:bookmarkStart w:id="50" w:name="_Toc375239133"/>
      <w:r w:rsidRPr="00191C79">
        <w:rPr>
          <w:spacing w:val="0"/>
        </w:rPr>
        <w:lastRenderedPageBreak/>
        <w:t xml:space="preserve">Figure </w:t>
      </w:r>
      <w:r w:rsidRPr="00191C79">
        <w:rPr>
          <w:spacing w:val="0"/>
        </w:rPr>
        <w:fldChar w:fldCharType="begin"/>
      </w:r>
      <w:r w:rsidRPr="00191C79">
        <w:rPr>
          <w:spacing w:val="0"/>
        </w:rPr>
        <w:instrText xml:space="preserve"> SEQ Figure \* ARABIC \s 1 </w:instrText>
      </w:r>
      <w:r w:rsidRPr="00191C79">
        <w:rPr>
          <w:spacing w:val="0"/>
        </w:rPr>
        <w:fldChar w:fldCharType="separate"/>
      </w:r>
      <w:r w:rsidRPr="00191C79">
        <w:rPr>
          <w:noProof/>
          <w:spacing w:val="0"/>
        </w:rPr>
        <w:t>2</w:t>
      </w:r>
      <w:r w:rsidRPr="00191C79">
        <w:rPr>
          <w:spacing w:val="0"/>
        </w:rPr>
        <w:fldChar w:fldCharType="end"/>
      </w:r>
      <w:r w:rsidRPr="00191C79">
        <w:rPr>
          <w:spacing w:val="0"/>
        </w:rPr>
        <w:t>: ICNIRP power density reference levels; above 10MHz only; see Table 2</w:t>
      </w:r>
      <w:bookmarkStart w:id="51" w:name="_Toc361912443"/>
      <w:bookmarkEnd w:id="48"/>
      <w:bookmarkEnd w:id="49"/>
      <w:bookmarkEnd w:id="50"/>
    </w:p>
    <w:p w:rsidR="00D56217" w:rsidRPr="00191C79" w:rsidRDefault="00D56217" w:rsidP="00191C79">
      <w:pPr>
        <w:pStyle w:val="Figure"/>
        <w:spacing w:line="240" w:lineRule="auto"/>
        <w:rPr>
          <w:spacing w:val="0"/>
        </w:rPr>
      </w:pPr>
      <w:r w:rsidRPr="00191C79">
        <w:rPr>
          <w:noProof/>
          <w:spacing w:val="0"/>
          <w:lang w:val="en-US" w:eastAsia="zh-CN"/>
        </w:rPr>
        <w:drawing>
          <wp:inline distT="0" distB="0" distL="0" distR="0" wp14:anchorId="45F17543" wp14:editId="5B2C71EA">
            <wp:extent cx="5156835" cy="2362200"/>
            <wp:effectExtent l="0" t="0" r="24765"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56217" w:rsidRPr="00191C79" w:rsidRDefault="00D56217" w:rsidP="00191C79">
      <w:pPr>
        <w:pStyle w:val="figuresource"/>
        <w:spacing w:before="120" w:line="240" w:lineRule="auto"/>
        <w:rPr>
          <w:spacing w:val="0"/>
        </w:rPr>
      </w:pPr>
    </w:p>
    <w:p w:rsidR="00D56217" w:rsidRPr="00191C79" w:rsidRDefault="00D56217" w:rsidP="00191C79">
      <w:pPr>
        <w:pStyle w:val="Heading2"/>
        <w:spacing w:line="240" w:lineRule="auto"/>
        <w:rPr>
          <w:spacing w:val="0"/>
          <w:lang w:eastAsia="en-US"/>
        </w:rPr>
      </w:pPr>
      <w:bookmarkStart w:id="52" w:name="_Toc374691842"/>
      <w:r w:rsidRPr="00191C79">
        <w:rPr>
          <w:spacing w:val="0"/>
        </w:rPr>
        <w:t>2.1</w:t>
      </w:r>
      <w:r w:rsidRPr="00191C79">
        <w:rPr>
          <w:spacing w:val="0"/>
        </w:rPr>
        <w:tab/>
        <w:t>Exposure Levels: Cellular Base-Stations</w:t>
      </w:r>
      <w:bookmarkEnd w:id="43"/>
      <w:bookmarkEnd w:id="51"/>
      <w:bookmarkEnd w:id="52"/>
    </w:p>
    <w:p w:rsidR="00D56217" w:rsidRPr="00191C79" w:rsidRDefault="00D56217" w:rsidP="00191C79">
      <w:pPr>
        <w:spacing w:line="240" w:lineRule="auto"/>
        <w:rPr>
          <w:spacing w:val="0"/>
          <w:lang w:val="en-US"/>
        </w:rPr>
      </w:pPr>
      <w:bookmarkStart w:id="53" w:name="_Toc122404840"/>
      <w:bookmarkStart w:id="54" w:name="_Toc124020448"/>
      <w:bookmarkStart w:id="55" w:name="_Toc124026980"/>
      <w:bookmarkStart w:id="56" w:name="_Toc124027421"/>
      <w:bookmarkStart w:id="57" w:name="_Toc124571119"/>
      <w:bookmarkStart w:id="58" w:name="_Toc124918549"/>
      <w:bookmarkStart w:id="59" w:name="_Toc128043074"/>
      <w:bookmarkStart w:id="60" w:name="_Toc144965636"/>
      <w:bookmarkStart w:id="61" w:name="_Toc147387478"/>
      <w:r w:rsidRPr="00191C79">
        <w:rPr>
          <w:spacing w:val="0"/>
          <w:lang w:val="en-US"/>
        </w:rPr>
        <w:t xml:space="preserve">The limits of ICNIRP (1998:511, table 7) and the European Community (EC 1999/519: Annex III, table 2) are identical. The ICNIRP levels have been endorsed by the Commission's Scientific Steering Committee. Table 2 specifies these exposure limits </w:t>
      </w:r>
      <w:bookmarkEnd w:id="53"/>
      <w:bookmarkEnd w:id="54"/>
      <w:bookmarkEnd w:id="55"/>
      <w:bookmarkEnd w:id="56"/>
      <w:bookmarkEnd w:id="57"/>
      <w:bookmarkEnd w:id="58"/>
      <w:bookmarkEnd w:id="59"/>
      <w:bookmarkEnd w:id="60"/>
      <w:bookmarkEnd w:id="61"/>
      <w:r w:rsidRPr="00191C79">
        <w:rPr>
          <w:spacing w:val="0"/>
          <w:lang w:val="en-US"/>
        </w:rPr>
        <w:t>for frequencies of cellular base stations.</w:t>
      </w:r>
      <w:bookmarkStart w:id="62" w:name="_Ref149546100"/>
      <w:bookmarkStart w:id="63" w:name="_Ref154567326"/>
      <w:bookmarkStart w:id="64" w:name="_Ref147993205"/>
      <w:bookmarkStart w:id="65" w:name="_Toc148460120"/>
      <w:bookmarkStart w:id="66" w:name="_Toc199908851"/>
      <w:bookmarkStart w:id="67" w:name="_Toc108101960"/>
    </w:p>
    <w:p w:rsidR="00D56217" w:rsidRPr="00191C79" w:rsidRDefault="00D56217" w:rsidP="00191C79">
      <w:pPr>
        <w:pStyle w:val="Tabletitle"/>
        <w:spacing w:line="240" w:lineRule="auto"/>
        <w:rPr>
          <w:spacing w:val="0"/>
        </w:rPr>
      </w:pPr>
      <w:r w:rsidRPr="00191C79">
        <w:rPr>
          <w:spacing w:val="0"/>
        </w:rPr>
        <w:t>Table</w:t>
      </w:r>
      <w:bookmarkEnd w:id="62"/>
      <w:bookmarkEnd w:id="63"/>
      <w:r w:rsidRPr="00191C79">
        <w:rPr>
          <w:spacing w:val="0"/>
        </w:rPr>
        <w:t xml:space="preserve"> 3: ICNIRP and EC reference levels for exposure</w:t>
      </w:r>
      <w:bookmarkEnd w:id="64"/>
      <w:bookmarkEnd w:id="65"/>
      <w:bookmarkEnd w:id="66"/>
    </w:p>
    <w:tbl>
      <w:tblPr>
        <w:tblStyle w:val="Style1"/>
        <w:tblW w:w="4880" w:type="pct"/>
        <w:jc w:val="center"/>
        <w:tblLook w:val="01E0" w:firstRow="1" w:lastRow="1" w:firstColumn="1" w:lastColumn="1" w:noHBand="0" w:noVBand="0"/>
      </w:tblPr>
      <w:tblGrid>
        <w:gridCol w:w="1844"/>
        <w:gridCol w:w="1751"/>
        <w:gridCol w:w="1699"/>
        <w:gridCol w:w="1885"/>
        <w:gridCol w:w="1885"/>
      </w:tblGrid>
      <w:tr w:rsidR="00D56217" w:rsidRPr="004D6922" w:rsidTr="00774FEC">
        <w:trPr>
          <w:cnfStyle w:val="100000000000" w:firstRow="1" w:lastRow="0" w:firstColumn="0" w:lastColumn="0" w:oddVBand="0" w:evenVBand="0" w:oddHBand="0" w:evenHBand="0" w:firstRowFirstColumn="0" w:firstRowLastColumn="0" w:lastRowFirstColumn="0" w:lastRowLastColumn="0"/>
          <w:trHeight w:val="20"/>
          <w:jc w:val="center"/>
        </w:trPr>
        <w:tc>
          <w:tcPr>
            <w:tcW w:w="1017" w:type="pct"/>
          </w:tcPr>
          <w:p w:rsidR="00D56217" w:rsidRPr="00191C79" w:rsidRDefault="00D56217" w:rsidP="00191C79">
            <w:pPr>
              <w:pStyle w:val="Tablehead"/>
              <w:spacing w:line="240" w:lineRule="auto"/>
              <w:rPr>
                <w:spacing w:val="0"/>
                <w:lang w:eastAsia="en-GB"/>
              </w:rPr>
            </w:pPr>
            <w:r w:rsidRPr="00191C79">
              <w:rPr>
                <w:spacing w:val="0"/>
                <w:lang w:eastAsia="en-GB"/>
              </w:rPr>
              <w:t>Frequency range</w:t>
            </w:r>
          </w:p>
        </w:tc>
        <w:tc>
          <w:tcPr>
            <w:tcW w:w="966" w:type="pct"/>
          </w:tcPr>
          <w:p w:rsidR="00D56217" w:rsidRPr="00191C79" w:rsidRDefault="00D56217" w:rsidP="00191C79">
            <w:pPr>
              <w:pStyle w:val="Tablehead"/>
              <w:spacing w:line="240" w:lineRule="auto"/>
              <w:rPr>
                <w:spacing w:val="0"/>
                <w:lang w:eastAsia="en-GB"/>
              </w:rPr>
            </w:pPr>
            <w:r w:rsidRPr="00191C79">
              <w:rPr>
                <w:spacing w:val="0"/>
                <w:lang w:eastAsia="en-GB"/>
              </w:rPr>
              <w:t>Electric field strength (V/m)</w:t>
            </w:r>
          </w:p>
        </w:tc>
        <w:tc>
          <w:tcPr>
            <w:tcW w:w="937" w:type="pct"/>
          </w:tcPr>
          <w:p w:rsidR="00D56217" w:rsidRPr="00191C79" w:rsidRDefault="00D56217" w:rsidP="00191C79">
            <w:pPr>
              <w:pStyle w:val="Tablehead"/>
              <w:spacing w:line="240" w:lineRule="auto"/>
              <w:rPr>
                <w:spacing w:val="0"/>
                <w:lang w:eastAsia="en-GB"/>
              </w:rPr>
            </w:pPr>
            <w:r w:rsidRPr="00191C79">
              <w:rPr>
                <w:spacing w:val="0"/>
                <w:lang w:eastAsia="en-GB"/>
              </w:rPr>
              <w:t>Magnetic field strength (A/m)</w:t>
            </w:r>
          </w:p>
        </w:tc>
        <w:tc>
          <w:tcPr>
            <w:tcW w:w="1040" w:type="pct"/>
          </w:tcPr>
          <w:p w:rsidR="00D56217" w:rsidRPr="00191C79" w:rsidRDefault="00D56217" w:rsidP="00191C79">
            <w:pPr>
              <w:pStyle w:val="Tablehead"/>
              <w:spacing w:line="240" w:lineRule="auto"/>
              <w:rPr>
                <w:spacing w:val="0"/>
                <w:lang w:eastAsia="en-GB"/>
              </w:rPr>
            </w:pPr>
            <w:r w:rsidRPr="00191C79">
              <w:rPr>
                <w:spacing w:val="0"/>
                <w:lang w:eastAsia="en-GB"/>
              </w:rPr>
              <w:t xml:space="preserve">Equivalent plane wave power density </w:t>
            </w:r>
            <w:proofErr w:type="spellStart"/>
            <w:r w:rsidRPr="00191C79">
              <w:rPr>
                <w:spacing w:val="0"/>
                <w:lang w:eastAsia="en-GB"/>
              </w:rPr>
              <w:t>S</w:t>
            </w:r>
            <w:r w:rsidRPr="00191C79">
              <w:rPr>
                <w:spacing w:val="0"/>
                <w:vertAlign w:val="subscript"/>
                <w:lang w:eastAsia="en-GB"/>
              </w:rPr>
              <w:t>eq</w:t>
            </w:r>
            <w:proofErr w:type="spellEnd"/>
            <w:r w:rsidRPr="00191C79">
              <w:rPr>
                <w:spacing w:val="0"/>
                <w:lang w:eastAsia="en-GB"/>
              </w:rPr>
              <w:t>(W/m</w:t>
            </w:r>
            <w:r w:rsidRPr="00191C79">
              <w:rPr>
                <w:spacing w:val="0"/>
                <w:vertAlign w:val="superscript"/>
                <w:lang w:eastAsia="en-GB"/>
              </w:rPr>
              <w:t>2</w:t>
            </w:r>
            <w:r w:rsidRPr="00191C79">
              <w:rPr>
                <w:spacing w:val="0"/>
                <w:lang w:eastAsia="en-GB"/>
              </w:rPr>
              <w:t>)</w:t>
            </w:r>
          </w:p>
        </w:tc>
        <w:tc>
          <w:tcPr>
            <w:tcW w:w="1040" w:type="pct"/>
          </w:tcPr>
          <w:p w:rsidR="00D56217" w:rsidRPr="00191C79" w:rsidRDefault="00D56217" w:rsidP="00191C79">
            <w:pPr>
              <w:pStyle w:val="Tablehead"/>
              <w:spacing w:line="240" w:lineRule="auto"/>
              <w:rPr>
                <w:spacing w:val="0"/>
                <w:lang w:eastAsia="en-GB"/>
              </w:rPr>
            </w:pPr>
            <w:r w:rsidRPr="00191C79">
              <w:rPr>
                <w:spacing w:val="0"/>
                <w:lang w:eastAsia="en-GB"/>
              </w:rPr>
              <w:t>Magnetic Flux Density (µT), B</w:t>
            </w:r>
          </w:p>
        </w:tc>
      </w:tr>
      <w:tr w:rsidR="00D56217" w:rsidRPr="00191C79" w:rsidTr="00774FEC">
        <w:trPr>
          <w:cnfStyle w:val="000000100000" w:firstRow="0" w:lastRow="0" w:firstColumn="0" w:lastColumn="0" w:oddVBand="0" w:evenVBand="0" w:oddHBand="1" w:evenHBand="0" w:firstRowFirstColumn="0" w:firstRowLastColumn="0" w:lastRowFirstColumn="0" w:lastRowLastColumn="0"/>
          <w:trHeight w:val="20"/>
          <w:jc w:val="center"/>
        </w:trPr>
        <w:tc>
          <w:tcPr>
            <w:tcW w:w="1017" w:type="pct"/>
          </w:tcPr>
          <w:p w:rsidR="00D56217" w:rsidRPr="00191C79" w:rsidRDefault="00D56217" w:rsidP="00191C79">
            <w:pPr>
              <w:pStyle w:val="Tabletext"/>
              <w:spacing w:line="240" w:lineRule="auto"/>
              <w:rPr>
                <w:spacing w:val="0"/>
                <w:lang w:eastAsia="en-GB"/>
              </w:rPr>
            </w:pPr>
            <w:r w:rsidRPr="00191C79">
              <w:rPr>
                <w:spacing w:val="0"/>
                <w:lang w:eastAsia="en-GB"/>
              </w:rPr>
              <w:t>400-2000 MHz</w:t>
            </w:r>
          </w:p>
        </w:tc>
        <w:tc>
          <w:tcPr>
            <w:tcW w:w="966" w:type="pct"/>
          </w:tcPr>
          <w:p w:rsidR="00D56217" w:rsidRPr="00191C79" w:rsidRDefault="00D56217" w:rsidP="00191C79">
            <w:pPr>
              <w:pStyle w:val="Tabletext"/>
              <w:spacing w:line="240" w:lineRule="auto"/>
              <w:rPr>
                <w:spacing w:val="0"/>
                <w:lang w:eastAsia="en-GB"/>
              </w:rPr>
            </w:pPr>
            <w:r w:rsidRPr="00191C79">
              <w:rPr>
                <w:spacing w:val="0"/>
                <w:lang w:eastAsia="en-GB"/>
              </w:rPr>
              <w:t xml:space="preserve">1.375f </w:t>
            </w:r>
            <w:r w:rsidRPr="00191C79">
              <w:rPr>
                <w:spacing w:val="0"/>
                <w:vertAlign w:val="superscript"/>
                <w:lang w:eastAsia="en-GB"/>
              </w:rPr>
              <w:t>½</w:t>
            </w:r>
          </w:p>
        </w:tc>
        <w:tc>
          <w:tcPr>
            <w:tcW w:w="937" w:type="pct"/>
          </w:tcPr>
          <w:p w:rsidR="00D56217" w:rsidRPr="00191C79" w:rsidRDefault="00D56217" w:rsidP="00191C79">
            <w:pPr>
              <w:pStyle w:val="Tabletext"/>
              <w:spacing w:line="240" w:lineRule="auto"/>
              <w:rPr>
                <w:spacing w:val="0"/>
                <w:lang w:eastAsia="en-GB"/>
              </w:rPr>
            </w:pPr>
            <w:r w:rsidRPr="00191C79">
              <w:rPr>
                <w:spacing w:val="0"/>
                <w:lang w:eastAsia="en-GB"/>
              </w:rPr>
              <w:t xml:space="preserve">0.0037f </w:t>
            </w:r>
            <w:r w:rsidRPr="00191C79">
              <w:rPr>
                <w:spacing w:val="0"/>
                <w:vertAlign w:val="superscript"/>
                <w:lang w:eastAsia="en-GB"/>
              </w:rPr>
              <w:t>1/2</w:t>
            </w:r>
          </w:p>
        </w:tc>
        <w:tc>
          <w:tcPr>
            <w:tcW w:w="1040" w:type="pct"/>
          </w:tcPr>
          <w:p w:rsidR="00D56217" w:rsidRPr="00191C79" w:rsidRDefault="00D56217" w:rsidP="00191C79">
            <w:pPr>
              <w:pStyle w:val="Tabletext"/>
              <w:spacing w:line="240" w:lineRule="auto"/>
              <w:rPr>
                <w:spacing w:val="0"/>
                <w:lang w:eastAsia="en-GB"/>
              </w:rPr>
            </w:pPr>
            <w:r w:rsidRPr="00191C79">
              <w:rPr>
                <w:spacing w:val="0"/>
                <w:lang w:eastAsia="en-GB"/>
              </w:rPr>
              <w:t>f/200</w:t>
            </w:r>
          </w:p>
        </w:tc>
        <w:tc>
          <w:tcPr>
            <w:tcW w:w="1040" w:type="pct"/>
          </w:tcPr>
          <w:p w:rsidR="00D56217" w:rsidRPr="00191C79" w:rsidRDefault="00D56217" w:rsidP="00191C79">
            <w:pPr>
              <w:pStyle w:val="Tabletext"/>
              <w:spacing w:line="240" w:lineRule="auto"/>
              <w:rPr>
                <w:spacing w:val="0"/>
                <w:lang w:eastAsia="en-GB"/>
              </w:rPr>
            </w:pPr>
            <w:r w:rsidRPr="00191C79">
              <w:rPr>
                <w:spacing w:val="0"/>
                <w:lang w:eastAsia="en-GB"/>
              </w:rPr>
              <w:t xml:space="preserve">0.0046 f </w:t>
            </w:r>
            <w:r w:rsidRPr="00191C79">
              <w:rPr>
                <w:spacing w:val="0"/>
                <w:vertAlign w:val="superscript"/>
                <w:lang w:eastAsia="en-GB"/>
              </w:rPr>
              <w:t>½</w:t>
            </w:r>
          </w:p>
        </w:tc>
      </w:tr>
      <w:tr w:rsidR="00D56217" w:rsidRPr="00191C79" w:rsidTr="00774FEC">
        <w:trPr>
          <w:cnfStyle w:val="000000010000" w:firstRow="0" w:lastRow="0" w:firstColumn="0" w:lastColumn="0" w:oddVBand="0" w:evenVBand="0" w:oddHBand="0" w:evenHBand="1" w:firstRowFirstColumn="0" w:firstRowLastColumn="0" w:lastRowFirstColumn="0" w:lastRowLastColumn="0"/>
          <w:trHeight w:val="20"/>
          <w:jc w:val="center"/>
        </w:trPr>
        <w:tc>
          <w:tcPr>
            <w:tcW w:w="1017" w:type="pct"/>
          </w:tcPr>
          <w:p w:rsidR="00D56217" w:rsidRPr="00191C79" w:rsidRDefault="00D56217" w:rsidP="00191C79">
            <w:pPr>
              <w:pStyle w:val="Tabletext"/>
              <w:spacing w:line="240" w:lineRule="auto"/>
              <w:rPr>
                <w:spacing w:val="0"/>
                <w:lang w:eastAsia="en-GB"/>
              </w:rPr>
            </w:pPr>
            <w:r w:rsidRPr="00191C79">
              <w:rPr>
                <w:spacing w:val="0"/>
                <w:lang w:eastAsia="en-GB"/>
              </w:rPr>
              <w:t>2-300 GHz</w:t>
            </w:r>
          </w:p>
        </w:tc>
        <w:tc>
          <w:tcPr>
            <w:tcW w:w="966" w:type="pct"/>
          </w:tcPr>
          <w:p w:rsidR="00D56217" w:rsidRPr="00191C79" w:rsidRDefault="00D56217" w:rsidP="00191C79">
            <w:pPr>
              <w:pStyle w:val="Tabletext"/>
              <w:spacing w:line="240" w:lineRule="auto"/>
              <w:rPr>
                <w:spacing w:val="0"/>
                <w:lang w:eastAsia="en-GB"/>
              </w:rPr>
            </w:pPr>
            <w:r w:rsidRPr="00191C79">
              <w:rPr>
                <w:spacing w:val="0"/>
                <w:lang w:eastAsia="en-GB"/>
              </w:rPr>
              <w:t>61</w:t>
            </w:r>
          </w:p>
        </w:tc>
        <w:tc>
          <w:tcPr>
            <w:tcW w:w="937" w:type="pct"/>
          </w:tcPr>
          <w:p w:rsidR="00D56217" w:rsidRPr="00191C79" w:rsidRDefault="00D56217" w:rsidP="00191C79">
            <w:pPr>
              <w:pStyle w:val="Tabletext"/>
              <w:spacing w:line="240" w:lineRule="auto"/>
              <w:rPr>
                <w:spacing w:val="0"/>
                <w:lang w:eastAsia="en-GB"/>
              </w:rPr>
            </w:pPr>
            <w:r w:rsidRPr="00191C79">
              <w:rPr>
                <w:spacing w:val="0"/>
                <w:lang w:eastAsia="en-GB"/>
              </w:rPr>
              <w:t>0.16</w:t>
            </w:r>
          </w:p>
        </w:tc>
        <w:tc>
          <w:tcPr>
            <w:tcW w:w="1040" w:type="pct"/>
          </w:tcPr>
          <w:p w:rsidR="00D56217" w:rsidRPr="00191C79" w:rsidRDefault="00D56217" w:rsidP="00191C79">
            <w:pPr>
              <w:pStyle w:val="Tabletext"/>
              <w:spacing w:line="240" w:lineRule="auto"/>
              <w:rPr>
                <w:spacing w:val="0"/>
                <w:lang w:eastAsia="en-GB"/>
              </w:rPr>
            </w:pPr>
            <w:r w:rsidRPr="00191C79">
              <w:rPr>
                <w:spacing w:val="0"/>
                <w:lang w:eastAsia="en-GB"/>
              </w:rPr>
              <w:t>10</w:t>
            </w:r>
          </w:p>
        </w:tc>
        <w:tc>
          <w:tcPr>
            <w:tcW w:w="1040" w:type="pct"/>
          </w:tcPr>
          <w:p w:rsidR="00D56217" w:rsidRPr="00191C79" w:rsidRDefault="00D56217" w:rsidP="00191C79">
            <w:pPr>
              <w:pStyle w:val="Tabletext"/>
              <w:spacing w:line="240" w:lineRule="auto"/>
              <w:rPr>
                <w:spacing w:val="0"/>
                <w:lang w:eastAsia="en-GB"/>
              </w:rPr>
            </w:pPr>
            <w:r w:rsidRPr="00191C79">
              <w:rPr>
                <w:spacing w:val="0"/>
                <w:lang w:eastAsia="en-GB"/>
              </w:rPr>
              <w:t>0.2</w:t>
            </w:r>
          </w:p>
        </w:tc>
      </w:tr>
    </w:tbl>
    <w:p w:rsidR="00D56217" w:rsidRPr="00191C79" w:rsidRDefault="00D56217" w:rsidP="00191C79">
      <w:pPr>
        <w:pStyle w:val="Tablesource"/>
        <w:spacing w:line="240" w:lineRule="auto"/>
        <w:rPr>
          <w:spacing w:val="0"/>
        </w:rPr>
      </w:pPr>
      <w:bookmarkStart w:id="68" w:name="_Toc147387745"/>
      <w:bookmarkEnd w:id="67"/>
      <w:r w:rsidRPr="00191C79">
        <w:rPr>
          <w:spacing w:val="0"/>
        </w:rPr>
        <w:t>Table 3 specifies the US thresholds for cellular base stations.</w:t>
      </w:r>
    </w:p>
    <w:p w:rsidR="00D56217" w:rsidRPr="00191C79" w:rsidRDefault="00D56217" w:rsidP="00191C79">
      <w:pPr>
        <w:pStyle w:val="Tabletitle"/>
        <w:spacing w:line="240" w:lineRule="auto"/>
        <w:rPr>
          <w:spacing w:val="0"/>
          <w:lang w:val="fr-CH"/>
        </w:rPr>
      </w:pPr>
      <w:bookmarkStart w:id="69" w:name="_Ref149546227"/>
      <w:bookmarkStart w:id="70" w:name="_Toc147387748"/>
      <w:bookmarkStart w:id="71" w:name="_Toc148460122"/>
      <w:bookmarkStart w:id="72" w:name="_Toc199908852"/>
      <w:bookmarkStart w:id="73" w:name="_Toc33287256"/>
      <w:bookmarkStart w:id="74" w:name="_Toc76900331"/>
      <w:bookmarkStart w:id="75" w:name="_Toc147387746"/>
      <w:bookmarkEnd w:id="68"/>
      <w:r w:rsidRPr="00191C79">
        <w:rPr>
          <w:spacing w:val="0"/>
          <w:lang w:val="fr-CH"/>
        </w:rPr>
        <w:t xml:space="preserve">Table </w:t>
      </w:r>
      <w:bookmarkEnd w:id="69"/>
      <w:r w:rsidRPr="00191C79">
        <w:rPr>
          <w:spacing w:val="0"/>
          <w:lang w:val="fr-CH"/>
        </w:rPr>
        <w:t xml:space="preserve">4 : FCC </w:t>
      </w:r>
      <w:proofErr w:type="spellStart"/>
      <w:r w:rsidRPr="00191C79">
        <w:rPr>
          <w:spacing w:val="0"/>
          <w:lang w:val="fr-CH"/>
        </w:rPr>
        <w:t>exposure</w:t>
      </w:r>
      <w:proofErr w:type="spellEnd"/>
      <w:r w:rsidRPr="00191C79">
        <w:rPr>
          <w:spacing w:val="0"/>
          <w:lang w:val="fr-CH"/>
        </w:rPr>
        <w:t xml:space="preserve"> </w:t>
      </w:r>
      <w:proofErr w:type="spellStart"/>
      <w:r w:rsidRPr="00191C79">
        <w:rPr>
          <w:spacing w:val="0"/>
          <w:lang w:val="fr-CH"/>
        </w:rPr>
        <w:t>limits</w:t>
      </w:r>
      <w:proofErr w:type="spellEnd"/>
      <w:r w:rsidRPr="00191C79">
        <w:rPr>
          <w:spacing w:val="0"/>
          <w:lang w:val="fr-CH"/>
        </w:rPr>
        <w:t xml:space="preserve"> (FCC 2001:67)</w:t>
      </w:r>
      <w:bookmarkEnd w:id="70"/>
      <w:bookmarkEnd w:id="71"/>
      <w:bookmarkEnd w:id="72"/>
    </w:p>
    <w:tbl>
      <w:tblPr>
        <w:tblStyle w:val="Style1"/>
        <w:tblW w:w="5000" w:type="pct"/>
        <w:jc w:val="center"/>
        <w:tblLook w:val="01E0" w:firstRow="1" w:lastRow="1" w:firstColumn="1" w:lastColumn="1" w:noHBand="0" w:noVBand="0"/>
      </w:tblPr>
      <w:tblGrid>
        <w:gridCol w:w="2896"/>
        <w:gridCol w:w="2035"/>
        <w:gridCol w:w="2060"/>
        <w:gridCol w:w="2296"/>
      </w:tblGrid>
      <w:tr w:rsidR="00D56217" w:rsidRPr="004D6922" w:rsidTr="00774FEC">
        <w:trPr>
          <w:cnfStyle w:val="100000000000" w:firstRow="1" w:lastRow="0" w:firstColumn="0" w:lastColumn="0" w:oddVBand="0" w:evenVBand="0" w:oddHBand="0" w:evenHBand="0" w:firstRowFirstColumn="0" w:firstRowLastColumn="0" w:lastRowFirstColumn="0" w:lastRowLastColumn="0"/>
          <w:trHeight w:val="315"/>
          <w:jc w:val="center"/>
        </w:trPr>
        <w:tc>
          <w:tcPr>
            <w:tcW w:w="2619" w:type="dxa"/>
            <w:noWrap/>
          </w:tcPr>
          <w:p w:rsidR="00D56217" w:rsidRPr="00191C79" w:rsidRDefault="00D56217" w:rsidP="00191C79">
            <w:pPr>
              <w:pStyle w:val="Tablehead"/>
              <w:spacing w:line="240" w:lineRule="auto"/>
              <w:rPr>
                <w:spacing w:val="0"/>
                <w:lang w:eastAsia="en-GB"/>
              </w:rPr>
            </w:pPr>
            <w:r w:rsidRPr="00191C79">
              <w:rPr>
                <w:spacing w:val="0"/>
                <w:lang w:eastAsia="en-GB"/>
              </w:rPr>
              <w:t>Frequency Range MHz</w:t>
            </w:r>
          </w:p>
        </w:tc>
        <w:tc>
          <w:tcPr>
            <w:tcW w:w="1841" w:type="dxa"/>
            <w:noWrap/>
          </w:tcPr>
          <w:p w:rsidR="00D56217" w:rsidRPr="00191C79" w:rsidRDefault="00D56217" w:rsidP="00191C79">
            <w:pPr>
              <w:pStyle w:val="Tablehead"/>
              <w:spacing w:line="240" w:lineRule="auto"/>
              <w:rPr>
                <w:spacing w:val="0"/>
                <w:lang w:eastAsia="en-GB"/>
              </w:rPr>
            </w:pPr>
            <w:r w:rsidRPr="00191C79">
              <w:rPr>
                <w:spacing w:val="0"/>
                <w:lang w:eastAsia="en-GB"/>
              </w:rPr>
              <w:t>Electric Field (E)  (V/m)</w:t>
            </w:r>
          </w:p>
        </w:tc>
        <w:tc>
          <w:tcPr>
            <w:tcW w:w="1863" w:type="dxa"/>
            <w:noWrap/>
          </w:tcPr>
          <w:p w:rsidR="00D56217" w:rsidRPr="00191C79" w:rsidRDefault="00D56217" w:rsidP="00191C79">
            <w:pPr>
              <w:pStyle w:val="Tablehead"/>
              <w:spacing w:line="240" w:lineRule="auto"/>
              <w:rPr>
                <w:spacing w:val="0"/>
                <w:lang w:eastAsia="en-GB"/>
              </w:rPr>
            </w:pPr>
            <w:r w:rsidRPr="00191C79">
              <w:rPr>
                <w:spacing w:val="0"/>
                <w:lang w:eastAsia="en-GB"/>
              </w:rPr>
              <w:t>Magnetic Field H (A/m)</w:t>
            </w:r>
          </w:p>
        </w:tc>
        <w:tc>
          <w:tcPr>
            <w:tcW w:w="2077" w:type="dxa"/>
            <w:noWrap/>
          </w:tcPr>
          <w:p w:rsidR="00D56217" w:rsidRPr="00191C79" w:rsidRDefault="00D56217" w:rsidP="00191C79">
            <w:pPr>
              <w:pStyle w:val="Tablehead"/>
              <w:spacing w:line="240" w:lineRule="auto"/>
              <w:rPr>
                <w:spacing w:val="0"/>
                <w:lang w:eastAsia="en-GB"/>
              </w:rPr>
            </w:pPr>
            <w:r w:rsidRPr="00191C79">
              <w:rPr>
                <w:spacing w:val="0"/>
                <w:lang w:eastAsia="en-GB"/>
              </w:rPr>
              <w:t>Power Density (S) (</w:t>
            </w:r>
            <w:proofErr w:type="spellStart"/>
            <w:r w:rsidRPr="00191C79">
              <w:rPr>
                <w:spacing w:val="0"/>
                <w:lang w:eastAsia="en-GB"/>
              </w:rPr>
              <w:t>mW</w:t>
            </w:r>
            <w:proofErr w:type="spellEnd"/>
            <w:r w:rsidRPr="00191C79">
              <w:rPr>
                <w:spacing w:val="0"/>
                <w:lang w:eastAsia="en-GB"/>
              </w:rPr>
              <w:t>/cm</w:t>
            </w:r>
            <w:r w:rsidRPr="00191C79">
              <w:rPr>
                <w:spacing w:val="0"/>
                <w:vertAlign w:val="superscript"/>
                <w:lang w:eastAsia="en-GB"/>
              </w:rPr>
              <w:t>2</w:t>
            </w:r>
            <w:r w:rsidRPr="00191C79">
              <w:rPr>
                <w:spacing w:val="0"/>
                <w:lang w:eastAsia="en-GB"/>
              </w:rPr>
              <w:t>)</w:t>
            </w:r>
          </w:p>
        </w:tc>
      </w:tr>
      <w:tr w:rsidR="00D56217" w:rsidRPr="00191C79" w:rsidTr="00774FEC">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D56217" w:rsidRPr="00191C79" w:rsidRDefault="00D56217" w:rsidP="00191C79">
            <w:pPr>
              <w:pStyle w:val="Tabletext"/>
              <w:spacing w:line="240" w:lineRule="auto"/>
              <w:rPr>
                <w:spacing w:val="0"/>
                <w:lang w:eastAsia="en-GB"/>
              </w:rPr>
            </w:pPr>
            <w:r w:rsidRPr="00191C79">
              <w:rPr>
                <w:spacing w:val="0"/>
                <w:lang w:eastAsia="en-GB"/>
              </w:rPr>
              <w:t>30-300</w:t>
            </w:r>
          </w:p>
        </w:tc>
        <w:tc>
          <w:tcPr>
            <w:tcW w:w="1841" w:type="dxa"/>
            <w:noWrap/>
          </w:tcPr>
          <w:p w:rsidR="00D56217" w:rsidRPr="00191C79" w:rsidRDefault="00D56217" w:rsidP="00191C79">
            <w:pPr>
              <w:pStyle w:val="Tabletext"/>
              <w:spacing w:line="240" w:lineRule="auto"/>
              <w:rPr>
                <w:spacing w:val="0"/>
                <w:lang w:eastAsia="en-GB"/>
              </w:rPr>
            </w:pPr>
            <w:r w:rsidRPr="00191C79">
              <w:rPr>
                <w:spacing w:val="0"/>
                <w:lang w:eastAsia="en-GB"/>
              </w:rPr>
              <w:t>27.5</w:t>
            </w:r>
          </w:p>
        </w:tc>
        <w:tc>
          <w:tcPr>
            <w:tcW w:w="1863" w:type="dxa"/>
            <w:noWrap/>
          </w:tcPr>
          <w:p w:rsidR="00D56217" w:rsidRPr="00191C79" w:rsidRDefault="00D56217" w:rsidP="00191C79">
            <w:pPr>
              <w:pStyle w:val="Tabletext"/>
              <w:spacing w:line="240" w:lineRule="auto"/>
              <w:rPr>
                <w:spacing w:val="0"/>
                <w:lang w:eastAsia="en-GB"/>
              </w:rPr>
            </w:pPr>
            <w:r w:rsidRPr="00191C79">
              <w:rPr>
                <w:spacing w:val="0"/>
                <w:lang w:eastAsia="en-GB"/>
              </w:rPr>
              <w:t>0.073</w:t>
            </w:r>
          </w:p>
        </w:tc>
        <w:tc>
          <w:tcPr>
            <w:tcW w:w="2077" w:type="dxa"/>
            <w:noWrap/>
          </w:tcPr>
          <w:p w:rsidR="00D56217" w:rsidRPr="00191C79" w:rsidRDefault="00D56217" w:rsidP="00191C79">
            <w:pPr>
              <w:pStyle w:val="Tabletext"/>
              <w:spacing w:line="240" w:lineRule="auto"/>
              <w:rPr>
                <w:spacing w:val="0"/>
                <w:lang w:eastAsia="en-GB"/>
              </w:rPr>
            </w:pPr>
            <w:r w:rsidRPr="00191C79">
              <w:rPr>
                <w:spacing w:val="0"/>
                <w:lang w:eastAsia="en-GB"/>
              </w:rPr>
              <w:t>0.2</w:t>
            </w:r>
          </w:p>
        </w:tc>
      </w:tr>
      <w:tr w:rsidR="00D56217" w:rsidRPr="00191C79" w:rsidTr="00774FEC">
        <w:trPr>
          <w:cnfStyle w:val="000000010000" w:firstRow="0" w:lastRow="0" w:firstColumn="0" w:lastColumn="0" w:oddVBand="0" w:evenVBand="0" w:oddHBand="0" w:evenHBand="1" w:firstRowFirstColumn="0" w:firstRowLastColumn="0" w:lastRowFirstColumn="0" w:lastRowLastColumn="0"/>
          <w:trHeight w:val="315"/>
          <w:jc w:val="center"/>
        </w:trPr>
        <w:tc>
          <w:tcPr>
            <w:tcW w:w="2619" w:type="dxa"/>
            <w:noWrap/>
          </w:tcPr>
          <w:p w:rsidR="00D56217" w:rsidRPr="00191C79" w:rsidRDefault="00D56217" w:rsidP="00191C79">
            <w:pPr>
              <w:pStyle w:val="Tabletext"/>
              <w:spacing w:line="240" w:lineRule="auto"/>
              <w:rPr>
                <w:spacing w:val="0"/>
                <w:lang w:eastAsia="en-GB"/>
              </w:rPr>
            </w:pPr>
            <w:r w:rsidRPr="00191C79">
              <w:rPr>
                <w:spacing w:val="0"/>
                <w:lang w:eastAsia="en-GB"/>
              </w:rPr>
              <w:t>300-1500</w:t>
            </w:r>
          </w:p>
        </w:tc>
        <w:tc>
          <w:tcPr>
            <w:tcW w:w="1841" w:type="dxa"/>
            <w:noWrap/>
          </w:tcPr>
          <w:p w:rsidR="00D56217" w:rsidRPr="00191C79" w:rsidRDefault="00D56217" w:rsidP="00191C79">
            <w:pPr>
              <w:pStyle w:val="Tabletext"/>
              <w:spacing w:line="240" w:lineRule="auto"/>
              <w:rPr>
                <w:spacing w:val="0"/>
                <w:lang w:eastAsia="en-GB"/>
              </w:rPr>
            </w:pPr>
            <w:r w:rsidRPr="00191C79">
              <w:rPr>
                <w:spacing w:val="0"/>
                <w:lang w:eastAsia="en-GB"/>
              </w:rPr>
              <w:t>--</w:t>
            </w:r>
          </w:p>
        </w:tc>
        <w:tc>
          <w:tcPr>
            <w:tcW w:w="1863" w:type="dxa"/>
            <w:noWrap/>
          </w:tcPr>
          <w:p w:rsidR="00D56217" w:rsidRPr="00191C79" w:rsidRDefault="00D56217" w:rsidP="00191C79">
            <w:pPr>
              <w:pStyle w:val="Tabletext"/>
              <w:spacing w:line="240" w:lineRule="auto"/>
              <w:rPr>
                <w:spacing w:val="0"/>
                <w:lang w:eastAsia="en-GB"/>
              </w:rPr>
            </w:pPr>
            <w:r w:rsidRPr="00191C79">
              <w:rPr>
                <w:spacing w:val="0"/>
                <w:lang w:eastAsia="en-GB"/>
              </w:rPr>
              <w:t>--</w:t>
            </w:r>
          </w:p>
        </w:tc>
        <w:tc>
          <w:tcPr>
            <w:tcW w:w="2077" w:type="dxa"/>
            <w:noWrap/>
          </w:tcPr>
          <w:p w:rsidR="00D56217" w:rsidRPr="00191C79" w:rsidRDefault="00D56217" w:rsidP="00191C79">
            <w:pPr>
              <w:pStyle w:val="Tabletext"/>
              <w:spacing w:line="240" w:lineRule="auto"/>
              <w:rPr>
                <w:spacing w:val="0"/>
                <w:lang w:eastAsia="en-GB"/>
              </w:rPr>
            </w:pPr>
            <w:r w:rsidRPr="00191C79">
              <w:rPr>
                <w:spacing w:val="0"/>
                <w:lang w:eastAsia="en-GB"/>
              </w:rPr>
              <w:t>f/1500</w:t>
            </w:r>
          </w:p>
        </w:tc>
      </w:tr>
      <w:tr w:rsidR="00D56217" w:rsidRPr="00191C79" w:rsidTr="00774FEC">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D56217" w:rsidRPr="00191C79" w:rsidRDefault="00D56217" w:rsidP="00191C79">
            <w:pPr>
              <w:pStyle w:val="Tabletext"/>
              <w:spacing w:line="240" w:lineRule="auto"/>
              <w:rPr>
                <w:spacing w:val="0"/>
                <w:lang w:eastAsia="en-GB"/>
              </w:rPr>
            </w:pPr>
            <w:r w:rsidRPr="00191C79">
              <w:rPr>
                <w:spacing w:val="0"/>
                <w:lang w:eastAsia="en-GB"/>
              </w:rPr>
              <w:t>1500-100,000</w:t>
            </w:r>
          </w:p>
        </w:tc>
        <w:tc>
          <w:tcPr>
            <w:tcW w:w="1841" w:type="dxa"/>
            <w:noWrap/>
          </w:tcPr>
          <w:p w:rsidR="00D56217" w:rsidRPr="00191C79" w:rsidRDefault="00D56217" w:rsidP="00191C79">
            <w:pPr>
              <w:pStyle w:val="Tabletext"/>
              <w:spacing w:line="240" w:lineRule="auto"/>
              <w:rPr>
                <w:spacing w:val="0"/>
                <w:lang w:eastAsia="en-GB"/>
              </w:rPr>
            </w:pPr>
            <w:r w:rsidRPr="00191C79">
              <w:rPr>
                <w:spacing w:val="0"/>
                <w:lang w:eastAsia="en-GB"/>
              </w:rPr>
              <w:t>--</w:t>
            </w:r>
          </w:p>
        </w:tc>
        <w:tc>
          <w:tcPr>
            <w:tcW w:w="1863" w:type="dxa"/>
            <w:noWrap/>
          </w:tcPr>
          <w:p w:rsidR="00D56217" w:rsidRPr="00191C79" w:rsidRDefault="00D56217" w:rsidP="00191C79">
            <w:pPr>
              <w:pStyle w:val="Tabletext"/>
              <w:spacing w:line="240" w:lineRule="auto"/>
              <w:rPr>
                <w:spacing w:val="0"/>
                <w:lang w:eastAsia="en-GB"/>
              </w:rPr>
            </w:pPr>
            <w:r w:rsidRPr="00191C79">
              <w:rPr>
                <w:spacing w:val="0"/>
                <w:lang w:eastAsia="en-GB"/>
              </w:rPr>
              <w:t>--</w:t>
            </w:r>
          </w:p>
        </w:tc>
        <w:tc>
          <w:tcPr>
            <w:tcW w:w="2077" w:type="dxa"/>
            <w:noWrap/>
          </w:tcPr>
          <w:p w:rsidR="00D56217" w:rsidRPr="00191C79" w:rsidRDefault="00D56217" w:rsidP="00191C79">
            <w:pPr>
              <w:pStyle w:val="Tabletext"/>
              <w:spacing w:line="240" w:lineRule="auto"/>
              <w:rPr>
                <w:spacing w:val="0"/>
                <w:lang w:eastAsia="en-GB"/>
              </w:rPr>
            </w:pPr>
            <w:r w:rsidRPr="00191C79">
              <w:rPr>
                <w:spacing w:val="0"/>
                <w:lang w:eastAsia="en-GB"/>
              </w:rPr>
              <w:t>1</w:t>
            </w:r>
          </w:p>
        </w:tc>
      </w:tr>
    </w:tbl>
    <w:p w:rsidR="00D56217" w:rsidRPr="00191C79" w:rsidRDefault="00D56217" w:rsidP="00191C79">
      <w:pPr>
        <w:pStyle w:val="Tablesource"/>
        <w:spacing w:line="240" w:lineRule="auto"/>
        <w:rPr>
          <w:spacing w:val="0"/>
        </w:rPr>
      </w:pPr>
      <w:r w:rsidRPr="00191C79">
        <w:rPr>
          <w:spacing w:val="0"/>
        </w:rPr>
        <w:t xml:space="preserve">Table-4 depicts that the levels in power exposure limits of the US are 4/3 (=200/150) higher than ICNIRP and Europe. </w:t>
      </w:r>
    </w:p>
    <w:p w:rsidR="00D56217" w:rsidRPr="00191C79" w:rsidRDefault="00D56217" w:rsidP="00191C79">
      <w:pPr>
        <w:spacing w:line="240" w:lineRule="auto"/>
        <w:rPr>
          <w:spacing w:val="0"/>
          <w:lang w:val="en-US"/>
        </w:rPr>
      </w:pPr>
      <w:r w:rsidRPr="00191C79">
        <w:rPr>
          <w:spacing w:val="0"/>
          <w:lang w:val="en-US"/>
        </w:rPr>
        <w:t xml:space="preserve">The IEEE maximum permissible exposure 2005 updates are shown in Table 5. </w:t>
      </w:r>
    </w:p>
    <w:p w:rsidR="00D56217" w:rsidRPr="00191C79" w:rsidRDefault="00D56217" w:rsidP="00191C79">
      <w:pPr>
        <w:pStyle w:val="Tabletitle"/>
        <w:spacing w:line="240" w:lineRule="auto"/>
        <w:rPr>
          <w:spacing w:val="0"/>
        </w:rPr>
      </w:pPr>
      <w:bookmarkStart w:id="76" w:name="_Ref149546318"/>
      <w:bookmarkStart w:id="77" w:name="_Toc148460123"/>
      <w:bookmarkStart w:id="78" w:name="_Toc199908853"/>
      <w:r w:rsidRPr="00191C79">
        <w:rPr>
          <w:spacing w:val="0"/>
        </w:rPr>
        <w:br w:type="page"/>
      </w:r>
    </w:p>
    <w:p w:rsidR="00D56217" w:rsidRPr="00191C79" w:rsidRDefault="00D56217" w:rsidP="00191C79">
      <w:pPr>
        <w:pStyle w:val="Tabletitle"/>
        <w:spacing w:line="240" w:lineRule="auto"/>
        <w:rPr>
          <w:spacing w:val="0"/>
        </w:rPr>
      </w:pPr>
      <w:r w:rsidRPr="00191C79">
        <w:rPr>
          <w:spacing w:val="0"/>
        </w:rPr>
        <w:lastRenderedPageBreak/>
        <w:t xml:space="preserve">Table </w:t>
      </w:r>
      <w:bookmarkEnd w:id="76"/>
      <w:r w:rsidRPr="00191C79">
        <w:rPr>
          <w:spacing w:val="0"/>
        </w:rPr>
        <w:t>5: The 2005 IEEE permissible exposure (</w:t>
      </w:r>
      <w:r w:rsidRPr="00191C79">
        <w:rPr>
          <w:rStyle w:val="CharChar"/>
          <w:rFonts w:ascii="Verdana" w:hAnsi="Verdana"/>
          <w:spacing w:val="0"/>
          <w:sz w:val="18"/>
          <w:szCs w:val="18"/>
        </w:rPr>
        <w:t xml:space="preserve">IEEE </w:t>
      </w:r>
      <w:proofErr w:type="spellStart"/>
      <w:r w:rsidRPr="00191C79">
        <w:rPr>
          <w:rStyle w:val="CharChar"/>
          <w:rFonts w:ascii="Verdana" w:hAnsi="Verdana"/>
          <w:spacing w:val="0"/>
          <w:sz w:val="18"/>
          <w:szCs w:val="18"/>
        </w:rPr>
        <w:t>Std</w:t>
      </w:r>
      <w:proofErr w:type="spellEnd"/>
      <w:r w:rsidRPr="00191C79">
        <w:rPr>
          <w:rStyle w:val="CharChar"/>
          <w:rFonts w:ascii="Verdana" w:hAnsi="Verdana"/>
          <w:spacing w:val="0"/>
          <w:sz w:val="18"/>
          <w:szCs w:val="18"/>
        </w:rPr>
        <w:t xml:space="preserve"> C95.1-2005:25, Table 9</w:t>
      </w:r>
      <w:r w:rsidRPr="00191C79">
        <w:rPr>
          <w:spacing w:val="0"/>
        </w:rPr>
        <w:t>)</w:t>
      </w:r>
      <w:bookmarkEnd w:id="77"/>
      <w:bookmarkEnd w:id="78"/>
    </w:p>
    <w:tbl>
      <w:tblPr>
        <w:tblStyle w:val="Style1"/>
        <w:tblW w:w="5000" w:type="pct"/>
        <w:jc w:val="center"/>
        <w:tblLook w:val="01E0" w:firstRow="1" w:lastRow="1" w:firstColumn="1" w:lastColumn="1" w:noHBand="0" w:noVBand="0"/>
      </w:tblPr>
      <w:tblGrid>
        <w:gridCol w:w="2896"/>
        <w:gridCol w:w="2035"/>
        <w:gridCol w:w="2060"/>
        <w:gridCol w:w="2296"/>
      </w:tblGrid>
      <w:tr w:rsidR="00D56217" w:rsidRPr="004D6922" w:rsidTr="00774FEC">
        <w:trPr>
          <w:cnfStyle w:val="100000000000" w:firstRow="1" w:lastRow="0" w:firstColumn="0" w:lastColumn="0" w:oddVBand="0" w:evenVBand="0" w:oddHBand="0" w:evenHBand="0" w:firstRowFirstColumn="0" w:firstRowLastColumn="0" w:lastRowFirstColumn="0" w:lastRowLastColumn="0"/>
          <w:trHeight w:val="315"/>
          <w:jc w:val="center"/>
        </w:trPr>
        <w:tc>
          <w:tcPr>
            <w:tcW w:w="2619" w:type="dxa"/>
            <w:noWrap/>
          </w:tcPr>
          <w:p w:rsidR="00D56217" w:rsidRPr="00191C79" w:rsidRDefault="00D56217" w:rsidP="00191C79">
            <w:pPr>
              <w:pStyle w:val="Tablehead"/>
              <w:spacing w:line="240" w:lineRule="auto"/>
              <w:rPr>
                <w:spacing w:val="0"/>
                <w:lang w:eastAsia="en-GB"/>
              </w:rPr>
            </w:pPr>
            <w:r w:rsidRPr="00191C79">
              <w:rPr>
                <w:spacing w:val="0"/>
                <w:lang w:eastAsia="en-GB"/>
              </w:rPr>
              <w:t>Frequency Range MHz</w:t>
            </w:r>
          </w:p>
        </w:tc>
        <w:tc>
          <w:tcPr>
            <w:tcW w:w="1841" w:type="dxa"/>
            <w:noWrap/>
          </w:tcPr>
          <w:p w:rsidR="00D56217" w:rsidRPr="00191C79" w:rsidRDefault="00D56217" w:rsidP="00191C79">
            <w:pPr>
              <w:pStyle w:val="Tablehead"/>
              <w:spacing w:line="240" w:lineRule="auto"/>
              <w:rPr>
                <w:spacing w:val="0"/>
                <w:lang w:eastAsia="en-GB"/>
              </w:rPr>
            </w:pPr>
            <w:r w:rsidRPr="00191C79">
              <w:rPr>
                <w:spacing w:val="0"/>
                <w:lang w:eastAsia="en-GB"/>
              </w:rPr>
              <w:t>Electric Field (E)  (V/m)</w:t>
            </w:r>
          </w:p>
        </w:tc>
        <w:tc>
          <w:tcPr>
            <w:tcW w:w="1863" w:type="dxa"/>
            <w:noWrap/>
          </w:tcPr>
          <w:p w:rsidR="00D56217" w:rsidRPr="00191C79" w:rsidRDefault="00D56217" w:rsidP="00191C79">
            <w:pPr>
              <w:pStyle w:val="Tablehead"/>
              <w:spacing w:line="240" w:lineRule="auto"/>
              <w:rPr>
                <w:spacing w:val="0"/>
                <w:lang w:eastAsia="en-GB"/>
              </w:rPr>
            </w:pPr>
            <w:r w:rsidRPr="00191C79">
              <w:rPr>
                <w:spacing w:val="0"/>
                <w:lang w:eastAsia="en-GB"/>
              </w:rPr>
              <w:t>Magnetic Field H (A/m)</w:t>
            </w:r>
          </w:p>
        </w:tc>
        <w:tc>
          <w:tcPr>
            <w:tcW w:w="2077" w:type="dxa"/>
            <w:noWrap/>
          </w:tcPr>
          <w:p w:rsidR="00D56217" w:rsidRPr="00191C79" w:rsidRDefault="00D56217" w:rsidP="00191C79">
            <w:pPr>
              <w:pStyle w:val="Tablehead"/>
              <w:spacing w:line="240" w:lineRule="auto"/>
              <w:rPr>
                <w:spacing w:val="0"/>
                <w:lang w:eastAsia="en-GB"/>
              </w:rPr>
            </w:pPr>
            <w:r w:rsidRPr="00191C79">
              <w:rPr>
                <w:spacing w:val="0"/>
                <w:lang w:eastAsia="en-GB"/>
              </w:rPr>
              <w:t>RMS power density (S) (W/m</w:t>
            </w:r>
            <w:r w:rsidRPr="00191C79">
              <w:rPr>
                <w:spacing w:val="0"/>
                <w:vertAlign w:val="superscript"/>
                <w:lang w:eastAsia="en-GB"/>
              </w:rPr>
              <w:t>2</w:t>
            </w:r>
            <w:r w:rsidRPr="00191C79">
              <w:rPr>
                <w:spacing w:val="0"/>
                <w:lang w:eastAsia="en-GB"/>
              </w:rPr>
              <w:t>)</w:t>
            </w:r>
          </w:p>
        </w:tc>
      </w:tr>
      <w:tr w:rsidR="00D56217" w:rsidRPr="00191C79" w:rsidTr="00774FEC">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D56217" w:rsidRPr="00191C79" w:rsidRDefault="00D56217" w:rsidP="00191C79">
            <w:pPr>
              <w:pStyle w:val="Tabletext"/>
              <w:spacing w:line="240" w:lineRule="auto"/>
              <w:rPr>
                <w:spacing w:val="0"/>
                <w:lang w:eastAsia="en-GB"/>
              </w:rPr>
            </w:pPr>
            <w:r w:rsidRPr="00191C79">
              <w:rPr>
                <w:spacing w:val="0"/>
                <w:lang w:eastAsia="en-GB"/>
              </w:rPr>
              <w:t>100-400</w:t>
            </w:r>
          </w:p>
        </w:tc>
        <w:tc>
          <w:tcPr>
            <w:tcW w:w="1841" w:type="dxa"/>
            <w:noWrap/>
          </w:tcPr>
          <w:p w:rsidR="00D56217" w:rsidRPr="00191C79" w:rsidRDefault="00D56217" w:rsidP="00191C79">
            <w:pPr>
              <w:pStyle w:val="Tabletext"/>
              <w:spacing w:line="240" w:lineRule="auto"/>
              <w:rPr>
                <w:spacing w:val="0"/>
                <w:lang w:eastAsia="en-GB"/>
              </w:rPr>
            </w:pPr>
            <w:r w:rsidRPr="00191C79">
              <w:rPr>
                <w:spacing w:val="0"/>
                <w:lang w:eastAsia="en-GB"/>
              </w:rPr>
              <w:t>27.5</w:t>
            </w:r>
          </w:p>
        </w:tc>
        <w:tc>
          <w:tcPr>
            <w:tcW w:w="1863" w:type="dxa"/>
            <w:noWrap/>
          </w:tcPr>
          <w:p w:rsidR="00D56217" w:rsidRPr="00191C79" w:rsidRDefault="00D56217" w:rsidP="00191C79">
            <w:pPr>
              <w:pStyle w:val="Tabletext"/>
              <w:spacing w:line="240" w:lineRule="auto"/>
              <w:rPr>
                <w:spacing w:val="0"/>
                <w:lang w:eastAsia="en-GB"/>
              </w:rPr>
            </w:pPr>
            <w:r w:rsidRPr="00191C79">
              <w:rPr>
                <w:spacing w:val="0"/>
                <w:lang w:eastAsia="en-GB"/>
              </w:rPr>
              <w:t>0.073</w:t>
            </w:r>
          </w:p>
        </w:tc>
        <w:tc>
          <w:tcPr>
            <w:tcW w:w="2077" w:type="dxa"/>
            <w:noWrap/>
          </w:tcPr>
          <w:p w:rsidR="00D56217" w:rsidRPr="00191C79" w:rsidRDefault="00D56217" w:rsidP="00191C79">
            <w:pPr>
              <w:pStyle w:val="Tabletext"/>
              <w:spacing w:line="240" w:lineRule="auto"/>
              <w:rPr>
                <w:spacing w:val="0"/>
                <w:lang w:eastAsia="en-GB"/>
              </w:rPr>
            </w:pPr>
            <w:r w:rsidRPr="00191C79">
              <w:rPr>
                <w:spacing w:val="0"/>
                <w:lang w:eastAsia="en-GB"/>
              </w:rPr>
              <w:t>2</w:t>
            </w:r>
          </w:p>
        </w:tc>
      </w:tr>
      <w:tr w:rsidR="00D56217" w:rsidRPr="00191C79" w:rsidTr="00774FEC">
        <w:trPr>
          <w:cnfStyle w:val="000000010000" w:firstRow="0" w:lastRow="0" w:firstColumn="0" w:lastColumn="0" w:oddVBand="0" w:evenVBand="0" w:oddHBand="0" w:evenHBand="1" w:firstRowFirstColumn="0" w:firstRowLastColumn="0" w:lastRowFirstColumn="0" w:lastRowLastColumn="0"/>
          <w:trHeight w:val="315"/>
          <w:jc w:val="center"/>
        </w:trPr>
        <w:tc>
          <w:tcPr>
            <w:tcW w:w="2619" w:type="dxa"/>
            <w:noWrap/>
          </w:tcPr>
          <w:p w:rsidR="00D56217" w:rsidRPr="00191C79" w:rsidRDefault="00D56217" w:rsidP="00191C79">
            <w:pPr>
              <w:pStyle w:val="Tabletext"/>
              <w:spacing w:line="240" w:lineRule="auto"/>
              <w:rPr>
                <w:spacing w:val="0"/>
                <w:lang w:eastAsia="en-GB"/>
              </w:rPr>
            </w:pPr>
            <w:r w:rsidRPr="00191C79">
              <w:rPr>
                <w:spacing w:val="0"/>
                <w:lang w:eastAsia="en-GB"/>
              </w:rPr>
              <w:t>400-2000</w:t>
            </w:r>
          </w:p>
        </w:tc>
        <w:tc>
          <w:tcPr>
            <w:tcW w:w="1841" w:type="dxa"/>
            <w:noWrap/>
          </w:tcPr>
          <w:p w:rsidR="00D56217" w:rsidRPr="00191C79" w:rsidRDefault="00D56217" w:rsidP="00191C79">
            <w:pPr>
              <w:pStyle w:val="Tabletext"/>
              <w:spacing w:line="240" w:lineRule="auto"/>
              <w:rPr>
                <w:spacing w:val="0"/>
                <w:lang w:eastAsia="en-GB"/>
              </w:rPr>
            </w:pPr>
            <w:r w:rsidRPr="00191C79">
              <w:rPr>
                <w:spacing w:val="0"/>
                <w:lang w:eastAsia="en-GB"/>
              </w:rPr>
              <w:t>--</w:t>
            </w:r>
          </w:p>
        </w:tc>
        <w:tc>
          <w:tcPr>
            <w:tcW w:w="1863" w:type="dxa"/>
            <w:noWrap/>
          </w:tcPr>
          <w:p w:rsidR="00D56217" w:rsidRPr="00191C79" w:rsidRDefault="00D56217" w:rsidP="00191C79">
            <w:pPr>
              <w:pStyle w:val="Tabletext"/>
              <w:spacing w:line="240" w:lineRule="auto"/>
              <w:rPr>
                <w:spacing w:val="0"/>
                <w:lang w:eastAsia="en-GB"/>
              </w:rPr>
            </w:pPr>
            <w:r w:rsidRPr="00191C79">
              <w:rPr>
                <w:spacing w:val="0"/>
                <w:lang w:eastAsia="en-GB"/>
              </w:rPr>
              <w:t>--</w:t>
            </w:r>
          </w:p>
        </w:tc>
        <w:tc>
          <w:tcPr>
            <w:tcW w:w="2077" w:type="dxa"/>
            <w:noWrap/>
          </w:tcPr>
          <w:p w:rsidR="00D56217" w:rsidRPr="00191C79" w:rsidRDefault="00D56217" w:rsidP="00191C79">
            <w:pPr>
              <w:pStyle w:val="Tabletext"/>
              <w:spacing w:line="240" w:lineRule="auto"/>
              <w:rPr>
                <w:spacing w:val="0"/>
                <w:lang w:eastAsia="en-GB"/>
              </w:rPr>
            </w:pPr>
            <w:r w:rsidRPr="00191C79">
              <w:rPr>
                <w:spacing w:val="0"/>
                <w:lang w:eastAsia="en-GB"/>
              </w:rPr>
              <w:t>f/200</w:t>
            </w:r>
          </w:p>
        </w:tc>
      </w:tr>
      <w:tr w:rsidR="00D56217" w:rsidRPr="00191C79" w:rsidTr="00774FEC">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D56217" w:rsidRPr="00191C79" w:rsidRDefault="00D56217" w:rsidP="00191C79">
            <w:pPr>
              <w:pStyle w:val="Tabletext"/>
              <w:spacing w:line="240" w:lineRule="auto"/>
              <w:rPr>
                <w:spacing w:val="0"/>
                <w:lang w:eastAsia="en-GB"/>
              </w:rPr>
            </w:pPr>
            <w:r w:rsidRPr="00191C79">
              <w:rPr>
                <w:spacing w:val="0"/>
                <w:lang w:eastAsia="en-GB"/>
              </w:rPr>
              <w:t>2000-5000</w:t>
            </w:r>
          </w:p>
        </w:tc>
        <w:tc>
          <w:tcPr>
            <w:tcW w:w="1841" w:type="dxa"/>
            <w:noWrap/>
          </w:tcPr>
          <w:p w:rsidR="00D56217" w:rsidRPr="00191C79" w:rsidRDefault="00D56217" w:rsidP="00191C79">
            <w:pPr>
              <w:pStyle w:val="Tabletext"/>
              <w:spacing w:line="240" w:lineRule="auto"/>
              <w:rPr>
                <w:spacing w:val="0"/>
                <w:lang w:eastAsia="en-GB"/>
              </w:rPr>
            </w:pPr>
            <w:r w:rsidRPr="00191C79">
              <w:rPr>
                <w:spacing w:val="0"/>
                <w:lang w:eastAsia="en-GB"/>
              </w:rPr>
              <w:t>--</w:t>
            </w:r>
          </w:p>
        </w:tc>
        <w:tc>
          <w:tcPr>
            <w:tcW w:w="1863" w:type="dxa"/>
            <w:noWrap/>
          </w:tcPr>
          <w:p w:rsidR="00D56217" w:rsidRPr="00191C79" w:rsidRDefault="00D56217" w:rsidP="00191C79">
            <w:pPr>
              <w:pStyle w:val="Tabletext"/>
              <w:spacing w:line="240" w:lineRule="auto"/>
              <w:rPr>
                <w:spacing w:val="0"/>
                <w:lang w:eastAsia="en-GB"/>
              </w:rPr>
            </w:pPr>
            <w:r w:rsidRPr="00191C79">
              <w:rPr>
                <w:spacing w:val="0"/>
                <w:lang w:eastAsia="en-GB"/>
              </w:rPr>
              <w:t>--</w:t>
            </w:r>
          </w:p>
        </w:tc>
        <w:tc>
          <w:tcPr>
            <w:tcW w:w="2077" w:type="dxa"/>
            <w:noWrap/>
          </w:tcPr>
          <w:p w:rsidR="00D56217" w:rsidRPr="00191C79" w:rsidRDefault="00D56217" w:rsidP="00191C79">
            <w:pPr>
              <w:pStyle w:val="Tabletext"/>
              <w:spacing w:line="240" w:lineRule="auto"/>
              <w:rPr>
                <w:spacing w:val="0"/>
                <w:lang w:eastAsia="en-GB"/>
              </w:rPr>
            </w:pPr>
            <w:r w:rsidRPr="00191C79">
              <w:rPr>
                <w:spacing w:val="0"/>
                <w:lang w:eastAsia="en-GB"/>
              </w:rPr>
              <w:t>10</w:t>
            </w:r>
          </w:p>
        </w:tc>
      </w:tr>
    </w:tbl>
    <w:p w:rsidR="00D56217" w:rsidRPr="00191C79" w:rsidRDefault="00D56217" w:rsidP="00191C79">
      <w:pPr>
        <w:spacing w:line="240" w:lineRule="auto"/>
        <w:rPr>
          <w:spacing w:val="0"/>
          <w:lang w:val="en-US"/>
        </w:rPr>
      </w:pPr>
      <w:r w:rsidRPr="00191C79">
        <w:rPr>
          <w:spacing w:val="0"/>
          <w:lang w:val="en-US"/>
        </w:rPr>
        <w:t>The IEEE C95.1-2005 level for 400-2000 MHz (typical cellular RF bands) is identical (not to FCC nor ANSI levels) to the ICNIRP level (f/200 W/m</w:t>
      </w:r>
      <w:r w:rsidRPr="00191C79">
        <w:rPr>
          <w:spacing w:val="0"/>
          <w:vertAlign w:val="superscript"/>
          <w:lang w:val="en-US"/>
        </w:rPr>
        <w:t>2</w:t>
      </w:r>
      <w:r w:rsidRPr="00191C79">
        <w:rPr>
          <w:spacing w:val="0"/>
          <w:lang w:val="en-US"/>
        </w:rPr>
        <w:t>); the units are also the same.</w:t>
      </w:r>
      <w:bookmarkEnd w:id="73"/>
      <w:bookmarkEnd w:id="74"/>
      <w:bookmarkEnd w:id="75"/>
    </w:p>
    <w:p w:rsidR="00D56217" w:rsidRPr="00191C79" w:rsidRDefault="00D56217" w:rsidP="00191C79">
      <w:pPr>
        <w:pStyle w:val="Heading2"/>
        <w:spacing w:line="240" w:lineRule="auto"/>
        <w:rPr>
          <w:spacing w:val="0"/>
        </w:rPr>
      </w:pPr>
      <w:bookmarkStart w:id="79" w:name="_Toc149211792"/>
      <w:bookmarkStart w:id="80" w:name="_Toc361912444"/>
      <w:bookmarkStart w:id="81" w:name="_Toc374691843"/>
      <w:r w:rsidRPr="00191C79">
        <w:rPr>
          <w:spacing w:val="0"/>
        </w:rPr>
        <w:t>2.2</w:t>
      </w:r>
      <w:r w:rsidRPr="00191C79">
        <w:rPr>
          <w:spacing w:val="0"/>
        </w:rPr>
        <w:tab/>
        <w:t>Exposures: Cellular Handsets</w:t>
      </w:r>
      <w:bookmarkEnd w:id="79"/>
      <w:bookmarkEnd w:id="80"/>
      <w:bookmarkEnd w:id="81"/>
    </w:p>
    <w:p w:rsidR="00D56217" w:rsidRPr="00191C79" w:rsidRDefault="00D56217" w:rsidP="00191C79">
      <w:pPr>
        <w:spacing w:line="240" w:lineRule="auto"/>
        <w:rPr>
          <w:spacing w:val="0"/>
          <w:lang w:val="en-US"/>
        </w:rPr>
      </w:pPr>
      <w:r w:rsidRPr="00191C79">
        <w:rPr>
          <w:spacing w:val="0"/>
          <w:lang w:val="en-US"/>
        </w:rPr>
        <w:t>Specific energy Absorption Rate (SAR) is the time rate of energy absorption per gram of tissue from electromagnetic radiation; it is expressed in watts per kilogram (W/kg). Table 6 compares the rate absorption in ICNIRP, EC and FCC</w:t>
      </w:r>
      <w:r w:rsidRPr="00191C79">
        <w:rPr>
          <w:rStyle w:val="FootnoteReference"/>
          <w:spacing w:val="0"/>
          <w:lang w:val="en-US"/>
        </w:rPr>
        <w:footnoteReference w:customMarkFollows="1" w:id="23"/>
        <w:t>2</w:t>
      </w:r>
      <w:r w:rsidRPr="00191C79">
        <w:rPr>
          <w:spacing w:val="0"/>
          <w:lang w:val="en-US"/>
        </w:rPr>
        <w:t>.</w:t>
      </w:r>
    </w:p>
    <w:p w:rsidR="00D56217" w:rsidRPr="00191C79" w:rsidRDefault="00D56217" w:rsidP="00191C79">
      <w:pPr>
        <w:pStyle w:val="Tabletitle"/>
        <w:spacing w:line="240" w:lineRule="auto"/>
        <w:rPr>
          <w:spacing w:val="0"/>
        </w:rPr>
      </w:pPr>
      <w:bookmarkStart w:id="82" w:name="_Ref149547028"/>
      <w:bookmarkStart w:id="83" w:name="_Toc199908855"/>
      <w:bookmarkStart w:id="84" w:name="_Toc148460125"/>
      <w:r w:rsidRPr="00191C79">
        <w:rPr>
          <w:spacing w:val="0"/>
        </w:rPr>
        <w:t xml:space="preserve">Table </w:t>
      </w:r>
      <w:bookmarkEnd w:id="82"/>
      <w:r w:rsidRPr="00191C79">
        <w:rPr>
          <w:spacing w:val="0"/>
        </w:rPr>
        <w:t>6: Maximal power from handsets: Specific absorption rate, SAR (W/kg)</w:t>
      </w:r>
      <w:bookmarkEnd w:id="83"/>
      <w:bookmarkEnd w:id="84"/>
    </w:p>
    <w:tbl>
      <w:tblPr>
        <w:tblStyle w:val="Style1"/>
        <w:tblW w:w="5000" w:type="pct"/>
        <w:jc w:val="center"/>
        <w:tblLook w:val="0020" w:firstRow="1" w:lastRow="0" w:firstColumn="0" w:lastColumn="0" w:noHBand="0" w:noVBand="0"/>
      </w:tblPr>
      <w:tblGrid>
        <w:gridCol w:w="1925"/>
        <w:gridCol w:w="3926"/>
        <w:gridCol w:w="3436"/>
      </w:tblGrid>
      <w:tr w:rsidR="00D56217" w:rsidRPr="00191C79" w:rsidTr="00774FEC">
        <w:trPr>
          <w:cnfStyle w:val="100000000000" w:firstRow="1" w:lastRow="0" w:firstColumn="0" w:lastColumn="0" w:oddVBand="0" w:evenVBand="0" w:oddHBand="0" w:evenHBand="0" w:firstRowFirstColumn="0" w:firstRowLastColumn="0" w:lastRowFirstColumn="0" w:lastRowLastColumn="0"/>
          <w:jc w:val="center"/>
        </w:trPr>
        <w:tc>
          <w:tcPr>
            <w:tcW w:w="1766" w:type="dxa"/>
          </w:tcPr>
          <w:p w:rsidR="00D56217" w:rsidRPr="00191C79" w:rsidRDefault="00D56217" w:rsidP="00191C79">
            <w:pPr>
              <w:pStyle w:val="Tablehead"/>
              <w:spacing w:line="240" w:lineRule="auto"/>
              <w:rPr>
                <w:spacing w:val="0"/>
                <w:lang w:eastAsia="en-GB"/>
              </w:rPr>
            </w:pPr>
            <w:r w:rsidRPr="00191C79">
              <w:rPr>
                <w:spacing w:val="0"/>
                <w:lang w:eastAsia="en-GB"/>
              </w:rPr>
              <w:t>ICNIRP</w:t>
            </w:r>
          </w:p>
        </w:tc>
        <w:tc>
          <w:tcPr>
            <w:tcW w:w="3603" w:type="dxa"/>
          </w:tcPr>
          <w:p w:rsidR="00D56217" w:rsidRPr="00191C79" w:rsidRDefault="00D56217" w:rsidP="00191C79">
            <w:pPr>
              <w:pStyle w:val="Tablehead"/>
              <w:spacing w:line="240" w:lineRule="auto"/>
              <w:rPr>
                <w:spacing w:val="0"/>
                <w:lang w:eastAsia="en-GB"/>
              </w:rPr>
            </w:pPr>
            <w:r w:rsidRPr="00191C79">
              <w:rPr>
                <w:spacing w:val="0"/>
                <w:lang w:eastAsia="en-GB"/>
              </w:rPr>
              <w:t>European Community</w:t>
            </w:r>
          </w:p>
        </w:tc>
        <w:tc>
          <w:tcPr>
            <w:tcW w:w="3153" w:type="dxa"/>
          </w:tcPr>
          <w:p w:rsidR="00D56217" w:rsidRPr="00191C79" w:rsidRDefault="00D56217" w:rsidP="00191C79">
            <w:pPr>
              <w:pStyle w:val="Tablehead"/>
              <w:spacing w:line="240" w:lineRule="auto"/>
              <w:rPr>
                <w:spacing w:val="0"/>
                <w:lang w:eastAsia="en-GB"/>
              </w:rPr>
            </w:pPr>
            <w:r w:rsidRPr="00191C79">
              <w:rPr>
                <w:spacing w:val="0"/>
                <w:lang w:eastAsia="en-GB"/>
              </w:rPr>
              <w:t>FCC- USA</w:t>
            </w:r>
          </w:p>
        </w:tc>
      </w:tr>
      <w:tr w:rsidR="00D56217" w:rsidRPr="00191C79" w:rsidTr="00774FEC">
        <w:trPr>
          <w:cnfStyle w:val="000000100000" w:firstRow="0" w:lastRow="0" w:firstColumn="0" w:lastColumn="0" w:oddVBand="0" w:evenVBand="0" w:oddHBand="1" w:evenHBand="0" w:firstRowFirstColumn="0" w:firstRowLastColumn="0" w:lastRowFirstColumn="0" w:lastRowLastColumn="0"/>
          <w:jc w:val="center"/>
        </w:trPr>
        <w:tc>
          <w:tcPr>
            <w:tcW w:w="5369" w:type="dxa"/>
            <w:gridSpan w:val="2"/>
          </w:tcPr>
          <w:p w:rsidR="00D56217" w:rsidRPr="00191C79" w:rsidRDefault="00D56217" w:rsidP="00191C79">
            <w:pPr>
              <w:pStyle w:val="Tabletext"/>
              <w:spacing w:line="240" w:lineRule="auto"/>
              <w:rPr>
                <w:spacing w:val="0"/>
                <w:lang w:val="en-US" w:eastAsia="en-GB"/>
              </w:rPr>
            </w:pPr>
            <w:r w:rsidRPr="00191C79">
              <w:rPr>
                <w:spacing w:val="0"/>
                <w:lang w:val="en-US" w:eastAsia="en-GB"/>
              </w:rPr>
              <w:t xml:space="preserve">10 MHz–10 GHz; </w:t>
            </w:r>
            <w:proofErr w:type="spellStart"/>
            <w:r w:rsidRPr="00191C79">
              <w:rPr>
                <w:spacing w:val="0"/>
                <w:lang w:val="en-US" w:eastAsia="en-GB"/>
              </w:rPr>
              <w:t>Localised</w:t>
            </w:r>
            <w:proofErr w:type="spellEnd"/>
            <w:r w:rsidRPr="00191C79">
              <w:rPr>
                <w:spacing w:val="0"/>
                <w:lang w:val="en-US" w:eastAsia="en-GB"/>
              </w:rPr>
              <w:t xml:space="preserve"> SAR (Head and Trunk)</w:t>
            </w:r>
          </w:p>
        </w:tc>
        <w:tc>
          <w:tcPr>
            <w:tcW w:w="3153" w:type="dxa"/>
          </w:tcPr>
          <w:p w:rsidR="00D56217" w:rsidRPr="00191C79" w:rsidRDefault="00D56217" w:rsidP="00191C79">
            <w:pPr>
              <w:pStyle w:val="Tabletext"/>
              <w:spacing w:line="240" w:lineRule="auto"/>
              <w:rPr>
                <w:spacing w:val="0"/>
                <w:lang w:eastAsia="en-GB"/>
              </w:rPr>
            </w:pPr>
            <w:r w:rsidRPr="00191C79">
              <w:rPr>
                <w:spacing w:val="0"/>
                <w:lang w:eastAsia="en-GB"/>
              </w:rPr>
              <w:t xml:space="preserve">Portable </w:t>
            </w:r>
            <w:proofErr w:type="spellStart"/>
            <w:r w:rsidRPr="00191C79">
              <w:rPr>
                <w:spacing w:val="0"/>
                <w:lang w:eastAsia="en-GB"/>
              </w:rPr>
              <w:t>Devices</w:t>
            </w:r>
            <w:proofErr w:type="spellEnd"/>
            <w:r w:rsidRPr="00191C79">
              <w:rPr>
                <w:spacing w:val="0"/>
                <w:lang w:eastAsia="en-GB"/>
              </w:rPr>
              <w:t xml:space="preserve">; General Population/ </w:t>
            </w:r>
            <w:proofErr w:type="spellStart"/>
            <w:r w:rsidRPr="00191C79">
              <w:rPr>
                <w:spacing w:val="0"/>
                <w:lang w:eastAsia="en-GB"/>
              </w:rPr>
              <w:t>Uncontrolled</w:t>
            </w:r>
            <w:proofErr w:type="spellEnd"/>
            <w:r w:rsidRPr="00191C79">
              <w:rPr>
                <w:spacing w:val="0"/>
                <w:lang w:eastAsia="en-GB"/>
              </w:rPr>
              <w:t xml:space="preserve"> </w:t>
            </w:r>
          </w:p>
        </w:tc>
      </w:tr>
      <w:tr w:rsidR="00D56217" w:rsidRPr="00191C79" w:rsidTr="00774FEC">
        <w:trPr>
          <w:cnfStyle w:val="000000010000" w:firstRow="0" w:lastRow="0" w:firstColumn="0" w:lastColumn="0" w:oddVBand="0" w:evenVBand="0" w:oddHBand="0" w:evenHBand="1" w:firstRowFirstColumn="0" w:firstRowLastColumn="0" w:lastRowFirstColumn="0" w:lastRowLastColumn="0"/>
          <w:jc w:val="center"/>
        </w:trPr>
        <w:tc>
          <w:tcPr>
            <w:tcW w:w="5369" w:type="dxa"/>
            <w:gridSpan w:val="2"/>
          </w:tcPr>
          <w:p w:rsidR="00D56217" w:rsidRPr="00191C79" w:rsidRDefault="00D56217" w:rsidP="00191C79">
            <w:pPr>
              <w:pStyle w:val="Tabletext"/>
              <w:spacing w:line="240" w:lineRule="auto"/>
              <w:rPr>
                <w:spacing w:val="0"/>
                <w:lang w:eastAsia="en-GB"/>
              </w:rPr>
            </w:pPr>
            <w:r w:rsidRPr="00191C79">
              <w:rPr>
                <w:spacing w:val="0"/>
                <w:lang w:eastAsia="en-GB"/>
              </w:rPr>
              <w:t xml:space="preserve">2.0; </w:t>
            </w:r>
            <w:proofErr w:type="spellStart"/>
            <w:r w:rsidRPr="00191C79">
              <w:rPr>
                <w:spacing w:val="0"/>
                <w:lang w:eastAsia="en-GB"/>
              </w:rPr>
              <w:t>averaged</w:t>
            </w:r>
            <w:proofErr w:type="spellEnd"/>
            <w:r w:rsidRPr="00191C79">
              <w:rPr>
                <w:spacing w:val="0"/>
                <w:lang w:eastAsia="en-GB"/>
              </w:rPr>
              <w:t xml:space="preserve"> over 10 g tissue</w:t>
            </w:r>
          </w:p>
        </w:tc>
        <w:tc>
          <w:tcPr>
            <w:tcW w:w="3153" w:type="dxa"/>
          </w:tcPr>
          <w:p w:rsidR="00D56217" w:rsidRPr="00191C79" w:rsidRDefault="00D56217" w:rsidP="00191C79">
            <w:pPr>
              <w:pStyle w:val="Tabletext"/>
              <w:spacing w:line="240" w:lineRule="auto"/>
              <w:rPr>
                <w:spacing w:val="0"/>
                <w:lang w:eastAsia="en-GB"/>
              </w:rPr>
            </w:pPr>
            <w:r w:rsidRPr="00191C79">
              <w:rPr>
                <w:spacing w:val="0"/>
                <w:lang w:eastAsia="en-GB"/>
              </w:rPr>
              <w:t xml:space="preserve">1.6; </w:t>
            </w:r>
            <w:proofErr w:type="spellStart"/>
            <w:r w:rsidRPr="00191C79">
              <w:rPr>
                <w:spacing w:val="0"/>
                <w:lang w:eastAsia="en-GB"/>
              </w:rPr>
              <w:t>averaged</w:t>
            </w:r>
            <w:proofErr w:type="spellEnd"/>
            <w:r w:rsidRPr="00191C79">
              <w:rPr>
                <w:spacing w:val="0"/>
                <w:lang w:eastAsia="en-GB"/>
              </w:rPr>
              <w:t xml:space="preserve"> over 1g tissue</w:t>
            </w:r>
          </w:p>
        </w:tc>
      </w:tr>
    </w:tbl>
    <w:p w:rsidR="00D56217" w:rsidRPr="00191C79" w:rsidRDefault="00D56217" w:rsidP="00191C79">
      <w:pPr>
        <w:spacing w:line="240" w:lineRule="auto"/>
        <w:rPr>
          <w:spacing w:val="0"/>
        </w:rPr>
      </w:pPr>
    </w:p>
    <w:p w:rsidR="00D56217" w:rsidRPr="00191C79" w:rsidRDefault="00D56217" w:rsidP="00191C79">
      <w:pPr>
        <w:spacing w:line="240" w:lineRule="auto"/>
        <w:rPr>
          <w:spacing w:val="0"/>
          <w:lang w:val="en-US"/>
        </w:rPr>
      </w:pPr>
      <w:r w:rsidRPr="00191C79">
        <w:rPr>
          <w:spacing w:val="0"/>
          <w:lang w:val="en-US"/>
        </w:rPr>
        <w:t>In contrast to the thresholds of power density from cellular base stations, it is important to observe that the US is more risk averse than Europe in the allowed SAR from the cellular terminal. The ICNIRP threshold (adopted by EC) is 2.0 W/kg, while the US limits are 1.6 watts/kg</w:t>
      </w:r>
      <w:r w:rsidRPr="00191C79">
        <w:rPr>
          <w:rStyle w:val="FootnoteReference"/>
          <w:spacing w:val="0"/>
          <w:lang w:val="en-US"/>
        </w:rPr>
        <w:footnoteReference w:customMarkFollows="1" w:id="24"/>
        <w:t>3</w:t>
      </w:r>
      <w:r w:rsidRPr="00191C79">
        <w:rPr>
          <w:spacing w:val="0"/>
          <w:lang w:val="en-US"/>
        </w:rPr>
        <w:t xml:space="preserve"> for the partial body. The IEEE (2006:79) has changed the peak spatial average SAR values from 1.6 W/kg for exposure of the public environment to 2 W/kg; moreover, the SAR is to be averaged over </w:t>
      </w:r>
      <w:proofErr w:type="gramStart"/>
      <w:r w:rsidRPr="00191C79">
        <w:rPr>
          <w:spacing w:val="0"/>
          <w:lang w:val="en-US"/>
        </w:rPr>
        <w:t>10g tissue</w:t>
      </w:r>
      <w:proofErr w:type="gramEnd"/>
      <w:r w:rsidRPr="00191C79">
        <w:rPr>
          <w:spacing w:val="0"/>
          <w:lang w:val="en-US"/>
        </w:rPr>
        <w:t xml:space="preserve"> as in the ICNIRP and not for 1g as before. These changes were based on the scientific considerations and were also influenced by the desire to harmonize the basic restrictions with ICNIRP, where scientifically justified. </w:t>
      </w:r>
    </w:p>
    <w:p w:rsidR="00D56217" w:rsidRPr="00191C79" w:rsidRDefault="00D56217" w:rsidP="00191C79">
      <w:pPr>
        <w:tabs>
          <w:tab w:val="clear" w:pos="794"/>
        </w:tabs>
        <w:overflowPunct/>
        <w:spacing w:before="0" w:line="240" w:lineRule="auto"/>
        <w:jc w:val="left"/>
        <w:rPr>
          <w:spacing w:val="0"/>
          <w:lang w:val="en-US" w:eastAsia="zh-CN"/>
        </w:rPr>
      </w:pPr>
      <w:r w:rsidRPr="00191C79">
        <w:rPr>
          <w:spacing w:val="0"/>
          <w:lang w:val="en-US" w:eastAsia="zh-CN"/>
        </w:rPr>
        <w:br w:type="page"/>
      </w:r>
    </w:p>
    <w:p w:rsidR="00D56217" w:rsidRPr="00191C79" w:rsidRDefault="00D56217" w:rsidP="00191C79">
      <w:pPr>
        <w:pStyle w:val="Heading1"/>
        <w:tabs>
          <w:tab w:val="left" w:pos="1418"/>
        </w:tabs>
        <w:spacing w:line="240" w:lineRule="auto"/>
        <w:ind w:left="1418" w:hanging="1418"/>
        <w:rPr>
          <w:spacing w:val="0"/>
        </w:rPr>
      </w:pPr>
      <w:r w:rsidRPr="00191C79">
        <w:rPr>
          <w:spacing w:val="0"/>
        </w:rPr>
        <w:lastRenderedPageBreak/>
        <w:t xml:space="preserve">Annex 3: </w:t>
      </w:r>
      <w:r w:rsidRPr="00191C79">
        <w:rPr>
          <w:spacing w:val="0"/>
        </w:rPr>
        <w:tab/>
        <w:t>Mandate of Question 23/1 (WTDC-10/139 (Rev.1))</w:t>
      </w:r>
      <w:r w:rsidRPr="00191C79">
        <w:rPr>
          <w:spacing w:val="0"/>
        </w:rPr>
        <w:footnoteReference w:customMarkFollows="1" w:id="25"/>
        <w:t>*.</w:t>
      </w:r>
    </w:p>
    <w:p w:rsidR="00D56217" w:rsidRPr="00191C79" w:rsidRDefault="00D56217" w:rsidP="00191C79">
      <w:pPr>
        <w:pStyle w:val="Figuretitle"/>
        <w:pBdr>
          <w:right w:val="single" w:sz="12" w:space="0" w:color="005173"/>
        </w:pBdr>
        <w:spacing w:line="240" w:lineRule="auto"/>
        <w:rPr>
          <w:bCs/>
          <w:spacing w:val="0"/>
          <w:lang w:eastAsia="en-ZA"/>
        </w:rPr>
      </w:pPr>
      <w:bookmarkStart w:id="85" w:name="_Toc375239134"/>
      <w:r w:rsidRPr="00191C79">
        <w:rPr>
          <w:spacing w:val="0"/>
          <w:lang w:eastAsia="en-ZA"/>
        </w:rPr>
        <w:t>Question 23/1 – Strategies and policies concerning human exposure to electromagnetic fields</w:t>
      </w:r>
      <w:bookmarkEnd w:id="85"/>
      <w:r w:rsidRPr="00191C79">
        <w:rPr>
          <w:spacing w:val="0"/>
          <w:lang w:eastAsia="en-ZA"/>
        </w:rPr>
        <w:t xml:space="preserve"> </w:t>
      </w:r>
    </w:p>
    <w:p w:rsidR="00D56217" w:rsidRPr="00191C79" w:rsidRDefault="00D56217" w:rsidP="00191C79">
      <w:pPr>
        <w:pStyle w:val="Figuretitle"/>
        <w:pBdr>
          <w:right w:val="single" w:sz="12" w:space="0" w:color="005173"/>
        </w:pBdr>
        <w:spacing w:before="240" w:line="240" w:lineRule="auto"/>
        <w:rPr>
          <w:bCs/>
          <w:spacing w:val="0"/>
          <w:lang w:eastAsia="en-ZA"/>
        </w:rPr>
      </w:pPr>
      <w:bookmarkStart w:id="86" w:name="_Toc375239135"/>
      <w:r w:rsidRPr="00191C79">
        <w:rPr>
          <w:spacing w:val="0"/>
          <w:lang w:eastAsia="en-ZA"/>
        </w:rPr>
        <w:t xml:space="preserve">1. </w:t>
      </w:r>
      <w:r w:rsidRPr="00191C79">
        <w:rPr>
          <w:spacing w:val="0"/>
          <w:lang w:eastAsia="en-ZA"/>
        </w:rPr>
        <w:tab/>
        <w:t>Statement of the situation</w:t>
      </w:r>
      <w:bookmarkEnd w:id="86"/>
      <w:r w:rsidRPr="00191C79">
        <w:rPr>
          <w:spacing w:val="0"/>
          <w:lang w:eastAsia="en-ZA"/>
        </w:rPr>
        <w:t xml:space="preserve"> </w:t>
      </w:r>
    </w:p>
    <w:p w:rsidR="00D56217" w:rsidRPr="00191C79" w:rsidRDefault="00D56217" w:rsidP="00191C79">
      <w:pPr>
        <w:pStyle w:val="Figure"/>
        <w:pBdr>
          <w:right w:val="single" w:sz="12" w:space="0" w:color="005173"/>
        </w:pBdr>
        <w:spacing w:before="120" w:after="0" w:line="240" w:lineRule="auto"/>
        <w:ind w:left="0" w:firstLine="0"/>
        <w:jc w:val="both"/>
        <w:rPr>
          <w:spacing w:val="0"/>
          <w:lang w:eastAsia="en-ZA"/>
        </w:rPr>
      </w:pPr>
      <w:r w:rsidRPr="00191C79">
        <w:rPr>
          <w:spacing w:val="0"/>
          <w:lang w:eastAsia="en-ZA"/>
        </w:rPr>
        <w:t xml:space="preserve">The deployment of different sources of electromagnetic fields to cater for the telecommunication and ICT needs of urban and rural communities has developed very rapidly over the past ten (10) years. This has been due to strong competition, ongoing traffic growth, </w:t>
      </w:r>
      <w:proofErr w:type="gramStart"/>
      <w:r w:rsidRPr="00191C79">
        <w:rPr>
          <w:spacing w:val="0"/>
          <w:lang w:eastAsia="en-ZA"/>
        </w:rPr>
        <w:t>quality</w:t>
      </w:r>
      <w:proofErr w:type="gramEnd"/>
      <w:r w:rsidRPr="00191C79">
        <w:rPr>
          <w:spacing w:val="0"/>
          <w:lang w:eastAsia="en-ZA"/>
        </w:rPr>
        <w:t xml:space="preserve"> of service requirements, network coverage extension and the introduction of new technologies. It has produced concern on the possible effects of prolonged exposure to emissions on people's health. </w:t>
      </w:r>
    </w:p>
    <w:p w:rsidR="00D56217" w:rsidRPr="00191C79" w:rsidRDefault="00D56217" w:rsidP="00191C79">
      <w:pPr>
        <w:pStyle w:val="Figure"/>
        <w:pBdr>
          <w:right w:val="single" w:sz="12" w:space="0" w:color="005173"/>
        </w:pBdr>
        <w:spacing w:before="120" w:after="0" w:line="240" w:lineRule="auto"/>
        <w:ind w:left="0" w:firstLine="0"/>
        <w:jc w:val="both"/>
        <w:rPr>
          <w:spacing w:val="0"/>
          <w:lang w:eastAsia="en-ZA"/>
        </w:rPr>
      </w:pPr>
      <w:r w:rsidRPr="00191C79">
        <w:rPr>
          <w:spacing w:val="0"/>
          <w:lang w:eastAsia="en-ZA"/>
        </w:rPr>
        <w:t xml:space="preserve">This concern on the part of populations is growing, aggravated by the feeling that they are not being kept informed of the process for deploying these installations; hence many complaints received by operators and government bodies responsible for </w:t>
      </w:r>
      <w:proofErr w:type="spellStart"/>
      <w:r w:rsidRPr="00191C79">
        <w:rPr>
          <w:spacing w:val="0"/>
          <w:lang w:eastAsia="en-ZA"/>
        </w:rPr>
        <w:t>radiocommunications</w:t>
      </w:r>
      <w:proofErr w:type="spellEnd"/>
      <w:r w:rsidRPr="00191C79">
        <w:rPr>
          <w:spacing w:val="0"/>
          <w:lang w:eastAsia="en-ZA"/>
        </w:rPr>
        <w:t xml:space="preserve">/ICTs. </w:t>
      </w:r>
    </w:p>
    <w:p w:rsidR="00D56217" w:rsidRPr="00191C79" w:rsidRDefault="00D56217" w:rsidP="00191C79">
      <w:pPr>
        <w:pStyle w:val="Figure"/>
        <w:pBdr>
          <w:right w:val="single" w:sz="12" w:space="0" w:color="005173"/>
        </w:pBdr>
        <w:spacing w:before="120" w:after="0" w:line="240" w:lineRule="auto"/>
        <w:ind w:left="0" w:firstLine="0"/>
        <w:jc w:val="both"/>
        <w:rPr>
          <w:spacing w:val="0"/>
          <w:lang w:eastAsia="en-ZA"/>
        </w:rPr>
      </w:pPr>
      <w:r w:rsidRPr="00191C79">
        <w:rPr>
          <w:spacing w:val="0"/>
          <w:lang w:eastAsia="en-ZA"/>
        </w:rPr>
        <w:t xml:space="preserve">Thus, since the continued development of </w:t>
      </w:r>
      <w:proofErr w:type="spellStart"/>
      <w:r w:rsidRPr="00191C79">
        <w:rPr>
          <w:spacing w:val="0"/>
          <w:lang w:eastAsia="en-ZA"/>
        </w:rPr>
        <w:t>radiocommunications</w:t>
      </w:r>
      <w:proofErr w:type="spellEnd"/>
      <w:r w:rsidRPr="00191C79">
        <w:rPr>
          <w:spacing w:val="0"/>
          <w:lang w:eastAsia="en-ZA"/>
        </w:rPr>
        <w:t xml:space="preserve"> requires trust on the part of populations, the work carried out in ITU-R Study Group 1 Working Party 1C and ITU-T Study Group 5 under Resolution 72, on measurement concerns related to human exposure to electromagnetic fields, should be complemented by studies on the different regulatory and communication mechanisms developed by countries to increase the awareness of and information to populations and facilitate the deployment and operation of </w:t>
      </w:r>
      <w:proofErr w:type="spellStart"/>
      <w:r w:rsidRPr="00191C79">
        <w:rPr>
          <w:spacing w:val="0"/>
          <w:lang w:eastAsia="en-ZA"/>
        </w:rPr>
        <w:t>radiocommunication</w:t>
      </w:r>
      <w:proofErr w:type="spellEnd"/>
      <w:r w:rsidRPr="00191C79">
        <w:rPr>
          <w:spacing w:val="0"/>
          <w:lang w:eastAsia="en-ZA"/>
        </w:rPr>
        <w:t xml:space="preserve"> systems. </w:t>
      </w:r>
    </w:p>
    <w:p w:rsidR="00D56217" w:rsidRPr="00191C79" w:rsidRDefault="00D56217" w:rsidP="00191C79">
      <w:pPr>
        <w:pStyle w:val="Figuretitle"/>
        <w:pBdr>
          <w:right w:val="single" w:sz="12" w:space="0" w:color="005173"/>
        </w:pBdr>
        <w:spacing w:before="240" w:line="240" w:lineRule="auto"/>
        <w:rPr>
          <w:bCs/>
          <w:spacing w:val="0"/>
          <w:lang w:eastAsia="en-ZA"/>
        </w:rPr>
      </w:pPr>
      <w:bookmarkStart w:id="87" w:name="_Toc375239136"/>
      <w:r w:rsidRPr="00191C79">
        <w:rPr>
          <w:spacing w:val="0"/>
          <w:lang w:eastAsia="en-ZA"/>
        </w:rPr>
        <w:t xml:space="preserve">2. </w:t>
      </w:r>
      <w:r w:rsidRPr="00191C79">
        <w:rPr>
          <w:spacing w:val="0"/>
          <w:lang w:eastAsia="en-ZA"/>
        </w:rPr>
        <w:tab/>
        <w:t>Question for study</w:t>
      </w:r>
      <w:bookmarkEnd w:id="87"/>
      <w:r w:rsidRPr="00191C79">
        <w:rPr>
          <w:spacing w:val="0"/>
          <w:lang w:eastAsia="en-ZA"/>
        </w:rPr>
        <w:t xml:space="preserve"> </w:t>
      </w:r>
    </w:p>
    <w:p w:rsidR="00D56217" w:rsidRPr="00191C79" w:rsidRDefault="00D56217" w:rsidP="00191C79">
      <w:pPr>
        <w:pStyle w:val="Figure"/>
        <w:pBdr>
          <w:right w:val="single" w:sz="12" w:space="0" w:color="005173"/>
        </w:pBdr>
        <w:spacing w:before="120" w:after="0" w:line="240" w:lineRule="auto"/>
        <w:ind w:left="0" w:firstLine="0"/>
        <w:jc w:val="both"/>
        <w:rPr>
          <w:spacing w:val="0"/>
          <w:lang w:eastAsia="en-ZA"/>
        </w:rPr>
      </w:pPr>
      <w:r w:rsidRPr="00191C79">
        <w:rPr>
          <w:spacing w:val="0"/>
          <w:lang w:eastAsia="en-ZA"/>
        </w:rPr>
        <w:t xml:space="preserve">The following subjects should be studied: </w:t>
      </w:r>
    </w:p>
    <w:p w:rsidR="00D56217" w:rsidRPr="00191C79" w:rsidRDefault="00D56217" w:rsidP="00191C79">
      <w:pPr>
        <w:pStyle w:val="Figure"/>
        <w:pBdr>
          <w:right w:val="single" w:sz="12" w:space="0" w:color="005173"/>
        </w:pBdr>
        <w:spacing w:before="120" w:after="0" w:line="240" w:lineRule="auto"/>
        <w:ind w:left="0" w:firstLine="0"/>
        <w:jc w:val="both"/>
        <w:rPr>
          <w:spacing w:val="0"/>
          <w:lang w:eastAsia="en-ZA"/>
        </w:rPr>
      </w:pPr>
      <w:r w:rsidRPr="00191C79">
        <w:rPr>
          <w:spacing w:val="0"/>
          <w:lang w:eastAsia="en-ZA"/>
        </w:rPr>
        <w:t xml:space="preserve">a) </w:t>
      </w:r>
      <w:r w:rsidRPr="00191C79">
        <w:rPr>
          <w:spacing w:val="0"/>
          <w:lang w:eastAsia="en-ZA"/>
        </w:rPr>
        <w:tab/>
        <w:t xml:space="preserve">To compile and analyse the regulatory policies concerning human exposure to electromagnetic fields that are being considered or being undertaken for authorizing the installation of </w:t>
      </w:r>
      <w:proofErr w:type="spellStart"/>
      <w:r w:rsidRPr="00191C79">
        <w:rPr>
          <w:spacing w:val="0"/>
          <w:lang w:eastAsia="en-ZA"/>
        </w:rPr>
        <w:t>radiocommunication</w:t>
      </w:r>
      <w:proofErr w:type="spellEnd"/>
      <w:r w:rsidRPr="00191C79">
        <w:rPr>
          <w:spacing w:val="0"/>
          <w:lang w:eastAsia="en-ZA"/>
        </w:rPr>
        <w:t xml:space="preserve"> sites and Power Lines Telecommunications systems. </w:t>
      </w:r>
    </w:p>
    <w:p w:rsidR="00D56217" w:rsidRPr="00191C79" w:rsidRDefault="00D56217" w:rsidP="00191C79">
      <w:pPr>
        <w:pStyle w:val="Figure"/>
        <w:pBdr>
          <w:right w:val="single" w:sz="12" w:space="0" w:color="005173"/>
        </w:pBdr>
        <w:spacing w:before="120" w:after="0" w:line="240" w:lineRule="auto"/>
        <w:ind w:left="0" w:firstLine="0"/>
        <w:jc w:val="both"/>
        <w:rPr>
          <w:spacing w:val="0"/>
          <w:lang w:eastAsia="en-ZA"/>
        </w:rPr>
      </w:pPr>
      <w:r w:rsidRPr="00191C79">
        <w:rPr>
          <w:spacing w:val="0"/>
          <w:lang w:eastAsia="en-ZA"/>
        </w:rPr>
        <w:t>b)</w:t>
      </w:r>
      <w:r w:rsidRPr="00191C79">
        <w:rPr>
          <w:spacing w:val="0"/>
          <w:lang w:eastAsia="en-ZA"/>
        </w:rPr>
        <w:tab/>
        <w:t xml:space="preserve">To describe the strategies or methods for raising the awareness of populations and information to populations regarding the effects of electromagnetic fields due to </w:t>
      </w:r>
      <w:proofErr w:type="spellStart"/>
      <w:r w:rsidRPr="00191C79">
        <w:rPr>
          <w:spacing w:val="0"/>
          <w:lang w:eastAsia="en-ZA"/>
        </w:rPr>
        <w:t>radiocommunication</w:t>
      </w:r>
      <w:proofErr w:type="spellEnd"/>
      <w:r w:rsidRPr="00191C79">
        <w:rPr>
          <w:spacing w:val="0"/>
          <w:lang w:eastAsia="en-ZA"/>
        </w:rPr>
        <w:t xml:space="preserve"> systems. </w:t>
      </w:r>
    </w:p>
    <w:p w:rsidR="00D56217" w:rsidRPr="00191C79" w:rsidRDefault="00D56217" w:rsidP="00191C79">
      <w:pPr>
        <w:pStyle w:val="Figure"/>
        <w:pBdr>
          <w:right w:val="single" w:sz="12" w:space="0" w:color="005173"/>
        </w:pBdr>
        <w:spacing w:before="120" w:after="0" w:line="240" w:lineRule="auto"/>
        <w:ind w:left="0" w:firstLine="0"/>
        <w:jc w:val="both"/>
        <w:rPr>
          <w:spacing w:val="0"/>
          <w:lang w:eastAsia="en-ZA"/>
        </w:rPr>
      </w:pPr>
      <w:r w:rsidRPr="00191C79">
        <w:rPr>
          <w:spacing w:val="0"/>
          <w:lang w:eastAsia="en-ZA"/>
        </w:rPr>
        <w:t>c)</w:t>
      </w:r>
      <w:r w:rsidRPr="00191C79">
        <w:rPr>
          <w:spacing w:val="0"/>
          <w:lang w:eastAsia="en-ZA"/>
        </w:rPr>
        <w:tab/>
        <w:t xml:space="preserve">To propose guidelines and best practices on this matter. </w:t>
      </w:r>
    </w:p>
    <w:p w:rsidR="00D56217" w:rsidRPr="00191C79" w:rsidRDefault="00D56217" w:rsidP="00191C79">
      <w:pPr>
        <w:pStyle w:val="Figuretitle"/>
        <w:pBdr>
          <w:right w:val="single" w:sz="12" w:space="0" w:color="005173"/>
        </w:pBdr>
        <w:spacing w:before="240" w:line="240" w:lineRule="auto"/>
        <w:rPr>
          <w:bCs/>
          <w:spacing w:val="0"/>
          <w:lang w:eastAsia="en-ZA"/>
        </w:rPr>
      </w:pPr>
      <w:bookmarkStart w:id="88" w:name="_Toc375239137"/>
      <w:r w:rsidRPr="00191C79">
        <w:rPr>
          <w:spacing w:val="0"/>
          <w:lang w:eastAsia="en-ZA"/>
        </w:rPr>
        <w:t xml:space="preserve">3. </w:t>
      </w:r>
      <w:r w:rsidRPr="00191C79">
        <w:rPr>
          <w:spacing w:val="0"/>
          <w:lang w:eastAsia="en-ZA"/>
        </w:rPr>
        <w:tab/>
        <w:t>Expected outcome</w:t>
      </w:r>
      <w:bookmarkEnd w:id="88"/>
      <w:r w:rsidRPr="00191C79">
        <w:rPr>
          <w:spacing w:val="0"/>
          <w:lang w:eastAsia="en-ZA"/>
        </w:rPr>
        <w:t xml:space="preserve"> </w:t>
      </w:r>
    </w:p>
    <w:p w:rsidR="00D56217" w:rsidRPr="00191C79" w:rsidRDefault="00D56217" w:rsidP="00191C79">
      <w:pPr>
        <w:pStyle w:val="Figure"/>
        <w:pBdr>
          <w:right w:val="single" w:sz="12" w:space="0" w:color="005173"/>
        </w:pBdr>
        <w:spacing w:before="120" w:after="0" w:line="240" w:lineRule="auto"/>
        <w:ind w:left="0" w:firstLine="0"/>
        <w:jc w:val="both"/>
        <w:rPr>
          <w:spacing w:val="0"/>
          <w:lang w:eastAsia="en-ZA"/>
        </w:rPr>
      </w:pPr>
      <w:r w:rsidRPr="00191C79">
        <w:rPr>
          <w:spacing w:val="0"/>
          <w:lang w:eastAsia="en-ZA"/>
        </w:rPr>
        <w:t>a)</w:t>
      </w:r>
      <w:r w:rsidRPr="00191C79">
        <w:rPr>
          <w:spacing w:val="0"/>
          <w:lang w:eastAsia="en-ZA"/>
        </w:rPr>
        <w:tab/>
        <w:t xml:space="preserve">A report to the membership presenting guidelines to assist Member States in resolving similar problems faced by regulatory bodies. </w:t>
      </w:r>
    </w:p>
    <w:p w:rsidR="00D56217" w:rsidRPr="00191C79" w:rsidRDefault="00D56217" w:rsidP="00191C79">
      <w:pPr>
        <w:pStyle w:val="Figure"/>
        <w:pBdr>
          <w:right w:val="single" w:sz="12" w:space="0" w:color="005173"/>
        </w:pBdr>
        <w:spacing w:before="120" w:after="0" w:line="240" w:lineRule="auto"/>
        <w:ind w:left="0" w:firstLine="0"/>
        <w:jc w:val="both"/>
        <w:rPr>
          <w:spacing w:val="0"/>
          <w:lang w:eastAsia="en-ZA"/>
        </w:rPr>
      </w:pPr>
      <w:r w:rsidRPr="00191C79">
        <w:rPr>
          <w:spacing w:val="0"/>
          <w:lang w:eastAsia="en-ZA"/>
        </w:rPr>
        <w:t>b)</w:t>
      </w:r>
      <w:r w:rsidRPr="00191C79">
        <w:rPr>
          <w:spacing w:val="0"/>
          <w:lang w:eastAsia="en-ZA"/>
        </w:rPr>
        <w:tab/>
        <w:t xml:space="preserve">The report will provide regulatory authorities with guidelines on methods for raising the awareness of populations along with best practices based on countries' experience in the matter. </w:t>
      </w:r>
    </w:p>
    <w:p w:rsidR="00D56217" w:rsidRPr="00191C79" w:rsidRDefault="00D56217" w:rsidP="00191C79">
      <w:pPr>
        <w:pStyle w:val="Figuretitle"/>
        <w:pBdr>
          <w:right w:val="single" w:sz="12" w:space="0" w:color="005173"/>
        </w:pBdr>
        <w:spacing w:before="240" w:line="240" w:lineRule="auto"/>
        <w:rPr>
          <w:bCs/>
          <w:spacing w:val="0"/>
          <w:lang w:eastAsia="en-ZA"/>
        </w:rPr>
      </w:pPr>
      <w:bookmarkStart w:id="89" w:name="_Toc375239138"/>
      <w:r w:rsidRPr="00191C79">
        <w:rPr>
          <w:spacing w:val="0"/>
          <w:lang w:eastAsia="en-ZA"/>
        </w:rPr>
        <w:t xml:space="preserve">4 </w:t>
      </w:r>
      <w:r w:rsidRPr="00191C79">
        <w:rPr>
          <w:spacing w:val="0"/>
          <w:lang w:eastAsia="en-ZA"/>
        </w:rPr>
        <w:tab/>
        <w:t>Timeline</w:t>
      </w:r>
      <w:bookmarkEnd w:id="89"/>
      <w:r w:rsidRPr="00191C79">
        <w:rPr>
          <w:spacing w:val="0"/>
          <w:lang w:eastAsia="en-ZA"/>
        </w:rPr>
        <w:t xml:space="preserve"> </w:t>
      </w:r>
    </w:p>
    <w:p w:rsidR="00D56217" w:rsidRPr="00191C79" w:rsidRDefault="00D56217" w:rsidP="00191C79">
      <w:pPr>
        <w:pStyle w:val="Figure"/>
        <w:pBdr>
          <w:right w:val="single" w:sz="12" w:space="0" w:color="005173"/>
        </w:pBdr>
        <w:spacing w:before="120" w:after="0" w:line="240" w:lineRule="auto"/>
        <w:ind w:left="0" w:firstLine="0"/>
        <w:jc w:val="both"/>
        <w:rPr>
          <w:spacing w:val="0"/>
          <w:lang w:eastAsia="en-ZA"/>
        </w:rPr>
      </w:pPr>
      <w:r w:rsidRPr="00191C79">
        <w:rPr>
          <w:spacing w:val="0"/>
          <w:lang w:eastAsia="en-ZA"/>
        </w:rPr>
        <w:t>A provisional report is to be presented to the Study Group in 2012. It is proposed that the study be completed in 2013, at which date a final report containing guidelines will be submitted</w:t>
      </w:r>
    </w:p>
    <w:p w:rsidR="00D56217" w:rsidRPr="00191C79" w:rsidRDefault="00D56217" w:rsidP="00191C79">
      <w:pPr>
        <w:spacing w:before="0" w:line="240" w:lineRule="auto"/>
        <w:rPr>
          <w:b/>
          <w:spacing w:val="0"/>
          <w:szCs w:val="19"/>
          <w:lang w:val="en-GB"/>
        </w:rPr>
      </w:pPr>
      <w:r w:rsidRPr="00191C79">
        <w:rPr>
          <w:smallCaps/>
          <w:spacing w:val="0"/>
          <w:szCs w:val="19"/>
          <w:lang w:val="en-US"/>
        </w:rPr>
        <w:br w:type="page"/>
      </w:r>
    </w:p>
    <w:p w:rsidR="00D56217" w:rsidRPr="00191C79" w:rsidRDefault="00D56217" w:rsidP="00191C79">
      <w:pPr>
        <w:pStyle w:val="Heading1"/>
        <w:tabs>
          <w:tab w:val="left" w:pos="1418"/>
        </w:tabs>
        <w:spacing w:line="240" w:lineRule="auto"/>
        <w:ind w:left="1418" w:hanging="1418"/>
        <w:rPr>
          <w:smallCaps/>
          <w:spacing w:val="0"/>
        </w:rPr>
      </w:pPr>
      <w:bookmarkStart w:id="90" w:name="_Toc374691845"/>
      <w:r w:rsidRPr="00191C79">
        <w:rPr>
          <w:spacing w:val="0"/>
        </w:rPr>
        <w:lastRenderedPageBreak/>
        <w:t xml:space="preserve">Annex 4: </w:t>
      </w:r>
      <w:r w:rsidRPr="00191C79">
        <w:rPr>
          <w:spacing w:val="0"/>
        </w:rPr>
        <w:tab/>
        <w:t>WTSA-12</w:t>
      </w:r>
      <w:r w:rsidRPr="00191C79">
        <w:rPr>
          <w:rStyle w:val="FootnoteReference"/>
          <w:spacing w:val="0"/>
          <w:lang w:val="en-US"/>
        </w:rPr>
        <w:footnoteReference w:customMarkFollows="1" w:id="26"/>
        <w:t>*</w:t>
      </w:r>
      <w:r w:rsidRPr="00191C79">
        <w:rPr>
          <w:spacing w:val="0"/>
        </w:rPr>
        <w:t xml:space="preserve"> Resolution 72 on “Measurement concerns related to human exposure to electromagnetic fields”'</w:t>
      </w:r>
      <w:bookmarkEnd w:id="90"/>
    </w:p>
    <w:p w:rsidR="00D56217" w:rsidRPr="00191C79" w:rsidRDefault="00D56217" w:rsidP="00191C79">
      <w:pPr>
        <w:spacing w:line="240" w:lineRule="auto"/>
        <w:rPr>
          <w:spacing w:val="0"/>
          <w:lang w:val="en-US"/>
        </w:rPr>
      </w:pPr>
      <w:bookmarkStart w:id="91" w:name="dstart"/>
      <w:bookmarkStart w:id="92" w:name="dbreak"/>
      <w:bookmarkStart w:id="93" w:name="c2tope"/>
      <w:bookmarkStart w:id="94" w:name="irecnoe"/>
      <w:bookmarkEnd w:id="91"/>
      <w:bookmarkEnd w:id="92"/>
      <w:bookmarkEnd w:id="93"/>
      <w:bookmarkEnd w:id="94"/>
    </w:p>
    <w:p w:rsidR="00D56217" w:rsidRPr="00191C79" w:rsidRDefault="00D56217" w:rsidP="00191C79">
      <w:pPr>
        <w:pStyle w:val="ResNo"/>
        <w:spacing w:line="240" w:lineRule="auto"/>
        <w:rPr>
          <w:lang w:val="en-US"/>
        </w:rPr>
      </w:pPr>
      <w:r w:rsidRPr="00191C79">
        <w:rPr>
          <w:lang w:val="en-US"/>
        </w:rPr>
        <w:t xml:space="preserve">resolution </w:t>
      </w:r>
      <w:r w:rsidRPr="00191C79">
        <w:rPr>
          <w:rStyle w:val="href"/>
          <w:lang w:val="en-US"/>
        </w:rPr>
        <w:t xml:space="preserve">72 </w:t>
      </w:r>
      <w:r w:rsidRPr="00191C79">
        <w:rPr>
          <w:lang w:val="en-US"/>
        </w:rPr>
        <w:t>(Rev. Dubai, 2012)</w:t>
      </w:r>
    </w:p>
    <w:p w:rsidR="00D56217" w:rsidRPr="00191C79" w:rsidRDefault="00D56217" w:rsidP="00774FEC">
      <w:pPr>
        <w:pStyle w:val="Restitle"/>
        <w:spacing w:before="240"/>
        <w:rPr>
          <w:lang w:val="en-GB"/>
        </w:rPr>
      </w:pPr>
      <w:r w:rsidRPr="00191C79">
        <w:rPr>
          <w:lang w:val="en-US"/>
        </w:rPr>
        <w:t>Measurement</w:t>
      </w:r>
      <w:r w:rsidRPr="00191C79">
        <w:rPr>
          <w:lang w:val="en-GB"/>
        </w:rPr>
        <w:t xml:space="preserve"> concerns related to human exposure to electromagnetic fields</w:t>
      </w:r>
    </w:p>
    <w:p w:rsidR="00D56217" w:rsidRPr="00191C79" w:rsidRDefault="00D56217" w:rsidP="00191C79">
      <w:pPr>
        <w:pStyle w:val="Resref"/>
        <w:spacing w:line="240" w:lineRule="auto"/>
        <w:rPr>
          <w:lang w:val="en-US"/>
        </w:rPr>
      </w:pPr>
      <w:r w:rsidRPr="00191C79">
        <w:rPr>
          <w:lang w:val="en-US"/>
        </w:rPr>
        <w:t>(Johannesburg, 2008; Dubai, 2012)</w:t>
      </w:r>
    </w:p>
    <w:p w:rsidR="00D56217" w:rsidRPr="00191C79" w:rsidRDefault="00D56217" w:rsidP="00191C79">
      <w:pPr>
        <w:pStyle w:val="Normalaftertitle0"/>
        <w:spacing w:before="120" w:after="120"/>
        <w:rPr>
          <w:rFonts w:ascii="Verdana" w:hAnsi="Verdana"/>
          <w:sz w:val="19"/>
          <w:szCs w:val="19"/>
        </w:rPr>
      </w:pPr>
    </w:p>
    <w:p w:rsidR="00D56217" w:rsidRPr="00191C79" w:rsidRDefault="00D56217" w:rsidP="00191C79">
      <w:pPr>
        <w:pStyle w:val="Normalaftertitle0"/>
      </w:pPr>
      <w:r w:rsidRPr="00191C79">
        <w:t>The World Telecommunication Standardization Assembly (Dubai, 2012),</w:t>
      </w:r>
    </w:p>
    <w:p w:rsidR="00D56217" w:rsidRPr="00774FEC" w:rsidRDefault="00D56217" w:rsidP="00191C79">
      <w:pPr>
        <w:pStyle w:val="Call"/>
        <w:spacing w:line="240" w:lineRule="auto"/>
        <w:rPr>
          <w:i/>
          <w:iCs/>
          <w:spacing w:val="0"/>
        </w:rPr>
      </w:pPr>
      <w:proofErr w:type="gramStart"/>
      <w:r w:rsidRPr="00774FEC">
        <w:rPr>
          <w:i/>
          <w:iCs/>
          <w:spacing w:val="0"/>
        </w:rPr>
        <w:t>considering</w:t>
      </w:r>
      <w:proofErr w:type="gramEnd"/>
      <w:r w:rsidRPr="00774FEC">
        <w:rPr>
          <w:i/>
          <w:iCs/>
          <w:spacing w:val="0"/>
        </w:rPr>
        <w:t xml:space="preserve"> </w:t>
      </w:r>
    </w:p>
    <w:p w:rsidR="00D56217" w:rsidRPr="00191C79" w:rsidRDefault="00D56217" w:rsidP="00774FEC">
      <w:pPr>
        <w:spacing w:before="120" w:line="240" w:lineRule="auto"/>
        <w:rPr>
          <w:spacing w:val="0"/>
          <w:szCs w:val="19"/>
          <w:lang w:val="en-GB"/>
        </w:rPr>
      </w:pPr>
      <w:r w:rsidRPr="00191C79">
        <w:rPr>
          <w:i/>
          <w:iCs/>
          <w:spacing w:val="0"/>
          <w:szCs w:val="19"/>
          <w:lang w:val="en-GB"/>
        </w:rPr>
        <w:t>a)</w:t>
      </w:r>
      <w:r w:rsidRPr="00191C79">
        <w:rPr>
          <w:spacing w:val="0"/>
          <w:szCs w:val="19"/>
          <w:lang w:val="en-GB"/>
        </w:rPr>
        <w:tab/>
      </w:r>
      <w:proofErr w:type="gramStart"/>
      <w:r w:rsidRPr="00191C79">
        <w:rPr>
          <w:spacing w:val="0"/>
          <w:szCs w:val="19"/>
          <w:lang w:val="en-GB"/>
        </w:rPr>
        <w:t>the</w:t>
      </w:r>
      <w:proofErr w:type="gramEnd"/>
      <w:r w:rsidRPr="00191C79">
        <w:rPr>
          <w:spacing w:val="0"/>
          <w:szCs w:val="19"/>
          <w:lang w:val="en-GB"/>
        </w:rPr>
        <w:t xml:space="preserve"> importance of telecommunications and information and communication technologies (ICT) for political, economic, social and cultural progress;</w:t>
      </w:r>
    </w:p>
    <w:p w:rsidR="00D56217" w:rsidRPr="00191C79" w:rsidRDefault="00D56217" w:rsidP="00774FEC">
      <w:pPr>
        <w:spacing w:before="120" w:line="240" w:lineRule="auto"/>
        <w:rPr>
          <w:spacing w:val="0"/>
          <w:szCs w:val="19"/>
          <w:lang w:val="en-GB"/>
        </w:rPr>
      </w:pPr>
      <w:r w:rsidRPr="00191C79">
        <w:rPr>
          <w:i/>
          <w:iCs/>
          <w:spacing w:val="0"/>
          <w:szCs w:val="19"/>
          <w:lang w:val="en-GB"/>
        </w:rPr>
        <w:t>b)</w:t>
      </w:r>
      <w:r w:rsidRPr="00191C79">
        <w:rPr>
          <w:spacing w:val="0"/>
          <w:szCs w:val="19"/>
          <w:lang w:val="en-GB"/>
        </w:rPr>
        <w:tab/>
      </w:r>
      <w:proofErr w:type="gramStart"/>
      <w:r w:rsidRPr="00191C79">
        <w:rPr>
          <w:spacing w:val="0"/>
          <w:szCs w:val="19"/>
          <w:lang w:val="en-GB"/>
        </w:rPr>
        <w:t>that</w:t>
      </w:r>
      <w:proofErr w:type="gramEnd"/>
      <w:r w:rsidRPr="00191C79">
        <w:rPr>
          <w:spacing w:val="0"/>
          <w:szCs w:val="19"/>
          <w:lang w:val="en-GB"/>
        </w:rPr>
        <w:t xml:space="preserve"> a significant part of the infrastructure needed to help bridge the digital divide between developed and developing countries</w:t>
      </w:r>
      <w:r w:rsidRPr="00191C79">
        <w:rPr>
          <w:rStyle w:val="FootnoteReference"/>
          <w:spacing w:val="0"/>
          <w:szCs w:val="19"/>
          <w:lang w:val="en-US"/>
        </w:rPr>
        <w:footnoteReference w:customMarkFollows="1" w:id="27"/>
        <w:t>1</w:t>
      </w:r>
      <w:r w:rsidRPr="00191C79">
        <w:rPr>
          <w:spacing w:val="0"/>
          <w:szCs w:val="19"/>
          <w:lang w:val="en-GB"/>
        </w:rPr>
        <w:t xml:space="preserve"> involves various wireless technologies;</w:t>
      </w:r>
    </w:p>
    <w:p w:rsidR="00D56217" w:rsidRPr="00191C79" w:rsidRDefault="00D56217" w:rsidP="00774FEC">
      <w:pPr>
        <w:spacing w:before="120" w:line="240" w:lineRule="auto"/>
        <w:rPr>
          <w:spacing w:val="0"/>
          <w:szCs w:val="19"/>
          <w:lang w:val="en-GB"/>
        </w:rPr>
      </w:pPr>
      <w:r w:rsidRPr="00191C79">
        <w:rPr>
          <w:i/>
          <w:iCs/>
          <w:spacing w:val="0"/>
          <w:szCs w:val="19"/>
          <w:lang w:val="en-GB"/>
        </w:rPr>
        <w:t>c)</w:t>
      </w:r>
      <w:r w:rsidRPr="00191C79">
        <w:rPr>
          <w:spacing w:val="0"/>
          <w:szCs w:val="19"/>
          <w:lang w:val="en-GB"/>
        </w:rPr>
        <w:tab/>
      </w:r>
      <w:proofErr w:type="gramStart"/>
      <w:r w:rsidRPr="00191C79">
        <w:rPr>
          <w:spacing w:val="0"/>
          <w:szCs w:val="19"/>
          <w:lang w:val="en-GB"/>
        </w:rPr>
        <w:t>that</w:t>
      </w:r>
      <w:proofErr w:type="gramEnd"/>
      <w:r w:rsidRPr="00191C79">
        <w:rPr>
          <w:spacing w:val="0"/>
          <w:szCs w:val="19"/>
          <w:lang w:val="en-GB"/>
        </w:rPr>
        <w:t xml:space="preserve"> there is a need to inform the public of the potential effects of exposure to electromagnetic fields (EMF);</w:t>
      </w:r>
    </w:p>
    <w:p w:rsidR="00D56217" w:rsidRPr="00191C79" w:rsidRDefault="00D56217" w:rsidP="00774FEC">
      <w:pPr>
        <w:spacing w:before="120" w:line="240" w:lineRule="auto"/>
        <w:rPr>
          <w:spacing w:val="0"/>
          <w:szCs w:val="19"/>
          <w:lang w:val="en-GB"/>
        </w:rPr>
      </w:pPr>
      <w:r w:rsidRPr="00191C79">
        <w:rPr>
          <w:i/>
          <w:iCs/>
          <w:spacing w:val="0"/>
          <w:szCs w:val="19"/>
          <w:lang w:val="en-GB"/>
        </w:rPr>
        <w:t>d)</w:t>
      </w:r>
      <w:r w:rsidRPr="00191C79">
        <w:rPr>
          <w:spacing w:val="0"/>
          <w:szCs w:val="19"/>
          <w:lang w:val="en-GB"/>
        </w:rPr>
        <w:tab/>
      </w:r>
      <w:proofErr w:type="gramStart"/>
      <w:r w:rsidRPr="00191C79">
        <w:rPr>
          <w:spacing w:val="0"/>
          <w:szCs w:val="19"/>
          <w:lang w:val="en-GB"/>
        </w:rPr>
        <w:t>that</w:t>
      </w:r>
      <w:proofErr w:type="gramEnd"/>
      <w:r w:rsidRPr="00191C79">
        <w:rPr>
          <w:spacing w:val="0"/>
          <w:szCs w:val="19"/>
          <w:lang w:val="en-GB"/>
        </w:rPr>
        <w:t xml:space="preserve"> an enormous amount of research has been carried out regarding wireless systems and health, and many independent expert committees have reviewed this research;</w:t>
      </w:r>
    </w:p>
    <w:p w:rsidR="00D56217" w:rsidRPr="00191C79" w:rsidRDefault="00D56217" w:rsidP="00774FEC">
      <w:pPr>
        <w:spacing w:before="120" w:line="240" w:lineRule="auto"/>
        <w:rPr>
          <w:spacing w:val="0"/>
          <w:szCs w:val="19"/>
          <w:lang w:val="en-GB"/>
        </w:rPr>
      </w:pPr>
      <w:r w:rsidRPr="00191C79">
        <w:rPr>
          <w:i/>
          <w:iCs/>
          <w:spacing w:val="0"/>
          <w:szCs w:val="19"/>
          <w:lang w:val="en-GB"/>
        </w:rPr>
        <w:t>e)</w:t>
      </w:r>
      <w:r w:rsidRPr="00191C79">
        <w:rPr>
          <w:spacing w:val="0"/>
          <w:szCs w:val="19"/>
          <w:lang w:val="en-GB"/>
        </w:rPr>
        <w:tab/>
        <w:t xml:space="preserve">that the International Commission on Non-Ionizing Radiation Protection (ICNIRP), the International </w:t>
      </w:r>
      <w:proofErr w:type="spellStart"/>
      <w:r w:rsidRPr="00191C79">
        <w:rPr>
          <w:spacing w:val="0"/>
          <w:szCs w:val="19"/>
          <w:lang w:val="en-GB"/>
        </w:rPr>
        <w:t>Electrotechnical</w:t>
      </w:r>
      <w:proofErr w:type="spellEnd"/>
      <w:r w:rsidRPr="00191C79">
        <w:rPr>
          <w:spacing w:val="0"/>
          <w:szCs w:val="19"/>
          <w:lang w:val="en-GB"/>
        </w:rPr>
        <w:t xml:space="preserve"> Commission (IEC) and the Institute of Electrical and Electronics Engineers (IEEE) are three among a number of pre-eminent international bodies in establishing measurement methodologies for assessing human exposure to EMF, and they already cooperate with many standards bodies and industry forums;</w:t>
      </w:r>
    </w:p>
    <w:p w:rsidR="00D56217" w:rsidRPr="00191C79" w:rsidRDefault="00D56217" w:rsidP="00774FEC">
      <w:pPr>
        <w:spacing w:before="120" w:line="240" w:lineRule="auto"/>
        <w:rPr>
          <w:spacing w:val="0"/>
          <w:szCs w:val="19"/>
          <w:lang w:val="en-GB"/>
        </w:rPr>
      </w:pPr>
      <w:r w:rsidRPr="00191C79">
        <w:rPr>
          <w:i/>
          <w:iCs/>
          <w:spacing w:val="0"/>
          <w:szCs w:val="19"/>
          <w:lang w:val="en-GB"/>
        </w:rPr>
        <w:t>f)</w:t>
      </w:r>
      <w:r w:rsidRPr="00191C79">
        <w:rPr>
          <w:spacing w:val="0"/>
          <w:szCs w:val="19"/>
          <w:lang w:val="en-GB"/>
        </w:rPr>
        <w:tab/>
        <w:t>that the World Health Organization (WHO) has issued fact sheets regarding EMF issues, including mobile terminals, base stations and wireless networks, referencing ICNIRP standards;</w:t>
      </w:r>
    </w:p>
    <w:p w:rsidR="00D56217" w:rsidRPr="00191C79" w:rsidRDefault="00D56217" w:rsidP="00774FEC">
      <w:pPr>
        <w:spacing w:before="120" w:line="240" w:lineRule="auto"/>
        <w:rPr>
          <w:spacing w:val="0"/>
          <w:szCs w:val="19"/>
          <w:lang w:val="en-GB"/>
        </w:rPr>
      </w:pPr>
      <w:r w:rsidRPr="00191C79">
        <w:rPr>
          <w:i/>
          <w:iCs/>
          <w:spacing w:val="0"/>
          <w:szCs w:val="19"/>
          <w:lang w:val="en-GB"/>
        </w:rPr>
        <w:t>g)</w:t>
      </w:r>
      <w:r w:rsidRPr="00191C79">
        <w:rPr>
          <w:spacing w:val="0"/>
          <w:szCs w:val="19"/>
          <w:lang w:val="en-GB"/>
        </w:rPr>
        <w:tab/>
        <w:t xml:space="preserve">Resolution 176 (Guadalajara, 2010) of the Plenipotentiary Conference, on human exposure to and measurement of electromagnetic fields; </w:t>
      </w:r>
    </w:p>
    <w:p w:rsidR="00D56217" w:rsidRPr="00191C79" w:rsidRDefault="00D56217" w:rsidP="00774FEC">
      <w:pPr>
        <w:spacing w:before="120" w:line="240" w:lineRule="auto"/>
        <w:rPr>
          <w:spacing w:val="0"/>
          <w:szCs w:val="19"/>
          <w:lang w:val="en-GB"/>
        </w:rPr>
      </w:pPr>
      <w:r w:rsidRPr="00191C79">
        <w:rPr>
          <w:i/>
          <w:iCs/>
          <w:spacing w:val="0"/>
          <w:szCs w:val="19"/>
          <w:lang w:val="en-GB"/>
        </w:rPr>
        <w:t>h)</w:t>
      </w:r>
      <w:r w:rsidRPr="00191C79">
        <w:rPr>
          <w:spacing w:val="0"/>
          <w:szCs w:val="19"/>
          <w:lang w:val="en-GB"/>
        </w:rPr>
        <w:tab/>
        <w:t>Resolution 62 (Hyderabad, 2010) of the World Telecommunication Development Conference, on measurement concerns related to human exposure to electromagnetic fields,</w:t>
      </w:r>
    </w:p>
    <w:p w:rsidR="00D56217" w:rsidRPr="00774FEC" w:rsidRDefault="00D56217" w:rsidP="00191C79">
      <w:pPr>
        <w:pStyle w:val="Call"/>
        <w:spacing w:line="240" w:lineRule="auto"/>
        <w:rPr>
          <w:i/>
          <w:iCs/>
          <w:spacing w:val="0"/>
        </w:rPr>
      </w:pPr>
      <w:proofErr w:type="gramStart"/>
      <w:r w:rsidRPr="00774FEC">
        <w:rPr>
          <w:i/>
          <w:iCs/>
          <w:spacing w:val="0"/>
        </w:rPr>
        <w:t>recognizing</w:t>
      </w:r>
      <w:proofErr w:type="gramEnd"/>
    </w:p>
    <w:p w:rsidR="00D56217" w:rsidRPr="00191C79" w:rsidRDefault="00D56217" w:rsidP="00774FEC">
      <w:pPr>
        <w:spacing w:before="120" w:line="240" w:lineRule="auto"/>
        <w:rPr>
          <w:spacing w:val="0"/>
          <w:szCs w:val="19"/>
          <w:lang w:val="en-GB"/>
        </w:rPr>
      </w:pPr>
      <w:r w:rsidRPr="00191C79">
        <w:rPr>
          <w:i/>
          <w:iCs/>
          <w:spacing w:val="0"/>
          <w:szCs w:val="19"/>
          <w:lang w:val="en-GB"/>
        </w:rPr>
        <w:t>a)</w:t>
      </w:r>
      <w:r w:rsidRPr="00191C79">
        <w:rPr>
          <w:spacing w:val="0"/>
          <w:szCs w:val="19"/>
          <w:lang w:val="en-GB"/>
        </w:rPr>
        <w:tab/>
      </w:r>
      <w:proofErr w:type="gramStart"/>
      <w:r w:rsidRPr="00191C79">
        <w:rPr>
          <w:spacing w:val="0"/>
          <w:szCs w:val="19"/>
          <w:lang w:val="en-GB"/>
        </w:rPr>
        <w:t>the</w:t>
      </w:r>
      <w:proofErr w:type="gramEnd"/>
      <w:r w:rsidRPr="00191C79">
        <w:rPr>
          <w:spacing w:val="0"/>
          <w:szCs w:val="19"/>
          <w:lang w:val="en-GB"/>
        </w:rPr>
        <w:t xml:space="preserve"> work done within ITU </w:t>
      </w:r>
      <w:proofErr w:type="spellStart"/>
      <w:r w:rsidRPr="00191C79">
        <w:rPr>
          <w:spacing w:val="0"/>
          <w:szCs w:val="19"/>
          <w:lang w:val="en-GB"/>
        </w:rPr>
        <w:t>Radiocommunication</w:t>
      </w:r>
      <w:proofErr w:type="spellEnd"/>
      <w:r w:rsidRPr="00191C79">
        <w:rPr>
          <w:spacing w:val="0"/>
          <w:szCs w:val="19"/>
          <w:lang w:val="en-GB"/>
        </w:rPr>
        <w:t xml:space="preserve"> Sector (ITU</w:t>
      </w:r>
      <w:r w:rsidRPr="00191C79">
        <w:rPr>
          <w:spacing w:val="0"/>
          <w:szCs w:val="19"/>
          <w:lang w:val="en-GB"/>
        </w:rPr>
        <w:noBreakHyphen/>
        <w:t xml:space="preserve">R) study groups on </w:t>
      </w:r>
      <w:proofErr w:type="spellStart"/>
      <w:r w:rsidRPr="00191C79">
        <w:rPr>
          <w:spacing w:val="0"/>
          <w:szCs w:val="19"/>
          <w:lang w:val="en-GB"/>
        </w:rPr>
        <w:t>radiowave</w:t>
      </w:r>
      <w:proofErr w:type="spellEnd"/>
      <w:r w:rsidRPr="00191C79">
        <w:rPr>
          <w:spacing w:val="0"/>
          <w:szCs w:val="19"/>
          <w:lang w:val="en-GB"/>
        </w:rPr>
        <w:t xml:space="preserve"> propagation, electromagnetic compatibility (EMC) and related aspects, including measurement methods;</w:t>
      </w:r>
    </w:p>
    <w:p w:rsidR="00D56217" w:rsidRPr="00191C79" w:rsidRDefault="00D56217" w:rsidP="00774FEC">
      <w:pPr>
        <w:spacing w:before="120" w:line="240" w:lineRule="auto"/>
        <w:rPr>
          <w:spacing w:val="0"/>
          <w:szCs w:val="19"/>
          <w:lang w:val="en-GB"/>
        </w:rPr>
      </w:pPr>
      <w:r w:rsidRPr="00191C79">
        <w:rPr>
          <w:i/>
          <w:iCs/>
          <w:spacing w:val="0"/>
          <w:szCs w:val="19"/>
          <w:lang w:val="en-GB"/>
        </w:rPr>
        <w:t>b)</w:t>
      </w:r>
      <w:r w:rsidRPr="00191C79">
        <w:rPr>
          <w:spacing w:val="0"/>
          <w:szCs w:val="19"/>
          <w:lang w:val="en-GB"/>
        </w:rPr>
        <w:tab/>
      </w:r>
      <w:proofErr w:type="gramStart"/>
      <w:r w:rsidRPr="00191C79">
        <w:rPr>
          <w:spacing w:val="0"/>
          <w:szCs w:val="19"/>
          <w:lang w:val="en-GB"/>
        </w:rPr>
        <w:t>the</w:t>
      </w:r>
      <w:proofErr w:type="gramEnd"/>
      <w:r w:rsidRPr="00191C79">
        <w:rPr>
          <w:spacing w:val="0"/>
          <w:szCs w:val="19"/>
          <w:lang w:val="en-GB"/>
        </w:rPr>
        <w:t xml:space="preserve"> work done within Study Group 5 of the ITU Telecommunication Standardization Sector (ITU</w:t>
      </w:r>
      <w:r w:rsidRPr="00191C79">
        <w:rPr>
          <w:spacing w:val="0"/>
          <w:szCs w:val="19"/>
          <w:lang w:val="en-GB"/>
        </w:rPr>
        <w:noBreakHyphen/>
        <w:t>T) on techniques for taking radio-frequency (RF) measurements;</w:t>
      </w:r>
    </w:p>
    <w:p w:rsidR="00D56217" w:rsidRPr="00191C79" w:rsidRDefault="00D56217" w:rsidP="00774FEC">
      <w:pPr>
        <w:spacing w:before="120" w:line="240" w:lineRule="auto"/>
        <w:rPr>
          <w:spacing w:val="0"/>
          <w:szCs w:val="19"/>
          <w:lang w:val="en-GB"/>
        </w:rPr>
      </w:pPr>
      <w:r w:rsidRPr="00191C79">
        <w:rPr>
          <w:i/>
          <w:iCs/>
          <w:spacing w:val="0"/>
          <w:szCs w:val="19"/>
          <w:lang w:val="en-GB"/>
        </w:rPr>
        <w:lastRenderedPageBreak/>
        <w:t>c)</w:t>
      </w:r>
      <w:r w:rsidRPr="00191C79">
        <w:rPr>
          <w:spacing w:val="0"/>
          <w:szCs w:val="19"/>
          <w:lang w:val="en-GB"/>
        </w:rPr>
        <w:tab/>
        <w:t>that Study Group 5, in establishing measurement methodologies for assessing human exposure to RF energy, already cooperates with many participating standards organizations (PSOs),</w:t>
      </w:r>
    </w:p>
    <w:p w:rsidR="00D56217" w:rsidRPr="00774FEC" w:rsidRDefault="00D56217" w:rsidP="00191C79">
      <w:pPr>
        <w:pStyle w:val="Call"/>
        <w:spacing w:line="240" w:lineRule="auto"/>
        <w:rPr>
          <w:i/>
          <w:iCs/>
          <w:spacing w:val="0"/>
        </w:rPr>
      </w:pPr>
      <w:proofErr w:type="gramStart"/>
      <w:r w:rsidRPr="00774FEC">
        <w:rPr>
          <w:i/>
          <w:iCs/>
          <w:spacing w:val="0"/>
        </w:rPr>
        <w:t>recognizing</w:t>
      </w:r>
      <w:proofErr w:type="gramEnd"/>
      <w:r w:rsidRPr="00774FEC">
        <w:rPr>
          <w:i/>
          <w:iCs/>
          <w:spacing w:val="0"/>
        </w:rPr>
        <w:t xml:space="preserve"> further</w:t>
      </w:r>
    </w:p>
    <w:p w:rsidR="00D56217" w:rsidRPr="00191C79" w:rsidRDefault="00D56217" w:rsidP="00774FEC">
      <w:pPr>
        <w:spacing w:before="120" w:line="240" w:lineRule="auto"/>
        <w:rPr>
          <w:spacing w:val="0"/>
          <w:szCs w:val="19"/>
          <w:lang w:val="en-GB"/>
        </w:rPr>
      </w:pPr>
      <w:r w:rsidRPr="00191C79">
        <w:rPr>
          <w:i/>
          <w:iCs/>
          <w:spacing w:val="0"/>
          <w:szCs w:val="19"/>
          <w:lang w:val="en-GB"/>
        </w:rPr>
        <w:t>a)</w:t>
      </w:r>
      <w:r w:rsidRPr="00191C79">
        <w:rPr>
          <w:spacing w:val="0"/>
          <w:szCs w:val="19"/>
          <w:lang w:val="en-GB"/>
        </w:rPr>
        <w:tab/>
      </w:r>
      <w:proofErr w:type="gramStart"/>
      <w:r w:rsidRPr="00191C79">
        <w:rPr>
          <w:spacing w:val="0"/>
          <w:szCs w:val="19"/>
          <w:lang w:val="en-GB"/>
        </w:rPr>
        <w:t>that</w:t>
      </w:r>
      <w:proofErr w:type="gramEnd"/>
      <w:r w:rsidRPr="00191C79">
        <w:rPr>
          <w:spacing w:val="0"/>
          <w:szCs w:val="19"/>
          <w:lang w:val="en-GB"/>
        </w:rPr>
        <w:t xml:space="preserve"> some publications about EMF effects on health create doubt among the population, in particular in developing countries;</w:t>
      </w:r>
    </w:p>
    <w:p w:rsidR="00D56217" w:rsidRPr="00191C79" w:rsidRDefault="00D56217" w:rsidP="00774FEC">
      <w:pPr>
        <w:spacing w:before="120" w:line="240" w:lineRule="auto"/>
        <w:rPr>
          <w:spacing w:val="0"/>
          <w:szCs w:val="19"/>
          <w:lang w:val="en-GB"/>
        </w:rPr>
      </w:pPr>
      <w:r w:rsidRPr="00191C79">
        <w:rPr>
          <w:i/>
          <w:iCs/>
          <w:spacing w:val="0"/>
          <w:szCs w:val="19"/>
          <w:lang w:val="en-GB"/>
        </w:rPr>
        <w:t>b)</w:t>
      </w:r>
      <w:r w:rsidRPr="00191C79">
        <w:rPr>
          <w:spacing w:val="0"/>
          <w:szCs w:val="19"/>
          <w:lang w:val="en-GB"/>
        </w:rPr>
        <w:tab/>
      </w:r>
      <w:proofErr w:type="gramStart"/>
      <w:r w:rsidRPr="00191C79">
        <w:rPr>
          <w:spacing w:val="0"/>
          <w:szCs w:val="19"/>
          <w:lang w:val="en-GB"/>
        </w:rPr>
        <w:t>that</w:t>
      </w:r>
      <w:proofErr w:type="gramEnd"/>
      <w:r w:rsidRPr="00191C79">
        <w:rPr>
          <w:spacing w:val="0"/>
          <w:szCs w:val="19"/>
          <w:lang w:val="en-GB"/>
        </w:rPr>
        <w:t>, in the absence of regulation, people, in particular in developing countries, become more and more doubtful and are increasingly opposing the deployment of radio installations in their neighbourhoods;</w:t>
      </w:r>
    </w:p>
    <w:p w:rsidR="00D56217" w:rsidRPr="00191C79" w:rsidRDefault="00D56217" w:rsidP="00774FEC">
      <w:pPr>
        <w:spacing w:before="120" w:line="240" w:lineRule="auto"/>
        <w:rPr>
          <w:spacing w:val="0"/>
          <w:szCs w:val="19"/>
          <w:lang w:val="en-GB"/>
        </w:rPr>
      </w:pPr>
      <w:r w:rsidRPr="00191C79">
        <w:rPr>
          <w:i/>
          <w:iCs/>
          <w:spacing w:val="0"/>
          <w:szCs w:val="19"/>
          <w:lang w:val="en-GB"/>
        </w:rPr>
        <w:t>c)</w:t>
      </w:r>
      <w:r w:rsidRPr="00191C79">
        <w:rPr>
          <w:spacing w:val="0"/>
          <w:szCs w:val="19"/>
          <w:lang w:val="en-GB"/>
        </w:rPr>
        <w:tab/>
      </w:r>
      <w:proofErr w:type="gramStart"/>
      <w:r w:rsidRPr="00191C79">
        <w:rPr>
          <w:spacing w:val="0"/>
          <w:szCs w:val="19"/>
          <w:lang w:val="en-GB"/>
        </w:rPr>
        <w:t>that</w:t>
      </w:r>
      <w:proofErr w:type="gramEnd"/>
      <w:r w:rsidRPr="00191C79">
        <w:rPr>
          <w:spacing w:val="0"/>
          <w:szCs w:val="19"/>
          <w:lang w:val="en-GB"/>
        </w:rPr>
        <w:t xml:space="preserve"> the cost of the equipment used for assessing human exposure to RF energy is very high, and that the equipment is more likely to be affordable only in developed countries;</w:t>
      </w:r>
    </w:p>
    <w:p w:rsidR="00D56217" w:rsidRPr="00191C79" w:rsidRDefault="00D56217" w:rsidP="00774FEC">
      <w:pPr>
        <w:spacing w:before="120" w:line="240" w:lineRule="auto"/>
        <w:rPr>
          <w:spacing w:val="0"/>
          <w:szCs w:val="19"/>
          <w:lang w:val="en-GB"/>
        </w:rPr>
      </w:pPr>
      <w:r w:rsidRPr="00191C79">
        <w:rPr>
          <w:i/>
          <w:iCs/>
          <w:spacing w:val="0"/>
          <w:szCs w:val="19"/>
          <w:lang w:val="en-GB"/>
        </w:rPr>
        <w:t>d)</w:t>
      </w:r>
      <w:r w:rsidRPr="00191C79">
        <w:rPr>
          <w:spacing w:val="0"/>
          <w:szCs w:val="19"/>
          <w:lang w:val="en-GB"/>
        </w:rPr>
        <w:tab/>
        <w:t>that implementing such measurement is essential for many regulatory authorities, in particular in developing countries, in order to monitor the limits for human exposure to RF energy, and that they are called upon to ensure those limits are met in order to license different services,</w:t>
      </w:r>
    </w:p>
    <w:p w:rsidR="00D56217" w:rsidRPr="00774FEC" w:rsidRDefault="00D56217" w:rsidP="00191C79">
      <w:pPr>
        <w:pStyle w:val="Call"/>
        <w:spacing w:line="240" w:lineRule="auto"/>
        <w:rPr>
          <w:i/>
          <w:iCs/>
          <w:spacing w:val="0"/>
        </w:rPr>
      </w:pPr>
      <w:proofErr w:type="gramStart"/>
      <w:r w:rsidRPr="00774FEC">
        <w:rPr>
          <w:i/>
          <w:iCs/>
          <w:spacing w:val="0"/>
        </w:rPr>
        <w:t>noting</w:t>
      </w:r>
      <w:proofErr w:type="gramEnd"/>
    </w:p>
    <w:p w:rsidR="00D56217" w:rsidRPr="00191C79" w:rsidRDefault="00D56217" w:rsidP="00774FEC">
      <w:pPr>
        <w:spacing w:before="120" w:line="240" w:lineRule="auto"/>
        <w:rPr>
          <w:spacing w:val="0"/>
          <w:szCs w:val="19"/>
          <w:lang w:val="en-GB"/>
        </w:rPr>
      </w:pPr>
      <w:proofErr w:type="gramStart"/>
      <w:r w:rsidRPr="00191C79">
        <w:rPr>
          <w:spacing w:val="0"/>
          <w:szCs w:val="19"/>
          <w:lang w:val="en-GB"/>
        </w:rPr>
        <w:t>the</w:t>
      </w:r>
      <w:proofErr w:type="gramEnd"/>
      <w:r w:rsidRPr="00191C79">
        <w:rPr>
          <w:spacing w:val="0"/>
          <w:szCs w:val="19"/>
          <w:lang w:val="en-GB"/>
        </w:rPr>
        <w:t xml:space="preserve"> similar activities carried out by other national, regional and international standards development organizations (SDOs),</w:t>
      </w:r>
    </w:p>
    <w:p w:rsidR="00D56217" w:rsidRPr="00774FEC" w:rsidRDefault="00D56217" w:rsidP="00191C79">
      <w:pPr>
        <w:pStyle w:val="Call"/>
        <w:spacing w:line="240" w:lineRule="auto"/>
        <w:rPr>
          <w:i/>
          <w:iCs/>
          <w:spacing w:val="0"/>
        </w:rPr>
      </w:pPr>
      <w:proofErr w:type="gramStart"/>
      <w:r w:rsidRPr="00774FEC">
        <w:rPr>
          <w:i/>
          <w:iCs/>
          <w:spacing w:val="0"/>
        </w:rPr>
        <w:t>resolves</w:t>
      </w:r>
      <w:proofErr w:type="gramEnd"/>
    </w:p>
    <w:p w:rsidR="00D56217" w:rsidRPr="00191C79" w:rsidRDefault="00D56217" w:rsidP="00774FEC">
      <w:pPr>
        <w:spacing w:before="120" w:line="240" w:lineRule="auto"/>
        <w:rPr>
          <w:spacing w:val="0"/>
          <w:szCs w:val="19"/>
          <w:lang w:val="en-GB"/>
        </w:rPr>
      </w:pPr>
      <w:proofErr w:type="gramStart"/>
      <w:r w:rsidRPr="00191C79">
        <w:rPr>
          <w:spacing w:val="0"/>
          <w:szCs w:val="19"/>
          <w:lang w:val="en-GB"/>
        </w:rPr>
        <w:t>to</w:t>
      </w:r>
      <w:proofErr w:type="gramEnd"/>
      <w:r w:rsidRPr="00191C79">
        <w:rPr>
          <w:spacing w:val="0"/>
          <w:szCs w:val="19"/>
          <w:lang w:val="en-GB"/>
        </w:rPr>
        <w:t xml:space="preserve"> invite ITU</w:t>
      </w:r>
      <w:r w:rsidRPr="00191C79">
        <w:rPr>
          <w:spacing w:val="0"/>
          <w:szCs w:val="19"/>
          <w:lang w:val="en-GB"/>
        </w:rPr>
        <w:noBreakHyphen/>
        <w:t>T, in particular Study Group 5, to expand and continue its work and support in this domain, including but not limited to:</w:t>
      </w:r>
    </w:p>
    <w:p w:rsidR="00D56217" w:rsidRPr="00191C79" w:rsidRDefault="00D56217" w:rsidP="00774FEC">
      <w:pPr>
        <w:pStyle w:val="Enumlevel1"/>
        <w:spacing w:before="120" w:line="240" w:lineRule="auto"/>
        <w:rPr>
          <w:spacing w:val="0"/>
        </w:rPr>
      </w:pPr>
      <w:proofErr w:type="spellStart"/>
      <w:r w:rsidRPr="00191C79">
        <w:rPr>
          <w:spacing w:val="0"/>
        </w:rPr>
        <w:t>i</w:t>
      </w:r>
      <w:proofErr w:type="spellEnd"/>
      <w:r w:rsidRPr="00191C79">
        <w:rPr>
          <w:spacing w:val="0"/>
        </w:rPr>
        <w:t>)</w:t>
      </w:r>
      <w:r w:rsidRPr="00191C79">
        <w:rPr>
          <w:spacing w:val="0"/>
        </w:rPr>
        <w:tab/>
      </w:r>
      <w:proofErr w:type="gramStart"/>
      <w:r w:rsidRPr="00191C79">
        <w:rPr>
          <w:spacing w:val="0"/>
        </w:rPr>
        <w:t>disseminating</w:t>
      </w:r>
      <w:proofErr w:type="gramEnd"/>
      <w:r w:rsidRPr="00191C79">
        <w:rPr>
          <w:spacing w:val="0"/>
        </w:rPr>
        <w:t xml:space="preserve"> information related to this topic through organizing workshops and seminars for regulators, operators and any interested stakeholders from developing countries;</w:t>
      </w:r>
    </w:p>
    <w:p w:rsidR="00D56217" w:rsidRPr="00191C79" w:rsidRDefault="00D56217" w:rsidP="00774FEC">
      <w:pPr>
        <w:pStyle w:val="Enumlevel1"/>
        <w:spacing w:before="120" w:line="240" w:lineRule="auto"/>
        <w:rPr>
          <w:spacing w:val="0"/>
        </w:rPr>
      </w:pPr>
      <w:r w:rsidRPr="00191C79">
        <w:rPr>
          <w:spacing w:val="0"/>
        </w:rPr>
        <w:t>ii)</w:t>
      </w:r>
      <w:r w:rsidRPr="00191C79">
        <w:rPr>
          <w:spacing w:val="0"/>
        </w:rPr>
        <w:tab/>
      </w:r>
      <w:proofErr w:type="gramStart"/>
      <w:r w:rsidRPr="00191C79">
        <w:rPr>
          <w:spacing w:val="0"/>
        </w:rPr>
        <w:t>continuing</w:t>
      </w:r>
      <w:proofErr w:type="gramEnd"/>
      <w:r w:rsidRPr="00191C79">
        <w:rPr>
          <w:spacing w:val="0"/>
        </w:rPr>
        <w:t xml:space="preserve"> to cooperate and collaborate with other organizations working on this topic and to leverage their work, in particular with a view to assisting the developing countries in the establishment of standards and in monitoring compliance with these standards, especially on telecommunication terminals; </w:t>
      </w:r>
    </w:p>
    <w:p w:rsidR="00D56217" w:rsidRPr="00191C79" w:rsidRDefault="00D56217" w:rsidP="00774FEC">
      <w:pPr>
        <w:pStyle w:val="Enumlevel1"/>
        <w:spacing w:before="120" w:line="240" w:lineRule="auto"/>
        <w:rPr>
          <w:spacing w:val="0"/>
        </w:rPr>
      </w:pPr>
      <w:r w:rsidRPr="00191C79">
        <w:rPr>
          <w:spacing w:val="0"/>
        </w:rPr>
        <w:t>iii)</w:t>
      </w:r>
      <w:r w:rsidRPr="00191C79">
        <w:rPr>
          <w:spacing w:val="0"/>
        </w:rPr>
        <w:tab/>
      </w:r>
      <w:proofErr w:type="gramStart"/>
      <w:r w:rsidRPr="00191C79">
        <w:rPr>
          <w:spacing w:val="0"/>
        </w:rPr>
        <w:t>cooperating</w:t>
      </w:r>
      <w:proofErr w:type="gramEnd"/>
      <w:r w:rsidRPr="00191C79">
        <w:rPr>
          <w:spacing w:val="0"/>
        </w:rPr>
        <w:t xml:space="preserve"> on these issues with ITU</w:t>
      </w:r>
      <w:r w:rsidRPr="00191C79">
        <w:rPr>
          <w:spacing w:val="0"/>
        </w:rPr>
        <w:noBreakHyphen/>
        <w:t>R Study Groups 1 and 6, and with Study Group 1 of the ITU Telecommunication Development Sector (ITU</w:t>
      </w:r>
      <w:r w:rsidRPr="00191C79">
        <w:rPr>
          <w:spacing w:val="0"/>
        </w:rPr>
        <w:noBreakHyphen/>
        <w:t>D) in the framework of Question 23/1;</w:t>
      </w:r>
    </w:p>
    <w:p w:rsidR="00D56217" w:rsidRPr="00191C79" w:rsidRDefault="00D56217" w:rsidP="00774FEC">
      <w:pPr>
        <w:pStyle w:val="Enumlevel1"/>
        <w:spacing w:before="120" w:line="240" w:lineRule="auto"/>
        <w:rPr>
          <w:spacing w:val="0"/>
        </w:rPr>
      </w:pPr>
      <w:r w:rsidRPr="00191C79">
        <w:rPr>
          <w:spacing w:val="0"/>
        </w:rPr>
        <w:t>iv)</w:t>
      </w:r>
      <w:r w:rsidRPr="00191C79">
        <w:rPr>
          <w:spacing w:val="0"/>
        </w:rPr>
        <w:tab/>
      </w:r>
      <w:proofErr w:type="gramStart"/>
      <w:r w:rsidRPr="00191C79">
        <w:rPr>
          <w:spacing w:val="0"/>
        </w:rPr>
        <w:t>strengthening</w:t>
      </w:r>
      <w:proofErr w:type="gramEnd"/>
      <w:r w:rsidRPr="00191C79">
        <w:rPr>
          <w:spacing w:val="0"/>
        </w:rPr>
        <w:t xml:space="preserve"> coordination with WHO so that any fact sheet relating to human exposure to electromagnetic fields is circulated to Member States as soon as it is issued,</w:t>
      </w:r>
    </w:p>
    <w:p w:rsidR="00D56217" w:rsidRPr="00774FEC" w:rsidRDefault="00D56217" w:rsidP="00191C79">
      <w:pPr>
        <w:pStyle w:val="Call"/>
        <w:spacing w:line="240" w:lineRule="auto"/>
        <w:rPr>
          <w:i/>
          <w:iCs/>
          <w:spacing w:val="0"/>
        </w:rPr>
      </w:pPr>
      <w:proofErr w:type="gramStart"/>
      <w:r w:rsidRPr="00774FEC">
        <w:rPr>
          <w:i/>
          <w:iCs/>
          <w:spacing w:val="0"/>
        </w:rPr>
        <w:t>instructs</w:t>
      </w:r>
      <w:proofErr w:type="gramEnd"/>
      <w:r w:rsidRPr="00774FEC">
        <w:rPr>
          <w:i/>
          <w:iCs/>
          <w:spacing w:val="0"/>
        </w:rPr>
        <w:t xml:space="preserve"> the Director of the Telecommunication Standardization Bureau, in close collaboration with the Directors of the other two Bureaux, and within the available financial resources</w:t>
      </w:r>
    </w:p>
    <w:p w:rsidR="00D56217" w:rsidRPr="00191C79" w:rsidRDefault="00D56217" w:rsidP="00774FEC">
      <w:pPr>
        <w:spacing w:before="120" w:line="240" w:lineRule="auto"/>
        <w:rPr>
          <w:spacing w:val="0"/>
          <w:szCs w:val="19"/>
          <w:lang w:val="en-GB"/>
        </w:rPr>
      </w:pPr>
      <w:r w:rsidRPr="00191C79">
        <w:rPr>
          <w:spacing w:val="0"/>
          <w:szCs w:val="19"/>
          <w:lang w:val="en-GB"/>
        </w:rPr>
        <w:t>1</w:t>
      </w:r>
      <w:r w:rsidRPr="00191C79">
        <w:rPr>
          <w:spacing w:val="0"/>
          <w:szCs w:val="19"/>
          <w:lang w:val="en-GB"/>
        </w:rPr>
        <w:tab/>
        <w:t xml:space="preserve">to support the development of reports identifying the needs of developing countries on the issue of assessing human exposure to EMF, and submit the reports as soon as possible to ITU-T Study Group 5 for its consideration and action in accordance with its mandate; </w:t>
      </w:r>
    </w:p>
    <w:p w:rsidR="00D56217" w:rsidRPr="00191C79" w:rsidRDefault="00D56217" w:rsidP="00774FEC">
      <w:pPr>
        <w:spacing w:before="120" w:line="240" w:lineRule="auto"/>
        <w:rPr>
          <w:spacing w:val="0"/>
          <w:szCs w:val="19"/>
          <w:lang w:val="en-GB"/>
        </w:rPr>
      </w:pPr>
      <w:r w:rsidRPr="00191C79">
        <w:rPr>
          <w:spacing w:val="0"/>
          <w:szCs w:val="19"/>
          <w:lang w:val="en-GB"/>
        </w:rPr>
        <w:t>2</w:t>
      </w:r>
      <w:r w:rsidRPr="00191C79">
        <w:rPr>
          <w:spacing w:val="0"/>
          <w:szCs w:val="19"/>
          <w:lang w:val="en-GB"/>
        </w:rPr>
        <w:tab/>
        <w:t>to hold workshops in developing countries with presentations and training on the use of equipment employed in assessing human exposure to RF energy;</w:t>
      </w:r>
    </w:p>
    <w:p w:rsidR="00D56217" w:rsidRPr="00D22B85" w:rsidRDefault="00D56217" w:rsidP="00774FEC">
      <w:pPr>
        <w:spacing w:before="120" w:line="240" w:lineRule="auto"/>
        <w:rPr>
          <w:spacing w:val="0"/>
          <w:lang w:val="en-US"/>
        </w:rPr>
      </w:pPr>
      <w:r w:rsidRPr="00191C79">
        <w:rPr>
          <w:spacing w:val="0"/>
          <w:szCs w:val="19"/>
          <w:lang w:val="en-GB"/>
        </w:rPr>
        <w:t>3</w:t>
      </w:r>
      <w:r w:rsidRPr="00191C79">
        <w:rPr>
          <w:spacing w:val="0"/>
          <w:szCs w:val="19"/>
          <w:lang w:val="en-GB"/>
        </w:rPr>
        <w:tab/>
        <w:t>to support developing countries while they establish their regional centres equipped with test benches for monitoring conformance of telecommunication terminal equipment and human exposure to electromagnetic waves using, among other things, the modalities listed in Resolutions 44 (Rev. Dubai, 2012) and 76 (Rev. Dubai, 2012) of this assembly, in the context of the development of the regional test centres and of Resolution 177 (Guadalajara, 2010) of the Plenipotentiary Conference,</w:t>
      </w:r>
      <w:r w:rsidRPr="00D22B85">
        <w:rPr>
          <w:spacing w:val="0"/>
          <w:lang w:val="en-US"/>
        </w:rPr>
        <w:br w:type="page"/>
      </w:r>
    </w:p>
    <w:p w:rsidR="00D56217" w:rsidRPr="00774FEC" w:rsidRDefault="00D56217" w:rsidP="00191C79">
      <w:pPr>
        <w:pStyle w:val="Call"/>
        <w:spacing w:line="240" w:lineRule="auto"/>
        <w:rPr>
          <w:i/>
          <w:iCs/>
          <w:spacing w:val="0"/>
        </w:rPr>
      </w:pPr>
      <w:proofErr w:type="gramStart"/>
      <w:r w:rsidRPr="00774FEC">
        <w:rPr>
          <w:i/>
          <w:iCs/>
          <w:spacing w:val="0"/>
        </w:rPr>
        <w:lastRenderedPageBreak/>
        <w:t>invites</w:t>
      </w:r>
      <w:proofErr w:type="gramEnd"/>
      <w:r w:rsidRPr="00774FEC">
        <w:rPr>
          <w:i/>
          <w:iCs/>
          <w:spacing w:val="0"/>
        </w:rPr>
        <w:t xml:space="preserve"> Member States and Sector Members</w:t>
      </w:r>
    </w:p>
    <w:p w:rsidR="00D56217" w:rsidRPr="00191C79" w:rsidRDefault="00D56217" w:rsidP="00774FEC">
      <w:pPr>
        <w:spacing w:before="120" w:line="240" w:lineRule="auto"/>
        <w:rPr>
          <w:spacing w:val="0"/>
          <w:szCs w:val="19"/>
          <w:lang w:val="en-GB"/>
        </w:rPr>
      </w:pPr>
      <w:r w:rsidRPr="00191C79">
        <w:rPr>
          <w:spacing w:val="0"/>
          <w:szCs w:val="19"/>
          <w:lang w:val="en-GB"/>
        </w:rPr>
        <w:t>to contribute actively to the work of Study Group 5 in providing relevant and timely information in order to assist developing countries in providing information and addressing measurement concerns related to RF exposure and electromagnetic fields,</w:t>
      </w:r>
    </w:p>
    <w:p w:rsidR="00D56217" w:rsidRPr="00774FEC" w:rsidRDefault="00D56217" w:rsidP="00191C79">
      <w:pPr>
        <w:pStyle w:val="Call"/>
        <w:spacing w:line="240" w:lineRule="auto"/>
        <w:rPr>
          <w:i/>
          <w:iCs/>
          <w:spacing w:val="0"/>
        </w:rPr>
      </w:pPr>
      <w:proofErr w:type="gramStart"/>
      <w:r w:rsidRPr="00774FEC">
        <w:rPr>
          <w:i/>
          <w:iCs/>
          <w:spacing w:val="0"/>
        </w:rPr>
        <w:t>further</w:t>
      </w:r>
      <w:proofErr w:type="gramEnd"/>
      <w:r w:rsidRPr="00774FEC">
        <w:rPr>
          <w:i/>
          <w:iCs/>
          <w:spacing w:val="0"/>
        </w:rPr>
        <w:t xml:space="preserve"> invites Member States</w:t>
      </w:r>
    </w:p>
    <w:p w:rsidR="00D56217" w:rsidRPr="00191C79" w:rsidRDefault="00D56217" w:rsidP="00774FEC">
      <w:pPr>
        <w:spacing w:before="120" w:line="240" w:lineRule="auto"/>
        <w:rPr>
          <w:spacing w:val="0"/>
          <w:szCs w:val="19"/>
          <w:lang w:val="en-GB"/>
        </w:rPr>
      </w:pPr>
      <w:proofErr w:type="gramStart"/>
      <w:r w:rsidRPr="00191C79">
        <w:rPr>
          <w:spacing w:val="0"/>
          <w:szCs w:val="19"/>
          <w:lang w:val="en-GB"/>
        </w:rPr>
        <w:t>to</w:t>
      </w:r>
      <w:proofErr w:type="gramEnd"/>
      <w:r w:rsidRPr="00191C79">
        <w:rPr>
          <w:spacing w:val="0"/>
          <w:szCs w:val="19"/>
          <w:lang w:val="en-GB"/>
        </w:rPr>
        <w:t xml:space="preserve"> adopt suitable measures in order to ensure compliance with relevant international recommendations to protect health against the adverse effect of EMF.</w:t>
      </w:r>
    </w:p>
    <w:p w:rsidR="00D56217" w:rsidRPr="00191C79" w:rsidRDefault="00D56217" w:rsidP="00191C79">
      <w:pPr>
        <w:spacing w:before="0" w:line="240" w:lineRule="auto"/>
        <w:rPr>
          <w:b/>
          <w:spacing w:val="0"/>
          <w:szCs w:val="19"/>
          <w:lang w:val="en-GB"/>
        </w:rPr>
      </w:pPr>
      <w:bookmarkStart w:id="95" w:name="_Toc361912447"/>
      <w:r w:rsidRPr="00191C79">
        <w:rPr>
          <w:smallCaps/>
          <w:spacing w:val="0"/>
          <w:szCs w:val="19"/>
          <w:lang w:val="en-US"/>
        </w:rPr>
        <w:br w:type="page"/>
      </w:r>
    </w:p>
    <w:p w:rsidR="00D56217" w:rsidRPr="00191C79" w:rsidRDefault="00D56217" w:rsidP="00191C79">
      <w:pPr>
        <w:pStyle w:val="Heading1"/>
        <w:tabs>
          <w:tab w:val="left" w:pos="1418"/>
        </w:tabs>
        <w:spacing w:line="240" w:lineRule="auto"/>
        <w:ind w:left="1418" w:hanging="1418"/>
        <w:rPr>
          <w:smallCaps/>
          <w:spacing w:val="0"/>
        </w:rPr>
      </w:pPr>
      <w:bookmarkStart w:id="96" w:name="_Toc374691846"/>
      <w:r w:rsidRPr="00191C79">
        <w:rPr>
          <w:spacing w:val="0"/>
        </w:rPr>
        <w:lastRenderedPageBreak/>
        <w:t xml:space="preserve">Annex 5: </w:t>
      </w:r>
      <w:r w:rsidRPr="00191C79">
        <w:rPr>
          <w:spacing w:val="0"/>
        </w:rPr>
        <w:tab/>
        <w:t>WTDC-10</w:t>
      </w:r>
      <w:r w:rsidRPr="00191C79">
        <w:rPr>
          <w:rStyle w:val="FootnoteReference"/>
          <w:spacing w:val="0"/>
          <w:lang w:val="en-US"/>
        </w:rPr>
        <w:footnoteReference w:customMarkFollows="1" w:id="28"/>
        <w:t>*</w:t>
      </w:r>
      <w:r w:rsidRPr="00191C79">
        <w:rPr>
          <w:spacing w:val="0"/>
        </w:rPr>
        <w:t xml:space="preserve"> Resolution 62 on "Measurement concerns related to human exposure to EMF"</w:t>
      </w:r>
      <w:bookmarkEnd w:id="95"/>
      <w:bookmarkEnd w:id="96"/>
    </w:p>
    <w:p w:rsidR="00D56217" w:rsidRPr="00191C79" w:rsidRDefault="00D56217" w:rsidP="00191C79">
      <w:pPr>
        <w:pStyle w:val="Restitle"/>
        <w:rPr>
          <w:lang w:val="en-US"/>
        </w:rPr>
      </w:pPr>
    </w:p>
    <w:p w:rsidR="00D56217" w:rsidRPr="00191C79" w:rsidRDefault="00D56217" w:rsidP="00191C79">
      <w:pPr>
        <w:pStyle w:val="ResNo"/>
        <w:spacing w:line="240" w:lineRule="auto"/>
        <w:rPr>
          <w:lang w:val="en-US"/>
        </w:rPr>
      </w:pPr>
      <w:r w:rsidRPr="00191C79">
        <w:rPr>
          <w:lang w:val="en-US"/>
        </w:rPr>
        <w:t xml:space="preserve">resolution </w:t>
      </w:r>
      <w:r w:rsidRPr="00191C79">
        <w:rPr>
          <w:rStyle w:val="href"/>
          <w:lang w:val="en-US"/>
        </w:rPr>
        <w:t xml:space="preserve">62 </w:t>
      </w:r>
      <w:r w:rsidRPr="00191C79">
        <w:rPr>
          <w:lang w:val="en-US"/>
        </w:rPr>
        <w:t>(Hyderabad, 2010)</w:t>
      </w:r>
    </w:p>
    <w:p w:rsidR="00D56217" w:rsidRPr="00191C79" w:rsidRDefault="00D56217" w:rsidP="00774FEC">
      <w:pPr>
        <w:pStyle w:val="Restitle"/>
        <w:spacing w:before="240"/>
        <w:rPr>
          <w:lang w:val="en-US"/>
        </w:rPr>
      </w:pPr>
      <w:r w:rsidRPr="00191C79">
        <w:rPr>
          <w:lang w:val="en-US"/>
        </w:rPr>
        <w:t>Measurement concerns related to human exposure to electromagnetic fields</w:t>
      </w:r>
    </w:p>
    <w:p w:rsidR="00D56217" w:rsidRPr="00191C79" w:rsidRDefault="00D56217" w:rsidP="00191C79">
      <w:pPr>
        <w:pStyle w:val="Normalaftertitle0"/>
      </w:pPr>
    </w:p>
    <w:p w:rsidR="00D56217" w:rsidRPr="00191C79" w:rsidRDefault="00D56217" w:rsidP="00191C79">
      <w:pPr>
        <w:pStyle w:val="Normalaftertitle0"/>
      </w:pPr>
      <w:r w:rsidRPr="00191C79">
        <w:t>The World Telecommunication Development Conference (Hyderabad, 2010),</w:t>
      </w:r>
    </w:p>
    <w:p w:rsidR="00D56217" w:rsidRPr="00774FEC" w:rsidRDefault="00D56217" w:rsidP="00191C79">
      <w:pPr>
        <w:pStyle w:val="Call"/>
        <w:spacing w:line="240" w:lineRule="auto"/>
        <w:rPr>
          <w:i/>
          <w:iCs/>
          <w:spacing w:val="0"/>
        </w:rPr>
      </w:pPr>
      <w:proofErr w:type="gramStart"/>
      <w:r w:rsidRPr="00774FEC">
        <w:rPr>
          <w:i/>
          <w:iCs/>
          <w:spacing w:val="0"/>
        </w:rPr>
        <w:t>recalling</w:t>
      </w:r>
      <w:proofErr w:type="gramEnd"/>
      <w:r w:rsidRPr="00774FEC">
        <w:rPr>
          <w:i/>
          <w:iCs/>
          <w:spacing w:val="0"/>
        </w:rPr>
        <w:t xml:space="preserve"> </w:t>
      </w:r>
    </w:p>
    <w:p w:rsidR="00D56217" w:rsidRPr="00191C79" w:rsidRDefault="00D56217" w:rsidP="00774FEC">
      <w:pPr>
        <w:spacing w:before="120" w:line="240" w:lineRule="auto"/>
        <w:rPr>
          <w:rFonts w:eastAsia="Times New Roman"/>
          <w:spacing w:val="0"/>
          <w:szCs w:val="19"/>
          <w:lang w:val="en-US" w:eastAsia="en-ZA"/>
        </w:rPr>
      </w:pPr>
      <w:r w:rsidRPr="00191C79">
        <w:rPr>
          <w:rFonts w:eastAsia="Times New Roman"/>
          <w:spacing w:val="0"/>
          <w:szCs w:val="19"/>
          <w:lang w:val="en-US" w:eastAsia="en-ZA"/>
        </w:rPr>
        <w:t xml:space="preserve">Resolution 72 (Johannesburg, 2008) of the World Telecommunication Standardization Assembly, on measurement concerns related to human exposure to electromagnetic fields (EMF), which calls for close cooperation with the Directors of the other two </w:t>
      </w:r>
      <w:proofErr w:type="spellStart"/>
      <w:r w:rsidRPr="00191C79">
        <w:rPr>
          <w:rFonts w:eastAsia="Times New Roman"/>
          <w:spacing w:val="0"/>
          <w:szCs w:val="19"/>
          <w:lang w:val="en-US" w:eastAsia="en-ZA"/>
        </w:rPr>
        <w:t>Bureaux</w:t>
      </w:r>
      <w:proofErr w:type="spellEnd"/>
      <w:r w:rsidRPr="00191C79">
        <w:rPr>
          <w:rFonts w:eastAsia="Times New Roman"/>
          <w:spacing w:val="0"/>
          <w:szCs w:val="19"/>
          <w:lang w:val="en-US" w:eastAsia="en-ZA"/>
        </w:rPr>
        <w:t xml:space="preserve"> – Telecommunication Development Bureau (BDT) and </w:t>
      </w:r>
      <w:proofErr w:type="spellStart"/>
      <w:r w:rsidRPr="00191C79">
        <w:rPr>
          <w:rFonts w:eastAsia="Times New Roman"/>
          <w:spacing w:val="0"/>
          <w:szCs w:val="19"/>
          <w:lang w:val="en-US" w:eastAsia="en-ZA"/>
        </w:rPr>
        <w:t>Radiocommunication</w:t>
      </w:r>
      <w:proofErr w:type="spellEnd"/>
      <w:r w:rsidRPr="00191C79">
        <w:rPr>
          <w:rFonts w:eastAsia="Times New Roman"/>
          <w:spacing w:val="0"/>
          <w:szCs w:val="19"/>
          <w:lang w:val="en-US" w:eastAsia="en-ZA"/>
        </w:rPr>
        <w:t xml:space="preserve"> Bureau (BR) – to implement the resolution in view of its importance to developing countries, </w:t>
      </w:r>
    </w:p>
    <w:p w:rsidR="00D56217" w:rsidRPr="00774FEC" w:rsidRDefault="00D56217" w:rsidP="00191C79">
      <w:pPr>
        <w:pStyle w:val="Call"/>
        <w:spacing w:line="240" w:lineRule="auto"/>
        <w:rPr>
          <w:i/>
          <w:iCs/>
          <w:spacing w:val="0"/>
        </w:rPr>
      </w:pPr>
      <w:proofErr w:type="gramStart"/>
      <w:r w:rsidRPr="00774FEC">
        <w:rPr>
          <w:i/>
          <w:iCs/>
          <w:spacing w:val="0"/>
        </w:rPr>
        <w:t>considering</w:t>
      </w:r>
      <w:proofErr w:type="gramEnd"/>
      <w:r w:rsidRPr="00774FEC">
        <w:rPr>
          <w:i/>
          <w:iCs/>
          <w:spacing w:val="0"/>
        </w:rPr>
        <w:t xml:space="preserve"> </w:t>
      </w:r>
    </w:p>
    <w:p w:rsidR="00D56217" w:rsidRPr="00191C79" w:rsidRDefault="00D56217" w:rsidP="00774FEC">
      <w:pPr>
        <w:spacing w:before="120" w:line="240" w:lineRule="auto"/>
        <w:rPr>
          <w:rFonts w:eastAsia="Times New Roman"/>
          <w:spacing w:val="0"/>
          <w:szCs w:val="19"/>
          <w:lang w:val="en-US" w:eastAsia="en-ZA"/>
        </w:rPr>
      </w:pPr>
      <w:r w:rsidRPr="00191C79">
        <w:rPr>
          <w:rFonts w:eastAsia="Times New Roman"/>
          <w:spacing w:val="0"/>
          <w:szCs w:val="19"/>
          <w:lang w:val="en-US" w:eastAsia="en-ZA"/>
        </w:rPr>
        <w:t>a)</w:t>
      </w:r>
      <w:r w:rsidRPr="00191C79">
        <w:rPr>
          <w:rFonts w:eastAsia="Times New Roman"/>
          <w:spacing w:val="0"/>
          <w:szCs w:val="19"/>
          <w:lang w:val="en-US" w:eastAsia="en-ZA"/>
        </w:rPr>
        <w:tab/>
      </w:r>
      <w:proofErr w:type="gramStart"/>
      <w:r w:rsidRPr="00191C79">
        <w:rPr>
          <w:rFonts w:eastAsia="Times New Roman"/>
          <w:spacing w:val="0"/>
          <w:szCs w:val="19"/>
          <w:lang w:val="en-US" w:eastAsia="en-ZA"/>
        </w:rPr>
        <w:t>that</w:t>
      </w:r>
      <w:proofErr w:type="gramEnd"/>
      <w:r w:rsidRPr="00191C79">
        <w:rPr>
          <w:rFonts w:eastAsia="Times New Roman"/>
          <w:spacing w:val="0"/>
          <w:szCs w:val="19"/>
          <w:lang w:val="en-US" w:eastAsia="en-ZA"/>
        </w:rPr>
        <w:t xml:space="preserve"> there is a pressing need for information on the potential effects of human exposure to EMF in order to protect humans from such effects; </w:t>
      </w:r>
    </w:p>
    <w:p w:rsidR="00D56217" w:rsidRPr="00191C79" w:rsidRDefault="00D56217" w:rsidP="00774FEC">
      <w:pPr>
        <w:spacing w:before="120" w:line="240" w:lineRule="auto"/>
        <w:rPr>
          <w:rFonts w:eastAsia="Times New Roman"/>
          <w:spacing w:val="0"/>
          <w:szCs w:val="19"/>
          <w:lang w:val="en-US" w:eastAsia="en-ZA"/>
        </w:rPr>
      </w:pPr>
      <w:r w:rsidRPr="00191C79">
        <w:rPr>
          <w:rFonts w:eastAsia="Times New Roman"/>
          <w:spacing w:val="0"/>
          <w:szCs w:val="19"/>
          <w:lang w:val="en-US" w:eastAsia="en-ZA"/>
        </w:rPr>
        <w:t>b)</w:t>
      </w:r>
      <w:r w:rsidRPr="00191C79">
        <w:rPr>
          <w:rFonts w:eastAsia="Times New Roman"/>
          <w:spacing w:val="0"/>
          <w:szCs w:val="19"/>
          <w:lang w:val="en-US" w:eastAsia="en-ZA"/>
        </w:rPr>
        <w:tab/>
        <w:t>that there are a number of eminent international bodies involved in establishing measurement methodologies for assessing human exposure to EMF, and these already cooperate with many telecommunication standards bodies, including the ITU Telecommunication Standardization Sector (ITU-T),</w:t>
      </w:r>
    </w:p>
    <w:p w:rsidR="00D56217" w:rsidRPr="00774FEC" w:rsidRDefault="00D56217" w:rsidP="00191C79">
      <w:pPr>
        <w:pStyle w:val="Call"/>
        <w:spacing w:line="240" w:lineRule="auto"/>
        <w:rPr>
          <w:i/>
          <w:iCs/>
          <w:spacing w:val="0"/>
        </w:rPr>
      </w:pPr>
      <w:proofErr w:type="gramStart"/>
      <w:r w:rsidRPr="00774FEC">
        <w:rPr>
          <w:i/>
          <w:iCs/>
          <w:spacing w:val="0"/>
        </w:rPr>
        <w:t>recognizing</w:t>
      </w:r>
      <w:proofErr w:type="gramEnd"/>
    </w:p>
    <w:p w:rsidR="00D56217" w:rsidRPr="00191C79" w:rsidRDefault="00D56217" w:rsidP="00774FEC">
      <w:pPr>
        <w:spacing w:before="120" w:line="240" w:lineRule="auto"/>
        <w:rPr>
          <w:rFonts w:eastAsia="Times New Roman"/>
          <w:spacing w:val="0"/>
          <w:szCs w:val="19"/>
          <w:lang w:val="en-US" w:eastAsia="en-ZA"/>
        </w:rPr>
      </w:pPr>
      <w:r w:rsidRPr="00191C79">
        <w:rPr>
          <w:rFonts w:eastAsia="Times New Roman"/>
          <w:spacing w:val="0"/>
          <w:szCs w:val="19"/>
          <w:lang w:val="en-US" w:eastAsia="en-ZA"/>
        </w:rPr>
        <w:t>a)</w:t>
      </w:r>
      <w:r w:rsidRPr="00191C79">
        <w:rPr>
          <w:rFonts w:eastAsia="Times New Roman"/>
          <w:spacing w:val="0"/>
          <w:szCs w:val="19"/>
          <w:lang w:val="en-US" w:eastAsia="en-ZA"/>
        </w:rPr>
        <w:tab/>
        <w:t>that some publications and information about EMF effects on health create doubt among the population, in particular in developing countries</w:t>
      </w:r>
      <w:r w:rsidRPr="00191C79">
        <w:rPr>
          <w:rStyle w:val="FootnoteReference"/>
          <w:rFonts w:eastAsia="Times New Roman"/>
          <w:spacing w:val="0"/>
          <w:szCs w:val="19"/>
          <w:lang w:val="en-US" w:eastAsia="en-ZA"/>
        </w:rPr>
        <w:footnoteReference w:customMarkFollows="1" w:id="29"/>
        <w:t>1</w:t>
      </w:r>
      <w:r w:rsidRPr="00191C79">
        <w:rPr>
          <w:rFonts w:eastAsia="Times New Roman"/>
          <w:spacing w:val="0"/>
          <w:szCs w:val="19"/>
          <w:lang w:val="en-US" w:eastAsia="en-ZA"/>
        </w:rPr>
        <w:t xml:space="preserve">, causing these countries to address questions to ITU-T and, currently, to the ITU Telecommunication Development Sector (ITU-D); </w:t>
      </w:r>
    </w:p>
    <w:p w:rsidR="00D56217" w:rsidRPr="00191C79" w:rsidRDefault="00D56217" w:rsidP="00774FEC">
      <w:pPr>
        <w:spacing w:before="120" w:line="240" w:lineRule="auto"/>
        <w:rPr>
          <w:rFonts w:eastAsia="Times New Roman"/>
          <w:spacing w:val="0"/>
          <w:szCs w:val="19"/>
          <w:lang w:val="en-US" w:eastAsia="en-ZA"/>
        </w:rPr>
      </w:pPr>
      <w:r w:rsidRPr="00191C79">
        <w:rPr>
          <w:rFonts w:eastAsia="Times New Roman"/>
          <w:spacing w:val="0"/>
          <w:szCs w:val="19"/>
          <w:lang w:val="en-US" w:eastAsia="en-ZA"/>
        </w:rPr>
        <w:t>b)</w:t>
      </w:r>
      <w:r w:rsidRPr="00191C79">
        <w:rPr>
          <w:rFonts w:eastAsia="Times New Roman"/>
          <w:spacing w:val="0"/>
          <w:szCs w:val="19"/>
          <w:lang w:val="en-US" w:eastAsia="en-ZA"/>
        </w:rPr>
        <w:tab/>
      </w:r>
      <w:proofErr w:type="gramStart"/>
      <w:r w:rsidRPr="00191C79">
        <w:rPr>
          <w:rFonts w:eastAsia="Times New Roman"/>
          <w:spacing w:val="0"/>
          <w:szCs w:val="19"/>
          <w:lang w:val="en-US" w:eastAsia="en-ZA"/>
        </w:rPr>
        <w:t>that</w:t>
      </w:r>
      <w:proofErr w:type="gramEnd"/>
      <w:r w:rsidRPr="00191C79">
        <w:rPr>
          <w:rFonts w:eastAsia="Times New Roman"/>
          <w:spacing w:val="0"/>
          <w:szCs w:val="19"/>
          <w:lang w:val="en-US" w:eastAsia="en-ZA"/>
        </w:rPr>
        <w:t xml:space="preserve">, in the absence of regulation, people, particularly in developing countries, become more and more doubtful and are increasingly opposing the deployment of radio installations in their </w:t>
      </w:r>
      <w:proofErr w:type="spellStart"/>
      <w:r w:rsidRPr="00191C79">
        <w:rPr>
          <w:rFonts w:eastAsia="Times New Roman"/>
          <w:spacing w:val="0"/>
          <w:szCs w:val="19"/>
          <w:lang w:val="en-US" w:eastAsia="en-ZA"/>
        </w:rPr>
        <w:t>neighbourhoods</w:t>
      </w:r>
      <w:proofErr w:type="spellEnd"/>
      <w:r w:rsidRPr="00191C79">
        <w:rPr>
          <w:rFonts w:eastAsia="Times New Roman"/>
          <w:spacing w:val="0"/>
          <w:szCs w:val="19"/>
          <w:lang w:val="en-US" w:eastAsia="en-ZA"/>
        </w:rPr>
        <w:t xml:space="preserve">; </w:t>
      </w:r>
    </w:p>
    <w:p w:rsidR="00D56217" w:rsidRPr="00191C79" w:rsidRDefault="00D56217" w:rsidP="00774FEC">
      <w:pPr>
        <w:spacing w:before="120" w:line="240" w:lineRule="auto"/>
        <w:rPr>
          <w:rFonts w:eastAsia="Times New Roman"/>
          <w:spacing w:val="0"/>
          <w:szCs w:val="19"/>
          <w:lang w:val="en-US" w:eastAsia="en-ZA"/>
        </w:rPr>
      </w:pPr>
      <w:r w:rsidRPr="00191C79">
        <w:rPr>
          <w:rFonts w:eastAsia="Times New Roman"/>
          <w:spacing w:val="0"/>
          <w:szCs w:val="19"/>
          <w:lang w:val="en-US" w:eastAsia="en-ZA"/>
        </w:rPr>
        <w:t>c)</w:t>
      </w:r>
      <w:r w:rsidRPr="00191C79">
        <w:rPr>
          <w:rFonts w:eastAsia="Times New Roman"/>
          <w:spacing w:val="0"/>
          <w:szCs w:val="19"/>
          <w:lang w:val="en-US" w:eastAsia="en-ZA"/>
        </w:rPr>
        <w:tab/>
        <w:t xml:space="preserve">that the cost of the equipment used for assessing human exposure to EMF is very high and difficult for many developing countries to afford; </w:t>
      </w:r>
    </w:p>
    <w:p w:rsidR="00D56217" w:rsidRPr="00D22B85" w:rsidRDefault="00D56217" w:rsidP="00774FEC">
      <w:pPr>
        <w:spacing w:before="120" w:line="240" w:lineRule="auto"/>
        <w:rPr>
          <w:spacing w:val="0"/>
          <w:lang w:val="en-US"/>
        </w:rPr>
      </w:pPr>
      <w:r w:rsidRPr="00191C79">
        <w:rPr>
          <w:rFonts w:eastAsia="Times New Roman"/>
          <w:spacing w:val="0"/>
          <w:szCs w:val="19"/>
          <w:lang w:val="en-US" w:eastAsia="en-ZA"/>
        </w:rPr>
        <w:t>d)</w:t>
      </w:r>
      <w:r w:rsidRPr="00191C79">
        <w:rPr>
          <w:rFonts w:eastAsia="Times New Roman"/>
          <w:spacing w:val="0"/>
          <w:szCs w:val="19"/>
          <w:lang w:val="en-US" w:eastAsia="en-ZA"/>
        </w:rPr>
        <w:tab/>
        <w:t xml:space="preserve">that implementing such measurement is essential for many regulatory authorities in developing countries, in order to monitor the limits for human exposure to radio-frequency energy, and that they are called upon to ensure those limits are met in order to license different services, </w:t>
      </w:r>
      <w:r w:rsidRPr="00D22B85">
        <w:rPr>
          <w:spacing w:val="0"/>
          <w:lang w:val="en-US"/>
        </w:rPr>
        <w:br w:type="page"/>
      </w:r>
    </w:p>
    <w:p w:rsidR="00D56217" w:rsidRPr="00774FEC" w:rsidRDefault="00D56217" w:rsidP="00191C79">
      <w:pPr>
        <w:pStyle w:val="Call"/>
        <w:spacing w:line="240" w:lineRule="auto"/>
        <w:rPr>
          <w:i/>
          <w:iCs/>
          <w:spacing w:val="0"/>
        </w:rPr>
      </w:pPr>
      <w:proofErr w:type="gramStart"/>
      <w:r w:rsidRPr="00774FEC">
        <w:rPr>
          <w:i/>
          <w:iCs/>
          <w:spacing w:val="0"/>
        </w:rPr>
        <w:lastRenderedPageBreak/>
        <w:t>resolves</w:t>
      </w:r>
      <w:proofErr w:type="gramEnd"/>
      <w:r w:rsidRPr="00774FEC">
        <w:rPr>
          <w:i/>
          <w:iCs/>
          <w:spacing w:val="0"/>
        </w:rPr>
        <w:t xml:space="preserve"> to instruct the Director of the Telecommunication Development Bureau </w:t>
      </w:r>
    </w:p>
    <w:p w:rsidR="00D56217" w:rsidRPr="00191C79" w:rsidRDefault="00D56217" w:rsidP="00774FEC">
      <w:pPr>
        <w:spacing w:before="120" w:line="240" w:lineRule="auto"/>
        <w:rPr>
          <w:rFonts w:eastAsia="Times New Roman"/>
          <w:spacing w:val="0"/>
          <w:szCs w:val="19"/>
          <w:lang w:val="en-US" w:eastAsia="en-ZA"/>
        </w:rPr>
      </w:pPr>
      <w:proofErr w:type="gramStart"/>
      <w:r w:rsidRPr="00191C79">
        <w:rPr>
          <w:rFonts w:eastAsia="Times New Roman"/>
          <w:spacing w:val="0"/>
          <w:szCs w:val="19"/>
          <w:lang w:val="en-US" w:eastAsia="en-ZA"/>
        </w:rPr>
        <w:t>in</w:t>
      </w:r>
      <w:proofErr w:type="gramEnd"/>
      <w:r w:rsidRPr="00191C79">
        <w:rPr>
          <w:rFonts w:eastAsia="Times New Roman"/>
          <w:spacing w:val="0"/>
          <w:szCs w:val="19"/>
          <w:lang w:val="en-US" w:eastAsia="en-ZA"/>
        </w:rPr>
        <w:t xml:space="preserve"> response to the needs of the developing countries and consistent with the substance of Resolution 72 (Johannesburg, 2008), and in close cooperation with the Director of BR and Director of the Telecommunication Standardization Bureau (TSB): </w:t>
      </w:r>
    </w:p>
    <w:p w:rsidR="00D56217" w:rsidRPr="00191C79" w:rsidRDefault="00D56217" w:rsidP="00774FEC">
      <w:pPr>
        <w:spacing w:before="120" w:line="240" w:lineRule="auto"/>
        <w:rPr>
          <w:rFonts w:eastAsia="Times New Roman"/>
          <w:spacing w:val="0"/>
          <w:szCs w:val="19"/>
          <w:lang w:val="en-US" w:eastAsia="en-ZA"/>
        </w:rPr>
      </w:pPr>
      <w:r w:rsidRPr="00191C79">
        <w:rPr>
          <w:rFonts w:eastAsia="Times New Roman"/>
          <w:spacing w:val="0"/>
          <w:szCs w:val="19"/>
          <w:lang w:val="en-US" w:eastAsia="en-ZA"/>
        </w:rPr>
        <w:t>1</w:t>
      </w:r>
      <w:r w:rsidRPr="00191C79">
        <w:rPr>
          <w:rFonts w:eastAsia="Times New Roman"/>
          <w:spacing w:val="0"/>
          <w:szCs w:val="19"/>
          <w:lang w:val="en-US" w:eastAsia="en-ZA"/>
        </w:rPr>
        <w:tab/>
        <w:t xml:space="preserve">to give the necessary priority to this subject and, within the available resources, </w:t>
      </w:r>
      <w:proofErr w:type="gramStart"/>
      <w:r w:rsidRPr="00191C79">
        <w:rPr>
          <w:rFonts w:eastAsia="Times New Roman"/>
          <w:spacing w:val="0"/>
          <w:szCs w:val="19"/>
          <w:lang w:val="en-US" w:eastAsia="en-ZA"/>
        </w:rPr>
        <w:t>allocate</w:t>
      </w:r>
      <w:proofErr w:type="gramEnd"/>
      <w:r w:rsidRPr="00191C79">
        <w:rPr>
          <w:rFonts w:eastAsia="Times New Roman"/>
          <w:spacing w:val="0"/>
          <w:szCs w:val="19"/>
          <w:lang w:val="en-US" w:eastAsia="en-ZA"/>
        </w:rPr>
        <w:t xml:space="preserve"> the necessary funds for expediting execution of this resolution; </w:t>
      </w:r>
    </w:p>
    <w:p w:rsidR="00D56217" w:rsidRPr="00191C79" w:rsidRDefault="00D56217" w:rsidP="00774FEC">
      <w:pPr>
        <w:spacing w:before="120" w:line="240" w:lineRule="auto"/>
        <w:rPr>
          <w:rFonts w:eastAsia="Times New Roman"/>
          <w:spacing w:val="0"/>
          <w:szCs w:val="19"/>
          <w:lang w:val="en-US" w:eastAsia="en-ZA"/>
        </w:rPr>
      </w:pPr>
      <w:r w:rsidRPr="00191C79">
        <w:rPr>
          <w:rFonts w:eastAsia="Times New Roman"/>
          <w:spacing w:val="0"/>
          <w:szCs w:val="19"/>
          <w:lang w:val="en-US" w:eastAsia="en-ZA"/>
        </w:rPr>
        <w:t>2</w:t>
      </w:r>
      <w:r w:rsidRPr="00191C79">
        <w:rPr>
          <w:rFonts w:eastAsia="Times New Roman"/>
          <w:spacing w:val="0"/>
          <w:szCs w:val="19"/>
          <w:lang w:val="en-US" w:eastAsia="en-ZA"/>
        </w:rPr>
        <w:tab/>
        <w:t xml:space="preserve">to ensure that </w:t>
      </w:r>
      <w:proofErr w:type="spellStart"/>
      <w:r w:rsidRPr="00191C79">
        <w:rPr>
          <w:rFonts w:eastAsia="Times New Roman"/>
          <w:spacing w:val="0"/>
          <w:szCs w:val="19"/>
          <w:lang w:val="en-US" w:eastAsia="en-ZA"/>
        </w:rPr>
        <w:t>Programme</w:t>
      </w:r>
      <w:proofErr w:type="spellEnd"/>
      <w:r w:rsidRPr="00191C79">
        <w:rPr>
          <w:rFonts w:eastAsia="Times New Roman"/>
          <w:spacing w:val="0"/>
          <w:szCs w:val="19"/>
          <w:lang w:val="en-US" w:eastAsia="en-ZA"/>
        </w:rPr>
        <w:t xml:space="preserve"> 1 determines the requirements of developing countries and their regulatory authorities (at regional level) in relation to this resolution, contributes to studies on this subject, takes an active part in the work of the relevant ITU </w:t>
      </w:r>
      <w:proofErr w:type="spellStart"/>
      <w:r w:rsidRPr="00191C79">
        <w:rPr>
          <w:rFonts w:eastAsia="Times New Roman"/>
          <w:spacing w:val="0"/>
          <w:szCs w:val="19"/>
          <w:lang w:val="en-US" w:eastAsia="en-ZA"/>
        </w:rPr>
        <w:t>Radiocommunication</w:t>
      </w:r>
      <w:proofErr w:type="spellEnd"/>
      <w:r w:rsidRPr="00191C79">
        <w:rPr>
          <w:rFonts w:eastAsia="Times New Roman"/>
          <w:spacing w:val="0"/>
          <w:szCs w:val="19"/>
          <w:lang w:val="en-US" w:eastAsia="en-ZA"/>
        </w:rPr>
        <w:t xml:space="preserve"> Sector (ITU-R) and ITU-T study groups, and submits written contributions on the results of its work in this regard, plus any proposals it deems necessary, to ITU-D Study Group 2,</w:t>
      </w:r>
    </w:p>
    <w:p w:rsidR="00D56217" w:rsidRPr="00774FEC" w:rsidRDefault="00D56217" w:rsidP="00191C79">
      <w:pPr>
        <w:pStyle w:val="Call"/>
        <w:spacing w:line="240" w:lineRule="auto"/>
        <w:rPr>
          <w:i/>
          <w:iCs/>
          <w:spacing w:val="0"/>
        </w:rPr>
      </w:pPr>
      <w:proofErr w:type="gramStart"/>
      <w:r w:rsidRPr="00774FEC">
        <w:rPr>
          <w:i/>
          <w:iCs/>
          <w:spacing w:val="0"/>
        </w:rPr>
        <w:t>instructs</w:t>
      </w:r>
      <w:proofErr w:type="gramEnd"/>
      <w:r w:rsidRPr="00774FEC">
        <w:rPr>
          <w:i/>
          <w:iCs/>
          <w:spacing w:val="0"/>
        </w:rPr>
        <w:t xml:space="preserve"> Study Group 1 </w:t>
      </w:r>
    </w:p>
    <w:p w:rsidR="00D56217" w:rsidRPr="00191C79" w:rsidRDefault="00D56217" w:rsidP="00774FEC">
      <w:pPr>
        <w:spacing w:before="120" w:line="240" w:lineRule="auto"/>
        <w:rPr>
          <w:rFonts w:eastAsia="Times New Roman"/>
          <w:spacing w:val="0"/>
          <w:szCs w:val="19"/>
          <w:lang w:val="en-US" w:eastAsia="en-ZA"/>
        </w:rPr>
      </w:pPr>
      <w:r w:rsidRPr="00191C79">
        <w:rPr>
          <w:rFonts w:eastAsia="Times New Roman"/>
          <w:spacing w:val="0"/>
          <w:szCs w:val="19"/>
          <w:lang w:val="en-US" w:eastAsia="en-ZA"/>
        </w:rPr>
        <w:t xml:space="preserve">within the framework of their Questions, to cooperate with ITU-T Study Group 5 and ITU-R Study Groups 1, 5 and 6, in order to achieve the following goals: </w:t>
      </w:r>
    </w:p>
    <w:p w:rsidR="00D56217" w:rsidRPr="00191C79" w:rsidRDefault="00D56217" w:rsidP="00774FEC">
      <w:pPr>
        <w:spacing w:before="120" w:line="240" w:lineRule="auto"/>
        <w:rPr>
          <w:rFonts w:eastAsia="Times New Roman"/>
          <w:spacing w:val="0"/>
          <w:szCs w:val="19"/>
          <w:lang w:val="en-US" w:eastAsia="en-ZA"/>
        </w:rPr>
      </w:pPr>
      <w:r w:rsidRPr="00191C79">
        <w:rPr>
          <w:rFonts w:eastAsia="Times New Roman"/>
          <w:spacing w:val="0"/>
          <w:szCs w:val="19"/>
          <w:lang w:val="en-US" w:eastAsia="en-ZA"/>
        </w:rPr>
        <w:t>•</w:t>
      </w:r>
      <w:r w:rsidRPr="00191C79">
        <w:rPr>
          <w:rFonts w:eastAsia="Times New Roman"/>
          <w:spacing w:val="0"/>
          <w:szCs w:val="19"/>
          <w:lang w:val="en-US" w:eastAsia="en-ZA"/>
        </w:rPr>
        <w:tab/>
        <w:t>prepare an annual report on the progress of work in this area in respect of their Questions;</w:t>
      </w:r>
    </w:p>
    <w:p w:rsidR="00D56217" w:rsidRPr="00191C79" w:rsidRDefault="00D56217" w:rsidP="00774FEC">
      <w:pPr>
        <w:spacing w:before="120" w:line="240" w:lineRule="auto"/>
        <w:rPr>
          <w:rFonts w:eastAsia="Times New Roman"/>
          <w:spacing w:val="0"/>
          <w:szCs w:val="19"/>
          <w:lang w:val="en-US" w:eastAsia="en-ZA"/>
        </w:rPr>
      </w:pPr>
      <w:r w:rsidRPr="00191C79">
        <w:rPr>
          <w:rFonts w:eastAsia="Times New Roman"/>
          <w:spacing w:val="0"/>
          <w:szCs w:val="19"/>
          <w:lang w:val="en-US" w:eastAsia="en-ZA"/>
        </w:rPr>
        <w:t>•</w:t>
      </w:r>
      <w:r w:rsidRPr="00191C79">
        <w:rPr>
          <w:rFonts w:eastAsia="Times New Roman"/>
          <w:spacing w:val="0"/>
          <w:szCs w:val="19"/>
          <w:lang w:val="en-US" w:eastAsia="en-ZA"/>
        </w:rPr>
        <w:tab/>
        <w:t xml:space="preserve">contribute to the organization of any seminars on this subject; </w:t>
      </w:r>
    </w:p>
    <w:p w:rsidR="00D56217" w:rsidRPr="00D22B85" w:rsidRDefault="00D56217" w:rsidP="00D77DBB">
      <w:pPr>
        <w:spacing w:before="120"/>
        <w:rPr>
          <w:lang w:val="en-US"/>
        </w:rPr>
      </w:pPr>
      <w:r w:rsidRPr="00D22B85">
        <w:rPr>
          <w:lang w:val="en-US"/>
        </w:rPr>
        <w:t>•</w:t>
      </w:r>
      <w:r w:rsidRPr="00D22B85">
        <w:rPr>
          <w:lang w:val="en-US"/>
        </w:rPr>
        <w:tab/>
        <w:t>contribute to preparation of the Guide on the use of ITU-T publications on achieving electromagnetic compatibility and safety, and publications relating to measurement methodologies, the need for measurements to be performed by a "Qualified Radio Engineer" and the criteria for a "Qualified Radio Engineer", and system specifications.</w:t>
      </w:r>
    </w:p>
    <w:p w:rsidR="00D56217" w:rsidRPr="00191C79" w:rsidRDefault="00D56217" w:rsidP="00191C79">
      <w:pPr>
        <w:spacing w:before="0" w:line="240" w:lineRule="auto"/>
        <w:rPr>
          <w:rFonts w:ascii="Verdana Bold" w:hAnsi="Verdana Bold"/>
          <w:b/>
          <w:spacing w:val="0"/>
          <w:szCs w:val="19"/>
          <w:lang w:val="en-GB"/>
        </w:rPr>
      </w:pPr>
      <w:bookmarkStart w:id="97" w:name="_Toc361912448"/>
      <w:r w:rsidRPr="00191C79">
        <w:rPr>
          <w:rFonts w:ascii="Verdana Bold" w:hAnsi="Verdana Bold" w:hint="eastAsia"/>
          <w:smallCaps/>
          <w:spacing w:val="0"/>
          <w:szCs w:val="19"/>
          <w:lang w:val="en-US"/>
        </w:rPr>
        <w:br w:type="page"/>
      </w:r>
    </w:p>
    <w:p w:rsidR="00D56217" w:rsidRPr="00191C79" w:rsidRDefault="00D56217" w:rsidP="00191C79">
      <w:pPr>
        <w:pStyle w:val="Heading1"/>
        <w:tabs>
          <w:tab w:val="left" w:pos="1418"/>
        </w:tabs>
        <w:spacing w:line="240" w:lineRule="auto"/>
        <w:ind w:left="1418" w:hanging="1418"/>
        <w:rPr>
          <w:spacing w:val="0"/>
        </w:rPr>
      </w:pPr>
      <w:bookmarkStart w:id="98" w:name="_Toc374691847"/>
      <w:r w:rsidRPr="00191C79">
        <w:rPr>
          <w:spacing w:val="0"/>
        </w:rPr>
        <w:lastRenderedPageBreak/>
        <w:t xml:space="preserve">Annex 6: </w:t>
      </w:r>
      <w:r w:rsidRPr="00191C79">
        <w:rPr>
          <w:spacing w:val="0"/>
        </w:rPr>
        <w:tab/>
        <w:t>Plenipotentiary Conference (PP-10)</w:t>
      </w:r>
      <w:r w:rsidRPr="00191C79">
        <w:rPr>
          <w:rStyle w:val="FootnoteReference"/>
          <w:spacing w:val="0"/>
          <w:lang w:val="en-US"/>
        </w:rPr>
        <w:footnoteReference w:customMarkFollows="1" w:id="30"/>
        <w:t>*</w:t>
      </w:r>
      <w:r w:rsidRPr="00191C79">
        <w:rPr>
          <w:spacing w:val="0"/>
        </w:rPr>
        <w:t xml:space="preserve"> Resolution 176 on "Human exposure to and measurement of electromagnetic fields".</w:t>
      </w:r>
      <w:bookmarkEnd w:id="97"/>
      <w:bookmarkEnd w:id="98"/>
    </w:p>
    <w:p w:rsidR="00D56217" w:rsidRPr="00191C79" w:rsidRDefault="00D56217" w:rsidP="00191C79">
      <w:pPr>
        <w:spacing w:line="240" w:lineRule="auto"/>
        <w:rPr>
          <w:spacing w:val="0"/>
          <w:lang w:val="en-US"/>
        </w:rPr>
      </w:pPr>
    </w:p>
    <w:p w:rsidR="00D56217" w:rsidRPr="00191C79" w:rsidRDefault="00D56217" w:rsidP="00191C79">
      <w:pPr>
        <w:spacing w:line="240" w:lineRule="auto"/>
        <w:rPr>
          <w:spacing w:val="0"/>
          <w:lang w:val="en-US"/>
        </w:rPr>
      </w:pPr>
    </w:p>
    <w:p w:rsidR="00D56217" w:rsidRPr="00191C79" w:rsidRDefault="00D56217" w:rsidP="00191C79">
      <w:pPr>
        <w:pStyle w:val="ResNo"/>
        <w:spacing w:line="240" w:lineRule="auto"/>
        <w:rPr>
          <w:lang w:val="en-US"/>
        </w:rPr>
      </w:pPr>
      <w:r w:rsidRPr="00191C79">
        <w:rPr>
          <w:lang w:val="en-US"/>
        </w:rPr>
        <w:t>RESOLUTION 176 (Guadalajara, 2010)</w:t>
      </w:r>
    </w:p>
    <w:p w:rsidR="00D56217" w:rsidRPr="00191C79" w:rsidRDefault="00D56217" w:rsidP="00D77DBB">
      <w:pPr>
        <w:pStyle w:val="Restitle"/>
        <w:spacing w:before="240"/>
        <w:rPr>
          <w:lang w:val="en-US"/>
        </w:rPr>
      </w:pPr>
      <w:r w:rsidRPr="00191C79">
        <w:rPr>
          <w:lang w:val="en-US"/>
        </w:rPr>
        <w:t>Human exposure to and measurement of electromagnetic fields</w:t>
      </w:r>
    </w:p>
    <w:p w:rsidR="00D56217" w:rsidRPr="00191C79" w:rsidRDefault="00D56217" w:rsidP="00191C79">
      <w:pPr>
        <w:pStyle w:val="Normalaftertitle0"/>
      </w:pPr>
      <w:r w:rsidRPr="00191C79">
        <w:t xml:space="preserve">The Plenipotentiary Conference of the International Telecommunication Union (Guadalajara, 2010), </w:t>
      </w:r>
    </w:p>
    <w:p w:rsidR="00D56217" w:rsidRPr="00D77DBB" w:rsidRDefault="00D56217" w:rsidP="00191C79">
      <w:pPr>
        <w:pStyle w:val="Call"/>
        <w:spacing w:line="240" w:lineRule="auto"/>
        <w:rPr>
          <w:i/>
          <w:iCs/>
          <w:spacing w:val="0"/>
          <w:lang w:val="en-US"/>
        </w:rPr>
      </w:pPr>
      <w:proofErr w:type="gramStart"/>
      <w:r w:rsidRPr="00D77DBB">
        <w:rPr>
          <w:i/>
          <w:iCs/>
          <w:spacing w:val="0"/>
        </w:rPr>
        <w:t>recalling</w:t>
      </w:r>
      <w:proofErr w:type="gramEnd"/>
    </w:p>
    <w:p w:rsidR="00D56217" w:rsidRPr="00191C79" w:rsidRDefault="00D56217" w:rsidP="00D77DBB">
      <w:pPr>
        <w:spacing w:before="120" w:line="240" w:lineRule="auto"/>
        <w:rPr>
          <w:spacing w:val="0"/>
          <w:szCs w:val="19"/>
          <w:lang w:val="en-US"/>
        </w:rPr>
      </w:pPr>
      <w:r w:rsidRPr="00191C79">
        <w:rPr>
          <w:i/>
          <w:iCs/>
          <w:spacing w:val="0"/>
          <w:szCs w:val="19"/>
          <w:lang w:val="en-US"/>
        </w:rPr>
        <w:t>a)</w:t>
      </w:r>
      <w:r w:rsidRPr="00191C79">
        <w:rPr>
          <w:spacing w:val="0"/>
          <w:szCs w:val="19"/>
          <w:lang w:val="en-US"/>
        </w:rPr>
        <w:tab/>
        <w:t>Resolution 72 (Johannesburg, 2008) of the World Telecommunication Standardization Assembly, on measurement concerns related to human exposure to electromagnetic fields (EMF);</w:t>
      </w:r>
    </w:p>
    <w:p w:rsidR="00D56217" w:rsidRPr="00191C79" w:rsidRDefault="00D56217" w:rsidP="00D77DBB">
      <w:pPr>
        <w:spacing w:before="120" w:line="240" w:lineRule="auto"/>
        <w:rPr>
          <w:spacing w:val="0"/>
          <w:szCs w:val="19"/>
          <w:lang w:val="en-US"/>
        </w:rPr>
      </w:pPr>
      <w:r w:rsidRPr="00191C79">
        <w:rPr>
          <w:i/>
          <w:iCs/>
          <w:spacing w:val="0"/>
          <w:szCs w:val="19"/>
          <w:lang w:val="en-US"/>
        </w:rPr>
        <w:t>b)</w:t>
      </w:r>
      <w:r w:rsidRPr="00191C79">
        <w:rPr>
          <w:spacing w:val="0"/>
          <w:szCs w:val="19"/>
          <w:lang w:val="en-US"/>
        </w:rPr>
        <w:tab/>
        <w:t>Resolution 62 (Hyderabad, 2010) of the World Telecommunication Development Conference, on measurement concerns related to human exposure to EMF;</w:t>
      </w:r>
    </w:p>
    <w:p w:rsidR="00D56217" w:rsidRPr="00191C79" w:rsidRDefault="00D56217" w:rsidP="00D77DBB">
      <w:pPr>
        <w:spacing w:before="120" w:line="240" w:lineRule="auto"/>
        <w:rPr>
          <w:spacing w:val="0"/>
          <w:szCs w:val="19"/>
          <w:lang w:val="en-US"/>
        </w:rPr>
      </w:pPr>
      <w:r w:rsidRPr="00191C79">
        <w:rPr>
          <w:i/>
          <w:iCs/>
          <w:spacing w:val="0"/>
          <w:szCs w:val="19"/>
          <w:lang w:val="en-US"/>
        </w:rPr>
        <w:t>c)</w:t>
      </w:r>
      <w:r w:rsidRPr="00191C79">
        <w:rPr>
          <w:spacing w:val="0"/>
          <w:szCs w:val="19"/>
          <w:lang w:val="en-US"/>
        </w:rPr>
        <w:tab/>
      </w:r>
      <w:proofErr w:type="gramStart"/>
      <w:r w:rsidRPr="00191C79">
        <w:rPr>
          <w:spacing w:val="0"/>
          <w:szCs w:val="19"/>
          <w:lang w:val="en-US"/>
        </w:rPr>
        <w:t>relevant</w:t>
      </w:r>
      <w:proofErr w:type="gramEnd"/>
      <w:r w:rsidRPr="00191C79">
        <w:rPr>
          <w:spacing w:val="0"/>
          <w:szCs w:val="19"/>
          <w:lang w:val="en-US"/>
        </w:rPr>
        <w:t xml:space="preserve"> resolutions and recommendations of the ITU </w:t>
      </w:r>
      <w:proofErr w:type="spellStart"/>
      <w:r w:rsidRPr="00191C79">
        <w:rPr>
          <w:spacing w:val="0"/>
          <w:szCs w:val="19"/>
          <w:lang w:val="en-US"/>
        </w:rPr>
        <w:t>Radiocommunication</w:t>
      </w:r>
      <w:proofErr w:type="spellEnd"/>
      <w:r w:rsidRPr="00191C79">
        <w:rPr>
          <w:spacing w:val="0"/>
          <w:szCs w:val="19"/>
          <w:lang w:val="en-US"/>
        </w:rPr>
        <w:t xml:space="preserve"> Sector (ITU-R) and ITU Telecommunication Standardization Sector (ITU-T);</w:t>
      </w:r>
    </w:p>
    <w:p w:rsidR="00D56217" w:rsidRPr="00191C79" w:rsidRDefault="00D56217" w:rsidP="00D77DBB">
      <w:pPr>
        <w:spacing w:before="120" w:line="240" w:lineRule="auto"/>
        <w:rPr>
          <w:spacing w:val="0"/>
          <w:szCs w:val="19"/>
          <w:lang w:val="en-US"/>
        </w:rPr>
      </w:pPr>
      <w:r w:rsidRPr="00191C79">
        <w:rPr>
          <w:i/>
          <w:iCs/>
          <w:spacing w:val="0"/>
          <w:szCs w:val="19"/>
          <w:lang w:val="en-US"/>
        </w:rPr>
        <w:t>d)</w:t>
      </w:r>
      <w:r w:rsidRPr="00191C79">
        <w:rPr>
          <w:spacing w:val="0"/>
          <w:szCs w:val="19"/>
          <w:lang w:val="en-US"/>
        </w:rPr>
        <w:tab/>
        <w:t>that there is ongoing work in the three Sectors relating to human exposure to electromagnetic fields, and that liaison and collaboration between the Sectors and with other expert organizations are important, in order to avoid duplication of effort,</w:t>
      </w:r>
    </w:p>
    <w:p w:rsidR="00D56217" w:rsidRPr="00D77DBB" w:rsidRDefault="00D56217" w:rsidP="00191C79">
      <w:pPr>
        <w:pStyle w:val="Call"/>
        <w:spacing w:line="240" w:lineRule="auto"/>
        <w:rPr>
          <w:i/>
          <w:iCs/>
          <w:spacing w:val="0"/>
        </w:rPr>
      </w:pPr>
      <w:proofErr w:type="gramStart"/>
      <w:r w:rsidRPr="00D77DBB">
        <w:rPr>
          <w:i/>
          <w:iCs/>
          <w:spacing w:val="0"/>
        </w:rPr>
        <w:t>considering</w:t>
      </w:r>
      <w:proofErr w:type="gramEnd"/>
    </w:p>
    <w:p w:rsidR="00D56217" w:rsidRPr="00191C79" w:rsidRDefault="00D56217" w:rsidP="00D77DBB">
      <w:pPr>
        <w:spacing w:before="120" w:line="240" w:lineRule="auto"/>
        <w:rPr>
          <w:spacing w:val="0"/>
          <w:szCs w:val="19"/>
          <w:lang w:val="en-US"/>
        </w:rPr>
      </w:pPr>
      <w:r w:rsidRPr="00191C79">
        <w:rPr>
          <w:i/>
          <w:iCs/>
          <w:spacing w:val="0"/>
          <w:szCs w:val="19"/>
          <w:lang w:val="en-US"/>
        </w:rPr>
        <w:t>a)</w:t>
      </w:r>
      <w:r w:rsidRPr="00191C79">
        <w:rPr>
          <w:spacing w:val="0"/>
          <w:szCs w:val="19"/>
          <w:lang w:val="en-US"/>
        </w:rPr>
        <w:tab/>
        <w:t xml:space="preserve"> that the World Health Organization (WHO) and the International Commission on Non</w:t>
      </w:r>
      <w:r w:rsidRPr="00191C79">
        <w:rPr>
          <w:spacing w:val="0"/>
          <w:szCs w:val="19"/>
          <w:lang w:val="en-US"/>
        </w:rPr>
        <w:noBreakHyphen/>
        <w:t>Ionizing Radiation Protection (ICNIRP) have the specialized health expertise and competence to assess the impact of radio waves on the human body;</w:t>
      </w:r>
    </w:p>
    <w:p w:rsidR="00D56217" w:rsidRPr="00191C79" w:rsidRDefault="00D56217" w:rsidP="00D77DBB">
      <w:pPr>
        <w:spacing w:before="120" w:line="240" w:lineRule="auto"/>
        <w:rPr>
          <w:spacing w:val="0"/>
          <w:szCs w:val="19"/>
          <w:lang w:val="en-US"/>
        </w:rPr>
      </w:pPr>
      <w:r w:rsidRPr="00191C79">
        <w:rPr>
          <w:i/>
          <w:iCs/>
          <w:spacing w:val="0"/>
          <w:szCs w:val="19"/>
          <w:lang w:val="en-US"/>
        </w:rPr>
        <w:t>b)</w:t>
      </w:r>
      <w:r w:rsidRPr="00191C79">
        <w:rPr>
          <w:spacing w:val="0"/>
          <w:szCs w:val="19"/>
          <w:lang w:val="en-US"/>
        </w:rPr>
        <w:tab/>
        <w:t xml:space="preserve"> </w:t>
      </w:r>
      <w:proofErr w:type="gramStart"/>
      <w:r w:rsidRPr="00191C79">
        <w:rPr>
          <w:spacing w:val="0"/>
          <w:szCs w:val="19"/>
          <w:lang w:val="en-US"/>
        </w:rPr>
        <w:t>that</w:t>
      </w:r>
      <w:proofErr w:type="gramEnd"/>
      <w:r w:rsidRPr="00191C79">
        <w:rPr>
          <w:spacing w:val="0"/>
          <w:szCs w:val="19"/>
          <w:lang w:val="en-US"/>
        </w:rPr>
        <w:t xml:space="preserve"> ITU has expertise in calculating and measuring the field strength and power density of radio signals;</w:t>
      </w:r>
    </w:p>
    <w:p w:rsidR="00D56217" w:rsidRPr="00191C79" w:rsidRDefault="00D56217" w:rsidP="00D77DBB">
      <w:pPr>
        <w:spacing w:before="120" w:line="240" w:lineRule="auto"/>
        <w:rPr>
          <w:spacing w:val="0"/>
          <w:szCs w:val="19"/>
          <w:lang w:val="en-US"/>
        </w:rPr>
      </w:pPr>
      <w:r w:rsidRPr="00191C79">
        <w:rPr>
          <w:i/>
          <w:iCs/>
          <w:spacing w:val="0"/>
          <w:szCs w:val="19"/>
          <w:lang w:val="en-US"/>
        </w:rPr>
        <w:t>c)</w:t>
      </w:r>
      <w:r w:rsidRPr="00191C79">
        <w:rPr>
          <w:spacing w:val="0"/>
          <w:szCs w:val="19"/>
          <w:lang w:val="en-US"/>
        </w:rPr>
        <w:tab/>
      </w:r>
      <w:proofErr w:type="gramStart"/>
      <w:r w:rsidRPr="00191C79">
        <w:rPr>
          <w:spacing w:val="0"/>
          <w:szCs w:val="19"/>
          <w:lang w:val="en-US"/>
        </w:rPr>
        <w:t>the</w:t>
      </w:r>
      <w:proofErr w:type="gramEnd"/>
      <w:r w:rsidRPr="00191C79">
        <w:rPr>
          <w:spacing w:val="0"/>
          <w:szCs w:val="19"/>
          <w:lang w:val="en-US"/>
        </w:rPr>
        <w:t xml:space="preserve"> high cost of equipment used for measuring and assessing human exposure to EMF;</w:t>
      </w:r>
    </w:p>
    <w:p w:rsidR="00D56217" w:rsidRPr="00191C79" w:rsidRDefault="00D56217" w:rsidP="00D77DBB">
      <w:pPr>
        <w:spacing w:before="120" w:line="240" w:lineRule="auto"/>
        <w:rPr>
          <w:spacing w:val="0"/>
          <w:szCs w:val="19"/>
          <w:lang w:val="en-US"/>
        </w:rPr>
      </w:pPr>
      <w:r w:rsidRPr="00191C79">
        <w:rPr>
          <w:i/>
          <w:iCs/>
          <w:spacing w:val="0"/>
          <w:szCs w:val="19"/>
          <w:lang w:val="en-US"/>
        </w:rPr>
        <w:t>d)</w:t>
      </w:r>
      <w:r w:rsidRPr="00191C79">
        <w:rPr>
          <w:spacing w:val="0"/>
          <w:szCs w:val="19"/>
          <w:lang w:val="en-US"/>
        </w:rPr>
        <w:tab/>
      </w:r>
      <w:proofErr w:type="gramStart"/>
      <w:r w:rsidRPr="00191C79">
        <w:rPr>
          <w:spacing w:val="0"/>
          <w:szCs w:val="19"/>
          <w:lang w:val="en-US"/>
        </w:rPr>
        <w:t>that</w:t>
      </w:r>
      <w:proofErr w:type="gramEnd"/>
      <w:r w:rsidRPr="00191C79">
        <w:rPr>
          <w:spacing w:val="0"/>
          <w:szCs w:val="19"/>
          <w:lang w:val="en-US"/>
        </w:rPr>
        <w:t xml:space="preserve"> the considerable development in radio spectrum use has resulted in multiple sources of EMF emissions within any given geographic area;</w:t>
      </w:r>
    </w:p>
    <w:p w:rsidR="00D56217" w:rsidRPr="00191C79" w:rsidRDefault="00D56217" w:rsidP="00D77DBB">
      <w:pPr>
        <w:spacing w:before="120" w:line="240" w:lineRule="auto"/>
        <w:rPr>
          <w:spacing w:val="0"/>
          <w:szCs w:val="19"/>
          <w:lang w:val="en-US"/>
        </w:rPr>
      </w:pPr>
      <w:r w:rsidRPr="00191C79">
        <w:rPr>
          <w:i/>
          <w:iCs/>
          <w:spacing w:val="0"/>
          <w:szCs w:val="19"/>
          <w:lang w:val="en-US"/>
        </w:rPr>
        <w:t>e)</w:t>
      </w:r>
      <w:r w:rsidRPr="00191C79">
        <w:rPr>
          <w:spacing w:val="0"/>
          <w:szCs w:val="19"/>
          <w:lang w:val="en-US"/>
        </w:rPr>
        <w:tab/>
      </w:r>
      <w:proofErr w:type="gramStart"/>
      <w:r w:rsidRPr="00191C79">
        <w:rPr>
          <w:spacing w:val="0"/>
          <w:szCs w:val="19"/>
          <w:lang w:val="en-US"/>
        </w:rPr>
        <w:t>the</w:t>
      </w:r>
      <w:proofErr w:type="gramEnd"/>
      <w:r w:rsidRPr="00191C79">
        <w:rPr>
          <w:spacing w:val="0"/>
          <w:szCs w:val="19"/>
          <w:lang w:val="en-US"/>
        </w:rPr>
        <w:t xml:space="preserve"> urgent need for regulatory bodies in many developing countries to obtain information on EMF measurement methodologies in regard to human exposure to radio-frequency energy, in order to establish national regulations to protect their citizens;</w:t>
      </w:r>
    </w:p>
    <w:p w:rsidR="00D56217" w:rsidRPr="00191C79" w:rsidRDefault="00D56217" w:rsidP="00D77DBB">
      <w:pPr>
        <w:spacing w:before="120" w:line="240" w:lineRule="auto"/>
        <w:rPr>
          <w:spacing w:val="0"/>
          <w:szCs w:val="19"/>
          <w:lang w:val="en-US"/>
        </w:rPr>
      </w:pPr>
      <w:r w:rsidRPr="00191C79">
        <w:rPr>
          <w:i/>
          <w:iCs/>
          <w:spacing w:val="0"/>
          <w:szCs w:val="19"/>
          <w:lang w:val="en-US"/>
        </w:rPr>
        <w:t>f)</w:t>
      </w:r>
      <w:r w:rsidRPr="00191C79">
        <w:rPr>
          <w:spacing w:val="0"/>
          <w:szCs w:val="19"/>
          <w:lang w:val="en-US"/>
        </w:rPr>
        <w:tab/>
        <w:t>that guidelines on limits of exposure to EMF have been established by ICNIRP</w:t>
      </w:r>
      <w:r w:rsidRPr="00191C79">
        <w:rPr>
          <w:rStyle w:val="FootnoteReference"/>
          <w:spacing w:val="0"/>
          <w:szCs w:val="19"/>
          <w:lang w:val="en-US"/>
        </w:rPr>
        <w:footnoteReference w:customMarkFollows="1" w:id="31"/>
        <w:t>1</w:t>
      </w:r>
      <w:r w:rsidRPr="00191C79">
        <w:rPr>
          <w:spacing w:val="0"/>
          <w:szCs w:val="19"/>
          <w:lang w:val="en-US"/>
        </w:rPr>
        <w:t>, the Institute of Electrical and Electronics Engineers (IEEE)</w:t>
      </w:r>
      <w:r w:rsidRPr="00191C79">
        <w:rPr>
          <w:rStyle w:val="FootnoteReference"/>
          <w:spacing w:val="0"/>
          <w:szCs w:val="19"/>
          <w:lang w:val="en-US"/>
        </w:rPr>
        <w:footnoteReference w:customMarkFollows="1" w:id="32"/>
        <w:t>2</w:t>
      </w:r>
      <w:r w:rsidRPr="00191C79">
        <w:rPr>
          <w:spacing w:val="0"/>
          <w:szCs w:val="19"/>
          <w:lang w:val="en-US"/>
        </w:rPr>
        <w:t xml:space="preserve"> and the International Organization for Standardization/International </w:t>
      </w:r>
      <w:proofErr w:type="spellStart"/>
      <w:r w:rsidRPr="00191C79">
        <w:rPr>
          <w:spacing w:val="0"/>
          <w:szCs w:val="19"/>
          <w:lang w:val="en-US"/>
        </w:rPr>
        <w:t>Electrotechnical</w:t>
      </w:r>
      <w:proofErr w:type="spellEnd"/>
      <w:r w:rsidRPr="00191C79">
        <w:rPr>
          <w:spacing w:val="0"/>
          <w:szCs w:val="19"/>
          <w:lang w:val="en-US"/>
        </w:rPr>
        <w:t xml:space="preserve"> Commission (ISO/IEC) and that many administrations have adopted national regulations based on these guidelines,</w:t>
      </w:r>
    </w:p>
    <w:p w:rsidR="00D56217" w:rsidRPr="00D77DBB" w:rsidRDefault="00D56217" w:rsidP="00191C79">
      <w:pPr>
        <w:pStyle w:val="Call"/>
        <w:spacing w:line="240" w:lineRule="auto"/>
        <w:rPr>
          <w:i/>
          <w:iCs/>
          <w:spacing w:val="0"/>
        </w:rPr>
      </w:pPr>
      <w:proofErr w:type="gramStart"/>
      <w:r w:rsidRPr="00D77DBB">
        <w:rPr>
          <w:i/>
          <w:iCs/>
          <w:spacing w:val="0"/>
        </w:rPr>
        <w:lastRenderedPageBreak/>
        <w:t>resolves</w:t>
      </w:r>
      <w:proofErr w:type="gramEnd"/>
      <w:r w:rsidRPr="00D77DBB">
        <w:rPr>
          <w:i/>
          <w:iCs/>
          <w:spacing w:val="0"/>
        </w:rPr>
        <w:t xml:space="preserve"> to instruct the Directors of the three Bureaux</w:t>
      </w:r>
    </w:p>
    <w:p w:rsidR="00D56217" w:rsidRPr="00191C79" w:rsidRDefault="00D56217" w:rsidP="00D77DBB">
      <w:pPr>
        <w:spacing w:before="120" w:line="240" w:lineRule="auto"/>
        <w:rPr>
          <w:spacing w:val="0"/>
          <w:szCs w:val="19"/>
          <w:lang w:val="en-US"/>
        </w:rPr>
      </w:pPr>
      <w:r w:rsidRPr="00191C79">
        <w:rPr>
          <w:spacing w:val="0"/>
          <w:szCs w:val="19"/>
          <w:lang w:val="en-US"/>
        </w:rPr>
        <w:t>to collect and disseminate information concerning exposure to EMF, including on EMF measurement methodologies, in order to assist national administrations, particularly in developing countries, to develop appropriate national regulations,</w:t>
      </w:r>
    </w:p>
    <w:p w:rsidR="00D56217" w:rsidRPr="00D77DBB" w:rsidRDefault="00D56217" w:rsidP="00191C79">
      <w:pPr>
        <w:pStyle w:val="Call"/>
        <w:spacing w:line="240" w:lineRule="auto"/>
        <w:rPr>
          <w:i/>
          <w:iCs/>
          <w:spacing w:val="0"/>
        </w:rPr>
      </w:pPr>
      <w:proofErr w:type="gramStart"/>
      <w:r w:rsidRPr="00D77DBB">
        <w:rPr>
          <w:i/>
          <w:iCs/>
          <w:spacing w:val="0"/>
        </w:rPr>
        <w:t>instructs</w:t>
      </w:r>
      <w:proofErr w:type="gramEnd"/>
      <w:r w:rsidRPr="00D77DBB">
        <w:rPr>
          <w:i/>
          <w:iCs/>
          <w:spacing w:val="0"/>
        </w:rPr>
        <w:t xml:space="preserve"> the Director of the Telecommunication Development Bureau, in collaboration with the Director of the </w:t>
      </w:r>
      <w:proofErr w:type="spellStart"/>
      <w:r w:rsidRPr="00D77DBB">
        <w:rPr>
          <w:i/>
          <w:iCs/>
          <w:spacing w:val="0"/>
        </w:rPr>
        <w:t>Radiocommunication</w:t>
      </w:r>
      <w:proofErr w:type="spellEnd"/>
      <w:r w:rsidRPr="00D77DBB">
        <w:rPr>
          <w:i/>
          <w:iCs/>
          <w:spacing w:val="0"/>
        </w:rPr>
        <w:t xml:space="preserve"> Bureau and the Director of the Telecommunication Standardization Bureau</w:t>
      </w:r>
    </w:p>
    <w:p w:rsidR="00D56217" w:rsidRPr="00191C79" w:rsidRDefault="00D56217" w:rsidP="00D77DBB">
      <w:pPr>
        <w:spacing w:before="120" w:line="240" w:lineRule="auto"/>
        <w:rPr>
          <w:spacing w:val="0"/>
          <w:szCs w:val="19"/>
          <w:lang w:val="en-US"/>
        </w:rPr>
      </w:pPr>
      <w:r w:rsidRPr="00191C79">
        <w:rPr>
          <w:spacing w:val="0"/>
          <w:szCs w:val="19"/>
          <w:lang w:val="en-US"/>
        </w:rPr>
        <w:t>1</w:t>
      </w:r>
      <w:r w:rsidRPr="00191C79">
        <w:rPr>
          <w:spacing w:val="0"/>
          <w:szCs w:val="19"/>
          <w:lang w:val="en-US"/>
        </w:rPr>
        <w:tab/>
        <w:t>to ascertain the requirement for, and as appropriate conduct, regional seminars and workshops in order to identify the needs of developing countries and to build human capacity in regard to measurement of EMF related to human exposure to these fields;</w:t>
      </w:r>
    </w:p>
    <w:p w:rsidR="00D56217" w:rsidRPr="00191C79" w:rsidRDefault="00D56217" w:rsidP="00D77DBB">
      <w:pPr>
        <w:spacing w:before="120" w:line="240" w:lineRule="auto"/>
        <w:rPr>
          <w:spacing w:val="0"/>
          <w:szCs w:val="19"/>
          <w:lang w:val="en-US"/>
        </w:rPr>
      </w:pPr>
      <w:r w:rsidRPr="00191C79">
        <w:rPr>
          <w:spacing w:val="0"/>
          <w:szCs w:val="19"/>
          <w:lang w:val="en-US"/>
        </w:rPr>
        <w:t>2</w:t>
      </w:r>
      <w:r w:rsidRPr="00191C79">
        <w:rPr>
          <w:spacing w:val="0"/>
          <w:szCs w:val="19"/>
          <w:lang w:val="en-US"/>
        </w:rPr>
        <w:tab/>
        <w:t xml:space="preserve">to encourage Member States in the various regions to cooperate in sharing expertise and resources and identify a focal point or regional cooperation mechanism, including if required a regional </w:t>
      </w:r>
      <w:proofErr w:type="spellStart"/>
      <w:r w:rsidRPr="00191C79">
        <w:rPr>
          <w:spacing w:val="0"/>
          <w:szCs w:val="19"/>
          <w:lang w:val="en-US"/>
        </w:rPr>
        <w:t>centre</w:t>
      </w:r>
      <w:proofErr w:type="spellEnd"/>
      <w:r w:rsidRPr="00191C79">
        <w:rPr>
          <w:spacing w:val="0"/>
          <w:szCs w:val="19"/>
          <w:lang w:val="en-US"/>
        </w:rPr>
        <w:t>, so as to assist all Member States in the region in measurement and training,</w:t>
      </w:r>
    </w:p>
    <w:p w:rsidR="00D56217" w:rsidRPr="00D77DBB" w:rsidRDefault="00D56217" w:rsidP="00191C79">
      <w:pPr>
        <w:pStyle w:val="Call"/>
        <w:spacing w:line="240" w:lineRule="auto"/>
        <w:rPr>
          <w:i/>
          <w:iCs/>
          <w:spacing w:val="0"/>
        </w:rPr>
      </w:pPr>
      <w:proofErr w:type="gramStart"/>
      <w:r w:rsidRPr="00D77DBB">
        <w:rPr>
          <w:i/>
          <w:iCs/>
          <w:spacing w:val="0"/>
        </w:rPr>
        <w:t>instructs</w:t>
      </w:r>
      <w:proofErr w:type="gramEnd"/>
      <w:r w:rsidRPr="00D77DBB">
        <w:rPr>
          <w:i/>
          <w:iCs/>
          <w:spacing w:val="0"/>
        </w:rPr>
        <w:t xml:space="preserve"> the Secretary-General, in consultation with the Directors of the three Bureaux</w:t>
      </w:r>
    </w:p>
    <w:p w:rsidR="00D56217" w:rsidRPr="00191C79" w:rsidRDefault="00D56217" w:rsidP="00D77DBB">
      <w:pPr>
        <w:spacing w:before="120" w:line="240" w:lineRule="auto"/>
        <w:rPr>
          <w:spacing w:val="0"/>
          <w:szCs w:val="19"/>
          <w:lang w:val="en-US"/>
        </w:rPr>
      </w:pPr>
      <w:r w:rsidRPr="00191C79">
        <w:rPr>
          <w:spacing w:val="0"/>
          <w:szCs w:val="19"/>
          <w:lang w:val="en-US"/>
        </w:rPr>
        <w:t>1</w:t>
      </w:r>
      <w:r w:rsidRPr="00191C79">
        <w:rPr>
          <w:spacing w:val="0"/>
          <w:szCs w:val="19"/>
          <w:lang w:val="en-US"/>
        </w:rPr>
        <w:tab/>
        <w:t>to prepare a report on the implementation of this resolution for submission to the ITU Council at each annual session;</w:t>
      </w:r>
    </w:p>
    <w:p w:rsidR="00D56217" w:rsidRPr="00191C79" w:rsidRDefault="00D56217" w:rsidP="00D77DBB">
      <w:pPr>
        <w:spacing w:before="120" w:line="240" w:lineRule="auto"/>
        <w:rPr>
          <w:spacing w:val="0"/>
          <w:szCs w:val="19"/>
          <w:lang w:val="en-US"/>
        </w:rPr>
      </w:pPr>
      <w:proofErr w:type="gramStart"/>
      <w:r w:rsidRPr="00191C79">
        <w:rPr>
          <w:spacing w:val="0"/>
          <w:szCs w:val="19"/>
          <w:lang w:val="en-US"/>
        </w:rPr>
        <w:t>2</w:t>
      </w:r>
      <w:r w:rsidRPr="00191C79">
        <w:rPr>
          <w:spacing w:val="0"/>
          <w:szCs w:val="19"/>
          <w:lang w:val="en-US"/>
        </w:rPr>
        <w:tab/>
        <w:t>to provide a report to the next plenipotentiary conference on measures taken to implement this resolution.</w:t>
      </w:r>
      <w:proofErr w:type="gramEnd"/>
    </w:p>
    <w:p w:rsidR="00D56217" w:rsidRPr="00191C79" w:rsidRDefault="00D56217" w:rsidP="00191C79">
      <w:pPr>
        <w:tabs>
          <w:tab w:val="clear" w:pos="794"/>
        </w:tabs>
        <w:overflowPunct/>
        <w:spacing w:before="0" w:line="240" w:lineRule="auto"/>
        <w:jc w:val="left"/>
        <w:rPr>
          <w:spacing w:val="0"/>
          <w:lang w:val="en-US" w:eastAsia="zh-CN"/>
        </w:rPr>
      </w:pPr>
      <w:r w:rsidRPr="00191C79">
        <w:rPr>
          <w:spacing w:val="0"/>
          <w:lang w:val="en-US" w:eastAsia="zh-CN"/>
        </w:rPr>
        <w:br w:type="page"/>
      </w:r>
    </w:p>
    <w:p w:rsidR="00D56217" w:rsidRPr="00191C79" w:rsidRDefault="00D56217" w:rsidP="00191C79">
      <w:pPr>
        <w:pStyle w:val="Heading1"/>
        <w:tabs>
          <w:tab w:val="left" w:pos="1418"/>
        </w:tabs>
        <w:spacing w:line="240" w:lineRule="auto"/>
        <w:rPr>
          <w:spacing w:val="0"/>
        </w:rPr>
      </w:pPr>
      <w:bookmarkStart w:id="99" w:name="_Toc374691848"/>
      <w:r w:rsidRPr="00191C79">
        <w:rPr>
          <w:spacing w:val="0"/>
        </w:rPr>
        <w:lastRenderedPageBreak/>
        <w:t xml:space="preserve">Annex 7: </w:t>
      </w:r>
      <w:r w:rsidRPr="00191C79">
        <w:rPr>
          <w:spacing w:val="0"/>
        </w:rPr>
        <w:tab/>
        <w:t>ITU Project in Central America Document</w:t>
      </w:r>
      <w:bookmarkEnd w:id="99"/>
      <w:r w:rsidRPr="00191C79">
        <w:rPr>
          <w:rStyle w:val="FootnoteReference"/>
          <w:spacing w:val="0"/>
          <w:lang w:val="en-US"/>
        </w:rPr>
        <w:footnoteReference w:customMarkFollows="1" w:id="33"/>
        <w:t>*</w:t>
      </w:r>
    </w:p>
    <w:p w:rsidR="00D56217" w:rsidRPr="00191C79" w:rsidRDefault="00D56217" w:rsidP="00191C79">
      <w:pPr>
        <w:tabs>
          <w:tab w:val="clear" w:pos="794"/>
        </w:tabs>
        <w:overflowPunct/>
        <w:spacing w:before="0" w:line="240" w:lineRule="auto"/>
        <w:jc w:val="left"/>
        <w:rPr>
          <w:spacing w:val="0"/>
          <w:lang w:val="en-US" w:eastAsia="zh-CN"/>
        </w:rPr>
      </w:pPr>
      <w:r w:rsidRPr="00191C79">
        <w:rPr>
          <w:spacing w:val="0"/>
          <w:lang w:val="en-US" w:eastAsia="zh-CN"/>
        </w:rPr>
        <w:br w:type="page"/>
      </w:r>
    </w:p>
    <w:p w:rsidR="00D56217" w:rsidRPr="00191C79" w:rsidRDefault="00D56217" w:rsidP="00191C79">
      <w:pPr>
        <w:pStyle w:val="Heading1"/>
        <w:tabs>
          <w:tab w:val="left" w:pos="1418"/>
        </w:tabs>
        <w:spacing w:line="240" w:lineRule="auto"/>
        <w:rPr>
          <w:spacing w:val="0"/>
        </w:rPr>
      </w:pPr>
      <w:bookmarkStart w:id="100" w:name="_Toc374691849"/>
      <w:r w:rsidRPr="00191C79">
        <w:rPr>
          <w:spacing w:val="0"/>
        </w:rPr>
        <w:lastRenderedPageBreak/>
        <w:t xml:space="preserve">Annex 8: </w:t>
      </w:r>
      <w:r w:rsidRPr="00191C79">
        <w:rPr>
          <w:spacing w:val="0"/>
        </w:rPr>
        <w:tab/>
        <w:t>Q23/1 Work Plan</w:t>
      </w:r>
      <w:bookmarkEnd w:id="100"/>
    </w:p>
    <w:p w:rsidR="00D56217" w:rsidRPr="00191C79" w:rsidRDefault="00D56217" w:rsidP="00191C79">
      <w:pPr>
        <w:pStyle w:val="Tabletitle"/>
        <w:spacing w:line="240" w:lineRule="auto"/>
        <w:rPr>
          <w:spacing w:val="0"/>
        </w:rPr>
      </w:pPr>
      <w:r w:rsidRPr="00191C79">
        <w:rPr>
          <w:spacing w:val="0"/>
        </w:rPr>
        <w:t xml:space="preserve">Work </w:t>
      </w:r>
      <w:proofErr w:type="spellStart"/>
      <w:r w:rsidRPr="00191C79">
        <w:rPr>
          <w:spacing w:val="0"/>
        </w:rPr>
        <w:t>Programme</w:t>
      </w:r>
      <w:proofErr w:type="spellEnd"/>
      <w:r w:rsidRPr="00191C79">
        <w:rPr>
          <w:spacing w:val="0"/>
        </w:rPr>
        <w:t xml:space="preserve"> 2010-2014</w:t>
      </w:r>
    </w:p>
    <w:tbl>
      <w:tblPr>
        <w:tblStyle w:val="Style1"/>
        <w:tblW w:w="4884" w:type="pct"/>
        <w:tblInd w:w="108" w:type="dxa"/>
        <w:tblLayout w:type="fixed"/>
        <w:tblLook w:val="0020" w:firstRow="1" w:lastRow="0" w:firstColumn="0" w:lastColumn="0" w:noHBand="0" w:noVBand="0"/>
      </w:tblPr>
      <w:tblGrid>
        <w:gridCol w:w="2140"/>
        <w:gridCol w:w="4533"/>
        <w:gridCol w:w="2399"/>
      </w:tblGrid>
      <w:tr w:rsidR="00D56217" w:rsidRPr="00191C79" w:rsidTr="00774FEC">
        <w:trPr>
          <w:cnfStyle w:val="100000000000" w:firstRow="1" w:lastRow="0" w:firstColumn="0" w:lastColumn="0" w:oddVBand="0" w:evenVBand="0" w:oddHBand="0" w:evenHBand="0" w:firstRowFirstColumn="0" w:firstRowLastColumn="0" w:lastRowFirstColumn="0" w:lastRowLastColumn="0"/>
          <w:tblHeader/>
        </w:trPr>
        <w:tc>
          <w:tcPr>
            <w:tcW w:w="2140" w:type="dxa"/>
          </w:tcPr>
          <w:p w:rsidR="00D56217" w:rsidRPr="00191C79" w:rsidRDefault="00D56217" w:rsidP="00191C79">
            <w:pPr>
              <w:pStyle w:val="Tablehead"/>
              <w:spacing w:line="240" w:lineRule="auto"/>
              <w:rPr>
                <w:spacing w:val="0"/>
              </w:rPr>
            </w:pPr>
            <w:r w:rsidRPr="00191C79">
              <w:rPr>
                <w:spacing w:val="0"/>
              </w:rPr>
              <w:t>DATE</w:t>
            </w:r>
          </w:p>
        </w:tc>
        <w:tc>
          <w:tcPr>
            <w:tcW w:w="4533" w:type="dxa"/>
          </w:tcPr>
          <w:p w:rsidR="00D56217" w:rsidRPr="00191C79" w:rsidRDefault="00D56217" w:rsidP="00191C79">
            <w:pPr>
              <w:pStyle w:val="Tablehead"/>
              <w:spacing w:line="240" w:lineRule="auto"/>
              <w:rPr>
                <w:spacing w:val="0"/>
              </w:rPr>
            </w:pPr>
            <w:r w:rsidRPr="00191C79">
              <w:rPr>
                <w:spacing w:val="0"/>
              </w:rPr>
              <w:t>ACTIVITY / EXPECTED RESULTS</w:t>
            </w:r>
          </w:p>
        </w:tc>
        <w:tc>
          <w:tcPr>
            <w:tcW w:w="2399" w:type="dxa"/>
          </w:tcPr>
          <w:p w:rsidR="00D56217" w:rsidRPr="00191C79" w:rsidRDefault="00D56217" w:rsidP="00191C79">
            <w:pPr>
              <w:pStyle w:val="Tablehead"/>
              <w:spacing w:line="240" w:lineRule="auto"/>
              <w:rPr>
                <w:spacing w:val="0"/>
              </w:rPr>
            </w:pPr>
            <w:r w:rsidRPr="00191C79">
              <w:rPr>
                <w:spacing w:val="0"/>
              </w:rPr>
              <w:t>PERSON RESPONSIBLE</w:t>
            </w:r>
          </w:p>
        </w:tc>
      </w:tr>
      <w:tr w:rsidR="00D56217" w:rsidRPr="00191C79" w:rsidTr="00774FEC">
        <w:trPr>
          <w:cnfStyle w:val="000000100000" w:firstRow="0" w:lastRow="0" w:firstColumn="0" w:lastColumn="0" w:oddVBand="0" w:evenVBand="0" w:oddHBand="1" w:evenHBand="0" w:firstRowFirstColumn="0" w:firstRowLastColumn="0" w:lastRowFirstColumn="0" w:lastRowLastColumn="0"/>
        </w:trPr>
        <w:tc>
          <w:tcPr>
            <w:tcW w:w="2140" w:type="dxa"/>
          </w:tcPr>
          <w:p w:rsidR="00D56217" w:rsidRPr="00191C79" w:rsidRDefault="00D56217" w:rsidP="00191C79">
            <w:pPr>
              <w:pStyle w:val="Tabletext"/>
              <w:spacing w:line="240" w:lineRule="auto"/>
              <w:rPr>
                <w:spacing w:val="0"/>
              </w:rPr>
            </w:pPr>
            <w:proofErr w:type="spellStart"/>
            <w:r w:rsidRPr="00191C79">
              <w:rPr>
                <w:spacing w:val="0"/>
              </w:rPr>
              <w:t>September</w:t>
            </w:r>
            <w:proofErr w:type="spellEnd"/>
            <w:r w:rsidRPr="00191C79">
              <w:rPr>
                <w:spacing w:val="0"/>
              </w:rPr>
              <w:t xml:space="preserve"> 2010</w:t>
            </w:r>
          </w:p>
        </w:tc>
        <w:tc>
          <w:tcPr>
            <w:tcW w:w="4533" w:type="dxa"/>
          </w:tcPr>
          <w:p w:rsidR="00D56217" w:rsidRPr="00191C79" w:rsidRDefault="00D56217" w:rsidP="00191C79">
            <w:pPr>
              <w:pStyle w:val="enumlev1"/>
            </w:pPr>
            <w:r w:rsidRPr="00191C79">
              <w:t>-</w:t>
            </w:r>
            <w:r w:rsidRPr="00191C79">
              <w:tab/>
              <w:t xml:space="preserve">Determination of the working method and of the means to carry out the work </w:t>
            </w:r>
          </w:p>
        </w:tc>
        <w:tc>
          <w:tcPr>
            <w:tcW w:w="2399" w:type="dxa"/>
          </w:tcPr>
          <w:p w:rsidR="00D56217" w:rsidRPr="00191C79" w:rsidRDefault="00D56217" w:rsidP="00191C79">
            <w:pPr>
              <w:pStyle w:val="Tabletext"/>
              <w:spacing w:line="240" w:lineRule="auto"/>
              <w:rPr>
                <w:rFonts w:cs="Arial"/>
                <w:spacing w:val="0"/>
                <w:lang w:val="en-US"/>
              </w:rPr>
            </w:pPr>
            <w:r w:rsidRPr="00191C79">
              <w:rPr>
                <w:rFonts w:cs="Arial"/>
                <w:spacing w:val="0"/>
                <w:lang w:val="en-US"/>
              </w:rPr>
              <w:t>BDT, Rapporteur’s Group</w:t>
            </w:r>
          </w:p>
        </w:tc>
      </w:tr>
      <w:tr w:rsidR="00D56217" w:rsidRPr="00191C79" w:rsidTr="00774FEC">
        <w:trPr>
          <w:cnfStyle w:val="000000010000" w:firstRow="0" w:lastRow="0" w:firstColumn="0" w:lastColumn="0" w:oddVBand="0" w:evenVBand="0" w:oddHBand="0" w:evenHBand="1" w:firstRowFirstColumn="0" w:firstRowLastColumn="0" w:lastRowFirstColumn="0" w:lastRowLastColumn="0"/>
        </w:trPr>
        <w:tc>
          <w:tcPr>
            <w:tcW w:w="2140" w:type="dxa"/>
          </w:tcPr>
          <w:p w:rsidR="00D56217" w:rsidRPr="00191C79" w:rsidRDefault="00D56217" w:rsidP="00191C79">
            <w:pPr>
              <w:pStyle w:val="Tabletext"/>
              <w:spacing w:line="240" w:lineRule="auto"/>
              <w:rPr>
                <w:spacing w:val="0"/>
                <w:lang w:val="en-US"/>
              </w:rPr>
            </w:pPr>
            <w:r w:rsidRPr="00191C79">
              <w:rPr>
                <w:spacing w:val="0"/>
                <w:lang w:val="en-US"/>
              </w:rPr>
              <w:t>October 2010 – February 2011</w:t>
            </w:r>
          </w:p>
        </w:tc>
        <w:tc>
          <w:tcPr>
            <w:tcW w:w="4533" w:type="dxa"/>
          </w:tcPr>
          <w:p w:rsidR="00D56217" w:rsidRPr="00191C79" w:rsidRDefault="00D56217" w:rsidP="00191C79">
            <w:pPr>
              <w:pStyle w:val="enumlev1"/>
            </w:pPr>
            <w:r w:rsidRPr="00191C79">
              <w:t>-</w:t>
            </w:r>
            <w:r w:rsidRPr="00191C79">
              <w:tab/>
              <w:t xml:space="preserve">Compilation and analysis of envisaged or adopted regulatory policies on human exposure to electromagnetic fields authorizing the installation of </w:t>
            </w:r>
            <w:proofErr w:type="spellStart"/>
            <w:r w:rsidRPr="00191C79">
              <w:t>radiocommunication</w:t>
            </w:r>
            <w:proofErr w:type="spellEnd"/>
            <w:r w:rsidRPr="00191C79">
              <w:t xml:space="preserve"> sites and telecommunication systems over electric power lines</w:t>
            </w:r>
          </w:p>
          <w:p w:rsidR="00D56217" w:rsidRPr="00191C79" w:rsidRDefault="00D56217" w:rsidP="00191C79">
            <w:pPr>
              <w:pStyle w:val="enumlev1"/>
            </w:pPr>
            <w:r w:rsidRPr="00191C79">
              <w:t>-</w:t>
            </w:r>
            <w:r w:rsidRPr="00191C79">
              <w:tab/>
              <w:t>Description of strategies or methods for raising awareness and informing people about the effects of electromagnetic fields caused by radio systems</w:t>
            </w:r>
          </w:p>
          <w:p w:rsidR="00D56217" w:rsidRPr="00191C79" w:rsidRDefault="00D56217" w:rsidP="00191C79">
            <w:pPr>
              <w:pStyle w:val="enumlev1"/>
            </w:pPr>
            <w:r w:rsidRPr="00191C79">
              <w:rPr>
                <w:shd w:val="clear" w:color="auto" w:fill="FFFFFF"/>
              </w:rPr>
              <w:t>-</w:t>
            </w:r>
            <w:r w:rsidRPr="00191C79">
              <w:rPr>
                <w:shd w:val="clear" w:color="auto" w:fill="FFFFFF"/>
              </w:rPr>
              <w:tab/>
              <w:t>Guidelines and best practices</w:t>
            </w:r>
          </w:p>
        </w:tc>
        <w:tc>
          <w:tcPr>
            <w:tcW w:w="2399" w:type="dxa"/>
          </w:tcPr>
          <w:p w:rsidR="00D56217" w:rsidRPr="00191C79" w:rsidRDefault="00D56217" w:rsidP="00191C79">
            <w:pPr>
              <w:pStyle w:val="Tabletext"/>
              <w:spacing w:line="240" w:lineRule="auto"/>
              <w:rPr>
                <w:rFonts w:cs="Arial"/>
                <w:spacing w:val="0"/>
                <w:lang w:val="fr-CH"/>
              </w:rPr>
            </w:pPr>
            <w:r w:rsidRPr="00191C79">
              <w:rPr>
                <w:rFonts w:cs="Arial"/>
                <w:spacing w:val="0"/>
                <w:lang w:val="fr-CH"/>
              </w:rPr>
              <w:t xml:space="preserve">BDT, </w:t>
            </w:r>
            <w:proofErr w:type="spellStart"/>
            <w:r w:rsidRPr="00191C79">
              <w:rPr>
                <w:rFonts w:cs="Arial"/>
                <w:spacing w:val="0"/>
                <w:lang w:val="fr-CH"/>
              </w:rPr>
              <w:t>Rapporteur’s</w:t>
            </w:r>
            <w:proofErr w:type="spellEnd"/>
            <w:r w:rsidRPr="00191C79">
              <w:rPr>
                <w:rFonts w:cs="Arial"/>
                <w:spacing w:val="0"/>
                <w:lang w:val="fr-CH"/>
              </w:rPr>
              <w:t xml:space="preserve"> Group</w:t>
            </w:r>
          </w:p>
        </w:tc>
      </w:tr>
      <w:tr w:rsidR="00D56217" w:rsidRPr="00191C79" w:rsidTr="00774FEC">
        <w:trPr>
          <w:cnfStyle w:val="000000100000" w:firstRow="0" w:lastRow="0" w:firstColumn="0" w:lastColumn="0" w:oddVBand="0" w:evenVBand="0" w:oddHBand="1" w:evenHBand="0" w:firstRowFirstColumn="0" w:firstRowLastColumn="0" w:lastRowFirstColumn="0" w:lastRowLastColumn="0"/>
        </w:trPr>
        <w:tc>
          <w:tcPr>
            <w:tcW w:w="2140" w:type="dxa"/>
          </w:tcPr>
          <w:p w:rsidR="00D56217" w:rsidRPr="00191C79" w:rsidRDefault="00D56217" w:rsidP="00191C79">
            <w:pPr>
              <w:pStyle w:val="Tabletext"/>
              <w:spacing w:line="240" w:lineRule="auto"/>
              <w:rPr>
                <w:rFonts w:cs="Arial"/>
                <w:spacing w:val="0"/>
                <w:lang w:val="fr-CH" w:eastAsia="en-US"/>
              </w:rPr>
            </w:pPr>
            <w:r w:rsidRPr="00191C79">
              <w:rPr>
                <w:rFonts w:cs="Arial"/>
                <w:spacing w:val="0"/>
                <w:lang w:val="fr-CH" w:eastAsia="en-US"/>
              </w:rPr>
              <w:t>March/April 2011</w:t>
            </w:r>
          </w:p>
        </w:tc>
        <w:tc>
          <w:tcPr>
            <w:tcW w:w="4533" w:type="dxa"/>
          </w:tcPr>
          <w:p w:rsidR="00D56217" w:rsidRPr="00191C79" w:rsidRDefault="00D56217" w:rsidP="00191C79">
            <w:pPr>
              <w:pStyle w:val="Tabletext"/>
              <w:spacing w:line="240" w:lineRule="auto"/>
              <w:rPr>
                <w:spacing w:val="0"/>
                <w:lang w:val="en-US"/>
              </w:rPr>
            </w:pPr>
            <w:r w:rsidRPr="00191C79">
              <w:rPr>
                <w:spacing w:val="0"/>
                <w:lang w:val="en-US"/>
              </w:rPr>
              <w:t>Rapporteur’s Group meeting:</w:t>
            </w:r>
          </w:p>
          <w:p w:rsidR="00D56217" w:rsidRPr="00191C79" w:rsidRDefault="00D56217" w:rsidP="00191C79">
            <w:pPr>
              <w:pStyle w:val="enumlev1"/>
            </w:pPr>
            <w:r w:rsidRPr="00191C79">
              <w:t>-</w:t>
            </w:r>
            <w:r w:rsidRPr="00191C79">
              <w:tab/>
              <w:t>Consideration of contributions received</w:t>
            </w:r>
          </w:p>
          <w:p w:rsidR="00D56217" w:rsidRPr="00191C79" w:rsidRDefault="00D56217" w:rsidP="00191C79">
            <w:pPr>
              <w:pStyle w:val="enumlev1"/>
            </w:pPr>
            <w:r w:rsidRPr="00191C79">
              <w:t>-</w:t>
            </w:r>
            <w:r w:rsidRPr="00191C79">
              <w:tab/>
              <w:t>Consideration of relevant documents of others Sectors (ITU-T, ITU-R)</w:t>
            </w:r>
          </w:p>
          <w:p w:rsidR="00D56217" w:rsidRPr="00191C79" w:rsidRDefault="00D56217" w:rsidP="00191C79">
            <w:pPr>
              <w:pStyle w:val="enumlev1"/>
            </w:pPr>
            <w:r w:rsidRPr="00191C79">
              <w:t>-</w:t>
            </w:r>
            <w:r w:rsidRPr="00191C79">
              <w:tab/>
              <w:t>Call for contributions from:</w:t>
            </w:r>
          </w:p>
          <w:p w:rsidR="00D56217" w:rsidRPr="00191C79" w:rsidRDefault="00D56217" w:rsidP="00191C79">
            <w:pPr>
              <w:pStyle w:val="enumlev2"/>
            </w:pPr>
            <w:r w:rsidRPr="00191C79">
              <w:sym w:font="Symbol" w:char="F0B7"/>
            </w:r>
            <w:r w:rsidRPr="00191C79">
              <w:tab/>
              <w:t>World Health Organization</w:t>
            </w:r>
          </w:p>
          <w:p w:rsidR="00D56217" w:rsidRPr="00191C79" w:rsidRDefault="00D56217" w:rsidP="00191C79">
            <w:pPr>
              <w:pStyle w:val="enumlev2"/>
            </w:pPr>
            <w:r w:rsidRPr="00191C79">
              <w:sym w:font="Symbol" w:char="F0B7"/>
            </w:r>
            <w:r w:rsidRPr="00191C79">
              <w:tab/>
              <w:t>International Commission on Non-Ionizing Radiation Protection (ICNIRP)</w:t>
            </w:r>
          </w:p>
          <w:p w:rsidR="00D56217" w:rsidRPr="00191C79" w:rsidRDefault="00D56217" w:rsidP="00191C79">
            <w:pPr>
              <w:pStyle w:val="enumlev2"/>
              <w:rPr>
                <w:shd w:val="clear" w:color="auto" w:fill="E6ECF9"/>
              </w:rPr>
            </w:pPr>
            <w:r w:rsidRPr="00191C79">
              <w:sym w:font="Symbol" w:char="F0B7"/>
            </w:r>
            <w:r w:rsidRPr="00191C79">
              <w:tab/>
              <w:t>Institute of Electrical and Electronic Engineers (IEEE)</w:t>
            </w:r>
          </w:p>
        </w:tc>
        <w:tc>
          <w:tcPr>
            <w:tcW w:w="2399" w:type="dxa"/>
          </w:tcPr>
          <w:p w:rsidR="00D56217" w:rsidRPr="00191C79" w:rsidRDefault="00D56217" w:rsidP="00191C79">
            <w:pPr>
              <w:pStyle w:val="Tabletext"/>
              <w:spacing w:line="240" w:lineRule="auto"/>
              <w:rPr>
                <w:rFonts w:cs="Arial"/>
                <w:spacing w:val="0"/>
                <w:lang w:val="fr-CH"/>
              </w:rPr>
            </w:pPr>
            <w:r w:rsidRPr="00191C79">
              <w:rPr>
                <w:rFonts w:cs="Arial"/>
                <w:spacing w:val="0"/>
                <w:lang w:val="fr-CH"/>
              </w:rPr>
              <w:t xml:space="preserve">BDT, </w:t>
            </w:r>
            <w:proofErr w:type="spellStart"/>
            <w:r w:rsidRPr="00191C79">
              <w:rPr>
                <w:rFonts w:cs="Arial"/>
                <w:spacing w:val="0"/>
                <w:lang w:val="fr-CH"/>
              </w:rPr>
              <w:t>Rapporteur’s</w:t>
            </w:r>
            <w:proofErr w:type="spellEnd"/>
            <w:r w:rsidRPr="00191C79">
              <w:rPr>
                <w:rFonts w:cs="Arial"/>
                <w:spacing w:val="0"/>
                <w:lang w:val="fr-CH"/>
              </w:rPr>
              <w:t xml:space="preserve"> Group</w:t>
            </w:r>
          </w:p>
        </w:tc>
      </w:tr>
      <w:tr w:rsidR="00D56217" w:rsidRPr="00191C79" w:rsidTr="00774FEC">
        <w:trPr>
          <w:cnfStyle w:val="000000010000" w:firstRow="0" w:lastRow="0" w:firstColumn="0" w:lastColumn="0" w:oddVBand="0" w:evenVBand="0" w:oddHBand="0" w:evenHBand="1" w:firstRowFirstColumn="0" w:firstRowLastColumn="0" w:lastRowFirstColumn="0" w:lastRowLastColumn="0"/>
        </w:trPr>
        <w:tc>
          <w:tcPr>
            <w:tcW w:w="2140" w:type="dxa"/>
          </w:tcPr>
          <w:p w:rsidR="00D56217" w:rsidRPr="00191C79" w:rsidRDefault="00D56217" w:rsidP="00191C79">
            <w:pPr>
              <w:pStyle w:val="Tabletext"/>
              <w:spacing w:line="240" w:lineRule="auto"/>
              <w:rPr>
                <w:rFonts w:cs="Arial"/>
                <w:spacing w:val="0"/>
                <w:lang w:val="fr-CH" w:eastAsia="en-US"/>
              </w:rPr>
            </w:pPr>
            <w:proofErr w:type="spellStart"/>
            <w:r w:rsidRPr="00191C79">
              <w:rPr>
                <w:rFonts w:cs="Arial"/>
                <w:spacing w:val="0"/>
                <w:lang w:val="fr-CH" w:eastAsia="en-US"/>
              </w:rPr>
              <w:t>September</w:t>
            </w:r>
            <w:proofErr w:type="spellEnd"/>
            <w:r w:rsidRPr="00191C79">
              <w:rPr>
                <w:rFonts w:cs="Arial"/>
                <w:spacing w:val="0"/>
                <w:lang w:val="fr-CH" w:eastAsia="en-US"/>
              </w:rPr>
              <w:t xml:space="preserve"> 2011</w:t>
            </w:r>
          </w:p>
        </w:tc>
        <w:tc>
          <w:tcPr>
            <w:tcW w:w="4533" w:type="dxa"/>
          </w:tcPr>
          <w:p w:rsidR="00D56217" w:rsidRPr="00191C79" w:rsidRDefault="00D56217" w:rsidP="00191C79">
            <w:pPr>
              <w:pStyle w:val="Tabletext"/>
              <w:spacing w:line="240" w:lineRule="auto"/>
              <w:rPr>
                <w:spacing w:val="0"/>
                <w:lang w:val="en-US"/>
              </w:rPr>
            </w:pPr>
            <w:r w:rsidRPr="00191C79">
              <w:rPr>
                <w:spacing w:val="0"/>
                <w:lang w:val="en-US"/>
              </w:rPr>
              <w:t>Rapporteur’s Group meeting:</w:t>
            </w:r>
          </w:p>
          <w:p w:rsidR="00D56217" w:rsidRPr="00191C79" w:rsidRDefault="00D56217" w:rsidP="00191C79">
            <w:pPr>
              <w:pStyle w:val="enumlev1"/>
              <w:rPr>
                <w:shd w:val="clear" w:color="auto" w:fill="FFFFFF"/>
              </w:rPr>
            </w:pPr>
            <w:r w:rsidRPr="00191C79">
              <w:rPr>
                <w:shd w:val="clear" w:color="auto" w:fill="FFFFFF"/>
              </w:rPr>
              <w:t>-</w:t>
            </w:r>
            <w:r w:rsidRPr="00191C79">
              <w:rPr>
                <w:shd w:val="clear" w:color="auto" w:fill="FFFFFF"/>
              </w:rPr>
              <w:tab/>
              <w:t>Consideration of contributions received</w:t>
            </w:r>
          </w:p>
          <w:p w:rsidR="00D56217" w:rsidRPr="00191C79" w:rsidRDefault="00D56217" w:rsidP="00191C79">
            <w:pPr>
              <w:pStyle w:val="enumlev1"/>
              <w:rPr>
                <w:shd w:val="clear" w:color="auto" w:fill="FFFFFF"/>
              </w:rPr>
            </w:pPr>
            <w:r w:rsidRPr="00191C79">
              <w:rPr>
                <w:shd w:val="clear" w:color="auto" w:fill="FFFFFF"/>
              </w:rPr>
              <w:t>-</w:t>
            </w:r>
            <w:r w:rsidRPr="00191C79">
              <w:rPr>
                <w:shd w:val="clear" w:color="auto" w:fill="FFFFFF"/>
              </w:rPr>
              <w:tab/>
              <w:t>Consideration of relevant documents of other Sectors and programmes</w:t>
            </w:r>
          </w:p>
          <w:p w:rsidR="00D56217" w:rsidRPr="00191C79" w:rsidRDefault="00D56217" w:rsidP="00191C79">
            <w:pPr>
              <w:pStyle w:val="enumlev1"/>
              <w:rPr>
                <w:shd w:val="clear" w:color="auto" w:fill="FFFFFF"/>
              </w:rPr>
            </w:pPr>
            <w:r w:rsidRPr="00191C79">
              <w:rPr>
                <w:shd w:val="clear" w:color="auto" w:fill="FFFFFF"/>
              </w:rPr>
              <w:t>-</w:t>
            </w:r>
            <w:r w:rsidRPr="00191C79">
              <w:rPr>
                <w:shd w:val="clear" w:color="auto" w:fill="FFFFFF"/>
              </w:rPr>
              <w:tab/>
              <w:t>Call for new contributions</w:t>
            </w:r>
          </w:p>
          <w:p w:rsidR="00D56217" w:rsidRPr="00191C79" w:rsidRDefault="00D56217" w:rsidP="00191C79">
            <w:pPr>
              <w:pStyle w:val="enumlev1"/>
            </w:pPr>
            <w:r w:rsidRPr="00191C79">
              <w:rPr>
                <w:shd w:val="clear" w:color="auto" w:fill="FFFFFF"/>
              </w:rPr>
              <w:t>-</w:t>
            </w:r>
            <w:r w:rsidRPr="00191C79">
              <w:rPr>
                <w:shd w:val="clear" w:color="auto" w:fill="FFFFFF"/>
              </w:rPr>
              <w:tab/>
              <w:t>Draft guidelines for compliance with relevant international recommendations aimed at protecting health against the harmful effects of electromagnetic fields</w:t>
            </w:r>
          </w:p>
        </w:tc>
        <w:tc>
          <w:tcPr>
            <w:tcW w:w="2399" w:type="dxa"/>
          </w:tcPr>
          <w:p w:rsidR="00D56217" w:rsidRPr="00191C79" w:rsidRDefault="00D56217" w:rsidP="00191C79">
            <w:pPr>
              <w:pStyle w:val="Tabletext"/>
              <w:spacing w:line="240" w:lineRule="auto"/>
              <w:rPr>
                <w:rFonts w:cs="Arial"/>
                <w:spacing w:val="0"/>
                <w:lang w:val="fr-CH"/>
              </w:rPr>
            </w:pPr>
            <w:r w:rsidRPr="00191C79">
              <w:rPr>
                <w:rFonts w:cs="Arial"/>
                <w:spacing w:val="0"/>
                <w:lang w:val="fr-CH"/>
              </w:rPr>
              <w:t xml:space="preserve">BDT, </w:t>
            </w:r>
            <w:proofErr w:type="spellStart"/>
            <w:r w:rsidRPr="00191C79">
              <w:rPr>
                <w:rFonts w:cs="Arial"/>
                <w:spacing w:val="0"/>
                <w:lang w:val="fr-CH"/>
              </w:rPr>
              <w:t>Rapporteur’s</w:t>
            </w:r>
            <w:proofErr w:type="spellEnd"/>
            <w:r w:rsidRPr="00191C79">
              <w:rPr>
                <w:rFonts w:cs="Arial"/>
                <w:spacing w:val="0"/>
                <w:lang w:val="fr-CH"/>
              </w:rPr>
              <w:t xml:space="preserve"> Group</w:t>
            </w:r>
          </w:p>
        </w:tc>
      </w:tr>
      <w:tr w:rsidR="00D56217" w:rsidRPr="00191C79" w:rsidTr="00774FEC">
        <w:trPr>
          <w:cnfStyle w:val="000000100000" w:firstRow="0" w:lastRow="0" w:firstColumn="0" w:lastColumn="0" w:oddVBand="0" w:evenVBand="0" w:oddHBand="1" w:evenHBand="0" w:firstRowFirstColumn="0" w:firstRowLastColumn="0" w:lastRowFirstColumn="0" w:lastRowLastColumn="0"/>
        </w:trPr>
        <w:tc>
          <w:tcPr>
            <w:tcW w:w="2140" w:type="dxa"/>
          </w:tcPr>
          <w:p w:rsidR="00D56217" w:rsidRPr="00191C79" w:rsidRDefault="00D56217" w:rsidP="00191C79">
            <w:pPr>
              <w:pStyle w:val="Tabletext"/>
              <w:spacing w:line="240" w:lineRule="auto"/>
              <w:rPr>
                <w:spacing w:val="0"/>
              </w:rPr>
            </w:pPr>
            <w:r w:rsidRPr="00191C79">
              <w:rPr>
                <w:spacing w:val="0"/>
              </w:rPr>
              <w:t>March/April 2012</w:t>
            </w:r>
          </w:p>
        </w:tc>
        <w:tc>
          <w:tcPr>
            <w:tcW w:w="4533" w:type="dxa"/>
          </w:tcPr>
          <w:p w:rsidR="00D56217" w:rsidRPr="00191C79" w:rsidRDefault="00D56217" w:rsidP="00191C79">
            <w:pPr>
              <w:pStyle w:val="Tabletext"/>
              <w:spacing w:line="240" w:lineRule="auto"/>
              <w:rPr>
                <w:spacing w:val="0"/>
                <w:lang w:val="en-US"/>
              </w:rPr>
            </w:pPr>
            <w:r w:rsidRPr="00191C79">
              <w:rPr>
                <w:spacing w:val="0"/>
                <w:lang w:val="en-US"/>
              </w:rPr>
              <w:t>Rapporteur’s Group meeting</w:t>
            </w:r>
          </w:p>
          <w:p w:rsidR="00D56217" w:rsidRPr="00191C79" w:rsidRDefault="00D56217" w:rsidP="00191C79">
            <w:pPr>
              <w:pStyle w:val="enumlev1"/>
              <w:rPr>
                <w:bCs/>
              </w:rPr>
            </w:pPr>
            <w:r w:rsidRPr="00191C79">
              <w:t>-</w:t>
            </w:r>
            <w:r w:rsidRPr="00191C79">
              <w:tab/>
              <w:t>Consideration of contributions received</w:t>
            </w:r>
          </w:p>
          <w:p w:rsidR="00D56217" w:rsidRPr="00191C79" w:rsidRDefault="00D56217" w:rsidP="00191C79">
            <w:pPr>
              <w:pStyle w:val="enumlev1"/>
            </w:pPr>
            <w:r w:rsidRPr="00191C79">
              <w:t>-</w:t>
            </w:r>
            <w:r w:rsidRPr="00191C79">
              <w:tab/>
              <w:t>Consideration of relevant documents of other ITU Sectors and international organizations working on this issue</w:t>
            </w:r>
          </w:p>
          <w:p w:rsidR="00D56217" w:rsidRPr="00191C79" w:rsidRDefault="00D56217" w:rsidP="00191C79">
            <w:pPr>
              <w:pStyle w:val="enumlev1"/>
            </w:pPr>
            <w:r w:rsidRPr="00191C79">
              <w:t>-</w:t>
            </w:r>
            <w:r w:rsidRPr="00191C79">
              <w:tab/>
              <w:t>Finalization of guidelines</w:t>
            </w:r>
          </w:p>
          <w:p w:rsidR="00D56217" w:rsidRPr="00191C79" w:rsidRDefault="00D56217" w:rsidP="00191C79">
            <w:pPr>
              <w:pStyle w:val="enumlev1"/>
              <w:rPr>
                <w:bCs/>
              </w:rPr>
            </w:pPr>
            <w:r w:rsidRPr="00191C79">
              <w:rPr>
                <w:bCs/>
              </w:rPr>
              <w:t>-</w:t>
            </w:r>
            <w:r w:rsidRPr="00191C79">
              <w:rPr>
                <w:bCs/>
              </w:rPr>
              <w:tab/>
              <w:t>Development of plan of the draft report</w:t>
            </w:r>
          </w:p>
          <w:p w:rsidR="00D56217" w:rsidRPr="00191C79" w:rsidRDefault="00D56217" w:rsidP="00191C79">
            <w:pPr>
              <w:pStyle w:val="enumlev1"/>
              <w:rPr>
                <w:bCs/>
              </w:rPr>
            </w:pPr>
            <w:r w:rsidRPr="00191C79">
              <w:rPr>
                <w:bCs/>
              </w:rPr>
              <w:t>-</w:t>
            </w:r>
            <w:r w:rsidRPr="00191C79">
              <w:rPr>
                <w:bCs/>
              </w:rPr>
              <w:tab/>
              <w:t>Call for new contributions</w:t>
            </w:r>
          </w:p>
          <w:p w:rsidR="00D56217" w:rsidRPr="00191C79" w:rsidRDefault="00D56217" w:rsidP="00191C79">
            <w:pPr>
              <w:pStyle w:val="enumlev1"/>
              <w:rPr>
                <w:bCs/>
              </w:rPr>
            </w:pPr>
            <w:r w:rsidRPr="00191C79">
              <w:rPr>
                <w:bCs/>
              </w:rPr>
              <w:t>-</w:t>
            </w:r>
            <w:r w:rsidRPr="00191C79">
              <w:rPr>
                <w:bCs/>
              </w:rPr>
              <w:tab/>
              <w:t>Dissemination of information on this topic at workshops and seminars organized for regulators, operators and the public</w:t>
            </w:r>
          </w:p>
        </w:tc>
        <w:tc>
          <w:tcPr>
            <w:tcW w:w="2399" w:type="dxa"/>
          </w:tcPr>
          <w:p w:rsidR="00D56217" w:rsidRPr="00191C79" w:rsidRDefault="00D56217" w:rsidP="00191C79">
            <w:pPr>
              <w:pStyle w:val="Tabletext"/>
              <w:spacing w:line="240" w:lineRule="auto"/>
              <w:rPr>
                <w:rFonts w:cs="Arial"/>
                <w:spacing w:val="0"/>
                <w:lang w:val="fr-CH"/>
              </w:rPr>
            </w:pPr>
            <w:r w:rsidRPr="00191C79">
              <w:rPr>
                <w:rFonts w:cs="Arial"/>
                <w:spacing w:val="0"/>
                <w:lang w:val="fr-CH"/>
              </w:rPr>
              <w:t>BDT, Rapporteur and Vice</w:t>
            </w:r>
            <w:r w:rsidRPr="00191C79">
              <w:rPr>
                <w:rFonts w:cs="Arial"/>
                <w:spacing w:val="0"/>
                <w:lang w:val="fr-CH"/>
              </w:rPr>
              <w:noBreakHyphen/>
              <w:t>Rapporteurs</w:t>
            </w:r>
          </w:p>
        </w:tc>
      </w:tr>
      <w:tr w:rsidR="00D56217" w:rsidRPr="00191C79" w:rsidTr="00774FEC">
        <w:trPr>
          <w:cnfStyle w:val="000000010000" w:firstRow="0" w:lastRow="0" w:firstColumn="0" w:lastColumn="0" w:oddVBand="0" w:evenVBand="0" w:oddHBand="0" w:evenHBand="1" w:firstRowFirstColumn="0" w:firstRowLastColumn="0" w:lastRowFirstColumn="0" w:lastRowLastColumn="0"/>
        </w:trPr>
        <w:tc>
          <w:tcPr>
            <w:tcW w:w="2140" w:type="dxa"/>
          </w:tcPr>
          <w:p w:rsidR="00D56217" w:rsidRPr="00191C79" w:rsidRDefault="00D56217" w:rsidP="00191C79">
            <w:pPr>
              <w:pStyle w:val="Tabletext"/>
              <w:spacing w:line="240" w:lineRule="auto"/>
              <w:rPr>
                <w:spacing w:val="0"/>
                <w:lang w:val="en-US"/>
              </w:rPr>
            </w:pPr>
            <w:proofErr w:type="spellStart"/>
            <w:r w:rsidRPr="00191C79">
              <w:rPr>
                <w:spacing w:val="0"/>
              </w:rPr>
              <w:t>September</w:t>
            </w:r>
            <w:proofErr w:type="spellEnd"/>
            <w:r w:rsidRPr="00191C79">
              <w:rPr>
                <w:spacing w:val="0"/>
              </w:rPr>
              <w:t xml:space="preserve"> 2012</w:t>
            </w:r>
          </w:p>
        </w:tc>
        <w:tc>
          <w:tcPr>
            <w:tcW w:w="4533" w:type="dxa"/>
          </w:tcPr>
          <w:p w:rsidR="00D56217" w:rsidRPr="00191C79" w:rsidRDefault="00D56217" w:rsidP="00191C79">
            <w:pPr>
              <w:pStyle w:val="Tabletext"/>
              <w:spacing w:line="240" w:lineRule="auto"/>
              <w:rPr>
                <w:spacing w:val="0"/>
                <w:lang w:val="en-US"/>
              </w:rPr>
            </w:pPr>
            <w:r w:rsidRPr="00191C79">
              <w:rPr>
                <w:spacing w:val="0"/>
                <w:lang w:val="en-US"/>
              </w:rPr>
              <w:t>Rapporteur’s Group meeting:</w:t>
            </w:r>
          </w:p>
          <w:p w:rsidR="00D56217" w:rsidRPr="00191C79" w:rsidRDefault="00D56217" w:rsidP="00191C79">
            <w:pPr>
              <w:pStyle w:val="enumlev1"/>
            </w:pPr>
            <w:r w:rsidRPr="00191C79">
              <w:t>-</w:t>
            </w:r>
            <w:r w:rsidRPr="00191C79">
              <w:tab/>
              <w:t>Preparation of draft report</w:t>
            </w:r>
          </w:p>
          <w:p w:rsidR="00D56217" w:rsidRPr="00191C79" w:rsidRDefault="00D56217" w:rsidP="00191C79">
            <w:pPr>
              <w:pStyle w:val="enumlev1"/>
            </w:pPr>
            <w:r w:rsidRPr="00191C79">
              <w:t>-</w:t>
            </w:r>
            <w:r w:rsidRPr="00191C79">
              <w:tab/>
              <w:t>Consideration of contributions received</w:t>
            </w:r>
          </w:p>
          <w:p w:rsidR="00D56217" w:rsidRPr="00191C79" w:rsidRDefault="00D56217" w:rsidP="00191C79">
            <w:pPr>
              <w:pStyle w:val="enumlev1"/>
            </w:pPr>
            <w:r w:rsidRPr="00191C79">
              <w:rPr>
                <w:shd w:val="clear" w:color="auto" w:fill="FFFFFF"/>
              </w:rPr>
              <w:t>-</w:t>
            </w:r>
            <w:r w:rsidRPr="00191C79">
              <w:rPr>
                <w:shd w:val="clear" w:color="auto" w:fill="FFFFFF"/>
              </w:rPr>
              <w:tab/>
              <w:t>Call for new contributions</w:t>
            </w:r>
          </w:p>
        </w:tc>
        <w:tc>
          <w:tcPr>
            <w:tcW w:w="2399" w:type="dxa"/>
          </w:tcPr>
          <w:p w:rsidR="00D56217" w:rsidRPr="00191C79" w:rsidRDefault="00D56217" w:rsidP="00191C79">
            <w:pPr>
              <w:pStyle w:val="Tabletext"/>
              <w:spacing w:line="240" w:lineRule="auto"/>
              <w:rPr>
                <w:spacing w:val="0"/>
                <w:lang w:val="en-US"/>
              </w:rPr>
            </w:pPr>
            <w:r w:rsidRPr="00191C79">
              <w:rPr>
                <w:spacing w:val="0"/>
                <w:lang w:val="en-US"/>
              </w:rPr>
              <w:t>BDT, Rapporteur’s Group</w:t>
            </w:r>
          </w:p>
        </w:tc>
      </w:tr>
      <w:tr w:rsidR="00D56217" w:rsidRPr="00191C79" w:rsidTr="00774FEC">
        <w:trPr>
          <w:cnfStyle w:val="000000100000" w:firstRow="0" w:lastRow="0" w:firstColumn="0" w:lastColumn="0" w:oddVBand="0" w:evenVBand="0" w:oddHBand="1" w:evenHBand="0" w:firstRowFirstColumn="0" w:firstRowLastColumn="0" w:lastRowFirstColumn="0" w:lastRowLastColumn="0"/>
        </w:trPr>
        <w:tc>
          <w:tcPr>
            <w:tcW w:w="2140" w:type="dxa"/>
          </w:tcPr>
          <w:p w:rsidR="00D56217" w:rsidRPr="00191C79" w:rsidRDefault="00D56217" w:rsidP="00191C79">
            <w:pPr>
              <w:pStyle w:val="Tabletext"/>
              <w:spacing w:line="240" w:lineRule="auto"/>
              <w:rPr>
                <w:spacing w:val="0"/>
                <w:lang w:val="en-US"/>
              </w:rPr>
            </w:pPr>
            <w:r w:rsidRPr="00191C79">
              <w:rPr>
                <w:spacing w:val="0"/>
                <w:lang w:val="en-US"/>
              </w:rPr>
              <w:t>March/April 2013</w:t>
            </w:r>
          </w:p>
        </w:tc>
        <w:tc>
          <w:tcPr>
            <w:tcW w:w="4533" w:type="dxa"/>
          </w:tcPr>
          <w:p w:rsidR="00D56217" w:rsidRPr="00191C79" w:rsidRDefault="00D56217" w:rsidP="00191C79">
            <w:pPr>
              <w:pStyle w:val="Tabletext"/>
              <w:spacing w:line="240" w:lineRule="auto"/>
              <w:rPr>
                <w:spacing w:val="0"/>
                <w:lang w:val="en-US"/>
              </w:rPr>
            </w:pPr>
            <w:r w:rsidRPr="00191C79">
              <w:rPr>
                <w:spacing w:val="0"/>
                <w:lang w:val="en-US"/>
              </w:rPr>
              <w:t>Rapporteur’s Group meeting:</w:t>
            </w:r>
          </w:p>
          <w:p w:rsidR="00D56217" w:rsidRPr="00191C79" w:rsidRDefault="00D56217" w:rsidP="00191C79">
            <w:pPr>
              <w:pStyle w:val="enumlev1"/>
            </w:pPr>
            <w:r w:rsidRPr="00191C79">
              <w:t>-</w:t>
            </w:r>
            <w:r w:rsidRPr="00191C79">
              <w:tab/>
              <w:t>Consideration and adoption of draft report</w:t>
            </w:r>
          </w:p>
          <w:p w:rsidR="00D56217" w:rsidRPr="00191C79" w:rsidRDefault="00D56217" w:rsidP="00191C79">
            <w:pPr>
              <w:pStyle w:val="enumlev1"/>
            </w:pPr>
            <w:r w:rsidRPr="00191C79">
              <w:rPr>
                <w:lang w:val="en-US"/>
              </w:rPr>
              <w:t>-</w:t>
            </w:r>
            <w:r w:rsidRPr="00191C79">
              <w:rPr>
                <w:lang w:val="en-US"/>
              </w:rPr>
              <w:tab/>
            </w:r>
            <w:proofErr w:type="spellStart"/>
            <w:r w:rsidRPr="00191C79">
              <w:rPr>
                <w:lang w:val="en-US"/>
              </w:rPr>
              <w:t>Considerat</w:t>
            </w:r>
            <w:proofErr w:type="spellEnd"/>
            <w:r w:rsidRPr="00191C79">
              <w:t>ion of contributions received</w:t>
            </w:r>
          </w:p>
          <w:p w:rsidR="00D56217" w:rsidRPr="00191C79" w:rsidRDefault="00D56217" w:rsidP="00191C79">
            <w:pPr>
              <w:pStyle w:val="enumlev1"/>
              <w:rPr>
                <w:shd w:val="clear" w:color="auto" w:fill="E6ECF9"/>
              </w:rPr>
            </w:pPr>
            <w:r w:rsidRPr="00191C79">
              <w:t>-</w:t>
            </w:r>
            <w:r w:rsidRPr="00191C79">
              <w:tab/>
              <w:t>Consideration of relevant documents of other Sectors and programmes</w:t>
            </w:r>
          </w:p>
        </w:tc>
        <w:tc>
          <w:tcPr>
            <w:tcW w:w="2399" w:type="dxa"/>
          </w:tcPr>
          <w:p w:rsidR="00D56217" w:rsidRPr="00191C79" w:rsidRDefault="00D56217" w:rsidP="00191C79">
            <w:pPr>
              <w:pStyle w:val="Tabletext"/>
              <w:spacing w:line="240" w:lineRule="auto"/>
              <w:rPr>
                <w:spacing w:val="0"/>
              </w:rPr>
            </w:pPr>
            <w:r w:rsidRPr="00191C79">
              <w:rPr>
                <w:spacing w:val="0"/>
              </w:rPr>
              <w:t xml:space="preserve">BDT, </w:t>
            </w:r>
            <w:proofErr w:type="spellStart"/>
            <w:r w:rsidRPr="00191C79">
              <w:rPr>
                <w:spacing w:val="0"/>
              </w:rPr>
              <w:t>Rapporteur’s</w:t>
            </w:r>
            <w:proofErr w:type="spellEnd"/>
            <w:r w:rsidRPr="00191C79">
              <w:rPr>
                <w:spacing w:val="0"/>
              </w:rPr>
              <w:t xml:space="preserve"> Group</w:t>
            </w:r>
          </w:p>
        </w:tc>
      </w:tr>
      <w:tr w:rsidR="00D56217" w:rsidRPr="00191C79" w:rsidTr="00774FEC">
        <w:trPr>
          <w:cnfStyle w:val="000000010000" w:firstRow="0" w:lastRow="0" w:firstColumn="0" w:lastColumn="0" w:oddVBand="0" w:evenVBand="0" w:oddHBand="0" w:evenHBand="1" w:firstRowFirstColumn="0" w:firstRowLastColumn="0" w:lastRowFirstColumn="0" w:lastRowLastColumn="0"/>
        </w:trPr>
        <w:tc>
          <w:tcPr>
            <w:tcW w:w="2140" w:type="dxa"/>
          </w:tcPr>
          <w:p w:rsidR="00D56217" w:rsidRPr="00191C79" w:rsidRDefault="00D56217" w:rsidP="00191C79">
            <w:pPr>
              <w:pStyle w:val="Tabletext"/>
              <w:pageBreakBefore/>
              <w:spacing w:line="240" w:lineRule="auto"/>
              <w:rPr>
                <w:spacing w:val="0"/>
              </w:rPr>
            </w:pPr>
            <w:proofErr w:type="spellStart"/>
            <w:r w:rsidRPr="00191C79">
              <w:rPr>
                <w:spacing w:val="0"/>
              </w:rPr>
              <w:lastRenderedPageBreak/>
              <w:t>September</w:t>
            </w:r>
            <w:proofErr w:type="spellEnd"/>
            <w:r w:rsidRPr="00191C79">
              <w:rPr>
                <w:spacing w:val="0"/>
              </w:rPr>
              <w:t xml:space="preserve"> 2013</w:t>
            </w:r>
          </w:p>
        </w:tc>
        <w:tc>
          <w:tcPr>
            <w:tcW w:w="4533" w:type="dxa"/>
          </w:tcPr>
          <w:p w:rsidR="00D56217" w:rsidRPr="00191C79" w:rsidRDefault="00D56217" w:rsidP="00191C79">
            <w:pPr>
              <w:pStyle w:val="Tabletext"/>
              <w:spacing w:line="240" w:lineRule="auto"/>
              <w:rPr>
                <w:spacing w:val="0"/>
                <w:lang w:val="en-US"/>
              </w:rPr>
            </w:pPr>
            <w:r w:rsidRPr="00191C79">
              <w:rPr>
                <w:spacing w:val="0"/>
                <w:lang w:val="en-US"/>
              </w:rPr>
              <w:t>Rapporteur’s Group meeting:</w:t>
            </w:r>
          </w:p>
          <w:p w:rsidR="00D56217" w:rsidRPr="00191C79" w:rsidRDefault="00D56217" w:rsidP="00191C79">
            <w:pPr>
              <w:pStyle w:val="enumlev1"/>
            </w:pPr>
            <w:r w:rsidRPr="00191C79">
              <w:rPr>
                <w:shd w:val="clear" w:color="auto" w:fill="FFFFFF"/>
              </w:rPr>
              <w:t>-</w:t>
            </w:r>
            <w:r w:rsidRPr="00191C79">
              <w:rPr>
                <w:shd w:val="clear" w:color="auto" w:fill="FFFFFF"/>
              </w:rPr>
              <w:tab/>
              <w:t>Seminar</w:t>
            </w:r>
          </w:p>
          <w:p w:rsidR="00D56217" w:rsidRPr="00191C79" w:rsidRDefault="00D56217" w:rsidP="00191C79">
            <w:pPr>
              <w:pStyle w:val="enumlev1"/>
            </w:pPr>
            <w:r w:rsidRPr="00191C79">
              <w:t>-</w:t>
            </w:r>
            <w:r w:rsidRPr="00191C79">
              <w:tab/>
              <w:t>Presentation of draft report</w:t>
            </w:r>
          </w:p>
          <w:p w:rsidR="00D56217" w:rsidRPr="00191C79" w:rsidRDefault="00D56217" w:rsidP="00191C79">
            <w:pPr>
              <w:pStyle w:val="enumlev1"/>
            </w:pPr>
            <w:r w:rsidRPr="00191C79">
              <w:t>-</w:t>
            </w:r>
            <w:r w:rsidRPr="00191C79">
              <w:tab/>
              <w:t>Consideration of contributions received</w:t>
            </w:r>
          </w:p>
          <w:p w:rsidR="00D56217" w:rsidRPr="00191C79" w:rsidRDefault="00D56217" w:rsidP="00191C79">
            <w:pPr>
              <w:pStyle w:val="enumlev1"/>
            </w:pPr>
            <w:r w:rsidRPr="00191C79">
              <w:rPr>
                <w:rFonts w:eastAsia="Times New Roman"/>
              </w:rPr>
              <w:t>-</w:t>
            </w:r>
            <w:r w:rsidRPr="00191C79">
              <w:rPr>
                <w:rFonts w:eastAsia="Times New Roman"/>
              </w:rPr>
              <w:tab/>
              <w:t xml:space="preserve">Consideration </w:t>
            </w:r>
            <w:r w:rsidRPr="00191C79">
              <w:rPr>
                <w:shd w:val="clear" w:color="auto" w:fill="FFFFFF"/>
              </w:rPr>
              <w:t>of relevant documents of other Sectors and programmes</w:t>
            </w:r>
          </w:p>
        </w:tc>
        <w:tc>
          <w:tcPr>
            <w:tcW w:w="2399" w:type="dxa"/>
          </w:tcPr>
          <w:p w:rsidR="00D56217" w:rsidRPr="00191C79" w:rsidRDefault="00D56217" w:rsidP="00191C79">
            <w:pPr>
              <w:pStyle w:val="Tabletext"/>
              <w:spacing w:line="240" w:lineRule="auto"/>
              <w:rPr>
                <w:spacing w:val="0"/>
                <w:lang w:val="en-US"/>
              </w:rPr>
            </w:pPr>
            <w:r w:rsidRPr="00191C79">
              <w:rPr>
                <w:spacing w:val="0"/>
                <w:lang w:val="en-US"/>
              </w:rPr>
              <w:t>BDT, Rapporteur’s Group</w:t>
            </w:r>
          </w:p>
        </w:tc>
      </w:tr>
    </w:tbl>
    <w:p w:rsidR="00D56217" w:rsidRPr="00191C79" w:rsidRDefault="00D56217" w:rsidP="00191C79">
      <w:pPr>
        <w:pStyle w:val="Heading1"/>
        <w:spacing w:before="360" w:after="120" w:line="240" w:lineRule="auto"/>
        <w:rPr>
          <w:spacing w:val="0"/>
          <w:szCs w:val="19"/>
        </w:rPr>
      </w:pPr>
      <w:bookmarkStart w:id="101" w:name="_Toc361912451"/>
      <w:r w:rsidRPr="00191C79">
        <w:rPr>
          <w:spacing w:val="0"/>
          <w:szCs w:val="19"/>
        </w:rPr>
        <w:br w:type="page"/>
      </w:r>
    </w:p>
    <w:p w:rsidR="00D56217" w:rsidRPr="00191C79" w:rsidRDefault="00D56217" w:rsidP="00191C79">
      <w:pPr>
        <w:pStyle w:val="Heading1"/>
        <w:tabs>
          <w:tab w:val="left" w:pos="1418"/>
        </w:tabs>
        <w:spacing w:before="360" w:after="120" w:line="240" w:lineRule="auto"/>
        <w:rPr>
          <w:smallCaps/>
          <w:spacing w:val="0"/>
          <w:szCs w:val="19"/>
        </w:rPr>
      </w:pPr>
      <w:bookmarkStart w:id="102" w:name="_Toc374691850"/>
      <w:r w:rsidRPr="00191C79">
        <w:rPr>
          <w:spacing w:val="0"/>
          <w:szCs w:val="19"/>
        </w:rPr>
        <w:lastRenderedPageBreak/>
        <w:t xml:space="preserve">Annex 9: </w:t>
      </w:r>
      <w:r w:rsidRPr="00191C79">
        <w:rPr>
          <w:spacing w:val="0"/>
          <w:szCs w:val="19"/>
        </w:rPr>
        <w:tab/>
        <w:t>Documents for Q23/1</w:t>
      </w:r>
      <w:bookmarkEnd w:id="102"/>
      <w:r w:rsidRPr="00191C79">
        <w:rPr>
          <w:rStyle w:val="FootnoteReference"/>
          <w:spacing w:val="0"/>
          <w:szCs w:val="19"/>
        </w:rPr>
        <w:footnoteReference w:customMarkFollows="1" w:id="34"/>
        <w:t>*</w:t>
      </w:r>
    </w:p>
    <w:bookmarkEnd w:id="101"/>
    <w:p w:rsidR="00115EFF" w:rsidRPr="00191C79" w:rsidRDefault="00115EFF" w:rsidP="00191C79">
      <w:pPr>
        <w:tabs>
          <w:tab w:val="clear" w:pos="794"/>
        </w:tabs>
        <w:overflowPunct/>
        <w:spacing w:before="0" w:line="240" w:lineRule="auto"/>
        <w:jc w:val="left"/>
        <w:rPr>
          <w:spacing w:val="0"/>
          <w:lang w:val="en-US" w:eastAsia="zh-CN"/>
        </w:rPr>
      </w:pPr>
      <w:r w:rsidRPr="00191C79">
        <w:rPr>
          <w:spacing w:val="0"/>
          <w:lang w:val="en-US" w:eastAsia="zh-CN"/>
        </w:rPr>
        <w:br w:type="page"/>
      </w:r>
    </w:p>
    <w:p w:rsidR="00115EFF" w:rsidRPr="00191C79" w:rsidRDefault="00115EFF" w:rsidP="00191C79">
      <w:pPr>
        <w:pStyle w:val="Heading1"/>
        <w:tabs>
          <w:tab w:val="left" w:pos="1418"/>
        </w:tabs>
        <w:spacing w:line="240" w:lineRule="auto"/>
        <w:rPr>
          <w:spacing w:val="0"/>
        </w:rPr>
      </w:pPr>
      <w:bookmarkStart w:id="103" w:name="_Toc374691851"/>
      <w:r w:rsidRPr="00191C79">
        <w:rPr>
          <w:spacing w:val="0"/>
        </w:rPr>
        <w:lastRenderedPageBreak/>
        <w:t xml:space="preserve">Annex 10: </w:t>
      </w:r>
      <w:r w:rsidRPr="00191C79">
        <w:rPr>
          <w:spacing w:val="0"/>
        </w:rPr>
        <w:tab/>
        <w:t>A case study from India on EMF</w:t>
      </w:r>
      <w:bookmarkEnd w:id="103"/>
    </w:p>
    <w:p w:rsidR="00115EFF" w:rsidRPr="00191C79" w:rsidRDefault="00115EFF" w:rsidP="00191C79">
      <w:pPr>
        <w:pStyle w:val="Normalaftertitle0"/>
        <w:autoSpaceDE/>
        <w:autoSpaceDN/>
        <w:adjustRightInd/>
        <w:spacing w:before="120"/>
        <w:textAlignment w:val="auto"/>
      </w:pPr>
      <w:r w:rsidRPr="00191C79">
        <w:t xml:space="preserve">This contribution is shared among the members for information and also for comments. ITU is also requested to consider and take appropriate action as per the findings of this contribution. Formation of a Focus Group cutting across ITU-T, ITU-R, </w:t>
      </w:r>
      <w:proofErr w:type="gramStart"/>
      <w:r w:rsidRPr="00191C79">
        <w:t>ITU</w:t>
      </w:r>
      <w:proofErr w:type="gramEnd"/>
      <w:r w:rsidRPr="00191C79">
        <w:t>-D may be necessary to study the various aspects considering the importance of the issue.</w:t>
      </w:r>
    </w:p>
    <w:p w:rsidR="00115EFF" w:rsidRPr="00191C79" w:rsidRDefault="00115EFF" w:rsidP="00191C79">
      <w:pPr>
        <w:spacing w:before="120" w:line="240" w:lineRule="auto"/>
        <w:rPr>
          <w:spacing w:val="0"/>
          <w:lang w:val="en-US"/>
        </w:rPr>
      </w:pPr>
      <w:r w:rsidRPr="00191C79">
        <w:rPr>
          <w:spacing w:val="0"/>
          <w:lang w:val="en-US"/>
        </w:rPr>
        <w:t xml:space="preserve">The deployment of different sources of electromagnetic fields to cater for the telecommunication and ICT needs of urban and rural communities has developed very rapidly over the past decade in India. This has been due to strong competition, presence of multiple operators (10 to 12 in each service area) on-going traffic growth, quality of service requirements, network coverage and introduction of new technologies. Indian Territory has been divided into 22 Licensing Service Areas for provision of mobile services in the country. Growing number of towers nearing more residential premises has produced increasing concern on the possible adverse effects of EMF exposure on people’s health. In India the issue has been raised by the public as well as by media. Accordingly, India adopted a policy on the EMF radiation covering Base Transmitting Station (BTS) and Mobile Handsets standard in the year 2008. </w:t>
      </w:r>
    </w:p>
    <w:p w:rsidR="00115EFF" w:rsidRPr="00191C79" w:rsidRDefault="00115EFF" w:rsidP="00191C79">
      <w:pPr>
        <w:spacing w:line="240" w:lineRule="auto"/>
        <w:rPr>
          <w:rFonts w:eastAsia="Times New Roman" w:cs="Arial"/>
          <w:b/>
          <w:bCs/>
          <w:spacing w:val="0"/>
          <w:szCs w:val="19"/>
          <w:lang w:val="en-GB" w:bidi="hi-IN"/>
        </w:rPr>
      </w:pPr>
      <w:r w:rsidRPr="00191C79">
        <w:rPr>
          <w:rFonts w:eastAsia="Times New Roman" w:cs="Arial"/>
          <w:b/>
          <w:spacing w:val="0"/>
          <w:szCs w:val="19"/>
          <w:lang w:val="en-GB" w:bidi="hi-IN"/>
        </w:rPr>
        <w:t>1.</w:t>
      </w:r>
      <w:r w:rsidRPr="00191C79">
        <w:rPr>
          <w:rFonts w:eastAsia="Times New Roman" w:cs="Arial"/>
          <w:b/>
          <w:spacing w:val="0"/>
          <w:szCs w:val="19"/>
          <w:lang w:val="en-GB" w:bidi="hi-IN"/>
        </w:rPr>
        <w:tab/>
        <w:t>Statement of the situation</w:t>
      </w:r>
    </w:p>
    <w:p w:rsidR="00115EFF" w:rsidRPr="00191C79" w:rsidRDefault="00115EFF" w:rsidP="00191C79">
      <w:pPr>
        <w:tabs>
          <w:tab w:val="left" w:pos="-4962"/>
        </w:tabs>
        <w:spacing w:before="120" w:line="240" w:lineRule="auto"/>
        <w:rPr>
          <w:rFonts w:eastAsia="MS Mincho" w:cs="Arial"/>
          <w:spacing w:val="0"/>
          <w:szCs w:val="19"/>
          <w:lang w:val="en-US"/>
        </w:rPr>
      </w:pPr>
      <w:r w:rsidRPr="00191C79">
        <w:rPr>
          <w:rFonts w:eastAsia="MS Mincho" w:cs="Arial"/>
          <w:spacing w:val="0"/>
          <w:szCs w:val="19"/>
          <w:lang w:val="en-US"/>
        </w:rPr>
        <w:t>1.1</w:t>
      </w:r>
      <w:r w:rsidRPr="00191C79">
        <w:rPr>
          <w:rFonts w:eastAsia="MS Mincho" w:cs="Arial"/>
          <w:spacing w:val="0"/>
          <w:szCs w:val="19"/>
          <w:lang w:val="en-US"/>
        </w:rPr>
        <w:tab/>
        <w:t xml:space="preserve">The deployment of different sources of electromagnetic fields to cater for the telecommunication and ICT needs of urban and rural communities has developed very rapidly over the past decade in India. This has been due to strong competition, presence of multiple operators (10 to 12 in each Service area) on-going traffic growth, quality of service requirements, network coverage and introduction of new technologies. Indian Territory has been divided into 22 Licensing Service Areas for provision of mobile services in the country. Licensed Service Area wise subscriber base for landline and mobile customer is enclosed as </w:t>
      </w:r>
      <w:r w:rsidRPr="00191C79">
        <w:rPr>
          <w:rFonts w:eastAsia="MS Mincho" w:cs="Arial"/>
          <w:b/>
          <w:spacing w:val="0"/>
          <w:szCs w:val="19"/>
          <w:lang w:val="en-US"/>
        </w:rPr>
        <w:t>Annex 10A</w:t>
      </w:r>
      <w:r w:rsidRPr="00191C79">
        <w:rPr>
          <w:rFonts w:eastAsia="MS Mincho" w:cs="Arial"/>
          <w:spacing w:val="0"/>
          <w:szCs w:val="19"/>
          <w:lang w:val="en-US"/>
        </w:rPr>
        <w:t>.</w:t>
      </w:r>
    </w:p>
    <w:p w:rsidR="00115EFF" w:rsidRPr="00191C79" w:rsidRDefault="00115EFF" w:rsidP="00191C79">
      <w:pPr>
        <w:tabs>
          <w:tab w:val="left" w:pos="-4962"/>
        </w:tabs>
        <w:spacing w:before="120" w:line="240" w:lineRule="auto"/>
        <w:rPr>
          <w:rFonts w:eastAsia="MS Mincho" w:cs="Arial"/>
          <w:spacing w:val="0"/>
          <w:szCs w:val="19"/>
          <w:lang w:val="en-US"/>
        </w:rPr>
      </w:pPr>
      <w:r w:rsidRPr="00191C79">
        <w:rPr>
          <w:rFonts w:eastAsia="MS Mincho" w:cs="Arial"/>
          <w:spacing w:val="0"/>
          <w:szCs w:val="19"/>
          <w:lang w:val="en-US"/>
        </w:rPr>
        <w:t>1.2</w:t>
      </w:r>
      <w:r w:rsidRPr="00191C79">
        <w:rPr>
          <w:rFonts w:eastAsia="MS Mincho" w:cs="Arial"/>
          <w:spacing w:val="0"/>
          <w:szCs w:val="19"/>
          <w:lang w:val="en-US"/>
        </w:rPr>
        <w:tab/>
        <w:t xml:space="preserve">Growing number of towers nearing more residential premises has produced increasing concern on the possible adverse effects of EMF exposure on people’s health. In India the issue has been raised by the public as well as by media. Accordingly, India adopted a policy on the EMF radiation covering Base Transmitting Station (BTS) and Mobile Handsets standard in the year 2008. Licensed Service Area wise details of BTS installed in the country is enclosed as </w:t>
      </w:r>
      <w:r w:rsidRPr="00191C79">
        <w:rPr>
          <w:rFonts w:eastAsia="MS Mincho" w:cs="Arial"/>
          <w:b/>
          <w:spacing w:val="0"/>
          <w:szCs w:val="19"/>
          <w:lang w:val="en-US"/>
        </w:rPr>
        <w:t>Annex 10B</w:t>
      </w:r>
      <w:r w:rsidRPr="00191C79">
        <w:rPr>
          <w:rFonts w:eastAsia="MS Mincho" w:cs="Arial"/>
          <w:spacing w:val="0"/>
          <w:szCs w:val="19"/>
          <w:lang w:val="en-US"/>
        </w:rPr>
        <w:t>.</w:t>
      </w:r>
    </w:p>
    <w:p w:rsidR="00115EFF" w:rsidRPr="00191C79" w:rsidRDefault="00115EFF" w:rsidP="00191C79">
      <w:pPr>
        <w:tabs>
          <w:tab w:val="left" w:pos="-4962"/>
        </w:tabs>
        <w:spacing w:line="240" w:lineRule="auto"/>
        <w:rPr>
          <w:rFonts w:eastAsia="MS Mincho" w:cs="Arial"/>
          <w:b/>
          <w:bCs/>
          <w:spacing w:val="0"/>
          <w:szCs w:val="19"/>
          <w:lang w:val="en-US"/>
        </w:rPr>
      </w:pPr>
      <w:r w:rsidRPr="00191C79">
        <w:rPr>
          <w:rFonts w:eastAsia="MS Mincho" w:cs="Arial"/>
          <w:b/>
          <w:spacing w:val="0"/>
          <w:szCs w:val="19"/>
          <w:lang w:val="en-US"/>
        </w:rPr>
        <w:t>2.</w:t>
      </w:r>
      <w:r w:rsidRPr="00191C79">
        <w:rPr>
          <w:rFonts w:eastAsia="MS Mincho" w:cs="Arial"/>
          <w:b/>
          <w:spacing w:val="0"/>
          <w:szCs w:val="19"/>
          <w:lang w:val="en-US"/>
        </w:rPr>
        <w:tab/>
        <w:t>Steps taken by Government of India</w:t>
      </w:r>
    </w:p>
    <w:p w:rsidR="00115EFF" w:rsidRPr="00191C79" w:rsidRDefault="00115EFF" w:rsidP="00191C79">
      <w:pPr>
        <w:spacing w:before="120" w:line="240" w:lineRule="auto"/>
        <w:rPr>
          <w:rFonts w:cs="Arial"/>
          <w:spacing w:val="0"/>
          <w:szCs w:val="19"/>
          <w:lang w:val="en-US"/>
        </w:rPr>
      </w:pPr>
      <w:r w:rsidRPr="00191C79">
        <w:rPr>
          <w:rFonts w:cs="Arial"/>
          <w:spacing w:val="0"/>
          <w:szCs w:val="19"/>
          <w:lang w:val="en-US"/>
        </w:rPr>
        <w:t>2.1</w:t>
      </w:r>
      <w:r w:rsidRPr="00191C79">
        <w:rPr>
          <w:rFonts w:cs="Arial"/>
          <w:spacing w:val="0"/>
          <w:szCs w:val="19"/>
          <w:lang w:val="en-US"/>
        </w:rPr>
        <w:tab/>
        <w:t xml:space="preserve">In its Fact Sheet No. 304 of 2006, WHO recommended that </w:t>
      </w:r>
      <w:r w:rsidRPr="00191C79">
        <w:rPr>
          <w:rFonts w:cs="Arial"/>
          <w:i/>
          <w:spacing w:val="0"/>
          <w:szCs w:val="19"/>
          <w:lang w:val="en-US"/>
        </w:rPr>
        <w:t xml:space="preserve">‘National authorities should adopt international standards to protect their citizens against adverse levels of RF </w:t>
      </w:r>
      <w:proofErr w:type="gramStart"/>
      <w:r w:rsidRPr="00191C79">
        <w:rPr>
          <w:rFonts w:cs="Arial"/>
          <w:i/>
          <w:spacing w:val="0"/>
          <w:szCs w:val="19"/>
          <w:lang w:val="en-US"/>
        </w:rPr>
        <w:t>fields.</w:t>
      </w:r>
      <w:proofErr w:type="gramEnd"/>
      <w:r w:rsidRPr="00191C79">
        <w:rPr>
          <w:rFonts w:cs="Arial"/>
          <w:i/>
          <w:spacing w:val="0"/>
          <w:szCs w:val="19"/>
          <w:lang w:val="en-US"/>
        </w:rPr>
        <w:t xml:space="preserve"> They should restrict access to areas where exposure limits may be exceeded.’</w:t>
      </w:r>
      <w:r w:rsidRPr="00191C79">
        <w:rPr>
          <w:rFonts w:cs="Arial"/>
          <w:spacing w:val="0"/>
          <w:szCs w:val="19"/>
          <w:lang w:val="en-US"/>
        </w:rPr>
        <w:t xml:space="preserve">  WHO has referred to the International Exposure Guidelines developed by International Commission on Non-Ionizing Radiation Protection (ICNIRP)</w:t>
      </w:r>
      <w:proofErr w:type="gramStart"/>
      <w:r w:rsidRPr="00191C79">
        <w:rPr>
          <w:rFonts w:cs="Arial"/>
          <w:spacing w:val="0"/>
          <w:szCs w:val="19"/>
          <w:lang w:val="en-US"/>
        </w:rPr>
        <w:t>.</w:t>
      </w:r>
      <w:proofErr w:type="gramEnd"/>
    </w:p>
    <w:p w:rsidR="00115EFF" w:rsidRPr="00191C79" w:rsidRDefault="00115EFF" w:rsidP="00191C79">
      <w:pPr>
        <w:tabs>
          <w:tab w:val="left" w:pos="-5670"/>
        </w:tabs>
        <w:spacing w:before="120" w:line="240" w:lineRule="auto"/>
        <w:rPr>
          <w:rFonts w:eastAsia="Times New Roman" w:cs="Arial"/>
          <w:spacing w:val="0"/>
          <w:szCs w:val="19"/>
          <w:lang w:val="en-US"/>
        </w:rPr>
      </w:pPr>
      <w:r w:rsidRPr="00191C79">
        <w:rPr>
          <w:rFonts w:eastAsia="Times New Roman" w:cs="Arial"/>
          <w:spacing w:val="0"/>
          <w:szCs w:val="19"/>
          <w:lang w:val="en-US"/>
        </w:rPr>
        <w:t>2.2</w:t>
      </w:r>
      <w:r w:rsidRPr="00191C79">
        <w:rPr>
          <w:rFonts w:eastAsia="Times New Roman" w:cs="Arial"/>
          <w:spacing w:val="0"/>
          <w:szCs w:val="19"/>
          <w:lang w:val="en-US"/>
        </w:rPr>
        <w:tab/>
        <w:t xml:space="preserve">Based on the recommendation of </w:t>
      </w:r>
      <w:proofErr w:type="gramStart"/>
      <w:r w:rsidRPr="00191C79">
        <w:rPr>
          <w:rFonts w:eastAsia="Times New Roman" w:cs="Arial"/>
          <w:spacing w:val="0"/>
          <w:szCs w:val="19"/>
          <w:lang w:val="en-US"/>
        </w:rPr>
        <w:t>WHO</w:t>
      </w:r>
      <w:proofErr w:type="gramEnd"/>
      <w:r w:rsidRPr="00191C79">
        <w:rPr>
          <w:rFonts w:eastAsia="Times New Roman" w:cs="Arial"/>
          <w:spacing w:val="0"/>
          <w:szCs w:val="19"/>
          <w:lang w:val="en-US"/>
        </w:rPr>
        <w:t xml:space="preserve">, India adopted ICNIRP norms, in the year 2008, for basic restrictions &amp; reference level for limiting electro-magnetic field exposure from Base Stations as well as for mobile handsets and necessary provisions were made in the Unified Access Service </w:t>
      </w:r>
      <w:proofErr w:type="spellStart"/>
      <w:r w:rsidRPr="00191C79">
        <w:rPr>
          <w:rFonts w:eastAsia="Times New Roman" w:cs="Arial"/>
          <w:spacing w:val="0"/>
          <w:szCs w:val="19"/>
          <w:lang w:val="en-US"/>
        </w:rPr>
        <w:t>Licence</w:t>
      </w:r>
      <w:proofErr w:type="spellEnd"/>
      <w:r w:rsidRPr="00191C79">
        <w:rPr>
          <w:rFonts w:eastAsia="Times New Roman" w:cs="Arial"/>
          <w:spacing w:val="0"/>
          <w:szCs w:val="19"/>
          <w:lang w:val="en-US"/>
        </w:rPr>
        <w:t xml:space="preserve"> (Mobile Telephone Service operators’ license) on 4</w:t>
      </w:r>
      <w:r w:rsidRPr="00191C79">
        <w:rPr>
          <w:rFonts w:eastAsia="Times New Roman" w:cs="Arial"/>
          <w:spacing w:val="0"/>
          <w:szCs w:val="19"/>
          <w:vertAlign w:val="superscript"/>
          <w:lang w:val="en-US"/>
        </w:rPr>
        <w:t>th</w:t>
      </w:r>
      <w:r w:rsidRPr="00191C79">
        <w:rPr>
          <w:rFonts w:eastAsia="Times New Roman" w:cs="Arial"/>
          <w:spacing w:val="0"/>
          <w:szCs w:val="19"/>
          <w:lang w:val="en-US"/>
        </w:rPr>
        <w:t xml:space="preserve"> November, 2008. As per the provisions, </w:t>
      </w:r>
    </w:p>
    <w:p w:rsidR="00115EFF" w:rsidRPr="00191C79" w:rsidRDefault="00115EFF" w:rsidP="00191C79">
      <w:pPr>
        <w:tabs>
          <w:tab w:val="left" w:pos="-5670"/>
        </w:tabs>
        <w:spacing w:line="240" w:lineRule="auto"/>
        <w:rPr>
          <w:rFonts w:cs="Arial"/>
          <w:spacing w:val="0"/>
          <w:szCs w:val="19"/>
          <w:lang w:val="en-US"/>
        </w:rPr>
      </w:pPr>
      <w:r w:rsidRPr="00191C79">
        <w:rPr>
          <w:rFonts w:eastAsia="Times New Roman" w:cs="Arial"/>
          <w:i/>
          <w:spacing w:val="0"/>
          <w:szCs w:val="19"/>
          <w:lang w:val="en-US"/>
        </w:rPr>
        <w:t xml:space="preserve">“Licensee shall conduct audit and provide </w:t>
      </w:r>
      <w:proofErr w:type="spellStart"/>
      <w:r w:rsidRPr="00191C79">
        <w:rPr>
          <w:rFonts w:eastAsia="Times New Roman" w:cs="Arial"/>
          <w:i/>
          <w:spacing w:val="0"/>
          <w:szCs w:val="19"/>
          <w:lang w:val="en-US"/>
        </w:rPr>
        <w:t>self certificates</w:t>
      </w:r>
      <w:proofErr w:type="spellEnd"/>
      <w:r w:rsidRPr="00191C79">
        <w:rPr>
          <w:rFonts w:eastAsia="Times New Roman" w:cs="Arial"/>
          <w:i/>
          <w:spacing w:val="0"/>
          <w:szCs w:val="19"/>
          <w:lang w:val="en-US"/>
        </w:rPr>
        <w:t xml:space="preserve"> annually as per procedure prescribed by Telecommunication Engineering Centre (TEC) / or any other agency authorized by Licensor from time to time for conforming to limits / levels for antennae ( Base Station Emissions) for general public exposure as prescribed by International Commission on Non-Ionizing Radiation Protection (ICNIRP) from time to time”. </w:t>
      </w:r>
      <w:r w:rsidRPr="00191C79">
        <w:rPr>
          <w:rFonts w:cs="Arial"/>
          <w:spacing w:val="0"/>
          <w:szCs w:val="19"/>
          <w:lang w:val="en-US"/>
        </w:rPr>
        <w:br w:type="page"/>
      </w:r>
    </w:p>
    <w:p w:rsidR="00115EFF" w:rsidRPr="00191C79" w:rsidRDefault="00115EFF" w:rsidP="00191C79">
      <w:pPr>
        <w:tabs>
          <w:tab w:val="left" w:pos="-5670"/>
        </w:tabs>
        <w:spacing w:line="240" w:lineRule="auto"/>
        <w:rPr>
          <w:rFonts w:cs="Arial"/>
          <w:spacing w:val="0"/>
          <w:szCs w:val="19"/>
          <w:lang w:val="en-US"/>
        </w:rPr>
      </w:pPr>
      <w:r w:rsidRPr="00191C79">
        <w:rPr>
          <w:rFonts w:cs="Arial"/>
          <w:spacing w:val="0"/>
          <w:szCs w:val="19"/>
          <w:lang w:val="en-US"/>
        </w:rPr>
        <w:lastRenderedPageBreak/>
        <w:t>The ICNIRP limits/levels are reproduced as detailed below:</w:t>
      </w:r>
    </w:p>
    <w:p w:rsidR="00115EFF" w:rsidRPr="00191C79" w:rsidRDefault="00115EFF" w:rsidP="00D77DBB">
      <w:pPr>
        <w:tabs>
          <w:tab w:val="left" w:pos="-5670"/>
        </w:tabs>
        <w:spacing w:before="0" w:line="240" w:lineRule="auto"/>
        <w:rPr>
          <w:rFonts w:cs="Arial"/>
          <w:spacing w:val="0"/>
          <w:szCs w:val="19"/>
          <w:lang w:val="en-US"/>
        </w:rPr>
      </w:pPr>
    </w:p>
    <w:tbl>
      <w:tblPr>
        <w:tblStyle w:val="Style1"/>
        <w:tblW w:w="4898" w:type="pct"/>
        <w:jc w:val="center"/>
        <w:tblInd w:w="135" w:type="dxa"/>
        <w:tblLook w:val="01E0" w:firstRow="1" w:lastRow="1" w:firstColumn="1" w:lastColumn="1" w:noHBand="0" w:noVBand="0"/>
      </w:tblPr>
      <w:tblGrid>
        <w:gridCol w:w="2268"/>
        <w:gridCol w:w="2245"/>
        <w:gridCol w:w="2405"/>
        <w:gridCol w:w="2180"/>
      </w:tblGrid>
      <w:tr w:rsidR="00115EFF" w:rsidRPr="004D6922" w:rsidTr="00774FEC">
        <w:trPr>
          <w:cnfStyle w:val="100000000000" w:firstRow="1" w:lastRow="0" w:firstColumn="0" w:lastColumn="0" w:oddVBand="0" w:evenVBand="0" w:oddHBand="0" w:evenHBand="0" w:firstRowFirstColumn="0" w:firstRowLastColumn="0" w:lastRowFirstColumn="0" w:lastRowLastColumn="0"/>
          <w:jc w:val="center"/>
        </w:trPr>
        <w:tc>
          <w:tcPr>
            <w:tcW w:w="2268" w:type="dxa"/>
          </w:tcPr>
          <w:p w:rsidR="00115EFF" w:rsidRPr="00191C79" w:rsidRDefault="00115EFF" w:rsidP="00191C79">
            <w:pPr>
              <w:pStyle w:val="Tablehead"/>
              <w:spacing w:line="240" w:lineRule="auto"/>
              <w:rPr>
                <w:spacing w:val="0"/>
              </w:rPr>
            </w:pPr>
            <w:r w:rsidRPr="00191C79">
              <w:rPr>
                <w:spacing w:val="0"/>
              </w:rPr>
              <w:t>Frequency Range</w:t>
            </w:r>
          </w:p>
        </w:tc>
        <w:tc>
          <w:tcPr>
            <w:tcW w:w="2245" w:type="dxa"/>
          </w:tcPr>
          <w:p w:rsidR="00115EFF" w:rsidRPr="00191C79" w:rsidRDefault="00115EFF" w:rsidP="00191C79">
            <w:pPr>
              <w:pStyle w:val="Tablehead"/>
              <w:spacing w:line="240" w:lineRule="auto"/>
              <w:rPr>
                <w:spacing w:val="0"/>
                <w:lang w:val="de-CH"/>
              </w:rPr>
            </w:pPr>
            <w:r w:rsidRPr="00191C79">
              <w:rPr>
                <w:spacing w:val="0"/>
                <w:lang w:val="de-CH"/>
              </w:rPr>
              <w:t>E-Field Strength ( Volt/Meter (V/m))</w:t>
            </w:r>
          </w:p>
        </w:tc>
        <w:tc>
          <w:tcPr>
            <w:tcW w:w="2405" w:type="dxa"/>
          </w:tcPr>
          <w:p w:rsidR="00115EFF" w:rsidRPr="00191C79" w:rsidRDefault="00115EFF" w:rsidP="00191C79">
            <w:pPr>
              <w:pStyle w:val="Tablehead"/>
              <w:spacing w:line="240" w:lineRule="auto"/>
              <w:rPr>
                <w:spacing w:val="0"/>
              </w:rPr>
            </w:pPr>
            <w:r w:rsidRPr="00191C79">
              <w:rPr>
                <w:spacing w:val="0"/>
              </w:rPr>
              <w:t>H-Field Strength (Amp/Meter (A/m))</w:t>
            </w:r>
          </w:p>
        </w:tc>
        <w:tc>
          <w:tcPr>
            <w:tcW w:w="2180" w:type="dxa"/>
          </w:tcPr>
          <w:p w:rsidR="00115EFF" w:rsidRPr="00191C79" w:rsidRDefault="00115EFF" w:rsidP="00191C79">
            <w:pPr>
              <w:pStyle w:val="Tablehead"/>
              <w:spacing w:line="240" w:lineRule="auto"/>
              <w:rPr>
                <w:spacing w:val="0"/>
              </w:rPr>
            </w:pPr>
            <w:r w:rsidRPr="00191C79">
              <w:rPr>
                <w:spacing w:val="0"/>
              </w:rPr>
              <w:t>Power Density (Watt/</w:t>
            </w:r>
            <w:proofErr w:type="spellStart"/>
            <w:r w:rsidRPr="00191C79">
              <w:rPr>
                <w:spacing w:val="0"/>
              </w:rPr>
              <w:t>Sq.Meter</w:t>
            </w:r>
            <w:proofErr w:type="spellEnd"/>
            <w:r w:rsidRPr="00191C79">
              <w:rPr>
                <w:spacing w:val="0"/>
              </w:rPr>
              <w:t xml:space="preserve"> (W/</w:t>
            </w:r>
            <w:proofErr w:type="spellStart"/>
            <w:r w:rsidRPr="00191C79">
              <w:rPr>
                <w:spacing w:val="0"/>
              </w:rPr>
              <w:t>Sq.m</w:t>
            </w:r>
            <w:proofErr w:type="spellEnd"/>
            <w:r w:rsidRPr="00191C79">
              <w:rPr>
                <w:spacing w:val="0"/>
              </w:rPr>
              <w:t>))</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jc w:val="center"/>
        </w:trPr>
        <w:tc>
          <w:tcPr>
            <w:tcW w:w="2268" w:type="dxa"/>
          </w:tcPr>
          <w:p w:rsidR="00115EFF" w:rsidRPr="00191C79" w:rsidRDefault="00115EFF" w:rsidP="00191C79">
            <w:pPr>
              <w:pStyle w:val="Tabletext"/>
              <w:spacing w:line="240" w:lineRule="auto"/>
              <w:rPr>
                <w:spacing w:val="0"/>
              </w:rPr>
            </w:pPr>
            <w:r w:rsidRPr="00191C79">
              <w:rPr>
                <w:spacing w:val="0"/>
              </w:rPr>
              <w:t>400MHz to 2000MHz</w:t>
            </w:r>
          </w:p>
        </w:tc>
        <w:tc>
          <w:tcPr>
            <w:tcW w:w="2245" w:type="dxa"/>
          </w:tcPr>
          <w:p w:rsidR="00115EFF" w:rsidRPr="00191C79" w:rsidRDefault="00115EFF" w:rsidP="00191C79">
            <w:pPr>
              <w:pStyle w:val="Tabletext"/>
              <w:spacing w:line="240" w:lineRule="auto"/>
              <w:rPr>
                <w:spacing w:val="0"/>
              </w:rPr>
            </w:pPr>
            <w:r w:rsidRPr="00191C79">
              <w:rPr>
                <w:spacing w:val="0"/>
              </w:rPr>
              <w:t xml:space="preserve">1.375f </w:t>
            </w:r>
            <w:r w:rsidRPr="00191C79">
              <w:rPr>
                <w:spacing w:val="0"/>
                <w:vertAlign w:val="superscript"/>
              </w:rPr>
              <w:t>½</w:t>
            </w:r>
          </w:p>
        </w:tc>
        <w:tc>
          <w:tcPr>
            <w:tcW w:w="2405" w:type="dxa"/>
          </w:tcPr>
          <w:p w:rsidR="00115EFF" w:rsidRPr="00191C79" w:rsidRDefault="00115EFF" w:rsidP="00191C79">
            <w:pPr>
              <w:pStyle w:val="Tabletext"/>
              <w:spacing w:line="240" w:lineRule="auto"/>
              <w:rPr>
                <w:spacing w:val="0"/>
              </w:rPr>
            </w:pPr>
            <w:r w:rsidRPr="00191C79">
              <w:rPr>
                <w:spacing w:val="0"/>
              </w:rPr>
              <w:t xml:space="preserve">0.0037f </w:t>
            </w:r>
            <w:r w:rsidRPr="00191C79">
              <w:rPr>
                <w:spacing w:val="0"/>
                <w:vertAlign w:val="superscript"/>
              </w:rPr>
              <w:t>½</w:t>
            </w:r>
          </w:p>
        </w:tc>
        <w:tc>
          <w:tcPr>
            <w:tcW w:w="2180" w:type="dxa"/>
          </w:tcPr>
          <w:p w:rsidR="00115EFF" w:rsidRPr="00191C79" w:rsidRDefault="00115EFF" w:rsidP="00191C79">
            <w:pPr>
              <w:pStyle w:val="Tabletext"/>
              <w:spacing w:line="240" w:lineRule="auto"/>
              <w:rPr>
                <w:spacing w:val="0"/>
              </w:rPr>
            </w:pPr>
            <w:r w:rsidRPr="00191C79">
              <w:rPr>
                <w:spacing w:val="0"/>
              </w:rPr>
              <w:t>f/200</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jc w:val="center"/>
        </w:trPr>
        <w:tc>
          <w:tcPr>
            <w:tcW w:w="2268" w:type="dxa"/>
          </w:tcPr>
          <w:p w:rsidR="00115EFF" w:rsidRPr="00191C79" w:rsidRDefault="00115EFF" w:rsidP="00191C79">
            <w:pPr>
              <w:pStyle w:val="Tabletext"/>
              <w:spacing w:line="240" w:lineRule="auto"/>
              <w:rPr>
                <w:spacing w:val="0"/>
              </w:rPr>
            </w:pPr>
            <w:r w:rsidRPr="00191C79">
              <w:rPr>
                <w:spacing w:val="0"/>
              </w:rPr>
              <w:t>2GHz to 300GHz</w:t>
            </w:r>
          </w:p>
        </w:tc>
        <w:tc>
          <w:tcPr>
            <w:tcW w:w="2245" w:type="dxa"/>
          </w:tcPr>
          <w:p w:rsidR="00115EFF" w:rsidRPr="00191C79" w:rsidRDefault="00115EFF" w:rsidP="00191C79">
            <w:pPr>
              <w:pStyle w:val="Tabletext"/>
              <w:spacing w:line="240" w:lineRule="auto"/>
              <w:rPr>
                <w:spacing w:val="0"/>
              </w:rPr>
            </w:pPr>
            <w:r w:rsidRPr="00191C79">
              <w:rPr>
                <w:spacing w:val="0"/>
              </w:rPr>
              <w:t>61</w:t>
            </w:r>
          </w:p>
        </w:tc>
        <w:tc>
          <w:tcPr>
            <w:tcW w:w="2405" w:type="dxa"/>
          </w:tcPr>
          <w:p w:rsidR="00115EFF" w:rsidRPr="00191C79" w:rsidRDefault="00115EFF" w:rsidP="00191C79">
            <w:pPr>
              <w:pStyle w:val="Tabletext"/>
              <w:spacing w:line="240" w:lineRule="auto"/>
              <w:rPr>
                <w:spacing w:val="0"/>
              </w:rPr>
            </w:pPr>
            <w:r w:rsidRPr="00191C79">
              <w:rPr>
                <w:spacing w:val="0"/>
              </w:rPr>
              <w:t>0.16</w:t>
            </w:r>
          </w:p>
        </w:tc>
        <w:tc>
          <w:tcPr>
            <w:tcW w:w="2180" w:type="dxa"/>
          </w:tcPr>
          <w:p w:rsidR="00115EFF" w:rsidRPr="00191C79" w:rsidRDefault="00115EFF" w:rsidP="00191C79">
            <w:pPr>
              <w:pStyle w:val="Tabletext"/>
              <w:spacing w:line="240" w:lineRule="auto"/>
              <w:rPr>
                <w:spacing w:val="0"/>
              </w:rPr>
            </w:pPr>
            <w:r w:rsidRPr="00191C79">
              <w:rPr>
                <w:spacing w:val="0"/>
              </w:rPr>
              <w:t>10</w:t>
            </w:r>
          </w:p>
        </w:tc>
      </w:tr>
    </w:tbl>
    <w:p w:rsidR="00115EFF" w:rsidRPr="00191C79" w:rsidRDefault="00115EFF" w:rsidP="00191C79">
      <w:pPr>
        <w:pStyle w:val="Tablesource"/>
        <w:spacing w:line="240" w:lineRule="auto"/>
        <w:rPr>
          <w:spacing w:val="0"/>
        </w:rPr>
      </w:pPr>
      <w:r w:rsidRPr="00191C79">
        <w:rPr>
          <w:spacing w:val="0"/>
        </w:rPr>
        <w:t>(f = frequency in MHz)</w:t>
      </w:r>
    </w:p>
    <w:p w:rsidR="00115EFF" w:rsidRPr="00191C79" w:rsidRDefault="00115EFF" w:rsidP="00D77DBB">
      <w:pPr>
        <w:tabs>
          <w:tab w:val="left" w:pos="-4962"/>
        </w:tabs>
        <w:spacing w:before="120" w:line="240" w:lineRule="auto"/>
        <w:rPr>
          <w:rFonts w:eastAsia="Calibri" w:cs="Arial"/>
          <w:spacing w:val="0"/>
          <w:szCs w:val="19"/>
        </w:rPr>
      </w:pPr>
      <w:r w:rsidRPr="00191C79">
        <w:rPr>
          <w:rFonts w:cs="Arial"/>
          <w:spacing w:val="0"/>
          <w:szCs w:val="19"/>
          <w:lang w:val="en-US"/>
        </w:rPr>
        <w:t>2.3</w:t>
      </w:r>
      <w:r w:rsidRPr="00191C79">
        <w:rPr>
          <w:rFonts w:cs="Arial"/>
          <w:spacing w:val="0"/>
          <w:szCs w:val="19"/>
          <w:lang w:val="en-US"/>
        </w:rPr>
        <w:tab/>
      </w:r>
      <w:r w:rsidRPr="00191C79">
        <w:rPr>
          <w:rFonts w:eastAsia="MS Mincho" w:cs="Arial"/>
          <w:spacing w:val="0"/>
          <w:szCs w:val="19"/>
          <w:lang w:val="en-US"/>
        </w:rPr>
        <w:t>Department of Telecommunications (DoT), Government of India further issued instructions on 8</w:t>
      </w:r>
      <w:r w:rsidRPr="00191C79">
        <w:rPr>
          <w:rFonts w:eastAsia="MS Mincho" w:cs="Arial"/>
          <w:spacing w:val="0"/>
          <w:szCs w:val="19"/>
          <w:vertAlign w:val="superscript"/>
          <w:lang w:val="en-US"/>
        </w:rPr>
        <w:t>th</w:t>
      </w:r>
      <w:r w:rsidRPr="00191C79">
        <w:rPr>
          <w:rFonts w:eastAsia="MS Mincho" w:cs="Arial"/>
          <w:spacing w:val="0"/>
          <w:szCs w:val="19"/>
          <w:lang w:val="en-US"/>
        </w:rPr>
        <w:t xml:space="preserve"> April, 2010 to all the mobile operators regarding implementation of radiation norms on Electro Magnetic Field (EMF) exposure by Base Transceiver Stations (BTSs) by submitting the </w:t>
      </w:r>
      <w:proofErr w:type="spellStart"/>
      <w:r w:rsidRPr="00191C79">
        <w:rPr>
          <w:rFonts w:eastAsia="MS Mincho" w:cs="Arial"/>
          <w:spacing w:val="0"/>
          <w:szCs w:val="19"/>
          <w:lang w:val="en-US"/>
        </w:rPr>
        <w:t>self certification</w:t>
      </w:r>
      <w:proofErr w:type="spellEnd"/>
      <w:r w:rsidRPr="00191C79">
        <w:rPr>
          <w:rFonts w:eastAsia="MS Mincho" w:cs="Arial"/>
          <w:spacing w:val="0"/>
          <w:szCs w:val="19"/>
          <w:lang w:val="en-US"/>
        </w:rPr>
        <w:t xml:space="preserve"> for each and every BTS. </w:t>
      </w:r>
      <w:r w:rsidRPr="00191C79">
        <w:rPr>
          <w:rFonts w:eastAsia="MS Mincho" w:cs="Arial"/>
          <w:spacing w:val="0"/>
          <w:szCs w:val="19"/>
        </w:rPr>
        <w:t xml:space="preserve">The instructions, </w:t>
      </w:r>
      <w:r w:rsidRPr="00191C79">
        <w:rPr>
          <w:rFonts w:eastAsia="Calibri" w:cs="Arial"/>
          <w:spacing w:val="0"/>
          <w:szCs w:val="19"/>
        </w:rPr>
        <w:t xml:space="preserve">inter-alia, </w:t>
      </w:r>
      <w:proofErr w:type="spellStart"/>
      <w:r w:rsidRPr="00191C79">
        <w:rPr>
          <w:rFonts w:eastAsia="Calibri" w:cs="Arial"/>
          <w:spacing w:val="0"/>
          <w:szCs w:val="19"/>
        </w:rPr>
        <w:t>include</w:t>
      </w:r>
      <w:proofErr w:type="spellEnd"/>
      <w:r w:rsidRPr="00191C79">
        <w:rPr>
          <w:rFonts w:eastAsia="Calibri" w:cs="Arial"/>
          <w:spacing w:val="0"/>
          <w:szCs w:val="19"/>
        </w:rPr>
        <w:t xml:space="preserve"> the </w:t>
      </w:r>
      <w:proofErr w:type="spellStart"/>
      <w:r w:rsidRPr="00191C79">
        <w:rPr>
          <w:rFonts w:eastAsia="Calibri" w:cs="Arial"/>
          <w:spacing w:val="0"/>
          <w:szCs w:val="19"/>
        </w:rPr>
        <w:t>following</w:t>
      </w:r>
      <w:proofErr w:type="spellEnd"/>
      <w:r w:rsidRPr="00191C79">
        <w:rPr>
          <w:rFonts w:eastAsia="Calibri" w:cs="Arial"/>
          <w:spacing w:val="0"/>
          <w:szCs w:val="19"/>
        </w:rPr>
        <w:t>:</w:t>
      </w:r>
    </w:p>
    <w:p w:rsidR="00115EFF" w:rsidRPr="00191C79" w:rsidRDefault="00115EFF" w:rsidP="00D77DBB">
      <w:pPr>
        <w:numPr>
          <w:ilvl w:val="0"/>
          <w:numId w:val="7"/>
        </w:numPr>
        <w:tabs>
          <w:tab w:val="clear" w:pos="794"/>
        </w:tabs>
        <w:overflowPunct/>
        <w:spacing w:before="80" w:line="240" w:lineRule="auto"/>
        <w:ind w:left="567" w:hanging="567"/>
        <w:jc w:val="left"/>
        <w:rPr>
          <w:rFonts w:eastAsia="Calibri" w:cs="Arial"/>
          <w:spacing w:val="0"/>
          <w:szCs w:val="19"/>
          <w:lang w:val="en-US"/>
        </w:rPr>
      </w:pPr>
      <w:r w:rsidRPr="00191C79">
        <w:rPr>
          <w:rFonts w:eastAsia="Calibri" w:cs="Arial"/>
          <w:spacing w:val="0"/>
          <w:szCs w:val="19"/>
          <w:lang w:val="en-US"/>
        </w:rPr>
        <w:t xml:space="preserve">All Base Station Transceivers (BTSs) must be </w:t>
      </w:r>
      <w:proofErr w:type="spellStart"/>
      <w:r w:rsidRPr="00191C79">
        <w:rPr>
          <w:rFonts w:eastAsia="Calibri" w:cs="Arial"/>
          <w:spacing w:val="0"/>
          <w:szCs w:val="19"/>
          <w:lang w:val="en-US"/>
        </w:rPr>
        <w:t>self certified</w:t>
      </w:r>
      <w:proofErr w:type="spellEnd"/>
      <w:r w:rsidRPr="00191C79">
        <w:rPr>
          <w:rFonts w:eastAsia="Calibri" w:cs="Arial"/>
          <w:spacing w:val="0"/>
          <w:szCs w:val="19"/>
          <w:lang w:val="en-US"/>
        </w:rPr>
        <w:t xml:space="preserve"> as meeting the radiation norms.  </w:t>
      </w:r>
      <w:proofErr w:type="spellStart"/>
      <w:r w:rsidRPr="00191C79">
        <w:rPr>
          <w:rFonts w:eastAsia="Calibri" w:cs="Arial"/>
          <w:spacing w:val="0"/>
          <w:szCs w:val="19"/>
          <w:lang w:val="en-US"/>
        </w:rPr>
        <w:t>Self certification</w:t>
      </w:r>
      <w:proofErr w:type="spellEnd"/>
      <w:r w:rsidRPr="00191C79">
        <w:rPr>
          <w:rFonts w:eastAsia="Calibri" w:cs="Arial"/>
          <w:spacing w:val="0"/>
          <w:szCs w:val="19"/>
          <w:lang w:val="en-US"/>
        </w:rPr>
        <w:t xml:space="preserve"> is submitted to respective Telecom Enforcement Resource &amp; Monitoring (TERM) Cells of DoT by the telecom service providers.</w:t>
      </w:r>
    </w:p>
    <w:p w:rsidR="00115EFF" w:rsidRPr="00191C79" w:rsidRDefault="00115EFF" w:rsidP="00D77DBB">
      <w:pPr>
        <w:numPr>
          <w:ilvl w:val="0"/>
          <w:numId w:val="7"/>
        </w:numPr>
        <w:tabs>
          <w:tab w:val="clear" w:pos="794"/>
          <w:tab w:val="left" w:pos="-5103"/>
        </w:tabs>
        <w:overflowPunct/>
        <w:spacing w:before="80" w:line="240" w:lineRule="auto"/>
        <w:ind w:left="567" w:hanging="567"/>
        <w:jc w:val="left"/>
        <w:rPr>
          <w:rFonts w:eastAsia="Calibri" w:cs="Arial"/>
          <w:spacing w:val="0"/>
          <w:szCs w:val="19"/>
          <w:lang w:val="en-US"/>
        </w:rPr>
      </w:pPr>
      <w:r w:rsidRPr="00191C79">
        <w:rPr>
          <w:rFonts w:eastAsia="Calibri" w:cs="Arial"/>
          <w:spacing w:val="0"/>
          <w:szCs w:val="19"/>
          <w:lang w:val="en-US"/>
        </w:rPr>
        <w:t xml:space="preserve">All new BTS sites start radiating only after </w:t>
      </w:r>
      <w:proofErr w:type="spellStart"/>
      <w:r w:rsidRPr="00191C79">
        <w:rPr>
          <w:rFonts w:eastAsia="Calibri" w:cs="Arial"/>
          <w:spacing w:val="0"/>
          <w:szCs w:val="19"/>
          <w:lang w:val="en-US"/>
        </w:rPr>
        <w:t>self certificate</w:t>
      </w:r>
      <w:proofErr w:type="spellEnd"/>
      <w:r w:rsidRPr="00191C79">
        <w:rPr>
          <w:rFonts w:eastAsia="Calibri" w:cs="Arial"/>
          <w:spacing w:val="0"/>
          <w:szCs w:val="19"/>
          <w:lang w:val="en-US"/>
        </w:rPr>
        <w:t xml:space="preserve"> has been submitted to relevant TERM Cells.</w:t>
      </w:r>
    </w:p>
    <w:p w:rsidR="00115EFF" w:rsidRPr="00191C79" w:rsidRDefault="00115EFF" w:rsidP="00D77DBB">
      <w:pPr>
        <w:numPr>
          <w:ilvl w:val="0"/>
          <w:numId w:val="7"/>
        </w:numPr>
        <w:tabs>
          <w:tab w:val="clear" w:pos="794"/>
        </w:tabs>
        <w:overflowPunct/>
        <w:spacing w:before="80" w:line="240" w:lineRule="auto"/>
        <w:ind w:left="567" w:hanging="567"/>
        <w:jc w:val="left"/>
        <w:rPr>
          <w:rFonts w:eastAsia="Calibri" w:cs="Arial"/>
          <w:spacing w:val="0"/>
          <w:szCs w:val="19"/>
          <w:lang w:val="en-US"/>
        </w:rPr>
      </w:pPr>
      <w:r w:rsidRPr="00191C79">
        <w:rPr>
          <w:rFonts w:eastAsia="Calibri" w:cs="Arial"/>
          <w:spacing w:val="0"/>
          <w:szCs w:val="19"/>
          <w:lang w:val="en-US"/>
        </w:rPr>
        <w:t xml:space="preserve">The TERM Cell tests </w:t>
      </w:r>
      <w:proofErr w:type="spellStart"/>
      <w:r w:rsidRPr="00191C79">
        <w:rPr>
          <w:rFonts w:eastAsia="Calibri" w:cs="Arial"/>
          <w:spacing w:val="0"/>
          <w:szCs w:val="19"/>
          <w:lang w:val="en-US"/>
        </w:rPr>
        <w:t>upto</w:t>
      </w:r>
      <w:proofErr w:type="spellEnd"/>
      <w:r w:rsidRPr="00191C79">
        <w:rPr>
          <w:rFonts w:eastAsia="Calibri" w:cs="Arial"/>
          <w:spacing w:val="0"/>
          <w:szCs w:val="19"/>
          <w:lang w:val="en-US"/>
        </w:rPr>
        <w:t xml:space="preserve"> 10 per cent of BTS sites randomly at its discretion.  Additionally, BTS sites against which there are public complaints are also be tested by TERM Cell.</w:t>
      </w:r>
    </w:p>
    <w:p w:rsidR="00115EFF" w:rsidRPr="00191C79" w:rsidRDefault="00115EFF" w:rsidP="00D77DBB">
      <w:pPr>
        <w:numPr>
          <w:ilvl w:val="0"/>
          <w:numId w:val="7"/>
        </w:numPr>
        <w:tabs>
          <w:tab w:val="clear" w:pos="794"/>
        </w:tabs>
        <w:overflowPunct/>
        <w:spacing w:before="80" w:line="240" w:lineRule="auto"/>
        <w:ind w:left="567" w:hanging="567"/>
        <w:jc w:val="left"/>
        <w:rPr>
          <w:rFonts w:eastAsia="Calibri" w:cs="Arial"/>
          <w:spacing w:val="0"/>
          <w:szCs w:val="19"/>
          <w:lang w:val="en-US"/>
        </w:rPr>
      </w:pPr>
      <w:r w:rsidRPr="00191C79">
        <w:rPr>
          <w:rFonts w:eastAsia="Calibri" w:cs="Arial"/>
          <w:spacing w:val="0"/>
          <w:szCs w:val="19"/>
          <w:lang w:val="en-US"/>
        </w:rPr>
        <w:t>If a site fails to meet the Electro Magnetic Radiation criterion, there is a provision of penalty of Rs.5 lakh (about US$10,000) per BTS per service provider. Service providers must meet the criterion within one month of the report of TERM Cell in such cases, after which site will be shut down.</w:t>
      </w:r>
    </w:p>
    <w:p w:rsidR="00115EFF" w:rsidRPr="00191C79" w:rsidRDefault="00115EFF" w:rsidP="00D77DBB">
      <w:pPr>
        <w:spacing w:before="120" w:after="120" w:line="240" w:lineRule="auto"/>
        <w:rPr>
          <w:rFonts w:cs="Arial"/>
          <w:spacing w:val="0"/>
          <w:szCs w:val="19"/>
          <w:lang w:val="en-US"/>
        </w:rPr>
      </w:pPr>
      <w:r w:rsidRPr="00191C79">
        <w:rPr>
          <w:rFonts w:cs="Arial"/>
          <w:spacing w:val="0"/>
          <w:szCs w:val="19"/>
          <w:lang w:val="en-US"/>
        </w:rPr>
        <w:t>2.4</w:t>
      </w:r>
      <w:r w:rsidRPr="00191C79">
        <w:rPr>
          <w:rFonts w:cs="Arial"/>
          <w:spacing w:val="0"/>
          <w:szCs w:val="19"/>
          <w:lang w:val="en-US"/>
        </w:rPr>
        <w:tab/>
        <w:t>In year 2008, Department of Telecommunications had adopted International Commission on Non-Ionizing Radiation Protection (ICNIRP) guidelines for mobile handsets also. ICNIRP prescribed the following values for Specific Absorption Rate (SAR) for mobile handset:</w:t>
      </w:r>
    </w:p>
    <w:tbl>
      <w:tblPr>
        <w:tblStyle w:val="Style1"/>
        <w:tblW w:w="4913" w:type="pct"/>
        <w:jc w:val="center"/>
        <w:tblInd w:w="162" w:type="dxa"/>
        <w:tblLook w:val="04A0" w:firstRow="1" w:lastRow="0" w:firstColumn="1" w:lastColumn="0" w:noHBand="0" w:noVBand="1"/>
      </w:tblPr>
      <w:tblGrid>
        <w:gridCol w:w="2156"/>
        <w:gridCol w:w="2269"/>
        <w:gridCol w:w="2350"/>
        <w:gridCol w:w="2350"/>
      </w:tblGrid>
      <w:tr w:rsidR="00115EFF" w:rsidRPr="004D6922" w:rsidTr="00774FEC">
        <w:trPr>
          <w:cnfStyle w:val="100000000000" w:firstRow="1" w:lastRow="0" w:firstColumn="0" w:lastColumn="0" w:oddVBand="0" w:evenVBand="0" w:oddHBand="0" w:evenHBand="0" w:firstRowFirstColumn="0" w:firstRowLastColumn="0" w:lastRowFirstColumn="0" w:lastRowLastColumn="0"/>
          <w:jc w:val="center"/>
        </w:trPr>
        <w:tc>
          <w:tcPr>
            <w:tcW w:w="2156" w:type="dxa"/>
          </w:tcPr>
          <w:p w:rsidR="00115EFF" w:rsidRPr="00191C79" w:rsidRDefault="00115EFF" w:rsidP="00191C79">
            <w:pPr>
              <w:pStyle w:val="Tablehead"/>
              <w:spacing w:line="240" w:lineRule="auto"/>
              <w:rPr>
                <w:spacing w:val="0"/>
              </w:rPr>
            </w:pPr>
            <w:r w:rsidRPr="00191C79">
              <w:rPr>
                <w:spacing w:val="0"/>
              </w:rPr>
              <w:t xml:space="preserve">For Frequency Range </w:t>
            </w:r>
            <w:r w:rsidRPr="00191C79">
              <w:rPr>
                <w:spacing w:val="0"/>
              </w:rPr>
              <w:br/>
              <w:t>10 MHz to 10 GHz</w:t>
            </w:r>
          </w:p>
        </w:tc>
        <w:tc>
          <w:tcPr>
            <w:tcW w:w="2269" w:type="dxa"/>
          </w:tcPr>
          <w:p w:rsidR="00115EFF" w:rsidRPr="00191C79" w:rsidRDefault="00115EFF" w:rsidP="00191C79">
            <w:pPr>
              <w:pStyle w:val="Tablehead"/>
              <w:spacing w:line="240" w:lineRule="auto"/>
              <w:rPr>
                <w:spacing w:val="0"/>
              </w:rPr>
            </w:pPr>
            <w:r w:rsidRPr="00191C79">
              <w:rPr>
                <w:spacing w:val="0"/>
              </w:rPr>
              <w:t>Whole body average SAR (W/Kg)</w:t>
            </w:r>
          </w:p>
        </w:tc>
        <w:tc>
          <w:tcPr>
            <w:tcW w:w="2350" w:type="dxa"/>
          </w:tcPr>
          <w:p w:rsidR="00115EFF" w:rsidRPr="00191C79" w:rsidRDefault="00115EFF" w:rsidP="00191C79">
            <w:pPr>
              <w:pStyle w:val="Tablehead"/>
              <w:spacing w:line="240" w:lineRule="auto"/>
              <w:rPr>
                <w:spacing w:val="0"/>
              </w:rPr>
            </w:pPr>
            <w:proofErr w:type="spellStart"/>
            <w:r w:rsidRPr="00191C79">
              <w:rPr>
                <w:spacing w:val="0"/>
              </w:rPr>
              <w:t>Localised</w:t>
            </w:r>
            <w:proofErr w:type="spellEnd"/>
            <w:r w:rsidRPr="00191C79">
              <w:rPr>
                <w:spacing w:val="0"/>
              </w:rPr>
              <w:t xml:space="preserve"> SAR head &amp; trunk (W/Kg)</w:t>
            </w:r>
          </w:p>
        </w:tc>
        <w:tc>
          <w:tcPr>
            <w:tcW w:w="2350" w:type="dxa"/>
          </w:tcPr>
          <w:p w:rsidR="00115EFF" w:rsidRPr="00191C79" w:rsidRDefault="00115EFF" w:rsidP="00191C79">
            <w:pPr>
              <w:pStyle w:val="Tablehead"/>
              <w:spacing w:line="240" w:lineRule="auto"/>
              <w:rPr>
                <w:spacing w:val="0"/>
              </w:rPr>
            </w:pPr>
            <w:proofErr w:type="spellStart"/>
            <w:r w:rsidRPr="00191C79">
              <w:rPr>
                <w:spacing w:val="0"/>
              </w:rPr>
              <w:t>Localised</w:t>
            </w:r>
            <w:proofErr w:type="spellEnd"/>
            <w:r w:rsidRPr="00191C79">
              <w:rPr>
                <w:spacing w:val="0"/>
              </w:rPr>
              <w:t xml:space="preserve"> SAR limbs (W/Kg)</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jc w:val="center"/>
        </w:trPr>
        <w:tc>
          <w:tcPr>
            <w:tcW w:w="2156" w:type="dxa"/>
          </w:tcPr>
          <w:p w:rsidR="00115EFF" w:rsidRPr="00191C79" w:rsidRDefault="00115EFF" w:rsidP="00191C79">
            <w:pPr>
              <w:pStyle w:val="Tabletext"/>
              <w:spacing w:line="240" w:lineRule="auto"/>
              <w:rPr>
                <w:spacing w:val="0"/>
              </w:rPr>
            </w:pPr>
            <w:r w:rsidRPr="00191C79">
              <w:rPr>
                <w:spacing w:val="0"/>
              </w:rPr>
              <w:t xml:space="preserve">General Public </w:t>
            </w:r>
            <w:proofErr w:type="spellStart"/>
            <w:r w:rsidRPr="00191C79">
              <w:rPr>
                <w:spacing w:val="0"/>
              </w:rPr>
              <w:t>Exposure</w:t>
            </w:r>
            <w:proofErr w:type="spellEnd"/>
          </w:p>
        </w:tc>
        <w:tc>
          <w:tcPr>
            <w:tcW w:w="2269" w:type="dxa"/>
          </w:tcPr>
          <w:p w:rsidR="00115EFF" w:rsidRPr="00191C79" w:rsidRDefault="00115EFF" w:rsidP="00191C79">
            <w:pPr>
              <w:pStyle w:val="Tabletext"/>
              <w:spacing w:line="240" w:lineRule="auto"/>
              <w:rPr>
                <w:spacing w:val="0"/>
              </w:rPr>
            </w:pPr>
            <w:r w:rsidRPr="00191C79">
              <w:rPr>
                <w:spacing w:val="0"/>
              </w:rPr>
              <w:t>0.08</w:t>
            </w:r>
          </w:p>
        </w:tc>
        <w:tc>
          <w:tcPr>
            <w:tcW w:w="2350" w:type="dxa"/>
          </w:tcPr>
          <w:p w:rsidR="00115EFF" w:rsidRPr="00191C79" w:rsidRDefault="00115EFF" w:rsidP="00191C79">
            <w:pPr>
              <w:pStyle w:val="Tabletext"/>
              <w:spacing w:line="240" w:lineRule="auto"/>
              <w:rPr>
                <w:spacing w:val="0"/>
              </w:rPr>
            </w:pPr>
            <w:r w:rsidRPr="00191C79">
              <w:rPr>
                <w:spacing w:val="0"/>
              </w:rPr>
              <w:t>2</w:t>
            </w:r>
          </w:p>
        </w:tc>
        <w:tc>
          <w:tcPr>
            <w:tcW w:w="2350" w:type="dxa"/>
          </w:tcPr>
          <w:p w:rsidR="00115EFF" w:rsidRPr="00191C79" w:rsidRDefault="00115EFF" w:rsidP="00191C79">
            <w:pPr>
              <w:pStyle w:val="Tabletext"/>
              <w:spacing w:line="240" w:lineRule="auto"/>
              <w:rPr>
                <w:spacing w:val="0"/>
              </w:rPr>
            </w:pPr>
            <w:r w:rsidRPr="00191C79">
              <w:rPr>
                <w:spacing w:val="0"/>
              </w:rPr>
              <w:t>4</w:t>
            </w:r>
          </w:p>
        </w:tc>
      </w:tr>
    </w:tbl>
    <w:p w:rsidR="00115EFF" w:rsidRPr="00191C79" w:rsidRDefault="00115EFF" w:rsidP="00D77DBB">
      <w:pPr>
        <w:spacing w:before="120" w:line="240" w:lineRule="auto"/>
        <w:rPr>
          <w:rFonts w:eastAsia="Calibri" w:cs="Arial"/>
          <w:spacing w:val="0"/>
          <w:szCs w:val="19"/>
          <w:lang w:val="en-US"/>
        </w:rPr>
      </w:pPr>
      <w:r w:rsidRPr="00191C79">
        <w:rPr>
          <w:rFonts w:cs="Arial"/>
          <w:spacing w:val="0"/>
          <w:szCs w:val="19"/>
          <w:lang w:val="en-US"/>
        </w:rPr>
        <w:t>2.5</w:t>
      </w:r>
      <w:r w:rsidRPr="00191C79">
        <w:rPr>
          <w:rFonts w:cs="Arial"/>
          <w:spacing w:val="0"/>
          <w:szCs w:val="19"/>
          <w:lang w:val="en-US"/>
        </w:rPr>
        <w:tab/>
      </w:r>
      <w:r w:rsidRPr="00191C79">
        <w:rPr>
          <w:rFonts w:eastAsia="Calibri" w:cs="Arial"/>
          <w:spacing w:val="0"/>
          <w:szCs w:val="19"/>
          <w:lang w:val="en-US"/>
        </w:rPr>
        <w:t xml:space="preserve">For the mobile handsets, DoT, in the year 2008, had issued instructions to the indigenous manufacturers to conform to ICNIRP prescribed Specific Absorption Rate (SAR) limit of 2 W/kg (averaged over 10 gm tissue) in the frequency range of 10 MHz to 10 GHz. </w:t>
      </w:r>
    </w:p>
    <w:p w:rsidR="00115EFF" w:rsidRPr="00191C79" w:rsidRDefault="00115EFF" w:rsidP="00D77DBB">
      <w:pPr>
        <w:spacing w:before="120" w:line="240" w:lineRule="auto"/>
        <w:rPr>
          <w:rFonts w:cs="Arial"/>
          <w:b/>
          <w:bCs/>
          <w:spacing w:val="0"/>
          <w:szCs w:val="19"/>
          <w:lang w:val="en-US"/>
        </w:rPr>
      </w:pPr>
      <w:r w:rsidRPr="00191C79">
        <w:rPr>
          <w:rFonts w:cs="Arial"/>
          <w:b/>
          <w:spacing w:val="0"/>
          <w:szCs w:val="19"/>
          <w:lang w:val="en-US"/>
        </w:rPr>
        <w:t>3.</w:t>
      </w:r>
      <w:r w:rsidRPr="00191C79">
        <w:rPr>
          <w:rFonts w:cs="Arial"/>
          <w:b/>
          <w:spacing w:val="0"/>
          <w:szCs w:val="19"/>
          <w:lang w:val="en-US"/>
        </w:rPr>
        <w:tab/>
        <w:t>Inter-Ministerial Committee</w:t>
      </w:r>
    </w:p>
    <w:p w:rsidR="00115EFF" w:rsidRPr="00191C79" w:rsidRDefault="00115EFF" w:rsidP="00D77DBB">
      <w:pPr>
        <w:spacing w:before="120" w:line="240" w:lineRule="auto"/>
        <w:rPr>
          <w:rFonts w:cs="Arial"/>
          <w:bCs/>
          <w:spacing w:val="0"/>
          <w:szCs w:val="19"/>
          <w:lang w:val="en-US"/>
        </w:rPr>
      </w:pPr>
      <w:r w:rsidRPr="00191C79">
        <w:rPr>
          <w:rFonts w:cs="Arial"/>
          <w:spacing w:val="0"/>
          <w:szCs w:val="19"/>
          <w:lang w:val="en-US"/>
        </w:rPr>
        <w:t>3.1</w:t>
      </w:r>
      <w:r w:rsidRPr="00191C79">
        <w:rPr>
          <w:rFonts w:cs="Arial"/>
          <w:spacing w:val="0"/>
          <w:szCs w:val="19"/>
          <w:lang w:val="en-US"/>
        </w:rPr>
        <w:tab/>
        <w:t xml:space="preserve">Subsequently, based on public concern and media reports, Government of India set up an Inter-Ministerial Committee (IMC) on 24.08.2010 consisting of representatives from DoT, Indian Council of Medical Research (Ministry of Health), Department of Biotechnology and Ministry of Environment and Forest to examine the effect of EMF Radiation from mobile base stations and mobile phones. </w:t>
      </w:r>
    </w:p>
    <w:p w:rsidR="00115EFF" w:rsidRPr="00191C79" w:rsidRDefault="00115EFF" w:rsidP="00D77DBB">
      <w:pPr>
        <w:spacing w:before="120" w:line="240" w:lineRule="auto"/>
        <w:rPr>
          <w:rFonts w:cs="Arial"/>
          <w:spacing w:val="0"/>
          <w:szCs w:val="19"/>
          <w:lang w:val="en-US"/>
        </w:rPr>
      </w:pPr>
      <w:r w:rsidRPr="00191C79">
        <w:rPr>
          <w:rFonts w:cs="Arial"/>
          <w:spacing w:val="0"/>
          <w:szCs w:val="19"/>
          <w:lang w:val="en-US"/>
        </w:rPr>
        <w:t>3.2</w:t>
      </w:r>
      <w:r w:rsidRPr="00191C79">
        <w:rPr>
          <w:rFonts w:cs="Arial"/>
          <w:spacing w:val="0"/>
          <w:szCs w:val="19"/>
          <w:lang w:val="en-US"/>
        </w:rPr>
        <w:tab/>
        <w:t>Inter-Ministerial Committee (IMC) in its report submitted in the year 2011 examined the environmental and health related concerns and indicated that most of the laboratory studies were unable to find a direct link between exposure to radio frequency radiation and health; and the scientific studies as yet have not been able to confirm a cause and effect relationship between radio frequency radiation and health. The effect of emission from cell phone towers is not known yet with certainty. The inter-ministerial committee (IMC) examined 90 international and national studies/reference papers, related with the EMF radiation, before finalizing its recommendations.</w:t>
      </w:r>
    </w:p>
    <w:p w:rsidR="00115EFF" w:rsidRPr="00191C79" w:rsidRDefault="00115EFF" w:rsidP="00191C79">
      <w:pPr>
        <w:spacing w:line="240" w:lineRule="auto"/>
        <w:rPr>
          <w:rFonts w:cs="Arial"/>
          <w:bCs/>
          <w:spacing w:val="0"/>
          <w:szCs w:val="19"/>
          <w:lang w:val="en-US"/>
        </w:rPr>
      </w:pPr>
      <w:r w:rsidRPr="00191C79">
        <w:rPr>
          <w:rFonts w:cs="Arial"/>
          <w:spacing w:val="0"/>
          <w:szCs w:val="19"/>
          <w:lang w:val="en-US"/>
        </w:rPr>
        <w:lastRenderedPageBreak/>
        <w:t>3.3</w:t>
      </w:r>
      <w:r w:rsidRPr="00191C79">
        <w:rPr>
          <w:rFonts w:cs="Arial"/>
          <w:spacing w:val="0"/>
          <w:szCs w:val="19"/>
          <w:lang w:val="en-US"/>
        </w:rPr>
        <w:tab/>
        <w:t>However, as a precautionary measure, IMC recommended for lowering of the BTS RF exposure limits to 1/10</w:t>
      </w:r>
      <w:r w:rsidRPr="00191C79">
        <w:rPr>
          <w:rFonts w:cs="Arial"/>
          <w:spacing w:val="0"/>
          <w:szCs w:val="19"/>
          <w:vertAlign w:val="superscript"/>
          <w:lang w:val="en-US"/>
        </w:rPr>
        <w:t>th</w:t>
      </w:r>
      <w:r w:rsidRPr="00191C79">
        <w:rPr>
          <w:rFonts w:cs="Arial"/>
          <w:spacing w:val="0"/>
          <w:szCs w:val="19"/>
          <w:lang w:val="en-US"/>
        </w:rPr>
        <w:t xml:space="preserve"> of the ICNIRP limit and adoption of Specific Absorption Rate (SAR) level for mobile handsets limits to 1.6 Watt/Kg (averaged over 1 gm of tissue) in place 2.0 Watt/Kg in India.</w:t>
      </w:r>
    </w:p>
    <w:p w:rsidR="00115EFF" w:rsidRPr="00191C79" w:rsidRDefault="00115EFF" w:rsidP="00D77DBB">
      <w:pPr>
        <w:spacing w:before="120" w:line="240" w:lineRule="auto"/>
        <w:rPr>
          <w:rFonts w:cs="Arial"/>
          <w:spacing w:val="0"/>
          <w:szCs w:val="19"/>
          <w:lang w:val="en-US"/>
        </w:rPr>
      </w:pPr>
      <w:r w:rsidRPr="00191C79">
        <w:rPr>
          <w:rFonts w:cs="Arial"/>
          <w:spacing w:val="0"/>
          <w:szCs w:val="19"/>
          <w:lang w:val="en-US"/>
        </w:rPr>
        <w:t>3.4</w:t>
      </w:r>
      <w:r w:rsidRPr="00191C79">
        <w:rPr>
          <w:rFonts w:cs="Arial"/>
          <w:spacing w:val="0"/>
          <w:szCs w:val="19"/>
          <w:lang w:val="en-US"/>
        </w:rPr>
        <w:tab/>
        <w:t>The recommendations of the Inter Ministerial Committee were accepted by the Government of India. Accordingly, in respect of BTS, norms for exposure limit for the Radio Frequency Field (Base Station Emissions) were reduced to 1/10</w:t>
      </w:r>
      <w:r w:rsidRPr="00191C79">
        <w:rPr>
          <w:rFonts w:cs="Arial"/>
          <w:spacing w:val="0"/>
          <w:szCs w:val="19"/>
          <w:vertAlign w:val="superscript"/>
          <w:lang w:val="en-US"/>
        </w:rPr>
        <w:t>th</w:t>
      </w:r>
      <w:r w:rsidRPr="00191C79">
        <w:rPr>
          <w:rFonts w:cs="Arial"/>
          <w:spacing w:val="0"/>
          <w:szCs w:val="19"/>
          <w:lang w:val="en-US"/>
        </w:rPr>
        <w:t xml:space="preserve"> of the limits prescribed by ICNIRP with effect from 1</w:t>
      </w:r>
      <w:r w:rsidRPr="00191C79">
        <w:rPr>
          <w:rFonts w:cs="Arial"/>
          <w:spacing w:val="0"/>
          <w:szCs w:val="19"/>
          <w:vertAlign w:val="superscript"/>
          <w:lang w:val="en-US"/>
        </w:rPr>
        <w:t>st</w:t>
      </w:r>
      <w:r w:rsidRPr="00191C79">
        <w:rPr>
          <w:rFonts w:cs="Arial"/>
          <w:spacing w:val="0"/>
          <w:szCs w:val="19"/>
          <w:lang w:val="en-US"/>
        </w:rPr>
        <w:t xml:space="preserve"> September 2012. The revised limits/levels for India for BTS Emission </w:t>
      </w:r>
      <w:proofErr w:type="gramStart"/>
      <w:r w:rsidRPr="00191C79">
        <w:rPr>
          <w:rFonts w:cs="Arial"/>
          <w:spacing w:val="0"/>
          <w:szCs w:val="19"/>
          <w:lang w:val="en-US"/>
        </w:rPr>
        <w:t>is</w:t>
      </w:r>
      <w:proofErr w:type="gramEnd"/>
      <w:r w:rsidRPr="00191C79">
        <w:rPr>
          <w:rFonts w:cs="Arial"/>
          <w:spacing w:val="0"/>
          <w:szCs w:val="19"/>
          <w:lang w:val="en-US"/>
        </w:rPr>
        <w:t xml:space="preserve"> as below:</w:t>
      </w:r>
    </w:p>
    <w:p w:rsidR="00115EFF" w:rsidRPr="00191C79" w:rsidRDefault="00115EFF" w:rsidP="00191C79">
      <w:pPr>
        <w:spacing w:line="240" w:lineRule="auto"/>
        <w:rPr>
          <w:rFonts w:cs="Arial"/>
          <w:bCs/>
          <w:spacing w:val="0"/>
          <w:szCs w:val="19"/>
          <w:lang w:val="en-US"/>
        </w:rPr>
      </w:pPr>
    </w:p>
    <w:tbl>
      <w:tblPr>
        <w:tblStyle w:val="Style1"/>
        <w:tblW w:w="4913" w:type="pct"/>
        <w:jc w:val="center"/>
        <w:tblInd w:w="162" w:type="dxa"/>
        <w:tblLook w:val="01E0" w:firstRow="1" w:lastRow="1" w:firstColumn="1" w:lastColumn="1" w:noHBand="0" w:noVBand="0"/>
      </w:tblPr>
      <w:tblGrid>
        <w:gridCol w:w="2157"/>
        <w:gridCol w:w="2161"/>
        <w:gridCol w:w="2659"/>
        <w:gridCol w:w="2148"/>
      </w:tblGrid>
      <w:tr w:rsidR="00115EFF" w:rsidRPr="004D6922" w:rsidTr="00774FEC">
        <w:trPr>
          <w:cnfStyle w:val="100000000000" w:firstRow="1" w:lastRow="0" w:firstColumn="0" w:lastColumn="0" w:oddVBand="0" w:evenVBand="0" w:oddHBand="0" w:evenHBand="0" w:firstRowFirstColumn="0" w:firstRowLastColumn="0" w:lastRowFirstColumn="0" w:lastRowLastColumn="0"/>
          <w:jc w:val="center"/>
        </w:trPr>
        <w:tc>
          <w:tcPr>
            <w:tcW w:w="2157" w:type="dxa"/>
          </w:tcPr>
          <w:p w:rsidR="00115EFF" w:rsidRPr="00191C79" w:rsidRDefault="00115EFF" w:rsidP="00191C79">
            <w:pPr>
              <w:pStyle w:val="Tablehead"/>
              <w:spacing w:line="240" w:lineRule="auto"/>
              <w:rPr>
                <w:spacing w:val="0"/>
              </w:rPr>
            </w:pPr>
            <w:r w:rsidRPr="00191C79">
              <w:rPr>
                <w:spacing w:val="0"/>
              </w:rPr>
              <w:t>Frequency Range</w:t>
            </w:r>
          </w:p>
        </w:tc>
        <w:tc>
          <w:tcPr>
            <w:tcW w:w="2161" w:type="dxa"/>
          </w:tcPr>
          <w:p w:rsidR="00115EFF" w:rsidRPr="00191C79" w:rsidRDefault="00115EFF" w:rsidP="00191C79">
            <w:pPr>
              <w:pStyle w:val="Tablehead"/>
              <w:spacing w:line="240" w:lineRule="auto"/>
              <w:rPr>
                <w:spacing w:val="0"/>
                <w:lang w:val="de-CH"/>
              </w:rPr>
            </w:pPr>
            <w:r w:rsidRPr="00191C79">
              <w:rPr>
                <w:spacing w:val="0"/>
                <w:lang w:val="de-CH"/>
              </w:rPr>
              <w:t>E-Field Strength ( Volt/Meter (V/m))</w:t>
            </w:r>
          </w:p>
        </w:tc>
        <w:tc>
          <w:tcPr>
            <w:tcW w:w="2659" w:type="dxa"/>
          </w:tcPr>
          <w:p w:rsidR="00115EFF" w:rsidRPr="00191C79" w:rsidRDefault="00115EFF" w:rsidP="00191C79">
            <w:pPr>
              <w:pStyle w:val="Tablehead"/>
              <w:spacing w:line="240" w:lineRule="auto"/>
              <w:rPr>
                <w:spacing w:val="0"/>
              </w:rPr>
            </w:pPr>
            <w:r w:rsidRPr="00191C79">
              <w:rPr>
                <w:spacing w:val="0"/>
              </w:rPr>
              <w:t>H-Field Strength (Amp/Meter (A/m))</w:t>
            </w:r>
          </w:p>
        </w:tc>
        <w:tc>
          <w:tcPr>
            <w:tcW w:w="2148" w:type="dxa"/>
          </w:tcPr>
          <w:p w:rsidR="00115EFF" w:rsidRPr="00191C79" w:rsidRDefault="00115EFF" w:rsidP="00191C79">
            <w:pPr>
              <w:pStyle w:val="Tablehead"/>
              <w:spacing w:line="240" w:lineRule="auto"/>
              <w:rPr>
                <w:spacing w:val="0"/>
              </w:rPr>
            </w:pPr>
            <w:r w:rsidRPr="00191C79">
              <w:rPr>
                <w:spacing w:val="0"/>
              </w:rPr>
              <w:t>Power Density (Watt/</w:t>
            </w:r>
            <w:proofErr w:type="spellStart"/>
            <w:r w:rsidRPr="00191C79">
              <w:rPr>
                <w:spacing w:val="0"/>
              </w:rPr>
              <w:t>Sq.Meter</w:t>
            </w:r>
            <w:proofErr w:type="spellEnd"/>
            <w:r w:rsidRPr="00191C79">
              <w:rPr>
                <w:spacing w:val="0"/>
              </w:rPr>
              <w:t xml:space="preserve"> (W/</w:t>
            </w:r>
            <w:proofErr w:type="spellStart"/>
            <w:r w:rsidRPr="00191C79">
              <w:rPr>
                <w:spacing w:val="0"/>
              </w:rPr>
              <w:t>Sq.m</w:t>
            </w:r>
            <w:proofErr w:type="spellEnd"/>
            <w:r w:rsidRPr="00191C79">
              <w:rPr>
                <w:spacing w:val="0"/>
              </w:rPr>
              <w:t>))</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jc w:val="center"/>
        </w:trPr>
        <w:tc>
          <w:tcPr>
            <w:tcW w:w="2157" w:type="dxa"/>
          </w:tcPr>
          <w:p w:rsidR="00115EFF" w:rsidRPr="00191C79" w:rsidRDefault="00115EFF" w:rsidP="00191C79">
            <w:pPr>
              <w:pStyle w:val="Tabletext"/>
              <w:spacing w:line="240" w:lineRule="auto"/>
              <w:rPr>
                <w:spacing w:val="0"/>
              </w:rPr>
            </w:pPr>
            <w:r w:rsidRPr="00191C79">
              <w:rPr>
                <w:spacing w:val="0"/>
              </w:rPr>
              <w:t>400MHz to 2000MHz</w:t>
            </w:r>
          </w:p>
        </w:tc>
        <w:tc>
          <w:tcPr>
            <w:tcW w:w="2161" w:type="dxa"/>
          </w:tcPr>
          <w:p w:rsidR="00115EFF" w:rsidRPr="00191C79" w:rsidRDefault="00115EFF" w:rsidP="00191C79">
            <w:pPr>
              <w:pStyle w:val="Tabletext"/>
              <w:spacing w:line="240" w:lineRule="auto"/>
              <w:rPr>
                <w:spacing w:val="0"/>
              </w:rPr>
            </w:pPr>
            <w:r w:rsidRPr="00191C79">
              <w:rPr>
                <w:spacing w:val="0"/>
              </w:rPr>
              <w:t xml:space="preserve">0.434f </w:t>
            </w:r>
            <w:r w:rsidRPr="00191C79">
              <w:rPr>
                <w:spacing w:val="0"/>
                <w:vertAlign w:val="superscript"/>
              </w:rPr>
              <w:t>½</w:t>
            </w:r>
          </w:p>
        </w:tc>
        <w:tc>
          <w:tcPr>
            <w:tcW w:w="2659" w:type="dxa"/>
          </w:tcPr>
          <w:p w:rsidR="00115EFF" w:rsidRPr="00191C79" w:rsidRDefault="00115EFF" w:rsidP="00191C79">
            <w:pPr>
              <w:pStyle w:val="Tabletext"/>
              <w:spacing w:line="240" w:lineRule="auto"/>
              <w:rPr>
                <w:spacing w:val="0"/>
              </w:rPr>
            </w:pPr>
            <w:r w:rsidRPr="00191C79">
              <w:rPr>
                <w:spacing w:val="0"/>
              </w:rPr>
              <w:t xml:space="preserve">0.0011f </w:t>
            </w:r>
            <w:r w:rsidRPr="00191C79">
              <w:rPr>
                <w:spacing w:val="0"/>
                <w:vertAlign w:val="superscript"/>
              </w:rPr>
              <w:t>½</w:t>
            </w:r>
          </w:p>
        </w:tc>
        <w:tc>
          <w:tcPr>
            <w:tcW w:w="2148" w:type="dxa"/>
          </w:tcPr>
          <w:p w:rsidR="00115EFF" w:rsidRPr="00191C79" w:rsidRDefault="00115EFF" w:rsidP="00191C79">
            <w:pPr>
              <w:pStyle w:val="Tabletext"/>
              <w:spacing w:line="240" w:lineRule="auto"/>
              <w:rPr>
                <w:spacing w:val="0"/>
              </w:rPr>
            </w:pPr>
            <w:r w:rsidRPr="00191C79">
              <w:rPr>
                <w:spacing w:val="0"/>
              </w:rPr>
              <w:t>f/2000</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jc w:val="center"/>
        </w:trPr>
        <w:tc>
          <w:tcPr>
            <w:tcW w:w="2157" w:type="dxa"/>
          </w:tcPr>
          <w:p w:rsidR="00115EFF" w:rsidRPr="00191C79" w:rsidRDefault="00115EFF" w:rsidP="00191C79">
            <w:pPr>
              <w:pStyle w:val="Tabletext"/>
              <w:spacing w:line="240" w:lineRule="auto"/>
              <w:rPr>
                <w:spacing w:val="0"/>
              </w:rPr>
            </w:pPr>
            <w:r w:rsidRPr="00191C79">
              <w:rPr>
                <w:spacing w:val="0"/>
              </w:rPr>
              <w:t>2GHz to 300GHz</w:t>
            </w:r>
          </w:p>
        </w:tc>
        <w:tc>
          <w:tcPr>
            <w:tcW w:w="2161" w:type="dxa"/>
          </w:tcPr>
          <w:p w:rsidR="00115EFF" w:rsidRPr="00191C79" w:rsidRDefault="00115EFF" w:rsidP="00191C79">
            <w:pPr>
              <w:pStyle w:val="Tabletext"/>
              <w:spacing w:line="240" w:lineRule="auto"/>
              <w:rPr>
                <w:spacing w:val="0"/>
              </w:rPr>
            </w:pPr>
            <w:r w:rsidRPr="00191C79">
              <w:rPr>
                <w:spacing w:val="0"/>
              </w:rPr>
              <w:t>19.29</w:t>
            </w:r>
          </w:p>
        </w:tc>
        <w:tc>
          <w:tcPr>
            <w:tcW w:w="2659" w:type="dxa"/>
          </w:tcPr>
          <w:p w:rsidR="00115EFF" w:rsidRPr="00191C79" w:rsidRDefault="00115EFF" w:rsidP="00191C79">
            <w:pPr>
              <w:pStyle w:val="Tabletext"/>
              <w:spacing w:line="240" w:lineRule="auto"/>
              <w:rPr>
                <w:spacing w:val="0"/>
              </w:rPr>
            </w:pPr>
            <w:r w:rsidRPr="00191C79">
              <w:rPr>
                <w:spacing w:val="0"/>
              </w:rPr>
              <w:t>0.05</w:t>
            </w:r>
          </w:p>
        </w:tc>
        <w:tc>
          <w:tcPr>
            <w:tcW w:w="2148" w:type="dxa"/>
          </w:tcPr>
          <w:p w:rsidR="00115EFF" w:rsidRPr="00191C79" w:rsidRDefault="00115EFF" w:rsidP="00191C79">
            <w:pPr>
              <w:pStyle w:val="Tabletext"/>
              <w:spacing w:line="240" w:lineRule="auto"/>
              <w:rPr>
                <w:spacing w:val="0"/>
              </w:rPr>
            </w:pPr>
            <w:r w:rsidRPr="00191C79">
              <w:rPr>
                <w:spacing w:val="0"/>
              </w:rPr>
              <w:t>1</w:t>
            </w:r>
          </w:p>
        </w:tc>
      </w:tr>
    </w:tbl>
    <w:p w:rsidR="00115EFF" w:rsidRPr="00191C79" w:rsidRDefault="00115EFF" w:rsidP="00191C79">
      <w:pPr>
        <w:pStyle w:val="Tablesource"/>
        <w:spacing w:line="240" w:lineRule="auto"/>
        <w:rPr>
          <w:spacing w:val="0"/>
        </w:rPr>
      </w:pPr>
      <w:r w:rsidRPr="00191C79">
        <w:rPr>
          <w:spacing w:val="0"/>
        </w:rPr>
        <w:t>(f = frequency in MHz)</w:t>
      </w:r>
    </w:p>
    <w:p w:rsidR="00115EFF" w:rsidRPr="00191C79" w:rsidRDefault="00115EFF" w:rsidP="002163B8">
      <w:pPr>
        <w:spacing w:before="120" w:line="240" w:lineRule="auto"/>
        <w:rPr>
          <w:rFonts w:cs="Arial"/>
          <w:spacing w:val="0"/>
          <w:szCs w:val="19"/>
          <w:lang w:val="en-US"/>
        </w:rPr>
      </w:pPr>
      <w:r w:rsidRPr="00191C79">
        <w:rPr>
          <w:rFonts w:cs="Arial"/>
          <w:spacing w:val="0"/>
          <w:szCs w:val="19"/>
          <w:lang w:val="en-US"/>
        </w:rPr>
        <w:t>3.5</w:t>
      </w:r>
      <w:r w:rsidRPr="00191C79">
        <w:rPr>
          <w:rFonts w:cs="Arial"/>
          <w:spacing w:val="0"/>
          <w:szCs w:val="19"/>
          <w:lang w:val="en-US"/>
        </w:rPr>
        <w:tab/>
        <w:t>In respect of Mobile Handsets, the following directions were issued regarding Specific Absorption Rate (SAR) level:</w:t>
      </w:r>
    </w:p>
    <w:p w:rsidR="00115EFF" w:rsidRPr="00191C79" w:rsidRDefault="00115EFF" w:rsidP="002163B8">
      <w:pPr>
        <w:pStyle w:val="Enumlevel1"/>
        <w:spacing w:before="120" w:line="240" w:lineRule="auto"/>
        <w:rPr>
          <w:spacing w:val="0"/>
        </w:rPr>
      </w:pPr>
      <w:r w:rsidRPr="00191C79">
        <w:rPr>
          <w:spacing w:val="0"/>
        </w:rPr>
        <w:t>(</w:t>
      </w:r>
      <w:proofErr w:type="spellStart"/>
      <w:r w:rsidRPr="00191C79">
        <w:rPr>
          <w:spacing w:val="0"/>
        </w:rPr>
        <w:t>i</w:t>
      </w:r>
      <w:proofErr w:type="spellEnd"/>
      <w:r w:rsidRPr="00191C79">
        <w:rPr>
          <w:spacing w:val="0"/>
        </w:rPr>
        <w:t>)</w:t>
      </w:r>
      <w:r w:rsidRPr="00191C79">
        <w:rPr>
          <w:spacing w:val="0"/>
        </w:rPr>
        <w:tab/>
        <w:t>SAR level for mobile handsets shall be limited to 1.6 Watt/Kg, average over a mass of 1 gram of human tissue.</w:t>
      </w:r>
    </w:p>
    <w:p w:rsidR="00115EFF" w:rsidRPr="00191C79" w:rsidRDefault="00115EFF" w:rsidP="002163B8">
      <w:pPr>
        <w:pStyle w:val="Enumlevel1"/>
        <w:spacing w:before="120" w:line="240" w:lineRule="auto"/>
        <w:rPr>
          <w:spacing w:val="0"/>
        </w:rPr>
      </w:pPr>
      <w:r w:rsidRPr="00191C79">
        <w:rPr>
          <w:spacing w:val="0"/>
        </w:rPr>
        <w:t>(ii)</w:t>
      </w:r>
      <w:r w:rsidRPr="00191C79">
        <w:rPr>
          <w:spacing w:val="0"/>
        </w:rPr>
        <w:tab/>
        <w:t>All the new design of mobile handsets shall comply with the SAR level of 1.6 Watt/Kg averaged over a mass of 1 gram tissue with effect from 1</w:t>
      </w:r>
      <w:r w:rsidRPr="00191C79">
        <w:rPr>
          <w:spacing w:val="0"/>
          <w:vertAlign w:val="superscript"/>
        </w:rPr>
        <w:t>st</w:t>
      </w:r>
      <w:r w:rsidRPr="00191C79">
        <w:rPr>
          <w:spacing w:val="0"/>
        </w:rPr>
        <w:t xml:space="preserve"> September, 2012. However, the mobile handsets with existing designs, which are compliant with 2.0 Watt/Kg averaged over a mass of 10 gram tissue, may continue to co-exist up to 31</w:t>
      </w:r>
      <w:r w:rsidRPr="00191C79">
        <w:rPr>
          <w:spacing w:val="0"/>
          <w:vertAlign w:val="superscript"/>
        </w:rPr>
        <w:t>st</w:t>
      </w:r>
      <w:r w:rsidRPr="00191C79">
        <w:rPr>
          <w:spacing w:val="0"/>
        </w:rPr>
        <w:t xml:space="preserve"> August 2013.</w:t>
      </w:r>
    </w:p>
    <w:p w:rsidR="00115EFF" w:rsidRPr="00191C79" w:rsidRDefault="00115EFF" w:rsidP="002163B8">
      <w:pPr>
        <w:pStyle w:val="Enumlevel1"/>
        <w:spacing w:before="120" w:line="240" w:lineRule="auto"/>
        <w:rPr>
          <w:spacing w:val="0"/>
        </w:rPr>
      </w:pPr>
      <w:r w:rsidRPr="00191C79">
        <w:rPr>
          <w:spacing w:val="0"/>
        </w:rPr>
        <w:t>(iii)</w:t>
      </w:r>
      <w:r w:rsidRPr="00191C79">
        <w:rPr>
          <w:spacing w:val="0"/>
        </w:rPr>
        <w:tab/>
        <w:t>From 1</w:t>
      </w:r>
      <w:r w:rsidRPr="00191C79">
        <w:rPr>
          <w:spacing w:val="0"/>
          <w:vertAlign w:val="superscript"/>
        </w:rPr>
        <w:t>st</w:t>
      </w:r>
      <w:r w:rsidRPr="00191C79">
        <w:rPr>
          <w:spacing w:val="0"/>
        </w:rPr>
        <w:t xml:space="preserve"> September 2013, only the mobile handsets with revised SAR value of 1.6 Watt/Kg are permitted to be manufactured or imported in India for domestic market.</w:t>
      </w:r>
    </w:p>
    <w:p w:rsidR="00115EFF" w:rsidRPr="00191C79" w:rsidRDefault="00115EFF" w:rsidP="002163B8">
      <w:pPr>
        <w:spacing w:before="120" w:line="240" w:lineRule="auto"/>
        <w:rPr>
          <w:spacing w:val="0"/>
          <w:lang w:val="en-US"/>
        </w:rPr>
      </w:pPr>
      <w:r w:rsidRPr="00191C79">
        <w:rPr>
          <w:spacing w:val="0"/>
          <w:lang w:val="en-US"/>
        </w:rPr>
        <w:t>3.6</w:t>
      </w:r>
      <w:r w:rsidRPr="00191C79">
        <w:rPr>
          <w:spacing w:val="0"/>
          <w:lang w:val="en-US"/>
        </w:rPr>
        <w:tab/>
        <w:t>DoT has also set-up a laboratory in the Telecommunication Engineering Centre (TEC), for testing of SAR value of mobile handsets imported/manufactured in India.</w:t>
      </w:r>
    </w:p>
    <w:p w:rsidR="00115EFF" w:rsidRPr="00191C79" w:rsidRDefault="00115EFF" w:rsidP="002163B8">
      <w:pPr>
        <w:keepNext/>
        <w:autoSpaceDE w:val="0"/>
        <w:autoSpaceDN w:val="0"/>
        <w:spacing w:before="120" w:line="240" w:lineRule="auto"/>
        <w:rPr>
          <w:rFonts w:eastAsia="Calibri" w:cs="Arial"/>
          <w:spacing w:val="0"/>
          <w:szCs w:val="19"/>
          <w:lang w:val="en-US"/>
        </w:rPr>
      </w:pPr>
      <w:r w:rsidRPr="00191C79">
        <w:rPr>
          <w:rFonts w:eastAsia="Calibri" w:cs="Arial"/>
          <w:spacing w:val="0"/>
          <w:szCs w:val="19"/>
          <w:lang w:val="en-US"/>
        </w:rPr>
        <w:t>4.</w:t>
      </w:r>
      <w:r w:rsidRPr="00191C79">
        <w:rPr>
          <w:rFonts w:eastAsia="Calibri" w:cs="Arial"/>
          <w:spacing w:val="0"/>
          <w:szCs w:val="19"/>
          <w:lang w:val="en-US"/>
        </w:rPr>
        <w:tab/>
        <w:t>Further, following steps have also been taken by Department of Telecommunications for the awareness of the general public in respect of EMF Radiation:</w:t>
      </w:r>
    </w:p>
    <w:p w:rsidR="00115EFF" w:rsidRPr="00191C79" w:rsidRDefault="00115EFF" w:rsidP="002163B8">
      <w:pPr>
        <w:spacing w:before="120" w:line="240" w:lineRule="auto"/>
        <w:rPr>
          <w:rFonts w:cs="Arial"/>
          <w:spacing w:val="0"/>
          <w:szCs w:val="19"/>
          <w:lang w:val="en-US"/>
        </w:rPr>
      </w:pPr>
      <w:r w:rsidRPr="00191C79">
        <w:rPr>
          <w:rFonts w:cs="Arial"/>
          <w:spacing w:val="0"/>
          <w:szCs w:val="19"/>
          <w:lang w:val="en-US"/>
        </w:rPr>
        <w:t>4.1</w:t>
      </w:r>
      <w:r w:rsidRPr="00191C79">
        <w:rPr>
          <w:rFonts w:cs="Arial"/>
          <w:spacing w:val="0"/>
          <w:szCs w:val="19"/>
          <w:lang w:val="en-US"/>
        </w:rPr>
        <w:tab/>
        <w:t xml:space="preserve">General awareness </w:t>
      </w:r>
      <w:proofErr w:type="spellStart"/>
      <w:r w:rsidRPr="00191C79">
        <w:rPr>
          <w:rFonts w:cs="Arial"/>
          <w:spacing w:val="0"/>
          <w:szCs w:val="19"/>
          <w:lang w:val="en-US"/>
        </w:rPr>
        <w:t>programmes</w:t>
      </w:r>
      <w:proofErr w:type="spellEnd"/>
      <w:r w:rsidRPr="00191C79">
        <w:rPr>
          <w:rFonts w:cs="Arial"/>
          <w:spacing w:val="0"/>
          <w:szCs w:val="19"/>
          <w:lang w:val="en-US"/>
        </w:rPr>
        <w:t xml:space="preserve"> / seminars regarding the steps taken for safety of public health from mobile tower radiation are being conducted by the Associations of Mobile Service Providers in various major cities. </w:t>
      </w:r>
    </w:p>
    <w:p w:rsidR="00115EFF" w:rsidRPr="00191C79" w:rsidRDefault="00115EFF" w:rsidP="002163B8">
      <w:pPr>
        <w:spacing w:before="120" w:line="240" w:lineRule="auto"/>
        <w:rPr>
          <w:rFonts w:cs="Arial"/>
          <w:spacing w:val="0"/>
          <w:szCs w:val="19"/>
          <w:lang w:val="en-US"/>
        </w:rPr>
      </w:pPr>
      <w:r w:rsidRPr="00191C79">
        <w:rPr>
          <w:rFonts w:cs="Arial"/>
          <w:spacing w:val="0"/>
          <w:szCs w:val="19"/>
          <w:lang w:val="en-US"/>
        </w:rPr>
        <w:t>4.2</w:t>
      </w:r>
      <w:r w:rsidRPr="00191C79">
        <w:rPr>
          <w:rFonts w:cs="Arial"/>
          <w:spacing w:val="0"/>
          <w:szCs w:val="19"/>
          <w:lang w:val="en-US"/>
        </w:rPr>
        <w:tab/>
        <w:t>A ‘Precautionary Guidelines for Mobile User’ advising to take certain precautions while using/purchasing the mobile handsets has been placed on DoT website.</w:t>
      </w:r>
    </w:p>
    <w:p w:rsidR="00115EFF" w:rsidRPr="00191C79" w:rsidRDefault="00115EFF" w:rsidP="002163B8">
      <w:pPr>
        <w:spacing w:before="120" w:line="240" w:lineRule="auto"/>
        <w:rPr>
          <w:rFonts w:cs="Arial"/>
          <w:spacing w:val="0"/>
          <w:szCs w:val="19"/>
          <w:lang w:val="en-US"/>
        </w:rPr>
      </w:pPr>
      <w:r w:rsidRPr="00191C79">
        <w:rPr>
          <w:rFonts w:cs="Arial"/>
          <w:spacing w:val="0"/>
          <w:szCs w:val="19"/>
          <w:lang w:val="en-US"/>
        </w:rPr>
        <w:t>4.3</w:t>
      </w:r>
      <w:r w:rsidRPr="00191C79">
        <w:rPr>
          <w:rFonts w:cs="Arial"/>
          <w:spacing w:val="0"/>
          <w:szCs w:val="19"/>
          <w:lang w:val="en-US"/>
        </w:rPr>
        <w:tab/>
        <w:t>An informative guide on ‘Mobile Communications-Radio Waves and Safety’ has been issued and the same is also available on DoT website. The document covers a basic introduction to radio waves, various terminologies, Do’s &amp; Don’ts related to mobile phone usage, clarification of various myths regarding deployment, use of Radio waves / Safety Standards and frequently asked questions relating to Mobile phones &amp; Human health. The document shall help in facilitating the right inputs and creating an environment where everyone can use the radio wave safely.</w:t>
      </w:r>
    </w:p>
    <w:p w:rsidR="00115EFF" w:rsidRPr="00191C79" w:rsidRDefault="00115EFF" w:rsidP="002163B8">
      <w:pPr>
        <w:spacing w:before="120" w:line="240" w:lineRule="auto"/>
        <w:rPr>
          <w:rFonts w:cs="Arial"/>
          <w:spacing w:val="0"/>
          <w:szCs w:val="19"/>
          <w:lang w:val="en-US"/>
        </w:rPr>
      </w:pPr>
      <w:r w:rsidRPr="00191C79">
        <w:rPr>
          <w:rFonts w:cs="Arial"/>
          <w:spacing w:val="0"/>
          <w:szCs w:val="19"/>
          <w:lang w:val="en-US"/>
        </w:rPr>
        <w:t>4.4</w:t>
      </w:r>
      <w:r w:rsidRPr="00191C79">
        <w:rPr>
          <w:rFonts w:cs="Arial"/>
          <w:spacing w:val="0"/>
          <w:szCs w:val="19"/>
          <w:lang w:val="en-US"/>
        </w:rPr>
        <w:tab/>
      </w:r>
      <w:hyperlink r:id="rId31" w:history="1">
        <w:r w:rsidRPr="00191C79">
          <w:rPr>
            <w:rStyle w:val="Hyperlink"/>
            <w:rFonts w:cs="Arial"/>
            <w:spacing w:val="0"/>
            <w:szCs w:val="19"/>
            <w:lang w:val="en-US"/>
          </w:rPr>
          <w:t>Advertisements</w:t>
        </w:r>
      </w:hyperlink>
      <w:r w:rsidRPr="00191C79">
        <w:rPr>
          <w:rFonts w:cs="Arial"/>
          <w:spacing w:val="0"/>
          <w:szCs w:val="19"/>
          <w:lang w:val="en-US"/>
        </w:rPr>
        <w:t xml:space="preserve"> for ensuring safety from radiations of Mobile Towers &amp; handsets </w:t>
      </w:r>
      <w:proofErr w:type="gramStart"/>
      <w:r w:rsidRPr="00191C79">
        <w:rPr>
          <w:rFonts w:cs="Arial"/>
          <w:spacing w:val="0"/>
          <w:szCs w:val="19"/>
          <w:lang w:val="en-US"/>
        </w:rPr>
        <w:t>has</w:t>
      </w:r>
      <w:proofErr w:type="gramEnd"/>
      <w:r w:rsidRPr="00191C79">
        <w:rPr>
          <w:rFonts w:cs="Arial"/>
          <w:spacing w:val="0"/>
          <w:szCs w:val="19"/>
          <w:lang w:val="en-US"/>
        </w:rPr>
        <w:t xml:space="preserve"> been issued by DoT which has been published in National &amp;</w:t>
      </w:r>
      <w:hyperlink r:id="rId32" w:history="1">
        <w:r w:rsidRPr="00191C79">
          <w:rPr>
            <w:rStyle w:val="Hyperlink"/>
            <w:rFonts w:cs="Arial"/>
            <w:spacing w:val="0"/>
            <w:szCs w:val="19"/>
            <w:lang w:val="en-US"/>
          </w:rPr>
          <w:t>Regional</w:t>
        </w:r>
      </w:hyperlink>
      <w:r w:rsidRPr="00191C79">
        <w:rPr>
          <w:rStyle w:val="Hyperlink"/>
          <w:rFonts w:cs="Arial"/>
          <w:spacing w:val="0"/>
          <w:szCs w:val="19"/>
          <w:lang w:val="en-US"/>
        </w:rPr>
        <w:t xml:space="preserve"> </w:t>
      </w:r>
      <w:hyperlink r:id="rId33" w:history="1"/>
      <w:r w:rsidRPr="00191C79">
        <w:rPr>
          <w:rFonts w:cs="Arial"/>
          <w:spacing w:val="0"/>
          <w:szCs w:val="19"/>
          <w:lang w:val="en-US"/>
        </w:rPr>
        <w:t>Newspapers.</w:t>
      </w:r>
    </w:p>
    <w:p w:rsidR="00115EFF" w:rsidRPr="00191C79" w:rsidRDefault="00115EFF" w:rsidP="00D77DBB">
      <w:pPr>
        <w:autoSpaceDE w:val="0"/>
        <w:autoSpaceDN w:val="0"/>
        <w:spacing w:before="120" w:line="240" w:lineRule="auto"/>
        <w:rPr>
          <w:rFonts w:cs="Arial"/>
          <w:spacing w:val="0"/>
          <w:szCs w:val="19"/>
          <w:lang w:val="en-US"/>
        </w:rPr>
      </w:pPr>
      <w:r w:rsidRPr="00191C79">
        <w:rPr>
          <w:rFonts w:eastAsia="Calibri" w:cs="Arial"/>
          <w:spacing w:val="0"/>
          <w:szCs w:val="19"/>
          <w:lang w:val="en-US"/>
        </w:rPr>
        <w:t>4.5</w:t>
      </w:r>
      <w:r w:rsidRPr="00191C79">
        <w:rPr>
          <w:rFonts w:eastAsia="Calibri" w:cs="Arial"/>
          <w:spacing w:val="0"/>
          <w:szCs w:val="19"/>
          <w:lang w:val="en-US"/>
        </w:rPr>
        <w:tab/>
        <w:t>A</w:t>
      </w:r>
      <w:r w:rsidRPr="00191C79">
        <w:rPr>
          <w:rFonts w:cs="Arial"/>
          <w:spacing w:val="0"/>
          <w:szCs w:val="19"/>
          <w:lang w:val="en-US"/>
        </w:rPr>
        <w:t xml:space="preserve"> Complaint Handling System for Electro Magnetic Field (EMF) Radiation from Mobile Towers has also been launched by DoT in October 2012 in Mumbai. The online facility is available on DoT website </w:t>
      </w:r>
      <w:hyperlink r:id="rId34" w:history="1">
        <w:r w:rsidRPr="00191C79">
          <w:rPr>
            <w:rStyle w:val="Hyperlink"/>
            <w:rFonts w:cs="Arial"/>
            <w:spacing w:val="0"/>
            <w:szCs w:val="19"/>
            <w:lang w:val="en-US"/>
          </w:rPr>
          <w:t>http://www.dot.gov.in/</w:t>
        </w:r>
      </w:hyperlink>
      <w:r w:rsidRPr="00191C79">
        <w:rPr>
          <w:rStyle w:val="Hyperlink"/>
          <w:rFonts w:cs="Arial"/>
          <w:spacing w:val="0"/>
          <w:szCs w:val="19"/>
          <w:lang w:val="en-US"/>
        </w:rPr>
        <w:t xml:space="preserve"> </w:t>
      </w:r>
      <w:r w:rsidRPr="00191C79">
        <w:rPr>
          <w:rFonts w:cs="Arial"/>
          <w:spacing w:val="0"/>
          <w:szCs w:val="19"/>
          <w:lang w:val="en-US"/>
        </w:rPr>
        <w:t>through a link “Public Grievance – EMF Radiation”.</w:t>
      </w:r>
      <w:r w:rsidRPr="00191C79">
        <w:rPr>
          <w:rFonts w:cs="Arial"/>
          <w:spacing w:val="0"/>
          <w:szCs w:val="19"/>
          <w:lang w:val="en-US"/>
        </w:rPr>
        <w:br w:type="page"/>
      </w:r>
    </w:p>
    <w:p w:rsidR="00115EFF" w:rsidRPr="00191C79" w:rsidRDefault="00115EFF" w:rsidP="00D77DBB">
      <w:pPr>
        <w:autoSpaceDE w:val="0"/>
        <w:autoSpaceDN w:val="0"/>
        <w:spacing w:before="120" w:line="240" w:lineRule="auto"/>
        <w:rPr>
          <w:rFonts w:cs="Arial"/>
          <w:spacing w:val="0"/>
          <w:szCs w:val="19"/>
          <w:lang w:val="en-US"/>
        </w:rPr>
      </w:pPr>
      <w:r w:rsidRPr="00191C79">
        <w:rPr>
          <w:rFonts w:cs="Arial"/>
          <w:spacing w:val="0"/>
          <w:szCs w:val="19"/>
          <w:lang w:val="en-US"/>
        </w:rPr>
        <w:lastRenderedPageBreak/>
        <w:t>4.6</w:t>
      </w:r>
      <w:r w:rsidRPr="00191C79">
        <w:rPr>
          <w:rFonts w:cs="Arial"/>
          <w:spacing w:val="0"/>
          <w:szCs w:val="19"/>
          <w:lang w:val="en-US"/>
        </w:rPr>
        <w:tab/>
        <w:t>Guidelines for State Government / Local Bodies for issue of clearance for installation of mobile towers at various locations in the licensed service area are under finalization. Similarly, various parameters to be checked by TERM Cell units to monitor the Radiation levels are also under finalization.</w:t>
      </w:r>
    </w:p>
    <w:p w:rsidR="00115EFF" w:rsidRPr="00191C79" w:rsidRDefault="00115EFF" w:rsidP="00D77DBB">
      <w:pPr>
        <w:autoSpaceDE w:val="0"/>
        <w:autoSpaceDN w:val="0"/>
        <w:spacing w:before="120" w:line="240" w:lineRule="auto"/>
        <w:rPr>
          <w:rFonts w:cs="Arial"/>
          <w:spacing w:val="0"/>
          <w:szCs w:val="19"/>
          <w:lang w:val="en-US"/>
        </w:rPr>
      </w:pPr>
      <w:r w:rsidRPr="00191C79">
        <w:rPr>
          <w:rFonts w:cs="Arial"/>
          <w:spacing w:val="0"/>
          <w:szCs w:val="19"/>
          <w:lang w:val="en-US"/>
        </w:rPr>
        <w:t>4.7</w:t>
      </w:r>
      <w:r w:rsidRPr="00191C79">
        <w:rPr>
          <w:rFonts w:cs="Arial"/>
          <w:spacing w:val="0"/>
          <w:szCs w:val="19"/>
          <w:lang w:val="en-US"/>
        </w:rPr>
        <w:tab/>
        <w:t xml:space="preserve">Various steps being taken by the Government of India regarding EMF related issues are available on DoT website </w:t>
      </w:r>
      <w:hyperlink r:id="rId35" w:history="1">
        <w:r w:rsidRPr="00191C79">
          <w:rPr>
            <w:rStyle w:val="Hyperlink"/>
            <w:rFonts w:cs="Arial"/>
            <w:spacing w:val="0"/>
            <w:szCs w:val="19"/>
            <w:lang w:val="en-US"/>
          </w:rPr>
          <w:t>http://www.dot.gov.in</w:t>
        </w:r>
      </w:hyperlink>
      <w:r w:rsidRPr="00191C79">
        <w:rPr>
          <w:rFonts w:cs="Arial"/>
          <w:spacing w:val="0"/>
          <w:szCs w:val="19"/>
          <w:lang w:val="en-US"/>
        </w:rPr>
        <w:t xml:space="preserve"> under the caption “Journey to EMF”.</w:t>
      </w:r>
    </w:p>
    <w:p w:rsidR="00115EFF" w:rsidRPr="00191C79" w:rsidRDefault="00115EFF" w:rsidP="00D77DBB">
      <w:pPr>
        <w:spacing w:before="120" w:line="240" w:lineRule="auto"/>
        <w:rPr>
          <w:rFonts w:cs="Arial"/>
          <w:spacing w:val="0"/>
          <w:szCs w:val="19"/>
          <w:lang w:val="en-US"/>
        </w:rPr>
      </w:pPr>
      <w:r w:rsidRPr="00191C79">
        <w:rPr>
          <w:rFonts w:cs="Arial"/>
          <w:spacing w:val="0"/>
          <w:szCs w:val="19"/>
          <w:lang w:val="en-US"/>
        </w:rPr>
        <w:t>4.8</w:t>
      </w:r>
      <w:r w:rsidRPr="00191C79">
        <w:rPr>
          <w:rFonts w:cs="Arial"/>
          <w:spacing w:val="0"/>
          <w:szCs w:val="19"/>
          <w:lang w:val="en-US"/>
        </w:rPr>
        <w:tab/>
        <w:t xml:space="preserve">Surprise test checks of BTS sites are also carried out by DoT to verify the compliance to revised norms. During surprise check by DoT’s TERM Cell Unit more than 100 BTS sites in many parts of the country including Mumbai were found radiating at much higher level than prescribed between the </w:t>
      </w:r>
      <w:proofErr w:type="gramStart"/>
      <w:r w:rsidRPr="00191C79">
        <w:rPr>
          <w:rFonts w:cs="Arial"/>
          <w:spacing w:val="0"/>
          <w:szCs w:val="19"/>
          <w:lang w:val="en-US"/>
        </w:rPr>
        <w:t>period</w:t>
      </w:r>
      <w:proofErr w:type="gramEnd"/>
      <w:r w:rsidRPr="00191C79">
        <w:rPr>
          <w:rFonts w:cs="Arial"/>
          <w:spacing w:val="0"/>
          <w:szCs w:val="19"/>
          <w:lang w:val="en-US"/>
        </w:rPr>
        <w:t xml:space="preserve"> September 2012 to March 2013.</w:t>
      </w:r>
    </w:p>
    <w:p w:rsidR="00115EFF" w:rsidRPr="00191C79" w:rsidRDefault="00115EFF" w:rsidP="00CD5F2F">
      <w:pPr>
        <w:tabs>
          <w:tab w:val="left" w:pos="-5670"/>
          <w:tab w:val="left" w:pos="-4962"/>
        </w:tabs>
        <w:spacing w:before="120" w:line="240" w:lineRule="auto"/>
        <w:rPr>
          <w:rFonts w:eastAsia="Calibri" w:cs="Arial"/>
          <w:b/>
          <w:spacing w:val="0"/>
          <w:szCs w:val="19"/>
          <w:lang w:val="en-US"/>
        </w:rPr>
      </w:pPr>
      <w:r w:rsidRPr="00191C79">
        <w:rPr>
          <w:rFonts w:eastAsia="Calibri" w:cs="Arial"/>
          <w:b/>
          <w:spacing w:val="0"/>
          <w:szCs w:val="19"/>
          <w:lang w:val="en-US"/>
        </w:rPr>
        <w:t>5.</w:t>
      </w:r>
      <w:r w:rsidRPr="00191C79">
        <w:rPr>
          <w:rFonts w:eastAsia="Calibri" w:cs="Arial"/>
          <w:b/>
          <w:spacing w:val="0"/>
          <w:szCs w:val="19"/>
          <w:lang w:val="en-US"/>
        </w:rPr>
        <w:tab/>
        <w:t>Further Indian Initiatives on Scientific Assessment</w:t>
      </w:r>
    </w:p>
    <w:p w:rsidR="00115EFF" w:rsidRPr="00191C79" w:rsidRDefault="00115EFF" w:rsidP="00D77DBB">
      <w:pPr>
        <w:tabs>
          <w:tab w:val="left" w:pos="-5670"/>
          <w:tab w:val="left" w:pos="-4962"/>
        </w:tabs>
        <w:spacing w:before="120" w:line="240" w:lineRule="auto"/>
        <w:rPr>
          <w:rFonts w:eastAsia="Calibri" w:cs="Arial"/>
          <w:spacing w:val="0"/>
          <w:szCs w:val="19"/>
          <w:lang w:val="en-US"/>
        </w:rPr>
      </w:pPr>
      <w:r w:rsidRPr="00191C79">
        <w:rPr>
          <w:rFonts w:eastAsia="Calibri" w:cs="Arial"/>
          <w:spacing w:val="0"/>
          <w:szCs w:val="19"/>
          <w:lang w:val="en-US"/>
        </w:rPr>
        <w:t>5.1</w:t>
      </w:r>
      <w:r w:rsidRPr="00191C79">
        <w:rPr>
          <w:rFonts w:eastAsia="Calibri" w:cs="Arial"/>
          <w:spacing w:val="0"/>
          <w:szCs w:val="19"/>
          <w:lang w:val="en-US"/>
        </w:rPr>
        <w:tab/>
        <w:t xml:space="preserve">Government of India, Department of Science &amp; Technology (DST) has constituted a committee on 01.10.2012 under the Chairmanship of Former Director General of Indian Council for Medical Research (ICMR), having members from Indian Institute of Technology (IIT) Chennai, Indian Institute of Toxicology Research, </w:t>
      </w:r>
      <w:proofErr w:type="spellStart"/>
      <w:r w:rsidRPr="00191C79">
        <w:rPr>
          <w:rFonts w:eastAsia="Calibri" w:cs="Arial"/>
          <w:spacing w:val="0"/>
          <w:szCs w:val="19"/>
          <w:lang w:val="en-US"/>
        </w:rPr>
        <w:t>Lucknow</w:t>
      </w:r>
      <w:proofErr w:type="spellEnd"/>
      <w:r w:rsidRPr="00191C79">
        <w:rPr>
          <w:rFonts w:eastAsia="Calibri" w:cs="Arial"/>
          <w:spacing w:val="0"/>
          <w:szCs w:val="19"/>
          <w:lang w:val="en-US"/>
        </w:rPr>
        <w:t xml:space="preserve">, Department of Telecom, Ministry of Environment &amp; Forest, ICMR and Department of Science &amp; Technology to examine the possible harmful effects from Cell towers on the population living in the vicinity and for developing the frame of reference for calling out Request For Proposals (RFP) for scientific assessment of health hazards and adverse impact on ecology. </w:t>
      </w:r>
    </w:p>
    <w:p w:rsidR="00115EFF" w:rsidRPr="00191C79" w:rsidRDefault="00115EFF" w:rsidP="00D77DBB">
      <w:pPr>
        <w:tabs>
          <w:tab w:val="left" w:pos="-5670"/>
          <w:tab w:val="left" w:pos="-4962"/>
        </w:tabs>
        <w:spacing w:before="120" w:line="240" w:lineRule="auto"/>
        <w:rPr>
          <w:rFonts w:eastAsia="Calibri" w:cs="Arial"/>
          <w:spacing w:val="0"/>
          <w:szCs w:val="19"/>
          <w:lang w:val="en-US"/>
        </w:rPr>
      </w:pPr>
      <w:r w:rsidRPr="00191C79">
        <w:rPr>
          <w:rFonts w:eastAsia="Calibri" w:cs="Arial"/>
          <w:spacing w:val="0"/>
          <w:szCs w:val="19"/>
          <w:lang w:val="en-US"/>
        </w:rPr>
        <w:t>5.2</w:t>
      </w:r>
      <w:r w:rsidRPr="00191C79">
        <w:rPr>
          <w:rFonts w:eastAsia="Calibri" w:cs="Arial"/>
          <w:spacing w:val="0"/>
          <w:szCs w:val="19"/>
          <w:lang w:val="en-US"/>
        </w:rPr>
        <w:tab/>
        <w:t>The Committee has invited R&amp;D proposals in June 2013 on the possible impact of EMF radiation exposure from mobile towers and handsets on life (humans, living organism, flora &amp; fauna and environment) and related initiatives. Eligible Scientist / Organizations – public or private, individually or in collaboration have been requested for submission of their proposal on or before 14</w:t>
      </w:r>
      <w:r w:rsidRPr="00191C79">
        <w:rPr>
          <w:rFonts w:eastAsia="Calibri" w:cs="Arial"/>
          <w:spacing w:val="0"/>
          <w:szCs w:val="19"/>
          <w:vertAlign w:val="superscript"/>
          <w:lang w:val="en-US"/>
        </w:rPr>
        <w:t>th</w:t>
      </w:r>
      <w:r w:rsidRPr="00191C79">
        <w:rPr>
          <w:rFonts w:eastAsia="Calibri" w:cs="Arial"/>
          <w:spacing w:val="0"/>
          <w:szCs w:val="19"/>
          <w:lang w:val="en-US"/>
        </w:rPr>
        <w:t xml:space="preserve"> August 2013.</w:t>
      </w:r>
    </w:p>
    <w:p w:rsidR="00115EFF" w:rsidRPr="00191C79" w:rsidRDefault="00115EFF" w:rsidP="00CD5F2F">
      <w:pPr>
        <w:tabs>
          <w:tab w:val="left" w:pos="-5670"/>
          <w:tab w:val="left" w:pos="-4962"/>
        </w:tabs>
        <w:spacing w:before="120" w:line="240" w:lineRule="auto"/>
        <w:rPr>
          <w:rFonts w:eastAsia="Calibri" w:cs="Arial"/>
          <w:b/>
          <w:bCs/>
          <w:spacing w:val="0"/>
          <w:szCs w:val="19"/>
          <w:lang w:val="en-US"/>
        </w:rPr>
      </w:pPr>
      <w:r w:rsidRPr="00191C79">
        <w:rPr>
          <w:rFonts w:eastAsia="Calibri" w:cs="Arial"/>
          <w:b/>
          <w:spacing w:val="0"/>
          <w:szCs w:val="19"/>
          <w:lang w:val="en-US"/>
        </w:rPr>
        <w:t>6.</w:t>
      </w:r>
      <w:r w:rsidRPr="00191C79">
        <w:rPr>
          <w:rFonts w:eastAsia="Calibri" w:cs="Arial"/>
          <w:b/>
          <w:spacing w:val="0"/>
          <w:szCs w:val="19"/>
          <w:lang w:val="en-US"/>
        </w:rPr>
        <w:tab/>
        <w:t>Submissions</w:t>
      </w:r>
    </w:p>
    <w:p w:rsidR="00115EFF" w:rsidRPr="00191C79" w:rsidRDefault="00115EFF" w:rsidP="00D77DBB">
      <w:pPr>
        <w:tabs>
          <w:tab w:val="left" w:pos="-5670"/>
          <w:tab w:val="left" w:pos="-4962"/>
        </w:tabs>
        <w:spacing w:before="120" w:line="240" w:lineRule="auto"/>
        <w:rPr>
          <w:rFonts w:eastAsia="Calibri" w:cs="Arial"/>
          <w:spacing w:val="0"/>
          <w:szCs w:val="19"/>
          <w:lang w:val="en-US"/>
        </w:rPr>
      </w:pPr>
      <w:r w:rsidRPr="00191C79">
        <w:rPr>
          <w:rFonts w:eastAsia="Calibri" w:cs="Arial"/>
          <w:spacing w:val="0"/>
          <w:szCs w:val="19"/>
          <w:lang w:val="en-US"/>
        </w:rPr>
        <w:t>6.1</w:t>
      </w:r>
      <w:r w:rsidRPr="00191C79">
        <w:rPr>
          <w:rFonts w:eastAsia="Calibri" w:cs="Arial"/>
          <w:spacing w:val="0"/>
          <w:szCs w:val="19"/>
          <w:lang w:val="en-US"/>
        </w:rPr>
        <w:tab/>
        <w:t>In a latest development, an Indian Delegation from DoT, Government of India had visited Geneva from 19 to 22 Feb. 2013 to discuss EMF Radiation related health issues with WHO Secretariat and Technical standards with ITU.</w:t>
      </w:r>
    </w:p>
    <w:p w:rsidR="00115EFF" w:rsidRPr="00191C79" w:rsidRDefault="00115EFF" w:rsidP="00D77DBB">
      <w:pPr>
        <w:tabs>
          <w:tab w:val="left" w:pos="-5670"/>
          <w:tab w:val="left" w:pos="-4962"/>
        </w:tabs>
        <w:spacing w:before="120" w:line="240" w:lineRule="auto"/>
        <w:rPr>
          <w:rFonts w:eastAsia="Calibri" w:cs="Arial"/>
          <w:spacing w:val="0"/>
          <w:szCs w:val="19"/>
          <w:lang w:val="en-US"/>
        </w:rPr>
      </w:pPr>
      <w:r w:rsidRPr="00191C79">
        <w:rPr>
          <w:rFonts w:eastAsia="Calibri" w:cs="Arial"/>
          <w:spacing w:val="0"/>
          <w:szCs w:val="19"/>
          <w:lang w:val="en-US"/>
        </w:rPr>
        <w:t>6.2</w:t>
      </w:r>
      <w:r w:rsidRPr="00191C79">
        <w:rPr>
          <w:rFonts w:eastAsia="Calibri" w:cs="Arial"/>
          <w:spacing w:val="0"/>
          <w:szCs w:val="19"/>
          <w:lang w:val="en-US"/>
        </w:rPr>
        <w:tab/>
        <w:t xml:space="preserve">WHO officials suggested that lowering of the EMF radiation limit alone may not be adequate to achieve the desired results, though a strong regulation on siting of BTS Tower antennae could be more important. Few countries have imposed restrictions specifying the horizontal distance in regards to the installation of base station Antenna from sensitive locations in the urban planning itself. </w:t>
      </w:r>
    </w:p>
    <w:p w:rsidR="00115EFF" w:rsidRPr="00191C79" w:rsidRDefault="00115EFF" w:rsidP="00D77DBB">
      <w:pPr>
        <w:tabs>
          <w:tab w:val="left" w:pos="-5670"/>
          <w:tab w:val="left" w:pos="-4962"/>
        </w:tabs>
        <w:spacing w:before="120" w:line="240" w:lineRule="auto"/>
        <w:rPr>
          <w:rFonts w:eastAsia="Calibri" w:cs="Arial"/>
          <w:spacing w:val="0"/>
          <w:szCs w:val="19"/>
          <w:lang w:val="en-US"/>
        </w:rPr>
      </w:pPr>
      <w:r w:rsidRPr="00191C79">
        <w:rPr>
          <w:rFonts w:eastAsia="Calibri" w:cs="Arial"/>
          <w:spacing w:val="0"/>
          <w:szCs w:val="19"/>
          <w:lang w:val="en-US"/>
        </w:rPr>
        <w:t>6.3</w:t>
      </w:r>
      <w:r w:rsidRPr="00191C79">
        <w:rPr>
          <w:rFonts w:eastAsia="Calibri" w:cs="Arial"/>
          <w:spacing w:val="0"/>
          <w:szCs w:val="19"/>
          <w:lang w:val="en-US"/>
        </w:rPr>
        <w:tab/>
        <w:t>Indian scenario with more than 10 mobile operators in each service area along with high population density is quite different from Europe</w:t>
      </w:r>
    </w:p>
    <w:p w:rsidR="00115EFF" w:rsidRPr="00191C79" w:rsidRDefault="00115EFF" w:rsidP="00D77DBB">
      <w:pPr>
        <w:tabs>
          <w:tab w:val="left" w:pos="-5670"/>
          <w:tab w:val="left" w:pos="-4962"/>
        </w:tabs>
        <w:spacing w:before="120" w:line="240" w:lineRule="auto"/>
        <w:rPr>
          <w:rFonts w:eastAsia="Calibri" w:cs="Arial"/>
          <w:bCs/>
          <w:spacing w:val="0"/>
          <w:szCs w:val="19"/>
          <w:lang w:val="en-US"/>
        </w:rPr>
      </w:pPr>
      <w:r w:rsidRPr="00191C79">
        <w:rPr>
          <w:rFonts w:eastAsia="Calibri" w:cs="Arial"/>
          <w:spacing w:val="0"/>
          <w:szCs w:val="19"/>
          <w:lang w:val="en-US"/>
        </w:rPr>
        <w:t>6.4</w:t>
      </w:r>
      <w:r w:rsidRPr="00191C79">
        <w:rPr>
          <w:rFonts w:eastAsia="Calibri" w:cs="Arial"/>
          <w:spacing w:val="0"/>
          <w:szCs w:val="19"/>
          <w:lang w:val="en-US"/>
        </w:rPr>
        <w:tab/>
        <w:t xml:space="preserve">Officials from International Agency on Cancer Research (IARC) at Lyon, France indicated that in Europe Mobile Towers are not considered as a threat as Antennas are at higher levels /heights and fairly distant apart. </w:t>
      </w:r>
    </w:p>
    <w:p w:rsidR="00115EFF" w:rsidRPr="00191C79" w:rsidRDefault="00115EFF" w:rsidP="00D77DBB">
      <w:pPr>
        <w:tabs>
          <w:tab w:val="left" w:pos="-5670"/>
          <w:tab w:val="left" w:pos="-4962"/>
        </w:tabs>
        <w:spacing w:before="0" w:line="240" w:lineRule="auto"/>
        <w:rPr>
          <w:rFonts w:eastAsia="Calibri" w:cs="Arial"/>
          <w:bCs/>
          <w:spacing w:val="0"/>
          <w:szCs w:val="19"/>
          <w:lang w:val="en-US"/>
        </w:rPr>
      </w:pPr>
      <w:r w:rsidRPr="00191C79">
        <w:rPr>
          <w:rFonts w:eastAsia="Calibri" w:cs="Arial"/>
          <w:spacing w:val="0"/>
          <w:szCs w:val="19"/>
          <w:lang w:val="en-US"/>
        </w:rPr>
        <w:t xml:space="preserve">6.5 </w:t>
      </w:r>
      <w:r w:rsidRPr="00191C79">
        <w:rPr>
          <w:rFonts w:eastAsia="Calibri" w:cs="Arial"/>
          <w:spacing w:val="0"/>
          <w:szCs w:val="19"/>
          <w:lang w:val="en-US"/>
        </w:rPr>
        <w:tab/>
        <w:t>However, the conditions in India and other developing countries are totally different from those in Europe in terms of:</w:t>
      </w:r>
    </w:p>
    <w:p w:rsidR="00115EFF" w:rsidRPr="00191C79" w:rsidRDefault="00115EFF" w:rsidP="00D77DBB">
      <w:pPr>
        <w:pStyle w:val="Enumlevel1"/>
        <w:spacing w:before="80" w:line="240" w:lineRule="auto"/>
        <w:rPr>
          <w:bCs/>
          <w:spacing w:val="0"/>
        </w:rPr>
      </w:pPr>
      <w:r w:rsidRPr="00191C79">
        <w:rPr>
          <w:spacing w:val="0"/>
        </w:rPr>
        <w:t>‒</w:t>
      </w:r>
      <w:r w:rsidRPr="00191C79">
        <w:rPr>
          <w:spacing w:val="0"/>
        </w:rPr>
        <w:tab/>
      </w:r>
      <w:proofErr w:type="gramStart"/>
      <w:r w:rsidRPr="00191C79">
        <w:rPr>
          <w:spacing w:val="0"/>
        </w:rPr>
        <w:t>mobile</w:t>
      </w:r>
      <w:proofErr w:type="gramEnd"/>
      <w:r w:rsidRPr="00191C79">
        <w:rPr>
          <w:spacing w:val="0"/>
        </w:rPr>
        <w:t xml:space="preserve"> phone usages, </w:t>
      </w:r>
    </w:p>
    <w:p w:rsidR="00115EFF" w:rsidRPr="00191C79" w:rsidRDefault="00115EFF" w:rsidP="00D77DBB">
      <w:pPr>
        <w:pStyle w:val="Enumlevel1"/>
        <w:spacing w:before="80" w:line="240" w:lineRule="auto"/>
        <w:rPr>
          <w:bCs/>
          <w:spacing w:val="0"/>
        </w:rPr>
      </w:pPr>
      <w:r w:rsidRPr="00191C79">
        <w:rPr>
          <w:spacing w:val="0"/>
        </w:rPr>
        <w:t>‒</w:t>
      </w:r>
      <w:r w:rsidRPr="00191C79">
        <w:rPr>
          <w:spacing w:val="0"/>
        </w:rPr>
        <w:tab/>
      </w:r>
      <w:proofErr w:type="gramStart"/>
      <w:r w:rsidRPr="00191C79">
        <w:rPr>
          <w:spacing w:val="0"/>
        </w:rPr>
        <w:t>number</w:t>
      </w:r>
      <w:proofErr w:type="gramEnd"/>
      <w:r w:rsidRPr="00191C79">
        <w:rPr>
          <w:spacing w:val="0"/>
        </w:rPr>
        <w:t xml:space="preserve"> of operators, </w:t>
      </w:r>
    </w:p>
    <w:p w:rsidR="00115EFF" w:rsidRPr="00191C79" w:rsidRDefault="00115EFF" w:rsidP="00D77DBB">
      <w:pPr>
        <w:pStyle w:val="Enumlevel1"/>
        <w:spacing w:before="80" w:line="240" w:lineRule="auto"/>
        <w:rPr>
          <w:bCs/>
          <w:spacing w:val="0"/>
        </w:rPr>
      </w:pPr>
      <w:r w:rsidRPr="00191C79">
        <w:rPr>
          <w:rFonts w:eastAsia="Calibri"/>
          <w:spacing w:val="0"/>
        </w:rPr>
        <w:t>‒</w:t>
      </w:r>
      <w:r w:rsidRPr="00191C79">
        <w:rPr>
          <w:rFonts w:eastAsia="Calibri"/>
          <w:spacing w:val="0"/>
        </w:rPr>
        <w:tab/>
      </w:r>
      <w:r w:rsidRPr="00191C79">
        <w:rPr>
          <w:spacing w:val="0"/>
        </w:rPr>
        <w:t xml:space="preserve">higher levels of population density, </w:t>
      </w:r>
    </w:p>
    <w:p w:rsidR="00115EFF" w:rsidRPr="00191C79" w:rsidRDefault="00115EFF" w:rsidP="00D77DBB">
      <w:pPr>
        <w:pStyle w:val="Enumlevel1"/>
        <w:spacing w:before="80" w:line="240" w:lineRule="auto"/>
        <w:rPr>
          <w:bCs/>
          <w:spacing w:val="0"/>
        </w:rPr>
      </w:pPr>
      <w:r w:rsidRPr="00191C79">
        <w:rPr>
          <w:spacing w:val="0"/>
        </w:rPr>
        <w:t>‒</w:t>
      </w:r>
      <w:r w:rsidRPr="00191C79">
        <w:rPr>
          <w:spacing w:val="0"/>
        </w:rPr>
        <w:tab/>
        <w:t xml:space="preserve">in-organic growth in urban areas, </w:t>
      </w:r>
    </w:p>
    <w:p w:rsidR="00115EFF" w:rsidRPr="00191C79" w:rsidRDefault="00115EFF" w:rsidP="00D77DBB">
      <w:pPr>
        <w:pStyle w:val="Enumlevel1"/>
        <w:spacing w:before="80" w:line="240" w:lineRule="auto"/>
        <w:rPr>
          <w:bCs/>
          <w:spacing w:val="0"/>
        </w:rPr>
      </w:pPr>
      <w:r w:rsidRPr="00191C79">
        <w:rPr>
          <w:spacing w:val="0"/>
        </w:rPr>
        <w:t>‒</w:t>
      </w:r>
      <w:r w:rsidRPr="00191C79">
        <w:rPr>
          <w:spacing w:val="0"/>
        </w:rPr>
        <w:tab/>
      </w:r>
      <w:proofErr w:type="gramStart"/>
      <w:r w:rsidRPr="00191C79">
        <w:rPr>
          <w:spacing w:val="0"/>
        </w:rPr>
        <w:t>narrow</w:t>
      </w:r>
      <w:proofErr w:type="gramEnd"/>
      <w:r w:rsidRPr="00191C79">
        <w:rPr>
          <w:spacing w:val="0"/>
        </w:rPr>
        <w:t xml:space="preserve"> lanes separating buildings, </w:t>
      </w:r>
    </w:p>
    <w:p w:rsidR="00115EFF" w:rsidRPr="00191C79" w:rsidRDefault="00115EFF" w:rsidP="00D77DBB">
      <w:pPr>
        <w:pStyle w:val="Enumlevel1"/>
        <w:spacing w:before="80" w:line="240" w:lineRule="auto"/>
        <w:rPr>
          <w:bCs/>
          <w:spacing w:val="0"/>
        </w:rPr>
      </w:pPr>
      <w:r w:rsidRPr="00191C79">
        <w:rPr>
          <w:spacing w:val="0"/>
        </w:rPr>
        <w:lastRenderedPageBreak/>
        <w:t>‒</w:t>
      </w:r>
      <w:r w:rsidRPr="00191C79">
        <w:rPr>
          <w:spacing w:val="0"/>
        </w:rPr>
        <w:tab/>
      </w:r>
      <w:proofErr w:type="gramStart"/>
      <w:r w:rsidRPr="00191C79">
        <w:rPr>
          <w:spacing w:val="0"/>
        </w:rPr>
        <w:t>lower</w:t>
      </w:r>
      <w:proofErr w:type="gramEnd"/>
      <w:r w:rsidRPr="00191C79">
        <w:rPr>
          <w:spacing w:val="0"/>
        </w:rPr>
        <w:t xml:space="preserve"> body mass index, </w:t>
      </w:r>
    </w:p>
    <w:p w:rsidR="00115EFF" w:rsidRPr="00191C79" w:rsidRDefault="00115EFF" w:rsidP="00D77DBB">
      <w:pPr>
        <w:pStyle w:val="Enumlevel1"/>
        <w:spacing w:before="80" w:line="240" w:lineRule="auto"/>
        <w:rPr>
          <w:bCs/>
          <w:spacing w:val="0"/>
        </w:rPr>
      </w:pPr>
      <w:r w:rsidRPr="00191C79">
        <w:rPr>
          <w:spacing w:val="0"/>
        </w:rPr>
        <w:t>‒</w:t>
      </w:r>
      <w:r w:rsidRPr="00191C79">
        <w:rPr>
          <w:spacing w:val="0"/>
        </w:rPr>
        <w:tab/>
      </w:r>
      <w:proofErr w:type="gramStart"/>
      <w:r w:rsidRPr="00191C79">
        <w:rPr>
          <w:spacing w:val="0"/>
        </w:rPr>
        <w:t>lower</w:t>
      </w:r>
      <w:proofErr w:type="gramEnd"/>
      <w:r w:rsidRPr="00191C79">
        <w:rPr>
          <w:spacing w:val="0"/>
        </w:rPr>
        <w:t xml:space="preserve"> fat content, </w:t>
      </w:r>
    </w:p>
    <w:p w:rsidR="00115EFF" w:rsidRPr="00191C79" w:rsidRDefault="00115EFF" w:rsidP="00CD5F2F">
      <w:pPr>
        <w:pStyle w:val="Enumlevel1"/>
        <w:spacing w:before="80" w:line="240" w:lineRule="auto"/>
        <w:rPr>
          <w:bCs/>
          <w:spacing w:val="0"/>
        </w:rPr>
      </w:pPr>
      <w:r w:rsidRPr="00191C79">
        <w:rPr>
          <w:spacing w:val="0"/>
        </w:rPr>
        <w:t>‒</w:t>
      </w:r>
      <w:r w:rsidRPr="00191C79">
        <w:rPr>
          <w:spacing w:val="0"/>
        </w:rPr>
        <w:tab/>
      </w:r>
      <w:proofErr w:type="gramStart"/>
      <w:r w:rsidRPr="00191C79">
        <w:rPr>
          <w:spacing w:val="0"/>
        </w:rPr>
        <w:t>lesser</w:t>
      </w:r>
      <w:proofErr w:type="gramEnd"/>
      <w:r w:rsidRPr="00191C79">
        <w:rPr>
          <w:spacing w:val="0"/>
        </w:rPr>
        <w:t xml:space="preserve"> spectrum per operator,</w:t>
      </w:r>
    </w:p>
    <w:p w:rsidR="00115EFF" w:rsidRPr="00191C79" w:rsidRDefault="00115EFF" w:rsidP="00CD5F2F">
      <w:pPr>
        <w:pStyle w:val="Enumlevel1"/>
        <w:spacing w:before="80" w:line="240" w:lineRule="auto"/>
        <w:rPr>
          <w:bCs/>
          <w:spacing w:val="0"/>
        </w:rPr>
      </w:pPr>
      <w:r w:rsidRPr="00191C79">
        <w:rPr>
          <w:spacing w:val="0"/>
        </w:rPr>
        <w:t>‒</w:t>
      </w:r>
      <w:r w:rsidRPr="00191C79">
        <w:rPr>
          <w:spacing w:val="0"/>
        </w:rPr>
        <w:tab/>
        <w:t xml:space="preserve">radiated power being 20 Watt per sector, </w:t>
      </w:r>
    </w:p>
    <w:p w:rsidR="00115EFF" w:rsidRPr="00191C79" w:rsidRDefault="00115EFF" w:rsidP="00CD5F2F">
      <w:pPr>
        <w:pStyle w:val="Enumlevel1"/>
        <w:spacing w:before="80" w:line="240" w:lineRule="auto"/>
        <w:rPr>
          <w:bCs/>
          <w:spacing w:val="0"/>
        </w:rPr>
      </w:pPr>
      <w:r w:rsidRPr="00191C79">
        <w:rPr>
          <w:spacing w:val="0"/>
        </w:rPr>
        <w:t>‒</w:t>
      </w:r>
      <w:r w:rsidRPr="00191C79">
        <w:rPr>
          <w:spacing w:val="0"/>
        </w:rPr>
        <w:tab/>
      </w:r>
      <w:proofErr w:type="gramStart"/>
      <w:r w:rsidRPr="00191C79">
        <w:rPr>
          <w:spacing w:val="0"/>
        </w:rPr>
        <w:t>higher</w:t>
      </w:r>
      <w:proofErr w:type="gramEnd"/>
      <w:r w:rsidRPr="00191C79">
        <w:rPr>
          <w:spacing w:val="0"/>
        </w:rPr>
        <w:t xml:space="preserve"> levels of RF exposure on account of multiple operators having BTSs on same tower, and </w:t>
      </w:r>
    </w:p>
    <w:p w:rsidR="00115EFF" w:rsidRPr="00191C79" w:rsidRDefault="00115EFF" w:rsidP="00CD5F2F">
      <w:pPr>
        <w:pStyle w:val="Enumlevel1"/>
        <w:spacing w:before="80" w:line="240" w:lineRule="auto"/>
        <w:rPr>
          <w:bCs/>
          <w:spacing w:val="0"/>
        </w:rPr>
      </w:pPr>
      <w:r w:rsidRPr="00191C79">
        <w:rPr>
          <w:spacing w:val="0"/>
        </w:rPr>
        <w:t>‒</w:t>
      </w:r>
      <w:r w:rsidRPr="00191C79">
        <w:rPr>
          <w:spacing w:val="0"/>
        </w:rPr>
        <w:tab/>
        <w:t>Antennas mounted at lower heights etc.</w:t>
      </w:r>
    </w:p>
    <w:p w:rsidR="00115EFF" w:rsidRPr="00191C79" w:rsidRDefault="00115EFF" w:rsidP="00CD5F2F">
      <w:pPr>
        <w:pStyle w:val="Enumlevel1"/>
        <w:spacing w:before="80" w:line="240" w:lineRule="auto"/>
        <w:rPr>
          <w:bCs/>
          <w:spacing w:val="0"/>
        </w:rPr>
      </w:pPr>
      <w:r w:rsidRPr="00191C79">
        <w:rPr>
          <w:spacing w:val="0"/>
        </w:rPr>
        <w:t>‒</w:t>
      </w:r>
      <w:r w:rsidRPr="00191C79">
        <w:rPr>
          <w:spacing w:val="0"/>
        </w:rPr>
        <w:tab/>
        <w:t>Poor coverage conditions also lead handsets to operate at higher levels of power</w:t>
      </w:r>
    </w:p>
    <w:p w:rsidR="00115EFF" w:rsidRPr="00191C79" w:rsidRDefault="00115EFF" w:rsidP="00CD5F2F">
      <w:pPr>
        <w:pStyle w:val="Enumlevel1"/>
        <w:spacing w:before="80" w:line="240" w:lineRule="auto"/>
        <w:rPr>
          <w:bCs/>
          <w:spacing w:val="0"/>
        </w:rPr>
      </w:pPr>
      <w:r w:rsidRPr="00191C79">
        <w:rPr>
          <w:spacing w:val="0"/>
        </w:rPr>
        <w:t>‒</w:t>
      </w:r>
      <w:r w:rsidRPr="00191C79">
        <w:rPr>
          <w:spacing w:val="0"/>
        </w:rPr>
        <w:tab/>
        <w:t>Outsourcing of infrastructure installation &amp; maintenance to third parties by operators</w:t>
      </w:r>
    </w:p>
    <w:p w:rsidR="00115EFF" w:rsidRPr="00191C79" w:rsidRDefault="00115EFF" w:rsidP="00CD5F2F">
      <w:pPr>
        <w:pStyle w:val="Enumlevel1"/>
        <w:spacing w:before="80" w:line="240" w:lineRule="auto"/>
        <w:rPr>
          <w:spacing w:val="0"/>
        </w:rPr>
      </w:pPr>
      <w:r w:rsidRPr="00191C79">
        <w:rPr>
          <w:spacing w:val="0"/>
        </w:rPr>
        <w:t>‒</w:t>
      </w:r>
      <w:r w:rsidRPr="00191C79">
        <w:rPr>
          <w:spacing w:val="0"/>
        </w:rPr>
        <w:tab/>
      </w:r>
      <w:proofErr w:type="gramStart"/>
      <w:r w:rsidRPr="00191C79">
        <w:rPr>
          <w:spacing w:val="0"/>
        </w:rPr>
        <w:t>Inadequate</w:t>
      </w:r>
      <w:proofErr w:type="gramEnd"/>
      <w:r w:rsidRPr="00191C79">
        <w:rPr>
          <w:spacing w:val="0"/>
        </w:rPr>
        <w:t xml:space="preserve"> technical expertise at field level and local authorities to understand exclusion zone calculations based on ITU K series recommendations.  This also needs to be seen in the background of monitoring requirements extending to 0.747 million BTSs as in Annexure II.</w:t>
      </w:r>
    </w:p>
    <w:p w:rsidR="00115EFF" w:rsidRPr="00191C79" w:rsidRDefault="00115EFF" w:rsidP="00CD5F2F">
      <w:pPr>
        <w:tabs>
          <w:tab w:val="left" w:pos="-5670"/>
          <w:tab w:val="left" w:pos="-4962"/>
        </w:tabs>
        <w:spacing w:before="120" w:line="240" w:lineRule="auto"/>
        <w:rPr>
          <w:rFonts w:cs="Arial"/>
          <w:b/>
          <w:bCs/>
          <w:spacing w:val="0"/>
          <w:szCs w:val="19"/>
          <w:lang w:val="en-US"/>
        </w:rPr>
      </w:pPr>
      <w:r w:rsidRPr="00191C79">
        <w:rPr>
          <w:rFonts w:cs="Arial"/>
          <w:spacing w:val="0"/>
          <w:szCs w:val="19"/>
          <w:lang w:val="en-US"/>
        </w:rPr>
        <w:t xml:space="preserve">Some of the typical Wall mounted BTS installation photographs are enclosed in the </w:t>
      </w:r>
      <w:r w:rsidRPr="00191C79">
        <w:rPr>
          <w:rFonts w:cs="Arial"/>
          <w:b/>
          <w:spacing w:val="0"/>
          <w:szCs w:val="19"/>
          <w:lang w:val="en-US"/>
        </w:rPr>
        <w:t xml:space="preserve">Annex </w:t>
      </w:r>
      <w:r w:rsidRPr="00191C79">
        <w:rPr>
          <w:rFonts w:cs="Arial"/>
          <w:spacing w:val="0"/>
          <w:szCs w:val="19"/>
          <w:lang w:val="en-US"/>
        </w:rPr>
        <w:t>from city of Mumbai, India</w:t>
      </w:r>
      <w:r w:rsidRPr="00191C79">
        <w:rPr>
          <w:rFonts w:cs="Arial"/>
          <w:b/>
          <w:spacing w:val="0"/>
          <w:szCs w:val="19"/>
          <w:lang w:val="en-US"/>
        </w:rPr>
        <w:t>.</w:t>
      </w:r>
    </w:p>
    <w:p w:rsidR="00115EFF" w:rsidRPr="00191C79" w:rsidRDefault="00115EFF" w:rsidP="00CD5F2F">
      <w:pPr>
        <w:tabs>
          <w:tab w:val="left" w:pos="-5670"/>
          <w:tab w:val="left" w:pos="-4962"/>
        </w:tabs>
        <w:spacing w:before="120" w:line="240" w:lineRule="auto"/>
        <w:rPr>
          <w:rFonts w:eastAsia="Calibri" w:cs="Arial"/>
          <w:spacing w:val="0"/>
          <w:szCs w:val="19"/>
          <w:lang w:val="en-US"/>
        </w:rPr>
      </w:pPr>
      <w:r w:rsidRPr="00191C79">
        <w:rPr>
          <w:rFonts w:eastAsia="Calibri" w:cs="Arial"/>
          <w:spacing w:val="0"/>
          <w:szCs w:val="19"/>
          <w:lang w:val="en-US"/>
        </w:rPr>
        <w:t>6.6</w:t>
      </w:r>
      <w:r w:rsidRPr="00191C79">
        <w:rPr>
          <w:rFonts w:eastAsia="Calibri" w:cs="Arial"/>
          <w:spacing w:val="0"/>
          <w:szCs w:val="19"/>
          <w:lang w:val="en-US"/>
        </w:rPr>
        <w:tab/>
        <w:t xml:space="preserve">During discussions on Indian scenario, IARC felt that their present research that is addressing only Mobile Handsets may have to be reassessed to include Mobile Towers also.  </w:t>
      </w:r>
    </w:p>
    <w:p w:rsidR="00115EFF" w:rsidRPr="00191C79" w:rsidRDefault="00115EFF" w:rsidP="00CD5F2F">
      <w:pPr>
        <w:tabs>
          <w:tab w:val="left" w:pos="-5670"/>
          <w:tab w:val="left" w:pos="-4962"/>
        </w:tabs>
        <w:spacing w:before="120" w:line="240" w:lineRule="auto"/>
        <w:rPr>
          <w:rFonts w:eastAsia="Calibri" w:cs="Arial"/>
          <w:spacing w:val="0"/>
          <w:szCs w:val="19"/>
          <w:lang w:val="en-US"/>
        </w:rPr>
      </w:pPr>
      <w:r w:rsidRPr="00191C79">
        <w:rPr>
          <w:rFonts w:eastAsia="Calibri" w:cs="Arial"/>
          <w:spacing w:val="0"/>
          <w:szCs w:val="19"/>
          <w:lang w:val="en-US"/>
        </w:rPr>
        <w:t>6.7</w:t>
      </w:r>
      <w:r w:rsidRPr="00191C79">
        <w:rPr>
          <w:rFonts w:eastAsia="Calibri" w:cs="Arial"/>
          <w:spacing w:val="0"/>
          <w:szCs w:val="19"/>
          <w:lang w:val="en-US"/>
        </w:rPr>
        <w:tab/>
        <w:t>A research project focusing on measurements of exposure levels from base stations in densely populated areas and areas covered by many base stations, level of usage, and measurements of emissions from regular and counterfeit mobile phones, was considered to be of great scientific interest by IARC. Based on the suggestions from IARC, Mobile Handset usage study was taken up by licensor in India.</w:t>
      </w:r>
    </w:p>
    <w:p w:rsidR="00115EFF" w:rsidRPr="00191C79" w:rsidRDefault="00115EFF" w:rsidP="00CD5F2F">
      <w:pPr>
        <w:tabs>
          <w:tab w:val="left" w:pos="-5670"/>
          <w:tab w:val="left" w:pos="-4962"/>
        </w:tabs>
        <w:spacing w:before="120" w:line="240" w:lineRule="auto"/>
        <w:rPr>
          <w:rFonts w:eastAsia="Calibri" w:cs="Arial"/>
          <w:spacing w:val="0"/>
          <w:szCs w:val="19"/>
          <w:lang w:val="en-US"/>
        </w:rPr>
      </w:pPr>
      <w:r w:rsidRPr="00191C79">
        <w:rPr>
          <w:rFonts w:eastAsia="Calibri" w:cs="Arial"/>
          <w:spacing w:val="0"/>
          <w:szCs w:val="19"/>
          <w:lang w:val="en-US"/>
        </w:rPr>
        <w:t>6.8</w:t>
      </w:r>
      <w:r w:rsidRPr="00191C79">
        <w:rPr>
          <w:rFonts w:eastAsia="Calibri" w:cs="Arial"/>
          <w:spacing w:val="0"/>
          <w:szCs w:val="19"/>
          <w:lang w:val="en-US"/>
        </w:rPr>
        <w:tab/>
        <w:t>DoT obtained the latest version of ITU’s EMF estimator Software and organized an ITU Workshop on 21</w:t>
      </w:r>
      <w:r w:rsidRPr="00191C79">
        <w:rPr>
          <w:rFonts w:eastAsia="Calibri" w:cs="Arial"/>
          <w:spacing w:val="0"/>
          <w:szCs w:val="19"/>
          <w:vertAlign w:val="superscript"/>
          <w:lang w:val="en-US"/>
        </w:rPr>
        <w:t xml:space="preserve">st </w:t>
      </w:r>
      <w:r w:rsidRPr="00191C79">
        <w:rPr>
          <w:rFonts w:eastAsia="Calibri" w:cs="Arial"/>
          <w:spacing w:val="0"/>
          <w:szCs w:val="19"/>
          <w:lang w:val="en-US"/>
        </w:rPr>
        <w:t>&amp; 22</w:t>
      </w:r>
      <w:r w:rsidRPr="00191C79">
        <w:rPr>
          <w:rFonts w:eastAsia="Calibri" w:cs="Arial"/>
          <w:spacing w:val="0"/>
          <w:szCs w:val="19"/>
          <w:vertAlign w:val="superscript"/>
          <w:lang w:val="en-US"/>
        </w:rPr>
        <w:t>nd</w:t>
      </w:r>
      <w:r w:rsidRPr="00191C79">
        <w:rPr>
          <w:rFonts w:eastAsia="Calibri" w:cs="Arial"/>
          <w:spacing w:val="0"/>
          <w:szCs w:val="19"/>
          <w:lang w:val="en-US"/>
        </w:rPr>
        <w:t xml:space="preserve"> May 2013 at Delhi. The Workshop has facilitated Indian Telecom Service Providers for better evaluation on the human exposure to electromagnetic field from multiple sources of communication installation, and for taking steps to reduce the radiation levels in the areas around transmitting stations. </w:t>
      </w:r>
    </w:p>
    <w:p w:rsidR="00115EFF" w:rsidRPr="00191C79" w:rsidRDefault="00115EFF" w:rsidP="00CD5F2F">
      <w:pPr>
        <w:tabs>
          <w:tab w:val="left" w:pos="-5670"/>
          <w:tab w:val="left" w:pos="-4962"/>
        </w:tabs>
        <w:spacing w:before="120" w:line="240" w:lineRule="auto"/>
        <w:rPr>
          <w:rFonts w:eastAsia="Calibri" w:cs="Arial"/>
          <w:spacing w:val="0"/>
          <w:szCs w:val="19"/>
          <w:lang w:val="en-US"/>
        </w:rPr>
      </w:pPr>
      <w:r w:rsidRPr="00191C79">
        <w:rPr>
          <w:rFonts w:eastAsia="Calibri" w:cs="Arial"/>
          <w:spacing w:val="0"/>
          <w:szCs w:val="19"/>
          <w:lang w:val="en-US"/>
        </w:rPr>
        <w:t>6.9</w:t>
      </w:r>
      <w:r w:rsidRPr="00191C79">
        <w:rPr>
          <w:rFonts w:eastAsia="Calibri" w:cs="Arial"/>
          <w:spacing w:val="0"/>
          <w:szCs w:val="19"/>
          <w:lang w:val="en-US"/>
        </w:rPr>
        <w:tab/>
        <w:t xml:space="preserve">Minutes of Usage/ Hours of Mobile Hand Usage by Indian Service Providers has been collected from Indian Mobile Operators across various Licensing Service Areas, based on IARC suggestion as in Para 6.7 above. The detailed data is enclosed as </w:t>
      </w:r>
      <w:r w:rsidRPr="00191C79">
        <w:rPr>
          <w:rFonts w:eastAsia="Calibri" w:cs="Arial"/>
          <w:b/>
          <w:spacing w:val="0"/>
          <w:szCs w:val="19"/>
          <w:lang w:val="en-US"/>
        </w:rPr>
        <w:t>Annex 10C</w:t>
      </w:r>
      <w:r w:rsidRPr="00191C79">
        <w:rPr>
          <w:rFonts w:eastAsia="Calibri" w:cs="Arial"/>
          <w:spacing w:val="0"/>
          <w:szCs w:val="19"/>
          <w:lang w:val="en-US"/>
        </w:rPr>
        <w:t xml:space="preserve">. There are 22 Licensed Service Areas and on an average, there are 10 Mobile Operators in each Licensed Area. </w:t>
      </w:r>
    </w:p>
    <w:p w:rsidR="00115EFF" w:rsidRPr="00191C79" w:rsidRDefault="00115EFF" w:rsidP="00CD5F2F">
      <w:pPr>
        <w:tabs>
          <w:tab w:val="left" w:pos="-5670"/>
          <w:tab w:val="left" w:pos="-4962"/>
        </w:tabs>
        <w:spacing w:before="120" w:line="240" w:lineRule="auto"/>
        <w:rPr>
          <w:rFonts w:eastAsia="Calibri" w:cs="Arial"/>
          <w:bCs/>
          <w:spacing w:val="0"/>
          <w:szCs w:val="19"/>
          <w:lang w:val="en-US"/>
        </w:rPr>
      </w:pPr>
      <w:r w:rsidRPr="00191C79">
        <w:rPr>
          <w:rFonts w:eastAsia="Calibri" w:cs="Arial"/>
          <w:spacing w:val="0"/>
          <w:szCs w:val="19"/>
          <w:lang w:val="en-US"/>
        </w:rPr>
        <w:t>6.10</w:t>
      </w:r>
      <w:r w:rsidRPr="00191C79">
        <w:rPr>
          <w:rFonts w:eastAsia="Calibri" w:cs="Arial"/>
          <w:spacing w:val="0"/>
          <w:szCs w:val="19"/>
          <w:lang w:val="en-US"/>
        </w:rPr>
        <w:tab/>
        <w:t xml:space="preserve">Typical Results show that on an average more than 100,000 Mobile users of one operator in one licensed service area have about 2 hours of mobile usage per day. Taking on an average 10 operators in all the 22 service area in India, at least 20 million mobile users have mobile usage of 2 or more hours per day. </w:t>
      </w:r>
    </w:p>
    <w:p w:rsidR="00115EFF" w:rsidRPr="00191C79" w:rsidRDefault="00115EFF" w:rsidP="00CD5F2F">
      <w:pPr>
        <w:tabs>
          <w:tab w:val="left" w:pos="-5670"/>
          <w:tab w:val="left" w:pos="-4962"/>
        </w:tabs>
        <w:spacing w:before="120" w:line="240" w:lineRule="auto"/>
        <w:rPr>
          <w:rFonts w:eastAsia="Calibri" w:cs="Arial"/>
          <w:bCs/>
          <w:spacing w:val="0"/>
          <w:szCs w:val="19"/>
          <w:lang w:val="en-US"/>
        </w:rPr>
      </w:pPr>
      <w:r w:rsidRPr="00191C79">
        <w:rPr>
          <w:rFonts w:eastAsia="Calibri" w:cs="Arial"/>
          <w:spacing w:val="0"/>
          <w:szCs w:val="19"/>
          <w:lang w:val="en-US"/>
        </w:rPr>
        <w:t>6.11</w:t>
      </w:r>
      <w:r w:rsidRPr="00191C79">
        <w:rPr>
          <w:rFonts w:eastAsia="Calibri" w:cs="Arial"/>
          <w:spacing w:val="0"/>
          <w:szCs w:val="19"/>
          <w:lang w:val="en-US"/>
        </w:rPr>
        <w:tab/>
        <w:t>In Europe, the tariff for mobile service is higher than fixed telephone service and the Tele-density for both Mobile &amp; Fixed Lines phones is comparable to the level of 100+ in Europe and that explains lower levels of usage of mobile.</w:t>
      </w:r>
    </w:p>
    <w:p w:rsidR="00115EFF" w:rsidRPr="00191C79" w:rsidRDefault="00115EFF" w:rsidP="00CD5F2F">
      <w:pPr>
        <w:tabs>
          <w:tab w:val="left" w:pos="-5670"/>
          <w:tab w:val="left" w:pos="-4962"/>
        </w:tabs>
        <w:spacing w:before="120" w:line="240" w:lineRule="auto"/>
        <w:rPr>
          <w:rFonts w:eastAsia="Calibri" w:cs="Arial"/>
          <w:spacing w:val="0"/>
          <w:szCs w:val="19"/>
          <w:lang w:val="en-US"/>
        </w:rPr>
      </w:pPr>
      <w:r w:rsidRPr="00191C79">
        <w:rPr>
          <w:rFonts w:eastAsia="Calibri" w:cs="Arial"/>
          <w:spacing w:val="0"/>
          <w:szCs w:val="19"/>
          <w:lang w:val="en-US"/>
        </w:rPr>
        <w:t>6.12</w:t>
      </w:r>
      <w:r w:rsidRPr="00191C79">
        <w:rPr>
          <w:rFonts w:eastAsia="Calibri" w:cs="Arial"/>
          <w:spacing w:val="0"/>
          <w:szCs w:val="19"/>
          <w:lang w:val="en-US"/>
        </w:rPr>
        <w:tab/>
        <w:t xml:space="preserve">Whereas, in developing countries the tariff for Mobile &amp; Fixed telephone is almost same and </w:t>
      </w:r>
      <w:proofErr w:type="spellStart"/>
      <w:r w:rsidRPr="00191C79">
        <w:rPr>
          <w:rFonts w:eastAsia="Calibri" w:cs="Arial"/>
          <w:spacing w:val="0"/>
          <w:szCs w:val="19"/>
          <w:lang w:val="en-US"/>
        </w:rPr>
        <w:t>tele</w:t>
      </w:r>
      <w:proofErr w:type="spellEnd"/>
      <w:r w:rsidRPr="00191C79">
        <w:rPr>
          <w:rFonts w:eastAsia="Calibri" w:cs="Arial"/>
          <w:spacing w:val="0"/>
          <w:szCs w:val="19"/>
          <w:lang w:val="en-US"/>
        </w:rPr>
        <w:t xml:space="preserve">-density for mobile telephones are generally above 90% whereas it is less than 10% for </w:t>
      </w:r>
      <w:proofErr w:type="gramStart"/>
      <w:r w:rsidRPr="00191C79">
        <w:rPr>
          <w:rFonts w:eastAsia="Calibri" w:cs="Arial"/>
          <w:spacing w:val="0"/>
          <w:szCs w:val="19"/>
          <w:lang w:val="en-US"/>
        </w:rPr>
        <w:t>Fixed</w:t>
      </w:r>
      <w:proofErr w:type="gramEnd"/>
      <w:r w:rsidRPr="00191C79">
        <w:rPr>
          <w:rFonts w:eastAsia="Calibri" w:cs="Arial"/>
          <w:spacing w:val="0"/>
          <w:szCs w:val="19"/>
          <w:lang w:val="en-US"/>
        </w:rPr>
        <w:t xml:space="preserve"> telephones. </w:t>
      </w:r>
    </w:p>
    <w:p w:rsidR="00115EFF" w:rsidRPr="00191C79" w:rsidRDefault="00115EFF" w:rsidP="00CD5F2F">
      <w:pPr>
        <w:tabs>
          <w:tab w:val="left" w:pos="-5670"/>
          <w:tab w:val="left" w:pos="-4962"/>
        </w:tabs>
        <w:spacing w:before="120" w:line="240" w:lineRule="auto"/>
        <w:rPr>
          <w:rFonts w:eastAsia="Calibri" w:cs="Arial"/>
          <w:spacing w:val="0"/>
          <w:szCs w:val="19"/>
          <w:lang w:val="en-US"/>
        </w:rPr>
      </w:pPr>
      <w:r w:rsidRPr="00191C79">
        <w:rPr>
          <w:rFonts w:eastAsia="Calibri" w:cs="Arial"/>
          <w:spacing w:val="0"/>
          <w:szCs w:val="19"/>
          <w:lang w:val="en-US"/>
        </w:rPr>
        <w:t>6.13</w:t>
      </w:r>
      <w:r w:rsidRPr="00191C79">
        <w:rPr>
          <w:rFonts w:eastAsia="Calibri" w:cs="Arial"/>
          <w:spacing w:val="0"/>
          <w:szCs w:val="19"/>
          <w:lang w:val="en-US"/>
        </w:rPr>
        <w:tab/>
        <w:t xml:space="preserve">The usage in Indian study is many folds higher than Inter Phone Study inputs that are referenced in IARC’s Monograph 102 on EMF published on 24/4/2013 which on Page 421 (Chapter 6 on Conclusions) states “Radiofrequency Electromagnetic fields are possibly carcinogenic to humans (Group 2B).” </w:t>
      </w:r>
    </w:p>
    <w:p w:rsidR="00115EFF" w:rsidRPr="00191C79" w:rsidRDefault="00115EFF" w:rsidP="00CD5F2F">
      <w:pPr>
        <w:tabs>
          <w:tab w:val="left" w:pos="-5670"/>
          <w:tab w:val="left" w:pos="-4962"/>
        </w:tabs>
        <w:spacing w:before="120" w:line="240" w:lineRule="auto"/>
        <w:rPr>
          <w:rFonts w:eastAsia="Calibri" w:cs="Arial"/>
          <w:spacing w:val="0"/>
          <w:szCs w:val="19"/>
          <w:lang w:val="en-US"/>
        </w:rPr>
      </w:pPr>
      <w:r w:rsidRPr="00191C79">
        <w:rPr>
          <w:rFonts w:eastAsia="Calibri" w:cs="Arial"/>
          <w:spacing w:val="0"/>
          <w:szCs w:val="19"/>
          <w:lang w:val="en-US"/>
        </w:rPr>
        <w:lastRenderedPageBreak/>
        <w:t>6.14</w:t>
      </w:r>
      <w:r w:rsidRPr="00191C79">
        <w:rPr>
          <w:rFonts w:eastAsia="Calibri" w:cs="Arial"/>
          <w:spacing w:val="0"/>
          <w:szCs w:val="19"/>
          <w:lang w:val="en-US"/>
        </w:rPr>
        <w:tab/>
        <w:t xml:space="preserve">IARC and WHO need to go further from IARC Monographs’ 102 findings with focus on latest available inputs from developing world outside Europe. Inputs from Indian Case Study as above, is an example. </w:t>
      </w:r>
    </w:p>
    <w:p w:rsidR="00115EFF" w:rsidRPr="00191C79" w:rsidRDefault="00115EFF" w:rsidP="00CD5F2F">
      <w:pPr>
        <w:tabs>
          <w:tab w:val="left" w:pos="-5670"/>
          <w:tab w:val="left" w:pos="-4962"/>
        </w:tabs>
        <w:spacing w:before="120" w:line="240" w:lineRule="auto"/>
        <w:rPr>
          <w:rFonts w:eastAsia="Calibri" w:cs="Arial"/>
          <w:spacing w:val="0"/>
          <w:szCs w:val="19"/>
          <w:lang w:val="en-US"/>
        </w:rPr>
      </w:pPr>
      <w:r w:rsidRPr="00191C79">
        <w:rPr>
          <w:rFonts w:eastAsia="Calibri" w:cs="Arial"/>
          <w:spacing w:val="0"/>
          <w:szCs w:val="19"/>
          <w:lang w:val="en-US"/>
        </w:rPr>
        <w:t>6.15</w:t>
      </w:r>
      <w:r w:rsidRPr="00191C79">
        <w:rPr>
          <w:rFonts w:eastAsia="Calibri" w:cs="Arial"/>
          <w:spacing w:val="0"/>
          <w:szCs w:val="19"/>
          <w:lang w:val="en-US"/>
        </w:rPr>
        <w:tab/>
        <w:t>ITU needs to have a relook at all EMF related initiatives through Study Groups. Possibly a new ITU Focus Group on ‘EMF Radiation &amp; Health Issues’ cutting across ITU-T, ITU-R and ITU-D needs to be constituted.</w:t>
      </w:r>
    </w:p>
    <w:p w:rsidR="00115EFF" w:rsidRPr="00191C79" w:rsidRDefault="00115EFF" w:rsidP="00CD5F2F">
      <w:pPr>
        <w:keepNext/>
        <w:keepLines/>
        <w:tabs>
          <w:tab w:val="left" w:pos="-5670"/>
          <w:tab w:val="left" w:pos="-4962"/>
        </w:tabs>
        <w:spacing w:before="120" w:line="240" w:lineRule="auto"/>
        <w:rPr>
          <w:rFonts w:eastAsia="Calibri" w:cs="Arial"/>
          <w:bCs/>
          <w:spacing w:val="0"/>
          <w:szCs w:val="19"/>
          <w:lang w:val="en-US"/>
        </w:rPr>
      </w:pPr>
      <w:r w:rsidRPr="00191C79">
        <w:rPr>
          <w:rFonts w:eastAsia="Calibri" w:cs="Arial"/>
          <w:spacing w:val="0"/>
          <w:szCs w:val="19"/>
          <w:lang w:val="en-US"/>
        </w:rPr>
        <w:t>6.16</w:t>
      </w:r>
      <w:r w:rsidRPr="00191C79">
        <w:rPr>
          <w:rFonts w:eastAsia="Calibri" w:cs="Arial"/>
          <w:spacing w:val="0"/>
          <w:szCs w:val="19"/>
          <w:lang w:val="en-US"/>
        </w:rPr>
        <w:tab/>
        <w:t xml:space="preserve">Though ITU Recommendations on EMF calculations including exclusion zone distance calculations and EMF Estimator Software are available, but further up-gradation of the software is required.  India has already written to Secretary General (ITU) &amp; Director TSB (ITU) with a request to make it more </w:t>
      </w:r>
      <w:proofErr w:type="gramStart"/>
      <w:r w:rsidRPr="00191C79">
        <w:rPr>
          <w:rFonts w:eastAsia="Calibri" w:cs="Arial"/>
          <w:spacing w:val="0"/>
          <w:szCs w:val="19"/>
          <w:lang w:val="en-US"/>
        </w:rPr>
        <w:t>user</w:t>
      </w:r>
      <w:proofErr w:type="gramEnd"/>
      <w:r w:rsidRPr="00191C79">
        <w:rPr>
          <w:rFonts w:eastAsia="Calibri" w:cs="Arial"/>
          <w:spacing w:val="0"/>
          <w:szCs w:val="19"/>
          <w:lang w:val="en-US"/>
        </w:rPr>
        <w:t xml:space="preserve"> friendly and a special feature incorporating acceptance of Excel data based BTS data inputs by EMF Estimator software and avoiding manual keying of all the data. Further, linkages with 3D maps have also been requested.</w:t>
      </w:r>
    </w:p>
    <w:p w:rsidR="00115EFF" w:rsidRPr="00191C79" w:rsidRDefault="00115EFF" w:rsidP="00CD5F2F">
      <w:pPr>
        <w:spacing w:before="120" w:line="240" w:lineRule="auto"/>
        <w:rPr>
          <w:rFonts w:cs="Arial"/>
          <w:spacing w:val="0"/>
          <w:szCs w:val="19"/>
          <w:lang w:val="en-US"/>
        </w:rPr>
      </w:pPr>
      <w:r w:rsidRPr="00191C79">
        <w:rPr>
          <w:rFonts w:eastAsia="Calibri" w:cs="Arial"/>
          <w:spacing w:val="0"/>
          <w:szCs w:val="19"/>
          <w:lang w:val="en-US"/>
        </w:rPr>
        <w:t>6.17</w:t>
      </w:r>
      <w:r w:rsidRPr="00191C79">
        <w:rPr>
          <w:rFonts w:eastAsia="Calibri" w:cs="Arial"/>
          <w:spacing w:val="0"/>
          <w:szCs w:val="19"/>
          <w:lang w:val="en-US"/>
        </w:rPr>
        <w:tab/>
        <w:t xml:space="preserve">An ITU Handbook on EMF Radiation should also be taken up by ITU-D under Q 23/1 or proposed Focus Group. It can include ITU’s generic guidelines on EMF including safe distances to be maintained for populated location directly falling within the main radiated lobe coverage based on typical shared sites radiating at say 20 Watts/ sector along with other safe usage instructions. The Handbook should also include “How to minimize exposures to EMF Radiations from Mobile Towers and handsets”, Do’s&amp; Don’t related to mobile phone usage, clarifications on various myths regarding </w:t>
      </w:r>
      <w:r w:rsidRPr="00191C79">
        <w:rPr>
          <w:rFonts w:cs="Arial"/>
          <w:spacing w:val="0"/>
          <w:szCs w:val="19"/>
          <w:lang w:val="en-US"/>
        </w:rPr>
        <w:t>deployment, use of Radio waves / Safety Standards and frequently asked questions relating to Mobile phones &amp; Human health. The Handbook shall help in facilitating the right inputs for world telecom community and create an environment where everyone can use the radio wave safely.</w:t>
      </w:r>
    </w:p>
    <w:p w:rsidR="00115EFF" w:rsidRPr="00191C79" w:rsidRDefault="00115EFF" w:rsidP="00191C79">
      <w:pPr>
        <w:tabs>
          <w:tab w:val="clear" w:pos="794"/>
        </w:tabs>
        <w:overflowPunct/>
        <w:spacing w:before="0" w:line="240" w:lineRule="auto"/>
        <w:jc w:val="left"/>
        <w:rPr>
          <w:spacing w:val="0"/>
          <w:lang w:val="en-US" w:eastAsia="zh-CN"/>
        </w:rPr>
      </w:pPr>
      <w:r w:rsidRPr="00191C79">
        <w:rPr>
          <w:spacing w:val="0"/>
          <w:lang w:val="en-US" w:eastAsia="zh-CN"/>
        </w:rPr>
        <w:br w:type="page"/>
      </w:r>
    </w:p>
    <w:p w:rsidR="00115EFF" w:rsidRPr="00191C79" w:rsidRDefault="00115EFF" w:rsidP="00191C79">
      <w:pPr>
        <w:pStyle w:val="Heading1"/>
        <w:tabs>
          <w:tab w:val="left" w:pos="1418"/>
        </w:tabs>
        <w:spacing w:line="240" w:lineRule="auto"/>
        <w:ind w:left="1418" w:hanging="1418"/>
        <w:rPr>
          <w:rFonts w:eastAsia="Calibri"/>
          <w:spacing w:val="0"/>
        </w:rPr>
      </w:pPr>
      <w:bookmarkStart w:id="104" w:name="_Toc374691852"/>
      <w:r w:rsidRPr="00191C79">
        <w:rPr>
          <w:rFonts w:eastAsia="Calibri"/>
          <w:spacing w:val="0"/>
        </w:rPr>
        <w:lastRenderedPageBreak/>
        <w:t xml:space="preserve">Annex 10A: </w:t>
      </w:r>
      <w:r w:rsidRPr="00191C79">
        <w:rPr>
          <w:rFonts w:eastAsia="Calibri"/>
          <w:spacing w:val="0"/>
        </w:rPr>
        <w:tab/>
        <w:t>Wireless / Landline subscribers as on 31</w:t>
      </w:r>
      <w:r w:rsidRPr="00191C79">
        <w:rPr>
          <w:rFonts w:eastAsia="Calibri"/>
          <w:spacing w:val="0"/>
          <w:vertAlign w:val="superscript"/>
        </w:rPr>
        <w:t>st</w:t>
      </w:r>
      <w:r w:rsidRPr="00191C79">
        <w:rPr>
          <w:rFonts w:eastAsia="Calibri"/>
          <w:spacing w:val="0"/>
        </w:rPr>
        <w:t xml:space="preserve"> March 2013 service area wise in India</w:t>
      </w:r>
      <w:bookmarkEnd w:id="104"/>
    </w:p>
    <w:p w:rsidR="00115EFF" w:rsidRPr="00191C79" w:rsidRDefault="00115EFF" w:rsidP="00191C79">
      <w:pPr>
        <w:spacing w:line="240" w:lineRule="auto"/>
        <w:rPr>
          <w:spacing w:val="0"/>
          <w:lang w:val="en-US"/>
        </w:rPr>
      </w:pPr>
    </w:p>
    <w:tbl>
      <w:tblPr>
        <w:tblStyle w:val="Style1"/>
        <w:tblW w:w="0" w:type="auto"/>
        <w:tblInd w:w="108" w:type="dxa"/>
        <w:tblLook w:val="04A0" w:firstRow="1" w:lastRow="0" w:firstColumn="1" w:lastColumn="0" w:noHBand="0" w:noVBand="1"/>
      </w:tblPr>
      <w:tblGrid>
        <w:gridCol w:w="720"/>
        <w:gridCol w:w="3060"/>
        <w:gridCol w:w="2610"/>
        <w:gridCol w:w="2682"/>
      </w:tblGrid>
      <w:tr w:rsidR="00115EFF" w:rsidRPr="00191C79" w:rsidTr="00774FEC">
        <w:trPr>
          <w:cnfStyle w:val="100000000000" w:firstRow="1" w:lastRow="0" w:firstColumn="0" w:lastColumn="0" w:oddVBand="0" w:evenVBand="0" w:oddHBand="0" w:evenHBand="0" w:firstRowFirstColumn="0" w:firstRowLastColumn="0" w:lastRowFirstColumn="0" w:lastRowLastColumn="0"/>
        </w:trPr>
        <w:tc>
          <w:tcPr>
            <w:tcW w:w="720" w:type="dxa"/>
          </w:tcPr>
          <w:p w:rsidR="00115EFF" w:rsidRPr="00191C79" w:rsidRDefault="00115EFF" w:rsidP="00191C79">
            <w:pPr>
              <w:pStyle w:val="Tablehead"/>
              <w:spacing w:line="240" w:lineRule="auto"/>
              <w:rPr>
                <w:spacing w:val="0"/>
              </w:rPr>
            </w:pPr>
            <w:proofErr w:type="spellStart"/>
            <w:r w:rsidRPr="00191C79">
              <w:rPr>
                <w:spacing w:val="0"/>
              </w:rPr>
              <w:t>Sl</w:t>
            </w:r>
            <w:proofErr w:type="spellEnd"/>
            <w:r w:rsidRPr="00191C79">
              <w:rPr>
                <w:spacing w:val="0"/>
              </w:rPr>
              <w:t xml:space="preserve"> No.</w:t>
            </w:r>
          </w:p>
        </w:tc>
        <w:tc>
          <w:tcPr>
            <w:tcW w:w="3060" w:type="dxa"/>
          </w:tcPr>
          <w:p w:rsidR="00115EFF" w:rsidRPr="00191C79" w:rsidRDefault="00115EFF" w:rsidP="00191C79">
            <w:pPr>
              <w:pStyle w:val="Tablehead"/>
              <w:spacing w:line="240" w:lineRule="auto"/>
              <w:rPr>
                <w:spacing w:val="0"/>
              </w:rPr>
            </w:pPr>
            <w:r w:rsidRPr="00191C79">
              <w:rPr>
                <w:spacing w:val="0"/>
              </w:rPr>
              <w:t>License Service Area</w:t>
            </w:r>
          </w:p>
        </w:tc>
        <w:tc>
          <w:tcPr>
            <w:tcW w:w="2610" w:type="dxa"/>
          </w:tcPr>
          <w:p w:rsidR="00115EFF" w:rsidRPr="00191C79" w:rsidRDefault="00115EFF" w:rsidP="00191C79">
            <w:pPr>
              <w:pStyle w:val="Tablehead"/>
              <w:spacing w:line="240" w:lineRule="auto"/>
              <w:rPr>
                <w:spacing w:val="0"/>
              </w:rPr>
            </w:pPr>
            <w:r w:rsidRPr="00191C79">
              <w:rPr>
                <w:spacing w:val="0"/>
              </w:rPr>
              <w:t>Number of Wireless Subscriber</w:t>
            </w:r>
          </w:p>
        </w:tc>
        <w:tc>
          <w:tcPr>
            <w:tcW w:w="2682" w:type="dxa"/>
          </w:tcPr>
          <w:p w:rsidR="00115EFF" w:rsidRPr="00191C79" w:rsidRDefault="00115EFF" w:rsidP="00191C79">
            <w:pPr>
              <w:pStyle w:val="Tablehead"/>
              <w:spacing w:line="240" w:lineRule="auto"/>
              <w:rPr>
                <w:spacing w:val="0"/>
              </w:rPr>
            </w:pPr>
            <w:r w:rsidRPr="00191C79">
              <w:rPr>
                <w:spacing w:val="0"/>
              </w:rPr>
              <w:t>Number of Landline Subscriber</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1</w:t>
            </w:r>
          </w:p>
        </w:tc>
        <w:tc>
          <w:tcPr>
            <w:tcW w:w="3060" w:type="dxa"/>
          </w:tcPr>
          <w:p w:rsidR="00115EFF" w:rsidRPr="00191C79" w:rsidRDefault="00115EFF" w:rsidP="00191C79">
            <w:pPr>
              <w:pStyle w:val="Tabletext"/>
              <w:spacing w:line="240" w:lineRule="auto"/>
              <w:rPr>
                <w:rFonts w:eastAsia="Calibri"/>
                <w:spacing w:val="0"/>
              </w:rPr>
            </w:pPr>
            <w:r w:rsidRPr="00191C79">
              <w:rPr>
                <w:spacing w:val="0"/>
              </w:rPr>
              <w:t xml:space="preserve">Andhra </w:t>
            </w:r>
            <w:proofErr w:type="spellStart"/>
            <w:r w:rsidRPr="00191C79">
              <w:rPr>
                <w:spacing w:val="0"/>
              </w:rPr>
              <w:t>Pradesh</w:t>
            </w:r>
            <w:proofErr w:type="spellEnd"/>
          </w:p>
        </w:tc>
        <w:tc>
          <w:tcPr>
            <w:tcW w:w="2610" w:type="dxa"/>
          </w:tcPr>
          <w:p w:rsidR="00115EFF" w:rsidRPr="00191C79" w:rsidRDefault="00115EFF" w:rsidP="00191C79">
            <w:pPr>
              <w:pStyle w:val="Tabletext"/>
              <w:spacing w:line="240" w:lineRule="auto"/>
              <w:rPr>
                <w:rFonts w:eastAsia="Calibri"/>
                <w:spacing w:val="0"/>
              </w:rPr>
            </w:pPr>
            <w:r w:rsidRPr="00191C79">
              <w:rPr>
                <w:spacing w:val="0"/>
              </w:rPr>
              <w:t>64363622</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2239363</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2</w:t>
            </w:r>
          </w:p>
        </w:tc>
        <w:tc>
          <w:tcPr>
            <w:tcW w:w="3060" w:type="dxa"/>
          </w:tcPr>
          <w:p w:rsidR="00115EFF" w:rsidRPr="00191C79" w:rsidRDefault="00115EFF" w:rsidP="00191C79">
            <w:pPr>
              <w:pStyle w:val="Tabletext"/>
              <w:spacing w:line="240" w:lineRule="auto"/>
              <w:rPr>
                <w:rFonts w:eastAsia="Calibri"/>
                <w:spacing w:val="0"/>
              </w:rPr>
            </w:pPr>
            <w:r w:rsidRPr="00191C79">
              <w:rPr>
                <w:spacing w:val="0"/>
              </w:rPr>
              <w:t>Assam</w:t>
            </w:r>
          </w:p>
        </w:tc>
        <w:tc>
          <w:tcPr>
            <w:tcW w:w="2610" w:type="dxa"/>
          </w:tcPr>
          <w:p w:rsidR="00115EFF" w:rsidRPr="00191C79" w:rsidRDefault="00115EFF" w:rsidP="00191C79">
            <w:pPr>
              <w:pStyle w:val="Tabletext"/>
              <w:spacing w:line="240" w:lineRule="auto"/>
              <w:rPr>
                <w:rFonts w:eastAsia="Calibri"/>
                <w:spacing w:val="0"/>
              </w:rPr>
            </w:pPr>
            <w:r w:rsidRPr="00191C79">
              <w:rPr>
                <w:spacing w:val="0"/>
              </w:rPr>
              <w:t>14387664</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194395</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3</w:t>
            </w:r>
          </w:p>
        </w:tc>
        <w:tc>
          <w:tcPr>
            <w:tcW w:w="3060" w:type="dxa"/>
          </w:tcPr>
          <w:p w:rsidR="00115EFF" w:rsidRPr="00191C79" w:rsidRDefault="00115EFF" w:rsidP="00191C79">
            <w:pPr>
              <w:pStyle w:val="Tabletext"/>
              <w:spacing w:line="240" w:lineRule="auto"/>
              <w:rPr>
                <w:rFonts w:eastAsia="Calibri"/>
                <w:spacing w:val="0"/>
              </w:rPr>
            </w:pPr>
            <w:proofErr w:type="spellStart"/>
            <w:r w:rsidRPr="00191C79">
              <w:rPr>
                <w:spacing w:val="0"/>
              </w:rPr>
              <w:t>Bihar</w:t>
            </w:r>
            <w:proofErr w:type="spellEnd"/>
          </w:p>
        </w:tc>
        <w:tc>
          <w:tcPr>
            <w:tcW w:w="2610" w:type="dxa"/>
          </w:tcPr>
          <w:p w:rsidR="00115EFF" w:rsidRPr="00191C79" w:rsidRDefault="00115EFF" w:rsidP="00191C79">
            <w:pPr>
              <w:pStyle w:val="Tabletext"/>
              <w:spacing w:line="240" w:lineRule="auto"/>
              <w:rPr>
                <w:rFonts w:eastAsia="Calibri"/>
                <w:spacing w:val="0"/>
              </w:rPr>
            </w:pPr>
            <w:r w:rsidRPr="00191C79">
              <w:rPr>
                <w:spacing w:val="0"/>
              </w:rPr>
              <w:t>60301859</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394129</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4</w:t>
            </w:r>
          </w:p>
        </w:tc>
        <w:tc>
          <w:tcPr>
            <w:tcW w:w="3060" w:type="dxa"/>
          </w:tcPr>
          <w:p w:rsidR="00115EFF" w:rsidRPr="00191C79" w:rsidRDefault="00115EFF" w:rsidP="00191C79">
            <w:pPr>
              <w:pStyle w:val="Tabletext"/>
              <w:spacing w:line="240" w:lineRule="auto"/>
              <w:rPr>
                <w:rFonts w:eastAsia="Calibri"/>
                <w:spacing w:val="0"/>
              </w:rPr>
            </w:pPr>
            <w:r w:rsidRPr="00191C79">
              <w:rPr>
                <w:spacing w:val="0"/>
              </w:rPr>
              <w:t>Delhi</w:t>
            </w:r>
          </w:p>
        </w:tc>
        <w:tc>
          <w:tcPr>
            <w:tcW w:w="2610" w:type="dxa"/>
          </w:tcPr>
          <w:p w:rsidR="00115EFF" w:rsidRPr="00191C79" w:rsidRDefault="00115EFF" w:rsidP="00191C79">
            <w:pPr>
              <w:pStyle w:val="Tabletext"/>
              <w:spacing w:line="240" w:lineRule="auto"/>
              <w:rPr>
                <w:rFonts w:eastAsia="Calibri"/>
                <w:spacing w:val="0"/>
              </w:rPr>
            </w:pPr>
            <w:r w:rsidRPr="00191C79">
              <w:rPr>
                <w:spacing w:val="0"/>
              </w:rPr>
              <w:t>40426200</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2962600</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5</w:t>
            </w:r>
          </w:p>
        </w:tc>
        <w:tc>
          <w:tcPr>
            <w:tcW w:w="3060" w:type="dxa"/>
          </w:tcPr>
          <w:p w:rsidR="00115EFF" w:rsidRPr="00191C79" w:rsidRDefault="00115EFF" w:rsidP="00191C79">
            <w:pPr>
              <w:pStyle w:val="Tabletext"/>
              <w:spacing w:line="240" w:lineRule="auto"/>
              <w:rPr>
                <w:rFonts w:eastAsia="Calibri"/>
                <w:spacing w:val="0"/>
              </w:rPr>
            </w:pPr>
            <w:r w:rsidRPr="00191C79">
              <w:rPr>
                <w:spacing w:val="0"/>
              </w:rPr>
              <w:t>Gujarat</w:t>
            </w:r>
          </w:p>
        </w:tc>
        <w:tc>
          <w:tcPr>
            <w:tcW w:w="2610" w:type="dxa"/>
          </w:tcPr>
          <w:p w:rsidR="00115EFF" w:rsidRPr="00191C79" w:rsidRDefault="00115EFF" w:rsidP="00191C79">
            <w:pPr>
              <w:pStyle w:val="Tabletext"/>
              <w:spacing w:line="240" w:lineRule="auto"/>
              <w:rPr>
                <w:rFonts w:eastAsia="Calibri"/>
                <w:spacing w:val="0"/>
              </w:rPr>
            </w:pPr>
            <w:r w:rsidRPr="00191C79">
              <w:rPr>
                <w:spacing w:val="0"/>
              </w:rPr>
              <w:t>51693364</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1792030</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6</w:t>
            </w:r>
          </w:p>
        </w:tc>
        <w:tc>
          <w:tcPr>
            <w:tcW w:w="3060" w:type="dxa"/>
          </w:tcPr>
          <w:p w:rsidR="00115EFF" w:rsidRPr="00191C79" w:rsidRDefault="00115EFF" w:rsidP="00191C79">
            <w:pPr>
              <w:pStyle w:val="Tabletext"/>
              <w:spacing w:line="240" w:lineRule="auto"/>
              <w:rPr>
                <w:rFonts w:eastAsia="Calibri"/>
                <w:spacing w:val="0"/>
              </w:rPr>
            </w:pPr>
            <w:r w:rsidRPr="00191C79">
              <w:rPr>
                <w:spacing w:val="0"/>
              </w:rPr>
              <w:t>Haryana</w:t>
            </w:r>
          </w:p>
        </w:tc>
        <w:tc>
          <w:tcPr>
            <w:tcW w:w="2610" w:type="dxa"/>
          </w:tcPr>
          <w:p w:rsidR="00115EFF" w:rsidRPr="00191C79" w:rsidRDefault="00115EFF" w:rsidP="00191C79">
            <w:pPr>
              <w:pStyle w:val="Tabletext"/>
              <w:spacing w:line="240" w:lineRule="auto"/>
              <w:rPr>
                <w:rFonts w:eastAsia="Calibri"/>
                <w:spacing w:val="0"/>
              </w:rPr>
            </w:pPr>
            <w:r w:rsidRPr="00191C79">
              <w:rPr>
                <w:spacing w:val="0"/>
              </w:rPr>
              <w:t>19543589</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560474</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7</w:t>
            </w:r>
          </w:p>
        </w:tc>
        <w:tc>
          <w:tcPr>
            <w:tcW w:w="3060" w:type="dxa"/>
          </w:tcPr>
          <w:p w:rsidR="00115EFF" w:rsidRPr="00191C79" w:rsidRDefault="00115EFF" w:rsidP="00191C79">
            <w:pPr>
              <w:pStyle w:val="Tabletext"/>
              <w:spacing w:line="240" w:lineRule="auto"/>
              <w:rPr>
                <w:rFonts w:eastAsia="Calibri"/>
                <w:spacing w:val="0"/>
              </w:rPr>
            </w:pPr>
            <w:proofErr w:type="spellStart"/>
            <w:r w:rsidRPr="00191C79">
              <w:rPr>
                <w:spacing w:val="0"/>
              </w:rPr>
              <w:t>Himachal</w:t>
            </w:r>
            <w:proofErr w:type="spellEnd"/>
            <w:r w:rsidRPr="00191C79">
              <w:rPr>
                <w:spacing w:val="0"/>
              </w:rPr>
              <w:t xml:space="preserve"> </w:t>
            </w:r>
            <w:proofErr w:type="spellStart"/>
            <w:r w:rsidRPr="00191C79">
              <w:rPr>
                <w:spacing w:val="0"/>
              </w:rPr>
              <w:t>Pradesh</w:t>
            </w:r>
            <w:proofErr w:type="spellEnd"/>
          </w:p>
        </w:tc>
        <w:tc>
          <w:tcPr>
            <w:tcW w:w="2610" w:type="dxa"/>
          </w:tcPr>
          <w:p w:rsidR="00115EFF" w:rsidRPr="00191C79" w:rsidRDefault="00115EFF" w:rsidP="00191C79">
            <w:pPr>
              <w:pStyle w:val="Tabletext"/>
              <w:spacing w:line="240" w:lineRule="auto"/>
              <w:rPr>
                <w:rFonts w:eastAsia="Calibri"/>
                <w:spacing w:val="0"/>
              </w:rPr>
            </w:pPr>
            <w:r w:rsidRPr="00191C79">
              <w:rPr>
                <w:spacing w:val="0"/>
              </w:rPr>
              <w:t>7015343</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280669</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8</w:t>
            </w:r>
          </w:p>
        </w:tc>
        <w:tc>
          <w:tcPr>
            <w:tcW w:w="3060" w:type="dxa"/>
          </w:tcPr>
          <w:p w:rsidR="00115EFF" w:rsidRPr="00191C79" w:rsidRDefault="00115EFF" w:rsidP="00191C79">
            <w:pPr>
              <w:pStyle w:val="Tabletext"/>
              <w:spacing w:line="240" w:lineRule="auto"/>
              <w:rPr>
                <w:rFonts w:eastAsia="Calibri"/>
                <w:spacing w:val="0"/>
              </w:rPr>
            </w:pPr>
            <w:r w:rsidRPr="00191C79">
              <w:rPr>
                <w:spacing w:val="0"/>
              </w:rPr>
              <w:t xml:space="preserve">Jammu &amp; </w:t>
            </w:r>
            <w:proofErr w:type="spellStart"/>
            <w:r w:rsidRPr="00191C79">
              <w:rPr>
                <w:spacing w:val="0"/>
              </w:rPr>
              <w:t>Kashmir</w:t>
            </w:r>
            <w:proofErr w:type="spellEnd"/>
          </w:p>
        </w:tc>
        <w:tc>
          <w:tcPr>
            <w:tcW w:w="2610" w:type="dxa"/>
          </w:tcPr>
          <w:p w:rsidR="00115EFF" w:rsidRPr="00191C79" w:rsidRDefault="00115EFF" w:rsidP="00191C79">
            <w:pPr>
              <w:pStyle w:val="Tabletext"/>
              <w:spacing w:line="240" w:lineRule="auto"/>
              <w:rPr>
                <w:rFonts w:eastAsia="Calibri"/>
                <w:spacing w:val="0"/>
              </w:rPr>
            </w:pPr>
            <w:r w:rsidRPr="00191C79">
              <w:rPr>
                <w:spacing w:val="0"/>
              </w:rPr>
              <w:t>6844607</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196811</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9</w:t>
            </w:r>
          </w:p>
        </w:tc>
        <w:tc>
          <w:tcPr>
            <w:tcW w:w="3060" w:type="dxa"/>
          </w:tcPr>
          <w:p w:rsidR="00115EFF" w:rsidRPr="00191C79" w:rsidRDefault="00115EFF" w:rsidP="00191C79">
            <w:pPr>
              <w:pStyle w:val="Tabletext"/>
              <w:spacing w:line="240" w:lineRule="auto"/>
              <w:rPr>
                <w:rFonts w:eastAsia="Calibri"/>
                <w:spacing w:val="0"/>
              </w:rPr>
            </w:pPr>
            <w:r w:rsidRPr="00191C79">
              <w:rPr>
                <w:spacing w:val="0"/>
              </w:rPr>
              <w:t>Karnataka</w:t>
            </w:r>
          </w:p>
        </w:tc>
        <w:tc>
          <w:tcPr>
            <w:tcW w:w="2610" w:type="dxa"/>
          </w:tcPr>
          <w:p w:rsidR="00115EFF" w:rsidRPr="00191C79" w:rsidRDefault="00115EFF" w:rsidP="00191C79">
            <w:pPr>
              <w:pStyle w:val="Tabletext"/>
              <w:spacing w:line="240" w:lineRule="auto"/>
              <w:rPr>
                <w:rFonts w:eastAsia="Calibri"/>
                <w:spacing w:val="0"/>
              </w:rPr>
            </w:pPr>
            <w:r w:rsidRPr="00191C79">
              <w:rPr>
                <w:spacing w:val="0"/>
              </w:rPr>
              <w:t>52914789</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2443394</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10</w:t>
            </w:r>
          </w:p>
        </w:tc>
        <w:tc>
          <w:tcPr>
            <w:tcW w:w="3060" w:type="dxa"/>
          </w:tcPr>
          <w:p w:rsidR="00115EFF" w:rsidRPr="00191C79" w:rsidRDefault="00115EFF" w:rsidP="00191C79">
            <w:pPr>
              <w:pStyle w:val="Tabletext"/>
              <w:spacing w:line="240" w:lineRule="auto"/>
              <w:rPr>
                <w:rFonts w:eastAsia="Calibri"/>
                <w:spacing w:val="0"/>
              </w:rPr>
            </w:pPr>
            <w:r w:rsidRPr="00191C79">
              <w:rPr>
                <w:spacing w:val="0"/>
              </w:rPr>
              <w:t>Kerala</w:t>
            </w:r>
          </w:p>
        </w:tc>
        <w:tc>
          <w:tcPr>
            <w:tcW w:w="2610" w:type="dxa"/>
          </w:tcPr>
          <w:p w:rsidR="00115EFF" w:rsidRPr="00191C79" w:rsidRDefault="00115EFF" w:rsidP="00191C79">
            <w:pPr>
              <w:pStyle w:val="Tabletext"/>
              <w:spacing w:line="240" w:lineRule="auto"/>
              <w:rPr>
                <w:rFonts w:eastAsia="Calibri"/>
                <w:spacing w:val="0"/>
              </w:rPr>
            </w:pPr>
            <w:r w:rsidRPr="00191C79">
              <w:rPr>
                <w:spacing w:val="0"/>
              </w:rPr>
              <w:t>30692668</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3064818</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11</w:t>
            </w:r>
          </w:p>
        </w:tc>
        <w:tc>
          <w:tcPr>
            <w:tcW w:w="3060" w:type="dxa"/>
          </w:tcPr>
          <w:p w:rsidR="00115EFF" w:rsidRPr="00191C79" w:rsidRDefault="00115EFF" w:rsidP="00191C79">
            <w:pPr>
              <w:pStyle w:val="Tabletext"/>
              <w:spacing w:line="240" w:lineRule="auto"/>
              <w:rPr>
                <w:rFonts w:eastAsia="Calibri"/>
                <w:spacing w:val="0"/>
              </w:rPr>
            </w:pPr>
            <w:proofErr w:type="spellStart"/>
            <w:r w:rsidRPr="00191C79">
              <w:rPr>
                <w:spacing w:val="0"/>
              </w:rPr>
              <w:t>Kolkata</w:t>
            </w:r>
            <w:proofErr w:type="spellEnd"/>
          </w:p>
        </w:tc>
        <w:tc>
          <w:tcPr>
            <w:tcW w:w="2610" w:type="dxa"/>
          </w:tcPr>
          <w:p w:rsidR="00115EFF" w:rsidRPr="00191C79" w:rsidRDefault="00115EFF" w:rsidP="00191C79">
            <w:pPr>
              <w:pStyle w:val="Tabletext"/>
              <w:spacing w:line="240" w:lineRule="auto"/>
              <w:rPr>
                <w:rFonts w:eastAsia="Calibri"/>
                <w:spacing w:val="0"/>
              </w:rPr>
            </w:pPr>
            <w:r w:rsidRPr="00191C79">
              <w:rPr>
                <w:spacing w:val="0"/>
              </w:rPr>
              <w:t>21260064</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1144255</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12</w:t>
            </w:r>
          </w:p>
        </w:tc>
        <w:tc>
          <w:tcPr>
            <w:tcW w:w="3060" w:type="dxa"/>
          </w:tcPr>
          <w:p w:rsidR="00115EFF" w:rsidRPr="00191C79" w:rsidRDefault="00115EFF" w:rsidP="00191C79">
            <w:pPr>
              <w:pStyle w:val="Tabletext"/>
              <w:spacing w:line="240" w:lineRule="auto"/>
              <w:rPr>
                <w:rFonts w:eastAsia="Calibri"/>
                <w:spacing w:val="0"/>
              </w:rPr>
            </w:pPr>
            <w:proofErr w:type="spellStart"/>
            <w:r w:rsidRPr="00191C79">
              <w:rPr>
                <w:spacing w:val="0"/>
              </w:rPr>
              <w:t>Madhya</w:t>
            </w:r>
            <w:proofErr w:type="spellEnd"/>
            <w:r w:rsidRPr="00191C79">
              <w:rPr>
                <w:spacing w:val="0"/>
              </w:rPr>
              <w:t xml:space="preserve"> </w:t>
            </w:r>
            <w:proofErr w:type="spellStart"/>
            <w:r w:rsidRPr="00191C79">
              <w:rPr>
                <w:spacing w:val="0"/>
              </w:rPr>
              <w:t>Pradesh</w:t>
            </w:r>
            <w:proofErr w:type="spellEnd"/>
          </w:p>
        </w:tc>
        <w:tc>
          <w:tcPr>
            <w:tcW w:w="2610" w:type="dxa"/>
          </w:tcPr>
          <w:p w:rsidR="00115EFF" w:rsidRPr="00191C79" w:rsidRDefault="00115EFF" w:rsidP="00191C79">
            <w:pPr>
              <w:pStyle w:val="Tabletext"/>
              <w:spacing w:line="240" w:lineRule="auto"/>
              <w:rPr>
                <w:rFonts w:eastAsia="Calibri"/>
                <w:spacing w:val="0"/>
              </w:rPr>
            </w:pPr>
            <w:r w:rsidRPr="00191C79">
              <w:rPr>
                <w:spacing w:val="0"/>
              </w:rPr>
              <w:t>52164292</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1120350</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13</w:t>
            </w:r>
          </w:p>
        </w:tc>
        <w:tc>
          <w:tcPr>
            <w:tcW w:w="3060" w:type="dxa"/>
          </w:tcPr>
          <w:p w:rsidR="00115EFF" w:rsidRPr="00191C79" w:rsidRDefault="00115EFF" w:rsidP="00191C79">
            <w:pPr>
              <w:pStyle w:val="Tabletext"/>
              <w:spacing w:line="240" w:lineRule="auto"/>
              <w:rPr>
                <w:rFonts w:eastAsia="Calibri"/>
                <w:spacing w:val="0"/>
              </w:rPr>
            </w:pPr>
            <w:proofErr w:type="spellStart"/>
            <w:r w:rsidRPr="00191C79">
              <w:rPr>
                <w:spacing w:val="0"/>
              </w:rPr>
              <w:t>Maharashtra</w:t>
            </w:r>
            <w:proofErr w:type="spellEnd"/>
          </w:p>
        </w:tc>
        <w:tc>
          <w:tcPr>
            <w:tcW w:w="2610" w:type="dxa"/>
          </w:tcPr>
          <w:p w:rsidR="00115EFF" w:rsidRPr="00191C79" w:rsidRDefault="00115EFF" w:rsidP="00191C79">
            <w:pPr>
              <w:pStyle w:val="Tabletext"/>
              <w:spacing w:line="240" w:lineRule="auto"/>
              <w:rPr>
                <w:rFonts w:eastAsia="Calibri"/>
                <w:spacing w:val="0"/>
              </w:rPr>
            </w:pPr>
            <w:r w:rsidRPr="00191C79">
              <w:rPr>
                <w:spacing w:val="0"/>
              </w:rPr>
              <w:t>68400365</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2466496</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14</w:t>
            </w:r>
          </w:p>
        </w:tc>
        <w:tc>
          <w:tcPr>
            <w:tcW w:w="3060" w:type="dxa"/>
          </w:tcPr>
          <w:p w:rsidR="00115EFF" w:rsidRPr="00191C79" w:rsidRDefault="00115EFF" w:rsidP="00191C79">
            <w:pPr>
              <w:pStyle w:val="Tabletext"/>
              <w:spacing w:line="240" w:lineRule="auto"/>
              <w:rPr>
                <w:rFonts w:eastAsia="Calibri"/>
                <w:spacing w:val="0"/>
              </w:rPr>
            </w:pPr>
            <w:proofErr w:type="spellStart"/>
            <w:r w:rsidRPr="00191C79">
              <w:rPr>
                <w:spacing w:val="0"/>
              </w:rPr>
              <w:t>Mumbai</w:t>
            </w:r>
            <w:proofErr w:type="spellEnd"/>
          </w:p>
        </w:tc>
        <w:tc>
          <w:tcPr>
            <w:tcW w:w="2610" w:type="dxa"/>
          </w:tcPr>
          <w:p w:rsidR="00115EFF" w:rsidRPr="00191C79" w:rsidRDefault="00115EFF" w:rsidP="00191C79">
            <w:pPr>
              <w:pStyle w:val="Tabletext"/>
              <w:spacing w:line="240" w:lineRule="auto"/>
              <w:rPr>
                <w:rFonts w:eastAsia="Calibri"/>
                <w:spacing w:val="0"/>
              </w:rPr>
            </w:pPr>
            <w:r w:rsidRPr="00191C79">
              <w:rPr>
                <w:spacing w:val="0"/>
              </w:rPr>
              <w:t>30372793</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2985057</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15</w:t>
            </w:r>
          </w:p>
        </w:tc>
        <w:tc>
          <w:tcPr>
            <w:tcW w:w="3060" w:type="dxa"/>
          </w:tcPr>
          <w:p w:rsidR="00115EFF" w:rsidRPr="00191C79" w:rsidRDefault="00115EFF" w:rsidP="00191C79">
            <w:pPr>
              <w:pStyle w:val="Tabletext"/>
              <w:spacing w:line="240" w:lineRule="auto"/>
              <w:rPr>
                <w:rFonts w:eastAsia="Calibri"/>
                <w:spacing w:val="0"/>
              </w:rPr>
            </w:pPr>
            <w:proofErr w:type="spellStart"/>
            <w:r w:rsidRPr="00191C79">
              <w:rPr>
                <w:spacing w:val="0"/>
              </w:rPr>
              <w:t>North</w:t>
            </w:r>
            <w:proofErr w:type="spellEnd"/>
            <w:r w:rsidRPr="00191C79">
              <w:rPr>
                <w:spacing w:val="0"/>
              </w:rPr>
              <w:t xml:space="preserve"> East</w:t>
            </w:r>
          </w:p>
        </w:tc>
        <w:tc>
          <w:tcPr>
            <w:tcW w:w="2610" w:type="dxa"/>
          </w:tcPr>
          <w:p w:rsidR="00115EFF" w:rsidRPr="00191C79" w:rsidRDefault="00115EFF" w:rsidP="00191C79">
            <w:pPr>
              <w:pStyle w:val="Tabletext"/>
              <w:spacing w:line="240" w:lineRule="auto"/>
              <w:rPr>
                <w:rFonts w:eastAsia="Calibri"/>
                <w:spacing w:val="0"/>
              </w:rPr>
            </w:pPr>
            <w:r w:rsidRPr="00191C79">
              <w:rPr>
                <w:spacing w:val="0"/>
              </w:rPr>
              <w:t>8960542</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189884</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16</w:t>
            </w:r>
          </w:p>
        </w:tc>
        <w:tc>
          <w:tcPr>
            <w:tcW w:w="3060" w:type="dxa"/>
          </w:tcPr>
          <w:p w:rsidR="00115EFF" w:rsidRPr="00191C79" w:rsidRDefault="00115EFF" w:rsidP="00191C79">
            <w:pPr>
              <w:pStyle w:val="Tabletext"/>
              <w:spacing w:line="240" w:lineRule="auto"/>
              <w:rPr>
                <w:rFonts w:eastAsia="Calibri"/>
                <w:spacing w:val="0"/>
              </w:rPr>
            </w:pPr>
            <w:r w:rsidRPr="00191C79">
              <w:rPr>
                <w:spacing w:val="0"/>
              </w:rPr>
              <w:t>Orissa</w:t>
            </w:r>
          </w:p>
        </w:tc>
        <w:tc>
          <w:tcPr>
            <w:tcW w:w="2610" w:type="dxa"/>
          </w:tcPr>
          <w:p w:rsidR="00115EFF" w:rsidRPr="00191C79" w:rsidRDefault="00115EFF" w:rsidP="00191C79">
            <w:pPr>
              <w:pStyle w:val="Tabletext"/>
              <w:spacing w:line="240" w:lineRule="auto"/>
              <w:rPr>
                <w:rFonts w:eastAsia="Calibri"/>
                <w:spacing w:val="0"/>
              </w:rPr>
            </w:pPr>
            <w:r w:rsidRPr="00191C79">
              <w:rPr>
                <w:spacing w:val="0"/>
              </w:rPr>
              <w:t>24601935</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374427</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17</w:t>
            </w:r>
          </w:p>
        </w:tc>
        <w:tc>
          <w:tcPr>
            <w:tcW w:w="3060" w:type="dxa"/>
          </w:tcPr>
          <w:p w:rsidR="00115EFF" w:rsidRPr="00191C79" w:rsidRDefault="00115EFF" w:rsidP="00191C79">
            <w:pPr>
              <w:pStyle w:val="Tabletext"/>
              <w:spacing w:line="240" w:lineRule="auto"/>
              <w:rPr>
                <w:rFonts w:eastAsia="Calibri"/>
                <w:spacing w:val="0"/>
              </w:rPr>
            </w:pPr>
            <w:proofErr w:type="spellStart"/>
            <w:r w:rsidRPr="00191C79">
              <w:rPr>
                <w:spacing w:val="0"/>
              </w:rPr>
              <w:t>Punjab</w:t>
            </w:r>
            <w:proofErr w:type="spellEnd"/>
          </w:p>
        </w:tc>
        <w:tc>
          <w:tcPr>
            <w:tcW w:w="2610" w:type="dxa"/>
          </w:tcPr>
          <w:p w:rsidR="00115EFF" w:rsidRPr="00191C79" w:rsidRDefault="00115EFF" w:rsidP="00191C79">
            <w:pPr>
              <w:pStyle w:val="Tabletext"/>
              <w:spacing w:line="240" w:lineRule="auto"/>
              <w:rPr>
                <w:rFonts w:eastAsia="Calibri"/>
                <w:spacing w:val="0"/>
              </w:rPr>
            </w:pPr>
            <w:r w:rsidRPr="00191C79">
              <w:rPr>
                <w:spacing w:val="0"/>
              </w:rPr>
              <w:t>29462871</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1320185</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18</w:t>
            </w:r>
          </w:p>
        </w:tc>
        <w:tc>
          <w:tcPr>
            <w:tcW w:w="3060" w:type="dxa"/>
          </w:tcPr>
          <w:p w:rsidR="00115EFF" w:rsidRPr="00191C79" w:rsidRDefault="00115EFF" w:rsidP="00191C79">
            <w:pPr>
              <w:pStyle w:val="Tabletext"/>
              <w:spacing w:line="240" w:lineRule="auto"/>
              <w:rPr>
                <w:rFonts w:eastAsia="Calibri"/>
                <w:spacing w:val="0"/>
              </w:rPr>
            </w:pPr>
            <w:r w:rsidRPr="00191C79">
              <w:rPr>
                <w:spacing w:val="0"/>
              </w:rPr>
              <w:t>Rajasthan</w:t>
            </w:r>
          </w:p>
        </w:tc>
        <w:tc>
          <w:tcPr>
            <w:tcW w:w="2610" w:type="dxa"/>
          </w:tcPr>
          <w:p w:rsidR="00115EFF" w:rsidRPr="00191C79" w:rsidRDefault="00115EFF" w:rsidP="00191C79">
            <w:pPr>
              <w:pStyle w:val="Tabletext"/>
              <w:spacing w:line="240" w:lineRule="auto"/>
              <w:rPr>
                <w:rFonts w:eastAsia="Calibri"/>
                <w:spacing w:val="0"/>
              </w:rPr>
            </w:pPr>
            <w:r w:rsidRPr="00191C79">
              <w:rPr>
                <w:spacing w:val="0"/>
              </w:rPr>
              <w:t>48601130</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1011041</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19</w:t>
            </w:r>
          </w:p>
        </w:tc>
        <w:tc>
          <w:tcPr>
            <w:tcW w:w="3060" w:type="dxa"/>
          </w:tcPr>
          <w:p w:rsidR="00115EFF" w:rsidRPr="00191C79" w:rsidRDefault="00115EFF" w:rsidP="00191C79">
            <w:pPr>
              <w:pStyle w:val="Tabletext"/>
              <w:spacing w:line="240" w:lineRule="auto"/>
              <w:rPr>
                <w:rFonts w:eastAsia="Calibri"/>
                <w:spacing w:val="0"/>
              </w:rPr>
            </w:pPr>
            <w:r w:rsidRPr="00191C79">
              <w:rPr>
                <w:spacing w:val="0"/>
              </w:rPr>
              <w:t xml:space="preserve">Tamil </w:t>
            </w:r>
            <w:proofErr w:type="spellStart"/>
            <w:r w:rsidRPr="00191C79">
              <w:rPr>
                <w:spacing w:val="0"/>
              </w:rPr>
              <w:t>Nadu</w:t>
            </w:r>
            <w:proofErr w:type="spellEnd"/>
            <w:r w:rsidRPr="00191C79">
              <w:rPr>
                <w:spacing w:val="0"/>
              </w:rPr>
              <w:t xml:space="preserve"> (incl. </w:t>
            </w:r>
            <w:proofErr w:type="spellStart"/>
            <w:r w:rsidRPr="00191C79">
              <w:rPr>
                <w:spacing w:val="0"/>
              </w:rPr>
              <w:t>Chennai</w:t>
            </w:r>
            <w:proofErr w:type="spellEnd"/>
            <w:r w:rsidRPr="00191C79">
              <w:rPr>
                <w:spacing w:val="0"/>
              </w:rPr>
              <w:t>)</w:t>
            </w:r>
          </w:p>
        </w:tc>
        <w:tc>
          <w:tcPr>
            <w:tcW w:w="2610" w:type="dxa"/>
          </w:tcPr>
          <w:p w:rsidR="00115EFF" w:rsidRPr="00191C79" w:rsidRDefault="00115EFF" w:rsidP="00191C79">
            <w:pPr>
              <w:pStyle w:val="Tabletext"/>
              <w:spacing w:line="240" w:lineRule="auto"/>
              <w:rPr>
                <w:rFonts w:eastAsia="Calibri"/>
                <w:spacing w:val="0"/>
              </w:rPr>
            </w:pPr>
            <w:r w:rsidRPr="00191C79">
              <w:rPr>
                <w:spacing w:val="0"/>
              </w:rPr>
              <w:t>72412392</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3109695</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20</w:t>
            </w:r>
          </w:p>
        </w:tc>
        <w:tc>
          <w:tcPr>
            <w:tcW w:w="3060" w:type="dxa"/>
          </w:tcPr>
          <w:p w:rsidR="00115EFF" w:rsidRPr="00191C79" w:rsidRDefault="00115EFF" w:rsidP="00191C79">
            <w:pPr>
              <w:pStyle w:val="Tabletext"/>
              <w:spacing w:line="240" w:lineRule="auto"/>
              <w:rPr>
                <w:rFonts w:eastAsia="Calibri"/>
                <w:spacing w:val="0"/>
              </w:rPr>
            </w:pPr>
            <w:proofErr w:type="spellStart"/>
            <w:r w:rsidRPr="00191C79">
              <w:rPr>
                <w:color w:val="000000"/>
                <w:spacing w:val="0"/>
              </w:rPr>
              <w:t>Uttar</w:t>
            </w:r>
            <w:proofErr w:type="spellEnd"/>
            <w:r w:rsidRPr="00191C79">
              <w:rPr>
                <w:color w:val="000000"/>
                <w:spacing w:val="0"/>
              </w:rPr>
              <w:t xml:space="preserve"> </w:t>
            </w:r>
            <w:proofErr w:type="spellStart"/>
            <w:r w:rsidRPr="00191C79">
              <w:rPr>
                <w:color w:val="000000"/>
                <w:spacing w:val="0"/>
              </w:rPr>
              <w:t>Pradesh</w:t>
            </w:r>
            <w:proofErr w:type="spellEnd"/>
            <w:r w:rsidRPr="00191C79">
              <w:rPr>
                <w:color w:val="000000"/>
                <w:spacing w:val="0"/>
              </w:rPr>
              <w:t xml:space="preserve"> (East)</w:t>
            </w:r>
          </w:p>
        </w:tc>
        <w:tc>
          <w:tcPr>
            <w:tcW w:w="2610" w:type="dxa"/>
          </w:tcPr>
          <w:p w:rsidR="00115EFF" w:rsidRPr="00191C79" w:rsidRDefault="00115EFF" w:rsidP="00191C79">
            <w:pPr>
              <w:pStyle w:val="Tabletext"/>
              <w:spacing w:line="240" w:lineRule="auto"/>
              <w:rPr>
                <w:rFonts w:eastAsia="Calibri"/>
                <w:spacing w:val="0"/>
              </w:rPr>
            </w:pPr>
            <w:r w:rsidRPr="00191C79">
              <w:rPr>
                <w:spacing w:val="0"/>
              </w:rPr>
              <w:t>73824150</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1048303</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21</w:t>
            </w:r>
          </w:p>
        </w:tc>
        <w:tc>
          <w:tcPr>
            <w:tcW w:w="3060" w:type="dxa"/>
          </w:tcPr>
          <w:p w:rsidR="00115EFF" w:rsidRPr="00191C79" w:rsidRDefault="00115EFF" w:rsidP="00191C79">
            <w:pPr>
              <w:pStyle w:val="Tabletext"/>
              <w:spacing w:line="240" w:lineRule="auto"/>
              <w:rPr>
                <w:rFonts w:eastAsia="Calibri"/>
                <w:spacing w:val="0"/>
              </w:rPr>
            </w:pPr>
            <w:proofErr w:type="spellStart"/>
            <w:r w:rsidRPr="00191C79">
              <w:rPr>
                <w:color w:val="000000"/>
                <w:spacing w:val="0"/>
              </w:rPr>
              <w:t>Uttar</w:t>
            </w:r>
            <w:proofErr w:type="spellEnd"/>
            <w:r w:rsidRPr="00191C79">
              <w:rPr>
                <w:color w:val="000000"/>
                <w:spacing w:val="0"/>
              </w:rPr>
              <w:t xml:space="preserve"> </w:t>
            </w:r>
            <w:proofErr w:type="spellStart"/>
            <w:r w:rsidRPr="00191C79">
              <w:rPr>
                <w:color w:val="000000"/>
                <w:spacing w:val="0"/>
              </w:rPr>
              <w:t>Pradesh</w:t>
            </w:r>
            <w:proofErr w:type="spellEnd"/>
            <w:r w:rsidRPr="00191C79">
              <w:rPr>
                <w:color w:val="000000"/>
                <w:spacing w:val="0"/>
              </w:rPr>
              <w:t xml:space="preserve"> (West)</w:t>
            </w:r>
          </w:p>
        </w:tc>
        <w:tc>
          <w:tcPr>
            <w:tcW w:w="2610" w:type="dxa"/>
          </w:tcPr>
          <w:p w:rsidR="00115EFF" w:rsidRPr="00191C79" w:rsidRDefault="00115EFF" w:rsidP="00191C79">
            <w:pPr>
              <w:pStyle w:val="Tabletext"/>
              <w:spacing w:line="240" w:lineRule="auto"/>
              <w:rPr>
                <w:rFonts w:eastAsia="Calibri"/>
                <w:spacing w:val="0"/>
              </w:rPr>
            </w:pPr>
            <w:r w:rsidRPr="00191C79">
              <w:rPr>
                <w:spacing w:val="0"/>
              </w:rPr>
              <w:t>48399485</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767118</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spacing w:val="0"/>
              </w:rPr>
            </w:pPr>
            <w:r w:rsidRPr="00191C79">
              <w:rPr>
                <w:spacing w:val="0"/>
              </w:rPr>
              <w:t>22</w:t>
            </w:r>
          </w:p>
        </w:tc>
        <w:tc>
          <w:tcPr>
            <w:tcW w:w="3060" w:type="dxa"/>
          </w:tcPr>
          <w:p w:rsidR="00115EFF" w:rsidRPr="00191C79" w:rsidRDefault="00115EFF" w:rsidP="00191C79">
            <w:pPr>
              <w:pStyle w:val="Tabletext"/>
              <w:spacing w:line="240" w:lineRule="auto"/>
              <w:rPr>
                <w:rFonts w:eastAsia="Calibri"/>
                <w:spacing w:val="0"/>
              </w:rPr>
            </w:pPr>
            <w:r w:rsidRPr="00191C79">
              <w:rPr>
                <w:spacing w:val="0"/>
              </w:rPr>
              <w:t xml:space="preserve">West </w:t>
            </w:r>
            <w:proofErr w:type="spellStart"/>
            <w:r w:rsidRPr="00191C79">
              <w:rPr>
                <w:spacing w:val="0"/>
              </w:rPr>
              <w:t>Bengal</w:t>
            </w:r>
            <w:proofErr w:type="spellEnd"/>
          </w:p>
        </w:tc>
        <w:tc>
          <w:tcPr>
            <w:tcW w:w="2610" w:type="dxa"/>
          </w:tcPr>
          <w:p w:rsidR="00115EFF" w:rsidRPr="00191C79" w:rsidRDefault="00115EFF" w:rsidP="00191C79">
            <w:pPr>
              <w:pStyle w:val="Tabletext"/>
              <w:spacing w:line="240" w:lineRule="auto"/>
              <w:rPr>
                <w:rFonts w:eastAsia="Calibri"/>
                <w:spacing w:val="0"/>
              </w:rPr>
            </w:pPr>
            <w:r w:rsidRPr="00191C79">
              <w:rPr>
                <w:spacing w:val="0"/>
              </w:rPr>
              <w:t>41159859</w:t>
            </w:r>
          </w:p>
        </w:tc>
        <w:tc>
          <w:tcPr>
            <w:tcW w:w="2682" w:type="dxa"/>
          </w:tcPr>
          <w:p w:rsidR="00115EFF" w:rsidRPr="00191C79" w:rsidRDefault="00115EFF" w:rsidP="00191C79">
            <w:pPr>
              <w:pStyle w:val="Tabletext"/>
              <w:spacing w:line="240" w:lineRule="auto"/>
              <w:rPr>
                <w:rFonts w:eastAsia="Calibri"/>
                <w:spacing w:val="0"/>
                <w:lang w:val="en-GB" w:eastAsia="ar-SA"/>
              </w:rPr>
            </w:pPr>
            <w:r w:rsidRPr="00191C79">
              <w:rPr>
                <w:spacing w:val="0"/>
              </w:rPr>
              <w:t>548248</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115EFF" w:rsidRPr="00191C79" w:rsidRDefault="00115EFF" w:rsidP="00191C79">
            <w:pPr>
              <w:pStyle w:val="Tabletext"/>
              <w:spacing w:line="240" w:lineRule="auto"/>
              <w:rPr>
                <w:rFonts w:eastAsia="Calibri"/>
                <w:spacing w:val="0"/>
              </w:rPr>
            </w:pPr>
          </w:p>
        </w:tc>
        <w:tc>
          <w:tcPr>
            <w:tcW w:w="3060" w:type="dxa"/>
          </w:tcPr>
          <w:p w:rsidR="00115EFF" w:rsidRPr="00191C79" w:rsidRDefault="00115EFF" w:rsidP="00191C79">
            <w:pPr>
              <w:pStyle w:val="Tabletext"/>
              <w:spacing w:line="240" w:lineRule="auto"/>
              <w:rPr>
                <w:rFonts w:eastAsia="Calibri"/>
                <w:b/>
                <w:spacing w:val="0"/>
              </w:rPr>
            </w:pPr>
            <w:r w:rsidRPr="00191C79">
              <w:rPr>
                <w:rFonts w:eastAsia="Calibri"/>
                <w:b/>
                <w:spacing w:val="0"/>
              </w:rPr>
              <w:t>Total</w:t>
            </w:r>
          </w:p>
        </w:tc>
        <w:tc>
          <w:tcPr>
            <w:tcW w:w="2610" w:type="dxa"/>
          </w:tcPr>
          <w:p w:rsidR="00115EFF" w:rsidRPr="00191C79" w:rsidRDefault="00115EFF" w:rsidP="00191C79">
            <w:pPr>
              <w:pStyle w:val="Tabletext"/>
              <w:spacing w:line="240" w:lineRule="auto"/>
              <w:rPr>
                <w:rFonts w:eastAsia="Calibri"/>
                <w:b/>
                <w:spacing w:val="0"/>
              </w:rPr>
            </w:pPr>
            <w:r w:rsidRPr="00191C79">
              <w:rPr>
                <w:b/>
                <w:spacing w:val="0"/>
              </w:rPr>
              <w:t>867803583</w:t>
            </w:r>
          </w:p>
        </w:tc>
        <w:tc>
          <w:tcPr>
            <w:tcW w:w="2682" w:type="dxa"/>
          </w:tcPr>
          <w:p w:rsidR="00115EFF" w:rsidRPr="00191C79" w:rsidRDefault="00115EFF" w:rsidP="00191C79">
            <w:pPr>
              <w:pStyle w:val="Tabletext"/>
              <w:spacing w:line="240" w:lineRule="auto"/>
              <w:rPr>
                <w:rFonts w:eastAsia="Calibri"/>
                <w:b/>
                <w:spacing w:val="0"/>
                <w:lang w:val="en-GB" w:eastAsia="ar-SA"/>
              </w:rPr>
            </w:pPr>
            <w:r w:rsidRPr="00191C79">
              <w:rPr>
                <w:b/>
                <w:spacing w:val="0"/>
              </w:rPr>
              <w:t>30213742</w:t>
            </w:r>
          </w:p>
        </w:tc>
      </w:tr>
    </w:tbl>
    <w:p w:rsidR="00115EFF" w:rsidRPr="00191C79" w:rsidRDefault="00115EFF" w:rsidP="002163B8">
      <w:pPr>
        <w:spacing w:before="120" w:line="240" w:lineRule="auto"/>
        <w:rPr>
          <w:rFonts w:eastAsia="Calibri" w:cs="Arial"/>
          <w:spacing w:val="0"/>
          <w:szCs w:val="19"/>
        </w:rPr>
      </w:pPr>
      <w:r w:rsidRPr="00191C79">
        <w:rPr>
          <w:rFonts w:eastAsia="Calibri" w:cs="Arial"/>
          <w:spacing w:val="0"/>
          <w:szCs w:val="19"/>
        </w:rPr>
        <w:t xml:space="preserve">Total </w:t>
      </w:r>
      <w:proofErr w:type="spellStart"/>
      <w:r w:rsidRPr="00191C79">
        <w:rPr>
          <w:rFonts w:eastAsia="Calibri" w:cs="Arial"/>
          <w:spacing w:val="0"/>
          <w:szCs w:val="19"/>
        </w:rPr>
        <w:t>number</w:t>
      </w:r>
      <w:proofErr w:type="spellEnd"/>
      <w:r w:rsidRPr="00191C79">
        <w:rPr>
          <w:rFonts w:eastAsia="Calibri" w:cs="Arial"/>
          <w:spacing w:val="0"/>
          <w:szCs w:val="19"/>
        </w:rPr>
        <w:t xml:space="preserve"> of </w:t>
      </w:r>
      <w:proofErr w:type="spellStart"/>
      <w:r w:rsidRPr="00191C79">
        <w:rPr>
          <w:rFonts w:eastAsia="Calibri" w:cs="Arial"/>
          <w:spacing w:val="0"/>
          <w:szCs w:val="19"/>
        </w:rPr>
        <w:t>subscriber</w:t>
      </w:r>
      <w:proofErr w:type="spellEnd"/>
      <w:r w:rsidRPr="00191C79">
        <w:rPr>
          <w:rFonts w:eastAsia="Calibri" w:cs="Arial"/>
          <w:spacing w:val="0"/>
          <w:szCs w:val="19"/>
        </w:rPr>
        <w:tab/>
      </w:r>
      <w:r w:rsidRPr="00191C79">
        <w:rPr>
          <w:rFonts w:eastAsia="Calibri" w:cs="Arial"/>
          <w:spacing w:val="0"/>
          <w:szCs w:val="19"/>
        </w:rPr>
        <w:tab/>
      </w:r>
      <w:r w:rsidRPr="00191C79">
        <w:rPr>
          <w:rFonts w:eastAsia="Calibri" w:cs="Arial"/>
          <w:spacing w:val="0"/>
          <w:szCs w:val="19"/>
        </w:rPr>
        <w:tab/>
        <w:t>:</w:t>
      </w:r>
      <w:r w:rsidRPr="00191C79">
        <w:rPr>
          <w:rFonts w:eastAsia="Calibri" w:cs="Arial"/>
          <w:spacing w:val="0"/>
          <w:szCs w:val="19"/>
        </w:rPr>
        <w:tab/>
        <w:t>898</w:t>
      </w:r>
      <w:proofErr w:type="gramStart"/>
      <w:r w:rsidRPr="00191C79">
        <w:rPr>
          <w:rFonts w:eastAsia="Calibri" w:cs="Arial"/>
          <w:spacing w:val="0"/>
          <w:szCs w:val="19"/>
        </w:rPr>
        <w:t>,017,325</w:t>
      </w:r>
      <w:proofErr w:type="gramEnd"/>
      <w:r w:rsidRPr="00191C79">
        <w:rPr>
          <w:rFonts w:eastAsia="Calibri" w:cs="Arial"/>
          <w:spacing w:val="0"/>
          <w:szCs w:val="19"/>
        </w:rPr>
        <w:tab/>
      </w:r>
    </w:p>
    <w:p w:rsidR="00115EFF" w:rsidRPr="00191C79" w:rsidRDefault="00115EFF" w:rsidP="002163B8">
      <w:pPr>
        <w:spacing w:before="120" w:line="240" w:lineRule="auto"/>
        <w:rPr>
          <w:rFonts w:eastAsia="Calibri" w:cs="Arial"/>
          <w:spacing w:val="0"/>
          <w:szCs w:val="19"/>
          <w:lang w:val="en-US"/>
        </w:rPr>
      </w:pPr>
      <w:r w:rsidRPr="00191C79">
        <w:rPr>
          <w:rFonts w:eastAsia="Calibri" w:cs="Arial"/>
          <w:spacing w:val="0"/>
          <w:szCs w:val="19"/>
          <w:lang w:val="en-US"/>
        </w:rPr>
        <w:t>Percentage of Mobile (Wireless) subscriber</w:t>
      </w:r>
      <w:r w:rsidRPr="00191C79">
        <w:rPr>
          <w:rFonts w:eastAsia="Calibri" w:cs="Arial"/>
          <w:spacing w:val="0"/>
          <w:szCs w:val="19"/>
          <w:lang w:val="en-US"/>
        </w:rPr>
        <w:tab/>
        <w:t>:</w:t>
      </w:r>
      <w:r w:rsidRPr="00191C79">
        <w:rPr>
          <w:rFonts w:eastAsia="Calibri" w:cs="Arial"/>
          <w:spacing w:val="0"/>
          <w:szCs w:val="19"/>
          <w:lang w:val="en-US"/>
        </w:rPr>
        <w:tab/>
        <w:t>96.6 %</w:t>
      </w:r>
    </w:p>
    <w:p w:rsidR="00115EFF" w:rsidRPr="00191C79" w:rsidRDefault="00115EFF" w:rsidP="002163B8">
      <w:pPr>
        <w:spacing w:before="120" w:line="240" w:lineRule="auto"/>
        <w:rPr>
          <w:rFonts w:eastAsia="Calibri" w:cs="Arial"/>
          <w:spacing w:val="0"/>
          <w:szCs w:val="19"/>
          <w:lang w:val="en-US"/>
        </w:rPr>
      </w:pPr>
      <w:r w:rsidRPr="00191C79">
        <w:rPr>
          <w:rFonts w:eastAsia="Calibri" w:cs="Arial"/>
          <w:spacing w:val="0"/>
          <w:szCs w:val="19"/>
          <w:lang w:val="en-US"/>
        </w:rPr>
        <w:t xml:space="preserve">Percentage of </w:t>
      </w:r>
      <w:r w:rsidR="00CD5F2F">
        <w:rPr>
          <w:rFonts w:eastAsia="Calibri" w:cs="Arial"/>
          <w:spacing w:val="0"/>
          <w:szCs w:val="19"/>
          <w:lang w:val="en-US"/>
        </w:rPr>
        <w:t>Landline (Wire-line) subscriber</w:t>
      </w:r>
      <w:r w:rsidRPr="00191C79">
        <w:rPr>
          <w:rFonts w:eastAsia="Calibri" w:cs="Arial"/>
          <w:spacing w:val="0"/>
          <w:szCs w:val="19"/>
          <w:lang w:val="en-US"/>
        </w:rPr>
        <w:t>:</w:t>
      </w:r>
      <w:r w:rsidRPr="00191C79">
        <w:rPr>
          <w:rFonts w:eastAsia="Calibri" w:cs="Arial"/>
          <w:spacing w:val="0"/>
          <w:szCs w:val="19"/>
          <w:lang w:val="en-US"/>
        </w:rPr>
        <w:tab/>
        <w:t>3.4 %</w:t>
      </w:r>
      <w:r w:rsidRPr="00191C79">
        <w:rPr>
          <w:rFonts w:eastAsia="Calibri" w:cs="Arial"/>
          <w:spacing w:val="0"/>
          <w:szCs w:val="19"/>
          <w:lang w:val="en-US"/>
        </w:rPr>
        <w:br w:type="page"/>
      </w:r>
    </w:p>
    <w:p w:rsidR="00115EFF" w:rsidRPr="00191C79" w:rsidRDefault="00115EFF" w:rsidP="00191C79">
      <w:pPr>
        <w:pStyle w:val="Heading1"/>
        <w:tabs>
          <w:tab w:val="left" w:pos="1418"/>
        </w:tabs>
        <w:spacing w:line="240" w:lineRule="auto"/>
        <w:ind w:left="1418" w:hanging="1418"/>
        <w:rPr>
          <w:rFonts w:eastAsia="Calibri"/>
          <w:spacing w:val="0"/>
        </w:rPr>
      </w:pPr>
      <w:bookmarkStart w:id="105" w:name="_Toc374691853"/>
      <w:r w:rsidRPr="00191C79">
        <w:rPr>
          <w:rFonts w:eastAsia="Calibri"/>
          <w:spacing w:val="0"/>
        </w:rPr>
        <w:lastRenderedPageBreak/>
        <w:t xml:space="preserve">Annex 10B: </w:t>
      </w:r>
      <w:r w:rsidRPr="00191C79">
        <w:rPr>
          <w:rFonts w:eastAsia="Calibri"/>
          <w:spacing w:val="0"/>
        </w:rPr>
        <w:tab/>
        <w:t xml:space="preserve">Number of base stations (service area wise) in India as on </w:t>
      </w:r>
      <w:r w:rsidR="00191C79" w:rsidRPr="00191C79">
        <w:rPr>
          <w:rFonts w:eastAsia="Calibri"/>
          <w:spacing w:val="0"/>
        </w:rPr>
        <w:tab/>
      </w:r>
      <w:r w:rsidRPr="00191C79">
        <w:rPr>
          <w:rFonts w:eastAsia="Calibri"/>
          <w:spacing w:val="0"/>
        </w:rPr>
        <w:t>31</w:t>
      </w:r>
      <w:r w:rsidRPr="00191C79">
        <w:rPr>
          <w:rFonts w:eastAsia="Calibri"/>
          <w:spacing w:val="0"/>
          <w:vertAlign w:val="superscript"/>
        </w:rPr>
        <w:t>st</w:t>
      </w:r>
      <w:r w:rsidRPr="00191C79">
        <w:rPr>
          <w:rFonts w:eastAsia="Calibri"/>
          <w:spacing w:val="0"/>
        </w:rPr>
        <w:t xml:space="preserve"> May 2013</w:t>
      </w:r>
      <w:bookmarkEnd w:id="105"/>
    </w:p>
    <w:p w:rsidR="00115EFF" w:rsidRPr="00191C79" w:rsidRDefault="00115EFF" w:rsidP="00191C79">
      <w:pPr>
        <w:spacing w:line="240" w:lineRule="auto"/>
        <w:rPr>
          <w:spacing w:val="0"/>
          <w:lang w:val="en-US"/>
        </w:rPr>
      </w:pPr>
    </w:p>
    <w:tbl>
      <w:tblPr>
        <w:tblStyle w:val="Style1"/>
        <w:tblW w:w="7920" w:type="dxa"/>
        <w:jc w:val="center"/>
        <w:tblLook w:val="04A0" w:firstRow="1" w:lastRow="0" w:firstColumn="1" w:lastColumn="0" w:noHBand="0" w:noVBand="1"/>
      </w:tblPr>
      <w:tblGrid>
        <w:gridCol w:w="1080"/>
        <w:gridCol w:w="3330"/>
        <w:gridCol w:w="3510"/>
      </w:tblGrid>
      <w:tr w:rsidR="00115EFF" w:rsidRPr="00191C79" w:rsidTr="00774FEC">
        <w:trPr>
          <w:cnfStyle w:val="100000000000" w:firstRow="1" w:lastRow="0" w:firstColumn="0" w:lastColumn="0" w:oddVBand="0" w:evenVBand="0" w:oddHBand="0" w:evenHBand="0" w:firstRowFirstColumn="0" w:firstRowLastColumn="0" w:lastRowFirstColumn="0" w:lastRowLastColumn="0"/>
          <w:trHeight w:val="255"/>
          <w:jc w:val="center"/>
        </w:trPr>
        <w:tc>
          <w:tcPr>
            <w:tcW w:w="1080" w:type="dxa"/>
            <w:hideMark/>
          </w:tcPr>
          <w:p w:rsidR="00115EFF" w:rsidRPr="00191C79" w:rsidRDefault="00115EFF" w:rsidP="00191C79">
            <w:pPr>
              <w:pStyle w:val="Tablehead"/>
              <w:spacing w:line="240" w:lineRule="auto"/>
              <w:rPr>
                <w:spacing w:val="0"/>
                <w:lang w:eastAsia="en-US"/>
              </w:rPr>
            </w:pPr>
            <w:proofErr w:type="spellStart"/>
            <w:r w:rsidRPr="00191C79">
              <w:rPr>
                <w:spacing w:val="0"/>
                <w:lang w:eastAsia="en-US"/>
              </w:rPr>
              <w:t>Sl</w:t>
            </w:r>
            <w:proofErr w:type="spellEnd"/>
            <w:r w:rsidRPr="00191C79">
              <w:rPr>
                <w:spacing w:val="0"/>
                <w:lang w:eastAsia="en-US"/>
              </w:rPr>
              <w:t xml:space="preserve"> No.</w:t>
            </w:r>
          </w:p>
        </w:tc>
        <w:tc>
          <w:tcPr>
            <w:tcW w:w="3330" w:type="dxa"/>
            <w:hideMark/>
          </w:tcPr>
          <w:p w:rsidR="00115EFF" w:rsidRPr="00191C79" w:rsidRDefault="00115EFF" w:rsidP="00191C79">
            <w:pPr>
              <w:pStyle w:val="Tablehead"/>
              <w:spacing w:line="240" w:lineRule="auto"/>
              <w:rPr>
                <w:spacing w:val="0"/>
                <w:lang w:eastAsia="en-US"/>
              </w:rPr>
            </w:pPr>
            <w:r w:rsidRPr="00191C79">
              <w:rPr>
                <w:spacing w:val="0"/>
                <w:lang w:eastAsia="en-US"/>
              </w:rPr>
              <w:t>Service Area</w:t>
            </w:r>
          </w:p>
        </w:tc>
        <w:tc>
          <w:tcPr>
            <w:tcW w:w="3510" w:type="dxa"/>
            <w:hideMark/>
          </w:tcPr>
          <w:p w:rsidR="00115EFF" w:rsidRPr="00191C79" w:rsidRDefault="00115EFF" w:rsidP="00191C79">
            <w:pPr>
              <w:pStyle w:val="Tablehead"/>
              <w:spacing w:line="240" w:lineRule="auto"/>
              <w:rPr>
                <w:spacing w:val="0"/>
                <w:lang w:eastAsia="en-US"/>
              </w:rPr>
            </w:pPr>
            <w:r w:rsidRPr="00191C79">
              <w:rPr>
                <w:spacing w:val="0"/>
                <w:lang w:eastAsia="en-US"/>
              </w:rPr>
              <w:t>Number of BTS</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1</w:t>
            </w:r>
          </w:p>
        </w:tc>
        <w:tc>
          <w:tcPr>
            <w:tcW w:w="3330" w:type="dxa"/>
            <w:hideMark/>
          </w:tcPr>
          <w:p w:rsidR="00115EFF" w:rsidRPr="00191C79" w:rsidRDefault="00115EFF" w:rsidP="00191C79">
            <w:pPr>
              <w:pStyle w:val="Tabletext"/>
              <w:spacing w:line="240" w:lineRule="auto"/>
              <w:rPr>
                <w:spacing w:val="0"/>
                <w:lang w:eastAsia="en-US"/>
              </w:rPr>
            </w:pPr>
            <w:r w:rsidRPr="00191C79">
              <w:rPr>
                <w:spacing w:val="0"/>
                <w:lang w:eastAsia="en-US"/>
              </w:rPr>
              <w:t xml:space="preserve">Andhra </w:t>
            </w:r>
            <w:proofErr w:type="spellStart"/>
            <w:r w:rsidRPr="00191C79">
              <w:rPr>
                <w:spacing w:val="0"/>
                <w:lang w:eastAsia="en-US"/>
              </w:rPr>
              <w:t>Pradesh</w:t>
            </w:r>
            <w:proofErr w:type="spellEnd"/>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60285</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2</w:t>
            </w:r>
          </w:p>
        </w:tc>
        <w:tc>
          <w:tcPr>
            <w:tcW w:w="3330" w:type="dxa"/>
            <w:hideMark/>
          </w:tcPr>
          <w:p w:rsidR="00115EFF" w:rsidRPr="00191C79" w:rsidRDefault="00115EFF" w:rsidP="00191C79">
            <w:pPr>
              <w:pStyle w:val="Tabletext"/>
              <w:spacing w:line="240" w:lineRule="auto"/>
              <w:rPr>
                <w:spacing w:val="0"/>
                <w:lang w:eastAsia="en-US"/>
              </w:rPr>
            </w:pPr>
            <w:r w:rsidRPr="00191C79">
              <w:rPr>
                <w:spacing w:val="0"/>
                <w:lang w:eastAsia="en-US"/>
              </w:rPr>
              <w:t>ASSAM</w:t>
            </w:r>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14152</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3</w:t>
            </w:r>
          </w:p>
        </w:tc>
        <w:tc>
          <w:tcPr>
            <w:tcW w:w="3330" w:type="dxa"/>
            <w:hideMark/>
          </w:tcPr>
          <w:p w:rsidR="00115EFF" w:rsidRPr="00191C79" w:rsidRDefault="00115EFF" w:rsidP="00191C79">
            <w:pPr>
              <w:pStyle w:val="Tabletext"/>
              <w:spacing w:line="240" w:lineRule="auto"/>
              <w:rPr>
                <w:spacing w:val="0"/>
                <w:lang w:eastAsia="en-US"/>
              </w:rPr>
            </w:pPr>
            <w:proofErr w:type="spellStart"/>
            <w:r w:rsidRPr="00191C79">
              <w:rPr>
                <w:spacing w:val="0"/>
                <w:lang w:eastAsia="en-US"/>
              </w:rPr>
              <w:t>Bihar</w:t>
            </w:r>
            <w:proofErr w:type="spellEnd"/>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44283</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4</w:t>
            </w:r>
          </w:p>
        </w:tc>
        <w:tc>
          <w:tcPr>
            <w:tcW w:w="3330" w:type="dxa"/>
            <w:hideMark/>
          </w:tcPr>
          <w:p w:rsidR="00115EFF" w:rsidRPr="00191C79" w:rsidRDefault="00115EFF" w:rsidP="00191C79">
            <w:pPr>
              <w:pStyle w:val="Tabletext"/>
              <w:spacing w:line="240" w:lineRule="auto"/>
              <w:rPr>
                <w:spacing w:val="0"/>
                <w:lang w:eastAsia="en-US"/>
              </w:rPr>
            </w:pPr>
            <w:r w:rsidRPr="00191C79">
              <w:rPr>
                <w:spacing w:val="0"/>
                <w:lang w:eastAsia="en-US"/>
              </w:rPr>
              <w:t>Delhi</w:t>
            </w:r>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30900</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5</w:t>
            </w:r>
          </w:p>
        </w:tc>
        <w:tc>
          <w:tcPr>
            <w:tcW w:w="3330" w:type="dxa"/>
            <w:hideMark/>
          </w:tcPr>
          <w:p w:rsidR="00115EFF" w:rsidRPr="00191C79" w:rsidRDefault="00115EFF" w:rsidP="00191C79">
            <w:pPr>
              <w:pStyle w:val="Tabletext"/>
              <w:spacing w:line="240" w:lineRule="auto"/>
              <w:rPr>
                <w:spacing w:val="0"/>
                <w:lang w:eastAsia="en-US"/>
              </w:rPr>
            </w:pPr>
            <w:r w:rsidRPr="00191C79">
              <w:rPr>
                <w:spacing w:val="0"/>
                <w:lang w:eastAsia="en-US"/>
              </w:rPr>
              <w:t>Gujarat</w:t>
            </w:r>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45950</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6</w:t>
            </w:r>
          </w:p>
        </w:tc>
        <w:tc>
          <w:tcPr>
            <w:tcW w:w="3330" w:type="dxa"/>
            <w:hideMark/>
          </w:tcPr>
          <w:p w:rsidR="00115EFF" w:rsidRPr="00191C79" w:rsidRDefault="00115EFF" w:rsidP="00191C79">
            <w:pPr>
              <w:pStyle w:val="Tabletext"/>
              <w:spacing w:line="240" w:lineRule="auto"/>
              <w:rPr>
                <w:spacing w:val="0"/>
                <w:lang w:eastAsia="en-US"/>
              </w:rPr>
            </w:pPr>
            <w:r w:rsidRPr="00191C79">
              <w:rPr>
                <w:spacing w:val="0"/>
                <w:lang w:eastAsia="en-US"/>
              </w:rPr>
              <w:t>Haryana</w:t>
            </w:r>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17604</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7</w:t>
            </w:r>
          </w:p>
        </w:tc>
        <w:tc>
          <w:tcPr>
            <w:tcW w:w="3330" w:type="dxa"/>
            <w:hideMark/>
          </w:tcPr>
          <w:p w:rsidR="00115EFF" w:rsidRPr="00191C79" w:rsidRDefault="00115EFF" w:rsidP="00191C79">
            <w:pPr>
              <w:pStyle w:val="Tabletext"/>
              <w:spacing w:line="240" w:lineRule="auto"/>
              <w:rPr>
                <w:spacing w:val="0"/>
                <w:lang w:eastAsia="en-US"/>
              </w:rPr>
            </w:pPr>
            <w:proofErr w:type="spellStart"/>
            <w:r w:rsidRPr="00191C79">
              <w:rPr>
                <w:spacing w:val="0"/>
                <w:lang w:eastAsia="en-US"/>
              </w:rPr>
              <w:t>Himachal</w:t>
            </w:r>
            <w:proofErr w:type="spellEnd"/>
            <w:r w:rsidRPr="00191C79">
              <w:rPr>
                <w:spacing w:val="0"/>
                <w:lang w:eastAsia="en-US"/>
              </w:rPr>
              <w:t xml:space="preserve"> </w:t>
            </w:r>
            <w:proofErr w:type="spellStart"/>
            <w:r w:rsidRPr="00191C79">
              <w:rPr>
                <w:spacing w:val="0"/>
                <w:lang w:eastAsia="en-US"/>
              </w:rPr>
              <w:t>Pradesh</w:t>
            </w:r>
            <w:proofErr w:type="spellEnd"/>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7021</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8</w:t>
            </w:r>
          </w:p>
        </w:tc>
        <w:tc>
          <w:tcPr>
            <w:tcW w:w="3330" w:type="dxa"/>
            <w:hideMark/>
          </w:tcPr>
          <w:p w:rsidR="00115EFF" w:rsidRPr="00191C79" w:rsidRDefault="00115EFF" w:rsidP="00191C79">
            <w:pPr>
              <w:pStyle w:val="Tabletext"/>
              <w:spacing w:line="240" w:lineRule="auto"/>
              <w:rPr>
                <w:spacing w:val="0"/>
                <w:lang w:eastAsia="en-US"/>
              </w:rPr>
            </w:pPr>
            <w:r w:rsidRPr="00191C79">
              <w:rPr>
                <w:spacing w:val="0"/>
                <w:lang w:eastAsia="en-US"/>
              </w:rPr>
              <w:t xml:space="preserve">Jammu &amp; </w:t>
            </w:r>
            <w:proofErr w:type="spellStart"/>
            <w:r w:rsidRPr="00191C79">
              <w:rPr>
                <w:spacing w:val="0"/>
                <w:lang w:eastAsia="en-US"/>
              </w:rPr>
              <w:t>Kashmir</w:t>
            </w:r>
            <w:proofErr w:type="spellEnd"/>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11115</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9</w:t>
            </w:r>
          </w:p>
        </w:tc>
        <w:tc>
          <w:tcPr>
            <w:tcW w:w="3330" w:type="dxa"/>
            <w:hideMark/>
          </w:tcPr>
          <w:p w:rsidR="00115EFF" w:rsidRPr="00191C79" w:rsidRDefault="00115EFF" w:rsidP="00191C79">
            <w:pPr>
              <w:pStyle w:val="Tabletext"/>
              <w:spacing w:line="240" w:lineRule="auto"/>
              <w:rPr>
                <w:spacing w:val="0"/>
                <w:lang w:eastAsia="en-US"/>
              </w:rPr>
            </w:pPr>
            <w:r w:rsidRPr="00191C79">
              <w:rPr>
                <w:spacing w:val="0"/>
                <w:lang w:eastAsia="en-US"/>
              </w:rPr>
              <w:t>Karnataka</w:t>
            </w:r>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54307</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10</w:t>
            </w:r>
          </w:p>
        </w:tc>
        <w:tc>
          <w:tcPr>
            <w:tcW w:w="3330" w:type="dxa"/>
            <w:hideMark/>
          </w:tcPr>
          <w:p w:rsidR="00115EFF" w:rsidRPr="00191C79" w:rsidRDefault="00115EFF" w:rsidP="00191C79">
            <w:pPr>
              <w:pStyle w:val="Tabletext"/>
              <w:spacing w:line="240" w:lineRule="auto"/>
              <w:rPr>
                <w:spacing w:val="0"/>
                <w:lang w:eastAsia="en-US"/>
              </w:rPr>
            </w:pPr>
            <w:r w:rsidRPr="00191C79">
              <w:rPr>
                <w:spacing w:val="0"/>
                <w:lang w:eastAsia="en-US"/>
              </w:rPr>
              <w:t>KERALA</w:t>
            </w:r>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32658</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11</w:t>
            </w:r>
          </w:p>
        </w:tc>
        <w:tc>
          <w:tcPr>
            <w:tcW w:w="3330" w:type="dxa"/>
            <w:hideMark/>
          </w:tcPr>
          <w:p w:rsidR="00115EFF" w:rsidRPr="00191C79" w:rsidRDefault="00115EFF" w:rsidP="00191C79">
            <w:pPr>
              <w:pStyle w:val="Tabletext"/>
              <w:spacing w:line="240" w:lineRule="auto"/>
              <w:rPr>
                <w:spacing w:val="0"/>
                <w:lang w:eastAsia="en-US"/>
              </w:rPr>
            </w:pPr>
            <w:proofErr w:type="spellStart"/>
            <w:r w:rsidRPr="00191C79">
              <w:rPr>
                <w:spacing w:val="0"/>
                <w:lang w:eastAsia="en-US"/>
              </w:rPr>
              <w:t>Kolkata</w:t>
            </w:r>
            <w:proofErr w:type="spellEnd"/>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19609</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12</w:t>
            </w:r>
          </w:p>
        </w:tc>
        <w:tc>
          <w:tcPr>
            <w:tcW w:w="3330" w:type="dxa"/>
            <w:hideMark/>
          </w:tcPr>
          <w:p w:rsidR="00115EFF" w:rsidRPr="00191C79" w:rsidRDefault="00115EFF" w:rsidP="00191C79">
            <w:pPr>
              <w:pStyle w:val="Tabletext"/>
              <w:spacing w:line="240" w:lineRule="auto"/>
              <w:rPr>
                <w:spacing w:val="0"/>
                <w:lang w:eastAsia="en-US"/>
              </w:rPr>
            </w:pPr>
            <w:r w:rsidRPr="00191C79">
              <w:rPr>
                <w:spacing w:val="0"/>
                <w:lang w:eastAsia="en-US"/>
              </w:rPr>
              <w:t>MAHARASHTRA</w:t>
            </w:r>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64354</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13</w:t>
            </w:r>
          </w:p>
        </w:tc>
        <w:tc>
          <w:tcPr>
            <w:tcW w:w="3330" w:type="dxa"/>
            <w:hideMark/>
          </w:tcPr>
          <w:p w:rsidR="00115EFF" w:rsidRPr="00191C79" w:rsidRDefault="00115EFF" w:rsidP="00191C79">
            <w:pPr>
              <w:pStyle w:val="Tabletext"/>
              <w:spacing w:line="240" w:lineRule="auto"/>
              <w:rPr>
                <w:spacing w:val="0"/>
                <w:lang w:eastAsia="en-US"/>
              </w:rPr>
            </w:pPr>
            <w:proofErr w:type="spellStart"/>
            <w:r w:rsidRPr="00191C79">
              <w:rPr>
                <w:spacing w:val="0"/>
                <w:lang w:eastAsia="en-US"/>
              </w:rPr>
              <w:t>Madhya</w:t>
            </w:r>
            <w:proofErr w:type="spellEnd"/>
            <w:r w:rsidRPr="00191C79">
              <w:rPr>
                <w:spacing w:val="0"/>
                <w:lang w:eastAsia="en-US"/>
              </w:rPr>
              <w:t xml:space="preserve"> </w:t>
            </w:r>
            <w:proofErr w:type="spellStart"/>
            <w:r w:rsidRPr="00191C79">
              <w:rPr>
                <w:spacing w:val="0"/>
                <w:lang w:eastAsia="en-US"/>
              </w:rPr>
              <w:t>Pradesh</w:t>
            </w:r>
            <w:proofErr w:type="spellEnd"/>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46423</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14</w:t>
            </w:r>
          </w:p>
        </w:tc>
        <w:tc>
          <w:tcPr>
            <w:tcW w:w="3330" w:type="dxa"/>
            <w:hideMark/>
          </w:tcPr>
          <w:p w:rsidR="00115EFF" w:rsidRPr="00191C79" w:rsidRDefault="00115EFF" w:rsidP="00191C79">
            <w:pPr>
              <w:pStyle w:val="Tabletext"/>
              <w:spacing w:line="240" w:lineRule="auto"/>
              <w:rPr>
                <w:spacing w:val="0"/>
                <w:lang w:eastAsia="en-US"/>
              </w:rPr>
            </w:pPr>
            <w:r w:rsidRPr="00191C79">
              <w:rPr>
                <w:spacing w:val="0"/>
                <w:lang w:eastAsia="en-US"/>
              </w:rPr>
              <w:t>MUMBAI</w:t>
            </w:r>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25535</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15</w:t>
            </w:r>
          </w:p>
        </w:tc>
        <w:tc>
          <w:tcPr>
            <w:tcW w:w="3330" w:type="dxa"/>
            <w:hideMark/>
          </w:tcPr>
          <w:p w:rsidR="00115EFF" w:rsidRPr="00191C79" w:rsidRDefault="00115EFF" w:rsidP="00191C79">
            <w:pPr>
              <w:pStyle w:val="Tabletext"/>
              <w:spacing w:line="240" w:lineRule="auto"/>
              <w:rPr>
                <w:spacing w:val="0"/>
                <w:lang w:eastAsia="en-US"/>
              </w:rPr>
            </w:pPr>
            <w:proofErr w:type="spellStart"/>
            <w:r w:rsidRPr="00191C79">
              <w:rPr>
                <w:spacing w:val="0"/>
                <w:lang w:eastAsia="en-US"/>
              </w:rPr>
              <w:t>North</w:t>
            </w:r>
            <w:proofErr w:type="spellEnd"/>
            <w:r w:rsidRPr="00191C79">
              <w:rPr>
                <w:spacing w:val="0"/>
                <w:lang w:eastAsia="en-US"/>
              </w:rPr>
              <w:t xml:space="preserve"> East</w:t>
            </w:r>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8634</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16</w:t>
            </w:r>
          </w:p>
        </w:tc>
        <w:tc>
          <w:tcPr>
            <w:tcW w:w="3330" w:type="dxa"/>
            <w:hideMark/>
          </w:tcPr>
          <w:p w:rsidR="00115EFF" w:rsidRPr="00191C79" w:rsidRDefault="00115EFF" w:rsidP="00191C79">
            <w:pPr>
              <w:pStyle w:val="Tabletext"/>
              <w:spacing w:line="240" w:lineRule="auto"/>
              <w:rPr>
                <w:spacing w:val="0"/>
                <w:lang w:eastAsia="en-US"/>
              </w:rPr>
            </w:pPr>
            <w:r w:rsidRPr="00191C79">
              <w:rPr>
                <w:spacing w:val="0"/>
                <w:lang w:eastAsia="en-US"/>
              </w:rPr>
              <w:t>Orissa</w:t>
            </w:r>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20795</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17</w:t>
            </w:r>
          </w:p>
        </w:tc>
        <w:tc>
          <w:tcPr>
            <w:tcW w:w="3330" w:type="dxa"/>
            <w:hideMark/>
          </w:tcPr>
          <w:p w:rsidR="00115EFF" w:rsidRPr="00191C79" w:rsidRDefault="00115EFF" w:rsidP="00191C79">
            <w:pPr>
              <w:pStyle w:val="Tabletext"/>
              <w:spacing w:line="240" w:lineRule="auto"/>
              <w:rPr>
                <w:spacing w:val="0"/>
                <w:lang w:eastAsia="en-US"/>
              </w:rPr>
            </w:pPr>
            <w:proofErr w:type="spellStart"/>
            <w:r w:rsidRPr="00191C79">
              <w:rPr>
                <w:spacing w:val="0"/>
                <w:lang w:eastAsia="en-US"/>
              </w:rPr>
              <w:t>Punjab</w:t>
            </w:r>
            <w:proofErr w:type="spellEnd"/>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26959</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18</w:t>
            </w:r>
          </w:p>
        </w:tc>
        <w:tc>
          <w:tcPr>
            <w:tcW w:w="3330" w:type="dxa"/>
            <w:hideMark/>
          </w:tcPr>
          <w:p w:rsidR="00115EFF" w:rsidRPr="00191C79" w:rsidRDefault="00115EFF" w:rsidP="00191C79">
            <w:pPr>
              <w:pStyle w:val="Tabletext"/>
              <w:spacing w:line="240" w:lineRule="auto"/>
              <w:rPr>
                <w:spacing w:val="0"/>
                <w:lang w:eastAsia="en-US"/>
              </w:rPr>
            </w:pPr>
            <w:r w:rsidRPr="00191C79">
              <w:rPr>
                <w:spacing w:val="0"/>
                <w:lang w:eastAsia="en-US"/>
              </w:rPr>
              <w:t>RAJASTHAN</w:t>
            </w:r>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35560</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19.1</w:t>
            </w:r>
          </w:p>
        </w:tc>
        <w:tc>
          <w:tcPr>
            <w:tcW w:w="3330" w:type="dxa"/>
            <w:hideMark/>
          </w:tcPr>
          <w:p w:rsidR="00115EFF" w:rsidRPr="00191C79" w:rsidRDefault="00115EFF" w:rsidP="00191C79">
            <w:pPr>
              <w:pStyle w:val="Tabletext"/>
              <w:spacing w:line="240" w:lineRule="auto"/>
              <w:rPr>
                <w:spacing w:val="0"/>
                <w:lang w:eastAsia="en-US"/>
              </w:rPr>
            </w:pPr>
            <w:r w:rsidRPr="00191C79">
              <w:rPr>
                <w:spacing w:val="0"/>
                <w:lang w:eastAsia="en-US"/>
              </w:rPr>
              <w:t xml:space="preserve">Tamil </w:t>
            </w:r>
            <w:proofErr w:type="spellStart"/>
            <w:r w:rsidRPr="00191C79">
              <w:rPr>
                <w:spacing w:val="0"/>
                <w:lang w:eastAsia="en-US"/>
              </w:rPr>
              <w:t>Nadu</w:t>
            </w:r>
            <w:proofErr w:type="spellEnd"/>
            <w:r w:rsidRPr="00191C79">
              <w:rPr>
                <w:spacing w:val="0"/>
                <w:lang w:eastAsia="en-US"/>
              </w:rPr>
              <w:t xml:space="preserve"> </w:t>
            </w:r>
            <w:proofErr w:type="spellStart"/>
            <w:r w:rsidRPr="00191C79">
              <w:rPr>
                <w:spacing w:val="0"/>
                <w:lang w:eastAsia="en-US"/>
              </w:rPr>
              <w:t>excluding</w:t>
            </w:r>
            <w:proofErr w:type="spellEnd"/>
            <w:r w:rsidRPr="00191C79">
              <w:rPr>
                <w:spacing w:val="0"/>
                <w:lang w:eastAsia="en-US"/>
              </w:rPr>
              <w:t xml:space="preserve"> </w:t>
            </w:r>
            <w:proofErr w:type="spellStart"/>
            <w:r w:rsidRPr="00191C79">
              <w:rPr>
                <w:spacing w:val="0"/>
                <w:lang w:eastAsia="en-US"/>
              </w:rPr>
              <w:t>Chennai</w:t>
            </w:r>
            <w:proofErr w:type="spellEnd"/>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45484</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19.2</w:t>
            </w:r>
          </w:p>
        </w:tc>
        <w:tc>
          <w:tcPr>
            <w:tcW w:w="3330" w:type="dxa"/>
            <w:hideMark/>
          </w:tcPr>
          <w:p w:rsidR="00115EFF" w:rsidRPr="00191C79" w:rsidRDefault="00115EFF" w:rsidP="00191C79">
            <w:pPr>
              <w:pStyle w:val="Tabletext"/>
              <w:spacing w:line="240" w:lineRule="auto"/>
              <w:rPr>
                <w:spacing w:val="0"/>
                <w:lang w:eastAsia="en-US"/>
              </w:rPr>
            </w:pPr>
            <w:proofErr w:type="spellStart"/>
            <w:r w:rsidRPr="00191C79">
              <w:rPr>
                <w:spacing w:val="0"/>
                <w:lang w:eastAsia="en-US"/>
              </w:rPr>
              <w:t>Chennai</w:t>
            </w:r>
            <w:proofErr w:type="spellEnd"/>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21835</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20</w:t>
            </w:r>
          </w:p>
        </w:tc>
        <w:tc>
          <w:tcPr>
            <w:tcW w:w="3330" w:type="dxa"/>
            <w:hideMark/>
          </w:tcPr>
          <w:p w:rsidR="00115EFF" w:rsidRPr="00191C79" w:rsidRDefault="00115EFF" w:rsidP="00191C79">
            <w:pPr>
              <w:pStyle w:val="Tabletext"/>
              <w:spacing w:line="240" w:lineRule="auto"/>
              <w:rPr>
                <w:spacing w:val="0"/>
                <w:lang w:eastAsia="en-US"/>
              </w:rPr>
            </w:pPr>
            <w:proofErr w:type="spellStart"/>
            <w:r w:rsidRPr="00191C79">
              <w:rPr>
                <w:spacing w:val="0"/>
                <w:lang w:eastAsia="en-US"/>
              </w:rPr>
              <w:t>Uttar</w:t>
            </w:r>
            <w:proofErr w:type="spellEnd"/>
            <w:r w:rsidRPr="00191C79">
              <w:rPr>
                <w:spacing w:val="0"/>
                <w:lang w:eastAsia="en-US"/>
              </w:rPr>
              <w:t xml:space="preserve"> </w:t>
            </w:r>
            <w:proofErr w:type="spellStart"/>
            <w:r w:rsidRPr="00191C79">
              <w:rPr>
                <w:spacing w:val="0"/>
                <w:lang w:eastAsia="en-US"/>
              </w:rPr>
              <w:t>Pradesh</w:t>
            </w:r>
            <w:proofErr w:type="spellEnd"/>
            <w:r w:rsidRPr="00191C79">
              <w:rPr>
                <w:spacing w:val="0"/>
                <w:lang w:eastAsia="en-US"/>
              </w:rPr>
              <w:t xml:space="preserve"> (East)</w:t>
            </w:r>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45176</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21</w:t>
            </w:r>
          </w:p>
        </w:tc>
        <w:tc>
          <w:tcPr>
            <w:tcW w:w="3330" w:type="dxa"/>
            <w:hideMark/>
          </w:tcPr>
          <w:p w:rsidR="00115EFF" w:rsidRPr="00191C79" w:rsidRDefault="00115EFF" w:rsidP="00191C79">
            <w:pPr>
              <w:pStyle w:val="Tabletext"/>
              <w:spacing w:line="240" w:lineRule="auto"/>
              <w:rPr>
                <w:spacing w:val="0"/>
                <w:lang w:eastAsia="en-US"/>
              </w:rPr>
            </w:pPr>
            <w:proofErr w:type="spellStart"/>
            <w:r w:rsidRPr="00191C79">
              <w:rPr>
                <w:spacing w:val="0"/>
                <w:lang w:eastAsia="en-US"/>
              </w:rPr>
              <w:t>Uttar</w:t>
            </w:r>
            <w:proofErr w:type="spellEnd"/>
            <w:r w:rsidRPr="00191C79">
              <w:rPr>
                <w:spacing w:val="0"/>
                <w:lang w:eastAsia="en-US"/>
              </w:rPr>
              <w:t xml:space="preserve"> </w:t>
            </w:r>
            <w:proofErr w:type="spellStart"/>
            <w:r w:rsidRPr="00191C79">
              <w:rPr>
                <w:spacing w:val="0"/>
                <w:lang w:eastAsia="en-US"/>
              </w:rPr>
              <w:t>Pradesh</w:t>
            </w:r>
            <w:proofErr w:type="spellEnd"/>
            <w:r w:rsidRPr="00191C79">
              <w:rPr>
                <w:spacing w:val="0"/>
                <w:lang w:eastAsia="en-US"/>
              </w:rPr>
              <w:t xml:space="preserve"> (West)</w:t>
            </w:r>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37883</w:t>
            </w:r>
          </w:p>
        </w:tc>
      </w:tr>
      <w:tr w:rsidR="00115EFF" w:rsidRPr="00191C79" w:rsidTr="00774FEC">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spacing w:val="0"/>
                <w:lang w:eastAsia="en-US"/>
              </w:rPr>
            </w:pPr>
            <w:r w:rsidRPr="00191C79">
              <w:rPr>
                <w:spacing w:val="0"/>
                <w:lang w:eastAsia="en-US"/>
              </w:rPr>
              <w:t>22</w:t>
            </w:r>
          </w:p>
        </w:tc>
        <w:tc>
          <w:tcPr>
            <w:tcW w:w="3330" w:type="dxa"/>
            <w:hideMark/>
          </w:tcPr>
          <w:p w:rsidR="00115EFF" w:rsidRPr="00191C79" w:rsidRDefault="00115EFF" w:rsidP="00191C79">
            <w:pPr>
              <w:pStyle w:val="Tabletext"/>
              <w:spacing w:line="240" w:lineRule="auto"/>
              <w:rPr>
                <w:spacing w:val="0"/>
                <w:lang w:eastAsia="en-US"/>
              </w:rPr>
            </w:pPr>
            <w:r w:rsidRPr="00191C79">
              <w:rPr>
                <w:spacing w:val="0"/>
                <w:lang w:eastAsia="en-US"/>
              </w:rPr>
              <w:t xml:space="preserve">West </w:t>
            </w:r>
            <w:proofErr w:type="spellStart"/>
            <w:r w:rsidRPr="00191C79">
              <w:rPr>
                <w:spacing w:val="0"/>
                <w:lang w:eastAsia="en-US"/>
              </w:rPr>
              <w:t>Bengal</w:t>
            </w:r>
            <w:proofErr w:type="spellEnd"/>
          </w:p>
        </w:tc>
        <w:tc>
          <w:tcPr>
            <w:tcW w:w="3510" w:type="dxa"/>
            <w:hideMark/>
          </w:tcPr>
          <w:p w:rsidR="00115EFF" w:rsidRPr="00191C79" w:rsidRDefault="00115EFF" w:rsidP="00191C79">
            <w:pPr>
              <w:pStyle w:val="Tabletext"/>
              <w:spacing w:line="240" w:lineRule="auto"/>
              <w:rPr>
                <w:spacing w:val="0"/>
                <w:lang w:eastAsia="en-US"/>
              </w:rPr>
            </w:pPr>
            <w:r w:rsidRPr="00191C79">
              <w:rPr>
                <w:spacing w:val="0"/>
                <w:lang w:eastAsia="en-US"/>
              </w:rPr>
              <w:t>30080</w:t>
            </w:r>
          </w:p>
        </w:tc>
      </w:tr>
      <w:tr w:rsidR="00115EFF" w:rsidRPr="00191C79" w:rsidTr="00774FEC">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115EFF" w:rsidRPr="00191C79" w:rsidRDefault="00115EFF" w:rsidP="00191C79">
            <w:pPr>
              <w:pStyle w:val="Tabletext"/>
              <w:spacing w:line="240" w:lineRule="auto"/>
              <w:rPr>
                <w:b/>
                <w:spacing w:val="0"/>
                <w:lang w:eastAsia="en-US"/>
              </w:rPr>
            </w:pPr>
            <w:r w:rsidRPr="00191C79">
              <w:rPr>
                <w:b/>
                <w:spacing w:val="0"/>
                <w:lang w:eastAsia="en-US"/>
              </w:rPr>
              <w:t> </w:t>
            </w:r>
          </w:p>
        </w:tc>
        <w:tc>
          <w:tcPr>
            <w:tcW w:w="3330" w:type="dxa"/>
            <w:hideMark/>
          </w:tcPr>
          <w:p w:rsidR="00115EFF" w:rsidRPr="00191C79" w:rsidRDefault="00115EFF" w:rsidP="00191C79">
            <w:pPr>
              <w:pStyle w:val="Tabletext"/>
              <w:spacing w:line="240" w:lineRule="auto"/>
              <w:rPr>
                <w:b/>
                <w:spacing w:val="0"/>
                <w:lang w:eastAsia="en-US"/>
              </w:rPr>
            </w:pPr>
            <w:r w:rsidRPr="00191C79">
              <w:rPr>
                <w:b/>
                <w:spacing w:val="0"/>
                <w:lang w:eastAsia="en-US"/>
              </w:rPr>
              <w:t>Total</w:t>
            </w:r>
          </w:p>
        </w:tc>
        <w:tc>
          <w:tcPr>
            <w:tcW w:w="3510" w:type="dxa"/>
            <w:hideMark/>
          </w:tcPr>
          <w:p w:rsidR="00115EFF" w:rsidRPr="00191C79" w:rsidRDefault="00115EFF" w:rsidP="00191C79">
            <w:pPr>
              <w:pStyle w:val="Tabletext"/>
              <w:spacing w:line="240" w:lineRule="auto"/>
              <w:rPr>
                <w:b/>
                <w:spacing w:val="0"/>
                <w:lang w:eastAsia="en-US"/>
              </w:rPr>
            </w:pPr>
            <w:r w:rsidRPr="00191C79">
              <w:rPr>
                <w:b/>
                <w:spacing w:val="0"/>
                <w:lang w:eastAsia="en-US"/>
              </w:rPr>
              <w:t>746602</w:t>
            </w:r>
          </w:p>
        </w:tc>
      </w:tr>
    </w:tbl>
    <w:p w:rsidR="00115EFF" w:rsidRPr="00191C79" w:rsidRDefault="00115EFF" w:rsidP="00191C79">
      <w:pPr>
        <w:spacing w:line="240" w:lineRule="auto"/>
        <w:rPr>
          <w:spacing w:val="0"/>
          <w:lang w:val="en-US" w:eastAsia="zh-CN"/>
        </w:rPr>
      </w:pPr>
    </w:p>
    <w:p w:rsidR="00115EFF" w:rsidRPr="00191C79" w:rsidRDefault="00115EFF" w:rsidP="00191C79">
      <w:pPr>
        <w:tabs>
          <w:tab w:val="clear" w:pos="794"/>
        </w:tabs>
        <w:overflowPunct/>
        <w:spacing w:before="0" w:line="240" w:lineRule="auto"/>
        <w:jc w:val="left"/>
        <w:rPr>
          <w:spacing w:val="0"/>
          <w:lang w:val="en-US" w:eastAsia="zh-CN"/>
        </w:rPr>
      </w:pPr>
      <w:r w:rsidRPr="00191C79">
        <w:rPr>
          <w:spacing w:val="0"/>
          <w:lang w:val="en-US" w:eastAsia="zh-CN"/>
        </w:rPr>
        <w:br w:type="page"/>
      </w:r>
    </w:p>
    <w:p w:rsidR="00115EFF" w:rsidRPr="00191C79" w:rsidRDefault="00115EFF" w:rsidP="00191C79">
      <w:pPr>
        <w:pStyle w:val="Heading1"/>
        <w:spacing w:line="240" w:lineRule="auto"/>
        <w:rPr>
          <w:rFonts w:eastAsia="Calibri"/>
          <w:spacing w:val="0"/>
        </w:rPr>
      </w:pPr>
      <w:bookmarkStart w:id="106" w:name="_Toc374691854"/>
      <w:r w:rsidRPr="00191C79">
        <w:rPr>
          <w:rFonts w:eastAsia="Calibri"/>
          <w:spacing w:val="0"/>
        </w:rPr>
        <w:lastRenderedPageBreak/>
        <w:t>Annex 10C</w:t>
      </w:r>
      <w:bookmarkEnd w:id="106"/>
    </w:p>
    <w:p w:rsidR="00115EFF" w:rsidRPr="00191C79" w:rsidRDefault="00115EFF" w:rsidP="00191C79">
      <w:pPr>
        <w:spacing w:line="240" w:lineRule="auto"/>
        <w:rPr>
          <w:spacing w:val="0"/>
          <w:lang w:val="en-US"/>
        </w:rPr>
      </w:pPr>
    </w:p>
    <w:p w:rsidR="00115EFF" w:rsidRPr="00191C79" w:rsidRDefault="00115EFF" w:rsidP="00191C79">
      <w:pPr>
        <w:spacing w:line="240" w:lineRule="auto"/>
        <w:rPr>
          <w:rFonts w:eastAsia="Calibri" w:cs="Arial"/>
          <w:spacing w:val="0"/>
          <w:szCs w:val="19"/>
        </w:rPr>
      </w:pPr>
      <w:r w:rsidRPr="00191C79">
        <w:rPr>
          <w:spacing w:val="0"/>
        </w:rPr>
        <w:object w:dxaOrig="12337" w:dyaOrig="7610">
          <v:shape id="_x0000_i1026" type="#_x0000_t75" style="width:435pt;height:270pt;mso-position-vertical:absolute" o:ole="" o:allowoverlap="f">
            <v:imagedata r:id="rId36" o:title=""/>
          </v:shape>
          <o:OLEObject Type="Embed" ProgID="Excel.Sheet.12" ShapeID="_x0000_i1026" DrawAspect="Content" ObjectID="_1451479924" r:id="rId37"/>
        </w:object>
      </w:r>
    </w:p>
    <w:p w:rsidR="00115EFF" w:rsidRPr="00191C79" w:rsidRDefault="00115EFF" w:rsidP="00191C79">
      <w:pPr>
        <w:spacing w:line="240" w:lineRule="auto"/>
        <w:rPr>
          <w:rFonts w:eastAsia="Calibri" w:cs="Arial"/>
          <w:spacing w:val="0"/>
          <w:szCs w:val="19"/>
        </w:rPr>
      </w:pPr>
      <w:r w:rsidRPr="00191C79">
        <w:rPr>
          <w:spacing w:val="0"/>
        </w:rPr>
        <w:object w:dxaOrig="12047" w:dyaOrig="8192">
          <v:shape id="_x0000_i1027" type="#_x0000_t75" style="width:451.5pt;height:309pt" o:ole="" o:allowoverlap="f">
            <v:imagedata r:id="rId38" o:title=""/>
          </v:shape>
          <o:OLEObject Type="Embed" ProgID="Excel.Sheet.12" ShapeID="_x0000_i1027" DrawAspect="Content" ObjectID="_1451479925" r:id="rId39"/>
        </w:object>
      </w:r>
    </w:p>
    <w:p w:rsidR="00115EFF" w:rsidRPr="00191C79" w:rsidRDefault="00115EFF" w:rsidP="00191C79">
      <w:pPr>
        <w:spacing w:line="240" w:lineRule="auto"/>
        <w:rPr>
          <w:rFonts w:eastAsia="Calibri" w:cs="Arial"/>
          <w:spacing w:val="0"/>
          <w:szCs w:val="19"/>
        </w:rPr>
      </w:pPr>
    </w:p>
    <w:p w:rsidR="00115EFF" w:rsidRPr="00191C79" w:rsidRDefault="00115EFF" w:rsidP="00191C79">
      <w:pPr>
        <w:spacing w:line="240" w:lineRule="auto"/>
        <w:rPr>
          <w:rFonts w:eastAsia="Calibri" w:cs="Arial"/>
          <w:spacing w:val="0"/>
          <w:szCs w:val="19"/>
        </w:rPr>
      </w:pPr>
      <w:r w:rsidRPr="00191C79">
        <w:rPr>
          <w:spacing w:val="0"/>
        </w:rPr>
        <w:object w:dxaOrig="13240" w:dyaOrig="8002">
          <v:shape id="_x0000_i1028" type="#_x0000_t75" style="width:448.5pt;height:296.25pt" o:ole="" o:allowoverlap="f">
            <v:imagedata r:id="rId40" o:title=""/>
          </v:shape>
          <o:OLEObject Type="Embed" ProgID="Excel.Sheet.12" ShapeID="_x0000_i1028" DrawAspect="Content" ObjectID="_1451479926" r:id="rId41"/>
        </w:object>
      </w:r>
    </w:p>
    <w:p w:rsidR="00115EFF" w:rsidRPr="00191C79" w:rsidRDefault="00115EFF" w:rsidP="00191C79">
      <w:pPr>
        <w:spacing w:line="240" w:lineRule="auto"/>
        <w:rPr>
          <w:rFonts w:eastAsia="Calibri" w:cs="Arial"/>
          <w:spacing w:val="0"/>
          <w:szCs w:val="19"/>
        </w:rPr>
      </w:pPr>
    </w:p>
    <w:bookmarkStart w:id="107" w:name="_MON_1448782912"/>
    <w:bookmarkEnd w:id="107"/>
    <w:p w:rsidR="00115EFF" w:rsidRPr="00191C79" w:rsidRDefault="00115EFF" w:rsidP="00191C79">
      <w:pPr>
        <w:spacing w:line="240" w:lineRule="auto"/>
        <w:rPr>
          <w:rFonts w:eastAsia="Calibri" w:cs="Arial"/>
          <w:spacing w:val="0"/>
          <w:szCs w:val="19"/>
        </w:rPr>
      </w:pPr>
      <w:r w:rsidRPr="00191C79">
        <w:rPr>
          <w:spacing w:val="0"/>
        </w:rPr>
        <w:object w:dxaOrig="11822" w:dyaOrig="7165">
          <v:shape id="_x0000_i1029" type="#_x0000_t75" style="width:444pt;height:270pt" o:ole="">
            <v:imagedata r:id="rId42" o:title=""/>
          </v:shape>
          <o:OLEObject Type="Embed" ProgID="Excel.Sheet.12" ShapeID="_x0000_i1029" DrawAspect="Content" ObjectID="_1451479927" r:id="rId43"/>
        </w:object>
      </w:r>
    </w:p>
    <w:p w:rsidR="00115EFF" w:rsidRPr="00191C79" w:rsidRDefault="00115EFF" w:rsidP="00191C79">
      <w:pPr>
        <w:spacing w:line="240" w:lineRule="auto"/>
        <w:rPr>
          <w:rFonts w:eastAsia="Calibri" w:cs="Arial"/>
          <w:spacing w:val="0"/>
          <w:szCs w:val="19"/>
        </w:rPr>
      </w:pPr>
      <w:r w:rsidRPr="00191C79">
        <w:rPr>
          <w:spacing w:val="0"/>
        </w:rPr>
        <w:object w:dxaOrig="11853" w:dyaOrig="6438">
          <v:shape id="_x0000_i1030" type="#_x0000_t75" style="width:444pt;height:242.25pt" o:ole="">
            <v:imagedata r:id="rId44" o:title=""/>
          </v:shape>
          <o:OLEObject Type="Embed" ProgID="Excel.Sheet.12" ShapeID="_x0000_i1030" DrawAspect="Content" ObjectID="_1451479928" r:id="rId45"/>
        </w:object>
      </w:r>
    </w:p>
    <w:p w:rsidR="00115EFF" w:rsidRPr="00191C79" w:rsidRDefault="00115EFF" w:rsidP="00191C79">
      <w:pPr>
        <w:pStyle w:val="CEOcontributionStart"/>
        <w:rPr>
          <w:lang w:val="en-US"/>
        </w:rPr>
      </w:pPr>
      <w:r w:rsidRPr="00191C79">
        <w:object w:dxaOrig="13336" w:dyaOrig="4555">
          <v:shape id="_x0000_i1031" type="#_x0000_t75" style="width:460.5pt;height:143.25pt" o:ole="" o:allowoverlap="f">
            <v:imagedata r:id="rId46" o:title=""/>
          </v:shape>
          <o:OLEObject Type="Embed" ProgID="Excel.Sheet.12" ShapeID="_x0000_i1031" DrawAspect="Content" ObjectID="_1451479929" r:id="rId47"/>
        </w:object>
      </w:r>
      <w:r w:rsidRPr="00191C79">
        <w:rPr>
          <w:lang w:val="en-US"/>
        </w:rPr>
        <w:t>____</w:t>
      </w:r>
    </w:p>
    <w:p w:rsidR="00115EFF" w:rsidRPr="00191C79" w:rsidRDefault="00115EFF" w:rsidP="00191C79">
      <w:pPr>
        <w:tabs>
          <w:tab w:val="clear" w:pos="794"/>
        </w:tabs>
        <w:overflowPunct/>
        <w:spacing w:before="0" w:line="240" w:lineRule="auto"/>
        <w:jc w:val="left"/>
        <w:rPr>
          <w:spacing w:val="0"/>
          <w:lang w:val="en-US" w:eastAsia="zh-CN"/>
        </w:rPr>
      </w:pPr>
      <w:r w:rsidRPr="00191C79">
        <w:rPr>
          <w:spacing w:val="0"/>
          <w:lang w:val="en-US" w:eastAsia="zh-CN"/>
        </w:rPr>
        <w:br w:type="page"/>
      </w:r>
    </w:p>
    <w:p w:rsidR="00834306" w:rsidRPr="00191C79" w:rsidRDefault="00834306" w:rsidP="00191C79">
      <w:pPr>
        <w:pStyle w:val="Heading1"/>
        <w:spacing w:line="240" w:lineRule="auto"/>
        <w:rPr>
          <w:smallCaps/>
          <w:spacing w:val="0"/>
          <w:szCs w:val="19"/>
        </w:rPr>
      </w:pPr>
      <w:bookmarkStart w:id="108" w:name="_Toc374691855"/>
      <w:r w:rsidRPr="00191C79">
        <w:rPr>
          <w:spacing w:val="0"/>
          <w:szCs w:val="19"/>
        </w:rPr>
        <w:lastRenderedPageBreak/>
        <w:t>II.</w:t>
      </w:r>
      <w:r w:rsidRPr="00191C79">
        <w:rPr>
          <w:spacing w:val="0"/>
          <w:szCs w:val="19"/>
        </w:rPr>
        <w:tab/>
        <w:t>List of Contributions</w:t>
      </w:r>
      <w:bookmarkEnd w:id="108"/>
    </w:p>
    <w:p w:rsidR="00834306" w:rsidRPr="00D22B85" w:rsidRDefault="00834306" w:rsidP="00D22B85">
      <w:pPr>
        <w:pStyle w:val="ListParagraph"/>
        <w:numPr>
          <w:ilvl w:val="0"/>
          <w:numId w:val="8"/>
        </w:numPr>
        <w:tabs>
          <w:tab w:val="left" w:pos="1985"/>
        </w:tabs>
        <w:spacing w:before="240" w:after="60" w:line="240" w:lineRule="auto"/>
        <w:ind w:left="357" w:hanging="357"/>
        <w:contextualSpacing w:val="0"/>
        <w:rPr>
          <w:sz w:val="21"/>
          <w:szCs w:val="21"/>
          <w:lang w:val="fr-CH"/>
        </w:rPr>
      </w:pPr>
      <w:bookmarkStart w:id="109" w:name="_Toc361912453"/>
      <w:r w:rsidRPr="00D22B85">
        <w:rPr>
          <w:sz w:val="21"/>
          <w:szCs w:val="21"/>
          <w:lang w:val="fr-CH"/>
        </w:rPr>
        <w:t>Côte d’Ivoire</w:t>
      </w:r>
      <w:bookmarkEnd w:id="109"/>
      <w:r w:rsidRPr="00D22B85">
        <w:rPr>
          <w:sz w:val="21"/>
          <w:szCs w:val="21"/>
          <w:lang w:val="fr-CH"/>
        </w:rPr>
        <w:t xml:space="preserve"> </w:t>
      </w:r>
      <w:r w:rsidR="00D22B85" w:rsidRPr="00D22B85">
        <w:rPr>
          <w:sz w:val="21"/>
          <w:szCs w:val="21"/>
          <w:lang w:val="fr-CH"/>
        </w:rPr>
        <w:tab/>
      </w:r>
      <w:hyperlink r:id="rId48" w:history="1">
        <w:r w:rsidR="00D22B85" w:rsidRPr="00D22B85">
          <w:rPr>
            <w:rStyle w:val="Hyperlink"/>
            <w:sz w:val="21"/>
            <w:szCs w:val="21"/>
            <w:lang w:val="fr-CH"/>
          </w:rPr>
          <w:t>www.itu.int/md/D10-SG01-INF-0034/</w:t>
        </w:r>
      </w:hyperlink>
      <w:r w:rsidRPr="00D22B85">
        <w:rPr>
          <w:sz w:val="21"/>
          <w:szCs w:val="21"/>
          <w:lang w:val="fr-CH"/>
        </w:rPr>
        <w:t xml:space="preserve"> </w:t>
      </w:r>
    </w:p>
    <w:p w:rsidR="00834306" w:rsidRPr="00D22B85" w:rsidRDefault="00834306" w:rsidP="00D22B85">
      <w:pPr>
        <w:pStyle w:val="ListParagraph"/>
        <w:numPr>
          <w:ilvl w:val="0"/>
          <w:numId w:val="8"/>
        </w:numPr>
        <w:tabs>
          <w:tab w:val="left" w:pos="1985"/>
        </w:tabs>
        <w:spacing w:before="240" w:after="60" w:line="240" w:lineRule="auto"/>
        <w:ind w:left="357" w:hanging="357"/>
        <w:contextualSpacing w:val="0"/>
        <w:rPr>
          <w:sz w:val="21"/>
          <w:szCs w:val="21"/>
          <w:lang w:val="es-ES"/>
        </w:rPr>
      </w:pPr>
      <w:bookmarkStart w:id="110" w:name="_Toc361912454"/>
      <w:proofErr w:type="spellStart"/>
      <w:r w:rsidRPr="00D22B85">
        <w:rPr>
          <w:sz w:val="21"/>
          <w:szCs w:val="21"/>
          <w:lang w:val="es-ES"/>
        </w:rPr>
        <w:t>Brazil</w:t>
      </w:r>
      <w:bookmarkEnd w:id="110"/>
      <w:proofErr w:type="spellEnd"/>
      <w:r w:rsidRPr="00D22B85">
        <w:rPr>
          <w:sz w:val="21"/>
          <w:szCs w:val="21"/>
          <w:lang w:val="es-ES"/>
        </w:rPr>
        <w:t xml:space="preserve">  </w:t>
      </w:r>
      <w:r w:rsidR="00D22B85" w:rsidRPr="00D22B85">
        <w:rPr>
          <w:sz w:val="21"/>
          <w:szCs w:val="21"/>
          <w:lang w:val="es-ES"/>
        </w:rPr>
        <w:tab/>
      </w:r>
      <w:hyperlink r:id="rId49" w:history="1">
        <w:r w:rsidR="00D22B85" w:rsidRPr="00D22B85">
          <w:rPr>
            <w:rStyle w:val="Hyperlink"/>
            <w:sz w:val="21"/>
            <w:szCs w:val="21"/>
            <w:lang w:val="es-ES"/>
          </w:rPr>
          <w:t>www.itu.int/md/D10-SG01-C-0088/</w:t>
        </w:r>
      </w:hyperlink>
      <w:r w:rsidRPr="00D22B85">
        <w:rPr>
          <w:sz w:val="21"/>
          <w:szCs w:val="21"/>
          <w:lang w:val="es-ES"/>
        </w:rPr>
        <w:t xml:space="preserve"> </w:t>
      </w:r>
    </w:p>
    <w:p w:rsidR="00834306" w:rsidRPr="00D22B85" w:rsidRDefault="00834306" w:rsidP="00D22B85">
      <w:pPr>
        <w:pStyle w:val="ListParagraph"/>
        <w:numPr>
          <w:ilvl w:val="0"/>
          <w:numId w:val="8"/>
        </w:numPr>
        <w:tabs>
          <w:tab w:val="left" w:pos="1985"/>
        </w:tabs>
        <w:spacing w:before="240" w:after="60" w:line="240" w:lineRule="auto"/>
        <w:ind w:left="357" w:hanging="357"/>
        <w:contextualSpacing w:val="0"/>
        <w:rPr>
          <w:sz w:val="21"/>
          <w:szCs w:val="21"/>
        </w:rPr>
      </w:pPr>
      <w:bookmarkStart w:id="111" w:name="_Toc361912455"/>
      <w:r w:rsidRPr="00D22B85">
        <w:rPr>
          <w:sz w:val="21"/>
          <w:szCs w:val="21"/>
        </w:rPr>
        <w:t>Republic of Korea</w:t>
      </w:r>
      <w:bookmarkEnd w:id="111"/>
      <w:r w:rsidR="00D22B85">
        <w:rPr>
          <w:sz w:val="21"/>
          <w:szCs w:val="21"/>
        </w:rPr>
        <w:tab/>
      </w:r>
      <w:hyperlink r:id="rId50" w:history="1">
        <w:r w:rsidR="00D22B85" w:rsidRPr="00E82435">
          <w:rPr>
            <w:rStyle w:val="Hyperlink"/>
            <w:sz w:val="21"/>
            <w:szCs w:val="21"/>
          </w:rPr>
          <w:t>www.itu.int/md/D10-SG01-C-0181/</w:t>
        </w:r>
      </w:hyperlink>
      <w:r w:rsidRPr="00D22B85">
        <w:rPr>
          <w:sz w:val="21"/>
          <w:szCs w:val="21"/>
        </w:rPr>
        <w:t xml:space="preserve"> </w:t>
      </w:r>
    </w:p>
    <w:p w:rsidR="00834306" w:rsidRPr="00D22B85" w:rsidRDefault="00834306" w:rsidP="00D22B85">
      <w:pPr>
        <w:pStyle w:val="ListParagraph"/>
        <w:numPr>
          <w:ilvl w:val="0"/>
          <w:numId w:val="8"/>
        </w:numPr>
        <w:tabs>
          <w:tab w:val="left" w:pos="1985"/>
        </w:tabs>
        <w:spacing w:before="240" w:after="60" w:line="240" w:lineRule="auto"/>
        <w:ind w:left="357" w:hanging="357"/>
        <w:contextualSpacing w:val="0"/>
        <w:rPr>
          <w:sz w:val="21"/>
          <w:szCs w:val="21"/>
          <w:lang w:val="es-ES_tradnl"/>
        </w:rPr>
      </w:pPr>
      <w:bookmarkStart w:id="112" w:name="_Toc361912456"/>
      <w:proofErr w:type="spellStart"/>
      <w:r w:rsidRPr="00D22B85">
        <w:rPr>
          <w:sz w:val="21"/>
          <w:szCs w:val="21"/>
          <w:lang w:val="es-ES_tradnl"/>
        </w:rPr>
        <w:t>Israël</w:t>
      </w:r>
      <w:bookmarkEnd w:id="112"/>
      <w:proofErr w:type="spellEnd"/>
      <w:r w:rsidRPr="00D22B85">
        <w:rPr>
          <w:sz w:val="21"/>
          <w:szCs w:val="21"/>
          <w:lang w:val="es-ES_tradnl"/>
        </w:rPr>
        <w:t xml:space="preserve">  </w:t>
      </w:r>
      <w:r w:rsidR="00D22B85">
        <w:rPr>
          <w:sz w:val="21"/>
          <w:szCs w:val="21"/>
          <w:lang w:val="es-ES_tradnl"/>
        </w:rPr>
        <w:tab/>
      </w:r>
      <w:hyperlink r:id="rId51" w:history="1">
        <w:r w:rsidR="00D22B85" w:rsidRPr="00E82435">
          <w:rPr>
            <w:rStyle w:val="Hyperlink"/>
            <w:sz w:val="21"/>
            <w:szCs w:val="21"/>
            <w:lang w:val="es-ES_tradnl"/>
          </w:rPr>
          <w:t>www.itu.int/md/D10-SG01-C-0135/</w:t>
        </w:r>
      </w:hyperlink>
      <w:r w:rsidRPr="00D22B85">
        <w:rPr>
          <w:sz w:val="21"/>
          <w:szCs w:val="21"/>
          <w:lang w:val="es-ES_tradnl"/>
        </w:rPr>
        <w:t xml:space="preserve"> </w:t>
      </w:r>
    </w:p>
    <w:p w:rsidR="00834306" w:rsidRPr="00D22B85" w:rsidRDefault="00834306" w:rsidP="00D22B85">
      <w:pPr>
        <w:pStyle w:val="ListParagraph"/>
        <w:numPr>
          <w:ilvl w:val="0"/>
          <w:numId w:val="8"/>
        </w:numPr>
        <w:tabs>
          <w:tab w:val="left" w:pos="1985"/>
        </w:tabs>
        <w:spacing w:before="240" w:after="60" w:line="240" w:lineRule="auto"/>
        <w:ind w:left="357" w:hanging="357"/>
        <w:contextualSpacing w:val="0"/>
        <w:rPr>
          <w:sz w:val="21"/>
          <w:szCs w:val="21"/>
          <w:lang w:val="es-ES_tradnl"/>
        </w:rPr>
      </w:pPr>
      <w:bookmarkStart w:id="113" w:name="_Toc361912457"/>
      <w:proofErr w:type="spellStart"/>
      <w:r w:rsidRPr="00D22B85">
        <w:rPr>
          <w:sz w:val="21"/>
          <w:szCs w:val="21"/>
          <w:lang w:val="es-ES_tradnl"/>
        </w:rPr>
        <w:t>Venezuel</w:t>
      </w:r>
      <w:bookmarkEnd w:id="113"/>
      <w:proofErr w:type="spellEnd"/>
      <w:r w:rsidRPr="00D22B85">
        <w:rPr>
          <w:sz w:val="21"/>
          <w:szCs w:val="21"/>
          <w:lang w:val="es-ES_tradnl"/>
        </w:rPr>
        <w:t xml:space="preserve">   </w:t>
      </w:r>
      <w:r w:rsidR="00D22B85">
        <w:rPr>
          <w:sz w:val="21"/>
          <w:szCs w:val="21"/>
          <w:lang w:val="es-ES_tradnl"/>
        </w:rPr>
        <w:tab/>
      </w:r>
      <w:hyperlink r:id="rId52" w:history="1">
        <w:r w:rsidR="00D22B85" w:rsidRPr="00E82435">
          <w:rPr>
            <w:rStyle w:val="Hyperlink"/>
            <w:sz w:val="21"/>
            <w:szCs w:val="21"/>
            <w:lang w:val="es-ES_tradnl"/>
          </w:rPr>
          <w:t>www.itu.int/md/D10-SG01-C-0082</w:t>
        </w:r>
      </w:hyperlink>
      <w:r w:rsidRPr="00D22B85">
        <w:rPr>
          <w:sz w:val="21"/>
          <w:szCs w:val="21"/>
          <w:lang w:val="es-ES_tradnl"/>
        </w:rPr>
        <w:t xml:space="preserve">/ </w:t>
      </w:r>
    </w:p>
    <w:p w:rsidR="00834306" w:rsidRPr="00D22B85" w:rsidRDefault="00834306" w:rsidP="00D22B85">
      <w:pPr>
        <w:pStyle w:val="ListParagraph"/>
        <w:numPr>
          <w:ilvl w:val="0"/>
          <w:numId w:val="8"/>
        </w:numPr>
        <w:tabs>
          <w:tab w:val="left" w:pos="1985"/>
        </w:tabs>
        <w:spacing w:before="240" w:after="60" w:line="240" w:lineRule="auto"/>
        <w:ind w:left="357" w:hanging="357"/>
        <w:contextualSpacing w:val="0"/>
        <w:rPr>
          <w:sz w:val="21"/>
          <w:szCs w:val="21"/>
        </w:rPr>
      </w:pPr>
      <w:bookmarkStart w:id="114" w:name="_Toc361912458"/>
      <w:r w:rsidRPr="00D22B85">
        <w:rPr>
          <w:sz w:val="21"/>
          <w:szCs w:val="21"/>
        </w:rPr>
        <w:t>Hungary</w:t>
      </w:r>
      <w:bookmarkEnd w:id="114"/>
      <w:r w:rsidRPr="00D22B85">
        <w:rPr>
          <w:sz w:val="21"/>
          <w:szCs w:val="21"/>
        </w:rPr>
        <w:t xml:space="preserve">  </w:t>
      </w:r>
      <w:r w:rsidR="00D22B85">
        <w:rPr>
          <w:sz w:val="21"/>
          <w:szCs w:val="21"/>
        </w:rPr>
        <w:tab/>
      </w:r>
      <w:hyperlink r:id="rId53" w:history="1">
        <w:r w:rsidR="00D22B85" w:rsidRPr="00E82435">
          <w:rPr>
            <w:rStyle w:val="Hyperlink"/>
            <w:sz w:val="21"/>
            <w:szCs w:val="21"/>
          </w:rPr>
          <w:t>www.itu.int/md/D10-RGQ23.1-C-0015/</w:t>
        </w:r>
      </w:hyperlink>
      <w:r w:rsidRPr="00D22B85">
        <w:rPr>
          <w:sz w:val="21"/>
          <w:szCs w:val="21"/>
        </w:rPr>
        <w:t xml:space="preserve"> </w:t>
      </w:r>
    </w:p>
    <w:p w:rsidR="00834306" w:rsidRPr="00D22B85" w:rsidRDefault="00834306" w:rsidP="00D22B85">
      <w:pPr>
        <w:pStyle w:val="ListParagraph"/>
        <w:numPr>
          <w:ilvl w:val="0"/>
          <w:numId w:val="8"/>
        </w:numPr>
        <w:tabs>
          <w:tab w:val="left" w:pos="1985"/>
        </w:tabs>
        <w:spacing w:before="240" w:after="60" w:line="240" w:lineRule="auto"/>
        <w:ind w:left="357" w:hanging="357"/>
        <w:contextualSpacing w:val="0"/>
        <w:rPr>
          <w:sz w:val="21"/>
          <w:szCs w:val="21"/>
          <w:lang w:val="de-CH"/>
        </w:rPr>
      </w:pPr>
      <w:bookmarkStart w:id="115" w:name="_Toc361912459"/>
      <w:r w:rsidRPr="00D22B85">
        <w:rPr>
          <w:sz w:val="21"/>
          <w:szCs w:val="21"/>
          <w:lang w:val="de-CH"/>
        </w:rPr>
        <w:t>Uzbekistan</w:t>
      </w:r>
      <w:bookmarkEnd w:id="115"/>
      <w:r w:rsidRPr="00D22B85">
        <w:rPr>
          <w:sz w:val="21"/>
          <w:szCs w:val="21"/>
          <w:lang w:val="de-CH"/>
        </w:rPr>
        <w:t xml:space="preserve">  </w:t>
      </w:r>
      <w:r w:rsidR="00D22B85">
        <w:rPr>
          <w:sz w:val="21"/>
          <w:szCs w:val="21"/>
          <w:lang w:val="de-CH"/>
        </w:rPr>
        <w:tab/>
      </w:r>
      <w:hyperlink r:id="rId54" w:history="1">
        <w:r w:rsidR="00D22B85" w:rsidRPr="00E82435">
          <w:rPr>
            <w:rStyle w:val="Hyperlink"/>
            <w:sz w:val="21"/>
            <w:szCs w:val="21"/>
            <w:lang w:val="de-CH"/>
          </w:rPr>
          <w:t>www.itu.int/md/D10-SG01-INF-0018/</w:t>
        </w:r>
      </w:hyperlink>
      <w:r w:rsidRPr="00D22B85">
        <w:rPr>
          <w:sz w:val="21"/>
          <w:szCs w:val="21"/>
          <w:lang w:val="de-CH"/>
        </w:rPr>
        <w:t xml:space="preserve"> </w:t>
      </w:r>
    </w:p>
    <w:p w:rsidR="00834306" w:rsidRPr="00D22B85" w:rsidRDefault="00834306" w:rsidP="00D22B85">
      <w:pPr>
        <w:pStyle w:val="ListParagraph"/>
        <w:numPr>
          <w:ilvl w:val="0"/>
          <w:numId w:val="8"/>
        </w:numPr>
        <w:tabs>
          <w:tab w:val="left" w:pos="1985"/>
        </w:tabs>
        <w:spacing w:before="240" w:after="60" w:line="240" w:lineRule="auto"/>
        <w:ind w:left="357" w:hanging="357"/>
        <w:contextualSpacing w:val="0"/>
        <w:rPr>
          <w:rStyle w:val="Hyperlink"/>
          <w:sz w:val="21"/>
          <w:szCs w:val="21"/>
        </w:rPr>
      </w:pPr>
      <w:bookmarkStart w:id="116" w:name="_Toc361912460"/>
      <w:r w:rsidRPr="00D22B85">
        <w:rPr>
          <w:sz w:val="21"/>
          <w:szCs w:val="21"/>
        </w:rPr>
        <w:t>Benin</w:t>
      </w:r>
      <w:bookmarkEnd w:id="116"/>
      <w:r w:rsidRPr="00D22B85">
        <w:rPr>
          <w:sz w:val="21"/>
          <w:szCs w:val="21"/>
        </w:rPr>
        <w:t xml:space="preserve">  </w:t>
      </w:r>
      <w:r w:rsidR="00D22B85">
        <w:rPr>
          <w:sz w:val="21"/>
          <w:szCs w:val="21"/>
        </w:rPr>
        <w:tab/>
      </w:r>
      <w:hyperlink r:id="rId55" w:history="1">
        <w:r w:rsidR="00D22B85" w:rsidRPr="00E82435">
          <w:rPr>
            <w:rStyle w:val="Hyperlink"/>
            <w:sz w:val="21"/>
            <w:szCs w:val="21"/>
          </w:rPr>
          <w:t>www.itu.int/md/D10-SG01-C-0228/</w:t>
        </w:r>
      </w:hyperlink>
      <w:r w:rsidRPr="00D22B85">
        <w:rPr>
          <w:rStyle w:val="Hyperlink"/>
          <w:sz w:val="21"/>
          <w:szCs w:val="21"/>
        </w:rPr>
        <w:t xml:space="preserve"> </w:t>
      </w:r>
    </w:p>
    <w:p w:rsidR="00834306" w:rsidRPr="00D22B85" w:rsidRDefault="00D22B85" w:rsidP="00D22B85">
      <w:pPr>
        <w:pStyle w:val="ListParagraph"/>
        <w:numPr>
          <w:ilvl w:val="0"/>
          <w:numId w:val="8"/>
        </w:numPr>
        <w:tabs>
          <w:tab w:val="left" w:pos="1985"/>
        </w:tabs>
        <w:spacing w:before="240" w:after="60" w:line="240" w:lineRule="auto"/>
        <w:contextualSpacing w:val="0"/>
        <w:rPr>
          <w:sz w:val="21"/>
          <w:szCs w:val="21"/>
        </w:rPr>
      </w:pPr>
      <w:r>
        <w:rPr>
          <w:sz w:val="21"/>
          <w:szCs w:val="21"/>
        </w:rPr>
        <w:t xml:space="preserve">India  </w:t>
      </w:r>
      <w:r>
        <w:rPr>
          <w:sz w:val="21"/>
          <w:szCs w:val="21"/>
        </w:rPr>
        <w:tab/>
      </w:r>
      <w:hyperlink r:id="rId56" w:history="1">
        <w:r w:rsidRPr="00E82435">
          <w:rPr>
            <w:rStyle w:val="Hyperlink"/>
            <w:sz w:val="21"/>
            <w:szCs w:val="21"/>
          </w:rPr>
          <w:t>www.itu.int/md/D10-SG01-C-0278/</w:t>
        </w:r>
      </w:hyperlink>
      <w:r w:rsidR="00834306" w:rsidRPr="00D22B85">
        <w:rPr>
          <w:rStyle w:val="Hyperlink"/>
          <w:sz w:val="21"/>
          <w:szCs w:val="21"/>
        </w:rPr>
        <w:t xml:space="preserve"> </w:t>
      </w:r>
    </w:p>
    <w:p w:rsidR="00834306" w:rsidRPr="00191C79" w:rsidRDefault="00834306" w:rsidP="00191C79">
      <w:pPr>
        <w:pStyle w:val="Heading1"/>
        <w:spacing w:before="120" w:after="120" w:line="240" w:lineRule="auto"/>
        <w:rPr>
          <w:rFonts w:asciiTheme="minorHAnsi" w:hAnsiTheme="minorHAnsi"/>
          <w:spacing w:val="0"/>
          <w:szCs w:val="19"/>
        </w:rPr>
      </w:pPr>
      <w:bookmarkStart w:id="117" w:name="_Toc361912461"/>
    </w:p>
    <w:p w:rsidR="00834306" w:rsidRPr="00191C79" w:rsidRDefault="00834306" w:rsidP="00191C79">
      <w:pPr>
        <w:pStyle w:val="Heading1"/>
        <w:spacing w:before="120" w:after="120" w:line="240" w:lineRule="auto"/>
        <w:rPr>
          <w:spacing w:val="0"/>
          <w:szCs w:val="19"/>
        </w:rPr>
      </w:pPr>
      <w:r w:rsidRPr="00191C79">
        <w:rPr>
          <w:spacing w:val="0"/>
          <w:szCs w:val="19"/>
        </w:rPr>
        <w:br w:type="page"/>
      </w:r>
    </w:p>
    <w:p w:rsidR="00834306" w:rsidRPr="00191C79" w:rsidRDefault="00834306" w:rsidP="00191C79">
      <w:pPr>
        <w:pStyle w:val="Heading1"/>
        <w:spacing w:before="120" w:after="120" w:line="240" w:lineRule="auto"/>
        <w:rPr>
          <w:smallCaps/>
          <w:spacing w:val="0"/>
          <w:szCs w:val="19"/>
        </w:rPr>
      </w:pPr>
      <w:bookmarkStart w:id="118" w:name="_Toc374691856"/>
      <w:r w:rsidRPr="00191C79">
        <w:rPr>
          <w:spacing w:val="0"/>
          <w:szCs w:val="19"/>
        </w:rPr>
        <w:lastRenderedPageBreak/>
        <w:t>III.</w:t>
      </w:r>
      <w:r w:rsidRPr="00191C79">
        <w:rPr>
          <w:spacing w:val="0"/>
          <w:szCs w:val="19"/>
        </w:rPr>
        <w:tab/>
        <w:t>References</w:t>
      </w:r>
      <w:bookmarkEnd w:id="117"/>
      <w:bookmarkEnd w:id="118"/>
    </w:p>
    <w:p w:rsidR="00834306" w:rsidRPr="00191C79" w:rsidRDefault="00834306" w:rsidP="00191C79">
      <w:pPr>
        <w:spacing w:before="240" w:line="240" w:lineRule="auto"/>
        <w:rPr>
          <w:b/>
          <w:bCs/>
          <w:spacing w:val="0"/>
          <w:szCs w:val="19"/>
          <w:lang w:val="en-US"/>
        </w:rPr>
      </w:pPr>
      <w:r w:rsidRPr="00191C79">
        <w:rPr>
          <w:b/>
          <w:spacing w:val="0"/>
          <w:szCs w:val="19"/>
          <w:lang w:val="en-US"/>
        </w:rPr>
        <w:t>Useful websites</w:t>
      </w:r>
    </w:p>
    <w:p w:rsidR="00834306" w:rsidRPr="00191C79" w:rsidRDefault="004D6922" w:rsidP="00191C79">
      <w:pPr>
        <w:spacing w:before="240" w:after="60" w:line="240" w:lineRule="auto"/>
        <w:rPr>
          <w:spacing w:val="0"/>
          <w:szCs w:val="19"/>
          <w:lang w:val="en-US"/>
        </w:rPr>
      </w:pPr>
      <w:hyperlink r:id="rId57" w:history="1">
        <w:r w:rsidR="008C46E4" w:rsidRPr="00E82435">
          <w:rPr>
            <w:rStyle w:val="Hyperlink"/>
            <w:spacing w:val="0"/>
            <w:szCs w:val="19"/>
            <w:lang w:val="en-US"/>
          </w:rPr>
          <w:t>www.icnirp.org</w:t>
        </w:r>
      </w:hyperlink>
      <w:r w:rsidR="00834306" w:rsidRPr="00191C79">
        <w:rPr>
          <w:spacing w:val="0"/>
          <w:szCs w:val="19"/>
          <w:lang w:val="en-US"/>
        </w:rPr>
        <w:t xml:space="preserve">; </w:t>
      </w:r>
    </w:p>
    <w:p w:rsidR="00834306" w:rsidRPr="00191C79" w:rsidRDefault="004D6922" w:rsidP="00191C79">
      <w:pPr>
        <w:spacing w:before="240" w:after="60" w:line="240" w:lineRule="auto"/>
        <w:rPr>
          <w:spacing w:val="0"/>
          <w:szCs w:val="19"/>
          <w:lang w:val="en-US"/>
        </w:rPr>
      </w:pPr>
      <w:hyperlink r:id="rId58" w:history="1">
        <w:r w:rsidRPr="004D6922">
          <w:rPr>
            <w:rStyle w:val="Hyperlink"/>
            <w:lang w:val="en-US"/>
          </w:rPr>
          <w:t>www.</w:t>
        </w:r>
        <w:r w:rsidR="00834306" w:rsidRPr="004D6922">
          <w:rPr>
            <w:rStyle w:val="Hyperlink"/>
            <w:spacing w:val="0"/>
            <w:szCs w:val="19"/>
            <w:lang w:val="en-US"/>
          </w:rPr>
          <w:t>grouper.ieee.org/groups/scc28</w:t>
        </w:r>
      </w:hyperlink>
      <w:r w:rsidR="00834306" w:rsidRPr="00191C79">
        <w:rPr>
          <w:spacing w:val="0"/>
          <w:szCs w:val="19"/>
          <w:lang w:val="en-US"/>
        </w:rPr>
        <w:t xml:space="preserve">; </w:t>
      </w:r>
      <w:bookmarkStart w:id="119" w:name="_GoBack"/>
      <w:bookmarkEnd w:id="119"/>
    </w:p>
    <w:p w:rsidR="00834306" w:rsidRPr="00191C79" w:rsidRDefault="004D6922" w:rsidP="00191C79">
      <w:pPr>
        <w:spacing w:before="240" w:after="60" w:line="240" w:lineRule="auto"/>
        <w:rPr>
          <w:spacing w:val="0"/>
          <w:szCs w:val="19"/>
          <w:lang w:val="en-US"/>
        </w:rPr>
      </w:pPr>
      <w:hyperlink r:id="rId59" w:history="1">
        <w:r w:rsidR="008C46E4" w:rsidRPr="00E82435">
          <w:rPr>
            <w:rStyle w:val="Hyperlink"/>
            <w:spacing w:val="0"/>
            <w:szCs w:val="19"/>
            <w:lang w:val="en-US"/>
          </w:rPr>
          <w:t>www.iec.ch/</w:t>
        </w:r>
      </w:hyperlink>
      <w:r w:rsidR="00834306" w:rsidRPr="00191C79">
        <w:rPr>
          <w:spacing w:val="0"/>
          <w:szCs w:val="19"/>
          <w:lang w:val="en-US"/>
        </w:rPr>
        <w:t xml:space="preserve">; </w:t>
      </w:r>
    </w:p>
    <w:p w:rsidR="00834306" w:rsidRPr="00191C79" w:rsidRDefault="004D6922" w:rsidP="00191C79">
      <w:pPr>
        <w:spacing w:before="240" w:after="60" w:line="240" w:lineRule="auto"/>
        <w:rPr>
          <w:spacing w:val="0"/>
          <w:szCs w:val="19"/>
          <w:lang w:val="en-US"/>
        </w:rPr>
      </w:pPr>
      <w:hyperlink r:id="rId60" w:history="1">
        <w:r w:rsidR="008C46E4" w:rsidRPr="00E82435">
          <w:rPr>
            <w:rStyle w:val="Hyperlink"/>
            <w:spacing w:val="0"/>
            <w:szCs w:val="19"/>
            <w:lang w:val="en-US"/>
          </w:rPr>
          <w:t>www.cenelec.org</w:t>
        </w:r>
      </w:hyperlink>
      <w:r w:rsidR="00834306" w:rsidRPr="00191C79">
        <w:rPr>
          <w:spacing w:val="0"/>
          <w:szCs w:val="19"/>
          <w:lang w:val="en-US"/>
        </w:rPr>
        <w:t xml:space="preserve"> ;</w:t>
      </w:r>
    </w:p>
    <w:p w:rsidR="00834306" w:rsidRPr="00191C79" w:rsidRDefault="004D6922" w:rsidP="00191C79">
      <w:pPr>
        <w:spacing w:before="240" w:after="60" w:line="240" w:lineRule="auto"/>
        <w:rPr>
          <w:spacing w:val="0"/>
          <w:szCs w:val="19"/>
          <w:lang w:val="en-US"/>
        </w:rPr>
      </w:pPr>
      <w:hyperlink r:id="rId61" w:history="1">
        <w:r w:rsidR="008C46E4" w:rsidRPr="00E82435">
          <w:rPr>
            <w:rStyle w:val="Hyperlink"/>
            <w:spacing w:val="0"/>
            <w:szCs w:val="19"/>
            <w:lang w:val="en-US"/>
          </w:rPr>
          <w:t>www.sviva.gov.il/subjectsEnv/Radiation/Communication_Facilities/cellular/Documents/shidur_selulariim_peilim_1.xls</w:t>
        </w:r>
      </w:hyperlink>
    </w:p>
    <w:p w:rsidR="002163B8" w:rsidRDefault="002163B8">
      <w:pPr>
        <w:tabs>
          <w:tab w:val="clear" w:pos="794"/>
        </w:tabs>
        <w:overflowPunct/>
        <w:spacing w:before="0" w:line="240" w:lineRule="auto"/>
        <w:jc w:val="left"/>
        <w:rPr>
          <w:spacing w:val="0"/>
          <w:lang w:val="en-US" w:eastAsia="zh-CN"/>
        </w:rPr>
      </w:pPr>
      <w:r>
        <w:rPr>
          <w:spacing w:val="0"/>
          <w:lang w:val="en-US" w:eastAsia="zh-CN"/>
        </w:rPr>
        <w:br w:type="page"/>
      </w:r>
    </w:p>
    <w:p w:rsidR="002163B8" w:rsidRDefault="002163B8" w:rsidP="002163B8">
      <w:pPr>
        <w:pStyle w:val="HeadingB"/>
      </w:pPr>
      <w:r w:rsidRPr="005C67CA">
        <w:lastRenderedPageBreak/>
        <w:t xml:space="preserve">Bibliography </w:t>
      </w:r>
    </w:p>
    <w:p w:rsidR="002163B8" w:rsidRPr="00C71B8F" w:rsidRDefault="002163B8" w:rsidP="002163B8">
      <w:pPr>
        <w:spacing w:before="120"/>
        <w:rPr>
          <w:lang w:val="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2163B8" w:rsidRPr="004D6922" w:rsidTr="00774FEC">
        <w:trPr>
          <w:cantSplit/>
          <w:trHeight w:val="20"/>
        </w:trPr>
        <w:tc>
          <w:tcPr>
            <w:tcW w:w="9072" w:type="dxa"/>
            <w:hideMark/>
          </w:tcPr>
          <w:p w:rsidR="002163B8" w:rsidRPr="00C71B8F" w:rsidRDefault="002163B8" w:rsidP="002163B8">
            <w:pPr>
              <w:pStyle w:val="RegParagraph"/>
              <w:numPr>
                <w:ilvl w:val="0"/>
                <w:numId w:val="9"/>
              </w:numPr>
              <w:spacing w:before="40" w:after="40" w:line="240" w:lineRule="auto"/>
              <w:ind w:left="357" w:hanging="357"/>
              <w:jc w:val="left"/>
              <w:rPr>
                <w:rFonts w:ascii="Calibri" w:hAnsi="Calibri"/>
                <w:sz w:val="19"/>
                <w:szCs w:val="19"/>
                <w:lang w:eastAsia="zh-CN" w:bidi="ar-SA"/>
              </w:rPr>
            </w:pPr>
            <w:r w:rsidRPr="00C71B8F">
              <w:rPr>
                <w:rFonts w:ascii="Calibri" w:hAnsi="Calibri"/>
                <w:sz w:val="19"/>
                <w:szCs w:val="19"/>
                <w:lang w:eastAsia="zh-CN" w:bidi="ar-SA"/>
              </w:rPr>
              <w:t xml:space="preserve">EN 50385:2002 </w:t>
            </w:r>
            <w:hyperlink r:id="rId62" w:history="1">
              <w:r w:rsidRPr="00C71B8F">
                <w:rPr>
                  <w:rStyle w:val="Hyperlink"/>
                  <w:rFonts w:ascii="Calibri" w:hAnsi="Calibri"/>
                  <w:i/>
                  <w:iCs/>
                  <w:sz w:val="19"/>
                  <w:szCs w:val="19"/>
                  <w:lang w:eastAsia="zh-CN" w:bidi="ar-SA"/>
                </w:rPr>
                <w:t>Product standard to demonstrate the compliance of radio base stations and fixed terminal stations for wireless telecommunication systems with the basic restrictions or the reference levels related to human exposure to radio frequency electromagnetic fields (110 MHz - 40 GHz) - General public</w:t>
              </w:r>
            </w:hyperlink>
          </w:p>
        </w:tc>
      </w:tr>
      <w:tr w:rsidR="002163B8" w:rsidRPr="004D6922" w:rsidTr="00774FEC">
        <w:trPr>
          <w:cantSplit/>
          <w:trHeight w:val="20"/>
        </w:trPr>
        <w:tc>
          <w:tcPr>
            <w:tcW w:w="9072" w:type="dxa"/>
            <w:hideMark/>
          </w:tcPr>
          <w:p w:rsidR="002163B8" w:rsidRPr="00C71B8F" w:rsidRDefault="002163B8" w:rsidP="002163B8">
            <w:pPr>
              <w:pStyle w:val="Equation"/>
              <w:numPr>
                <w:ilvl w:val="0"/>
                <w:numId w:val="9"/>
              </w:numPr>
              <w:tabs>
                <w:tab w:val="clear" w:pos="794"/>
              </w:tabs>
              <w:spacing w:before="40" w:after="40"/>
              <w:ind w:left="357" w:hanging="357"/>
              <w:jc w:val="left"/>
              <w:rPr>
                <w:rFonts w:ascii="Calibri" w:hAnsi="Calibri"/>
                <w:bCs/>
                <w:snapToGrid w:val="0"/>
                <w:sz w:val="19"/>
                <w:szCs w:val="19"/>
                <w:lang w:val="en-GB" w:eastAsia="zh-CN"/>
              </w:rPr>
            </w:pPr>
            <w:r w:rsidRPr="00C71B8F">
              <w:rPr>
                <w:rFonts w:ascii="Calibri" w:hAnsi="Calibri"/>
                <w:snapToGrid w:val="0"/>
                <w:sz w:val="19"/>
                <w:szCs w:val="19"/>
                <w:lang w:val="en-GB" w:eastAsia="zh-CN"/>
              </w:rPr>
              <w:t xml:space="preserve">EC General Council Recommendation 1999/519/EC  </w:t>
            </w:r>
            <w:hyperlink r:id="rId63" w:history="1">
              <w:r w:rsidRPr="00C71B8F">
                <w:rPr>
                  <w:rStyle w:val="Hyperlink"/>
                  <w:rFonts w:ascii="Calibri" w:hAnsi="Calibri"/>
                  <w:i/>
                  <w:iCs/>
                  <w:snapToGrid w:val="0"/>
                  <w:sz w:val="19"/>
                  <w:szCs w:val="19"/>
                  <w:lang w:val="en-US" w:eastAsia="zh-CN"/>
                </w:rPr>
                <w:t>On the Limitation of Exposure of the General Public to Electromagnetic Fields, 0 Hz to 300 GHz</w:t>
              </w:r>
            </w:hyperlink>
          </w:p>
        </w:tc>
      </w:tr>
      <w:tr w:rsidR="002163B8" w:rsidRPr="004D6922" w:rsidTr="00774FEC">
        <w:trPr>
          <w:cantSplit/>
          <w:trHeight w:val="20"/>
        </w:trPr>
        <w:tc>
          <w:tcPr>
            <w:tcW w:w="9072" w:type="dxa"/>
            <w:hideMark/>
          </w:tcPr>
          <w:p w:rsidR="002163B8" w:rsidRPr="00C71B8F" w:rsidRDefault="002163B8" w:rsidP="002163B8">
            <w:pPr>
              <w:pStyle w:val="Equation"/>
              <w:numPr>
                <w:ilvl w:val="0"/>
                <w:numId w:val="9"/>
              </w:numPr>
              <w:tabs>
                <w:tab w:val="left" w:pos="1191"/>
                <w:tab w:val="left" w:pos="1588"/>
                <w:tab w:val="left" w:pos="1985"/>
              </w:tabs>
              <w:suppressAutoHyphens/>
              <w:spacing w:before="40" w:after="40"/>
              <w:ind w:left="357" w:hanging="357"/>
              <w:jc w:val="left"/>
              <w:textAlignment w:val="baseline"/>
              <w:rPr>
                <w:rFonts w:ascii="Calibri" w:hAnsi="Calibri"/>
                <w:snapToGrid w:val="0"/>
                <w:sz w:val="19"/>
                <w:szCs w:val="19"/>
                <w:lang w:val="en-GB" w:eastAsia="zh-CN"/>
              </w:rPr>
            </w:pPr>
            <w:r w:rsidRPr="00C71B8F">
              <w:rPr>
                <w:rFonts w:ascii="Calibri" w:hAnsi="Calibri"/>
                <w:snapToGrid w:val="0"/>
                <w:sz w:val="19"/>
                <w:szCs w:val="19"/>
                <w:lang w:val="en-GB" w:eastAsia="zh-CN"/>
              </w:rPr>
              <w:t xml:space="preserve">EC Directive 2004/40/EC of the European parliament and of the Council of 29 April 2004 </w:t>
            </w:r>
            <w:hyperlink r:id="rId64" w:history="1">
              <w:r w:rsidRPr="00C71B8F">
                <w:rPr>
                  <w:rStyle w:val="Hyperlink"/>
                  <w:rFonts w:ascii="Calibri" w:hAnsi="Calibri"/>
                  <w:i/>
                  <w:iCs/>
                  <w:sz w:val="19"/>
                  <w:szCs w:val="19"/>
                  <w:lang w:val="en-US" w:eastAsia="zh-CN"/>
                </w:rPr>
                <w:t>On The Minimum Health And Safety Requirements Regarding The Exposure Of Workers To The Risks Arising From Physical Agents (Electromagnetic Fields</w:t>
              </w:r>
            </w:hyperlink>
            <w:r w:rsidRPr="00C71B8F">
              <w:rPr>
                <w:rFonts w:ascii="Calibri" w:hAnsi="Calibri"/>
                <w:sz w:val="19"/>
                <w:szCs w:val="19"/>
                <w:lang w:val="en-GB" w:eastAsia="zh-CN"/>
              </w:rPr>
              <w:t>)</w:t>
            </w:r>
          </w:p>
        </w:tc>
      </w:tr>
      <w:tr w:rsidR="002163B8" w:rsidRPr="004D6922" w:rsidTr="00774FEC">
        <w:trPr>
          <w:cantSplit/>
          <w:trHeight w:val="20"/>
        </w:trPr>
        <w:tc>
          <w:tcPr>
            <w:tcW w:w="9072" w:type="dxa"/>
            <w:hideMark/>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autoSpaceDN w:val="0"/>
              <w:adjustRightInd w:val="0"/>
              <w:spacing w:before="40" w:after="40" w:line="240" w:lineRule="auto"/>
              <w:ind w:left="357" w:hanging="357"/>
              <w:textAlignment w:val="baseline"/>
              <w:rPr>
                <w:rFonts w:ascii="Calibri" w:hAnsi="Calibri"/>
                <w:color w:val="000000"/>
                <w:sz w:val="19"/>
                <w:szCs w:val="19"/>
                <w:lang w:eastAsia="en-GB"/>
              </w:rPr>
            </w:pPr>
            <w:r w:rsidRPr="00C71B8F">
              <w:rPr>
                <w:rFonts w:ascii="Calibri" w:hAnsi="Calibri"/>
                <w:sz w:val="19"/>
                <w:szCs w:val="19"/>
              </w:rPr>
              <w:t xml:space="preserve">FCC 1997 OET Bulletin 65 </w:t>
            </w:r>
            <w:hyperlink r:id="rId65" w:history="1">
              <w:r w:rsidRPr="00C71B8F">
                <w:rPr>
                  <w:rStyle w:val="Hyperlink"/>
                  <w:rFonts w:ascii="Calibri" w:hAnsi="Calibri" w:cs="TimesNewRomanPS-ItalicMT"/>
                  <w:i/>
                  <w:iCs/>
                  <w:sz w:val="19"/>
                  <w:szCs w:val="19"/>
                </w:rPr>
                <w:t xml:space="preserve">Evaluating Compliance with FCC Guidelines for Human Exposure to Radiofrequency Electromagnetic </w:t>
              </w:r>
              <w:proofErr w:type="spellStart"/>
              <w:r w:rsidRPr="00C71B8F">
                <w:rPr>
                  <w:rStyle w:val="Hyperlink"/>
                  <w:rFonts w:ascii="Calibri" w:hAnsi="Calibri" w:cs="TimesNewRomanPS-ItalicMT"/>
                  <w:i/>
                  <w:iCs/>
                  <w:sz w:val="19"/>
                  <w:szCs w:val="19"/>
                </w:rPr>
                <w:t>Fields</w:t>
              </w:r>
            </w:hyperlink>
            <w:r w:rsidRPr="00C71B8F">
              <w:rPr>
                <w:rFonts w:ascii="Calibri" w:hAnsi="Calibri" w:cs="TimesNewRomanPS-ItalicMT"/>
                <w:sz w:val="19"/>
                <w:szCs w:val="19"/>
              </w:rPr>
              <w:t>,</w:t>
            </w:r>
            <w:hyperlink r:id="rId66" w:history="1">
              <w:r w:rsidRPr="00C71B8F">
                <w:rPr>
                  <w:rStyle w:val="Hyperlink"/>
                  <w:rFonts w:ascii="Calibri" w:hAnsi="Calibri" w:cs="TimesNewRomanPS-ItalicMT"/>
                  <w:i/>
                  <w:iCs/>
                  <w:sz w:val="19"/>
                  <w:szCs w:val="19"/>
                </w:rPr>
                <w:t>Radio</w:t>
              </w:r>
              <w:proofErr w:type="spellEnd"/>
              <w:r w:rsidRPr="00C71B8F">
                <w:rPr>
                  <w:rStyle w:val="Hyperlink"/>
                  <w:rFonts w:ascii="Calibri" w:hAnsi="Calibri" w:cs="TimesNewRomanPS-ItalicMT"/>
                  <w:i/>
                  <w:iCs/>
                  <w:sz w:val="19"/>
                  <w:szCs w:val="19"/>
                </w:rPr>
                <w:t xml:space="preserve"> and Television Broadcast Stations- Supplement A (Edition 97-01)</w:t>
              </w:r>
            </w:hyperlink>
            <w:r w:rsidRPr="00C71B8F">
              <w:rPr>
                <w:rFonts w:ascii="Calibri" w:hAnsi="Calibri" w:cs="TimesNewRomanPS-ItalicMT"/>
                <w:sz w:val="19"/>
                <w:szCs w:val="19"/>
              </w:rPr>
              <w:t>,</w:t>
            </w:r>
            <w:hyperlink r:id="rId67" w:history="1">
              <w:r w:rsidRPr="00C71B8F">
                <w:rPr>
                  <w:rStyle w:val="Hyperlink"/>
                  <w:rFonts w:ascii="Calibri" w:hAnsi="Calibri" w:cs="TimesNewRomanPS-ItalicMT"/>
                  <w:i/>
                  <w:iCs/>
                  <w:sz w:val="19"/>
                  <w:szCs w:val="19"/>
                </w:rPr>
                <w:t>Amateur Radio Stations- Supplement B (Edition 97-01)</w:t>
              </w:r>
            </w:hyperlink>
            <w:r w:rsidRPr="00C71B8F">
              <w:rPr>
                <w:rFonts w:ascii="Calibri" w:hAnsi="Calibri" w:cs="TimesNewRomanPS-ItalicMT"/>
                <w:sz w:val="19"/>
                <w:szCs w:val="19"/>
              </w:rPr>
              <w:t xml:space="preserve"> ,</w:t>
            </w:r>
            <w:hyperlink r:id="rId68" w:history="1">
              <w:r w:rsidRPr="00C71B8F">
                <w:rPr>
                  <w:rStyle w:val="Hyperlink"/>
                  <w:rFonts w:ascii="Calibri" w:hAnsi="Calibri" w:cs="TimesNewRomanPS-ItalicMT"/>
                  <w:i/>
                  <w:iCs/>
                  <w:sz w:val="19"/>
                  <w:szCs w:val="19"/>
                </w:rPr>
                <w:t>Supplement C (Edition 01-01)</w:t>
              </w:r>
            </w:hyperlink>
          </w:p>
        </w:tc>
      </w:tr>
      <w:tr w:rsidR="002163B8" w:rsidRPr="00C71B8F" w:rsidTr="00774FEC">
        <w:trPr>
          <w:cantSplit/>
          <w:trHeight w:val="20"/>
        </w:trPr>
        <w:tc>
          <w:tcPr>
            <w:tcW w:w="9072" w:type="dxa"/>
            <w:hideMark/>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color w:val="000000"/>
                <w:sz w:val="19"/>
                <w:szCs w:val="19"/>
                <w:lang w:eastAsia="en-GB"/>
              </w:rPr>
              <w:t xml:space="preserve">FCC </w:t>
            </w:r>
            <w:r w:rsidRPr="00C71B8F">
              <w:rPr>
                <w:rFonts w:ascii="Calibri" w:hAnsi="Calibri"/>
                <w:snapToGrid w:val="0"/>
                <w:sz w:val="19"/>
                <w:szCs w:val="19"/>
              </w:rPr>
              <w:t>2011</w:t>
            </w:r>
            <w:hyperlink r:id="rId69" w:history="1">
              <w:r w:rsidRPr="00C71B8F">
                <w:rPr>
                  <w:rStyle w:val="Hyperlink"/>
                  <w:rFonts w:ascii="Calibri" w:hAnsi="Calibri"/>
                  <w:i/>
                  <w:sz w:val="19"/>
                  <w:szCs w:val="19"/>
                  <w:lang w:eastAsia="en-GB"/>
                </w:rPr>
                <w:t>Radiofrequency Radiation Exposure Limits</w:t>
              </w:r>
            </w:hyperlink>
            <w:r w:rsidRPr="00C71B8F">
              <w:rPr>
                <w:rFonts w:ascii="Calibri" w:hAnsi="Calibri"/>
                <w:color w:val="000000"/>
                <w:sz w:val="19"/>
                <w:szCs w:val="19"/>
                <w:lang w:eastAsia="en-GB"/>
              </w:rPr>
              <w:t xml:space="preserve"> CFR 47 § 1.1310  </w:t>
            </w:r>
          </w:p>
        </w:tc>
      </w:tr>
      <w:tr w:rsidR="002163B8" w:rsidRPr="004D6922" w:rsidTr="00774FEC">
        <w:trPr>
          <w:cantSplit/>
          <w:trHeight w:val="20"/>
        </w:trPr>
        <w:tc>
          <w:tcPr>
            <w:tcW w:w="9072" w:type="dxa"/>
            <w:hideMark/>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color w:val="000000"/>
                <w:sz w:val="19"/>
                <w:szCs w:val="19"/>
                <w:lang w:eastAsia="en-GB"/>
              </w:rPr>
              <w:t>FCC</w:t>
            </w:r>
            <w:r w:rsidRPr="00C71B8F">
              <w:rPr>
                <w:rFonts w:ascii="Calibri" w:hAnsi="Calibri"/>
                <w:snapToGrid w:val="0"/>
                <w:sz w:val="19"/>
                <w:szCs w:val="19"/>
              </w:rPr>
              <w:t xml:space="preserve"> 2012 </w:t>
            </w:r>
            <w:hyperlink r:id="rId70" w:history="1">
              <w:r w:rsidRPr="00C71B8F">
                <w:rPr>
                  <w:rStyle w:val="Hyperlink"/>
                  <w:rFonts w:ascii="Calibri" w:hAnsi="Calibri"/>
                  <w:snapToGrid w:val="0"/>
                  <w:sz w:val="19"/>
                  <w:szCs w:val="19"/>
                </w:rPr>
                <w:t>Radiofrequency radiation exposure evaluation: portable devices</w:t>
              </w:r>
            </w:hyperlink>
            <w:r w:rsidRPr="00C71B8F">
              <w:rPr>
                <w:rFonts w:ascii="Calibri" w:hAnsi="Calibri"/>
                <w:snapToGrid w:val="0"/>
                <w:sz w:val="19"/>
                <w:szCs w:val="19"/>
              </w:rPr>
              <w:t xml:space="preserve">, </w:t>
            </w:r>
            <w:r w:rsidRPr="00C71B8F">
              <w:rPr>
                <w:rFonts w:ascii="Calibri" w:hAnsi="Calibri"/>
                <w:color w:val="000000"/>
                <w:sz w:val="19"/>
                <w:szCs w:val="19"/>
                <w:lang w:eastAsia="en-GB"/>
              </w:rPr>
              <w:t xml:space="preserve">CFR 47 </w:t>
            </w:r>
            <w:r w:rsidRPr="00C71B8F">
              <w:rPr>
                <w:rFonts w:ascii="Calibri" w:hAnsi="Calibri"/>
                <w:snapToGrid w:val="0"/>
                <w:sz w:val="19"/>
                <w:szCs w:val="19"/>
              </w:rPr>
              <w:t>§ 2.1093 re</w:t>
            </w:r>
            <w:r w:rsidRPr="00C71B8F">
              <w:rPr>
                <w:rFonts w:ascii="Calibri" w:hAnsi="Calibri"/>
                <w:sz w:val="19"/>
                <w:szCs w:val="19"/>
              </w:rPr>
              <w:t xml:space="preserve">viewed 31 August 2012: </w:t>
            </w:r>
            <w:r w:rsidRPr="00C71B8F">
              <w:rPr>
                <w:rFonts w:ascii="Calibri" w:hAnsi="Calibri"/>
                <w:snapToGrid w:val="0"/>
                <w:sz w:val="19"/>
                <w:szCs w:val="19"/>
              </w:rPr>
              <w:t>e-CFR Data is current as of August 29, 2012</w:t>
            </w:r>
          </w:p>
        </w:tc>
      </w:tr>
      <w:tr w:rsidR="002163B8" w:rsidRPr="004D6922" w:rsidTr="00774FEC">
        <w:trPr>
          <w:cantSplit/>
          <w:trHeight w:val="20"/>
        </w:trPr>
        <w:tc>
          <w:tcPr>
            <w:tcW w:w="9072" w:type="dxa"/>
            <w:hideMark/>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color w:val="000000"/>
                <w:sz w:val="19"/>
                <w:szCs w:val="19"/>
                <w:lang w:eastAsia="en-GB"/>
              </w:rPr>
            </w:pPr>
            <w:r w:rsidRPr="00C71B8F">
              <w:rPr>
                <w:rFonts w:ascii="Calibri" w:hAnsi="Calibri"/>
                <w:color w:val="000000"/>
                <w:sz w:val="19"/>
                <w:szCs w:val="19"/>
                <w:lang w:eastAsia="en-GB"/>
              </w:rPr>
              <w:t xml:space="preserve">FCC 2013 </w:t>
            </w:r>
            <w:hyperlink r:id="rId71" w:history="1">
              <w:r w:rsidRPr="00C71B8F">
                <w:rPr>
                  <w:rStyle w:val="Hyperlink"/>
                  <w:rFonts w:ascii="Calibri" w:hAnsi="Calibri"/>
                  <w:i/>
                  <w:iCs/>
                  <w:sz w:val="19"/>
                  <w:szCs w:val="19"/>
                  <w:lang w:eastAsia="en-GB"/>
                </w:rPr>
                <w:t>First Report and Order further Notice of Proposed Rule Making and Notice of Inquiry</w:t>
              </w:r>
            </w:hyperlink>
            <w:r w:rsidRPr="00C71B8F">
              <w:rPr>
                <w:rFonts w:ascii="Calibri" w:hAnsi="Calibri"/>
                <w:color w:val="000000"/>
                <w:sz w:val="19"/>
                <w:szCs w:val="19"/>
                <w:lang w:eastAsia="en-GB"/>
              </w:rPr>
              <w:t xml:space="preserve"> Reassessment of Federal Communications Commission Radiofrequency Exposure Limits and Policies </w:t>
            </w:r>
            <w:r w:rsidRPr="00C71B8F">
              <w:rPr>
                <w:rFonts w:ascii="Calibri" w:hAnsi="Calibri"/>
                <w:spacing w:val="-2"/>
                <w:sz w:val="19"/>
                <w:szCs w:val="19"/>
              </w:rPr>
              <w:t xml:space="preserve">ET Docket No. 13-84, and  </w:t>
            </w:r>
            <w:r w:rsidRPr="00C71B8F">
              <w:rPr>
                <w:rFonts w:ascii="Calibri" w:hAnsi="Calibri"/>
                <w:color w:val="000000"/>
                <w:sz w:val="19"/>
                <w:szCs w:val="19"/>
                <w:lang w:eastAsia="en-GB"/>
              </w:rPr>
              <w:t xml:space="preserve">Proposed Changes in the Commission's Rules Regarding Human Exposure to Radiofrequency Electromagnetic Fields </w:t>
            </w:r>
            <w:r w:rsidRPr="00C71B8F">
              <w:rPr>
                <w:rFonts w:ascii="Calibri" w:hAnsi="Calibri"/>
                <w:spacing w:val="-2"/>
                <w:sz w:val="19"/>
                <w:szCs w:val="19"/>
              </w:rPr>
              <w:t xml:space="preserve">ET Docket No. 03-137  </w:t>
            </w:r>
          </w:p>
        </w:tc>
      </w:tr>
      <w:tr w:rsidR="002163B8" w:rsidRPr="004D6922" w:rsidTr="00774FEC">
        <w:trPr>
          <w:cantSplit/>
          <w:trHeight w:val="20"/>
        </w:trPr>
        <w:tc>
          <w:tcPr>
            <w:tcW w:w="9072" w:type="dxa"/>
            <w:hideMark/>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 xml:space="preserve">Health Canada 1999 </w:t>
            </w:r>
            <w:hyperlink r:id="rId72" w:history="1">
              <w:r w:rsidRPr="00C71B8F">
                <w:rPr>
                  <w:rStyle w:val="Hyperlink"/>
                  <w:rFonts w:ascii="Calibri" w:hAnsi="Calibri"/>
                  <w:i/>
                  <w:iCs/>
                  <w:snapToGrid w:val="0"/>
                  <w:sz w:val="19"/>
                  <w:szCs w:val="19"/>
                </w:rPr>
                <w:t xml:space="preserve">Limits of Human Exposure to Radiofrequency Electromagnetic Fields in the Frequency Range from 3 kHz to 300 </w:t>
              </w:r>
              <w:proofErr w:type="spellStart"/>
              <w:r w:rsidRPr="00C71B8F">
                <w:rPr>
                  <w:rStyle w:val="Hyperlink"/>
                  <w:rFonts w:ascii="Calibri" w:hAnsi="Calibri"/>
                  <w:i/>
                  <w:iCs/>
                  <w:snapToGrid w:val="0"/>
                  <w:sz w:val="19"/>
                  <w:szCs w:val="19"/>
                </w:rPr>
                <w:t>GHz</w:t>
              </w:r>
            </w:hyperlink>
            <w:r w:rsidRPr="00C71B8F">
              <w:rPr>
                <w:rFonts w:ascii="Calibri" w:hAnsi="Calibri"/>
                <w:snapToGrid w:val="0"/>
                <w:sz w:val="19"/>
                <w:szCs w:val="19"/>
              </w:rPr>
              <w:t>Safety</w:t>
            </w:r>
            <w:proofErr w:type="spellEnd"/>
            <w:r w:rsidRPr="00C71B8F">
              <w:rPr>
                <w:rFonts w:ascii="Calibri" w:hAnsi="Calibri"/>
                <w:snapToGrid w:val="0"/>
                <w:sz w:val="19"/>
                <w:szCs w:val="19"/>
              </w:rPr>
              <w:t xml:space="preserve"> Code 6</w:t>
            </w:r>
          </w:p>
        </w:tc>
      </w:tr>
      <w:tr w:rsidR="002163B8" w:rsidRPr="004D6922" w:rsidTr="00774FEC">
        <w:trPr>
          <w:cantSplit/>
          <w:trHeight w:val="20"/>
        </w:trPr>
        <w:tc>
          <w:tcPr>
            <w:tcW w:w="9072" w:type="dxa"/>
            <w:hideMark/>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 xml:space="preserve">IARC 2011 </w:t>
            </w:r>
            <w:hyperlink r:id="rId73" w:history="1">
              <w:r w:rsidRPr="00C71B8F">
                <w:rPr>
                  <w:rStyle w:val="Hyperlink"/>
                  <w:rFonts w:ascii="Calibri" w:hAnsi="Calibri"/>
                  <w:i/>
                  <w:iCs/>
                  <w:snapToGrid w:val="0"/>
                  <w:sz w:val="19"/>
                  <w:szCs w:val="19"/>
                </w:rPr>
                <w:t>IARC Classifies Radiofrequency Electromagnetic Fields as Possibly Carcinogenic to Humans</w:t>
              </w:r>
            </w:hyperlink>
            <w:r w:rsidRPr="00C71B8F">
              <w:rPr>
                <w:rFonts w:ascii="Calibri" w:hAnsi="Calibri"/>
                <w:snapToGrid w:val="0"/>
                <w:sz w:val="19"/>
                <w:szCs w:val="19"/>
              </w:rPr>
              <w:t>, viewed 22 August 2012</w:t>
            </w:r>
          </w:p>
        </w:tc>
      </w:tr>
      <w:tr w:rsidR="002163B8" w:rsidRPr="004D6922" w:rsidTr="00774FEC">
        <w:trPr>
          <w:cantSplit/>
          <w:trHeight w:val="20"/>
        </w:trPr>
        <w:tc>
          <w:tcPr>
            <w:tcW w:w="9072" w:type="dxa"/>
            <w:hideMark/>
          </w:tcPr>
          <w:p w:rsidR="002163B8" w:rsidRPr="00C71B8F" w:rsidRDefault="004D6922"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hyperlink r:id="rId74" w:history="1">
              <w:r w:rsidR="002163B8" w:rsidRPr="00C71B8F">
                <w:rPr>
                  <w:rStyle w:val="Hyperlink"/>
                  <w:rFonts w:ascii="Calibri" w:hAnsi="Calibri"/>
                  <w:snapToGrid w:val="0"/>
                  <w:sz w:val="19"/>
                  <w:szCs w:val="19"/>
                </w:rPr>
                <w:t>IARC  2013</w:t>
              </w:r>
            </w:hyperlink>
            <w:hyperlink r:id="rId75" w:history="1">
              <w:r w:rsidR="002163B8" w:rsidRPr="00C71B8F">
                <w:rPr>
                  <w:rStyle w:val="Hyperlink"/>
                  <w:rFonts w:ascii="Calibri" w:hAnsi="Calibri"/>
                  <w:i/>
                  <w:iCs/>
                  <w:snapToGrid w:val="0"/>
                  <w:sz w:val="19"/>
                  <w:szCs w:val="19"/>
                </w:rPr>
                <w:t>Monograph on radiofrequency electromagnetic fields</w:t>
              </w:r>
              <w:r w:rsidR="002163B8" w:rsidRPr="00C71B8F">
                <w:rPr>
                  <w:rStyle w:val="Hyperlink"/>
                  <w:rFonts w:ascii="Calibri" w:hAnsi="Calibri"/>
                  <w:i/>
                  <w:iCs/>
                  <w:sz w:val="19"/>
                  <w:szCs w:val="19"/>
                </w:rPr>
                <w:t xml:space="preserve"> Monographs</w:t>
              </w:r>
            </w:hyperlink>
            <w:r w:rsidR="002163B8" w:rsidRPr="00C71B8F">
              <w:rPr>
                <w:rFonts w:ascii="Calibri" w:hAnsi="Calibri"/>
                <w:sz w:val="19"/>
                <w:szCs w:val="19"/>
              </w:rPr>
              <w:t xml:space="preserve"> Vol. 102 </w:t>
            </w:r>
            <w:hyperlink r:id="rId76" w:history="1">
              <w:r w:rsidR="002163B8" w:rsidRPr="00C71B8F">
                <w:rPr>
                  <w:rStyle w:val="Hyperlink"/>
                  <w:rFonts w:ascii="Calibri" w:hAnsi="Calibri"/>
                  <w:i/>
                  <w:iCs/>
                  <w:sz w:val="19"/>
                  <w:szCs w:val="19"/>
                </w:rPr>
                <w:t>Non-Ionizing Radiation, Part 2: Radiofrequency Electromagnetic Fields</w:t>
              </w:r>
            </w:hyperlink>
            <w:r w:rsidR="002163B8" w:rsidRPr="00C71B8F">
              <w:rPr>
                <w:rFonts w:ascii="Calibri" w:hAnsi="Calibri"/>
                <w:sz w:val="19"/>
                <w:szCs w:val="19"/>
              </w:rPr>
              <w:t>‘</w:t>
            </w:r>
          </w:p>
        </w:tc>
      </w:tr>
      <w:tr w:rsidR="002163B8" w:rsidRPr="004D6922" w:rsidTr="00774FEC">
        <w:trPr>
          <w:cantSplit/>
          <w:trHeight w:val="20"/>
        </w:trPr>
        <w:tc>
          <w:tcPr>
            <w:tcW w:w="9072" w:type="dxa"/>
            <w:hideMark/>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ICNIRP 1998 ‘</w:t>
            </w:r>
            <w:hyperlink r:id="rId77" w:history="1">
              <w:r w:rsidRPr="00C71B8F">
                <w:rPr>
                  <w:rStyle w:val="Hyperlink"/>
                  <w:rFonts w:ascii="Calibri" w:hAnsi="Calibri"/>
                  <w:i/>
                  <w:iCs/>
                  <w:snapToGrid w:val="0"/>
                  <w:sz w:val="19"/>
                  <w:szCs w:val="19"/>
                </w:rPr>
                <w:t>Guidelines for Limiting Exposure to Time-Varying Electric, Magnetic, and Electromagnetic Fields (up to 300 GHz)</w:t>
              </w:r>
            </w:hyperlink>
            <w:r w:rsidRPr="00C71B8F">
              <w:rPr>
                <w:rFonts w:ascii="Calibri" w:hAnsi="Calibri"/>
                <w:snapToGrid w:val="0"/>
                <w:sz w:val="19"/>
                <w:szCs w:val="19"/>
              </w:rPr>
              <w:t xml:space="preserve">’, ICNIRP guidelines, </w:t>
            </w:r>
            <w:r w:rsidRPr="00C71B8F">
              <w:rPr>
                <w:rFonts w:ascii="Calibri" w:hAnsi="Calibri"/>
                <w:i/>
                <w:iCs/>
                <w:snapToGrid w:val="0"/>
                <w:sz w:val="19"/>
                <w:szCs w:val="19"/>
              </w:rPr>
              <w:t>Health Physics</w:t>
            </w:r>
            <w:r w:rsidRPr="00C71B8F">
              <w:rPr>
                <w:rFonts w:ascii="Calibri" w:hAnsi="Calibri"/>
                <w:snapToGrid w:val="0"/>
                <w:sz w:val="19"/>
                <w:szCs w:val="19"/>
              </w:rPr>
              <w:t>, vol.74, pp. 494</w:t>
            </w:r>
            <w:r w:rsidRPr="00C71B8F">
              <w:rPr>
                <w:rFonts w:ascii="Calibri" w:hAnsi="Calibri"/>
                <w:color w:val="000000"/>
                <w:sz w:val="19"/>
                <w:szCs w:val="19"/>
                <w:lang w:eastAsia="en-GB"/>
              </w:rPr>
              <w:t>-</w:t>
            </w:r>
            <w:r w:rsidRPr="00C71B8F">
              <w:rPr>
                <w:rFonts w:ascii="Calibri" w:hAnsi="Calibri"/>
                <w:snapToGrid w:val="0"/>
                <w:sz w:val="19"/>
                <w:szCs w:val="19"/>
              </w:rPr>
              <w:t>522</w:t>
            </w:r>
          </w:p>
        </w:tc>
      </w:tr>
      <w:tr w:rsidR="002163B8" w:rsidRPr="004D6922" w:rsidTr="00774FEC">
        <w:trPr>
          <w:cantSplit/>
          <w:trHeight w:val="20"/>
        </w:trPr>
        <w:tc>
          <w:tcPr>
            <w:tcW w:w="9072" w:type="dxa"/>
            <w:hideMark/>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ICNIRP 2009 “</w:t>
            </w:r>
            <w:hyperlink r:id="rId78" w:history="1">
              <w:r w:rsidRPr="00C71B8F">
                <w:rPr>
                  <w:rStyle w:val="Hyperlink"/>
                  <w:rFonts w:ascii="Calibri" w:hAnsi="Calibri"/>
                  <w:i/>
                  <w:iCs/>
                  <w:snapToGrid w:val="0"/>
                  <w:sz w:val="19"/>
                  <w:szCs w:val="19"/>
                </w:rPr>
                <w:t>Statement on the ‘guidelines for limiting exposure to time</w:t>
              </w:r>
              <w:r w:rsidRPr="00C71B8F">
                <w:rPr>
                  <w:rStyle w:val="Hyperlink"/>
                  <w:rFonts w:ascii="Calibri" w:hAnsi="Calibri" w:cs="Cambria Math"/>
                  <w:i/>
                  <w:iCs/>
                  <w:snapToGrid w:val="0"/>
                  <w:sz w:val="19"/>
                  <w:szCs w:val="19"/>
                </w:rPr>
                <w:t>‐</w:t>
              </w:r>
              <w:r w:rsidRPr="00C71B8F">
                <w:rPr>
                  <w:rStyle w:val="Hyperlink"/>
                  <w:rFonts w:ascii="Calibri" w:hAnsi="Calibri"/>
                  <w:i/>
                  <w:iCs/>
                  <w:snapToGrid w:val="0"/>
                  <w:sz w:val="19"/>
                  <w:szCs w:val="19"/>
                </w:rPr>
                <w:t>varying electric, magnetic, and electromagnetic fields (up to 300 GHz)</w:t>
              </w:r>
            </w:hyperlink>
            <w:r w:rsidRPr="00C71B8F">
              <w:rPr>
                <w:rFonts w:ascii="Calibri" w:hAnsi="Calibri"/>
                <w:snapToGrid w:val="0"/>
                <w:sz w:val="19"/>
                <w:szCs w:val="19"/>
              </w:rPr>
              <w:t xml:space="preserve">‘” ICNIRP statement, </w:t>
            </w:r>
            <w:r w:rsidRPr="00C71B8F">
              <w:rPr>
                <w:rFonts w:ascii="Calibri" w:hAnsi="Calibri"/>
                <w:i/>
                <w:iCs/>
                <w:snapToGrid w:val="0"/>
                <w:sz w:val="19"/>
                <w:szCs w:val="19"/>
              </w:rPr>
              <w:t>Health Physics</w:t>
            </w:r>
            <w:r w:rsidRPr="00C71B8F">
              <w:rPr>
                <w:rFonts w:ascii="Calibri" w:hAnsi="Calibri"/>
                <w:snapToGrid w:val="0"/>
                <w:sz w:val="19"/>
                <w:szCs w:val="19"/>
              </w:rPr>
              <w:t>, vol.97 (3), pp. 257</w:t>
            </w:r>
            <w:r w:rsidRPr="00C71B8F">
              <w:rPr>
                <w:rFonts w:ascii="Calibri" w:hAnsi="Calibri"/>
                <w:color w:val="000000"/>
                <w:sz w:val="19"/>
                <w:szCs w:val="19"/>
                <w:lang w:eastAsia="en-GB"/>
              </w:rPr>
              <w:t>-</w:t>
            </w:r>
            <w:r w:rsidRPr="00C71B8F">
              <w:rPr>
                <w:rFonts w:ascii="Calibri" w:hAnsi="Calibri"/>
                <w:snapToGrid w:val="0"/>
                <w:sz w:val="19"/>
                <w:szCs w:val="19"/>
              </w:rPr>
              <w:t>8</w:t>
            </w:r>
          </w:p>
        </w:tc>
      </w:tr>
      <w:tr w:rsidR="002163B8" w:rsidRPr="004D6922" w:rsidTr="00774FEC">
        <w:trPr>
          <w:cantSplit/>
          <w:trHeight w:val="20"/>
        </w:trPr>
        <w:tc>
          <w:tcPr>
            <w:tcW w:w="9072" w:type="dxa"/>
            <w:hideMark/>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ICNIRP 2009 a “</w:t>
            </w:r>
            <w:hyperlink r:id="rId79" w:history="1">
              <w:r w:rsidRPr="00C71B8F">
                <w:rPr>
                  <w:rStyle w:val="Hyperlink"/>
                  <w:rFonts w:ascii="Calibri" w:hAnsi="Calibri"/>
                  <w:i/>
                  <w:iCs/>
                  <w:sz w:val="19"/>
                  <w:szCs w:val="19"/>
                </w:rPr>
                <w:t>Exposure to high frequency electromagnetic fields, biological effects and health consequences (100 kHz-300 GHz)</w:t>
              </w:r>
            </w:hyperlink>
            <w:r w:rsidRPr="00C71B8F">
              <w:rPr>
                <w:rFonts w:ascii="Calibri" w:hAnsi="Calibri"/>
                <w:snapToGrid w:val="0"/>
                <w:sz w:val="19"/>
                <w:szCs w:val="19"/>
              </w:rPr>
              <w:t xml:space="preserve">” la </w:t>
            </w:r>
            <w:proofErr w:type="spellStart"/>
            <w:r w:rsidRPr="00C71B8F">
              <w:rPr>
                <w:rFonts w:ascii="Calibri" w:hAnsi="Calibri"/>
                <w:snapToGrid w:val="0"/>
                <w:sz w:val="19"/>
                <w:szCs w:val="19"/>
              </w:rPr>
              <w:t>Vecchia</w:t>
            </w:r>
            <w:proofErr w:type="spellEnd"/>
            <w:r w:rsidRPr="00C71B8F">
              <w:rPr>
                <w:rFonts w:ascii="Calibri" w:hAnsi="Calibri"/>
                <w:snapToGrid w:val="0"/>
                <w:sz w:val="19"/>
                <w:szCs w:val="19"/>
              </w:rPr>
              <w:t xml:space="preserve"> C, </w:t>
            </w:r>
            <w:proofErr w:type="spellStart"/>
            <w:r w:rsidRPr="00C71B8F">
              <w:rPr>
                <w:rFonts w:ascii="Calibri" w:hAnsi="Calibri"/>
                <w:snapToGrid w:val="0"/>
                <w:sz w:val="19"/>
                <w:szCs w:val="19"/>
              </w:rPr>
              <w:t>Matthes</w:t>
            </w:r>
            <w:proofErr w:type="spellEnd"/>
            <w:r w:rsidRPr="00C71B8F">
              <w:rPr>
                <w:rFonts w:ascii="Calibri" w:hAnsi="Calibri"/>
                <w:snapToGrid w:val="0"/>
                <w:sz w:val="19"/>
                <w:szCs w:val="19"/>
              </w:rPr>
              <w:t xml:space="preserve"> R, </w:t>
            </w:r>
            <w:proofErr w:type="spellStart"/>
            <w:r w:rsidRPr="00C71B8F">
              <w:rPr>
                <w:rFonts w:ascii="Calibri" w:hAnsi="Calibri"/>
                <w:snapToGrid w:val="0"/>
                <w:sz w:val="19"/>
                <w:szCs w:val="19"/>
              </w:rPr>
              <w:t>Ziegelberger</w:t>
            </w:r>
            <w:proofErr w:type="spellEnd"/>
            <w:r w:rsidRPr="00C71B8F">
              <w:rPr>
                <w:rFonts w:ascii="Calibri" w:hAnsi="Calibri"/>
                <w:snapToGrid w:val="0"/>
                <w:sz w:val="19"/>
                <w:szCs w:val="19"/>
              </w:rPr>
              <w:t xml:space="preserve"> G et al., editors</w:t>
            </w:r>
          </w:p>
        </w:tc>
      </w:tr>
      <w:tr w:rsidR="002163B8" w:rsidRPr="004D6922" w:rsidTr="00774FEC">
        <w:trPr>
          <w:cantSplit/>
          <w:trHeight w:val="20"/>
        </w:trPr>
        <w:tc>
          <w:tcPr>
            <w:tcW w:w="9072" w:type="dxa"/>
            <w:hideMark/>
          </w:tcPr>
          <w:p w:rsidR="002163B8" w:rsidRPr="00C71B8F" w:rsidRDefault="002163B8" w:rsidP="002163B8">
            <w:pPr>
              <w:pStyle w:val="RegParagraph"/>
              <w:numPr>
                <w:ilvl w:val="0"/>
                <w:numId w:val="9"/>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IEC 62209-1 ed1.0 </w:t>
            </w:r>
            <w:r w:rsidRPr="00C71B8F">
              <w:rPr>
                <w:rFonts w:ascii="Calibri" w:hAnsi="Calibri"/>
                <w:sz w:val="19"/>
                <w:szCs w:val="19"/>
                <w:lang w:val="en-US" w:eastAsia="zh-CN" w:bidi="ar-SA"/>
              </w:rPr>
              <w:t>published on 18 Feb 2005 ‘</w:t>
            </w:r>
            <w:hyperlink r:id="rId80" w:history="1">
              <w:r w:rsidRPr="00C71B8F">
                <w:rPr>
                  <w:rStyle w:val="Hyperlink"/>
                  <w:rFonts w:ascii="Calibri" w:hAnsi="Calibri"/>
                  <w:i/>
                  <w:iCs/>
                  <w:sz w:val="19"/>
                  <w:szCs w:val="19"/>
                  <w:lang w:val="en-US" w:eastAsia="zh-CN" w:bidi="ar-SA"/>
                </w:rPr>
                <w:t>Human exposure to radio frequency fields from hand-held and body-mounted wireless communication devices - Human models, instrumentation, and procedures - Part 1: Procedure to determine the specific absorption rate (SAR) for hand-held devices used in close proximity to the ear (frequency range of 300 MHz to 3 GHz</w:t>
              </w:r>
            </w:hyperlink>
            <w:r w:rsidRPr="00C71B8F">
              <w:rPr>
                <w:rFonts w:ascii="Calibri" w:hAnsi="Calibri"/>
                <w:sz w:val="19"/>
                <w:szCs w:val="19"/>
                <w:lang w:val="en-US" w:eastAsia="zh-CN" w:bidi="ar-SA"/>
              </w:rPr>
              <w:t xml:space="preserve">‘ </w:t>
            </w:r>
          </w:p>
        </w:tc>
      </w:tr>
      <w:tr w:rsidR="002163B8" w:rsidRPr="004D6922" w:rsidTr="00774FEC">
        <w:trPr>
          <w:cantSplit/>
          <w:trHeight w:val="20"/>
        </w:trPr>
        <w:tc>
          <w:tcPr>
            <w:tcW w:w="9072" w:type="dxa"/>
            <w:hideMark/>
          </w:tcPr>
          <w:p w:rsidR="002163B8" w:rsidRPr="00C71B8F" w:rsidRDefault="002163B8" w:rsidP="002163B8">
            <w:pPr>
              <w:pStyle w:val="RegParagraph"/>
              <w:numPr>
                <w:ilvl w:val="0"/>
                <w:numId w:val="9"/>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IEC 62232 ed. 1.0, </w:t>
            </w:r>
            <w:r w:rsidRPr="00C71B8F">
              <w:rPr>
                <w:rFonts w:ascii="Calibri" w:hAnsi="Calibri"/>
                <w:sz w:val="19"/>
                <w:szCs w:val="19"/>
                <w:lang w:val="en-US" w:eastAsia="zh-CN" w:bidi="ar-SA"/>
              </w:rPr>
              <w:t xml:space="preserve">published on 19 May 2011 </w:t>
            </w:r>
            <w:hyperlink r:id="rId81" w:history="1">
              <w:r w:rsidRPr="00C71B8F">
                <w:rPr>
                  <w:rStyle w:val="Hyperlink"/>
                  <w:rFonts w:ascii="Calibri" w:hAnsi="Calibri"/>
                  <w:i/>
                  <w:sz w:val="19"/>
                  <w:szCs w:val="19"/>
                  <w:lang w:eastAsia="zh-CN" w:bidi="ar-SA"/>
                </w:rPr>
                <w:t xml:space="preserve">Determination of RF field strength and SAR in the vicinity of </w:t>
              </w:r>
              <w:proofErr w:type="spellStart"/>
              <w:r w:rsidRPr="00C71B8F">
                <w:rPr>
                  <w:rStyle w:val="Hyperlink"/>
                  <w:rFonts w:ascii="Calibri" w:hAnsi="Calibri"/>
                  <w:i/>
                  <w:sz w:val="19"/>
                  <w:szCs w:val="19"/>
                  <w:lang w:eastAsia="zh-CN" w:bidi="ar-SA"/>
                </w:rPr>
                <w:t>radiocommunication</w:t>
              </w:r>
              <w:proofErr w:type="spellEnd"/>
              <w:r w:rsidRPr="00C71B8F">
                <w:rPr>
                  <w:rStyle w:val="Hyperlink"/>
                  <w:rFonts w:ascii="Calibri" w:hAnsi="Calibri"/>
                  <w:i/>
                  <w:sz w:val="19"/>
                  <w:szCs w:val="19"/>
                  <w:lang w:eastAsia="zh-CN" w:bidi="ar-SA"/>
                </w:rPr>
                <w:t xml:space="preserve"> base stations for the purpose of evaluating human exposure</w:t>
              </w:r>
            </w:hyperlink>
          </w:p>
        </w:tc>
      </w:tr>
      <w:tr w:rsidR="002163B8" w:rsidRPr="004D6922" w:rsidTr="00774FEC">
        <w:trPr>
          <w:cantSplit/>
          <w:trHeight w:val="20"/>
        </w:trPr>
        <w:tc>
          <w:tcPr>
            <w:tcW w:w="9072" w:type="dxa"/>
            <w:hideMark/>
          </w:tcPr>
          <w:p w:rsidR="002163B8" w:rsidRPr="00C71B8F" w:rsidRDefault="002163B8" w:rsidP="002163B8">
            <w:pPr>
              <w:pStyle w:val="RegParagraph"/>
              <w:numPr>
                <w:ilvl w:val="0"/>
                <w:numId w:val="9"/>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IEEE </w:t>
            </w:r>
            <w:proofErr w:type="spellStart"/>
            <w:r w:rsidRPr="00C71B8F">
              <w:rPr>
                <w:rFonts w:ascii="Calibri" w:hAnsi="Calibri"/>
                <w:sz w:val="19"/>
                <w:szCs w:val="19"/>
                <w:lang w:eastAsia="zh-CN" w:bidi="ar-SA"/>
              </w:rPr>
              <w:t>Std</w:t>
            </w:r>
            <w:proofErr w:type="spellEnd"/>
            <w:r w:rsidRPr="00C71B8F">
              <w:rPr>
                <w:rFonts w:ascii="Calibri" w:hAnsi="Calibri"/>
                <w:sz w:val="19"/>
                <w:szCs w:val="19"/>
                <w:lang w:eastAsia="zh-CN" w:bidi="ar-SA"/>
              </w:rPr>
              <w:t xml:space="preserve"> C95.1-1999 (and ANSI 1992) </w:t>
            </w:r>
            <w:hyperlink r:id="rId82" w:history="1">
              <w:proofErr w:type="spellStart"/>
              <w:r w:rsidRPr="00C71B8F">
                <w:rPr>
                  <w:rStyle w:val="Hyperlink"/>
                  <w:rFonts w:ascii="Calibri" w:hAnsi="Calibri"/>
                  <w:i/>
                  <w:iCs/>
                  <w:sz w:val="19"/>
                  <w:szCs w:val="19"/>
                  <w:lang w:eastAsia="zh-CN" w:bidi="ar-SA"/>
                </w:rPr>
                <w:t>IEEEStandard</w:t>
              </w:r>
              <w:proofErr w:type="spellEnd"/>
              <w:r w:rsidRPr="00C71B8F">
                <w:rPr>
                  <w:rStyle w:val="Hyperlink"/>
                  <w:rFonts w:ascii="Calibri" w:hAnsi="Calibri"/>
                  <w:i/>
                  <w:iCs/>
                  <w:sz w:val="19"/>
                  <w:szCs w:val="19"/>
                  <w:lang w:eastAsia="zh-CN" w:bidi="ar-SA"/>
                </w:rPr>
                <w:t xml:space="preserve"> C95.1 for Safety Levels with Respect to Human Exposure to Radio Frequency Electromagnetic Fields, 3 kHz to 300 GHz</w:t>
              </w:r>
            </w:hyperlink>
          </w:p>
        </w:tc>
      </w:tr>
      <w:tr w:rsidR="002163B8" w:rsidRPr="004D6922" w:rsidTr="00774FEC">
        <w:trPr>
          <w:cantSplit/>
          <w:trHeight w:val="20"/>
        </w:trPr>
        <w:tc>
          <w:tcPr>
            <w:tcW w:w="9072" w:type="dxa"/>
            <w:hideMark/>
          </w:tcPr>
          <w:p w:rsidR="002163B8" w:rsidRPr="00C71B8F" w:rsidRDefault="002163B8" w:rsidP="002163B8">
            <w:pPr>
              <w:pStyle w:val="RegParagraph"/>
              <w:numPr>
                <w:ilvl w:val="0"/>
                <w:numId w:val="9"/>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IEEE Std1528-2003</w:t>
            </w:r>
            <w:hyperlink r:id="rId83" w:history="1">
              <w:r w:rsidRPr="00C71B8F">
                <w:rPr>
                  <w:rStyle w:val="Hyperlink"/>
                  <w:rFonts w:ascii="Calibri" w:hAnsi="Calibri"/>
                  <w:i/>
                  <w:iCs/>
                  <w:sz w:val="19"/>
                  <w:szCs w:val="19"/>
                  <w:lang w:eastAsia="zh-CN" w:bidi="ar-SA"/>
                </w:rPr>
                <w:t>IEEE Recommended Practice for Determining the Peak Spatial-Average Specific Absorption Rate (SAR) in the Human Head from Wireless Communications Devices: Measurement Techniques</w:t>
              </w:r>
            </w:hyperlink>
          </w:p>
        </w:tc>
      </w:tr>
      <w:tr w:rsidR="002163B8" w:rsidRPr="004D6922" w:rsidTr="00774FEC">
        <w:trPr>
          <w:cantSplit/>
          <w:trHeight w:val="20"/>
        </w:trPr>
        <w:tc>
          <w:tcPr>
            <w:tcW w:w="9072" w:type="dxa"/>
            <w:hideMark/>
          </w:tcPr>
          <w:p w:rsidR="002163B8" w:rsidRPr="00C71B8F" w:rsidRDefault="002163B8" w:rsidP="002163B8">
            <w:pPr>
              <w:pStyle w:val="RegParagraph"/>
              <w:numPr>
                <w:ilvl w:val="0"/>
                <w:numId w:val="9"/>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IEEE </w:t>
            </w:r>
            <w:proofErr w:type="spellStart"/>
            <w:r w:rsidRPr="00C71B8F">
              <w:rPr>
                <w:rFonts w:ascii="Calibri" w:hAnsi="Calibri"/>
                <w:sz w:val="19"/>
                <w:szCs w:val="19"/>
                <w:lang w:eastAsia="zh-CN" w:bidi="ar-SA"/>
              </w:rPr>
              <w:t>Std</w:t>
            </w:r>
            <w:proofErr w:type="spellEnd"/>
            <w:r w:rsidRPr="00C71B8F">
              <w:rPr>
                <w:rFonts w:ascii="Calibri" w:hAnsi="Calibri"/>
                <w:sz w:val="19"/>
                <w:szCs w:val="19"/>
                <w:lang w:eastAsia="zh-CN" w:bidi="ar-SA"/>
              </w:rPr>
              <w:t xml:space="preserve"> C95.1-2005 </w:t>
            </w:r>
            <w:hyperlink r:id="rId84" w:history="1">
              <w:r w:rsidRPr="00C71B8F">
                <w:rPr>
                  <w:rStyle w:val="Hyperlink"/>
                  <w:rFonts w:ascii="Calibri" w:hAnsi="Calibri"/>
                  <w:i/>
                  <w:iCs/>
                  <w:sz w:val="19"/>
                  <w:szCs w:val="19"/>
                  <w:lang w:eastAsia="zh-CN" w:bidi="ar-SA"/>
                </w:rPr>
                <w:t xml:space="preserve">IEEE Standard </w:t>
              </w:r>
              <w:proofErr w:type="spellStart"/>
              <w:r w:rsidRPr="00C71B8F">
                <w:rPr>
                  <w:rStyle w:val="Hyperlink"/>
                  <w:rFonts w:ascii="Calibri" w:hAnsi="Calibri"/>
                  <w:i/>
                  <w:iCs/>
                  <w:sz w:val="19"/>
                  <w:szCs w:val="19"/>
                  <w:lang w:eastAsia="zh-CN" w:bidi="ar-SA"/>
                </w:rPr>
                <w:t>forSafety</w:t>
              </w:r>
              <w:proofErr w:type="spellEnd"/>
              <w:r w:rsidRPr="00C71B8F">
                <w:rPr>
                  <w:rStyle w:val="Hyperlink"/>
                  <w:rFonts w:ascii="Calibri" w:hAnsi="Calibri"/>
                  <w:i/>
                  <w:iCs/>
                  <w:sz w:val="19"/>
                  <w:szCs w:val="19"/>
                  <w:lang w:eastAsia="zh-CN" w:bidi="ar-SA"/>
                </w:rPr>
                <w:t xml:space="preserve"> Levels with Respect to Human Exposure to Radio Frequency Electromagnetic Fields, 3 kHz to 300 GHz</w:t>
              </w:r>
            </w:hyperlink>
          </w:p>
        </w:tc>
      </w:tr>
      <w:tr w:rsidR="002163B8" w:rsidRPr="004D6922" w:rsidTr="00774FEC">
        <w:trPr>
          <w:cantSplit/>
          <w:trHeight w:val="20"/>
        </w:trPr>
        <w:tc>
          <w:tcPr>
            <w:tcW w:w="9072" w:type="dxa"/>
            <w:hideMark/>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color w:val="000000"/>
                <w:sz w:val="19"/>
                <w:szCs w:val="19"/>
                <w:lang w:eastAsia="en-GB"/>
              </w:rPr>
            </w:pPr>
            <w:r w:rsidRPr="00C71B8F">
              <w:rPr>
                <w:rFonts w:ascii="Calibri" w:hAnsi="Calibri"/>
                <w:color w:val="000000"/>
                <w:sz w:val="19"/>
                <w:szCs w:val="19"/>
                <w:lang w:eastAsia="en-GB"/>
              </w:rPr>
              <w:t xml:space="preserve">ITU 2011 Handbook </w:t>
            </w:r>
            <w:hyperlink r:id="rId85" w:history="1">
              <w:r w:rsidRPr="00C71B8F">
                <w:rPr>
                  <w:rStyle w:val="Hyperlink"/>
                  <w:rFonts w:ascii="Calibri" w:hAnsi="Calibri"/>
                  <w:i/>
                  <w:iCs/>
                  <w:sz w:val="19"/>
                  <w:szCs w:val="19"/>
                </w:rPr>
                <w:t>Spectrum Monitoring, Edition of 2011</w:t>
              </w:r>
            </w:hyperlink>
            <w:r w:rsidRPr="00C71B8F">
              <w:rPr>
                <w:rFonts w:ascii="Calibri" w:hAnsi="Calibri"/>
                <w:i/>
                <w:color w:val="000000"/>
                <w:sz w:val="19"/>
                <w:szCs w:val="19"/>
                <w:lang w:eastAsia="en-GB"/>
              </w:rPr>
              <w:t xml:space="preserve">, </w:t>
            </w:r>
            <w:r w:rsidRPr="00C71B8F">
              <w:rPr>
                <w:rFonts w:ascii="Calibri" w:hAnsi="Calibri"/>
                <w:sz w:val="19"/>
                <w:szCs w:val="19"/>
              </w:rPr>
              <w:t>Chapter 5 - Specific monitoring systems and procedures</w:t>
            </w:r>
          </w:p>
        </w:tc>
      </w:tr>
      <w:tr w:rsidR="002163B8" w:rsidRPr="004D6922" w:rsidTr="00774FEC">
        <w:trPr>
          <w:cantSplit/>
          <w:trHeight w:val="20"/>
        </w:trPr>
        <w:tc>
          <w:tcPr>
            <w:tcW w:w="9072" w:type="dxa"/>
            <w:hideMark/>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color w:val="000000"/>
                <w:sz w:val="19"/>
                <w:szCs w:val="19"/>
                <w:lang w:eastAsia="en-GB"/>
              </w:rPr>
              <w:t xml:space="preserve">ITU-R Recommendation BS.1698 </w:t>
            </w:r>
            <w:hyperlink r:id="rId86" w:history="1">
              <w:r w:rsidRPr="00C71B8F">
                <w:rPr>
                  <w:rStyle w:val="Hyperlink"/>
                  <w:rFonts w:ascii="Calibri" w:hAnsi="Calibri"/>
                  <w:i/>
                  <w:sz w:val="19"/>
                  <w:szCs w:val="19"/>
                  <w:lang w:eastAsia="en-GB"/>
                </w:rPr>
                <w:t>Evaluating Fields from Terrestrial Broadcasting Transmitting Systems Operating in any Frequency Band for Assessing Exposure to Non</w:t>
              </w:r>
              <w:r w:rsidRPr="00C71B8F">
                <w:rPr>
                  <w:rStyle w:val="Hyperlink"/>
                  <w:rFonts w:ascii="Calibri" w:hAnsi="Calibri"/>
                  <w:i/>
                  <w:sz w:val="19"/>
                  <w:szCs w:val="19"/>
                  <w:lang w:eastAsia="en-GB"/>
                </w:rPr>
                <w:noBreakHyphen/>
                <w:t>Ionizing Radiation</w:t>
              </w:r>
            </w:hyperlink>
            <w:r w:rsidRPr="00C71B8F">
              <w:rPr>
                <w:rFonts w:ascii="Calibri" w:hAnsi="Calibri"/>
                <w:i/>
                <w:color w:val="000000"/>
                <w:sz w:val="19"/>
                <w:szCs w:val="19"/>
                <w:lang w:eastAsia="en-GB"/>
              </w:rPr>
              <w:t xml:space="preserve">, </w:t>
            </w:r>
          </w:p>
        </w:tc>
      </w:tr>
      <w:tr w:rsidR="002163B8" w:rsidRPr="004D6922" w:rsidTr="00774FEC">
        <w:trPr>
          <w:cantSplit/>
          <w:trHeight w:val="20"/>
        </w:trPr>
        <w:tc>
          <w:tcPr>
            <w:tcW w:w="9072" w:type="dxa"/>
          </w:tcPr>
          <w:p w:rsidR="002163B8" w:rsidRPr="00C71B8F" w:rsidRDefault="002163B8" w:rsidP="002163B8">
            <w:pPr>
              <w:pStyle w:val="RegParagraph"/>
              <w:numPr>
                <w:ilvl w:val="0"/>
                <w:numId w:val="9"/>
              </w:numPr>
              <w:spacing w:before="40" w:after="40" w:line="240" w:lineRule="auto"/>
              <w:jc w:val="left"/>
              <w:rPr>
                <w:rFonts w:ascii="Calibri" w:hAnsi="Calibri"/>
                <w:sz w:val="19"/>
                <w:szCs w:val="19"/>
                <w:lang w:eastAsia="zh-CN" w:bidi="ar-SA"/>
              </w:rPr>
            </w:pPr>
            <w:r w:rsidRPr="00C71B8F">
              <w:rPr>
                <w:rFonts w:ascii="Calibri" w:hAnsi="Calibri"/>
                <w:sz w:val="19"/>
                <w:szCs w:val="19"/>
                <w:lang w:eastAsia="zh-CN" w:bidi="ar-SA"/>
              </w:rPr>
              <w:t xml:space="preserve">ITU Hand book on </w:t>
            </w:r>
            <w:hyperlink r:id="rId87" w:history="1">
              <w:r w:rsidRPr="00C71B8F">
                <w:rPr>
                  <w:rStyle w:val="Hyperlink"/>
                  <w:rFonts w:ascii="Calibri" w:hAnsi="Calibri"/>
                  <w:sz w:val="19"/>
                  <w:szCs w:val="19"/>
                  <w:lang w:eastAsia="zh-CN" w:bidi="ar-SA"/>
                </w:rPr>
                <w:t>Spectrum Monitoring</w:t>
              </w:r>
            </w:hyperlink>
            <w:r w:rsidRPr="00C71B8F">
              <w:rPr>
                <w:rFonts w:ascii="Calibri" w:hAnsi="Calibri"/>
                <w:sz w:val="19"/>
                <w:szCs w:val="19"/>
                <w:lang w:eastAsia="zh-CN" w:bidi="ar-SA"/>
              </w:rPr>
              <w:t xml:space="preserve">, Edition 2011; </w:t>
            </w:r>
            <w:r w:rsidRPr="00C71B8F">
              <w:rPr>
                <w:rFonts w:ascii="Calibri" w:hAnsi="Calibri"/>
                <w:sz w:val="19"/>
                <w:szCs w:val="19"/>
              </w:rPr>
              <w:t>Chapter 5.6</w:t>
            </w:r>
          </w:p>
        </w:tc>
      </w:tr>
      <w:tr w:rsidR="002163B8" w:rsidRPr="004D6922" w:rsidTr="00774FEC">
        <w:trPr>
          <w:cantSplit/>
          <w:trHeight w:val="20"/>
        </w:trPr>
        <w:tc>
          <w:tcPr>
            <w:tcW w:w="9072" w:type="dxa"/>
            <w:hideMark/>
          </w:tcPr>
          <w:p w:rsidR="002163B8" w:rsidRPr="00C71B8F" w:rsidRDefault="002163B8" w:rsidP="002163B8">
            <w:pPr>
              <w:pStyle w:val="Equation"/>
              <w:numPr>
                <w:ilvl w:val="0"/>
                <w:numId w:val="9"/>
              </w:numPr>
              <w:tabs>
                <w:tab w:val="clear" w:pos="794"/>
                <w:tab w:val="left" w:pos="1191"/>
                <w:tab w:val="left" w:pos="1588"/>
                <w:tab w:val="left" w:pos="1985"/>
              </w:tabs>
              <w:suppressAutoHyphens/>
              <w:spacing w:before="40" w:after="40"/>
              <w:ind w:left="357" w:hanging="357"/>
              <w:jc w:val="left"/>
              <w:textAlignment w:val="baseline"/>
              <w:rPr>
                <w:rFonts w:ascii="Calibri" w:hAnsi="Calibri" w:cstheme="majorBidi"/>
                <w:i/>
                <w:iCs/>
                <w:sz w:val="19"/>
                <w:szCs w:val="19"/>
                <w:lang w:val="en-US" w:eastAsia="zh-CN"/>
              </w:rPr>
            </w:pPr>
            <w:r w:rsidRPr="00C71B8F">
              <w:rPr>
                <w:rFonts w:ascii="Calibri" w:hAnsi="Calibri" w:cstheme="majorBidi"/>
                <w:sz w:val="19"/>
                <w:szCs w:val="19"/>
                <w:lang w:val="en-US" w:eastAsia="zh-CN"/>
              </w:rPr>
              <w:lastRenderedPageBreak/>
              <w:t xml:space="preserve">ITU-T </w:t>
            </w:r>
            <w:hyperlink r:id="rId88" w:tooltip="Main page of the respective Study Group" w:history="1">
              <w:r w:rsidRPr="00C71B8F">
                <w:rPr>
                  <w:rStyle w:val="Hyperlink"/>
                  <w:rFonts w:ascii="Calibri" w:hAnsi="Calibri" w:cstheme="majorBidi"/>
                  <w:sz w:val="19"/>
                  <w:szCs w:val="19"/>
                  <w:lang w:val="en-US" w:eastAsia="zh-CN"/>
                </w:rPr>
                <w:t>Study Group 5</w:t>
              </w:r>
            </w:hyperlink>
            <w:r w:rsidRPr="00C71B8F">
              <w:rPr>
                <w:rFonts w:ascii="Calibri" w:hAnsi="Calibri" w:cstheme="majorBidi"/>
                <w:sz w:val="19"/>
                <w:szCs w:val="19"/>
                <w:lang w:val="en-US" w:eastAsia="zh-CN"/>
              </w:rPr>
              <w:t xml:space="preserve">Recommendation K.52  </w:t>
            </w:r>
            <w:hyperlink r:id="rId89" w:history="1">
              <w:r w:rsidRPr="00C71B8F">
                <w:rPr>
                  <w:rStyle w:val="Hyperlink"/>
                  <w:rFonts w:ascii="Calibri" w:hAnsi="Calibri" w:cstheme="majorBidi"/>
                  <w:i/>
                  <w:iCs/>
                  <w:sz w:val="19"/>
                  <w:szCs w:val="19"/>
                  <w:lang w:val="en-US" w:eastAsia="zh-CN"/>
                </w:rPr>
                <w:t>Guidance on complying with limits for human exposure to electromagnetic fields</w:t>
              </w:r>
            </w:hyperlink>
          </w:p>
        </w:tc>
      </w:tr>
      <w:tr w:rsidR="002163B8" w:rsidRPr="004D6922" w:rsidTr="00774FEC">
        <w:trPr>
          <w:cantSplit/>
          <w:trHeight w:val="20"/>
        </w:trPr>
        <w:tc>
          <w:tcPr>
            <w:tcW w:w="9072" w:type="dxa"/>
            <w:hideMark/>
          </w:tcPr>
          <w:p w:rsidR="002163B8" w:rsidRPr="00C71B8F" w:rsidRDefault="002163B8" w:rsidP="002163B8">
            <w:pPr>
              <w:pStyle w:val="Equation"/>
              <w:numPr>
                <w:ilvl w:val="0"/>
                <w:numId w:val="9"/>
              </w:numPr>
              <w:tabs>
                <w:tab w:val="clear" w:pos="794"/>
                <w:tab w:val="left" w:pos="1191"/>
                <w:tab w:val="left" w:pos="1588"/>
                <w:tab w:val="left" w:pos="1985"/>
              </w:tabs>
              <w:suppressAutoHyphens/>
              <w:spacing w:before="40" w:after="40"/>
              <w:ind w:left="357" w:hanging="357"/>
              <w:jc w:val="left"/>
              <w:textAlignment w:val="baseline"/>
              <w:rPr>
                <w:rFonts w:ascii="Calibri" w:hAnsi="Calibri"/>
                <w:i/>
                <w:iCs/>
                <w:sz w:val="19"/>
                <w:szCs w:val="19"/>
                <w:lang w:val="en-GB" w:eastAsia="zh-CN"/>
              </w:rPr>
            </w:pPr>
            <w:r w:rsidRPr="00C71B8F">
              <w:rPr>
                <w:rFonts w:ascii="Calibri" w:hAnsi="Calibri"/>
                <w:sz w:val="19"/>
                <w:szCs w:val="19"/>
                <w:lang w:val="en-GB" w:eastAsia="zh-CN"/>
              </w:rPr>
              <w:t xml:space="preserve">ITU-T K.61 </w:t>
            </w:r>
            <w:hyperlink r:id="rId90" w:history="1">
              <w:r w:rsidRPr="00C71B8F">
                <w:rPr>
                  <w:rStyle w:val="Hyperlink"/>
                  <w:rFonts w:ascii="Calibri" w:hAnsi="Calibri"/>
                  <w:i/>
                  <w:iCs/>
                  <w:sz w:val="19"/>
                  <w:szCs w:val="19"/>
                  <w:lang w:val="en-US" w:eastAsia="zh-CN"/>
                </w:rPr>
                <w:t>Guidance on measurement and numerical prediction of electromagnetic fields for compliance with human exposure limits for telecommunication installations</w:t>
              </w:r>
            </w:hyperlink>
          </w:p>
        </w:tc>
      </w:tr>
      <w:tr w:rsidR="002163B8" w:rsidRPr="004D6922" w:rsidTr="00774FEC">
        <w:trPr>
          <w:cantSplit/>
          <w:trHeight w:val="20"/>
        </w:trPr>
        <w:tc>
          <w:tcPr>
            <w:tcW w:w="9072" w:type="dxa"/>
            <w:hideMark/>
          </w:tcPr>
          <w:p w:rsidR="002163B8" w:rsidRPr="00C71B8F" w:rsidRDefault="002163B8" w:rsidP="002163B8">
            <w:pPr>
              <w:pStyle w:val="Equation"/>
              <w:numPr>
                <w:ilvl w:val="0"/>
                <w:numId w:val="9"/>
              </w:numPr>
              <w:tabs>
                <w:tab w:val="clear" w:pos="794"/>
                <w:tab w:val="left" w:pos="1191"/>
                <w:tab w:val="left" w:pos="1588"/>
                <w:tab w:val="left" w:pos="1985"/>
              </w:tabs>
              <w:suppressAutoHyphens/>
              <w:spacing w:before="40" w:after="40"/>
              <w:ind w:left="357" w:hanging="357"/>
              <w:jc w:val="left"/>
              <w:textAlignment w:val="baseline"/>
              <w:rPr>
                <w:rFonts w:ascii="Calibri" w:hAnsi="Calibri"/>
                <w:sz w:val="19"/>
                <w:szCs w:val="19"/>
                <w:lang w:val="en-US" w:eastAsia="zh-CN"/>
              </w:rPr>
            </w:pPr>
            <w:r w:rsidRPr="00C71B8F">
              <w:rPr>
                <w:rFonts w:ascii="Calibri" w:hAnsi="Calibri"/>
                <w:sz w:val="19"/>
                <w:szCs w:val="19"/>
                <w:lang w:val="en-GB" w:eastAsia="zh-CN"/>
              </w:rPr>
              <w:t xml:space="preserve">ITU-T K.70 </w:t>
            </w:r>
            <w:hyperlink r:id="rId91" w:history="1">
              <w:r w:rsidRPr="00C71B8F">
                <w:rPr>
                  <w:rStyle w:val="Hyperlink"/>
                  <w:rFonts w:ascii="Calibri" w:hAnsi="Calibri"/>
                  <w:i/>
                  <w:iCs/>
                  <w:sz w:val="19"/>
                  <w:szCs w:val="19"/>
                  <w:lang w:val="en-US" w:eastAsia="zh-CN"/>
                </w:rPr>
                <w:t xml:space="preserve">Mitigation techniques to limit human exposure to EMFs in the vicinity of </w:t>
              </w:r>
              <w:proofErr w:type="spellStart"/>
              <w:r w:rsidRPr="00C71B8F">
                <w:rPr>
                  <w:rStyle w:val="Hyperlink"/>
                  <w:rFonts w:ascii="Calibri" w:hAnsi="Calibri"/>
                  <w:i/>
                  <w:iCs/>
                  <w:sz w:val="19"/>
                  <w:szCs w:val="19"/>
                  <w:lang w:val="en-US" w:eastAsia="zh-CN"/>
                </w:rPr>
                <w:t>radiocommunication</w:t>
              </w:r>
              <w:proofErr w:type="spellEnd"/>
              <w:r w:rsidRPr="00C71B8F">
                <w:rPr>
                  <w:rStyle w:val="Hyperlink"/>
                  <w:rFonts w:ascii="Calibri" w:hAnsi="Calibri"/>
                  <w:i/>
                  <w:iCs/>
                  <w:sz w:val="19"/>
                  <w:szCs w:val="19"/>
                  <w:lang w:val="en-US" w:eastAsia="zh-CN"/>
                </w:rPr>
                <w:t xml:space="preserve"> stations</w:t>
              </w:r>
            </w:hyperlink>
          </w:p>
        </w:tc>
      </w:tr>
      <w:tr w:rsidR="002163B8" w:rsidRPr="004D6922" w:rsidTr="00774FEC">
        <w:trPr>
          <w:cantSplit/>
          <w:trHeight w:val="20"/>
        </w:trPr>
        <w:tc>
          <w:tcPr>
            <w:tcW w:w="9072" w:type="dxa"/>
            <w:hideMark/>
          </w:tcPr>
          <w:p w:rsidR="002163B8" w:rsidRPr="00C71B8F" w:rsidRDefault="002163B8" w:rsidP="002163B8">
            <w:pPr>
              <w:pStyle w:val="Equation"/>
              <w:numPr>
                <w:ilvl w:val="0"/>
                <w:numId w:val="9"/>
              </w:numPr>
              <w:tabs>
                <w:tab w:val="clear" w:pos="794"/>
                <w:tab w:val="left" w:pos="1191"/>
                <w:tab w:val="left" w:pos="1588"/>
                <w:tab w:val="left" w:pos="1985"/>
              </w:tabs>
              <w:suppressAutoHyphens/>
              <w:spacing w:before="40" w:after="40"/>
              <w:ind w:left="357" w:hanging="357"/>
              <w:jc w:val="left"/>
              <w:textAlignment w:val="baseline"/>
              <w:rPr>
                <w:rFonts w:ascii="Calibri" w:hAnsi="Calibri" w:cstheme="majorBidi"/>
                <w:sz w:val="19"/>
                <w:szCs w:val="19"/>
                <w:lang w:val="en-US" w:eastAsia="zh-CN"/>
              </w:rPr>
            </w:pPr>
            <w:r w:rsidRPr="00C71B8F">
              <w:rPr>
                <w:rFonts w:ascii="Calibri" w:hAnsi="Calibri" w:cstheme="majorBidi"/>
                <w:sz w:val="19"/>
                <w:szCs w:val="19"/>
                <w:lang w:val="en-GB" w:eastAsia="zh-CN"/>
              </w:rPr>
              <w:t xml:space="preserve">ITU-T </w:t>
            </w:r>
            <w:hyperlink r:id="rId92" w:history="1">
              <w:r w:rsidRPr="00C71B8F">
                <w:rPr>
                  <w:rStyle w:val="Hyperlink"/>
                  <w:rFonts w:ascii="Calibri" w:eastAsia="MS Mincho" w:hAnsi="Calibri" w:cstheme="majorBidi"/>
                  <w:i/>
                  <w:iCs/>
                  <w:noProof/>
                  <w:sz w:val="19"/>
                  <w:szCs w:val="19"/>
                  <w:lang w:val="en-US" w:eastAsia="zh-CN"/>
                </w:rPr>
                <w:t>Software EMF-estimator</w:t>
              </w:r>
            </w:hyperlink>
            <w:hyperlink r:id="rId93" w:history="1">
              <w:r w:rsidRPr="00C71B8F">
                <w:rPr>
                  <w:rStyle w:val="Hyperlink"/>
                  <w:rFonts w:ascii="Calibri" w:hAnsi="Calibri" w:cstheme="majorBidi"/>
                  <w:sz w:val="19"/>
                  <w:szCs w:val="19"/>
                  <w:lang w:val="en-US" w:eastAsia="zh-CN"/>
                </w:rPr>
                <w:t>K.70 (2007)</w:t>
              </w:r>
            </w:hyperlink>
            <w:hyperlink r:id="rId94" w:history="1">
              <w:r w:rsidRPr="00C71B8F">
                <w:rPr>
                  <w:rStyle w:val="Hyperlink"/>
                  <w:rFonts w:ascii="Calibri" w:hAnsi="Calibri" w:cstheme="majorBidi"/>
                  <w:sz w:val="19"/>
                  <w:szCs w:val="19"/>
                  <w:lang w:val="en-US" w:eastAsia="zh-CN"/>
                </w:rPr>
                <w:t>Amd.2 (05/2011)</w:t>
              </w:r>
            </w:hyperlink>
            <w:r w:rsidRPr="00C71B8F">
              <w:rPr>
                <w:rFonts w:ascii="Calibri" w:hAnsi="Calibri" w:cstheme="majorBidi"/>
                <w:color w:val="000000"/>
                <w:sz w:val="19"/>
                <w:szCs w:val="19"/>
                <w:lang w:val="en-GB" w:eastAsia="zh-CN"/>
              </w:rPr>
              <w:t xml:space="preserve"> and </w:t>
            </w:r>
            <w:hyperlink r:id="rId95" w:history="1">
              <w:r w:rsidRPr="00C71B8F">
                <w:rPr>
                  <w:rStyle w:val="Hyperlink"/>
                  <w:rFonts w:ascii="Calibri" w:hAnsi="Calibri" w:cstheme="majorBidi"/>
                  <w:i/>
                  <w:iCs/>
                  <w:sz w:val="19"/>
                  <w:szCs w:val="19"/>
                  <w:lang w:val="en-US" w:eastAsia="zh-CN"/>
                </w:rPr>
                <w:t>Amd.3 (02/2013)</w:t>
              </w:r>
            </w:hyperlink>
            <w:r w:rsidRPr="00C71B8F">
              <w:rPr>
                <w:rFonts w:ascii="Calibri" w:hAnsi="Calibri" w:cstheme="majorBidi"/>
                <w:sz w:val="19"/>
                <w:szCs w:val="19"/>
                <w:lang w:val="en-US" w:eastAsia="zh-CN"/>
              </w:rPr>
              <w:t xml:space="preserve"> by </w:t>
            </w:r>
            <w:proofErr w:type="spellStart"/>
            <w:r w:rsidRPr="00C71B8F">
              <w:rPr>
                <w:rFonts w:ascii="Calibri" w:hAnsi="Calibri" w:cstheme="majorBidi"/>
                <w:sz w:val="19"/>
                <w:szCs w:val="19"/>
                <w:lang w:val="en-US" w:eastAsia="zh-CN"/>
              </w:rPr>
              <w:t>Lewicki</w:t>
            </w:r>
            <w:proofErr w:type="spellEnd"/>
            <w:r w:rsidRPr="00C71B8F">
              <w:rPr>
                <w:rFonts w:ascii="Calibri" w:hAnsi="Calibri" w:cstheme="majorBidi"/>
                <w:sz w:val="19"/>
                <w:szCs w:val="19"/>
                <w:lang w:val="en-US" w:eastAsia="zh-CN"/>
              </w:rPr>
              <w:t xml:space="preserve"> F.</w:t>
            </w:r>
          </w:p>
        </w:tc>
      </w:tr>
      <w:tr w:rsidR="002163B8" w:rsidRPr="004D6922" w:rsidTr="00774FEC">
        <w:trPr>
          <w:cantSplit/>
          <w:trHeight w:val="20"/>
        </w:trPr>
        <w:tc>
          <w:tcPr>
            <w:tcW w:w="9072" w:type="dxa"/>
            <w:hideMark/>
          </w:tcPr>
          <w:p w:rsidR="002163B8" w:rsidRPr="00C71B8F" w:rsidRDefault="002163B8" w:rsidP="002163B8">
            <w:pPr>
              <w:pStyle w:val="Equation"/>
              <w:numPr>
                <w:ilvl w:val="0"/>
                <w:numId w:val="9"/>
              </w:numPr>
              <w:tabs>
                <w:tab w:val="clear" w:pos="794"/>
                <w:tab w:val="left" w:pos="1191"/>
                <w:tab w:val="left" w:pos="1588"/>
                <w:tab w:val="left" w:pos="1985"/>
              </w:tabs>
              <w:suppressAutoHyphens/>
              <w:spacing w:before="40" w:after="40"/>
              <w:ind w:left="357" w:hanging="357"/>
              <w:jc w:val="left"/>
              <w:textAlignment w:val="baseline"/>
              <w:rPr>
                <w:rFonts w:ascii="Calibri" w:hAnsi="Calibri"/>
                <w:sz w:val="19"/>
                <w:szCs w:val="19"/>
                <w:lang w:val="en-GB" w:eastAsia="zh-CN"/>
              </w:rPr>
            </w:pPr>
            <w:r w:rsidRPr="00C71B8F">
              <w:rPr>
                <w:rFonts w:ascii="Calibri" w:hAnsi="Calibri"/>
                <w:sz w:val="19"/>
                <w:szCs w:val="19"/>
                <w:lang w:val="en-GB" w:eastAsia="zh-CN"/>
              </w:rPr>
              <w:t xml:space="preserve">ITU-T K.91 </w:t>
            </w:r>
            <w:hyperlink r:id="rId96" w:history="1">
              <w:r w:rsidRPr="00C71B8F">
                <w:rPr>
                  <w:rStyle w:val="Hyperlink"/>
                  <w:rFonts w:ascii="Calibri" w:hAnsi="Calibri"/>
                  <w:i/>
                  <w:iCs/>
                  <w:sz w:val="19"/>
                  <w:szCs w:val="19"/>
                  <w:lang w:val="en-US" w:eastAsia="zh-CN"/>
                </w:rPr>
                <w:t>Guidance for assessment, evaluation and monitoring of human exposure to radio frequency electromagnetic fields</w:t>
              </w:r>
            </w:hyperlink>
          </w:p>
        </w:tc>
      </w:tr>
      <w:tr w:rsidR="002163B8" w:rsidRPr="004D6922" w:rsidTr="00774FEC">
        <w:trPr>
          <w:cantSplit/>
          <w:trHeight w:val="20"/>
        </w:trPr>
        <w:tc>
          <w:tcPr>
            <w:tcW w:w="9072" w:type="dxa"/>
            <w:hideMark/>
          </w:tcPr>
          <w:p w:rsidR="002163B8" w:rsidRPr="00C71B8F" w:rsidRDefault="002163B8" w:rsidP="002163B8">
            <w:pPr>
              <w:pStyle w:val="Equation"/>
              <w:numPr>
                <w:ilvl w:val="0"/>
                <w:numId w:val="9"/>
              </w:numPr>
              <w:tabs>
                <w:tab w:val="left" w:pos="1191"/>
                <w:tab w:val="left" w:pos="1588"/>
                <w:tab w:val="left" w:pos="1985"/>
              </w:tabs>
              <w:suppressAutoHyphens/>
              <w:spacing w:before="40" w:after="40"/>
              <w:ind w:left="357" w:hanging="357"/>
              <w:jc w:val="left"/>
              <w:textAlignment w:val="baseline"/>
              <w:rPr>
                <w:rFonts w:ascii="Calibri" w:hAnsi="Calibri"/>
                <w:sz w:val="19"/>
                <w:szCs w:val="19"/>
                <w:lang w:val="en-GB" w:eastAsia="zh-CN"/>
              </w:rPr>
            </w:pPr>
            <w:r w:rsidRPr="00C71B8F">
              <w:rPr>
                <w:rFonts w:ascii="Calibri" w:hAnsi="Calibri"/>
                <w:sz w:val="19"/>
                <w:szCs w:val="19"/>
                <w:lang w:val="en-GB" w:eastAsia="zh-CN"/>
              </w:rPr>
              <w:t xml:space="preserve">Japan 2004, Ministry of Public Management, Home Affairs, Posts and Telecommunications;  Ministry of Economy, Trade and Industry </w:t>
            </w:r>
            <w:hyperlink r:id="rId97" w:history="1">
              <w:r w:rsidRPr="00C71B8F">
                <w:rPr>
                  <w:rStyle w:val="Hyperlink"/>
                  <w:rFonts w:ascii="Calibri" w:hAnsi="Calibri"/>
                  <w:sz w:val="19"/>
                  <w:szCs w:val="19"/>
                  <w:lang w:val="en-US" w:eastAsia="zh-CN"/>
                </w:rPr>
                <w:t xml:space="preserve">WHO, Japan exposure  for general </w:t>
              </w:r>
            </w:hyperlink>
            <w:r w:rsidRPr="00C71B8F">
              <w:rPr>
                <w:rFonts w:ascii="Calibri" w:hAnsi="Calibri"/>
                <w:sz w:val="19"/>
                <w:szCs w:val="19"/>
                <w:lang w:val="en-GB" w:eastAsia="zh-CN"/>
              </w:rPr>
              <w:t xml:space="preserve">;   on 27 September 2012, there is a mistake in </w:t>
            </w:r>
            <w:r w:rsidRPr="00C71B8F">
              <w:rPr>
                <w:rFonts w:ascii="Calibri" w:hAnsi="Calibri"/>
                <w:sz w:val="19"/>
                <w:szCs w:val="19"/>
                <w:lang w:val="en-US" w:eastAsia="zh-CN"/>
              </w:rPr>
              <w:t xml:space="preserve">the frequency range 1.5 - 300 GHz : the exposure values are not dependent on the frequency ; </w:t>
            </w:r>
            <w:proofErr w:type="spellStart"/>
            <w:r w:rsidRPr="00C71B8F">
              <w:rPr>
                <w:rFonts w:ascii="Calibri" w:hAnsi="Calibri"/>
                <w:sz w:val="19"/>
                <w:szCs w:val="19"/>
                <w:lang w:val="en-US" w:eastAsia="zh-CN"/>
              </w:rPr>
              <w:t>see</w:t>
            </w:r>
            <w:hyperlink r:id="rId98" w:history="1">
              <w:r w:rsidRPr="00C71B8F">
                <w:rPr>
                  <w:rStyle w:val="Hyperlink"/>
                  <w:rFonts w:ascii="Calibri" w:hAnsi="Calibri"/>
                  <w:sz w:val="19"/>
                  <w:szCs w:val="19"/>
                  <w:lang w:val="en-US" w:eastAsia="zh-CN"/>
                </w:rPr>
                <w:t>Radio</w:t>
              </w:r>
              <w:proofErr w:type="spellEnd"/>
              <w:r w:rsidRPr="00C71B8F">
                <w:rPr>
                  <w:rStyle w:val="Hyperlink"/>
                  <w:rFonts w:ascii="Calibri" w:hAnsi="Calibri"/>
                  <w:sz w:val="19"/>
                  <w:szCs w:val="19"/>
                  <w:lang w:val="en-US" w:eastAsia="zh-CN"/>
                </w:rPr>
                <w:t xml:space="preserve"> Waves and Safety</w:t>
              </w:r>
            </w:hyperlink>
          </w:p>
        </w:tc>
      </w:tr>
      <w:tr w:rsidR="002163B8" w:rsidRPr="004D6922" w:rsidTr="00774FEC">
        <w:trPr>
          <w:cantSplit/>
          <w:trHeight w:val="20"/>
        </w:trPr>
        <w:tc>
          <w:tcPr>
            <w:tcW w:w="9072" w:type="dxa"/>
            <w:hideMark/>
          </w:tcPr>
          <w:p w:rsidR="002163B8" w:rsidRPr="00C71B8F" w:rsidRDefault="002163B8" w:rsidP="002163B8">
            <w:pPr>
              <w:pStyle w:val="Equation"/>
              <w:numPr>
                <w:ilvl w:val="0"/>
                <w:numId w:val="9"/>
              </w:numPr>
              <w:tabs>
                <w:tab w:val="clear" w:pos="794"/>
                <w:tab w:val="left" w:pos="1191"/>
                <w:tab w:val="left" w:pos="1588"/>
                <w:tab w:val="left" w:pos="1985"/>
              </w:tabs>
              <w:suppressAutoHyphens/>
              <w:spacing w:before="40" w:after="40"/>
              <w:ind w:left="357" w:hanging="357"/>
              <w:jc w:val="left"/>
              <w:textAlignment w:val="baseline"/>
              <w:rPr>
                <w:rFonts w:ascii="Calibri" w:hAnsi="Calibri"/>
                <w:sz w:val="19"/>
                <w:szCs w:val="19"/>
                <w:lang w:val="en-GB" w:eastAsia="zh-CN"/>
              </w:rPr>
            </w:pPr>
            <w:r w:rsidRPr="00C71B8F">
              <w:rPr>
                <w:rFonts w:ascii="Calibri" w:hAnsi="Calibri"/>
                <w:sz w:val="19"/>
                <w:szCs w:val="19"/>
                <w:lang w:val="en-GB" w:eastAsia="zh-CN"/>
              </w:rPr>
              <w:t xml:space="preserve">Japan 2012,  Ministry of Internal affairs and Communications </w:t>
            </w:r>
            <w:r w:rsidRPr="00C71B8F">
              <w:rPr>
                <w:rFonts w:ascii="Calibri" w:eastAsia="MS Mincho" w:hAnsi="Calibri" w:cs="MS Mincho" w:hint="eastAsia"/>
                <w:i/>
                <w:iCs/>
                <w:sz w:val="19"/>
                <w:szCs w:val="19"/>
                <w:lang w:val="en-GB" w:eastAsia="zh-CN"/>
              </w:rPr>
              <w:t>電波と安心の暮らし</w:t>
            </w:r>
            <w:r>
              <w:fldChar w:fldCharType="begin"/>
            </w:r>
            <w:r w:rsidRPr="00865ADB">
              <w:rPr>
                <w:lang w:val="en-US"/>
              </w:rPr>
              <w:instrText xml:space="preserve"> HYPERLINK "http://www.tele.soumu.go.jp/resource/j/ele/body/emf_pamphlet.pdf" </w:instrText>
            </w:r>
            <w:r>
              <w:fldChar w:fldCharType="separate"/>
            </w:r>
            <w:r w:rsidRPr="00C71B8F">
              <w:rPr>
                <w:rStyle w:val="Hyperlink"/>
                <w:rFonts w:ascii="Calibri" w:hAnsi="Calibri"/>
                <w:i/>
                <w:iCs/>
                <w:sz w:val="19"/>
                <w:szCs w:val="19"/>
                <w:lang w:val="en-US" w:eastAsia="zh-CN"/>
              </w:rPr>
              <w:t xml:space="preserve"> Radio Waves and Safety</w:t>
            </w:r>
            <w:r>
              <w:rPr>
                <w:rStyle w:val="Hyperlink"/>
                <w:rFonts w:ascii="Calibri" w:hAnsi="Calibri"/>
                <w:i/>
                <w:iCs/>
                <w:sz w:val="19"/>
                <w:szCs w:val="19"/>
                <w:lang w:val="en-US" w:eastAsia="zh-CN"/>
              </w:rPr>
              <w:fldChar w:fldCharType="end"/>
            </w:r>
            <w:r w:rsidRPr="00C71B8F">
              <w:rPr>
                <w:rFonts w:ascii="Calibri" w:hAnsi="Calibri"/>
                <w:sz w:val="19"/>
                <w:szCs w:val="19"/>
                <w:lang w:val="en-GB" w:eastAsia="zh-CN"/>
              </w:rPr>
              <w:t>; reviewed on 27 September 2012</w:t>
            </w:r>
          </w:p>
        </w:tc>
      </w:tr>
      <w:tr w:rsidR="002163B8" w:rsidRPr="004D6922" w:rsidTr="00774FEC">
        <w:trPr>
          <w:cantSplit/>
          <w:trHeight w:val="20"/>
        </w:trPr>
        <w:tc>
          <w:tcPr>
            <w:tcW w:w="9072" w:type="dxa"/>
            <w:hideMark/>
          </w:tcPr>
          <w:p w:rsidR="002163B8" w:rsidRPr="00C71B8F" w:rsidRDefault="002163B8" w:rsidP="002163B8">
            <w:pPr>
              <w:pStyle w:val="Equation"/>
              <w:numPr>
                <w:ilvl w:val="0"/>
                <w:numId w:val="9"/>
              </w:numPr>
              <w:tabs>
                <w:tab w:val="left" w:pos="1191"/>
                <w:tab w:val="left" w:pos="1588"/>
                <w:tab w:val="left" w:pos="1985"/>
              </w:tabs>
              <w:suppressAutoHyphens/>
              <w:spacing w:before="40" w:after="40"/>
              <w:ind w:left="357" w:hanging="357"/>
              <w:jc w:val="left"/>
              <w:textAlignment w:val="baseline"/>
              <w:rPr>
                <w:rFonts w:ascii="Calibri" w:hAnsi="Calibri"/>
                <w:sz w:val="19"/>
                <w:szCs w:val="19"/>
                <w:lang w:val="en-GB" w:eastAsia="zh-CN"/>
              </w:rPr>
            </w:pPr>
            <w:proofErr w:type="spellStart"/>
            <w:r w:rsidRPr="00C71B8F">
              <w:rPr>
                <w:rFonts w:ascii="Calibri" w:hAnsi="Calibri"/>
                <w:sz w:val="19"/>
                <w:szCs w:val="19"/>
                <w:lang w:val="en-GB" w:eastAsia="zh-CN"/>
              </w:rPr>
              <w:t>Linhares</w:t>
            </w:r>
            <w:proofErr w:type="spellEnd"/>
            <w:r w:rsidRPr="00C71B8F">
              <w:rPr>
                <w:rFonts w:ascii="Calibri" w:hAnsi="Calibri"/>
                <w:sz w:val="19"/>
                <w:szCs w:val="19"/>
                <w:lang w:val="en-GB" w:eastAsia="zh-CN"/>
              </w:rPr>
              <w:t xml:space="preserve"> A., Terada MAB. and </w:t>
            </w:r>
            <w:proofErr w:type="spellStart"/>
            <w:r w:rsidRPr="00C71B8F">
              <w:rPr>
                <w:rFonts w:ascii="Calibri" w:hAnsi="Calibri"/>
                <w:sz w:val="19"/>
                <w:szCs w:val="19"/>
                <w:lang w:val="en-GB" w:eastAsia="zh-CN"/>
              </w:rPr>
              <w:t>Soares</w:t>
            </w:r>
            <w:proofErr w:type="spellEnd"/>
            <w:r w:rsidRPr="00C71B8F">
              <w:rPr>
                <w:rFonts w:ascii="Calibri" w:hAnsi="Calibri"/>
                <w:sz w:val="19"/>
                <w:szCs w:val="19"/>
                <w:lang w:val="en-US" w:eastAsia="zh-CN"/>
              </w:rPr>
              <w:t xml:space="preserve"> AJM 2013, ‘</w:t>
            </w:r>
            <w:hyperlink r:id="rId99" w:history="1">
              <w:r w:rsidRPr="00C71B8F">
                <w:rPr>
                  <w:rStyle w:val="Hyperlink"/>
                  <w:rFonts w:ascii="Calibri" w:hAnsi="Calibri"/>
                  <w:sz w:val="19"/>
                  <w:szCs w:val="19"/>
                  <w:lang w:val="en-US" w:eastAsia="zh-CN"/>
                </w:rPr>
                <w:t xml:space="preserve">Estimating the Location of Maximum Exposure to Electromagnetic Fields Associated with a </w:t>
              </w:r>
              <w:proofErr w:type="spellStart"/>
              <w:r w:rsidRPr="00C71B8F">
                <w:rPr>
                  <w:rStyle w:val="Hyperlink"/>
                  <w:rFonts w:ascii="Calibri" w:hAnsi="Calibri"/>
                  <w:sz w:val="19"/>
                  <w:szCs w:val="19"/>
                  <w:lang w:val="en-US" w:eastAsia="zh-CN"/>
                </w:rPr>
                <w:t>Radiocommunication</w:t>
              </w:r>
              <w:proofErr w:type="spellEnd"/>
              <w:r w:rsidRPr="00C71B8F">
                <w:rPr>
                  <w:rStyle w:val="Hyperlink"/>
                  <w:rFonts w:ascii="Calibri" w:hAnsi="Calibri"/>
                  <w:sz w:val="19"/>
                  <w:szCs w:val="19"/>
                  <w:lang w:val="en-US" w:eastAsia="zh-CN"/>
                </w:rPr>
                <w:t xml:space="preserve"> Station</w:t>
              </w:r>
            </w:hyperlink>
            <w:r w:rsidRPr="00C71B8F">
              <w:rPr>
                <w:rFonts w:ascii="Calibri" w:hAnsi="Calibri"/>
                <w:sz w:val="19"/>
                <w:szCs w:val="19"/>
                <w:lang w:val="en-US" w:eastAsia="zh-CN"/>
              </w:rPr>
              <w:t xml:space="preserve">’, </w:t>
            </w:r>
            <w:r w:rsidRPr="00C71B8F">
              <w:rPr>
                <w:rFonts w:ascii="Calibri" w:hAnsi="Calibri"/>
                <w:i/>
                <w:iCs/>
                <w:sz w:val="19"/>
                <w:szCs w:val="19"/>
                <w:lang w:val="en-US" w:eastAsia="zh-CN"/>
              </w:rPr>
              <w:t xml:space="preserve">Journal of Microwaves, Optoelectronics and Electromagnetic Applications, Vol. 12, No. 1, June 2013 </w:t>
            </w:r>
          </w:p>
        </w:tc>
      </w:tr>
      <w:tr w:rsidR="002163B8" w:rsidRPr="004D6922" w:rsidTr="00774FEC">
        <w:trPr>
          <w:cantSplit/>
          <w:trHeight w:val="20"/>
        </w:trPr>
        <w:tc>
          <w:tcPr>
            <w:tcW w:w="9072" w:type="dxa"/>
            <w:hideMark/>
          </w:tcPr>
          <w:p w:rsidR="002163B8" w:rsidRPr="00C71B8F" w:rsidRDefault="002163B8" w:rsidP="002163B8">
            <w:pPr>
              <w:pStyle w:val="Equation"/>
              <w:numPr>
                <w:ilvl w:val="0"/>
                <w:numId w:val="9"/>
              </w:numPr>
              <w:tabs>
                <w:tab w:val="clear" w:pos="794"/>
                <w:tab w:val="left" w:pos="1191"/>
                <w:tab w:val="left" w:pos="1588"/>
                <w:tab w:val="left" w:pos="1985"/>
              </w:tabs>
              <w:suppressAutoHyphens/>
              <w:spacing w:before="40" w:after="40"/>
              <w:ind w:left="357" w:hanging="357"/>
              <w:jc w:val="left"/>
              <w:textAlignment w:val="baseline"/>
              <w:rPr>
                <w:rFonts w:ascii="Calibri" w:hAnsi="Calibri"/>
                <w:snapToGrid w:val="0"/>
                <w:sz w:val="19"/>
                <w:szCs w:val="19"/>
                <w:lang w:val="en-GB" w:eastAsia="zh-CN"/>
              </w:rPr>
            </w:pPr>
            <w:proofErr w:type="spellStart"/>
            <w:r w:rsidRPr="00C71B8F">
              <w:rPr>
                <w:rFonts w:ascii="Calibri" w:hAnsi="Calibri"/>
                <w:bCs/>
                <w:snapToGrid w:val="0"/>
                <w:sz w:val="19"/>
                <w:szCs w:val="19"/>
                <w:lang w:val="en-GB" w:eastAsia="zh-CN"/>
              </w:rPr>
              <w:t>Mazar</w:t>
            </w:r>
            <w:proofErr w:type="spellEnd"/>
            <w:r w:rsidRPr="00C71B8F">
              <w:rPr>
                <w:rFonts w:ascii="Calibri" w:hAnsi="Calibri"/>
                <w:bCs/>
                <w:snapToGrid w:val="0"/>
                <w:sz w:val="19"/>
                <w:szCs w:val="19"/>
                <w:lang w:val="en-GB" w:eastAsia="zh-CN"/>
              </w:rPr>
              <w:t xml:space="preserve"> H. 2009a </w:t>
            </w:r>
            <w:hyperlink r:id="rId100" w:history="1">
              <w:r w:rsidRPr="00C71B8F">
                <w:rPr>
                  <w:rStyle w:val="Hyperlink"/>
                  <w:rFonts w:ascii="Calibri" w:hAnsi="Calibri"/>
                  <w:bCs/>
                  <w:i/>
                  <w:iCs/>
                  <w:snapToGrid w:val="0"/>
                  <w:sz w:val="19"/>
                  <w:szCs w:val="19"/>
                  <w:lang w:val="en-US" w:eastAsia="zh-CN"/>
                </w:rPr>
                <w:t>An Analysis of Regulatory Frameworks for Wireless Communications, Societal Concerns and Risk: the Case of Radio Frequency (RF) Allocation and Licensing</w:t>
              </w:r>
            </w:hyperlink>
            <w:r w:rsidRPr="00C71B8F">
              <w:rPr>
                <w:rFonts w:ascii="Calibri" w:hAnsi="Calibri"/>
                <w:bCs/>
                <w:snapToGrid w:val="0"/>
                <w:sz w:val="19"/>
                <w:szCs w:val="19"/>
                <w:lang w:val="en-GB" w:eastAsia="zh-CN"/>
              </w:rPr>
              <w:t xml:space="preserve">, Boca Raton Florida: Dissertation.Com. </w:t>
            </w:r>
            <w:r w:rsidRPr="00C71B8F">
              <w:rPr>
                <w:rFonts w:ascii="Calibri" w:hAnsi="Calibri"/>
                <w:bCs/>
                <w:snapToGrid w:val="0"/>
                <w:sz w:val="19"/>
                <w:szCs w:val="19"/>
                <w:lang w:val="en-US" w:eastAsia="zh-CN"/>
              </w:rPr>
              <w:t xml:space="preserve">PhD thesis, Middlesex University, </w:t>
            </w:r>
            <w:proofErr w:type="spellStart"/>
            <w:r w:rsidRPr="00C71B8F">
              <w:rPr>
                <w:rFonts w:ascii="Calibri" w:hAnsi="Calibri"/>
                <w:bCs/>
                <w:snapToGrid w:val="0"/>
                <w:sz w:val="19"/>
                <w:szCs w:val="19"/>
                <w:lang w:val="en-US" w:eastAsia="zh-CN"/>
              </w:rPr>
              <w:t>London.</w:t>
            </w:r>
            <w:hyperlink r:id="rId101" w:history="1">
              <w:r w:rsidRPr="00C71B8F">
                <w:rPr>
                  <w:rStyle w:val="Hyperlink"/>
                  <w:rFonts w:ascii="Calibri" w:hAnsi="Calibri"/>
                  <w:i/>
                  <w:iCs/>
                  <w:sz w:val="19"/>
                  <w:szCs w:val="19"/>
                  <w:lang w:val="en-US" w:eastAsia="zh-CN"/>
                </w:rPr>
                <w:t>Guidance</w:t>
              </w:r>
              <w:proofErr w:type="spellEnd"/>
              <w:r w:rsidRPr="00C71B8F">
                <w:rPr>
                  <w:rStyle w:val="Hyperlink"/>
                  <w:rFonts w:ascii="Calibri" w:hAnsi="Calibri"/>
                  <w:i/>
                  <w:iCs/>
                  <w:sz w:val="19"/>
                  <w:szCs w:val="19"/>
                  <w:lang w:val="en-US" w:eastAsia="zh-CN"/>
                </w:rPr>
                <w:t xml:space="preserve"> on complying with limits for human exposure to electromagnetic fields</w:t>
              </w:r>
            </w:hyperlink>
          </w:p>
        </w:tc>
      </w:tr>
      <w:tr w:rsidR="002163B8" w:rsidRPr="004D6922" w:rsidTr="00774FEC">
        <w:trPr>
          <w:cantSplit/>
          <w:trHeight w:val="20"/>
        </w:trPr>
        <w:tc>
          <w:tcPr>
            <w:tcW w:w="9072" w:type="dxa"/>
            <w:hideMark/>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proofErr w:type="spellStart"/>
            <w:r w:rsidRPr="00C71B8F">
              <w:rPr>
                <w:rFonts w:ascii="Calibri" w:hAnsi="Calibri"/>
                <w:snapToGrid w:val="0"/>
                <w:sz w:val="19"/>
                <w:szCs w:val="19"/>
              </w:rPr>
              <w:t>Mazar</w:t>
            </w:r>
            <w:proofErr w:type="spellEnd"/>
            <w:r w:rsidRPr="00C71B8F">
              <w:rPr>
                <w:rFonts w:ascii="Calibri" w:hAnsi="Calibri"/>
                <w:snapToGrid w:val="0"/>
                <w:sz w:val="19"/>
                <w:szCs w:val="19"/>
              </w:rPr>
              <w:t xml:space="preserve"> (</w:t>
            </w:r>
            <w:proofErr w:type="spellStart"/>
            <w:r w:rsidRPr="00C71B8F">
              <w:rPr>
                <w:rFonts w:ascii="Calibri" w:hAnsi="Calibri"/>
                <w:snapToGrid w:val="0"/>
                <w:sz w:val="19"/>
                <w:szCs w:val="19"/>
              </w:rPr>
              <w:t>Madjar</w:t>
            </w:r>
            <w:proofErr w:type="spellEnd"/>
            <w:r w:rsidRPr="00C71B8F">
              <w:rPr>
                <w:rFonts w:ascii="Calibri" w:hAnsi="Calibri"/>
                <w:snapToGrid w:val="0"/>
                <w:sz w:val="19"/>
                <w:szCs w:val="19"/>
              </w:rPr>
              <w:t>) H. 2009b ‘</w:t>
            </w:r>
            <w:hyperlink r:id="rId102" w:history="1">
              <w:r w:rsidRPr="00C71B8F">
                <w:rPr>
                  <w:rStyle w:val="Hyperlink"/>
                  <w:rFonts w:ascii="Calibri" w:hAnsi="Calibri"/>
                  <w:sz w:val="19"/>
                  <w:szCs w:val="19"/>
                  <w:lang w:val="en-CA"/>
                </w:rPr>
                <w:t>A Global Survey and Comparison of Different Regulatory Approaches to Non-Ionizing RADHAZ and Spurious Emissions</w:t>
              </w:r>
            </w:hyperlink>
            <w:r w:rsidRPr="00C71B8F">
              <w:rPr>
                <w:rFonts w:ascii="Calibri" w:hAnsi="Calibri"/>
                <w:snapToGrid w:val="0"/>
                <w:sz w:val="19"/>
                <w:szCs w:val="19"/>
              </w:rPr>
              <w:t xml:space="preserve">‘, </w:t>
            </w:r>
            <w:r w:rsidRPr="00C71B8F">
              <w:rPr>
                <w:rFonts w:ascii="Calibri" w:hAnsi="Calibri"/>
                <w:sz w:val="19"/>
                <w:szCs w:val="19"/>
                <w:lang w:val="en-CA"/>
              </w:rPr>
              <w:t xml:space="preserve">IEEE </w:t>
            </w:r>
            <w:proofErr w:type="spellStart"/>
            <w:r w:rsidRPr="00C71B8F">
              <w:rPr>
                <w:rFonts w:ascii="Calibri" w:hAnsi="Calibri"/>
                <w:sz w:val="19"/>
                <w:szCs w:val="19"/>
                <w:lang w:val="en-CA"/>
              </w:rPr>
              <w:t>TelAviv</w:t>
            </w:r>
            <w:proofErr w:type="spellEnd"/>
            <w:r w:rsidRPr="00C71B8F">
              <w:rPr>
                <w:rFonts w:ascii="Calibri" w:hAnsi="Calibri"/>
                <w:sz w:val="19"/>
                <w:szCs w:val="19"/>
                <w:lang w:val="en-CA"/>
              </w:rPr>
              <w:t xml:space="preserve">, </w:t>
            </w:r>
            <w:hyperlink r:id="rId103" w:history="1">
              <w:r w:rsidRPr="00C71B8F">
                <w:rPr>
                  <w:rStyle w:val="Hyperlink"/>
                  <w:rFonts w:ascii="Calibri" w:hAnsi="Calibri"/>
                  <w:sz w:val="19"/>
                  <w:szCs w:val="19"/>
                  <w:lang w:val="en-CA"/>
                </w:rPr>
                <w:t>COMCAS</w:t>
              </w:r>
            </w:hyperlink>
            <w:r w:rsidRPr="00C71B8F">
              <w:rPr>
                <w:rFonts w:ascii="Calibri" w:hAnsi="Calibri"/>
                <w:sz w:val="19"/>
                <w:szCs w:val="19"/>
                <w:lang w:val="en-CA"/>
              </w:rPr>
              <w:t>, 9 Nov 2009</w:t>
            </w:r>
            <w:hyperlink r:id="rId104" w:history="1">
              <w:r w:rsidRPr="00C71B8F">
                <w:rPr>
                  <w:rStyle w:val="Hyperlink"/>
                  <w:rFonts w:ascii="Calibri" w:hAnsi="Calibri"/>
                  <w:snapToGrid w:val="0"/>
                  <w:sz w:val="19"/>
                  <w:szCs w:val="19"/>
                </w:rPr>
                <w:t>http://www.mtt-tpms.org/symposia_v6/COMCAS2009/fileuploads/292-JI4GGWYnIdKk-2.pdf</w:t>
              </w:r>
            </w:hyperlink>
          </w:p>
        </w:tc>
      </w:tr>
      <w:tr w:rsidR="002163B8" w:rsidRPr="004D6922" w:rsidTr="00774FEC">
        <w:trPr>
          <w:cantSplit/>
          <w:trHeight w:val="20"/>
        </w:trPr>
        <w:tc>
          <w:tcPr>
            <w:tcW w:w="9072" w:type="dxa"/>
            <w:hideMark/>
          </w:tcPr>
          <w:p w:rsidR="002163B8" w:rsidRPr="00C71B8F" w:rsidRDefault="002163B8" w:rsidP="002163B8">
            <w:pPr>
              <w:pStyle w:val="Default"/>
              <w:numPr>
                <w:ilvl w:val="0"/>
                <w:numId w:val="9"/>
              </w:numPr>
              <w:tabs>
                <w:tab w:val="left" w:pos="794"/>
                <w:tab w:val="left" w:pos="1191"/>
                <w:tab w:val="left" w:pos="1588"/>
                <w:tab w:val="left" w:pos="1985"/>
              </w:tabs>
              <w:suppressAutoHyphens/>
              <w:overflowPunct w:val="0"/>
              <w:spacing w:before="40" w:after="40"/>
              <w:ind w:left="357" w:hanging="357"/>
              <w:textAlignment w:val="baseline"/>
              <w:rPr>
                <w:rFonts w:ascii="Calibri" w:hAnsi="Calibri"/>
                <w:sz w:val="19"/>
                <w:szCs w:val="19"/>
                <w:lang w:eastAsia="en-GB"/>
              </w:rPr>
            </w:pPr>
            <w:proofErr w:type="spellStart"/>
            <w:r w:rsidRPr="00C71B8F">
              <w:rPr>
                <w:rFonts w:ascii="Calibri" w:hAnsi="Calibri"/>
                <w:sz w:val="19"/>
                <w:szCs w:val="19"/>
                <w:lang w:eastAsia="zh-CN"/>
              </w:rPr>
              <w:t>Mazar</w:t>
            </w:r>
            <w:proofErr w:type="spellEnd"/>
            <w:r w:rsidRPr="00C71B8F">
              <w:rPr>
                <w:rFonts w:ascii="Calibri" w:hAnsi="Calibri"/>
                <w:sz w:val="19"/>
                <w:szCs w:val="19"/>
                <w:lang w:eastAsia="zh-CN"/>
              </w:rPr>
              <w:t xml:space="preserve"> (</w:t>
            </w:r>
            <w:proofErr w:type="spellStart"/>
            <w:r w:rsidRPr="00C71B8F">
              <w:rPr>
                <w:rFonts w:ascii="Calibri" w:hAnsi="Calibri"/>
                <w:sz w:val="19"/>
                <w:szCs w:val="19"/>
                <w:lang w:eastAsia="zh-CN"/>
              </w:rPr>
              <w:t>Madjar</w:t>
            </w:r>
            <w:proofErr w:type="spellEnd"/>
            <w:r w:rsidRPr="00C71B8F">
              <w:rPr>
                <w:rFonts w:ascii="Calibri" w:hAnsi="Calibri"/>
                <w:sz w:val="19"/>
                <w:szCs w:val="19"/>
                <w:lang w:eastAsia="zh-CN"/>
              </w:rPr>
              <w:t>) H. 2011 ‘</w:t>
            </w:r>
            <w:hyperlink r:id="rId105" w:history="1">
              <w:r w:rsidRPr="00C71B8F">
                <w:rPr>
                  <w:rStyle w:val="Hyperlink"/>
                  <w:rFonts w:ascii="Calibri" w:hAnsi="Calibri" w:cstheme="majorBidi"/>
                  <w:sz w:val="19"/>
                  <w:szCs w:val="19"/>
                  <w:lang w:eastAsia="zh-CN"/>
                </w:rPr>
                <w:t>A Comparison Between European and North American Wireless Regulations</w:t>
              </w:r>
            </w:hyperlink>
            <w:r w:rsidRPr="00C71B8F">
              <w:rPr>
                <w:rFonts w:ascii="Calibri" w:hAnsi="Calibri"/>
                <w:sz w:val="19"/>
                <w:szCs w:val="19"/>
                <w:lang w:eastAsia="zh-CN"/>
              </w:rPr>
              <w:t xml:space="preserve">’, “Technical Symposium at ITU Telecom World 2011” </w:t>
            </w:r>
            <w:hyperlink r:id="rId106" w:history="1">
              <w:r w:rsidRPr="00C71B8F">
                <w:rPr>
                  <w:rStyle w:val="Hyperlink"/>
                  <w:rFonts w:ascii="Calibri" w:hAnsi="Calibri"/>
                  <w:sz w:val="19"/>
                  <w:szCs w:val="19"/>
                  <w:lang w:eastAsia="zh-CN"/>
                </w:rPr>
                <w:t>www.itu.int/worl2011</w:t>
              </w:r>
            </w:hyperlink>
            <w:r w:rsidRPr="00C71B8F">
              <w:rPr>
                <w:rFonts w:ascii="Calibri" w:hAnsi="Calibri"/>
                <w:sz w:val="19"/>
                <w:szCs w:val="19"/>
                <w:lang w:eastAsia="zh-CN"/>
              </w:rPr>
              <w:t xml:space="preserve"> on 27 October 2011 </w:t>
            </w:r>
          </w:p>
        </w:tc>
      </w:tr>
      <w:tr w:rsidR="002163B8" w:rsidRPr="004D6922" w:rsidTr="00774FEC">
        <w:trPr>
          <w:cantSplit/>
          <w:trHeight w:val="20"/>
        </w:trPr>
        <w:tc>
          <w:tcPr>
            <w:tcW w:w="9072" w:type="dxa"/>
            <w:hideMark/>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z w:val="19"/>
                <w:szCs w:val="19"/>
              </w:rPr>
            </w:pPr>
            <w:r w:rsidRPr="00C71B8F">
              <w:rPr>
                <w:rFonts w:ascii="Calibri" w:hAnsi="Calibri" w:cstheme="majorBidi"/>
                <w:sz w:val="19"/>
                <w:szCs w:val="19"/>
              </w:rPr>
              <w:t xml:space="preserve">MEP (Ministry of Environmental Protection Israel) 2011 </w:t>
            </w:r>
            <w:hyperlink r:id="rId107" w:history="1">
              <w:r w:rsidRPr="00C71B8F">
                <w:rPr>
                  <w:rStyle w:val="Hyperlink"/>
                  <w:rFonts w:ascii="Calibri" w:hAnsi="Calibri" w:cstheme="majorBidi"/>
                  <w:sz w:val="19"/>
                  <w:szCs w:val="19"/>
                </w:rPr>
                <w:t>Continuous  Monitoring  of  Cellular Radiation</w:t>
              </w:r>
            </w:hyperlink>
          </w:p>
        </w:tc>
      </w:tr>
      <w:tr w:rsidR="002163B8" w:rsidRPr="004D6922" w:rsidTr="00774FEC">
        <w:trPr>
          <w:cantSplit/>
          <w:trHeight w:val="20"/>
        </w:trPr>
        <w:tc>
          <w:tcPr>
            <w:tcW w:w="9072" w:type="dxa"/>
            <w:hideMark/>
          </w:tcPr>
          <w:p w:rsidR="002163B8" w:rsidRPr="00C71B8F" w:rsidRDefault="002163B8" w:rsidP="002163B8">
            <w:pPr>
              <w:pStyle w:val="RegParagraph"/>
              <w:numPr>
                <w:ilvl w:val="0"/>
                <w:numId w:val="9"/>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NRPB 2004 </w:t>
            </w:r>
            <w:hyperlink r:id="rId108" w:history="1">
              <w:r w:rsidRPr="00C71B8F">
                <w:rPr>
                  <w:rStyle w:val="Hyperlink"/>
                  <w:rFonts w:ascii="Calibri" w:hAnsi="Calibri"/>
                  <w:i/>
                  <w:iCs/>
                  <w:sz w:val="19"/>
                  <w:szCs w:val="19"/>
                  <w:lang w:eastAsia="zh-CN" w:bidi="ar-SA"/>
                </w:rPr>
                <w:t>Advice on Limiting Exposure to Electromagnetic Fields (0–300 GHz)</w:t>
              </w:r>
            </w:hyperlink>
            <w:r w:rsidRPr="00C71B8F">
              <w:rPr>
                <w:rFonts w:ascii="Calibri" w:hAnsi="Calibri"/>
                <w:sz w:val="19"/>
                <w:szCs w:val="19"/>
                <w:lang w:eastAsia="zh-CN" w:bidi="ar-SA"/>
              </w:rPr>
              <w:t xml:space="preserve"> 15(2) Chilton: NRPB</w:t>
            </w:r>
          </w:p>
        </w:tc>
      </w:tr>
      <w:tr w:rsidR="002163B8" w:rsidRPr="004D6922" w:rsidTr="00774FEC">
        <w:trPr>
          <w:cantSplit/>
          <w:trHeight w:val="20"/>
        </w:trPr>
        <w:tc>
          <w:tcPr>
            <w:tcW w:w="9072" w:type="dxa"/>
            <w:hideMark/>
          </w:tcPr>
          <w:p w:rsidR="002163B8" w:rsidRPr="00C71B8F" w:rsidRDefault="002163B8" w:rsidP="002163B8">
            <w:pPr>
              <w:pStyle w:val="RegParagraph"/>
              <w:numPr>
                <w:ilvl w:val="0"/>
                <w:numId w:val="9"/>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Salzburg municipal authorities, the Environmental Protection Office; and the company EMC – RF </w:t>
            </w:r>
            <w:proofErr w:type="spellStart"/>
            <w:r w:rsidRPr="00C71B8F">
              <w:rPr>
                <w:rFonts w:ascii="Calibri" w:hAnsi="Calibri"/>
                <w:sz w:val="19"/>
                <w:szCs w:val="19"/>
                <w:lang w:eastAsia="zh-CN" w:bidi="ar-SA"/>
              </w:rPr>
              <w:t>Szentkuti</w:t>
            </w:r>
            <w:proofErr w:type="spellEnd"/>
            <w:r w:rsidRPr="00C71B8F">
              <w:rPr>
                <w:rFonts w:ascii="Calibri" w:hAnsi="Calibri"/>
                <w:sz w:val="19"/>
                <w:szCs w:val="19"/>
                <w:lang w:eastAsia="zh-CN" w:bidi="ar-SA"/>
              </w:rPr>
              <w:t>, 2002, ‘</w:t>
            </w:r>
            <w:hyperlink r:id="rId109" w:history="1">
              <w:r w:rsidRPr="00C71B8F">
                <w:rPr>
                  <w:rStyle w:val="Hyperlink"/>
                  <w:rFonts w:ascii="Calibri" w:hAnsi="Calibri"/>
                  <w:sz w:val="19"/>
                  <w:szCs w:val="19"/>
                  <w:lang w:eastAsia="zh-CN" w:bidi="ar-SA"/>
                </w:rPr>
                <w:t xml:space="preserve">NIR Exposure of Salzburg: study set up by the Federal Office of Communications in collaboration with the research centre -ARC </w:t>
              </w:r>
              <w:proofErr w:type="spellStart"/>
              <w:r w:rsidRPr="00C71B8F">
                <w:rPr>
                  <w:rStyle w:val="Hyperlink"/>
                  <w:rFonts w:ascii="Calibri" w:hAnsi="Calibri"/>
                  <w:sz w:val="19"/>
                  <w:szCs w:val="19"/>
                  <w:lang w:eastAsia="zh-CN" w:bidi="ar-SA"/>
                </w:rPr>
                <w:t>Seibersdorf</w:t>
              </w:r>
              <w:proofErr w:type="spellEnd"/>
              <w:r w:rsidRPr="00C71B8F">
                <w:rPr>
                  <w:rStyle w:val="Hyperlink"/>
                  <w:rFonts w:ascii="Calibri" w:hAnsi="Calibri"/>
                  <w:sz w:val="19"/>
                  <w:szCs w:val="19"/>
                  <w:lang w:eastAsia="zh-CN" w:bidi="ar-SA"/>
                </w:rPr>
                <w:t xml:space="preserve"> research GmbH</w:t>
              </w:r>
            </w:hyperlink>
            <w:r w:rsidRPr="00C71B8F">
              <w:rPr>
                <w:rFonts w:ascii="Calibri" w:hAnsi="Calibri"/>
                <w:sz w:val="19"/>
                <w:szCs w:val="19"/>
                <w:lang w:eastAsia="zh-CN" w:bidi="ar-SA"/>
              </w:rPr>
              <w:t xml:space="preserve">’ </w:t>
            </w:r>
          </w:p>
        </w:tc>
      </w:tr>
      <w:tr w:rsidR="002163B8" w:rsidRPr="004D6922" w:rsidTr="00774FEC">
        <w:trPr>
          <w:cantSplit/>
          <w:trHeight w:val="20"/>
        </w:trPr>
        <w:tc>
          <w:tcPr>
            <w:tcW w:w="9072" w:type="dxa"/>
            <w:hideMark/>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z w:val="19"/>
                <w:szCs w:val="19"/>
              </w:rPr>
            </w:pPr>
            <w:r w:rsidRPr="00C71B8F">
              <w:rPr>
                <w:rFonts w:ascii="Calibri" w:hAnsi="Calibri"/>
                <w:color w:val="000000"/>
                <w:sz w:val="19"/>
                <w:szCs w:val="19"/>
                <w:lang w:eastAsia="en-GB"/>
              </w:rPr>
              <w:t>Stewart  W. 2001 'Mobile Phones and Health'  Chilton: [UK] IEGMP (Independent Expert Group on Mobile Phones)</w:t>
            </w:r>
          </w:p>
        </w:tc>
      </w:tr>
      <w:tr w:rsidR="002163B8" w:rsidRPr="004D6922" w:rsidTr="00774FEC">
        <w:trPr>
          <w:cantSplit/>
          <w:trHeight w:val="20"/>
        </w:trPr>
        <w:tc>
          <w:tcPr>
            <w:tcW w:w="9072" w:type="dxa"/>
            <w:hideMark/>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z w:val="19"/>
                <w:szCs w:val="19"/>
              </w:rPr>
            </w:pPr>
            <w:proofErr w:type="spellStart"/>
            <w:r w:rsidRPr="00C71B8F">
              <w:rPr>
                <w:rFonts w:ascii="Calibri" w:hAnsi="Calibri"/>
                <w:sz w:val="19"/>
                <w:szCs w:val="19"/>
              </w:rPr>
              <w:t>Viel</w:t>
            </w:r>
            <w:proofErr w:type="spellEnd"/>
            <w:r w:rsidRPr="00C71B8F">
              <w:rPr>
                <w:rFonts w:ascii="Calibri" w:hAnsi="Calibri"/>
                <w:sz w:val="19"/>
                <w:szCs w:val="19"/>
              </w:rPr>
              <w:t xml:space="preserve"> JF, </w:t>
            </w:r>
            <w:proofErr w:type="spellStart"/>
            <w:r w:rsidRPr="00C71B8F">
              <w:rPr>
                <w:rFonts w:ascii="Calibri" w:hAnsi="Calibri"/>
                <w:sz w:val="19"/>
                <w:szCs w:val="19"/>
              </w:rPr>
              <w:t>Clerc</w:t>
            </w:r>
            <w:proofErr w:type="spellEnd"/>
            <w:r w:rsidRPr="00C71B8F">
              <w:rPr>
                <w:rFonts w:ascii="Calibri" w:hAnsi="Calibri"/>
                <w:sz w:val="19"/>
                <w:szCs w:val="19"/>
              </w:rPr>
              <w:t xml:space="preserve"> S, Barrera C, </w:t>
            </w:r>
            <w:proofErr w:type="spellStart"/>
            <w:r w:rsidRPr="00C71B8F">
              <w:rPr>
                <w:rFonts w:ascii="Calibri" w:hAnsi="Calibri"/>
                <w:sz w:val="19"/>
                <w:szCs w:val="19"/>
              </w:rPr>
              <w:t>Rymzhanova</w:t>
            </w:r>
            <w:proofErr w:type="spellEnd"/>
            <w:r w:rsidRPr="00C71B8F">
              <w:rPr>
                <w:rFonts w:ascii="Calibri" w:hAnsi="Calibri"/>
                <w:sz w:val="19"/>
                <w:szCs w:val="19"/>
              </w:rPr>
              <w:t xml:space="preserve"> R, </w:t>
            </w:r>
            <w:proofErr w:type="spellStart"/>
            <w:r w:rsidRPr="00C71B8F">
              <w:rPr>
                <w:rFonts w:ascii="Calibri" w:hAnsi="Calibri"/>
                <w:sz w:val="19"/>
                <w:szCs w:val="19"/>
              </w:rPr>
              <w:t>Moissonnier</w:t>
            </w:r>
            <w:proofErr w:type="spellEnd"/>
            <w:r w:rsidRPr="00C71B8F">
              <w:rPr>
                <w:rFonts w:ascii="Calibri" w:hAnsi="Calibri"/>
                <w:sz w:val="19"/>
                <w:szCs w:val="19"/>
              </w:rPr>
              <w:t xml:space="preserve"> M, Hours M and </w:t>
            </w:r>
            <w:proofErr w:type="spellStart"/>
            <w:r w:rsidRPr="00C71B8F">
              <w:rPr>
                <w:rFonts w:ascii="Calibri" w:hAnsi="Calibri"/>
                <w:sz w:val="19"/>
                <w:szCs w:val="19"/>
              </w:rPr>
              <w:t>Cardis</w:t>
            </w:r>
            <w:proofErr w:type="spellEnd"/>
            <w:r w:rsidRPr="00C71B8F">
              <w:rPr>
                <w:rFonts w:ascii="Calibri" w:hAnsi="Calibri"/>
                <w:sz w:val="19"/>
                <w:szCs w:val="19"/>
              </w:rPr>
              <w:t xml:space="preserve"> E 2009, ‘</w:t>
            </w:r>
            <w:hyperlink r:id="rId110" w:history="1">
              <w:r w:rsidRPr="00C71B8F">
                <w:rPr>
                  <w:rStyle w:val="Hyperlink"/>
                  <w:rFonts w:ascii="Calibri" w:hAnsi="Calibri"/>
                  <w:sz w:val="19"/>
                  <w:szCs w:val="19"/>
                </w:rPr>
                <w:t>Residential exposure to radiofrequency fields from mobile phone base stations, and broadcast transmitters: a population-based survey with personal meter</w:t>
              </w:r>
            </w:hyperlink>
            <w:r w:rsidRPr="00C71B8F">
              <w:rPr>
                <w:rFonts w:ascii="Calibri" w:hAnsi="Calibri"/>
                <w:sz w:val="19"/>
                <w:szCs w:val="19"/>
              </w:rPr>
              <w:t xml:space="preserve">’, </w:t>
            </w:r>
            <w:r w:rsidRPr="00C71B8F">
              <w:rPr>
                <w:rFonts w:ascii="Calibri" w:hAnsi="Calibri"/>
                <w:i/>
                <w:iCs/>
                <w:sz w:val="19"/>
                <w:szCs w:val="19"/>
              </w:rPr>
              <w:t>Occupational &amp; Environmental Medicine,</w:t>
            </w:r>
            <w:r w:rsidRPr="00C71B8F">
              <w:rPr>
                <w:rFonts w:ascii="Calibri" w:hAnsi="Calibri"/>
                <w:sz w:val="19"/>
                <w:szCs w:val="19"/>
              </w:rPr>
              <w:t xml:space="preserve">  vol. 66, pp. 550-6; originally published online 30 Mar 2009, viewed 22 August 2012</w:t>
            </w:r>
          </w:p>
        </w:tc>
      </w:tr>
      <w:tr w:rsidR="002163B8" w:rsidRPr="004D6922" w:rsidTr="00774FEC">
        <w:trPr>
          <w:cantSplit/>
          <w:trHeight w:val="20"/>
        </w:trPr>
        <w:tc>
          <w:tcPr>
            <w:tcW w:w="9072" w:type="dxa"/>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 xml:space="preserve">WHO (World Health </w:t>
            </w:r>
            <w:proofErr w:type="spellStart"/>
            <w:r w:rsidRPr="00C71B8F">
              <w:rPr>
                <w:rFonts w:ascii="Calibri" w:hAnsi="Calibri"/>
                <w:snapToGrid w:val="0"/>
                <w:sz w:val="19"/>
                <w:szCs w:val="19"/>
              </w:rPr>
              <w:t>Organisation</w:t>
            </w:r>
            <w:proofErr w:type="spellEnd"/>
            <w:r w:rsidRPr="00C71B8F">
              <w:rPr>
                <w:rFonts w:ascii="Calibri" w:hAnsi="Calibri"/>
                <w:snapToGrid w:val="0"/>
                <w:sz w:val="19"/>
                <w:szCs w:val="19"/>
              </w:rPr>
              <w:t>), 2006,  Fact sheet No 304, Base stations and wireless technologies</w:t>
            </w:r>
          </w:p>
        </w:tc>
      </w:tr>
      <w:tr w:rsidR="002163B8" w:rsidRPr="00C71B8F" w:rsidTr="00774FEC">
        <w:trPr>
          <w:cantSplit/>
          <w:trHeight w:val="20"/>
        </w:trPr>
        <w:tc>
          <w:tcPr>
            <w:tcW w:w="9072" w:type="dxa"/>
            <w:hideMark/>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i/>
                <w:iCs/>
                <w:snapToGrid w:val="0"/>
                <w:sz w:val="19"/>
                <w:szCs w:val="19"/>
              </w:rPr>
            </w:pPr>
            <w:r w:rsidRPr="00C71B8F">
              <w:rPr>
                <w:rFonts w:ascii="Calibri" w:hAnsi="Calibri"/>
                <w:snapToGrid w:val="0"/>
                <w:sz w:val="19"/>
                <w:szCs w:val="19"/>
              </w:rPr>
              <w:t xml:space="preserve">WHO  2007 </w:t>
            </w:r>
            <w:proofErr w:type="spellStart"/>
            <w:r w:rsidRPr="00C71B8F">
              <w:rPr>
                <w:rFonts w:ascii="Calibri" w:hAnsi="Calibri"/>
                <w:snapToGrid w:val="0"/>
                <w:sz w:val="19"/>
                <w:szCs w:val="19"/>
              </w:rPr>
              <w:t>Repacholi</w:t>
            </w:r>
            <w:proofErr w:type="spellEnd"/>
            <w:r w:rsidRPr="00C71B8F">
              <w:rPr>
                <w:rFonts w:ascii="Calibri" w:hAnsi="Calibri"/>
                <w:snapToGrid w:val="0"/>
                <w:sz w:val="19"/>
                <w:szCs w:val="19"/>
              </w:rPr>
              <w:t xml:space="preserve"> M., van Deventer E. and </w:t>
            </w:r>
            <w:proofErr w:type="spellStart"/>
            <w:r w:rsidRPr="00C71B8F">
              <w:rPr>
                <w:rFonts w:ascii="Calibri" w:hAnsi="Calibri"/>
                <w:snapToGrid w:val="0"/>
                <w:sz w:val="19"/>
                <w:szCs w:val="19"/>
              </w:rPr>
              <w:t>Ravazzani</w:t>
            </w:r>
            <w:proofErr w:type="spellEnd"/>
            <w:r w:rsidRPr="00C71B8F">
              <w:rPr>
                <w:rFonts w:ascii="Calibri" w:hAnsi="Calibri"/>
                <w:snapToGrid w:val="0"/>
                <w:sz w:val="19"/>
                <w:szCs w:val="19"/>
              </w:rPr>
              <w:t xml:space="preserve">  P. </w:t>
            </w:r>
            <w:hyperlink r:id="rId111" w:history="1">
              <w:r w:rsidRPr="00C71B8F">
                <w:rPr>
                  <w:rStyle w:val="Hyperlink"/>
                  <w:rFonts w:ascii="Calibri" w:hAnsi="Calibri"/>
                  <w:i/>
                  <w:iCs/>
                  <w:snapToGrid w:val="0"/>
                  <w:sz w:val="19"/>
                  <w:szCs w:val="19"/>
                </w:rPr>
                <w:t>Base Stations and Wireless Networks: Exposures and Health Consequences</w:t>
              </w:r>
            </w:hyperlink>
          </w:p>
        </w:tc>
      </w:tr>
      <w:tr w:rsidR="002163B8" w:rsidRPr="004D6922" w:rsidTr="00774FEC">
        <w:trPr>
          <w:cantSplit/>
          <w:trHeight w:val="20"/>
        </w:trPr>
        <w:tc>
          <w:tcPr>
            <w:tcW w:w="9072" w:type="dxa"/>
            <w:hideMark/>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cs="TimesNewRoman"/>
                <w:color w:val="000000"/>
                <w:sz w:val="19"/>
                <w:szCs w:val="19"/>
              </w:rPr>
              <w:t xml:space="preserve">WHO 2011 Fact sheet No 193 (June 2011), </w:t>
            </w:r>
            <w:hyperlink r:id="rId112" w:history="1">
              <w:r w:rsidRPr="00C71B8F">
                <w:rPr>
                  <w:rStyle w:val="Hyperlink"/>
                  <w:rFonts w:ascii="Calibri" w:hAnsi="Calibri" w:cs="TimesNewRoman,Italic"/>
                  <w:i/>
                  <w:iCs/>
                  <w:sz w:val="19"/>
                  <w:szCs w:val="19"/>
                </w:rPr>
                <w:t>Electromagnetic fields and public health: mobilephones</w:t>
              </w:r>
            </w:hyperlink>
            <w:r w:rsidRPr="00C71B8F">
              <w:rPr>
                <w:rFonts w:ascii="Calibri" w:hAnsi="Calibri" w:cs="TimesNewRoman,Italic"/>
                <w:i/>
                <w:iCs/>
                <w:color w:val="000000"/>
                <w:sz w:val="19"/>
                <w:szCs w:val="19"/>
              </w:rPr>
              <w:t xml:space="preserve">, </w:t>
            </w:r>
            <w:hyperlink r:id="rId113" w:history="1">
              <w:r w:rsidRPr="00C71B8F">
                <w:rPr>
                  <w:rStyle w:val="Hyperlink"/>
                  <w:rFonts w:ascii="Calibri" w:hAnsi="Calibri" w:cs="Calibri"/>
                  <w:sz w:val="19"/>
                  <w:szCs w:val="19"/>
                </w:rPr>
                <w:t>http://www.who.int/mediacentre/factsheets/fs193/en/index.html</w:t>
              </w:r>
            </w:hyperlink>
            <w:r w:rsidRPr="00C71B8F">
              <w:rPr>
                <w:rFonts w:ascii="Calibri" w:hAnsi="Calibri" w:cs="TimesNewRoman"/>
                <w:color w:val="000000"/>
                <w:sz w:val="19"/>
                <w:szCs w:val="19"/>
              </w:rPr>
              <w:t>]. reviewed 26 Aug 2012</w:t>
            </w:r>
          </w:p>
        </w:tc>
      </w:tr>
      <w:tr w:rsidR="002163B8" w:rsidRPr="00C71B8F" w:rsidTr="00774FEC">
        <w:trPr>
          <w:cantSplit/>
          <w:trHeight w:val="20"/>
        </w:trPr>
        <w:tc>
          <w:tcPr>
            <w:tcW w:w="9072" w:type="dxa"/>
            <w:hideMark/>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 xml:space="preserve">WHO 2012 </w:t>
            </w:r>
            <w:hyperlink r:id="rId114" w:history="1">
              <w:r w:rsidRPr="00C71B8F">
                <w:rPr>
                  <w:rStyle w:val="Hyperlink"/>
                  <w:rFonts w:ascii="Calibri" w:hAnsi="Calibri"/>
                  <w:i/>
                  <w:iCs/>
                  <w:snapToGrid w:val="0"/>
                  <w:sz w:val="19"/>
                  <w:szCs w:val="19"/>
                </w:rPr>
                <w:t>EMF worldwide standards</w:t>
              </w:r>
            </w:hyperlink>
          </w:p>
        </w:tc>
      </w:tr>
      <w:tr w:rsidR="002163B8" w:rsidRPr="004D6922" w:rsidTr="00774FEC">
        <w:trPr>
          <w:cantSplit/>
          <w:trHeight w:val="20"/>
        </w:trPr>
        <w:tc>
          <w:tcPr>
            <w:tcW w:w="9072" w:type="dxa"/>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textAlignment w:val="baseline"/>
              <w:rPr>
                <w:rFonts w:ascii="Calibri" w:hAnsi="Calibri"/>
                <w:snapToGrid w:val="0"/>
                <w:sz w:val="19"/>
                <w:szCs w:val="19"/>
              </w:rPr>
            </w:pPr>
            <w:r w:rsidRPr="00C71B8F">
              <w:rPr>
                <w:rFonts w:ascii="Calibri" w:hAnsi="Calibri"/>
                <w:snapToGrid w:val="0"/>
                <w:sz w:val="19"/>
                <w:szCs w:val="19"/>
              </w:rPr>
              <w:t>WHO Framework for developing health-based electromagnetic field standards</w:t>
            </w:r>
          </w:p>
        </w:tc>
      </w:tr>
      <w:tr w:rsidR="002163B8" w:rsidRPr="004D6922" w:rsidTr="00774FEC">
        <w:trPr>
          <w:cantSplit/>
          <w:trHeight w:val="20"/>
        </w:trPr>
        <w:tc>
          <w:tcPr>
            <w:tcW w:w="9072" w:type="dxa"/>
            <w:hideMark/>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textAlignment w:val="baseline"/>
              <w:rPr>
                <w:rFonts w:ascii="Calibri" w:hAnsi="Calibri"/>
                <w:snapToGrid w:val="0"/>
                <w:sz w:val="19"/>
                <w:szCs w:val="19"/>
              </w:rPr>
            </w:pPr>
            <w:r w:rsidRPr="00C71B8F">
              <w:rPr>
                <w:rFonts w:ascii="Calibri" w:hAnsi="Calibri"/>
                <w:snapToGrid w:val="0"/>
                <w:sz w:val="19"/>
                <w:szCs w:val="19"/>
              </w:rPr>
              <w:t xml:space="preserve">World in 2011: </w:t>
            </w:r>
            <w:hyperlink r:id="rId115" w:history="1">
              <w:r w:rsidRPr="00C71B8F">
                <w:rPr>
                  <w:rStyle w:val="Hyperlink"/>
                  <w:rFonts w:ascii="Calibri" w:hAnsi="Calibri"/>
                  <w:snapToGrid w:val="0"/>
                  <w:sz w:val="19"/>
                  <w:szCs w:val="19"/>
                </w:rPr>
                <w:t>ICT Facts and Figures</w:t>
              </w:r>
            </w:hyperlink>
            <w:r w:rsidRPr="00C71B8F">
              <w:rPr>
                <w:rFonts w:ascii="Calibri" w:hAnsi="Calibri"/>
                <w:snapToGrid w:val="0"/>
                <w:sz w:val="19"/>
                <w:szCs w:val="19"/>
              </w:rPr>
              <w:t>, October 2011</w:t>
            </w:r>
          </w:p>
        </w:tc>
      </w:tr>
      <w:tr w:rsidR="002163B8" w:rsidRPr="004D6922" w:rsidTr="00774FEC">
        <w:trPr>
          <w:cantSplit/>
          <w:trHeight w:val="20"/>
        </w:trPr>
        <w:tc>
          <w:tcPr>
            <w:tcW w:w="9072" w:type="dxa"/>
          </w:tcPr>
          <w:p w:rsidR="002163B8" w:rsidRPr="00C71B8F" w:rsidRDefault="002163B8" w:rsidP="002163B8">
            <w:pPr>
              <w:pStyle w:val="ListParagraph"/>
              <w:numPr>
                <w:ilvl w:val="0"/>
                <w:numId w:val="9"/>
              </w:numPr>
              <w:tabs>
                <w:tab w:val="left" w:pos="794"/>
                <w:tab w:val="left" w:pos="1191"/>
                <w:tab w:val="left" w:pos="1588"/>
                <w:tab w:val="left" w:pos="1985"/>
              </w:tabs>
              <w:suppressAutoHyphens/>
              <w:overflowPunct w:val="0"/>
              <w:autoSpaceDE w:val="0"/>
              <w:spacing w:before="40" w:after="40" w:line="240" w:lineRule="auto"/>
              <w:textAlignment w:val="baseline"/>
              <w:rPr>
                <w:rFonts w:ascii="Calibri" w:hAnsi="Calibri"/>
                <w:snapToGrid w:val="0"/>
                <w:sz w:val="19"/>
                <w:szCs w:val="19"/>
              </w:rPr>
            </w:pPr>
            <w:r w:rsidRPr="00C71B8F">
              <w:rPr>
                <w:rFonts w:ascii="Calibri" w:hAnsi="Calibri"/>
                <w:snapToGrid w:val="0"/>
                <w:sz w:val="19"/>
                <w:szCs w:val="19"/>
              </w:rPr>
              <w:t xml:space="preserve">World in 2013: </w:t>
            </w:r>
            <w:hyperlink r:id="rId116" w:history="1">
              <w:r w:rsidRPr="00C71B8F">
                <w:rPr>
                  <w:rStyle w:val="Hyperlink"/>
                  <w:rFonts w:ascii="Calibri" w:hAnsi="Calibri"/>
                  <w:snapToGrid w:val="0"/>
                  <w:sz w:val="19"/>
                  <w:szCs w:val="19"/>
                </w:rPr>
                <w:t>ICT Facts and Figures</w:t>
              </w:r>
            </w:hyperlink>
            <w:r w:rsidRPr="00C71B8F">
              <w:rPr>
                <w:rFonts w:ascii="Calibri" w:hAnsi="Calibri"/>
                <w:snapToGrid w:val="0"/>
                <w:sz w:val="19"/>
                <w:szCs w:val="19"/>
              </w:rPr>
              <w:t xml:space="preserve">, February 2013 </w:t>
            </w:r>
          </w:p>
        </w:tc>
      </w:tr>
    </w:tbl>
    <w:p w:rsidR="00C729F1" w:rsidRPr="00191C79" w:rsidRDefault="002163B8" w:rsidP="002163B8">
      <w:pPr>
        <w:pStyle w:val="CEOcontributionStart"/>
        <w:spacing w:before="120"/>
        <w:jc w:val="center"/>
        <w:rPr>
          <w:lang w:val="en-US" w:eastAsia="zh-CN"/>
        </w:rPr>
      </w:pPr>
      <w:r>
        <w:rPr>
          <w:lang w:val="en-US"/>
        </w:rPr>
        <w:t>_____________</w:t>
      </w:r>
    </w:p>
    <w:sectPr w:rsidR="00C729F1" w:rsidRPr="00191C79" w:rsidSect="006F54E5">
      <w:headerReference w:type="even" r:id="rId117"/>
      <w:headerReference w:type="default" r:id="rId118"/>
      <w:footerReference w:type="even" r:id="rId119"/>
      <w:footerReference w:type="default" r:id="rId120"/>
      <w:headerReference w:type="first" r:id="rId121"/>
      <w:footerReference w:type="first" r:id="rId122"/>
      <w:endnotePr>
        <w:numFmt w:val="decimal"/>
      </w:endnotePr>
      <w:type w:val="oddPage"/>
      <w:pgSz w:w="11907" w:h="16840" w:code="9"/>
      <w:pgMar w:top="1418" w:right="1418" w:bottom="1418" w:left="1418"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1C5" w:rsidRPr="0034180A" w:rsidRDefault="004711C5" w:rsidP="00837668">
      <w:pPr>
        <w:pStyle w:val="Footer"/>
      </w:pPr>
    </w:p>
    <w:p w:rsidR="004711C5" w:rsidRDefault="004711C5"/>
    <w:p w:rsidR="004711C5" w:rsidRDefault="004711C5"/>
  </w:endnote>
  <w:endnote w:type="continuationSeparator" w:id="0">
    <w:p w:rsidR="004711C5" w:rsidRPr="0034180A" w:rsidRDefault="004711C5" w:rsidP="00837668">
      <w:pPr>
        <w:pStyle w:val="Footer"/>
      </w:pPr>
    </w:p>
    <w:p w:rsidR="004711C5" w:rsidRDefault="004711C5"/>
    <w:p w:rsidR="004711C5" w:rsidRDefault="004711C5"/>
  </w:endnote>
  <w:endnote w:type="continuationNotice" w:id="1">
    <w:p w:rsidR="004711C5" w:rsidRDefault="004711C5"/>
    <w:p w:rsidR="004711C5" w:rsidRDefault="004711C5"/>
    <w:p w:rsidR="004711C5" w:rsidRDefault="004711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1" w:subsetted="1" w:fontKey="{BD7A112C-7FEC-4857-93CB-A2D903CDA14F}"/>
    <w:embedBold r:id="rId2" w:subsetted="1" w:fontKey="{A70AE9B5-D880-4D70-849B-595F1808D49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176C6AD6-34A7-4062-A2E5-68FB16852A36}"/>
    <w:embedBold r:id="rId4" w:fontKey="{F7FEE4D4-375B-465E-A991-ED8764C4D0C7}"/>
    <w:embedItalic r:id="rId5" w:fontKey="{DDBFBB99-33EE-404E-88F6-04445FB0BE0E}"/>
    <w:embedBoldItalic r:id="rId6" w:fontKey="{8D555C16-DE76-4331-8F60-BEDBE734C1AF}"/>
  </w:font>
  <w:font w:name="Zurich UBlkEx BT">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STKaiti">
    <w:altName w:val="Times New Roman"/>
    <w:panose1 w:val="02010600040101010101"/>
    <w:charset w:val="86"/>
    <w:family w:val="auto"/>
    <w:pitch w:val="variable"/>
    <w:sig w:usb0="00000287" w:usb1="080F0000" w:usb2="00000010" w:usb3="00000000" w:csb0="0004009F" w:csb1="00000000"/>
    <w:embedRegular r:id="rId7" w:subsetted="1" w:fontKey="{319B2751-A6D5-4F08-9C4E-8104920D3EE9}"/>
    <w:embedBold r:id="rId8" w:subsetted="1" w:fontKey="{17CA445D-65D4-48B6-BADF-34EDA7CD1586}"/>
  </w:font>
  <w:font w:name="Arial Bold">
    <w:panose1 w:val="00000000000000000000"/>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CG Times">
    <w:altName w:val="Times New Roman"/>
    <w:charset w:val="EE"/>
    <w:family w:val="roman"/>
    <w:pitch w:val="variable"/>
    <w:sig w:usb0="00000005" w:usb1="00000000" w:usb2="00000000" w:usb3="00000000" w:csb0="00000002"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embedRegular r:id="rId9" w:subsetted="1" w:fontKey="{3A0C6733-7886-4F74-8862-5FFE061BA9EB}"/>
    <w:embedBold r:id="rId10" w:subsetted="1" w:fontKey="{8DD29F50-B4A3-47DA-BFB8-6C24BE7203FD}"/>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Consolas">
    <w:panose1 w:val="020B0609020204030204"/>
    <w:charset w:val="00"/>
    <w:family w:val="modern"/>
    <w:pitch w:val="fixed"/>
    <w:sig w:usb0="E10002FF" w:usb1="4000FCFF" w:usb2="00000009" w:usb3="00000000" w:csb0="0000019F" w:csb1="00000000"/>
  </w:font>
  <w:font w:name="Verdana Bold">
    <w:altName w:val="Tahoma"/>
    <w:panose1 w:val="020B080403050404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embedItalic r:id="rId11" w:subsetted="1" w:fontKey="{F6EB0ACD-A833-4385-B64E-09BB31962C6D}"/>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1"/>
    <w:family w:val="roman"/>
    <w:notTrueType/>
    <w:pitch w:val="variable"/>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Pr="00837668" w:rsidRDefault="00561C89" w:rsidP="006D2E62">
    <w:pPr>
      <w:pStyle w:val="Footer"/>
      <w:tabs>
        <w:tab w:val="clear" w:pos="794"/>
      </w:tabs>
      <w:ind w:left="0" w:right="6804"/>
      <w:jc w:val="left"/>
    </w:pPr>
    <w:r>
      <w:fldChar w:fldCharType="begin"/>
    </w:r>
    <w:r>
      <w:instrText xml:space="preserve"> PAGE </w:instrText>
    </w:r>
    <w:r>
      <w:fldChar w:fldCharType="separate"/>
    </w:r>
    <w:r w:rsidR="004D6922">
      <w:rPr>
        <w:noProof/>
      </w:rPr>
      <w:t>iv</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Default="001D3C25" w:rsidP="001D3C25">
    <w:pPr>
      <w:pStyle w:val="Footer"/>
    </w:pPr>
    <w:r w:rsidRPr="009E2BB9">
      <w:tab/>
    </w:r>
    <w:r>
      <w:fldChar w:fldCharType="begin"/>
    </w:r>
    <w:r>
      <w:instrText xml:space="preserve"> PAGE </w:instrText>
    </w:r>
    <w:r>
      <w:fldChar w:fldCharType="separate"/>
    </w:r>
    <w:r w:rsidR="004D6922">
      <w:rPr>
        <w:noProof/>
      </w:rPr>
      <w:t>24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Default="00561C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Default="00561C89" w:rsidP="006D2E62">
    <w:pPr>
      <w:pStyle w:val="Footer"/>
      <w:tabs>
        <w:tab w:val="clear" w:pos="794"/>
        <w:tab w:val="clear" w:pos="9071"/>
        <w:tab w:val="right" w:pos="9072"/>
      </w:tabs>
    </w:pPr>
    <w:r>
      <w:fldChar w:fldCharType="begin"/>
    </w:r>
    <w:r>
      <w:instrText xml:space="preserve"> PAGE </w:instrText>
    </w:r>
    <w:r>
      <w:fldChar w:fldCharType="separate"/>
    </w:r>
    <w:r w:rsidR="004D6922">
      <w:rPr>
        <w:noProof/>
      </w:rPr>
      <w:t>iii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Pr="00837668" w:rsidRDefault="00561C89" w:rsidP="00CD5F2F">
    <w:pPr>
      <w:pStyle w:val="Footer"/>
      <w:tabs>
        <w:tab w:val="clear" w:pos="794"/>
      </w:tabs>
      <w:ind w:left="0" w:right="6804"/>
      <w:jc w:val="left"/>
    </w:pPr>
    <w:r>
      <w:fldChar w:fldCharType="begin"/>
    </w:r>
    <w:r>
      <w:instrText xml:space="preserve"> PAGE </w:instrText>
    </w:r>
    <w:r>
      <w:fldChar w:fldCharType="separate"/>
    </w:r>
    <w:r w:rsidR="004D6922">
      <w:rPr>
        <w:noProof/>
      </w:rPr>
      <w:t>20</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Pr="00075AC8" w:rsidRDefault="00561C89" w:rsidP="00CD5F2F">
    <w:pPr>
      <w:pStyle w:val="Footer"/>
    </w:pPr>
    <w:r w:rsidRPr="009E2BB9">
      <w:tab/>
    </w:r>
    <w:r>
      <w:fldChar w:fldCharType="begin"/>
    </w:r>
    <w:r>
      <w:instrText xml:space="preserve"> PAGE </w:instrText>
    </w:r>
    <w:r>
      <w:fldChar w:fldCharType="separate"/>
    </w:r>
    <w:r w:rsidR="004D6922">
      <w:rPr>
        <w:noProof/>
      </w:rPr>
      <w:t>21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Default="00561C89" w:rsidP="006D2E62">
    <w:pPr>
      <w:pStyle w:val="Footer"/>
      <w:tabs>
        <w:tab w:val="clear" w:pos="794"/>
        <w:tab w:val="clear" w:pos="9071"/>
      </w:tabs>
    </w:pPr>
    <w:r>
      <w:fldChar w:fldCharType="begin"/>
    </w:r>
    <w:r>
      <w:instrText xml:space="preserve"> PAGE </w:instrText>
    </w:r>
    <w:r>
      <w:fldChar w:fldCharType="separate"/>
    </w:r>
    <w:r w:rsidR="004D6922">
      <w:rPr>
        <w:noProof/>
      </w:rPr>
      <w:t>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Default="00561C89" w:rsidP="00CD5F2F">
    <w:pPr>
      <w:spacing w:before="1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Pr="00837668" w:rsidRDefault="00561C89" w:rsidP="00CD5F2F">
    <w:pPr>
      <w:pStyle w:val="Footer"/>
      <w:tabs>
        <w:tab w:val="clear" w:pos="794"/>
      </w:tabs>
      <w:ind w:left="0" w:right="6804"/>
      <w:jc w:val="left"/>
    </w:pPr>
    <w:r>
      <w:fldChar w:fldCharType="begin"/>
    </w:r>
    <w:r>
      <w:instrText xml:space="preserve"> PAGE </w:instrText>
    </w:r>
    <w:r>
      <w:fldChar w:fldCharType="separate"/>
    </w:r>
    <w:r w:rsidR="004D6922">
      <w:rPr>
        <w:noProof/>
      </w:rPr>
      <w:t>54</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Pr="00075AC8" w:rsidRDefault="00561C89" w:rsidP="00CD5F2F">
    <w:pPr>
      <w:pStyle w:val="Footer"/>
    </w:pPr>
    <w:r w:rsidRPr="009E2BB9">
      <w:tab/>
    </w:r>
    <w:r>
      <w:fldChar w:fldCharType="begin"/>
    </w:r>
    <w:r>
      <w:instrText xml:space="preserve"> PAGE </w:instrText>
    </w:r>
    <w:r>
      <w:fldChar w:fldCharType="separate"/>
    </w:r>
    <w:r w:rsidR="004D6922">
      <w:rPr>
        <w:noProof/>
      </w:rPr>
      <w:t>53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1C5" w:rsidRDefault="004711C5" w:rsidP="009319E4">
      <w:pPr>
        <w:spacing w:after="120"/>
      </w:pPr>
      <w:r>
        <w:separator/>
      </w:r>
    </w:p>
  </w:footnote>
  <w:footnote w:type="continuationSeparator" w:id="0">
    <w:p w:rsidR="004711C5" w:rsidRDefault="004711C5">
      <w:r>
        <w:continuationSeparator/>
      </w:r>
    </w:p>
    <w:p w:rsidR="004711C5" w:rsidRDefault="004711C5"/>
    <w:p w:rsidR="004711C5" w:rsidRDefault="004711C5"/>
    <w:p w:rsidR="004711C5" w:rsidRDefault="004711C5"/>
    <w:p w:rsidR="004711C5" w:rsidRDefault="004711C5"/>
    <w:p w:rsidR="004711C5" w:rsidRDefault="004711C5"/>
  </w:footnote>
  <w:footnote w:type="continuationNotice" w:id="1">
    <w:p w:rsidR="004711C5" w:rsidRPr="006570A8" w:rsidRDefault="004711C5" w:rsidP="006570A8">
      <w:pPr>
        <w:pStyle w:val="Footer"/>
      </w:pPr>
    </w:p>
  </w:footnote>
  <w:footnote w:id="2">
    <w:p w:rsidR="00561C89" w:rsidRDefault="00561C89" w:rsidP="00AE1238">
      <w:pPr>
        <w:pStyle w:val="FootnoteText"/>
        <w:spacing w:line="240" w:lineRule="auto"/>
        <w:jc w:val="left"/>
        <w:rPr>
          <w:lang w:eastAsia="zh-CN"/>
        </w:rPr>
      </w:pPr>
      <w:r>
        <w:rPr>
          <w:rStyle w:val="FootnoteReference"/>
        </w:rPr>
        <w:footnoteRef/>
      </w:r>
      <w:r>
        <w:rPr>
          <w:lang w:eastAsia="zh-CN"/>
        </w:rPr>
        <w:t xml:space="preserve"> </w:t>
      </w:r>
      <w:r>
        <w:rPr>
          <w:rFonts w:hint="eastAsia"/>
          <w:lang w:eastAsia="zh-CN"/>
        </w:rPr>
        <w:tab/>
        <w:t>2011</w:t>
      </w:r>
      <w:r>
        <w:rPr>
          <w:rFonts w:hint="eastAsia"/>
          <w:lang w:eastAsia="zh-CN"/>
        </w:rPr>
        <w:t>年的世界：</w:t>
      </w:r>
      <w:r>
        <w:rPr>
          <w:rFonts w:hint="eastAsia"/>
          <w:lang w:eastAsia="zh-CN"/>
        </w:rPr>
        <w:t>ICT</w:t>
      </w:r>
      <w:r>
        <w:rPr>
          <w:rFonts w:hint="eastAsia"/>
          <w:lang w:eastAsia="zh-CN"/>
        </w:rPr>
        <w:t>的事实和数据，</w:t>
      </w:r>
      <w:r>
        <w:rPr>
          <w:rFonts w:hint="eastAsia"/>
          <w:lang w:eastAsia="zh-CN"/>
        </w:rPr>
        <w:t>2011</w:t>
      </w:r>
      <w:r>
        <w:rPr>
          <w:rFonts w:hint="eastAsia"/>
          <w:lang w:eastAsia="zh-CN"/>
        </w:rPr>
        <w:t>年</w:t>
      </w:r>
      <w:r>
        <w:rPr>
          <w:rFonts w:hint="eastAsia"/>
          <w:lang w:eastAsia="zh-CN"/>
        </w:rPr>
        <w:t>10</w:t>
      </w:r>
      <w:r>
        <w:rPr>
          <w:rFonts w:hint="eastAsia"/>
          <w:lang w:eastAsia="zh-CN"/>
        </w:rPr>
        <w:t>月。</w:t>
      </w:r>
    </w:p>
  </w:footnote>
  <w:footnote w:id="3">
    <w:p w:rsidR="00561C89" w:rsidRDefault="00561C89" w:rsidP="00AE1238">
      <w:pPr>
        <w:pStyle w:val="FootnoteText"/>
        <w:spacing w:line="240" w:lineRule="auto"/>
        <w:jc w:val="left"/>
        <w:rPr>
          <w:lang w:eastAsia="zh-CN"/>
        </w:rPr>
      </w:pPr>
      <w:r>
        <w:rPr>
          <w:rStyle w:val="FootnoteReference"/>
        </w:rPr>
        <w:footnoteRef/>
      </w:r>
      <w:r>
        <w:t xml:space="preserve"> </w:t>
      </w:r>
      <w:r>
        <w:rPr>
          <w:lang w:eastAsia="zh-CN"/>
        </w:rPr>
        <w:tab/>
      </w:r>
      <w:proofErr w:type="spellStart"/>
      <w:r>
        <w:rPr>
          <w:rFonts w:hint="eastAsia"/>
        </w:rPr>
        <w:t>电磁场问题讲习班</w:t>
      </w:r>
      <w:proofErr w:type="spellEnd"/>
      <w:r>
        <w:rPr>
          <w:rFonts w:hint="eastAsia"/>
        </w:rPr>
        <w:t>，</w:t>
      </w:r>
      <w:r>
        <w:rPr>
          <w:rFonts w:hint="eastAsia"/>
        </w:rPr>
        <w:t>2013</w:t>
      </w:r>
      <w:r>
        <w:rPr>
          <w:rFonts w:hint="eastAsia"/>
        </w:rPr>
        <w:t>年</w:t>
      </w:r>
      <w:r>
        <w:rPr>
          <w:rFonts w:hint="eastAsia"/>
        </w:rPr>
        <w:t>5</w:t>
      </w:r>
      <w:r>
        <w:rPr>
          <w:rFonts w:hint="eastAsia"/>
        </w:rPr>
        <w:t>月</w:t>
      </w:r>
      <w:r>
        <w:rPr>
          <w:rFonts w:hint="eastAsia"/>
        </w:rPr>
        <w:t>9</w:t>
      </w:r>
      <w:proofErr w:type="spellStart"/>
      <w:r>
        <w:rPr>
          <w:rFonts w:hint="eastAsia"/>
        </w:rPr>
        <w:t>日，意大利都灵，详细信息可见</w:t>
      </w:r>
      <w:proofErr w:type="spellEnd"/>
      <w:r>
        <w:rPr>
          <w:lang w:eastAsia="zh-CN"/>
        </w:rPr>
        <w:br/>
      </w:r>
      <w:r w:rsidRPr="007F0BC1">
        <w:rPr>
          <w:rStyle w:val="Hyperlink"/>
          <w:rFonts w:hint="eastAsia"/>
        </w:rPr>
        <w:t>http://www.itu.int/en/ITU-T/climatechange/emf-1305/Documents/Turin-Call-to-Action.pdf</w:t>
      </w:r>
    </w:p>
  </w:footnote>
  <w:footnote w:id="4">
    <w:p w:rsidR="00561C89" w:rsidRDefault="00561C89" w:rsidP="00AE1238">
      <w:pPr>
        <w:pStyle w:val="FootnoteText"/>
        <w:spacing w:line="240" w:lineRule="auto"/>
        <w:jc w:val="left"/>
        <w:rPr>
          <w:lang w:eastAsia="zh-CN"/>
        </w:rPr>
      </w:pPr>
      <w:r>
        <w:rPr>
          <w:rStyle w:val="FootnoteReference"/>
        </w:rPr>
        <w:footnoteRef/>
      </w:r>
      <w:r>
        <w:rPr>
          <w:lang w:eastAsia="zh-CN"/>
        </w:rPr>
        <w:t xml:space="preserve"> </w:t>
      </w:r>
      <w:r>
        <w:rPr>
          <w:rFonts w:hint="eastAsia"/>
          <w:lang w:eastAsia="zh-CN"/>
        </w:rPr>
        <w:tab/>
      </w:r>
      <w:r>
        <w:rPr>
          <w:rFonts w:hint="eastAsia"/>
          <w:lang w:eastAsia="zh-CN"/>
        </w:rPr>
        <w:t>世卫组织情况简报第</w:t>
      </w:r>
      <w:r>
        <w:rPr>
          <w:rFonts w:hint="eastAsia"/>
          <w:lang w:eastAsia="zh-CN"/>
        </w:rPr>
        <w:t>193</w:t>
      </w:r>
      <w:r>
        <w:rPr>
          <w:rFonts w:hint="eastAsia"/>
          <w:lang w:eastAsia="zh-CN"/>
        </w:rPr>
        <w:t>号，电磁场和公共卫生：移动电话，</w:t>
      </w:r>
      <w:r>
        <w:rPr>
          <w:rFonts w:hint="eastAsia"/>
          <w:lang w:eastAsia="zh-CN"/>
        </w:rPr>
        <w:t>2011</w:t>
      </w:r>
      <w:r>
        <w:rPr>
          <w:rFonts w:hint="eastAsia"/>
          <w:lang w:eastAsia="zh-CN"/>
        </w:rPr>
        <w:t>年</w:t>
      </w:r>
      <w:r>
        <w:rPr>
          <w:rFonts w:hint="eastAsia"/>
          <w:lang w:eastAsia="zh-CN"/>
        </w:rPr>
        <w:t>6</w:t>
      </w:r>
      <w:r>
        <w:rPr>
          <w:rFonts w:hint="eastAsia"/>
          <w:lang w:eastAsia="zh-CN"/>
        </w:rPr>
        <w:t>月</w:t>
      </w:r>
    </w:p>
  </w:footnote>
  <w:footnote w:id="5">
    <w:p w:rsidR="00561C89" w:rsidRDefault="00561C89" w:rsidP="00AE1238">
      <w:pPr>
        <w:pStyle w:val="FootnoteText"/>
        <w:spacing w:line="240" w:lineRule="auto"/>
        <w:jc w:val="left"/>
        <w:rPr>
          <w:lang w:eastAsia="zh-CN"/>
        </w:rPr>
      </w:pPr>
      <w:r>
        <w:rPr>
          <w:rStyle w:val="FootnoteReference"/>
        </w:rPr>
        <w:footnoteRef/>
      </w:r>
      <w:r>
        <w:rPr>
          <w:lang w:eastAsia="zh-CN"/>
        </w:rPr>
        <w:tab/>
      </w:r>
      <w:r>
        <w:rPr>
          <w:rFonts w:hint="eastAsia"/>
          <w:lang w:eastAsia="zh-CN"/>
        </w:rPr>
        <w:t>世卫组织情况简报第</w:t>
      </w:r>
      <w:r>
        <w:rPr>
          <w:rFonts w:hint="eastAsia"/>
          <w:lang w:eastAsia="zh-CN"/>
        </w:rPr>
        <w:t>304</w:t>
      </w:r>
      <w:r>
        <w:rPr>
          <w:rFonts w:hint="eastAsia"/>
          <w:lang w:eastAsia="zh-CN"/>
        </w:rPr>
        <w:t>号，基站和无线技术，</w:t>
      </w:r>
      <w:r>
        <w:rPr>
          <w:rFonts w:hint="eastAsia"/>
          <w:lang w:eastAsia="zh-CN"/>
        </w:rPr>
        <w:t>2006</w:t>
      </w:r>
      <w:r>
        <w:rPr>
          <w:rFonts w:hint="eastAsia"/>
          <w:lang w:eastAsia="zh-CN"/>
        </w:rPr>
        <w:t>年</w:t>
      </w:r>
      <w:r>
        <w:rPr>
          <w:rFonts w:hint="eastAsia"/>
          <w:lang w:eastAsia="zh-CN"/>
        </w:rPr>
        <w:t>5</w:t>
      </w:r>
      <w:r>
        <w:rPr>
          <w:rFonts w:hint="eastAsia"/>
          <w:lang w:eastAsia="zh-CN"/>
        </w:rPr>
        <w:t>月</w:t>
      </w:r>
    </w:p>
  </w:footnote>
  <w:footnote w:id="6">
    <w:p w:rsidR="00561C89" w:rsidRDefault="00561C89" w:rsidP="00AE1238">
      <w:pPr>
        <w:pStyle w:val="FootnoteText"/>
        <w:spacing w:line="240" w:lineRule="auto"/>
        <w:jc w:val="left"/>
        <w:rPr>
          <w:lang w:eastAsia="zh-CN"/>
        </w:rPr>
      </w:pPr>
      <w:r>
        <w:rPr>
          <w:rStyle w:val="FootnoteReference"/>
        </w:rPr>
        <w:footnoteRef/>
      </w:r>
      <w:r>
        <w:rPr>
          <w:lang w:eastAsia="zh-CN"/>
        </w:rPr>
        <w:t xml:space="preserve"> </w:t>
      </w:r>
      <w:r>
        <w:rPr>
          <w:lang w:eastAsia="zh-CN"/>
        </w:rPr>
        <w:tab/>
      </w:r>
      <w:r>
        <w:rPr>
          <w:rFonts w:hint="eastAsia"/>
          <w:lang w:eastAsia="zh-CN"/>
        </w:rPr>
        <w:t>2012</w:t>
      </w:r>
      <w:r>
        <w:rPr>
          <w:rFonts w:hint="eastAsia"/>
          <w:lang w:eastAsia="zh-CN"/>
        </w:rPr>
        <w:t>年世卫组织无线电频率电磁场风险管理政策调查的分析摘要。提交世卫组织无线电频率政策国际利益攸关方讲习班（</w:t>
      </w:r>
      <w:r>
        <w:rPr>
          <w:rFonts w:hint="eastAsia"/>
          <w:lang w:eastAsia="zh-CN"/>
        </w:rPr>
        <w:t>2013</w:t>
      </w:r>
      <w:r>
        <w:rPr>
          <w:rFonts w:hint="eastAsia"/>
          <w:lang w:eastAsia="zh-CN"/>
        </w:rPr>
        <w:t>年</w:t>
      </w:r>
      <w:r>
        <w:rPr>
          <w:rFonts w:hint="eastAsia"/>
          <w:lang w:eastAsia="zh-CN"/>
        </w:rPr>
        <w:t>6</w:t>
      </w:r>
      <w:r>
        <w:rPr>
          <w:rFonts w:hint="eastAsia"/>
          <w:lang w:eastAsia="zh-CN"/>
        </w:rPr>
        <w:t>月</w:t>
      </w:r>
      <w:r>
        <w:rPr>
          <w:rFonts w:hint="eastAsia"/>
          <w:lang w:eastAsia="zh-CN"/>
        </w:rPr>
        <w:t>5</w:t>
      </w:r>
      <w:r>
        <w:rPr>
          <w:rFonts w:hint="eastAsia"/>
          <w:lang w:eastAsia="zh-CN"/>
        </w:rPr>
        <w:t>日，法国巴黎）供讨论的背景文件，</w:t>
      </w:r>
      <w:r>
        <w:rPr>
          <w:rFonts w:hint="eastAsia"/>
          <w:lang w:eastAsia="zh-CN"/>
        </w:rPr>
        <w:t>2013</w:t>
      </w:r>
      <w:r>
        <w:rPr>
          <w:rFonts w:hint="eastAsia"/>
          <w:lang w:eastAsia="zh-CN"/>
        </w:rPr>
        <w:t>年</w:t>
      </w:r>
      <w:r>
        <w:rPr>
          <w:rFonts w:hint="eastAsia"/>
          <w:lang w:eastAsia="zh-CN"/>
        </w:rPr>
        <w:t>5</w:t>
      </w:r>
      <w:r>
        <w:rPr>
          <w:rFonts w:hint="eastAsia"/>
          <w:lang w:eastAsia="zh-CN"/>
        </w:rPr>
        <w:t>月。作者：</w:t>
      </w:r>
      <w:r>
        <w:rPr>
          <w:rFonts w:hint="eastAsia"/>
          <w:lang w:eastAsia="zh-CN"/>
        </w:rPr>
        <w:t xml:space="preserve">Denis </w:t>
      </w:r>
      <w:proofErr w:type="spellStart"/>
      <w:r>
        <w:rPr>
          <w:rFonts w:hint="eastAsia"/>
          <w:lang w:eastAsia="zh-CN"/>
        </w:rPr>
        <w:t>Zmirou-Navier</w:t>
      </w:r>
      <w:proofErr w:type="spellEnd"/>
      <w:r>
        <w:rPr>
          <w:rFonts w:hint="eastAsia"/>
          <w:lang w:eastAsia="zh-CN"/>
        </w:rPr>
        <w:t>、</w:t>
      </w:r>
      <w:r>
        <w:rPr>
          <w:rFonts w:hint="eastAsia"/>
          <w:lang w:eastAsia="zh-CN"/>
        </w:rPr>
        <w:t xml:space="preserve">Amit </w:t>
      </w:r>
      <w:proofErr w:type="spellStart"/>
      <w:r>
        <w:rPr>
          <w:rFonts w:hint="eastAsia"/>
          <w:lang w:eastAsia="zh-CN"/>
        </w:rPr>
        <w:t>Dhungel</w:t>
      </w:r>
      <w:proofErr w:type="spellEnd"/>
      <w:r>
        <w:rPr>
          <w:rFonts w:hint="eastAsia"/>
          <w:lang w:eastAsia="zh-CN"/>
        </w:rPr>
        <w:t>和</w:t>
      </w:r>
      <w:r>
        <w:rPr>
          <w:rFonts w:hint="eastAsia"/>
          <w:lang w:eastAsia="zh-CN"/>
        </w:rPr>
        <w:t>Cl</w:t>
      </w:r>
      <w:r>
        <w:rPr>
          <w:rFonts w:hint="eastAsia"/>
          <w:lang w:eastAsia="zh-CN"/>
        </w:rPr>
        <w:t>é</w:t>
      </w:r>
      <w:proofErr w:type="spellStart"/>
      <w:r>
        <w:rPr>
          <w:rFonts w:hint="eastAsia"/>
          <w:lang w:eastAsia="zh-CN"/>
        </w:rPr>
        <w:t>mence</w:t>
      </w:r>
      <w:proofErr w:type="spellEnd"/>
      <w:r>
        <w:rPr>
          <w:rFonts w:hint="eastAsia"/>
          <w:lang w:eastAsia="zh-CN"/>
        </w:rPr>
        <w:t xml:space="preserve"> </w:t>
      </w:r>
      <w:proofErr w:type="spellStart"/>
      <w:r>
        <w:rPr>
          <w:rFonts w:hint="eastAsia"/>
          <w:lang w:eastAsia="zh-CN"/>
        </w:rPr>
        <w:t>Varret</w:t>
      </w:r>
      <w:proofErr w:type="spellEnd"/>
      <w:r>
        <w:rPr>
          <w:rFonts w:hint="eastAsia"/>
          <w:lang w:eastAsia="zh-CN"/>
        </w:rPr>
        <w:t>（公共卫生高等研究学院（</w:t>
      </w:r>
      <w:r>
        <w:rPr>
          <w:rFonts w:hint="eastAsia"/>
          <w:lang w:eastAsia="zh-CN"/>
        </w:rPr>
        <w:t>EHESP</w:t>
      </w:r>
      <w:r>
        <w:rPr>
          <w:rFonts w:hint="eastAsia"/>
          <w:lang w:eastAsia="zh-CN"/>
        </w:rPr>
        <w:t>）环境与职业卫生系，法国雷恩；洛林大学医学院，法国南锡）</w:t>
      </w:r>
    </w:p>
  </w:footnote>
  <w:footnote w:id="7">
    <w:p w:rsidR="00561C89" w:rsidRDefault="00561C89" w:rsidP="00AE1238">
      <w:pPr>
        <w:pStyle w:val="FootnoteText"/>
        <w:spacing w:line="240" w:lineRule="auto"/>
        <w:jc w:val="left"/>
        <w:rPr>
          <w:lang w:eastAsia="zh-CN"/>
        </w:rPr>
      </w:pPr>
      <w:r>
        <w:rPr>
          <w:rStyle w:val="FootnoteReference"/>
        </w:rPr>
        <w:footnoteRef/>
      </w:r>
      <w:r>
        <w:rPr>
          <w:lang w:eastAsia="zh-CN"/>
        </w:rPr>
        <w:t xml:space="preserve"> </w:t>
      </w:r>
      <w:r>
        <w:rPr>
          <w:lang w:eastAsia="zh-CN"/>
        </w:rPr>
        <w:tab/>
      </w:r>
      <w:r w:rsidRPr="00820A2F">
        <w:rPr>
          <w:rFonts w:asciiTheme="minorHAnsi" w:hAnsiTheme="minorHAnsi"/>
          <w:lang w:eastAsia="zh-CN"/>
        </w:rPr>
        <w:t>ALARA</w:t>
      </w:r>
      <w:r>
        <w:rPr>
          <w:rFonts w:ascii="Verdana" w:hAnsi="Verdana" w:hint="eastAsia"/>
          <w:lang w:eastAsia="zh-CN"/>
        </w:rPr>
        <w:t>即可合理达到的最低水平</w:t>
      </w:r>
    </w:p>
  </w:footnote>
  <w:footnote w:id="8">
    <w:p w:rsidR="00561C89" w:rsidRDefault="00561C89" w:rsidP="00AE1238">
      <w:pPr>
        <w:pStyle w:val="FootnoteText"/>
        <w:spacing w:line="240" w:lineRule="auto"/>
        <w:jc w:val="left"/>
        <w:rPr>
          <w:lang w:eastAsia="zh-CN"/>
        </w:rPr>
      </w:pPr>
      <w:r>
        <w:rPr>
          <w:rStyle w:val="FootnoteReference"/>
        </w:rPr>
        <w:footnoteRef/>
      </w:r>
      <w:r>
        <w:rPr>
          <w:lang w:eastAsia="zh-CN"/>
        </w:rPr>
        <w:tab/>
      </w:r>
      <w:r>
        <w:rPr>
          <w:rFonts w:hint="eastAsia"/>
          <w:lang w:eastAsia="zh-CN"/>
        </w:rPr>
        <w:t>报告草案的免责声明称：“本报告草案中的信息是基于</w:t>
      </w:r>
      <w:r>
        <w:rPr>
          <w:rFonts w:hint="eastAsia"/>
          <w:lang w:eastAsia="zh-CN"/>
        </w:rPr>
        <w:t>2012</w:t>
      </w:r>
      <w:r>
        <w:rPr>
          <w:rFonts w:hint="eastAsia"/>
          <w:lang w:eastAsia="zh-CN"/>
        </w:rPr>
        <w:t>年开展的国际调查的回复，信息尚需核实。该资料的发行没有任何明确或隐含的担保。资料的解释和使用责任由读者自负。”</w:t>
      </w:r>
    </w:p>
  </w:footnote>
  <w:footnote w:id="9">
    <w:p w:rsidR="00561C89" w:rsidRDefault="00561C89" w:rsidP="00AE1238">
      <w:pPr>
        <w:pStyle w:val="FootnoteText"/>
        <w:spacing w:line="240" w:lineRule="auto"/>
        <w:jc w:val="left"/>
        <w:rPr>
          <w:lang w:eastAsia="zh-CN"/>
        </w:rPr>
      </w:pPr>
      <w:r>
        <w:rPr>
          <w:rStyle w:val="FootnoteReference"/>
        </w:rPr>
        <w:footnoteRef/>
      </w:r>
      <w:r>
        <w:rPr>
          <w:lang w:eastAsia="zh-CN"/>
        </w:rPr>
        <w:tab/>
      </w:r>
      <w:r>
        <w:rPr>
          <w:rFonts w:hint="eastAsia"/>
          <w:lang w:eastAsia="zh-CN"/>
        </w:rPr>
        <w:t>FCC</w:t>
      </w:r>
      <w:r>
        <w:rPr>
          <w:rFonts w:hint="eastAsia"/>
          <w:lang w:eastAsia="zh-CN"/>
        </w:rPr>
        <w:t>即美国联邦通信委员会</w:t>
      </w:r>
    </w:p>
  </w:footnote>
  <w:footnote w:id="10">
    <w:p w:rsidR="00561C89" w:rsidRDefault="00561C89" w:rsidP="00AE1238">
      <w:pPr>
        <w:pStyle w:val="FootnoteText"/>
        <w:spacing w:line="240" w:lineRule="auto"/>
        <w:jc w:val="left"/>
        <w:rPr>
          <w:lang w:eastAsia="zh-CN"/>
        </w:rPr>
      </w:pPr>
      <w:r>
        <w:rPr>
          <w:rStyle w:val="FootnoteReference"/>
        </w:rPr>
        <w:footnoteRef/>
      </w:r>
      <w:r>
        <w:t xml:space="preserve"> </w:t>
      </w:r>
      <w:r>
        <w:rPr>
          <w:rFonts w:hint="eastAsia"/>
          <w:lang w:eastAsia="zh-CN"/>
        </w:rPr>
        <w:tab/>
      </w:r>
      <w:proofErr w:type="spellStart"/>
      <w:r>
        <w:rPr>
          <w:rFonts w:hint="eastAsia"/>
        </w:rPr>
        <w:t>电磁场和公共卫生：防护政策（世卫组织背景资料</w:t>
      </w:r>
      <w:proofErr w:type="spellEnd"/>
      <w:r>
        <w:rPr>
          <w:rFonts w:hint="eastAsia"/>
        </w:rPr>
        <w:t>，</w:t>
      </w:r>
      <w:r>
        <w:rPr>
          <w:rFonts w:hint="eastAsia"/>
        </w:rPr>
        <w:t>2000</w:t>
      </w:r>
      <w:r>
        <w:rPr>
          <w:rFonts w:hint="eastAsia"/>
        </w:rPr>
        <w:t>年</w:t>
      </w:r>
      <w:r>
        <w:rPr>
          <w:rFonts w:hint="eastAsia"/>
        </w:rPr>
        <w:t>3</w:t>
      </w:r>
      <w:proofErr w:type="spellStart"/>
      <w:r>
        <w:rPr>
          <w:rFonts w:hint="eastAsia"/>
        </w:rPr>
        <w:t>月）可见</w:t>
      </w:r>
      <w:proofErr w:type="spellEnd"/>
      <w:r>
        <w:rPr>
          <w:rFonts w:hint="eastAsia"/>
        </w:rPr>
        <w:t>：</w:t>
      </w:r>
      <w:r w:rsidRPr="007F0BC1">
        <w:rPr>
          <w:rStyle w:val="Hyperlink"/>
          <w:rFonts w:hint="eastAsia"/>
        </w:rPr>
        <w:t>http://www.who.int/docstore/peh-emf/publications/facts_press/EMF-Precaution.htm</w:t>
      </w:r>
    </w:p>
  </w:footnote>
  <w:footnote w:id="11">
    <w:p w:rsidR="00561C89" w:rsidRPr="00FC2028" w:rsidRDefault="00561C89" w:rsidP="00AE1238">
      <w:pPr>
        <w:pStyle w:val="FootnoteText"/>
        <w:spacing w:line="240" w:lineRule="auto"/>
        <w:jc w:val="left"/>
        <w:rPr>
          <w:lang w:val="fr-CH" w:eastAsia="zh-CN"/>
        </w:rPr>
      </w:pPr>
      <w:r>
        <w:rPr>
          <w:rStyle w:val="FootnoteReference"/>
        </w:rPr>
        <w:footnoteRef/>
      </w:r>
      <w:r w:rsidRPr="00FC2028">
        <w:rPr>
          <w:lang w:val="fr-CH"/>
        </w:rPr>
        <w:t xml:space="preserve"> </w:t>
      </w:r>
      <w:r w:rsidRPr="00FC2028">
        <w:rPr>
          <w:rFonts w:hint="eastAsia"/>
          <w:lang w:val="fr-CH" w:eastAsia="zh-CN"/>
        </w:rPr>
        <w:tab/>
      </w:r>
      <w:r w:rsidRPr="007F0BC1">
        <w:rPr>
          <w:rStyle w:val="Hyperlink"/>
          <w:lang w:val="fr-CH"/>
        </w:rPr>
        <w:t>http://www.sviva.gov.il/subjectsEnv/Radiation/Communication_Facilities/cellular/Documents/ shidur_selulariim_peilim_1.xls</w:t>
      </w:r>
    </w:p>
  </w:footnote>
  <w:footnote w:id="12">
    <w:p w:rsidR="00561C89" w:rsidRPr="00FC2028" w:rsidRDefault="00561C89" w:rsidP="00AE1238">
      <w:pPr>
        <w:pStyle w:val="FootnoteText"/>
        <w:tabs>
          <w:tab w:val="clear" w:pos="794"/>
          <w:tab w:val="left" w:pos="567"/>
        </w:tabs>
        <w:spacing w:line="240" w:lineRule="auto"/>
        <w:jc w:val="left"/>
        <w:rPr>
          <w:lang w:val="fr-CH" w:eastAsia="zh-CN"/>
        </w:rPr>
      </w:pPr>
      <w:r>
        <w:rPr>
          <w:rStyle w:val="FootnoteReference"/>
        </w:rPr>
        <w:footnoteRef/>
      </w:r>
      <w:r w:rsidRPr="00FC2028">
        <w:rPr>
          <w:lang w:val="fr-CH"/>
        </w:rPr>
        <w:t xml:space="preserve"> </w:t>
      </w:r>
      <w:r w:rsidRPr="00FC2028">
        <w:rPr>
          <w:lang w:val="fr-CH" w:eastAsia="zh-CN"/>
        </w:rPr>
        <w:tab/>
      </w:r>
      <w:r w:rsidRPr="00FC2028">
        <w:rPr>
          <w:rFonts w:hint="eastAsia"/>
          <w:lang w:val="fr-CH" w:eastAsia="zh-CN"/>
        </w:rPr>
        <w:t xml:space="preserve">a) </w:t>
      </w:r>
      <w:r>
        <w:rPr>
          <w:lang w:val="fr-CH" w:eastAsia="zh-CN"/>
        </w:rPr>
        <w:tab/>
      </w:r>
      <w:r>
        <w:rPr>
          <w:rFonts w:hint="eastAsia"/>
          <w:lang w:eastAsia="zh-CN"/>
        </w:rPr>
        <w:t>电磁场之旅</w:t>
      </w:r>
      <w:r w:rsidRPr="00FC2028">
        <w:rPr>
          <w:rFonts w:hint="eastAsia"/>
          <w:lang w:val="fr-CH" w:eastAsia="zh-CN"/>
        </w:rPr>
        <w:t>，</w:t>
      </w:r>
      <w:r>
        <w:rPr>
          <w:rFonts w:hint="eastAsia"/>
          <w:lang w:eastAsia="zh-CN"/>
        </w:rPr>
        <w:t>可见</w:t>
      </w:r>
      <w:r w:rsidRPr="007F0BC1">
        <w:rPr>
          <w:rStyle w:val="Hyperlink"/>
          <w:rFonts w:hint="eastAsia"/>
          <w:lang w:val="fr-CH" w:eastAsia="zh-CN"/>
        </w:rPr>
        <w:t>http://www.dot.gov.in/access-services/journey-emf</w:t>
      </w:r>
    </w:p>
    <w:p w:rsidR="00561C89" w:rsidRPr="000553C2" w:rsidRDefault="00561C89" w:rsidP="00AE1238">
      <w:pPr>
        <w:pStyle w:val="FootnoteText"/>
        <w:tabs>
          <w:tab w:val="clear" w:pos="794"/>
          <w:tab w:val="left" w:pos="567"/>
        </w:tabs>
        <w:spacing w:line="240" w:lineRule="auto"/>
        <w:jc w:val="left"/>
        <w:rPr>
          <w:lang w:val="fr-CH" w:eastAsia="zh-CN"/>
        </w:rPr>
      </w:pPr>
      <w:r>
        <w:rPr>
          <w:lang w:val="fr-CH" w:eastAsia="zh-CN"/>
        </w:rPr>
        <w:tab/>
      </w:r>
      <w:r w:rsidRPr="000553C2">
        <w:rPr>
          <w:rFonts w:hint="eastAsia"/>
          <w:lang w:val="fr-CH" w:eastAsia="zh-CN"/>
        </w:rPr>
        <w:t xml:space="preserve">b) </w:t>
      </w:r>
      <w:r w:rsidRPr="000553C2">
        <w:rPr>
          <w:lang w:val="fr-CH" w:eastAsia="zh-CN"/>
        </w:rPr>
        <w:tab/>
      </w:r>
      <w:r>
        <w:rPr>
          <w:rFonts w:hint="eastAsia"/>
          <w:lang w:eastAsia="zh-CN"/>
        </w:rPr>
        <w:t>自</w:t>
      </w:r>
      <w:r w:rsidRPr="000553C2">
        <w:rPr>
          <w:rFonts w:hint="eastAsia"/>
          <w:lang w:val="fr-CH" w:eastAsia="zh-CN"/>
        </w:rPr>
        <w:t>2012</w:t>
      </w:r>
      <w:r>
        <w:rPr>
          <w:rFonts w:hint="eastAsia"/>
          <w:lang w:eastAsia="zh-CN"/>
        </w:rPr>
        <w:t>年</w:t>
      </w:r>
      <w:r w:rsidRPr="000553C2">
        <w:rPr>
          <w:rFonts w:hint="eastAsia"/>
          <w:lang w:val="fr-CH" w:eastAsia="zh-CN"/>
        </w:rPr>
        <w:t>9</w:t>
      </w:r>
      <w:r>
        <w:rPr>
          <w:rFonts w:hint="eastAsia"/>
          <w:lang w:eastAsia="zh-CN"/>
        </w:rPr>
        <w:t>月</w:t>
      </w:r>
      <w:r w:rsidRPr="000553C2">
        <w:rPr>
          <w:rFonts w:hint="eastAsia"/>
          <w:lang w:val="fr-CH" w:eastAsia="zh-CN"/>
        </w:rPr>
        <w:t>1</w:t>
      </w:r>
      <w:r>
        <w:rPr>
          <w:rFonts w:hint="eastAsia"/>
          <w:lang w:eastAsia="zh-CN"/>
        </w:rPr>
        <w:t>日起生效的新</w:t>
      </w:r>
      <w:r w:rsidRPr="000553C2">
        <w:rPr>
          <w:rFonts w:hint="eastAsia"/>
          <w:lang w:val="fr-CH" w:eastAsia="zh-CN"/>
        </w:rPr>
        <w:t>SAR</w:t>
      </w:r>
      <w:r>
        <w:rPr>
          <w:rFonts w:hint="eastAsia"/>
          <w:lang w:eastAsia="zh-CN"/>
        </w:rPr>
        <w:t>值</w:t>
      </w:r>
      <w:r w:rsidRPr="000553C2">
        <w:rPr>
          <w:rFonts w:hint="eastAsia"/>
          <w:lang w:val="fr-CH" w:eastAsia="zh-CN"/>
        </w:rPr>
        <w:t>，</w:t>
      </w:r>
      <w:r>
        <w:rPr>
          <w:rFonts w:hint="eastAsia"/>
          <w:lang w:eastAsia="zh-CN"/>
        </w:rPr>
        <w:t>可查阅</w:t>
      </w:r>
      <w:r w:rsidRPr="000553C2">
        <w:rPr>
          <w:rFonts w:hint="eastAsia"/>
          <w:lang w:val="fr-CH" w:eastAsia="zh-CN"/>
        </w:rPr>
        <w:t>：</w:t>
      </w:r>
      <w:r w:rsidRPr="000553C2">
        <w:rPr>
          <w:rStyle w:val="Hyperlink"/>
          <w:rFonts w:hint="eastAsia"/>
          <w:lang w:val="fr-CH" w:eastAsia="zh-CN"/>
        </w:rPr>
        <w:t>http://www.dot.gov.in/sites/default/files/Revision%20of%20SAR%20Limit%20mobile%20handsets.pdf</w:t>
      </w:r>
    </w:p>
    <w:p w:rsidR="00561C89" w:rsidRDefault="00561C89" w:rsidP="00AE1238">
      <w:pPr>
        <w:pStyle w:val="FootnoteText"/>
        <w:tabs>
          <w:tab w:val="clear" w:pos="794"/>
          <w:tab w:val="left" w:pos="567"/>
        </w:tabs>
        <w:spacing w:line="240" w:lineRule="auto"/>
        <w:jc w:val="left"/>
        <w:rPr>
          <w:lang w:eastAsia="zh-CN"/>
        </w:rPr>
      </w:pPr>
      <w:r w:rsidRPr="000553C2">
        <w:rPr>
          <w:lang w:val="fr-CH" w:eastAsia="zh-CN"/>
        </w:rPr>
        <w:tab/>
      </w:r>
      <w:r>
        <w:rPr>
          <w:rFonts w:hint="eastAsia"/>
          <w:lang w:eastAsia="zh-CN"/>
        </w:rPr>
        <w:t>c)</w:t>
      </w:r>
      <w:r>
        <w:rPr>
          <w:lang w:eastAsia="zh-CN"/>
        </w:rPr>
        <w:tab/>
      </w:r>
      <w:r>
        <w:rPr>
          <w:rFonts w:hint="eastAsia"/>
          <w:lang w:eastAsia="zh-CN"/>
        </w:rPr>
        <w:t>自</w:t>
      </w:r>
      <w:r>
        <w:rPr>
          <w:rFonts w:hint="eastAsia"/>
          <w:lang w:eastAsia="zh-CN"/>
        </w:rPr>
        <w:t>2012</w:t>
      </w:r>
      <w:r>
        <w:rPr>
          <w:rFonts w:hint="eastAsia"/>
          <w:lang w:eastAsia="zh-CN"/>
        </w:rPr>
        <w:t>年</w:t>
      </w:r>
      <w:r>
        <w:rPr>
          <w:rFonts w:hint="eastAsia"/>
          <w:lang w:eastAsia="zh-CN"/>
        </w:rPr>
        <w:t>9</w:t>
      </w:r>
      <w:r>
        <w:rPr>
          <w:rFonts w:hint="eastAsia"/>
          <w:lang w:eastAsia="zh-CN"/>
        </w:rPr>
        <w:t>月</w:t>
      </w:r>
      <w:r>
        <w:rPr>
          <w:rFonts w:hint="eastAsia"/>
          <w:lang w:eastAsia="zh-CN"/>
        </w:rPr>
        <w:t>1</w:t>
      </w:r>
      <w:r>
        <w:rPr>
          <w:rFonts w:hint="eastAsia"/>
          <w:lang w:eastAsia="zh-CN"/>
        </w:rPr>
        <w:t>日起生效的修订暴露限值</w:t>
      </w:r>
      <w:r>
        <w:rPr>
          <w:rFonts w:hint="eastAsia"/>
          <w:lang w:eastAsia="zh-CN"/>
        </w:rPr>
        <w:t xml:space="preserve"> </w:t>
      </w:r>
    </w:p>
    <w:p w:rsidR="00561C89" w:rsidRDefault="00561C89" w:rsidP="00AE1238">
      <w:pPr>
        <w:pStyle w:val="FootnoteText"/>
        <w:tabs>
          <w:tab w:val="clear" w:pos="794"/>
          <w:tab w:val="left" w:pos="567"/>
        </w:tabs>
        <w:spacing w:line="240" w:lineRule="auto"/>
        <w:jc w:val="left"/>
        <w:rPr>
          <w:lang w:eastAsia="zh-CN"/>
        </w:rPr>
      </w:pPr>
      <w:r>
        <w:rPr>
          <w:lang w:eastAsia="zh-CN"/>
        </w:rPr>
        <w:tab/>
      </w:r>
      <w:r>
        <w:rPr>
          <w:rFonts w:hint="eastAsia"/>
          <w:lang w:eastAsia="zh-CN"/>
        </w:rPr>
        <w:t>d)</w:t>
      </w:r>
      <w:r>
        <w:rPr>
          <w:lang w:eastAsia="zh-CN"/>
        </w:rPr>
        <w:tab/>
      </w:r>
      <w:r>
        <w:rPr>
          <w:rFonts w:hint="eastAsia"/>
          <w:lang w:eastAsia="zh-CN"/>
        </w:rPr>
        <w:t>自</w:t>
      </w:r>
      <w:r>
        <w:rPr>
          <w:rFonts w:hint="eastAsia"/>
          <w:lang w:eastAsia="zh-CN"/>
        </w:rPr>
        <w:t>2013</w:t>
      </w:r>
      <w:r>
        <w:rPr>
          <w:rFonts w:hint="eastAsia"/>
          <w:lang w:eastAsia="zh-CN"/>
        </w:rPr>
        <w:t>年</w:t>
      </w:r>
      <w:r>
        <w:rPr>
          <w:rFonts w:hint="eastAsia"/>
          <w:lang w:eastAsia="zh-CN"/>
        </w:rPr>
        <w:t>8</w:t>
      </w:r>
      <w:r>
        <w:rPr>
          <w:rFonts w:hint="eastAsia"/>
          <w:lang w:eastAsia="zh-CN"/>
        </w:rPr>
        <w:t>月</w:t>
      </w:r>
      <w:r>
        <w:rPr>
          <w:rFonts w:hint="eastAsia"/>
          <w:lang w:eastAsia="zh-CN"/>
        </w:rPr>
        <w:t>1</w:t>
      </w:r>
      <w:r>
        <w:rPr>
          <w:rFonts w:hint="eastAsia"/>
          <w:lang w:eastAsia="zh-CN"/>
        </w:rPr>
        <w:t>日起生效的移动塔架安装修订建议导则，</w:t>
      </w:r>
      <w:r w:rsidRPr="007F0BC1">
        <w:rPr>
          <w:rStyle w:val="Hyperlink"/>
          <w:rFonts w:hint="eastAsia"/>
          <w:lang w:eastAsia="zh-CN"/>
        </w:rPr>
        <w:t>http://www.dot.gov.in/sites/default/files/Advisory%20Guidelines%20For%20State%20Govts%20effective%20from%2001-08-13.pdf</w:t>
      </w:r>
    </w:p>
    <w:p w:rsidR="00561C89" w:rsidRPr="007F0BC1" w:rsidRDefault="00561C89" w:rsidP="00AE1238">
      <w:pPr>
        <w:pStyle w:val="FootnoteText"/>
        <w:tabs>
          <w:tab w:val="clear" w:pos="794"/>
          <w:tab w:val="left" w:pos="567"/>
        </w:tabs>
        <w:spacing w:line="240" w:lineRule="auto"/>
        <w:jc w:val="left"/>
        <w:rPr>
          <w:lang w:eastAsia="zh-CN"/>
        </w:rPr>
      </w:pPr>
      <w:r>
        <w:rPr>
          <w:lang w:eastAsia="zh-CN"/>
        </w:rPr>
        <w:tab/>
      </w:r>
      <w:r w:rsidRPr="007F0BC1">
        <w:rPr>
          <w:rFonts w:hint="eastAsia"/>
          <w:lang w:eastAsia="zh-CN"/>
        </w:rPr>
        <w:t>e)</w:t>
      </w:r>
      <w:r w:rsidRPr="007F0BC1">
        <w:rPr>
          <w:lang w:eastAsia="zh-CN"/>
        </w:rPr>
        <w:tab/>
      </w:r>
      <w:r>
        <w:rPr>
          <w:rFonts w:hint="eastAsia"/>
          <w:lang w:eastAsia="zh-CN"/>
        </w:rPr>
        <w:t>移动电话使用防护导则</w:t>
      </w:r>
      <w:r w:rsidRPr="007F0BC1">
        <w:rPr>
          <w:rFonts w:hint="eastAsia"/>
          <w:lang w:eastAsia="zh-CN"/>
        </w:rPr>
        <w:t>，</w:t>
      </w:r>
      <w:r w:rsidRPr="007F0BC1">
        <w:rPr>
          <w:rStyle w:val="Hyperlink"/>
          <w:rFonts w:hint="eastAsia"/>
          <w:lang w:eastAsia="zh-CN"/>
        </w:rPr>
        <w:t>http://www.dot.gov.in/sites/default/files/Precautionary%20Guidelines%20for%20mobile%20Users.pdf</w:t>
      </w:r>
    </w:p>
    <w:p w:rsidR="00561C89" w:rsidRDefault="00561C89" w:rsidP="00AE1238">
      <w:pPr>
        <w:pStyle w:val="FootnoteText"/>
        <w:tabs>
          <w:tab w:val="clear" w:pos="794"/>
          <w:tab w:val="left" w:pos="567"/>
        </w:tabs>
        <w:spacing w:line="240" w:lineRule="auto"/>
        <w:jc w:val="left"/>
        <w:rPr>
          <w:lang w:eastAsia="zh-CN"/>
        </w:rPr>
      </w:pPr>
      <w:r>
        <w:rPr>
          <w:lang w:eastAsia="zh-CN"/>
        </w:rPr>
        <w:tab/>
      </w:r>
      <w:r>
        <w:rPr>
          <w:rFonts w:hint="eastAsia"/>
          <w:lang w:eastAsia="zh-CN"/>
        </w:rPr>
        <w:t>f)</w:t>
      </w:r>
      <w:r>
        <w:rPr>
          <w:lang w:eastAsia="zh-CN"/>
        </w:rPr>
        <w:tab/>
      </w:r>
      <w:r>
        <w:rPr>
          <w:rFonts w:hint="eastAsia"/>
          <w:lang w:eastAsia="zh-CN"/>
        </w:rPr>
        <w:t>移动通信手册——无线电波与安全，</w:t>
      </w:r>
      <w:r w:rsidRPr="007F0BC1">
        <w:rPr>
          <w:rStyle w:val="Hyperlink"/>
          <w:rFonts w:hint="eastAsia"/>
          <w:lang w:eastAsia="zh-CN"/>
        </w:rPr>
        <w:t>http://www.dot.gov.in/sites/default/files/Mobile%20Communication-Radio%20Waves%20and%20Safety%2010th%20sept%2012%20final.pdf</w:t>
      </w:r>
    </w:p>
    <w:p w:rsidR="00561C89" w:rsidRDefault="00561C89" w:rsidP="00AE1238">
      <w:pPr>
        <w:pStyle w:val="FootnoteText"/>
        <w:tabs>
          <w:tab w:val="clear" w:pos="794"/>
          <w:tab w:val="left" w:pos="567"/>
        </w:tabs>
        <w:spacing w:line="240" w:lineRule="auto"/>
        <w:jc w:val="left"/>
        <w:rPr>
          <w:lang w:eastAsia="zh-CN"/>
        </w:rPr>
      </w:pPr>
      <w:r>
        <w:rPr>
          <w:lang w:eastAsia="zh-CN"/>
        </w:rPr>
        <w:tab/>
      </w:r>
      <w:r>
        <w:rPr>
          <w:rFonts w:hint="eastAsia"/>
          <w:lang w:eastAsia="zh-CN"/>
        </w:rPr>
        <w:t>g)</w:t>
      </w:r>
      <w:r>
        <w:rPr>
          <w:lang w:eastAsia="zh-CN"/>
        </w:rPr>
        <w:tab/>
      </w:r>
      <w:r>
        <w:rPr>
          <w:rFonts w:hint="eastAsia"/>
          <w:lang w:eastAsia="zh-CN"/>
        </w:rPr>
        <w:t>TEC</w:t>
      </w:r>
      <w:r>
        <w:rPr>
          <w:rFonts w:hint="eastAsia"/>
          <w:lang w:eastAsia="zh-CN"/>
        </w:rPr>
        <w:t>移动电话测试程序，</w:t>
      </w:r>
      <w:r w:rsidRPr="007F0BC1">
        <w:rPr>
          <w:rStyle w:val="Hyperlink"/>
          <w:rFonts w:hint="eastAsia"/>
          <w:lang w:eastAsia="zh-CN"/>
        </w:rPr>
        <w:t>http://www.dot.gov.in/sites/default/files/SAR%20Testing.pdf</w:t>
      </w:r>
    </w:p>
    <w:p w:rsidR="00561C89" w:rsidRDefault="00561C89" w:rsidP="00AE1238">
      <w:pPr>
        <w:pStyle w:val="FootnoteText"/>
        <w:tabs>
          <w:tab w:val="clear" w:pos="794"/>
          <w:tab w:val="left" w:pos="567"/>
        </w:tabs>
        <w:spacing w:line="240" w:lineRule="auto"/>
        <w:jc w:val="left"/>
        <w:rPr>
          <w:lang w:eastAsia="zh-CN"/>
        </w:rPr>
      </w:pPr>
      <w:r>
        <w:rPr>
          <w:lang w:eastAsia="zh-CN"/>
        </w:rPr>
        <w:tab/>
      </w:r>
      <w:r>
        <w:rPr>
          <w:rFonts w:hint="eastAsia"/>
          <w:lang w:eastAsia="zh-CN"/>
        </w:rPr>
        <w:t>h)</w:t>
      </w:r>
      <w:r>
        <w:rPr>
          <w:lang w:eastAsia="zh-CN"/>
        </w:rPr>
        <w:tab/>
      </w:r>
      <w:r>
        <w:rPr>
          <w:rFonts w:hint="eastAsia"/>
          <w:lang w:eastAsia="zh-CN"/>
        </w:rPr>
        <w:t>对</w:t>
      </w:r>
      <w:r>
        <w:rPr>
          <w:rFonts w:hint="eastAsia"/>
          <w:lang w:eastAsia="zh-CN"/>
        </w:rPr>
        <w:t>BTS</w:t>
      </w:r>
      <w:r>
        <w:rPr>
          <w:rFonts w:hint="eastAsia"/>
          <w:lang w:eastAsia="zh-CN"/>
        </w:rPr>
        <w:t>天线电磁场暴露的测量，</w:t>
      </w:r>
      <w:r w:rsidRPr="007F0BC1">
        <w:rPr>
          <w:rStyle w:val="Hyperlink"/>
          <w:rFonts w:hint="eastAsia"/>
          <w:lang w:eastAsia="zh-CN"/>
        </w:rPr>
        <w:t>http://www.dot.gov.in/sites/default/files/TEC%20Test%20Procedure%20EMFields%20From%20BTS%20Antennae.pdf</w:t>
      </w:r>
      <w:r>
        <w:rPr>
          <w:rFonts w:hint="eastAsia"/>
          <w:lang w:eastAsia="zh-CN"/>
        </w:rPr>
        <w:t xml:space="preserve"> </w:t>
      </w:r>
    </w:p>
    <w:p w:rsidR="00561C89" w:rsidRDefault="00561C89" w:rsidP="00AE1238">
      <w:pPr>
        <w:pStyle w:val="FootnoteText"/>
        <w:tabs>
          <w:tab w:val="clear" w:pos="794"/>
          <w:tab w:val="left" w:pos="567"/>
        </w:tabs>
        <w:spacing w:line="240" w:lineRule="auto"/>
        <w:jc w:val="left"/>
        <w:rPr>
          <w:lang w:eastAsia="zh-CN"/>
        </w:rPr>
      </w:pPr>
      <w:r>
        <w:rPr>
          <w:lang w:eastAsia="zh-CN"/>
        </w:rPr>
        <w:tab/>
      </w:r>
      <w:proofErr w:type="spellStart"/>
      <w:r>
        <w:rPr>
          <w:rFonts w:hint="eastAsia"/>
          <w:lang w:eastAsia="zh-CN"/>
        </w:rPr>
        <w:t>i</w:t>
      </w:r>
      <w:proofErr w:type="spellEnd"/>
      <w:r>
        <w:rPr>
          <w:rFonts w:hint="eastAsia"/>
          <w:lang w:eastAsia="zh-CN"/>
        </w:rPr>
        <w:t>)</w:t>
      </w:r>
      <w:r>
        <w:rPr>
          <w:lang w:eastAsia="zh-CN"/>
        </w:rPr>
        <w:tab/>
      </w:r>
      <w:r>
        <w:rPr>
          <w:rFonts w:hint="eastAsia"/>
          <w:lang w:eastAsia="zh-CN"/>
        </w:rPr>
        <w:t>电磁场投诉处理系统</w:t>
      </w:r>
    </w:p>
    <w:p w:rsidR="00561C89" w:rsidRDefault="00561C89" w:rsidP="00AE1238">
      <w:pPr>
        <w:pStyle w:val="FootnoteText"/>
        <w:tabs>
          <w:tab w:val="clear" w:pos="794"/>
          <w:tab w:val="left" w:pos="567"/>
        </w:tabs>
        <w:spacing w:line="240" w:lineRule="auto"/>
        <w:jc w:val="left"/>
        <w:rPr>
          <w:lang w:eastAsia="zh-CN"/>
        </w:rPr>
      </w:pPr>
      <w:r>
        <w:rPr>
          <w:lang w:eastAsia="zh-CN"/>
        </w:rPr>
        <w:tab/>
      </w:r>
      <w:r>
        <w:rPr>
          <w:rFonts w:hint="eastAsia"/>
          <w:lang w:eastAsia="zh-CN"/>
        </w:rPr>
        <w:t>j)</w:t>
      </w:r>
      <w:r>
        <w:rPr>
          <w:lang w:eastAsia="zh-CN"/>
        </w:rPr>
        <w:tab/>
      </w:r>
      <w:r>
        <w:rPr>
          <w:rFonts w:hint="eastAsia"/>
          <w:lang w:eastAsia="zh-CN"/>
        </w:rPr>
        <w:t>征集有关电磁场的研发提案的通知，</w:t>
      </w:r>
      <w:r w:rsidRPr="007F0BC1">
        <w:rPr>
          <w:rStyle w:val="Hyperlink"/>
          <w:rFonts w:hint="eastAsia"/>
          <w:lang w:eastAsia="zh-CN"/>
        </w:rPr>
        <w:t>http://www.dot.gov.in/sites/default/files/748%20circular.pdf</w:t>
      </w:r>
      <w:r>
        <w:rPr>
          <w:rFonts w:hint="eastAsia"/>
          <w:lang w:eastAsia="zh-CN"/>
        </w:rPr>
        <w:t xml:space="preserve"> </w:t>
      </w:r>
    </w:p>
    <w:p w:rsidR="00561C89" w:rsidRDefault="00561C89" w:rsidP="00AE1238">
      <w:pPr>
        <w:pStyle w:val="FootnoteText"/>
        <w:tabs>
          <w:tab w:val="clear" w:pos="794"/>
          <w:tab w:val="left" w:pos="567"/>
        </w:tabs>
        <w:spacing w:line="240" w:lineRule="auto"/>
        <w:jc w:val="left"/>
        <w:rPr>
          <w:lang w:eastAsia="zh-CN"/>
        </w:rPr>
      </w:pPr>
      <w:r>
        <w:rPr>
          <w:lang w:eastAsia="zh-CN"/>
        </w:rPr>
        <w:tab/>
      </w:r>
      <w:r>
        <w:rPr>
          <w:rFonts w:hint="eastAsia"/>
          <w:lang w:eastAsia="zh-CN"/>
        </w:rPr>
        <w:t>k)</w:t>
      </w:r>
      <w:r>
        <w:rPr>
          <w:lang w:eastAsia="zh-CN"/>
        </w:rPr>
        <w:tab/>
      </w:r>
      <w:r>
        <w:rPr>
          <w:rFonts w:hint="eastAsia"/>
          <w:lang w:eastAsia="zh-CN"/>
        </w:rPr>
        <w:t>如下所示，印度在</w:t>
      </w:r>
      <w:r>
        <w:rPr>
          <w:rFonts w:hint="eastAsia"/>
          <w:lang w:eastAsia="zh-CN"/>
        </w:rPr>
        <w:t>2013</w:t>
      </w:r>
      <w:r>
        <w:rPr>
          <w:rFonts w:hint="eastAsia"/>
          <w:lang w:eastAsia="zh-CN"/>
        </w:rPr>
        <w:t>年</w:t>
      </w:r>
      <w:r>
        <w:rPr>
          <w:rFonts w:hint="eastAsia"/>
          <w:lang w:eastAsia="zh-CN"/>
        </w:rPr>
        <w:t>5</w:t>
      </w:r>
      <w:r>
        <w:rPr>
          <w:rFonts w:hint="eastAsia"/>
          <w:lang w:eastAsia="zh-CN"/>
        </w:rPr>
        <w:t>月</w:t>
      </w:r>
      <w:r>
        <w:rPr>
          <w:rFonts w:hint="eastAsia"/>
          <w:lang w:eastAsia="zh-CN"/>
        </w:rPr>
        <w:t>9</w:t>
      </w:r>
      <w:r>
        <w:rPr>
          <w:rFonts w:hint="eastAsia"/>
          <w:lang w:eastAsia="zh-CN"/>
        </w:rPr>
        <w:t>日意大利都灵的国际电联电磁场讲习班上的介绍展示，也提供了一组新的输入资料，即关于电磁场政策概述与合规——印度政策概述的资料“移动塔架和手机的电磁场（</w:t>
      </w:r>
      <w:r>
        <w:rPr>
          <w:rFonts w:hint="eastAsia"/>
          <w:lang w:eastAsia="zh-CN"/>
        </w:rPr>
        <w:t>EMF</w:t>
      </w:r>
      <w:r>
        <w:rPr>
          <w:rFonts w:hint="eastAsia"/>
          <w:lang w:eastAsia="zh-CN"/>
        </w:rPr>
        <w:t>）辐射”，</w:t>
      </w:r>
      <w:r w:rsidRPr="007F0BC1">
        <w:rPr>
          <w:rStyle w:val="Hyperlink"/>
          <w:rFonts w:hint="eastAsia"/>
          <w:lang w:eastAsia="zh-CN"/>
        </w:rPr>
        <w:t>http://www.itu.int/en/ITU-T/climatechange/emf-1305/Documents/Presentations/</w:t>
      </w:r>
      <w:r>
        <w:rPr>
          <w:rStyle w:val="Hyperlink"/>
          <w:lang w:eastAsia="zh-CN"/>
        </w:rPr>
        <w:br/>
      </w:r>
      <w:r w:rsidRPr="007F0BC1">
        <w:rPr>
          <w:rStyle w:val="Hyperlink"/>
          <w:rFonts w:hint="eastAsia"/>
          <w:lang w:eastAsia="zh-CN"/>
        </w:rPr>
        <w:t>s2part2p3-RKBhatnagar.pdf</w:t>
      </w:r>
      <w:r>
        <w:rPr>
          <w:rFonts w:hint="eastAsia"/>
          <w:lang w:eastAsia="zh-CN"/>
        </w:rPr>
        <w:t>，以及印度在网络与设备电磁场合规方面的研究结果，</w:t>
      </w:r>
      <w:r w:rsidRPr="007F0BC1">
        <w:rPr>
          <w:rStyle w:val="Hyperlink"/>
          <w:rFonts w:hint="eastAsia"/>
          <w:lang w:eastAsia="zh-CN"/>
        </w:rPr>
        <w:t>http://www.itu.int/en/ITU-T/cli</w:t>
      </w:r>
      <w:r w:rsidRPr="007F0BC1">
        <w:rPr>
          <w:rStyle w:val="Hyperlink"/>
          <w:lang w:eastAsia="zh-CN"/>
        </w:rPr>
        <w:t>matechange/emf-1305/Documents/Presentations/s3p5-RKBhatnagar.pdf</w:t>
      </w:r>
    </w:p>
  </w:footnote>
  <w:footnote w:id="13">
    <w:p w:rsidR="00561C89" w:rsidRDefault="00561C89" w:rsidP="00AE1238">
      <w:pPr>
        <w:pStyle w:val="FootnoteText"/>
        <w:spacing w:line="240" w:lineRule="auto"/>
        <w:jc w:val="left"/>
        <w:rPr>
          <w:lang w:eastAsia="zh-CN"/>
        </w:rPr>
      </w:pPr>
      <w:r>
        <w:rPr>
          <w:rStyle w:val="FootnoteReference"/>
        </w:rPr>
        <w:footnoteRef/>
      </w:r>
      <w:r>
        <w:t xml:space="preserve"> </w:t>
      </w:r>
      <w:r>
        <w:rPr>
          <w:rFonts w:hint="eastAsia"/>
          <w:lang w:eastAsia="zh-CN"/>
        </w:rPr>
        <w:tab/>
      </w:r>
      <w:proofErr w:type="spellStart"/>
      <w:r>
        <w:rPr>
          <w:rFonts w:hint="eastAsia"/>
        </w:rPr>
        <w:t>世卫组织，基于卫生的电磁场标准制定框架</w:t>
      </w:r>
      <w:proofErr w:type="spellEnd"/>
      <w:r>
        <w:rPr>
          <w:rFonts w:hint="eastAsia"/>
        </w:rPr>
        <w:t>，</w:t>
      </w:r>
      <w:r>
        <w:rPr>
          <w:rFonts w:hint="eastAsia"/>
        </w:rPr>
        <w:t>2006</w:t>
      </w:r>
      <w:proofErr w:type="spellStart"/>
      <w:r>
        <w:rPr>
          <w:rFonts w:hint="eastAsia"/>
        </w:rPr>
        <w:t>年，可查阅</w:t>
      </w:r>
      <w:proofErr w:type="spellEnd"/>
      <w:r>
        <w:rPr>
          <w:rFonts w:hint="eastAsia"/>
        </w:rPr>
        <w:t>：</w:t>
      </w:r>
      <w:r w:rsidRPr="007F0BC1">
        <w:rPr>
          <w:rStyle w:val="Hyperlink"/>
          <w:rFonts w:hint="eastAsia"/>
        </w:rPr>
        <w:t>http://www.who.int/peh-emf/</w:t>
      </w:r>
      <w:r>
        <w:rPr>
          <w:rStyle w:val="Hyperlink"/>
          <w:lang w:eastAsia="zh-CN"/>
        </w:rPr>
        <w:br/>
      </w:r>
      <w:r w:rsidRPr="007F0BC1">
        <w:rPr>
          <w:rStyle w:val="Hyperlink"/>
          <w:rFonts w:hint="eastAsia"/>
        </w:rPr>
        <w:t>standards/framework/en/index.html</w:t>
      </w:r>
    </w:p>
  </w:footnote>
  <w:footnote w:id="14">
    <w:p w:rsidR="00561C89" w:rsidRDefault="00561C89" w:rsidP="00AE1238">
      <w:pPr>
        <w:pStyle w:val="FootnoteText"/>
        <w:spacing w:line="240" w:lineRule="auto"/>
        <w:jc w:val="left"/>
        <w:rPr>
          <w:lang w:eastAsia="zh-CN"/>
        </w:rPr>
      </w:pPr>
      <w:r>
        <w:rPr>
          <w:rStyle w:val="FootnoteReference"/>
        </w:rPr>
        <w:footnoteRef/>
      </w:r>
      <w:r>
        <w:rPr>
          <w:lang w:eastAsia="zh-CN"/>
        </w:rPr>
        <w:t xml:space="preserve"> </w:t>
      </w:r>
      <w:r>
        <w:rPr>
          <w:rFonts w:hint="eastAsia"/>
          <w:lang w:eastAsia="zh-CN"/>
        </w:rPr>
        <w:tab/>
      </w:r>
      <w:r>
        <w:rPr>
          <w:rFonts w:hint="eastAsia"/>
          <w:lang w:eastAsia="zh-CN"/>
        </w:rPr>
        <w:t>国际电联，关于遵守人体电磁场暴露限值的指导原则，</w:t>
      </w:r>
      <w:r>
        <w:rPr>
          <w:rFonts w:hint="eastAsia"/>
          <w:lang w:eastAsia="zh-CN"/>
        </w:rPr>
        <w:t>k.52</w:t>
      </w:r>
      <w:r>
        <w:rPr>
          <w:rFonts w:hint="eastAsia"/>
          <w:lang w:eastAsia="zh-CN"/>
        </w:rPr>
        <w:t>，</w:t>
      </w:r>
      <w:r>
        <w:rPr>
          <w:rFonts w:hint="eastAsia"/>
          <w:lang w:eastAsia="zh-CN"/>
        </w:rPr>
        <w:t>2004</w:t>
      </w:r>
      <w:r>
        <w:rPr>
          <w:rFonts w:hint="eastAsia"/>
          <w:lang w:eastAsia="zh-CN"/>
        </w:rPr>
        <w:t>年</w:t>
      </w:r>
      <w:r>
        <w:rPr>
          <w:rFonts w:hint="eastAsia"/>
          <w:lang w:eastAsia="zh-CN"/>
        </w:rPr>
        <w:t>12</w:t>
      </w:r>
      <w:r>
        <w:rPr>
          <w:rFonts w:hint="eastAsia"/>
          <w:lang w:eastAsia="zh-CN"/>
        </w:rPr>
        <w:t>月</w:t>
      </w:r>
    </w:p>
  </w:footnote>
  <w:footnote w:id="15">
    <w:p w:rsidR="00561C89" w:rsidRDefault="00561C89" w:rsidP="00AE1238">
      <w:pPr>
        <w:pStyle w:val="FootnoteText"/>
        <w:spacing w:line="240" w:lineRule="auto"/>
        <w:jc w:val="left"/>
        <w:rPr>
          <w:lang w:eastAsia="zh-CN"/>
        </w:rPr>
      </w:pPr>
      <w:r>
        <w:rPr>
          <w:rStyle w:val="FootnoteReference"/>
        </w:rPr>
        <w:footnoteRef/>
      </w:r>
      <w:r>
        <w:rPr>
          <w:lang w:eastAsia="zh-CN"/>
        </w:rPr>
        <w:t xml:space="preserve"> </w:t>
      </w:r>
      <w:r>
        <w:rPr>
          <w:rFonts w:hint="eastAsia"/>
          <w:lang w:eastAsia="zh-CN"/>
        </w:rPr>
        <w:tab/>
      </w:r>
      <w:r>
        <w:rPr>
          <w:rFonts w:hint="eastAsia"/>
          <w:lang w:eastAsia="zh-CN"/>
        </w:rPr>
        <w:t>世卫组织，基于卫生的电磁场标准制定框架。</w:t>
      </w:r>
    </w:p>
  </w:footnote>
  <w:footnote w:id="16">
    <w:p w:rsidR="00561C89" w:rsidRDefault="00561C89" w:rsidP="00AE1238">
      <w:pPr>
        <w:pStyle w:val="FootnoteText"/>
        <w:spacing w:line="240" w:lineRule="auto"/>
        <w:jc w:val="left"/>
        <w:rPr>
          <w:lang w:eastAsia="zh-CN"/>
        </w:rPr>
      </w:pPr>
      <w:r>
        <w:rPr>
          <w:rStyle w:val="FootnoteReference"/>
        </w:rPr>
        <w:footnoteRef/>
      </w:r>
      <w:r>
        <w:t xml:space="preserve"> </w:t>
      </w:r>
      <w:r>
        <w:rPr>
          <w:rFonts w:hint="eastAsia"/>
          <w:lang w:eastAsia="zh-CN"/>
        </w:rPr>
        <w:tab/>
      </w:r>
      <w:proofErr w:type="spellStart"/>
      <w:r>
        <w:rPr>
          <w:rFonts w:hint="eastAsia"/>
        </w:rPr>
        <w:t>世卫组织，电磁场保护的法律范本</w:t>
      </w:r>
      <w:proofErr w:type="spellEnd"/>
      <w:r>
        <w:rPr>
          <w:rFonts w:hint="eastAsia"/>
        </w:rPr>
        <w:t>，</w:t>
      </w:r>
      <w:r>
        <w:rPr>
          <w:rFonts w:hint="eastAsia"/>
        </w:rPr>
        <w:t>2006</w:t>
      </w:r>
      <w:proofErr w:type="spellStart"/>
      <w:r>
        <w:rPr>
          <w:rFonts w:hint="eastAsia"/>
        </w:rPr>
        <w:t>年，可查阅</w:t>
      </w:r>
      <w:proofErr w:type="spellEnd"/>
      <w:r>
        <w:rPr>
          <w:rFonts w:hint="eastAsia"/>
        </w:rPr>
        <w:t>：</w:t>
      </w:r>
      <w:r>
        <w:rPr>
          <w:lang w:eastAsia="zh-CN"/>
        </w:rPr>
        <w:br/>
      </w:r>
      <w:r w:rsidRPr="007F0BC1">
        <w:rPr>
          <w:rStyle w:val="Hyperlink"/>
          <w:rFonts w:hint="eastAsia"/>
        </w:rPr>
        <w:t>http://www.who.int/entity/peh-emf/standards/emf_model/en/index.html</w:t>
      </w:r>
    </w:p>
  </w:footnote>
  <w:footnote w:id="17">
    <w:p w:rsidR="00561C89" w:rsidRDefault="00561C89" w:rsidP="00AE1238">
      <w:pPr>
        <w:pStyle w:val="FootnoteText"/>
        <w:spacing w:line="240" w:lineRule="auto"/>
        <w:jc w:val="left"/>
        <w:rPr>
          <w:lang w:eastAsia="zh-CN"/>
        </w:rPr>
      </w:pPr>
      <w:r>
        <w:rPr>
          <w:rStyle w:val="FootnoteReference"/>
        </w:rPr>
        <w:footnoteRef/>
      </w:r>
      <w:r>
        <w:t xml:space="preserve"> </w:t>
      </w:r>
      <w:r>
        <w:rPr>
          <w:rFonts w:hint="eastAsia"/>
        </w:rPr>
        <w:tab/>
      </w:r>
      <w:proofErr w:type="spellStart"/>
      <w:r>
        <w:rPr>
          <w:rFonts w:hint="eastAsia"/>
        </w:rPr>
        <w:t>国际电联《频谱监测手册</w:t>
      </w:r>
      <w:proofErr w:type="spellEnd"/>
      <w:r>
        <w:rPr>
          <w:rFonts w:hint="eastAsia"/>
        </w:rPr>
        <w:t>》</w:t>
      </w:r>
      <w:r>
        <w:rPr>
          <w:rFonts w:hint="eastAsia"/>
        </w:rPr>
        <w:t>2011</w:t>
      </w:r>
      <w:proofErr w:type="spellStart"/>
      <w:r>
        <w:rPr>
          <w:rFonts w:hint="eastAsia"/>
        </w:rPr>
        <w:t>版，见</w:t>
      </w:r>
      <w:proofErr w:type="spellEnd"/>
      <w:r>
        <w:rPr>
          <w:rFonts w:hint="eastAsia"/>
        </w:rPr>
        <w:t>：</w:t>
      </w:r>
      <w:r w:rsidRPr="007F0BC1">
        <w:rPr>
          <w:rStyle w:val="Hyperlink"/>
          <w:rFonts w:hint="eastAsia"/>
        </w:rPr>
        <w:t>http://www.itu.int/pub/R-HDB-23-2011</w:t>
      </w:r>
    </w:p>
  </w:footnote>
  <w:footnote w:id="18">
    <w:p w:rsidR="00561C89" w:rsidRDefault="00561C89" w:rsidP="00AE1238">
      <w:pPr>
        <w:pStyle w:val="FootnoteText"/>
        <w:spacing w:line="240" w:lineRule="auto"/>
        <w:jc w:val="left"/>
        <w:rPr>
          <w:lang w:eastAsia="zh-CN"/>
        </w:rPr>
      </w:pPr>
      <w:r>
        <w:rPr>
          <w:rStyle w:val="FootnoteReference"/>
        </w:rPr>
        <w:footnoteRef/>
      </w:r>
      <w:r>
        <w:rPr>
          <w:lang w:eastAsia="zh-CN"/>
        </w:rPr>
        <w:t xml:space="preserve"> </w:t>
      </w:r>
      <w:r>
        <w:rPr>
          <w:rFonts w:hint="eastAsia"/>
          <w:lang w:eastAsia="zh-CN"/>
        </w:rPr>
        <w:tab/>
      </w:r>
      <w:r>
        <w:rPr>
          <w:rFonts w:hint="eastAsia"/>
          <w:lang w:eastAsia="zh-CN"/>
        </w:rPr>
        <w:t>国际电联《频谱监测手册》第</w:t>
      </w:r>
      <w:r>
        <w:rPr>
          <w:rFonts w:hint="eastAsia"/>
          <w:lang w:eastAsia="zh-CN"/>
        </w:rPr>
        <w:t>5.6</w:t>
      </w:r>
      <w:r>
        <w:rPr>
          <w:rFonts w:hint="eastAsia"/>
          <w:lang w:eastAsia="zh-CN"/>
        </w:rPr>
        <w:t>章</w:t>
      </w:r>
    </w:p>
  </w:footnote>
  <w:footnote w:id="19">
    <w:p w:rsidR="00561C89" w:rsidRDefault="00561C89" w:rsidP="00AE1238">
      <w:pPr>
        <w:pStyle w:val="FootnoteText"/>
        <w:spacing w:line="240" w:lineRule="auto"/>
        <w:jc w:val="left"/>
        <w:rPr>
          <w:lang w:eastAsia="zh-CN"/>
        </w:rPr>
      </w:pPr>
      <w:r>
        <w:rPr>
          <w:rStyle w:val="FootnoteReference"/>
        </w:rPr>
        <w:footnoteRef/>
      </w:r>
      <w:r>
        <w:rPr>
          <w:lang w:eastAsia="zh-CN"/>
        </w:rPr>
        <w:t xml:space="preserve"> </w:t>
      </w:r>
      <w:r>
        <w:rPr>
          <w:lang w:eastAsia="zh-CN"/>
        </w:rPr>
        <w:tab/>
      </w:r>
      <w:r>
        <w:rPr>
          <w:rFonts w:ascii="Verdana" w:hAnsi="Verdana" w:cs="Consolas" w:hint="eastAsia"/>
          <w:lang w:eastAsia="zh-CN"/>
        </w:rPr>
        <w:t>国际电联《频谱监测手册》第</w:t>
      </w:r>
      <w:r w:rsidRPr="009D4B50">
        <w:rPr>
          <w:rFonts w:asciiTheme="minorHAnsi" w:hAnsiTheme="minorHAnsi" w:cs="Consolas"/>
          <w:lang w:eastAsia="zh-CN"/>
        </w:rPr>
        <w:t>5.6</w:t>
      </w:r>
      <w:r>
        <w:rPr>
          <w:rFonts w:ascii="Verdana" w:hAnsi="Verdana" w:cs="Consolas" w:hint="eastAsia"/>
          <w:lang w:eastAsia="zh-CN"/>
        </w:rPr>
        <w:t>章</w:t>
      </w:r>
    </w:p>
  </w:footnote>
  <w:footnote w:id="20">
    <w:p w:rsidR="00561C89" w:rsidRDefault="00561C89" w:rsidP="00AE1238">
      <w:pPr>
        <w:pStyle w:val="FootnoteText"/>
        <w:spacing w:line="240" w:lineRule="auto"/>
        <w:jc w:val="left"/>
        <w:rPr>
          <w:lang w:eastAsia="zh-CN"/>
        </w:rPr>
      </w:pPr>
      <w:r>
        <w:rPr>
          <w:rStyle w:val="FootnoteReference"/>
        </w:rPr>
        <w:footnoteRef/>
      </w:r>
      <w:r>
        <w:t xml:space="preserve"> </w:t>
      </w:r>
      <w:r>
        <w:rPr>
          <w:rFonts w:hint="eastAsia"/>
          <w:lang w:eastAsia="zh-CN"/>
        </w:rPr>
        <w:tab/>
      </w:r>
      <w:r w:rsidRPr="007F0BC1">
        <w:rPr>
          <w:rStyle w:val="Hyperlink"/>
        </w:rPr>
        <w:t>http://www.sartick.com/</w:t>
      </w:r>
    </w:p>
  </w:footnote>
  <w:footnote w:id="21">
    <w:p w:rsidR="00561C89" w:rsidRPr="00CB5D12" w:rsidRDefault="00561C89" w:rsidP="00AE1238">
      <w:pPr>
        <w:pStyle w:val="FootnoteText"/>
        <w:spacing w:line="240" w:lineRule="auto"/>
      </w:pPr>
      <w:r w:rsidRPr="00FA6CE1">
        <w:rPr>
          <w:rStyle w:val="FootnoteReference"/>
          <w:lang w:val="en-US"/>
        </w:rPr>
        <w:t>1</w:t>
      </w:r>
      <w:r>
        <w:t xml:space="preserve"> </w:t>
      </w:r>
      <w:r>
        <w:tab/>
      </w:r>
      <w:r w:rsidRPr="00CB5D12">
        <w:t xml:space="preserve">See </w:t>
      </w:r>
      <w:proofErr w:type="spellStart"/>
      <w:r w:rsidRPr="00CB5D12">
        <w:t>Mazar</w:t>
      </w:r>
      <w:proofErr w:type="spellEnd"/>
      <w:r w:rsidRPr="00CB5D12">
        <w:t xml:space="preserve"> H. 2009a </w:t>
      </w:r>
      <w:hyperlink r:id="rId1" w:history="1">
        <w:r w:rsidRPr="0060799F">
          <w:rPr>
            <w:rStyle w:val="Hyperlink"/>
          </w:rPr>
          <w:t>An Analysis of Regulatory Frameworks for Wireless Communications, Societal Concerns and Risk: the Case of Radio Frequency (RF) Allocation and Licensing</w:t>
        </w:r>
      </w:hyperlink>
    </w:p>
  </w:footnote>
  <w:footnote w:id="22">
    <w:p w:rsidR="00561C89" w:rsidRPr="008C46E4" w:rsidRDefault="00561C89" w:rsidP="008C46E4">
      <w:pPr>
        <w:pStyle w:val="FootnoteText"/>
        <w:spacing w:before="60" w:line="240" w:lineRule="auto"/>
        <w:rPr>
          <w:spacing w:val="0"/>
        </w:rPr>
      </w:pPr>
      <w:r w:rsidRPr="001970D2">
        <w:rPr>
          <w:rStyle w:val="FootnoteReference"/>
          <w:lang w:val="en-US"/>
        </w:rPr>
        <w:t>1</w:t>
      </w:r>
      <w:r>
        <w:t xml:space="preserve"> </w:t>
      </w:r>
      <w:r>
        <w:tab/>
      </w:r>
      <w:r w:rsidRPr="008C46E4">
        <w:rPr>
          <w:spacing w:val="0"/>
        </w:rPr>
        <w:t xml:space="preserve">See </w:t>
      </w:r>
      <w:proofErr w:type="spellStart"/>
      <w:r w:rsidRPr="008C46E4">
        <w:rPr>
          <w:snapToGrid w:val="0"/>
          <w:spacing w:val="0"/>
        </w:rPr>
        <w:t>Mazar</w:t>
      </w:r>
      <w:proofErr w:type="spellEnd"/>
      <w:r w:rsidRPr="008C46E4">
        <w:rPr>
          <w:snapToGrid w:val="0"/>
          <w:spacing w:val="0"/>
        </w:rPr>
        <w:t xml:space="preserve"> H. 2009a and a forthcoming John Wiley &amp; Sons publication, ‘Radio Spectrum Management:  Policies, Regulations, Standards and Techniques’, chapter 13 - Limitations to Radio Frequency Human Exposure.</w:t>
      </w:r>
    </w:p>
  </w:footnote>
  <w:footnote w:id="23">
    <w:p w:rsidR="00561C89" w:rsidRPr="008C46E4" w:rsidRDefault="00561C89" w:rsidP="008C46E4">
      <w:pPr>
        <w:pStyle w:val="FootnoteText"/>
        <w:spacing w:before="60" w:line="240" w:lineRule="auto"/>
        <w:rPr>
          <w:spacing w:val="0"/>
          <w:lang w:eastAsia="en-GB"/>
        </w:rPr>
      </w:pPr>
      <w:r w:rsidRPr="001970D2">
        <w:rPr>
          <w:rStyle w:val="FootnoteReference"/>
          <w:lang w:val="en-US"/>
        </w:rPr>
        <w:t>2</w:t>
      </w:r>
      <w:r>
        <w:t xml:space="preserve"> </w:t>
      </w:r>
      <w:r>
        <w:rPr>
          <w:lang w:eastAsia="en-GB"/>
        </w:rPr>
        <w:tab/>
      </w:r>
      <w:r w:rsidRPr="008C46E4">
        <w:rPr>
          <w:spacing w:val="0"/>
          <w:lang w:eastAsia="en-GB"/>
        </w:rPr>
        <w:t xml:space="preserve">ICNIRP1998:509 table 4; EC 1999/519, Annex III, Table 1; FCC 1997:75 (and </w:t>
      </w:r>
      <w:r w:rsidRPr="008C46E4">
        <w:rPr>
          <w:spacing w:val="0"/>
        </w:rPr>
        <w:t>FCC 2006 CFR 47 § 2.1093).</w:t>
      </w:r>
    </w:p>
  </w:footnote>
  <w:footnote w:id="24">
    <w:p w:rsidR="00561C89" w:rsidRPr="00D25AD1" w:rsidRDefault="00561C89" w:rsidP="008C46E4">
      <w:pPr>
        <w:pStyle w:val="FootnoteText"/>
        <w:spacing w:before="60" w:line="240" w:lineRule="auto"/>
        <w:rPr>
          <w:lang w:eastAsia="en-GB"/>
        </w:rPr>
      </w:pPr>
      <w:r w:rsidRPr="008C46E4">
        <w:rPr>
          <w:rStyle w:val="FootnoteReference"/>
          <w:spacing w:val="0"/>
          <w:lang w:val="en-US"/>
        </w:rPr>
        <w:t>3</w:t>
      </w:r>
      <w:r w:rsidRPr="008C46E4">
        <w:rPr>
          <w:spacing w:val="0"/>
        </w:rPr>
        <w:t xml:space="preserve"> </w:t>
      </w:r>
      <w:r w:rsidRPr="008C46E4">
        <w:rPr>
          <w:spacing w:val="0"/>
          <w:lang w:eastAsia="en-GB"/>
        </w:rPr>
        <w:tab/>
        <w:t>Even the averaging is more stringent in the US, as the limit is averaged over one gram (FCC 2001:75), and not 10 grams as in ICNIRP 1998</w:t>
      </w:r>
      <w:r w:rsidRPr="008C46E4">
        <w:rPr>
          <w:color w:val="00FF00"/>
          <w:spacing w:val="0"/>
          <w:lang w:eastAsia="en-GB"/>
        </w:rPr>
        <w:t>.</w:t>
      </w:r>
      <w:r w:rsidRPr="008C46E4">
        <w:rPr>
          <w:spacing w:val="0"/>
          <w:lang w:eastAsia="en-GB"/>
        </w:rPr>
        <w:t xml:space="preserve"> Following changes in the IEEE C95.1-2005 standard, the US ANSI may adopt in the future the less stringent European level for SAR and averaging.</w:t>
      </w:r>
    </w:p>
  </w:footnote>
  <w:footnote w:id="25">
    <w:p w:rsidR="00561C89" w:rsidRPr="008C46E4" w:rsidRDefault="00561C89" w:rsidP="00AE1238">
      <w:pPr>
        <w:pStyle w:val="FootnoteText"/>
        <w:spacing w:before="60" w:line="240" w:lineRule="auto"/>
        <w:rPr>
          <w:spacing w:val="0"/>
        </w:rPr>
      </w:pPr>
      <w:r w:rsidRPr="00C20DC1">
        <w:rPr>
          <w:rStyle w:val="FootnoteReference"/>
          <w:lang w:val="en-GB"/>
        </w:rPr>
        <w:t>*</w:t>
      </w:r>
      <w:r>
        <w:t xml:space="preserve"> </w:t>
      </w:r>
      <w:r w:rsidRPr="008C46E4">
        <w:rPr>
          <w:spacing w:val="0"/>
        </w:rPr>
        <w:tab/>
      </w:r>
      <w:hyperlink r:id="rId2" w:history="1">
        <w:r w:rsidRPr="008C46E4">
          <w:rPr>
            <w:rStyle w:val="Hyperlink"/>
            <w:spacing w:val="0"/>
            <w:szCs w:val="19"/>
          </w:rPr>
          <w:t>http://www.itu.int/ITU-D/study_groups/SGP_2010-2014/doc/rgq/2010/D10-RGQ23.1-en.pdf</w:t>
        </w:r>
      </w:hyperlink>
    </w:p>
  </w:footnote>
  <w:footnote w:id="26">
    <w:p w:rsidR="00561C89" w:rsidRPr="00774FEC" w:rsidRDefault="00561C89" w:rsidP="00AE1238">
      <w:pPr>
        <w:pStyle w:val="FootnoteText"/>
        <w:spacing w:before="60" w:line="240" w:lineRule="auto"/>
        <w:rPr>
          <w:spacing w:val="0"/>
        </w:rPr>
      </w:pPr>
      <w:r w:rsidRPr="00774FEC">
        <w:rPr>
          <w:rStyle w:val="FootnoteReference"/>
          <w:spacing w:val="0"/>
          <w:lang w:val="en-US"/>
        </w:rPr>
        <w:t>*</w:t>
      </w:r>
      <w:r w:rsidRPr="00774FEC">
        <w:rPr>
          <w:spacing w:val="0"/>
        </w:rPr>
        <w:t xml:space="preserve"> </w:t>
      </w:r>
      <w:r w:rsidRPr="00774FEC">
        <w:rPr>
          <w:spacing w:val="0"/>
        </w:rPr>
        <w:tab/>
      </w:r>
      <w:hyperlink r:id="rId3" w:history="1">
        <w:r w:rsidRPr="00774FEC">
          <w:rPr>
            <w:rStyle w:val="Hyperlink"/>
            <w:spacing w:val="0"/>
            <w:szCs w:val="19"/>
          </w:rPr>
          <w:t>http://www.itu.int/pub/T-RES-T.72-2012</w:t>
        </w:r>
      </w:hyperlink>
    </w:p>
  </w:footnote>
  <w:footnote w:id="27">
    <w:p w:rsidR="00561C89" w:rsidRPr="00774FEC" w:rsidRDefault="00561C89" w:rsidP="00AE1238">
      <w:pPr>
        <w:pStyle w:val="FootnoteText"/>
        <w:spacing w:before="60" w:line="240" w:lineRule="auto"/>
        <w:rPr>
          <w:spacing w:val="0"/>
        </w:rPr>
      </w:pPr>
      <w:r w:rsidRPr="00774FEC">
        <w:rPr>
          <w:rStyle w:val="FootnoteReference"/>
          <w:spacing w:val="0"/>
          <w:lang w:val="en-US"/>
        </w:rPr>
        <w:t>1</w:t>
      </w:r>
      <w:r w:rsidRPr="00774FEC">
        <w:rPr>
          <w:spacing w:val="0"/>
        </w:rPr>
        <w:t xml:space="preserve"> </w:t>
      </w:r>
      <w:r w:rsidRPr="00774FEC">
        <w:rPr>
          <w:spacing w:val="0"/>
        </w:rPr>
        <w:tab/>
      </w:r>
      <w:r w:rsidRPr="00774FEC">
        <w:rPr>
          <w:spacing w:val="0"/>
          <w:szCs w:val="19"/>
        </w:rPr>
        <w:t xml:space="preserve">These include the least developed countries, </w:t>
      </w:r>
      <w:proofErr w:type="gramStart"/>
      <w:r w:rsidRPr="00774FEC">
        <w:rPr>
          <w:spacing w:val="0"/>
          <w:szCs w:val="19"/>
        </w:rPr>
        <w:t>small island</w:t>
      </w:r>
      <w:proofErr w:type="gramEnd"/>
      <w:r w:rsidRPr="00774FEC">
        <w:rPr>
          <w:spacing w:val="0"/>
          <w:szCs w:val="19"/>
        </w:rPr>
        <w:t xml:space="preserve"> developing states, landlocked developing countries and countries with economies in transition.</w:t>
      </w:r>
    </w:p>
  </w:footnote>
  <w:footnote w:id="28">
    <w:p w:rsidR="00561C89" w:rsidRPr="008C46E4" w:rsidRDefault="00561C89" w:rsidP="00AE1238">
      <w:pPr>
        <w:pStyle w:val="FootnoteText"/>
        <w:spacing w:before="60" w:line="240" w:lineRule="auto"/>
        <w:rPr>
          <w:spacing w:val="0"/>
        </w:rPr>
      </w:pPr>
      <w:r w:rsidRPr="00BC0DB7">
        <w:rPr>
          <w:rStyle w:val="FootnoteReference"/>
          <w:lang w:val="en-US"/>
        </w:rPr>
        <w:t>*</w:t>
      </w:r>
      <w:r>
        <w:t xml:space="preserve"> </w:t>
      </w:r>
      <w:r>
        <w:tab/>
      </w:r>
      <w:hyperlink r:id="rId4" w:history="1">
        <w:r w:rsidRPr="008C46E4">
          <w:rPr>
            <w:rStyle w:val="Hyperlink"/>
            <w:spacing w:val="0"/>
            <w:szCs w:val="19"/>
          </w:rPr>
          <w:t>http://www.itu.int/ITU-D/conferences/wtdc/2010/pdf/WTDC10_DraftPreliminaryReport.pdf</w:t>
        </w:r>
      </w:hyperlink>
      <w:r w:rsidRPr="008C46E4">
        <w:rPr>
          <w:spacing w:val="0"/>
        </w:rPr>
        <w:t xml:space="preserve"> </w:t>
      </w:r>
    </w:p>
  </w:footnote>
  <w:footnote w:id="29">
    <w:p w:rsidR="00561C89" w:rsidRPr="008C46E4" w:rsidRDefault="00561C89" w:rsidP="00AE1238">
      <w:pPr>
        <w:pStyle w:val="FootnoteText"/>
        <w:spacing w:before="60" w:line="240" w:lineRule="auto"/>
        <w:rPr>
          <w:spacing w:val="0"/>
        </w:rPr>
      </w:pPr>
      <w:r w:rsidRPr="008C46E4">
        <w:rPr>
          <w:rStyle w:val="FootnoteReference"/>
          <w:spacing w:val="0"/>
          <w:lang w:val="en-US"/>
        </w:rPr>
        <w:t>1</w:t>
      </w:r>
      <w:r w:rsidRPr="008C46E4">
        <w:rPr>
          <w:spacing w:val="0"/>
        </w:rPr>
        <w:t xml:space="preserve"> </w:t>
      </w:r>
      <w:r w:rsidRPr="008C46E4">
        <w:rPr>
          <w:spacing w:val="0"/>
        </w:rPr>
        <w:tab/>
        <w:t xml:space="preserve">These include the least developed countries, </w:t>
      </w:r>
      <w:proofErr w:type="gramStart"/>
      <w:r w:rsidRPr="008C46E4">
        <w:rPr>
          <w:spacing w:val="0"/>
        </w:rPr>
        <w:t>small island</w:t>
      </w:r>
      <w:proofErr w:type="gramEnd"/>
      <w:r w:rsidRPr="008C46E4">
        <w:rPr>
          <w:spacing w:val="0"/>
        </w:rPr>
        <w:t xml:space="preserve"> developing states, landlocked developing countries and countries with economies in transition. </w:t>
      </w:r>
    </w:p>
  </w:footnote>
  <w:footnote w:id="30">
    <w:p w:rsidR="00561C89" w:rsidRPr="008C46E4" w:rsidRDefault="00561C89" w:rsidP="00AE1238">
      <w:pPr>
        <w:pStyle w:val="FootnoteText"/>
        <w:spacing w:before="60" w:line="240" w:lineRule="auto"/>
        <w:rPr>
          <w:spacing w:val="0"/>
        </w:rPr>
      </w:pPr>
      <w:r w:rsidRPr="00BC0DB7">
        <w:rPr>
          <w:rStyle w:val="FootnoteReference"/>
          <w:lang w:val="en-GB"/>
        </w:rPr>
        <w:t>*</w:t>
      </w:r>
      <w:r>
        <w:t xml:space="preserve"> </w:t>
      </w:r>
      <w:r>
        <w:tab/>
      </w:r>
      <w:hyperlink r:id="rId5" w:history="1">
        <w:r w:rsidRPr="008C46E4">
          <w:rPr>
            <w:rStyle w:val="Hyperlink"/>
            <w:spacing w:val="0"/>
            <w:szCs w:val="19"/>
          </w:rPr>
          <w:t>http://www.itu.int/pub/S-CONF-ACTF-2010/en</w:t>
        </w:r>
      </w:hyperlink>
    </w:p>
  </w:footnote>
  <w:footnote w:id="31">
    <w:p w:rsidR="00561C89" w:rsidRPr="008C46E4" w:rsidRDefault="00561C89" w:rsidP="00AE1238">
      <w:pPr>
        <w:pStyle w:val="FootnoteText"/>
        <w:spacing w:before="60" w:line="240" w:lineRule="auto"/>
        <w:rPr>
          <w:rStyle w:val="FootnoteTextChar"/>
          <w:spacing w:val="0"/>
        </w:rPr>
      </w:pPr>
      <w:r w:rsidRPr="008C46E4">
        <w:rPr>
          <w:rStyle w:val="FootnoteReference"/>
          <w:spacing w:val="0"/>
          <w:szCs w:val="19"/>
          <w:lang w:val="en-US"/>
        </w:rPr>
        <w:t>1</w:t>
      </w:r>
      <w:r w:rsidRPr="008C46E4">
        <w:rPr>
          <w:spacing w:val="0"/>
        </w:rPr>
        <w:tab/>
      </w:r>
      <w:proofErr w:type="gramStart"/>
      <w:r w:rsidRPr="008C46E4">
        <w:rPr>
          <w:rStyle w:val="FootnoteTextChar"/>
          <w:spacing w:val="0"/>
        </w:rPr>
        <w:t xml:space="preserve">Guidelines for limiting exposure to time-varying electric, magnetic and electromagnetic fields (up to 300 GHz) – </w:t>
      </w:r>
      <w:hyperlink r:id="rId6" w:history="1">
        <w:r w:rsidRPr="008C46E4">
          <w:rPr>
            <w:rStyle w:val="Hyperlink"/>
            <w:bCs/>
            <w:spacing w:val="0"/>
          </w:rPr>
          <w:t>http://www.icnirp.de/documents/emfgdl.pdf</w:t>
        </w:r>
      </w:hyperlink>
      <w:r w:rsidRPr="008C46E4">
        <w:rPr>
          <w:rStyle w:val="FootnoteTextChar"/>
          <w:spacing w:val="0"/>
        </w:rPr>
        <w:t>.</w:t>
      </w:r>
      <w:proofErr w:type="gramEnd"/>
      <w:r w:rsidRPr="008C46E4">
        <w:rPr>
          <w:rStyle w:val="FootnoteTextChar"/>
          <w:spacing w:val="0"/>
        </w:rPr>
        <w:t xml:space="preserve"> </w:t>
      </w:r>
    </w:p>
  </w:footnote>
  <w:footnote w:id="32">
    <w:p w:rsidR="00561C89" w:rsidRPr="008C46E4" w:rsidRDefault="00561C89" w:rsidP="00AE1238">
      <w:pPr>
        <w:pStyle w:val="FootnoteText"/>
        <w:spacing w:before="60" w:line="240" w:lineRule="auto"/>
        <w:rPr>
          <w:rStyle w:val="FootnoteTextChar"/>
          <w:b/>
          <w:bCs/>
          <w:spacing w:val="0"/>
        </w:rPr>
      </w:pPr>
      <w:r w:rsidRPr="008C46E4">
        <w:rPr>
          <w:rStyle w:val="FootnoteReference"/>
          <w:spacing w:val="0"/>
          <w:szCs w:val="19"/>
          <w:lang w:val="en-US"/>
        </w:rPr>
        <w:t>2</w:t>
      </w:r>
      <w:r w:rsidRPr="008C46E4">
        <w:rPr>
          <w:spacing w:val="0"/>
        </w:rPr>
        <w:tab/>
      </w:r>
      <w:proofErr w:type="gramStart"/>
      <w:r w:rsidRPr="008C46E4">
        <w:rPr>
          <w:spacing w:val="0"/>
        </w:rPr>
        <w:t xml:space="preserve">IEEE </w:t>
      </w:r>
      <w:proofErr w:type="spellStart"/>
      <w:r w:rsidRPr="008C46E4">
        <w:rPr>
          <w:spacing w:val="0"/>
        </w:rPr>
        <w:t>Std</w:t>
      </w:r>
      <w:proofErr w:type="spellEnd"/>
      <w:r w:rsidRPr="008C46E4">
        <w:rPr>
          <w:spacing w:val="0"/>
        </w:rPr>
        <w:t xml:space="preserve"> C95.1™-2005, IEEE standard for safety levels with respect to human exposure to radio frequency electromagnetic fields, 3 kHz to 300 GHz</w:t>
      </w:r>
      <w:r w:rsidRPr="008C46E4">
        <w:rPr>
          <w:rStyle w:val="FootnoteTextChar"/>
          <w:b/>
          <w:spacing w:val="0"/>
        </w:rPr>
        <w:t>.</w:t>
      </w:r>
      <w:proofErr w:type="gramEnd"/>
    </w:p>
  </w:footnote>
  <w:footnote w:id="33">
    <w:p w:rsidR="00561C89" w:rsidRPr="008B2D4E" w:rsidRDefault="00561C89" w:rsidP="00AE1238">
      <w:pPr>
        <w:pStyle w:val="FootnoteText"/>
        <w:spacing w:before="60" w:line="240" w:lineRule="auto"/>
      </w:pPr>
      <w:r w:rsidRPr="008B2D4E">
        <w:rPr>
          <w:rStyle w:val="FootnoteReference"/>
          <w:lang w:val="en-GB"/>
        </w:rPr>
        <w:t>*</w:t>
      </w:r>
      <w:r>
        <w:t xml:space="preserve"> </w:t>
      </w:r>
      <w:r>
        <w:tab/>
      </w:r>
      <w:hyperlink r:id="rId7" w:history="1">
        <w:r w:rsidRPr="0060799F">
          <w:rPr>
            <w:rStyle w:val="Hyperlink"/>
            <w:bCs/>
            <w:szCs w:val="19"/>
          </w:rPr>
          <w:t>http://www.itu.int/md/D10-RGQ23.1-INF-0004/</w:t>
        </w:r>
      </w:hyperlink>
    </w:p>
  </w:footnote>
  <w:footnote w:id="34">
    <w:p w:rsidR="00561C89" w:rsidRPr="008B2D4E" w:rsidRDefault="00561C89" w:rsidP="00AE1238">
      <w:pPr>
        <w:pStyle w:val="FootnoteText"/>
        <w:spacing w:before="60" w:line="240" w:lineRule="auto"/>
      </w:pPr>
      <w:r w:rsidRPr="008B2D4E">
        <w:rPr>
          <w:rStyle w:val="FootnoteReference"/>
          <w:lang w:val="en-GB"/>
        </w:rPr>
        <w:t>*</w:t>
      </w:r>
      <w:r>
        <w:t xml:space="preserve"> </w:t>
      </w:r>
      <w:r>
        <w:tab/>
      </w:r>
      <w:hyperlink r:id="rId8" w:history="1">
        <w:r w:rsidRPr="0060799F">
          <w:rPr>
            <w:rStyle w:val="Hyperlink"/>
            <w:bCs/>
            <w:szCs w:val="19"/>
          </w:rPr>
          <w:t>http://www.itu.int/ITU-D/CDS/sg/rgqlist.asp?lg=1&amp;sp=2010&amp;rgq=D10-RGQ23.1&amp;stg=1</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Pr="00837668" w:rsidRDefault="00561C89"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Default="00561C89" w:rsidP="00561C89">
    <w:pPr>
      <w:pStyle w:val="Header"/>
      <w:spacing w:before="0"/>
      <w:rPr>
        <w:rStyle w:val="PageNumber"/>
        <w:lang w:val="fr-CH" w:eastAsia="zh-CN"/>
      </w:rPr>
    </w:pPr>
    <w:r>
      <w:rPr>
        <w:rStyle w:val="PageNumber"/>
        <w:lang w:val="fr-CH"/>
      </w:rPr>
      <w:fldChar w:fldCharType="begin"/>
    </w:r>
    <w:r>
      <w:rPr>
        <w:rStyle w:val="PageNumber"/>
        <w:lang w:val="fr-CH" w:eastAsia="zh-CN"/>
      </w:rPr>
      <w:instrText xml:space="preserve"> DOCPROPERTY  Title  \* MERGEFORMAT </w:instrText>
    </w:r>
    <w:r>
      <w:rPr>
        <w:rStyle w:val="PageNumber"/>
        <w:lang w:val="fr-CH"/>
      </w:rPr>
      <w:fldChar w:fldCharType="separate"/>
    </w:r>
    <w:r>
      <w:rPr>
        <w:rStyle w:val="PageNumber"/>
        <w:rFonts w:hint="eastAsia"/>
        <w:lang w:val="fr-CH" w:eastAsia="zh-CN"/>
      </w:rPr>
      <w:t>第</w:t>
    </w:r>
    <w:r>
      <w:rPr>
        <w:rStyle w:val="PageNumber"/>
        <w:rFonts w:hint="eastAsia"/>
        <w:lang w:val="fr-CH" w:eastAsia="zh-CN"/>
      </w:rPr>
      <w:t>23/1</w:t>
    </w:r>
    <w:r>
      <w:rPr>
        <w:rStyle w:val="PageNumber"/>
        <w:rFonts w:hint="eastAsia"/>
        <w:lang w:val="fr-CH" w:eastAsia="zh-CN"/>
      </w:rPr>
      <w:t>号课题：与人体电磁场暴露相关的战略和政策</w:t>
    </w:r>
    <w:r>
      <w:rPr>
        <w:rStyle w:val="PageNumber"/>
        <w:lang w:val="fr-CH"/>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Default="00561C89" w:rsidP="00561C89">
    <w:pPr>
      <w:pStyle w:val="Header"/>
      <w:spacing w:before="0"/>
      <w:rPr>
        <w:rStyle w:val="PageNumber"/>
        <w:lang w:val="fr-CH" w:eastAsia="zh-CN"/>
      </w:rPr>
    </w:pPr>
    <w:r>
      <w:rPr>
        <w:rStyle w:val="PageNumber"/>
        <w:lang w:val="fr-CH"/>
      </w:rPr>
      <w:fldChar w:fldCharType="begin"/>
    </w:r>
    <w:r>
      <w:rPr>
        <w:rStyle w:val="PageNumber"/>
        <w:lang w:val="fr-CH" w:eastAsia="zh-CN"/>
      </w:rPr>
      <w:instrText xml:space="preserve"> DOCPROPERTY  Title  \* MERGEFORMAT </w:instrText>
    </w:r>
    <w:r>
      <w:rPr>
        <w:rStyle w:val="PageNumber"/>
        <w:lang w:val="fr-CH"/>
      </w:rPr>
      <w:fldChar w:fldCharType="separate"/>
    </w:r>
    <w:r>
      <w:rPr>
        <w:rStyle w:val="PageNumber"/>
        <w:rFonts w:hint="eastAsia"/>
        <w:lang w:val="fr-CH" w:eastAsia="zh-CN"/>
      </w:rPr>
      <w:t>第</w:t>
    </w:r>
    <w:r>
      <w:rPr>
        <w:rStyle w:val="PageNumber"/>
        <w:rFonts w:hint="eastAsia"/>
        <w:lang w:val="fr-CH" w:eastAsia="zh-CN"/>
      </w:rPr>
      <w:t>23/1</w:t>
    </w:r>
    <w:r>
      <w:rPr>
        <w:rStyle w:val="PageNumber"/>
        <w:rFonts w:hint="eastAsia"/>
        <w:lang w:val="fr-CH" w:eastAsia="zh-CN"/>
      </w:rPr>
      <w:t>号课题：与人体电磁场暴露相关的战略和政策</w:t>
    </w:r>
    <w:r>
      <w:rPr>
        <w:rStyle w:val="PageNumber"/>
        <w:lang w:val="fr-CH"/>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Pr="00561C89" w:rsidRDefault="00561C89" w:rsidP="00561C89">
    <w:pPr>
      <w:pStyle w:val="Header"/>
      <w:spacing w:before="0"/>
      <w:rPr>
        <w:lang w:val="fr-CH" w:eastAsia="zh-CN"/>
      </w:rPr>
    </w:pPr>
    <w:r>
      <w:rPr>
        <w:rStyle w:val="PageNumber"/>
        <w:lang w:val="fr-CH"/>
      </w:rPr>
      <w:fldChar w:fldCharType="begin"/>
    </w:r>
    <w:r>
      <w:rPr>
        <w:rStyle w:val="PageNumber"/>
        <w:lang w:val="fr-CH" w:eastAsia="zh-CN"/>
      </w:rPr>
      <w:instrText xml:space="preserve"> DOCPROPERTY  Title  \* MERGEFORMAT </w:instrText>
    </w:r>
    <w:r>
      <w:rPr>
        <w:rStyle w:val="PageNumber"/>
        <w:lang w:val="fr-CH"/>
      </w:rPr>
      <w:fldChar w:fldCharType="separate"/>
    </w:r>
    <w:r>
      <w:rPr>
        <w:rStyle w:val="PageNumber"/>
        <w:rFonts w:hint="eastAsia"/>
        <w:lang w:val="fr-CH" w:eastAsia="zh-CN"/>
      </w:rPr>
      <w:t>第</w:t>
    </w:r>
    <w:r>
      <w:rPr>
        <w:rStyle w:val="PageNumber"/>
        <w:rFonts w:hint="eastAsia"/>
        <w:lang w:val="fr-CH" w:eastAsia="zh-CN"/>
      </w:rPr>
      <w:t>23/1</w:t>
    </w:r>
    <w:r>
      <w:rPr>
        <w:rStyle w:val="PageNumber"/>
        <w:rFonts w:hint="eastAsia"/>
        <w:lang w:val="fr-CH" w:eastAsia="zh-CN"/>
      </w:rPr>
      <w:t>号课题：与人体电磁场暴露相关的战略和政策</w:t>
    </w:r>
    <w:r>
      <w:rPr>
        <w:rStyle w:val="PageNumber"/>
        <w:lang w:val="fr-CH"/>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Default="00561C89" w:rsidP="00075AC8">
    <w:pPr>
      <w:pStyle w:val="Header"/>
    </w:pPr>
    <w:r>
      <w:rPr>
        <w:rStyle w:val="PageNumber"/>
        <w:lang w:val="fr-CH"/>
      </w:rPr>
      <w:t>Q</w:t>
    </w:r>
    <w:r w:rsidRPr="002D4FCA">
      <w:rPr>
        <w:lang w:val="fr-CH"/>
      </w:rPr>
      <w:t>uestion</w:t>
    </w:r>
    <w:r>
      <w:rPr>
        <w:lang w:val="fr-CH"/>
      </w:rPr>
      <w:t xml:space="preserve"> </w:t>
    </w:r>
    <w:proofErr w:type="spellStart"/>
    <w:r>
      <w:rPr>
        <w:lang w:val="fr-CH"/>
      </w:rPr>
      <w:t>number</w:t>
    </w:r>
    <w:proofErr w:type="spellEnd"/>
    <w:r>
      <w:rPr>
        <w:lang w:val="fr-CH"/>
      </w:rPr>
      <w:t xml:space="preserve"> + </w:t>
    </w:r>
    <w:proofErr w:type="spellStart"/>
    <w:r>
      <w:rPr>
        <w:lang w:val="fr-CH"/>
      </w:rPr>
      <w:t>title</w:t>
    </w:r>
    <w:proofErr w:type="spellEnd"/>
  </w:p>
  <w:p w:rsidR="00561C89" w:rsidRPr="00FB79B8" w:rsidRDefault="00561C89"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Default="00561C89" w:rsidP="000706A7">
    <w:pPr>
      <w:pStyle w:val="Header"/>
      <w:rPr>
        <w:rStyle w:val="PageNumber"/>
        <w:lang w:val="fr-CH" w:eastAsia="zh-CN"/>
      </w:rPr>
    </w:pPr>
    <w:r>
      <w:rPr>
        <w:rStyle w:val="PageNumber"/>
        <w:lang w:val="fr-CH"/>
      </w:rPr>
      <w:fldChar w:fldCharType="begin"/>
    </w:r>
    <w:r>
      <w:rPr>
        <w:rStyle w:val="PageNumber"/>
        <w:lang w:val="fr-CH" w:eastAsia="zh-CN"/>
      </w:rPr>
      <w:instrText xml:space="preserve"> DOCPROPERTY  Title  \* MERGEFORMAT </w:instrText>
    </w:r>
    <w:r>
      <w:rPr>
        <w:rStyle w:val="PageNumber"/>
        <w:lang w:val="fr-CH"/>
      </w:rPr>
      <w:fldChar w:fldCharType="separate"/>
    </w:r>
    <w:r>
      <w:rPr>
        <w:rStyle w:val="PageNumber"/>
        <w:rFonts w:hint="eastAsia"/>
        <w:lang w:val="fr-CH" w:eastAsia="zh-CN"/>
      </w:rPr>
      <w:t>第</w:t>
    </w:r>
    <w:r>
      <w:rPr>
        <w:rStyle w:val="PageNumber"/>
        <w:rFonts w:hint="eastAsia"/>
        <w:lang w:val="fr-CH" w:eastAsia="zh-CN"/>
      </w:rPr>
      <w:t>23/1</w:t>
    </w:r>
    <w:r>
      <w:rPr>
        <w:rStyle w:val="PageNumber"/>
        <w:rFonts w:hint="eastAsia"/>
        <w:lang w:val="fr-CH" w:eastAsia="zh-CN"/>
      </w:rPr>
      <w:t>号课题：与人体电磁场暴露相关的战略和政策</w:t>
    </w:r>
    <w:r>
      <w:rPr>
        <w:rStyle w:val="PageNumber"/>
        <w:lang w:val="fr-CH"/>
      </w:rPr>
      <w:fldChar w:fldCharType="end"/>
    </w:r>
  </w:p>
  <w:p w:rsidR="00561C89" w:rsidRPr="000706A7" w:rsidRDefault="00561C89" w:rsidP="00466AE5">
    <w:pPr>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Default="00561C89" w:rsidP="00075AC8">
    <w:pPr>
      <w:pStyle w:val="Header"/>
    </w:pPr>
    <w:r>
      <w:rPr>
        <w:rStyle w:val="PageNumber"/>
        <w:lang w:val="fr-CH"/>
      </w:rPr>
      <w:t>Q</w:t>
    </w:r>
    <w:r w:rsidRPr="002D4FCA">
      <w:rPr>
        <w:lang w:val="fr-CH"/>
      </w:rPr>
      <w:t>uestion</w:t>
    </w:r>
    <w:r>
      <w:rPr>
        <w:lang w:val="fr-CH"/>
      </w:rPr>
      <w:t xml:space="preserve"> </w:t>
    </w:r>
    <w:proofErr w:type="spellStart"/>
    <w:r>
      <w:rPr>
        <w:lang w:val="fr-CH"/>
      </w:rPr>
      <w:t>number</w:t>
    </w:r>
    <w:proofErr w:type="spellEnd"/>
    <w:r>
      <w:rPr>
        <w:lang w:val="fr-CH"/>
      </w:rPr>
      <w:t xml:space="preserve"> + </w:t>
    </w:r>
    <w:proofErr w:type="spellStart"/>
    <w:r>
      <w:rPr>
        <w:lang w:val="fr-CH"/>
      </w:rPr>
      <w:t>title</w:t>
    </w:r>
    <w:proofErr w:type="spellEnd"/>
  </w:p>
  <w:p w:rsidR="00561C89" w:rsidRPr="00FB79B8" w:rsidRDefault="00561C89" w:rsidP="00075AC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Default="00561C89" w:rsidP="009D7D92">
    <w:pPr>
      <w:pStyle w:val="Header"/>
      <w:rPr>
        <w:rStyle w:val="PageNumber"/>
        <w:lang w:val="fr-CH" w:eastAsia="zh-CN"/>
      </w:rPr>
    </w:pPr>
    <w:r>
      <w:rPr>
        <w:rStyle w:val="PageNumber"/>
        <w:lang w:val="fr-CH"/>
      </w:rPr>
      <w:fldChar w:fldCharType="begin"/>
    </w:r>
    <w:r>
      <w:rPr>
        <w:rStyle w:val="PageNumber"/>
        <w:lang w:val="fr-CH" w:eastAsia="zh-CN"/>
      </w:rPr>
      <w:instrText xml:space="preserve"> DOCPROPERTY  Title  \* MERGEFORMAT </w:instrText>
    </w:r>
    <w:r>
      <w:rPr>
        <w:rStyle w:val="PageNumber"/>
        <w:lang w:val="fr-CH"/>
      </w:rPr>
      <w:fldChar w:fldCharType="separate"/>
    </w:r>
    <w:r>
      <w:rPr>
        <w:rStyle w:val="PageNumber"/>
        <w:rFonts w:hint="eastAsia"/>
        <w:lang w:val="fr-CH" w:eastAsia="zh-CN"/>
      </w:rPr>
      <w:t>第</w:t>
    </w:r>
    <w:r>
      <w:rPr>
        <w:rStyle w:val="PageNumber"/>
        <w:rFonts w:hint="eastAsia"/>
        <w:lang w:val="fr-CH" w:eastAsia="zh-CN"/>
      </w:rPr>
      <w:t>23/1</w:t>
    </w:r>
    <w:r>
      <w:rPr>
        <w:rStyle w:val="PageNumber"/>
        <w:rFonts w:hint="eastAsia"/>
        <w:lang w:val="fr-CH" w:eastAsia="zh-CN"/>
      </w:rPr>
      <w:t>号课题：与人体电磁场暴露相关的战略和政策</w:t>
    </w:r>
    <w:r>
      <w:rPr>
        <w:rStyle w:val="PageNumber"/>
        <w:lang w:val="fr-CH"/>
      </w:rPr>
      <w:fldChar w:fldCharType="end"/>
    </w:r>
  </w:p>
  <w:p w:rsidR="00561C89" w:rsidRDefault="00561C89" w:rsidP="00466AE5">
    <w:pPr>
      <w:rPr>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Default="00561C89" w:rsidP="000706A7">
    <w:pPr>
      <w:pStyle w:val="Header"/>
      <w:rPr>
        <w:rStyle w:val="PageNumber"/>
        <w:lang w:val="fr-CH" w:eastAsia="zh-CN"/>
      </w:rPr>
    </w:pPr>
    <w:r>
      <w:rPr>
        <w:rStyle w:val="PageNumber"/>
        <w:lang w:val="fr-CH"/>
      </w:rPr>
      <w:fldChar w:fldCharType="begin"/>
    </w:r>
    <w:r>
      <w:rPr>
        <w:rStyle w:val="PageNumber"/>
        <w:lang w:val="fr-CH" w:eastAsia="zh-CN"/>
      </w:rPr>
      <w:instrText xml:space="preserve"> DOCPROPERTY  Title  \* MERGEFORMAT </w:instrText>
    </w:r>
    <w:r>
      <w:rPr>
        <w:rStyle w:val="PageNumber"/>
        <w:lang w:val="fr-CH"/>
      </w:rPr>
      <w:fldChar w:fldCharType="separate"/>
    </w:r>
    <w:r>
      <w:rPr>
        <w:rStyle w:val="PageNumber"/>
        <w:rFonts w:hint="eastAsia"/>
        <w:lang w:val="fr-CH" w:eastAsia="zh-CN"/>
      </w:rPr>
      <w:t>第</w:t>
    </w:r>
    <w:r>
      <w:rPr>
        <w:rStyle w:val="PageNumber"/>
        <w:rFonts w:hint="eastAsia"/>
        <w:lang w:val="fr-CH" w:eastAsia="zh-CN"/>
      </w:rPr>
      <w:t>23/1</w:t>
    </w:r>
    <w:r>
      <w:rPr>
        <w:rStyle w:val="PageNumber"/>
        <w:rFonts w:hint="eastAsia"/>
        <w:lang w:val="fr-CH" w:eastAsia="zh-CN"/>
      </w:rPr>
      <w:t>号课题：与人体电磁场暴露相关的战略和政策</w:t>
    </w:r>
    <w:r>
      <w:rPr>
        <w:rStyle w:val="PageNumber"/>
        <w:lang w:val="fr-CH"/>
      </w:rPr>
      <w:fldChar w:fldCharType="end"/>
    </w:r>
  </w:p>
  <w:p w:rsidR="00561C89" w:rsidRPr="000706A7" w:rsidRDefault="00561C89" w:rsidP="00CD5F2F">
    <w:pPr>
      <w:spacing w:before="120"/>
      <w:rPr>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Default="00561C89" w:rsidP="000706A7">
    <w:pPr>
      <w:pStyle w:val="Header"/>
      <w:rPr>
        <w:rStyle w:val="PageNumber"/>
        <w:lang w:val="fr-CH" w:eastAsia="zh-CN"/>
      </w:rPr>
    </w:pPr>
    <w:r>
      <w:rPr>
        <w:rStyle w:val="PageNumber"/>
        <w:lang w:val="fr-CH"/>
      </w:rPr>
      <w:fldChar w:fldCharType="begin"/>
    </w:r>
    <w:r>
      <w:rPr>
        <w:rStyle w:val="PageNumber"/>
        <w:lang w:val="fr-CH" w:eastAsia="zh-CN"/>
      </w:rPr>
      <w:instrText xml:space="preserve"> DOCPROPERTY  Title  \* MERGEFORMAT </w:instrText>
    </w:r>
    <w:r>
      <w:rPr>
        <w:rStyle w:val="PageNumber"/>
        <w:lang w:val="fr-CH"/>
      </w:rPr>
      <w:fldChar w:fldCharType="separate"/>
    </w:r>
    <w:r>
      <w:rPr>
        <w:rStyle w:val="PageNumber"/>
        <w:rFonts w:hint="eastAsia"/>
        <w:lang w:val="fr-CH" w:eastAsia="zh-CN"/>
      </w:rPr>
      <w:t>第</w:t>
    </w:r>
    <w:r>
      <w:rPr>
        <w:rStyle w:val="PageNumber"/>
        <w:rFonts w:hint="eastAsia"/>
        <w:lang w:val="fr-CH" w:eastAsia="zh-CN"/>
      </w:rPr>
      <w:t>23/1</w:t>
    </w:r>
    <w:r>
      <w:rPr>
        <w:rStyle w:val="PageNumber"/>
        <w:rFonts w:hint="eastAsia"/>
        <w:lang w:val="fr-CH" w:eastAsia="zh-CN"/>
      </w:rPr>
      <w:t>号课题：与人体电磁场暴露相关的战略和政策</w:t>
    </w:r>
    <w:r>
      <w:rPr>
        <w:rStyle w:val="PageNumber"/>
        <w:lang w:val="fr-CH"/>
      </w:rPr>
      <w:fldChar w:fldCharType="end"/>
    </w:r>
  </w:p>
  <w:p w:rsidR="00561C89" w:rsidRPr="000706A7" w:rsidRDefault="00561C89" w:rsidP="00CD5F2F">
    <w:pPr>
      <w:spacing w:before="120"/>
      <w:rPr>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Default="00561C89" w:rsidP="000706A7">
    <w:pPr>
      <w:pStyle w:val="Header"/>
      <w:rPr>
        <w:rStyle w:val="PageNumber"/>
        <w:lang w:val="fr-CH" w:eastAsia="zh-CN"/>
      </w:rPr>
    </w:pPr>
    <w:r>
      <w:rPr>
        <w:rStyle w:val="PageNumber"/>
        <w:lang w:val="fr-CH"/>
      </w:rPr>
      <w:fldChar w:fldCharType="begin"/>
    </w:r>
    <w:r>
      <w:rPr>
        <w:rStyle w:val="PageNumber"/>
        <w:lang w:val="fr-CH" w:eastAsia="zh-CN"/>
      </w:rPr>
      <w:instrText xml:space="preserve"> DOCPROPERTY  Title  \* MERGEFORMAT </w:instrText>
    </w:r>
    <w:r>
      <w:rPr>
        <w:rStyle w:val="PageNumber"/>
        <w:lang w:val="fr-CH"/>
      </w:rPr>
      <w:fldChar w:fldCharType="separate"/>
    </w:r>
    <w:r>
      <w:rPr>
        <w:rStyle w:val="PageNumber"/>
        <w:rFonts w:hint="eastAsia"/>
        <w:lang w:val="fr-CH" w:eastAsia="zh-CN"/>
      </w:rPr>
      <w:t>第</w:t>
    </w:r>
    <w:r>
      <w:rPr>
        <w:rStyle w:val="PageNumber"/>
        <w:rFonts w:hint="eastAsia"/>
        <w:lang w:val="fr-CH" w:eastAsia="zh-CN"/>
      </w:rPr>
      <w:t>23/1</w:t>
    </w:r>
    <w:r>
      <w:rPr>
        <w:rStyle w:val="PageNumber"/>
        <w:rFonts w:hint="eastAsia"/>
        <w:lang w:val="fr-CH" w:eastAsia="zh-CN"/>
      </w:rPr>
      <w:t>号课题：与人体电磁场暴露相关的战略和政策</w:t>
    </w:r>
    <w:r>
      <w:rPr>
        <w:rStyle w:val="PageNumber"/>
        <w:lang w:val="fr-CH"/>
      </w:rPr>
      <w:fldChar w:fldCharType="end"/>
    </w:r>
  </w:p>
  <w:p w:rsidR="00561C89" w:rsidRPr="000706A7" w:rsidRDefault="00561C89" w:rsidP="00E82D09">
    <w:pPr>
      <w:rPr>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89" w:rsidRPr="00E82D09" w:rsidRDefault="00561C89" w:rsidP="00E82D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7_"/>
      </v:shape>
    </w:pict>
  </w:numPicBullet>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3">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4">
    <w:nsid w:val="24307A55"/>
    <w:multiLevelType w:val="hybridMultilevel"/>
    <w:tmpl w:val="2EEEAEB4"/>
    <w:lvl w:ilvl="0" w:tplc="D7B6FE3C">
      <w:start w:val="1"/>
      <w:numFmt w:val="decimal"/>
      <w:lvlText w:val="%1."/>
      <w:lvlJc w:val="left"/>
      <w:pPr>
        <w:ind w:left="360" w:hanging="360"/>
      </w:pPr>
      <w:rPr>
        <w:sz w:val="20"/>
        <w:szCs w:val="1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F516D32"/>
    <w:multiLevelType w:val="hybridMultilevel"/>
    <w:tmpl w:val="C58282A8"/>
    <w:lvl w:ilvl="0" w:tplc="74B4BFCE">
      <w:start w:val="1"/>
      <w:numFmt w:val="lowerRoman"/>
      <w:lvlText w:val="(%1)"/>
      <w:lvlJc w:val="left"/>
      <w:pPr>
        <w:ind w:left="2145" w:hanging="720"/>
      </w:pPr>
      <w:rPr>
        <w:rFonts w:hint="default"/>
      </w:rPr>
    </w:lvl>
    <w:lvl w:ilvl="1" w:tplc="40090019" w:tentative="1">
      <w:start w:val="1"/>
      <w:numFmt w:val="lowerLetter"/>
      <w:lvlText w:val="%2."/>
      <w:lvlJc w:val="left"/>
      <w:pPr>
        <w:ind w:left="2505" w:hanging="360"/>
      </w:pPr>
    </w:lvl>
    <w:lvl w:ilvl="2" w:tplc="4009001B" w:tentative="1">
      <w:start w:val="1"/>
      <w:numFmt w:val="lowerRoman"/>
      <w:lvlText w:val="%3."/>
      <w:lvlJc w:val="right"/>
      <w:pPr>
        <w:ind w:left="3225" w:hanging="180"/>
      </w:pPr>
    </w:lvl>
    <w:lvl w:ilvl="3" w:tplc="4009000F" w:tentative="1">
      <w:start w:val="1"/>
      <w:numFmt w:val="decimal"/>
      <w:lvlText w:val="%4."/>
      <w:lvlJc w:val="left"/>
      <w:pPr>
        <w:ind w:left="3945" w:hanging="360"/>
      </w:pPr>
    </w:lvl>
    <w:lvl w:ilvl="4" w:tplc="40090019" w:tentative="1">
      <w:start w:val="1"/>
      <w:numFmt w:val="lowerLetter"/>
      <w:lvlText w:val="%5."/>
      <w:lvlJc w:val="left"/>
      <w:pPr>
        <w:ind w:left="4665" w:hanging="360"/>
      </w:pPr>
    </w:lvl>
    <w:lvl w:ilvl="5" w:tplc="4009001B" w:tentative="1">
      <w:start w:val="1"/>
      <w:numFmt w:val="lowerRoman"/>
      <w:lvlText w:val="%6."/>
      <w:lvlJc w:val="right"/>
      <w:pPr>
        <w:ind w:left="5385" w:hanging="180"/>
      </w:pPr>
    </w:lvl>
    <w:lvl w:ilvl="6" w:tplc="4009000F" w:tentative="1">
      <w:start w:val="1"/>
      <w:numFmt w:val="decimal"/>
      <w:lvlText w:val="%7."/>
      <w:lvlJc w:val="left"/>
      <w:pPr>
        <w:ind w:left="6105" w:hanging="360"/>
      </w:pPr>
    </w:lvl>
    <w:lvl w:ilvl="7" w:tplc="40090019" w:tentative="1">
      <w:start w:val="1"/>
      <w:numFmt w:val="lowerLetter"/>
      <w:lvlText w:val="%8."/>
      <w:lvlJc w:val="left"/>
      <w:pPr>
        <w:ind w:left="6825" w:hanging="360"/>
      </w:pPr>
    </w:lvl>
    <w:lvl w:ilvl="8" w:tplc="4009001B" w:tentative="1">
      <w:start w:val="1"/>
      <w:numFmt w:val="lowerRoman"/>
      <w:lvlText w:val="%9."/>
      <w:lvlJc w:val="right"/>
      <w:pPr>
        <w:ind w:left="7545" w:hanging="180"/>
      </w:pPr>
    </w:lvl>
  </w:abstractNum>
  <w:abstractNum w:abstractNumId="7">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63492229"/>
    <w:multiLevelType w:val="hybridMultilevel"/>
    <w:tmpl w:val="D5D61688"/>
    <w:lvl w:ilvl="0" w:tplc="A57C0B20">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2">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11"/>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12"/>
  </w:num>
  <w:num w:numId="3">
    <w:abstractNumId w:val="11"/>
  </w:num>
  <w:num w:numId="4">
    <w:abstractNumId w:val="3"/>
  </w:num>
  <w:num w:numId="5">
    <w:abstractNumId w:val="9"/>
  </w:num>
  <w:num w:numId="6">
    <w:abstractNumId w:val="2"/>
  </w:num>
  <w:num w:numId="7">
    <w:abstractNumId w:val="6"/>
  </w:num>
  <w:num w:numId="8">
    <w:abstractNumId w:val="1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AA5"/>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40A84"/>
    <w:rsid w:val="00041301"/>
    <w:rsid w:val="0004319A"/>
    <w:rsid w:val="0004427B"/>
    <w:rsid w:val="0004551C"/>
    <w:rsid w:val="00047D3C"/>
    <w:rsid w:val="0005154A"/>
    <w:rsid w:val="00051DDE"/>
    <w:rsid w:val="000541C8"/>
    <w:rsid w:val="000553C2"/>
    <w:rsid w:val="000608E4"/>
    <w:rsid w:val="000614AD"/>
    <w:rsid w:val="0006382C"/>
    <w:rsid w:val="000650DC"/>
    <w:rsid w:val="000661C2"/>
    <w:rsid w:val="00066280"/>
    <w:rsid w:val="000706A7"/>
    <w:rsid w:val="00070E31"/>
    <w:rsid w:val="00075AC8"/>
    <w:rsid w:val="00075AFE"/>
    <w:rsid w:val="00077618"/>
    <w:rsid w:val="00077AAE"/>
    <w:rsid w:val="00077DE6"/>
    <w:rsid w:val="000806FF"/>
    <w:rsid w:val="00081922"/>
    <w:rsid w:val="00083733"/>
    <w:rsid w:val="00085DF4"/>
    <w:rsid w:val="00087A33"/>
    <w:rsid w:val="0009006B"/>
    <w:rsid w:val="0009019D"/>
    <w:rsid w:val="00091C56"/>
    <w:rsid w:val="00092B20"/>
    <w:rsid w:val="00092F3A"/>
    <w:rsid w:val="00093E66"/>
    <w:rsid w:val="00096433"/>
    <w:rsid w:val="00096922"/>
    <w:rsid w:val="0009716E"/>
    <w:rsid w:val="00097207"/>
    <w:rsid w:val="00097422"/>
    <w:rsid w:val="00097540"/>
    <w:rsid w:val="000A14B5"/>
    <w:rsid w:val="000A316D"/>
    <w:rsid w:val="000A55BE"/>
    <w:rsid w:val="000A67CB"/>
    <w:rsid w:val="000A71D3"/>
    <w:rsid w:val="000B40AB"/>
    <w:rsid w:val="000C0D53"/>
    <w:rsid w:val="000C36E9"/>
    <w:rsid w:val="000C58D2"/>
    <w:rsid w:val="000D0DCD"/>
    <w:rsid w:val="000D0F63"/>
    <w:rsid w:val="000E2EB3"/>
    <w:rsid w:val="000E54EF"/>
    <w:rsid w:val="000F0388"/>
    <w:rsid w:val="000F16CC"/>
    <w:rsid w:val="000F5307"/>
    <w:rsid w:val="00100D4C"/>
    <w:rsid w:val="001016E4"/>
    <w:rsid w:val="0010381E"/>
    <w:rsid w:val="00103A5D"/>
    <w:rsid w:val="0010485E"/>
    <w:rsid w:val="00104860"/>
    <w:rsid w:val="00104DB4"/>
    <w:rsid w:val="001071F8"/>
    <w:rsid w:val="00111CA1"/>
    <w:rsid w:val="001131CF"/>
    <w:rsid w:val="00113F18"/>
    <w:rsid w:val="0011585A"/>
    <w:rsid w:val="00115EFF"/>
    <w:rsid w:val="0011701B"/>
    <w:rsid w:val="00117759"/>
    <w:rsid w:val="001178D8"/>
    <w:rsid w:val="00121F29"/>
    <w:rsid w:val="001227E0"/>
    <w:rsid w:val="001239C8"/>
    <w:rsid w:val="00125968"/>
    <w:rsid w:val="0012680A"/>
    <w:rsid w:val="00126A1E"/>
    <w:rsid w:val="00127996"/>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67EA6"/>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1C79"/>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C2C22"/>
    <w:rsid w:val="001C3365"/>
    <w:rsid w:val="001C33A5"/>
    <w:rsid w:val="001C476E"/>
    <w:rsid w:val="001C7095"/>
    <w:rsid w:val="001C70BF"/>
    <w:rsid w:val="001D3C25"/>
    <w:rsid w:val="001D4147"/>
    <w:rsid w:val="001D55D5"/>
    <w:rsid w:val="001D6A6E"/>
    <w:rsid w:val="001D795A"/>
    <w:rsid w:val="001E0DF9"/>
    <w:rsid w:val="001E1D38"/>
    <w:rsid w:val="001E6535"/>
    <w:rsid w:val="001F17CE"/>
    <w:rsid w:val="001F39FB"/>
    <w:rsid w:val="001F5A63"/>
    <w:rsid w:val="00203D84"/>
    <w:rsid w:val="00205608"/>
    <w:rsid w:val="0020793F"/>
    <w:rsid w:val="00207DF0"/>
    <w:rsid w:val="00211EAC"/>
    <w:rsid w:val="002163B8"/>
    <w:rsid w:val="00217FBE"/>
    <w:rsid w:val="002208F5"/>
    <w:rsid w:val="00225A80"/>
    <w:rsid w:val="0022728A"/>
    <w:rsid w:val="00234760"/>
    <w:rsid w:val="00234E6B"/>
    <w:rsid w:val="00236A97"/>
    <w:rsid w:val="002375B2"/>
    <w:rsid w:val="00243015"/>
    <w:rsid w:val="002438AC"/>
    <w:rsid w:val="0024564C"/>
    <w:rsid w:val="00246157"/>
    <w:rsid w:val="00246785"/>
    <w:rsid w:val="00247951"/>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5040"/>
    <w:rsid w:val="002A0464"/>
    <w:rsid w:val="002A12C3"/>
    <w:rsid w:val="002A733E"/>
    <w:rsid w:val="002B15C5"/>
    <w:rsid w:val="002B2394"/>
    <w:rsid w:val="002B2AB7"/>
    <w:rsid w:val="002B44A9"/>
    <w:rsid w:val="002B47AD"/>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F4126"/>
    <w:rsid w:val="002F6FFC"/>
    <w:rsid w:val="002F72CF"/>
    <w:rsid w:val="003000B4"/>
    <w:rsid w:val="00300A43"/>
    <w:rsid w:val="003010AB"/>
    <w:rsid w:val="00302A0A"/>
    <w:rsid w:val="00304068"/>
    <w:rsid w:val="0030419C"/>
    <w:rsid w:val="00305EA5"/>
    <w:rsid w:val="00310639"/>
    <w:rsid w:val="003132E0"/>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5D14"/>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3BD1"/>
    <w:rsid w:val="00384D7C"/>
    <w:rsid w:val="00385DD4"/>
    <w:rsid w:val="00386439"/>
    <w:rsid w:val="003913F2"/>
    <w:rsid w:val="00395676"/>
    <w:rsid w:val="0039683A"/>
    <w:rsid w:val="00396A3C"/>
    <w:rsid w:val="003A02C1"/>
    <w:rsid w:val="003A39F7"/>
    <w:rsid w:val="003A4C99"/>
    <w:rsid w:val="003B1976"/>
    <w:rsid w:val="003B7B3B"/>
    <w:rsid w:val="003C1287"/>
    <w:rsid w:val="003C1570"/>
    <w:rsid w:val="003C1F6F"/>
    <w:rsid w:val="003C2542"/>
    <w:rsid w:val="003C4176"/>
    <w:rsid w:val="003C4261"/>
    <w:rsid w:val="003C4ED6"/>
    <w:rsid w:val="003C5D30"/>
    <w:rsid w:val="003C7C81"/>
    <w:rsid w:val="003D213F"/>
    <w:rsid w:val="003D23ED"/>
    <w:rsid w:val="003D5315"/>
    <w:rsid w:val="003D663E"/>
    <w:rsid w:val="003D67E8"/>
    <w:rsid w:val="003E2209"/>
    <w:rsid w:val="003E2368"/>
    <w:rsid w:val="003E3CD1"/>
    <w:rsid w:val="003E52C2"/>
    <w:rsid w:val="003E7BFD"/>
    <w:rsid w:val="003F433C"/>
    <w:rsid w:val="003F5733"/>
    <w:rsid w:val="003F5FD0"/>
    <w:rsid w:val="003F6086"/>
    <w:rsid w:val="00402A02"/>
    <w:rsid w:val="0040368C"/>
    <w:rsid w:val="00403F4F"/>
    <w:rsid w:val="0040406E"/>
    <w:rsid w:val="00404EDC"/>
    <w:rsid w:val="00406E30"/>
    <w:rsid w:val="00411536"/>
    <w:rsid w:val="0041170E"/>
    <w:rsid w:val="00411F98"/>
    <w:rsid w:val="00412A25"/>
    <w:rsid w:val="00412B2E"/>
    <w:rsid w:val="0042073F"/>
    <w:rsid w:val="00424792"/>
    <w:rsid w:val="00424D86"/>
    <w:rsid w:val="004251B1"/>
    <w:rsid w:val="00425458"/>
    <w:rsid w:val="004268E9"/>
    <w:rsid w:val="00433527"/>
    <w:rsid w:val="0043453F"/>
    <w:rsid w:val="004359FB"/>
    <w:rsid w:val="00441ED5"/>
    <w:rsid w:val="004449BD"/>
    <w:rsid w:val="00444AA0"/>
    <w:rsid w:val="004456DA"/>
    <w:rsid w:val="00445DD4"/>
    <w:rsid w:val="00446AA5"/>
    <w:rsid w:val="00446E47"/>
    <w:rsid w:val="004513F0"/>
    <w:rsid w:val="00452B5A"/>
    <w:rsid w:val="00453C8E"/>
    <w:rsid w:val="004542E7"/>
    <w:rsid w:val="00455426"/>
    <w:rsid w:val="00455EC2"/>
    <w:rsid w:val="0045680A"/>
    <w:rsid w:val="0046015E"/>
    <w:rsid w:val="004621F9"/>
    <w:rsid w:val="00463DA1"/>
    <w:rsid w:val="0046428B"/>
    <w:rsid w:val="00464BCC"/>
    <w:rsid w:val="00465064"/>
    <w:rsid w:val="00465E86"/>
    <w:rsid w:val="00466AE5"/>
    <w:rsid w:val="004670E1"/>
    <w:rsid w:val="0046715B"/>
    <w:rsid w:val="004711C5"/>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D6922"/>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7F5F"/>
    <w:rsid w:val="0055091B"/>
    <w:rsid w:val="0055324C"/>
    <w:rsid w:val="00557363"/>
    <w:rsid w:val="00560106"/>
    <w:rsid w:val="00561C89"/>
    <w:rsid w:val="00567EAE"/>
    <w:rsid w:val="005702C2"/>
    <w:rsid w:val="00571155"/>
    <w:rsid w:val="00571B3E"/>
    <w:rsid w:val="00572079"/>
    <w:rsid w:val="0058130F"/>
    <w:rsid w:val="00581449"/>
    <w:rsid w:val="00581532"/>
    <w:rsid w:val="005815E2"/>
    <w:rsid w:val="005827CB"/>
    <w:rsid w:val="00584E81"/>
    <w:rsid w:val="00590CB1"/>
    <w:rsid w:val="005965AD"/>
    <w:rsid w:val="00597DC2"/>
    <w:rsid w:val="005A07EF"/>
    <w:rsid w:val="005A2D39"/>
    <w:rsid w:val="005B2283"/>
    <w:rsid w:val="005C1B6E"/>
    <w:rsid w:val="005C33A1"/>
    <w:rsid w:val="005C39DC"/>
    <w:rsid w:val="005C669F"/>
    <w:rsid w:val="005C6BDA"/>
    <w:rsid w:val="005E0123"/>
    <w:rsid w:val="005E151F"/>
    <w:rsid w:val="005E1D56"/>
    <w:rsid w:val="005E5E28"/>
    <w:rsid w:val="005F2E51"/>
    <w:rsid w:val="005F33E1"/>
    <w:rsid w:val="005F3B9D"/>
    <w:rsid w:val="005F56C9"/>
    <w:rsid w:val="005F64AB"/>
    <w:rsid w:val="005F7A06"/>
    <w:rsid w:val="005F7AAC"/>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005A"/>
    <w:rsid w:val="0066107A"/>
    <w:rsid w:val="00661A78"/>
    <w:rsid w:val="00662E9D"/>
    <w:rsid w:val="006630D2"/>
    <w:rsid w:val="00665EC4"/>
    <w:rsid w:val="006666B8"/>
    <w:rsid w:val="00671F7A"/>
    <w:rsid w:val="00674332"/>
    <w:rsid w:val="00676F90"/>
    <w:rsid w:val="006809C5"/>
    <w:rsid w:val="00680BAE"/>
    <w:rsid w:val="0068146F"/>
    <w:rsid w:val="006818E2"/>
    <w:rsid w:val="00684473"/>
    <w:rsid w:val="006879C3"/>
    <w:rsid w:val="00691200"/>
    <w:rsid w:val="00693D4E"/>
    <w:rsid w:val="00695FF7"/>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2E62"/>
    <w:rsid w:val="006D3FA2"/>
    <w:rsid w:val="006D4DF3"/>
    <w:rsid w:val="006D53C3"/>
    <w:rsid w:val="006D5844"/>
    <w:rsid w:val="006D6DFB"/>
    <w:rsid w:val="006E2A5C"/>
    <w:rsid w:val="006E4588"/>
    <w:rsid w:val="006E7DBC"/>
    <w:rsid w:val="006F3B2C"/>
    <w:rsid w:val="006F54E5"/>
    <w:rsid w:val="006F5E93"/>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5594E"/>
    <w:rsid w:val="007628CB"/>
    <w:rsid w:val="007633E7"/>
    <w:rsid w:val="00765A3F"/>
    <w:rsid w:val="00770445"/>
    <w:rsid w:val="007729BC"/>
    <w:rsid w:val="00774FEC"/>
    <w:rsid w:val="0078113F"/>
    <w:rsid w:val="0078387C"/>
    <w:rsid w:val="007914CE"/>
    <w:rsid w:val="007962E4"/>
    <w:rsid w:val="0079799F"/>
    <w:rsid w:val="007A23B5"/>
    <w:rsid w:val="007A68CA"/>
    <w:rsid w:val="007A7578"/>
    <w:rsid w:val="007A7C0F"/>
    <w:rsid w:val="007B05C3"/>
    <w:rsid w:val="007C5600"/>
    <w:rsid w:val="007C6D4B"/>
    <w:rsid w:val="007D21D5"/>
    <w:rsid w:val="007E077D"/>
    <w:rsid w:val="007E2F21"/>
    <w:rsid w:val="007F0BC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0A2F"/>
    <w:rsid w:val="00821809"/>
    <w:rsid w:val="00821C93"/>
    <w:rsid w:val="008228A6"/>
    <w:rsid w:val="0082760E"/>
    <w:rsid w:val="00830CDD"/>
    <w:rsid w:val="00831BCD"/>
    <w:rsid w:val="008325A3"/>
    <w:rsid w:val="00833048"/>
    <w:rsid w:val="00834306"/>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30A3"/>
    <w:rsid w:val="00894802"/>
    <w:rsid w:val="00894A7A"/>
    <w:rsid w:val="00894F8A"/>
    <w:rsid w:val="008966E0"/>
    <w:rsid w:val="008A3FEF"/>
    <w:rsid w:val="008A4A76"/>
    <w:rsid w:val="008A69F4"/>
    <w:rsid w:val="008B0C46"/>
    <w:rsid w:val="008B2896"/>
    <w:rsid w:val="008B3E9F"/>
    <w:rsid w:val="008B4ABF"/>
    <w:rsid w:val="008B6710"/>
    <w:rsid w:val="008B7C0E"/>
    <w:rsid w:val="008C0E53"/>
    <w:rsid w:val="008C1FAE"/>
    <w:rsid w:val="008C3BA6"/>
    <w:rsid w:val="008C46E4"/>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31B3"/>
    <w:rsid w:val="0094729D"/>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80757"/>
    <w:rsid w:val="009907AA"/>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4B50"/>
    <w:rsid w:val="009D7157"/>
    <w:rsid w:val="009D7D92"/>
    <w:rsid w:val="009D7FFD"/>
    <w:rsid w:val="009E27C2"/>
    <w:rsid w:val="009E2BB9"/>
    <w:rsid w:val="009E3217"/>
    <w:rsid w:val="009F0BDC"/>
    <w:rsid w:val="009F6A42"/>
    <w:rsid w:val="00A01CFB"/>
    <w:rsid w:val="00A057B2"/>
    <w:rsid w:val="00A05D29"/>
    <w:rsid w:val="00A11555"/>
    <w:rsid w:val="00A117DC"/>
    <w:rsid w:val="00A11AC1"/>
    <w:rsid w:val="00A13549"/>
    <w:rsid w:val="00A145D3"/>
    <w:rsid w:val="00A14F47"/>
    <w:rsid w:val="00A158DC"/>
    <w:rsid w:val="00A164FB"/>
    <w:rsid w:val="00A16E02"/>
    <w:rsid w:val="00A20B07"/>
    <w:rsid w:val="00A232F4"/>
    <w:rsid w:val="00A23985"/>
    <w:rsid w:val="00A24D4D"/>
    <w:rsid w:val="00A26624"/>
    <w:rsid w:val="00A32C68"/>
    <w:rsid w:val="00A360D2"/>
    <w:rsid w:val="00A372CC"/>
    <w:rsid w:val="00A401B5"/>
    <w:rsid w:val="00A43AB6"/>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3A3F"/>
    <w:rsid w:val="00AC661B"/>
    <w:rsid w:val="00AC6E22"/>
    <w:rsid w:val="00AC733C"/>
    <w:rsid w:val="00AD22C3"/>
    <w:rsid w:val="00AD24A5"/>
    <w:rsid w:val="00AD381A"/>
    <w:rsid w:val="00AD58E6"/>
    <w:rsid w:val="00AE0FF0"/>
    <w:rsid w:val="00AE1238"/>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66FE"/>
    <w:rsid w:val="00BD1723"/>
    <w:rsid w:val="00BD1D68"/>
    <w:rsid w:val="00BD25E9"/>
    <w:rsid w:val="00BD30ED"/>
    <w:rsid w:val="00BD37E5"/>
    <w:rsid w:val="00BD5189"/>
    <w:rsid w:val="00BD747A"/>
    <w:rsid w:val="00BE267E"/>
    <w:rsid w:val="00BE4B22"/>
    <w:rsid w:val="00BE5449"/>
    <w:rsid w:val="00BE5A67"/>
    <w:rsid w:val="00BF08DD"/>
    <w:rsid w:val="00BF3B6A"/>
    <w:rsid w:val="00BF49C7"/>
    <w:rsid w:val="00C0318D"/>
    <w:rsid w:val="00C07C4E"/>
    <w:rsid w:val="00C12B99"/>
    <w:rsid w:val="00C15624"/>
    <w:rsid w:val="00C15BC0"/>
    <w:rsid w:val="00C20AA1"/>
    <w:rsid w:val="00C210CC"/>
    <w:rsid w:val="00C21D57"/>
    <w:rsid w:val="00C239F6"/>
    <w:rsid w:val="00C24C0A"/>
    <w:rsid w:val="00C25608"/>
    <w:rsid w:val="00C25E36"/>
    <w:rsid w:val="00C26F81"/>
    <w:rsid w:val="00C3027A"/>
    <w:rsid w:val="00C40B7E"/>
    <w:rsid w:val="00C43E84"/>
    <w:rsid w:val="00C45CD5"/>
    <w:rsid w:val="00C52C1C"/>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E2F"/>
    <w:rsid w:val="00CA2BD7"/>
    <w:rsid w:val="00CA3738"/>
    <w:rsid w:val="00CA3B6F"/>
    <w:rsid w:val="00CA42F7"/>
    <w:rsid w:val="00CA5541"/>
    <w:rsid w:val="00CA6969"/>
    <w:rsid w:val="00CA71B7"/>
    <w:rsid w:val="00CB00F3"/>
    <w:rsid w:val="00CB08AD"/>
    <w:rsid w:val="00CB12BA"/>
    <w:rsid w:val="00CB484E"/>
    <w:rsid w:val="00CB4B53"/>
    <w:rsid w:val="00CB7D21"/>
    <w:rsid w:val="00CB7DA1"/>
    <w:rsid w:val="00CC16B2"/>
    <w:rsid w:val="00CC6596"/>
    <w:rsid w:val="00CD1B01"/>
    <w:rsid w:val="00CD1D5B"/>
    <w:rsid w:val="00CD1E6E"/>
    <w:rsid w:val="00CD341E"/>
    <w:rsid w:val="00CD4791"/>
    <w:rsid w:val="00CD5187"/>
    <w:rsid w:val="00CD5F2F"/>
    <w:rsid w:val="00CD7815"/>
    <w:rsid w:val="00CE3E78"/>
    <w:rsid w:val="00CE40B1"/>
    <w:rsid w:val="00CE6775"/>
    <w:rsid w:val="00CE67D7"/>
    <w:rsid w:val="00CE68DB"/>
    <w:rsid w:val="00CE7256"/>
    <w:rsid w:val="00CE76FC"/>
    <w:rsid w:val="00CE77E0"/>
    <w:rsid w:val="00CE7F23"/>
    <w:rsid w:val="00CF1AFB"/>
    <w:rsid w:val="00CF22CE"/>
    <w:rsid w:val="00CF29E9"/>
    <w:rsid w:val="00CF44B9"/>
    <w:rsid w:val="00CF67B3"/>
    <w:rsid w:val="00D15DB8"/>
    <w:rsid w:val="00D175DD"/>
    <w:rsid w:val="00D22B85"/>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6217"/>
    <w:rsid w:val="00D56B5F"/>
    <w:rsid w:val="00D57F4F"/>
    <w:rsid w:val="00D62251"/>
    <w:rsid w:val="00D638A6"/>
    <w:rsid w:val="00D65589"/>
    <w:rsid w:val="00D672EC"/>
    <w:rsid w:val="00D67B5C"/>
    <w:rsid w:val="00D702A7"/>
    <w:rsid w:val="00D71F9C"/>
    <w:rsid w:val="00D75B86"/>
    <w:rsid w:val="00D77BE8"/>
    <w:rsid w:val="00D77DBB"/>
    <w:rsid w:val="00D8213A"/>
    <w:rsid w:val="00D91533"/>
    <w:rsid w:val="00D91F0F"/>
    <w:rsid w:val="00D932DC"/>
    <w:rsid w:val="00D94FEE"/>
    <w:rsid w:val="00D9553B"/>
    <w:rsid w:val="00DA046D"/>
    <w:rsid w:val="00DA269E"/>
    <w:rsid w:val="00DA4798"/>
    <w:rsid w:val="00DA552F"/>
    <w:rsid w:val="00DA6A48"/>
    <w:rsid w:val="00DB0B42"/>
    <w:rsid w:val="00DB18DD"/>
    <w:rsid w:val="00DB3E84"/>
    <w:rsid w:val="00DB4069"/>
    <w:rsid w:val="00DB519F"/>
    <w:rsid w:val="00DC2054"/>
    <w:rsid w:val="00DC2472"/>
    <w:rsid w:val="00DC33F5"/>
    <w:rsid w:val="00DC3648"/>
    <w:rsid w:val="00DC3E55"/>
    <w:rsid w:val="00DC4711"/>
    <w:rsid w:val="00DC6901"/>
    <w:rsid w:val="00DC7DFF"/>
    <w:rsid w:val="00DC7F23"/>
    <w:rsid w:val="00DD0C12"/>
    <w:rsid w:val="00DD1E6F"/>
    <w:rsid w:val="00DD6562"/>
    <w:rsid w:val="00DD6D3A"/>
    <w:rsid w:val="00DE0F8A"/>
    <w:rsid w:val="00DE23E5"/>
    <w:rsid w:val="00DE495D"/>
    <w:rsid w:val="00DE4C4D"/>
    <w:rsid w:val="00DE4DCD"/>
    <w:rsid w:val="00DE524F"/>
    <w:rsid w:val="00DF3F29"/>
    <w:rsid w:val="00DF421A"/>
    <w:rsid w:val="00DF76ED"/>
    <w:rsid w:val="00E0321A"/>
    <w:rsid w:val="00E03965"/>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404E4"/>
    <w:rsid w:val="00E414BD"/>
    <w:rsid w:val="00E41664"/>
    <w:rsid w:val="00E41791"/>
    <w:rsid w:val="00E4260B"/>
    <w:rsid w:val="00E44532"/>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80E71"/>
    <w:rsid w:val="00E818CE"/>
    <w:rsid w:val="00E82D09"/>
    <w:rsid w:val="00E871BE"/>
    <w:rsid w:val="00E87816"/>
    <w:rsid w:val="00E91AB2"/>
    <w:rsid w:val="00E9227E"/>
    <w:rsid w:val="00E939FF"/>
    <w:rsid w:val="00EA04C4"/>
    <w:rsid w:val="00EA1623"/>
    <w:rsid w:val="00EA5633"/>
    <w:rsid w:val="00EA6CB9"/>
    <w:rsid w:val="00EB05BA"/>
    <w:rsid w:val="00EB3DB6"/>
    <w:rsid w:val="00EB501C"/>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A0B1A"/>
    <w:rsid w:val="00FA1758"/>
    <w:rsid w:val="00FA17B6"/>
    <w:rsid w:val="00FA470B"/>
    <w:rsid w:val="00FB0769"/>
    <w:rsid w:val="00FB3EE3"/>
    <w:rsid w:val="00FB6739"/>
    <w:rsid w:val="00FB73EC"/>
    <w:rsid w:val="00FB75C9"/>
    <w:rsid w:val="00FB79B8"/>
    <w:rsid w:val="00FC0D2F"/>
    <w:rsid w:val="00FC1CA4"/>
    <w:rsid w:val="00FC2028"/>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E71A7"/>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CB08AD"/>
    <w:pPr>
      <w:tabs>
        <w:tab w:val="left" w:pos="794"/>
      </w:tabs>
      <w:overflowPunct w:val="0"/>
      <w:spacing w:before="160" w:line="252" w:lineRule="auto"/>
      <w:jc w:val="both"/>
    </w:pPr>
    <w:rPr>
      <w:rFonts w:ascii="Calibri" w:hAnsi="Calibri"/>
      <w:spacing w:val="4"/>
      <w:sz w:val="22"/>
      <w:szCs w:val="22"/>
      <w:lang w:val="fr-FR" w:eastAsia="fr-FR"/>
    </w:rPr>
  </w:style>
  <w:style w:type="paragraph" w:styleId="Heading1">
    <w:name w:val="heading 1"/>
    <w:basedOn w:val="Normal"/>
    <w:next w:val="Normal"/>
    <w:link w:val="Heading1Char"/>
    <w:uiPriority w:val="9"/>
    <w:qFormat/>
    <w:rsid w:val="00AE1238"/>
    <w:pPr>
      <w:keepNext/>
      <w:keepLines/>
      <w:spacing w:before="400"/>
      <w:ind w:left="794" w:hanging="794"/>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AE1238"/>
    <w:pPr>
      <w:keepNext/>
      <w:spacing w:before="400"/>
      <w:ind w:left="794" w:hanging="794"/>
      <w:outlineLvl w:val="1"/>
    </w:pPr>
    <w:rPr>
      <w:rFonts w:cs="Helvetica"/>
      <w:b/>
      <w:bCs/>
      <w:color w:val="005173"/>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CD5F2F"/>
    <w:pPr>
      <w:pBdr>
        <w:bottom w:val="single" w:sz="12" w:space="1" w:color="005173"/>
      </w:pBdr>
      <w:spacing w:before="120" w:line="240" w:lineRule="auto"/>
      <w:jc w:val="center"/>
    </w:pPr>
    <w:rPr>
      <w:rFonts w:eastAsia="STKaiti" w:cs="Calibri"/>
      <w:iCs/>
      <w:szCs w:val="21"/>
      <w:lang w:val="en-US"/>
    </w:rPr>
  </w:style>
  <w:style w:type="character" w:customStyle="1" w:styleId="HeaderChar">
    <w:name w:val="Header Char"/>
    <w:link w:val="Header"/>
    <w:uiPriority w:val="99"/>
    <w:rsid w:val="00CD5F2F"/>
    <w:rPr>
      <w:rFonts w:ascii="Calibri" w:eastAsia="STKaiti" w:hAnsi="Calibri" w:cs="Calibri"/>
      <w:iCs/>
      <w:spacing w:val="4"/>
      <w:sz w:val="22"/>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466AE5"/>
    <w:pPr>
      <w:keepNext/>
      <w:keepLines/>
      <w:tabs>
        <w:tab w:val="clear" w:pos="794"/>
        <w:tab w:val="left" w:pos="567"/>
        <w:tab w:val="right" w:leader="dot" w:pos="8505"/>
        <w:tab w:val="right" w:pos="9071"/>
      </w:tabs>
      <w:spacing w:before="200"/>
      <w:ind w:left="567" w:right="567" w:hanging="567"/>
      <w:jc w:val="left"/>
    </w:pPr>
    <w:rPr>
      <w:rFonts w:cs="Helvetica"/>
      <w:b/>
      <w:bCs/>
      <w:noProof/>
      <w:szCs w:val="28"/>
      <w:lang w:val="en-US"/>
    </w:rPr>
  </w:style>
  <w:style w:type="paragraph" w:customStyle="1" w:styleId="Enumlevel2">
    <w:name w:val="Enum level 2"/>
    <w:basedOn w:val="Enumlevel1"/>
    <w:link w:val="Enumlevel2Char"/>
    <w:qFormat/>
    <w:rsid w:val="0075594E"/>
    <w:pPr>
      <w:tabs>
        <w:tab w:val="clear" w:pos="794"/>
        <w:tab w:val="left" w:pos="1191"/>
      </w:tabs>
      <w:ind w:left="1191" w:hanging="397"/>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75594E"/>
    <w:rPr>
      <w:rFonts w:ascii="Calibri" w:hAnsi="Calibri" w:cs="Calibri"/>
      <w:sz w:val="22"/>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CD5F2F"/>
    <w:pPr>
      <w:pBdr>
        <w:top w:val="single" w:sz="4" w:space="1" w:color="005173"/>
      </w:pBdr>
      <w:tabs>
        <w:tab w:val="right" w:pos="9071"/>
      </w:tabs>
      <w:spacing w:before="120" w:line="240" w:lineRule="auto"/>
      <w:ind w:left="6804"/>
      <w:jc w:val="right"/>
    </w:pPr>
  </w:style>
  <w:style w:type="character" w:customStyle="1" w:styleId="FooterChar">
    <w:name w:val="Footer Char"/>
    <w:link w:val="Footer"/>
    <w:uiPriority w:val="99"/>
    <w:rsid w:val="00CD5F2F"/>
    <w:rPr>
      <w:rFonts w:ascii="Calibri" w:hAnsi="Calibri"/>
      <w:spacing w:val="4"/>
      <w:sz w:val="22"/>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AE1238"/>
    <w:rPr>
      <w:rFonts w:ascii="Calibri" w:hAnsi="Calibri" w:cs="Helvetica"/>
      <w:b/>
      <w:bCs/>
      <w:color w:val="005173"/>
      <w:spacing w:val="4"/>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CB08AD"/>
    <w:pPr>
      <w:tabs>
        <w:tab w:val="left" w:pos="284"/>
      </w:tabs>
      <w:spacing w:before="120"/>
    </w:pPr>
    <w:rPr>
      <w:sz w:val="19"/>
      <w:szCs w:val="18"/>
      <w:lang w:val="en-US"/>
    </w:rPr>
  </w:style>
  <w:style w:type="character" w:customStyle="1" w:styleId="FootnoteTextChar">
    <w:name w:val="Footnote Text Char"/>
    <w:link w:val="FootnoteText"/>
    <w:uiPriority w:val="99"/>
    <w:rsid w:val="00CB08AD"/>
    <w:rPr>
      <w:rFonts w:ascii="Calibri" w:hAnsi="Calibri"/>
      <w:spacing w:val="4"/>
      <w:sz w:val="19"/>
      <w:szCs w:val="18"/>
      <w:lang w:eastAsia="fr-FR"/>
    </w:rPr>
  </w:style>
  <w:style w:type="character" w:styleId="FootnoteReference">
    <w:name w:val="footnote reference"/>
    <w:aliases w:val="Appel note de bas de p"/>
    <w:uiPriority w:val="99"/>
    <w:rsid w:val="00355D14"/>
    <w:rPr>
      <w:rFonts w:ascii="Calibri" w:hAnsi="Calibri"/>
      <w:sz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E03965"/>
    <w:pPr>
      <w:tabs>
        <w:tab w:val="right" w:pos="9071"/>
      </w:tabs>
      <w:spacing w:before="200"/>
      <w:jc w:val="right"/>
    </w:pPr>
    <w:rPr>
      <w:rFonts w:eastAsia="STKaiti" w:cs="Helvetica"/>
      <w:bCs/>
      <w:iCs/>
      <w:noProof/>
      <w:color w:val="005173"/>
      <w:szCs w:val="28"/>
      <w:lang w:val="en-US"/>
    </w:rPr>
  </w:style>
  <w:style w:type="character" w:customStyle="1" w:styleId="Heading1Char">
    <w:name w:val="Heading 1 Char"/>
    <w:link w:val="Heading1"/>
    <w:uiPriority w:val="9"/>
    <w:rsid w:val="00AE1238"/>
    <w:rPr>
      <w:rFonts w:ascii="Calibri" w:eastAsia="Times New Roman" w:hAnsi="Calibri" w:cs="Helvetica"/>
      <w:b/>
      <w:bCs/>
      <w:color w:val="005173"/>
      <w:spacing w:val="4"/>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E03965"/>
    <w:rPr>
      <w:rFonts w:ascii="Calibri" w:eastAsia="STKaiti" w:hAnsi="Calibri" w:cs="Helvetica"/>
      <w:bCs/>
      <w:iCs/>
      <w:noProof/>
      <w:color w:val="005173"/>
      <w:sz w:val="22"/>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75594E"/>
    <w:pPr>
      <w:ind w:left="794" w:hanging="794"/>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75594E"/>
    <w:rPr>
      <w:rFonts w:ascii="Calibri" w:hAnsi="Calibri" w:cs="Calibri"/>
      <w:sz w:val="22"/>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75594E"/>
    <w:pPr>
      <w:autoSpaceDE w:val="0"/>
      <w:autoSpaceDN w:val="0"/>
      <w:adjustRightInd w:val="0"/>
      <w:spacing w:before="80" w:after="80"/>
      <w:jc w:val="center"/>
    </w:pPr>
    <w:rPr>
      <w:rFonts w:cs="Arial Bold"/>
      <w:b/>
      <w:bCs/>
      <w:color w:val="FFFFFF"/>
      <w:sz w:val="20"/>
      <w:lang w:val="en-US"/>
    </w:rPr>
  </w:style>
  <w:style w:type="character" w:customStyle="1" w:styleId="TableheadChar">
    <w:name w:val="Table head Char"/>
    <w:link w:val="Tablehead"/>
    <w:rsid w:val="0075594E"/>
    <w:rPr>
      <w:rFonts w:ascii="Calibri" w:hAnsi="Calibri" w:cs="Arial Bold"/>
      <w:b/>
      <w:bCs/>
      <w:color w:val="FFFFFF"/>
      <w:szCs w:val="22"/>
      <w:lang w:eastAsia="fr-FR"/>
    </w:rPr>
  </w:style>
  <w:style w:type="paragraph" w:customStyle="1" w:styleId="Tabletext">
    <w:name w:val="Table text"/>
    <w:basedOn w:val="Normal"/>
    <w:link w:val="TabletextChar"/>
    <w:qFormat/>
    <w:rsid w:val="0075594E"/>
    <w:pPr>
      <w:spacing w:before="40" w:after="40"/>
      <w:jc w:val="left"/>
    </w:pPr>
    <w:rPr>
      <w:rFonts w:cs="Calibri"/>
      <w:sz w:val="20"/>
      <w:szCs w:val="19"/>
    </w:rPr>
  </w:style>
  <w:style w:type="character" w:customStyle="1" w:styleId="TabletextChar">
    <w:name w:val="Table text Char"/>
    <w:link w:val="Tabletext"/>
    <w:rsid w:val="0075594E"/>
    <w:rPr>
      <w:rFonts w:ascii="Calibri" w:hAnsi="Calibri" w:cs="Calibri"/>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1191"/>
        <w:tab w:val="left" w:pos="1588"/>
        <w:tab w:val="left" w:pos="1985"/>
      </w:tabs>
      <w:autoSpaceDE w:val="0"/>
      <w:autoSpaceDN w:val="0"/>
      <w:adjustRightInd w:val="0"/>
      <w:spacing w:before="360"/>
      <w:textAlignment w:val="baseline"/>
    </w:pPr>
    <w:rPr>
      <w:rFonts w:ascii="Times New Roman" w:eastAsia="Times New Roman" w:hAnsi="Times New Roman"/>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1191"/>
        <w:tab w:val="left" w:pos="1588"/>
        <w:tab w:val="left" w:pos="1985"/>
      </w:tabs>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link w:val="CallChar"/>
    <w:uiPriority w:val="99"/>
    <w:rsid w:val="0075594E"/>
    <w:pPr>
      <w:keepNext/>
      <w:keepLines/>
      <w:tabs>
        <w:tab w:val="left" w:pos="1191"/>
        <w:tab w:val="left" w:pos="1588"/>
        <w:tab w:val="left" w:pos="1985"/>
      </w:tabs>
      <w:autoSpaceDE w:val="0"/>
      <w:autoSpaceDN w:val="0"/>
      <w:adjustRightInd w:val="0"/>
      <w:ind w:left="794"/>
      <w:jc w:val="left"/>
      <w:textAlignment w:val="baseline"/>
    </w:pPr>
    <w:rPr>
      <w:rFonts w:eastAsia="STKaiti" w:cs="Times New Roman italic"/>
      <w:szCs w:val="20"/>
      <w:lang w:val="en-GB" w:eastAsia="en-US"/>
    </w:rPr>
  </w:style>
  <w:style w:type="paragraph" w:customStyle="1" w:styleId="Headingb0">
    <w:name w:val="Heading_b"/>
    <w:basedOn w:val="Normal"/>
    <w:next w:val="Normal"/>
    <w:uiPriority w:val="99"/>
    <w:rsid w:val="0075594E"/>
    <w:pPr>
      <w:keepNext/>
      <w:tabs>
        <w:tab w:val="left" w:pos="1191"/>
        <w:tab w:val="left" w:pos="1588"/>
        <w:tab w:val="left" w:pos="1985"/>
      </w:tabs>
      <w:autoSpaceDE w:val="0"/>
      <w:autoSpaceDN w:val="0"/>
      <w:adjustRightInd w:val="0"/>
      <w:jc w:val="left"/>
      <w:textAlignment w:val="baseline"/>
    </w:pPr>
    <w:rPr>
      <w:rFonts w:cs="Times New Roman Bold"/>
      <w:b/>
      <w:bCs/>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75594E"/>
    <w:pPr>
      <w:spacing w:before="240"/>
      <w:jc w:val="right"/>
    </w:pPr>
    <w:rPr>
      <w:rFonts w:eastAsia="STKaiti" w:cs="Times New Roman Bold"/>
      <w:b/>
      <w:color w:val="005173"/>
      <w:sz w:val="52"/>
    </w:rPr>
  </w:style>
  <w:style w:type="paragraph" w:customStyle="1" w:styleId="Headingi">
    <w:name w:val="Heading_i"/>
    <w:basedOn w:val="Headingb0"/>
    <w:qFormat/>
    <w:rsid w:val="00CF67B3"/>
    <w:pPr>
      <w:spacing w:before="240"/>
    </w:pPr>
    <w:rPr>
      <w:rFonts w:eastAsia="STKaiti"/>
    </w:rPr>
  </w:style>
  <w:style w:type="paragraph" w:styleId="BodyText">
    <w:name w:val="Body Text"/>
    <w:basedOn w:val="Normal"/>
    <w:link w:val="BodyTextChar"/>
    <w:rsid w:val="00D56217"/>
    <w:pPr>
      <w:tabs>
        <w:tab w:val="left" w:pos="1191"/>
        <w:tab w:val="left" w:pos="1588"/>
        <w:tab w:val="left" w:pos="1985"/>
      </w:tabs>
      <w:suppressAutoHyphens/>
      <w:autoSpaceDE w:val="0"/>
      <w:spacing w:before="0" w:after="120" w:line="240" w:lineRule="auto"/>
      <w:jc w:val="left"/>
      <w:textAlignment w:val="baseline"/>
    </w:pPr>
    <w:rPr>
      <w:rFonts w:ascii="Times New Roman" w:eastAsia="Calibri" w:hAnsi="Times New Roman" w:cs="CG Times"/>
      <w:spacing w:val="0"/>
      <w:sz w:val="24"/>
      <w:szCs w:val="20"/>
      <w:lang w:val="en-GB" w:eastAsia="ar-SA"/>
    </w:rPr>
  </w:style>
  <w:style w:type="character" w:customStyle="1" w:styleId="BodyTextChar">
    <w:name w:val="Body Text Char"/>
    <w:basedOn w:val="DefaultParagraphFont"/>
    <w:link w:val="BodyText"/>
    <w:rsid w:val="00D56217"/>
    <w:rPr>
      <w:rFonts w:eastAsia="Calibri" w:cs="CG Times"/>
      <w:sz w:val="24"/>
      <w:lang w:val="en-GB" w:eastAsia="ar-SA"/>
    </w:rPr>
  </w:style>
  <w:style w:type="paragraph" w:styleId="Caption">
    <w:name w:val="caption"/>
    <w:basedOn w:val="Normal"/>
    <w:next w:val="Normal"/>
    <w:qFormat/>
    <w:rsid w:val="00D56217"/>
    <w:pPr>
      <w:tabs>
        <w:tab w:val="clear" w:pos="794"/>
      </w:tabs>
      <w:autoSpaceDE w:val="0"/>
      <w:autoSpaceDN w:val="0"/>
      <w:adjustRightInd w:val="0"/>
      <w:spacing w:before="120" w:after="120" w:line="240" w:lineRule="auto"/>
      <w:jc w:val="left"/>
      <w:textAlignment w:val="baseline"/>
    </w:pPr>
    <w:rPr>
      <w:rFonts w:ascii="Times New Roman" w:eastAsia="Batang" w:hAnsi="Times New Roman"/>
      <w:b/>
      <w:spacing w:val="0"/>
      <w:sz w:val="20"/>
      <w:szCs w:val="20"/>
      <w:lang w:val="en-US" w:eastAsia="ko-KR"/>
    </w:rPr>
  </w:style>
  <w:style w:type="character" w:customStyle="1" w:styleId="CharChar">
    <w:name w:val="Char Char"/>
    <w:basedOn w:val="DefaultParagraphFont"/>
    <w:rsid w:val="00D56217"/>
    <w:rPr>
      <w:sz w:val="24"/>
      <w:szCs w:val="24"/>
      <w:lang w:val="en-GB" w:eastAsia="he-IL" w:bidi="he-IL"/>
    </w:rPr>
  </w:style>
  <w:style w:type="paragraph" w:customStyle="1" w:styleId="Normalaftertitle0">
    <w:name w:val="Normal after title"/>
    <w:basedOn w:val="Normal"/>
    <w:next w:val="Normal"/>
    <w:link w:val="NormalaftertitleChar"/>
    <w:uiPriority w:val="99"/>
    <w:rsid w:val="00D56217"/>
    <w:pPr>
      <w:tabs>
        <w:tab w:val="clear" w:pos="794"/>
        <w:tab w:val="left" w:pos="1134"/>
        <w:tab w:val="left" w:pos="1871"/>
        <w:tab w:val="left" w:pos="2268"/>
      </w:tabs>
      <w:autoSpaceDE w:val="0"/>
      <w:autoSpaceDN w:val="0"/>
      <w:adjustRightInd w:val="0"/>
      <w:spacing w:before="280" w:line="240" w:lineRule="auto"/>
      <w:textAlignment w:val="baseline"/>
    </w:pPr>
    <w:rPr>
      <w:rFonts w:eastAsia="Times New Roman"/>
      <w:spacing w:val="0"/>
      <w:szCs w:val="20"/>
      <w:lang w:val="en-GB" w:eastAsia="en-US"/>
    </w:rPr>
  </w:style>
  <w:style w:type="character" w:customStyle="1" w:styleId="NormalaftertitleChar">
    <w:name w:val="Normal after title Char"/>
    <w:link w:val="Normalaftertitle0"/>
    <w:uiPriority w:val="99"/>
    <w:locked/>
    <w:rsid w:val="00D56217"/>
    <w:rPr>
      <w:rFonts w:ascii="Calibri" w:eastAsia="Times New Roman" w:hAnsi="Calibri"/>
      <w:sz w:val="22"/>
      <w:lang w:val="en-GB" w:eastAsia="en-US"/>
    </w:rPr>
  </w:style>
  <w:style w:type="table" w:customStyle="1" w:styleId="Style1">
    <w:name w:val="Style1"/>
    <w:basedOn w:val="TableNormal"/>
    <w:uiPriority w:val="99"/>
    <w:rsid w:val="00D56217"/>
    <w:rPr>
      <w:rFonts w:eastAsiaTheme="minorEastAsi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 w:type="character" w:customStyle="1" w:styleId="CallChar">
    <w:name w:val="Call Char"/>
    <w:link w:val="Call"/>
    <w:uiPriority w:val="99"/>
    <w:rsid w:val="00D56217"/>
    <w:rPr>
      <w:rFonts w:ascii="Calibri" w:eastAsia="STKaiti" w:hAnsi="Calibri" w:cs="Times New Roman italic"/>
      <w:spacing w:val="4"/>
      <w:sz w:val="22"/>
      <w:lang w:val="en-GB" w:eastAsia="en-US"/>
    </w:rPr>
  </w:style>
  <w:style w:type="paragraph" w:customStyle="1" w:styleId="ResNo">
    <w:name w:val="Res_No"/>
    <w:basedOn w:val="Normal"/>
    <w:next w:val="Restitle"/>
    <w:link w:val="ResNoChar"/>
    <w:uiPriority w:val="99"/>
    <w:rsid w:val="00D56217"/>
    <w:pPr>
      <w:keepNext/>
      <w:keepLines/>
      <w:tabs>
        <w:tab w:val="clear" w:pos="794"/>
      </w:tabs>
      <w:autoSpaceDE w:val="0"/>
      <w:autoSpaceDN w:val="0"/>
      <w:adjustRightInd w:val="0"/>
      <w:spacing w:before="0" w:line="280" w:lineRule="exact"/>
      <w:jc w:val="center"/>
      <w:textAlignment w:val="baseline"/>
    </w:pPr>
    <w:rPr>
      <w:rFonts w:asciiTheme="minorHAnsi" w:eastAsia="Times New Roman" w:hAnsiTheme="minorHAnsi"/>
      <w:caps/>
      <w:spacing w:val="0"/>
      <w:sz w:val="28"/>
      <w:szCs w:val="20"/>
      <w:lang w:eastAsia="en-US"/>
    </w:rPr>
  </w:style>
  <w:style w:type="paragraph" w:customStyle="1" w:styleId="Restitle">
    <w:name w:val="Res_title"/>
    <w:basedOn w:val="Normal"/>
    <w:next w:val="Resref"/>
    <w:link w:val="RestitleChar"/>
    <w:uiPriority w:val="99"/>
    <w:rsid w:val="00D56217"/>
    <w:pPr>
      <w:keepNext/>
      <w:keepLines/>
      <w:tabs>
        <w:tab w:val="left" w:pos="1191"/>
        <w:tab w:val="left" w:pos="1588"/>
        <w:tab w:val="left" w:pos="1985"/>
      </w:tabs>
      <w:autoSpaceDE w:val="0"/>
      <w:autoSpaceDN w:val="0"/>
      <w:adjustRightInd w:val="0"/>
      <w:spacing w:before="360" w:line="240" w:lineRule="auto"/>
      <w:jc w:val="center"/>
      <w:textAlignment w:val="baseline"/>
    </w:pPr>
    <w:rPr>
      <w:rFonts w:eastAsia="Times New Roman" w:cs="Times New Roman Bold"/>
      <w:b/>
      <w:spacing w:val="0"/>
      <w:sz w:val="28"/>
      <w:szCs w:val="20"/>
      <w:lang w:eastAsia="en-US"/>
    </w:rPr>
  </w:style>
  <w:style w:type="paragraph" w:customStyle="1" w:styleId="Resref">
    <w:name w:val="Res_ref"/>
    <w:basedOn w:val="Normal"/>
    <w:next w:val="Normal"/>
    <w:qFormat/>
    <w:rsid w:val="00D56217"/>
    <w:pPr>
      <w:keepNext/>
      <w:keepLines/>
      <w:tabs>
        <w:tab w:val="clear" w:pos="794"/>
      </w:tabs>
      <w:autoSpaceDE w:val="0"/>
      <w:autoSpaceDN w:val="0"/>
      <w:adjustRightInd w:val="0"/>
      <w:spacing w:line="280" w:lineRule="exact"/>
      <w:jc w:val="center"/>
      <w:textAlignment w:val="baseline"/>
    </w:pPr>
    <w:rPr>
      <w:rFonts w:eastAsia="Times New Roman" w:cs="Times New Roman italic"/>
      <w:i/>
      <w:spacing w:val="0"/>
      <w:szCs w:val="20"/>
      <w:lang w:eastAsia="en-US"/>
    </w:rPr>
  </w:style>
  <w:style w:type="character" w:customStyle="1" w:styleId="RestitleChar">
    <w:name w:val="Res_title Char"/>
    <w:link w:val="Restitle"/>
    <w:uiPriority w:val="99"/>
    <w:rsid w:val="00D56217"/>
    <w:rPr>
      <w:rFonts w:ascii="Calibri" w:eastAsia="Times New Roman" w:hAnsi="Calibri" w:cs="Times New Roman Bold"/>
      <w:b/>
      <w:sz w:val="28"/>
      <w:lang w:val="fr-FR" w:eastAsia="en-US"/>
    </w:rPr>
  </w:style>
  <w:style w:type="character" w:customStyle="1" w:styleId="ResNoChar">
    <w:name w:val="Res_No Char"/>
    <w:link w:val="ResNo"/>
    <w:uiPriority w:val="99"/>
    <w:rsid w:val="00D56217"/>
    <w:rPr>
      <w:rFonts w:asciiTheme="minorHAnsi" w:eastAsia="Times New Roman" w:hAnsiTheme="minorHAnsi"/>
      <w:caps/>
      <w:sz w:val="28"/>
      <w:lang w:val="fr-FR" w:eastAsia="en-US"/>
    </w:rPr>
  </w:style>
  <w:style w:type="paragraph" w:customStyle="1" w:styleId="enumlev2">
    <w:name w:val="enumlev 2"/>
    <w:basedOn w:val="enumlev1"/>
    <w:qFormat/>
    <w:rsid w:val="00D56217"/>
    <w:pPr>
      <w:ind w:left="568"/>
    </w:pPr>
  </w:style>
  <w:style w:type="paragraph" w:customStyle="1" w:styleId="enumlev1">
    <w:name w:val="enumlev1"/>
    <w:basedOn w:val="Normal"/>
    <w:link w:val="enumlev1Char"/>
    <w:qFormat/>
    <w:rsid w:val="00D56217"/>
    <w:pPr>
      <w:tabs>
        <w:tab w:val="clear" w:pos="794"/>
      </w:tabs>
      <w:overflowPunct/>
      <w:spacing w:before="0" w:line="240" w:lineRule="auto"/>
      <w:ind w:left="284" w:hanging="284"/>
    </w:pPr>
    <w:rPr>
      <w:rFonts w:cs="Calibri"/>
      <w:spacing w:val="0"/>
      <w:sz w:val="19"/>
      <w:lang w:val="en-GB" w:eastAsia="en-GB"/>
    </w:rPr>
  </w:style>
  <w:style w:type="character" w:customStyle="1" w:styleId="enumlev1Char">
    <w:name w:val="enumlev1 Char"/>
    <w:basedOn w:val="DefaultParagraphFont"/>
    <w:link w:val="enumlev1"/>
    <w:rsid w:val="00D56217"/>
    <w:rPr>
      <w:rFonts w:ascii="Calibri" w:hAnsi="Calibri" w:cs="Calibri"/>
      <w:sz w:val="19"/>
      <w:szCs w:val="22"/>
      <w:lang w:val="en-GB" w:eastAsia="en-GB"/>
    </w:rPr>
  </w:style>
  <w:style w:type="paragraph" w:customStyle="1" w:styleId="CEOcontributionStart">
    <w:name w:val="CEO_contributionStart"/>
    <w:basedOn w:val="Normal"/>
    <w:rsid w:val="00115EFF"/>
    <w:pPr>
      <w:tabs>
        <w:tab w:val="clear" w:pos="794"/>
      </w:tabs>
      <w:overflowPunct/>
      <w:spacing w:before="360" w:after="120" w:line="240" w:lineRule="auto"/>
      <w:jc w:val="left"/>
    </w:pPr>
    <w:rPr>
      <w:rFonts w:ascii="Verdana" w:eastAsia="SimHei" w:hAnsi="Verdana" w:cs="Simplified Arabic"/>
      <w:spacing w:val="0"/>
      <w:sz w:val="19"/>
      <w:szCs w:val="19"/>
      <w:lang w:val="en-GB" w:eastAsia="en-US"/>
    </w:rPr>
  </w:style>
  <w:style w:type="paragraph" w:styleId="ListParagraph">
    <w:name w:val="List Paragraph"/>
    <w:basedOn w:val="Normal"/>
    <w:uiPriority w:val="34"/>
    <w:qFormat/>
    <w:rsid w:val="00834306"/>
    <w:pPr>
      <w:tabs>
        <w:tab w:val="clear" w:pos="794"/>
      </w:tabs>
      <w:overflowPunct/>
      <w:spacing w:before="0" w:after="200" w:line="276" w:lineRule="auto"/>
      <w:ind w:left="720"/>
      <w:contextualSpacing/>
      <w:jc w:val="left"/>
    </w:pPr>
    <w:rPr>
      <w:rFonts w:asciiTheme="minorHAnsi" w:eastAsiaTheme="minorHAnsi" w:hAnsiTheme="minorHAnsi" w:cstheme="minorBidi"/>
      <w:spacing w:val="0"/>
      <w:lang w:val="en-US" w:eastAsia="en-US"/>
    </w:rPr>
  </w:style>
  <w:style w:type="paragraph" w:customStyle="1" w:styleId="RegParagraph">
    <w:name w:val="Reg Paragraph"/>
    <w:basedOn w:val="Normal"/>
    <w:link w:val="RegParagraphChar1"/>
    <w:autoRedefine/>
    <w:rsid w:val="002163B8"/>
    <w:pPr>
      <w:widowControl w:val="0"/>
      <w:tabs>
        <w:tab w:val="clear" w:pos="794"/>
        <w:tab w:val="left" w:pos="851"/>
        <w:tab w:val="left" w:pos="1418"/>
        <w:tab w:val="left" w:pos="1985"/>
        <w:tab w:val="left" w:pos="2552"/>
      </w:tabs>
      <w:overflowPunct/>
      <w:spacing w:before="120" w:after="120" w:line="360" w:lineRule="auto"/>
    </w:pPr>
    <w:rPr>
      <w:rFonts w:ascii="Times New Roman" w:eastAsia="Times New Roman" w:hAnsi="Times New Roman"/>
      <w:spacing w:val="0"/>
      <w:kern w:val="28"/>
      <w:sz w:val="24"/>
      <w:szCs w:val="24"/>
      <w:lang w:val="en-GB" w:eastAsia="en-US" w:bidi="he-IL"/>
    </w:rPr>
  </w:style>
  <w:style w:type="character" w:customStyle="1" w:styleId="RegParagraphChar1">
    <w:name w:val="Reg Paragraph Char1"/>
    <w:basedOn w:val="DefaultParagraphFont"/>
    <w:link w:val="RegParagraph"/>
    <w:rsid w:val="002163B8"/>
    <w:rPr>
      <w:rFonts w:eastAsia="Times New Roman"/>
      <w:kern w:val="28"/>
      <w:sz w:val="24"/>
      <w:szCs w:val="24"/>
      <w:lang w:val="en-GB" w:eastAsia="en-US" w:bidi="he-IL"/>
    </w:rPr>
  </w:style>
  <w:style w:type="paragraph" w:customStyle="1" w:styleId="Equation">
    <w:name w:val="Equation"/>
    <w:basedOn w:val="Normal"/>
    <w:rsid w:val="002163B8"/>
    <w:pPr>
      <w:tabs>
        <w:tab w:val="right" w:pos="840"/>
        <w:tab w:val="center" w:pos="4820"/>
        <w:tab w:val="right" w:pos="9639"/>
      </w:tabs>
      <w:autoSpaceDE w:val="0"/>
      <w:autoSpaceDN w:val="0"/>
      <w:adjustRightInd w:val="0"/>
      <w:spacing w:before="120" w:line="240" w:lineRule="auto"/>
    </w:pPr>
    <w:rPr>
      <w:rFonts w:ascii="Times New Roman" w:eastAsia="Times New Roman" w:hAnsi="Times New Roman"/>
      <w:spacing w:val="0"/>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CB08AD"/>
    <w:pPr>
      <w:tabs>
        <w:tab w:val="left" w:pos="794"/>
      </w:tabs>
      <w:overflowPunct w:val="0"/>
      <w:spacing w:before="160" w:line="252" w:lineRule="auto"/>
      <w:jc w:val="both"/>
    </w:pPr>
    <w:rPr>
      <w:rFonts w:ascii="Calibri" w:hAnsi="Calibri"/>
      <w:spacing w:val="4"/>
      <w:sz w:val="22"/>
      <w:szCs w:val="22"/>
      <w:lang w:val="fr-FR" w:eastAsia="fr-FR"/>
    </w:rPr>
  </w:style>
  <w:style w:type="paragraph" w:styleId="Heading1">
    <w:name w:val="heading 1"/>
    <w:basedOn w:val="Normal"/>
    <w:next w:val="Normal"/>
    <w:link w:val="Heading1Char"/>
    <w:uiPriority w:val="9"/>
    <w:qFormat/>
    <w:rsid w:val="00AE1238"/>
    <w:pPr>
      <w:keepNext/>
      <w:keepLines/>
      <w:spacing w:before="400"/>
      <w:ind w:left="794" w:hanging="794"/>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AE1238"/>
    <w:pPr>
      <w:keepNext/>
      <w:spacing w:before="400"/>
      <w:ind w:left="794" w:hanging="794"/>
      <w:outlineLvl w:val="1"/>
    </w:pPr>
    <w:rPr>
      <w:rFonts w:cs="Helvetica"/>
      <w:b/>
      <w:bCs/>
      <w:color w:val="005173"/>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CD5F2F"/>
    <w:pPr>
      <w:pBdr>
        <w:bottom w:val="single" w:sz="12" w:space="1" w:color="005173"/>
      </w:pBdr>
      <w:spacing w:before="120" w:line="240" w:lineRule="auto"/>
      <w:jc w:val="center"/>
    </w:pPr>
    <w:rPr>
      <w:rFonts w:eastAsia="STKaiti" w:cs="Calibri"/>
      <w:iCs/>
      <w:szCs w:val="21"/>
      <w:lang w:val="en-US"/>
    </w:rPr>
  </w:style>
  <w:style w:type="character" w:customStyle="1" w:styleId="HeaderChar">
    <w:name w:val="Header Char"/>
    <w:link w:val="Header"/>
    <w:uiPriority w:val="99"/>
    <w:rsid w:val="00CD5F2F"/>
    <w:rPr>
      <w:rFonts w:ascii="Calibri" w:eastAsia="STKaiti" w:hAnsi="Calibri" w:cs="Calibri"/>
      <w:iCs/>
      <w:spacing w:val="4"/>
      <w:sz w:val="22"/>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466AE5"/>
    <w:pPr>
      <w:keepNext/>
      <w:keepLines/>
      <w:tabs>
        <w:tab w:val="clear" w:pos="794"/>
        <w:tab w:val="left" w:pos="567"/>
        <w:tab w:val="right" w:leader="dot" w:pos="8505"/>
        <w:tab w:val="right" w:pos="9071"/>
      </w:tabs>
      <w:spacing w:before="200"/>
      <w:ind w:left="567" w:right="567" w:hanging="567"/>
      <w:jc w:val="left"/>
    </w:pPr>
    <w:rPr>
      <w:rFonts w:cs="Helvetica"/>
      <w:b/>
      <w:bCs/>
      <w:noProof/>
      <w:szCs w:val="28"/>
      <w:lang w:val="en-US"/>
    </w:rPr>
  </w:style>
  <w:style w:type="paragraph" w:customStyle="1" w:styleId="Enumlevel2">
    <w:name w:val="Enum level 2"/>
    <w:basedOn w:val="Enumlevel1"/>
    <w:link w:val="Enumlevel2Char"/>
    <w:qFormat/>
    <w:rsid w:val="0075594E"/>
    <w:pPr>
      <w:tabs>
        <w:tab w:val="clear" w:pos="794"/>
        <w:tab w:val="left" w:pos="1191"/>
      </w:tabs>
      <w:ind w:left="1191" w:hanging="397"/>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75594E"/>
    <w:rPr>
      <w:rFonts w:ascii="Calibri" w:hAnsi="Calibri" w:cs="Calibri"/>
      <w:sz w:val="22"/>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CD5F2F"/>
    <w:pPr>
      <w:pBdr>
        <w:top w:val="single" w:sz="4" w:space="1" w:color="005173"/>
      </w:pBdr>
      <w:tabs>
        <w:tab w:val="right" w:pos="9071"/>
      </w:tabs>
      <w:spacing w:before="120" w:line="240" w:lineRule="auto"/>
      <w:ind w:left="6804"/>
      <w:jc w:val="right"/>
    </w:pPr>
  </w:style>
  <w:style w:type="character" w:customStyle="1" w:styleId="FooterChar">
    <w:name w:val="Footer Char"/>
    <w:link w:val="Footer"/>
    <w:uiPriority w:val="99"/>
    <w:rsid w:val="00CD5F2F"/>
    <w:rPr>
      <w:rFonts w:ascii="Calibri" w:hAnsi="Calibri"/>
      <w:spacing w:val="4"/>
      <w:sz w:val="22"/>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AE1238"/>
    <w:rPr>
      <w:rFonts w:ascii="Calibri" w:hAnsi="Calibri" w:cs="Helvetica"/>
      <w:b/>
      <w:bCs/>
      <w:color w:val="005173"/>
      <w:spacing w:val="4"/>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CB08AD"/>
    <w:pPr>
      <w:tabs>
        <w:tab w:val="left" w:pos="284"/>
      </w:tabs>
      <w:spacing w:before="120"/>
    </w:pPr>
    <w:rPr>
      <w:sz w:val="19"/>
      <w:szCs w:val="18"/>
      <w:lang w:val="en-US"/>
    </w:rPr>
  </w:style>
  <w:style w:type="character" w:customStyle="1" w:styleId="FootnoteTextChar">
    <w:name w:val="Footnote Text Char"/>
    <w:link w:val="FootnoteText"/>
    <w:uiPriority w:val="99"/>
    <w:rsid w:val="00CB08AD"/>
    <w:rPr>
      <w:rFonts w:ascii="Calibri" w:hAnsi="Calibri"/>
      <w:spacing w:val="4"/>
      <w:sz w:val="19"/>
      <w:szCs w:val="18"/>
      <w:lang w:eastAsia="fr-FR"/>
    </w:rPr>
  </w:style>
  <w:style w:type="character" w:styleId="FootnoteReference">
    <w:name w:val="footnote reference"/>
    <w:aliases w:val="Appel note de bas de p"/>
    <w:uiPriority w:val="99"/>
    <w:rsid w:val="00355D14"/>
    <w:rPr>
      <w:rFonts w:ascii="Calibri" w:hAnsi="Calibri"/>
      <w:sz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E03965"/>
    <w:pPr>
      <w:tabs>
        <w:tab w:val="right" w:pos="9071"/>
      </w:tabs>
      <w:spacing w:before="200"/>
      <w:jc w:val="right"/>
    </w:pPr>
    <w:rPr>
      <w:rFonts w:eastAsia="STKaiti" w:cs="Helvetica"/>
      <w:bCs/>
      <w:iCs/>
      <w:noProof/>
      <w:color w:val="005173"/>
      <w:szCs w:val="28"/>
      <w:lang w:val="en-US"/>
    </w:rPr>
  </w:style>
  <w:style w:type="character" w:customStyle="1" w:styleId="Heading1Char">
    <w:name w:val="Heading 1 Char"/>
    <w:link w:val="Heading1"/>
    <w:uiPriority w:val="9"/>
    <w:rsid w:val="00AE1238"/>
    <w:rPr>
      <w:rFonts w:ascii="Calibri" w:eastAsia="Times New Roman" w:hAnsi="Calibri" w:cs="Helvetica"/>
      <w:b/>
      <w:bCs/>
      <w:color w:val="005173"/>
      <w:spacing w:val="4"/>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E03965"/>
    <w:rPr>
      <w:rFonts w:ascii="Calibri" w:eastAsia="STKaiti" w:hAnsi="Calibri" w:cs="Helvetica"/>
      <w:bCs/>
      <w:iCs/>
      <w:noProof/>
      <w:color w:val="005173"/>
      <w:sz w:val="22"/>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75594E"/>
    <w:pPr>
      <w:ind w:left="794" w:hanging="794"/>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75594E"/>
    <w:rPr>
      <w:rFonts w:ascii="Calibri" w:hAnsi="Calibri" w:cs="Calibri"/>
      <w:sz w:val="22"/>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75594E"/>
    <w:pPr>
      <w:autoSpaceDE w:val="0"/>
      <w:autoSpaceDN w:val="0"/>
      <w:adjustRightInd w:val="0"/>
      <w:spacing w:before="80" w:after="80"/>
      <w:jc w:val="center"/>
    </w:pPr>
    <w:rPr>
      <w:rFonts w:cs="Arial Bold"/>
      <w:b/>
      <w:bCs/>
      <w:color w:val="FFFFFF"/>
      <w:sz w:val="20"/>
      <w:lang w:val="en-US"/>
    </w:rPr>
  </w:style>
  <w:style w:type="character" w:customStyle="1" w:styleId="TableheadChar">
    <w:name w:val="Table head Char"/>
    <w:link w:val="Tablehead"/>
    <w:rsid w:val="0075594E"/>
    <w:rPr>
      <w:rFonts w:ascii="Calibri" w:hAnsi="Calibri" w:cs="Arial Bold"/>
      <w:b/>
      <w:bCs/>
      <w:color w:val="FFFFFF"/>
      <w:szCs w:val="22"/>
      <w:lang w:eastAsia="fr-FR"/>
    </w:rPr>
  </w:style>
  <w:style w:type="paragraph" w:customStyle="1" w:styleId="Tabletext">
    <w:name w:val="Table text"/>
    <w:basedOn w:val="Normal"/>
    <w:link w:val="TabletextChar"/>
    <w:qFormat/>
    <w:rsid w:val="0075594E"/>
    <w:pPr>
      <w:spacing w:before="40" w:after="40"/>
      <w:jc w:val="left"/>
    </w:pPr>
    <w:rPr>
      <w:rFonts w:cs="Calibri"/>
      <w:sz w:val="20"/>
      <w:szCs w:val="19"/>
    </w:rPr>
  </w:style>
  <w:style w:type="character" w:customStyle="1" w:styleId="TabletextChar">
    <w:name w:val="Table text Char"/>
    <w:link w:val="Tabletext"/>
    <w:rsid w:val="0075594E"/>
    <w:rPr>
      <w:rFonts w:ascii="Calibri" w:hAnsi="Calibri" w:cs="Calibri"/>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1191"/>
        <w:tab w:val="left" w:pos="1588"/>
        <w:tab w:val="left" w:pos="1985"/>
      </w:tabs>
      <w:autoSpaceDE w:val="0"/>
      <w:autoSpaceDN w:val="0"/>
      <w:adjustRightInd w:val="0"/>
      <w:spacing w:before="360"/>
      <w:textAlignment w:val="baseline"/>
    </w:pPr>
    <w:rPr>
      <w:rFonts w:ascii="Times New Roman" w:eastAsia="Times New Roman" w:hAnsi="Times New Roman"/>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1191"/>
        <w:tab w:val="left" w:pos="1588"/>
        <w:tab w:val="left" w:pos="1985"/>
      </w:tabs>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link w:val="CallChar"/>
    <w:uiPriority w:val="99"/>
    <w:rsid w:val="0075594E"/>
    <w:pPr>
      <w:keepNext/>
      <w:keepLines/>
      <w:tabs>
        <w:tab w:val="left" w:pos="1191"/>
        <w:tab w:val="left" w:pos="1588"/>
        <w:tab w:val="left" w:pos="1985"/>
      </w:tabs>
      <w:autoSpaceDE w:val="0"/>
      <w:autoSpaceDN w:val="0"/>
      <w:adjustRightInd w:val="0"/>
      <w:ind w:left="794"/>
      <w:jc w:val="left"/>
      <w:textAlignment w:val="baseline"/>
    </w:pPr>
    <w:rPr>
      <w:rFonts w:eastAsia="STKaiti" w:cs="Times New Roman italic"/>
      <w:szCs w:val="20"/>
      <w:lang w:val="en-GB" w:eastAsia="en-US"/>
    </w:rPr>
  </w:style>
  <w:style w:type="paragraph" w:customStyle="1" w:styleId="Headingb0">
    <w:name w:val="Heading_b"/>
    <w:basedOn w:val="Normal"/>
    <w:next w:val="Normal"/>
    <w:uiPriority w:val="99"/>
    <w:rsid w:val="0075594E"/>
    <w:pPr>
      <w:keepNext/>
      <w:tabs>
        <w:tab w:val="left" w:pos="1191"/>
        <w:tab w:val="left" w:pos="1588"/>
        <w:tab w:val="left" w:pos="1985"/>
      </w:tabs>
      <w:autoSpaceDE w:val="0"/>
      <w:autoSpaceDN w:val="0"/>
      <w:adjustRightInd w:val="0"/>
      <w:jc w:val="left"/>
      <w:textAlignment w:val="baseline"/>
    </w:pPr>
    <w:rPr>
      <w:rFonts w:cs="Times New Roman Bold"/>
      <w:b/>
      <w:bCs/>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75594E"/>
    <w:pPr>
      <w:spacing w:before="240"/>
      <w:jc w:val="right"/>
    </w:pPr>
    <w:rPr>
      <w:rFonts w:eastAsia="STKaiti" w:cs="Times New Roman Bold"/>
      <w:b/>
      <w:color w:val="005173"/>
      <w:sz w:val="52"/>
    </w:rPr>
  </w:style>
  <w:style w:type="paragraph" w:customStyle="1" w:styleId="Headingi">
    <w:name w:val="Heading_i"/>
    <w:basedOn w:val="Headingb0"/>
    <w:qFormat/>
    <w:rsid w:val="00CF67B3"/>
    <w:pPr>
      <w:spacing w:before="240"/>
    </w:pPr>
    <w:rPr>
      <w:rFonts w:eastAsia="STKaiti"/>
    </w:rPr>
  </w:style>
  <w:style w:type="paragraph" w:styleId="BodyText">
    <w:name w:val="Body Text"/>
    <w:basedOn w:val="Normal"/>
    <w:link w:val="BodyTextChar"/>
    <w:rsid w:val="00D56217"/>
    <w:pPr>
      <w:tabs>
        <w:tab w:val="left" w:pos="1191"/>
        <w:tab w:val="left" w:pos="1588"/>
        <w:tab w:val="left" w:pos="1985"/>
      </w:tabs>
      <w:suppressAutoHyphens/>
      <w:autoSpaceDE w:val="0"/>
      <w:spacing w:before="0" w:after="120" w:line="240" w:lineRule="auto"/>
      <w:jc w:val="left"/>
      <w:textAlignment w:val="baseline"/>
    </w:pPr>
    <w:rPr>
      <w:rFonts w:ascii="Times New Roman" w:eastAsia="Calibri" w:hAnsi="Times New Roman" w:cs="CG Times"/>
      <w:spacing w:val="0"/>
      <w:sz w:val="24"/>
      <w:szCs w:val="20"/>
      <w:lang w:val="en-GB" w:eastAsia="ar-SA"/>
    </w:rPr>
  </w:style>
  <w:style w:type="character" w:customStyle="1" w:styleId="BodyTextChar">
    <w:name w:val="Body Text Char"/>
    <w:basedOn w:val="DefaultParagraphFont"/>
    <w:link w:val="BodyText"/>
    <w:rsid w:val="00D56217"/>
    <w:rPr>
      <w:rFonts w:eastAsia="Calibri" w:cs="CG Times"/>
      <w:sz w:val="24"/>
      <w:lang w:val="en-GB" w:eastAsia="ar-SA"/>
    </w:rPr>
  </w:style>
  <w:style w:type="paragraph" w:styleId="Caption">
    <w:name w:val="caption"/>
    <w:basedOn w:val="Normal"/>
    <w:next w:val="Normal"/>
    <w:qFormat/>
    <w:rsid w:val="00D56217"/>
    <w:pPr>
      <w:tabs>
        <w:tab w:val="clear" w:pos="794"/>
      </w:tabs>
      <w:autoSpaceDE w:val="0"/>
      <w:autoSpaceDN w:val="0"/>
      <w:adjustRightInd w:val="0"/>
      <w:spacing w:before="120" w:after="120" w:line="240" w:lineRule="auto"/>
      <w:jc w:val="left"/>
      <w:textAlignment w:val="baseline"/>
    </w:pPr>
    <w:rPr>
      <w:rFonts w:ascii="Times New Roman" w:eastAsia="Batang" w:hAnsi="Times New Roman"/>
      <w:b/>
      <w:spacing w:val="0"/>
      <w:sz w:val="20"/>
      <w:szCs w:val="20"/>
      <w:lang w:val="en-US" w:eastAsia="ko-KR"/>
    </w:rPr>
  </w:style>
  <w:style w:type="character" w:customStyle="1" w:styleId="CharChar">
    <w:name w:val="Char Char"/>
    <w:basedOn w:val="DefaultParagraphFont"/>
    <w:rsid w:val="00D56217"/>
    <w:rPr>
      <w:sz w:val="24"/>
      <w:szCs w:val="24"/>
      <w:lang w:val="en-GB" w:eastAsia="he-IL" w:bidi="he-IL"/>
    </w:rPr>
  </w:style>
  <w:style w:type="paragraph" w:customStyle="1" w:styleId="Normalaftertitle0">
    <w:name w:val="Normal after title"/>
    <w:basedOn w:val="Normal"/>
    <w:next w:val="Normal"/>
    <w:link w:val="NormalaftertitleChar"/>
    <w:uiPriority w:val="99"/>
    <w:rsid w:val="00D56217"/>
    <w:pPr>
      <w:tabs>
        <w:tab w:val="clear" w:pos="794"/>
        <w:tab w:val="left" w:pos="1134"/>
        <w:tab w:val="left" w:pos="1871"/>
        <w:tab w:val="left" w:pos="2268"/>
      </w:tabs>
      <w:autoSpaceDE w:val="0"/>
      <w:autoSpaceDN w:val="0"/>
      <w:adjustRightInd w:val="0"/>
      <w:spacing w:before="280" w:line="240" w:lineRule="auto"/>
      <w:textAlignment w:val="baseline"/>
    </w:pPr>
    <w:rPr>
      <w:rFonts w:eastAsia="Times New Roman"/>
      <w:spacing w:val="0"/>
      <w:szCs w:val="20"/>
      <w:lang w:val="en-GB" w:eastAsia="en-US"/>
    </w:rPr>
  </w:style>
  <w:style w:type="character" w:customStyle="1" w:styleId="NormalaftertitleChar">
    <w:name w:val="Normal after title Char"/>
    <w:link w:val="Normalaftertitle0"/>
    <w:uiPriority w:val="99"/>
    <w:locked/>
    <w:rsid w:val="00D56217"/>
    <w:rPr>
      <w:rFonts w:ascii="Calibri" w:eastAsia="Times New Roman" w:hAnsi="Calibri"/>
      <w:sz w:val="22"/>
      <w:lang w:val="en-GB" w:eastAsia="en-US"/>
    </w:rPr>
  </w:style>
  <w:style w:type="table" w:customStyle="1" w:styleId="Style1">
    <w:name w:val="Style1"/>
    <w:basedOn w:val="TableNormal"/>
    <w:uiPriority w:val="99"/>
    <w:rsid w:val="00D56217"/>
    <w:rPr>
      <w:rFonts w:eastAsiaTheme="minorEastAsi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 w:type="character" w:customStyle="1" w:styleId="CallChar">
    <w:name w:val="Call Char"/>
    <w:link w:val="Call"/>
    <w:uiPriority w:val="99"/>
    <w:rsid w:val="00D56217"/>
    <w:rPr>
      <w:rFonts w:ascii="Calibri" w:eastAsia="STKaiti" w:hAnsi="Calibri" w:cs="Times New Roman italic"/>
      <w:spacing w:val="4"/>
      <w:sz w:val="22"/>
      <w:lang w:val="en-GB" w:eastAsia="en-US"/>
    </w:rPr>
  </w:style>
  <w:style w:type="paragraph" w:customStyle="1" w:styleId="ResNo">
    <w:name w:val="Res_No"/>
    <w:basedOn w:val="Normal"/>
    <w:next w:val="Restitle"/>
    <w:link w:val="ResNoChar"/>
    <w:uiPriority w:val="99"/>
    <w:rsid w:val="00D56217"/>
    <w:pPr>
      <w:keepNext/>
      <w:keepLines/>
      <w:tabs>
        <w:tab w:val="clear" w:pos="794"/>
      </w:tabs>
      <w:autoSpaceDE w:val="0"/>
      <w:autoSpaceDN w:val="0"/>
      <w:adjustRightInd w:val="0"/>
      <w:spacing w:before="0" w:line="280" w:lineRule="exact"/>
      <w:jc w:val="center"/>
      <w:textAlignment w:val="baseline"/>
    </w:pPr>
    <w:rPr>
      <w:rFonts w:asciiTheme="minorHAnsi" w:eastAsia="Times New Roman" w:hAnsiTheme="minorHAnsi"/>
      <w:caps/>
      <w:spacing w:val="0"/>
      <w:sz w:val="28"/>
      <w:szCs w:val="20"/>
      <w:lang w:eastAsia="en-US"/>
    </w:rPr>
  </w:style>
  <w:style w:type="paragraph" w:customStyle="1" w:styleId="Restitle">
    <w:name w:val="Res_title"/>
    <w:basedOn w:val="Normal"/>
    <w:next w:val="Resref"/>
    <w:link w:val="RestitleChar"/>
    <w:uiPriority w:val="99"/>
    <w:rsid w:val="00D56217"/>
    <w:pPr>
      <w:keepNext/>
      <w:keepLines/>
      <w:tabs>
        <w:tab w:val="left" w:pos="1191"/>
        <w:tab w:val="left" w:pos="1588"/>
        <w:tab w:val="left" w:pos="1985"/>
      </w:tabs>
      <w:autoSpaceDE w:val="0"/>
      <w:autoSpaceDN w:val="0"/>
      <w:adjustRightInd w:val="0"/>
      <w:spacing w:before="360" w:line="240" w:lineRule="auto"/>
      <w:jc w:val="center"/>
      <w:textAlignment w:val="baseline"/>
    </w:pPr>
    <w:rPr>
      <w:rFonts w:eastAsia="Times New Roman" w:cs="Times New Roman Bold"/>
      <w:b/>
      <w:spacing w:val="0"/>
      <w:sz w:val="28"/>
      <w:szCs w:val="20"/>
      <w:lang w:eastAsia="en-US"/>
    </w:rPr>
  </w:style>
  <w:style w:type="paragraph" w:customStyle="1" w:styleId="Resref">
    <w:name w:val="Res_ref"/>
    <w:basedOn w:val="Normal"/>
    <w:next w:val="Normal"/>
    <w:qFormat/>
    <w:rsid w:val="00D56217"/>
    <w:pPr>
      <w:keepNext/>
      <w:keepLines/>
      <w:tabs>
        <w:tab w:val="clear" w:pos="794"/>
      </w:tabs>
      <w:autoSpaceDE w:val="0"/>
      <w:autoSpaceDN w:val="0"/>
      <w:adjustRightInd w:val="0"/>
      <w:spacing w:line="280" w:lineRule="exact"/>
      <w:jc w:val="center"/>
      <w:textAlignment w:val="baseline"/>
    </w:pPr>
    <w:rPr>
      <w:rFonts w:eastAsia="Times New Roman" w:cs="Times New Roman italic"/>
      <w:i/>
      <w:spacing w:val="0"/>
      <w:szCs w:val="20"/>
      <w:lang w:eastAsia="en-US"/>
    </w:rPr>
  </w:style>
  <w:style w:type="character" w:customStyle="1" w:styleId="RestitleChar">
    <w:name w:val="Res_title Char"/>
    <w:link w:val="Restitle"/>
    <w:uiPriority w:val="99"/>
    <w:rsid w:val="00D56217"/>
    <w:rPr>
      <w:rFonts w:ascii="Calibri" w:eastAsia="Times New Roman" w:hAnsi="Calibri" w:cs="Times New Roman Bold"/>
      <w:b/>
      <w:sz w:val="28"/>
      <w:lang w:val="fr-FR" w:eastAsia="en-US"/>
    </w:rPr>
  </w:style>
  <w:style w:type="character" w:customStyle="1" w:styleId="ResNoChar">
    <w:name w:val="Res_No Char"/>
    <w:link w:val="ResNo"/>
    <w:uiPriority w:val="99"/>
    <w:rsid w:val="00D56217"/>
    <w:rPr>
      <w:rFonts w:asciiTheme="minorHAnsi" w:eastAsia="Times New Roman" w:hAnsiTheme="minorHAnsi"/>
      <w:caps/>
      <w:sz w:val="28"/>
      <w:lang w:val="fr-FR" w:eastAsia="en-US"/>
    </w:rPr>
  </w:style>
  <w:style w:type="paragraph" w:customStyle="1" w:styleId="enumlev2">
    <w:name w:val="enumlev 2"/>
    <w:basedOn w:val="enumlev1"/>
    <w:qFormat/>
    <w:rsid w:val="00D56217"/>
    <w:pPr>
      <w:ind w:left="568"/>
    </w:pPr>
  </w:style>
  <w:style w:type="paragraph" w:customStyle="1" w:styleId="enumlev1">
    <w:name w:val="enumlev1"/>
    <w:basedOn w:val="Normal"/>
    <w:link w:val="enumlev1Char"/>
    <w:qFormat/>
    <w:rsid w:val="00D56217"/>
    <w:pPr>
      <w:tabs>
        <w:tab w:val="clear" w:pos="794"/>
      </w:tabs>
      <w:overflowPunct/>
      <w:spacing w:before="0" w:line="240" w:lineRule="auto"/>
      <w:ind w:left="284" w:hanging="284"/>
    </w:pPr>
    <w:rPr>
      <w:rFonts w:cs="Calibri"/>
      <w:spacing w:val="0"/>
      <w:sz w:val="19"/>
      <w:lang w:val="en-GB" w:eastAsia="en-GB"/>
    </w:rPr>
  </w:style>
  <w:style w:type="character" w:customStyle="1" w:styleId="enumlev1Char">
    <w:name w:val="enumlev1 Char"/>
    <w:basedOn w:val="DefaultParagraphFont"/>
    <w:link w:val="enumlev1"/>
    <w:rsid w:val="00D56217"/>
    <w:rPr>
      <w:rFonts w:ascii="Calibri" w:hAnsi="Calibri" w:cs="Calibri"/>
      <w:sz w:val="19"/>
      <w:szCs w:val="22"/>
      <w:lang w:val="en-GB" w:eastAsia="en-GB"/>
    </w:rPr>
  </w:style>
  <w:style w:type="paragraph" w:customStyle="1" w:styleId="CEOcontributionStart">
    <w:name w:val="CEO_contributionStart"/>
    <w:basedOn w:val="Normal"/>
    <w:rsid w:val="00115EFF"/>
    <w:pPr>
      <w:tabs>
        <w:tab w:val="clear" w:pos="794"/>
      </w:tabs>
      <w:overflowPunct/>
      <w:spacing w:before="360" w:after="120" w:line="240" w:lineRule="auto"/>
      <w:jc w:val="left"/>
    </w:pPr>
    <w:rPr>
      <w:rFonts w:ascii="Verdana" w:eastAsia="SimHei" w:hAnsi="Verdana" w:cs="Simplified Arabic"/>
      <w:spacing w:val="0"/>
      <w:sz w:val="19"/>
      <w:szCs w:val="19"/>
      <w:lang w:val="en-GB" w:eastAsia="en-US"/>
    </w:rPr>
  </w:style>
  <w:style w:type="paragraph" w:styleId="ListParagraph">
    <w:name w:val="List Paragraph"/>
    <w:basedOn w:val="Normal"/>
    <w:uiPriority w:val="34"/>
    <w:qFormat/>
    <w:rsid w:val="00834306"/>
    <w:pPr>
      <w:tabs>
        <w:tab w:val="clear" w:pos="794"/>
      </w:tabs>
      <w:overflowPunct/>
      <w:spacing w:before="0" w:after="200" w:line="276" w:lineRule="auto"/>
      <w:ind w:left="720"/>
      <w:contextualSpacing/>
      <w:jc w:val="left"/>
    </w:pPr>
    <w:rPr>
      <w:rFonts w:asciiTheme="minorHAnsi" w:eastAsiaTheme="minorHAnsi" w:hAnsiTheme="minorHAnsi" w:cstheme="minorBidi"/>
      <w:spacing w:val="0"/>
      <w:lang w:val="en-US" w:eastAsia="en-US"/>
    </w:rPr>
  </w:style>
  <w:style w:type="paragraph" w:customStyle="1" w:styleId="RegParagraph">
    <w:name w:val="Reg Paragraph"/>
    <w:basedOn w:val="Normal"/>
    <w:link w:val="RegParagraphChar1"/>
    <w:autoRedefine/>
    <w:rsid w:val="002163B8"/>
    <w:pPr>
      <w:widowControl w:val="0"/>
      <w:tabs>
        <w:tab w:val="clear" w:pos="794"/>
        <w:tab w:val="left" w:pos="851"/>
        <w:tab w:val="left" w:pos="1418"/>
        <w:tab w:val="left" w:pos="1985"/>
        <w:tab w:val="left" w:pos="2552"/>
      </w:tabs>
      <w:overflowPunct/>
      <w:spacing w:before="120" w:after="120" w:line="360" w:lineRule="auto"/>
    </w:pPr>
    <w:rPr>
      <w:rFonts w:ascii="Times New Roman" w:eastAsia="Times New Roman" w:hAnsi="Times New Roman"/>
      <w:spacing w:val="0"/>
      <w:kern w:val="28"/>
      <w:sz w:val="24"/>
      <w:szCs w:val="24"/>
      <w:lang w:val="en-GB" w:eastAsia="en-US" w:bidi="he-IL"/>
    </w:rPr>
  </w:style>
  <w:style w:type="character" w:customStyle="1" w:styleId="RegParagraphChar1">
    <w:name w:val="Reg Paragraph Char1"/>
    <w:basedOn w:val="DefaultParagraphFont"/>
    <w:link w:val="RegParagraph"/>
    <w:rsid w:val="002163B8"/>
    <w:rPr>
      <w:rFonts w:eastAsia="Times New Roman"/>
      <w:kern w:val="28"/>
      <w:sz w:val="24"/>
      <w:szCs w:val="24"/>
      <w:lang w:val="en-GB" w:eastAsia="en-US" w:bidi="he-IL"/>
    </w:rPr>
  </w:style>
  <w:style w:type="paragraph" w:customStyle="1" w:styleId="Equation">
    <w:name w:val="Equation"/>
    <w:basedOn w:val="Normal"/>
    <w:rsid w:val="002163B8"/>
    <w:pPr>
      <w:tabs>
        <w:tab w:val="right" w:pos="840"/>
        <w:tab w:val="center" w:pos="4820"/>
        <w:tab w:val="right" w:pos="9639"/>
      </w:tabs>
      <w:autoSpaceDE w:val="0"/>
      <w:autoSpaceDN w:val="0"/>
      <w:adjustRightInd w:val="0"/>
      <w:spacing w:before="120" w:line="240" w:lineRule="auto"/>
    </w:pPr>
    <w:rPr>
      <w:rFonts w:ascii="Times New Roman" w:eastAsia="Times New Roman" w:hAnsi="Times New Roman"/>
      <w:spacing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eader" Target="header10.xml"/><Relationship Id="rId21" Type="http://schemas.openxmlformats.org/officeDocument/2006/relationships/header" Target="header6.xml"/><Relationship Id="rId42" Type="http://schemas.openxmlformats.org/officeDocument/2006/relationships/image" Target="media/image9.emf"/><Relationship Id="rId47" Type="http://schemas.openxmlformats.org/officeDocument/2006/relationships/package" Target="embeddings/Microsoft_Excel_Worksheet6.xlsx"/><Relationship Id="rId63" Type="http://schemas.openxmlformats.org/officeDocument/2006/relationships/hyperlink" Target="http://ec.europa.eu/enterprise/sectors/electrical/files/lv/rec519_en.pdf" TargetMode="External"/><Relationship Id="rId68" Type="http://schemas.openxmlformats.org/officeDocument/2006/relationships/hyperlink" Target="http://transition.fcc.gov/Bureaus/Engineering_Technology/Documents/bulletins/oet65/oet65c.pdf" TargetMode="External"/><Relationship Id="rId84" Type="http://schemas.openxmlformats.org/officeDocument/2006/relationships/hyperlink" Target="http://standards.ieee.org/getieee/C95/download/C95.1-2005.pdf" TargetMode="External"/><Relationship Id="rId89" Type="http://schemas.openxmlformats.org/officeDocument/2006/relationships/hyperlink" Target="http://www.itu.int/rec/T-REC-K.52-200412-I" TargetMode="External"/><Relationship Id="rId112" Type="http://schemas.openxmlformats.org/officeDocument/2006/relationships/hyperlink" Target="http://www.who.int/mediacentre/factsheets/fs193/en/index.html" TargetMode="External"/><Relationship Id="rId16" Type="http://schemas.openxmlformats.org/officeDocument/2006/relationships/header" Target="header5.xml"/><Relationship Id="rId107" Type="http://schemas.openxmlformats.org/officeDocument/2006/relationships/hyperlink" Target="http://old.sviva.gov.il/bin/en.jsp?enPage=e_BlankPage&amp;enDisplay=view&amp;enDispWhat=Object&amp;enDispWho=Articals%5el6805&amp;enZone=non_ionizing" TargetMode="External"/><Relationship Id="rId11" Type="http://schemas.openxmlformats.org/officeDocument/2006/relationships/header" Target="header2.xml"/><Relationship Id="rId32" Type="http://schemas.openxmlformats.org/officeDocument/2006/relationships/hyperlink" Target="http://www.dot.gov.in/2013/DOT%20Advt%20modified%201%20Dec%202012-final-hindi%20version.pdf" TargetMode="External"/><Relationship Id="rId37" Type="http://schemas.openxmlformats.org/officeDocument/2006/relationships/package" Target="embeddings/Microsoft_Excel_Worksheet1.xlsx"/><Relationship Id="rId53" Type="http://schemas.openxmlformats.org/officeDocument/2006/relationships/hyperlink" Target="http://www.itu.int/md/D10-RGQ23.1-C-0015/" TargetMode="External"/><Relationship Id="rId58" Type="http://schemas.openxmlformats.org/officeDocument/2006/relationships/hyperlink" Target="http://www.grouper.ieee.org/groups/scc28" TargetMode="External"/><Relationship Id="rId74" Type="http://schemas.openxmlformats.org/officeDocument/2006/relationships/hyperlink" Target="http://monographs.iarc.fr/ENG/Monographs/vol102/mono102.pdf" TargetMode="External"/><Relationship Id="rId79" Type="http://schemas.openxmlformats.org/officeDocument/2006/relationships/hyperlink" Target="http://www.icnirp.de/documents/RFReview.pdf" TargetMode="External"/><Relationship Id="rId102" Type="http://schemas.openxmlformats.org/officeDocument/2006/relationships/hyperlink" Target="http://www.mtt-tpms.org/symposia_v6/COMCAS2009/fileuploads/292-JI4GGWYnIdKk-2.pdf" TargetMode="External"/><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sviva.gov.il/subjectsEnv/Radiation/Communication_Facilities/cellular/Documents/shidur_selulariim_peilim_1.xls" TargetMode="External"/><Relationship Id="rId82" Type="http://schemas.openxmlformats.org/officeDocument/2006/relationships/hyperlink" Target="http://webbooks.net/freestuff/C95.1.pdf" TargetMode="External"/><Relationship Id="rId90" Type="http://schemas.openxmlformats.org/officeDocument/2006/relationships/hyperlink" Target="http://www.itu.int/ITU-T/recommendations/rec.aspx?rec=9139" TargetMode="External"/><Relationship Id="rId95" Type="http://schemas.openxmlformats.org/officeDocument/2006/relationships/hyperlink" Target="http://www.itu.int/rec/T-REC-K.70-201302-P!Amd3" TargetMode="Externa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chart" Target="charts/chart2.xml"/><Relationship Id="rId35" Type="http://schemas.openxmlformats.org/officeDocument/2006/relationships/hyperlink" Target="http://www.dot.gov.in" TargetMode="External"/><Relationship Id="rId43" Type="http://schemas.openxmlformats.org/officeDocument/2006/relationships/package" Target="embeddings/Microsoft_Excel_Worksheet4.xlsx"/><Relationship Id="rId48" Type="http://schemas.openxmlformats.org/officeDocument/2006/relationships/hyperlink" Target="http://www.itu.int/md/D10-SG01-INF-0034/" TargetMode="External"/><Relationship Id="rId56" Type="http://schemas.openxmlformats.org/officeDocument/2006/relationships/hyperlink" Target="http://www.itu.int/md/D10-SG01-C-0278/" TargetMode="External"/><Relationship Id="rId64" Type="http://schemas.openxmlformats.org/officeDocument/2006/relationships/hyperlink" Target="http://eur-lex.europa.eu/LexUriServ/LexUriServ.do?uri=OJ:L:2004:184:0001:0009:EN:PDF" TargetMode="External"/><Relationship Id="rId69" Type="http://schemas.openxmlformats.org/officeDocument/2006/relationships/hyperlink" Target="http://www.gpo.gov/fdsys/pkg/CFR-2011-title47-vol1/xml/CFR-2011-title47-vol1-sec1-1310.xml" TargetMode="External"/><Relationship Id="rId77" Type="http://schemas.openxmlformats.org/officeDocument/2006/relationships/hyperlink" Target="http://www.icnirp.de/documents/emfgdl.pdf" TargetMode="External"/><Relationship Id="rId100" Type="http://schemas.openxmlformats.org/officeDocument/2006/relationships/hyperlink" Target="http://eprints.mdx.ac.uk/133/2/MazarAug08.pdf" TargetMode="External"/><Relationship Id="rId105" Type="http://schemas.openxmlformats.org/officeDocument/2006/relationships/hyperlink" Target="http://www.ituworld2011.com/published/ituworld2011/sessions/TS11/TS11_Nghinamundova-A%20Comparison%20Between%20European%20and%20North%20American%20Wireless%20Regulations-Mazar.pdf" TargetMode="External"/><Relationship Id="rId113" Type="http://schemas.openxmlformats.org/officeDocument/2006/relationships/hyperlink" Target="http://www.who.int/mediacentre/factsheets/fs193/en/index.html" TargetMode="External"/><Relationship Id="rId118"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hyperlink" Target="http://www.itu.int/md/D10-SG01-C-0135/" TargetMode="External"/><Relationship Id="rId72" Type="http://schemas.openxmlformats.org/officeDocument/2006/relationships/hyperlink" Target="http://catedra-coitt.euitt.upm.es/web_salud_medioamb/Informes/informes_PDF/rf/HealthCanada/99ehd237.pdf" TargetMode="External"/><Relationship Id="rId80" Type="http://schemas.openxmlformats.org/officeDocument/2006/relationships/hyperlink" Target="http://webstore.iec.ch/webstore/webstore.nsf/artnum/033746" TargetMode="External"/><Relationship Id="rId85" Type="http://schemas.openxmlformats.org/officeDocument/2006/relationships/hyperlink" Target="http://www.itu.int/pub/R-HDB-23-2011" TargetMode="External"/><Relationship Id="rId93" Type="http://schemas.openxmlformats.org/officeDocument/2006/relationships/hyperlink" Target="http://www.itu.int/ITU-T/recommendations/rec.aspx?rec=9140&amp;lang=en" TargetMode="External"/><Relationship Id="rId98" Type="http://schemas.openxmlformats.org/officeDocument/2006/relationships/hyperlink" Target="http://www.tele.soumu.go.jp/resource/j/ele/body/emf_pamphlet.pdf" TargetMode="External"/><Relationship Id="rId121"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yperlink" Target="http://www.dot.gov.in/2013/DOT%20Advt%20modified%201%20Dec%202012-final-hindi%20version.pdf" TargetMode="External"/><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hyperlink" Target="http://www.iec.ch/" TargetMode="External"/><Relationship Id="rId67" Type="http://schemas.openxmlformats.org/officeDocument/2006/relationships/hyperlink" Target="http://transition.fcc.gov/Bureaus/Engineering_Technology/Documents/bulletins/oet65/oet65b.pdf" TargetMode="External"/><Relationship Id="rId103" Type="http://schemas.openxmlformats.org/officeDocument/2006/relationships/hyperlink" Target="http://www.comcas.org/" TargetMode="External"/><Relationship Id="rId108" Type="http://schemas.openxmlformats.org/officeDocument/2006/relationships/hyperlink" Target="http://www.hpa.org.uk/webc/HPAwebFile/HPAweb_C/1194947415497" TargetMode="External"/><Relationship Id="rId116" Type="http://schemas.openxmlformats.org/officeDocument/2006/relationships/hyperlink" Target="http://www.itu.int/en/ITU-D/Statistics/Documents/facts/ICTFactsFigures2013.pdf" TargetMode="External"/><Relationship Id="rId124"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package" Target="embeddings/Microsoft_Excel_Worksheet3.xlsx"/><Relationship Id="rId54" Type="http://schemas.openxmlformats.org/officeDocument/2006/relationships/hyperlink" Target="http://www.itu.int/md/D10-SG01-INF-0018/" TargetMode="External"/><Relationship Id="rId62" Type="http://schemas.openxmlformats.org/officeDocument/2006/relationships/hyperlink" Target="http://www.cenelec.eu/dyn/www/f?p=104:110:3556960516540125::::FSP_PROJECT:14880" TargetMode="External"/><Relationship Id="rId70" Type="http://schemas.openxmlformats.org/officeDocument/2006/relationships/hyperlink" Target="http://ecfr.gpoaccess.gov/cgi/t/text/text-idx?c=ecfr&amp;sid=e28e4f93164e296912c3ab9b5964ddde&amp;rgn=div8&amp;view=text&amp;node=47:1.0.1.1.3.9.226.62&amp;idno=47" TargetMode="External"/><Relationship Id="rId75" Type="http://schemas.openxmlformats.org/officeDocument/2006/relationships/hyperlink" Target="http://monographs.iarc.fr/ENG/Monographs/vol102/mono102.pdf" TargetMode="External"/><Relationship Id="rId83" Type="http://schemas.openxmlformats.org/officeDocument/2006/relationships/hyperlink" Target="http://standards.ieee.org/findstds/standard/1528-2003.html" TargetMode="External"/><Relationship Id="rId88" Type="http://schemas.openxmlformats.org/officeDocument/2006/relationships/hyperlink" Target="http://www.itu.int/ITU-T/studygroups/com05/" TargetMode="External"/><Relationship Id="rId91" Type="http://schemas.openxmlformats.org/officeDocument/2006/relationships/hyperlink" Target="http://www.itu.int/ITU-T/recommendations/rec.aspx?rec=9140&amp;lang=en" TargetMode="External"/><Relationship Id="rId96" Type="http://schemas.openxmlformats.org/officeDocument/2006/relationships/hyperlink" Target="http://www.itu.int/rec/T-REC-K.91-201205-I" TargetMode="External"/><Relationship Id="rId111" Type="http://schemas.openxmlformats.org/officeDocument/2006/relationships/hyperlink" Target="http://whqlibdoc.who.int/publications/2007/9789241595612_eng.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image" Target="media/image6.emf"/><Relationship Id="rId49" Type="http://schemas.openxmlformats.org/officeDocument/2006/relationships/hyperlink" Target="http://www.itu.int/md/D10-SG01-C-0088/" TargetMode="External"/><Relationship Id="rId57" Type="http://schemas.openxmlformats.org/officeDocument/2006/relationships/hyperlink" Target="http://www.icnirp.org" TargetMode="External"/><Relationship Id="rId106" Type="http://schemas.openxmlformats.org/officeDocument/2006/relationships/hyperlink" Target="http://www.itu.int/worl2011" TargetMode="External"/><Relationship Id="rId114" Type="http://schemas.openxmlformats.org/officeDocument/2006/relationships/hyperlink" Target="http://www.who.int/docstore/peh-emf/EMFStandards/who-0102/Worldmap5.htm" TargetMode="External"/><Relationship Id="rId119" Type="http://schemas.openxmlformats.org/officeDocument/2006/relationships/footer" Target="footer8.xml"/><Relationship Id="rId10" Type="http://schemas.openxmlformats.org/officeDocument/2006/relationships/header" Target="header1.xml"/><Relationship Id="rId31" Type="http://schemas.openxmlformats.org/officeDocument/2006/relationships/hyperlink" Target="http://www.dot.gov.in/2013/Eng_final.pdf%20dated%2015-01-2013.pdf" TargetMode="External"/><Relationship Id="rId44" Type="http://schemas.openxmlformats.org/officeDocument/2006/relationships/image" Target="media/image10.emf"/><Relationship Id="rId52" Type="http://schemas.openxmlformats.org/officeDocument/2006/relationships/hyperlink" Target="http://www.itu.int/md/D10-SG01-C-0082" TargetMode="External"/><Relationship Id="rId60" Type="http://schemas.openxmlformats.org/officeDocument/2006/relationships/hyperlink" Target="http://www.cenelec.org" TargetMode="External"/><Relationship Id="rId65" Type="http://schemas.openxmlformats.org/officeDocument/2006/relationships/hyperlink" Target="http://transition.fcc.gov/Bureaus/Engineering_Technology/Documents/bulletins/oet65/oet65.pdf" TargetMode="External"/><Relationship Id="rId73" Type="http://schemas.openxmlformats.org/officeDocument/2006/relationships/hyperlink" Target="http://www.iarc.fr/en/media-centre/pr/2011/pdfs/pr208_E.pdf" TargetMode="External"/><Relationship Id="rId78" Type="http://schemas.openxmlformats.org/officeDocument/2006/relationships/hyperlink" Target="http://www.icnirp.de/documents/StatementEMF.pdf" TargetMode="External"/><Relationship Id="rId81" Type="http://schemas.openxmlformats.org/officeDocument/2006/relationships/hyperlink" Target="http://webstore.iec.ch/webstore/webstore.nsf/artnum/045152!opendocument" TargetMode="External"/><Relationship Id="rId86" Type="http://schemas.openxmlformats.org/officeDocument/2006/relationships/hyperlink" Target="http://www.itu.int/rec/R-REC-BS/recommendation.asp?lang=en&amp;parent=R-REC-BS.1698" TargetMode="External"/><Relationship Id="rId94" Type="http://schemas.openxmlformats.org/officeDocument/2006/relationships/hyperlink" Target="http://www.itu.int/rec/T-REC-K.70-201105-I!Amd2" TargetMode="External"/><Relationship Id="rId99" Type="http://schemas.openxmlformats.org/officeDocument/2006/relationships/hyperlink" Target="http://www.jmoe.org/download.php?file=13673436230.pdf&amp;nome=Volume%2012%20-%20Number%201%20-%20Estimating%20the%20Location%20of%20Maximum%20Exposure%20to%20Electromagnetic%20Fields%20Associated%20with%20a%20Radiocommunication%20Station.pdf" TargetMode="External"/><Relationship Id="rId101" Type="http://schemas.openxmlformats.org/officeDocument/2006/relationships/hyperlink" Target="http://www.itu.int/rec/dologin_pub.asp?lang=e&amp;id=T-REC-K.52-200412-I!!PDF-E&amp;type=items" TargetMode="External"/><Relationship Id="rId122"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package" Target="embeddings/Microsoft_Excel_Worksheet2.xlsx"/><Relationship Id="rId109" Type="http://schemas.openxmlformats.org/officeDocument/2006/relationships/hyperlink" Target="http://www.google.co.il/url?sa=t&amp;rct=j&amp;q=&amp;esrc=s&amp;frm=1&amp;source=web&amp;cd=1&amp;ved=0CB4QFjAA&amp;url=http%3A%2F%2Fwww.bakom.admin.ch%2Fdokumentation%2Fzahlen%2F00545%2F00547%2F00548%2Findex.html%3Fdownload%3DNHzLpZeg7t%2Clnp6I0NTU042l2Z6ln1ad1IZn4Z2qZpnO2Yuq2Z6gpJCDdH17f2ym162epYbg2c_JjKbNoKSn6A--%26lang%3Den&amp;ei=WbE3ULXVCpHbsgbWiYGoDA&amp;usg=AFQjCNFuJG5xOzk810Klg1-bnuVDTGjpjA&amp;sig2=8YVPSTt9ddkxjJl8D-HZ4w" TargetMode="External"/><Relationship Id="rId34" Type="http://schemas.openxmlformats.org/officeDocument/2006/relationships/hyperlink" Target="http://www.dot.gov.in/" TargetMode="External"/><Relationship Id="rId50" Type="http://schemas.openxmlformats.org/officeDocument/2006/relationships/hyperlink" Target="http://www.itu.int/md/D10-SG01-C-0181/" TargetMode="External"/><Relationship Id="rId55" Type="http://schemas.openxmlformats.org/officeDocument/2006/relationships/hyperlink" Target="http://www.itu.int/md/D10-SG01-C-0228/" TargetMode="External"/><Relationship Id="rId76" Type="http://schemas.openxmlformats.org/officeDocument/2006/relationships/hyperlink" Target="http://monographs.iarc.fr/ENG/Monographs/vol102/index.php" TargetMode="External"/><Relationship Id="rId97" Type="http://schemas.openxmlformats.org/officeDocument/2006/relationships/hyperlink" Target="http://www.who.int/docstore/peh-emf/EMFStandards/who-0102/Asia/Japan_files/table_ja.htm" TargetMode="External"/><Relationship Id="rId104" Type="http://schemas.openxmlformats.org/officeDocument/2006/relationships/hyperlink" Target="http://www.mtt-tpms.org/symposia_v6/COMCAS2009/fileuploads/292-JI4GGWYnIdKk-2.pdf" TargetMode="External"/><Relationship Id="rId120" Type="http://schemas.openxmlformats.org/officeDocument/2006/relationships/footer" Target="footer9.xml"/><Relationship Id="rId7" Type="http://schemas.openxmlformats.org/officeDocument/2006/relationships/footnotes" Target="footnotes.xml"/><Relationship Id="rId71" Type="http://schemas.openxmlformats.org/officeDocument/2006/relationships/hyperlink" Target="http://transition.fcc.gov/Daily_Releases/Daily_Business/2013/db0329/FCC-13-39A1.pdf" TargetMode="External"/><Relationship Id="rId92" Type="http://schemas.openxmlformats.org/officeDocument/2006/relationships/hyperlink" Target="http://www.itu.int/rec/T-REC-K.70-201105-I!Amd2" TargetMode="Externa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footer" Target="footer5.xml"/><Relationship Id="rId40" Type="http://schemas.openxmlformats.org/officeDocument/2006/relationships/image" Target="media/image8.emf"/><Relationship Id="rId45" Type="http://schemas.openxmlformats.org/officeDocument/2006/relationships/package" Target="embeddings/Microsoft_Excel_Worksheet5.xlsx"/><Relationship Id="rId66" Type="http://schemas.openxmlformats.org/officeDocument/2006/relationships/hyperlink" Target="http://transition.fcc.gov/Bureaus/Engineering_Technology/Documents/bulletins/oet65/oet65c.pdf" TargetMode="External"/><Relationship Id="rId87" Type="http://schemas.openxmlformats.org/officeDocument/2006/relationships/hyperlink" Target="http://www.itu.int/pub/publications.aspx?lang=en&amp;parent=R-HDB-23-2011http://www.itu.int/pub/publications.aspx?lang=en&amp;parent=R-HDB-23-2011" TargetMode="External"/><Relationship Id="rId110" Type="http://schemas.openxmlformats.org/officeDocument/2006/relationships/hyperlink" Target="http://oem.bmj.com/content/66/8/550.full.pdf+html" TargetMode="External"/><Relationship Id="rId115" Type="http://schemas.openxmlformats.org/officeDocument/2006/relationships/hyperlink" Target="http://www.itu.int/ITU-D/ict/facts/2011/material/ICTFactsFigures201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www.itu.int/ITU-D/CDS/sg/rgqlist.asp?lg=1&amp;sp=2010&amp;rgq=D10-RGQ23.1&amp;stg=1" TargetMode="External"/><Relationship Id="rId3" Type="http://schemas.openxmlformats.org/officeDocument/2006/relationships/hyperlink" Target="http://www.itu.int/pub/T-RES-T.72-2012" TargetMode="External"/><Relationship Id="rId7" Type="http://schemas.openxmlformats.org/officeDocument/2006/relationships/hyperlink" Target="http://www.itu.int/md/D10-RGQ23.1-INF-0004/" TargetMode="External"/><Relationship Id="rId2" Type="http://schemas.openxmlformats.org/officeDocument/2006/relationships/hyperlink" Target="http://www.itu.int/ITU-D/study_groups/SGP_2010-2014/doc/rgq/2010/D10-RGQ23.1-en.pdf" TargetMode="External"/><Relationship Id="rId1" Type="http://schemas.openxmlformats.org/officeDocument/2006/relationships/hyperlink" Target="http://eprints.mdx.ac.uk/133/2/MazarAug08.pdf" TargetMode="External"/><Relationship Id="rId6" Type="http://schemas.openxmlformats.org/officeDocument/2006/relationships/hyperlink" Target="http://www.icnirp.de/documents/emfgdl.pdf" TargetMode="External"/><Relationship Id="rId5" Type="http://schemas.openxmlformats.org/officeDocument/2006/relationships/hyperlink" Target="http://www.itu.int/pub/S-CONF-ACTF-2010/en" TargetMode="External"/><Relationship Id="rId4" Type="http://schemas.openxmlformats.org/officeDocument/2006/relationships/hyperlink" Target="http://www.itu.int/ITU-D/conferences/wtdc/2010/pdf/WTDC10_DraftPreliminaryReport.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GAO\UIT-D\Question-(SG-1).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My%20Documents\BOOK\Agregate5_3Yuval.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My%20Documents\BOOK\Agregate5_3Yuv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80272864664965"/>
          <c:y val="0.11209739958975694"/>
          <c:w val="0.8457798911988067"/>
          <c:h val="0.71641791044776049"/>
        </c:manualLayout>
      </c:layout>
      <c:scatterChart>
        <c:scatterStyle val="lineMarker"/>
        <c:varyColors val="0"/>
        <c:ser>
          <c:idx val="0"/>
          <c:order val="0"/>
          <c:tx>
            <c:v>occupational</c:v>
          </c:tx>
          <c:spPr>
            <a:ln w="19050">
              <a:solidFill>
                <a:srgbClr val="006600"/>
              </a:solidFill>
              <a:prstDash val="sysDash"/>
            </a:ln>
          </c:spPr>
          <c:marker>
            <c:symbol val="diamond"/>
            <c:size val="8"/>
            <c:spPr>
              <a:solidFill>
                <a:srgbClr val="000080"/>
              </a:solidFill>
              <a:ln>
                <a:solidFill>
                  <a:srgbClr val="000080"/>
                </a:solidFill>
                <a:prstDash val="solid"/>
              </a:ln>
            </c:spPr>
          </c:marker>
          <c:dPt>
            <c:idx val="5"/>
            <c:bubble3D val="0"/>
            <c:spPr>
              <a:ln w="19050">
                <a:solidFill>
                  <a:srgbClr val="006600"/>
                </a:solidFill>
                <a:prstDash val="sysDot"/>
              </a:ln>
            </c:spPr>
          </c:dPt>
          <c:dLbls>
            <c:dLbl>
              <c:idx val="2"/>
              <c:delete val="1"/>
            </c:dLbl>
            <c:dLbl>
              <c:idx val="3"/>
              <c:delete val="1"/>
            </c:dLbl>
            <c:dLbl>
              <c:idx val="7"/>
              <c:delete val="1"/>
            </c:dLbl>
            <c:spPr>
              <a:noFill/>
              <a:ln w="25400">
                <a:noFill/>
              </a:ln>
            </c:spPr>
            <c:txPr>
              <a:bodyPr/>
              <a:lstStyle/>
              <a:p>
                <a:pPr>
                  <a:defRPr lang="he-IL"/>
                </a:pPr>
                <a:endParaRPr lang="en-US"/>
              </a:p>
            </c:txPr>
            <c:dLblPos val="b"/>
            <c:showLegendKey val="0"/>
            <c:showVal val="1"/>
            <c:showCatName val="0"/>
            <c:showSerName val="0"/>
            <c:showPercent val="0"/>
            <c:showBubbleSize val="0"/>
            <c:showLeaderLines val="0"/>
          </c:dLbls>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
          <c:order val="1"/>
          <c:tx>
            <c:v>general public</c:v>
          </c:tx>
          <c:spPr>
            <a:ln w="19050"/>
          </c:spPr>
          <c:dLbls>
            <c:dLbl>
              <c:idx val="2"/>
              <c:layout>
                <c:manualLayout>
                  <c:x val="-2.4912112880336016E-2"/>
                  <c:y val="-5.331782178512158E-2"/>
                </c:manualLayout>
              </c:layout>
              <c:dLblPos val="r"/>
              <c:showLegendKey val="0"/>
              <c:showVal val="1"/>
              <c:showCatName val="0"/>
              <c:showSerName val="0"/>
              <c:showPercent val="0"/>
              <c:showBubbleSize val="0"/>
            </c:dLbl>
            <c:dLbl>
              <c:idx val="3"/>
              <c:delete val="1"/>
            </c:dLbl>
            <c:dLbl>
              <c:idx val="4"/>
              <c:delete val="1"/>
            </c:dLbl>
            <c:spPr>
              <a:noFill/>
              <a:ln w="25400">
                <a:noFill/>
              </a:ln>
            </c:spPr>
            <c:txPr>
              <a:bodyPr/>
              <a:lstStyle/>
              <a:p>
                <a:pPr>
                  <a:defRPr lang="he-IL"/>
                </a:pPr>
                <a:endParaRPr lang="en-US"/>
              </a:p>
            </c:txPr>
            <c:dLblPos val="t"/>
            <c:showLegendKey val="0"/>
            <c:showVal val="1"/>
            <c:showCatName val="0"/>
            <c:showSerName val="0"/>
            <c:showPercent val="0"/>
            <c:showBubbleSize val="0"/>
            <c:showLeaderLines val="0"/>
          </c:dLbls>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
          <c:order val="2"/>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3"/>
          <c:order val="3"/>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4"/>
          <c:order val="4"/>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5"/>
          <c:order val="5"/>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6"/>
          <c:order val="6"/>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7"/>
          <c:order val="7"/>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8"/>
          <c:order val="8"/>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9"/>
          <c:order val="9"/>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0"/>
          <c:order val="10"/>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1"/>
          <c:order val="11"/>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2"/>
          <c:order val="12"/>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3"/>
          <c:order val="13"/>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4"/>
          <c:order val="14"/>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5"/>
          <c:order val="15"/>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6"/>
          <c:order val="16"/>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ser>
          <c:idx val="17"/>
          <c:order val="17"/>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ser>
          <c:idx val="18"/>
          <c:order val="18"/>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9"/>
          <c:order val="19"/>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0"/>
          <c:order val="20"/>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1"/>
          <c:order val="21"/>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2"/>
          <c:order val="22"/>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3"/>
          <c:order val="23"/>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4"/>
          <c:order val="24"/>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5"/>
          <c:order val="25"/>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6"/>
          <c:order val="26"/>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7"/>
          <c:order val="27"/>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8"/>
          <c:order val="28"/>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9"/>
          <c:order val="29"/>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30"/>
          <c:order val="30"/>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31"/>
          <c:order val="31"/>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32"/>
          <c:order val="32"/>
          <c:tx>
            <c:v>occupational</c:v>
          </c:tx>
          <c:spPr>
            <a:ln w="19050">
              <a:solidFill>
                <a:srgbClr val="006600"/>
              </a:solidFill>
              <a:prstDash val="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33"/>
          <c:order val="33"/>
          <c:tx>
            <c:v>general public</c:v>
          </c:tx>
          <c:spPr>
            <a:ln w="19050">
              <a:solidFill>
                <a:srgbClr val="C00000"/>
              </a:solidFill>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34"/>
          <c:order val="34"/>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ser>
          <c:idx val="35"/>
          <c:order val="35"/>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dLbls>
          <c:showLegendKey val="0"/>
          <c:showVal val="0"/>
          <c:showCatName val="0"/>
          <c:showSerName val="0"/>
          <c:showPercent val="0"/>
          <c:showBubbleSize val="0"/>
        </c:dLbls>
        <c:axId val="115806976"/>
        <c:axId val="115808896"/>
      </c:scatterChart>
      <c:valAx>
        <c:axId val="115806976"/>
        <c:scaling>
          <c:logBase val="10"/>
          <c:orientation val="minMax"/>
        </c:scaling>
        <c:delete val="1"/>
        <c:axPos val="b"/>
        <c:majorGridlines>
          <c:spPr>
            <a:ln w="317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ash"/>
            </a:ln>
          </c:spPr>
        </c:majorGridlines>
        <c:title>
          <c:tx>
            <c:rich>
              <a:bodyPr/>
              <a:lstStyle/>
              <a:p>
                <a:pPr>
                  <a:defRPr lang="he-IL"/>
                </a:pPr>
                <a:r>
                  <a:rPr lang="en-US"/>
                  <a:t>Frequency</a:t>
                </a:r>
              </a:p>
            </c:rich>
          </c:tx>
          <c:layout>
            <c:manualLayout>
              <c:xMode val="edge"/>
              <c:yMode val="edge"/>
              <c:x val="0.44062682268883102"/>
              <c:y val="0.92808980192354862"/>
            </c:manualLayout>
          </c:layout>
          <c:overlay val="0"/>
          <c:spPr>
            <a:noFill/>
            <a:ln w="25400">
              <a:noFill/>
            </a:ln>
          </c:spPr>
        </c:title>
        <c:numFmt formatCode="General" sourceLinked="0"/>
        <c:majorTickMark val="in"/>
        <c:minorTickMark val="in"/>
        <c:tickLblPos val="none"/>
        <c:crossAx val="115808896"/>
        <c:crossesAt val="1"/>
        <c:crossBetween val="midCat"/>
      </c:valAx>
      <c:valAx>
        <c:axId val="115808896"/>
        <c:scaling>
          <c:logBase val="10"/>
          <c:orientation val="minMax"/>
          <c:max val="50000"/>
        </c:scaling>
        <c:delete val="0"/>
        <c:axPos val="l"/>
        <c:title>
          <c:tx>
            <c:rich>
              <a:bodyPr/>
              <a:lstStyle/>
              <a:p>
                <a:pPr>
                  <a:defRPr lang="he-IL"/>
                </a:pPr>
                <a:r>
                  <a:rPr lang="en-US"/>
                  <a:t>E(v/m)</a:t>
                </a:r>
              </a:p>
            </c:rich>
          </c:tx>
          <c:layout>
            <c:manualLayout>
              <c:xMode val="edge"/>
              <c:yMode val="edge"/>
              <c:x val="2.5974085255153406E-2"/>
              <c:y val="0.37313442503491784"/>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lang="he-IL"/>
            </a:pPr>
            <a:endParaRPr lang="en-US"/>
          </a:p>
        </c:txPr>
        <c:crossAx val="115806976"/>
        <c:crosses val="autoZero"/>
        <c:crossBetween val="midCat"/>
      </c:valAx>
      <c:spPr>
        <a:noFill/>
        <a:ln w="12700">
          <a:solidFill>
            <a:srgbClr val="808080"/>
          </a:solidFill>
          <a:prstDash val="solid"/>
        </a:ln>
      </c:spPr>
    </c:plotArea>
    <c:plotVisOnly val="1"/>
    <c:dispBlanksAs val="gap"/>
    <c:showDLblsOverMax val="0"/>
  </c:chart>
  <c:spPr>
    <a:solidFill>
      <a:srgbClr val="FFFFFF"/>
    </a:solidFill>
    <a:ln w="3175">
      <a:solidFill>
        <a:srgbClr val="006600"/>
      </a:solidFill>
      <a:prstDash val="solid"/>
    </a:ln>
  </c:spPr>
  <c:txPr>
    <a:bodyPr/>
    <a:lstStyle/>
    <a:p>
      <a:pPr>
        <a:defRPr sz="975" b="0" i="0" u="none" strike="noStrike" baseline="0">
          <a:solidFill>
            <a:srgbClr val="000000"/>
          </a:solidFill>
          <a:latin typeface="Times New Roman" pitchFamily="18" charset="0"/>
          <a:ea typeface="Arial"/>
          <a:cs typeface="Times New Roman"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531787693205007E-2"/>
          <c:y val="7.9445462041989892E-2"/>
          <c:w val="0.88026372344246007"/>
          <c:h val="0.71391842420871365"/>
        </c:manualLayout>
      </c:layout>
      <c:scatterChart>
        <c:scatterStyle val="lineMarker"/>
        <c:varyColors val="0"/>
        <c:ser>
          <c:idx val="1"/>
          <c:order val="0"/>
          <c:tx>
            <c:strRef>
              <c:f>'ICNIRP levels'!$E$68</c:f>
              <c:strCache>
                <c:ptCount val="1"/>
                <c:pt idx="0">
                  <c:v>general public exposure</c:v>
                </c:pt>
              </c:strCache>
            </c:strRef>
          </c:tx>
          <c:spPr>
            <a:ln w="19050">
              <a:solidFill>
                <a:srgbClr val="006600"/>
              </a:solidFill>
              <a:prstDash val="dash"/>
            </a:ln>
          </c:spPr>
          <c:dLbls>
            <c:spPr>
              <a:noFill/>
              <a:ln w="25400">
                <a:noFill/>
              </a:ln>
            </c:spPr>
            <c:txPr>
              <a:bodyPr/>
              <a:lstStyle/>
              <a:p>
                <a:pPr>
                  <a:defRPr lang="he-IL"/>
                </a:pPr>
                <a:endParaRPr lang="en-US"/>
              </a:p>
            </c:txPr>
            <c:dLblPos val="b"/>
            <c:showLegendKey val="0"/>
            <c:showVal val="1"/>
            <c:showCatName val="1"/>
            <c:showSerName val="0"/>
            <c:showPercent val="0"/>
            <c:showBubbleSize val="0"/>
            <c:showLeaderLines val="0"/>
          </c:dLbls>
          <c:xVal>
            <c:numRef>
              <c:f>'ICNIRP levels'!$C$35:$F$35</c:f>
              <c:numCache>
                <c:formatCode>General</c:formatCode>
                <c:ptCount val="4"/>
                <c:pt idx="0">
                  <c:v>10</c:v>
                </c:pt>
                <c:pt idx="1">
                  <c:v>400</c:v>
                </c:pt>
                <c:pt idx="2" formatCode="_(* #,##0_);_(* \(#,##0\);_(* &quot;-&quot;??_);_(@_)">
                  <c:v>2000</c:v>
                </c:pt>
                <c:pt idx="3" formatCode="_(* #,##0_);_(* \(#,##0\);_(* &quot;-&quot;??_);_(@_)">
                  <c:v>300000</c:v>
                </c:pt>
              </c:numCache>
            </c:numRef>
          </c:xVal>
          <c:yVal>
            <c:numRef>
              <c:f>'ICNIRP levels'!$C$36:$F$36</c:f>
              <c:numCache>
                <c:formatCode>_(* #,##0_);_(* \(#,##0\);_(* "-"_);_(@_)</c:formatCode>
                <c:ptCount val="4"/>
                <c:pt idx="0">
                  <c:v>2</c:v>
                </c:pt>
                <c:pt idx="1">
                  <c:v>2</c:v>
                </c:pt>
                <c:pt idx="2" formatCode="General">
                  <c:v>10</c:v>
                </c:pt>
                <c:pt idx="3" formatCode="General">
                  <c:v>10</c:v>
                </c:pt>
              </c:numCache>
            </c:numRef>
          </c:yVal>
          <c:smooth val="0"/>
        </c:ser>
        <c:ser>
          <c:idx val="0"/>
          <c:order val="1"/>
          <c:tx>
            <c:strRef>
              <c:f>'ICNIRP levels'!$E$69</c:f>
              <c:strCache>
                <c:ptCount val="1"/>
                <c:pt idx="0">
                  <c:v>occupational  exposure</c:v>
                </c:pt>
              </c:strCache>
            </c:strRef>
          </c:tx>
          <c:spPr>
            <a:ln w="19050">
              <a:solidFill>
                <a:srgbClr val="FF0000"/>
              </a:solidFill>
            </a:ln>
          </c:spPr>
          <c:dLbls>
            <c:spPr>
              <a:noFill/>
              <a:ln w="25400">
                <a:noFill/>
              </a:ln>
            </c:spPr>
            <c:txPr>
              <a:bodyPr/>
              <a:lstStyle/>
              <a:p>
                <a:pPr>
                  <a:defRPr lang="he-IL"/>
                </a:pPr>
                <a:endParaRPr lang="en-US"/>
              </a:p>
            </c:txPr>
            <c:dLblPos val="b"/>
            <c:showLegendKey val="0"/>
            <c:showVal val="1"/>
            <c:showCatName val="0"/>
            <c:showSerName val="0"/>
            <c:showPercent val="0"/>
            <c:showBubbleSize val="0"/>
            <c:separator>, </c:separator>
            <c:showLeaderLines val="0"/>
          </c:dLbls>
          <c:xVal>
            <c:numRef>
              <c:f>'ICNIRP levels'!$C$35:$F$35</c:f>
              <c:numCache>
                <c:formatCode>General</c:formatCode>
                <c:ptCount val="4"/>
                <c:pt idx="0">
                  <c:v>10</c:v>
                </c:pt>
                <c:pt idx="1">
                  <c:v>400</c:v>
                </c:pt>
                <c:pt idx="2" formatCode="_(* #,##0_);_(* \(#,##0\);_(* &quot;-&quot;??_);_(@_)">
                  <c:v>2000</c:v>
                </c:pt>
                <c:pt idx="3" formatCode="_(* #,##0_);_(* \(#,##0\);_(* &quot;-&quot;??_);_(@_)">
                  <c:v>300000</c:v>
                </c:pt>
              </c:numCache>
            </c:numRef>
          </c:xVal>
          <c:yVal>
            <c:numRef>
              <c:f>'ICNIRP levels'!$C$37:$F$37</c:f>
              <c:numCache>
                <c:formatCode>General</c:formatCode>
                <c:ptCount val="4"/>
                <c:pt idx="0">
                  <c:v>10</c:v>
                </c:pt>
                <c:pt idx="1">
                  <c:v>10</c:v>
                </c:pt>
                <c:pt idx="2">
                  <c:v>50</c:v>
                </c:pt>
                <c:pt idx="3">
                  <c:v>50</c:v>
                </c:pt>
              </c:numCache>
            </c:numRef>
          </c:yVal>
          <c:smooth val="0"/>
        </c:ser>
        <c:dLbls>
          <c:showLegendKey val="0"/>
          <c:showVal val="0"/>
          <c:showCatName val="0"/>
          <c:showSerName val="0"/>
          <c:showPercent val="0"/>
          <c:showBubbleSize val="0"/>
        </c:dLbls>
        <c:axId val="113547136"/>
        <c:axId val="115859456"/>
      </c:scatterChart>
      <c:valAx>
        <c:axId val="113547136"/>
        <c:scaling>
          <c:logBase val="10"/>
          <c:orientation val="minMax"/>
          <c:min val="10"/>
        </c:scaling>
        <c:delete val="0"/>
        <c:axPos val="b"/>
        <c:majorGridlines>
          <c:spPr>
            <a:ln w="3175">
              <a:solidFill>
                <a:srgbClr val="000000"/>
              </a:solidFill>
              <a:prstDash val="sysDash"/>
            </a:ln>
          </c:spPr>
        </c:majorGridlines>
        <c:title>
          <c:tx>
            <c:rich>
              <a:bodyPr/>
              <a:lstStyle/>
              <a:p>
                <a:pPr>
                  <a:defRPr lang="he-IL"/>
                </a:pPr>
                <a:r>
                  <a:rPr lang="en-US"/>
                  <a:t>Frequency (MHz)</a:t>
                </a:r>
              </a:p>
            </c:rich>
          </c:tx>
          <c:layout>
            <c:manualLayout>
              <c:xMode val="edge"/>
              <c:yMode val="edge"/>
              <c:x val="0.43831205967675202"/>
              <c:y val="0.8865672125174584"/>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lang="he-IL" sz="975" b="0" i="0" u="none" strike="noStrike" baseline="0">
                <a:solidFill>
                  <a:srgbClr val="000000"/>
                </a:solidFill>
                <a:latin typeface="Arial"/>
                <a:ea typeface="Arial"/>
                <a:cs typeface="Arial"/>
              </a:defRPr>
            </a:pPr>
            <a:endParaRPr lang="en-US"/>
          </a:p>
        </c:txPr>
        <c:crossAx val="115859456"/>
        <c:crosses val="autoZero"/>
        <c:crossBetween val="midCat"/>
        <c:minorUnit val="10"/>
      </c:valAx>
      <c:valAx>
        <c:axId val="115859456"/>
        <c:scaling>
          <c:logBase val="10"/>
          <c:orientation val="minMax"/>
          <c:max val="100"/>
        </c:scaling>
        <c:delete val="0"/>
        <c:axPos val="l"/>
        <c:title>
          <c:tx>
            <c:rich>
              <a:bodyPr/>
              <a:lstStyle/>
              <a:p>
                <a:pPr>
                  <a:defRPr lang="he-IL" sz="1000"/>
                </a:pPr>
                <a:r>
                  <a:rPr lang="en-US" sz="1000"/>
                  <a:t>Power    Density (W/m</a:t>
                </a:r>
                <a:r>
                  <a:rPr lang="en-US" sz="1000" baseline="30000"/>
                  <a:t>2</a:t>
                </a:r>
                <a:r>
                  <a:rPr lang="en-US" sz="1000"/>
                  <a:t>)</a:t>
                </a:r>
              </a:p>
            </c:rich>
          </c:tx>
          <c:layout>
            <c:manualLayout>
              <c:xMode val="edge"/>
              <c:yMode val="edge"/>
              <c:x val="2.1020662620499608E-3"/>
              <c:y val="0.11093726187452374"/>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lang="he-IL" sz="800"/>
            </a:pPr>
            <a:endParaRPr lang="en-US"/>
          </a:p>
        </c:txPr>
        <c:crossAx val="113547136"/>
        <c:crosses val="autoZero"/>
        <c:crossBetween val="midCat"/>
        <c:majorUnit val="10"/>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Times New Roman" pitchFamily="18" charset="0"/>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0.81535</cdr:x>
      <cdr:y>0.67291</cdr:y>
    </cdr:from>
    <cdr:to>
      <cdr:x>0.95917</cdr:x>
      <cdr:y>0.73099</cdr:y>
    </cdr:to>
    <cdr:sp macro="" textlink="">
      <cdr:nvSpPr>
        <cdr:cNvPr id="23553" name="Text Box 1"/>
        <cdr:cNvSpPr txBox="1">
          <a:spLocks xmlns:a="http://schemas.openxmlformats.org/drawingml/2006/main" noChangeArrowheads="1"/>
        </cdr:cNvSpPr>
      </cdr:nvSpPr>
      <cdr:spPr bwMode="auto">
        <a:xfrm xmlns:a="http://schemas.openxmlformats.org/drawingml/2006/main">
          <a:off x="5906235" y="2444133"/>
          <a:ext cx="1041770" cy="21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r" rtl="0">
            <a:defRPr sz="1000"/>
          </a:pPr>
          <a:r>
            <a:rPr lang="en-GB" sz="1200">
              <a:solidFill>
                <a:srgbClr val="006600"/>
              </a:solidFill>
              <a:effectLst/>
              <a:latin typeface="+mn-lt"/>
              <a:ea typeface="+mn-ea"/>
              <a:cs typeface="+mn-cs"/>
            </a:rPr>
            <a:t>public exposure</a:t>
          </a:r>
          <a:endParaRPr lang="en-US" sz="1200">
            <a:solidFill>
              <a:srgbClr val="006600"/>
            </a:solidFill>
          </a:endParaRPr>
        </a:p>
      </cdr:txBody>
    </cdr:sp>
  </cdr:relSizeAnchor>
  <cdr:relSizeAnchor xmlns:cdr="http://schemas.openxmlformats.org/drawingml/2006/chartDrawing">
    <cdr:from>
      <cdr:x>0.76307</cdr:x>
      <cdr:y>0.2302</cdr:y>
    </cdr:from>
    <cdr:to>
      <cdr:x>0.96111</cdr:x>
      <cdr:y>0.28828</cdr:y>
    </cdr:to>
    <cdr:sp macro="" textlink="">
      <cdr:nvSpPr>
        <cdr:cNvPr id="4" name="Text Box 1"/>
        <cdr:cNvSpPr txBox="1">
          <a:spLocks xmlns:a="http://schemas.openxmlformats.org/drawingml/2006/main" noChangeArrowheads="1"/>
        </cdr:cNvSpPr>
      </cdr:nvSpPr>
      <cdr:spPr bwMode="auto">
        <a:xfrm xmlns:a="http://schemas.openxmlformats.org/drawingml/2006/main">
          <a:off x="5527523" y="836143"/>
          <a:ext cx="1434560" cy="21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rtl="0">
            <a:defRPr sz="1000"/>
          </a:pPr>
          <a:r>
            <a:rPr lang="en-GB" sz="1200">
              <a:solidFill>
                <a:srgbClr val="FF0000"/>
              </a:solidFill>
              <a:effectLst/>
              <a:latin typeface="+mn-lt"/>
              <a:ea typeface="+mn-ea"/>
              <a:cs typeface="+mn-cs"/>
            </a:rPr>
            <a:t>occupational exposure</a:t>
          </a:r>
          <a:endParaRPr lang="en-US" sz="1200">
            <a:solidFill>
              <a:srgbClr val="FF0000"/>
            </a:solidFill>
          </a:endParaRPr>
        </a:p>
      </cdr:txBody>
    </cdr:sp>
  </cdr:relSizeAnchor>
  <cdr:relSizeAnchor xmlns:cdr="http://schemas.openxmlformats.org/drawingml/2006/chartDrawing">
    <cdr:from>
      <cdr:x>0.11352</cdr:x>
      <cdr:y>0.88127</cdr:y>
    </cdr:from>
    <cdr:to>
      <cdr:x>0.16562</cdr:x>
      <cdr:y>0.94651</cdr:y>
    </cdr:to>
    <cdr:sp macro="" textlink="">
      <cdr:nvSpPr>
        <cdr:cNvPr id="6" name="Text Box 2"/>
        <cdr:cNvSpPr txBox="1">
          <a:spLocks xmlns:a="http://schemas.openxmlformats.org/drawingml/2006/main" noChangeArrowheads="1"/>
        </cdr:cNvSpPr>
      </cdr:nvSpPr>
      <cdr:spPr bwMode="auto">
        <a:xfrm xmlns:a="http://schemas.openxmlformats.org/drawingml/2006/main">
          <a:off x="622815" y="2425891"/>
          <a:ext cx="285847" cy="179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0.12278</cdr:x>
      <cdr:y>0.89972</cdr:y>
    </cdr:from>
    <cdr:to>
      <cdr:x>0.17488</cdr:x>
      <cdr:y>0.96497</cdr:y>
    </cdr:to>
    <cdr:sp macro="" textlink="">
      <cdr:nvSpPr>
        <cdr:cNvPr id="7" name="Text Box 2"/>
        <cdr:cNvSpPr txBox="1">
          <a:spLocks xmlns:a="http://schemas.openxmlformats.org/drawingml/2006/main" noChangeArrowheads="1"/>
        </cdr:cNvSpPr>
      </cdr:nvSpPr>
      <cdr:spPr bwMode="auto">
        <a:xfrm xmlns:a="http://schemas.openxmlformats.org/drawingml/2006/main">
          <a:off x="673615" y="2476691"/>
          <a:ext cx="285847" cy="179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0.11352</cdr:x>
      <cdr:y>0.88127</cdr:y>
    </cdr:from>
    <cdr:to>
      <cdr:x>0.16562</cdr:x>
      <cdr:y>0.94651</cdr:y>
    </cdr:to>
    <cdr:sp macro="" textlink="">
      <cdr:nvSpPr>
        <cdr:cNvPr id="8" name="Text Box 2"/>
        <cdr:cNvSpPr txBox="1">
          <a:spLocks xmlns:a="http://schemas.openxmlformats.org/drawingml/2006/main" noChangeArrowheads="1"/>
        </cdr:cNvSpPr>
      </cdr:nvSpPr>
      <cdr:spPr bwMode="auto">
        <a:xfrm xmlns:a="http://schemas.openxmlformats.org/drawingml/2006/main">
          <a:off x="622815" y="2425891"/>
          <a:ext cx="285847" cy="179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2.xml><?xml version="1.0" encoding="utf-8"?>
<c:userShapes xmlns:c="http://schemas.openxmlformats.org/drawingml/2006/chart">
  <cdr:relSizeAnchor xmlns:cdr="http://schemas.openxmlformats.org/drawingml/2006/chartDrawing">
    <cdr:from>
      <cdr:x>0.74672</cdr:x>
      <cdr:y>0.53846</cdr:y>
    </cdr:from>
    <cdr:to>
      <cdr:x>0.94572</cdr:x>
      <cdr:y>0.69783</cdr:y>
    </cdr:to>
    <cdr:sp macro="" textlink="">
      <cdr:nvSpPr>
        <cdr:cNvPr id="2" name="Text Box 1"/>
        <cdr:cNvSpPr txBox="1"/>
      </cdr:nvSpPr>
      <cdr:spPr>
        <a:xfrm xmlns:a="http://schemas.openxmlformats.org/drawingml/2006/main">
          <a:off x="4096811" y="1475740"/>
          <a:ext cx="1091774" cy="436786"/>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solidFill>
                <a:srgbClr val="006600"/>
              </a:solidFill>
              <a:effectLst/>
              <a:latin typeface="+mn-lt"/>
              <a:ea typeface="+mn-ea"/>
              <a:cs typeface="+mn-cs"/>
            </a:rPr>
            <a:t>public</a:t>
          </a:r>
          <a:r>
            <a:rPr lang="en-US" sz="1100">
              <a:effectLst/>
              <a:latin typeface="+mn-lt"/>
              <a:ea typeface="+mn-ea"/>
              <a:cs typeface="+mn-cs"/>
            </a:rPr>
            <a:t> </a:t>
          </a:r>
          <a:r>
            <a:rPr lang="en-US" sz="1100">
              <a:solidFill>
                <a:srgbClr val="006600"/>
              </a:solidFill>
              <a:effectLst/>
              <a:latin typeface="+mn-lt"/>
              <a:ea typeface="+mn-ea"/>
              <a:cs typeface="+mn-cs"/>
            </a:rPr>
            <a:t>exposure</a:t>
          </a:r>
        </a:p>
        <a:p xmlns:a="http://schemas.openxmlformats.org/drawingml/2006/main">
          <a:endParaRPr lang="en-US" sz="1100"/>
        </a:p>
      </cdr:txBody>
    </cdr:sp>
  </cdr:relSizeAnchor>
  <cdr:relSizeAnchor xmlns:cdr="http://schemas.openxmlformats.org/drawingml/2006/chartDrawing">
    <cdr:from>
      <cdr:x>0.67033</cdr:x>
      <cdr:y>0.0797</cdr:y>
    </cdr:from>
    <cdr:to>
      <cdr:x>0.94637</cdr:x>
      <cdr:y>0.17623</cdr:y>
    </cdr:to>
    <cdr:sp macro="" textlink="">
      <cdr:nvSpPr>
        <cdr:cNvPr id="3" name="Text Box 2"/>
        <cdr:cNvSpPr txBox="1"/>
      </cdr:nvSpPr>
      <cdr:spPr>
        <a:xfrm xmlns:a="http://schemas.openxmlformats.org/drawingml/2006/main">
          <a:off x="3677707" y="218440"/>
          <a:ext cx="1514453" cy="264560"/>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pPr algn="r"/>
          <a:r>
            <a:rPr lang="en-US" sz="1100">
              <a:solidFill>
                <a:srgbClr val="FF0000"/>
              </a:solidFill>
              <a:effectLst/>
              <a:latin typeface="+mn-lt"/>
              <a:ea typeface="+mn-ea"/>
              <a:cs typeface="+mn-cs"/>
            </a:rPr>
            <a:t>occupational  exposure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C9D1D-067B-4879-87F2-87B75BA04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Question-(SG-1).dotx</Template>
  <TotalTime>504</TotalTime>
  <Pages>59</Pages>
  <Words>24122</Words>
  <Characters>56954</Characters>
  <Application>Microsoft Office Word</Application>
  <DocSecurity>0</DocSecurity>
  <Lines>474</Lines>
  <Paragraphs>161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第23/1号课题：与人体电磁场暴露相关的战略和政策</vt:lpstr>
      <vt:lpstr>HIPCAR Model Policy Guidelines and Legislative Text: Access to Public Information (Freedom of Information)</vt:lpstr>
    </vt:vector>
  </TitlesOfParts>
  <Company>ITU</Company>
  <LinksUpToDate>false</LinksUpToDate>
  <CharactersWithSpaces>80915</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第23/1号课题：与人体电磁场暴露相关的战略和政策</dc:title>
  <dc:subject/>
  <dc:creator>ITU</dc:creator>
  <cp:lastModifiedBy>Gao, Lili</cp:lastModifiedBy>
  <cp:revision>48</cp:revision>
  <cp:lastPrinted>2014-01-10T15:01:00Z</cp:lastPrinted>
  <dcterms:created xsi:type="dcterms:W3CDTF">2014-01-06T15:29:00Z</dcterms:created>
  <dcterms:modified xsi:type="dcterms:W3CDTF">2014-01-17T15:06:00Z</dcterms:modified>
</cp:coreProperties>
</file>