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07C" w:rsidRDefault="0099607C" w:rsidP="0099607C">
      <w:pPr>
        <w:rPr>
          <w:lang w:val="en-US" w:bidi="ar-EG"/>
        </w:rPr>
      </w:pPr>
      <w:bookmarkStart w:id="1" w:name="_Toc253573513"/>
    </w:p>
    <w:p w:rsidR="0099607C" w:rsidRDefault="0099607C" w:rsidP="0099607C">
      <w:pPr>
        <w:rPr>
          <w:rtl/>
          <w:lang w:bidi="ar-EG"/>
        </w:rPr>
      </w:pPr>
    </w:p>
    <w:tbl>
      <w:tblPr>
        <w:bidiVisual/>
        <w:tblW w:w="2802" w:type="dxa"/>
        <w:jc w:val="right"/>
        <w:tblInd w:w="-162" w:type="dxa"/>
        <w:tblBorders>
          <w:left w:val="single" w:sz="18" w:space="0" w:color="808080"/>
        </w:tblBorders>
        <w:tblLook w:val="0000"/>
      </w:tblPr>
      <w:tblGrid>
        <w:gridCol w:w="2802"/>
      </w:tblGrid>
      <w:tr w:rsidR="0099607C" w:rsidRPr="00EA7689" w:rsidTr="0099607C">
        <w:trPr>
          <w:cantSplit/>
          <w:jc w:val="right"/>
        </w:trPr>
        <w:tc>
          <w:tcPr>
            <w:tcW w:w="2802" w:type="dxa"/>
            <w:tcBorders>
              <w:left w:val="nil"/>
              <w:bottom w:val="single" w:sz="4" w:space="0" w:color="auto"/>
            </w:tcBorders>
          </w:tcPr>
          <w:p w:rsidR="0099607C" w:rsidRPr="00EA7689" w:rsidRDefault="0099607C" w:rsidP="003B3F0A">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sidR="003B3F0A">
              <w:rPr>
                <w:rFonts w:ascii="Times New Roman Bold" w:hAnsi="Times New Roman Bold"/>
                <w:b/>
                <w:bCs/>
                <w:i/>
                <w:iCs/>
                <w:sz w:val="28"/>
                <w:szCs w:val="36"/>
              </w:rPr>
              <w:t>10</w:t>
            </w:r>
            <w:r w:rsidR="00835D9E">
              <w:rPr>
                <w:rFonts w:ascii="Times New Roman Bold" w:hAnsi="Times New Roman Bold"/>
                <w:b/>
                <w:bCs/>
                <w:i/>
                <w:iCs/>
                <w:sz w:val="28"/>
                <w:szCs w:val="36"/>
              </w:rPr>
              <w:t>-2/1</w:t>
            </w:r>
          </w:p>
        </w:tc>
      </w:tr>
      <w:tr w:rsidR="0099607C" w:rsidRPr="00BD60AC" w:rsidTr="0099607C">
        <w:trPr>
          <w:cantSplit/>
          <w:trHeight w:val="865"/>
          <w:jc w:val="right"/>
        </w:trPr>
        <w:tc>
          <w:tcPr>
            <w:tcW w:w="2802" w:type="dxa"/>
            <w:tcBorders>
              <w:top w:val="single" w:sz="4" w:space="0" w:color="auto"/>
              <w:left w:val="nil"/>
            </w:tcBorders>
          </w:tcPr>
          <w:p w:rsidR="0099607C" w:rsidRPr="0002593C" w:rsidRDefault="00D713E8" w:rsidP="00010B7F">
            <w:pPr>
              <w:rPr>
                <w:i/>
                <w:iCs/>
                <w:rtl/>
                <w:lang w:val="en-US"/>
              </w:rPr>
            </w:pPr>
            <w:r w:rsidRPr="0002593C">
              <w:rPr>
                <w:rFonts w:hint="cs"/>
                <w:i/>
                <w:iCs/>
                <w:rtl/>
                <w:lang w:bidi="ar-EG"/>
              </w:rPr>
              <w:t>التقرير النهائي</w:t>
            </w:r>
          </w:p>
        </w:tc>
      </w:tr>
    </w:tbl>
    <w:p w:rsidR="0099607C" w:rsidRPr="00DC7DA8" w:rsidRDefault="0099607C" w:rsidP="0099607C"/>
    <w:p w:rsidR="0099607C" w:rsidRPr="00DC7DA8" w:rsidRDefault="0099607C" w:rsidP="0099607C"/>
    <w:p w:rsidR="0099607C" w:rsidRPr="00DC7DA8" w:rsidRDefault="0099607C" w:rsidP="0099607C"/>
    <w:p w:rsidR="0099607C" w:rsidRPr="00DC7DA8" w:rsidRDefault="0099607C" w:rsidP="0099607C"/>
    <w:p w:rsidR="0099607C" w:rsidRPr="00DC7DA8" w:rsidRDefault="0099607C" w:rsidP="0099607C"/>
    <w:p w:rsidR="0099607C" w:rsidRPr="00DC7DA8" w:rsidRDefault="0099607C" w:rsidP="0099607C"/>
    <w:p w:rsidR="0099607C" w:rsidRPr="007D5FFC" w:rsidRDefault="0099607C" w:rsidP="00835D9E">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sidR="00835D9E">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9607C" w:rsidRPr="00BD60AC" w:rsidRDefault="0099607C" w:rsidP="0099607C"/>
    <w:p w:rsidR="0099607C" w:rsidRPr="00BD60AC" w:rsidRDefault="0099607C" w:rsidP="0099607C"/>
    <w:p w:rsidR="0099607C" w:rsidRPr="00BD60AC" w:rsidRDefault="0099607C" w:rsidP="0099607C"/>
    <w:p w:rsidR="00645092" w:rsidRPr="00010B7F" w:rsidRDefault="0051292E" w:rsidP="00010B7F">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sidR="00010B7F">
        <w:rPr>
          <w:rFonts w:ascii="Times New Roman Bold" w:hAnsi="Times New Roman Bold"/>
          <w:b/>
          <w:bCs/>
          <w:i/>
          <w:iCs/>
          <w:noProof/>
          <w:sz w:val="56"/>
          <w:szCs w:val="64"/>
          <w:lang w:bidi="ar-EG"/>
        </w:rPr>
        <w:t>10</w:t>
      </w:r>
      <w:r w:rsidRPr="00010B7F">
        <w:rPr>
          <w:rFonts w:ascii="Times New Roman Bold" w:hAnsi="Times New Roman Bold"/>
          <w:b/>
          <w:bCs/>
          <w:i/>
          <w:iCs/>
          <w:noProof/>
          <w:sz w:val="56"/>
          <w:szCs w:val="64"/>
          <w:lang w:bidi="ar-EG"/>
        </w:rPr>
        <w:t>-</w:t>
      </w:r>
      <w:r w:rsidR="00835D9E" w:rsidRPr="00010B7F">
        <w:rPr>
          <w:rFonts w:ascii="Times New Roman Bold" w:hAnsi="Times New Roman Bold"/>
          <w:b/>
          <w:bCs/>
          <w:i/>
          <w:iCs/>
          <w:noProof/>
          <w:sz w:val="56"/>
          <w:szCs w:val="64"/>
          <w:lang w:bidi="ar-EG"/>
        </w:rPr>
        <w:t>2</w:t>
      </w:r>
      <w:r w:rsidRPr="00010B7F">
        <w:rPr>
          <w:rFonts w:ascii="Times New Roman Bold" w:hAnsi="Times New Roman Bold"/>
          <w:b/>
          <w:bCs/>
          <w:i/>
          <w:iCs/>
          <w:noProof/>
          <w:sz w:val="56"/>
          <w:szCs w:val="64"/>
          <w:lang w:bidi="ar-EG"/>
        </w:rPr>
        <w:t>/</w:t>
      </w:r>
      <w:r w:rsidR="00835D9E" w:rsidRPr="00010B7F">
        <w:rPr>
          <w:rFonts w:ascii="Times New Roman Bold" w:hAnsi="Times New Roman Bold"/>
          <w:b/>
          <w:bCs/>
          <w:i/>
          <w:iCs/>
          <w:noProof/>
          <w:sz w:val="56"/>
          <w:szCs w:val="64"/>
          <w:lang w:bidi="ar-EG"/>
        </w:rPr>
        <w:t>1</w:t>
      </w:r>
      <w:r w:rsidR="00835D9E" w:rsidRPr="00010B7F">
        <w:rPr>
          <w:rFonts w:ascii="Times New Roman Bold" w:hAnsi="Times New Roman Bold" w:hint="cs"/>
          <w:b/>
          <w:bCs/>
          <w:i/>
          <w:iCs/>
          <w:noProof/>
          <w:sz w:val="56"/>
          <w:szCs w:val="64"/>
          <w:rtl/>
          <w:lang w:bidi="ar-EG"/>
        </w:rPr>
        <w:t>:</w:t>
      </w:r>
    </w:p>
    <w:p w:rsidR="0099607C" w:rsidRPr="00010B7F" w:rsidRDefault="00010B7F" w:rsidP="00010B7F">
      <w:pPr>
        <w:spacing w:after="240"/>
        <w:ind w:right="2640"/>
        <w:jc w:val="right"/>
        <w:rPr>
          <w:rFonts w:ascii="Times New Roman Bold" w:hAnsi="Times New Roman Bold"/>
          <w:b/>
          <w:bCs/>
          <w:i/>
          <w:iCs/>
          <w:noProof/>
          <w:sz w:val="56"/>
          <w:szCs w:val="56"/>
          <w:rtl/>
          <w:lang w:bidi="ar-EG"/>
        </w:rPr>
      </w:pPr>
      <w:r w:rsidRPr="00010B7F">
        <w:rPr>
          <w:rFonts w:ascii="Times New Roman Bold" w:hAnsi="Times New Roman Bold" w:hint="cs"/>
          <w:b/>
          <w:bCs/>
          <w:i/>
          <w:iCs/>
          <w:noProof/>
          <w:sz w:val="56"/>
          <w:szCs w:val="56"/>
          <w:rtl/>
          <w:lang w:bidi="ar-EG"/>
        </w:rPr>
        <w:t xml:space="preserve">تنظيم منح التراخيص </w:t>
      </w:r>
      <w:r>
        <w:rPr>
          <w:rFonts w:ascii="Times New Roman Bold" w:hAnsi="Times New Roman Bold"/>
          <w:b/>
          <w:bCs/>
          <w:i/>
          <w:iCs/>
          <w:noProof/>
          <w:sz w:val="56"/>
          <w:szCs w:val="56"/>
          <w:lang w:bidi="ar-EG"/>
        </w:rPr>
        <w:br/>
      </w:r>
      <w:r w:rsidRPr="00010B7F">
        <w:rPr>
          <w:rFonts w:ascii="Times New Roman Bold" w:hAnsi="Times New Roman Bold" w:hint="cs"/>
          <w:b/>
          <w:bCs/>
          <w:i/>
          <w:iCs/>
          <w:noProof/>
          <w:sz w:val="56"/>
          <w:szCs w:val="56"/>
          <w:rtl/>
          <w:lang w:bidi="ar-EG"/>
        </w:rPr>
        <w:t>والتصاريح للخدمات المتقاربة</w:t>
      </w:r>
    </w:p>
    <w:p w:rsidR="0099607C" w:rsidRDefault="0099607C" w:rsidP="0099607C">
      <w:pPr>
        <w:rPr>
          <w:lang w:val="en-US" w:bidi="ar-EG"/>
        </w:rPr>
      </w:pPr>
    </w:p>
    <w:p w:rsidR="0099607C" w:rsidRDefault="0099607C" w:rsidP="0099607C">
      <w:pPr>
        <w:rPr>
          <w:lang w:val="en-US" w:bidi="ar-EG"/>
        </w:rPr>
      </w:pPr>
    </w:p>
    <w:p w:rsidR="0099607C" w:rsidRDefault="0099607C" w:rsidP="0099607C">
      <w:pPr>
        <w:rPr>
          <w:lang w:val="en-US" w:bidi="ar-EG"/>
        </w:rPr>
      </w:pPr>
    </w:p>
    <w:p w:rsidR="00B72257" w:rsidRPr="00010B7F" w:rsidRDefault="00B72257" w:rsidP="00010B7F">
      <w:pPr>
        <w:rPr>
          <w:rtl/>
        </w:rPr>
      </w:pPr>
      <w:r>
        <w:rPr>
          <w:rtl/>
          <w:lang w:val="en-US" w:bidi="ar-EG"/>
        </w:rPr>
        <w:br w:type="page"/>
      </w:r>
    </w:p>
    <w:p w:rsidR="0099607C" w:rsidRDefault="0099607C"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B72257" w:rsidRDefault="00B72257"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rtl/>
          <w:lang w:val="en-US" w:bidi="ar-EG"/>
        </w:rPr>
      </w:pPr>
    </w:p>
    <w:p w:rsidR="00C1440E" w:rsidRDefault="00C1440E" w:rsidP="0099607C">
      <w:pPr>
        <w:rPr>
          <w:lang w:val="en-US" w:bidi="ar-EG"/>
        </w:rPr>
      </w:pPr>
    </w:p>
    <w:p w:rsidR="00DD5668" w:rsidRDefault="00DD5668" w:rsidP="0099607C">
      <w:pPr>
        <w:rPr>
          <w:lang w:val="en-US" w:bidi="ar-EG"/>
        </w:rPr>
      </w:pPr>
    </w:p>
    <w:p w:rsidR="00DD5668" w:rsidRDefault="00DD5668" w:rsidP="0099607C">
      <w:pPr>
        <w:rPr>
          <w:lang w:val="en-US" w:bidi="ar-EG"/>
        </w:rPr>
      </w:pPr>
    </w:p>
    <w:p w:rsidR="00631FD5" w:rsidRDefault="00631FD5" w:rsidP="00DC7DA8">
      <w:pPr>
        <w:rPr>
          <w:rtl/>
          <w:lang w:val="en-US" w:bidi="ar-EG"/>
        </w:rPr>
      </w:pPr>
    </w:p>
    <w:tbl>
      <w:tblPr>
        <w:tblStyle w:val="TableGrid"/>
        <w:bidiVisual/>
        <w:tblW w:w="0" w:type="auto"/>
        <w:tblLook w:val="04A0"/>
      </w:tblPr>
      <w:tblGrid>
        <w:gridCol w:w="9855"/>
      </w:tblGrid>
      <w:tr w:rsidR="00C1440E" w:rsidTr="00C1440E">
        <w:tc>
          <w:tcPr>
            <w:tcW w:w="9855" w:type="dxa"/>
          </w:tcPr>
          <w:p w:rsidR="00C1440E" w:rsidRPr="00010B7F" w:rsidRDefault="00C1440E" w:rsidP="00010B7F">
            <w:pPr>
              <w:rPr>
                <w:b/>
                <w:bCs/>
                <w:rtl/>
              </w:rPr>
            </w:pPr>
            <w:r w:rsidRPr="00010B7F">
              <w:rPr>
                <w:rFonts w:hint="cs"/>
                <w:b/>
                <w:bCs/>
                <w:rtl/>
              </w:rPr>
              <w:t>إخلاء مسؤولية</w:t>
            </w:r>
          </w:p>
          <w:p w:rsidR="00C1440E" w:rsidRDefault="00C1440E" w:rsidP="00010B7F">
            <w:pPr>
              <w:rPr>
                <w:rtl/>
                <w:lang w:val="en-US" w:bidi="ar-EG"/>
              </w:rPr>
            </w:pPr>
            <w:r w:rsidRPr="00010B7F">
              <w:rPr>
                <w:rFonts w:hint="cs"/>
                <w:b/>
                <w:bCs/>
                <w:rtl/>
              </w:rPr>
              <w:t>شارك في إعداد هذا التقرير عدة خبراء من إدارات وشركات مختلفة. ولا ينطوي ذكر شركات أو منتجات معينة على أي تأييد أو توصية من جانب الاتحاد الدولي الاتصالات.</w:t>
            </w:r>
          </w:p>
        </w:tc>
      </w:tr>
    </w:tbl>
    <w:p w:rsidR="0099607C" w:rsidRDefault="0099607C" w:rsidP="00010B7F">
      <w:pPr>
        <w:spacing w:before="0" w:line="120" w:lineRule="auto"/>
        <w:rPr>
          <w:lang w:val="en-US" w:bidi="ar-EG"/>
        </w:rPr>
      </w:pPr>
    </w:p>
    <w:p w:rsidR="0099607C" w:rsidRDefault="0099607C" w:rsidP="0099607C">
      <w:pPr>
        <w:rPr>
          <w:rtl/>
          <w:lang w:val="en-US" w:bidi="ar-EG"/>
        </w:rPr>
        <w:sectPr w:rsidR="0099607C" w:rsidSect="00C55454">
          <w:headerReference w:type="even" r:id="rId8"/>
          <w:headerReference w:type="default" r:id="rId9"/>
          <w:footerReference w:type="default" r:id="rId10"/>
          <w:headerReference w:type="first" r:id="rId11"/>
          <w:footerReference w:type="first" r:id="rId12"/>
          <w:type w:val="oddPage"/>
          <w:pgSz w:w="11907" w:h="16834" w:code="9"/>
          <w:pgMar w:top="1418" w:right="1134" w:bottom="1418" w:left="1134" w:header="720" w:footer="720" w:gutter="0"/>
          <w:paperSrc w:first="7" w:other="7"/>
          <w:pgNumType w:fmt="lowerRoman" w:start="3"/>
          <w:cols w:space="720"/>
          <w:bidi/>
          <w:rtlGutter/>
        </w:sectPr>
      </w:pPr>
    </w:p>
    <w:p w:rsidR="00764E45" w:rsidRPr="005B397F" w:rsidRDefault="00764E45" w:rsidP="00010B7F">
      <w:pPr>
        <w:pStyle w:val="Title"/>
        <w:rPr>
          <w:rtl/>
          <w:lang w:val="en-US" w:bidi="ar-EG"/>
        </w:rPr>
      </w:pPr>
      <w:bookmarkStart w:id="2" w:name="_Toc253573514"/>
      <w:bookmarkEnd w:id="1"/>
      <w:r w:rsidRPr="00EA218A">
        <w:rPr>
          <w:rtl/>
          <w:lang w:val="en-US" w:bidi="ar-EG"/>
        </w:rPr>
        <w:lastRenderedPageBreak/>
        <w:t>ملخص</w:t>
      </w:r>
      <w:bookmarkEnd w:id="2"/>
    </w:p>
    <w:p w:rsidR="00DE1950" w:rsidRDefault="00DE1950" w:rsidP="00764E45">
      <w:pPr>
        <w:rPr>
          <w:lang w:val="en-US" w:bidi="ar-EG"/>
        </w:rPr>
      </w:pPr>
    </w:p>
    <w:p w:rsidR="00764E45" w:rsidRDefault="00010B7F" w:rsidP="00010B7F">
      <w:pPr>
        <w:rPr>
          <w:rtl/>
          <w:lang w:val="en-US" w:bidi="ar-EG"/>
        </w:rPr>
      </w:pPr>
      <w:r w:rsidRPr="00010B7F">
        <w:rPr>
          <w:rFonts w:hint="cs"/>
          <w:rtl/>
          <w:lang w:val="en-US"/>
        </w:rPr>
        <w:t xml:space="preserve">تقدم هذه المساهمة باعتبارها مشروع التقرير النهائي بشأن المسألة </w:t>
      </w:r>
      <w:r w:rsidRPr="00010B7F">
        <w:rPr>
          <w:lang w:val="fr-CH" w:bidi="ar-EG"/>
        </w:rPr>
        <w:t>10-2/1</w:t>
      </w:r>
      <w:r w:rsidRPr="00010B7F">
        <w:rPr>
          <w:rFonts w:hint="cs"/>
          <w:rtl/>
          <w:lang w:val="en-US"/>
        </w:rPr>
        <w:t xml:space="preserve">. وهي تستند أساساً إلى مساهمات في شكل مدخلات مقدمة إلى فريق المقرر المعني بالمسألة </w:t>
      </w:r>
      <w:r w:rsidRPr="00010B7F">
        <w:rPr>
          <w:lang w:val="fr-CH" w:bidi="ar-EG"/>
        </w:rPr>
        <w:t>10-2/1</w:t>
      </w:r>
      <w:r w:rsidRPr="00010B7F">
        <w:rPr>
          <w:rFonts w:hint="cs"/>
          <w:rtl/>
          <w:lang w:val="en-US"/>
        </w:rPr>
        <w:t xml:space="preserve">، بالإضافة إلى الوثيقة </w:t>
      </w:r>
      <w:r w:rsidRPr="00010B7F">
        <w:rPr>
          <w:lang w:val="fr-CH" w:bidi="ar-EG"/>
        </w:rPr>
        <w:t>1/123</w:t>
      </w:r>
      <w:r w:rsidRPr="00010B7F">
        <w:rPr>
          <w:rFonts w:hint="cs"/>
          <w:rtl/>
          <w:lang w:val="en-US"/>
        </w:rPr>
        <w:t xml:space="preserve"> للجنة الدراسات</w:t>
      </w:r>
      <w:r w:rsidRPr="00010B7F">
        <w:rPr>
          <w:rFonts w:hint="eastAsia"/>
          <w:rtl/>
          <w:lang w:val="en-US"/>
        </w:rPr>
        <w:t> </w:t>
      </w:r>
      <w:r w:rsidRPr="00010B7F">
        <w:rPr>
          <w:lang w:val="fr-CH" w:bidi="ar-EG"/>
        </w:rPr>
        <w:t>1</w:t>
      </w:r>
      <w:r w:rsidRPr="00010B7F">
        <w:rPr>
          <w:rFonts w:hint="cs"/>
          <w:rtl/>
          <w:lang w:val="en-US"/>
        </w:rPr>
        <w:t xml:space="preserve"> لقطاع تنمية الاتصالات، والمعلومات المتعلقة بمنح التراخيص المستقاة من قاعدة بيانات تنظيم الاتصالات العالمية للاتحاد الدولي للاتصالات. وقد جرى وضع الخطوط والمبادئ التوجيهية والاتفاق عليها خلال اجتماع فريق المقرر في مارس/أبريل </w:t>
      </w:r>
      <w:r w:rsidRPr="00010B7F">
        <w:rPr>
          <w:lang w:val="fr-CH" w:bidi="ar-EG"/>
        </w:rPr>
        <w:t>2009</w:t>
      </w:r>
      <w:r w:rsidRPr="00010B7F">
        <w:rPr>
          <w:rFonts w:hint="cs"/>
          <w:rtl/>
          <w:lang w:val="en-US"/>
        </w:rPr>
        <w:t>.</w:t>
      </w:r>
    </w:p>
    <w:p w:rsidR="00F448B2" w:rsidRDefault="00F448B2" w:rsidP="00DC7DA8">
      <w:pPr>
        <w:rPr>
          <w:rStyle w:val="Heading1Char"/>
        </w:rPr>
      </w:pPr>
      <w:bookmarkStart w:id="3" w:name="_Toc253573515"/>
    </w:p>
    <w:p w:rsidR="00F448B2" w:rsidRDefault="00F448B2" w:rsidP="00DC7DA8">
      <w:pPr>
        <w:rPr>
          <w:rStyle w:val="Heading1Char"/>
          <w:rtl/>
        </w:rPr>
        <w:sectPr w:rsidR="00F448B2" w:rsidSect="00C55454">
          <w:headerReference w:type="even" r:id="rId13"/>
          <w:headerReference w:type="default" r:id="rId14"/>
          <w:footerReference w:type="default" r:id="rId15"/>
          <w:type w:val="oddPage"/>
          <w:pgSz w:w="11907" w:h="16834" w:code="9"/>
          <w:pgMar w:top="1418" w:right="1134" w:bottom="1418" w:left="1134" w:header="720" w:footer="720" w:gutter="0"/>
          <w:paperSrc w:first="7" w:other="7"/>
          <w:pgNumType w:fmt="lowerRoman" w:start="3"/>
          <w:cols w:space="720"/>
          <w:bidi/>
          <w:rtlGutter/>
        </w:sectPr>
      </w:pPr>
    </w:p>
    <w:p w:rsidR="00EF2C22" w:rsidRDefault="00EF2C22" w:rsidP="00DC7DA8">
      <w:pPr>
        <w:rPr>
          <w:rStyle w:val="Heading1Char"/>
          <w:rtl/>
        </w:rPr>
      </w:pPr>
    </w:p>
    <w:p w:rsidR="00EF2C22" w:rsidRPr="007E07F2" w:rsidRDefault="00432150" w:rsidP="00432150">
      <w:pPr>
        <w:pStyle w:val="Title"/>
        <w:rPr>
          <w:rtl/>
          <w:lang w:bidi="ar-EG"/>
        </w:rPr>
      </w:pPr>
      <w:bookmarkStart w:id="4" w:name="_Toc259190577"/>
      <w:r>
        <w:rPr>
          <w:rFonts w:hint="cs"/>
          <w:rtl/>
          <w:lang w:bidi="ar-EG"/>
        </w:rPr>
        <w:t>جدول المحتويات</w:t>
      </w:r>
      <w:bookmarkEnd w:id="4"/>
    </w:p>
    <w:p w:rsidR="00EF2C22" w:rsidRDefault="00EF2C22" w:rsidP="00010B7F">
      <w:pPr>
        <w:rPr>
          <w:rtl/>
        </w:rPr>
      </w:pPr>
    </w:p>
    <w:p w:rsidR="00432150" w:rsidRPr="00911D81" w:rsidRDefault="00432150" w:rsidP="00911D81">
      <w:pPr>
        <w:jc w:val="right"/>
        <w:rPr>
          <w:b/>
          <w:bCs/>
          <w:i/>
          <w:iCs/>
          <w:rtl/>
        </w:rPr>
      </w:pPr>
      <w:r w:rsidRPr="00911D81">
        <w:rPr>
          <w:rFonts w:hint="cs"/>
          <w:b/>
          <w:bCs/>
          <w:i/>
          <w:iCs/>
          <w:rtl/>
        </w:rPr>
        <w:t>الصفحة</w:t>
      </w:r>
    </w:p>
    <w:p w:rsidR="00525E1E" w:rsidRDefault="0010681B" w:rsidP="00EB718F">
      <w:pPr>
        <w:pStyle w:val="TOC1"/>
        <w:rPr>
          <w:rFonts w:asciiTheme="minorHAnsi" w:eastAsiaTheme="minorEastAsia" w:hAnsiTheme="minorHAnsi" w:cstheme="minorBidi"/>
          <w:noProof/>
          <w:sz w:val="22"/>
          <w:szCs w:val="22"/>
          <w:rtl/>
          <w:lang w:val="en-US" w:eastAsia="zh-CN"/>
        </w:rPr>
      </w:pPr>
      <w:r>
        <w:rPr>
          <w:rtl/>
        </w:rPr>
        <w:fldChar w:fldCharType="begin"/>
      </w:r>
      <w:r w:rsidR="00525E1E">
        <w:rPr>
          <w:rtl/>
        </w:rPr>
        <w:instrText xml:space="preserve"> </w:instrText>
      </w:r>
      <w:r w:rsidR="00525E1E">
        <w:instrText>TOC</w:instrText>
      </w:r>
      <w:r w:rsidR="00525E1E">
        <w:rPr>
          <w:rtl/>
        </w:rPr>
        <w:instrText xml:space="preserve"> \</w:instrText>
      </w:r>
      <w:r w:rsidR="00525E1E">
        <w:instrText>o "2-3" \h \z \t "Heading 1;1</w:instrText>
      </w:r>
      <w:r w:rsidR="00525E1E">
        <w:rPr>
          <w:rtl/>
        </w:rPr>
        <w:instrText xml:space="preserve">" </w:instrText>
      </w:r>
      <w:r>
        <w:rPr>
          <w:rtl/>
        </w:rPr>
        <w:fldChar w:fldCharType="separate"/>
      </w:r>
      <w:hyperlink w:anchor="_Toc259454298" w:history="1">
        <w:r w:rsidR="00525E1E" w:rsidRPr="00BC11B2">
          <w:rPr>
            <w:rStyle w:val="Hyperlink"/>
            <w:noProof/>
            <w:lang w:val="fr-CH" w:bidi="ar-EG"/>
          </w:rPr>
          <w:t>1</w:t>
        </w:r>
        <w:r w:rsidR="00525E1E">
          <w:rPr>
            <w:rFonts w:asciiTheme="minorHAnsi" w:eastAsiaTheme="minorEastAsia" w:hAnsiTheme="minorHAnsi" w:cstheme="minorBidi"/>
            <w:noProof/>
            <w:sz w:val="22"/>
            <w:szCs w:val="22"/>
            <w:rtl/>
            <w:lang w:val="en-US" w:eastAsia="zh-CN"/>
          </w:rPr>
          <w:tab/>
        </w:r>
        <w:r w:rsidR="00525E1E" w:rsidRPr="00BC11B2">
          <w:rPr>
            <w:rStyle w:val="Hyperlink"/>
            <w:rFonts w:hint="cs"/>
            <w:noProof/>
            <w:rtl/>
            <w:lang w:bidi="ar-EG"/>
          </w:rPr>
          <w:t>مقدمة</w:t>
        </w:r>
        <w:r w:rsidR="00525E1E">
          <w:rPr>
            <w:noProof/>
            <w:webHidden/>
            <w:rtl/>
          </w:rPr>
          <w:tab/>
        </w:r>
        <w:r w:rsidR="00525E1E">
          <w:rPr>
            <w:noProof/>
            <w:webHidden/>
          </w:rPr>
          <w:tab/>
        </w:r>
        <w:r w:rsidR="00EB718F">
          <w:rPr>
            <w:noProof/>
            <w:webHidden/>
          </w:rPr>
          <w:t>1</w:t>
        </w:r>
      </w:hyperlink>
    </w:p>
    <w:p w:rsidR="00525E1E" w:rsidRDefault="0010681B" w:rsidP="00EB718F">
      <w:pPr>
        <w:pStyle w:val="TOC1"/>
        <w:rPr>
          <w:rFonts w:asciiTheme="minorHAnsi" w:eastAsiaTheme="minorEastAsia" w:hAnsiTheme="minorHAnsi" w:cstheme="minorBidi"/>
          <w:noProof/>
          <w:sz w:val="22"/>
          <w:szCs w:val="22"/>
          <w:rtl/>
          <w:lang w:val="en-US" w:eastAsia="zh-CN"/>
        </w:rPr>
      </w:pPr>
      <w:hyperlink w:anchor="_Toc259454299" w:history="1">
        <w:r w:rsidR="00525E1E" w:rsidRPr="00BC11B2">
          <w:rPr>
            <w:rStyle w:val="Hyperlink"/>
            <w:noProof/>
            <w:lang w:val="fr-CH" w:bidi="ar-EG"/>
          </w:rPr>
          <w:t>2</w:t>
        </w:r>
        <w:r w:rsidR="00525E1E">
          <w:rPr>
            <w:rFonts w:asciiTheme="minorHAnsi" w:eastAsiaTheme="minorEastAsia" w:hAnsiTheme="minorHAnsi" w:cstheme="minorBidi"/>
            <w:noProof/>
            <w:sz w:val="22"/>
            <w:szCs w:val="22"/>
            <w:rtl/>
            <w:lang w:val="en-US" w:eastAsia="zh-CN"/>
          </w:rPr>
          <w:tab/>
        </w:r>
        <w:r w:rsidR="00525E1E" w:rsidRPr="00BC11B2">
          <w:rPr>
            <w:rStyle w:val="Hyperlink"/>
            <w:rFonts w:hint="cs"/>
            <w:noProof/>
            <w:rtl/>
            <w:lang w:bidi="ar-EG"/>
          </w:rPr>
          <w:t>النهج</w:t>
        </w:r>
        <w:r w:rsidR="00525E1E" w:rsidRPr="00BC11B2">
          <w:rPr>
            <w:rStyle w:val="Hyperlink"/>
            <w:noProof/>
            <w:rtl/>
            <w:lang w:bidi="ar-EG"/>
          </w:rPr>
          <w:t xml:space="preserve"> </w:t>
        </w:r>
        <w:r w:rsidR="00525E1E" w:rsidRPr="00BC11B2">
          <w:rPr>
            <w:rStyle w:val="Hyperlink"/>
            <w:rFonts w:hint="cs"/>
            <w:noProof/>
            <w:rtl/>
            <w:lang w:bidi="ar-EG"/>
          </w:rPr>
          <w:t>المتبعة</w:t>
        </w:r>
        <w:r w:rsidR="00525E1E" w:rsidRPr="00BC11B2">
          <w:rPr>
            <w:rStyle w:val="Hyperlink"/>
            <w:noProof/>
            <w:rtl/>
            <w:lang w:bidi="ar-EG"/>
          </w:rPr>
          <w:t xml:space="preserve"> </w:t>
        </w:r>
        <w:r w:rsidR="00525E1E" w:rsidRPr="00BC11B2">
          <w:rPr>
            <w:rStyle w:val="Hyperlink"/>
            <w:rFonts w:hint="cs"/>
            <w:noProof/>
            <w:rtl/>
            <w:lang w:bidi="ar-EG"/>
          </w:rPr>
          <w:t>في</w:t>
        </w:r>
        <w:r w:rsidR="00525E1E" w:rsidRPr="00BC11B2">
          <w:rPr>
            <w:rStyle w:val="Hyperlink"/>
            <w:noProof/>
            <w:rtl/>
            <w:lang w:bidi="ar-EG"/>
          </w:rPr>
          <w:t xml:space="preserve"> </w:t>
        </w:r>
        <w:r w:rsidR="00525E1E" w:rsidRPr="00BC11B2">
          <w:rPr>
            <w:rStyle w:val="Hyperlink"/>
            <w:rFonts w:hint="cs"/>
            <w:noProof/>
            <w:rtl/>
            <w:lang w:bidi="ar-EG"/>
          </w:rPr>
          <w:t>منح</w:t>
        </w:r>
        <w:r w:rsidR="00525E1E" w:rsidRPr="00BC11B2">
          <w:rPr>
            <w:rStyle w:val="Hyperlink"/>
            <w:noProof/>
            <w:rtl/>
            <w:lang w:bidi="ar-EG"/>
          </w:rPr>
          <w:t xml:space="preserve"> </w:t>
        </w:r>
        <w:r w:rsidR="00525E1E" w:rsidRPr="00BC11B2">
          <w:rPr>
            <w:rStyle w:val="Hyperlink"/>
            <w:rFonts w:hint="cs"/>
            <w:noProof/>
            <w:rtl/>
            <w:lang w:bidi="ar-EG"/>
          </w:rPr>
          <w:t>التخويلات</w:t>
        </w:r>
        <w:r w:rsidR="00525E1E">
          <w:rPr>
            <w:noProof/>
            <w:webHidden/>
            <w:rtl/>
          </w:rPr>
          <w:tab/>
        </w:r>
        <w:r w:rsidR="00525E1E">
          <w:rPr>
            <w:noProof/>
            <w:webHidden/>
          </w:rPr>
          <w:tab/>
        </w:r>
        <w:r w:rsidR="00EB718F">
          <w:rPr>
            <w:noProof/>
            <w:webHidden/>
          </w:rPr>
          <w:t>2</w:t>
        </w:r>
      </w:hyperlink>
    </w:p>
    <w:p w:rsidR="00525E1E" w:rsidRDefault="0010681B" w:rsidP="00EB718F">
      <w:pPr>
        <w:pStyle w:val="TOC1"/>
        <w:rPr>
          <w:rFonts w:asciiTheme="minorHAnsi" w:eastAsiaTheme="minorEastAsia" w:hAnsiTheme="minorHAnsi" w:cstheme="minorBidi"/>
          <w:noProof/>
          <w:sz w:val="22"/>
          <w:szCs w:val="22"/>
          <w:rtl/>
          <w:lang w:val="en-US" w:eastAsia="zh-CN"/>
        </w:rPr>
      </w:pPr>
      <w:hyperlink w:anchor="_Toc259454300" w:history="1">
        <w:r w:rsidR="00525E1E" w:rsidRPr="00BC11B2">
          <w:rPr>
            <w:rStyle w:val="Hyperlink"/>
            <w:noProof/>
            <w:lang w:val="fr-CH" w:bidi="ar-EG"/>
          </w:rPr>
          <w:t>3</w:t>
        </w:r>
        <w:r w:rsidR="00525E1E">
          <w:rPr>
            <w:rFonts w:asciiTheme="minorHAnsi" w:eastAsiaTheme="minorEastAsia" w:hAnsiTheme="minorHAnsi" w:cstheme="minorBidi"/>
            <w:noProof/>
            <w:sz w:val="22"/>
            <w:szCs w:val="22"/>
            <w:rtl/>
            <w:lang w:val="en-US" w:eastAsia="zh-CN"/>
          </w:rPr>
          <w:tab/>
        </w:r>
        <w:r w:rsidR="00525E1E" w:rsidRPr="00BC11B2">
          <w:rPr>
            <w:rStyle w:val="Hyperlink"/>
            <w:rFonts w:hint="cs"/>
            <w:noProof/>
            <w:rtl/>
            <w:lang w:bidi="ar-EG"/>
          </w:rPr>
          <w:t>نظرة</w:t>
        </w:r>
        <w:r w:rsidR="00525E1E" w:rsidRPr="00BC11B2">
          <w:rPr>
            <w:rStyle w:val="Hyperlink"/>
            <w:noProof/>
            <w:rtl/>
            <w:lang w:bidi="ar-EG"/>
          </w:rPr>
          <w:t xml:space="preserve"> </w:t>
        </w:r>
        <w:r w:rsidR="00525E1E" w:rsidRPr="00BC11B2">
          <w:rPr>
            <w:rStyle w:val="Hyperlink"/>
            <w:rFonts w:hint="cs"/>
            <w:noProof/>
            <w:rtl/>
            <w:lang w:bidi="ar-EG"/>
          </w:rPr>
          <w:t>شاملة</w:t>
        </w:r>
        <w:r w:rsidR="00525E1E" w:rsidRPr="00BC11B2">
          <w:rPr>
            <w:rStyle w:val="Hyperlink"/>
            <w:noProof/>
            <w:rtl/>
            <w:lang w:bidi="ar-EG"/>
          </w:rPr>
          <w:t xml:space="preserve"> </w:t>
        </w:r>
        <w:r w:rsidR="00525E1E" w:rsidRPr="00BC11B2">
          <w:rPr>
            <w:rStyle w:val="Hyperlink"/>
            <w:rFonts w:hint="cs"/>
            <w:noProof/>
            <w:rtl/>
            <w:lang w:bidi="ar-EG"/>
          </w:rPr>
          <w:t>على</w:t>
        </w:r>
        <w:r w:rsidR="00525E1E" w:rsidRPr="00BC11B2">
          <w:rPr>
            <w:rStyle w:val="Hyperlink"/>
            <w:noProof/>
            <w:rtl/>
            <w:lang w:bidi="ar-EG"/>
          </w:rPr>
          <w:t xml:space="preserve"> </w:t>
        </w:r>
        <w:r w:rsidR="00525E1E" w:rsidRPr="00BC11B2">
          <w:rPr>
            <w:rStyle w:val="Hyperlink"/>
            <w:rFonts w:hint="cs"/>
            <w:noProof/>
            <w:rtl/>
            <w:lang w:bidi="ar-EG"/>
          </w:rPr>
          <w:t>الأطر</w:t>
        </w:r>
        <w:r w:rsidR="00525E1E" w:rsidRPr="00BC11B2">
          <w:rPr>
            <w:rStyle w:val="Hyperlink"/>
            <w:noProof/>
            <w:rtl/>
            <w:lang w:bidi="ar-EG"/>
          </w:rPr>
          <w:t xml:space="preserve"> </w:t>
        </w:r>
        <w:r w:rsidR="00525E1E" w:rsidRPr="00BC11B2">
          <w:rPr>
            <w:rStyle w:val="Hyperlink"/>
            <w:rFonts w:hint="cs"/>
            <w:noProof/>
            <w:rtl/>
            <w:lang w:bidi="ar-EG"/>
          </w:rPr>
          <w:t>التنظيمية</w:t>
        </w:r>
        <w:r w:rsidR="00525E1E">
          <w:rPr>
            <w:noProof/>
            <w:webHidden/>
            <w:rtl/>
          </w:rPr>
          <w:tab/>
        </w:r>
        <w:r w:rsidR="00525E1E">
          <w:rPr>
            <w:noProof/>
            <w:webHidden/>
          </w:rPr>
          <w:tab/>
        </w:r>
        <w:r w:rsidR="00EB718F">
          <w:rPr>
            <w:noProof/>
            <w:webHidden/>
          </w:rPr>
          <w:t>3</w:t>
        </w:r>
      </w:hyperlink>
    </w:p>
    <w:p w:rsidR="00525E1E" w:rsidRDefault="0010681B" w:rsidP="00EB718F">
      <w:pPr>
        <w:pStyle w:val="TOC2"/>
        <w:rPr>
          <w:rFonts w:asciiTheme="minorHAnsi" w:eastAsiaTheme="minorEastAsia" w:hAnsiTheme="minorHAnsi" w:cstheme="minorBidi"/>
          <w:sz w:val="22"/>
          <w:szCs w:val="22"/>
          <w:rtl/>
          <w:lang w:val="en-US" w:eastAsia="zh-CN" w:bidi="ar-SA"/>
        </w:rPr>
      </w:pPr>
      <w:hyperlink w:anchor="_Toc259454301" w:history="1">
        <w:r w:rsidR="00525E1E" w:rsidRPr="00BC11B2">
          <w:rPr>
            <w:rStyle w:val="Hyperlink"/>
            <w:lang w:val="fr-CH"/>
          </w:rPr>
          <w:t>1.3</w:t>
        </w:r>
        <w:r w:rsidR="00525E1E">
          <w:rPr>
            <w:rFonts w:asciiTheme="minorHAnsi" w:eastAsiaTheme="minorEastAsia" w:hAnsiTheme="minorHAnsi" w:cstheme="minorBidi"/>
            <w:sz w:val="22"/>
            <w:szCs w:val="22"/>
            <w:rtl/>
            <w:lang w:val="en-US" w:eastAsia="zh-CN" w:bidi="ar-SA"/>
          </w:rPr>
          <w:tab/>
        </w:r>
        <w:r w:rsidR="00525E1E" w:rsidRPr="00BC11B2">
          <w:rPr>
            <w:rStyle w:val="Hyperlink"/>
            <w:rFonts w:hint="cs"/>
            <w:rtl/>
          </w:rPr>
          <w:t>تبسيط</w:t>
        </w:r>
        <w:r w:rsidR="00525E1E" w:rsidRPr="00BC11B2">
          <w:rPr>
            <w:rStyle w:val="Hyperlink"/>
            <w:rtl/>
          </w:rPr>
          <w:t xml:space="preserve"> </w:t>
        </w:r>
        <w:r w:rsidR="00525E1E" w:rsidRPr="00BC11B2">
          <w:rPr>
            <w:rStyle w:val="Hyperlink"/>
            <w:rFonts w:hint="cs"/>
            <w:rtl/>
          </w:rPr>
          <w:t>منح</w:t>
        </w:r>
        <w:r w:rsidR="00525E1E" w:rsidRPr="00BC11B2">
          <w:rPr>
            <w:rStyle w:val="Hyperlink"/>
            <w:rtl/>
          </w:rPr>
          <w:t xml:space="preserve"> </w:t>
        </w:r>
        <w:r w:rsidR="00525E1E" w:rsidRPr="00BC11B2">
          <w:rPr>
            <w:rStyle w:val="Hyperlink"/>
            <w:rFonts w:hint="cs"/>
            <w:rtl/>
          </w:rPr>
          <w:t>التراخيص</w:t>
        </w:r>
        <w:r w:rsidR="00525E1E">
          <w:rPr>
            <w:webHidden/>
            <w:rtl/>
          </w:rPr>
          <w:tab/>
        </w:r>
        <w:r w:rsidR="00525E1E">
          <w:rPr>
            <w:webHidden/>
          </w:rPr>
          <w:tab/>
        </w:r>
        <w:r w:rsidR="00EB718F">
          <w:rPr>
            <w:webHidden/>
          </w:rPr>
          <w:t>3</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02" w:history="1">
        <w:r w:rsidR="00525E1E" w:rsidRPr="00BC11B2">
          <w:rPr>
            <w:rStyle w:val="Hyperlink"/>
            <w:lang w:val="fr-CH"/>
          </w:rPr>
          <w:t>1.1.3</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rPr>
          <w:t>توحيد</w:t>
        </w:r>
        <w:r w:rsidR="00525E1E" w:rsidRPr="00BC11B2">
          <w:rPr>
            <w:rStyle w:val="Hyperlink"/>
            <w:rtl/>
          </w:rPr>
          <w:t xml:space="preserve"> </w:t>
        </w:r>
        <w:r w:rsidR="00525E1E" w:rsidRPr="00BC11B2">
          <w:rPr>
            <w:rStyle w:val="Hyperlink"/>
            <w:rFonts w:hint="cs"/>
            <w:rtl/>
          </w:rPr>
          <w:t>التراخيص</w:t>
        </w:r>
        <w:r w:rsidR="00525E1E">
          <w:rPr>
            <w:webHidden/>
            <w:rtl/>
          </w:rPr>
          <w:tab/>
        </w:r>
        <w:r w:rsidR="006B15B5">
          <w:rPr>
            <w:webHidden/>
          </w:rPr>
          <w:tab/>
        </w:r>
        <w:r w:rsidR="00EB718F">
          <w:rPr>
            <w:webHidden/>
          </w:rPr>
          <w:t>3</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03" w:history="1">
        <w:r w:rsidR="00525E1E" w:rsidRPr="00BC11B2">
          <w:rPr>
            <w:rStyle w:val="Hyperlink"/>
            <w:lang w:val="fr-CH"/>
          </w:rPr>
          <w:t>2.1.3</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الترخيص</w:t>
        </w:r>
        <w:r w:rsidR="00525E1E" w:rsidRPr="00BC11B2">
          <w:rPr>
            <w:rStyle w:val="Hyperlink"/>
            <w:rtl/>
            <w:lang w:val="fr-CH"/>
          </w:rPr>
          <w:t xml:space="preserve"> </w:t>
        </w:r>
        <w:r w:rsidR="00525E1E" w:rsidRPr="00BC11B2">
          <w:rPr>
            <w:rStyle w:val="Hyperlink"/>
            <w:rFonts w:hint="cs"/>
            <w:rtl/>
            <w:lang w:val="fr-CH"/>
          </w:rPr>
          <w:t>الموحد</w:t>
        </w:r>
        <w:r w:rsidR="00525E1E">
          <w:rPr>
            <w:webHidden/>
            <w:rtl/>
          </w:rPr>
          <w:tab/>
        </w:r>
        <w:r w:rsidR="006B15B5">
          <w:rPr>
            <w:webHidden/>
          </w:rPr>
          <w:tab/>
        </w:r>
        <w:r w:rsidR="00EB718F">
          <w:rPr>
            <w:webHidden/>
          </w:rPr>
          <w:t>5</w:t>
        </w:r>
      </w:hyperlink>
    </w:p>
    <w:p w:rsidR="00525E1E" w:rsidRDefault="0010681B" w:rsidP="00EB718F">
      <w:pPr>
        <w:pStyle w:val="TOC2"/>
        <w:rPr>
          <w:rFonts w:asciiTheme="minorHAnsi" w:eastAsiaTheme="minorEastAsia" w:hAnsiTheme="minorHAnsi" w:cstheme="minorBidi"/>
          <w:sz w:val="22"/>
          <w:szCs w:val="22"/>
          <w:rtl/>
          <w:lang w:val="en-US" w:eastAsia="zh-CN" w:bidi="ar-SA"/>
        </w:rPr>
      </w:pPr>
      <w:hyperlink w:anchor="_Toc259454304" w:history="1">
        <w:r w:rsidR="00525E1E" w:rsidRPr="00BC11B2">
          <w:rPr>
            <w:rStyle w:val="Hyperlink"/>
            <w:lang w:val="fr-CH"/>
          </w:rPr>
          <w:t>2.3</w:t>
        </w:r>
        <w:r w:rsidR="00525E1E">
          <w:rPr>
            <w:rFonts w:asciiTheme="minorHAnsi" w:eastAsiaTheme="minorEastAsia" w:hAnsiTheme="minorHAnsi" w:cstheme="minorBidi"/>
            <w:sz w:val="22"/>
            <w:szCs w:val="22"/>
            <w:rtl/>
            <w:lang w:val="en-US" w:eastAsia="zh-CN" w:bidi="ar-SA"/>
          </w:rPr>
          <w:tab/>
        </w:r>
        <w:r w:rsidR="00525E1E" w:rsidRPr="00BC11B2">
          <w:rPr>
            <w:rStyle w:val="Hyperlink"/>
            <w:rFonts w:hint="cs"/>
            <w:rtl/>
            <w:lang w:val="fr-CH"/>
          </w:rPr>
          <w:t>تقليل</w:t>
        </w:r>
        <w:r w:rsidR="00525E1E" w:rsidRPr="00BC11B2">
          <w:rPr>
            <w:rStyle w:val="Hyperlink"/>
            <w:rtl/>
            <w:lang w:val="fr-CH"/>
          </w:rPr>
          <w:t xml:space="preserve"> </w:t>
        </w:r>
        <w:r w:rsidR="00525E1E" w:rsidRPr="00BC11B2">
          <w:rPr>
            <w:rStyle w:val="Hyperlink"/>
            <w:rFonts w:hint="cs"/>
            <w:rtl/>
            <w:lang w:val="fr-CH"/>
          </w:rPr>
          <w:t>وإلغاء</w:t>
        </w:r>
        <w:r w:rsidR="00525E1E" w:rsidRPr="00BC11B2">
          <w:rPr>
            <w:rStyle w:val="Hyperlink"/>
            <w:rtl/>
            <w:lang w:val="fr-CH"/>
          </w:rPr>
          <w:t xml:space="preserve"> </w:t>
        </w:r>
        <w:r w:rsidR="00525E1E" w:rsidRPr="00BC11B2">
          <w:rPr>
            <w:rStyle w:val="Hyperlink"/>
            <w:rFonts w:hint="cs"/>
            <w:rtl/>
            <w:lang w:val="fr-CH"/>
          </w:rPr>
          <w:t>المتطلبات</w:t>
        </w:r>
        <w:r w:rsidR="00525E1E" w:rsidRPr="00BC11B2">
          <w:rPr>
            <w:rStyle w:val="Hyperlink"/>
            <w:rtl/>
            <w:lang w:val="fr-CH"/>
          </w:rPr>
          <w:t xml:space="preserve"> </w:t>
        </w:r>
        <w:r w:rsidR="00525E1E" w:rsidRPr="00BC11B2">
          <w:rPr>
            <w:rStyle w:val="Hyperlink"/>
            <w:rFonts w:hint="cs"/>
            <w:rtl/>
            <w:lang w:val="fr-CH"/>
          </w:rPr>
          <w:t>الإدارية</w:t>
        </w:r>
        <w:r w:rsidR="00525E1E" w:rsidRPr="00BC11B2">
          <w:rPr>
            <w:rStyle w:val="Hyperlink"/>
            <w:rtl/>
            <w:lang w:val="fr-CH"/>
          </w:rPr>
          <w:t xml:space="preserve"> </w:t>
        </w:r>
        <w:r w:rsidR="00525E1E" w:rsidRPr="00BC11B2">
          <w:rPr>
            <w:rStyle w:val="Hyperlink"/>
            <w:rFonts w:hint="cs"/>
            <w:rtl/>
            <w:lang w:val="fr-CH"/>
          </w:rPr>
          <w:t>والرسمية</w:t>
        </w:r>
        <w:r w:rsidR="00525E1E" w:rsidRPr="00BC11B2">
          <w:rPr>
            <w:rStyle w:val="Hyperlink"/>
            <w:rtl/>
            <w:lang w:val="fr-CH"/>
          </w:rPr>
          <w:t xml:space="preserve"> </w:t>
        </w:r>
        <w:r w:rsidR="00525E1E" w:rsidRPr="00BC11B2">
          <w:rPr>
            <w:rStyle w:val="Hyperlink"/>
            <w:rFonts w:hint="cs"/>
            <w:rtl/>
            <w:lang w:val="fr-CH"/>
          </w:rPr>
          <w:t>للحصول</w:t>
        </w:r>
        <w:r w:rsidR="00525E1E" w:rsidRPr="00BC11B2">
          <w:rPr>
            <w:rStyle w:val="Hyperlink"/>
            <w:rtl/>
            <w:lang w:val="fr-CH"/>
          </w:rPr>
          <w:t xml:space="preserve"> </w:t>
        </w:r>
        <w:r w:rsidR="00525E1E" w:rsidRPr="00BC11B2">
          <w:rPr>
            <w:rStyle w:val="Hyperlink"/>
            <w:rFonts w:hint="cs"/>
            <w:rtl/>
            <w:lang w:val="fr-CH"/>
          </w:rPr>
          <w:t>على</w:t>
        </w:r>
        <w:r w:rsidR="00525E1E" w:rsidRPr="00BC11B2">
          <w:rPr>
            <w:rStyle w:val="Hyperlink"/>
            <w:rtl/>
            <w:lang w:val="fr-CH"/>
          </w:rPr>
          <w:t xml:space="preserve"> </w:t>
        </w:r>
        <w:r w:rsidR="00525E1E" w:rsidRPr="00BC11B2">
          <w:rPr>
            <w:rStyle w:val="Hyperlink"/>
            <w:rFonts w:hint="cs"/>
            <w:rtl/>
            <w:lang w:val="fr-CH"/>
          </w:rPr>
          <w:t>التراخيص</w:t>
        </w:r>
        <w:r w:rsidR="00525E1E">
          <w:rPr>
            <w:webHidden/>
            <w:rtl/>
          </w:rPr>
          <w:tab/>
        </w:r>
        <w:r w:rsidR="00525E1E">
          <w:rPr>
            <w:webHidden/>
          </w:rPr>
          <w:tab/>
        </w:r>
        <w:r w:rsidR="00EB718F">
          <w:rPr>
            <w:webHidden/>
          </w:rPr>
          <w:t>7</w:t>
        </w:r>
      </w:hyperlink>
    </w:p>
    <w:p w:rsidR="00525E1E" w:rsidRDefault="0010681B" w:rsidP="00EB718F">
      <w:pPr>
        <w:pStyle w:val="TOC1"/>
        <w:rPr>
          <w:rFonts w:asciiTheme="minorHAnsi" w:eastAsiaTheme="minorEastAsia" w:hAnsiTheme="minorHAnsi" w:cstheme="minorBidi"/>
          <w:noProof/>
          <w:sz w:val="22"/>
          <w:szCs w:val="22"/>
          <w:rtl/>
          <w:lang w:val="en-US" w:eastAsia="zh-CN"/>
        </w:rPr>
      </w:pPr>
      <w:hyperlink w:anchor="_Toc259454305" w:history="1">
        <w:r w:rsidR="00525E1E" w:rsidRPr="00BC11B2">
          <w:rPr>
            <w:rStyle w:val="Hyperlink"/>
            <w:noProof/>
            <w:lang w:val="fr-CH" w:bidi="ar-EG"/>
          </w:rPr>
          <w:t>4</w:t>
        </w:r>
        <w:r w:rsidR="00525E1E">
          <w:rPr>
            <w:rFonts w:asciiTheme="minorHAnsi" w:eastAsiaTheme="minorEastAsia" w:hAnsiTheme="minorHAnsi" w:cstheme="minorBidi"/>
            <w:noProof/>
            <w:sz w:val="22"/>
            <w:szCs w:val="22"/>
            <w:rtl/>
            <w:lang w:val="en-US" w:eastAsia="zh-CN"/>
          </w:rPr>
          <w:tab/>
        </w:r>
        <w:r w:rsidR="00525E1E" w:rsidRPr="00BC11B2">
          <w:rPr>
            <w:rStyle w:val="Hyperlink"/>
            <w:rFonts w:hint="cs"/>
            <w:noProof/>
            <w:rtl/>
            <w:lang w:val="fr-CH" w:bidi="ar-EG"/>
          </w:rPr>
          <w:t>تقييم</w:t>
        </w:r>
        <w:r w:rsidR="00525E1E" w:rsidRPr="00BC11B2">
          <w:rPr>
            <w:rStyle w:val="Hyperlink"/>
            <w:noProof/>
            <w:rtl/>
            <w:lang w:val="fr-CH" w:bidi="ar-EG"/>
          </w:rPr>
          <w:t xml:space="preserve"> </w:t>
        </w:r>
        <w:r w:rsidR="00525E1E" w:rsidRPr="00BC11B2">
          <w:rPr>
            <w:rStyle w:val="Hyperlink"/>
            <w:rFonts w:hint="cs"/>
            <w:noProof/>
            <w:rtl/>
            <w:lang w:val="fr-CH" w:bidi="ar-EG"/>
          </w:rPr>
          <w:t>خبرات</w:t>
        </w:r>
        <w:r w:rsidR="00525E1E" w:rsidRPr="00BC11B2">
          <w:rPr>
            <w:rStyle w:val="Hyperlink"/>
            <w:noProof/>
            <w:rtl/>
            <w:lang w:val="fr-CH" w:bidi="ar-EG"/>
          </w:rPr>
          <w:t xml:space="preserve"> </w:t>
        </w:r>
        <w:r w:rsidR="00525E1E" w:rsidRPr="00BC11B2">
          <w:rPr>
            <w:rStyle w:val="Hyperlink"/>
            <w:rFonts w:hint="cs"/>
            <w:noProof/>
            <w:rtl/>
            <w:lang w:val="fr-CH" w:bidi="ar-EG"/>
          </w:rPr>
          <w:t>هيئات</w:t>
        </w:r>
        <w:r w:rsidR="00525E1E" w:rsidRPr="00BC11B2">
          <w:rPr>
            <w:rStyle w:val="Hyperlink"/>
            <w:noProof/>
            <w:rtl/>
            <w:lang w:val="fr-CH" w:bidi="ar-EG"/>
          </w:rPr>
          <w:t xml:space="preserve"> </w:t>
        </w:r>
        <w:r w:rsidR="00525E1E" w:rsidRPr="00BC11B2">
          <w:rPr>
            <w:rStyle w:val="Hyperlink"/>
            <w:rFonts w:hint="cs"/>
            <w:noProof/>
            <w:rtl/>
            <w:lang w:val="fr-CH" w:bidi="ar-EG"/>
          </w:rPr>
          <w:t>تنظيم</w:t>
        </w:r>
        <w:r w:rsidR="00525E1E" w:rsidRPr="00BC11B2">
          <w:rPr>
            <w:rStyle w:val="Hyperlink"/>
            <w:noProof/>
            <w:rtl/>
            <w:lang w:val="fr-CH" w:bidi="ar-EG"/>
          </w:rPr>
          <w:t xml:space="preserve"> </w:t>
        </w:r>
        <w:r w:rsidR="00525E1E" w:rsidRPr="00BC11B2">
          <w:rPr>
            <w:rStyle w:val="Hyperlink"/>
            <w:rFonts w:hint="cs"/>
            <w:noProof/>
            <w:rtl/>
            <w:lang w:val="fr-CH" w:bidi="ar-EG"/>
          </w:rPr>
          <w:t>الاتصالات</w:t>
        </w:r>
        <w:r w:rsidR="00525E1E" w:rsidRPr="00BC11B2">
          <w:rPr>
            <w:rStyle w:val="Hyperlink"/>
            <w:noProof/>
            <w:rtl/>
            <w:lang w:val="fr-CH" w:bidi="ar-EG"/>
          </w:rPr>
          <w:t xml:space="preserve"> </w:t>
        </w:r>
        <w:r w:rsidR="00525E1E" w:rsidRPr="00BC11B2">
          <w:rPr>
            <w:rStyle w:val="Hyperlink"/>
            <w:rFonts w:hint="cs"/>
            <w:noProof/>
            <w:rtl/>
            <w:lang w:val="fr-CH" w:bidi="ar-EG"/>
          </w:rPr>
          <w:t>والمنافسة</w:t>
        </w:r>
        <w:r w:rsidR="00525E1E">
          <w:rPr>
            <w:noProof/>
            <w:webHidden/>
            <w:rtl/>
          </w:rPr>
          <w:tab/>
        </w:r>
        <w:r w:rsidR="00525E1E">
          <w:rPr>
            <w:noProof/>
            <w:webHidden/>
          </w:rPr>
          <w:tab/>
        </w:r>
        <w:r w:rsidR="00EB718F">
          <w:rPr>
            <w:noProof/>
            <w:webHidden/>
          </w:rPr>
          <w:t>8</w:t>
        </w:r>
      </w:hyperlink>
    </w:p>
    <w:p w:rsidR="00525E1E" w:rsidRDefault="0010681B">
      <w:pPr>
        <w:pStyle w:val="TOC2"/>
        <w:rPr>
          <w:rFonts w:asciiTheme="minorHAnsi" w:eastAsiaTheme="minorEastAsia" w:hAnsiTheme="minorHAnsi" w:cstheme="minorBidi"/>
          <w:sz w:val="22"/>
          <w:szCs w:val="22"/>
          <w:rtl/>
          <w:lang w:val="en-US" w:eastAsia="zh-CN" w:bidi="ar-SA"/>
        </w:rPr>
      </w:pPr>
      <w:hyperlink w:anchor="_Toc259454306" w:history="1">
        <w:r w:rsidR="00525E1E" w:rsidRPr="00BC11B2">
          <w:rPr>
            <w:rStyle w:val="Hyperlink"/>
            <w:lang w:val="fr-CH"/>
          </w:rPr>
          <w:t>1.4</w:t>
        </w:r>
        <w:r w:rsidR="00525E1E">
          <w:rPr>
            <w:rFonts w:asciiTheme="minorHAnsi" w:eastAsiaTheme="minorEastAsia" w:hAnsiTheme="minorHAnsi" w:cstheme="minorBidi"/>
            <w:sz w:val="22"/>
            <w:szCs w:val="22"/>
            <w:rtl/>
            <w:lang w:val="en-US" w:eastAsia="zh-CN" w:bidi="ar-SA"/>
          </w:rPr>
          <w:tab/>
        </w:r>
        <w:r w:rsidR="00525E1E" w:rsidRPr="00BC11B2">
          <w:rPr>
            <w:rStyle w:val="Hyperlink"/>
            <w:rFonts w:hint="cs"/>
            <w:rtl/>
            <w:lang w:val="fr-CH"/>
          </w:rPr>
          <w:t>الخدمات</w:t>
        </w:r>
        <w:r w:rsidR="00525E1E" w:rsidRPr="00BC11B2">
          <w:rPr>
            <w:rStyle w:val="Hyperlink"/>
            <w:rtl/>
            <w:lang w:val="fr-CH"/>
          </w:rPr>
          <w:t xml:space="preserve"> </w:t>
        </w:r>
        <w:r w:rsidR="00525E1E" w:rsidRPr="00BC11B2">
          <w:rPr>
            <w:rStyle w:val="Hyperlink"/>
            <w:rFonts w:hint="cs"/>
            <w:rtl/>
            <w:lang w:val="fr-CH"/>
          </w:rPr>
          <w:t>المكتسبة</w:t>
        </w:r>
        <w:r w:rsidR="00525E1E" w:rsidRPr="00BC11B2">
          <w:rPr>
            <w:rStyle w:val="Hyperlink"/>
            <w:rtl/>
            <w:lang w:val="fr-CH"/>
          </w:rPr>
          <w:t xml:space="preserve"> </w:t>
        </w:r>
        <w:r w:rsidR="00525E1E" w:rsidRPr="00BC11B2">
          <w:rPr>
            <w:rStyle w:val="Hyperlink"/>
            <w:rFonts w:hint="cs"/>
            <w:rtl/>
            <w:lang w:val="fr-CH"/>
          </w:rPr>
          <w:t>من</w:t>
        </w:r>
        <w:r w:rsidR="00525E1E" w:rsidRPr="00BC11B2">
          <w:rPr>
            <w:rStyle w:val="Hyperlink"/>
            <w:rtl/>
            <w:lang w:val="fr-CH"/>
          </w:rPr>
          <w:t xml:space="preserve"> </w:t>
        </w:r>
        <w:r w:rsidR="00525E1E" w:rsidRPr="00BC11B2">
          <w:rPr>
            <w:rStyle w:val="Hyperlink"/>
            <w:rFonts w:hint="cs"/>
            <w:rtl/>
            <w:lang w:val="fr-CH"/>
          </w:rPr>
          <w:t>منح</w:t>
        </w:r>
        <w:r w:rsidR="00525E1E" w:rsidRPr="00BC11B2">
          <w:rPr>
            <w:rStyle w:val="Hyperlink"/>
            <w:rtl/>
            <w:lang w:val="fr-CH"/>
          </w:rPr>
          <w:t xml:space="preserve"> </w:t>
        </w:r>
        <w:r w:rsidR="00525E1E" w:rsidRPr="00BC11B2">
          <w:rPr>
            <w:rStyle w:val="Hyperlink"/>
            <w:rFonts w:hint="cs"/>
            <w:rtl/>
            <w:lang w:val="fr-CH"/>
          </w:rPr>
          <w:t>التراخيص</w:t>
        </w:r>
        <w:r w:rsidR="00525E1E" w:rsidRPr="00BC11B2">
          <w:rPr>
            <w:rStyle w:val="Hyperlink"/>
            <w:rtl/>
            <w:lang w:val="fr-CH"/>
          </w:rPr>
          <w:t xml:space="preserve"> </w:t>
        </w:r>
        <w:r w:rsidR="00525E1E" w:rsidRPr="00BC11B2">
          <w:rPr>
            <w:rStyle w:val="Hyperlink"/>
            <w:rFonts w:hint="cs"/>
            <w:rtl/>
            <w:lang w:val="fr-CH"/>
          </w:rPr>
          <w:t>المتقاربة</w:t>
        </w:r>
        <w:r w:rsidR="00525E1E">
          <w:rPr>
            <w:webHidden/>
            <w:rtl/>
          </w:rPr>
          <w:tab/>
        </w:r>
        <w:r w:rsidR="00525E1E">
          <w:rPr>
            <w:webHidden/>
          </w:rPr>
          <w:tab/>
        </w:r>
        <w:r w:rsidR="00EB718F">
          <w:rPr>
            <w:webHidden/>
          </w:rPr>
          <w:t>8</w:t>
        </w:r>
      </w:hyperlink>
    </w:p>
    <w:p w:rsidR="00525E1E" w:rsidRDefault="0010681B" w:rsidP="006B15B5">
      <w:pPr>
        <w:pStyle w:val="TOC3"/>
        <w:rPr>
          <w:rFonts w:asciiTheme="minorHAnsi" w:eastAsiaTheme="minorEastAsia" w:hAnsiTheme="minorHAnsi" w:cstheme="minorBidi"/>
          <w:sz w:val="22"/>
          <w:szCs w:val="22"/>
          <w:rtl/>
          <w:lang w:val="en-US" w:eastAsia="zh-CN"/>
        </w:rPr>
      </w:pPr>
      <w:hyperlink w:anchor="_Toc259454307" w:history="1">
        <w:r w:rsidR="00525E1E" w:rsidRPr="00BC11B2">
          <w:rPr>
            <w:rStyle w:val="Hyperlink"/>
            <w:lang w:val="fr-CH"/>
          </w:rPr>
          <w:t>1.1.4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جمهورية</w:t>
        </w:r>
        <w:r w:rsidR="00525E1E" w:rsidRPr="00BC11B2">
          <w:rPr>
            <w:rStyle w:val="Hyperlink"/>
            <w:rtl/>
            <w:lang w:val="fr-CH"/>
          </w:rPr>
          <w:t xml:space="preserve"> </w:t>
        </w:r>
        <w:r w:rsidR="00525E1E" w:rsidRPr="00BC11B2">
          <w:rPr>
            <w:rStyle w:val="Hyperlink"/>
            <w:rFonts w:hint="cs"/>
            <w:rtl/>
            <w:lang w:val="fr-CH"/>
          </w:rPr>
          <w:t>الكونغو</w:t>
        </w:r>
        <w:r w:rsidR="00525E1E" w:rsidRPr="00BC11B2">
          <w:rPr>
            <w:rStyle w:val="Hyperlink"/>
            <w:rtl/>
            <w:lang w:val="fr-CH"/>
          </w:rPr>
          <w:t xml:space="preserve"> </w:t>
        </w:r>
        <w:r w:rsidR="00525E1E" w:rsidRPr="00BC11B2">
          <w:rPr>
            <w:rStyle w:val="Hyperlink"/>
            <w:rFonts w:hint="cs"/>
            <w:rtl/>
            <w:lang w:val="fr-CH"/>
          </w:rPr>
          <w:t>الديمقراطية</w:t>
        </w:r>
        <w:r w:rsidR="00525E1E">
          <w:rPr>
            <w:webHidden/>
            <w:rtl/>
          </w:rPr>
          <w:tab/>
        </w:r>
        <w:r w:rsidR="006B15B5">
          <w:rPr>
            <w:webHidden/>
          </w:rPr>
          <w:tab/>
        </w:r>
        <w:r w:rsidR="00EB718F">
          <w:rPr>
            <w:webHidden/>
          </w:rPr>
          <w:t>8</w:t>
        </w:r>
      </w:hyperlink>
    </w:p>
    <w:p w:rsidR="00525E1E" w:rsidRDefault="0010681B" w:rsidP="006B15B5">
      <w:pPr>
        <w:pStyle w:val="TOC3"/>
        <w:rPr>
          <w:rFonts w:asciiTheme="minorHAnsi" w:eastAsiaTheme="minorEastAsia" w:hAnsiTheme="minorHAnsi" w:cstheme="minorBidi"/>
          <w:sz w:val="22"/>
          <w:szCs w:val="22"/>
          <w:rtl/>
          <w:lang w:val="en-US" w:eastAsia="zh-CN"/>
        </w:rPr>
      </w:pPr>
      <w:hyperlink w:anchor="_Toc259454308" w:history="1">
        <w:r w:rsidR="00525E1E" w:rsidRPr="00BC11B2">
          <w:rPr>
            <w:rStyle w:val="Hyperlink"/>
            <w:lang w:val="fr-CH"/>
          </w:rPr>
          <w:t>2.1.4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جمهورية</w:t>
        </w:r>
        <w:r w:rsidR="00525E1E" w:rsidRPr="00BC11B2">
          <w:rPr>
            <w:rStyle w:val="Hyperlink"/>
            <w:rtl/>
            <w:lang w:val="fr-CH"/>
          </w:rPr>
          <w:t xml:space="preserve"> </w:t>
        </w:r>
        <w:r w:rsidR="00525E1E" w:rsidRPr="00BC11B2">
          <w:rPr>
            <w:rStyle w:val="Hyperlink"/>
            <w:rFonts w:hint="cs"/>
            <w:rtl/>
            <w:lang w:val="fr-CH"/>
          </w:rPr>
          <w:t>غينيا</w:t>
        </w:r>
        <w:r w:rsidR="00525E1E">
          <w:rPr>
            <w:webHidden/>
            <w:rtl/>
          </w:rPr>
          <w:tab/>
        </w:r>
        <w:r w:rsidR="006B15B5">
          <w:rPr>
            <w:webHidden/>
          </w:rPr>
          <w:tab/>
        </w:r>
        <w:r w:rsidR="00EB718F">
          <w:rPr>
            <w:webHidden/>
          </w:rPr>
          <w:t>8</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09" w:history="1">
        <w:r w:rsidR="00525E1E" w:rsidRPr="00BC11B2">
          <w:rPr>
            <w:rStyle w:val="Hyperlink"/>
            <w:lang w:val="fr-CH"/>
          </w:rPr>
          <w:t>3.1.4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جمهورية</w:t>
        </w:r>
        <w:r w:rsidR="00525E1E" w:rsidRPr="00BC11B2">
          <w:rPr>
            <w:rStyle w:val="Hyperlink"/>
            <w:rtl/>
            <w:lang w:val="fr-CH"/>
          </w:rPr>
          <w:t xml:space="preserve"> </w:t>
        </w:r>
        <w:r w:rsidR="00525E1E" w:rsidRPr="00BC11B2">
          <w:rPr>
            <w:rStyle w:val="Hyperlink"/>
            <w:rFonts w:hint="cs"/>
            <w:rtl/>
            <w:lang w:val="fr-CH"/>
          </w:rPr>
          <w:t>كوريا</w:t>
        </w:r>
        <w:r w:rsidR="00525E1E">
          <w:rPr>
            <w:webHidden/>
            <w:rtl/>
          </w:rPr>
          <w:tab/>
        </w:r>
        <w:r w:rsidR="006B15B5">
          <w:rPr>
            <w:webHidden/>
          </w:rPr>
          <w:tab/>
        </w:r>
        <w:r w:rsidR="00EB718F">
          <w:rPr>
            <w:webHidden/>
          </w:rPr>
          <w:t>9</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0" w:history="1">
        <w:r w:rsidR="00525E1E" w:rsidRPr="00BC11B2">
          <w:rPr>
            <w:rStyle w:val="Hyperlink"/>
            <w:lang w:val="fr-CH"/>
          </w:rPr>
          <w:t>4.1.4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ليختنشتاين</w:t>
        </w:r>
        <w:r w:rsidR="00525E1E" w:rsidRPr="00BC11B2">
          <w:rPr>
            <w:rStyle w:val="Hyperlink"/>
            <w:lang w:val="fr-CH"/>
          </w:rPr>
          <w:t xml:space="preserve"> </w:t>
        </w:r>
        <w:r w:rsidR="00525E1E">
          <w:rPr>
            <w:webHidden/>
            <w:rtl/>
          </w:rPr>
          <w:tab/>
        </w:r>
        <w:r w:rsidR="006B15B5">
          <w:rPr>
            <w:webHidden/>
          </w:rPr>
          <w:tab/>
        </w:r>
        <w:r w:rsidR="00EB718F">
          <w:rPr>
            <w:webHidden/>
          </w:rPr>
          <w:t>10</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1" w:history="1">
        <w:r w:rsidR="00525E1E" w:rsidRPr="00BC11B2">
          <w:rPr>
            <w:rStyle w:val="Hyperlink"/>
            <w:lang w:val="fr-CH"/>
          </w:rPr>
          <w:t>5.1.4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ليتوانيا</w:t>
        </w:r>
        <w:r w:rsidR="00525E1E">
          <w:rPr>
            <w:webHidden/>
            <w:rtl/>
          </w:rPr>
          <w:tab/>
        </w:r>
        <w:r w:rsidR="009A7C06">
          <w:rPr>
            <w:webHidden/>
          </w:rPr>
          <w:tab/>
        </w:r>
        <w:r w:rsidR="00EB718F">
          <w:rPr>
            <w:webHidden/>
          </w:rPr>
          <w:t>10</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2" w:history="1">
        <w:r w:rsidR="00525E1E" w:rsidRPr="00BC11B2">
          <w:rPr>
            <w:rStyle w:val="Hyperlink"/>
            <w:lang w:val="fr-CH"/>
          </w:rPr>
          <w:t>6.1.4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تن‍زانيا</w:t>
        </w:r>
        <w:r w:rsidR="00525E1E">
          <w:rPr>
            <w:webHidden/>
            <w:rtl/>
          </w:rPr>
          <w:tab/>
        </w:r>
        <w:r w:rsidR="006B15B5">
          <w:rPr>
            <w:webHidden/>
          </w:rPr>
          <w:tab/>
        </w:r>
        <w:r w:rsidR="00EB718F">
          <w:rPr>
            <w:webHidden/>
          </w:rPr>
          <w:t>11</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3" w:history="1">
        <w:r w:rsidR="00525E1E" w:rsidRPr="00BC11B2">
          <w:rPr>
            <w:rStyle w:val="Hyperlink"/>
            <w:lang w:val="fr-CH"/>
          </w:rPr>
          <w:t>7.1.4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المملكة</w:t>
        </w:r>
        <w:r w:rsidR="00525E1E" w:rsidRPr="00BC11B2">
          <w:rPr>
            <w:rStyle w:val="Hyperlink"/>
            <w:rtl/>
            <w:lang w:val="fr-CH"/>
          </w:rPr>
          <w:t xml:space="preserve"> </w:t>
        </w:r>
        <w:r w:rsidR="00525E1E" w:rsidRPr="00BC11B2">
          <w:rPr>
            <w:rStyle w:val="Hyperlink"/>
            <w:rFonts w:hint="cs"/>
            <w:rtl/>
            <w:lang w:val="fr-CH"/>
          </w:rPr>
          <w:t>المتحدة</w:t>
        </w:r>
        <w:r w:rsidR="00525E1E">
          <w:rPr>
            <w:webHidden/>
            <w:rtl/>
          </w:rPr>
          <w:tab/>
        </w:r>
        <w:r w:rsidR="006B15B5">
          <w:rPr>
            <w:webHidden/>
          </w:rPr>
          <w:tab/>
        </w:r>
        <w:r w:rsidR="00EB718F">
          <w:rPr>
            <w:webHidden/>
          </w:rPr>
          <w:t>13</w:t>
        </w:r>
      </w:hyperlink>
    </w:p>
    <w:p w:rsidR="00525E1E" w:rsidRDefault="0010681B" w:rsidP="00EB718F">
      <w:pPr>
        <w:pStyle w:val="TOC2"/>
        <w:rPr>
          <w:rFonts w:asciiTheme="minorHAnsi" w:eastAsiaTheme="minorEastAsia" w:hAnsiTheme="minorHAnsi" w:cstheme="minorBidi"/>
          <w:sz w:val="22"/>
          <w:szCs w:val="22"/>
          <w:rtl/>
          <w:lang w:val="en-US" w:eastAsia="zh-CN" w:bidi="ar-SA"/>
        </w:rPr>
      </w:pPr>
      <w:hyperlink w:anchor="_Toc259454314" w:history="1">
        <w:r w:rsidR="00525E1E" w:rsidRPr="00BC11B2">
          <w:rPr>
            <w:rStyle w:val="Hyperlink"/>
            <w:lang w:val="fr-CH"/>
          </w:rPr>
          <w:t>2.4</w:t>
        </w:r>
        <w:r w:rsidR="00525E1E">
          <w:rPr>
            <w:rFonts w:asciiTheme="minorHAnsi" w:eastAsiaTheme="minorEastAsia" w:hAnsiTheme="minorHAnsi" w:cstheme="minorBidi"/>
            <w:sz w:val="22"/>
            <w:szCs w:val="22"/>
            <w:rtl/>
            <w:lang w:val="en-US" w:eastAsia="zh-CN" w:bidi="ar-SA"/>
          </w:rPr>
          <w:tab/>
        </w:r>
        <w:r w:rsidR="00525E1E" w:rsidRPr="00BC11B2">
          <w:rPr>
            <w:rStyle w:val="Hyperlink"/>
            <w:rFonts w:hint="cs"/>
            <w:rtl/>
            <w:lang w:val="fr-CH"/>
          </w:rPr>
          <w:t>الخطط</w:t>
        </w:r>
        <w:r w:rsidR="00525E1E" w:rsidRPr="00BC11B2">
          <w:rPr>
            <w:rStyle w:val="Hyperlink"/>
            <w:rtl/>
            <w:lang w:val="fr-CH"/>
          </w:rPr>
          <w:t xml:space="preserve"> </w:t>
        </w:r>
        <w:r w:rsidR="00525E1E" w:rsidRPr="00BC11B2">
          <w:rPr>
            <w:rStyle w:val="Hyperlink"/>
            <w:rFonts w:hint="cs"/>
            <w:rtl/>
            <w:lang w:val="fr-CH"/>
          </w:rPr>
          <w:t>المستقبلية</w:t>
        </w:r>
        <w:r w:rsidR="00525E1E" w:rsidRPr="00BC11B2">
          <w:rPr>
            <w:rStyle w:val="Hyperlink"/>
            <w:rtl/>
            <w:lang w:val="fr-CH"/>
          </w:rPr>
          <w:t xml:space="preserve"> </w:t>
        </w:r>
        <w:r w:rsidR="00525E1E" w:rsidRPr="00BC11B2">
          <w:rPr>
            <w:rStyle w:val="Hyperlink"/>
            <w:rFonts w:hint="cs"/>
            <w:rtl/>
            <w:lang w:val="fr-CH"/>
          </w:rPr>
          <w:t>للترخيص</w:t>
        </w:r>
        <w:r w:rsidR="00525E1E" w:rsidRPr="00BC11B2">
          <w:rPr>
            <w:rStyle w:val="Hyperlink"/>
            <w:rtl/>
            <w:lang w:val="fr-CH"/>
          </w:rPr>
          <w:t xml:space="preserve"> </w:t>
        </w:r>
        <w:r w:rsidR="00525E1E" w:rsidRPr="00BC11B2">
          <w:rPr>
            <w:rStyle w:val="Hyperlink"/>
            <w:rFonts w:hint="cs"/>
            <w:rtl/>
            <w:lang w:val="fr-CH"/>
          </w:rPr>
          <w:t>المتقارب</w:t>
        </w:r>
        <w:r w:rsidR="00525E1E">
          <w:rPr>
            <w:webHidden/>
            <w:rtl/>
          </w:rPr>
          <w:tab/>
        </w:r>
        <w:r w:rsidR="006B15B5">
          <w:rPr>
            <w:webHidden/>
          </w:rPr>
          <w:tab/>
        </w:r>
        <w:r w:rsidR="00EB718F">
          <w:rPr>
            <w:webHidden/>
          </w:rPr>
          <w:t>14</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5" w:history="1">
        <w:r w:rsidR="00525E1E" w:rsidRPr="00BC11B2">
          <w:rPr>
            <w:rStyle w:val="Hyperlink"/>
            <w:lang w:val="fr-CH"/>
          </w:rPr>
          <w:t>1.2.4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بنغلاديش</w:t>
        </w:r>
        <w:r w:rsidR="00525E1E">
          <w:rPr>
            <w:webHidden/>
            <w:rtl/>
          </w:rPr>
          <w:tab/>
        </w:r>
        <w:r w:rsidR="006B15B5">
          <w:rPr>
            <w:webHidden/>
          </w:rPr>
          <w:tab/>
        </w:r>
        <w:r w:rsidR="00EB718F">
          <w:rPr>
            <w:webHidden/>
          </w:rPr>
          <w:t>14</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6" w:history="1">
        <w:r w:rsidR="00525E1E" w:rsidRPr="00BC11B2">
          <w:rPr>
            <w:rStyle w:val="Hyperlink"/>
            <w:lang w:val="fr-CH"/>
          </w:rPr>
          <w:t>2.2.4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الكاميرون</w:t>
        </w:r>
        <w:r w:rsidR="00525E1E" w:rsidRPr="00BC11B2">
          <w:rPr>
            <w:rStyle w:val="Hyperlink"/>
            <w:lang w:val="fr-CH"/>
          </w:rPr>
          <w:t xml:space="preserve"> </w:t>
        </w:r>
        <w:r w:rsidR="00525E1E">
          <w:rPr>
            <w:webHidden/>
            <w:rtl/>
          </w:rPr>
          <w:tab/>
        </w:r>
        <w:r w:rsidR="006B15B5">
          <w:rPr>
            <w:webHidden/>
          </w:rPr>
          <w:tab/>
        </w:r>
        <w:r w:rsidR="00EB718F">
          <w:rPr>
            <w:webHidden/>
          </w:rPr>
          <w:t>14</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7" w:history="1">
        <w:r w:rsidR="00525E1E" w:rsidRPr="00BC11B2">
          <w:rPr>
            <w:rStyle w:val="Hyperlink"/>
            <w:lang w:val="fr-CH"/>
          </w:rPr>
          <w:t>3.2.4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الصين</w:t>
        </w:r>
        <w:r w:rsidR="00525E1E" w:rsidRPr="00BC11B2">
          <w:rPr>
            <w:rStyle w:val="Hyperlink"/>
            <w:lang w:val="fr-CH"/>
          </w:rPr>
          <w:t xml:space="preserve"> </w:t>
        </w:r>
        <w:r w:rsidR="00525E1E">
          <w:rPr>
            <w:webHidden/>
            <w:rtl/>
          </w:rPr>
          <w:tab/>
        </w:r>
        <w:r w:rsidR="006B15B5">
          <w:rPr>
            <w:webHidden/>
          </w:rPr>
          <w:tab/>
        </w:r>
        <w:r w:rsidR="00EB718F">
          <w:rPr>
            <w:webHidden/>
          </w:rPr>
          <w:t>15</w:t>
        </w:r>
      </w:hyperlink>
    </w:p>
    <w:p w:rsidR="00525E1E" w:rsidRDefault="0010681B" w:rsidP="00EB718F">
      <w:pPr>
        <w:pStyle w:val="TOC3"/>
        <w:rPr>
          <w:rFonts w:asciiTheme="minorHAnsi" w:eastAsiaTheme="minorEastAsia" w:hAnsiTheme="minorHAnsi" w:cstheme="minorBidi"/>
          <w:sz w:val="22"/>
          <w:szCs w:val="22"/>
          <w:rtl/>
          <w:lang w:val="en-US" w:eastAsia="zh-CN"/>
        </w:rPr>
      </w:pPr>
      <w:hyperlink w:anchor="_Toc259454318" w:history="1">
        <w:r w:rsidR="00525E1E" w:rsidRPr="00BC11B2">
          <w:rPr>
            <w:rStyle w:val="Hyperlink"/>
            <w:lang w:val="fr-CH"/>
          </w:rPr>
          <w:t>4.2.4</w:t>
        </w:r>
        <w:r w:rsidR="00525E1E">
          <w:rPr>
            <w:rFonts w:asciiTheme="minorHAnsi" w:eastAsiaTheme="minorEastAsia" w:hAnsiTheme="minorHAnsi" w:cstheme="minorBidi"/>
            <w:sz w:val="22"/>
            <w:szCs w:val="22"/>
            <w:rtl/>
            <w:lang w:val="en-US" w:eastAsia="zh-CN"/>
          </w:rPr>
          <w:tab/>
        </w:r>
        <w:r w:rsidR="00525E1E" w:rsidRPr="00BC11B2">
          <w:rPr>
            <w:rStyle w:val="Hyperlink"/>
            <w:rFonts w:hint="cs"/>
            <w:rtl/>
            <w:lang w:val="fr-CH"/>
          </w:rPr>
          <w:t>نيبال</w:t>
        </w:r>
        <w:r w:rsidR="00525E1E" w:rsidRPr="00BC11B2">
          <w:rPr>
            <w:rStyle w:val="Hyperlink"/>
            <w:lang w:val="fr-CH"/>
          </w:rPr>
          <w:t xml:space="preserve"> </w:t>
        </w:r>
        <w:r w:rsidR="00525E1E">
          <w:rPr>
            <w:webHidden/>
            <w:rtl/>
          </w:rPr>
          <w:tab/>
        </w:r>
        <w:r w:rsidR="006B15B5">
          <w:rPr>
            <w:webHidden/>
          </w:rPr>
          <w:tab/>
        </w:r>
        <w:r w:rsidR="00EB718F">
          <w:rPr>
            <w:webHidden/>
          </w:rPr>
          <w:t>15</w:t>
        </w:r>
      </w:hyperlink>
    </w:p>
    <w:p w:rsidR="00525E1E" w:rsidRDefault="0010681B" w:rsidP="00EB718F">
      <w:pPr>
        <w:pStyle w:val="TOC1"/>
        <w:rPr>
          <w:rFonts w:asciiTheme="minorHAnsi" w:eastAsiaTheme="minorEastAsia" w:hAnsiTheme="minorHAnsi" w:cstheme="minorBidi"/>
          <w:noProof/>
          <w:sz w:val="22"/>
          <w:szCs w:val="22"/>
          <w:rtl/>
          <w:lang w:val="en-US" w:eastAsia="zh-CN"/>
        </w:rPr>
      </w:pPr>
      <w:hyperlink w:anchor="_Toc259454319" w:history="1">
        <w:r w:rsidR="00525E1E" w:rsidRPr="00BC11B2">
          <w:rPr>
            <w:rStyle w:val="Hyperlink"/>
            <w:noProof/>
            <w:lang w:val="fr-CH" w:bidi="ar-EG"/>
          </w:rPr>
          <w:t>5</w:t>
        </w:r>
        <w:r w:rsidR="00525E1E">
          <w:rPr>
            <w:rFonts w:asciiTheme="minorHAnsi" w:eastAsiaTheme="minorEastAsia" w:hAnsiTheme="minorHAnsi" w:cstheme="minorBidi"/>
            <w:noProof/>
            <w:sz w:val="22"/>
            <w:szCs w:val="22"/>
            <w:rtl/>
            <w:lang w:val="en-US" w:eastAsia="zh-CN"/>
          </w:rPr>
          <w:tab/>
        </w:r>
        <w:r w:rsidR="00525E1E" w:rsidRPr="00BC11B2">
          <w:rPr>
            <w:rStyle w:val="Hyperlink"/>
            <w:rFonts w:hint="cs"/>
            <w:noProof/>
            <w:rtl/>
            <w:lang w:val="fr-CH" w:bidi="ar-EG"/>
          </w:rPr>
          <w:t>مبادئ</w:t>
        </w:r>
        <w:r w:rsidR="00525E1E" w:rsidRPr="00BC11B2">
          <w:rPr>
            <w:rStyle w:val="Hyperlink"/>
            <w:noProof/>
            <w:rtl/>
            <w:lang w:val="fr-CH" w:bidi="ar-EG"/>
          </w:rPr>
          <w:t xml:space="preserve"> </w:t>
        </w:r>
        <w:r w:rsidR="00525E1E" w:rsidRPr="00BC11B2">
          <w:rPr>
            <w:rStyle w:val="Hyperlink"/>
            <w:rFonts w:hint="cs"/>
            <w:noProof/>
            <w:rtl/>
            <w:lang w:val="fr-CH" w:bidi="ar-EG"/>
          </w:rPr>
          <w:t>توجيهية</w:t>
        </w:r>
        <w:r w:rsidR="00525E1E" w:rsidRPr="00BC11B2">
          <w:rPr>
            <w:rStyle w:val="Hyperlink"/>
            <w:noProof/>
            <w:rtl/>
            <w:lang w:val="fr-CH" w:bidi="ar-EG"/>
          </w:rPr>
          <w:t xml:space="preserve"> </w:t>
        </w:r>
        <w:r w:rsidR="00525E1E" w:rsidRPr="00BC11B2">
          <w:rPr>
            <w:rStyle w:val="Hyperlink"/>
            <w:rFonts w:hint="cs"/>
            <w:noProof/>
            <w:rtl/>
            <w:lang w:val="fr-CH" w:bidi="ar-EG"/>
          </w:rPr>
          <w:t>وتوصيات</w:t>
        </w:r>
        <w:r w:rsidR="00525E1E">
          <w:rPr>
            <w:noProof/>
            <w:webHidden/>
            <w:rtl/>
          </w:rPr>
          <w:tab/>
        </w:r>
        <w:r w:rsidR="006B15B5">
          <w:rPr>
            <w:noProof/>
            <w:webHidden/>
          </w:rPr>
          <w:tab/>
        </w:r>
        <w:r w:rsidR="00EB718F">
          <w:rPr>
            <w:noProof/>
            <w:webHidden/>
          </w:rPr>
          <w:t>15</w:t>
        </w:r>
      </w:hyperlink>
    </w:p>
    <w:p w:rsidR="00EF2C22" w:rsidRDefault="0010681B" w:rsidP="00DC7DA8">
      <w:pPr>
        <w:rPr>
          <w:rStyle w:val="Heading1Char"/>
        </w:rPr>
      </w:pPr>
      <w:r>
        <w:rPr>
          <w:rtl/>
        </w:rPr>
        <w:fldChar w:fldCharType="end"/>
      </w:r>
    </w:p>
    <w:p w:rsidR="00DE1950" w:rsidRDefault="00DE1950" w:rsidP="00835AB5">
      <w:pPr>
        <w:rPr>
          <w:rStyle w:val="Heading1Char"/>
        </w:rPr>
        <w:sectPr w:rsidR="00DE1950" w:rsidSect="00F448B2">
          <w:type w:val="oddPage"/>
          <w:pgSz w:w="11907" w:h="16834" w:code="9"/>
          <w:pgMar w:top="1418" w:right="1134" w:bottom="1418" w:left="1134" w:header="720" w:footer="720" w:gutter="0"/>
          <w:paperSrc w:first="7" w:other="7"/>
          <w:pgNumType w:fmt="lowerRoman"/>
          <w:cols w:space="720"/>
          <w:bidi/>
          <w:rtlGutter/>
        </w:sectPr>
      </w:pPr>
    </w:p>
    <w:p w:rsidR="00835AB5" w:rsidRDefault="00767931" w:rsidP="00C74D59">
      <w:pPr>
        <w:pStyle w:val="Title"/>
        <w:spacing w:before="0"/>
        <w:rPr>
          <w:lang w:val="en-US"/>
        </w:rPr>
      </w:pPr>
      <w:bookmarkStart w:id="5" w:name="_Toc259190578"/>
      <w:r>
        <w:rPr>
          <w:rFonts w:hint="cs"/>
          <w:rtl/>
        </w:rPr>
        <w:lastRenderedPageBreak/>
        <w:t>المسأل</w:t>
      </w:r>
      <w:r>
        <w:rPr>
          <w:rFonts w:hint="cs"/>
          <w:rtl/>
          <w:lang w:bidi="ar-EG"/>
        </w:rPr>
        <w:t>ـ</w:t>
      </w:r>
      <w:r>
        <w:rPr>
          <w:rFonts w:hint="cs"/>
          <w:rtl/>
        </w:rPr>
        <w:t xml:space="preserve">ة </w:t>
      </w:r>
      <w:r w:rsidR="00911D81">
        <w:rPr>
          <w:lang w:val="en-US"/>
        </w:rPr>
        <w:t>10</w:t>
      </w:r>
      <w:r w:rsidR="0094325B">
        <w:rPr>
          <w:lang w:val="en-US"/>
        </w:rPr>
        <w:t>-2/1</w:t>
      </w:r>
      <w:bookmarkEnd w:id="5"/>
    </w:p>
    <w:bookmarkEnd w:id="3"/>
    <w:p w:rsidR="00DC7DA8" w:rsidRDefault="00C476A9" w:rsidP="00C476A9">
      <w:pPr>
        <w:pStyle w:val="sub-title"/>
        <w:spacing w:before="120"/>
      </w:pPr>
      <w:r w:rsidRPr="00C476A9">
        <w:rPr>
          <w:rFonts w:hint="cs"/>
          <w:rtl/>
        </w:rPr>
        <w:t>الاتجاهات التنظيمية لتكييف أطر منح التراخيص مع بيئة متقاربة</w:t>
      </w:r>
    </w:p>
    <w:p w:rsidR="00C476A9" w:rsidRPr="0056354D" w:rsidRDefault="00C476A9" w:rsidP="00C476A9">
      <w:pPr>
        <w:pStyle w:val="Heading1"/>
        <w:rPr>
          <w:rtl/>
        </w:rPr>
      </w:pPr>
      <w:bookmarkStart w:id="6" w:name="_Toc259454298"/>
      <w:r w:rsidRPr="0056354D">
        <w:rPr>
          <w:lang w:val="fr-CH"/>
        </w:rPr>
        <w:t>1</w:t>
      </w:r>
      <w:r w:rsidRPr="0056354D">
        <w:rPr>
          <w:rFonts w:hint="cs"/>
          <w:rtl/>
        </w:rPr>
        <w:tab/>
        <w:t>مقدمة</w:t>
      </w:r>
      <w:bookmarkEnd w:id="6"/>
    </w:p>
    <w:p w:rsidR="00C476A9" w:rsidRPr="0056354D" w:rsidRDefault="00C476A9" w:rsidP="00C476A9">
      <w:pPr>
        <w:rPr>
          <w:rtl/>
        </w:rPr>
      </w:pPr>
      <w:r w:rsidRPr="0056354D">
        <w:rPr>
          <w:rFonts w:hint="cs"/>
          <w:rtl/>
        </w:rPr>
        <w:t>مع حلول التقارب في أسواق الاتصالات والإذاعة، قامت بلدان متنوعة بتعديل لوائحها الخاصة بالاتصالات وذلك لدعم تنمية الخدمات المتقاربة وتوسيع الأسواق والمنافسة، بهدف تعزيز تقديم خدمات جديدة وابتكارية، وتخفيض الأسعار وزيادة الكفاءة في تقديم الخدمات، فضلاً عن زيادة تنوع العروض للمشتركين</w:t>
      </w:r>
      <w:r w:rsidRPr="0056354D">
        <w:rPr>
          <w:vertAlign w:val="superscript"/>
          <w:lang w:val="de-DE"/>
        </w:rPr>
        <w:footnoteReference w:id="1"/>
      </w:r>
      <w:r w:rsidRPr="0056354D">
        <w:rPr>
          <w:rFonts w:hint="cs"/>
          <w:rtl/>
        </w:rPr>
        <w:t xml:space="preserve">. </w:t>
      </w:r>
    </w:p>
    <w:p w:rsidR="00C476A9" w:rsidRPr="0056354D" w:rsidRDefault="00C476A9" w:rsidP="00C476A9">
      <w:pPr>
        <w:rPr>
          <w:rtl/>
        </w:rPr>
      </w:pPr>
      <w:r w:rsidRPr="0056354D">
        <w:rPr>
          <w:rFonts w:hint="cs"/>
          <w:rtl/>
        </w:rPr>
        <w:t xml:space="preserve">كان تركيز أنظمة التنظيم التقليدية في المقام الأول على وسائل محددة للاتصالات أو على خدمات محددة يقدمها المشغل. واستندت الأطر التنظيمية غالباً على الخدمات السلكية واللاسلكية والإذاعية أو كانت قد قسمت إلى أسواق محلية أو أسواق المسافات الطويلة. ومع ظهور الشبكات المتقاربة الآن، لم يعد مثل هذا التمييز قائماً عملياً. ولذلك، ركزت الإصلاحات الموجهة إلى تكييف الأنظمة التنظيمية التقليدية على التقارب وذلك بواسطة عنصرين أساسيين: إدخال مبادئ وخدمات محايدة تكنولوجياً، وإضفاء مزيد من المرونة في الجوانب الرئيسية لأطرها التنظيمية القائمة. </w:t>
      </w:r>
    </w:p>
    <w:p w:rsidR="00C476A9" w:rsidRPr="0056354D" w:rsidRDefault="00C476A9" w:rsidP="00C476A9">
      <w:pPr>
        <w:rPr>
          <w:rtl/>
        </w:rPr>
      </w:pPr>
      <w:r w:rsidRPr="0056354D">
        <w:rPr>
          <w:rFonts w:hint="cs"/>
          <w:rtl/>
        </w:rPr>
        <w:t>وأعقب هذه الإصلاحات اتجاهات مماثلة في أرجاء العالم كان لها تأثير كبير على جوانب متنوعة لتنظيم الاتصالات، وفي المقام الأول على خدمة منح التراخيص وحقوق والتزامات مقدم الخدمة، ب</w:t>
      </w:r>
      <w:r>
        <w:rPr>
          <w:rFonts w:hint="cs"/>
          <w:rtl/>
        </w:rPr>
        <w:t>ما </w:t>
      </w:r>
      <w:r w:rsidRPr="0056354D">
        <w:rPr>
          <w:rFonts w:hint="cs"/>
          <w:rtl/>
        </w:rPr>
        <w:t xml:space="preserve">في ذلك التوصيل البيني، والترقيم والخدمة الشاملة، واستعمال الطيف. </w:t>
      </w:r>
    </w:p>
    <w:p w:rsidR="00C476A9" w:rsidRDefault="00C476A9" w:rsidP="00C476A9">
      <w:r w:rsidRPr="0056354D">
        <w:rPr>
          <w:rFonts w:hint="cs"/>
          <w:rtl/>
        </w:rPr>
        <w:t>واتبع إصلاح خدمة منح التراخيص اتجاهين أساسيين تم تنفيذهما بشكل منفصل جنباً إلى جنب. وشمل الأول تبسيط منح التراخيص التي كانت تمنح لفرادى الخدمات، م</w:t>
      </w:r>
      <w:r>
        <w:rPr>
          <w:rFonts w:hint="cs"/>
          <w:rtl/>
        </w:rPr>
        <w:t>ما </w:t>
      </w:r>
      <w:r w:rsidRPr="0056354D">
        <w:rPr>
          <w:rFonts w:hint="cs"/>
          <w:rtl/>
        </w:rPr>
        <w:t xml:space="preserve">يعني بشكل عام أن يجوز لكل مشغل اتصالات ترخيص لكل خدمة من الخدمات التي يقدمها. وينطوي التبسيط على توحيد الخدمات المختلفة في تصنيف تنوعي أو توحيد كافة الخدمات في إطار ترخيص أو امتياز وحيد، أو </w:t>
      </w:r>
      <w:r>
        <w:rPr>
          <w:rFonts w:hint="cs"/>
          <w:rtl/>
        </w:rPr>
        <w:t>ما </w:t>
      </w:r>
      <w:r w:rsidRPr="0056354D">
        <w:rPr>
          <w:rFonts w:hint="cs"/>
          <w:rtl/>
        </w:rPr>
        <w:t xml:space="preserve">يطلق عليه في حالات كثيرة الترخيص الموحد. </w:t>
      </w:r>
    </w:p>
    <w:p w:rsidR="00C476A9" w:rsidRDefault="00C476A9" w:rsidP="00C476A9">
      <w:pPr>
        <w:pBdr>
          <w:bottom w:val="single" w:sz="18" w:space="1" w:color="auto"/>
        </w:pBdr>
        <w:spacing w:before="0"/>
        <w:rPr>
          <w:rtl/>
        </w:rPr>
      </w:pPr>
    </w:p>
    <w:p w:rsidR="00C476A9" w:rsidRDefault="00C476A9" w:rsidP="00C476A9">
      <w:pPr>
        <w:pStyle w:val="FigTitle"/>
        <w:rPr>
          <w:rtl/>
        </w:rPr>
      </w:pPr>
      <w:r w:rsidRPr="0056354D">
        <w:rPr>
          <w:rFonts w:hint="cs"/>
          <w:rtl/>
        </w:rPr>
        <w:t xml:space="preserve">الشكل </w:t>
      </w:r>
      <w:r w:rsidRPr="00DE61AA">
        <w:rPr>
          <w:lang w:val="fr-CH"/>
        </w:rPr>
        <w:t>1</w:t>
      </w:r>
      <w:r w:rsidRPr="0056354D">
        <w:rPr>
          <w:rFonts w:hint="cs"/>
          <w:rtl/>
        </w:rPr>
        <w:t>:</w:t>
      </w:r>
      <w:r>
        <w:rPr>
          <w:rFonts w:hint="cs"/>
          <w:rtl/>
        </w:rPr>
        <w:t xml:space="preserve"> </w:t>
      </w:r>
      <w:r w:rsidRPr="0056354D">
        <w:rPr>
          <w:rFonts w:hint="cs"/>
          <w:rtl/>
        </w:rPr>
        <w:t xml:space="preserve"> تبسيط منح التراخيص</w:t>
      </w:r>
      <w:r w:rsidRPr="0056354D">
        <w:rPr>
          <w:vertAlign w:val="superscript"/>
          <w:lang w:val="de-DE"/>
        </w:rPr>
        <w:footnoteReference w:id="2"/>
      </w:r>
    </w:p>
    <w:p w:rsidR="00C476A9" w:rsidRDefault="0010681B" w:rsidP="00C476A9">
      <w:pPr>
        <w:spacing w:before="0" w:line="240" w:lineRule="auto"/>
        <w:jc w:val="center"/>
      </w:pPr>
      <w:r>
        <w:pict>
          <v:group id="_x0000_s43159" editas="canvas" style="width:455pt;height:180pt;mso-position-horizontal-relative:char;mso-position-vertical-relative:line" coordorigin="228,7511" coordsize="9100,36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3160"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43161" type="#_x0000_t109" style="position:absolute;left:7827;top:8591;width:1400;height:1620;flip:x;v-text-anchor:middle" fillcolor="#fc0" strokeweight="1.25pt">
              <v:fill color2="fill darken(210)" rotate="t" method="linear sigma" focus="100%" type="gradient"/>
              <v:textbox style="mso-next-textbox:#_x0000_s43161" inset="4.68pt,12.96pt,4.68pt,2.34pt">
                <w:txbxContent>
                  <w:p w:rsidR="003D4D68" w:rsidRPr="008506E7" w:rsidRDefault="003D4D68" w:rsidP="00C476A9">
                    <w:pPr>
                      <w:spacing w:before="0" w:line="320" w:lineRule="exact"/>
                      <w:jc w:val="center"/>
                      <w:rPr>
                        <w:b/>
                        <w:bCs/>
                        <w:sz w:val="30"/>
                      </w:rPr>
                    </w:pPr>
                    <w:r w:rsidRPr="008506E7">
                      <w:rPr>
                        <w:rFonts w:hint="cs"/>
                        <w:b/>
                        <w:bCs/>
                        <w:sz w:val="30"/>
                        <w:rtl/>
                      </w:rPr>
                      <w:t>ترخيص محدد لكل خدمة</w:t>
                    </w:r>
                  </w:p>
                </w:txbxContent>
              </v:textbox>
            </v:shape>
            <v:group id="_x0000_s43162" style="position:absolute;left:327;top:7691;width:7400;height:3240" coordorigin="327,7691" coordsize="7400,3240">
              <v:shape id="_x0000_s43163" type="#_x0000_t109" style="position:absolute;left:4127;top:7691;width:2800;height:3240;flip:x;v-text-anchor:middle" fillcolor="#fc0" strokeweight="1.25pt">
                <v:fill color2="fill darken(219)" rotate="t" method="linear sigma" focus="100%" type="gradient"/>
                <v:textbox style="mso-next-textbox:#_x0000_s43163" inset="4.68pt,2.34pt,4.68pt,2.34pt">
                  <w:txbxContent>
                    <w:p w:rsidR="003D4D68" w:rsidRPr="00803351" w:rsidRDefault="003D4D68" w:rsidP="00C476A9">
                      <w:pPr>
                        <w:spacing w:before="0" w:line="240" w:lineRule="auto"/>
                        <w:jc w:val="center"/>
                        <w:rPr>
                          <w:b/>
                          <w:bCs/>
                          <w:szCs w:val="22"/>
                        </w:rPr>
                      </w:pPr>
                    </w:p>
                  </w:txbxContent>
                </v:textbox>
              </v:shape>
              <v:shape id="_x0000_s43164" type="#_x0000_t109" style="position:absolute;left:4306;top:8883;width:2340;height:720;flip:x;v-text-anchor:middle" fillcolor="#ff9">
                <v:fill color2="fill darken(202)" rotate="t" method="linear sigma" focus="100%" type="gradient"/>
                <v:textbox style="mso-next-textbox:#_x0000_s43164" inset="4.68pt,2.34pt,4.68pt,2.34pt">
                  <w:txbxContent>
                    <w:p w:rsidR="003D4D68" w:rsidRPr="00803351" w:rsidRDefault="003D4D68" w:rsidP="00C476A9">
                      <w:pPr>
                        <w:spacing w:before="0" w:line="240" w:lineRule="auto"/>
                        <w:jc w:val="center"/>
                        <w:rPr>
                          <w:sz w:val="26"/>
                          <w:rtl/>
                        </w:rPr>
                      </w:pPr>
                      <w:r w:rsidRPr="00803351">
                        <w:rPr>
                          <w:rFonts w:hint="cs"/>
                          <w:sz w:val="26"/>
                          <w:rtl/>
                        </w:rPr>
                        <w:t>فئات واسعة من الخدمات</w:t>
                      </w:r>
                    </w:p>
                  </w:txbxContent>
                </v:textbox>
              </v:shape>
              <v:shape id="_x0000_s43165" type="#_x0000_t109" style="position:absolute;left:4527;top:9671;width:1980;height:1080;flip:x;v-text-anchor:middle" fillcolor="#ff9">
                <v:fill color2="fill darken(186)" rotate="t" method="linear sigma" focus="100%" type="gradient"/>
                <v:textbox style="mso-next-textbox:#_x0000_s43165" inset="4.68pt,2.34pt,4.68pt,2.34pt">
                  <w:txbxContent>
                    <w:p w:rsidR="003D4D68" w:rsidRPr="008506E7" w:rsidRDefault="003D4D68" w:rsidP="00C476A9">
                      <w:pPr>
                        <w:spacing w:before="0" w:line="300" w:lineRule="exact"/>
                        <w:jc w:val="center"/>
                        <w:rPr>
                          <w:sz w:val="30"/>
                        </w:rPr>
                      </w:pPr>
                      <w:r w:rsidRPr="008506E7">
                        <w:rPr>
                          <w:rFonts w:hint="cs"/>
                          <w:sz w:val="30"/>
                          <w:rtl/>
                        </w:rPr>
                        <w:t>فئتان: الشبكات والخدمات</w:t>
                      </w:r>
                    </w:p>
                  </w:txbxContent>
                </v:textbox>
              </v:shape>
              <v:line id="_x0000_s43166" style="position:absolute;flip:x y;v-text-anchor:top-center-baseline" from="3388,8290" to="3855,8989" stroked="f">
                <v:stroke endarrow="block"/>
                <v:shadow on="t" color="#339"/>
              </v:line>
              <v:line id="_x0000_s43167" style="position:absolute;flip:x;v-text-anchor:top-center-baseline" from="3388,8989" to="3855,8989" stroked="f">
                <v:stroke endarrow="block"/>
                <v:shadow on="t" color="#339"/>
              </v:line>
              <v:line id="_x0000_s43168" style="position:absolute;flip:x;v-text-anchor:top-center-baseline" from="3388,8989" to="3855,10001" stroked="f">
                <v:stroke endarrow="block"/>
                <v:shadow on="t" color="#339"/>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3169" type="#_x0000_t13" style="position:absolute;left:7027;top:8771;width:700;height:1080;flip:x;v-text-anchor:middle" fillcolor="#fc0" strokeweight="1.25pt">
                <v:fill color2="fill darken(202)" rotate="t" method="linear sigma" focus="100%" type="gradient"/>
              </v:shape>
              <v:shape id="_x0000_s43170" type="#_x0000_t13" style="position:absolute;left:3327;top:8771;width:700;height:1080;flip:x;v-text-anchor:middle" fillcolor="#fc0" strokeweight="1.25pt">
                <v:fill color2="fill darken(202)" rotate="t" method="linear sigma" focus="100%" type="gradient"/>
              </v:shape>
              <v:shape id="_x0000_s43171" type="#_x0000_t109" style="position:absolute;left:327;top:7691;width:2900;height:3060;flip:x;v-text-anchor:middle" fillcolor="#fc0" strokeweight="1.25pt">
                <v:fill color2="fill darken(219)" rotate="t" method="linear sigma" focus="100%" type="gradient"/>
                <v:textbox style="mso-next-textbox:#_x0000_s43171" inset="4.68pt,2.34pt,4.68pt,2.34pt">
                  <w:txbxContent>
                    <w:p w:rsidR="003D4D68" w:rsidRPr="00803351" w:rsidRDefault="003D4D68" w:rsidP="00C476A9">
                      <w:pPr>
                        <w:spacing w:before="0" w:line="240" w:lineRule="auto"/>
                        <w:jc w:val="center"/>
                        <w:rPr>
                          <w:b/>
                          <w:bCs/>
                          <w:szCs w:val="22"/>
                          <w:rtl/>
                        </w:rPr>
                      </w:pPr>
                    </w:p>
                  </w:txbxContent>
                </v:textbox>
              </v:shape>
              <v:shape id="_x0000_s43172" type="#_x0000_t109" style="position:absolute;left:427;top:9311;width:2700;height:1090;flip:x;v-text-anchor:middle" fillcolor="#ff9">
                <v:fill color2="fill darken(202)" rotate="t" method="linear sigma" focus="100%" type="gradient"/>
                <v:textbox style="mso-next-textbox:#_x0000_s43172" inset="4.68pt,2.34pt,4.68pt,2.34pt">
                  <w:txbxContent>
                    <w:p w:rsidR="003D4D68" w:rsidRPr="008506E7" w:rsidRDefault="003D4D68" w:rsidP="00C476A9">
                      <w:pPr>
                        <w:spacing w:before="0" w:line="320" w:lineRule="exact"/>
                        <w:ind w:left="-57" w:right="-57"/>
                        <w:jc w:val="center"/>
                        <w:rPr>
                          <w:spacing w:val="-4"/>
                          <w:sz w:val="30"/>
                        </w:rPr>
                      </w:pPr>
                      <w:r w:rsidRPr="008506E7">
                        <w:rPr>
                          <w:rFonts w:hint="cs"/>
                          <w:spacing w:val="-4"/>
                          <w:sz w:val="30"/>
                          <w:rtl/>
                        </w:rPr>
                        <w:t>الترخيص الموحد مقترناً بفئات متعددة من التراخيص والت</w:t>
                      </w:r>
                      <w:r>
                        <w:rPr>
                          <w:rFonts w:hint="cs"/>
                          <w:spacing w:val="-4"/>
                          <w:sz w:val="30"/>
                          <w:rtl/>
                        </w:rPr>
                        <w:t>خ</w:t>
                      </w:r>
                      <w:r w:rsidRPr="008506E7">
                        <w:rPr>
                          <w:rFonts w:hint="cs"/>
                          <w:spacing w:val="-4"/>
                          <w:sz w:val="30"/>
                          <w:rtl/>
                        </w:rPr>
                        <w:t>ويلات</w:t>
                      </w:r>
                    </w:p>
                  </w:txbxContent>
                </v:textbox>
              </v:shape>
              <v:shape id="_x0000_s43173" type="#_x0000_t109" style="position:absolute;left:587;top:8411;width:2340;height:540;flip:x;v-text-anchor:middle" fillcolor="#ff9">
                <v:fill color2="fill darken(202)" rotate="t" method="linear sigma" focus="100%" type="gradient"/>
                <v:textbox style="mso-next-textbox:#_x0000_s43173" inset="4.68pt,2.34pt,4.68pt,2.34pt">
                  <w:txbxContent>
                    <w:p w:rsidR="003D4D68" w:rsidRPr="008506E7" w:rsidRDefault="003D4D68" w:rsidP="00C476A9">
                      <w:pPr>
                        <w:spacing w:before="0" w:line="240" w:lineRule="auto"/>
                        <w:jc w:val="center"/>
                        <w:rPr>
                          <w:sz w:val="30"/>
                        </w:rPr>
                      </w:pPr>
                      <w:r w:rsidRPr="008506E7">
                        <w:rPr>
                          <w:rFonts w:hint="cs"/>
                          <w:sz w:val="30"/>
                          <w:rtl/>
                        </w:rPr>
                        <w:t>الترخيص الموحد</w:t>
                      </w:r>
                    </w:p>
                  </w:txbxContent>
                </v:textbox>
              </v:shape>
              <v:shapetype id="_x0000_t202" coordsize="21600,21600" o:spt="202" path="m,l,21600r21600,l21600,xe">
                <v:stroke joinstyle="miter"/>
                <v:path gradientshapeok="t" o:connecttype="rect"/>
              </v:shapetype>
              <v:shape id="_x0000_s43174" type="#_x0000_t202" style="position:absolute;left:4127;top:7878;width:2800;height:893" filled="f" stroked="f">
                <v:textbox style="mso-next-textbox:#_x0000_s43174">
                  <w:txbxContent>
                    <w:p w:rsidR="003D4D68" w:rsidRPr="008506E7" w:rsidRDefault="003D4D68" w:rsidP="00C476A9">
                      <w:pPr>
                        <w:jc w:val="center"/>
                        <w:rPr>
                          <w:rFonts w:ascii="Times New Roman Bold" w:hAnsi="Times New Roman Bold"/>
                          <w:spacing w:val="-4"/>
                          <w:sz w:val="30"/>
                        </w:rPr>
                      </w:pPr>
                      <w:r w:rsidRPr="008506E7">
                        <w:rPr>
                          <w:rFonts w:ascii="Times New Roman Bold" w:hAnsi="Times New Roman Bold" w:hint="cs"/>
                          <w:b/>
                          <w:bCs/>
                          <w:spacing w:val="-4"/>
                          <w:sz w:val="30"/>
                          <w:rtl/>
                        </w:rPr>
                        <w:t>توحيد التراخيص والتخويلات</w:t>
                      </w:r>
                    </w:p>
                  </w:txbxContent>
                </v:textbox>
              </v:shape>
              <v:shape id="_x0000_s43175" type="#_x0000_t202" style="position:absolute;left:587;top:7757;width:2201;height:654" filled="f" stroked="f">
                <v:textbox style="mso-next-textbox:#_x0000_s43175">
                  <w:txbxContent>
                    <w:p w:rsidR="003D4D68" w:rsidRPr="008506E7" w:rsidRDefault="003D4D68" w:rsidP="00C476A9">
                      <w:pPr>
                        <w:jc w:val="center"/>
                        <w:rPr>
                          <w:sz w:val="30"/>
                        </w:rPr>
                      </w:pPr>
                      <w:r w:rsidRPr="008506E7">
                        <w:rPr>
                          <w:rFonts w:hint="cs"/>
                          <w:b/>
                          <w:bCs/>
                          <w:sz w:val="30"/>
                          <w:rtl/>
                        </w:rPr>
                        <w:t>الترخيص الموحد</w:t>
                      </w:r>
                    </w:p>
                  </w:txbxContent>
                </v:textbox>
              </v:shape>
            </v:group>
            <w10:wrap type="none"/>
            <w10:anchorlock/>
          </v:group>
        </w:pict>
      </w:r>
    </w:p>
    <w:p w:rsidR="00C476A9" w:rsidRDefault="00C476A9" w:rsidP="008E175E">
      <w:pPr>
        <w:pBdr>
          <w:bottom w:val="single" w:sz="18" w:space="1" w:color="auto"/>
        </w:pBdr>
        <w:spacing w:before="0" w:line="120" w:lineRule="auto"/>
        <w:jc w:val="center"/>
        <w:rPr>
          <w:rtl/>
        </w:rPr>
      </w:pPr>
    </w:p>
    <w:p w:rsidR="008E175E" w:rsidRDefault="008E175E" w:rsidP="008E175E">
      <w:pPr>
        <w:spacing w:before="0" w:line="120" w:lineRule="auto"/>
        <w:rPr>
          <w:rtl/>
        </w:rPr>
      </w:pPr>
      <w:r>
        <w:rPr>
          <w:rtl/>
        </w:rPr>
        <w:br w:type="page"/>
      </w:r>
    </w:p>
    <w:p w:rsidR="00C476A9" w:rsidRPr="0056354D" w:rsidRDefault="00C476A9" w:rsidP="00C476A9">
      <w:pPr>
        <w:spacing w:before="360"/>
        <w:rPr>
          <w:lang w:val="de-DE"/>
        </w:rPr>
      </w:pPr>
      <w:r w:rsidRPr="0056354D">
        <w:rPr>
          <w:rFonts w:hint="cs"/>
          <w:rtl/>
        </w:rPr>
        <w:lastRenderedPageBreak/>
        <w:t xml:space="preserve">ويتألف الاتجاه الثاني من تقليل أو إلغاء المتطلبات الإدارية والرسمية للدخول إلى السوق وتقديم الخدمة. ويشمل هذا الاتجاه تعديل فئة الترخيص العام للسماح بتقديم المزيد من الخدمات أو وضع أنظمة للإخطار أو التسجيل تحل محل التراخيص أو التخويلات العامة إجمالاً، ومن ثم تبسيط عملية الحصول عليها، وجعلها </w:t>
      </w:r>
      <w:r>
        <w:rPr>
          <w:rFonts w:hint="cs"/>
          <w:rtl/>
        </w:rPr>
        <w:t>أوتوماتية</w:t>
      </w:r>
      <w:r w:rsidRPr="0056354D">
        <w:rPr>
          <w:rFonts w:hint="cs"/>
          <w:rtl/>
        </w:rPr>
        <w:t>، في بعض الحالات. وأخيراً، اختارت بعض البلدان إلغاء الضوابط على الخدمات، ب</w:t>
      </w:r>
      <w:r>
        <w:rPr>
          <w:rFonts w:hint="cs"/>
          <w:rtl/>
        </w:rPr>
        <w:t>ما </w:t>
      </w:r>
      <w:r w:rsidRPr="0056354D">
        <w:rPr>
          <w:rFonts w:hint="cs"/>
          <w:rtl/>
        </w:rPr>
        <w:t xml:space="preserve">يشمل إلغاء التراخيص أو الامتيازات بل الحاجة إلى إخطار الهيئة التنظيمية أو التسجيل لديها. </w:t>
      </w:r>
    </w:p>
    <w:p w:rsidR="008E175E" w:rsidRDefault="008E175E" w:rsidP="008E175E">
      <w:pPr>
        <w:pBdr>
          <w:bottom w:val="single" w:sz="18" w:space="1" w:color="auto"/>
        </w:pBdr>
      </w:pPr>
    </w:p>
    <w:p w:rsidR="00C476A9" w:rsidRPr="00D83655" w:rsidRDefault="00C476A9" w:rsidP="008E175E">
      <w:pPr>
        <w:pStyle w:val="FigTitle"/>
        <w:spacing w:before="60" w:after="120"/>
        <w:rPr>
          <w:rtl/>
        </w:rPr>
      </w:pPr>
      <w:r w:rsidRPr="00D83655">
        <w:rPr>
          <w:rFonts w:hint="cs"/>
          <w:rtl/>
        </w:rPr>
        <w:t xml:space="preserve">الشكل </w:t>
      </w:r>
      <w:r w:rsidRPr="00D83655">
        <w:t>2</w:t>
      </w:r>
      <w:r w:rsidRPr="00D83655">
        <w:rPr>
          <w:rFonts w:hint="cs"/>
          <w:rtl/>
        </w:rPr>
        <w:t>: نماذج لتقليل المتطلبات الإدارية</w:t>
      </w:r>
      <w:r w:rsidRPr="00D83655">
        <w:t xml:space="preserve"> </w:t>
      </w:r>
      <w:r w:rsidRPr="00AD4FFC">
        <w:rPr>
          <w:vertAlign w:val="superscript"/>
          <w:lang w:val="de-DE"/>
        </w:rPr>
        <w:footnoteReference w:id="3"/>
      </w:r>
    </w:p>
    <w:p w:rsidR="00C476A9" w:rsidRDefault="0010681B" w:rsidP="00C476A9">
      <w:pPr>
        <w:spacing w:before="0" w:line="240" w:lineRule="auto"/>
        <w:jc w:val="center"/>
        <w:rPr>
          <w:b/>
          <w:bCs/>
        </w:rPr>
      </w:pPr>
      <w:r w:rsidRPr="0010681B">
        <w:rPr>
          <w:b/>
          <w:bCs/>
        </w:rPr>
      </w:r>
      <w:r>
        <w:rPr>
          <w:b/>
          <w:bCs/>
        </w:rPr>
        <w:pict>
          <v:group id="_x0000_s43147" editas="canvas" style="width:7in;height:108pt;mso-position-horizontal-relative:char;mso-position-vertical-relative:line" coordorigin="2168,2420" coordsize="10080,2160">
            <o:lock v:ext="edit" aspectratio="t"/>
            <v:shape id="_x0000_s43148"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group id="_x0000_s43149" style="position:absolute;left:2260;top:2960;width:9804;height:1080" coordorigin="2260,2960" coordsize="9804,1080">
              <v:shape id="_x0000_s43150" type="#_x0000_t109" style="position:absolute;left:10716;top:2960;width:1348;height:1080;flip:x;v-text-anchor:middle" fillcolor="#9cf" strokeweight="1.25pt">
                <v:fill color2="fill darken(130)" rotate="t" method="linear sigma" focus="100%" type="gradient"/>
                <v:textbox style="mso-next-textbox:#_x0000_s43150" inset="4.68pt,10.8pt,4.68pt,2.34pt">
                  <w:txbxContent>
                    <w:p w:rsidR="003D4D68" w:rsidRPr="004954F8" w:rsidRDefault="003D4D68" w:rsidP="00C476A9">
                      <w:pPr>
                        <w:spacing w:before="0"/>
                        <w:jc w:val="center"/>
                        <w:rPr>
                          <w:b/>
                          <w:bCs/>
                          <w:sz w:val="30"/>
                          <w:rtl/>
                        </w:rPr>
                      </w:pPr>
                      <w:r w:rsidRPr="004954F8">
                        <w:rPr>
                          <w:rFonts w:hint="cs"/>
                          <w:b/>
                          <w:bCs/>
                          <w:sz w:val="30"/>
                          <w:rtl/>
                        </w:rPr>
                        <w:t>ترخيص فردي</w:t>
                      </w:r>
                    </w:p>
                  </w:txbxContent>
                </v:textbox>
              </v:shape>
              <v:shape id="_x0000_s43151" type="#_x0000_t109" style="position:absolute;left:8916;top:2960;width:1119;height:1080;flip:x;v-text-anchor:middle" fillcolor="#9cf" strokeweight="1.25pt">
                <v:fill color2="fill darken(121)" rotate="t" method="linear sigma" focus="100%" type="gradient"/>
                <v:textbox style="mso-next-textbox:#_x0000_s43151" inset="4.68pt,10.8pt,4.68pt,2.34pt">
                  <w:txbxContent>
                    <w:p w:rsidR="003D4D68" w:rsidRPr="004954F8" w:rsidRDefault="003D4D68" w:rsidP="00C476A9">
                      <w:pPr>
                        <w:spacing w:before="0"/>
                        <w:jc w:val="center"/>
                        <w:rPr>
                          <w:b/>
                          <w:bCs/>
                          <w:sz w:val="30"/>
                          <w:rtl/>
                        </w:rPr>
                      </w:pPr>
                      <w:r w:rsidRPr="004954F8">
                        <w:rPr>
                          <w:rFonts w:hint="cs"/>
                          <w:b/>
                          <w:bCs/>
                          <w:sz w:val="30"/>
                          <w:rtl/>
                        </w:rPr>
                        <w:t>ترخيص بالفئة</w:t>
                      </w:r>
                    </w:p>
                  </w:txbxContent>
                </v:textbox>
              </v:shape>
              <v:shape id="_x0000_s43152" type="#_x0000_t109" style="position:absolute;left:6576;top:2960;width:1620;height:1080;flip:x;v-text-anchor:middle" fillcolor="#9cf" strokeweight="1.25pt">
                <v:fill color2="fill darken(146)" rotate="t" method="linear sigma" focus="100%" type="gradient"/>
                <v:textbox style="mso-next-textbox:#_x0000_s43152" inset="4.68pt,16.56pt,4.68pt,2.34pt">
                  <w:txbxContent>
                    <w:p w:rsidR="003D4D68" w:rsidRPr="004954F8" w:rsidRDefault="003D4D68" w:rsidP="00C476A9">
                      <w:pPr>
                        <w:spacing w:before="0"/>
                        <w:jc w:val="center"/>
                        <w:rPr>
                          <w:b/>
                          <w:bCs/>
                          <w:sz w:val="30"/>
                          <w:rtl/>
                        </w:rPr>
                      </w:pPr>
                      <w:r w:rsidRPr="004954F8">
                        <w:rPr>
                          <w:rFonts w:hint="cs"/>
                          <w:b/>
                          <w:bCs/>
                          <w:sz w:val="30"/>
                          <w:rtl/>
                        </w:rPr>
                        <w:t>تسجيل</w:t>
                      </w:r>
                    </w:p>
                  </w:txbxContent>
                </v:textbox>
              </v:shape>
              <v:shape id="_x0000_s43153" type="#_x0000_t109" style="position:absolute;left:4346;top:2960;width:1520;height:1080;flip:x;v-text-anchor:middle" fillcolor="#9cf" strokeweight="1.25pt">
                <v:fill color2="fill darken(138)" rotate="t" method="linear sigma" focus="100%" type="gradient"/>
                <v:textbox style="mso-next-textbox:#_x0000_s43153" inset="4.68pt,16.56pt,4.68pt,2.34pt">
                  <w:txbxContent>
                    <w:p w:rsidR="003D4D68" w:rsidRPr="004954F8" w:rsidRDefault="003D4D68" w:rsidP="00C476A9">
                      <w:pPr>
                        <w:spacing w:before="0"/>
                        <w:jc w:val="center"/>
                        <w:rPr>
                          <w:b/>
                          <w:bCs/>
                          <w:sz w:val="30"/>
                          <w:rtl/>
                        </w:rPr>
                      </w:pPr>
                      <w:r w:rsidRPr="004954F8">
                        <w:rPr>
                          <w:rFonts w:hint="cs"/>
                          <w:b/>
                          <w:bCs/>
                          <w:sz w:val="30"/>
                          <w:rtl/>
                        </w:rPr>
                        <w:t>إخطار</w:t>
                      </w:r>
                    </w:p>
                  </w:txbxContent>
                </v:textbox>
              </v:shape>
              <v:shape id="_x0000_s43154" type="#_x0000_t109" style="position:absolute;left:2260;top:2960;width:1436;height:1080;flip:x;v-text-anchor:middle" fillcolor="#9cf" strokeweight="1.25pt">
                <v:fill color2="fill darken(146)" rotate="t" method="linear sigma" focus="100%" type="gradient"/>
                <v:textbox style="mso-next-textbox:#_x0000_s43154" inset="4.68pt,16.56pt,4.68pt,9.36pt">
                  <w:txbxContent>
                    <w:p w:rsidR="003D4D68" w:rsidRPr="004954F8" w:rsidRDefault="003D4D68" w:rsidP="00C476A9">
                      <w:pPr>
                        <w:spacing w:before="0"/>
                        <w:jc w:val="center"/>
                        <w:rPr>
                          <w:b/>
                          <w:bCs/>
                          <w:sz w:val="30"/>
                          <w:rtl/>
                        </w:rPr>
                      </w:pPr>
                      <w:r w:rsidRPr="004954F8">
                        <w:rPr>
                          <w:rFonts w:hint="cs"/>
                          <w:b/>
                          <w:bCs/>
                          <w:sz w:val="30"/>
                          <w:rtl/>
                        </w:rPr>
                        <w:t>إلغاء القيود</w:t>
                      </w:r>
                    </w:p>
                  </w:txbxContent>
                </v:textbox>
              </v:shape>
              <v:shape id="_x0000_s43155" type="#_x0000_t13" style="position:absolute;left:10176;top:3140;width:360;height:720;flip:x" fillcolor="#9cf" strokeweight="1.25pt">
                <v:fill color2="fill darken(130)" rotate="t" method="linear sigma" focus="100%" type="gradient"/>
              </v:shape>
              <v:shape id="_x0000_s43156" type="#_x0000_t13" style="position:absolute;left:8376;top:3140;width:360;height:720;flip:x" fillcolor="#9cf" strokeweight="1.25pt">
                <v:fill color2="fill darken(130)" rotate="t" method="linear sigma" focus="100%" type="gradient"/>
              </v:shape>
              <v:shape id="_x0000_s43157" type="#_x0000_t13" style="position:absolute;left:6036;top:3140;width:360;height:720;flip:x" fillcolor="#9cf" strokeweight="1.25pt">
                <v:fill color2="fill darken(130)" rotate="t" method="linear sigma" focus="100%" type="gradient"/>
              </v:shape>
              <v:shape id="_x0000_s43158" type="#_x0000_t13" style="position:absolute;left:3826;top:3140;width:360;height:720;flip:x" fillcolor="#9cf" strokeweight="1.25pt">
                <v:fill color2="fill darken(130)" rotate="t" method="linear sigma" focus="100%" type="gradient"/>
              </v:shape>
            </v:group>
            <w10:wrap type="none"/>
            <w10:anchorlock/>
          </v:group>
        </w:pict>
      </w:r>
    </w:p>
    <w:p w:rsidR="00680EA6" w:rsidRDefault="00680EA6" w:rsidP="00680EA6">
      <w:pPr>
        <w:pBdr>
          <w:bottom w:val="single" w:sz="18" w:space="1" w:color="auto"/>
        </w:pBdr>
        <w:spacing w:before="0" w:line="120" w:lineRule="auto"/>
        <w:jc w:val="center"/>
        <w:rPr>
          <w:b/>
          <w:bCs/>
          <w:rtl/>
        </w:rPr>
      </w:pPr>
    </w:p>
    <w:p w:rsidR="00C476A9" w:rsidRPr="0056354D" w:rsidRDefault="00C476A9" w:rsidP="00C476A9">
      <w:pPr>
        <w:spacing w:before="240" w:after="240"/>
        <w:rPr>
          <w:rtl/>
        </w:rPr>
      </w:pPr>
      <w:r w:rsidRPr="0056354D">
        <w:rPr>
          <w:rFonts w:hint="cs"/>
          <w:rtl/>
        </w:rPr>
        <w:t>وتقترن الاتجاهات عادة بغية تحقيق مزيد من التبسيط والمرونة. ومن المهم ملاحظة أن أي تعديل يدخل يجب إدارته لتقليل أوجه عدم الترابط بين القواعد الجديدة والقائمة. كذلك، تعتبر الإصلاحات في منح التراخيص أكثر فعالية في مواجهة تحديات التقارب في حالة تطبيق المرونة والحياد التكنولوجي على حقوق والتزامات مشغلي الاتصالات بالإضافة إلى العناصر الأساسية الأخرى للإطار التنظيمي، ب</w:t>
      </w:r>
      <w:r>
        <w:rPr>
          <w:rFonts w:hint="cs"/>
          <w:rtl/>
        </w:rPr>
        <w:t>ما </w:t>
      </w:r>
      <w:r w:rsidRPr="0056354D">
        <w:rPr>
          <w:rFonts w:hint="cs"/>
          <w:rtl/>
        </w:rPr>
        <w:t xml:space="preserve">في ذلك التوصيل </w:t>
      </w:r>
      <w:r>
        <w:rPr>
          <w:rFonts w:hint="cs"/>
          <w:rtl/>
        </w:rPr>
        <w:t>البيني</w:t>
      </w:r>
      <w:r w:rsidRPr="0056354D">
        <w:rPr>
          <w:rFonts w:hint="cs"/>
          <w:rtl/>
        </w:rPr>
        <w:t xml:space="preserve">، والترقيم، والخدمة الشاملة واستعمال الطيف. </w:t>
      </w:r>
    </w:p>
    <w:p w:rsidR="00C476A9" w:rsidRPr="0056354D" w:rsidRDefault="00C476A9" w:rsidP="00C476A9">
      <w:pPr>
        <w:rPr>
          <w:rtl/>
        </w:rPr>
      </w:pPr>
      <w:r w:rsidRPr="0056354D">
        <w:rPr>
          <w:rFonts w:hint="cs"/>
          <w:rtl/>
        </w:rPr>
        <w:t>ويعتبر زيادة تطبيق أطر منح التراخيص المتقاربة بمثابة إقرار بمبدأين رئيسيين، ك</w:t>
      </w:r>
      <w:r>
        <w:rPr>
          <w:rFonts w:hint="cs"/>
          <w:rtl/>
        </w:rPr>
        <w:t>ما </w:t>
      </w:r>
      <w:r w:rsidRPr="0056354D">
        <w:rPr>
          <w:rFonts w:hint="cs"/>
          <w:rtl/>
        </w:rPr>
        <w:t xml:space="preserve">يلاحظ في ربط النظام العالمي للاتصالات المتنقلة </w:t>
      </w:r>
      <w:r w:rsidRPr="0056354D">
        <w:rPr>
          <w:lang w:val="fr-CH"/>
        </w:rPr>
        <w:t>GSM</w:t>
      </w:r>
      <w:r w:rsidRPr="0056354D">
        <w:rPr>
          <w:rFonts w:hint="cs"/>
          <w:rtl/>
        </w:rPr>
        <w:t>: يُمكن ربط التكنولوجيات المتباينة (ب</w:t>
      </w:r>
      <w:r>
        <w:rPr>
          <w:rFonts w:hint="cs"/>
          <w:rtl/>
        </w:rPr>
        <w:t>ما </w:t>
      </w:r>
      <w:r w:rsidRPr="0056354D">
        <w:rPr>
          <w:rFonts w:hint="cs"/>
          <w:rtl/>
        </w:rPr>
        <w:t xml:space="preserve">في ذلك الثابتة والكبلية والمتنقلة) </w:t>
      </w:r>
      <w:r>
        <w:rPr>
          <w:rFonts w:hint="cs"/>
          <w:rtl/>
        </w:rPr>
        <w:t>ل</w:t>
      </w:r>
      <w:r w:rsidRPr="0056354D">
        <w:rPr>
          <w:rFonts w:hint="cs"/>
          <w:rtl/>
        </w:rPr>
        <w:t>تقديم خدمات تنافسية، وقد تبينت زيادة المنافسة في تقديم هذه الخدمات بأقل الأسعار وبنوعية عالية، فضلاً عن تشجيع إدخال خدمات جديدة</w:t>
      </w:r>
      <w:r w:rsidRPr="0056354D">
        <w:rPr>
          <w:vertAlign w:val="superscript"/>
          <w:lang w:val="de-DE"/>
        </w:rPr>
        <w:footnoteReference w:id="4"/>
      </w:r>
      <w:r w:rsidRPr="0056354D">
        <w:rPr>
          <w:rFonts w:hint="cs"/>
          <w:rtl/>
        </w:rPr>
        <w:t xml:space="preserve">. </w:t>
      </w:r>
    </w:p>
    <w:p w:rsidR="00C476A9" w:rsidRPr="0056354D" w:rsidRDefault="00C476A9" w:rsidP="00C476A9">
      <w:pPr>
        <w:pStyle w:val="Heading1"/>
        <w:rPr>
          <w:rtl/>
        </w:rPr>
      </w:pPr>
      <w:bookmarkStart w:id="7" w:name="_Toc259454299"/>
      <w:r w:rsidRPr="0056354D">
        <w:rPr>
          <w:lang w:val="fr-CH"/>
        </w:rPr>
        <w:t>2</w:t>
      </w:r>
      <w:r w:rsidRPr="0056354D">
        <w:rPr>
          <w:rFonts w:hint="cs"/>
          <w:rtl/>
        </w:rPr>
        <w:tab/>
        <w:t>النهج المتبعة في منح التخويلات</w:t>
      </w:r>
      <w:bookmarkEnd w:id="7"/>
    </w:p>
    <w:p w:rsidR="00C476A9" w:rsidRPr="00FC4CE0" w:rsidRDefault="00C476A9" w:rsidP="00C476A9">
      <w:pPr>
        <w:rPr>
          <w:rtl/>
        </w:rPr>
      </w:pPr>
      <w:r w:rsidRPr="00FC4CE0">
        <w:rPr>
          <w:rFonts w:hint="cs"/>
          <w:rtl/>
        </w:rPr>
        <w:t xml:space="preserve">على ضوء القضايا التنظيمية النابعة من التقارب والتحول إلى بيئة شبكات الجيل التالي </w:t>
      </w:r>
      <w:r w:rsidRPr="00FC4CE0">
        <w:rPr>
          <w:lang w:val="fr-CH"/>
        </w:rPr>
        <w:t>(NGN)</w:t>
      </w:r>
      <w:r w:rsidRPr="00FC4CE0">
        <w:rPr>
          <w:rFonts w:hint="cs"/>
          <w:rtl/>
        </w:rPr>
        <w:t>، بدأت الهيئات التنظيمية في اعتماد نهج الخدمة المحددة على منح التخويلات</w:t>
      </w:r>
      <w:r w:rsidRPr="00FC4CE0">
        <w:rPr>
          <w:vertAlign w:val="superscript"/>
          <w:lang w:val="de-DE"/>
        </w:rPr>
        <w:footnoteReference w:id="5"/>
      </w:r>
      <w:r w:rsidRPr="00FC4CE0">
        <w:rPr>
          <w:rFonts w:hint="cs"/>
          <w:rtl/>
        </w:rPr>
        <w:t xml:space="preserve">. وثمة ثلاثة نهج واسعة جديدة لمنح التخويلات في قطاع تكنولوجيا المعلومات والاتصالات: </w:t>
      </w:r>
    </w:p>
    <w:p w:rsidR="00C476A9" w:rsidRPr="0056354D" w:rsidRDefault="00497E3D" w:rsidP="00C476A9">
      <w:pPr>
        <w:pStyle w:val="enumlev1"/>
        <w:rPr>
          <w:rtl/>
        </w:rPr>
      </w:pPr>
      <w:r>
        <w:sym w:font="Symbol" w:char="F0B7"/>
      </w:r>
      <w:r w:rsidR="00C476A9" w:rsidRPr="0056354D">
        <w:rPr>
          <w:rFonts w:hint="cs"/>
          <w:rtl/>
        </w:rPr>
        <w:tab/>
      </w:r>
      <w:r w:rsidR="00C476A9" w:rsidRPr="0056354D">
        <w:rPr>
          <w:rFonts w:hint="cs"/>
          <w:b/>
          <w:bCs/>
          <w:rtl/>
        </w:rPr>
        <w:t>منح التخويلات لخدمة محددة:</w:t>
      </w:r>
      <w:r w:rsidR="00C476A9" w:rsidRPr="0056354D">
        <w:rPr>
          <w:rFonts w:hint="cs"/>
          <w:rtl/>
        </w:rPr>
        <w:t xml:space="preserve"> تسمح هذه التخويلات لحامل الترخيص بتقديم نمط محدد من الخدمات. وعادة </w:t>
      </w:r>
      <w:r w:rsidR="00C476A9">
        <w:rPr>
          <w:rFonts w:hint="cs"/>
          <w:rtl/>
        </w:rPr>
        <w:t>ما </w:t>
      </w:r>
      <w:r w:rsidR="00C476A9" w:rsidRPr="0056354D">
        <w:rPr>
          <w:rFonts w:hint="cs"/>
          <w:rtl/>
        </w:rPr>
        <w:t>يطالب حامل الترخيص باستعمال نمط محدد من الشبكات والبنية الأساسية التكنولوجية. بيد أن، بعض أنظمة تخويلات الخدمة المحددة تعتبر محايدة تكنولوجيا</w:t>
      </w:r>
      <w:r w:rsidR="00C476A9">
        <w:rPr>
          <w:rFonts w:hint="cs"/>
          <w:rtl/>
        </w:rPr>
        <w:t>ً</w:t>
      </w:r>
      <w:r w:rsidR="00C476A9" w:rsidRPr="0056354D">
        <w:rPr>
          <w:rFonts w:hint="cs"/>
          <w:rtl/>
        </w:rPr>
        <w:t xml:space="preserve"> (على سبيل المثال، نظام تخويلات الخدمة الثابتة والمتنقلة في المملكة العربية السعودية وتراخيص خدمات الاتصالات الدولية الأساسية في كندا). وتصدر هذه الأنماط من التخويلات أحياناً باعتبارها تراخيص فردية (خاصة في الاقتصادات النامية والاقتصادات التي تمر بمرحلة انتقالية) وتصدر أحياناً باعتبارها تخويلات عامة. </w:t>
      </w:r>
    </w:p>
    <w:p w:rsidR="00C476A9" w:rsidRPr="00951813" w:rsidRDefault="00497E3D" w:rsidP="00FC4CE0">
      <w:pPr>
        <w:pStyle w:val="enumlev1"/>
        <w:rPr>
          <w:rtl/>
        </w:rPr>
      </w:pPr>
      <w:r>
        <w:sym w:font="Symbol" w:char="F0B7"/>
      </w:r>
      <w:r w:rsidR="00C476A9" w:rsidRPr="00951813">
        <w:rPr>
          <w:rFonts w:hint="cs"/>
          <w:rtl/>
        </w:rPr>
        <w:tab/>
      </w:r>
      <w:r w:rsidR="00C476A9" w:rsidRPr="00951813">
        <w:rPr>
          <w:rFonts w:hint="cs"/>
          <w:b/>
          <w:bCs/>
          <w:rtl/>
        </w:rPr>
        <w:t>التخويلات الموحدة (أو الشاملة):</w:t>
      </w:r>
      <w:r w:rsidR="00C476A9" w:rsidRPr="00951813">
        <w:rPr>
          <w:rFonts w:hint="cs"/>
          <w:rtl/>
        </w:rPr>
        <w:t xml:space="preserve"> هذه التخويلات محايدة تكنولوجياً وعلى مستوى الخدمة. وهي تسمح لحامل الترخيص بتقديم كافة أشكال الخدمات في إطار مظلة لتخويل وحيد، وذلك باستعمال أي نمط من البنية الأساسية وتكنولوجيا الاتصالات القادرة على تقديم الخدمة المنشودة. وتصدر التخويلات الموحدة، في معظم البلدان، باعتبارها تراخيص فردية. غير أن عملية إصدار التراخيص الموحدة، في بعض البلدان، تمزج بين جوانب عمليات الترخيص العامة ونظم الترخيص </w:t>
      </w:r>
      <w:r w:rsidR="00C476A9" w:rsidRPr="00951813">
        <w:rPr>
          <w:rFonts w:hint="cs"/>
          <w:rtl/>
        </w:rPr>
        <w:lastRenderedPageBreak/>
        <w:t xml:space="preserve">الفردية. وأفضل طريقة لوصف هذه العمليات الهجين هي باعتبارها عمليات ترخيص فردية غير تنافسية: وفي حين لا يتنافس أصحاب الطلبات على عدد محدود من التخويلات، إلا أنه يجب عليهم استيفاء مجموعة متنوعة من المعايير لتأهيلهم للحصول على ترخيص وتخضع طلباتهم لتدقيق صارم من الهيئة التنظيمية. </w:t>
      </w:r>
    </w:p>
    <w:p w:rsidR="00C476A9" w:rsidRPr="0056354D" w:rsidRDefault="00497E3D" w:rsidP="00C476A9">
      <w:pPr>
        <w:pStyle w:val="enumlev1"/>
        <w:rPr>
          <w:rtl/>
        </w:rPr>
      </w:pPr>
      <w:r>
        <w:sym w:font="Symbol" w:char="F0B7"/>
      </w:r>
      <w:r w:rsidR="00C476A9" w:rsidRPr="0056354D">
        <w:rPr>
          <w:rFonts w:hint="cs"/>
          <w:rtl/>
        </w:rPr>
        <w:tab/>
      </w:r>
      <w:r w:rsidR="00C476A9" w:rsidRPr="0056354D">
        <w:rPr>
          <w:rFonts w:hint="cs"/>
          <w:b/>
          <w:bCs/>
          <w:rtl/>
        </w:rPr>
        <w:t>تخويلات متعددة الخدمات:</w:t>
      </w:r>
      <w:r w:rsidR="00C476A9" w:rsidRPr="0056354D">
        <w:rPr>
          <w:rFonts w:hint="cs"/>
          <w:rtl/>
        </w:rPr>
        <w:t xml:space="preserve"> تسمح هذه التخويلات لمقدمي الخدمة بتقديم خدمات متعددة في إطار مظلة تخويل وحيد، وذلك باستعمال أي نمط من البنية الأساسية وتكنولوجيا الاتصالات القادرة على تقديم الخدمات قيد البحث. وعلى غرار التخويلات الموحدة، تعتبر التخويلات متعددة الخدمات محايدة تكنولوجياً، ويسمح لحامل الترخيص أي لأي مجموعة من الخدمات المعينة، لكن ليس أي خدمة أو جميع الخدمات. وتصدر التخويلات متعددة الخدمات أحياناً باعتبارها تخويلات عامة، وفي حالات أخرى، تصدر باعتبارها تراخيص فردية. وليس من الاستثنائي بالنسبة لبلد </w:t>
      </w:r>
      <w:r w:rsidR="00C476A9">
        <w:rPr>
          <w:rFonts w:hint="cs"/>
          <w:rtl/>
        </w:rPr>
        <w:t>ما </w:t>
      </w:r>
      <w:r w:rsidR="00C476A9" w:rsidRPr="0056354D">
        <w:rPr>
          <w:rFonts w:hint="cs"/>
          <w:rtl/>
        </w:rPr>
        <w:t xml:space="preserve">أن تكون لديه أنظمة تخويلات عامة وأنظمة ترخيص فردي على السواء لتخويلاتها متعددة الخدمات. وتصدر التخويلات الفردية للخدمات المتعددة في كثير من الحالات باستعمال عملية منح الترخيص الفردي غير التنافسي. </w:t>
      </w:r>
    </w:p>
    <w:p w:rsidR="00C476A9" w:rsidRPr="0056354D" w:rsidRDefault="00C476A9" w:rsidP="00C476A9">
      <w:pPr>
        <w:pStyle w:val="Heading1"/>
        <w:rPr>
          <w:rtl/>
        </w:rPr>
      </w:pPr>
      <w:bookmarkStart w:id="8" w:name="_Toc259454300"/>
      <w:r w:rsidRPr="0056354D">
        <w:rPr>
          <w:lang w:val="fr-CH"/>
        </w:rPr>
        <w:t>3</w:t>
      </w:r>
      <w:r w:rsidRPr="0056354D">
        <w:rPr>
          <w:rFonts w:hint="cs"/>
          <w:rtl/>
        </w:rPr>
        <w:tab/>
        <w:t>نظرة شاملة على الأطر التنظيمية</w:t>
      </w:r>
      <w:bookmarkEnd w:id="8"/>
    </w:p>
    <w:p w:rsidR="00C476A9" w:rsidRPr="0056354D" w:rsidRDefault="00C476A9" w:rsidP="00C476A9">
      <w:pPr>
        <w:pStyle w:val="Heading2"/>
        <w:rPr>
          <w:rtl/>
        </w:rPr>
      </w:pPr>
      <w:bookmarkStart w:id="9" w:name="_Toc259454301"/>
      <w:r w:rsidRPr="0056354D">
        <w:rPr>
          <w:lang w:val="fr-CH"/>
        </w:rPr>
        <w:t>1.3</w:t>
      </w:r>
      <w:r w:rsidRPr="0056354D">
        <w:rPr>
          <w:rFonts w:hint="cs"/>
          <w:rtl/>
        </w:rPr>
        <w:tab/>
        <w:t>تبسيط منح التراخيص</w:t>
      </w:r>
      <w:bookmarkEnd w:id="9"/>
    </w:p>
    <w:p w:rsidR="00C476A9" w:rsidRPr="0056354D" w:rsidRDefault="00C476A9" w:rsidP="00C476A9">
      <w:pPr>
        <w:pStyle w:val="Heading3"/>
        <w:rPr>
          <w:rtl/>
        </w:rPr>
      </w:pPr>
      <w:bookmarkStart w:id="10" w:name="_Toc259454302"/>
      <w:r w:rsidRPr="0056354D">
        <w:rPr>
          <w:lang w:val="fr-CH"/>
        </w:rPr>
        <w:t>1.1.3</w:t>
      </w:r>
      <w:r w:rsidRPr="0056354D">
        <w:rPr>
          <w:rFonts w:hint="cs"/>
          <w:rtl/>
        </w:rPr>
        <w:tab/>
        <w:t>توحيد التراخيص</w:t>
      </w:r>
      <w:bookmarkEnd w:id="10"/>
    </w:p>
    <w:p w:rsidR="00C476A9" w:rsidRPr="0056354D" w:rsidRDefault="00C476A9" w:rsidP="00C476A9">
      <w:pPr>
        <w:rPr>
          <w:rtl/>
        </w:rPr>
      </w:pPr>
      <w:r w:rsidRPr="0056354D">
        <w:rPr>
          <w:rFonts w:hint="cs"/>
          <w:rtl/>
        </w:rPr>
        <w:t>يشمل توحيد التراخيص إعادة تصنيف خدمات الاتصالات القائمة إلى فئات مختلفة تقوم على الحياد التكنولوجي. وكنتيجة لذلك، يخفض عدد التراخيص والخدمات المدرجة في كل توسع. وكان هذا هو الخيار الذي اتبعه كثير من البلدان، ب</w:t>
      </w:r>
      <w:r>
        <w:rPr>
          <w:rFonts w:hint="cs"/>
          <w:rtl/>
        </w:rPr>
        <w:t>ما </w:t>
      </w:r>
      <w:r w:rsidRPr="0056354D">
        <w:rPr>
          <w:rFonts w:hint="cs"/>
          <w:rtl/>
        </w:rPr>
        <w:t xml:space="preserve">في ذلك ماليزيا وتنزانيا وأوغندا وسنغافورة. </w:t>
      </w:r>
    </w:p>
    <w:p w:rsidR="00C476A9" w:rsidRPr="0056354D" w:rsidRDefault="00C476A9" w:rsidP="00C476A9">
      <w:pPr>
        <w:rPr>
          <w:rtl/>
        </w:rPr>
      </w:pPr>
      <w:r w:rsidRPr="0056354D">
        <w:rPr>
          <w:rFonts w:hint="cs"/>
          <w:rtl/>
        </w:rPr>
        <w:t>وفي ماليزيا، اعترف النظام التنظيمي ب</w:t>
      </w:r>
      <w:r>
        <w:rPr>
          <w:rFonts w:hint="cs"/>
          <w:rtl/>
        </w:rPr>
        <w:t>ما </w:t>
      </w:r>
      <w:r w:rsidRPr="0056354D">
        <w:rPr>
          <w:rFonts w:hint="cs"/>
          <w:rtl/>
        </w:rPr>
        <w:t xml:space="preserve">مجموعه </w:t>
      </w:r>
      <w:r w:rsidRPr="0056354D">
        <w:rPr>
          <w:lang w:val="de-DE"/>
        </w:rPr>
        <w:t>31</w:t>
      </w:r>
      <w:r w:rsidRPr="0056354D">
        <w:rPr>
          <w:rFonts w:hint="cs"/>
          <w:rtl/>
        </w:rPr>
        <w:t xml:space="preserve"> ترخيصاً يقوم على الخدمات والشبكات، مثل مشغلي الشبكات الدولية والوطنية، والاتصالات المتنقلة، ومراكز التبادل الهاتفي، ومقدمي خدمة الإنترنت، والخدمات ذات القيمة المضافة والإذاعة و</w:t>
      </w:r>
      <w:r>
        <w:rPr>
          <w:rFonts w:hint="cs"/>
          <w:rtl/>
        </w:rPr>
        <w:t>ما </w:t>
      </w:r>
      <w:r w:rsidRPr="0056354D">
        <w:rPr>
          <w:rFonts w:hint="cs"/>
          <w:rtl/>
        </w:rPr>
        <w:t xml:space="preserve">إلى ذلك. ولتكييف نظام ترخيصها مع التقارب، قامت ماليزيا بتخفيض عدد تراخيصها </w:t>
      </w:r>
      <w:r>
        <w:rPr>
          <w:rFonts w:hint="cs"/>
          <w:rtl/>
        </w:rPr>
        <w:t>البالغ</w:t>
      </w:r>
      <w:r w:rsidRPr="0056354D">
        <w:rPr>
          <w:rFonts w:hint="cs"/>
          <w:rtl/>
        </w:rPr>
        <w:t xml:space="preserve"> </w:t>
      </w:r>
      <w:r w:rsidRPr="0056354D">
        <w:rPr>
          <w:lang w:val="de-DE"/>
        </w:rPr>
        <w:t>31</w:t>
      </w:r>
      <w:r w:rsidRPr="0056354D">
        <w:rPr>
          <w:rFonts w:hint="cs"/>
          <w:rtl/>
        </w:rPr>
        <w:t xml:space="preserve"> ترخيصاً إلى الفئات الأربع التالية المحايدة تكنولوجياً</w:t>
      </w:r>
      <w:r w:rsidRPr="0056354D">
        <w:rPr>
          <w:vertAlign w:val="superscript"/>
          <w:lang w:val="de-DE"/>
        </w:rPr>
        <w:footnoteReference w:id="6"/>
      </w:r>
      <w:r w:rsidRPr="0056354D">
        <w:rPr>
          <w:rFonts w:hint="cs"/>
          <w:rtl/>
        </w:rPr>
        <w:t>:</w:t>
      </w:r>
    </w:p>
    <w:p w:rsidR="00C476A9" w:rsidRPr="0056354D" w:rsidRDefault="00497E3D" w:rsidP="00C476A9">
      <w:pPr>
        <w:pStyle w:val="enumlev1"/>
        <w:rPr>
          <w:rtl/>
        </w:rPr>
      </w:pPr>
      <w:r>
        <w:sym w:font="Symbol" w:char="F0B7"/>
      </w:r>
      <w:r w:rsidR="00C476A9" w:rsidRPr="0056354D">
        <w:rPr>
          <w:rFonts w:hint="cs"/>
          <w:rtl/>
        </w:rPr>
        <w:tab/>
        <w:t>يشمل مقدم تسهيلات الشبكة جميع مشغلي البنى الأساسية من أي نوع (أنظمة محطات الأرض الساتلية، والألياف البصرية، وأنظمة الاتصالات المتنقلة القائمة على المحطات، و</w:t>
      </w:r>
      <w:r w:rsidR="00C476A9">
        <w:rPr>
          <w:rFonts w:hint="cs"/>
          <w:rtl/>
        </w:rPr>
        <w:t>ما </w:t>
      </w:r>
      <w:r w:rsidR="00C476A9" w:rsidRPr="0056354D">
        <w:rPr>
          <w:rFonts w:hint="cs"/>
          <w:rtl/>
        </w:rPr>
        <w:t xml:space="preserve">إلى ذلك). </w:t>
      </w:r>
    </w:p>
    <w:p w:rsidR="00C476A9" w:rsidRPr="0056354D" w:rsidRDefault="00497E3D" w:rsidP="00C476A9">
      <w:pPr>
        <w:pStyle w:val="enumlev1"/>
        <w:rPr>
          <w:rtl/>
        </w:rPr>
      </w:pPr>
      <w:r>
        <w:sym w:font="Symbol" w:char="F0B7"/>
      </w:r>
      <w:r w:rsidR="00C476A9" w:rsidRPr="0056354D">
        <w:rPr>
          <w:rFonts w:hint="cs"/>
          <w:rtl/>
        </w:rPr>
        <w:tab/>
        <w:t xml:space="preserve">يغطي مقدمو خدمات الشبكة أولئك الذين يوفرون التوصيلية الأساسية والتوصيلية عريضة النطاق لدعم التطبيقات. وتسمح هذه التراخيص بالتوصيلية ووصلات التوصيل بين الشبكات المختلفة. </w:t>
      </w:r>
    </w:p>
    <w:p w:rsidR="00C476A9" w:rsidRPr="0056354D" w:rsidRDefault="00497E3D" w:rsidP="00C476A9">
      <w:pPr>
        <w:pStyle w:val="enumlev1"/>
        <w:rPr>
          <w:rtl/>
        </w:rPr>
      </w:pPr>
      <w:r>
        <w:sym w:font="Symbol" w:char="F0B7"/>
      </w:r>
      <w:r w:rsidR="00C476A9" w:rsidRPr="0056354D">
        <w:rPr>
          <w:rFonts w:hint="cs"/>
          <w:rtl/>
        </w:rPr>
        <w:tab/>
        <w:t>يخصص مقدم تطبيقات الخدمة للمشغلين الذين يقدمون وظائف مثل خدمات الصوت، والبيانات والمحتوى و</w:t>
      </w:r>
      <w:r w:rsidR="00C476A9">
        <w:rPr>
          <w:rFonts w:hint="cs"/>
          <w:rtl/>
        </w:rPr>
        <w:t>خدمات التجارة الإلكترونية، ضمن ج</w:t>
      </w:r>
      <w:r w:rsidR="00C476A9" w:rsidRPr="0056354D">
        <w:rPr>
          <w:rFonts w:hint="cs"/>
          <w:rtl/>
        </w:rPr>
        <w:t xml:space="preserve">ملة أمور. وبشكل عام، يفهم من خدمات التطبيقات على اعتبارها وظائف وقدرات تقدم للمستعمل النهائي. </w:t>
      </w:r>
    </w:p>
    <w:p w:rsidR="00C476A9" w:rsidRPr="00FC4CE0" w:rsidRDefault="00497E3D" w:rsidP="00C476A9">
      <w:pPr>
        <w:pStyle w:val="enumlev1"/>
        <w:rPr>
          <w:rtl/>
        </w:rPr>
      </w:pPr>
      <w:r>
        <w:sym w:font="Symbol" w:char="F0B7"/>
      </w:r>
      <w:r w:rsidR="00C476A9" w:rsidRPr="00FC4CE0">
        <w:rPr>
          <w:rFonts w:hint="cs"/>
          <w:rtl/>
        </w:rPr>
        <w:tab/>
        <w:t>تشمل خدمة تطبيق المحتوى الخدمات الإذاعية التقليدية (الراديو والتلفزيون) والخدمات الجديدة مثل خدمات المعلومات.</w:t>
      </w:r>
    </w:p>
    <w:p w:rsidR="00C476A9" w:rsidRPr="0056354D" w:rsidRDefault="00C476A9" w:rsidP="00C476A9">
      <w:pPr>
        <w:rPr>
          <w:rtl/>
        </w:rPr>
      </w:pPr>
      <w:r w:rsidRPr="0056354D">
        <w:rPr>
          <w:rFonts w:hint="cs"/>
          <w:rtl/>
        </w:rPr>
        <w:t xml:space="preserve">وفي إطار هذه الفئات الأربع، يوجد نمطان من التراخيص: تمنح التراخيص الفردية للأنشطة التي تتمتع بدرجة عالية من التنظيم (أي، الحاجة إلى منح تراخيص لاستعمال الطيف) والتسجيل التي تجدد سنوياً وتسجل في السجل الذي تديره لجنة الاتصالات والوسائط المتعددة في ماليزيا. بالإضافة إلى ذلك، تعفى الأنشطة الأقل في كل فئة من طلب الحصول على ترخيص. </w:t>
      </w:r>
    </w:p>
    <w:p w:rsidR="00C476A9" w:rsidRPr="0056354D" w:rsidRDefault="00C476A9" w:rsidP="00C476A9">
      <w:pPr>
        <w:rPr>
          <w:rtl/>
        </w:rPr>
      </w:pPr>
      <w:r w:rsidRPr="0056354D">
        <w:rPr>
          <w:rFonts w:hint="cs"/>
          <w:rtl/>
        </w:rPr>
        <w:lastRenderedPageBreak/>
        <w:t xml:space="preserve">وكما هو الشأن في ماليزيا، قامت تنزانيا أيضاً بتبسيط نظام ترخيصها وذلك بإدخال إطار الترخيص المتقارب </w:t>
      </w:r>
      <w:r w:rsidRPr="0056354D">
        <w:rPr>
          <w:lang w:val="fr-CH"/>
        </w:rPr>
        <w:t>(CFL)</w:t>
      </w:r>
      <w:r w:rsidRPr="0056354D">
        <w:rPr>
          <w:rFonts w:hint="cs"/>
          <w:rtl/>
        </w:rPr>
        <w:t xml:space="preserve"> في فبراير </w:t>
      </w:r>
      <w:r w:rsidRPr="0056354D">
        <w:rPr>
          <w:lang w:val="de-DE"/>
        </w:rPr>
        <w:t>2005</w:t>
      </w:r>
      <w:r w:rsidRPr="0056354D">
        <w:rPr>
          <w:rFonts w:hint="cs"/>
          <w:rtl/>
        </w:rPr>
        <w:t>. ويشمل إطار الترخيص المتقارب نفس فئات التراخيص الأربع القائمة في ماليزيا، وهو ترخيص تسهيلات الشبكة، وترخيص شبكة الخدمة، وترخيص خدمة التطبيق وترخيص محتوى الخدمة.</w:t>
      </w:r>
      <w:r w:rsidRPr="002044E9">
        <w:rPr>
          <w:szCs w:val="19"/>
          <w:vertAlign w:val="superscript"/>
          <w:rtl/>
        </w:rPr>
        <w:footnoteReference w:id="7"/>
      </w:r>
      <w:r w:rsidRPr="0056354D">
        <w:rPr>
          <w:rFonts w:hint="cs"/>
          <w:rtl/>
        </w:rPr>
        <w:t xml:space="preserve"> </w:t>
      </w:r>
    </w:p>
    <w:p w:rsidR="00C476A9" w:rsidRDefault="00C476A9" w:rsidP="00EA0AFB">
      <w:r w:rsidRPr="0056354D">
        <w:rPr>
          <w:rFonts w:hint="cs"/>
          <w:rtl/>
        </w:rPr>
        <w:t xml:space="preserve">قامت أوغندا أيضاً بوضع نظام ترخيص جديد مبسط محايد تكنولوجيا ونفذ في يناير </w:t>
      </w:r>
      <w:r w:rsidRPr="0056354D">
        <w:rPr>
          <w:lang w:val="de-DE"/>
        </w:rPr>
        <w:t>2007</w:t>
      </w:r>
      <w:r w:rsidRPr="0056354D">
        <w:rPr>
          <w:rFonts w:hint="cs"/>
          <w:rtl/>
        </w:rPr>
        <w:t xml:space="preserve">. وبموجب هذا النظام، توجد ثلاث فئات من التراخيص: </w:t>
      </w:r>
      <w:r>
        <w:rPr>
          <w:rFonts w:hint="cs"/>
          <w:rtl/>
        </w:rPr>
        <w:t>(</w:t>
      </w:r>
      <w:r>
        <w:rPr>
          <w:lang w:val="de-DE"/>
        </w:rPr>
        <w:t>i</w:t>
      </w:r>
      <w:r>
        <w:rPr>
          <w:rFonts w:hint="cs"/>
          <w:rtl/>
        </w:rPr>
        <w:t>)</w:t>
      </w:r>
      <w:r w:rsidRPr="0056354D">
        <w:rPr>
          <w:rFonts w:hint="cs"/>
          <w:rtl/>
        </w:rPr>
        <w:t xml:space="preserve"> ترخيص مقدم الخدمة العمومية؛ </w:t>
      </w:r>
      <w:r>
        <w:rPr>
          <w:rFonts w:hint="cs"/>
          <w:rtl/>
        </w:rPr>
        <w:t>(</w:t>
      </w:r>
      <w:r>
        <w:rPr>
          <w:lang w:val="de-DE"/>
        </w:rPr>
        <w:t>ii</w:t>
      </w:r>
      <w:r>
        <w:rPr>
          <w:rFonts w:hint="cs"/>
          <w:rtl/>
        </w:rPr>
        <w:t>)</w:t>
      </w:r>
      <w:r w:rsidRPr="0056354D">
        <w:rPr>
          <w:rFonts w:hint="cs"/>
          <w:rtl/>
        </w:rPr>
        <w:t xml:space="preserve"> ترخيص مقدم خدمة البنية الأساسية؛ </w:t>
      </w:r>
      <w:r>
        <w:rPr>
          <w:rFonts w:hint="cs"/>
          <w:rtl/>
        </w:rPr>
        <w:t>(</w:t>
      </w:r>
      <w:r>
        <w:rPr>
          <w:lang w:val="de-DE"/>
        </w:rPr>
        <w:t>iii</w:t>
      </w:r>
      <w:r>
        <w:rPr>
          <w:rFonts w:hint="cs"/>
          <w:rtl/>
        </w:rPr>
        <w:t>)</w:t>
      </w:r>
      <w:r w:rsidRPr="0056354D">
        <w:rPr>
          <w:rFonts w:hint="cs"/>
          <w:rtl/>
        </w:rPr>
        <w:t xml:space="preserve"> ترخيص مقدم القدرات </w:t>
      </w:r>
      <w:r w:rsidR="00A84D46">
        <w:rPr>
          <w:rtl/>
        </w:rPr>
        <w:br/>
      </w:r>
      <w:r w:rsidRPr="0056354D">
        <w:rPr>
          <w:rFonts w:hint="cs"/>
          <w:rtl/>
        </w:rPr>
        <w:t>و</w:t>
      </w:r>
      <w:r>
        <w:rPr>
          <w:rFonts w:hint="cs"/>
          <w:rtl/>
        </w:rPr>
        <w:t>(</w:t>
      </w:r>
      <w:r>
        <w:rPr>
          <w:lang w:val="de-DE"/>
        </w:rPr>
        <w:t>iv</w:t>
      </w:r>
      <w:r>
        <w:rPr>
          <w:rFonts w:hint="cs"/>
          <w:rtl/>
        </w:rPr>
        <w:t>)</w:t>
      </w:r>
      <w:r w:rsidRPr="0056354D">
        <w:rPr>
          <w:rFonts w:hint="cs"/>
          <w:rtl/>
        </w:rPr>
        <w:t xml:space="preserve"> التخويل العام (الجدول </w:t>
      </w:r>
      <w:r w:rsidRPr="0056354D">
        <w:rPr>
          <w:lang w:val="de-DE"/>
        </w:rPr>
        <w:t>1</w:t>
      </w:r>
      <w:r w:rsidRPr="0056354D">
        <w:rPr>
          <w:rFonts w:hint="cs"/>
          <w:rtl/>
        </w:rPr>
        <w:t xml:space="preserve">). </w:t>
      </w:r>
    </w:p>
    <w:p w:rsidR="00EA0AFB" w:rsidRPr="0056354D" w:rsidRDefault="00EA0AFB" w:rsidP="00EA0AFB">
      <w:pPr>
        <w:pBdr>
          <w:bottom w:val="single" w:sz="18" w:space="1" w:color="auto"/>
        </w:pBdr>
        <w:rPr>
          <w:lang w:val="de-DE"/>
        </w:rPr>
      </w:pPr>
    </w:p>
    <w:p w:rsidR="00C476A9" w:rsidRPr="0056354D" w:rsidRDefault="00C476A9" w:rsidP="00EA0AFB">
      <w:pPr>
        <w:pStyle w:val="TableNotitle"/>
        <w:bidi/>
        <w:spacing w:before="120"/>
        <w:jc w:val="left"/>
        <w:rPr>
          <w:rtl/>
        </w:rPr>
      </w:pPr>
      <w:r w:rsidRPr="0056354D">
        <w:rPr>
          <w:rFonts w:hint="cs"/>
          <w:rtl/>
        </w:rPr>
        <w:t xml:space="preserve">الجدول </w:t>
      </w:r>
      <w:r w:rsidRPr="0056354D">
        <w:rPr>
          <w:lang w:val="fr-CH"/>
        </w:rPr>
        <w:t>1</w:t>
      </w:r>
      <w:r w:rsidRPr="0056354D">
        <w:rPr>
          <w:rFonts w:hint="cs"/>
          <w:rtl/>
        </w:rPr>
        <w:t>: نظام الترخيص الجديد في أوغندا</w:t>
      </w:r>
      <w:r w:rsidRPr="0056354D">
        <w:rPr>
          <w:vertAlign w:val="superscript"/>
          <w:lang w:val="de-DE"/>
        </w:rPr>
        <w:footnoteReference w:id="8"/>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tblPr>
      <w:tblGrid>
        <w:gridCol w:w="2658"/>
        <w:gridCol w:w="6553"/>
      </w:tblGrid>
      <w:tr w:rsidR="00C476A9" w:rsidRPr="0056354D" w:rsidTr="004B1107">
        <w:trPr>
          <w:jc w:val="center"/>
        </w:trPr>
        <w:tc>
          <w:tcPr>
            <w:tcW w:w="2658" w:type="dxa"/>
            <w:shd w:val="clear" w:color="auto" w:fill="CCCCCC"/>
          </w:tcPr>
          <w:p w:rsidR="00C476A9" w:rsidRPr="00C55B75" w:rsidRDefault="00C476A9" w:rsidP="004B1107">
            <w:pPr>
              <w:spacing w:before="80" w:after="80" w:line="280" w:lineRule="exact"/>
              <w:rPr>
                <w:b/>
                <w:bCs/>
                <w:rtl/>
              </w:rPr>
            </w:pPr>
            <w:r w:rsidRPr="00C55B75">
              <w:rPr>
                <w:rFonts w:hint="cs"/>
                <w:b/>
                <w:bCs/>
                <w:rtl/>
              </w:rPr>
              <w:t>نوع الترخيص</w:t>
            </w:r>
          </w:p>
        </w:tc>
        <w:tc>
          <w:tcPr>
            <w:tcW w:w="6553" w:type="dxa"/>
            <w:shd w:val="clear" w:color="auto" w:fill="CCCCCC"/>
          </w:tcPr>
          <w:p w:rsidR="00C476A9" w:rsidRPr="00C55B75" w:rsidRDefault="00C476A9" w:rsidP="004B1107">
            <w:pPr>
              <w:spacing w:before="80" w:after="80" w:line="280" w:lineRule="exact"/>
              <w:rPr>
                <w:b/>
                <w:bCs/>
                <w:rtl/>
              </w:rPr>
            </w:pPr>
            <w:r w:rsidRPr="00C55B75">
              <w:rPr>
                <w:rFonts w:hint="cs"/>
                <w:b/>
                <w:bCs/>
                <w:rtl/>
              </w:rPr>
              <w:t>الخدمات المغطاة بموجب الترخيص</w:t>
            </w:r>
          </w:p>
        </w:tc>
      </w:tr>
      <w:tr w:rsidR="00C476A9" w:rsidRPr="0056354D" w:rsidTr="004B1107">
        <w:trPr>
          <w:jc w:val="center"/>
        </w:trPr>
        <w:tc>
          <w:tcPr>
            <w:tcW w:w="2658" w:type="dxa"/>
            <w:shd w:val="clear" w:color="auto" w:fill="CCCCCC"/>
          </w:tcPr>
          <w:p w:rsidR="00C476A9" w:rsidRPr="00C55B75" w:rsidRDefault="00C476A9" w:rsidP="004B1107">
            <w:pPr>
              <w:spacing w:before="80" w:after="80" w:line="280" w:lineRule="exact"/>
              <w:jc w:val="left"/>
              <w:rPr>
                <w:b/>
                <w:bCs/>
                <w:rtl/>
              </w:rPr>
            </w:pPr>
            <w:r w:rsidRPr="00C55B75">
              <w:rPr>
                <w:rFonts w:hint="cs"/>
                <w:b/>
                <w:bCs/>
                <w:rtl/>
              </w:rPr>
              <w:t>ترخيص مقدم الخدمة العمومية</w:t>
            </w:r>
          </w:p>
        </w:tc>
        <w:tc>
          <w:tcPr>
            <w:tcW w:w="6553" w:type="dxa"/>
            <w:shd w:val="clear" w:color="auto" w:fill="CCCCCC"/>
          </w:tcPr>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1</w:t>
            </w:r>
            <w:r w:rsidRPr="00C55B75">
              <w:rPr>
                <w:rFonts w:hint="cs"/>
                <w:b/>
                <w:bCs/>
                <w:rtl/>
              </w:rPr>
              <w:t>:</w:t>
            </w:r>
            <w:r w:rsidR="00A84D46">
              <w:rPr>
                <w:rFonts w:hint="cs"/>
                <w:b/>
                <w:bCs/>
                <w:rtl/>
              </w:rPr>
              <w:t xml:space="preserve"> </w:t>
            </w:r>
            <w:r w:rsidRPr="00C55B75">
              <w:rPr>
                <w:rFonts w:hint="cs"/>
                <w:b/>
                <w:bCs/>
                <w:rtl/>
              </w:rPr>
              <w:t>الصوت والبيانات العمومية</w:t>
            </w:r>
            <w:r>
              <w:rPr>
                <w:rFonts w:hint="cs"/>
                <w:rtl/>
              </w:rPr>
              <w:t xml:space="preserve"> - الخلوي</w:t>
            </w:r>
            <w:r w:rsidRPr="0056354D">
              <w:rPr>
                <w:rFonts w:hint="cs"/>
                <w:rtl/>
              </w:rPr>
              <w:t xml:space="preserve">، الصوت الثابت، الأنظمة الساتلية العالمية للاتصالات الشخصية المستقلة </w:t>
            </w:r>
            <w:r w:rsidRPr="00C55B75">
              <w:rPr>
                <w:lang w:val="fr-CH"/>
              </w:rPr>
              <w:t>GMPCS</w:t>
            </w:r>
            <w:r w:rsidRPr="0056354D">
              <w:rPr>
                <w:rFonts w:hint="cs"/>
                <w:rtl/>
              </w:rPr>
              <w:t>، النفاذ إلى الانترنت (ب</w:t>
            </w:r>
            <w:r>
              <w:rPr>
                <w:rFonts w:hint="cs"/>
                <w:rtl/>
              </w:rPr>
              <w:t>ما </w:t>
            </w:r>
            <w:r w:rsidRPr="0056354D">
              <w:rPr>
                <w:rFonts w:hint="cs"/>
                <w:rtl/>
              </w:rPr>
              <w:t xml:space="preserve">في ذلك المهاتفة باستعمال بروتوكول الانترنت + الشبكات الافتراضية الخاصة)، خدمات بدالة الإنترنت، الشبكات الافتراضية الخاصة التي </w:t>
            </w:r>
            <w:r>
              <w:rPr>
                <w:rFonts w:hint="cs"/>
                <w:rtl/>
              </w:rPr>
              <w:t>لا </w:t>
            </w:r>
            <w:r w:rsidRPr="0056354D">
              <w:rPr>
                <w:rFonts w:hint="cs"/>
                <w:rtl/>
              </w:rPr>
              <w:t xml:space="preserve">يجرى توفيرها على الإنترنت </w:t>
            </w:r>
          </w:p>
          <w:p w:rsidR="00C476A9" w:rsidRPr="00C55B75" w:rsidRDefault="00C476A9" w:rsidP="00A84D46">
            <w:pPr>
              <w:spacing w:before="80" w:after="80" w:line="280" w:lineRule="exact"/>
              <w:rPr>
                <w:spacing w:val="-6"/>
                <w:rtl/>
              </w:rPr>
            </w:pPr>
            <w:r w:rsidRPr="00C55B75">
              <w:rPr>
                <w:rFonts w:hint="cs"/>
                <w:b/>
                <w:bCs/>
                <w:spacing w:val="-6"/>
                <w:rtl/>
              </w:rPr>
              <w:t xml:space="preserve">الفئة </w:t>
            </w:r>
            <w:r w:rsidRPr="00C55B75">
              <w:rPr>
                <w:b/>
                <w:bCs/>
                <w:spacing w:val="-6"/>
                <w:lang w:val="fr-CH"/>
              </w:rPr>
              <w:t>2</w:t>
            </w:r>
            <w:r w:rsidRPr="00C55B75">
              <w:rPr>
                <w:rFonts w:hint="cs"/>
                <w:b/>
                <w:bCs/>
                <w:spacing w:val="-6"/>
                <w:rtl/>
              </w:rPr>
              <w:t>:</w:t>
            </w:r>
            <w:r w:rsidR="00A84D46">
              <w:rPr>
                <w:rFonts w:hint="cs"/>
                <w:b/>
                <w:bCs/>
                <w:spacing w:val="-6"/>
                <w:rtl/>
              </w:rPr>
              <w:t xml:space="preserve"> </w:t>
            </w:r>
            <w:r w:rsidRPr="00C55B75">
              <w:rPr>
                <w:rFonts w:hint="cs"/>
                <w:b/>
                <w:bCs/>
                <w:spacing w:val="-6"/>
                <w:rtl/>
              </w:rPr>
              <w:t>إعادة بيع القدرات</w:t>
            </w:r>
            <w:r w:rsidRPr="00C55B75">
              <w:rPr>
                <w:rFonts w:hint="cs"/>
                <w:spacing w:val="-6"/>
                <w:rtl/>
              </w:rPr>
              <w:t xml:space="preserve"> - إعادة بيع القدرات المحلية والدولية، بطاقات النداء</w:t>
            </w:r>
          </w:p>
        </w:tc>
      </w:tr>
      <w:tr w:rsidR="00C476A9" w:rsidRPr="0056354D" w:rsidTr="004B1107">
        <w:trPr>
          <w:jc w:val="center"/>
        </w:trPr>
        <w:tc>
          <w:tcPr>
            <w:tcW w:w="2658" w:type="dxa"/>
            <w:shd w:val="clear" w:color="auto" w:fill="CCCCCC"/>
          </w:tcPr>
          <w:p w:rsidR="00C476A9" w:rsidRPr="00C55B75" w:rsidRDefault="00C476A9" w:rsidP="004B1107">
            <w:pPr>
              <w:spacing w:before="80" w:after="80" w:line="280" w:lineRule="exact"/>
              <w:rPr>
                <w:b/>
                <w:bCs/>
                <w:rtl/>
              </w:rPr>
            </w:pPr>
            <w:r w:rsidRPr="00C55B75">
              <w:rPr>
                <w:rFonts w:hint="cs"/>
                <w:b/>
                <w:bCs/>
                <w:rtl/>
              </w:rPr>
              <w:t>ترخيص مقدم القدرة</w:t>
            </w:r>
          </w:p>
        </w:tc>
        <w:tc>
          <w:tcPr>
            <w:tcW w:w="6553" w:type="dxa"/>
            <w:shd w:val="clear" w:color="auto" w:fill="CCCCCC"/>
          </w:tcPr>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1</w:t>
            </w:r>
            <w:r w:rsidRPr="00C55B75">
              <w:rPr>
                <w:rFonts w:hint="cs"/>
                <w:b/>
                <w:bCs/>
                <w:rtl/>
              </w:rPr>
              <w:t>:</w:t>
            </w:r>
            <w:r w:rsidR="00A84D46">
              <w:rPr>
                <w:rFonts w:hint="cs"/>
                <w:rtl/>
              </w:rPr>
              <w:t xml:space="preserve"> </w:t>
            </w:r>
            <w:r w:rsidRPr="0056354D">
              <w:rPr>
                <w:rFonts w:hint="cs"/>
                <w:rtl/>
              </w:rPr>
              <w:t>التراخيص التي سبق السماح لها بتركيب البنية الأساسية من النمط الذي جرى الاستثمار فيه، وعلى سبيل المثال مقدم خدمة النفاذ إلى الإنترنت على الشبكات اللاسلكية</w:t>
            </w:r>
          </w:p>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2</w:t>
            </w:r>
            <w:r w:rsidRPr="0056354D">
              <w:rPr>
                <w:rFonts w:hint="cs"/>
                <w:rtl/>
              </w:rPr>
              <w:t>:</w:t>
            </w:r>
            <w:r w:rsidR="00A84D46">
              <w:rPr>
                <w:rFonts w:hint="cs"/>
                <w:rtl/>
              </w:rPr>
              <w:t xml:space="preserve"> </w:t>
            </w:r>
            <w:r w:rsidRPr="0056354D">
              <w:rPr>
                <w:rFonts w:hint="cs"/>
                <w:rtl/>
              </w:rPr>
              <w:t xml:space="preserve">الأشخاص الذين </w:t>
            </w:r>
            <w:r>
              <w:rPr>
                <w:rFonts w:hint="cs"/>
                <w:rtl/>
              </w:rPr>
              <w:t>لا </w:t>
            </w:r>
            <w:r w:rsidRPr="0056354D">
              <w:rPr>
                <w:rFonts w:hint="cs"/>
                <w:rtl/>
              </w:rPr>
              <w:t>تدخل الاتصالات في جوهر أعمالهم والذين يملكون مرافق اتصالات خاصة ذات قدرة زائدة ويرغبون بيعها لطرف ثالث</w:t>
            </w:r>
          </w:p>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3</w:t>
            </w:r>
            <w:r w:rsidRPr="00C55B75">
              <w:rPr>
                <w:rFonts w:hint="cs"/>
                <w:b/>
                <w:bCs/>
                <w:rtl/>
              </w:rPr>
              <w:t>:</w:t>
            </w:r>
            <w:r w:rsidR="00A84D46">
              <w:rPr>
                <w:rFonts w:hint="cs"/>
                <w:rtl/>
              </w:rPr>
              <w:t xml:space="preserve"> </w:t>
            </w:r>
            <w:r w:rsidRPr="0056354D">
              <w:rPr>
                <w:rFonts w:hint="cs"/>
                <w:rtl/>
              </w:rPr>
              <w:t xml:space="preserve">الوافدون الجدد إلى سوق النفاذ إلى الإنترنت الذين يشغلون شبكاتهم باستعمال نطاق الترددات الصناعية والعلمية والطبية </w:t>
            </w:r>
            <w:r w:rsidRPr="00C55B75">
              <w:rPr>
                <w:lang w:val="fr-CH"/>
              </w:rPr>
              <w:t>(ISM)</w:t>
            </w:r>
            <w:r w:rsidRPr="0056354D">
              <w:rPr>
                <w:rFonts w:hint="cs"/>
                <w:rtl/>
              </w:rPr>
              <w:t xml:space="preserve">، أي في النطاقين </w:t>
            </w:r>
            <w:r w:rsidRPr="00C55B75">
              <w:rPr>
                <w:lang w:val="fr-CH"/>
              </w:rPr>
              <w:t>GH</w:t>
            </w:r>
            <w:r w:rsidR="00A84D46">
              <w:rPr>
                <w:lang w:val="fr-CH"/>
              </w:rPr>
              <w:t>z</w:t>
            </w:r>
            <w:r w:rsidRPr="00C55B75">
              <w:rPr>
                <w:lang w:val="fr-CH"/>
              </w:rPr>
              <w:t xml:space="preserve"> 2</w:t>
            </w:r>
            <w:r w:rsidR="00A84D46">
              <w:rPr>
                <w:lang w:val="fr-CH"/>
              </w:rPr>
              <w:t>,</w:t>
            </w:r>
            <w:r w:rsidRPr="00C55B75">
              <w:rPr>
                <w:lang w:val="fr-CH"/>
              </w:rPr>
              <w:t>4</w:t>
            </w:r>
            <w:r w:rsidRPr="0056354D">
              <w:rPr>
                <w:rFonts w:hint="cs"/>
                <w:rtl/>
              </w:rPr>
              <w:t xml:space="preserve"> </w:t>
            </w:r>
            <w:r w:rsidR="00A84D46">
              <w:br/>
            </w:r>
            <w:r w:rsidRPr="0056354D">
              <w:rPr>
                <w:rFonts w:hint="cs"/>
                <w:rtl/>
              </w:rPr>
              <w:t>و</w:t>
            </w:r>
            <w:r w:rsidRPr="00C55B75">
              <w:rPr>
                <w:lang w:val="fr-CH"/>
              </w:rPr>
              <w:t>GH</w:t>
            </w:r>
            <w:r w:rsidR="00A84D46">
              <w:rPr>
                <w:lang w:val="fr-CH"/>
              </w:rPr>
              <w:t>z</w:t>
            </w:r>
            <w:r w:rsidRPr="00C55B75">
              <w:rPr>
                <w:lang w:val="fr-CH"/>
              </w:rPr>
              <w:t xml:space="preserve"> 5</w:t>
            </w:r>
            <w:r w:rsidR="00A84D46">
              <w:rPr>
                <w:lang w:val="fr-CH"/>
              </w:rPr>
              <w:t>,</w:t>
            </w:r>
            <w:r w:rsidRPr="00C55B75">
              <w:rPr>
                <w:lang w:val="fr-CH"/>
              </w:rPr>
              <w:t>7</w:t>
            </w:r>
          </w:p>
        </w:tc>
      </w:tr>
      <w:tr w:rsidR="00C476A9" w:rsidRPr="0056354D" w:rsidTr="004B1107">
        <w:trPr>
          <w:jc w:val="center"/>
        </w:trPr>
        <w:tc>
          <w:tcPr>
            <w:tcW w:w="2658" w:type="dxa"/>
            <w:shd w:val="clear" w:color="auto" w:fill="CCCCCC"/>
          </w:tcPr>
          <w:p w:rsidR="00C476A9" w:rsidRPr="00C55B75" w:rsidRDefault="00C476A9" w:rsidP="004B1107">
            <w:pPr>
              <w:spacing w:before="80" w:after="80" w:line="280" w:lineRule="exact"/>
              <w:jc w:val="left"/>
              <w:rPr>
                <w:b/>
                <w:bCs/>
                <w:rtl/>
              </w:rPr>
            </w:pPr>
            <w:r w:rsidRPr="00C55B75">
              <w:rPr>
                <w:rFonts w:hint="cs"/>
                <w:b/>
                <w:bCs/>
                <w:rtl/>
              </w:rPr>
              <w:t>ترخيص مقدم البنية الأساسية</w:t>
            </w:r>
          </w:p>
        </w:tc>
        <w:tc>
          <w:tcPr>
            <w:tcW w:w="6553" w:type="dxa"/>
            <w:shd w:val="clear" w:color="auto" w:fill="CCCCCC"/>
          </w:tcPr>
          <w:p w:rsidR="00C476A9" w:rsidRPr="0056354D" w:rsidRDefault="00C476A9" w:rsidP="004B1107">
            <w:pPr>
              <w:spacing w:before="80" w:after="80" w:line="280" w:lineRule="exact"/>
              <w:rPr>
                <w:rtl/>
              </w:rPr>
            </w:pPr>
            <w:r w:rsidRPr="0056354D">
              <w:rPr>
                <w:rFonts w:hint="cs"/>
                <w:rtl/>
              </w:rPr>
              <w:t>مقدم البنية الأساسية العمومية</w:t>
            </w:r>
          </w:p>
          <w:p w:rsidR="00C476A9" w:rsidRPr="0056354D" w:rsidRDefault="00C476A9" w:rsidP="004B1107">
            <w:pPr>
              <w:spacing w:before="80" w:after="80" w:line="280" w:lineRule="exact"/>
              <w:rPr>
                <w:rtl/>
              </w:rPr>
            </w:pPr>
            <w:r w:rsidRPr="0056354D">
              <w:rPr>
                <w:rFonts w:hint="cs"/>
                <w:rtl/>
              </w:rPr>
              <w:t>البنية الأساسية للشبكة الخاصة</w:t>
            </w:r>
          </w:p>
        </w:tc>
      </w:tr>
      <w:tr w:rsidR="00C476A9" w:rsidRPr="0056354D" w:rsidTr="004B1107">
        <w:trPr>
          <w:jc w:val="center"/>
        </w:trPr>
        <w:tc>
          <w:tcPr>
            <w:tcW w:w="2658" w:type="dxa"/>
            <w:shd w:val="clear" w:color="auto" w:fill="CCCCCC"/>
          </w:tcPr>
          <w:p w:rsidR="00C476A9" w:rsidRPr="00C55B75" w:rsidRDefault="00C476A9" w:rsidP="004B1107">
            <w:pPr>
              <w:spacing w:before="80" w:after="80" w:line="280" w:lineRule="exact"/>
              <w:rPr>
                <w:b/>
                <w:bCs/>
                <w:rtl/>
              </w:rPr>
            </w:pPr>
            <w:r w:rsidRPr="00C55B75">
              <w:rPr>
                <w:rFonts w:hint="cs"/>
                <w:b/>
                <w:bCs/>
                <w:rtl/>
              </w:rPr>
              <w:t>التخويل العمومي</w:t>
            </w:r>
          </w:p>
        </w:tc>
        <w:tc>
          <w:tcPr>
            <w:tcW w:w="6553" w:type="dxa"/>
            <w:shd w:val="clear" w:color="auto" w:fill="CCCCCC"/>
          </w:tcPr>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1</w:t>
            </w:r>
            <w:r w:rsidRPr="00C55B75">
              <w:rPr>
                <w:rFonts w:hint="cs"/>
                <w:b/>
                <w:bCs/>
                <w:rtl/>
              </w:rPr>
              <w:t>:</w:t>
            </w:r>
            <w:r w:rsidR="00A84D46">
              <w:rPr>
                <w:rFonts w:hint="cs"/>
                <w:rtl/>
              </w:rPr>
              <w:t xml:space="preserve"> </w:t>
            </w:r>
            <w:r w:rsidRPr="0056354D">
              <w:rPr>
                <w:rFonts w:hint="cs"/>
                <w:rtl/>
              </w:rPr>
              <w:t>خدمات الاتصالات الع</w:t>
            </w:r>
            <w:r>
              <w:rPr>
                <w:rFonts w:hint="cs"/>
                <w:rtl/>
              </w:rPr>
              <w:t>مومية المدفوعة القيمة (أي، مقاهي</w:t>
            </w:r>
            <w:r w:rsidRPr="0056354D">
              <w:rPr>
                <w:rFonts w:hint="cs"/>
                <w:rtl/>
              </w:rPr>
              <w:t xml:space="preserve"> الإنترنت، الهواتف العمومية، ومكاتب الهاتف، و</w:t>
            </w:r>
            <w:r>
              <w:rPr>
                <w:rFonts w:hint="cs"/>
                <w:rtl/>
              </w:rPr>
              <w:t>ما </w:t>
            </w:r>
            <w:r w:rsidRPr="0056354D">
              <w:rPr>
                <w:rFonts w:hint="cs"/>
                <w:rtl/>
              </w:rPr>
              <w:t>إلى ذلك)</w:t>
            </w:r>
          </w:p>
          <w:p w:rsidR="00C476A9" w:rsidRPr="0056354D" w:rsidRDefault="00C476A9" w:rsidP="00A84D46">
            <w:pPr>
              <w:spacing w:before="80" w:after="80" w:line="280" w:lineRule="exact"/>
              <w:rPr>
                <w:rtl/>
              </w:rPr>
            </w:pPr>
            <w:r w:rsidRPr="00C55B75">
              <w:rPr>
                <w:rFonts w:hint="cs"/>
                <w:b/>
                <w:bCs/>
                <w:rtl/>
              </w:rPr>
              <w:t xml:space="preserve">الفئة </w:t>
            </w:r>
            <w:r w:rsidRPr="00C55B75">
              <w:rPr>
                <w:b/>
                <w:bCs/>
                <w:lang w:val="fr-CH"/>
              </w:rPr>
              <w:t>2</w:t>
            </w:r>
            <w:r w:rsidRPr="00C55B75">
              <w:rPr>
                <w:rFonts w:hint="cs"/>
                <w:b/>
                <w:bCs/>
                <w:rtl/>
              </w:rPr>
              <w:t>:</w:t>
            </w:r>
            <w:r w:rsidR="00A84D46">
              <w:rPr>
                <w:rFonts w:hint="cs"/>
                <w:rtl/>
              </w:rPr>
              <w:t xml:space="preserve"> </w:t>
            </w:r>
            <w:r w:rsidRPr="0056354D">
              <w:rPr>
                <w:rFonts w:hint="cs"/>
                <w:rtl/>
              </w:rPr>
              <w:t>الشبكات الخاصة</w:t>
            </w:r>
          </w:p>
        </w:tc>
      </w:tr>
    </w:tbl>
    <w:p w:rsidR="00C476A9" w:rsidRDefault="00C476A9" w:rsidP="00EA0AFB">
      <w:pPr>
        <w:pBdr>
          <w:bottom w:val="single" w:sz="18" w:space="1" w:color="auto"/>
        </w:pBdr>
        <w:spacing w:before="0"/>
        <w:rPr>
          <w:rtl/>
        </w:rPr>
      </w:pPr>
    </w:p>
    <w:p w:rsidR="00C476A9" w:rsidRPr="0056354D" w:rsidRDefault="00C476A9" w:rsidP="00EA0AFB">
      <w:pPr>
        <w:spacing w:before="240"/>
        <w:rPr>
          <w:rtl/>
        </w:rPr>
      </w:pPr>
      <w:r w:rsidRPr="0056354D">
        <w:rPr>
          <w:rFonts w:hint="cs"/>
          <w:rtl/>
        </w:rPr>
        <w:t>وأخيراً، في سنغافورة، يتألف نظام الترخيص المبسط من نوعين من التراخيص:</w:t>
      </w:r>
    </w:p>
    <w:p w:rsidR="00C476A9" w:rsidRPr="0056354D" w:rsidRDefault="00497E3D" w:rsidP="00C476A9">
      <w:pPr>
        <w:pStyle w:val="enumlev1"/>
        <w:rPr>
          <w:rtl/>
        </w:rPr>
      </w:pPr>
      <w:r>
        <w:sym w:font="Symbol" w:char="F0B7"/>
      </w:r>
      <w:r w:rsidR="00C476A9" w:rsidRPr="0056354D">
        <w:rPr>
          <w:rFonts w:hint="cs"/>
          <w:rtl/>
        </w:rPr>
        <w:tab/>
        <w:t xml:space="preserve">مشغل التركيبات </w:t>
      </w:r>
      <w:r w:rsidR="00C476A9" w:rsidRPr="0056354D">
        <w:rPr>
          <w:lang w:val="fr-CH"/>
        </w:rPr>
        <w:t>(FBO)</w:t>
      </w:r>
      <w:r w:rsidR="00C476A9" w:rsidRPr="0056354D">
        <w:rPr>
          <w:rFonts w:hint="cs"/>
          <w:rtl/>
        </w:rPr>
        <w:t xml:space="preserve"> </w:t>
      </w:r>
    </w:p>
    <w:p w:rsidR="00C476A9" w:rsidRPr="0056354D" w:rsidRDefault="00497E3D" w:rsidP="00C476A9">
      <w:pPr>
        <w:pStyle w:val="enumlev1"/>
        <w:rPr>
          <w:rtl/>
        </w:rPr>
      </w:pPr>
      <w:r>
        <w:sym w:font="Symbol" w:char="F0B7"/>
      </w:r>
      <w:r w:rsidR="00C476A9" w:rsidRPr="0056354D">
        <w:rPr>
          <w:rFonts w:hint="cs"/>
          <w:rtl/>
        </w:rPr>
        <w:tab/>
        <w:t xml:space="preserve">مشغل الخدمة </w:t>
      </w:r>
      <w:r w:rsidR="00C476A9" w:rsidRPr="0056354D">
        <w:rPr>
          <w:lang w:val="fr-CH"/>
        </w:rPr>
        <w:t>(SBO)</w:t>
      </w:r>
      <w:r w:rsidR="00C476A9" w:rsidRPr="0056354D">
        <w:rPr>
          <w:rFonts w:hint="cs"/>
          <w:rtl/>
        </w:rPr>
        <w:t xml:space="preserve">. </w:t>
      </w:r>
    </w:p>
    <w:p w:rsidR="00C476A9" w:rsidRPr="0056354D" w:rsidRDefault="00C476A9" w:rsidP="00C476A9">
      <w:pPr>
        <w:rPr>
          <w:rtl/>
        </w:rPr>
      </w:pPr>
      <w:r w:rsidRPr="0056354D">
        <w:rPr>
          <w:rFonts w:hint="cs"/>
          <w:rtl/>
        </w:rPr>
        <w:lastRenderedPageBreak/>
        <w:t>يمنح الترخيص الأول لمقدمي خدمات الاتصالات الذين ينشرون بنيتهم الأساسية الخاصة بهم مثل مشغلو شبكات الهاتف الثابتة والمتنقلة، واتصالات المسافات البعيدة، و</w:t>
      </w:r>
      <w:r>
        <w:rPr>
          <w:rFonts w:hint="cs"/>
          <w:rtl/>
        </w:rPr>
        <w:t>ما </w:t>
      </w:r>
      <w:r w:rsidRPr="0056354D">
        <w:rPr>
          <w:rFonts w:hint="cs"/>
          <w:rtl/>
        </w:rPr>
        <w:t xml:space="preserve">إلى ذلك. ويمنح الترخيص الثاني للمشغلين الذين يقدمون خدمات على بنية أساسية مملوكة لطرف ثالث، وعلى سبيل المثال، القائمون على إعادة بيع الخدمات، موفرو الشبكات الافتراضية الخاصة، والنفاذ إلى الإنترنت، إلخ. وإن كان مشغل التركيبات يتخذ دائماً شكل ترخيص فردي، يمكن أن يمنح مشغل الخدمة </w:t>
      </w:r>
      <w:r w:rsidRPr="0056354D">
        <w:rPr>
          <w:lang w:val="fr-CH"/>
        </w:rPr>
        <w:t>(SBO)</w:t>
      </w:r>
      <w:r w:rsidRPr="0056354D">
        <w:rPr>
          <w:rFonts w:hint="cs"/>
          <w:rtl/>
        </w:rPr>
        <w:t xml:space="preserve"> ترخيصاً منفرداً أو تخويلاً عاماً أو إخطاراً، ويتوقف ذلك على الخدمة.  </w:t>
      </w:r>
    </w:p>
    <w:p w:rsidR="00C476A9" w:rsidRDefault="00C476A9" w:rsidP="00C476A9">
      <w:pPr>
        <w:rPr>
          <w:rtl/>
        </w:rPr>
      </w:pPr>
      <w:r w:rsidRPr="0056354D">
        <w:rPr>
          <w:rFonts w:hint="cs"/>
          <w:rtl/>
        </w:rPr>
        <w:t>واعتمدت بلدان أخرى أيضاً، مثل الهند وأوغندا، خططاً مبسطة مقترحة وتخفيضات في عدد تراخيص الخدمة باعتبارها طوراً للتحول إلى نظام ترخيص موحد، ك</w:t>
      </w:r>
      <w:r>
        <w:rPr>
          <w:rFonts w:hint="cs"/>
          <w:rtl/>
        </w:rPr>
        <w:t>ما </w:t>
      </w:r>
      <w:r w:rsidRPr="0056354D">
        <w:rPr>
          <w:rFonts w:hint="cs"/>
          <w:rtl/>
        </w:rPr>
        <w:t xml:space="preserve">يجرى استعراضه في القسم التالي. </w:t>
      </w:r>
    </w:p>
    <w:p w:rsidR="00C476A9" w:rsidRPr="00B212B9" w:rsidRDefault="00C476A9" w:rsidP="00C476A9">
      <w:pPr>
        <w:pStyle w:val="Heading3"/>
        <w:rPr>
          <w:rtl/>
          <w:lang w:val="fr-CH"/>
        </w:rPr>
      </w:pPr>
      <w:bookmarkStart w:id="11" w:name="_Toc259454303"/>
      <w:r w:rsidRPr="00B212B9">
        <w:rPr>
          <w:lang w:val="fr-CH"/>
        </w:rPr>
        <w:t>2.1.3</w:t>
      </w:r>
      <w:r w:rsidRPr="00B212B9">
        <w:rPr>
          <w:rFonts w:hint="cs"/>
          <w:rtl/>
          <w:lang w:val="fr-CH"/>
        </w:rPr>
        <w:tab/>
        <w:t>الترخيص الموحد</w:t>
      </w:r>
      <w:bookmarkEnd w:id="11"/>
    </w:p>
    <w:p w:rsidR="00C476A9" w:rsidRPr="00B212B9" w:rsidRDefault="00C476A9" w:rsidP="00E70799">
      <w:pPr>
        <w:rPr>
          <w:rtl/>
          <w:lang w:val="fr-CH"/>
        </w:rPr>
      </w:pPr>
      <w:r w:rsidRPr="00B212B9">
        <w:rPr>
          <w:rFonts w:hint="cs"/>
          <w:rtl/>
          <w:lang w:val="fr-CH"/>
        </w:rPr>
        <w:t>وينطوي الاتجاه الثاني على إدخال نظام ترخيص موحد، يجرى في إطاره إنشاء ترخيص وحيد يغطي طائفة عريضة من الخدمات، وإن كانت التعاريف تتفاوت من بلد إلى آخر. وقد اعتمد هذا الاتجاه، أو يجرى اعتماده، مع بعض التغييرات في كثير من البلدان، ب</w:t>
      </w:r>
      <w:r>
        <w:rPr>
          <w:rFonts w:hint="cs"/>
          <w:rtl/>
          <w:lang w:val="fr-CH"/>
        </w:rPr>
        <w:t>ما </w:t>
      </w:r>
      <w:r w:rsidRPr="00B212B9">
        <w:rPr>
          <w:rFonts w:hint="cs"/>
          <w:rtl/>
          <w:lang w:val="fr-CH"/>
        </w:rPr>
        <w:t>في ذلك الأرجنتين وبوتسوانا والدول الأعضاء في الاتحاد الأوروبي، وهونغ</w:t>
      </w:r>
      <w:r w:rsidR="00E70799">
        <w:rPr>
          <w:rFonts w:hint="cs"/>
          <w:rtl/>
          <w:lang w:val="fr-CH"/>
        </w:rPr>
        <w:t>-</w:t>
      </w:r>
      <w:r w:rsidRPr="00B212B9">
        <w:rPr>
          <w:rFonts w:hint="cs"/>
          <w:rtl/>
          <w:lang w:val="fr-CH"/>
        </w:rPr>
        <w:t>كونغ</w:t>
      </w:r>
      <w:r w:rsidR="00E70799">
        <w:rPr>
          <w:rFonts w:hint="cs"/>
          <w:rtl/>
          <w:lang w:val="fr-CH"/>
        </w:rPr>
        <w:t xml:space="preserve"> </w:t>
      </w:r>
      <w:r w:rsidRPr="00B212B9">
        <w:rPr>
          <w:rFonts w:hint="cs"/>
          <w:rtl/>
          <w:lang w:val="fr-CH"/>
        </w:rPr>
        <w:t>الصين، والهند، والأردن وكينيا ونيجيريا وبيرو وترينيداد وتوباغو وأوغندا</w:t>
      </w:r>
      <w:r w:rsidRPr="00B212B9">
        <w:rPr>
          <w:vertAlign w:val="superscript"/>
          <w:lang w:val="de-DE"/>
        </w:rPr>
        <w:footnoteReference w:id="9"/>
      </w:r>
      <w:r w:rsidRPr="00B212B9">
        <w:rPr>
          <w:rFonts w:hint="cs"/>
          <w:rtl/>
          <w:lang w:val="fr-CH"/>
        </w:rPr>
        <w:t xml:space="preserve">. </w:t>
      </w:r>
    </w:p>
    <w:p w:rsidR="00C476A9" w:rsidRPr="00B212B9" w:rsidRDefault="00C476A9" w:rsidP="00C476A9">
      <w:pPr>
        <w:rPr>
          <w:rtl/>
          <w:lang w:val="fr-CH"/>
        </w:rPr>
      </w:pPr>
      <w:r w:rsidRPr="00B212B9">
        <w:rPr>
          <w:rFonts w:hint="cs"/>
          <w:rtl/>
          <w:lang w:val="fr-CH"/>
        </w:rPr>
        <w:t xml:space="preserve">وأدخلت الأرجنتين في عام </w:t>
      </w:r>
      <w:r w:rsidRPr="00B212B9">
        <w:rPr>
          <w:lang w:val="fr-CH"/>
        </w:rPr>
        <w:t>2000</w:t>
      </w:r>
      <w:r w:rsidRPr="00B212B9">
        <w:rPr>
          <w:rFonts w:hint="cs"/>
          <w:rtl/>
          <w:lang w:val="fr-CH"/>
        </w:rPr>
        <w:t>، في هذا الصدد، ترخيصاً موحداً يسمح بتقديم جميع خدمات الاتصالات للجمهور، سواء</w:t>
      </w:r>
      <w:r>
        <w:rPr>
          <w:rFonts w:hint="cs"/>
          <w:rtl/>
          <w:lang w:val="fr-CH"/>
        </w:rPr>
        <w:t xml:space="preserve"> أكانت ثابتة أم متنقلة، سلكية أم لاسلكية، وطنية أم</w:t>
      </w:r>
      <w:r w:rsidRPr="00B212B9">
        <w:rPr>
          <w:rFonts w:hint="cs"/>
          <w:rtl/>
          <w:lang w:val="fr-CH"/>
        </w:rPr>
        <w:t xml:space="preserve"> دولية في وجود بنية أساسية أو في حالة عدم وجودها</w:t>
      </w:r>
      <w:r w:rsidRPr="00B212B9">
        <w:rPr>
          <w:vertAlign w:val="superscript"/>
          <w:lang w:val="de-DE"/>
        </w:rPr>
        <w:footnoteReference w:id="10"/>
      </w:r>
      <w:r w:rsidRPr="00B212B9">
        <w:rPr>
          <w:rFonts w:hint="cs"/>
          <w:rtl/>
          <w:lang w:val="fr-CH"/>
        </w:rPr>
        <w:t xml:space="preserve">. وإذا كان الطيف مطلوباً لتوفير الخدمة، يجب الحصول على تصريح و/أو على إذن أيضاً. </w:t>
      </w:r>
    </w:p>
    <w:p w:rsidR="00C476A9" w:rsidRPr="00B212B9" w:rsidRDefault="00C476A9" w:rsidP="00C476A9">
      <w:pPr>
        <w:rPr>
          <w:rtl/>
          <w:lang w:val="fr-CH"/>
        </w:rPr>
      </w:pPr>
      <w:r w:rsidRPr="00B212B9">
        <w:rPr>
          <w:rFonts w:hint="cs"/>
          <w:rtl/>
          <w:lang w:val="fr-CH"/>
        </w:rPr>
        <w:t>وفي الاتحاد الأوربي، قام الإطار التنظيمي الجديد</w:t>
      </w:r>
      <w:r w:rsidRPr="00B212B9">
        <w:rPr>
          <w:vertAlign w:val="superscript"/>
          <w:lang w:val="de-DE"/>
        </w:rPr>
        <w:footnoteReference w:id="11"/>
      </w:r>
      <w:r w:rsidRPr="00B212B9">
        <w:rPr>
          <w:rFonts w:hint="cs"/>
          <w:rtl/>
          <w:lang w:val="fr-CH"/>
        </w:rPr>
        <w:t xml:space="preserve"> باستنباط نظام مماثل لنظام الترخيص الموحد، وإن كان قد جرى إدخال تحسينات عليه عن طريق الإخطار البسيط، الذي أزال تقسيم التراخيص المختلفة بواسطة الشبكات والخدمات. ويتطلب الترخيص الموحد إخطاراً مسبقاً، ك</w:t>
      </w:r>
      <w:r>
        <w:rPr>
          <w:rFonts w:hint="cs"/>
          <w:rtl/>
          <w:lang w:val="fr-CH"/>
        </w:rPr>
        <w:t>ما </w:t>
      </w:r>
      <w:r w:rsidRPr="00B212B9">
        <w:rPr>
          <w:rFonts w:hint="cs"/>
          <w:rtl/>
          <w:lang w:val="fr-CH"/>
        </w:rPr>
        <w:t xml:space="preserve">سيجرى تناوله في القسم التالي. ويسمح الترخيص الموحد أيضاً بتوفير أي نوع من خدمات الاتصالات وبنشر وتشغيل أي شبكة للاتصالات. وعلى غرار الأرجنتين، يتطلب تخصيص حقوق الطيف إذناً محدداً مستقلاً عن الترخيص الوحيد. </w:t>
      </w:r>
    </w:p>
    <w:p w:rsidR="00C476A9" w:rsidRPr="00B212B9" w:rsidRDefault="00C476A9" w:rsidP="00EA0AFB">
      <w:pPr>
        <w:rPr>
          <w:rtl/>
          <w:lang w:val="fr-CH"/>
        </w:rPr>
      </w:pPr>
      <w:r w:rsidRPr="00B212B9">
        <w:rPr>
          <w:rFonts w:hint="cs"/>
          <w:rtl/>
          <w:lang w:val="fr-CH"/>
        </w:rPr>
        <w:t xml:space="preserve">اقترحت سلطة تنظيم الاتصالات في الهند </w:t>
      </w:r>
      <w:r w:rsidRPr="00B212B9">
        <w:rPr>
          <w:lang w:val="fr-CH"/>
        </w:rPr>
        <w:t>(TRAI)</w:t>
      </w:r>
      <w:r w:rsidRPr="00B212B9">
        <w:rPr>
          <w:rFonts w:hint="cs"/>
          <w:rtl/>
          <w:lang w:val="fr-CH"/>
        </w:rPr>
        <w:t xml:space="preserve"> اعتماد نظام ترخيص</w:t>
      </w:r>
      <w:r w:rsidRPr="006E6D3A">
        <w:rPr>
          <w:rFonts w:hint="cs"/>
          <w:rtl/>
          <w:lang w:val="fr-CH"/>
        </w:rPr>
        <w:t xml:space="preserve"> </w:t>
      </w:r>
      <w:r w:rsidRPr="00B212B9">
        <w:rPr>
          <w:rFonts w:hint="cs"/>
          <w:rtl/>
          <w:lang w:val="fr-CH"/>
        </w:rPr>
        <w:t xml:space="preserve">تراتبي موحد يمكن تمثيله باعتباره هرماً </w:t>
      </w:r>
      <w:r>
        <w:rPr>
          <w:rFonts w:hint="cs"/>
          <w:rtl/>
          <w:lang w:val="fr-CH"/>
        </w:rPr>
        <w:t>مقلوباً،</w:t>
      </w:r>
      <w:r w:rsidRPr="00B212B9">
        <w:rPr>
          <w:rFonts w:hint="cs"/>
          <w:rtl/>
          <w:lang w:val="fr-CH"/>
        </w:rPr>
        <w:t xml:space="preserve"> ويشمل فيه الترخيص الرئيسي جميع الخدمات، في حين تغطي التراخيص الثانوية عدداً أقل من الخدمات</w:t>
      </w:r>
      <w:r w:rsidRPr="00B212B9">
        <w:rPr>
          <w:vertAlign w:val="superscript"/>
          <w:lang w:val="de-DE"/>
        </w:rPr>
        <w:footnoteReference w:id="12"/>
      </w:r>
      <w:r w:rsidRPr="00B212B9">
        <w:rPr>
          <w:rFonts w:hint="cs"/>
          <w:rtl/>
          <w:lang w:val="fr-CH"/>
        </w:rPr>
        <w:t xml:space="preserve">. وينبغي ملاحظة أنه في إطار مقترح لسلطة تنظيم الاتصالات في الهند، يتعين تقديم الخدمات الإذاعية عن طريق ترخيص قائم بذاته أو بترخيص مستقل. ويشمل النظام المقترح التصنيف التالي للتراخيص. </w:t>
      </w:r>
    </w:p>
    <w:p w:rsidR="00C476A9" w:rsidRPr="00B212B9" w:rsidRDefault="00497E3D" w:rsidP="00C476A9">
      <w:pPr>
        <w:pStyle w:val="enumlev1"/>
        <w:keepNext/>
        <w:keepLines/>
        <w:rPr>
          <w:rtl/>
        </w:rPr>
      </w:pPr>
      <w:r>
        <w:lastRenderedPageBreak/>
        <w:sym w:font="Symbol" w:char="F0B7"/>
      </w:r>
      <w:r w:rsidR="00C476A9" w:rsidRPr="00B212B9">
        <w:rPr>
          <w:rFonts w:hint="cs"/>
          <w:rtl/>
        </w:rPr>
        <w:tab/>
        <w:t>ترخيص (مفرد) وحيد</w:t>
      </w:r>
    </w:p>
    <w:p w:rsidR="00C476A9" w:rsidRPr="00B212B9" w:rsidRDefault="00497E3D" w:rsidP="00C476A9">
      <w:pPr>
        <w:pStyle w:val="enumlev1"/>
        <w:keepNext/>
        <w:keepLines/>
        <w:rPr>
          <w:rtl/>
        </w:rPr>
      </w:pPr>
      <w:r>
        <w:sym w:font="Symbol" w:char="F0B7"/>
      </w:r>
      <w:r w:rsidR="00C476A9" w:rsidRPr="00B212B9">
        <w:rPr>
          <w:rFonts w:hint="cs"/>
          <w:rtl/>
        </w:rPr>
        <w:tab/>
        <w:t>ترخيص بحسب الفئة</w:t>
      </w:r>
    </w:p>
    <w:p w:rsidR="00C476A9" w:rsidRPr="00B212B9" w:rsidRDefault="00497E3D" w:rsidP="00C476A9">
      <w:pPr>
        <w:pStyle w:val="enumlev1"/>
        <w:keepNext/>
        <w:keepLines/>
        <w:rPr>
          <w:rtl/>
        </w:rPr>
      </w:pPr>
      <w:r>
        <w:sym w:font="Symbol" w:char="F0B7"/>
      </w:r>
      <w:r w:rsidR="00C476A9" w:rsidRPr="00B212B9">
        <w:rPr>
          <w:rFonts w:hint="cs"/>
          <w:rtl/>
        </w:rPr>
        <w:tab/>
        <w:t>ترخيص بواسطة تخويل</w:t>
      </w:r>
    </w:p>
    <w:p w:rsidR="00C476A9" w:rsidRPr="00B212B9" w:rsidRDefault="00497E3D" w:rsidP="00C476A9">
      <w:pPr>
        <w:pStyle w:val="enumlev1"/>
        <w:keepNext/>
        <w:keepLines/>
        <w:rPr>
          <w:rtl/>
        </w:rPr>
      </w:pPr>
      <w:r>
        <w:sym w:font="Symbol" w:char="F0B7"/>
      </w:r>
      <w:r w:rsidR="00C476A9" w:rsidRPr="00B212B9">
        <w:rPr>
          <w:rFonts w:hint="cs"/>
          <w:rtl/>
        </w:rPr>
        <w:tab/>
        <w:t xml:space="preserve">ترخيص قائم بذاته للخدمات الإذاعية والخدمات </w:t>
      </w:r>
      <w:r w:rsidR="00C476A9">
        <w:rPr>
          <w:rFonts w:hint="cs"/>
          <w:rtl/>
        </w:rPr>
        <w:t>التلفزيون</w:t>
      </w:r>
      <w:r w:rsidR="00C476A9" w:rsidRPr="00B212B9">
        <w:rPr>
          <w:rFonts w:hint="cs"/>
          <w:rtl/>
        </w:rPr>
        <w:t>ية بواسطة الكابلات</w:t>
      </w:r>
    </w:p>
    <w:p w:rsidR="00C476A9" w:rsidRDefault="00C476A9" w:rsidP="00EA0AFB">
      <w:pPr>
        <w:keepNext/>
        <w:keepLines/>
        <w:rPr>
          <w:lang w:val="fr-CH"/>
        </w:rPr>
      </w:pPr>
      <w:r w:rsidRPr="00B212B9">
        <w:rPr>
          <w:rFonts w:hint="cs"/>
          <w:rtl/>
          <w:lang w:val="fr-CH"/>
        </w:rPr>
        <w:t>ويسمح الترخيص (المفرد) الوحيد بتوفير كافة خدمات الاتصالات، ب</w:t>
      </w:r>
      <w:r>
        <w:rPr>
          <w:rFonts w:hint="cs"/>
          <w:rtl/>
          <w:lang w:val="fr-CH"/>
        </w:rPr>
        <w:t>ما </w:t>
      </w:r>
      <w:r w:rsidRPr="00B212B9">
        <w:rPr>
          <w:rFonts w:hint="cs"/>
          <w:rtl/>
          <w:lang w:val="fr-CH"/>
        </w:rPr>
        <w:t>في ذلك الخدمات المخولة عن طريق الفئات المتبقية من التراخيص (الترخيص الموحد والترخيص عن طريق التخويل). ويغطي الترخيص الموحد الخدمات المقدمة بموجب الترخيص بتخويل، وخدمات المطراف</w:t>
      </w:r>
      <w:r>
        <w:rPr>
          <w:rFonts w:hint="cs"/>
          <w:rtl/>
          <w:lang w:val="fr-CH"/>
        </w:rPr>
        <w:t xml:space="preserve"> الساتلي ذي الفتحة الصغيرة جداً</w:t>
      </w:r>
      <w:r w:rsidRPr="00B212B9">
        <w:rPr>
          <w:rFonts w:hint="cs"/>
          <w:rtl/>
          <w:lang w:val="fr-CH"/>
        </w:rPr>
        <w:t xml:space="preserve"> </w:t>
      </w:r>
      <w:r>
        <w:rPr>
          <w:lang w:val="en-US"/>
        </w:rPr>
        <w:t>(</w:t>
      </w:r>
      <w:r w:rsidRPr="00B212B9">
        <w:rPr>
          <w:lang w:val="fr-CH"/>
        </w:rPr>
        <w:t>VSAT</w:t>
      </w:r>
      <w:r>
        <w:rPr>
          <w:lang w:val="fr-CH"/>
        </w:rPr>
        <w:t>)</w:t>
      </w:r>
      <w:r w:rsidRPr="00B212B9">
        <w:rPr>
          <w:rFonts w:hint="cs"/>
          <w:rtl/>
          <w:lang w:val="fr-CH"/>
        </w:rPr>
        <w:t xml:space="preserve">، والخدمات القليلة (الخدمات في المناطق الريفية التي تبلغ فيها الكثافة الهاتفية أقل من </w:t>
      </w:r>
      <w:r w:rsidRPr="00B212B9">
        <w:rPr>
          <w:lang w:val="fr-CH"/>
        </w:rPr>
        <w:t>1</w:t>
      </w:r>
      <w:r w:rsidRPr="00B212B9">
        <w:rPr>
          <w:rFonts w:hint="cs"/>
          <w:rtl/>
          <w:lang w:val="fr-CH"/>
        </w:rPr>
        <w:t xml:space="preserve"> في المائة). ويشمل الترخيص بواسطة تخويل الخدمات المتبقية، ومن بينها، النفاذ إلى الإنترنت وقناة البحث الراديوي. وأخيراً، ففي حالة الخدمات الإذاعية وخدمات </w:t>
      </w:r>
      <w:r>
        <w:rPr>
          <w:rFonts w:hint="cs"/>
          <w:rtl/>
          <w:lang w:val="fr-CH"/>
        </w:rPr>
        <w:t>التلفزيون</w:t>
      </w:r>
      <w:r w:rsidRPr="00B212B9">
        <w:rPr>
          <w:rFonts w:hint="cs"/>
          <w:rtl/>
          <w:lang w:val="fr-CH"/>
        </w:rPr>
        <w:t xml:space="preserve"> بواسطة الكابلات، يتطلب نظام الترخيص ترخيصاً قائماً بذاته. </w:t>
      </w:r>
    </w:p>
    <w:p w:rsidR="00EA0AFB" w:rsidRPr="00B212B9" w:rsidRDefault="00EA0AFB" w:rsidP="00EA0AFB">
      <w:pPr>
        <w:keepNext/>
        <w:keepLines/>
        <w:pBdr>
          <w:bottom w:val="single" w:sz="18" w:space="1" w:color="auto"/>
        </w:pBdr>
        <w:rPr>
          <w:rtl/>
          <w:lang w:val="fr-CH"/>
        </w:rPr>
      </w:pPr>
    </w:p>
    <w:p w:rsidR="00C476A9" w:rsidRDefault="00C476A9" w:rsidP="00EA0AFB">
      <w:pPr>
        <w:pStyle w:val="FigureNotitle"/>
        <w:bidi/>
        <w:spacing w:before="120"/>
        <w:jc w:val="left"/>
        <w:rPr>
          <w:rtl/>
          <w:lang w:val="fr-CH"/>
        </w:rPr>
      </w:pPr>
      <w:r w:rsidRPr="00B212B9">
        <w:rPr>
          <w:rFonts w:hint="cs"/>
          <w:rtl/>
          <w:lang w:val="fr-CH"/>
        </w:rPr>
        <w:t xml:space="preserve">الشكل </w:t>
      </w:r>
      <w:r w:rsidRPr="00B212B9">
        <w:rPr>
          <w:lang w:val="de-DE"/>
        </w:rPr>
        <w:t>3</w:t>
      </w:r>
      <w:r w:rsidRPr="00B212B9">
        <w:rPr>
          <w:rFonts w:hint="cs"/>
          <w:rtl/>
          <w:lang w:val="fr-CH"/>
        </w:rPr>
        <w:t>: النظام التراتبي للترخيص الموحد المقترح في الهند</w:t>
      </w:r>
      <w:r w:rsidRPr="00E70799">
        <w:rPr>
          <w:b w:val="0"/>
          <w:bCs w:val="0"/>
          <w:vertAlign w:val="superscript"/>
          <w:lang w:val="de-DE"/>
        </w:rPr>
        <w:footnoteReference w:id="13"/>
      </w:r>
    </w:p>
    <w:p w:rsidR="00C476A9" w:rsidRDefault="0010681B" w:rsidP="00C476A9">
      <w:pPr>
        <w:spacing w:before="0" w:line="240" w:lineRule="auto"/>
        <w:jc w:val="center"/>
        <w:rPr>
          <w:lang w:val="fr-CH"/>
        </w:rPr>
      </w:pPr>
      <w:r w:rsidRPr="0010681B">
        <w:rPr>
          <w:lang w:val="fr-CH"/>
        </w:rPr>
      </w:r>
      <w:r>
        <w:rPr>
          <w:lang w:val="fr-CH"/>
        </w:rPr>
        <w:pict>
          <v:group id="_x0000_s43137" editas="canvas" style="width:399.5pt;height:212.5pt;mso-position-horizontal-relative:char;mso-position-vertical-relative:line" coordorigin="1816,8257" coordsize="7990,4250">
            <o:lock v:ext="edit" aspectratio="t"/>
            <v:shape id="_x0000_s43138"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group id="_x0000_s43139" style="position:absolute;left:2203;top:8408;width:7476;height:3929" coordorigin="2203,8408" coordsize="7476,3929"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43140" type="#_x0000_t5" style="position:absolute;left:2203;top:8408;width:5223;height:3929;rotation:180;flip:x;v-text-anchor:middle" adj="10672" fillcolor="#9c0" strokeweight="1.25pt">
                <v:fill opacity="64881f" color2="fill darken(219)" rotate="t" method="linear sigma" type="gradient"/>
              </v:shape>
              <v:shape id="_x0000_s43141" type="#_x0000_t202" style="position:absolute;left:2741;top:8437;width:3898;height:720;v-text-anchor:top-baseline" filled="f" fillcolor="#bbe0e3" stroked="f">
                <v:textbox style="mso-next-textbox:#_x0000_s43141" inset="0,0,0,0">
                  <w:txbxContent>
                    <w:p w:rsidR="003D4D68" w:rsidRPr="0041645D" w:rsidRDefault="003D4D68" w:rsidP="00C476A9">
                      <w:pPr>
                        <w:spacing w:before="0" w:line="280" w:lineRule="exact"/>
                        <w:jc w:val="center"/>
                        <w:rPr>
                          <w:b/>
                          <w:bCs/>
                          <w:szCs w:val="22"/>
                          <w:rtl/>
                        </w:rPr>
                      </w:pPr>
                      <w:r w:rsidRPr="0041645D">
                        <w:rPr>
                          <w:rFonts w:hint="cs"/>
                          <w:b/>
                          <w:bCs/>
                          <w:szCs w:val="22"/>
                          <w:rtl/>
                        </w:rPr>
                        <w:t>الترخيص الموحد</w:t>
                      </w:r>
                    </w:p>
                    <w:p w:rsidR="003D4D68" w:rsidRPr="0041645D" w:rsidRDefault="003D4D68" w:rsidP="00C476A9">
                      <w:pPr>
                        <w:spacing w:before="0" w:line="280" w:lineRule="exact"/>
                        <w:jc w:val="center"/>
                        <w:rPr>
                          <w:szCs w:val="22"/>
                        </w:rPr>
                      </w:pPr>
                      <w:r w:rsidRPr="0041645D">
                        <w:rPr>
                          <w:rFonts w:hint="cs"/>
                          <w:szCs w:val="22"/>
                          <w:rtl/>
                        </w:rPr>
                        <w:t>جميع الخدمات باستثناء الإذاعة</w:t>
                      </w:r>
                    </w:p>
                  </w:txbxContent>
                </v:textbox>
              </v:shape>
              <v:shape id="_x0000_s43142" type="#_x0000_t202" style="position:absolute;left:3176;top:9107;width:3400;height:1190" filled="f" fillcolor="#bbe0e3" stroked="f">
                <v:textbox style="mso-next-textbox:#_x0000_s43142" inset="2.48919mm,1.2446mm,2.48919mm,1.2446mm">
                  <w:txbxContent>
                    <w:p w:rsidR="003D4D68" w:rsidRPr="0041645D" w:rsidRDefault="003D4D68" w:rsidP="00C476A9">
                      <w:pPr>
                        <w:spacing w:before="0" w:line="260" w:lineRule="exact"/>
                        <w:jc w:val="center"/>
                        <w:rPr>
                          <w:b/>
                          <w:bCs/>
                          <w:sz w:val="16"/>
                          <w:szCs w:val="22"/>
                          <w:rtl/>
                        </w:rPr>
                      </w:pPr>
                      <w:r w:rsidRPr="0041645D">
                        <w:rPr>
                          <w:rFonts w:hint="cs"/>
                          <w:b/>
                          <w:bCs/>
                          <w:sz w:val="16"/>
                          <w:szCs w:val="22"/>
                          <w:rtl/>
                        </w:rPr>
                        <w:t>الترخيص بحسب الفئة</w:t>
                      </w:r>
                    </w:p>
                    <w:p w:rsidR="003D4D68" w:rsidRPr="0041645D" w:rsidRDefault="003D4D68" w:rsidP="00C476A9">
                      <w:pPr>
                        <w:spacing w:before="0" w:line="260" w:lineRule="exact"/>
                        <w:jc w:val="center"/>
                        <w:rPr>
                          <w:sz w:val="16"/>
                          <w:szCs w:val="22"/>
                          <w:rtl/>
                          <w:lang w:val="en-US"/>
                        </w:rPr>
                      </w:pPr>
                      <w:r w:rsidRPr="0041645D">
                        <w:rPr>
                          <w:rFonts w:hint="cs"/>
                          <w:sz w:val="16"/>
                          <w:szCs w:val="22"/>
                          <w:rtl/>
                        </w:rPr>
                        <w:t xml:space="preserve">ويغطي الخدمات بموجب ترخيص التخويل ومشغلو المطراف </w:t>
                      </w:r>
                      <w:r w:rsidRPr="0041645D">
                        <w:rPr>
                          <w:sz w:val="16"/>
                          <w:szCs w:val="22"/>
                          <w:lang w:val="en-US"/>
                        </w:rPr>
                        <w:t>VSAT</w:t>
                      </w:r>
                      <w:r w:rsidRPr="0041645D">
                        <w:rPr>
                          <w:rFonts w:hint="cs"/>
                          <w:sz w:val="16"/>
                          <w:szCs w:val="22"/>
                          <w:rtl/>
                          <w:lang w:val="en-US"/>
                        </w:rPr>
                        <w:t xml:space="preserve"> والخدمات القليلة</w:t>
                      </w:r>
                    </w:p>
                  </w:txbxContent>
                </v:textbox>
              </v:shape>
              <v:shape id="_x0000_s43143" type="#_x0000_t202" style="position:absolute;left:3976;top:10057;width:1620;height:1800" filled="f" fillcolor="#bbe0e3" stroked="f">
                <v:textbox style="mso-next-textbox:#_x0000_s43143" inset="0,0,0,0">
                  <w:txbxContent>
                    <w:p w:rsidR="003D4D68" w:rsidRPr="0041645D" w:rsidRDefault="003D4D68" w:rsidP="00C476A9">
                      <w:pPr>
                        <w:spacing w:before="0" w:line="260" w:lineRule="exact"/>
                        <w:jc w:val="center"/>
                        <w:rPr>
                          <w:b/>
                          <w:bCs/>
                          <w:color w:val="000000"/>
                          <w:sz w:val="18"/>
                          <w:szCs w:val="22"/>
                          <w:rtl/>
                        </w:rPr>
                      </w:pPr>
                      <w:r w:rsidRPr="0041645D">
                        <w:rPr>
                          <w:rFonts w:hint="cs"/>
                          <w:b/>
                          <w:bCs/>
                          <w:color w:val="000000"/>
                          <w:sz w:val="18"/>
                          <w:szCs w:val="22"/>
                          <w:rtl/>
                        </w:rPr>
                        <w:t>الترخيص عن طريق التخويل</w:t>
                      </w:r>
                    </w:p>
                    <w:p w:rsidR="003D4D68" w:rsidRDefault="003D4D68" w:rsidP="00C476A9">
                      <w:pPr>
                        <w:spacing w:before="0" w:line="260" w:lineRule="exact"/>
                        <w:jc w:val="center"/>
                        <w:rPr>
                          <w:rFonts w:cs="Arial"/>
                          <w:color w:val="000000"/>
                          <w:sz w:val="18"/>
                          <w:szCs w:val="18"/>
                          <w:rtl/>
                        </w:rPr>
                      </w:pPr>
                      <w:r w:rsidRPr="0041645D">
                        <w:rPr>
                          <w:rFonts w:hint="cs"/>
                          <w:color w:val="000000"/>
                          <w:sz w:val="18"/>
                          <w:szCs w:val="22"/>
                          <w:rtl/>
                        </w:rPr>
                        <w:t xml:space="preserve">الخدمات المتبقية </w:t>
                      </w:r>
                      <w:r>
                        <w:rPr>
                          <w:color w:val="000000"/>
                          <w:sz w:val="18"/>
                          <w:szCs w:val="22"/>
                          <w:rtl/>
                        </w:rPr>
                        <w:br/>
                      </w:r>
                      <w:r w:rsidRPr="0041645D">
                        <w:rPr>
                          <w:rFonts w:hint="cs"/>
                          <w:color w:val="000000"/>
                          <w:sz w:val="18"/>
                          <w:szCs w:val="22"/>
                          <w:rtl/>
                        </w:rPr>
                        <w:t xml:space="preserve">(أي النفاذ إلى الإنترنت وقناة البحث </w:t>
                      </w:r>
                      <w:r>
                        <w:rPr>
                          <w:color w:val="000000"/>
                          <w:sz w:val="18"/>
                          <w:szCs w:val="22"/>
                          <w:rtl/>
                        </w:rPr>
                        <w:br/>
                      </w:r>
                      <w:r w:rsidRPr="0041645D">
                        <w:rPr>
                          <w:rFonts w:hint="cs"/>
                          <w:color w:val="000000"/>
                          <w:sz w:val="18"/>
                          <w:szCs w:val="22"/>
                          <w:rtl/>
                        </w:rPr>
                        <w:t>الراديوي)</w:t>
                      </w:r>
                    </w:p>
                  </w:txbxContent>
                </v:textbox>
              </v:shape>
              <v:rect id="_x0000_s43144" style="position:absolute;left:6730;top:9958;width:2949;height:1019;v-text-anchor:middle" fillcolor="#9c0" strokeweight="1.25pt">
                <v:fill color2="fill darken(219)" rotate="t" method="linear sigma" focus="100%" type="gradient"/>
                <v:textbox style="mso-next-textbox:#_x0000_s43144" inset="2.48919mm,,,1.2446mm">
                  <w:txbxContent>
                    <w:p w:rsidR="003D4D68" w:rsidRPr="0041645D" w:rsidRDefault="003D4D68" w:rsidP="00C476A9">
                      <w:pPr>
                        <w:spacing w:before="0" w:line="260" w:lineRule="exact"/>
                        <w:jc w:val="center"/>
                        <w:rPr>
                          <w:b/>
                          <w:bCs/>
                          <w:szCs w:val="22"/>
                          <w:rtl/>
                        </w:rPr>
                      </w:pPr>
                      <w:r w:rsidRPr="0041645D">
                        <w:rPr>
                          <w:rFonts w:hint="cs"/>
                          <w:b/>
                          <w:bCs/>
                          <w:szCs w:val="22"/>
                          <w:rtl/>
                        </w:rPr>
                        <w:t>ترخيص قائم بذاته</w:t>
                      </w:r>
                    </w:p>
                    <w:p w:rsidR="003D4D68" w:rsidRPr="0041645D" w:rsidRDefault="003D4D68" w:rsidP="00C476A9">
                      <w:pPr>
                        <w:spacing w:before="0" w:line="260" w:lineRule="exact"/>
                        <w:jc w:val="center"/>
                        <w:rPr>
                          <w:szCs w:val="22"/>
                          <w:rtl/>
                        </w:rPr>
                      </w:pPr>
                      <w:r w:rsidRPr="0041645D">
                        <w:rPr>
                          <w:rFonts w:hint="cs"/>
                          <w:szCs w:val="22"/>
                          <w:rtl/>
                        </w:rPr>
                        <w:t>الخدمات الإذاعية والخدمات التلفزيونية بواسطة الكبلات</w:t>
                      </w:r>
                    </w:p>
                  </w:txbxContent>
                </v:textbox>
              </v:rect>
              <v:line id="_x0000_s43145" style="position:absolute" from="2711,9157" to="6711,9158" strokeweight="1pt"/>
              <v:line id="_x0000_s43146" style="position:absolute" from="3411,10057" to="6011,10058" strokeweight="1pt"/>
            </v:group>
            <w10:wrap type="none"/>
            <w10:anchorlock/>
          </v:group>
        </w:pict>
      </w:r>
    </w:p>
    <w:p w:rsidR="00EA0AFB" w:rsidRDefault="00EA0AFB" w:rsidP="00EA0AFB">
      <w:pPr>
        <w:pBdr>
          <w:bottom w:val="single" w:sz="18" w:space="1" w:color="auto"/>
        </w:pBdr>
        <w:spacing w:before="0" w:line="120" w:lineRule="auto"/>
        <w:jc w:val="center"/>
        <w:rPr>
          <w:rtl/>
          <w:lang w:val="fr-CH"/>
        </w:rPr>
      </w:pPr>
    </w:p>
    <w:p w:rsidR="00C476A9" w:rsidRPr="00B212B9" w:rsidRDefault="00EA0AFB" w:rsidP="00EA0AFB">
      <w:pPr>
        <w:rPr>
          <w:lang w:val="fr-CH"/>
        </w:rPr>
      </w:pPr>
      <w:r>
        <w:rPr>
          <w:lang w:val="fr-CH"/>
        </w:rPr>
        <w:br/>
      </w:r>
      <w:r w:rsidR="00C476A9" w:rsidRPr="00B212B9">
        <w:rPr>
          <w:rFonts w:hint="cs"/>
          <w:rtl/>
          <w:lang w:val="fr-CH"/>
        </w:rPr>
        <w:t xml:space="preserve">أدخلت لجنة الاتصالات في نيجيريا </w:t>
      </w:r>
      <w:r w:rsidR="00C476A9" w:rsidRPr="00B212B9">
        <w:rPr>
          <w:lang w:val="fr-CH"/>
        </w:rPr>
        <w:t>(NCC)</w:t>
      </w:r>
      <w:r w:rsidR="00C476A9" w:rsidRPr="00B212B9">
        <w:rPr>
          <w:rFonts w:hint="cs"/>
          <w:rtl/>
          <w:lang w:val="fr-CH"/>
        </w:rPr>
        <w:t xml:space="preserve"> في مارس </w:t>
      </w:r>
      <w:r w:rsidR="00C476A9" w:rsidRPr="00B212B9">
        <w:rPr>
          <w:lang w:val="fr-CH"/>
        </w:rPr>
        <w:t>2006</w:t>
      </w:r>
      <w:r w:rsidR="00C476A9" w:rsidRPr="00B212B9">
        <w:rPr>
          <w:rFonts w:hint="cs"/>
          <w:rtl/>
          <w:lang w:val="fr-CH"/>
        </w:rPr>
        <w:t xml:space="preserve"> نظاماً موحداً للتر</w:t>
      </w:r>
      <w:r w:rsidR="00C476A9">
        <w:rPr>
          <w:rFonts w:hint="cs"/>
          <w:rtl/>
          <w:lang w:val="fr-CH"/>
        </w:rPr>
        <w:t>ا</w:t>
      </w:r>
      <w:r w:rsidR="00C476A9" w:rsidRPr="00B212B9">
        <w:rPr>
          <w:rFonts w:hint="cs"/>
          <w:rtl/>
          <w:lang w:val="fr-CH"/>
        </w:rPr>
        <w:t>خيص يغطي خدمات اتصالات متعددة. ويصدر الترخيص باعتباره ترخيصاً مفرداً بموجب قانون الاتصالات في نيجيريا</w:t>
      </w:r>
      <w:r w:rsidR="00C476A9" w:rsidRPr="00B212B9">
        <w:rPr>
          <w:vertAlign w:val="superscript"/>
          <w:lang w:val="de-DE"/>
        </w:rPr>
        <w:footnoteReference w:id="14"/>
      </w:r>
      <w:r w:rsidR="00C476A9" w:rsidRPr="00B212B9">
        <w:rPr>
          <w:rFonts w:hint="cs"/>
          <w:rtl/>
          <w:lang w:val="fr-CH"/>
        </w:rPr>
        <w:t xml:space="preserve">. وتحديداً، يغطي ترخيص خدمة النفاذ الموحدة في </w:t>
      </w:r>
      <w:r>
        <w:rPr>
          <w:lang w:val="fr-CH"/>
        </w:rPr>
        <w:br/>
      </w:r>
      <w:r w:rsidR="00C476A9" w:rsidRPr="00B212B9">
        <w:rPr>
          <w:rFonts w:hint="cs"/>
          <w:rtl/>
          <w:lang w:val="fr-CH"/>
        </w:rPr>
        <w:t>نيجيريا الهاتفية الثابتة (السلكية واللاسلكية)، والخدمات الرقمية المتنقلة، وخدمات البوابة الدولية، والخدمات الوطنية طويلة المسافة، والخدمات الإقليمية طويلة المسافة. وتضع لجنة الاتصالات في نيجيريا أيضاً معايير يجب أن تراعيها التراخيص القائمة بغية التحول إلى الترخيص الموحد</w:t>
      </w:r>
      <w:r w:rsidR="00C476A9" w:rsidRPr="00B212B9">
        <w:rPr>
          <w:vertAlign w:val="superscript"/>
          <w:lang w:val="de-DE"/>
        </w:rPr>
        <w:footnoteReference w:id="15"/>
      </w:r>
      <w:r w:rsidR="00C476A9" w:rsidRPr="00B212B9">
        <w:rPr>
          <w:rFonts w:hint="cs"/>
          <w:rtl/>
          <w:lang w:val="fr-CH"/>
        </w:rPr>
        <w:t xml:space="preserve">. </w:t>
      </w:r>
    </w:p>
    <w:p w:rsidR="00C476A9" w:rsidRPr="00B212B9" w:rsidRDefault="00C476A9" w:rsidP="00C476A9">
      <w:pPr>
        <w:pStyle w:val="Heading2"/>
        <w:rPr>
          <w:rtl/>
          <w:lang w:val="fr-CH"/>
        </w:rPr>
      </w:pPr>
      <w:bookmarkStart w:id="12" w:name="_Toc259454304"/>
      <w:r w:rsidRPr="00B212B9">
        <w:rPr>
          <w:lang w:val="fr-CH"/>
        </w:rPr>
        <w:lastRenderedPageBreak/>
        <w:t>2.3</w:t>
      </w:r>
      <w:r w:rsidRPr="00B212B9">
        <w:rPr>
          <w:rFonts w:hint="cs"/>
          <w:rtl/>
          <w:lang w:val="fr-CH"/>
        </w:rPr>
        <w:tab/>
        <w:t>تقليل وإلغاء المتطلبات الإدارية والرسمية للحصول على التراخيص</w:t>
      </w:r>
      <w:bookmarkEnd w:id="12"/>
      <w:r w:rsidRPr="00B212B9">
        <w:rPr>
          <w:rFonts w:hint="cs"/>
          <w:rtl/>
          <w:lang w:val="fr-CH"/>
        </w:rPr>
        <w:t xml:space="preserve"> </w:t>
      </w:r>
    </w:p>
    <w:p w:rsidR="00C476A9" w:rsidRPr="00B212B9" w:rsidRDefault="00C476A9" w:rsidP="00E069CA">
      <w:pPr>
        <w:rPr>
          <w:rtl/>
          <w:lang w:val="fr-CH"/>
        </w:rPr>
      </w:pPr>
      <w:r w:rsidRPr="00B212B9">
        <w:rPr>
          <w:rFonts w:hint="cs"/>
          <w:rtl/>
          <w:lang w:val="fr-CH"/>
        </w:rPr>
        <w:t>وك</w:t>
      </w:r>
      <w:r>
        <w:rPr>
          <w:rFonts w:hint="cs"/>
          <w:rtl/>
          <w:lang w:val="fr-CH"/>
        </w:rPr>
        <w:t>ما </w:t>
      </w:r>
      <w:r w:rsidRPr="00B212B9">
        <w:rPr>
          <w:rFonts w:hint="cs"/>
          <w:rtl/>
          <w:lang w:val="fr-CH"/>
        </w:rPr>
        <w:t xml:space="preserve">سبق شرحه، تألف الاتجاه الثاني المتبع لاعتماد أنظمة الترخيص من تقليل أو إزالة المتطلبات الرسمية والإدارية لتوفير الخدمات. واتبع هذا الاتجاه مراحل متنوعة، تراوحت من تعزيز نطاق التخويلات العامة أو تطبيق نظام </w:t>
      </w:r>
      <w:r w:rsidR="00E069CA">
        <w:rPr>
          <w:rFonts w:hint="cs"/>
          <w:rtl/>
          <w:lang w:val="fr-CH"/>
        </w:rPr>
        <w:t>إ</w:t>
      </w:r>
      <w:r w:rsidRPr="00B212B9">
        <w:rPr>
          <w:rFonts w:hint="cs"/>
          <w:rtl/>
          <w:lang w:val="fr-CH"/>
        </w:rPr>
        <w:t>خطار أو تسجيل إلى إلغاء الضوابط في الخدمات. ويحل نظام التسجيل أو ال</w:t>
      </w:r>
      <w:r w:rsidR="00E069CA">
        <w:rPr>
          <w:rFonts w:hint="cs"/>
          <w:rtl/>
          <w:lang w:val="fr-CH"/>
        </w:rPr>
        <w:t>إ</w:t>
      </w:r>
      <w:r w:rsidRPr="00B212B9">
        <w:rPr>
          <w:rFonts w:hint="cs"/>
          <w:rtl/>
          <w:lang w:val="fr-CH"/>
        </w:rPr>
        <w:t>خطار محل عملية منح التراخيص أو التخويلات العامة، لجعل عملية الحصول على التراخيص أكثر بساطة، وأوتوماتية، في بعض الأحوال، في حين أدى إلغاء الضوابط في الخدمات إلى إزالة متطلبات الحصول على ترخيص أو امتياز مسبق. ولكل مرحلة من هذه المراحل الخصائص التالية.</w:t>
      </w:r>
    </w:p>
    <w:p w:rsidR="00C476A9" w:rsidRPr="00B212B9" w:rsidRDefault="00C476A9" w:rsidP="00C476A9">
      <w:pPr>
        <w:rPr>
          <w:rtl/>
          <w:lang w:val="fr-CH"/>
        </w:rPr>
      </w:pPr>
      <w:r w:rsidRPr="00B212B9">
        <w:rPr>
          <w:rFonts w:hint="cs"/>
          <w:rtl/>
          <w:lang w:val="fr-CH"/>
        </w:rPr>
        <w:t>وتشمل التراخيص الفردية شروط محددة للخدمة، تحدد حقوق والتزامات خدمة الترخيص. بالإضافة إلى ذلك، تجرى الموافقة على كل ترخيص فردي على أساس كل حالة على حدة لخدمة أو ترخيص معين. إ</w:t>
      </w:r>
      <w:r>
        <w:rPr>
          <w:rFonts w:hint="cs"/>
          <w:rtl/>
          <w:lang w:val="fr-CH"/>
        </w:rPr>
        <w:t>لا </w:t>
      </w:r>
      <w:r w:rsidRPr="00B212B9">
        <w:rPr>
          <w:rFonts w:hint="cs"/>
          <w:rtl/>
          <w:lang w:val="fr-CH"/>
        </w:rPr>
        <w:t>أن التخويلات العامة تضع نظاماً عاماً للحقوق والالتزامات بحيث تطبق على جميع المشغلين عن طريق التخويل ذاته، وعملية منحها أكثر وضوحاً في معالمها، و</w:t>
      </w:r>
      <w:r>
        <w:rPr>
          <w:rFonts w:hint="cs"/>
          <w:rtl/>
          <w:lang w:val="fr-CH"/>
        </w:rPr>
        <w:t>لا </w:t>
      </w:r>
      <w:r w:rsidRPr="00B212B9">
        <w:rPr>
          <w:rFonts w:hint="cs"/>
          <w:rtl/>
          <w:lang w:val="fr-CH"/>
        </w:rPr>
        <w:t>تتطلب فحصاً مكثفاً ك</w:t>
      </w:r>
      <w:r>
        <w:rPr>
          <w:rFonts w:hint="cs"/>
          <w:rtl/>
          <w:lang w:val="fr-CH"/>
        </w:rPr>
        <w:t>ما </w:t>
      </w:r>
      <w:r w:rsidRPr="00B212B9">
        <w:rPr>
          <w:rFonts w:hint="cs"/>
          <w:rtl/>
          <w:lang w:val="fr-CH"/>
        </w:rPr>
        <w:t xml:space="preserve">هو الشأن في حالة الترخيص الفردي. </w:t>
      </w:r>
    </w:p>
    <w:p w:rsidR="00C476A9" w:rsidRPr="00A9048C" w:rsidRDefault="00C476A9" w:rsidP="00EA0AFB">
      <w:pPr>
        <w:rPr>
          <w:rtl/>
          <w:lang w:val="fr-CH"/>
        </w:rPr>
      </w:pPr>
      <w:r w:rsidRPr="00A9048C">
        <w:rPr>
          <w:rFonts w:hint="cs"/>
          <w:rtl/>
          <w:lang w:val="fr-CH"/>
        </w:rPr>
        <w:t xml:space="preserve">وينطوي نظام الترخيص على خطوة تتجاوز التخويل، إذ تطبق شروط الخدمة العمومية على المشغلين وتتطلب تسجيل طلباتهم لتوفير الخدمة. ويقلل تحليل طلب المشغل والموافقة عليه إلى أدنى حد بحيث يعتبر مجرد إجراء شكلي. </w:t>
      </w:r>
    </w:p>
    <w:p w:rsidR="00C476A9" w:rsidRPr="00711A24" w:rsidRDefault="00C476A9" w:rsidP="00EA0AFB">
      <w:pPr>
        <w:rPr>
          <w:rtl/>
          <w:lang w:val="fr-CH"/>
        </w:rPr>
      </w:pPr>
      <w:r w:rsidRPr="00711A24">
        <w:rPr>
          <w:rFonts w:hint="cs"/>
          <w:rtl/>
          <w:lang w:val="fr-CH"/>
        </w:rPr>
        <w:t xml:space="preserve">وأخيراً، يعتبر الإخطار آخر خطوة تسبق إلغاء الضوابط في الخدمة. وفي هذه المرحلة، لا يتعين على المشغل انتظار موافقة الوكالة الإدارية لتقديم الخدمة، إذ يعتبر حراً في تقديم الخدمة بمجرد إيداع الإخطار. وتعتبر شروط وأحكام الخدمة ذات تطبيق عام. </w:t>
      </w:r>
    </w:p>
    <w:p w:rsidR="00C476A9" w:rsidRPr="00B212B9" w:rsidRDefault="00C476A9" w:rsidP="00C476A9">
      <w:pPr>
        <w:rPr>
          <w:lang w:val="fr-CH"/>
        </w:rPr>
      </w:pPr>
      <w:r w:rsidRPr="00B212B9">
        <w:rPr>
          <w:rFonts w:hint="cs"/>
          <w:rtl/>
          <w:lang w:val="fr-CH"/>
        </w:rPr>
        <w:t>وك</w:t>
      </w:r>
      <w:r>
        <w:rPr>
          <w:rFonts w:hint="cs"/>
          <w:rtl/>
          <w:lang w:val="fr-CH"/>
        </w:rPr>
        <w:t>ما </w:t>
      </w:r>
      <w:r w:rsidRPr="00B212B9">
        <w:rPr>
          <w:rFonts w:hint="cs"/>
          <w:rtl/>
          <w:lang w:val="fr-CH"/>
        </w:rPr>
        <w:t>سبق شرحه بالتفصيل أعلاه، تحد أغلبية أنظمة تبسيط وتوحيد الترخيص من التراخيص الفردية بحيث تشمل خدمات محددة تشمل استعمال الطيف، وتوسيع نطاق الخدمات الممنوحة عن طريق التخويل العام. وفي بعض الحالات، ك</w:t>
      </w:r>
      <w:r>
        <w:rPr>
          <w:rFonts w:hint="cs"/>
          <w:rtl/>
          <w:lang w:val="fr-CH"/>
        </w:rPr>
        <w:t>ما </w:t>
      </w:r>
      <w:r w:rsidRPr="00B212B9">
        <w:rPr>
          <w:rFonts w:hint="cs"/>
          <w:rtl/>
          <w:lang w:val="fr-CH"/>
        </w:rPr>
        <w:t xml:space="preserve">هو الشأن في ماليزيا وسنغافورة، </w:t>
      </w:r>
      <w:r>
        <w:rPr>
          <w:rFonts w:hint="cs"/>
          <w:rtl/>
          <w:lang w:val="fr-CH"/>
        </w:rPr>
        <w:t>لا </w:t>
      </w:r>
      <w:r w:rsidRPr="00B212B9">
        <w:rPr>
          <w:rFonts w:hint="cs"/>
          <w:rtl/>
          <w:lang w:val="fr-CH"/>
        </w:rPr>
        <w:t xml:space="preserve">تتطلب بعض الخدمات سوى الإخطار. </w:t>
      </w:r>
    </w:p>
    <w:p w:rsidR="00C476A9" w:rsidRPr="00711A24" w:rsidRDefault="00C476A9" w:rsidP="00EA0AFB">
      <w:pPr>
        <w:rPr>
          <w:rtl/>
          <w:lang w:val="fr-CH"/>
        </w:rPr>
      </w:pPr>
      <w:r w:rsidRPr="00711A24">
        <w:rPr>
          <w:rFonts w:hint="cs"/>
          <w:rtl/>
          <w:lang w:val="fr-CH"/>
        </w:rPr>
        <w:t xml:space="preserve">وفي بلدان أخرى، كما هو الشأن في الدول الأعضاء في الاتحاد الأوروبي، جرى وضع نظام كامل للتسجيل والإخطار لتقديم خدمات الاتصالات. وفي الاتحاد الأوروبي، يخضع توفير خدمات الاتصالات الإلكترونية فضلاً عن نشر أو تشغيل الشبكات لتقديم إخطار لسلطة التنظيم الوطنية المقابلة بموجب نظام الإخطار العام. وحلت التخويلات العامة لتوفير شبكات أو خدمات الاتصالات الإلكترونية محل التراخيص الفردية في عام </w:t>
      </w:r>
      <w:r w:rsidRPr="00711A24">
        <w:rPr>
          <w:vertAlign w:val="superscript"/>
          <w:lang w:val="de-DE"/>
        </w:rPr>
        <w:footnoteReference w:id="16"/>
      </w:r>
      <w:r w:rsidRPr="00711A24">
        <w:rPr>
          <w:lang w:val="fr-CH"/>
        </w:rPr>
        <w:t>2002</w:t>
      </w:r>
      <w:r w:rsidRPr="00711A24">
        <w:rPr>
          <w:rFonts w:hint="cs"/>
          <w:rtl/>
          <w:lang w:val="fr-CH"/>
        </w:rPr>
        <w:t xml:space="preserve">. وإن كان تقديم إخطار يتطلب وجود كيان، قد لا يتطلب منظم وطني وجود كيان للحصول على موافقة صريحة قبل بدء التشغيل. إلا أنه لا يزال يوجد مخطط خاص لإصدار الحقوق في الحصول على الترددات، والأرقام وغيرها من المصادر النادرة بالإضافة إلى توفير ما يلزم تحديد بعض وظائف الخدمة الشاملة. </w:t>
      </w:r>
    </w:p>
    <w:p w:rsidR="00C476A9" w:rsidRPr="00B212B9" w:rsidRDefault="00C476A9" w:rsidP="00E069CA">
      <w:pPr>
        <w:rPr>
          <w:lang w:val="fr-CH"/>
        </w:rPr>
      </w:pPr>
      <w:r w:rsidRPr="00B212B9">
        <w:rPr>
          <w:rFonts w:hint="cs"/>
          <w:rtl/>
          <w:lang w:val="fr-CH"/>
        </w:rPr>
        <w:t>وأخيراً، توجد بلدان قامت بالفعل بإلغاء التخويل فضلاً عن الإخطار والتسجيل لتوفير خدمات معينة، ودللت هذه البلدان بأن مثل هذه الخدمات تتجاوز نطاق ولاية المنظم، أو تستند إلى قرار صريح من المنظم الذي يمارس تقديره بعدم تنظيم خدمة محددة. وبشكل عام، فهذا هو النهج المتبع في الولايات المتحدة في</w:t>
      </w:r>
      <w:r>
        <w:rPr>
          <w:rFonts w:hint="cs"/>
          <w:rtl/>
          <w:lang w:val="fr-CH"/>
        </w:rPr>
        <w:t>ما </w:t>
      </w:r>
      <w:r w:rsidRPr="00B212B9">
        <w:rPr>
          <w:rFonts w:hint="cs"/>
          <w:rtl/>
          <w:lang w:val="fr-CH"/>
        </w:rPr>
        <w:t xml:space="preserve">يتعلق بالنفاذ إلى الإنترنت، الذي قامت اللجنة الفيدرالية للاتصالات بتصنيفه باعتباره خدمة معلومات </w:t>
      </w:r>
      <w:r>
        <w:rPr>
          <w:rFonts w:hint="cs"/>
          <w:rtl/>
          <w:lang w:val="fr-CH"/>
        </w:rPr>
        <w:t>لا </w:t>
      </w:r>
      <w:r w:rsidRPr="00B212B9">
        <w:rPr>
          <w:rFonts w:hint="cs"/>
          <w:rtl/>
          <w:lang w:val="fr-CH"/>
        </w:rPr>
        <w:t>ينظمها قانون الاتصالات، وذلك بهدف تعزيز النمو المتواصل للإنترنت</w:t>
      </w:r>
      <w:r w:rsidRPr="00B212B9">
        <w:rPr>
          <w:vertAlign w:val="superscript"/>
          <w:lang w:val="de-DE"/>
        </w:rPr>
        <w:footnoteReference w:id="17"/>
      </w:r>
      <w:r w:rsidRPr="00B212B9">
        <w:rPr>
          <w:rFonts w:hint="cs"/>
          <w:rtl/>
          <w:lang w:val="fr-CH"/>
        </w:rPr>
        <w:t xml:space="preserve">. </w:t>
      </w:r>
    </w:p>
    <w:p w:rsidR="00C476A9" w:rsidRPr="00B212B9" w:rsidRDefault="00C476A9" w:rsidP="00C476A9">
      <w:pPr>
        <w:pStyle w:val="Heading1"/>
        <w:rPr>
          <w:rtl/>
          <w:lang w:val="fr-CH"/>
        </w:rPr>
      </w:pPr>
      <w:bookmarkStart w:id="13" w:name="_Toc259454305"/>
      <w:r w:rsidRPr="00B212B9">
        <w:rPr>
          <w:lang w:val="fr-CH"/>
        </w:rPr>
        <w:lastRenderedPageBreak/>
        <w:t>4</w:t>
      </w:r>
      <w:r w:rsidRPr="00B212B9">
        <w:rPr>
          <w:rFonts w:hint="cs"/>
          <w:rtl/>
          <w:lang w:val="fr-CH"/>
        </w:rPr>
        <w:tab/>
        <w:t xml:space="preserve">تقييم خبرات </w:t>
      </w:r>
      <w:r>
        <w:rPr>
          <w:rFonts w:hint="cs"/>
          <w:rtl/>
          <w:lang w:val="fr-CH"/>
        </w:rPr>
        <w:t>هيئات تنظيم</w:t>
      </w:r>
      <w:r w:rsidRPr="00B212B9">
        <w:rPr>
          <w:rFonts w:hint="cs"/>
          <w:rtl/>
          <w:lang w:val="fr-CH"/>
        </w:rPr>
        <w:t xml:space="preserve"> الاتصالات والمنافسة</w:t>
      </w:r>
      <w:bookmarkEnd w:id="13"/>
      <w:r w:rsidRPr="00B212B9">
        <w:rPr>
          <w:rFonts w:hint="cs"/>
          <w:rtl/>
          <w:lang w:val="fr-CH"/>
        </w:rPr>
        <w:t xml:space="preserve"> </w:t>
      </w:r>
    </w:p>
    <w:p w:rsidR="00C476A9" w:rsidRPr="00B212B9" w:rsidRDefault="00C476A9" w:rsidP="00C476A9">
      <w:pPr>
        <w:pStyle w:val="Heading2"/>
        <w:rPr>
          <w:rtl/>
          <w:lang w:val="fr-CH"/>
        </w:rPr>
      </w:pPr>
      <w:bookmarkStart w:id="14" w:name="_Toc259454306"/>
      <w:r w:rsidRPr="00B212B9">
        <w:rPr>
          <w:lang w:val="fr-CH"/>
        </w:rPr>
        <w:t>1.4</w:t>
      </w:r>
      <w:r w:rsidRPr="00B212B9">
        <w:rPr>
          <w:rFonts w:hint="cs"/>
          <w:rtl/>
          <w:lang w:val="fr-CH"/>
        </w:rPr>
        <w:tab/>
        <w:t>الخدمات المكتسبة من منح التراخيص المتقاربة</w:t>
      </w:r>
      <w:bookmarkEnd w:id="14"/>
    </w:p>
    <w:p w:rsidR="00C476A9" w:rsidRPr="00B212B9" w:rsidRDefault="00C476A9" w:rsidP="00C476A9">
      <w:pPr>
        <w:rPr>
          <w:rtl/>
          <w:lang w:val="fr-CH"/>
        </w:rPr>
      </w:pPr>
      <w:r w:rsidRPr="00B212B9">
        <w:rPr>
          <w:rFonts w:hint="cs"/>
          <w:rtl/>
          <w:lang w:val="fr-CH"/>
        </w:rPr>
        <w:t xml:space="preserve">وفقاً للردود على استقصاء أدرجت في قاعدة بيانات تنظيم الاتصالات الدولية للاتحاد الدولي للاتصالات، بالإضافة إلى الحالات المذكورة أعلاه، أدخل </w:t>
      </w:r>
      <w:r w:rsidRPr="00B212B9">
        <w:rPr>
          <w:lang w:val="fr-CH"/>
        </w:rPr>
        <w:t>11</w:t>
      </w:r>
      <w:r w:rsidRPr="00B212B9">
        <w:rPr>
          <w:rFonts w:hint="cs"/>
          <w:rtl/>
          <w:lang w:val="fr-CH"/>
        </w:rPr>
        <w:t xml:space="preserve"> بلداً تراخيص موحدة لبعض الخدمات على الأقل: بوتسوانا وبوتان ومصر وغينيا الاستوائية ولاتفيا والمالديف ومالي وموريتانيا وناميبيا والسنغال وسلوفينيا. بالإضافة إلى ذلك، أفاد </w:t>
      </w:r>
      <w:r w:rsidRPr="00B212B9">
        <w:rPr>
          <w:lang w:val="fr-CH"/>
        </w:rPr>
        <w:t>81</w:t>
      </w:r>
      <w:r w:rsidRPr="00B212B9">
        <w:rPr>
          <w:rFonts w:hint="cs"/>
          <w:rtl/>
          <w:lang w:val="fr-CH"/>
        </w:rPr>
        <w:t xml:space="preserve"> من المستجيبين باستعمال تراخيص فردية، وأفاد </w:t>
      </w:r>
      <w:r w:rsidRPr="00B212B9">
        <w:rPr>
          <w:lang w:val="fr-CH"/>
        </w:rPr>
        <w:t>28</w:t>
      </w:r>
      <w:r w:rsidRPr="00B212B9">
        <w:rPr>
          <w:rFonts w:hint="cs"/>
          <w:rtl/>
          <w:lang w:val="fr-CH"/>
        </w:rPr>
        <w:t xml:space="preserve"> باستعمال تخويلات عامة أو تراخيص بواسطة تخويل، وسمحت </w:t>
      </w:r>
      <w:r w:rsidRPr="00B212B9">
        <w:rPr>
          <w:lang w:val="fr-CH"/>
        </w:rPr>
        <w:t>10</w:t>
      </w:r>
      <w:r w:rsidRPr="00B212B9">
        <w:rPr>
          <w:rFonts w:hint="cs"/>
          <w:rtl/>
          <w:lang w:val="fr-CH"/>
        </w:rPr>
        <w:t xml:space="preserve"> ردود بتشغيل بعض الخدمات بدون ترخيص. وهذه الفئات ليست مقصورة على التبادل. ويمكن للهيئات التنظيمية أن تستعمل خليطاً من أساليب الترخيص المختلفة ويتوقف ذلك على الخدمة والإطار القانوني المعني. بالإضافة إلى  ذلك، وك</w:t>
      </w:r>
      <w:r>
        <w:rPr>
          <w:rFonts w:hint="cs"/>
          <w:rtl/>
          <w:lang w:val="fr-CH"/>
        </w:rPr>
        <w:t>ما </w:t>
      </w:r>
      <w:r w:rsidRPr="00B212B9">
        <w:rPr>
          <w:rFonts w:hint="cs"/>
          <w:rtl/>
          <w:lang w:val="fr-CH"/>
        </w:rPr>
        <w:t>لوحظ أعلاه، تختلف تعاريف الترخيص الموحد</w:t>
      </w:r>
      <w:r>
        <w:rPr>
          <w:rFonts w:hint="cs"/>
          <w:rtl/>
          <w:lang w:val="fr-CH"/>
        </w:rPr>
        <w:t>ة</w:t>
      </w:r>
      <w:r w:rsidRPr="00B212B9">
        <w:rPr>
          <w:rFonts w:hint="cs"/>
          <w:rtl/>
          <w:lang w:val="fr-CH"/>
        </w:rPr>
        <w:t xml:space="preserve"> في</w:t>
      </w:r>
      <w:r>
        <w:rPr>
          <w:rFonts w:hint="cs"/>
          <w:rtl/>
          <w:lang w:val="fr-CH"/>
        </w:rPr>
        <w:t>ما </w:t>
      </w:r>
      <w:r w:rsidRPr="00B212B9">
        <w:rPr>
          <w:rFonts w:hint="cs"/>
          <w:rtl/>
          <w:lang w:val="fr-CH"/>
        </w:rPr>
        <w:t xml:space="preserve">بين البلدان. </w:t>
      </w:r>
    </w:p>
    <w:p w:rsidR="00C476A9" w:rsidRPr="00B212B9" w:rsidRDefault="00C476A9" w:rsidP="00C476A9">
      <w:pPr>
        <w:rPr>
          <w:rtl/>
          <w:lang w:val="fr-CH"/>
        </w:rPr>
      </w:pPr>
      <w:r w:rsidRPr="00B212B9">
        <w:rPr>
          <w:rFonts w:hint="cs"/>
          <w:rtl/>
          <w:lang w:val="fr-CH"/>
        </w:rPr>
        <w:t>تبرز الأقسام التالية خبرات هيئات تنظيم الاتصالات والمنافسة في</w:t>
      </w:r>
      <w:r>
        <w:rPr>
          <w:rFonts w:hint="cs"/>
          <w:rtl/>
          <w:lang w:val="fr-CH"/>
        </w:rPr>
        <w:t>ما </w:t>
      </w:r>
      <w:r w:rsidRPr="00B212B9">
        <w:rPr>
          <w:rFonts w:hint="cs"/>
          <w:rtl/>
          <w:lang w:val="fr-CH"/>
        </w:rPr>
        <w:t xml:space="preserve">يتعلق بأطر ترخيص الخدمات المتقاربة. </w:t>
      </w:r>
    </w:p>
    <w:p w:rsidR="00C476A9" w:rsidRPr="00B212B9" w:rsidRDefault="00C476A9" w:rsidP="00C476A9">
      <w:pPr>
        <w:pStyle w:val="Heading3"/>
        <w:rPr>
          <w:rtl/>
          <w:lang w:val="fr-CH"/>
        </w:rPr>
      </w:pPr>
      <w:bookmarkStart w:id="15" w:name="_Toc259454307"/>
      <w:r w:rsidRPr="00B212B9">
        <w:rPr>
          <w:lang w:val="fr-CH"/>
        </w:rPr>
        <w:t>1.1.4</w:t>
      </w:r>
      <w:r w:rsidRPr="00B212B9">
        <w:rPr>
          <w:rFonts w:hint="cs"/>
          <w:rtl/>
          <w:lang w:val="fr-CH"/>
        </w:rPr>
        <w:tab/>
        <w:t>جمهورية الكونغو الديمقراطية</w:t>
      </w:r>
      <w:r w:rsidRPr="00B212B9">
        <w:rPr>
          <w:vertAlign w:val="superscript"/>
          <w:lang w:val="de-DE"/>
        </w:rPr>
        <w:footnoteReference w:id="18"/>
      </w:r>
      <w:bookmarkEnd w:id="15"/>
      <w:r w:rsidRPr="00B212B9">
        <w:rPr>
          <w:rFonts w:hint="cs"/>
          <w:rtl/>
          <w:lang w:val="fr-CH"/>
        </w:rPr>
        <w:t xml:space="preserve"> </w:t>
      </w:r>
    </w:p>
    <w:p w:rsidR="00C476A9" w:rsidRPr="00B212B9" w:rsidRDefault="00C476A9" w:rsidP="00C476A9">
      <w:pPr>
        <w:rPr>
          <w:rtl/>
          <w:lang w:val="fr-CH"/>
        </w:rPr>
      </w:pPr>
      <w:r w:rsidRPr="00B212B9">
        <w:rPr>
          <w:rFonts w:hint="cs"/>
          <w:rtl/>
          <w:lang w:val="fr-CH"/>
        </w:rPr>
        <w:t xml:space="preserve">في جمهورية الكونغو الديمقراطية، يحق لحامل الترخيص استعمال التكنولوجيات والأجهزة التي يختارها من أجل تقديم </w:t>
      </w:r>
      <w:r w:rsidR="00EA0AFB">
        <w:rPr>
          <w:lang w:val="fr-CH"/>
        </w:rPr>
        <w:br/>
      </w:r>
      <w:r w:rsidRPr="00B212B9">
        <w:rPr>
          <w:rFonts w:hint="cs"/>
          <w:rtl/>
          <w:lang w:val="fr-CH"/>
        </w:rPr>
        <w:t>خدمات الاتصالات. وي</w:t>
      </w:r>
      <w:r>
        <w:rPr>
          <w:rFonts w:hint="cs"/>
          <w:rtl/>
          <w:lang w:val="fr-CH"/>
        </w:rPr>
        <w:t>ُ</w:t>
      </w:r>
      <w:r w:rsidRPr="00B212B9">
        <w:rPr>
          <w:rFonts w:hint="cs"/>
          <w:rtl/>
          <w:lang w:val="fr-CH"/>
        </w:rPr>
        <w:t xml:space="preserve">ستعمل هذا المبدأ لجعل نظام الترخيص مرناً كي يكون قادراً على التكيف مع التغير التكنولوجي السريع في هذا القطاع. </w:t>
      </w:r>
    </w:p>
    <w:p w:rsidR="00C476A9" w:rsidRPr="00B212B9" w:rsidRDefault="00C476A9" w:rsidP="00C476A9">
      <w:pPr>
        <w:rPr>
          <w:rtl/>
          <w:lang w:val="fr-CH"/>
        </w:rPr>
      </w:pPr>
      <w:r w:rsidRPr="00B212B9">
        <w:rPr>
          <w:rFonts w:hint="cs"/>
          <w:rtl/>
          <w:lang w:val="fr-CH"/>
        </w:rPr>
        <w:t>وفي</w:t>
      </w:r>
      <w:r>
        <w:rPr>
          <w:rFonts w:hint="cs"/>
          <w:rtl/>
          <w:lang w:val="fr-CH"/>
        </w:rPr>
        <w:t>ما </w:t>
      </w:r>
      <w:r w:rsidRPr="00B212B9">
        <w:rPr>
          <w:rFonts w:hint="cs"/>
          <w:rtl/>
          <w:lang w:val="fr-CH"/>
        </w:rPr>
        <w:t xml:space="preserve">يتعلق بشبكات الجيل التالي، </w:t>
      </w:r>
      <w:r>
        <w:rPr>
          <w:rFonts w:hint="cs"/>
          <w:rtl/>
          <w:lang w:val="fr-CH"/>
        </w:rPr>
        <w:t>لا </w:t>
      </w:r>
      <w:r w:rsidRPr="00B212B9">
        <w:rPr>
          <w:rFonts w:hint="cs"/>
          <w:rtl/>
          <w:lang w:val="fr-CH"/>
        </w:rPr>
        <w:t>يشير القانون الحالي إلى منح تراخيص الخدمات المتقاربة. إ</w:t>
      </w:r>
      <w:r>
        <w:rPr>
          <w:rFonts w:hint="cs"/>
          <w:rtl/>
          <w:lang w:val="fr-CH"/>
        </w:rPr>
        <w:t>لا </w:t>
      </w:r>
      <w:r w:rsidRPr="00B212B9">
        <w:rPr>
          <w:rFonts w:hint="cs"/>
          <w:rtl/>
          <w:lang w:val="fr-CH"/>
        </w:rPr>
        <w:t xml:space="preserve">أنه من الناحية العملية، تجرى ملاءمة التقارب في الواقع في إطار عملية الترخيص، وذلك عن طريق منح تراخيص </w:t>
      </w:r>
      <w:r w:rsidRPr="00B212B9">
        <w:rPr>
          <w:lang w:val="fr-CH"/>
        </w:rPr>
        <w:t>W</w:t>
      </w:r>
      <w:r>
        <w:rPr>
          <w:lang w:val="fr-CH"/>
        </w:rPr>
        <w:t>i</w:t>
      </w:r>
      <w:r w:rsidRPr="00B212B9">
        <w:rPr>
          <w:lang w:val="fr-CH"/>
        </w:rPr>
        <w:t>MAX</w:t>
      </w:r>
      <w:r w:rsidRPr="00B212B9">
        <w:rPr>
          <w:rFonts w:hint="cs"/>
          <w:rtl/>
          <w:lang w:val="fr-CH"/>
        </w:rPr>
        <w:t xml:space="preserve"> وتراخيص الجيل الثالث، الجاري حالياً. والواقع هو أن الفلسفة الحالية تستند إلى تقارب الخدمات (ال</w:t>
      </w:r>
      <w:r>
        <w:rPr>
          <w:rFonts w:hint="cs"/>
          <w:rtl/>
          <w:lang w:val="fr-CH"/>
        </w:rPr>
        <w:t>م</w:t>
      </w:r>
      <w:r w:rsidRPr="00B212B9">
        <w:rPr>
          <w:rFonts w:hint="cs"/>
          <w:rtl/>
          <w:lang w:val="fr-CH"/>
        </w:rPr>
        <w:t>هاتفة، والإنترنت، والبيانات، والوسائط المتعددة، و</w:t>
      </w:r>
      <w:r>
        <w:rPr>
          <w:rFonts w:hint="cs"/>
          <w:rtl/>
          <w:lang w:val="fr-CH"/>
        </w:rPr>
        <w:t>ما </w:t>
      </w:r>
      <w:r w:rsidRPr="00B212B9">
        <w:rPr>
          <w:rFonts w:hint="cs"/>
          <w:rtl/>
          <w:lang w:val="fr-CH"/>
        </w:rPr>
        <w:t xml:space="preserve">إلى ذلك)، منتقلة من تقديم خدمة ثلاثية إلى تقديم خدمة رباعية في إطار عرض وحيد بتوصيلة وحيدة للعميل، متجهة بالتالي صوب سوق موحد. </w:t>
      </w:r>
    </w:p>
    <w:p w:rsidR="00C476A9" w:rsidRPr="00B212B9" w:rsidRDefault="00C476A9" w:rsidP="00C476A9">
      <w:pPr>
        <w:rPr>
          <w:rtl/>
          <w:lang w:val="fr-CH"/>
        </w:rPr>
      </w:pPr>
      <w:r w:rsidRPr="00B212B9">
        <w:rPr>
          <w:rFonts w:hint="cs"/>
          <w:rtl/>
          <w:lang w:val="fr-CH"/>
        </w:rPr>
        <w:t>م</w:t>
      </w:r>
      <w:r>
        <w:rPr>
          <w:rFonts w:hint="cs"/>
          <w:rtl/>
          <w:lang w:val="fr-CH"/>
        </w:rPr>
        <w:t>ُ</w:t>
      </w:r>
      <w:r w:rsidRPr="00B212B9">
        <w:rPr>
          <w:rFonts w:hint="cs"/>
          <w:rtl/>
          <w:lang w:val="fr-CH"/>
        </w:rPr>
        <w:t xml:space="preserve">نحت جمهورية الكونغو الديمقراطية ترخيصين </w:t>
      </w:r>
      <w:r w:rsidRPr="00B212B9">
        <w:rPr>
          <w:lang w:val="fr-CH"/>
        </w:rPr>
        <w:t>W</w:t>
      </w:r>
      <w:r>
        <w:rPr>
          <w:lang w:val="fr-CH"/>
        </w:rPr>
        <w:t>i</w:t>
      </w:r>
      <w:r w:rsidRPr="00B212B9">
        <w:rPr>
          <w:lang w:val="fr-CH"/>
        </w:rPr>
        <w:t>MAX</w:t>
      </w:r>
      <w:r w:rsidRPr="00B212B9">
        <w:rPr>
          <w:rFonts w:hint="cs"/>
          <w:rtl/>
          <w:lang w:val="fr-CH"/>
        </w:rPr>
        <w:t xml:space="preserve"> على أساس مبدأ عقد يجري التفاوض عليه، وذلك في غيبة إجراء </w:t>
      </w:r>
      <w:r w:rsidR="00EA0AFB">
        <w:rPr>
          <w:lang w:val="fr-CH"/>
        </w:rPr>
        <w:br/>
      </w:r>
      <w:r w:rsidRPr="00B212B9">
        <w:rPr>
          <w:rFonts w:hint="cs"/>
          <w:rtl/>
          <w:lang w:val="fr-CH"/>
        </w:rPr>
        <w:t xml:space="preserve">رسمي. وشرع بالفعل في صياغة مشروع لبيع ترخيص الجيل الثالث </w:t>
      </w:r>
      <w:r w:rsidRPr="00B212B9">
        <w:rPr>
          <w:lang w:val="fr-CH"/>
        </w:rPr>
        <w:t>36</w:t>
      </w:r>
      <w:r w:rsidRPr="00B212B9">
        <w:rPr>
          <w:rFonts w:hint="cs"/>
          <w:rtl/>
          <w:lang w:val="fr-CH"/>
        </w:rPr>
        <w:t xml:space="preserve"> عن طريق مشاورة عامة أعرب عدد من المشغلين بالفعل عن اهتمامهم به. </w:t>
      </w:r>
    </w:p>
    <w:p w:rsidR="00C476A9" w:rsidRPr="00B212B9" w:rsidRDefault="00C476A9" w:rsidP="00C476A9">
      <w:pPr>
        <w:rPr>
          <w:rtl/>
          <w:lang w:val="fr-CH"/>
        </w:rPr>
      </w:pPr>
      <w:r w:rsidRPr="00B212B9">
        <w:rPr>
          <w:rFonts w:hint="cs"/>
          <w:rtl/>
          <w:lang w:val="fr-CH"/>
        </w:rPr>
        <w:t>وفي</w:t>
      </w:r>
      <w:r>
        <w:rPr>
          <w:rFonts w:hint="cs"/>
          <w:rtl/>
          <w:lang w:val="fr-CH"/>
        </w:rPr>
        <w:t>ما </w:t>
      </w:r>
      <w:r w:rsidRPr="00B212B9">
        <w:rPr>
          <w:rFonts w:hint="cs"/>
          <w:rtl/>
          <w:lang w:val="fr-CH"/>
        </w:rPr>
        <w:t>يتعلق بإجراء منح هذا النمط من التراخيص، تقوم الهيئة التنظيمية بالنظر في إجراء تنظيمي يستند إ</w:t>
      </w:r>
      <w:r>
        <w:rPr>
          <w:rFonts w:hint="cs"/>
          <w:rtl/>
          <w:lang w:val="fr-CH"/>
        </w:rPr>
        <w:t>ما </w:t>
      </w:r>
      <w:r w:rsidRPr="00B212B9">
        <w:rPr>
          <w:rFonts w:hint="cs"/>
          <w:rtl/>
          <w:lang w:val="fr-CH"/>
        </w:rPr>
        <w:t xml:space="preserve">إلى مناقصة أو مزاد، أو مسابقة لاختيار </w:t>
      </w:r>
      <w:r>
        <w:rPr>
          <w:rFonts w:hint="cs"/>
          <w:rtl/>
          <w:lang w:val="fr-CH"/>
        </w:rPr>
        <w:t>الأفضل</w:t>
      </w:r>
      <w:r w:rsidRPr="00B212B9">
        <w:rPr>
          <w:rFonts w:hint="cs"/>
          <w:rtl/>
          <w:lang w:val="fr-CH"/>
        </w:rPr>
        <w:t xml:space="preserve"> على وجه الاحتمال. </w:t>
      </w:r>
    </w:p>
    <w:p w:rsidR="00C476A9" w:rsidRPr="00B212B9" w:rsidRDefault="00C476A9" w:rsidP="00C476A9">
      <w:pPr>
        <w:rPr>
          <w:rtl/>
          <w:lang w:val="fr-CH"/>
        </w:rPr>
      </w:pPr>
      <w:r w:rsidRPr="00B212B9">
        <w:rPr>
          <w:rFonts w:hint="cs"/>
          <w:rtl/>
          <w:lang w:val="fr-CH"/>
        </w:rPr>
        <w:t xml:space="preserve">وعلى المستوى الحكومي، يجري حالياً وضع مشروع وثيقة وطنية بشأن تكنولوجيا المعلومات والاتصالات ستمهد السبيل لوضع مؤشرات وأهداف محددة يمكن أن تفيد في وضع أسس لترخيص الخدمات المتقاربة. ولم يكن في المستطاع بعد الانتهاء من جميع هذه الخطوات، وذلك بسبب عدد من الصعوبات المواجهة، مثل الافتقار إلى سياسة حكومية شاملة. </w:t>
      </w:r>
    </w:p>
    <w:p w:rsidR="00C476A9" w:rsidRPr="00B212B9" w:rsidRDefault="00C476A9" w:rsidP="00C476A9">
      <w:pPr>
        <w:pStyle w:val="Heading3"/>
        <w:rPr>
          <w:rtl/>
          <w:lang w:val="fr-CH"/>
        </w:rPr>
      </w:pPr>
      <w:bookmarkStart w:id="16" w:name="_Toc259454308"/>
      <w:r w:rsidRPr="00B212B9">
        <w:rPr>
          <w:lang w:val="fr-CH"/>
        </w:rPr>
        <w:t>2.1.4</w:t>
      </w:r>
      <w:r w:rsidRPr="00B212B9">
        <w:rPr>
          <w:rFonts w:hint="cs"/>
          <w:rtl/>
          <w:lang w:val="fr-CH"/>
        </w:rPr>
        <w:tab/>
        <w:t>جمهورية غينيا</w:t>
      </w:r>
      <w:r w:rsidRPr="00B212B9">
        <w:rPr>
          <w:vertAlign w:val="superscript"/>
          <w:lang w:val="de-DE"/>
        </w:rPr>
        <w:footnoteReference w:id="19"/>
      </w:r>
      <w:bookmarkEnd w:id="16"/>
    </w:p>
    <w:p w:rsidR="00C476A9" w:rsidRPr="00B212B9" w:rsidRDefault="00C476A9" w:rsidP="00C476A9">
      <w:pPr>
        <w:rPr>
          <w:rtl/>
          <w:lang w:val="fr-CH"/>
        </w:rPr>
      </w:pPr>
      <w:r w:rsidRPr="00B212B9">
        <w:rPr>
          <w:rFonts w:hint="cs"/>
          <w:rtl/>
          <w:lang w:val="fr-CH"/>
        </w:rPr>
        <w:t xml:space="preserve">اعتمدت جمهورية غينيا في عام </w:t>
      </w:r>
      <w:r w:rsidRPr="00B212B9">
        <w:rPr>
          <w:lang w:val="fr-CH"/>
        </w:rPr>
        <w:t>2005</w:t>
      </w:r>
      <w:r w:rsidRPr="00B212B9">
        <w:rPr>
          <w:rFonts w:hint="cs"/>
          <w:rtl/>
          <w:lang w:val="fr-CH"/>
        </w:rPr>
        <w:t>، لوائح عديدة جديدة بشأن الاتصالات والاتصالات الراديوية سعت إلى تحرير قطاع تكنولوجيا المعلومات والاتصالات وإلى تعزيز تنمية التكنولوجيات المتقدمة والمتقاربة</w:t>
      </w:r>
      <w:r w:rsidRPr="00B212B9">
        <w:rPr>
          <w:vertAlign w:val="superscript"/>
          <w:lang w:val="de-DE"/>
        </w:rPr>
        <w:footnoteReference w:id="20"/>
      </w:r>
      <w:r w:rsidRPr="00B212B9">
        <w:rPr>
          <w:rFonts w:hint="cs"/>
          <w:rtl/>
          <w:lang w:val="fr-CH"/>
        </w:rPr>
        <w:t xml:space="preserve">. وقامت وزارة الاتصالات والتكنولوجيات الجديدة للمعلومات </w:t>
      </w:r>
      <w:r w:rsidRPr="00B212B9">
        <w:rPr>
          <w:lang w:val="fr-CH"/>
        </w:rPr>
        <w:t>(MCNTI)</w:t>
      </w:r>
      <w:r w:rsidRPr="00B212B9">
        <w:rPr>
          <w:rFonts w:hint="cs"/>
          <w:rtl/>
          <w:lang w:val="fr-CH"/>
        </w:rPr>
        <w:t xml:space="preserve"> بإصلاح إطار الاتصالات لتشجيع التقارب وذلك بوضع نظام للتراخيص والتخويلات. وأرسي قانون الاتصالات نظاماً للترخيص لأربع فئات: </w:t>
      </w:r>
    </w:p>
    <w:p w:rsidR="00EA0AFB" w:rsidRDefault="00EA0AFB">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fr-FR"/>
        </w:rPr>
      </w:pPr>
      <w:r>
        <w:rPr>
          <w:rtl/>
        </w:rPr>
        <w:br w:type="page"/>
      </w:r>
    </w:p>
    <w:p w:rsidR="00C476A9" w:rsidRPr="00B212B9" w:rsidRDefault="00497E3D" w:rsidP="00C476A9">
      <w:pPr>
        <w:pStyle w:val="enumlev1"/>
        <w:rPr>
          <w:rtl/>
        </w:rPr>
      </w:pPr>
      <w:r>
        <w:lastRenderedPageBreak/>
        <w:sym w:font="Symbol" w:char="F0B7"/>
      </w:r>
      <w:r w:rsidR="00C476A9" w:rsidRPr="00B212B9">
        <w:rPr>
          <w:rFonts w:hint="cs"/>
          <w:rtl/>
        </w:rPr>
        <w:tab/>
        <w:t>التراخيص</w:t>
      </w:r>
    </w:p>
    <w:p w:rsidR="00C476A9" w:rsidRPr="00B212B9" w:rsidRDefault="00497E3D" w:rsidP="00C476A9">
      <w:pPr>
        <w:pStyle w:val="enumlev1"/>
        <w:rPr>
          <w:rtl/>
        </w:rPr>
      </w:pPr>
      <w:r>
        <w:sym w:font="Symbol" w:char="F0B7"/>
      </w:r>
      <w:r w:rsidR="00C476A9" w:rsidRPr="00B212B9">
        <w:rPr>
          <w:rFonts w:hint="cs"/>
          <w:rtl/>
        </w:rPr>
        <w:tab/>
        <w:t>التخويلات</w:t>
      </w:r>
    </w:p>
    <w:p w:rsidR="00C476A9" w:rsidRPr="00B212B9" w:rsidRDefault="00497E3D" w:rsidP="00C476A9">
      <w:pPr>
        <w:pStyle w:val="enumlev1"/>
        <w:rPr>
          <w:rtl/>
        </w:rPr>
      </w:pPr>
      <w:r>
        <w:sym w:font="Symbol" w:char="F0B7"/>
      </w:r>
      <w:r w:rsidR="00C476A9" w:rsidRPr="00B212B9">
        <w:rPr>
          <w:rFonts w:hint="cs"/>
          <w:rtl/>
        </w:rPr>
        <w:tab/>
        <w:t>الإعلانات</w:t>
      </w:r>
    </w:p>
    <w:p w:rsidR="00C476A9" w:rsidRPr="00B212B9" w:rsidRDefault="00497E3D" w:rsidP="00C476A9">
      <w:pPr>
        <w:pStyle w:val="enumlev1"/>
      </w:pPr>
      <w:r>
        <w:sym w:font="Symbol" w:char="F0B7"/>
      </w:r>
      <w:r w:rsidR="00C476A9" w:rsidRPr="00B212B9">
        <w:rPr>
          <w:rFonts w:hint="cs"/>
          <w:rtl/>
        </w:rPr>
        <w:tab/>
        <w:t xml:space="preserve">الخدمات غير المنظمة. </w:t>
      </w:r>
    </w:p>
    <w:p w:rsidR="00C476A9" w:rsidRPr="00B212B9" w:rsidRDefault="00C476A9" w:rsidP="00C476A9">
      <w:pPr>
        <w:rPr>
          <w:rtl/>
          <w:lang w:val="fr-CH"/>
        </w:rPr>
      </w:pPr>
      <w:r w:rsidRPr="00B212B9">
        <w:rPr>
          <w:rFonts w:hint="cs"/>
          <w:rtl/>
          <w:lang w:val="fr-CH"/>
        </w:rPr>
        <w:t>وبموجب هذا القانون، يجب الحصول على تراخيص من أجل:</w:t>
      </w:r>
    </w:p>
    <w:p w:rsidR="00C476A9" w:rsidRPr="00B212B9" w:rsidRDefault="00497E3D" w:rsidP="00C476A9">
      <w:pPr>
        <w:pStyle w:val="enumlev1"/>
        <w:rPr>
          <w:rtl/>
        </w:rPr>
      </w:pPr>
      <w:r>
        <w:sym w:font="Symbol" w:char="F0B7"/>
      </w:r>
      <w:r w:rsidR="00C476A9" w:rsidRPr="00B212B9">
        <w:rPr>
          <w:rFonts w:hint="cs"/>
          <w:rtl/>
        </w:rPr>
        <w:tab/>
        <w:t>إنشاء و/أو تشغيل شبكات أو خدمات الاتصالات العمومية؛</w:t>
      </w:r>
    </w:p>
    <w:p w:rsidR="00C476A9" w:rsidRPr="00B212B9" w:rsidRDefault="00497E3D" w:rsidP="00C476A9">
      <w:pPr>
        <w:pStyle w:val="enumlev1"/>
        <w:rPr>
          <w:rtl/>
        </w:rPr>
      </w:pPr>
      <w:r>
        <w:sym w:font="Symbol" w:char="F0B7"/>
      </w:r>
      <w:r w:rsidR="00C476A9" w:rsidRPr="00B212B9">
        <w:rPr>
          <w:rFonts w:hint="cs"/>
          <w:rtl/>
        </w:rPr>
        <w:tab/>
        <w:t>إنشاء وتشغيل شبكات مستقلة تستعمل الميدان العمومي (حقوق المرور على الأراضي المملوكة للدولة) وتستخدم أنظمة الاتصالات الراديوية؛</w:t>
      </w:r>
    </w:p>
    <w:p w:rsidR="00C476A9" w:rsidRPr="00B212B9" w:rsidRDefault="00497E3D" w:rsidP="00C476A9">
      <w:pPr>
        <w:pStyle w:val="enumlev1"/>
        <w:rPr>
          <w:rtl/>
        </w:rPr>
      </w:pPr>
      <w:r>
        <w:sym w:font="Symbol" w:char="F0B7"/>
      </w:r>
      <w:r w:rsidR="00C476A9" w:rsidRPr="00B212B9">
        <w:rPr>
          <w:rFonts w:hint="cs"/>
          <w:rtl/>
        </w:rPr>
        <w:tab/>
        <w:t xml:space="preserve">توفير النفاذ إلى الإنترنت. </w:t>
      </w:r>
    </w:p>
    <w:p w:rsidR="00C476A9" w:rsidRPr="00B212B9" w:rsidRDefault="00C476A9" w:rsidP="00C476A9">
      <w:pPr>
        <w:rPr>
          <w:rtl/>
          <w:lang w:val="fr-CH"/>
        </w:rPr>
      </w:pPr>
      <w:r w:rsidRPr="00B212B9">
        <w:rPr>
          <w:rFonts w:hint="cs"/>
          <w:rtl/>
          <w:lang w:val="fr-CH"/>
        </w:rPr>
        <w:t>وتصدر وزارة الاتصالات والتكنولوجيات الجديدة للمعلومات التراخيص بناء</w:t>
      </w:r>
      <w:r>
        <w:rPr>
          <w:rFonts w:hint="cs"/>
          <w:rtl/>
          <w:lang w:val="fr-CH"/>
        </w:rPr>
        <w:t>ً</w:t>
      </w:r>
      <w:r w:rsidRPr="00B212B9">
        <w:rPr>
          <w:rFonts w:hint="cs"/>
          <w:rtl/>
          <w:lang w:val="fr-CH"/>
        </w:rPr>
        <w:t xml:space="preserve"> على توصية من سلطة تنظيم البريد والاتصالات. وتنص الشروط العامة الواردة في هذه التراخيص على حقوق والتزامات حامل الترخيص وتطبق بشكل موحد على جميع أصحاب التراخيص في نفس الشبكة أو فئة الخدمة لضمان المعاملة المنصفة لجميع المشغلين. ويطلب من المشغلين دعم المبادئ والقواعد، ب</w:t>
      </w:r>
      <w:r>
        <w:rPr>
          <w:rFonts w:hint="cs"/>
          <w:rtl/>
          <w:lang w:val="fr-CH"/>
        </w:rPr>
        <w:t>ما فيها</w:t>
      </w:r>
      <w:r w:rsidRPr="00B212B9">
        <w:rPr>
          <w:rFonts w:hint="cs"/>
          <w:rtl/>
          <w:lang w:val="fr-CH"/>
        </w:rPr>
        <w:t xml:space="preserve"> تلك المتعلقة بعدم التمييز، والسرية والحياد التكنولوجي وعدم التداخل مع الشبكات والخدمات الأخرى. وللمشغلين المسيطرين التزامات إضافية تشمل المساهمة في النفاذ الشامل وتوفير خدمات نداءات الطوارئ المجانية. </w:t>
      </w:r>
    </w:p>
    <w:p w:rsidR="00C476A9" w:rsidRPr="00B212B9" w:rsidRDefault="00C476A9" w:rsidP="00C476A9">
      <w:pPr>
        <w:rPr>
          <w:rtl/>
          <w:lang w:val="fr-CH"/>
        </w:rPr>
      </w:pPr>
      <w:r w:rsidRPr="00B212B9">
        <w:rPr>
          <w:rFonts w:hint="cs"/>
          <w:rtl/>
          <w:lang w:val="fr-CH"/>
        </w:rPr>
        <w:t xml:space="preserve">ويوجد حالياً في غينيا خمسة من مشغلي الاتصالات - </w:t>
      </w:r>
      <w:r w:rsidRPr="00B212B9">
        <w:rPr>
          <w:lang w:val="fr-CH"/>
        </w:rPr>
        <w:t>Sotelgui</w:t>
      </w:r>
      <w:r w:rsidRPr="00B212B9">
        <w:rPr>
          <w:rFonts w:hint="cs"/>
          <w:rtl/>
          <w:lang w:val="fr-CH"/>
        </w:rPr>
        <w:t>، و</w:t>
      </w:r>
      <w:r w:rsidRPr="00B212B9">
        <w:rPr>
          <w:lang w:val="fr-CH"/>
        </w:rPr>
        <w:t>Areeb</w:t>
      </w:r>
      <w:r w:rsidRPr="00B212B9">
        <w:rPr>
          <w:rFonts w:hint="cs"/>
          <w:rtl/>
          <w:lang w:val="fr-CH"/>
        </w:rPr>
        <w:t xml:space="preserve"> و</w:t>
      </w:r>
      <w:r w:rsidRPr="00B212B9">
        <w:rPr>
          <w:lang w:val="fr-CH"/>
        </w:rPr>
        <w:t>Intercel</w:t>
      </w:r>
      <w:r w:rsidRPr="00B212B9">
        <w:rPr>
          <w:rFonts w:hint="cs"/>
          <w:rtl/>
          <w:lang w:val="fr-CH"/>
        </w:rPr>
        <w:t xml:space="preserve"> و</w:t>
      </w:r>
      <w:r w:rsidRPr="00B212B9">
        <w:rPr>
          <w:lang w:val="fr-CH"/>
        </w:rPr>
        <w:t>Orange</w:t>
      </w:r>
      <w:r w:rsidRPr="00B212B9">
        <w:rPr>
          <w:rFonts w:hint="cs"/>
          <w:rtl/>
          <w:lang w:val="fr-CH"/>
        </w:rPr>
        <w:t xml:space="preserve"> و</w:t>
      </w:r>
      <w:r w:rsidRPr="00B212B9">
        <w:rPr>
          <w:lang w:val="fr-CH"/>
        </w:rPr>
        <w:t>Cellcom</w:t>
      </w:r>
      <w:r>
        <w:rPr>
          <w:rFonts w:hint="cs"/>
          <w:rtl/>
          <w:lang w:val="fr-CH"/>
        </w:rPr>
        <w:t xml:space="preserve"> - بالإضافة إلى اثنى عشر</w:t>
      </w:r>
      <w:r w:rsidRPr="00B212B9">
        <w:rPr>
          <w:rFonts w:hint="cs"/>
          <w:rtl/>
          <w:lang w:val="fr-CH"/>
        </w:rPr>
        <w:t xml:space="preserve"> من مقدمي خدمات النفاذ إلى الإنترنت. وتخطط الحكومة لتخفيض حدة الفقر واستيفاء أهداف مشروع الألفية للأمم المتحدة وذلك بتحسين النفاذ المنصف وغير التمييزي لجميع السكان إلى هذه الخدمات. وتسعى الحكومة أيضاً على تقليل الفجوة الرقمية وذلك بزيادة معدلات التغلغل في خدمات تكنولوجيا المعلومات والاتصالات التالية: </w:t>
      </w:r>
    </w:p>
    <w:p w:rsidR="00C476A9" w:rsidRPr="00B212B9" w:rsidRDefault="00497E3D" w:rsidP="00C476A9">
      <w:pPr>
        <w:pStyle w:val="enumlev1"/>
        <w:rPr>
          <w:rtl/>
        </w:rPr>
      </w:pPr>
      <w:r>
        <w:sym w:font="Symbol" w:char="F0B7"/>
      </w:r>
      <w:r w:rsidR="00C476A9" w:rsidRPr="00B212B9">
        <w:rPr>
          <w:rFonts w:hint="cs"/>
          <w:rtl/>
        </w:rPr>
        <w:tab/>
        <w:t xml:space="preserve">شبكات الجيل التالي من </w:t>
      </w:r>
      <w:r w:rsidR="00C476A9" w:rsidRPr="00B212B9">
        <w:t>0</w:t>
      </w:r>
      <w:r w:rsidR="00C476A9">
        <w:t>,</w:t>
      </w:r>
      <w:r w:rsidR="00C476A9" w:rsidRPr="00B212B9">
        <w:t>5</w:t>
      </w:r>
      <w:r w:rsidR="00C476A9" w:rsidRPr="00B212B9">
        <w:rPr>
          <w:rFonts w:hint="cs"/>
          <w:rtl/>
        </w:rPr>
        <w:t xml:space="preserve"> </w:t>
      </w:r>
      <w:r w:rsidR="00C476A9" w:rsidRPr="00B212B9">
        <w:rPr>
          <w:lang w:val="de-DE"/>
        </w:rPr>
        <w:t>%</w:t>
      </w:r>
      <w:r w:rsidR="00C476A9" w:rsidRPr="00B212B9">
        <w:rPr>
          <w:rFonts w:hint="cs"/>
          <w:rtl/>
        </w:rPr>
        <w:t xml:space="preserve"> إلى </w:t>
      </w:r>
      <w:r w:rsidR="00C476A9" w:rsidRPr="00B212B9">
        <w:rPr>
          <w:lang w:val="de-DE"/>
        </w:rPr>
        <w:t>%25</w:t>
      </w:r>
    </w:p>
    <w:p w:rsidR="00C476A9" w:rsidRPr="00B212B9" w:rsidRDefault="00497E3D" w:rsidP="00C476A9">
      <w:pPr>
        <w:pStyle w:val="enumlev1"/>
        <w:rPr>
          <w:rtl/>
        </w:rPr>
      </w:pPr>
      <w:r>
        <w:sym w:font="Symbol" w:char="F0B7"/>
      </w:r>
      <w:r w:rsidR="00C476A9" w:rsidRPr="00B212B9">
        <w:rPr>
          <w:rFonts w:hint="cs"/>
          <w:rtl/>
        </w:rPr>
        <w:tab/>
        <w:t xml:space="preserve">الخدمة الهاتفية من </w:t>
      </w:r>
      <w:r w:rsidR="00C476A9" w:rsidRPr="00B212B9">
        <w:rPr>
          <w:lang w:val="de-DE"/>
        </w:rPr>
        <w:t>%</w:t>
      </w:r>
      <w:r w:rsidR="00C476A9" w:rsidRPr="00B212B9">
        <w:t>7</w:t>
      </w:r>
      <w:r w:rsidR="00C476A9">
        <w:t>,</w:t>
      </w:r>
      <w:r w:rsidR="00C476A9" w:rsidRPr="00B212B9">
        <w:t>6</w:t>
      </w:r>
      <w:r w:rsidR="00C476A9" w:rsidRPr="00B212B9">
        <w:rPr>
          <w:rFonts w:hint="cs"/>
          <w:rtl/>
        </w:rPr>
        <w:t xml:space="preserve"> إلى </w:t>
      </w:r>
      <w:r w:rsidR="00C476A9" w:rsidRPr="00B212B9">
        <w:rPr>
          <w:lang w:val="de-DE"/>
        </w:rPr>
        <w:t>%25</w:t>
      </w:r>
    </w:p>
    <w:p w:rsidR="00C476A9" w:rsidRPr="00B212B9" w:rsidRDefault="00497E3D" w:rsidP="00C476A9">
      <w:pPr>
        <w:pStyle w:val="enumlev1"/>
      </w:pPr>
      <w:r>
        <w:sym w:font="Symbol" w:char="F0B7"/>
      </w:r>
      <w:r w:rsidR="00C476A9" w:rsidRPr="00B212B9">
        <w:rPr>
          <w:rFonts w:hint="cs"/>
          <w:rtl/>
        </w:rPr>
        <w:tab/>
        <w:t xml:space="preserve">التغطية الراديوية من </w:t>
      </w:r>
      <w:r w:rsidR="00C476A9" w:rsidRPr="00B212B9">
        <w:rPr>
          <w:lang w:val="de-DE"/>
        </w:rPr>
        <w:t>%</w:t>
      </w:r>
      <w:r w:rsidR="00C476A9" w:rsidRPr="00B212B9">
        <w:t>75</w:t>
      </w:r>
      <w:r w:rsidR="00C476A9" w:rsidRPr="00B212B9">
        <w:rPr>
          <w:rFonts w:hint="cs"/>
          <w:rtl/>
        </w:rPr>
        <w:t xml:space="preserve"> إلى </w:t>
      </w:r>
      <w:r w:rsidR="00C476A9" w:rsidRPr="00B212B9">
        <w:rPr>
          <w:lang w:val="de-DE"/>
        </w:rPr>
        <w:t>%95</w:t>
      </w:r>
    </w:p>
    <w:p w:rsidR="00C476A9" w:rsidRDefault="00C476A9" w:rsidP="00C476A9">
      <w:pPr>
        <w:pStyle w:val="Heading3"/>
        <w:keepLines/>
        <w:rPr>
          <w:rtl/>
          <w:lang w:val="fr-CH"/>
        </w:rPr>
      </w:pPr>
      <w:bookmarkStart w:id="17" w:name="_Toc259454309"/>
      <w:r w:rsidRPr="00B212B9">
        <w:rPr>
          <w:lang w:val="fr-CH"/>
        </w:rPr>
        <w:t>3.1.4</w:t>
      </w:r>
      <w:r w:rsidRPr="00B212B9">
        <w:rPr>
          <w:rFonts w:hint="cs"/>
          <w:rtl/>
          <w:lang w:val="fr-CH"/>
        </w:rPr>
        <w:tab/>
        <w:t>جمهورية كوريا</w:t>
      </w:r>
      <w:bookmarkEnd w:id="17"/>
      <w:r w:rsidRPr="00B212B9">
        <w:rPr>
          <w:rFonts w:hint="cs"/>
          <w:rtl/>
          <w:lang w:val="fr-CH"/>
        </w:rPr>
        <w:t xml:space="preserve"> </w:t>
      </w:r>
    </w:p>
    <w:p w:rsidR="00C476A9" w:rsidRPr="00B212B9" w:rsidRDefault="00C476A9" w:rsidP="00EA0AFB">
      <w:pPr>
        <w:keepNext/>
        <w:keepLines/>
        <w:rPr>
          <w:rtl/>
          <w:lang w:val="fr-CH"/>
        </w:rPr>
      </w:pPr>
      <w:r w:rsidRPr="00B212B9">
        <w:rPr>
          <w:rFonts w:hint="cs"/>
          <w:rtl/>
          <w:lang w:val="fr-CH"/>
        </w:rPr>
        <w:t xml:space="preserve">قدمت جمهورية كوريا دراسة حالة بشأن تنظيم نقل الصوت باستخدام بروتوكول الإنترنت </w:t>
      </w:r>
      <w:r w:rsidRPr="00B212B9">
        <w:rPr>
          <w:lang w:val="fr-CH"/>
        </w:rPr>
        <w:t>(VoIP)</w:t>
      </w:r>
      <w:r w:rsidRPr="00B212B9">
        <w:rPr>
          <w:rFonts w:hint="cs"/>
          <w:rtl/>
          <w:lang w:val="fr-CH"/>
        </w:rPr>
        <w:t>، وعرضت معلومات بشأن الوضع الجاري للتنظيم وتصنيف الخدمات والأعمال الجاري استخدامها</w:t>
      </w:r>
      <w:r w:rsidRPr="00B212B9">
        <w:rPr>
          <w:vertAlign w:val="superscript"/>
          <w:lang w:val="de-DE"/>
        </w:rPr>
        <w:footnoteReference w:id="21"/>
      </w:r>
      <w:r w:rsidRPr="00B212B9">
        <w:rPr>
          <w:rFonts w:hint="cs"/>
          <w:rtl/>
          <w:lang w:val="fr-CH"/>
        </w:rPr>
        <w:t xml:space="preserve">. وتستعمل كوريا ثلاثة تصنيفات لأعمال مقدمي خدمات الاتصالات: </w:t>
      </w:r>
      <w:r>
        <w:rPr>
          <w:rFonts w:hint="cs"/>
          <w:rtl/>
          <w:lang w:val="fr-CH"/>
        </w:rPr>
        <w:t>منشآت</w:t>
      </w:r>
      <w:r w:rsidRPr="00B212B9">
        <w:rPr>
          <w:rFonts w:hint="cs"/>
          <w:rtl/>
          <w:lang w:val="fr-CH"/>
        </w:rPr>
        <w:t xml:space="preserve"> الاتصالات القائمة على مرافق (المسؤولة عن تركيب خطوط الاتصالات)، أعمال إعادة البيع (تستخدم الخطوط التي توفرها </w:t>
      </w:r>
      <w:r>
        <w:rPr>
          <w:rFonts w:hint="cs"/>
          <w:rtl/>
          <w:lang w:val="fr-CH"/>
        </w:rPr>
        <w:t>منشآت</w:t>
      </w:r>
      <w:r w:rsidRPr="00B212B9">
        <w:rPr>
          <w:rFonts w:hint="cs"/>
          <w:rtl/>
          <w:lang w:val="fr-CH"/>
        </w:rPr>
        <w:t xml:space="preserve"> الاتصالات القائمة على مرافق وتقوم بتركيب مرافق الاتصالات داخل المباني، </w:t>
      </w:r>
      <w:r>
        <w:rPr>
          <w:rFonts w:hint="cs"/>
          <w:rtl/>
          <w:lang w:val="fr-CH"/>
        </w:rPr>
        <w:t>ومنشآت</w:t>
      </w:r>
      <w:r w:rsidRPr="00B212B9">
        <w:rPr>
          <w:rFonts w:hint="cs"/>
          <w:rtl/>
          <w:lang w:val="fr-CH"/>
        </w:rPr>
        <w:t xml:space="preserve"> الاتصالات ذات القيمة المضافة (مرافق خطوط الاتصالات المستأجرة من مقدمي خدمات الاتصالات القائمة على مرافق. ومن حيث خدمات الاتصالات، تستعمل كوريا تصنيفين: خدمات الاتصالات القائمة على مرافق وخدمات الاتصالات ذات القيمة المضافة. وتشمل خدمات الاتصالات القائمة على مرافق خدمات المهاتفة وخدمات الخطوط المؤجرة، والخدمات اللاسلكية المصحوبة بتعيينات الطيف، وخدمات توصيل الإنترنت، ونقل الصوت باستخدام بروتوكول الإنترنت. وتشمل خدمات الاتصالات ذات القيمة المضافة جميع الخدمات الأخرى للاتصالات. </w:t>
      </w:r>
    </w:p>
    <w:p w:rsidR="00C476A9" w:rsidRPr="00957E46" w:rsidRDefault="00C476A9" w:rsidP="00C476A9">
      <w:pPr>
        <w:rPr>
          <w:spacing w:val="-2"/>
          <w:rtl/>
          <w:lang w:val="fr-CH"/>
        </w:rPr>
      </w:pPr>
      <w:r w:rsidRPr="00957E46">
        <w:rPr>
          <w:rFonts w:hint="cs"/>
          <w:spacing w:val="-2"/>
          <w:rtl/>
          <w:lang w:val="fr-CH"/>
        </w:rPr>
        <w:t xml:space="preserve">وإن كان نقل الصوت باستخدام بروتوكول الإنترنت قد أدخل في البداية باعتباره خدمة خط ثابتة، </w:t>
      </w:r>
      <w:r>
        <w:rPr>
          <w:rFonts w:hint="cs"/>
          <w:spacing w:val="-2"/>
          <w:rtl/>
          <w:lang w:val="fr-CH"/>
        </w:rPr>
        <w:t>مكَّن</w:t>
      </w:r>
      <w:r w:rsidRPr="00957E46">
        <w:rPr>
          <w:rFonts w:hint="cs"/>
          <w:spacing w:val="-2"/>
          <w:rtl/>
          <w:lang w:val="fr-CH"/>
        </w:rPr>
        <w:t xml:space="preserve"> التقدم التكنولوجي من إدخال نظام متنقل لنقل الصوت باستخدام بروتوكول الإنترنت (أي، نقل الصوت باستخدام انترنت لاسلكي أو شبكات لاسلكية عريضة النطاق). وفرض هذا التطور على الهيئة التنظيمية الكورية كيفية تحديد عنوان دخل مقدم خدمة نقل الصوت باستخدام بروتوكول </w:t>
      </w:r>
      <w:r w:rsidRPr="00957E46">
        <w:rPr>
          <w:rFonts w:hint="cs"/>
          <w:spacing w:val="-2"/>
          <w:rtl/>
          <w:lang w:val="fr-CH"/>
        </w:rPr>
        <w:lastRenderedPageBreak/>
        <w:t>الإنترنت في سوق الخدمة المتنقلة الحالي. وفي الوقت الذي ق</w:t>
      </w:r>
      <w:r>
        <w:rPr>
          <w:rFonts w:hint="cs"/>
          <w:spacing w:val="-2"/>
          <w:rtl/>
          <w:lang w:val="fr-CH"/>
        </w:rPr>
        <w:t>ُ</w:t>
      </w:r>
      <w:r w:rsidRPr="00957E46">
        <w:rPr>
          <w:rFonts w:hint="cs"/>
          <w:spacing w:val="-2"/>
          <w:rtl/>
          <w:lang w:val="fr-CH"/>
        </w:rPr>
        <w:t xml:space="preserve">دمت فيه مساهمة كوريا إلى فريق المقرر، كان القائمون بالتنظيم ينظرون في السيناريوهات المختلفة لتنظيم هذه السوق المتقاربة. </w:t>
      </w:r>
    </w:p>
    <w:p w:rsidR="00C476A9" w:rsidRPr="00B212B9" w:rsidRDefault="00C476A9" w:rsidP="00C476A9">
      <w:pPr>
        <w:rPr>
          <w:rtl/>
          <w:lang w:val="fr-CH"/>
        </w:rPr>
      </w:pPr>
      <w:r w:rsidRPr="00B212B9">
        <w:rPr>
          <w:rFonts w:hint="cs"/>
          <w:rtl/>
          <w:lang w:val="fr-CH"/>
        </w:rPr>
        <w:t xml:space="preserve">وقدمت جمهورية كوريا أيضاً دراسة حالة بشأن </w:t>
      </w:r>
      <w:r>
        <w:rPr>
          <w:rFonts w:hint="cs"/>
          <w:rtl/>
          <w:lang w:val="fr-CH"/>
        </w:rPr>
        <w:t>التلفزيون</w:t>
      </w:r>
      <w:r w:rsidRPr="00B212B9">
        <w:rPr>
          <w:rFonts w:hint="cs"/>
          <w:rtl/>
          <w:lang w:val="fr-CH"/>
        </w:rPr>
        <w:t xml:space="preserve"> باستخدام بروتوكول الإنترنت </w:t>
      </w:r>
      <w:r w:rsidRPr="00B212B9">
        <w:rPr>
          <w:lang w:val="fr-CH"/>
        </w:rPr>
        <w:t>(IPTV)</w:t>
      </w:r>
      <w:r w:rsidRPr="00B212B9">
        <w:rPr>
          <w:rFonts w:hint="cs"/>
          <w:rtl/>
          <w:lang w:val="fr-CH"/>
        </w:rPr>
        <w:t xml:space="preserve"> والعوائق المتعددة التي تحول </w:t>
      </w:r>
      <w:r w:rsidR="00EA0AFB">
        <w:rPr>
          <w:lang w:val="fr-CH"/>
        </w:rPr>
        <w:br/>
      </w:r>
      <w:r w:rsidRPr="00B212B9">
        <w:rPr>
          <w:rFonts w:hint="cs"/>
          <w:rtl/>
          <w:lang w:val="fr-CH"/>
        </w:rPr>
        <w:t>دون اعتماده في كوريا، ب</w:t>
      </w:r>
      <w:r>
        <w:rPr>
          <w:rFonts w:hint="cs"/>
          <w:rtl/>
          <w:lang w:val="fr-CH"/>
        </w:rPr>
        <w:t>ما </w:t>
      </w:r>
      <w:r w:rsidRPr="00B212B9">
        <w:rPr>
          <w:rFonts w:hint="cs"/>
          <w:rtl/>
          <w:lang w:val="fr-CH"/>
        </w:rPr>
        <w:t>في ذلك البيئة التنظيمية</w:t>
      </w:r>
      <w:r w:rsidRPr="00B212B9">
        <w:rPr>
          <w:vertAlign w:val="superscript"/>
          <w:lang w:val="de-DE"/>
        </w:rPr>
        <w:footnoteReference w:id="22"/>
      </w:r>
      <w:r w:rsidRPr="00B212B9">
        <w:rPr>
          <w:rFonts w:hint="cs"/>
          <w:rtl/>
          <w:lang w:val="fr-CH"/>
        </w:rPr>
        <w:t>. وفي كوريا، يختلف الطلب على التنظيم في</w:t>
      </w:r>
      <w:r>
        <w:rPr>
          <w:rFonts w:hint="cs"/>
          <w:rtl/>
          <w:lang w:val="fr-CH"/>
        </w:rPr>
        <w:t>ما </w:t>
      </w:r>
      <w:r w:rsidRPr="00B212B9">
        <w:rPr>
          <w:rFonts w:hint="cs"/>
          <w:rtl/>
          <w:lang w:val="fr-CH"/>
        </w:rPr>
        <w:t>يتعلق ب</w:t>
      </w:r>
      <w:r>
        <w:rPr>
          <w:rFonts w:hint="cs"/>
          <w:rtl/>
          <w:lang w:val="fr-CH"/>
        </w:rPr>
        <w:t>التلفزيون</w:t>
      </w:r>
      <w:r w:rsidRPr="00B212B9">
        <w:rPr>
          <w:rFonts w:hint="cs"/>
          <w:rtl/>
          <w:lang w:val="fr-CH"/>
        </w:rPr>
        <w:t xml:space="preserve"> باستخدام بروتوكول الإنترنت بين مشغلي الاتصالات والهيئات الإذاعية، وبين منظمي الاتصالات ومنظمي الهيئات الإذاعية. وتنظر هيئات تنظيم الاتصالات والقائمون بتشغيل الاتصالات إلى </w:t>
      </w:r>
      <w:r>
        <w:rPr>
          <w:rFonts w:hint="cs"/>
          <w:rtl/>
          <w:lang w:val="fr-CH"/>
        </w:rPr>
        <w:t>التلفزيون</w:t>
      </w:r>
      <w:r w:rsidRPr="00B212B9">
        <w:rPr>
          <w:rFonts w:hint="cs"/>
          <w:rtl/>
          <w:lang w:val="fr-CH"/>
        </w:rPr>
        <w:t xml:space="preserve"> باستخدام بروتوكول الإنترنت باعتباره خدمة كاملة، أي خدمة متقاربة جديدة تختلف عن الخدمات القائمة، ومن ثم تتطلب لائحة خفيفة. وفي الوقت ذاته، تنظر الهيئات التنظيمية للإذاعة والهيئات الإذاعية إلى </w:t>
      </w:r>
      <w:r>
        <w:rPr>
          <w:rFonts w:hint="cs"/>
          <w:rtl/>
          <w:lang w:val="fr-CH"/>
        </w:rPr>
        <w:t>التلفزيون</w:t>
      </w:r>
      <w:r w:rsidRPr="00B212B9">
        <w:rPr>
          <w:rFonts w:hint="cs"/>
          <w:rtl/>
          <w:lang w:val="fr-CH"/>
        </w:rPr>
        <w:t xml:space="preserve"> باستخدام بروتوكول الإنترنت باعتباره مماثلاً للخدمة الكبلية القائمة، مشيرة إلى البرامج </w:t>
      </w:r>
      <w:r>
        <w:rPr>
          <w:rFonts w:hint="cs"/>
          <w:rtl/>
          <w:lang w:val="fr-CH"/>
        </w:rPr>
        <w:t>التلفزيون</w:t>
      </w:r>
      <w:r w:rsidRPr="00B212B9">
        <w:rPr>
          <w:rFonts w:hint="cs"/>
          <w:rtl/>
          <w:lang w:val="fr-CH"/>
        </w:rPr>
        <w:t xml:space="preserve">ية المقررة في </w:t>
      </w:r>
      <w:r>
        <w:rPr>
          <w:rFonts w:hint="cs"/>
          <w:rtl/>
          <w:lang w:val="fr-CH"/>
        </w:rPr>
        <w:t>التلفزيون</w:t>
      </w:r>
      <w:r w:rsidRPr="00B212B9">
        <w:rPr>
          <w:rFonts w:hint="cs"/>
          <w:rtl/>
          <w:lang w:val="fr-CH"/>
        </w:rPr>
        <w:t xml:space="preserve"> باستخدام بروتوكول الإنترنت باعتبارها دليلاً على ذلك، وتدعو من ثم إلى تطبيق التنظيم المطبق على الخدمة الكبلية وذلك وفقاً لمبدأ تطبيق نفس اللوائح على نفس الخدمات</w:t>
      </w:r>
      <w:r w:rsidRPr="00B212B9">
        <w:rPr>
          <w:vertAlign w:val="superscript"/>
          <w:lang w:val="de-DE"/>
        </w:rPr>
        <w:footnoteReference w:id="23"/>
      </w:r>
      <w:r w:rsidRPr="00B212B9">
        <w:rPr>
          <w:rFonts w:hint="cs"/>
          <w:rtl/>
          <w:lang w:val="fr-CH"/>
        </w:rPr>
        <w:t xml:space="preserve">. بالإضافة إلى ذلك، أصرت هذه الهيئات على أنه إذا كان مقدم الخدمة الإذاعية الساتلية ومشغل </w:t>
      </w:r>
      <w:r>
        <w:rPr>
          <w:rFonts w:hint="cs"/>
          <w:rtl/>
          <w:lang w:val="fr-CH"/>
        </w:rPr>
        <w:t>التلفزيون</w:t>
      </w:r>
      <w:r w:rsidRPr="00B212B9">
        <w:rPr>
          <w:rFonts w:hint="cs"/>
          <w:rtl/>
          <w:lang w:val="fr-CH"/>
        </w:rPr>
        <w:t xml:space="preserve"> الكبلي الرقمي يقدمان خدمة فيديوية بناء</w:t>
      </w:r>
      <w:r>
        <w:rPr>
          <w:rFonts w:hint="cs"/>
          <w:rtl/>
          <w:lang w:val="fr-CH"/>
        </w:rPr>
        <w:t>ً</w:t>
      </w:r>
      <w:r w:rsidRPr="00B212B9">
        <w:rPr>
          <w:rFonts w:hint="cs"/>
          <w:rtl/>
          <w:lang w:val="fr-CH"/>
        </w:rPr>
        <w:t xml:space="preserve"> على الطلب </w:t>
      </w:r>
      <w:r w:rsidRPr="00B212B9">
        <w:rPr>
          <w:lang w:val="fr-CH"/>
        </w:rPr>
        <w:t>(VOD)</w:t>
      </w:r>
      <w:r w:rsidRPr="00B212B9">
        <w:rPr>
          <w:rFonts w:hint="cs"/>
          <w:rtl/>
          <w:lang w:val="fr-CH"/>
        </w:rPr>
        <w:t xml:space="preserve"> عقب الحصول على موافقة الهيئة التنظيمية الإذاعية، ينبغي على مشغل الاتصالات الذي يسعى إلى تقديم خدمة فيديوية بناء</w:t>
      </w:r>
      <w:r>
        <w:rPr>
          <w:rFonts w:hint="cs"/>
          <w:rtl/>
          <w:lang w:val="fr-CH"/>
        </w:rPr>
        <w:t>ً</w:t>
      </w:r>
      <w:r w:rsidRPr="00B212B9">
        <w:rPr>
          <w:rFonts w:hint="cs"/>
          <w:rtl/>
          <w:lang w:val="fr-CH"/>
        </w:rPr>
        <w:t xml:space="preserve"> على الطلب، أن يحصل على موافقة أيضاً باعتباره </w:t>
      </w:r>
      <w:r w:rsidR="00EA0AFB">
        <w:rPr>
          <w:lang w:val="fr-CH"/>
        </w:rPr>
        <w:br/>
      </w:r>
      <w:r w:rsidRPr="00B212B9">
        <w:rPr>
          <w:rFonts w:hint="cs"/>
          <w:rtl/>
          <w:lang w:val="fr-CH"/>
        </w:rPr>
        <w:t xml:space="preserve">مشغل إذاعي. </w:t>
      </w:r>
    </w:p>
    <w:p w:rsidR="00C476A9" w:rsidRPr="00B212B9" w:rsidRDefault="00C476A9" w:rsidP="00C476A9">
      <w:pPr>
        <w:rPr>
          <w:rtl/>
          <w:lang w:val="fr-CH"/>
        </w:rPr>
      </w:pPr>
      <w:r w:rsidRPr="00B212B9">
        <w:rPr>
          <w:rFonts w:hint="cs"/>
          <w:rtl/>
          <w:lang w:val="fr-CH"/>
        </w:rPr>
        <w:t>وفي</w:t>
      </w:r>
      <w:r>
        <w:rPr>
          <w:rFonts w:hint="cs"/>
          <w:rtl/>
          <w:lang w:val="fr-CH"/>
        </w:rPr>
        <w:t>ما </w:t>
      </w:r>
      <w:r w:rsidRPr="00B212B9">
        <w:rPr>
          <w:rFonts w:hint="cs"/>
          <w:rtl/>
          <w:lang w:val="fr-CH"/>
        </w:rPr>
        <w:t xml:space="preserve">يخص وكالات التنظيم المشاركة في بيئة متقاربة، كانت منظمات التنظيم الكورية معقدة إلى حد </w:t>
      </w:r>
      <w:r>
        <w:rPr>
          <w:rFonts w:hint="cs"/>
          <w:rtl/>
          <w:lang w:val="fr-CH"/>
        </w:rPr>
        <w:t>ما </w:t>
      </w:r>
      <w:r w:rsidRPr="00B212B9">
        <w:rPr>
          <w:rFonts w:hint="cs"/>
          <w:rtl/>
          <w:lang w:val="fr-CH"/>
        </w:rPr>
        <w:t xml:space="preserve">إلى أن أنشئت لجنة الإذاعة والاتصالات الكورية </w:t>
      </w:r>
      <w:r w:rsidRPr="00B212B9">
        <w:rPr>
          <w:lang w:val="fr-CH"/>
        </w:rPr>
        <w:t>(BCC)</w:t>
      </w:r>
      <w:r w:rsidRPr="00B212B9">
        <w:rPr>
          <w:rFonts w:hint="cs"/>
          <w:rtl/>
          <w:lang w:val="fr-CH"/>
        </w:rPr>
        <w:t xml:space="preserve"> في فبراير </w:t>
      </w:r>
      <w:r w:rsidRPr="00B212B9">
        <w:rPr>
          <w:lang w:val="fr-CH"/>
        </w:rPr>
        <w:t>2008</w:t>
      </w:r>
      <w:r w:rsidRPr="00B212B9">
        <w:rPr>
          <w:rFonts w:hint="cs"/>
          <w:rtl/>
          <w:lang w:val="fr-CH"/>
        </w:rPr>
        <w:t xml:space="preserve">. وقبل إنشاء هذه اللجنة، كان يجري تقاسم السلطة على قطاعي الإذاعة والاتصالات بين وزارات ووكالات. وقامت وزارة الشؤون الداخلية والاتصالات </w:t>
      </w:r>
      <w:r w:rsidRPr="00B212B9">
        <w:rPr>
          <w:lang w:val="fr-CH"/>
        </w:rPr>
        <w:t>(MIC)</w:t>
      </w:r>
      <w:r w:rsidRPr="00B212B9">
        <w:rPr>
          <w:rFonts w:hint="cs"/>
          <w:rtl/>
          <w:lang w:val="fr-CH"/>
        </w:rPr>
        <w:t xml:space="preserve"> ولجنة الاتصالات الكورية </w:t>
      </w:r>
      <w:r w:rsidRPr="00B212B9">
        <w:rPr>
          <w:lang w:val="fr-CH"/>
        </w:rPr>
        <w:t>(KCC)</w:t>
      </w:r>
      <w:r w:rsidRPr="00B212B9">
        <w:rPr>
          <w:rFonts w:hint="cs"/>
          <w:rtl/>
          <w:lang w:val="fr-CH"/>
        </w:rPr>
        <w:t xml:space="preserve"> </w:t>
      </w:r>
      <w:r>
        <w:rPr>
          <w:rFonts w:hint="cs"/>
          <w:rtl/>
          <w:lang w:val="fr-CH"/>
        </w:rPr>
        <w:t>بتنظيم</w:t>
      </w:r>
      <w:r w:rsidRPr="00B212B9">
        <w:rPr>
          <w:rFonts w:hint="cs"/>
          <w:rtl/>
          <w:lang w:val="fr-CH"/>
        </w:rPr>
        <w:t xml:space="preserve"> الاتصالات في حين كانت وزارة الثقافة والسياحة مسؤولة عن بعض السياسات الإذاعية ولها الحق في الموافقة على الأعمال الإذاعية وإقرارها. وحالت هذه البيئة غير المتكاملة دون تنمية التكنولوجيات المتقاربة مثل </w:t>
      </w:r>
      <w:r>
        <w:rPr>
          <w:rFonts w:hint="cs"/>
          <w:rtl/>
          <w:lang w:val="fr-CH"/>
        </w:rPr>
        <w:t>التلفزيون</w:t>
      </w:r>
      <w:r w:rsidRPr="00B212B9">
        <w:rPr>
          <w:rFonts w:hint="cs"/>
          <w:rtl/>
          <w:lang w:val="fr-CH"/>
        </w:rPr>
        <w:t xml:space="preserve"> المستخدم للإنترنت، لأنه من الناحية الهيكلية، كان من الصعب للغاية </w:t>
      </w:r>
      <w:r>
        <w:rPr>
          <w:rFonts w:hint="cs"/>
          <w:rtl/>
          <w:lang w:val="fr-CH"/>
        </w:rPr>
        <w:t>ب</w:t>
      </w:r>
      <w:r w:rsidRPr="00B212B9">
        <w:rPr>
          <w:rFonts w:hint="cs"/>
          <w:rtl/>
          <w:lang w:val="fr-CH"/>
        </w:rPr>
        <w:t xml:space="preserve">مناقشة والتوصل إلى اتفاق بشأن جدول الأعمال المتعلق بتقارب خدمات الاتصالات والخدمات الإذاعية. </w:t>
      </w:r>
    </w:p>
    <w:p w:rsidR="00C476A9" w:rsidRPr="00B212B9" w:rsidRDefault="00C476A9" w:rsidP="00C476A9">
      <w:pPr>
        <w:pStyle w:val="Heading3"/>
        <w:rPr>
          <w:rtl/>
          <w:lang w:val="fr-CH"/>
        </w:rPr>
      </w:pPr>
      <w:bookmarkStart w:id="18" w:name="_Toc259454310"/>
      <w:r w:rsidRPr="00B212B9">
        <w:rPr>
          <w:lang w:val="fr-CH"/>
        </w:rPr>
        <w:t>4.1.4</w:t>
      </w:r>
      <w:r w:rsidRPr="00B212B9">
        <w:rPr>
          <w:rFonts w:hint="cs"/>
          <w:rtl/>
          <w:lang w:val="fr-CH"/>
        </w:rPr>
        <w:tab/>
        <w:t>ليختنشتاين</w:t>
      </w:r>
      <w:r w:rsidRPr="00B212B9">
        <w:rPr>
          <w:lang w:val="fr-CH"/>
        </w:rPr>
        <w:t xml:space="preserve"> </w:t>
      </w:r>
      <w:r w:rsidRPr="00B212B9">
        <w:rPr>
          <w:vertAlign w:val="superscript"/>
          <w:lang w:val="de-DE"/>
        </w:rPr>
        <w:footnoteReference w:id="24"/>
      </w:r>
      <w:bookmarkEnd w:id="18"/>
    </w:p>
    <w:p w:rsidR="00C476A9" w:rsidRPr="00B212B9" w:rsidRDefault="00C476A9" w:rsidP="00C476A9">
      <w:pPr>
        <w:rPr>
          <w:rtl/>
          <w:lang w:val="fr-CH"/>
        </w:rPr>
      </w:pPr>
      <w:r w:rsidRPr="00B212B9">
        <w:rPr>
          <w:rFonts w:hint="cs"/>
          <w:rtl/>
          <w:lang w:val="fr-CH"/>
        </w:rPr>
        <w:t xml:space="preserve">اعتمدت مجموعة اتصالات الاتحاد الأوروبي في عام </w:t>
      </w:r>
      <w:r w:rsidRPr="00B212B9">
        <w:rPr>
          <w:lang w:val="fr-CH"/>
        </w:rPr>
        <w:t>2002</w:t>
      </w:r>
      <w:r w:rsidRPr="00B212B9">
        <w:rPr>
          <w:rFonts w:hint="cs"/>
          <w:rtl/>
          <w:lang w:val="fr-CH"/>
        </w:rPr>
        <w:t xml:space="preserve"> (تعليمات إطارية، وتعليمات التخويل، وتعليمات الخدمة الشاملة، وتعليمات النفاذ، والتعليمات بشأن الخصوصية والاتصالات الإلكترونية، وتعليمات المنافسة والقرار بشأن إدارة طيف الترددات) في إطار قانون الاتصالات لعام </w:t>
      </w:r>
      <w:r w:rsidRPr="00B212B9">
        <w:rPr>
          <w:lang w:val="fr-CH"/>
        </w:rPr>
        <w:t>2006</w:t>
      </w:r>
      <w:r w:rsidRPr="00B212B9">
        <w:rPr>
          <w:rFonts w:hint="cs"/>
          <w:rtl/>
          <w:lang w:val="fr-CH"/>
        </w:rPr>
        <w:t xml:space="preserve"> واللوائح الوطنية المعنية في ليختنشتاين. </w:t>
      </w:r>
    </w:p>
    <w:p w:rsidR="00C476A9" w:rsidRPr="00B212B9" w:rsidRDefault="00C476A9" w:rsidP="00C476A9">
      <w:pPr>
        <w:rPr>
          <w:rtl/>
          <w:lang w:val="fr-CH"/>
        </w:rPr>
      </w:pPr>
      <w:r w:rsidRPr="00B212B9">
        <w:rPr>
          <w:rFonts w:hint="cs"/>
          <w:rtl/>
          <w:lang w:val="fr-CH"/>
        </w:rPr>
        <w:t xml:space="preserve">والهدف من قانون الاتصالات هو توفير إطار تكنولوجي محايد للاتصالات الإلكترونية، وتقديم خدمات وشبكات الاتصالات الإلكترونية بأسرها سواء </w:t>
      </w:r>
      <w:r>
        <w:rPr>
          <w:rFonts w:hint="cs"/>
          <w:rtl/>
          <w:lang w:val="fr-CH"/>
        </w:rPr>
        <w:t>أ</w:t>
      </w:r>
      <w:r w:rsidRPr="00B212B9">
        <w:rPr>
          <w:rFonts w:hint="cs"/>
          <w:rtl/>
          <w:lang w:val="fr-CH"/>
        </w:rPr>
        <w:t xml:space="preserve">كانت شبكات اتصالات ثابتة أم متنقلة، والشبكات الساتلية والشبكات عريضة النطاق أو الشبكات </w:t>
      </w:r>
      <w:r w:rsidR="00EA0AFB">
        <w:rPr>
          <w:lang w:val="fr-CH"/>
        </w:rPr>
        <w:br/>
      </w:r>
      <w:r w:rsidRPr="00B212B9">
        <w:rPr>
          <w:rFonts w:hint="cs"/>
          <w:rtl/>
          <w:lang w:val="fr-CH"/>
        </w:rPr>
        <w:t xml:space="preserve">المتنقلة للأرض. </w:t>
      </w:r>
    </w:p>
    <w:p w:rsidR="00C476A9" w:rsidRPr="00B212B9" w:rsidRDefault="00C476A9" w:rsidP="00C476A9">
      <w:pPr>
        <w:rPr>
          <w:rtl/>
          <w:lang w:val="fr-CH"/>
        </w:rPr>
      </w:pPr>
      <w:r w:rsidRPr="00B212B9">
        <w:rPr>
          <w:rFonts w:hint="cs"/>
          <w:rtl/>
          <w:lang w:val="fr-CH"/>
        </w:rPr>
        <w:t xml:space="preserve">والتغييرات الابتكارية في الإطار الجديد للاتصالات الإلكترونية </w:t>
      </w:r>
      <w:r>
        <w:rPr>
          <w:rFonts w:hint="cs"/>
          <w:rtl/>
          <w:lang w:val="fr-CH"/>
        </w:rPr>
        <w:t>لا </w:t>
      </w:r>
      <w:r w:rsidRPr="00B212B9">
        <w:rPr>
          <w:rFonts w:hint="cs"/>
          <w:rtl/>
          <w:lang w:val="fr-CH"/>
        </w:rPr>
        <w:t>تتطلب أي نظام للترخيص، ويمكن تقديم الخدمات والأنشطة الجديدة في صناعة الاتصالات الإلكترونية بدون ترخيص. إ</w:t>
      </w:r>
      <w:r>
        <w:rPr>
          <w:rFonts w:hint="cs"/>
          <w:rtl/>
          <w:lang w:val="fr-CH"/>
        </w:rPr>
        <w:t>لا </w:t>
      </w:r>
      <w:r w:rsidRPr="00B212B9">
        <w:rPr>
          <w:rFonts w:hint="cs"/>
          <w:rtl/>
          <w:lang w:val="fr-CH"/>
        </w:rPr>
        <w:t xml:space="preserve">أنه يجب تسجيلها لدى سلطة التنظيم الوطنية. </w:t>
      </w:r>
    </w:p>
    <w:p w:rsidR="00C476A9" w:rsidRPr="00B212B9" w:rsidRDefault="00C476A9" w:rsidP="00C476A9">
      <w:pPr>
        <w:pStyle w:val="Heading3"/>
        <w:rPr>
          <w:rtl/>
          <w:lang w:val="fr-CH"/>
        </w:rPr>
      </w:pPr>
      <w:bookmarkStart w:id="19" w:name="_Toc259454311"/>
      <w:r w:rsidRPr="00B212B9">
        <w:rPr>
          <w:lang w:val="fr-CH"/>
        </w:rPr>
        <w:t>5.1.4</w:t>
      </w:r>
      <w:r w:rsidRPr="00B212B9">
        <w:rPr>
          <w:rFonts w:hint="cs"/>
          <w:rtl/>
          <w:lang w:val="fr-CH"/>
        </w:rPr>
        <w:tab/>
        <w:t>ليتوانيا</w:t>
      </w:r>
      <w:r w:rsidRPr="00B212B9">
        <w:rPr>
          <w:vertAlign w:val="superscript"/>
          <w:lang w:val="de-DE"/>
        </w:rPr>
        <w:footnoteReference w:id="25"/>
      </w:r>
      <w:bookmarkEnd w:id="19"/>
      <w:r w:rsidRPr="00B212B9">
        <w:rPr>
          <w:rFonts w:hint="cs"/>
          <w:rtl/>
          <w:lang w:val="fr-CH"/>
        </w:rPr>
        <w:t xml:space="preserve"> </w:t>
      </w:r>
    </w:p>
    <w:p w:rsidR="00C476A9" w:rsidRPr="00B212B9" w:rsidRDefault="00C476A9" w:rsidP="00C476A9">
      <w:pPr>
        <w:rPr>
          <w:rtl/>
          <w:lang w:val="fr-CH"/>
        </w:rPr>
      </w:pPr>
      <w:r w:rsidRPr="00B212B9">
        <w:rPr>
          <w:rFonts w:hint="cs"/>
          <w:rtl/>
          <w:lang w:val="fr-CH"/>
        </w:rPr>
        <w:t xml:space="preserve">وفقاً لقانون الاتصالات لعام </w:t>
      </w:r>
      <w:r w:rsidRPr="00B212B9">
        <w:rPr>
          <w:lang w:val="fr-CH"/>
        </w:rPr>
        <w:t>2002</w:t>
      </w:r>
      <w:r w:rsidRPr="00B212B9">
        <w:rPr>
          <w:rFonts w:hint="cs"/>
          <w:rtl/>
          <w:lang w:val="fr-CH"/>
        </w:rPr>
        <w:t xml:space="preserve">، ألغي ترخيص أنشطة الاتصالات في </w:t>
      </w:r>
      <w:r w:rsidRPr="00B212B9">
        <w:rPr>
          <w:lang w:val="fr-CH"/>
        </w:rPr>
        <w:t>1</w:t>
      </w:r>
      <w:r w:rsidRPr="00B212B9">
        <w:rPr>
          <w:rFonts w:hint="cs"/>
          <w:rtl/>
          <w:lang w:val="fr-CH"/>
        </w:rPr>
        <w:t xml:space="preserve"> يناير </w:t>
      </w:r>
      <w:r w:rsidRPr="00B212B9">
        <w:rPr>
          <w:lang w:val="fr-CH"/>
        </w:rPr>
        <w:t>2003</w:t>
      </w:r>
      <w:r w:rsidRPr="00B212B9">
        <w:rPr>
          <w:rFonts w:hint="cs"/>
          <w:rtl/>
          <w:lang w:val="fr-CH"/>
        </w:rPr>
        <w:t xml:space="preserve">. ويمنح حق المشاركة في هذه الأنشطة دون تخويل فردي، وذلك للمتطلبات الواردة في الإجراءات القانونية. ووفقاً للشروط والأحكام العامة للانخراط في أنشطة الاتصالات، يجب على جميع المنشآت التي تنوي الانخراط في توفير الشبكات و/أو الخدمات العمومية للهاتف الثابت، وتوفير الشبكات و/أو الخدمات </w:t>
      </w:r>
      <w:r w:rsidRPr="00B212B9">
        <w:rPr>
          <w:rFonts w:hint="cs"/>
          <w:rtl/>
          <w:lang w:val="fr-CH"/>
        </w:rPr>
        <w:lastRenderedPageBreak/>
        <w:t xml:space="preserve">العمومية للهاتف المتنقل، وكذلك توفير خدمات الخطوط المؤجرة، أن تقدم إخطاراً بشأن بدء أنشطة الاتصالات فقط. وكانت ليتوانيا من أول بلدان الاتحاد الأوروبي في إلغاء نظام الترخيص وتحولت إلى نظام التخويل العام في قطاع الاتصالات. </w:t>
      </w:r>
    </w:p>
    <w:p w:rsidR="00C476A9" w:rsidRPr="00B212B9" w:rsidRDefault="00C476A9" w:rsidP="00C476A9">
      <w:pPr>
        <w:rPr>
          <w:rtl/>
          <w:lang w:val="fr-CH"/>
        </w:rPr>
      </w:pPr>
      <w:r w:rsidRPr="00B212B9">
        <w:rPr>
          <w:rFonts w:hint="cs"/>
          <w:rtl/>
          <w:lang w:val="fr-CH"/>
        </w:rPr>
        <w:t xml:space="preserve">ومنذ تحرير سوق الشبكات والخدمات العمومية للهاتف الثابت في ليتوانيا في يناير </w:t>
      </w:r>
      <w:r w:rsidRPr="00B212B9">
        <w:rPr>
          <w:lang w:val="fr-CH"/>
        </w:rPr>
        <w:t>2003</w:t>
      </w:r>
      <w:r w:rsidRPr="00B212B9">
        <w:rPr>
          <w:rFonts w:hint="cs"/>
          <w:rtl/>
          <w:lang w:val="fr-CH"/>
        </w:rPr>
        <w:t xml:space="preserve"> وإدخال القانون الجديد، مر قطاع الاتصالات في ليتوانيا بتحولات سريعة وناجحة. وينبغي ملاحظة أن الرسوم الإدارية المنخفضة خلقت شروطاً مسبقة لأسعار منخفضة للخدمة في سوق التجزئة. </w:t>
      </w:r>
    </w:p>
    <w:p w:rsidR="00C476A9" w:rsidRPr="00B212B9" w:rsidRDefault="00C476A9" w:rsidP="00C476A9">
      <w:pPr>
        <w:rPr>
          <w:rtl/>
          <w:lang w:val="fr-CH"/>
        </w:rPr>
      </w:pPr>
      <w:r w:rsidRPr="00B212B9">
        <w:rPr>
          <w:rFonts w:hint="cs"/>
          <w:rtl/>
          <w:lang w:val="fr-CH"/>
        </w:rPr>
        <w:t xml:space="preserve">ودخل القانون المعني بالاتصالات الإلكترونية لعام </w:t>
      </w:r>
      <w:r w:rsidRPr="00B212B9">
        <w:rPr>
          <w:lang w:val="fr-CH"/>
        </w:rPr>
        <w:t>2004</w:t>
      </w:r>
      <w:r w:rsidRPr="00B212B9">
        <w:rPr>
          <w:rFonts w:hint="cs"/>
          <w:rtl/>
          <w:lang w:val="fr-CH"/>
        </w:rPr>
        <w:t xml:space="preserve"> حيز النفاذ في </w:t>
      </w:r>
      <w:r w:rsidRPr="00B212B9">
        <w:rPr>
          <w:lang w:val="fr-CH"/>
        </w:rPr>
        <w:t>1</w:t>
      </w:r>
      <w:r w:rsidRPr="00B212B9">
        <w:rPr>
          <w:rFonts w:hint="cs"/>
          <w:rtl/>
          <w:lang w:val="fr-CH"/>
        </w:rPr>
        <w:t xml:space="preserve"> مايو </w:t>
      </w:r>
      <w:r w:rsidRPr="00B212B9">
        <w:rPr>
          <w:lang w:val="fr-CH"/>
        </w:rPr>
        <w:t>2004</w:t>
      </w:r>
      <w:r w:rsidRPr="00B212B9">
        <w:rPr>
          <w:rFonts w:hint="cs"/>
          <w:rtl/>
          <w:lang w:val="fr-CH"/>
        </w:rPr>
        <w:t xml:space="preserve">. ومن أهدافه الرئيسية نقل تعليمات الاتحاد الأوروبي لعام </w:t>
      </w:r>
      <w:r w:rsidRPr="00B212B9">
        <w:rPr>
          <w:lang w:val="fr-CH"/>
        </w:rPr>
        <w:t>2002</w:t>
      </w:r>
      <w:r w:rsidRPr="00B212B9">
        <w:rPr>
          <w:rFonts w:hint="cs"/>
          <w:rtl/>
          <w:lang w:val="fr-CH"/>
        </w:rPr>
        <w:t xml:space="preserve"> بشأن الإطار التنظيمي الجديد للاتصالات الإلكترونية والخدمات المصاحبة إلى التشريع الوطني. وأدخل القانون الحياد التكنولوجي بوصفه هدفاً في التنظيم. </w:t>
      </w:r>
    </w:p>
    <w:p w:rsidR="00C476A9" w:rsidRPr="00B212B9" w:rsidRDefault="00C476A9" w:rsidP="00C476A9">
      <w:pPr>
        <w:rPr>
          <w:lang w:val="fr-CH"/>
        </w:rPr>
      </w:pPr>
      <w:r w:rsidRPr="00B212B9">
        <w:rPr>
          <w:rFonts w:hint="cs"/>
          <w:rtl/>
          <w:lang w:val="fr-CH"/>
        </w:rPr>
        <w:t>وفي</w:t>
      </w:r>
      <w:r>
        <w:rPr>
          <w:rFonts w:hint="cs"/>
          <w:rtl/>
          <w:lang w:val="fr-CH"/>
        </w:rPr>
        <w:t>ما </w:t>
      </w:r>
      <w:r w:rsidRPr="00B212B9">
        <w:rPr>
          <w:rFonts w:hint="cs"/>
          <w:rtl/>
          <w:lang w:val="fr-CH"/>
        </w:rPr>
        <w:t xml:space="preserve">يخص الإذاعة، جرى في عام </w:t>
      </w:r>
      <w:r w:rsidRPr="00B212B9">
        <w:rPr>
          <w:lang w:val="fr-CH"/>
        </w:rPr>
        <w:t>2006</w:t>
      </w:r>
      <w:r w:rsidRPr="00B212B9">
        <w:rPr>
          <w:rFonts w:hint="cs"/>
          <w:rtl/>
          <w:lang w:val="fr-CH"/>
        </w:rPr>
        <w:t xml:space="preserve"> تعديل القانون المعني بتوفير المعلومات للجمهور عن طريق تنظيم الأنشطة الإذاعية لإنهاء المطالبة بترخيص لبعض الأنشطة الإذاعية، أي </w:t>
      </w:r>
      <w:r>
        <w:rPr>
          <w:rFonts w:hint="cs"/>
          <w:rtl/>
          <w:lang w:val="fr-CH"/>
        </w:rPr>
        <w:t>لا </w:t>
      </w:r>
      <w:r w:rsidRPr="00B212B9">
        <w:rPr>
          <w:rFonts w:hint="cs"/>
          <w:rtl/>
          <w:lang w:val="fr-CH"/>
        </w:rPr>
        <w:t xml:space="preserve">يقضي القانون بالحصول على ترخيص من أجل أنشطة </w:t>
      </w:r>
      <w:r>
        <w:rPr>
          <w:rFonts w:hint="cs"/>
          <w:rtl/>
          <w:lang w:val="fr-CH"/>
        </w:rPr>
        <w:t>لا </w:t>
      </w:r>
      <w:r w:rsidRPr="00B212B9">
        <w:rPr>
          <w:rFonts w:hint="cs"/>
          <w:rtl/>
          <w:lang w:val="fr-CH"/>
        </w:rPr>
        <w:t xml:space="preserve">يقصد منها إذاعة برامج و/أو إعادة إذاعة أو إذاعة برامج لأغراض غير تجارية. ومن المزمع إجراء المزيد من التكييفات في القطاع التنظيمي من أجل خدمات الوسائط السمعية المرئية (التعليمات </w:t>
      </w:r>
      <w:r w:rsidRPr="00B212B9">
        <w:rPr>
          <w:lang w:val="fr-CH"/>
        </w:rPr>
        <w:t>2007/65/EC</w:t>
      </w:r>
      <w:r w:rsidRPr="00B212B9">
        <w:rPr>
          <w:rFonts w:hint="cs"/>
          <w:rtl/>
          <w:lang w:val="fr-CH"/>
        </w:rPr>
        <w:t xml:space="preserve">). والغرض من التعليمات الجديدة </w:t>
      </w:r>
      <w:r w:rsidRPr="00B212B9">
        <w:rPr>
          <w:lang w:val="fr-CH"/>
        </w:rPr>
        <w:t>2007/65/EC</w:t>
      </w:r>
      <w:r w:rsidRPr="00B212B9">
        <w:rPr>
          <w:rFonts w:hint="cs"/>
          <w:rtl/>
          <w:lang w:val="fr-CH"/>
        </w:rPr>
        <w:t xml:space="preserve"> هو تحديث وإيجاد إطار مرن لإذاعة البرامج </w:t>
      </w:r>
      <w:r>
        <w:rPr>
          <w:rFonts w:hint="cs"/>
          <w:rtl/>
          <w:lang w:val="fr-CH"/>
        </w:rPr>
        <w:t>التلفزيون</w:t>
      </w:r>
      <w:r w:rsidRPr="00B212B9">
        <w:rPr>
          <w:rFonts w:hint="cs"/>
          <w:rtl/>
          <w:lang w:val="fr-CH"/>
        </w:rPr>
        <w:t>ية، ب</w:t>
      </w:r>
      <w:r>
        <w:rPr>
          <w:rFonts w:hint="cs"/>
          <w:rtl/>
          <w:lang w:val="fr-CH"/>
        </w:rPr>
        <w:t>ما </w:t>
      </w:r>
      <w:r w:rsidRPr="00B212B9">
        <w:rPr>
          <w:rFonts w:hint="cs"/>
          <w:rtl/>
          <w:lang w:val="fr-CH"/>
        </w:rPr>
        <w:t xml:space="preserve">في ذلك الخدمات الخطية (المقررة) للوسائط السمعية المرئية، وإدخال مجموعة من القواعد الدنيا للخدمات غير الخطية (المقررة) للوسائط السمعية المرئية. </w:t>
      </w:r>
    </w:p>
    <w:p w:rsidR="00C476A9" w:rsidRPr="00B212B9" w:rsidRDefault="00C476A9" w:rsidP="00C476A9">
      <w:pPr>
        <w:rPr>
          <w:rtl/>
          <w:lang w:val="fr-CH"/>
        </w:rPr>
      </w:pPr>
      <w:r w:rsidRPr="00B212B9">
        <w:rPr>
          <w:rFonts w:hint="cs"/>
          <w:rtl/>
          <w:lang w:val="fr-CH"/>
        </w:rPr>
        <w:t>وفي</w:t>
      </w:r>
      <w:r>
        <w:rPr>
          <w:rFonts w:hint="cs"/>
          <w:rtl/>
          <w:lang w:val="fr-CH"/>
        </w:rPr>
        <w:t>ما </w:t>
      </w:r>
      <w:r w:rsidRPr="00B212B9">
        <w:rPr>
          <w:rFonts w:hint="cs"/>
          <w:rtl/>
          <w:lang w:val="fr-CH"/>
        </w:rPr>
        <w:t xml:space="preserve">يتعلق بالطيف، تتطلع سلطة تنظيم الاتصالات في ليتوانيا </w:t>
      </w:r>
      <w:r w:rsidRPr="00B212B9">
        <w:rPr>
          <w:lang w:val="fr-CH"/>
        </w:rPr>
        <w:t>(RRT)</w:t>
      </w:r>
      <w:r w:rsidRPr="00B212B9">
        <w:rPr>
          <w:rFonts w:hint="cs"/>
          <w:rtl/>
          <w:lang w:val="fr-CH"/>
        </w:rPr>
        <w:t xml:space="preserve"> في معرض تحريرها لشروط استعمال التردد الراديوي، إلى تشجيع المشاركين في الأسواق على توفير أوسع طائفة من الخدمات اللاسلكية الحديثة واستخدام الموارد الوطنية المحدودة المتاحة بأقصى قدر ممكن من الكفاءة. ومع تطور الأسواق والتكنولوجيات الجديدة في إطار ظروف التقارب، يميل التنظيم ب</w:t>
      </w:r>
      <w:r>
        <w:rPr>
          <w:rFonts w:hint="cs"/>
          <w:rtl/>
          <w:lang w:val="fr-CH"/>
        </w:rPr>
        <w:t>لا </w:t>
      </w:r>
      <w:r w:rsidRPr="00B212B9">
        <w:rPr>
          <w:rFonts w:hint="cs"/>
          <w:rtl/>
          <w:lang w:val="fr-CH"/>
        </w:rPr>
        <w:t>شك إلى أن يصبح أكثر تحرراً ومحايد</w:t>
      </w:r>
      <w:r>
        <w:rPr>
          <w:rFonts w:hint="cs"/>
          <w:rtl/>
          <w:lang w:val="fr-CH"/>
        </w:rPr>
        <w:t>اً</w:t>
      </w:r>
      <w:r w:rsidRPr="00B212B9">
        <w:rPr>
          <w:rFonts w:hint="cs"/>
          <w:rtl/>
          <w:lang w:val="fr-CH"/>
        </w:rPr>
        <w:t xml:space="preserve"> تكنولوجياً وعلى مستوى الخدمة. </w:t>
      </w:r>
    </w:p>
    <w:p w:rsidR="00C476A9" w:rsidRPr="00B212B9" w:rsidRDefault="00C476A9" w:rsidP="00C476A9">
      <w:pPr>
        <w:rPr>
          <w:rtl/>
          <w:lang w:val="fr-CH"/>
        </w:rPr>
      </w:pPr>
      <w:r w:rsidRPr="00B212B9">
        <w:rPr>
          <w:rFonts w:hint="cs"/>
          <w:rtl/>
          <w:lang w:val="fr-CH"/>
        </w:rPr>
        <w:t xml:space="preserve">وأسفر نظام التخويل الجديد المطبق منذ يناير </w:t>
      </w:r>
      <w:r w:rsidRPr="00B212B9">
        <w:rPr>
          <w:lang w:val="fr-CH"/>
        </w:rPr>
        <w:t>2003</w:t>
      </w:r>
      <w:r w:rsidRPr="00B212B9">
        <w:rPr>
          <w:rFonts w:hint="cs"/>
          <w:rtl/>
          <w:lang w:val="fr-CH"/>
        </w:rPr>
        <w:t xml:space="preserve"> عن نتائج مواتية في تنمية الأسواق. أ</w:t>
      </w:r>
      <w:r>
        <w:rPr>
          <w:rFonts w:hint="cs"/>
          <w:rtl/>
          <w:lang w:val="fr-CH"/>
        </w:rPr>
        <w:t>ما </w:t>
      </w:r>
      <w:r w:rsidRPr="00B212B9">
        <w:rPr>
          <w:rFonts w:hint="cs"/>
          <w:rtl/>
          <w:lang w:val="fr-CH"/>
        </w:rPr>
        <w:t>القطاعات التي لم يطبق فيها بعد نظام التخويل العام بالكامل فسيجري تنظيمها بموجب هذا النظام في المستقبل بمجرد الانتهاء من إدخال التعديلات ذات الصلة على الوثائق القانونية. ول</w:t>
      </w:r>
      <w:r>
        <w:rPr>
          <w:rFonts w:hint="cs"/>
          <w:rtl/>
          <w:lang w:val="fr-CH"/>
        </w:rPr>
        <w:t>ما </w:t>
      </w:r>
      <w:r w:rsidRPr="00B212B9">
        <w:rPr>
          <w:rFonts w:hint="cs"/>
          <w:rtl/>
          <w:lang w:val="fr-CH"/>
        </w:rPr>
        <w:t>كان التنظيم المحايد تكنولوجياً، ك</w:t>
      </w:r>
      <w:r>
        <w:rPr>
          <w:rFonts w:hint="cs"/>
          <w:rtl/>
          <w:lang w:val="fr-CH"/>
        </w:rPr>
        <w:t>ما </w:t>
      </w:r>
      <w:r w:rsidRPr="00B212B9">
        <w:rPr>
          <w:rFonts w:hint="cs"/>
          <w:rtl/>
          <w:lang w:val="fr-CH"/>
        </w:rPr>
        <w:t xml:space="preserve">شاهدنا في قطاع خدمات الاتصالات التقليدية، يشجع حوافز السوق على الاستثمار وتطوير تكنولوجيات متقدمة، يوفر للمستخدمين أفضل الخدمات من حيث الأسعار والنوعية. ويساعد ذلك في توفير ضمانات أفضل لاهتمامات المستعمل. ويؤدي إلى زيادة القدرة التنافسية الاقتصادية الشاملة. </w:t>
      </w:r>
    </w:p>
    <w:p w:rsidR="00C476A9" w:rsidRPr="00B212B9" w:rsidRDefault="00C476A9" w:rsidP="00C476A9">
      <w:pPr>
        <w:pStyle w:val="Heading3"/>
        <w:rPr>
          <w:rtl/>
          <w:lang w:val="fr-CH"/>
        </w:rPr>
      </w:pPr>
      <w:bookmarkStart w:id="20" w:name="_Toc259454312"/>
      <w:r w:rsidRPr="00B212B9">
        <w:rPr>
          <w:lang w:val="fr-CH"/>
        </w:rPr>
        <w:t>6.1.4</w:t>
      </w:r>
      <w:r w:rsidRPr="00B212B9">
        <w:rPr>
          <w:rFonts w:hint="cs"/>
          <w:rtl/>
          <w:lang w:val="fr-CH"/>
        </w:rPr>
        <w:tab/>
      </w:r>
      <w:r>
        <w:rPr>
          <w:rFonts w:hint="cs"/>
          <w:rtl/>
          <w:lang w:val="fr-CH"/>
        </w:rPr>
        <w:t>تن‍زانيا</w:t>
      </w:r>
      <w:r w:rsidRPr="00B212B9">
        <w:rPr>
          <w:vertAlign w:val="superscript"/>
          <w:lang w:val="de-DE"/>
        </w:rPr>
        <w:footnoteReference w:id="26"/>
      </w:r>
      <w:bookmarkEnd w:id="20"/>
      <w:r w:rsidRPr="00B212B9">
        <w:rPr>
          <w:rFonts w:hint="cs"/>
          <w:rtl/>
          <w:lang w:val="fr-CH"/>
        </w:rPr>
        <w:t xml:space="preserve"> </w:t>
      </w:r>
    </w:p>
    <w:p w:rsidR="00C476A9" w:rsidRPr="00B212B9" w:rsidRDefault="00C476A9" w:rsidP="00C476A9">
      <w:pPr>
        <w:rPr>
          <w:rtl/>
          <w:lang w:val="fr-CH"/>
        </w:rPr>
      </w:pPr>
      <w:r w:rsidRPr="00B212B9">
        <w:rPr>
          <w:rFonts w:hint="cs"/>
          <w:rtl/>
          <w:lang w:val="fr-CH"/>
        </w:rPr>
        <w:t xml:space="preserve">أدخلت سلطة تنظيم الاتصالات في تنزانيا </w:t>
      </w:r>
      <w:r w:rsidRPr="00B212B9">
        <w:rPr>
          <w:lang w:val="fr-CH"/>
        </w:rPr>
        <w:t>(TCRA)</w:t>
      </w:r>
      <w:r w:rsidRPr="00B212B9">
        <w:rPr>
          <w:rFonts w:hint="cs"/>
          <w:rtl/>
          <w:lang w:val="fr-CH"/>
        </w:rPr>
        <w:t xml:space="preserve"> في فبراير </w:t>
      </w:r>
      <w:r w:rsidRPr="00B212B9">
        <w:rPr>
          <w:lang w:val="fr-CH"/>
        </w:rPr>
        <w:t>2005</w:t>
      </w:r>
      <w:r w:rsidRPr="00B212B9">
        <w:rPr>
          <w:rFonts w:hint="cs"/>
          <w:rtl/>
          <w:lang w:val="fr-CH"/>
        </w:rPr>
        <w:t xml:space="preserve"> إطار الترخيص المتقارب </w:t>
      </w:r>
      <w:r w:rsidRPr="00B212B9">
        <w:rPr>
          <w:lang w:val="fr-CH"/>
        </w:rPr>
        <w:t>(CLF)</w:t>
      </w:r>
      <w:r w:rsidRPr="00B212B9">
        <w:rPr>
          <w:rFonts w:hint="cs"/>
          <w:rtl/>
          <w:lang w:val="fr-CH"/>
        </w:rPr>
        <w:t xml:space="preserve"> عقب انتهاء فترة امتياز منحت لشركة تشغيل الخطوط الثابتة. وبموجب لوائح (تراخيص) الاتصالات </w:t>
      </w:r>
      <w:r w:rsidRPr="00B212B9">
        <w:rPr>
          <w:lang w:val="fr-CH"/>
        </w:rPr>
        <w:t>(2005)</w:t>
      </w:r>
      <w:r w:rsidRPr="00B212B9">
        <w:rPr>
          <w:rFonts w:hint="cs"/>
          <w:rtl/>
          <w:lang w:val="fr-CH"/>
        </w:rPr>
        <w:t xml:space="preserve"> يشمل إطار الترخيص المتقارب الحياد التكنولوجي والحياد على مستوى الخدمة ويسعى إلى ضمان مرونة التنظيم، وكفاءة استعمال موارد الشبكة، ودخول صغار المشغلين إلى السوق. </w:t>
      </w:r>
    </w:p>
    <w:p w:rsidR="00C476A9" w:rsidRPr="00B212B9" w:rsidRDefault="00C476A9" w:rsidP="00C476A9">
      <w:pPr>
        <w:rPr>
          <w:rtl/>
          <w:lang w:val="fr-CH"/>
        </w:rPr>
      </w:pPr>
      <w:r w:rsidRPr="00B212B9">
        <w:rPr>
          <w:rFonts w:hint="cs"/>
          <w:rtl/>
          <w:lang w:val="fr-CH"/>
        </w:rPr>
        <w:t>وك</w:t>
      </w:r>
      <w:r>
        <w:rPr>
          <w:rFonts w:hint="cs"/>
          <w:rtl/>
          <w:lang w:val="fr-CH"/>
        </w:rPr>
        <w:t>ما </w:t>
      </w:r>
      <w:r w:rsidRPr="00B212B9">
        <w:rPr>
          <w:rFonts w:hint="cs"/>
          <w:rtl/>
          <w:lang w:val="fr-CH"/>
        </w:rPr>
        <w:t xml:space="preserve">يتبين من الجدول </w:t>
      </w:r>
      <w:r>
        <w:rPr>
          <w:lang w:val="fr-CH"/>
        </w:rPr>
        <w:t>2</w:t>
      </w:r>
      <w:r w:rsidRPr="00B212B9">
        <w:rPr>
          <w:rFonts w:hint="cs"/>
          <w:rtl/>
          <w:lang w:val="fr-CH"/>
        </w:rPr>
        <w:t xml:space="preserve"> التالي، ينص جدول اللوائح على توفير خدمات في أربعة قطاعات </w:t>
      </w:r>
      <w:r w:rsidRPr="00B212B9">
        <w:rPr>
          <w:rtl/>
          <w:lang w:val="fr-CH"/>
        </w:rPr>
        <w:t>–</w:t>
      </w:r>
      <w:r w:rsidRPr="00B212B9">
        <w:rPr>
          <w:rFonts w:hint="cs"/>
          <w:rtl/>
          <w:lang w:val="fr-CH"/>
        </w:rPr>
        <w:t xml:space="preserve"> الدولي، والوطني، والإقليمي وعلى مستوى المقاطعة - لفئات التراخيص الأربع التالية: </w:t>
      </w:r>
    </w:p>
    <w:p w:rsidR="00C476A9" w:rsidRPr="00B212B9" w:rsidRDefault="00497E3D" w:rsidP="00C476A9">
      <w:pPr>
        <w:pStyle w:val="enumlev1"/>
        <w:rPr>
          <w:rtl/>
        </w:rPr>
      </w:pPr>
      <w:r>
        <w:sym w:font="Symbol" w:char="F0B7"/>
      </w:r>
      <w:r w:rsidR="00C476A9" w:rsidRPr="00B212B9">
        <w:rPr>
          <w:rFonts w:hint="cs"/>
          <w:rtl/>
        </w:rPr>
        <w:tab/>
        <w:t>مرافق الشبكة:  تسمح لحامل الترخيص بتركيب مرافق الاتصالات الإلكترونية الخاصة به وبتوفير النفاذ إلى الوصلات الثابتة، ومرسلات الاتصالات الراديوية، والمحطات الساتلية، والكابلات تحت سطح البحر، والكابلات المصنوعة من الألياف/</w:t>
      </w:r>
      <w:r w:rsidR="00C476A9">
        <w:rPr>
          <w:rFonts w:hint="cs"/>
          <w:rtl/>
        </w:rPr>
        <w:t>النحاس</w:t>
      </w:r>
      <w:r w:rsidR="00C476A9" w:rsidRPr="00B212B9">
        <w:rPr>
          <w:rFonts w:hint="cs"/>
          <w:rtl/>
        </w:rPr>
        <w:t>، والأبراج، والبدالات، و</w:t>
      </w:r>
      <w:r w:rsidR="00C476A9">
        <w:rPr>
          <w:rFonts w:hint="cs"/>
          <w:rtl/>
        </w:rPr>
        <w:t>ما </w:t>
      </w:r>
      <w:r w:rsidR="00C476A9" w:rsidRPr="00B212B9">
        <w:rPr>
          <w:rFonts w:hint="cs"/>
          <w:rtl/>
        </w:rPr>
        <w:t xml:space="preserve">إلى ذلك؛ </w:t>
      </w:r>
    </w:p>
    <w:p w:rsidR="00C476A9" w:rsidRPr="00B212B9" w:rsidRDefault="00497E3D" w:rsidP="00C476A9">
      <w:pPr>
        <w:pStyle w:val="enumlev1"/>
        <w:rPr>
          <w:rtl/>
        </w:rPr>
      </w:pPr>
      <w:r>
        <w:sym w:font="Symbol" w:char="F0B7"/>
      </w:r>
      <w:r w:rsidR="00C476A9" w:rsidRPr="00B212B9">
        <w:rPr>
          <w:rFonts w:hint="cs"/>
          <w:rtl/>
        </w:rPr>
        <w:tab/>
        <w:t xml:space="preserve">خدمات الشبكة:  تسمح لحامل الترخيص بتشغيل وصيانة شبكات الاتصالات الإلكترونية العمومية باستعمال تكنولوجيات مثل </w:t>
      </w:r>
      <w:r w:rsidR="00C476A9" w:rsidRPr="00B212B9">
        <w:rPr>
          <w:lang w:val="de-DE"/>
        </w:rPr>
        <w:t>GSM</w:t>
      </w:r>
      <w:r w:rsidR="00C476A9" w:rsidRPr="00B212B9">
        <w:rPr>
          <w:rFonts w:hint="cs"/>
          <w:rtl/>
        </w:rPr>
        <w:t xml:space="preserve"> أو</w:t>
      </w:r>
      <w:r w:rsidR="00C476A9" w:rsidRPr="00B212B9">
        <w:rPr>
          <w:lang w:val="de-DE"/>
        </w:rPr>
        <w:t>CDMA</w:t>
      </w:r>
      <w:r w:rsidR="00C476A9" w:rsidRPr="00B212B9">
        <w:rPr>
          <w:rFonts w:hint="cs"/>
          <w:rtl/>
        </w:rPr>
        <w:t xml:space="preserve">؛ </w:t>
      </w:r>
    </w:p>
    <w:p w:rsidR="00C476A9" w:rsidRPr="00B212B9" w:rsidRDefault="00497E3D" w:rsidP="00C476A9">
      <w:pPr>
        <w:pStyle w:val="enumlev1"/>
        <w:rPr>
          <w:rtl/>
        </w:rPr>
      </w:pPr>
      <w:r>
        <w:lastRenderedPageBreak/>
        <w:sym w:font="Symbol" w:char="F0B7"/>
      </w:r>
      <w:r w:rsidR="00C476A9" w:rsidRPr="00B212B9">
        <w:rPr>
          <w:rFonts w:hint="cs"/>
          <w:rtl/>
        </w:rPr>
        <w:tab/>
        <w:t>خدمات التطبيقات:  تسمح لحامل الترخيص بتوفير خدمات اتصالات إلكترونية للمستعمل النهائي عن طريق المرافق الخاصة أو إعادة بيع الخدمات من مقدم خدمة مرافق/شبكة؛</w:t>
      </w:r>
    </w:p>
    <w:p w:rsidR="00C476A9" w:rsidRPr="00B212B9" w:rsidRDefault="00497E3D" w:rsidP="00C476A9">
      <w:pPr>
        <w:pStyle w:val="enumlev1"/>
      </w:pPr>
      <w:r>
        <w:sym w:font="Symbol" w:char="F0B7"/>
      </w:r>
      <w:r w:rsidR="00C476A9" w:rsidRPr="00B212B9">
        <w:rPr>
          <w:rFonts w:hint="cs"/>
          <w:rtl/>
        </w:rPr>
        <w:tab/>
        <w:t xml:space="preserve">خدمات المحتوى:  تسمح لحامل الترخيص بتوفير خدمات المحتوى من أجل البث الإذاعي. </w:t>
      </w:r>
    </w:p>
    <w:p w:rsidR="00C476A9" w:rsidRPr="00B212B9" w:rsidRDefault="00C476A9" w:rsidP="00C476A9">
      <w:pPr>
        <w:rPr>
          <w:rtl/>
          <w:lang w:val="fr-CH"/>
        </w:rPr>
      </w:pPr>
      <w:r w:rsidRPr="00B212B9">
        <w:rPr>
          <w:rFonts w:hint="cs"/>
          <w:rtl/>
          <w:lang w:val="fr-CH"/>
        </w:rPr>
        <w:t xml:space="preserve">وفي الفترة الواقعة بين ديسمبر </w:t>
      </w:r>
      <w:r w:rsidRPr="00B212B9">
        <w:rPr>
          <w:lang w:val="fr-CH"/>
        </w:rPr>
        <w:t>2005</w:t>
      </w:r>
      <w:r w:rsidRPr="00B212B9">
        <w:rPr>
          <w:rFonts w:hint="cs"/>
          <w:rtl/>
          <w:lang w:val="fr-CH"/>
        </w:rPr>
        <w:t xml:space="preserve"> و</w:t>
      </w:r>
      <w:r w:rsidR="003D4D68">
        <w:rPr>
          <w:rFonts w:hint="cs"/>
          <w:rtl/>
          <w:lang w:val="fr-CH"/>
        </w:rPr>
        <w:t>يونيو</w:t>
      </w:r>
      <w:r w:rsidRPr="00B212B9">
        <w:rPr>
          <w:rFonts w:hint="cs"/>
          <w:rtl/>
          <w:lang w:val="fr-CH"/>
        </w:rPr>
        <w:t xml:space="preserve"> </w:t>
      </w:r>
      <w:r w:rsidRPr="00B212B9">
        <w:rPr>
          <w:lang w:val="fr-CH"/>
        </w:rPr>
        <w:t>2008</w:t>
      </w:r>
      <w:r w:rsidRPr="00B212B9">
        <w:rPr>
          <w:rFonts w:hint="cs"/>
          <w:rtl/>
          <w:lang w:val="fr-CH"/>
        </w:rPr>
        <w:t xml:space="preserve">، أصدرت سلطة تنظيم الاتصالات في تنزانيا </w:t>
      </w:r>
      <w:r w:rsidRPr="00B212B9">
        <w:rPr>
          <w:lang w:val="fr-CH"/>
        </w:rPr>
        <w:t>150</w:t>
      </w:r>
      <w:r w:rsidRPr="00B212B9">
        <w:rPr>
          <w:rFonts w:hint="cs"/>
          <w:rtl/>
          <w:lang w:val="fr-CH"/>
        </w:rPr>
        <w:t xml:space="preserve"> ترخيصاً بموجب إطار الترخيص المتقارب تقبلها أصحاب التراخيص (الذين تحولوا إلى إطار الترخيص المتقارب) كذلك الشأن بالنسبة للوافدين الجدد الذين غامروا بالدخول إلى قطاع الاتصالات. </w:t>
      </w:r>
    </w:p>
    <w:p w:rsidR="00C476A9" w:rsidRPr="00B212B9" w:rsidRDefault="00C476A9" w:rsidP="00C476A9">
      <w:pPr>
        <w:rPr>
          <w:rtl/>
          <w:lang w:val="fr-CH"/>
        </w:rPr>
      </w:pPr>
      <w:r w:rsidRPr="00B212B9">
        <w:rPr>
          <w:rFonts w:hint="cs"/>
          <w:rtl/>
          <w:lang w:val="fr-CH"/>
        </w:rPr>
        <w:t xml:space="preserve">وبالإضافة إلى زيادة عدد المشغلين، ارتفع عدد المشتركين من </w:t>
      </w:r>
      <w:r w:rsidRPr="00B212B9">
        <w:rPr>
          <w:lang w:val="fr-CH"/>
        </w:rPr>
        <w:t>3 118 157</w:t>
      </w:r>
      <w:r w:rsidRPr="00B212B9">
        <w:rPr>
          <w:rFonts w:hint="cs"/>
          <w:rtl/>
          <w:lang w:val="fr-CH"/>
        </w:rPr>
        <w:t xml:space="preserve"> في </w:t>
      </w:r>
      <w:r w:rsidRPr="00B212B9">
        <w:rPr>
          <w:lang w:val="fr-CH"/>
        </w:rPr>
        <w:t>2005</w:t>
      </w:r>
      <w:r w:rsidRPr="00B212B9">
        <w:rPr>
          <w:rFonts w:hint="cs"/>
          <w:rtl/>
          <w:lang w:val="fr-CH"/>
        </w:rPr>
        <w:t xml:space="preserve"> إلى </w:t>
      </w:r>
      <w:r w:rsidRPr="00B212B9">
        <w:rPr>
          <w:lang w:val="fr-CH"/>
        </w:rPr>
        <w:t>9 523 392</w:t>
      </w:r>
      <w:r w:rsidRPr="00B212B9">
        <w:rPr>
          <w:rFonts w:hint="cs"/>
          <w:rtl/>
          <w:lang w:val="fr-CH"/>
        </w:rPr>
        <w:t xml:space="preserve"> في مارس </w:t>
      </w:r>
      <w:r w:rsidRPr="00B212B9">
        <w:rPr>
          <w:lang w:val="fr-CH"/>
        </w:rPr>
        <w:t>2008</w:t>
      </w:r>
      <w:r w:rsidRPr="00B212B9">
        <w:rPr>
          <w:rFonts w:hint="cs"/>
          <w:rtl/>
          <w:lang w:val="fr-CH"/>
        </w:rPr>
        <w:t xml:space="preserve">، وتعزيها سلطة تنظيم الاتصالات في تنزانيا إلى زيادة عدد </w:t>
      </w:r>
      <w:r>
        <w:rPr>
          <w:rFonts w:hint="cs"/>
          <w:rtl/>
          <w:lang w:val="fr-CH"/>
        </w:rPr>
        <w:t xml:space="preserve">أصحاب </w:t>
      </w:r>
      <w:r w:rsidRPr="00B212B9">
        <w:rPr>
          <w:rFonts w:hint="cs"/>
          <w:rtl/>
          <w:lang w:val="fr-CH"/>
        </w:rPr>
        <w:t xml:space="preserve">تراخيص الاتصالات. </w:t>
      </w:r>
    </w:p>
    <w:p w:rsidR="00C476A9" w:rsidRPr="00B212B9" w:rsidRDefault="00C476A9" w:rsidP="00C476A9">
      <w:pPr>
        <w:rPr>
          <w:rtl/>
          <w:lang w:val="fr-CH"/>
        </w:rPr>
      </w:pPr>
      <w:r w:rsidRPr="00B212B9">
        <w:rPr>
          <w:rFonts w:hint="cs"/>
          <w:rtl/>
          <w:lang w:val="fr-CH"/>
        </w:rPr>
        <w:t xml:space="preserve">ويمكن استخلاص </w:t>
      </w:r>
      <w:r>
        <w:rPr>
          <w:rFonts w:hint="cs"/>
          <w:rtl/>
          <w:lang w:val="fr-CH"/>
        </w:rPr>
        <w:t>عددٍ</w:t>
      </w:r>
      <w:r w:rsidRPr="00B212B9">
        <w:rPr>
          <w:rFonts w:hint="cs"/>
          <w:rtl/>
          <w:lang w:val="fr-CH"/>
        </w:rPr>
        <w:t xml:space="preserve"> من الدروس من إطار الترخيص المتقارب في تنزانيا قد تستفيد منها البلدان التي تنوي إدخال إجراء الترخيص المتقارب. </w:t>
      </w:r>
    </w:p>
    <w:p w:rsidR="00C476A9" w:rsidRPr="00B212B9" w:rsidRDefault="00497E3D" w:rsidP="00C476A9">
      <w:pPr>
        <w:pStyle w:val="enumlev1"/>
        <w:rPr>
          <w:rtl/>
        </w:rPr>
      </w:pPr>
      <w:r>
        <w:sym w:font="Symbol" w:char="F0B7"/>
      </w:r>
      <w:r w:rsidR="00C476A9" w:rsidRPr="00B212B9">
        <w:rPr>
          <w:rFonts w:hint="cs"/>
          <w:rtl/>
        </w:rPr>
        <w:tab/>
        <w:t xml:space="preserve">المرونة: دفعت سلطة تنظيم الاتصالات في تنزانيا أصحاب المصلحة وخاصة شركات التشغيل، إلى إجراء حوار ومنحت إطاراً مرناً لتطبيق إجراء الترخيص المتقارب. وإن كانت فترة السماح الأولية الممنوحة لمشغلي الاتصالات الحاليين للتحول إلى إطار الترخيص المتقارب تبلغ </w:t>
      </w:r>
      <w:r w:rsidR="00C476A9" w:rsidRPr="00B212B9">
        <w:rPr>
          <w:lang w:val="de-DE"/>
        </w:rPr>
        <w:t>12</w:t>
      </w:r>
      <w:r w:rsidR="00C476A9" w:rsidRPr="00B212B9">
        <w:rPr>
          <w:rFonts w:hint="cs"/>
          <w:rtl/>
        </w:rPr>
        <w:t xml:space="preserve"> شهراً، مد</w:t>
      </w:r>
      <w:r w:rsidR="00C476A9">
        <w:rPr>
          <w:rFonts w:hint="cs"/>
          <w:rtl/>
        </w:rPr>
        <w:t>ّ</w:t>
      </w:r>
      <w:r w:rsidR="00C476A9" w:rsidRPr="00B212B9">
        <w:rPr>
          <w:rFonts w:hint="cs"/>
          <w:rtl/>
        </w:rPr>
        <w:t>ت سلطة تنظيم ال</w:t>
      </w:r>
      <w:r w:rsidR="00C476A9">
        <w:rPr>
          <w:rFonts w:hint="cs"/>
          <w:rtl/>
        </w:rPr>
        <w:t xml:space="preserve">اتصالات في تنزانيا فترة السماح </w:t>
      </w:r>
      <w:r w:rsidR="00C476A9" w:rsidRPr="00B212B9">
        <w:rPr>
          <w:rFonts w:hint="cs"/>
          <w:rtl/>
        </w:rPr>
        <w:t>ستة أشهر أخرى لأن الأمر لم يكن واضحاً للمشغلين في</w:t>
      </w:r>
      <w:r w:rsidR="00C476A9">
        <w:rPr>
          <w:rFonts w:hint="cs"/>
          <w:rtl/>
        </w:rPr>
        <w:t>ما </w:t>
      </w:r>
      <w:r w:rsidR="00C476A9" w:rsidRPr="00B212B9">
        <w:rPr>
          <w:rFonts w:hint="cs"/>
          <w:rtl/>
        </w:rPr>
        <w:t xml:space="preserve">يخص الحصول على فئة الترخيص. وعقدت سلطة تنظيم الاتصالات اجتماعات عديدة مع شركات التشغيل لإحاطتهم علماً بإطار الترخيص المتقارب وشرح مزاياه لهم. بالإضافة إلى ذلك، يطلب من أصحاب الترخيص تقديم خطط التداول كتذييل بترخيصهم، وتسمح شروط الترخيص باستعراض الخطة سنوياً، مع منح صاحب الترخيص فرصة لتغيير خطط التداول لتكييفها مع التكنولوجيات والخدمات الجديدة. </w:t>
      </w:r>
    </w:p>
    <w:p w:rsidR="00C476A9" w:rsidRPr="00B212B9" w:rsidRDefault="00497E3D" w:rsidP="00C476A9">
      <w:pPr>
        <w:pStyle w:val="enumlev1"/>
        <w:rPr>
          <w:rtl/>
        </w:rPr>
      </w:pPr>
      <w:r>
        <w:sym w:font="Symbol" w:char="F0B7"/>
      </w:r>
      <w:r w:rsidR="00C476A9" w:rsidRPr="00B212B9">
        <w:rPr>
          <w:rFonts w:hint="cs"/>
          <w:rtl/>
        </w:rPr>
        <w:tab/>
        <w:t>لوائح الحوافز: ي</w:t>
      </w:r>
      <w:r w:rsidR="00C476A9">
        <w:rPr>
          <w:rFonts w:hint="cs"/>
          <w:rtl/>
        </w:rPr>
        <w:t>ُ</w:t>
      </w:r>
      <w:r w:rsidR="00C476A9" w:rsidRPr="00B212B9">
        <w:rPr>
          <w:rFonts w:hint="cs"/>
          <w:rtl/>
        </w:rPr>
        <w:t xml:space="preserve">منح المشغلون الذين ينوون التحول </w:t>
      </w:r>
      <w:r w:rsidR="00C476A9">
        <w:rPr>
          <w:rFonts w:hint="cs"/>
          <w:rtl/>
        </w:rPr>
        <w:t>حوافز</w:t>
      </w:r>
      <w:r w:rsidR="00C476A9" w:rsidRPr="00B212B9">
        <w:rPr>
          <w:rFonts w:hint="cs"/>
          <w:rtl/>
        </w:rPr>
        <w:t xml:space="preserve"> وذلك باستبعاد رسوم التطبيق ورسوم الترخيص الأولية، ومنحهم فترات ترخيص أطول - وتحديداً أن تبدأ شروط الترخيص الجديد من تاريخ إصدار الترخيص بغض النظر عن الفترة المتبقية من الترخيص القائم. </w:t>
      </w:r>
    </w:p>
    <w:p w:rsidR="00C476A9" w:rsidRPr="00B212B9" w:rsidRDefault="00497E3D" w:rsidP="00C476A9">
      <w:pPr>
        <w:pStyle w:val="enumlev1"/>
        <w:rPr>
          <w:rtl/>
        </w:rPr>
      </w:pPr>
      <w:r>
        <w:sym w:font="Symbol" w:char="F0B7"/>
      </w:r>
      <w:r w:rsidR="00C476A9" w:rsidRPr="00B212B9">
        <w:rPr>
          <w:rFonts w:hint="cs"/>
          <w:rtl/>
        </w:rPr>
        <w:tab/>
        <w:t xml:space="preserve">انخفاض سرعة نشر الشبكة المتقاربة:  وإن كان إطار الترخيص المتقارب قد أدخل منذ أربع سنوات مضت، جرى نشر الشبكات المتقاربة، خاصة شبكات الجيل التالي </w:t>
      </w:r>
      <w:r w:rsidR="00C476A9" w:rsidRPr="00B212B9">
        <w:t>NGN</w:t>
      </w:r>
      <w:r w:rsidR="00C476A9" w:rsidRPr="00B212B9">
        <w:rPr>
          <w:rFonts w:hint="cs"/>
          <w:rtl/>
        </w:rPr>
        <w:t xml:space="preserve"> ببطء. وأحد أسباب ذلك الافتقار </w:t>
      </w:r>
      <w:r w:rsidR="00C476A9">
        <w:rPr>
          <w:rFonts w:hint="cs"/>
          <w:rtl/>
        </w:rPr>
        <w:t>إلى</w:t>
      </w:r>
      <w:r w:rsidR="00C476A9" w:rsidRPr="00B212B9">
        <w:rPr>
          <w:rFonts w:hint="cs"/>
          <w:rtl/>
        </w:rPr>
        <w:t xml:space="preserve"> فهم إطار الترخيص المتقارب، وطريقة التحول إلى شبكات الجيل التالي. </w:t>
      </w:r>
    </w:p>
    <w:p w:rsidR="00C476A9" w:rsidRDefault="00C476A9" w:rsidP="00EA0AFB">
      <w:pPr>
        <w:rPr>
          <w:lang w:val="fr-CH"/>
        </w:rPr>
      </w:pPr>
      <w:r w:rsidRPr="0062241D">
        <w:rPr>
          <w:rFonts w:hint="cs"/>
          <w:rtl/>
          <w:lang w:val="fr-CH"/>
        </w:rPr>
        <w:t xml:space="preserve">واجه إطار الترخيص المتقارب </w:t>
      </w:r>
      <w:r w:rsidRPr="0062241D">
        <w:rPr>
          <w:lang w:val="en-US"/>
        </w:rPr>
        <w:t>CLF</w:t>
      </w:r>
      <w:r w:rsidRPr="0062241D">
        <w:rPr>
          <w:rFonts w:hint="cs"/>
          <w:rtl/>
          <w:lang w:val="fr-CH"/>
        </w:rPr>
        <w:t xml:space="preserve"> عدداً من التحديات ومن أكثر التحديات الحاسمة ضمان أن تكون أسعار سلع وخدمات الاتصالات محتملة مالياً وذلك لتلبية توقعات المشتركين. ومن التحديات التي واجهتها سلطة تنظيم الاتصالات في تنزانيا الحفاظ على إطار واضح وشامل وشفاف للترخيص. وختاماً، وبعد إدخال المنافسة وإطار الترخيص المتقارب، أصبح من أكثر الأمور حسماً</w:t>
      </w:r>
      <w:r>
        <w:rPr>
          <w:rFonts w:hint="cs"/>
          <w:rtl/>
          <w:lang w:val="fr-CH"/>
        </w:rPr>
        <w:t>،</w:t>
      </w:r>
      <w:r w:rsidRPr="0062241D">
        <w:rPr>
          <w:rFonts w:hint="cs"/>
          <w:rtl/>
          <w:lang w:val="fr-CH"/>
        </w:rPr>
        <w:t xml:space="preserve"> ضمان أن الطيف المخصص لأصحاب الطلبات الذين يديرون أعمالهم بطريقة سليمة وتتوفر لديهم الخطط التقنية السليمة، فضلاً عن القدرات المالية والتقنية لتوفير خدمات الاتصالات. </w:t>
      </w:r>
    </w:p>
    <w:p w:rsidR="00D96E58" w:rsidRDefault="00D96E58">
      <w:pPr>
        <w:tabs>
          <w:tab w:val="clear" w:pos="794"/>
          <w:tab w:val="clear" w:pos="1191"/>
          <w:tab w:val="clear" w:pos="1588"/>
          <w:tab w:val="clear" w:pos="1985"/>
        </w:tabs>
        <w:overflowPunct/>
        <w:autoSpaceDE/>
        <w:autoSpaceDN/>
        <w:bidi w:val="0"/>
        <w:adjustRightInd/>
        <w:spacing w:before="0" w:line="240" w:lineRule="auto"/>
        <w:jc w:val="left"/>
        <w:textAlignment w:val="auto"/>
        <w:rPr>
          <w:lang w:val="fr-CH"/>
        </w:rPr>
      </w:pPr>
      <w:r>
        <w:rPr>
          <w:lang w:val="fr-CH"/>
        </w:rPr>
        <w:br w:type="page"/>
      </w:r>
    </w:p>
    <w:p w:rsidR="00D96E58" w:rsidRPr="0062241D" w:rsidRDefault="00D96E58" w:rsidP="00D96E58">
      <w:pPr>
        <w:pBdr>
          <w:bottom w:val="single" w:sz="18" w:space="1" w:color="auto"/>
        </w:pBdr>
        <w:rPr>
          <w:lang w:val="fr-CH"/>
        </w:rPr>
      </w:pPr>
    </w:p>
    <w:p w:rsidR="00C476A9" w:rsidRPr="0062241D" w:rsidRDefault="00C476A9" w:rsidP="00C476A9">
      <w:pPr>
        <w:pStyle w:val="TableNotitle"/>
        <w:bidi/>
        <w:jc w:val="left"/>
        <w:rPr>
          <w:rtl/>
          <w:lang w:val="fr-CH"/>
        </w:rPr>
      </w:pPr>
      <w:r w:rsidRPr="0062241D">
        <w:rPr>
          <w:rFonts w:hint="cs"/>
          <w:rtl/>
          <w:lang w:val="fr-CH"/>
        </w:rPr>
        <w:t xml:space="preserve">الجدول </w:t>
      </w:r>
      <w:r w:rsidRPr="0062241D">
        <w:rPr>
          <w:lang w:val="fr-CH"/>
        </w:rPr>
        <w:t>2</w:t>
      </w:r>
      <w:r w:rsidRPr="0062241D">
        <w:rPr>
          <w:rFonts w:hint="cs"/>
          <w:rtl/>
          <w:lang w:val="fr-CH"/>
        </w:rPr>
        <w:t>: عدد التراخيص الممنوحة للمشغلين بموجب إطار الترخيص المتقارب (</w:t>
      </w:r>
      <w:r w:rsidRPr="0062241D">
        <w:rPr>
          <w:lang w:val="fr-CH"/>
        </w:rPr>
        <w:t>30</w:t>
      </w:r>
      <w:r w:rsidRPr="0062241D">
        <w:rPr>
          <w:rFonts w:hint="cs"/>
          <w:rtl/>
          <w:lang w:val="fr-CH"/>
        </w:rPr>
        <w:t xml:space="preserve"> </w:t>
      </w:r>
      <w:r w:rsidR="003D4D68">
        <w:rPr>
          <w:rFonts w:hint="cs"/>
          <w:rtl/>
          <w:lang w:val="fr-CH"/>
        </w:rPr>
        <w:t>يونيو</w:t>
      </w:r>
      <w:r w:rsidRPr="0062241D">
        <w:rPr>
          <w:rFonts w:hint="cs"/>
          <w:rtl/>
          <w:lang w:val="fr-CH"/>
        </w:rPr>
        <w:t xml:space="preserve"> </w:t>
      </w:r>
      <w:r w:rsidRPr="0062241D">
        <w:rPr>
          <w:lang w:val="fr-CH"/>
        </w:rPr>
        <w:t>2008</w:t>
      </w:r>
      <w:r w:rsidRPr="0062241D">
        <w:rPr>
          <w:rFonts w:hint="cs"/>
          <w:rtl/>
          <w:lang w:val="fr-CH"/>
        </w:rPr>
        <w:t>)</w:t>
      </w:r>
      <w:r w:rsidRPr="0062241D">
        <w:rPr>
          <w:vertAlign w:val="superscript"/>
          <w:lang w:val="de-DE"/>
        </w:rPr>
        <w:footnoteReference w:id="27"/>
      </w:r>
    </w:p>
    <w:tbl>
      <w:tblPr>
        <w:bidiVisual/>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2987"/>
        <w:gridCol w:w="2880"/>
      </w:tblGrid>
      <w:tr w:rsidR="00C476A9" w:rsidRPr="00C55B75" w:rsidTr="004B1107">
        <w:trPr>
          <w:tblHeader/>
        </w:trPr>
        <w:tc>
          <w:tcPr>
            <w:tcW w:w="674" w:type="dxa"/>
            <w:vAlign w:val="bottom"/>
          </w:tcPr>
          <w:p w:rsidR="00C476A9" w:rsidRPr="00C55B75" w:rsidRDefault="00C476A9" w:rsidP="004B1107">
            <w:pPr>
              <w:spacing w:after="120" w:line="260" w:lineRule="exact"/>
              <w:jc w:val="center"/>
              <w:rPr>
                <w:b/>
                <w:bCs/>
                <w:rtl/>
                <w:lang w:val="fr-CH"/>
              </w:rPr>
            </w:pPr>
          </w:p>
        </w:tc>
        <w:tc>
          <w:tcPr>
            <w:tcW w:w="1559" w:type="dxa"/>
            <w:vAlign w:val="bottom"/>
          </w:tcPr>
          <w:p w:rsidR="00C476A9" w:rsidRPr="00C55B75" w:rsidRDefault="00C476A9" w:rsidP="004B1107">
            <w:pPr>
              <w:spacing w:after="120" w:line="260" w:lineRule="exact"/>
              <w:jc w:val="center"/>
              <w:rPr>
                <w:b/>
                <w:bCs/>
                <w:rtl/>
                <w:lang w:val="fr-CH"/>
              </w:rPr>
            </w:pPr>
            <w:r w:rsidRPr="00C55B75">
              <w:rPr>
                <w:rFonts w:hint="cs"/>
                <w:b/>
                <w:bCs/>
                <w:rtl/>
                <w:lang w:val="fr-CH"/>
              </w:rPr>
              <w:t>نوع الترخيص</w:t>
            </w:r>
          </w:p>
        </w:tc>
        <w:tc>
          <w:tcPr>
            <w:tcW w:w="2987" w:type="dxa"/>
            <w:vAlign w:val="bottom"/>
          </w:tcPr>
          <w:p w:rsidR="00C476A9" w:rsidRPr="00C55B75" w:rsidRDefault="00C476A9" w:rsidP="004B1107">
            <w:pPr>
              <w:spacing w:after="120" w:line="260" w:lineRule="exact"/>
              <w:jc w:val="center"/>
              <w:rPr>
                <w:b/>
                <w:bCs/>
                <w:rtl/>
                <w:lang w:val="fr-CH"/>
              </w:rPr>
            </w:pPr>
            <w:r w:rsidRPr="00C55B75">
              <w:rPr>
                <w:rFonts w:hint="cs"/>
                <w:b/>
                <w:bCs/>
                <w:rtl/>
                <w:lang w:val="fr-CH"/>
              </w:rPr>
              <w:t>تقسيم السوق</w:t>
            </w:r>
          </w:p>
        </w:tc>
        <w:tc>
          <w:tcPr>
            <w:tcW w:w="2880" w:type="dxa"/>
            <w:vAlign w:val="bottom"/>
          </w:tcPr>
          <w:p w:rsidR="00C476A9" w:rsidRPr="00C55B75" w:rsidRDefault="00C476A9" w:rsidP="004B1107">
            <w:pPr>
              <w:spacing w:after="120" w:line="260" w:lineRule="exact"/>
              <w:jc w:val="center"/>
              <w:rPr>
                <w:b/>
                <w:bCs/>
                <w:rtl/>
                <w:lang w:val="fr-CH"/>
              </w:rPr>
            </w:pPr>
            <w:r w:rsidRPr="00C55B75">
              <w:rPr>
                <w:rFonts w:hint="cs"/>
                <w:b/>
                <w:bCs/>
                <w:rtl/>
                <w:lang w:val="fr-CH"/>
              </w:rPr>
              <w:t>عدد التراخيص الصادرة</w:t>
            </w:r>
          </w:p>
        </w:tc>
      </w:tr>
      <w:tr w:rsidR="00C476A9" w:rsidRPr="00C55B75" w:rsidTr="004B1107">
        <w:tc>
          <w:tcPr>
            <w:tcW w:w="674" w:type="dxa"/>
            <w:tcBorders>
              <w:bottom w:val="nil"/>
            </w:tcBorders>
            <w:vAlign w:val="bottom"/>
          </w:tcPr>
          <w:p w:rsidR="00C476A9" w:rsidRPr="00C55B75" w:rsidRDefault="00C476A9" w:rsidP="004B1107">
            <w:pPr>
              <w:spacing w:before="60" w:after="60" w:line="260" w:lineRule="exact"/>
              <w:jc w:val="center"/>
              <w:rPr>
                <w:lang w:val="fr-CH"/>
              </w:rPr>
            </w:pPr>
            <w:r w:rsidRPr="00C55B75">
              <w:rPr>
                <w:lang w:val="fr-CH"/>
              </w:rPr>
              <w:t>1</w:t>
            </w:r>
          </w:p>
        </w:tc>
        <w:tc>
          <w:tcPr>
            <w:tcW w:w="1559" w:type="dxa"/>
            <w:tcBorders>
              <w:bottom w:val="nil"/>
            </w:tcBorders>
            <w:vAlign w:val="bottom"/>
          </w:tcPr>
          <w:p w:rsidR="00C476A9" w:rsidRPr="00C55B75" w:rsidRDefault="00C476A9" w:rsidP="004B1107">
            <w:pPr>
              <w:spacing w:before="60" w:after="60" w:line="260" w:lineRule="exact"/>
              <w:rPr>
                <w:rtl/>
                <w:lang w:val="fr-CH"/>
              </w:rPr>
            </w:pPr>
            <w:r w:rsidRPr="00C55B75">
              <w:rPr>
                <w:rFonts w:hint="cs"/>
                <w:rtl/>
                <w:lang w:val="fr-CH"/>
              </w:rPr>
              <w:t>مرافق الشبكة</w:t>
            </w: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دولية</w:t>
            </w:r>
            <w:r w:rsidRPr="00C55B75">
              <w:rPr>
                <w:lang w:val="fr-CH"/>
              </w:rPr>
              <w:t xml:space="preserve"> </w:t>
            </w:r>
          </w:p>
        </w:tc>
        <w:tc>
          <w:tcPr>
            <w:tcW w:w="2880" w:type="dxa"/>
            <w:vAlign w:val="bottom"/>
          </w:tcPr>
          <w:p w:rsidR="00C476A9" w:rsidRPr="00C55B75" w:rsidRDefault="00C476A9" w:rsidP="004B1107">
            <w:pPr>
              <w:spacing w:before="60" w:after="60" w:line="260" w:lineRule="exact"/>
              <w:jc w:val="center"/>
              <w:rPr>
                <w:rtl/>
                <w:lang w:val="en-US"/>
              </w:rPr>
            </w:pPr>
            <w:r w:rsidRPr="00C55B75">
              <w:rPr>
                <w:lang w:val="fr-CH"/>
              </w:rPr>
              <w:t>4</w:t>
            </w:r>
          </w:p>
        </w:tc>
      </w:tr>
      <w:tr w:rsidR="00C476A9" w:rsidRPr="00C55B75" w:rsidTr="004B1107">
        <w:tc>
          <w:tcPr>
            <w:tcW w:w="674" w:type="dxa"/>
            <w:tcBorders>
              <w:top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وطنية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8</w:t>
            </w:r>
          </w:p>
        </w:tc>
      </w:tr>
      <w:tr w:rsidR="00C476A9" w:rsidRPr="00C55B75" w:rsidTr="004B1107">
        <w:tc>
          <w:tcPr>
            <w:tcW w:w="674" w:type="dxa"/>
            <w:tcBorders>
              <w:bottom w:val="nil"/>
            </w:tcBorders>
            <w:vAlign w:val="bottom"/>
          </w:tcPr>
          <w:p w:rsidR="00C476A9" w:rsidRPr="00C55B75" w:rsidRDefault="00C476A9" w:rsidP="004B1107">
            <w:pPr>
              <w:spacing w:before="60" w:after="60" w:line="260" w:lineRule="exact"/>
              <w:jc w:val="center"/>
              <w:rPr>
                <w:rtl/>
                <w:lang w:val="fr-CH"/>
              </w:rPr>
            </w:pPr>
            <w:r w:rsidRPr="00C55B75">
              <w:rPr>
                <w:lang w:val="fr-CH"/>
              </w:rPr>
              <w:t>2</w:t>
            </w:r>
          </w:p>
        </w:tc>
        <w:tc>
          <w:tcPr>
            <w:tcW w:w="1559" w:type="dxa"/>
            <w:tcBorders>
              <w:bottom w:val="nil"/>
            </w:tcBorders>
            <w:vAlign w:val="bottom"/>
          </w:tcPr>
          <w:p w:rsidR="00C476A9" w:rsidRPr="00C55B75" w:rsidRDefault="00C476A9" w:rsidP="004B1107">
            <w:pPr>
              <w:spacing w:before="60" w:after="60" w:line="260" w:lineRule="exact"/>
              <w:rPr>
                <w:rtl/>
                <w:lang w:val="fr-CH"/>
              </w:rPr>
            </w:pPr>
            <w:r w:rsidRPr="00C55B75">
              <w:rPr>
                <w:rFonts w:hint="cs"/>
                <w:rtl/>
                <w:lang w:val="fr-CH"/>
              </w:rPr>
              <w:t>خدمات الشبكة</w:t>
            </w: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 xml:space="preserve">دولية </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4</w:t>
            </w:r>
          </w:p>
        </w:tc>
      </w:tr>
      <w:tr w:rsidR="00C476A9" w:rsidRPr="00C55B75" w:rsidTr="004B1107">
        <w:tc>
          <w:tcPr>
            <w:tcW w:w="674" w:type="dxa"/>
            <w:tcBorders>
              <w:top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وطنية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8</w:t>
            </w:r>
          </w:p>
        </w:tc>
      </w:tr>
      <w:tr w:rsidR="00C476A9" w:rsidRPr="00C55B75" w:rsidTr="004B1107">
        <w:tc>
          <w:tcPr>
            <w:tcW w:w="674" w:type="dxa"/>
            <w:tcBorders>
              <w:bottom w:val="nil"/>
            </w:tcBorders>
            <w:vAlign w:val="bottom"/>
          </w:tcPr>
          <w:p w:rsidR="00C476A9" w:rsidRPr="00C55B75" w:rsidRDefault="00C476A9" w:rsidP="004B1107">
            <w:pPr>
              <w:spacing w:before="60" w:after="60" w:line="260" w:lineRule="exact"/>
              <w:jc w:val="center"/>
              <w:rPr>
                <w:rtl/>
                <w:lang w:val="fr-CH"/>
              </w:rPr>
            </w:pPr>
            <w:r w:rsidRPr="00C55B75">
              <w:rPr>
                <w:lang w:val="fr-CH"/>
              </w:rPr>
              <w:t>3</w:t>
            </w:r>
          </w:p>
        </w:tc>
        <w:tc>
          <w:tcPr>
            <w:tcW w:w="1559" w:type="dxa"/>
            <w:tcBorders>
              <w:bottom w:val="nil"/>
            </w:tcBorders>
            <w:vAlign w:val="bottom"/>
          </w:tcPr>
          <w:p w:rsidR="00C476A9" w:rsidRPr="00C55B75" w:rsidRDefault="00C476A9" w:rsidP="004B1107">
            <w:pPr>
              <w:spacing w:before="60" w:after="60" w:line="260" w:lineRule="exact"/>
              <w:rPr>
                <w:rtl/>
                <w:lang w:val="fr-CH"/>
              </w:rPr>
            </w:pPr>
            <w:r w:rsidRPr="00C55B75">
              <w:rPr>
                <w:rFonts w:hint="cs"/>
                <w:rtl/>
                <w:lang w:val="fr-CH"/>
              </w:rPr>
              <w:t>خدمة التطبيقات</w:t>
            </w: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دولية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12</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وطنية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41</w:t>
            </w:r>
          </w:p>
        </w:tc>
      </w:tr>
      <w:tr w:rsidR="00C476A9" w:rsidRPr="00C55B75" w:rsidTr="004B1107">
        <w:tc>
          <w:tcPr>
            <w:tcW w:w="674" w:type="dxa"/>
            <w:tcBorders>
              <w:top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إقليمية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5</w:t>
            </w:r>
          </w:p>
        </w:tc>
      </w:tr>
      <w:tr w:rsidR="00C476A9" w:rsidRPr="00C55B75" w:rsidTr="004B1107">
        <w:tc>
          <w:tcPr>
            <w:tcW w:w="674" w:type="dxa"/>
            <w:tcBorders>
              <w:bottom w:val="nil"/>
            </w:tcBorders>
            <w:vAlign w:val="bottom"/>
          </w:tcPr>
          <w:p w:rsidR="00C476A9" w:rsidRPr="00C55B75" w:rsidRDefault="00C476A9" w:rsidP="004B1107">
            <w:pPr>
              <w:spacing w:before="60" w:after="60" w:line="260" w:lineRule="exact"/>
              <w:jc w:val="center"/>
              <w:rPr>
                <w:rtl/>
                <w:lang w:val="fr-CH"/>
              </w:rPr>
            </w:pPr>
            <w:r w:rsidRPr="00C55B75">
              <w:rPr>
                <w:lang w:val="fr-CH"/>
              </w:rPr>
              <w:t>4</w:t>
            </w:r>
          </w:p>
        </w:tc>
        <w:tc>
          <w:tcPr>
            <w:tcW w:w="1559" w:type="dxa"/>
            <w:tcBorders>
              <w:bottom w:val="nil"/>
            </w:tcBorders>
            <w:vAlign w:val="bottom"/>
          </w:tcPr>
          <w:p w:rsidR="00C476A9" w:rsidRPr="00C55B75" w:rsidRDefault="00C476A9" w:rsidP="004B1107">
            <w:pPr>
              <w:spacing w:before="60" w:after="60" w:line="260" w:lineRule="exact"/>
              <w:rPr>
                <w:rtl/>
                <w:lang w:val="fr-CH"/>
              </w:rPr>
            </w:pPr>
            <w:r w:rsidRPr="00C55B75">
              <w:rPr>
                <w:rFonts w:hint="cs"/>
                <w:rtl/>
                <w:lang w:val="fr-CH"/>
              </w:rPr>
              <w:t>خدمة المحتوى</w:t>
            </w: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 xml:space="preserve">التلفزيون الوطني </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5</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الراديو الوطني</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5</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التلفزيون الإقليمي</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1</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الراديو الإقليمي</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6</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تلفزيون المقاطعات</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18</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راديو المقاطعات</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30</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تلفزيون المجتمعات المحلية</w:t>
            </w:r>
          </w:p>
        </w:tc>
        <w:tc>
          <w:tcPr>
            <w:tcW w:w="2880" w:type="dxa"/>
            <w:vAlign w:val="bottom"/>
          </w:tcPr>
          <w:p w:rsidR="00C476A9" w:rsidRPr="00C55B75" w:rsidRDefault="00C476A9" w:rsidP="004B1107">
            <w:pPr>
              <w:spacing w:before="60" w:after="60" w:line="260" w:lineRule="exact"/>
              <w:jc w:val="center"/>
              <w:rPr>
                <w:rtl/>
                <w:lang w:val="fr-CH"/>
              </w:rPr>
            </w:pPr>
            <w:r w:rsidRPr="00C55B75">
              <w:rPr>
                <w:lang w:val="fr-CH"/>
              </w:rPr>
              <w:t>0</w:t>
            </w:r>
          </w:p>
        </w:tc>
      </w:tr>
      <w:tr w:rsidR="00C476A9" w:rsidRPr="00C55B75" w:rsidTr="004B1107">
        <w:tc>
          <w:tcPr>
            <w:tcW w:w="674" w:type="dxa"/>
            <w:tcBorders>
              <w:top w:val="nil"/>
              <w:bottom w:val="nil"/>
            </w:tcBorders>
            <w:vAlign w:val="bottom"/>
          </w:tcPr>
          <w:p w:rsidR="00C476A9" w:rsidRPr="00C55B75" w:rsidRDefault="00C476A9" w:rsidP="004B1107">
            <w:pPr>
              <w:spacing w:before="60" w:after="60" w:line="260" w:lineRule="exact"/>
              <w:jc w:val="center"/>
              <w:rPr>
                <w:rtl/>
                <w:lang w:val="fr-CH"/>
              </w:rPr>
            </w:pPr>
          </w:p>
        </w:tc>
        <w:tc>
          <w:tcPr>
            <w:tcW w:w="1559" w:type="dxa"/>
            <w:tcBorders>
              <w:top w:val="nil"/>
              <w:bottom w:val="nil"/>
            </w:tcBorders>
            <w:vAlign w:val="bottom"/>
          </w:tcPr>
          <w:p w:rsidR="00C476A9" w:rsidRPr="00C55B75" w:rsidRDefault="00C476A9" w:rsidP="004B1107">
            <w:pPr>
              <w:spacing w:before="60" w:after="60" w:line="260" w:lineRule="exact"/>
              <w:rPr>
                <w:rtl/>
                <w:lang w:val="fr-CH"/>
              </w:rPr>
            </w:pPr>
          </w:p>
        </w:tc>
        <w:tc>
          <w:tcPr>
            <w:tcW w:w="2987" w:type="dxa"/>
            <w:vAlign w:val="bottom"/>
          </w:tcPr>
          <w:p w:rsidR="00C476A9" w:rsidRPr="00C55B75" w:rsidRDefault="00C476A9" w:rsidP="004B1107">
            <w:pPr>
              <w:spacing w:before="60" w:after="60" w:line="260" w:lineRule="exact"/>
              <w:rPr>
                <w:rtl/>
                <w:lang w:val="fr-CH"/>
              </w:rPr>
            </w:pPr>
            <w:r w:rsidRPr="00C55B75">
              <w:rPr>
                <w:rFonts w:hint="cs"/>
                <w:rtl/>
                <w:lang w:val="fr-CH"/>
              </w:rPr>
              <w:t>راديو المجتمعات المحلية</w:t>
            </w:r>
          </w:p>
        </w:tc>
        <w:tc>
          <w:tcPr>
            <w:tcW w:w="2880" w:type="dxa"/>
            <w:tcBorders>
              <w:bottom w:val="single" w:sz="4" w:space="0" w:color="auto"/>
            </w:tcBorders>
            <w:vAlign w:val="bottom"/>
          </w:tcPr>
          <w:p w:rsidR="00C476A9" w:rsidRPr="00C55B75" w:rsidRDefault="00C476A9" w:rsidP="004B1107">
            <w:pPr>
              <w:spacing w:before="60" w:after="60" w:line="260" w:lineRule="exact"/>
              <w:jc w:val="center"/>
              <w:rPr>
                <w:rtl/>
                <w:lang w:val="fr-CH"/>
              </w:rPr>
            </w:pPr>
            <w:r w:rsidRPr="00C55B75">
              <w:rPr>
                <w:lang w:val="fr-CH"/>
              </w:rPr>
              <w:t>2</w:t>
            </w:r>
          </w:p>
        </w:tc>
      </w:tr>
      <w:tr w:rsidR="00C476A9" w:rsidRPr="00C55B75" w:rsidTr="004B1107">
        <w:trPr>
          <w:trHeight w:val="311"/>
        </w:trPr>
        <w:tc>
          <w:tcPr>
            <w:tcW w:w="674" w:type="dxa"/>
            <w:vMerge w:val="restart"/>
            <w:tcBorders>
              <w:top w:val="nil"/>
            </w:tcBorders>
            <w:vAlign w:val="bottom"/>
          </w:tcPr>
          <w:p w:rsidR="00C476A9" w:rsidRPr="00C55B75" w:rsidRDefault="00C476A9" w:rsidP="004B1107">
            <w:pPr>
              <w:spacing w:before="60" w:after="60" w:line="260" w:lineRule="exact"/>
              <w:jc w:val="center"/>
              <w:rPr>
                <w:rtl/>
                <w:lang w:val="fr-CH"/>
              </w:rPr>
            </w:pPr>
          </w:p>
        </w:tc>
        <w:tc>
          <w:tcPr>
            <w:tcW w:w="1559" w:type="dxa"/>
            <w:vMerge w:val="restart"/>
            <w:tcBorders>
              <w:top w:val="nil"/>
            </w:tcBorders>
            <w:vAlign w:val="bottom"/>
          </w:tcPr>
          <w:p w:rsidR="00C476A9" w:rsidRPr="00C55B75" w:rsidRDefault="00C476A9" w:rsidP="004B1107">
            <w:pPr>
              <w:spacing w:before="60" w:after="60" w:line="260" w:lineRule="exact"/>
              <w:rPr>
                <w:rtl/>
                <w:lang w:val="fr-CH"/>
              </w:rPr>
            </w:pPr>
          </w:p>
        </w:tc>
        <w:tc>
          <w:tcPr>
            <w:tcW w:w="2987" w:type="dxa"/>
            <w:vMerge w:val="restart"/>
            <w:vAlign w:val="bottom"/>
          </w:tcPr>
          <w:p w:rsidR="00C476A9" w:rsidRPr="00C55B75" w:rsidRDefault="00C476A9" w:rsidP="004B1107">
            <w:pPr>
              <w:spacing w:before="60" w:after="60" w:line="260" w:lineRule="exact"/>
              <w:jc w:val="left"/>
              <w:rPr>
                <w:rtl/>
                <w:lang w:val="fr-CH"/>
              </w:rPr>
            </w:pPr>
            <w:r w:rsidRPr="00C55B75">
              <w:rPr>
                <w:rFonts w:hint="cs"/>
                <w:rtl/>
                <w:lang w:val="fr-CH"/>
              </w:rPr>
              <w:t>خدمات الدعم لخدمات المحتوى الساتلي بحسب الاشتراك</w:t>
            </w:r>
          </w:p>
        </w:tc>
        <w:tc>
          <w:tcPr>
            <w:tcW w:w="2880" w:type="dxa"/>
            <w:tcBorders>
              <w:bottom w:val="nil"/>
            </w:tcBorders>
            <w:vAlign w:val="bottom"/>
          </w:tcPr>
          <w:p w:rsidR="00C476A9" w:rsidRPr="00C55B75" w:rsidRDefault="00C476A9" w:rsidP="004B1107">
            <w:pPr>
              <w:spacing w:before="60" w:after="60" w:line="260" w:lineRule="exact"/>
              <w:jc w:val="center"/>
              <w:rPr>
                <w:rtl/>
                <w:lang w:val="fr-CH"/>
              </w:rPr>
            </w:pPr>
            <w:r w:rsidRPr="00C55B75">
              <w:rPr>
                <w:lang w:val="fr-CH"/>
              </w:rPr>
              <w:t>3</w:t>
            </w:r>
          </w:p>
        </w:tc>
      </w:tr>
      <w:tr w:rsidR="00C476A9" w:rsidRPr="00C55B75" w:rsidTr="004B1107">
        <w:trPr>
          <w:trHeight w:val="311"/>
        </w:trPr>
        <w:tc>
          <w:tcPr>
            <w:tcW w:w="674" w:type="dxa"/>
            <w:vMerge/>
            <w:vAlign w:val="bottom"/>
          </w:tcPr>
          <w:p w:rsidR="00C476A9" w:rsidRPr="00C55B75" w:rsidRDefault="00C476A9" w:rsidP="004B1107">
            <w:pPr>
              <w:spacing w:before="60" w:after="60" w:line="260" w:lineRule="exact"/>
              <w:jc w:val="center"/>
              <w:rPr>
                <w:rtl/>
                <w:lang w:val="fr-CH"/>
              </w:rPr>
            </w:pPr>
          </w:p>
        </w:tc>
        <w:tc>
          <w:tcPr>
            <w:tcW w:w="1559" w:type="dxa"/>
            <w:vMerge/>
            <w:vAlign w:val="bottom"/>
          </w:tcPr>
          <w:p w:rsidR="00C476A9" w:rsidRPr="00C55B75" w:rsidRDefault="00C476A9" w:rsidP="004B1107">
            <w:pPr>
              <w:spacing w:before="60" w:after="60" w:line="260" w:lineRule="exact"/>
              <w:rPr>
                <w:rtl/>
                <w:lang w:val="fr-CH"/>
              </w:rPr>
            </w:pPr>
          </w:p>
        </w:tc>
        <w:tc>
          <w:tcPr>
            <w:tcW w:w="2987" w:type="dxa"/>
            <w:vMerge/>
            <w:vAlign w:val="bottom"/>
          </w:tcPr>
          <w:p w:rsidR="00C476A9" w:rsidRPr="00C55B75" w:rsidRDefault="00C476A9" w:rsidP="004B1107">
            <w:pPr>
              <w:spacing w:before="60" w:after="60" w:line="260" w:lineRule="exact"/>
              <w:rPr>
                <w:rtl/>
                <w:lang w:val="fr-CH"/>
              </w:rPr>
            </w:pPr>
          </w:p>
        </w:tc>
        <w:tc>
          <w:tcPr>
            <w:tcW w:w="2880" w:type="dxa"/>
            <w:tcBorders>
              <w:top w:val="nil"/>
            </w:tcBorders>
            <w:vAlign w:val="bottom"/>
          </w:tcPr>
          <w:p w:rsidR="00C476A9" w:rsidRPr="00C55B75" w:rsidRDefault="00C476A9" w:rsidP="004B1107">
            <w:pPr>
              <w:spacing w:before="60" w:after="60" w:line="260" w:lineRule="exact"/>
              <w:jc w:val="center"/>
              <w:rPr>
                <w:lang w:val="fr-CH"/>
              </w:rPr>
            </w:pPr>
          </w:p>
        </w:tc>
      </w:tr>
    </w:tbl>
    <w:p w:rsidR="00C476A9" w:rsidRDefault="00C476A9" w:rsidP="00502460">
      <w:pPr>
        <w:pBdr>
          <w:bottom w:val="single" w:sz="18" w:space="1" w:color="auto"/>
        </w:pBdr>
        <w:rPr>
          <w:rtl/>
          <w:lang w:val="fr-CH"/>
        </w:rPr>
      </w:pPr>
    </w:p>
    <w:p w:rsidR="00C476A9" w:rsidRPr="0062241D" w:rsidRDefault="00C476A9" w:rsidP="00C476A9">
      <w:pPr>
        <w:pStyle w:val="Heading3"/>
        <w:rPr>
          <w:rtl/>
          <w:lang w:val="fr-CH"/>
        </w:rPr>
      </w:pPr>
      <w:bookmarkStart w:id="21" w:name="_Toc259454313"/>
      <w:r w:rsidRPr="0062241D">
        <w:rPr>
          <w:lang w:val="fr-CH"/>
        </w:rPr>
        <w:t>7.1.4</w:t>
      </w:r>
      <w:r w:rsidRPr="0062241D">
        <w:rPr>
          <w:rFonts w:hint="cs"/>
          <w:rtl/>
          <w:lang w:val="fr-CH"/>
        </w:rPr>
        <w:tab/>
        <w:t>المملكة المتحدة</w:t>
      </w:r>
      <w:r w:rsidRPr="0062241D">
        <w:rPr>
          <w:vertAlign w:val="superscript"/>
          <w:lang w:val="de-DE"/>
        </w:rPr>
        <w:footnoteReference w:id="28"/>
      </w:r>
      <w:bookmarkEnd w:id="21"/>
    </w:p>
    <w:p w:rsidR="00C476A9" w:rsidRPr="0062241D" w:rsidRDefault="00C476A9" w:rsidP="00C476A9">
      <w:pPr>
        <w:rPr>
          <w:rtl/>
          <w:lang w:val="fr-CH"/>
        </w:rPr>
      </w:pPr>
      <w:r w:rsidRPr="0062241D">
        <w:rPr>
          <w:rFonts w:hint="cs"/>
          <w:rtl/>
          <w:lang w:val="fr-CH"/>
        </w:rPr>
        <w:t xml:space="preserve">بغية إعداد المملكة المتحدة لمواجهة تحديات الاتصالات المتقاربة بين تكنولوجيا المعلومات والتكنولوجيات الإذاعية، أصدرت الحكومة قانون الاتصالات لعام </w:t>
      </w:r>
      <w:r w:rsidRPr="0062241D">
        <w:rPr>
          <w:lang w:val="fr-CH"/>
        </w:rPr>
        <w:t>2003</w:t>
      </w:r>
      <w:r w:rsidRPr="0062241D">
        <w:rPr>
          <w:rFonts w:hint="cs"/>
          <w:rtl/>
          <w:lang w:val="fr-CH"/>
        </w:rPr>
        <w:t>. ويتناول القانون تقارب الاتصالات والإذاعة وذلك بإجراء إصلاحات في الأطر التنظيمية، ب</w:t>
      </w:r>
      <w:r>
        <w:rPr>
          <w:rFonts w:hint="cs"/>
          <w:rtl/>
          <w:lang w:val="fr-CH"/>
        </w:rPr>
        <w:t>ما </w:t>
      </w:r>
      <w:r w:rsidRPr="0062241D">
        <w:rPr>
          <w:rFonts w:hint="cs"/>
          <w:rtl/>
          <w:lang w:val="fr-CH"/>
        </w:rPr>
        <w:t xml:space="preserve">في ذلك إدخال نظام المنظم الوحيد لقطاع الاتصالات الإلكترونية بأسره. ويسعى القانون إلى استنباط إطار يصمد للمستقبل وذلك باستحداث مُنظم يتعاون مع أصحاب المصلحة ويتوافق مع تزايد الخدمات المتقاربة في الاتصالات والإذاعة. وينص القانون على </w:t>
      </w:r>
      <w:r>
        <w:rPr>
          <w:rFonts w:hint="cs"/>
          <w:rtl/>
          <w:lang w:val="fr-CH"/>
        </w:rPr>
        <w:t>ما </w:t>
      </w:r>
      <w:r w:rsidRPr="0062241D">
        <w:rPr>
          <w:rFonts w:hint="cs"/>
          <w:rtl/>
          <w:lang w:val="fr-CH"/>
        </w:rPr>
        <w:t xml:space="preserve">يلي: </w:t>
      </w:r>
    </w:p>
    <w:p w:rsidR="00C476A9" w:rsidRPr="0062241D" w:rsidRDefault="00497E3D" w:rsidP="00502460">
      <w:pPr>
        <w:pStyle w:val="enumlev1"/>
        <w:rPr>
          <w:rtl/>
        </w:rPr>
      </w:pPr>
      <w:r>
        <w:sym w:font="Symbol" w:char="F0B7"/>
      </w:r>
      <w:r w:rsidR="00C476A9" w:rsidRPr="0062241D">
        <w:rPr>
          <w:rFonts w:hint="cs"/>
          <w:rtl/>
        </w:rPr>
        <w:tab/>
        <w:t xml:space="preserve">مكتب الاتصالات </w:t>
      </w:r>
      <w:r w:rsidR="00C476A9" w:rsidRPr="0062241D">
        <w:rPr>
          <w:lang w:val="de-DE"/>
        </w:rPr>
        <w:t>(Ofcom)</w:t>
      </w:r>
      <w:r w:rsidR="00C476A9" w:rsidRPr="0062241D">
        <w:rPr>
          <w:rFonts w:hint="cs"/>
          <w:rtl/>
        </w:rPr>
        <w:t>، المنظم الوحيد الذي يشمل أدوار الهيئات التنظيمية الخمس السابقة (</w:t>
      </w:r>
      <w:r w:rsidR="00C476A9" w:rsidRPr="0062241D">
        <w:rPr>
          <w:lang w:val="de-DE"/>
        </w:rPr>
        <w:t>Oftel</w:t>
      </w:r>
      <w:r w:rsidR="00C476A9" w:rsidRPr="0062241D">
        <w:rPr>
          <w:rFonts w:hint="cs"/>
          <w:rtl/>
        </w:rPr>
        <w:t xml:space="preserve">، لجنة </w:t>
      </w:r>
      <w:r w:rsidR="00C476A9">
        <w:rPr>
          <w:rFonts w:hint="cs"/>
          <w:rtl/>
        </w:rPr>
        <w:t>التلفزيون</w:t>
      </w:r>
      <w:r w:rsidR="00C476A9" w:rsidRPr="0062241D">
        <w:rPr>
          <w:rFonts w:hint="cs"/>
          <w:rtl/>
        </w:rPr>
        <w:t xml:space="preserve"> المستقلة، وكالة الاتصالات الراديوية، هيئة الراديو، لجنة المعايير </w:t>
      </w:r>
      <w:r w:rsidR="00C476A9" w:rsidRPr="00B57FC4">
        <w:rPr>
          <w:rFonts w:hint="cs"/>
          <w:rtl/>
        </w:rPr>
        <w:t>الراديوية</w:t>
      </w:r>
      <w:r w:rsidR="00C476A9" w:rsidRPr="0062241D">
        <w:rPr>
          <w:rFonts w:hint="cs"/>
          <w:rtl/>
        </w:rPr>
        <w:t>).</w:t>
      </w:r>
    </w:p>
    <w:p w:rsidR="00C476A9" w:rsidRPr="0062241D" w:rsidRDefault="00497E3D" w:rsidP="00502460">
      <w:pPr>
        <w:pStyle w:val="enumlev1"/>
        <w:rPr>
          <w:rtl/>
        </w:rPr>
      </w:pPr>
      <w:r>
        <w:sym w:font="Symbol" w:char="F0B7"/>
      </w:r>
      <w:r w:rsidR="00C476A9" w:rsidRPr="0062241D">
        <w:rPr>
          <w:rFonts w:hint="cs"/>
          <w:rtl/>
        </w:rPr>
        <w:tab/>
        <w:t xml:space="preserve">تطبق </w:t>
      </w:r>
      <w:r w:rsidR="00C476A9" w:rsidRPr="0062241D">
        <w:rPr>
          <w:lang w:val="de-DE"/>
        </w:rPr>
        <w:t>Ofcom</w:t>
      </w:r>
      <w:r w:rsidR="00C476A9" w:rsidRPr="0062241D">
        <w:rPr>
          <w:rFonts w:hint="cs"/>
          <w:rtl/>
        </w:rPr>
        <w:t xml:space="preserve"> سلطات قانون المنافسة وغيره من قوانين المنافسة على قطاع الاتصالات.   </w:t>
      </w:r>
    </w:p>
    <w:p w:rsidR="00C476A9" w:rsidRPr="00A97CC4" w:rsidRDefault="00497E3D" w:rsidP="00502460">
      <w:pPr>
        <w:pStyle w:val="enumlev1"/>
        <w:rPr>
          <w:rtl/>
        </w:rPr>
      </w:pPr>
      <w:r>
        <w:sym w:font="Symbol" w:char="F0B7"/>
      </w:r>
      <w:r w:rsidR="00C476A9" w:rsidRPr="00A97CC4">
        <w:rPr>
          <w:rFonts w:hint="cs"/>
          <w:rtl/>
        </w:rPr>
        <w:tab/>
        <w:t>حرية الوافدين الجدد في توفير شبكات الاتصالات وخدماتها دون أن يتطلب الأمر التقدم بطلب للحصول على ترخيص.</w:t>
      </w:r>
    </w:p>
    <w:p w:rsidR="00C476A9" w:rsidRPr="0062241D" w:rsidRDefault="00497E3D" w:rsidP="00502460">
      <w:pPr>
        <w:pStyle w:val="enumlev1"/>
        <w:rPr>
          <w:rtl/>
        </w:rPr>
      </w:pPr>
      <w:r>
        <w:sym w:font="Symbol" w:char="F0B7"/>
      </w:r>
      <w:r w:rsidR="00C476A9" w:rsidRPr="0062241D">
        <w:rPr>
          <w:rFonts w:hint="cs"/>
          <w:rtl/>
        </w:rPr>
        <w:tab/>
        <w:t>تبادل الطيف الراديوي.</w:t>
      </w:r>
    </w:p>
    <w:p w:rsidR="00C476A9" w:rsidRPr="0062241D" w:rsidRDefault="00497E3D" w:rsidP="00502460">
      <w:pPr>
        <w:pStyle w:val="enumlev1"/>
        <w:rPr>
          <w:rtl/>
        </w:rPr>
      </w:pPr>
      <w:r>
        <w:lastRenderedPageBreak/>
        <w:sym w:font="Symbol" w:char="F0B7"/>
      </w:r>
      <w:r w:rsidR="00C476A9" w:rsidRPr="0062241D">
        <w:rPr>
          <w:rFonts w:hint="cs"/>
          <w:rtl/>
        </w:rPr>
        <w:tab/>
        <w:t xml:space="preserve">نظام جديد وأكثر تماسكاً لتنظيم الإذاعة. </w:t>
      </w:r>
    </w:p>
    <w:p w:rsidR="00C476A9" w:rsidRPr="0062241D" w:rsidRDefault="00497E3D" w:rsidP="00502460">
      <w:pPr>
        <w:pStyle w:val="enumlev1"/>
        <w:rPr>
          <w:rtl/>
        </w:rPr>
      </w:pPr>
      <w:r>
        <w:sym w:font="Symbol" w:char="F0B7"/>
      </w:r>
      <w:r w:rsidR="00C476A9" w:rsidRPr="0062241D">
        <w:rPr>
          <w:rFonts w:hint="cs"/>
          <w:rtl/>
        </w:rPr>
        <w:tab/>
        <w:t xml:space="preserve">مزيد من الحرية لهيئات الخدمة الإذاعية العمومية في تنظيم نفسها. </w:t>
      </w:r>
    </w:p>
    <w:p w:rsidR="00C476A9" w:rsidRPr="006C6B4F" w:rsidRDefault="00C476A9" w:rsidP="00502460">
      <w:pPr>
        <w:rPr>
          <w:rtl/>
          <w:lang w:val="fr-CH"/>
        </w:rPr>
      </w:pPr>
      <w:r w:rsidRPr="006C6B4F">
        <w:rPr>
          <w:rFonts w:hint="cs"/>
          <w:rtl/>
          <w:lang w:val="fr-CH"/>
        </w:rPr>
        <w:t xml:space="preserve">واستكمالاً لسياسات التبادل وسياسات التحرير، تتابع المملكة المتحدة آليات السوق في إدارة الطيف وذلك بجعل منح التراخيص أكثر مرونة بتحرير شروط الترخيص للسماح لأصحاب التراخيص بتغيير الاستعمال بدون تقديم طلب للمنظم. ويعمل مكتب الاتصالات في مجال تعريف التراخيص بحيث تكون مرنة ومحايدة تكنولوجياً وتحمي في الحين ذاته التراخيص الأخرى من التدخلات. </w:t>
      </w:r>
    </w:p>
    <w:p w:rsidR="00C476A9" w:rsidRPr="0062241D" w:rsidRDefault="00C476A9" w:rsidP="00502460">
      <w:pPr>
        <w:rPr>
          <w:rtl/>
          <w:lang w:val="fr-CH"/>
        </w:rPr>
      </w:pPr>
      <w:r w:rsidRPr="0062241D">
        <w:rPr>
          <w:rFonts w:hint="cs"/>
          <w:rtl/>
          <w:lang w:val="fr-CH"/>
        </w:rPr>
        <w:t>وكمنظم خفيف الوطأة، يسعى مكتب الاتصالات إلى الابتعاد عن الإدارة المركزية وزيادة استعمال أسلوب الإعفاء من التر</w:t>
      </w:r>
      <w:r>
        <w:rPr>
          <w:rFonts w:hint="cs"/>
          <w:rtl/>
          <w:lang w:val="fr-CH"/>
        </w:rPr>
        <w:t>ا</w:t>
      </w:r>
      <w:r w:rsidRPr="0062241D">
        <w:rPr>
          <w:rFonts w:hint="cs"/>
          <w:rtl/>
          <w:lang w:val="fr-CH"/>
        </w:rPr>
        <w:t>خيص. وتجرى دراسة دقيقة للإعفاء من التر</w:t>
      </w:r>
      <w:r>
        <w:rPr>
          <w:rFonts w:hint="cs"/>
          <w:rtl/>
          <w:lang w:val="fr-CH"/>
        </w:rPr>
        <w:t>ا</w:t>
      </w:r>
      <w:r w:rsidRPr="0062241D">
        <w:rPr>
          <w:rFonts w:hint="cs"/>
          <w:rtl/>
          <w:lang w:val="fr-CH"/>
        </w:rPr>
        <w:t>خيص وخاصة للأجهزة منخفضة القدرة وسيطبق كل</w:t>
      </w:r>
      <w:r>
        <w:rPr>
          <w:rFonts w:hint="cs"/>
          <w:rtl/>
          <w:lang w:val="fr-CH"/>
        </w:rPr>
        <w:t>ما </w:t>
      </w:r>
      <w:r w:rsidRPr="0062241D">
        <w:rPr>
          <w:rFonts w:hint="cs"/>
          <w:rtl/>
          <w:lang w:val="fr-CH"/>
        </w:rPr>
        <w:t xml:space="preserve">كان ذلك عملياً إذ إنه مجال رئيسي للابتكار والنمو. </w:t>
      </w:r>
    </w:p>
    <w:p w:rsidR="00C476A9" w:rsidRPr="0062241D" w:rsidRDefault="00C476A9" w:rsidP="00C476A9">
      <w:pPr>
        <w:pStyle w:val="Heading2"/>
        <w:rPr>
          <w:rtl/>
          <w:lang w:val="fr-CH"/>
        </w:rPr>
      </w:pPr>
      <w:bookmarkStart w:id="22" w:name="_Toc259454314"/>
      <w:r w:rsidRPr="0062241D">
        <w:rPr>
          <w:lang w:val="fr-CH"/>
        </w:rPr>
        <w:t>2.4</w:t>
      </w:r>
      <w:r w:rsidRPr="0062241D">
        <w:rPr>
          <w:rFonts w:hint="cs"/>
          <w:rtl/>
          <w:lang w:val="fr-CH"/>
        </w:rPr>
        <w:tab/>
        <w:t>الخطط المستقبلية للترخيص المتقارب</w:t>
      </w:r>
      <w:bookmarkEnd w:id="22"/>
      <w:r w:rsidRPr="0062241D">
        <w:rPr>
          <w:rFonts w:hint="cs"/>
          <w:rtl/>
          <w:lang w:val="fr-CH"/>
        </w:rPr>
        <w:t xml:space="preserve"> </w:t>
      </w:r>
    </w:p>
    <w:p w:rsidR="00C476A9" w:rsidRPr="0062241D" w:rsidRDefault="00C476A9" w:rsidP="00C476A9">
      <w:pPr>
        <w:pStyle w:val="Heading3"/>
        <w:rPr>
          <w:rtl/>
          <w:lang w:val="fr-CH"/>
        </w:rPr>
      </w:pPr>
      <w:bookmarkStart w:id="23" w:name="_Toc259454315"/>
      <w:r w:rsidRPr="0062241D">
        <w:rPr>
          <w:lang w:val="fr-CH"/>
        </w:rPr>
        <w:t>1.2.4</w:t>
      </w:r>
      <w:r w:rsidRPr="0062241D">
        <w:rPr>
          <w:rFonts w:hint="cs"/>
          <w:rtl/>
          <w:lang w:val="fr-CH"/>
        </w:rPr>
        <w:tab/>
        <w:t>بنغلاديش</w:t>
      </w:r>
      <w:bookmarkEnd w:id="23"/>
      <w:r w:rsidRPr="0062241D">
        <w:rPr>
          <w:rFonts w:hint="cs"/>
          <w:rtl/>
          <w:lang w:val="fr-CH"/>
        </w:rPr>
        <w:t xml:space="preserve"> </w:t>
      </w:r>
    </w:p>
    <w:p w:rsidR="00C476A9" w:rsidRPr="0062241D" w:rsidRDefault="00C476A9" w:rsidP="00502460">
      <w:pPr>
        <w:rPr>
          <w:lang w:val="fr-CH"/>
        </w:rPr>
      </w:pPr>
      <w:r w:rsidRPr="0062241D">
        <w:rPr>
          <w:rFonts w:hint="cs"/>
          <w:rtl/>
          <w:lang w:val="fr-CH"/>
        </w:rPr>
        <w:t>وفقاً لمساهمة بنغلاديش المقدمة إلى فريق المقرر</w:t>
      </w:r>
      <w:r w:rsidRPr="0062241D">
        <w:rPr>
          <w:vertAlign w:val="superscript"/>
          <w:lang w:val="de-DE"/>
        </w:rPr>
        <w:footnoteReference w:id="29"/>
      </w:r>
      <w:r w:rsidRPr="0062241D">
        <w:rPr>
          <w:rFonts w:hint="cs"/>
          <w:rtl/>
          <w:lang w:val="fr-CH"/>
        </w:rPr>
        <w:t>، تخطط بنغلاديش للتحول إلى نظام محايد تكنولوجيا</w:t>
      </w:r>
      <w:r>
        <w:rPr>
          <w:rFonts w:hint="cs"/>
          <w:rtl/>
          <w:lang w:val="fr-CH"/>
        </w:rPr>
        <w:t>ً</w:t>
      </w:r>
      <w:r w:rsidRPr="0062241D">
        <w:rPr>
          <w:rFonts w:hint="cs"/>
          <w:rtl/>
          <w:lang w:val="fr-CH"/>
        </w:rPr>
        <w:t xml:space="preserve"> ونظام ترخيص محايد على مستوى الخدمة في عام </w:t>
      </w:r>
      <w:r w:rsidRPr="0062241D">
        <w:rPr>
          <w:lang w:val="fr-CH"/>
        </w:rPr>
        <w:t>2011</w:t>
      </w:r>
      <w:r w:rsidRPr="0062241D">
        <w:rPr>
          <w:rFonts w:hint="cs"/>
          <w:rtl/>
          <w:lang w:val="fr-CH"/>
        </w:rPr>
        <w:t>، م</w:t>
      </w:r>
      <w:r>
        <w:rPr>
          <w:rFonts w:hint="cs"/>
          <w:rtl/>
          <w:lang w:val="fr-CH"/>
        </w:rPr>
        <w:t>ما </w:t>
      </w:r>
      <w:r w:rsidRPr="0062241D">
        <w:rPr>
          <w:rFonts w:hint="cs"/>
          <w:rtl/>
          <w:lang w:val="fr-CH"/>
        </w:rPr>
        <w:t xml:space="preserve">يسمح للمشغلين بإدراج تطورات تكنولوجية جديدة وأن يكونوا أكثر مرونة وابتكاراً في تطوير خدمات الاتصالات. وليس لدى لجنة تنظيم الاتصالات في بنغلاديش أي خطط حالياً لإصدار تراخيص متقاربة، لكنها ستنظر في التقارب من أجل نظام ترخيص جديد في المستقبل. وفي غضون ذلك، ستتطلع بنغلاديش إلى الاتحاد الدولي للاتصالات للحصول على توجيهات للتحول السلس من نظام الترخيص القائم إلى نظام ترخيص متقارب. </w:t>
      </w:r>
    </w:p>
    <w:p w:rsidR="00C476A9" w:rsidRPr="0062241D" w:rsidRDefault="00C476A9" w:rsidP="00C476A9">
      <w:pPr>
        <w:pStyle w:val="Heading3"/>
        <w:rPr>
          <w:rtl/>
          <w:lang w:val="fr-CH"/>
        </w:rPr>
      </w:pPr>
      <w:bookmarkStart w:id="24" w:name="_Toc259454316"/>
      <w:r w:rsidRPr="0062241D">
        <w:rPr>
          <w:lang w:val="fr-CH"/>
        </w:rPr>
        <w:t>2.2.4</w:t>
      </w:r>
      <w:r w:rsidRPr="0062241D">
        <w:rPr>
          <w:rFonts w:hint="cs"/>
          <w:rtl/>
          <w:lang w:val="fr-CH"/>
        </w:rPr>
        <w:tab/>
        <w:t>الكاميرون</w:t>
      </w:r>
      <w:r w:rsidRPr="0062241D">
        <w:rPr>
          <w:lang w:val="fr-CH"/>
        </w:rPr>
        <w:t xml:space="preserve"> </w:t>
      </w:r>
      <w:r w:rsidRPr="0062241D">
        <w:rPr>
          <w:vertAlign w:val="superscript"/>
          <w:lang w:val="de-DE"/>
        </w:rPr>
        <w:footnoteReference w:id="30"/>
      </w:r>
      <w:bookmarkEnd w:id="24"/>
    </w:p>
    <w:p w:rsidR="00C476A9" w:rsidRPr="0062241D" w:rsidRDefault="00C476A9" w:rsidP="00C476A9">
      <w:pPr>
        <w:rPr>
          <w:lang w:val="fr-CH"/>
        </w:rPr>
      </w:pPr>
      <w:r w:rsidRPr="0062241D">
        <w:rPr>
          <w:rFonts w:hint="cs"/>
          <w:rtl/>
          <w:lang w:val="fr-CH"/>
        </w:rPr>
        <w:t xml:space="preserve">تقر حكومة الكاميرون بأنه يجب </w:t>
      </w:r>
      <w:r>
        <w:rPr>
          <w:rFonts w:hint="cs"/>
          <w:rtl/>
          <w:lang w:val="fr-CH"/>
        </w:rPr>
        <w:t>مراجعة</w:t>
      </w:r>
      <w:r w:rsidRPr="0062241D">
        <w:rPr>
          <w:rFonts w:hint="cs"/>
          <w:rtl/>
          <w:lang w:val="fr-CH"/>
        </w:rPr>
        <w:t xml:space="preserve"> قوانين ولوائح اتصالاتها بحيث تتكيف مع التكنولوجيات المتقاربة وأن تعزز هذه التكنولوجيات. وستتطلب مثل هذه الإصلاحات تعاون الوزارات والوكالات المختلفة، ب</w:t>
      </w:r>
      <w:r>
        <w:rPr>
          <w:rFonts w:hint="cs"/>
          <w:rtl/>
          <w:lang w:val="fr-CH"/>
        </w:rPr>
        <w:t>ما </w:t>
      </w:r>
      <w:r w:rsidRPr="0062241D">
        <w:rPr>
          <w:rFonts w:hint="cs"/>
          <w:rtl/>
          <w:lang w:val="fr-CH"/>
        </w:rPr>
        <w:t xml:space="preserve">في ذلك وزارة البريد والاتصالات </w:t>
      </w:r>
      <w:r w:rsidRPr="0062241D">
        <w:rPr>
          <w:lang w:val="fr-CH"/>
        </w:rPr>
        <w:t>(MINPOSTEL)</w:t>
      </w:r>
      <w:r w:rsidRPr="0062241D">
        <w:rPr>
          <w:rFonts w:hint="cs"/>
          <w:rtl/>
          <w:lang w:val="fr-CH"/>
        </w:rPr>
        <w:t xml:space="preserve">، ووزارة الاتصالات </w:t>
      </w:r>
      <w:r w:rsidRPr="0062241D">
        <w:rPr>
          <w:lang w:val="fr-CH"/>
        </w:rPr>
        <w:t>(MINCOM)</w:t>
      </w:r>
      <w:r w:rsidRPr="0062241D">
        <w:rPr>
          <w:rFonts w:hint="cs"/>
          <w:rtl/>
          <w:lang w:val="fr-CH"/>
        </w:rPr>
        <w:t xml:space="preserve">، ووكالة تنظيم الاتصالات </w:t>
      </w:r>
      <w:r w:rsidRPr="0062241D">
        <w:rPr>
          <w:lang w:val="fr-CH"/>
        </w:rPr>
        <w:t>(ART)</w:t>
      </w:r>
      <w:r w:rsidRPr="0062241D">
        <w:rPr>
          <w:rFonts w:hint="cs"/>
          <w:rtl/>
          <w:lang w:val="fr-CH"/>
        </w:rPr>
        <w:t xml:space="preserve">، والوكالة الوطنية لتكنولوجيا المعلومات والاتصالات </w:t>
      </w:r>
      <w:r w:rsidRPr="0062241D">
        <w:rPr>
          <w:lang w:val="fr-CH"/>
        </w:rPr>
        <w:t>(ANTIC)</w:t>
      </w:r>
      <w:r w:rsidRPr="0062241D">
        <w:rPr>
          <w:rFonts w:hint="cs"/>
          <w:rtl/>
          <w:lang w:val="fr-CH"/>
        </w:rPr>
        <w:t xml:space="preserve"> والمجلس الوطني للاتصالات </w:t>
      </w:r>
      <w:r w:rsidRPr="0062241D">
        <w:rPr>
          <w:lang w:val="fr-CH"/>
        </w:rPr>
        <w:t>(CNC)</w:t>
      </w:r>
      <w:r w:rsidRPr="0062241D">
        <w:rPr>
          <w:rFonts w:hint="cs"/>
          <w:rtl/>
          <w:lang w:val="fr-CH"/>
        </w:rPr>
        <w:t xml:space="preserve">. ويجب على الكاميرون أن يوفق أطره ولوائحه القانونية مع الجماعة الاقتصادية والمالية لدول </w:t>
      </w:r>
      <w:r>
        <w:rPr>
          <w:rFonts w:hint="cs"/>
          <w:rtl/>
          <w:lang w:val="fr-CH"/>
        </w:rPr>
        <w:t>إفريقيا</w:t>
      </w:r>
      <w:r w:rsidRPr="0062241D">
        <w:rPr>
          <w:rFonts w:hint="cs"/>
          <w:rtl/>
          <w:lang w:val="fr-CH"/>
        </w:rPr>
        <w:t xml:space="preserve"> الوسطى </w:t>
      </w:r>
      <w:r w:rsidRPr="0062241D">
        <w:rPr>
          <w:lang w:val="fr-CH"/>
        </w:rPr>
        <w:t>(CEMAC)</w:t>
      </w:r>
      <w:r w:rsidRPr="0062241D">
        <w:rPr>
          <w:rFonts w:hint="cs"/>
          <w:rtl/>
          <w:lang w:val="fr-CH"/>
        </w:rPr>
        <w:t xml:space="preserve">. </w:t>
      </w:r>
    </w:p>
    <w:p w:rsidR="00C476A9" w:rsidRPr="006C6B4F" w:rsidRDefault="00C476A9" w:rsidP="00502460">
      <w:pPr>
        <w:rPr>
          <w:rtl/>
          <w:lang w:val="fr-CH"/>
        </w:rPr>
      </w:pPr>
      <w:r w:rsidRPr="006C6B4F">
        <w:rPr>
          <w:rFonts w:hint="cs"/>
          <w:rtl/>
          <w:lang w:val="fr-CH"/>
        </w:rPr>
        <w:t xml:space="preserve">بدأت مع صدور قانون الاتصالات لعام </w:t>
      </w:r>
      <w:r w:rsidRPr="006C6B4F">
        <w:rPr>
          <w:lang w:val="fr-CH"/>
        </w:rPr>
        <w:t>1998</w:t>
      </w:r>
      <w:r w:rsidRPr="006C6B4F">
        <w:rPr>
          <w:rFonts w:hint="cs"/>
          <w:rtl/>
          <w:lang w:val="fr-CH"/>
        </w:rPr>
        <w:t xml:space="preserve"> عملية التحرير في الكاميرون مع إنشاء وكالة تنظيم لاتصالات </w:t>
      </w:r>
      <w:r w:rsidRPr="006C6B4F">
        <w:rPr>
          <w:lang w:val="fr-CH"/>
        </w:rPr>
        <w:t>(ART)</w:t>
      </w:r>
      <w:r w:rsidRPr="006C6B4F">
        <w:rPr>
          <w:rFonts w:hint="cs"/>
          <w:rtl/>
          <w:lang w:val="fr-CH"/>
        </w:rPr>
        <w:t xml:space="preserve"> باعتبارها وكالة مستقلة مسؤولة عن تنظيم قطاع الاتصالات ومراقبته، بما في ذلك إدارة الترددات الراديوية للاتصالات</w:t>
      </w:r>
      <w:r w:rsidRPr="006C6B4F">
        <w:rPr>
          <w:vertAlign w:val="superscript"/>
          <w:lang w:val="de-DE"/>
        </w:rPr>
        <w:footnoteReference w:id="31"/>
      </w:r>
      <w:r w:rsidRPr="006C6B4F">
        <w:rPr>
          <w:rFonts w:hint="cs"/>
          <w:rtl/>
          <w:lang w:val="fr-CH"/>
        </w:rPr>
        <w:t xml:space="preserve">. وإن كانت وكالة تنظيم الاتصالات </w:t>
      </w:r>
      <w:r w:rsidRPr="006C6B4F">
        <w:rPr>
          <w:lang w:val="fr-CH"/>
        </w:rPr>
        <w:t>ART</w:t>
      </w:r>
      <w:r w:rsidRPr="006C6B4F">
        <w:rPr>
          <w:rFonts w:hint="cs"/>
          <w:rtl/>
          <w:lang w:val="fr-CH"/>
        </w:rPr>
        <w:t xml:space="preserve"> تدير الترددات الراديوية للاتصالات، إلا أنها لا تملك سلطة تنظيم الطيف. وبدلاً من ذلك، تحتفظ وزارة البريد والاتصالات بسلطة تنظيم الطيف من أجل الاتصالات في حين منحت وزارة الاتصالات سلطة تنظيم الطيف الإذاعي. </w:t>
      </w:r>
    </w:p>
    <w:p w:rsidR="00C476A9" w:rsidRPr="006C6B4F" w:rsidRDefault="00C476A9" w:rsidP="00502460">
      <w:pPr>
        <w:rPr>
          <w:rtl/>
          <w:lang w:val="fr-CH"/>
        </w:rPr>
      </w:pPr>
      <w:r w:rsidRPr="006C6B4F">
        <w:rPr>
          <w:rFonts w:hint="cs"/>
          <w:rtl/>
          <w:lang w:val="fr-CH"/>
        </w:rPr>
        <w:t xml:space="preserve">ويرد نظام الترخيص في قانون الاتصالات في الكاميرون، وينص القانون على ثلاث فئات: الامتيازات، التخويلات والإعلانات. </w:t>
      </w:r>
    </w:p>
    <w:p w:rsidR="00C476A9" w:rsidRPr="0062241D" w:rsidRDefault="00497E3D" w:rsidP="00502460">
      <w:pPr>
        <w:pStyle w:val="enumlev1"/>
        <w:rPr>
          <w:rtl/>
        </w:rPr>
      </w:pPr>
      <w:r>
        <w:sym w:font="Symbol" w:char="F0B7"/>
      </w:r>
      <w:r w:rsidR="00C476A9" w:rsidRPr="0062241D">
        <w:rPr>
          <w:rFonts w:hint="cs"/>
          <w:rtl/>
        </w:rPr>
        <w:tab/>
        <w:t xml:space="preserve">تمنح الامتيازات للكيانات الحق في إنشاء و/أو تشغيل شبكات الاتصالات العمومية. </w:t>
      </w:r>
    </w:p>
    <w:p w:rsidR="00C476A9" w:rsidRPr="0062241D" w:rsidRDefault="00497E3D" w:rsidP="00502460">
      <w:pPr>
        <w:pStyle w:val="enumlev1"/>
        <w:rPr>
          <w:rtl/>
        </w:rPr>
      </w:pPr>
      <w:r>
        <w:sym w:font="Symbol" w:char="F0B7"/>
      </w:r>
      <w:r w:rsidR="00C476A9" w:rsidRPr="0062241D">
        <w:rPr>
          <w:rFonts w:hint="cs"/>
          <w:rtl/>
        </w:rPr>
        <w:tab/>
        <w:t xml:space="preserve">تسمح التخويلات للكيانات بإنشاء شبكات للاتصالات بغية تقديم خدمة اتصالات عمومية بخلاف خدمات الاتصالات الأساسية، مثل الإنترنت والخدمات ذات القيمة المضافة. وتتطلب مثل هذه التخويلات </w:t>
      </w:r>
      <w:r w:rsidR="00C476A9">
        <w:rPr>
          <w:rFonts w:hint="cs"/>
          <w:rtl/>
        </w:rPr>
        <w:t>تراخيص</w:t>
      </w:r>
      <w:r w:rsidR="00C476A9" w:rsidRPr="0062241D">
        <w:rPr>
          <w:rFonts w:hint="cs"/>
          <w:rtl/>
        </w:rPr>
        <w:t xml:space="preserve"> بحيث يمكن للمشغل أن يحوز أنماط متعددة من التراخيص. </w:t>
      </w:r>
    </w:p>
    <w:p w:rsidR="00C476A9" w:rsidRPr="0062241D" w:rsidRDefault="00497E3D" w:rsidP="00502460">
      <w:pPr>
        <w:pStyle w:val="enumlev1"/>
        <w:rPr>
          <w:rtl/>
        </w:rPr>
      </w:pPr>
      <w:r>
        <w:sym w:font="Symbol" w:char="F0B7"/>
      </w:r>
      <w:r w:rsidR="00C476A9" w:rsidRPr="0062241D">
        <w:rPr>
          <w:rFonts w:hint="cs"/>
          <w:rtl/>
        </w:rPr>
        <w:tab/>
        <w:t xml:space="preserve">تسمح الإعلانات للكيانات بإنشاء شبكات خاصة قصيرة المدى ومنخفضة القدرة. </w:t>
      </w:r>
    </w:p>
    <w:p w:rsidR="00C476A9" w:rsidRPr="0062241D" w:rsidRDefault="00C476A9" w:rsidP="00C476A9">
      <w:pPr>
        <w:pStyle w:val="Heading3"/>
        <w:rPr>
          <w:rtl/>
          <w:lang w:val="fr-CH"/>
        </w:rPr>
      </w:pPr>
      <w:bookmarkStart w:id="25" w:name="_Toc259454317"/>
      <w:r w:rsidRPr="0062241D">
        <w:rPr>
          <w:lang w:val="fr-CH"/>
        </w:rPr>
        <w:lastRenderedPageBreak/>
        <w:t>3.2.4</w:t>
      </w:r>
      <w:r w:rsidRPr="0062241D">
        <w:rPr>
          <w:rFonts w:hint="cs"/>
          <w:rtl/>
          <w:lang w:val="fr-CH"/>
        </w:rPr>
        <w:tab/>
        <w:t>الصين</w:t>
      </w:r>
      <w:r w:rsidRPr="0062241D">
        <w:rPr>
          <w:lang w:val="fr-CH"/>
        </w:rPr>
        <w:t xml:space="preserve"> </w:t>
      </w:r>
      <w:r w:rsidRPr="0062241D">
        <w:rPr>
          <w:vertAlign w:val="superscript"/>
          <w:lang w:val="de-DE"/>
        </w:rPr>
        <w:footnoteReference w:id="32"/>
      </w:r>
      <w:bookmarkEnd w:id="25"/>
    </w:p>
    <w:p w:rsidR="00C476A9" w:rsidRPr="0062241D" w:rsidRDefault="00C476A9" w:rsidP="00C476A9">
      <w:pPr>
        <w:rPr>
          <w:rtl/>
          <w:lang w:val="fr-CH"/>
        </w:rPr>
      </w:pPr>
      <w:r w:rsidRPr="0062241D">
        <w:rPr>
          <w:rFonts w:hint="cs"/>
          <w:rtl/>
          <w:lang w:val="fr-CH"/>
        </w:rPr>
        <w:t>من التحديات الهامة التي تواجه تنظيم الاتصالات في الصين كيفية تكيفها مع بيئة السوق المتقاربة. ومع تطور التكنولوجيات والخدمات الجديدة، أصبح التقارب هو الاتجاه الرئيسي في صناعة الاتصالات على مستوى العالم. ويشمل تقارب الشبكات الثابتة والمتنقلة، الاتصالات والإنترنت والشبكات الإذاعية و</w:t>
      </w:r>
      <w:r>
        <w:rPr>
          <w:rFonts w:hint="cs"/>
          <w:rtl/>
          <w:lang w:val="fr-CH"/>
        </w:rPr>
        <w:t>التلفزيون</w:t>
      </w:r>
      <w:r w:rsidRPr="0062241D">
        <w:rPr>
          <w:rFonts w:hint="cs"/>
          <w:rtl/>
          <w:lang w:val="fr-CH"/>
        </w:rPr>
        <w:t xml:space="preserve">ية؛ وصناعات شبكات الجيل التالي. </w:t>
      </w:r>
    </w:p>
    <w:p w:rsidR="00C476A9" w:rsidRPr="0062241D" w:rsidRDefault="00C476A9" w:rsidP="00C476A9">
      <w:pPr>
        <w:rPr>
          <w:rtl/>
          <w:lang w:val="fr-CH"/>
        </w:rPr>
      </w:pPr>
      <w:r w:rsidRPr="0062241D">
        <w:rPr>
          <w:rFonts w:hint="cs"/>
          <w:rtl/>
          <w:lang w:val="fr-CH"/>
        </w:rPr>
        <w:t xml:space="preserve">أولت حكومة الصين أهمية عالية إلى تقارب الشبكات الثلاث. وفي عام </w:t>
      </w:r>
      <w:r w:rsidRPr="0062241D">
        <w:rPr>
          <w:lang w:val="fr-CH"/>
        </w:rPr>
        <w:t>2001</w:t>
      </w:r>
      <w:r w:rsidRPr="0062241D">
        <w:rPr>
          <w:rFonts w:hint="cs"/>
          <w:rtl/>
          <w:lang w:val="fr-CH"/>
        </w:rPr>
        <w:t>، طرح الاجتماع الرابع للمؤتمر الشعبي الوطني، الذي صدق على "المبادئ التوجيهية لخطة السنوات الخمس العاشرة" أن على الأمة أن تشجع تقارب صناعات الاتصالات و</w:t>
      </w:r>
      <w:r>
        <w:rPr>
          <w:rFonts w:hint="cs"/>
          <w:rtl/>
          <w:lang w:val="fr-CH"/>
        </w:rPr>
        <w:t>التلفزيون</w:t>
      </w:r>
      <w:r w:rsidRPr="0062241D">
        <w:rPr>
          <w:rFonts w:hint="cs"/>
          <w:rtl/>
          <w:lang w:val="fr-CH"/>
        </w:rPr>
        <w:t xml:space="preserve"> والحاسوب. وفي عام </w:t>
      </w:r>
      <w:r w:rsidRPr="0062241D">
        <w:rPr>
          <w:lang w:val="fr-CH"/>
        </w:rPr>
        <w:t>2005</w:t>
      </w:r>
      <w:r w:rsidRPr="0062241D">
        <w:rPr>
          <w:rFonts w:hint="cs"/>
          <w:rtl/>
          <w:lang w:val="fr-CH"/>
        </w:rPr>
        <w:t>، ذكرت "خطة السنوات الخمس الحادية عشر</w:t>
      </w:r>
      <w:r>
        <w:rPr>
          <w:rFonts w:hint="cs"/>
          <w:rtl/>
          <w:lang w:val="fr-CH"/>
        </w:rPr>
        <w:t>ة</w:t>
      </w:r>
      <w:r w:rsidRPr="0062241D">
        <w:rPr>
          <w:rFonts w:hint="cs"/>
          <w:rtl/>
          <w:lang w:val="fr-CH"/>
        </w:rPr>
        <w:t xml:space="preserve">" أن قدرة ملاءمة البنية الأساسية للمعلومات ينبغي أن تلبي متطلبات المعلوماتية، وأن قدرة الخدمة الشاملة ستتحسن بشكل ملموس، ويمكن تحقيق التقارب بين الشبكات الثلاث أساساً، ويمكن إرساء الآليات الأولية لتقاسم المعلومات. </w:t>
      </w:r>
    </w:p>
    <w:p w:rsidR="00C476A9" w:rsidRPr="00A97CC4" w:rsidRDefault="00C476A9" w:rsidP="009E16AB">
      <w:pPr>
        <w:rPr>
          <w:rtl/>
          <w:lang w:val="fr-CH"/>
        </w:rPr>
      </w:pPr>
      <w:r w:rsidRPr="00A97CC4">
        <w:rPr>
          <w:rFonts w:hint="cs"/>
          <w:rtl/>
          <w:lang w:val="fr-CH"/>
        </w:rPr>
        <w:t xml:space="preserve">وفيما يتعلق بنظام التنظيم في الصين، توجد سلطتان مستقلتان. وزارة الصناعة وتكنولوجيا المعلومات وهي مسؤولة عن إنشاء شبكات الاتصالات والإنترنت وتشغيلها وإدارتها وقد أنشئت في عام </w:t>
      </w:r>
      <w:r w:rsidRPr="00A97CC4">
        <w:rPr>
          <w:lang w:val="fr-CH"/>
        </w:rPr>
        <w:t>2008</w:t>
      </w:r>
      <w:r w:rsidRPr="00A97CC4">
        <w:rPr>
          <w:rFonts w:hint="cs"/>
          <w:rtl/>
          <w:lang w:val="fr-CH"/>
        </w:rPr>
        <w:t xml:space="preserve"> بواسطة مؤتمر الشعب الوطني، والتي نتجت عن دمج وزارات عديدة سابقة. والإدارة الحكومية للإذاعة والأفلام والتلفزيون مسؤولة عن المحتوى في الخدمات الإذاعية والتلفزيونية.</w:t>
      </w:r>
    </w:p>
    <w:p w:rsidR="00C476A9" w:rsidRPr="0062241D" w:rsidRDefault="00C476A9" w:rsidP="00C476A9">
      <w:pPr>
        <w:rPr>
          <w:lang w:val="fr-CH"/>
        </w:rPr>
      </w:pPr>
      <w:r w:rsidRPr="0062241D">
        <w:rPr>
          <w:rFonts w:hint="cs"/>
          <w:rtl/>
          <w:lang w:val="fr-CH"/>
        </w:rPr>
        <w:t xml:space="preserve">واستخدمت في الصين بعض الخدمات الجديدة، مثل </w:t>
      </w:r>
      <w:r>
        <w:rPr>
          <w:rFonts w:hint="cs"/>
          <w:rtl/>
          <w:lang w:val="fr-CH"/>
        </w:rPr>
        <w:t>التلفزيون</w:t>
      </w:r>
      <w:r w:rsidRPr="0062241D">
        <w:rPr>
          <w:rFonts w:hint="cs"/>
          <w:rtl/>
          <w:lang w:val="fr-CH"/>
        </w:rPr>
        <w:t xml:space="preserve"> المستخدم لبروتوكول الإنترنت و</w:t>
      </w:r>
      <w:r>
        <w:rPr>
          <w:rFonts w:hint="cs"/>
          <w:rtl/>
          <w:lang w:val="fr-CH"/>
        </w:rPr>
        <w:t>التلفزيون</w:t>
      </w:r>
      <w:r w:rsidRPr="0062241D">
        <w:rPr>
          <w:rFonts w:hint="cs"/>
          <w:rtl/>
          <w:lang w:val="fr-CH"/>
        </w:rPr>
        <w:t xml:space="preserve"> المتنقل في بعض المدن، وتقوم وزارة الصناعة وتكنولوجيا المعلومات بدور نشط في تشجيع نشر هذه التطبيقات الجديدة. </w:t>
      </w:r>
    </w:p>
    <w:p w:rsidR="00C476A9" w:rsidRPr="0062241D" w:rsidRDefault="00C476A9" w:rsidP="00C476A9">
      <w:pPr>
        <w:pStyle w:val="Heading3"/>
        <w:rPr>
          <w:rtl/>
          <w:lang w:val="fr-CH"/>
        </w:rPr>
      </w:pPr>
      <w:bookmarkStart w:id="26" w:name="_Toc259454318"/>
      <w:r w:rsidRPr="0062241D">
        <w:rPr>
          <w:lang w:val="fr-CH"/>
        </w:rPr>
        <w:t>4.2.4</w:t>
      </w:r>
      <w:r w:rsidRPr="0062241D">
        <w:rPr>
          <w:rFonts w:hint="cs"/>
          <w:rtl/>
          <w:lang w:val="fr-CH"/>
        </w:rPr>
        <w:tab/>
        <w:t>نيبال</w:t>
      </w:r>
      <w:r w:rsidRPr="0062241D">
        <w:rPr>
          <w:lang w:val="fr-CH"/>
        </w:rPr>
        <w:t xml:space="preserve"> </w:t>
      </w:r>
      <w:r w:rsidRPr="0062241D">
        <w:rPr>
          <w:vertAlign w:val="superscript"/>
          <w:lang w:val="de-DE"/>
        </w:rPr>
        <w:footnoteReference w:id="33"/>
      </w:r>
      <w:bookmarkEnd w:id="26"/>
    </w:p>
    <w:p w:rsidR="00C476A9" w:rsidRPr="006C6B4F" w:rsidRDefault="00C476A9" w:rsidP="009E16AB">
      <w:pPr>
        <w:rPr>
          <w:rtl/>
          <w:lang w:val="fr-CH"/>
        </w:rPr>
      </w:pPr>
      <w:r w:rsidRPr="006C6B4F">
        <w:rPr>
          <w:rFonts w:hint="cs"/>
          <w:rtl/>
          <w:lang w:val="fr-CH"/>
        </w:rPr>
        <w:t xml:space="preserve">الوكالات الرئيسية التي تنظم قطاع الاتصالات والإذاعة وتكنولوجيا المعلومات هي سلطة الاتصالات النيبالية </w:t>
      </w:r>
      <w:r w:rsidRPr="006C6B4F">
        <w:rPr>
          <w:lang w:val="fr-CH"/>
        </w:rPr>
        <w:t>(NTA)</w:t>
      </w:r>
      <w:r w:rsidRPr="006C6B4F">
        <w:rPr>
          <w:rFonts w:hint="cs"/>
          <w:rtl/>
          <w:lang w:val="fr-CH"/>
        </w:rPr>
        <w:t xml:space="preserve"> المسؤولة عن الاتصالات، ووزارة المعلومات والاتصالات </w:t>
      </w:r>
      <w:r w:rsidRPr="006C6B4F">
        <w:rPr>
          <w:lang w:val="fr-CH"/>
        </w:rPr>
        <w:t>(MOIC)</w:t>
      </w:r>
      <w:r w:rsidRPr="006C6B4F">
        <w:rPr>
          <w:rFonts w:hint="cs"/>
          <w:rtl/>
          <w:lang w:val="fr-CH"/>
        </w:rPr>
        <w:t xml:space="preserve"> المسؤولة عن الإذاعة، ووزارة العلوم والتكنولوجيا </w:t>
      </w:r>
      <w:r w:rsidRPr="006C6B4F">
        <w:rPr>
          <w:lang w:val="fr-CH"/>
        </w:rPr>
        <w:t>(MOST)</w:t>
      </w:r>
      <w:r w:rsidRPr="006C6B4F">
        <w:rPr>
          <w:rFonts w:hint="cs"/>
          <w:rtl/>
          <w:lang w:val="fr-CH"/>
        </w:rPr>
        <w:t xml:space="preserve"> المسؤولة عن قطاع تكنولوجيا المعلومات. وإن كانت سلطة الاتصالات النيبالية تعتبر بمثابة جهاز تنظيم مستقل، إلا أن وزارة المعلومات والاتصالات تعتبر بمثابة الفاعل الرئيسي في قطاع الاتصالات. ووزارة المعلومات والاتصالات أيضاً هي أعلى هيئة مسؤولة عن صياغة السياسات الإذاعية في البلد. وهكذا تتقاسم وزارة المعلومات والاتصالات مع سلطة الاتصالات النيبالية المسؤولة عن تنظيم مقدمي خدمات الاتصالات، في حين تنفرد وزارة المعلومات والاتصالات بالسلطة على هيئات الإذاعة الراديوية والتلفزيونية. </w:t>
      </w:r>
    </w:p>
    <w:p w:rsidR="00C476A9" w:rsidRPr="00BF5E36" w:rsidRDefault="00C476A9" w:rsidP="009E16AB">
      <w:pPr>
        <w:rPr>
          <w:rtl/>
          <w:lang w:val="fr-CH"/>
        </w:rPr>
      </w:pPr>
      <w:r w:rsidRPr="00BF5E36">
        <w:rPr>
          <w:rFonts w:hint="cs"/>
          <w:rtl/>
          <w:lang w:val="fr-CH"/>
        </w:rPr>
        <w:t>وفي</w:t>
      </w:r>
      <w:r>
        <w:rPr>
          <w:rFonts w:hint="cs"/>
          <w:rtl/>
          <w:lang w:val="fr-CH"/>
        </w:rPr>
        <w:t>ما </w:t>
      </w:r>
      <w:r w:rsidRPr="00BF5E36">
        <w:rPr>
          <w:rFonts w:hint="cs"/>
          <w:rtl/>
          <w:lang w:val="fr-CH"/>
        </w:rPr>
        <w:t xml:space="preserve">يتعلق بإدارة الطيف، ثمة لجنة رفيعة المستوى تضم مسؤولين من وزارات مختلفة ومن سلطة الاتصالات النيبالية تعمل تحت مظلة وزارة المعلومات والاتصالات. ونتيجة لذلك، </w:t>
      </w:r>
      <w:r>
        <w:rPr>
          <w:rFonts w:hint="cs"/>
          <w:rtl/>
          <w:lang w:val="fr-CH"/>
        </w:rPr>
        <w:t>لا </w:t>
      </w:r>
      <w:r w:rsidRPr="00BF5E36">
        <w:rPr>
          <w:rFonts w:hint="cs"/>
          <w:rtl/>
          <w:lang w:val="fr-CH"/>
        </w:rPr>
        <w:t xml:space="preserve">يحكم إدارة طيف التردد الراديوي أي وكالة بمفردها. </w:t>
      </w:r>
    </w:p>
    <w:p w:rsidR="00C476A9" w:rsidRPr="00A97CC4" w:rsidRDefault="00C476A9" w:rsidP="00C476A9">
      <w:pPr>
        <w:spacing w:line="185" w:lineRule="auto"/>
        <w:rPr>
          <w:spacing w:val="-2"/>
          <w:rtl/>
          <w:lang w:val="fr-CH"/>
        </w:rPr>
      </w:pPr>
      <w:r w:rsidRPr="00A97CC4">
        <w:rPr>
          <w:rFonts w:hint="cs"/>
          <w:spacing w:val="-2"/>
          <w:rtl/>
          <w:lang w:val="fr-CH"/>
        </w:rPr>
        <w:t xml:space="preserve">وفي نيبال، أثار التقارب مناقشات كثيرة بشأن تصنيف خدمات الاتصالات وخدمات إذاعية معينة. ولما كانت الخطوط بين إرسال البيانات والإرسال الإذاعي وإرسال الصوت قد تآكلت، تواجه الهيئات التنظيمية مهمة أفضل طريقة لتصنيف مقاطع التقارب في قطاع الاتصالات. ولذلك يواجه النظام التنظيمي في نيبال صعوبات تتعلق باتجاهات التقارب. وحيث إن تقسيم المسؤولية التنظيمية والولاية القضائية يستندان إلى التمييز سواء أكان مقدم الخدمة هو مقدم خدمة الاتصالات، أم الخدمة الإذاعية أم خدمة تكنولوجيا المعلومات في المقام الأول، إذ إن الحكومة قد تكون أقل كفاءة في تنظيم الأنشطة التي لا يمكن تصنيفها في فئات. وتشير هذه الحالة بوضوح إلى الحاجة إلى إعادة النظر في النظام التنظيمي وتنظيم قطاع الاتصالات في نيبال. </w:t>
      </w:r>
    </w:p>
    <w:p w:rsidR="00C476A9" w:rsidRPr="0062241D" w:rsidRDefault="00C476A9" w:rsidP="00C476A9">
      <w:pPr>
        <w:pStyle w:val="Heading1"/>
        <w:spacing w:before="200" w:line="185" w:lineRule="auto"/>
        <w:rPr>
          <w:rtl/>
          <w:lang w:val="fr-CH"/>
        </w:rPr>
      </w:pPr>
      <w:bookmarkStart w:id="27" w:name="_Toc259454319"/>
      <w:r w:rsidRPr="0062241D">
        <w:rPr>
          <w:lang w:val="fr-CH"/>
        </w:rPr>
        <w:t>5</w:t>
      </w:r>
      <w:r w:rsidRPr="0062241D">
        <w:rPr>
          <w:rFonts w:hint="cs"/>
          <w:rtl/>
          <w:lang w:val="fr-CH"/>
        </w:rPr>
        <w:tab/>
        <w:t>مبادئ توجيهية وتوصيات</w:t>
      </w:r>
      <w:bookmarkEnd w:id="27"/>
    </w:p>
    <w:p w:rsidR="00C476A9" w:rsidRPr="006C6B4F" w:rsidRDefault="00C476A9" w:rsidP="009E16AB">
      <w:pPr>
        <w:rPr>
          <w:rtl/>
        </w:rPr>
      </w:pPr>
      <w:r w:rsidRPr="006C6B4F">
        <w:rPr>
          <w:rFonts w:hint="cs"/>
          <w:rtl/>
          <w:lang w:val="fr-CH"/>
        </w:rPr>
        <w:t>يتطلب تطبيق أنظمة موحدة وتخويلات متعددة الخدمات تخطيطاً دقيقاً. وينبغي أن تتناول الهيئات التنظيمية قضايا كثيرة، بما في ذلك:</w:t>
      </w:r>
    </w:p>
    <w:p w:rsidR="00C476A9" w:rsidRPr="00BF5E36" w:rsidRDefault="00497E3D" w:rsidP="009E16AB">
      <w:pPr>
        <w:pStyle w:val="enumlev1"/>
        <w:rPr>
          <w:rtl/>
        </w:rPr>
      </w:pPr>
      <w:r>
        <w:sym w:font="Symbol" w:char="F0B7"/>
      </w:r>
      <w:r w:rsidR="00C476A9" w:rsidRPr="00BF5E36">
        <w:rPr>
          <w:rFonts w:hint="cs"/>
          <w:rtl/>
        </w:rPr>
        <w:tab/>
      </w:r>
      <w:r w:rsidR="00C476A9">
        <w:rPr>
          <w:rFonts w:hint="cs"/>
          <w:rtl/>
        </w:rPr>
        <w:t>ما </w:t>
      </w:r>
      <w:r w:rsidR="00C476A9" w:rsidRPr="00BF5E36">
        <w:rPr>
          <w:rFonts w:hint="cs"/>
          <w:rtl/>
        </w:rPr>
        <w:t xml:space="preserve">إذا كان </w:t>
      </w:r>
      <w:r w:rsidR="00C476A9" w:rsidRPr="009E16AB">
        <w:rPr>
          <w:rFonts w:hint="cs"/>
          <w:rtl/>
        </w:rPr>
        <w:t>النظام</w:t>
      </w:r>
      <w:r w:rsidR="00C476A9" w:rsidRPr="00BF5E36">
        <w:rPr>
          <w:rFonts w:hint="cs"/>
          <w:rtl/>
        </w:rPr>
        <w:t xml:space="preserve"> الموحد أو التخويلات متعددة الخدمات ملائمة لسوق تكنولوجيا المعلومات والاتصالات المحلي؛ </w:t>
      </w:r>
    </w:p>
    <w:p w:rsidR="00C476A9" w:rsidRPr="0062241D" w:rsidRDefault="00497E3D" w:rsidP="009E16AB">
      <w:pPr>
        <w:pStyle w:val="enumlev1"/>
        <w:rPr>
          <w:rtl/>
        </w:rPr>
      </w:pPr>
      <w:r>
        <w:sym w:font="Symbol" w:char="F0B7"/>
      </w:r>
      <w:r w:rsidR="00C476A9" w:rsidRPr="0062241D">
        <w:rPr>
          <w:rFonts w:hint="cs"/>
          <w:rtl/>
        </w:rPr>
        <w:tab/>
      </w:r>
      <w:r w:rsidR="00C476A9">
        <w:rPr>
          <w:rFonts w:hint="cs"/>
          <w:rtl/>
        </w:rPr>
        <w:t>ما </w:t>
      </w:r>
      <w:r w:rsidR="00C476A9" w:rsidRPr="0062241D">
        <w:rPr>
          <w:rFonts w:hint="cs"/>
          <w:rtl/>
        </w:rPr>
        <w:t>إذا كان يتعين اعتماد نظام موحد أو تخويل بخدمات متعددة؛</w:t>
      </w:r>
    </w:p>
    <w:p w:rsidR="00C476A9" w:rsidRPr="0062241D" w:rsidRDefault="00497E3D" w:rsidP="009E16AB">
      <w:pPr>
        <w:pStyle w:val="enumlev1"/>
        <w:rPr>
          <w:rtl/>
        </w:rPr>
      </w:pPr>
      <w:r>
        <w:lastRenderedPageBreak/>
        <w:sym w:font="Symbol" w:char="F0B7"/>
      </w:r>
      <w:r w:rsidR="00C476A9" w:rsidRPr="0062241D">
        <w:rPr>
          <w:rFonts w:hint="cs"/>
          <w:rtl/>
        </w:rPr>
        <w:tab/>
        <w:t>فئات التخويلات في إطار نظام متعدد الخدمات؛</w:t>
      </w:r>
    </w:p>
    <w:p w:rsidR="00C476A9" w:rsidRPr="0062241D" w:rsidRDefault="00497E3D" w:rsidP="009E16AB">
      <w:pPr>
        <w:pStyle w:val="enumlev1"/>
        <w:rPr>
          <w:rtl/>
        </w:rPr>
      </w:pPr>
      <w:r>
        <w:sym w:font="Symbol" w:char="F0B7"/>
      </w:r>
      <w:r w:rsidR="00C476A9" w:rsidRPr="0062241D">
        <w:rPr>
          <w:rFonts w:hint="cs"/>
          <w:rtl/>
        </w:rPr>
        <w:tab/>
        <w:t>إجراءات منح التراخيص لإصدار تخويلات جديدة؛</w:t>
      </w:r>
    </w:p>
    <w:p w:rsidR="00C476A9" w:rsidRPr="0062241D" w:rsidRDefault="00497E3D" w:rsidP="009E16AB">
      <w:pPr>
        <w:pStyle w:val="enumlev1"/>
        <w:rPr>
          <w:rtl/>
        </w:rPr>
      </w:pPr>
      <w:r>
        <w:sym w:font="Symbol" w:char="F0B7"/>
      </w:r>
      <w:r w:rsidR="00C476A9" w:rsidRPr="0062241D">
        <w:rPr>
          <w:rFonts w:hint="cs"/>
          <w:rtl/>
        </w:rPr>
        <w:tab/>
        <w:t>الأحكام والشروط المرتبطة بهذه التخويلات؛</w:t>
      </w:r>
    </w:p>
    <w:p w:rsidR="00C476A9" w:rsidRPr="0062241D" w:rsidRDefault="00497E3D" w:rsidP="009E16AB">
      <w:pPr>
        <w:pStyle w:val="enumlev1"/>
        <w:rPr>
          <w:lang w:val="de-DE"/>
        </w:rPr>
      </w:pPr>
      <w:r>
        <w:sym w:font="Symbol" w:char="F0B7"/>
      </w:r>
      <w:r w:rsidR="00C476A9" w:rsidRPr="0062241D">
        <w:rPr>
          <w:rFonts w:hint="cs"/>
          <w:rtl/>
        </w:rPr>
        <w:tab/>
        <w:t xml:space="preserve">كيفية التحول من التراخيص القائمة إلى نظام ترخيص جديد. </w:t>
      </w:r>
    </w:p>
    <w:p w:rsidR="00C476A9" w:rsidRPr="006C6B4F" w:rsidRDefault="00C476A9" w:rsidP="009E16AB">
      <w:pPr>
        <w:rPr>
          <w:rtl/>
          <w:lang w:val="fr-CH"/>
        </w:rPr>
      </w:pPr>
      <w:r w:rsidRPr="006C6B4F">
        <w:rPr>
          <w:rFonts w:hint="cs"/>
          <w:rtl/>
          <w:lang w:val="fr-CH"/>
        </w:rPr>
        <w:t xml:space="preserve">وتبعاً لطبيعة ونطاق التخويلات، يتعين على الهيئات التنظيمية وعلى واضعي السياسات التصارع من أجل حل قضية الوكالة التنظيمية التي ينبغي عليها إدارة الأشكال الجديدة للتخويلات. ولما كانت بلدان عديدة قد تمكنت من التمييز بين خدمات الاتصالات (أي القائمة على الإرسال) والخدمات الإذاعية، أو الخدمات القائمة على المحتوى، فإنه ليس شائعاً أن تكون هناك وكالات تنظيم مختلفة لإدارة خدمات الاتصالات والخدمات الإذاعية. وفي هذه البلدان، يثير إدراج الخدمات الإذاعية والخدمات القائمة على المحتوى في نطاق تخويل موحد أو تخويل لخدمات متعددة، مسألة ما هي الوكالة التي يتعين عليها إدارة هذا التخويل. </w:t>
      </w:r>
    </w:p>
    <w:p w:rsidR="00C476A9" w:rsidRPr="0062241D" w:rsidRDefault="00C476A9" w:rsidP="009E16AB">
      <w:pPr>
        <w:rPr>
          <w:rtl/>
          <w:lang w:val="fr-CH"/>
        </w:rPr>
      </w:pPr>
      <w:r w:rsidRPr="0062241D">
        <w:rPr>
          <w:rFonts w:hint="cs"/>
          <w:rtl/>
          <w:lang w:val="fr-CH"/>
        </w:rPr>
        <w:t xml:space="preserve">ويجب على الهيئات التنظيمية أيضاً أن تنظر بعناية في الأبعاد الإجرائية لتطبيق نظام التخويل الجديد الموحد أو نظام التخويل متعدد الخدمات. ومن أجل تشجيع الشفافية والثقة في هذه العملية، تقترح أفضل الممارسات أن تقوم الهيئات التنظيمية بالتشاور مع أصحاب المصلحة في الصناعة قبل تطبيق نظام التخويل الجديد. </w:t>
      </w:r>
    </w:p>
    <w:p w:rsidR="00C476A9" w:rsidRPr="0062241D" w:rsidRDefault="00C476A9" w:rsidP="009E16AB">
      <w:pPr>
        <w:rPr>
          <w:rtl/>
          <w:lang w:val="fr-CH"/>
        </w:rPr>
      </w:pPr>
      <w:r w:rsidRPr="0062241D">
        <w:rPr>
          <w:rFonts w:hint="cs"/>
          <w:rtl/>
          <w:lang w:val="fr-CH"/>
        </w:rPr>
        <w:t xml:space="preserve">وتشجع الهيئات التنظيمية على النظر في المبادئ التالية عند التحول إلى إطار ترخيص متقارب واعتماده. </w:t>
      </w:r>
    </w:p>
    <w:p w:rsidR="00C476A9" w:rsidRPr="0062241D" w:rsidRDefault="00497E3D" w:rsidP="009E16AB">
      <w:pPr>
        <w:pStyle w:val="enumlev1"/>
        <w:rPr>
          <w:rtl/>
        </w:rPr>
      </w:pPr>
      <w:r>
        <w:sym w:font="Symbol" w:char="F0B7"/>
      </w:r>
      <w:r w:rsidR="00C476A9" w:rsidRPr="0062241D">
        <w:rPr>
          <w:rFonts w:hint="cs"/>
          <w:rtl/>
        </w:rPr>
        <w:tab/>
        <w:t>تشجيع الحياد التكنولوجي؛</w:t>
      </w:r>
    </w:p>
    <w:p w:rsidR="00C476A9" w:rsidRPr="0062241D" w:rsidRDefault="00497E3D" w:rsidP="009E16AB">
      <w:pPr>
        <w:pStyle w:val="enumlev1"/>
        <w:rPr>
          <w:rtl/>
        </w:rPr>
      </w:pPr>
      <w:r>
        <w:sym w:font="Symbol" w:char="F0B7"/>
      </w:r>
      <w:r w:rsidR="00C476A9" w:rsidRPr="0062241D">
        <w:rPr>
          <w:rFonts w:hint="cs"/>
          <w:rtl/>
        </w:rPr>
        <w:tab/>
        <w:t>ضمان المرونة للسماح لنظام الترخيص الجديد بالتكيف مع التغييرات التكنولوجية والتغييرات في الأسواق؛</w:t>
      </w:r>
    </w:p>
    <w:p w:rsidR="00C476A9" w:rsidRPr="0062241D" w:rsidRDefault="00497E3D" w:rsidP="009E16AB">
      <w:pPr>
        <w:pStyle w:val="enumlev1"/>
        <w:rPr>
          <w:rtl/>
        </w:rPr>
      </w:pPr>
      <w:r>
        <w:sym w:font="Symbol" w:char="F0B7"/>
      </w:r>
      <w:r w:rsidR="00C476A9" w:rsidRPr="0062241D">
        <w:rPr>
          <w:rFonts w:hint="cs"/>
          <w:rtl/>
        </w:rPr>
        <w:tab/>
        <w:t>تبسيط عدد فئات التراخيص؛</w:t>
      </w:r>
    </w:p>
    <w:p w:rsidR="00C476A9" w:rsidRPr="0062241D" w:rsidRDefault="00497E3D" w:rsidP="009E16AB">
      <w:pPr>
        <w:pStyle w:val="enumlev1"/>
        <w:rPr>
          <w:rtl/>
        </w:rPr>
      </w:pPr>
      <w:r>
        <w:sym w:font="Symbol" w:char="F0B7"/>
      </w:r>
      <w:r w:rsidR="00C476A9" w:rsidRPr="0062241D">
        <w:rPr>
          <w:rFonts w:hint="cs"/>
          <w:rtl/>
        </w:rPr>
        <w:tab/>
        <w:t>تقليل الأعباء والرسوم الإدارية على الأطراف الفاعلة في السوق؛</w:t>
      </w:r>
    </w:p>
    <w:p w:rsidR="00C476A9" w:rsidRPr="00A97CC4" w:rsidRDefault="00497E3D" w:rsidP="009E16AB">
      <w:pPr>
        <w:pStyle w:val="enumlev1"/>
        <w:rPr>
          <w:rtl/>
        </w:rPr>
      </w:pPr>
      <w:r>
        <w:sym w:font="Symbol" w:char="F0B7"/>
      </w:r>
      <w:r w:rsidR="00C476A9" w:rsidRPr="00A97CC4">
        <w:rPr>
          <w:rFonts w:hint="cs"/>
          <w:rtl/>
        </w:rPr>
        <w:tab/>
        <w:t>تطبيق آليات منح الحوافز لتشجيع المشغلين الحاليين على التحول إلى إطار الترخيص المتقارب، أي إلغاء الرسوم؛</w:t>
      </w:r>
    </w:p>
    <w:p w:rsidR="00C476A9" w:rsidRPr="0062241D" w:rsidRDefault="00497E3D" w:rsidP="009E16AB">
      <w:pPr>
        <w:pStyle w:val="enumlev1"/>
        <w:rPr>
          <w:rtl/>
        </w:rPr>
      </w:pPr>
      <w:r>
        <w:sym w:font="Symbol" w:char="F0B7"/>
      </w:r>
      <w:r w:rsidR="00C476A9" w:rsidRPr="0062241D">
        <w:rPr>
          <w:rFonts w:hint="cs"/>
          <w:rtl/>
        </w:rPr>
        <w:tab/>
        <w:t>ضمان الشفافية في</w:t>
      </w:r>
      <w:r w:rsidR="00C476A9">
        <w:rPr>
          <w:rFonts w:hint="cs"/>
          <w:rtl/>
        </w:rPr>
        <w:t>ما </w:t>
      </w:r>
      <w:r w:rsidR="00C476A9" w:rsidRPr="0062241D">
        <w:rPr>
          <w:rFonts w:hint="cs"/>
          <w:rtl/>
        </w:rPr>
        <w:t>يتعلق بمسؤوليات منح التراخيص المتقاربة؛</w:t>
      </w:r>
    </w:p>
    <w:p w:rsidR="00C476A9" w:rsidRPr="00A97CC4" w:rsidRDefault="00497E3D" w:rsidP="009E16AB">
      <w:pPr>
        <w:pStyle w:val="enumlev1"/>
        <w:rPr>
          <w:rtl/>
        </w:rPr>
      </w:pPr>
      <w:r>
        <w:sym w:font="Symbol" w:char="F0B7"/>
      </w:r>
      <w:r w:rsidR="00C476A9" w:rsidRPr="00A97CC4">
        <w:rPr>
          <w:rFonts w:hint="cs"/>
          <w:rtl/>
        </w:rPr>
        <w:tab/>
        <w:t>تشجيع التعاون الوثيق بين الكيانات الملائمة التي تتحمل مسؤولية التنظيم والإشراف فيما يتعلق بإطار الترخيص المتقارب؛</w:t>
      </w:r>
    </w:p>
    <w:p w:rsidR="00C476A9" w:rsidRPr="0062241D" w:rsidRDefault="00C476A9" w:rsidP="00525E1E">
      <w:pPr>
        <w:rPr>
          <w:rtl/>
        </w:rPr>
      </w:pPr>
      <w:r w:rsidRPr="0062241D">
        <w:rPr>
          <w:rFonts w:hint="cs"/>
          <w:rtl/>
        </w:rPr>
        <w:t xml:space="preserve">الإحالة إلى أفضل الممارسات الدولية والمنظمات الإقليمية الدولية للمساعدة في توفيق نهج منح التراخيص. </w:t>
      </w:r>
    </w:p>
    <w:p w:rsidR="00C476A9" w:rsidRPr="00DC7DA8" w:rsidRDefault="00C476A9" w:rsidP="00C476A9"/>
    <w:sectPr w:rsidR="00C476A9" w:rsidRPr="00DC7DA8" w:rsidSect="004E497F">
      <w:headerReference w:type="even" r:id="rId16"/>
      <w:headerReference w:type="default" r:id="rId17"/>
      <w:type w:val="oddPage"/>
      <w:pgSz w:w="11907" w:h="16834" w:code="9"/>
      <w:pgMar w:top="1418" w:right="1134" w:bottom="1418" w:left="1134" w:header="720" w:footer="720" w:gutter="0"/>
      <w:paperSrc w:first="7" w:other="7"/>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68" w:rsidRDefault="003D4D68">
      <w:r>
        <w:separator/>
      </w:r>
    </w:p>
  </w:endnote>
  <w:endnote w:type="continuationSeparator" w:id="0">
    <w:p w:rsidR="003D4D68" w:rsidRDefault="003D4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Default="003D4D68" w:rsidP="00835D9E">
    <w:pPr>
      <w:pStyle w:val="Footer"/>
      <w:tabs>
        <w:tab w:val="clear" w:pos="5954"/>
        <w:tab w:val="clear" w:pos="9639"/>
      </w:tabs>
      <w:jc w:val="right"/>
    </w:pPr>
    <w:r>
      <w:rPr>
        <w:rFonts w:hint="cs"/>
        <w:rtl/>
      </w:rPr>
      <w:tab/>
    </w:r>
    <w:r w:rsidRPr="0099607C">
      <w:rPr>
        <w:rtl/>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Ind w:w="27" w:type="dxa"/>
      <w:tblLook w:val="01E0"/>
    </w:tblPr>
    <w:tblGrid>
      <w:gridCol w:w="1260"/>
      <w:gridCol w:w="1710"/>
      <w:gridCol w:w="6858"/>
    </w:tblGrid>
    <w:tr w:rsidR="003D4D68" w:rsidRPr="0091725A" w:rsidTr="009F76E1">
      <w:trPr>
        <w:trHeight w:val="432"/>
      </w:trPr>
      <w:tc>
        <w:tcPr>
          <w:tcW w:w="1260" w:type="dxa"/>
          <w:tcBorders>
            <w:top w:val="single" w:sz="4" w:space="0" w:color="auto"/>
          </w:tcBorders>
        </w:tcPr>
        <w:p w:rsidR="003D4D68" w:rsidRPr="00C03E26" w:rsidRDefault="003D4D68" w:rsidP="00A01A4B">
          <w:pPr>
            <w:tabs>
              <w:tab w:val="clear" w:pos="794"/>
              <w:tab w:val="clear" w:pos="1191"/>
              <w:tab w:val="clear" w:pos="1588"/>
              <w:tab w:val="clear" w:pos="1985"/>
            </w:tabs>
            <w:spacing w:before="80" w:line="240" w:lineRule="exact"/>
            <w:jc w:val="left"/>
            <w:rPr>
              <w:sz w:val="16"/>
              <w:szCs w:val="22"/>
              <w:rtl/>
              <w:lang w:val="en-US" w:bidi="ar-EG"/>
            </w:rPr>
          </w:pPr>
          <w:r w:rsidRPr="00C03E26">
            <w:rPr>
              <w:rFonts w:hint="cs"/>
              <w:sz w:val="16"/>
              <w:szCs w:val="22"/>
              <w:rtl/>
              <w:lang w:val="en-US" w:bidi="ar-EG"/>
            </w:rPr>
            <w:t>جهة الاتصال:</w:t>
          </w:r>
        </w:p>
      </w:tc>
      <w:tc>
        <w:tcPr>
          <w:tcW w:w="1710" w:type="dxa"/>
          <w:tcBorders>
            <w:top w:val="single" w:sz="4" w:space="0" w:color="auto"/>
          </w:tcBorders>
        </w:tcPr>
        <w:p w:rsidR="003D4D68" w:rsidRPr="00C03E26" w:rsidRDefault="003D4D68" w:rsidP="00C03E26">
          <w:pPr>
            <w:spacing w:before="80" w:line="240" w:lineRule="exact"/>
            <w:jc w:val="left"/>
            <w:rPr>
              <w:sz w:val="16"/>
              <w:szCs w:val="22"/>
              <w:rtl/>
              <w:lang w:val="en-US" w:bidi="ar-EG"/>
            </w:rPr>
          </w:pPr>
          <w:r w:rsidRPr="00C03E26">
            <w:rPr>
              <w:rFonts w:hint="cs"/>
              <w:sz w:val="16"/>
              <w:szCs w:val="22"/>
              <w:rtl/>
              <w:lang w:val="en-US"/>
            </w:rPr>
            <w:t>الاسم/المنظمة/الكيان:</w:t>
          </w:r>
          <w:r w:rsidRPr="00C03E26">
            <w:rPr>
              <w:sz w:val="16"/>
              <w:szCs w:val="22"/>
              <w:rtl/>
              <w:lang w:val="en-US"/>
            </w:rPr>
            <w:br/>
          </w:r>
          <w:r w:rsidRPr="00C03E26">
            <w:rPr>
              <w:rFonts w:hint="cs"/>
              <w:sz w:val="16"/>
              <w:szCs w:val="22"/>
              <w:rtl/>
              <w:lang w:val="en-US"/>
            </w:rPr>
            <w:t>رقم الهاتف:</w:t>
          </w:r>
        </w:p>
        <w:p w:rsidR="003D4D68" w:rsidRPr="00C03E26" w:rsidRDefault="003D4D68" w:rsidP="007D1C9C">
          <w:pPr>
            <w:spacing w:before="30" w:after="120" w:line="240" w:lineRule="exact"/>
            <w:jc w:val="left"/>
            <w:rPr>
              <w:sz w:val="16"/>
              <w:szCs w:val="22"/>
              <w:rtl/>
              <w:lang w:val="en-US"/>
            </w:rPr>
          </w:pPr>
          <w:r w:rsidRPr="00C03E26">
            <w:rPr>
              <w:rFonts w:hint="cs"/>
              <w:sz w:val="16"/>
              <w:szCs w:val="22"/>
              <w:rtl/>
              <w:lang w:val="en-US"/>
            </w:rPr>
            <w:t>البريد الإلكتروني:</w:t>
          </w:r>
        </w:p>
      </w:tc>
      <w:tc>
        <w:tcPr>
          <w:tcW w:w="6858" w:type="dxa"/>
          <w:tcBorders>
            <w:top w:val="single" w:sz="4" w:space="0" w:color="auto"/>
          </w:tcBorders>
        </w:tcPr>
        <w:p w:rsidR="003D4D68" w:rsidRPr="00D35A22" w:rsidRDefault="003D4D68" w:rsidP="00337118">
          <w:pPr>
            <w:spacing w:before="80" w:line="240" w:lineRule="exact"/>
            <w:jc w:val="left"/>
            <w:rPr>
              <w:sz w:val="16"/>
              <w:szCs w:val="16"/>
              <w:rtl/>
              <w:lang w:val="en-US"/>
            </w:rPr>
          </w:pPr>
          <w:r w:rsidRPr="00D35A22">
            <w:rPr>
              <w:sz w:val="16"/>
              <w:szCs w:val="16"/>
              <w:lang w:val="en-US"/>
            </w:rPr>
            <w:t>Amy L. Sanders, Acting Rapporteur for Question 18-1/22</w:t>
          </w:r>
          <w:r w:rsidRPr="00D35A22">
            <w:rPr>
              <w:rFonts w:hint="cs"/>
              <w:sz w:val="16"/>
              <w:szCs w:val="16"/>
              <w:rtl/>
              <w:lang w:val="en-US"/>
            </w:rPr>
            <w:br/>
          </w:r>
          <w:r w:rsidRPr="00D35A22">
            <w:rPr>
              <w:sz w:val="16"/>
              <w:szCs w:val="16"/>
              <w:lang w:val="en-US"/>
            </w:rPr>
            <w:t>+1 973 884 3950</w:t>
          </w:r>
        </w:p>
        <w:p w:rsidR="003D4D68" w:rsidRPr="005A582B" w:rsidRDefault="003D4D68" w:rsidP="00DF426B">
          <w:pPr>
            <w:spacing w:before="30" w:line="240" w:lineRule="exact"/>
            <w:jc w:val="left"/>
            <w:rPr>
              <w:sz w:val="16"/>
              <w:szCs w:val="16"/>
              <w:rtl/>
              <w:lang w:val="en-US" w:bidi="ar-EG"/>
            </w:rPr>
          </w:pPr>
          <w:r w:rsidRPr="005A582B">
            <w:rPr>
              <w:rStyle w:val="Hyperlink"/>
              <w:sz w:val="16"/>
              <w:lang w:val="en-US"/>
            </w:rPr>
            <w:t>amy</w:t>
          </w:r>
          <w:hyperlink r:id="rId1" w:history="1">
            <w:r w:rsidRPr="005A582B">
              <w:rPr>
                <w:rStyle w:val="Hyperlink"/>
                <w:sz w:val="16"/>
                <w:lang w:val="en-US"/>
              </w:rPr>
              <w:t>.sanders@alcatel-lucent.com</w:t>
            </w:r>
          </w:hyperlink>
        </w:p>
      </w:tc>
    </w:tr>
  </w:tbl>
  <w:p w:rsidR="003D4D68" w:rsidRPr="000C3E16" w:rsidRDefault="003D4D68" w:rsidP="000C3E16">
    <w:pPr>
      <w:pStyle w:val="Footer"/>
      <w:bidi w:val="0"/>
      <w:spacing w:line="240" w:lineRule="auto"/>
      <w:rPr>
        <w:sz w:val="2"/>
        <w:szCs w:val="2"/>
        <w:rtl/>
        <w:lang w:val="en-US"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Default="003D4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68" w:rsidRDefault="003D4D68">
      <w:r>
        <w:separator/>
      </w:r>
    </w:p>
  </w:footnote>
  <w:footnote w:type="continuationSeparator" w:id="0">
    <w:p w:rsidR="003D4D68" w:rsidRDefault="003D4D68">
      <w:r>
        <w:continuationSeparator/>
      </w:r>
    </w:p>
  </w:footnote>
  <w:footnote w:id="1">
    <w:p w:rsidR="003D4D68" w:rsidRPr="00902855" w:rsidRDefault="003D4D68" w:rsidP="00C476A9">
      <w:pPr>
        <w:pStyle w:val="FOOTNOTE"/>
        <w:rPr>
          <w:rtl/>
        </w:rPr>
      </w:pPr>
      <w:r w:rsidRPr="00782677">
        <w:rPr>
          <w:rStyle w:val="FootnoteReference"/>
          <w:sz w:val="20"/>
        </w:rPr>
        <w:footnoteRef/>
      </w:r>
      <w:r w:rsidRPr="00902855">
        <w:rPr>
          <w:rFonts w:hint="cs"/>
          <w:rtl/>
        </w:rPr>
        <w:tab/>
        <w:t xml:space="preserve">للحصول على مزيد من المعلومات، انظر </w:t>
      </w:r>
      <w:r w:rsidRPr="00902855">
        <w:rPr>
          <w:szCs w:val="18"/>
        </w:rPr>
        <w:t>InfoDev/ITU</w:t>
      </w:r>
      <w:r w:rsidRPr="00902855">
        <w:rPr>
          <w:rFonts w:hint="cs"/>
          <w:rtl/>
        </w:rPr>
        <w:t xml:space="preserve">، مجموعة أدوات  تنظيم تكنولوجيا المعلومات والاتصالات </w:t>
      </w:r>
      <w:r w:rsidRPr="00902855">
        <w:t>(ICT)</w:t>
      </w:r>
      <w:r w:rsidRPr="00902855">
        <w:rPr>
          <w:rFonts w:hint="cs"/>
          <w:rtl/>
        </w:rPr>
        <w:t xml:space="preserve">، الوحدة النمطية </w:t>
      </w:r>
      <w:r w:rsidRPr="00902855">
        <w:t>6</w:t>
      </w:r>
      <w:r w:rsidRPr="00902855">
        <w:rPr>
          <w:rFonts w:hint="cs"/>
          <w:rtl/>
        </w:rPr>
        <w:t xml:space="preserve">، الجوانب القانونية والمؤسسية في التنظيم، الفصل الرابع، </w:t>
      </w:r>
      <w:r w:rsidRPr="00E84C52">
        <w:rPr>
          <w:rFonts w:hint="cs"/>
          <w:i/>
          <w:iCs/>
          <w:rtl/>
        </w:rPr>
        <w:t>تأثير التقارب في التنظيم</w:t>
      </w:r>
      <w:r w:rsidRPr="00902855">
        <w:rPr>
          <w:rFonts w:hint="cs"/>
          <w:rtl/>
        </w:rPr>
        <w:t xml:space="preserve"> (</w:t>
      </w:r>
      <w:r w:rsidRPr="00902855">
        <w:t>2006</w:t>
      </w:r>
      <w:r w:rsidRPr="00902855">
        <w:rPr>
          <w:rFonts w:hint="cs"/>
          <w:rtl/>
        </w:rPr>
        <w:t xml:space="preserve">)، متاحة على الموقع:  </w:t>
      </w:r>
      <w:hyperlink r:id="rId1" w:history="1">
        <w:r w:rsidRPr="00902855">
          <w:rPr>
            <w:rStyle w:val="Hyperlink"/>
          </w:rPr>
          <w:t>http://www.ictregulationtoolkit.org/en/Section.1254.html</w:t>
        </w:r>
      </w:hyperlink>
      <w:r w:rsidRPr="00902855">
        <w:t>.</w:t>
      </w:r>
      <w:r>
        <w:rPr>
          <w:rFonts w:hint="cs"/>
          <w:rtl/>
        </w:rPr>
        <w:t>.</w:t>
      </w:r>
      <w:r w:rsidRPr="00902855">
        <w:rPr>
          <w:rFonts w:hint="cs"/>
          <w:rtl/>
        </w:rPr>
        <w:t xml:space="preserve"> انظر أيضاً</w:t>
      </w:r>
      <w:r w:rsidRPr="00902855">
        <w:t xml:space="preserve">Mindel De </w:t>
      </w:r>
      <w:smartTag w:uri="urn:schemas-microsoft-com:office:smarttags" w:element="PersonName">
        <w:smartTagPr>
          <w:attr w:name="ProductID" w:val="la Torre"/>
        </w:smartTagPr>
        <w:r w:rsidRPr="00902855">
          <w:t>la Torre</w:t>
        </w:r>
      </w:smartTag>
      <w:r w:rsidRPr="00902855">
        <w:t xml:space="preserve"> and Sofie Maddens, </w:t>
      </w:r>
      <w:r w:rsidRPr="00902855">
        <w:rPr>
          <w:rFonts w:hint="cs"/>
          <w:rtl/>
        </w:rPr>
        <w:t xml:space="preserve"> "</w:t>
      </w:r>
      <w:r>
        <w:rPr>
          <w:rFonts w:hint="eastAsia"/>
          <w:rtl/>
        </w:rPr>
        <w:t> </w:t>
      </w:r>
      <w:r w:rsidRPr="00E84C52">
        <w:rPr>
          <w:rFonts w:hint="cs"/>
          <w:i/>
          <w:iCs/>
          <w:rtl/>
        </w:rPr>
        <w:t>تنظيم انتقالي من القديم إلى الحديث</w:t>
      </w:r>
      <w:r w:rsidRPr="00902855">
        <w:rPr>
          <w:rFonts w:hint="cs"/>
          <w:rtl/>
        </w:rPr>
        <w:t xml:space="preserve">" </w:t>
      </w:r>
      <w:r w:rsidRPr="00951813">
        <w:rPr>
          <w:rFonts w:hint="cs"/>
          <w:i/>
          <w:iCs/>
          <w:rtl/>
        </w:rPr>
        <w:t>في كتيب الاتجاهات في إصلاح الاتصالات</w:t>
      </w:r>
      <w:r w:rsidRPr="00902855">
        <w:rPr>
          <w:rFonts w:hint="cs"/>
          <w:rtl/>
        </w:rPr>
        <w:t xml:space="preserve"> </w:t>
      </w:r>
      <w:r>
        <w:rPr>
          <w:rFonts w:hint="cs"/>
          <w:rtl/>
        </w:rPr>
        <w:t>الصادر</w:t>
      </w:r>
      <w:r w:rsidRPr="00902855">
        <w:rPr>
          <w:rFonts w:hint="cs"/>
          <w:rtl/>
        </w:rPr>
        <w:t xml:space="preserve"> عن الاتحاد الدولي للاتصالات </w:t>
      </w:r>
      <w:r w:rsidRPr="00902855">
        <w:t>2004</w:t>
      </w:r>
      <w:r w:rsidRPr="00902855">
        <w:rPr>
          <w:rFonts w:hint="cs"/>
          <w:rtl/>
        </w:rPr>
        <w:t>/</w:t>
      </w:r>
      <w:r w:rsidRPr="00902855">
        <w:t>2005</w:t>
      </w:r>
      <w:r w:rsidRPr="00902855">
        <w:rPr>
          <w:rFonts w:hint="cs"/>
          <w:rtl/>
        </w:rPr>
        <w:t xml:space="preserve">: </w:t>
      </w:r>
      <w:r w:rsidRPr="00E84C52">
        <w:rPr>
          <w:rFonts w:hint="cs"/>
          <w:i/>
          <w:iCs/>
          <w:rtl/>
        </w:rPr>
        <w:t>منح التراخيص في عصر التقارب</w:t>
      </w:r>
      <w:r w:rsidRPr="00902855">
        <w:rPr>
          <w:rFonts w:hint="cs"/>
          <w:rtl/>
        </w:rPr>
        <w:t xml:space="preserve"> </w:t>
      </w:r>
      <w:r>
        <w:br/>
      </w:r>
      <w:r w:rsidRPr="00902855">
        <w:rPr>
          <w:rFonts w:hint="cs"/>
          <w:rtl/>
        </w:rPr>
        <w:t xml:space="preserve">(ديسمبر </w:t>
      </w:r>
      <w:r w:rsidRPr="00902855">
        <w:t>2004</w:t>
      </w:r>
      <w:r w:rsidRPr="00902855">
        <w:rPr>
          <w:rFonts w:hint="cs"/>
          <w:rtl/>
        </w:rPr>
        <w:t>).</w:t>
      </w:r>
    </w:p>
  </w:footnote>
  <w:footnote w:id="2">
    <w:p w:rsidR="003D4D68" w:rsidRPr="00902855" w:rsidRDefault="003D4D68" w:rsidP="00C476A9">
      <w:pPr>
        <w:pStyle w:val="FOOTNOTE"/>
        <w:rPr>
          <w:rtl/>
        </w:rPr>
      </w:pPr>
      <w:r w:rsidRPr="00782677">
        <w:rPr>
          <w:rStyle w:val="FootnoteReference"/>
          <w:sz w:val="20"/>
        </w:rPr>
        <w:footnoteRef/>
      </w:r>
      <w:r w:rsidRPr="00902855">
        <w:rPr>
          <w:rFonts w:hint="cs"/>
          <w:rtl/>
        </w:rPr>
        <w:tab/>
        <w:t xml:space="preserve">انظر الوثيقة: </w:t>
      </w:r>
      <w:r w:rsidRPr="00902855">
        <w:t>1/123</w:t>
      </w:r>
      <w:r w:rsidRPr="00902855">
        <w:rPr>
          <w:rFonts w:hint="cs"/>
          <w:rtl/>
        </w:rPr>
        <w:t xml:space="preserve">، </w:t>
      </w:r>
      <w:r w:rsidRPr="00E84C52">
        <w:rPr>
          <w:rFonts w:hint="cs"/>
          <w:i/>
          <w:iCs/>
          <w:rtl/>
        </w:rPr>
        <w:t>الاتجاهات التنظيمية لتكييف أُطر منح التراخيص مع بيئة متقاربة</w:t>
      </w:r>
      <w:r w:rsidRPr="00902855">
        <w:rPr>
          <w:rFonts w:hint="cs"/>
          <w:rtl/>
        </w:rPr>
        <w:t xml:space="preserve">، </w:t>
      </w:r>
      <w:r w:rsidRPr="00902855">
        <w:t>11</w:t>
      </w:r>
      <w:r w:rsidRPr="00902855">
        <w:rPr>
          <w:rFonts w:hint="cs"/>
          <w:rtl/>
        </w:rPr>
        <w:t xml:space="preserve"> سبتمبر </w:t>
      </w:r>
      <w:r w:rsidRPr="00902855">
        <w:t>2007</w:t>
      </w:r>
      <w:r>
        <w:rPr>
          <w:rFonts w:hint="cs"/>
          <w:rtl/>
        </w:rPr>
        <w:t>.</w:t>
      </w:r>
    </w:p>
  </w:footnote>
  <w:footnote w:id="3">
    <w:p w:rsidR="003D4D68" w:rsidRPr="00993029" w:rsidRDefault="003D4D68" w:rsidP="00C476A9">
      <w:pPr>
        <w:pStyle w:val="FOOTNOTE"/>
        <w:rPr>
          <w:spacing w:val="-2"/>
          <w:rtl/>
          <w:lang w:val="fr-CH"/>
        </w:rPr>
      </w:pPr>
      <w:r w:rsidRPr="00782677">
        <w:rPr>
          <w:rStyle w:val="FootnoteReference"/>
          <w:spacing w:val="-2"/>
          <w:sz w:val="20"/>
        </w:rPr>
        <w:footnoteRef/>
      </w:r>
      <w:r w:rsidRPr="00993029">
        <w:rPr>
          <w:rFonts w:hint="cs"/>
          <w:spacing w:val="-2"/>
          <w:rtl/>
        </w:rPr>
        <w:tab/>
        <w:t xml:space="preserve">انظر الوثيقة: </w:t>
      </w:r>
      <w:r>
        <w:rPr>
          <w:spacing w:val="-2"/>
        </w:rPr>
        <w:t>1</w:t>
      </w:r>
      <w:r w:rsidRPr="00993029">
        <w:rPr>
          <w:spacing w:val="-2"/>
        </w:rPr>
        <w:t>/123</w:t>
      </w:r>
      <w:r w:rsidRPr="00993029">
        <w:rPr>
          <w:rFonts w:hint="cs"/>
          <w:spacing w:val="-2"/>
          <w:rtl/>
        </w:rPr>
        <w:t xml:space="preserve">، </w:t>
      </w:r>
      <w:r w:rsidRPr="00891002">
        <w:rPr>
          <w:rFonts w:hint="cs"/>
          <w:i/>
          <w:iCs/>
          <w:spacing w:val="-4"/>
          <w:rtl/>
        </w:rPr>
        <w:t>الاتجاهات</w:t>
      </w:r>
      <w:r w:rsidRPr="00951813">
        <w:rPr>
          <w:rFonts w:hint="cs"/>
          <w:i/>
          <w:iCs/>
          <w:spacing w:val="-4"/>
          <w:rtl/>
        </w:rPr>
        <w:t xml:space="preserve"> التنظيمية لتكييف أُطر منح التراخيص مع بيئة متقاربة</w:t>
      </w:r>
      <w:r w:rsidRPr="00993029">
        <w:rPr>
          <w:rFonts w:hint="cs"/>
          <w:spacing w:val="-2"/>
          <w:rtl/>
        </w:rPr>
        <w:t xml:space="preserve">، </w:t>
      </w:r>
      <w:r w:rsidRPr="00993029">
        <w:rPr>
          <w:spacing w:val="-2"/>
        </w:rPr>
        <w:t>11</w:t>
      </w:r>
      <w:r w:rsidRPr="00993029">
        <w:rPr>
          <w:rFonts w:hint="cs"/>
          <w:spacing w:val="-2"/>
          <w:rtl/>
        </w:rPr>
        <w:t xml:space="preserve"> سبتمبر </w:t>
      </w:r>
      <w:r w:rsidRPr="00993029">
        <w:rPr>
          <w:spacing w:val="-2"/>
        </w:rPr>
        <w:t>2007</w:t>
      </w:r>
      <w:r w:rsidRPr="00993029">
        <w:rPr>
          <w:rFonts w:hint="cs"/>
          <w:spacing w:val="-2"/>
          <w:rtl/>
        </w:rPr>
        <w:t>.</w:t>
      </w:r>
    </w:p>
  </w:footnote>
  <w:footnote w:id="4">
    <w:p w:rsidR="003D4D68" w:rsidRPr="00993029" w:rsidRDefault="003D4D68" w:rsidP="00C476A9">
      <w:pPr>
        <w:pStyle w:val="FOOTNOTE"/>
        <w:rPr>
          <w:rtl/>
          <w:lang w:val="fr-CH"/>
        </w:rPr>
      </w:pPr>
      <w:r w:rsidRPr="00782677">
        <w:rPr>
          <w:rStyle w:val="FootnoteReference"/>
          <w:sz w:val="20"/>
        </w:rPr>
        <w:footnoteRef/>
      </w:r>
      <w:r w:rsidRPr="00993029">
        <w:rPr>
          <w:rFonts w:hint="cs"/>
          <w:rtl/>
        </w:rPr>
        <w:tab/>
        <w:t xml:space="preserve">انظر الوثيقة: </w:t>
      </w:r>
      <w:r w:rsidRPr="00993029">
        <w:t>RGQ10-2/1/008</w:t>
      </w:r>
      <w:r w:rsidRPr="00993029">
        <w:rPr>
          <w:rFonts w:hint="cs"/>
          <w:rtl/>
        </w:rPr>
        <w:t xml:space="preserve">، </w:t>
      </w:r>
      <w:r w:rsidRPr="00993029">
        <w:t>10</w:t>
      </w:r>
      <w:r w:rsidRPr="00993029">
        <w:rPr>
          <w:rFonts w:hint="cs"/>
          <w:rtl/>
        </w:rPr>
        <w:t xml:space="preserve"> ديسمبر </w:t>
      </w:r>
      <w:r w:rsidRPr="00993029">
        <w:t>2007</w:t>
      </w:r>
      <w:r w:rsidRPr="00993029">
        <w:rPr>
          <w:rFonts w:hint="cs"/>
          <w:rtl/>
        </w:rPr>
        <w:t>.</w:t>
      </w:r>
    </w:p>
  </w:footnote>
  <w:footnote w:id="5">
    <w:p w:rsidR="003D4D68" w:rsidRPr="00993029" w:rsidRDefault="003D4D68" w:rsidP="00C476A9">
      <w:pPr>
        <w:pStyle w:val="FOOTNOTE"/>
        <w:rPr>
          <w:rtl/>
          <w:lang w:val="fr-CH"/>
        </w:rPr>
      </w:pPr>
      <w:r w:rsidRPr="00782677">
        <w:rPr>
          <w:rStyle w:val="FootnoteReference"/>
          <w:sz w:val="20"/>
        </w:rPr>
        <w:footnoteRef/>
      </w:r>
      <w:r w:rsidRPr="00993029">
        <w:rPr>
          <w:rFonts w:hint="cs"/>
          <w:rtl/>
        </w:rPr>
        <w:tab/>
        <w:t xml:space="preserve">انظر الوثيقة: </w:t>
      </w:r>
      <w:r w:rsidRPr="00993029">
        <w:t>1/178</w:t>
      </w:r>
      <w:r>
        <w:rPr>
          <w:rFonts w:hint="cs"/>
          <w:rtl/>
        </w:rPr>
        <w:t>،</w:t>
      </w:r>
      <w:r w:rsidRPr="00993029">
        <w:rPr>
          <w:rFonts w:hint="cs"/>
          <w:rtl/>
        </w:rPr>
        <w:t xml:space="preserve"> </w:t>
      </w:r>
      <w:r w:rsidRPr="00951813">
        <w:rPr>
          <w:rFonts w:hint="cs"/>
          <w:i/>
          <w:iCs/>
          <w:rtl/>
        </w:rPr>
        <w:t>ممارسات منح التراخيص في بيئة متقاربة لتكنولوجيا المعلومات والاتصالات</w:t>
      </w:r>
      <w:r w:rsidRPr="00993029">
        <w:rPr>
          <w:rFonts w:hint="cs"/>
          <w:rtl/>
        </w:rPr>
        <w:t xml:space="preserve">، </w:t>
      </w:r>
      <w:r w:rsidRPr="00993029">
        <w:t>28</w:t>
      </w:r>
      <w:r w:rsidRPr="00993029">
        <w:rPr>
          <w:rFonts w:hint="cs"/>
          <w:rtl/>
        </w:rPr>
        <w:t xml:space="preserve"> أغسطس </w:t>
      </w:r>
      <w:r w:rsidRPr="00993029">
        <w:t>2008</w:t>
      </w:r>
      <w:r w:rsidRPr="00993029">
        <w:rPr>
          <w:rFonts w:hint="cs"/>
          <w:rtl/>
        </w:rPr>
        <w:t>.</w:t>
      </w:r>
    </w:p>
  </w:footnote>
  <w:footnote w:id="6">
    <w:p w:rsidR="003D4D68" w:rsidRPr="00993029" w:rsidRDefault="003D4D68" w:rsidP="00C476A9">
      <w:pPr>
        <w:pStyle w:val="FOOTNOTE"/>
        <w:jc w:val="left"/>
        <w:rPr>
          <w:rtl/>
        </w:rPr>
      </w:pPr>
      <w:r w:rsidRPr="00782677">
        <w:rPr>
          <w:rStyle w:val="FootnoteReference"/>
          <w:sz w:val="20"/>
        </w:rPr>
        <w:footnoteRef/>
      </w:r>
      <w:r w:rsidRPr="00993029">
        <w:rPr>
          <w:rFonts w:hint="cs"/>
          <w:rtl/>
        </w:rPr>
        <w:tab/>
        <w:t xml:space="preserve">انظر: </w:t>
      </w:r>
      <w:r w:rsidRPr="00993029">
        <w:t>Malaysia Communications and Multimedia Act 1998</w:t>
      </w:r>
      <w:r w:rsidRPr="00993029">
        <w:rPr>
          <w:rFonts w:hint="cs"/>
          <w:rtl/>
        </w:rPr>
        <w:t xml:space="preserve">، المتاح على الموقع: </w:t>
      </w:r>
      <w:r w:rsidRPr="00993029">
        <w:rPr>
          <w:rtl/>
        </w:rPr>
        <w:br/>
      </w:r>
      <w:hyperlink r:id="rId2" w:history="1">
        <w:r w:rsidRPr="00951813">
          <w:rPr>
            <w:rStyle w:val="Hyperlink"/>
          </w:rPr>
          <w:t>http://www.mcmc.gov.my/mcmc/the_law/ViewAct.asp?cc=31478525&amp;lg=e&amp;arid=900722</w:t>
        </w:r>
      </w:hyperlink>
      <w:r w:rsidRPr="00993029">
        <w:rPr>
          <w:rFonts w:hint="cs"/>
          <w:rtl/>
        </w:rPr>
        <w:t>.</w:t>
      </w:r>
    </w:p>
  </w:footnote>
  <w:footnote w:id="7">
    <w:p w:rsidR="003D4D68" w:rsidRPr="00993029" w:rsidRDefault="003D4D68" w:rsidP="00C476A9">
      <w:pPr>
        <w:pStyle w:val="FOOTNOTE"/>
        <w:rPr>
          <w:rtl/>
        </w:rPr>
      </w:pPr>
      <w:r w:rsidRPr="00782677">
        <w:rPr>
          <w:rStyle w:val="FootnoteReference"/>
          <w:sz w:val="20"/>
        </w:rPr>
        <w:footnoteRef/>
      </w:r>
      <w:r w:rsidRPr="00993029">
        <w:tab/>
      </w:r>
      <w:r w:rsidRPr="00993029">
        <w:rPr>
          <w:rFonts w:hint="cs"/>
          <w:rtl/>
        </w:rPr>
        <w:t xml:space="preserve">للحصول على مزيد من التفاصيل بشأن إطار الترخيص المتقارب </w:t>
      </w:r>
      <w:r w:rsidRPr="00993029">
        <w:rPr>
          <w:lang w:val="fr-CH"/>
        </w:rPr>
        <w:t>CFL</w:t>
      </w:r>
      <w:r w:rsidRPr="00993029">
        <w:rPr>
          <w:rFonts w:hint="cs"/>
          <w:rtl/>
        </w:rPr>
        <w:t xml:space="preserve">، انظر مساهمة </w:t>
      </w:r>
      <w:r>
        <w:rPr>
          <w:rFonts w:hint="cs"/>
          <w:rtl/>
        </w:rPr>
        <w:t>تن‍زانيا</w:t>
      </w:r>
      <w:r w:rsidRPr="00993029">
        <w:rPr>
          <w:rFonts w:hint="cs"/>
          <w:rtl/>
        </w:rPr>
        <w:t xml:space="preserve"> بشأن المسألة </w:t>
      </w:r>
      <w:r w:rsidRPr="00993029">
        <w:rPr>
          <w:lang w:val="fr-CH"/>
        </w:rPr>
        <w:t>10-2/1</w:t>
      </w:r>
      <w:r w:rsidRPr="00993029">
        <w:rPr>
          <w:rFonts w:hint="cs"/>
          <w:rtl/>
        </w:rPr>
        <w:t xml:space="preserve"> </w:t>
      </w:r>
      <w:r w:rsidRPr="00891A01">
        <w:rPr>
          <w:i/>
          <w:iCs/>
        </w:rPr>
        <w:t>Tanzania’s Experience in Licensing of Communication Operators under Converged Licensing Framework</w:t>
      </w:r>
      <w:r w:rsidRPr="00993029">
        <w:t>,</w:t>
      </w:r>
      <w:r w:rsidRPr="00993029">
        <w:rPr>
          <w:rFonts w:hint="cs"/>
          <w:rtl/>
        </w:rPr>
        <w:t xml:space="preserve">، الوثيقة </w:t>
      </w:r>
      <w:r w:rsidRPr="00993029">
        <w:rPr>
          <w:lang w:val="fr-CH"/>
        </w:rPr>
        <w:t>RPGQ10 2/1/006</w:t>
      </w:r>
      <w:r w:rsidRPr="00993029">
        <w:rPr>
          <w:rFonts w:hint="cs"/>
          <w:rtl/>
        </w:rPr>
        <w:t xml:space="preserve"> بالإنكليزية (</w:t>
      </w:r>
      <w:r w:rsidRPr="00993029">
        <w:t>31</w:t>
      </w:r>
      <w:r w:rsidRPr="00993029">
        <w:rPr>
          <w:rFonts w:hint="cs"/>
          <w:rtl/>
        </w:rPr>
        <w:t xml:space="preserve"> </w:t>
      </w:r>
      <w:r>
        <w:rPr>
          <w:rtl/>
        </w:rPr>
        <w:br/>
      </w:r>
      <w:r w:rsidRPr="00993029">
        <w:rPr>
          <w:rFonts w:hint="cs"/>
          <w:rtl/>
        </w:rPr>
        <w:t xml:space="preserve">مايو </w:t>
      </w:r>
      <w:r w:rsidRPr="00993029">
        <w:t>2007</w:t>
      </w:r>
      <w:r w:rsidRPr="00993029">
        <w:rPr>
          <w:rFonts w:hint="cs"/>
          <w:rtl/>
        </w:rPr>
        <w:t xml:space="preserve">).  </w:t>
      </w:r>
    </w:p>
  </w:footnote>
  <w:footnote w:id="8">
    <w:p w:rsidR="003D4D68" w:rsidRPr="00993029" w:rsidRDefault="003D4D68" w:rsidP="00880595">
      <w:pPr>
        <w:pStyle w:val="FOOTNOTE"/>
        <w:jc w:val="left"/>
        <w:rPr>
          <w:lang w:val="fr-CH"/>
        </w:rPr>
      </w:pPr>
      <w:r w:rsidRPr="00782677">
        <w:rPr>
          <w:rStyle w:val="FootnoteReference"/>
          <w:sz w:val="20"/>
        </w:rPr>
        <w:footnoteRef/>
      </w:r>
      <w:r w:rsidRPr="00993029">
        <w:tab/>
      </w:r>
      <w:r w:rsidRPr="00993029">
        <w:rPr>
          <w:rFonts w:hint="cs"/>
          <w:rtl/>
        </w:rPr>
        <w:t>انظر</w:t>
      </w:r>
      <w:r w:rsidRPr="00993029">
        <w:t xml:space="preserve">UCC, Communications Licensing Application Guidelines </w:t>
      </w:r>
      <w:r>
        <w:rPr>
          <w:rFonts w:hint="cs"/>
          <w:rtl/>
          <w:lang w:bidi="ar-EG"/>
        </w:rPr>
        <w:t>،</w:t>
      </w:r>
      <w:r w:rsidRPr="00993029">
        <w:rPr>
          <w:rFonts w:hint="cs"/>
          <w:rtl/>
        </w:rPr>
        <w:t xml:space="preserve"> على الموقع:</w:t>
      </w:r>
      <w:r>
        <w:rPr>
          <w:rFonts w:hint="cs"/>
          <w:rtl/>
        </w:rPr>
        <w:t xml:space="preserve"> </w:t>
      </w:r>
      <w:hyperlink r:id="rId3" w:history="1">
        <w:r w:rsidRPr="00891A01">
          <w:rPr>
            <w:rStyle w:val="Hyperlink"/>
            <w:bCs/>
            <w:iCs/>
          </w:rPr>
          <w:t>www.ucc.co.ug/licensing/default.php</w:t>
        </w:r>
      </w:hyperlink>
      <w:r w:rsidRPr="00993029">
        <w:rPr>
          <w:rFonts w:hint="cs"/>
          <w:rtl/>
        </w:rPr>
        <w:t>.</w:t>
      </w:r>
    </w:p>
  </w:footnote>
  <w:footnote w:id="9">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1/178</w:t>
      </w:r>
      <w:r w:rsidRPr="00993029">
        <w:rPr>
          <w:rFonts w:hint="cs"/>
          <w:rtl/>
        </w:rPr>
        <w:t xml:space="preserve">، </w:t>
      </w:r>
      <w:r w:rsidRPr="00F362F0">
        <w:rPr>
          <w:rFonts w:hint="cs"/>
          <w:i/>
          <w:iCs/>
          <w:rtl/>
        </w:rPr>
        <w:t>ممارسات منح التراخيص في بيئة متقاربة لتكنولوجيا المعلومات والاتصالات</w:t>
      </w:r>
      <w:r w:rsidRPr="00993029">
        <w:rPr>
          <w:rFonts w:hint="cs"/>
          <w:rtl/>
        </w:rPr>
        <w:t xml:space="preserve">، </w:t>
      </w:r>
      <w:r w:rsidRPr="00993029">
        <w:t>28</w:t>
      </w:r>
      <w:r w:rsidRPr="00993029">
        <w:rPr>
          <w:rFonts w:hint="cs"/>
          <w:rtl/>
        </w:rPr>
        <w:t xml:space="preserve"> أغسطس </w:t>
      </w:r>
      <w:r w:rsidRPr="00993029">
        <w:t>2008</w:t>
      </w:r>
      <w:r w:rsidRPr="00993029">
        <w:rPr>
          <w:rFonts w:hint="cs"/>
          <w:rtl/>
        </w:rPr>
        <w:t>.</w:t>
      </w:r>
      <w:r w:rsidRPr="00993029">
        <w:rPr>
          <w:rFonts w:hint="cs"/>
          <w:rtl/>
          <w:lang w:val="fr-CH"/>
        </w:rPr>
        <w:t xml:space="preserve"> وقد أدرجت </w:t>
      </w:r>
      <w:r>
        <w:rPr>
          <w:rFonts w:hint="cs"/>
          <w:rtl/>
          <w:lang w:val="fr-CH"/>
        </w:rPr>
        <w:t>تن‍زانيا</w:t>
      </w:r>
      <w:r w:rsidRPr="00993029">
        <w:rPr>
          <w:rFonts w:hint="cs"/>
          <w:rtl/>
          <w:lang w:val="fr-CH"/>
        </w:rPr>
        <w:t xml:space="preserve"> في المجموعة السابقة إذ إن النظام المعتمد هو نظام التراخيص الموحدة.</w:t>
      </w:r>
    </w:p>
  </w:footnote>
  <w:footnote w:id="10">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تعّرف الاتصالات باعتبارها أي إرسال أو بث أو استقبال لرموز أو إشارات أو كتابات أو صور أو أصوات أو معلومات من أي طابع، عن طريق الأسلاك، أو الكهرباء الراديوية أو الوسائط البصرية و/أو غيرها من النظم الإلكترومغنطيسية. المادتان </w:t>
      </w:r>
      <w:r w:rsidRPr="00993029">
        <w:t>3</w:t>
      </w:r>
      <w:r w:rsidRPr="00993029">
        <w:rPr>
          <w:rFonts w:hint="cs"/>
          <w:rtl/>
        </w:rPr>
        <w:t xml:space="preserve"> و</w:t>
      </w:r>
      <w:r w:rsidRPr="00993029">
        <w:rPr>
          <w:lang w:val="fr-CH"/>
        </w:rPr>
        <w:t>1.5</w:t>
      </w:r>
      <w:r w:rsidRPr="00993029">
        <w:rPr>
          <w:rFonts w:hint="cs"/>
          <w:rtl/>
        </w:rPr>
        <w:t xml:space="preserve"> من لوائح ترخيص خدمات الاتصالات. وهذا التعريف مماثل تقريباً لتعريف الاتصالات في الاتحاد الدولي للاتصالات. </w:t>
      </w:r>
    </w:p>
  </w:footnote>
  <w:footnote w:id="11">
    <w:p w:rsidR="003D4D68" w:rsidRDefault="003D4D68" w:rsidP="00C476A9">
      <w:pPr>
        <w:pStyle w:val="FOOTNOTE"/>
        <w:rPr>
          <w:lang w:val="en-US"/>
        </w:rPr>
      </w:pPr>
      <w:r w:rsidRPr="00782677">
        <w:rPr>
          <w:rStyle w:val="FootnoteReference"/>
          <w:sz w:val="20"/>
        </w:rPr>
        <w:footnoteRef/>
      </w:r>
      <w:r w:rsidRPr="00993029">
        <w:rPr>
          <w:rFonts w:hint="cs"/>
          <w:rtl/>
        </w:rPr>
        <w:tab/>
        <w:t xml:space="preserve">الجريدة الرسمية للجماعات الأوروبية، التوجيه </w:t>
      </w:r>
      <w:r w:rsidRPr="00993029">
        <w:rPr>
          <w:lang w:val="en-US"/>
        </w:rPr>
        <w:t>2002/21/EC</w:t>
      </w:r>
      <w:r w:rsidRPr="00993029">
        <w:rPr>
          <w:rFonts w:hint="cs"/>
          <w:rtl/>
          <w:lang w:val="en-US"/>
        </w:rPr>
        <w:t xml:space="preserve"> للبرلمان الأوروبي والمفوضية الأوروبية بتاريخ </w:t>
      </w:r>
      <w:r w:rsidRPr="00993029">
        <w:rPr>
          <w:lang w:val="en-US"/>
        </w:rPr>
        <w:t>7</w:t>
      </w:r>
      <w:r w:rsidRPr="00993029">
        <w:rPr>
          <w:rFonts w:hint="cs"/>
          <w:rtl/>
          <w:lang w:val="en-US"/>
        </w:rPr>
        <w:t xml:space="preserve"> مارس </w:t>
      </w:r>
      <w:r w:rsidRPr="00993029">
        <w:rPr>
          <w:lang w:val="en-US"/>
        </w:rPr>
        <w:t>2002</w:t>
      </w:r>
      <w:r w:rsidRPr="00993029">
        <w:rPr>
          <w:rFonts w:hint="cs"/>
          <w:rtl/>
          <w:lang w:val="en-US"/>
        </w:rPr>
        <w:t xml:space="preserve"> بشأن إطار تنظيمي موحد لشبكات الاتصالات الإلكترونية وخدماتها (توجيه إطاري)،</w:t>
      </w:r>
      <w:r w:rsidRPr="00993029">
        <w:rPr>
          <w:rFonts w:hint="cs"/>
          <w:rtl/>
        </w:rPr>
        <w:t xml:space="preserve"> متاحة على الموقع: </w:t>
      </w:r>
    </w:p>
    <w:p w:rsidR="003D4D68" w:rsidRPr="00993029" w:rsidRDefault="003D4D68" w:rsidP="00C476A9">
      <w:pPr>
        <w:pStyle w:val="FOOTNOTE"/>
        <w:spacing w:before="0"/>
        <w:rPr>
          <w:rtl/>
          <w:lang w:val="fr-CH"/>
        </w:rPr>
      </w:pPr>
      <w:r>
        <w:rPr>
          <w:rFonts w:hint="cs"/>
          <w:rtl/>
        </w:rPr>
        <w:tab/>
      </w:r>
      <w:hyperlink r:id="rId4" w:anchor="reg" w:history="1">
        <w:r w:rsidRPr="00F362F0">
          <w:rPr>
            <w:rStyle w:val="Hyperlink"/>
          </w:rPr>
          <w:t>http://ec.europa.eu/information_society/topics/telecoms/regulatory/new_rf/index_en.htm#reg</w:t>
        </w:r>
      </w:hyperlink>
      <w:r w:rsidRPr="00993029">
        <w:rPr>
          <w:rFonts w:hint="cs"/>
          <w:rtl/>
        </w:rPr>
        <w:t>.</w:t>
      </w:r>
    </w:p>
  </w:footnote>
  <w:footnote w:id="12">
    <w:p w:rsidR="003D4D68" w:rsidRPr="00993029" w:rsidRDefault="003D4D68" w:rsidP="00E70799">
      <w:pPr>
        <w:pStyle w:val="FOOTNOTE"/>
        <w:rPr>
          <w:rtl/>
        </w:rPr>
      </w:pPr>
      <w:r w:rsidRPr="00782677">
        <w:rPr>
          <w:rStyle w:val="FootnoteReference"/>
          <w:sz w:val="20"/>
        </w:rPr>
        <w:footnoteRef/>
      </w:r>
      <w:r w:rsidRPr="00993029">
        <w:tab/>
      </w:r>
      <w:r w:rsidRPr="00993029">
        <w:rPr>
          <w:rFonts w:hint="cs"/>
          <w:rtl/>
        </w:rPr>
        <w:t xml:space="preserve">وفقاً لسلطة تنظيم الاتصالات بالهند </w:t>
      </w:r>
      <w:r w:rsidRPr="00993029">
        <w:rPr>
          <w:lang w:val="fr-CH"/>
        </w:rPr>
        <w:t>TRAI</w:t>
      </w:r>
      <w:r w:rsidRPr="00993029">
        <w:rPr>
          <w:rFonts w:hint="cs"/>
          <w:rtl/>
        </w:rPr>
        <w:t xml:space="preserve">، "ورقة المشاورة بشأن قضايا الترخيص المتعلقة بشبكات الجيل التالي" الصادرة في </w:t>
      </w:r>
      <w:r w:rsidRPr="00993029">
        <w:t>27</w:t>
      </w:r>
      <w:r w:rsidRPr="00993029">
        <w:rPr>
          <w:rFonts w:hint="cs"/>
          <w:rtl/>
        </w:rPr>
        <w:t xml:space="preserve"> يناير </w:t>
      </w:r>
      <w:r w:rsidRPr="00993029">
        <w:t>200</w:t>
      </w:r>
      <w:r>
        <w:t>9</w:t>
      </w:r>
      <w:r w:rsidRPr="00993029">
        <w:rPr>
          <w:rFonts w:hint="cs"/>
          <w:rtl/>
        </w:rPr>
        <w:t xml:space="preserve">، لم توافق الحكومة على توصيات السلطة </w:t>
      </w:r>
      <w:r w:rsidRPr="00993029">
        <w:rPr>
          <w:lang w:val="fr-CH"/>
        </w:rPr>
        <w:t>TRAI</w:t>
      </w:r>
      <w:r w:rsidRPr="00993029">
        <w:rPr>
          <w:rFonts w:hint="cs"/>
          <w:rtl/>
        </w:rPr>
        <w:t xml:space="preserve"> بشأن نظام الترخيص الموحد. (المشاورة متاحة على الموقع التالي: </w:t>
      </w:r>
      <w:hyperlink r:id="rId5" w:history="1">
        <w:r w:rsidRPr="004E4367">
          <w:rPr>
            <w:rStyle w:val="Hyperlink"/>
            <w:lang w:val="en-US"/>
          </w:rPr>
          <w:t>http://www.trai.gov.in/WriteReadData/trai/upload/ConsultationPapers/163/ cpaper27jan09no3.pdf</w:t>
        </w:r>
      </w:hyperlink>
      <w:r w:rsidRPr="00993029">
        <w:rPr>
          <w:rFonts w:hint="cs"/>
          <w:rtl/>
          <w:lang w:val="en-US"/>
        </w:rPr>
        <w:t>.</w:t>
      </w:r>
      <w:r w:rsidRPr="00993029">
        <w:rPr>
          <w:rFonts w:hint="cs"/>
          <w:rtl/>
        </w:rPr>
        <w:t xml:space="preserve"> واعتباراً من </w:t>
      </w:r>
      <w:r w:rsidRPr="00993029">
        <w:t>24</w:t>
      </w:r>
      <w:r w:rsidRPr="00993029">
        <w:rPr>
          <w:rFonts w:hint="cs"/>
          <w:rtl/>
        </w:rPr>
        <w:t xml:space="preserve"> مارس </w:t>
      </w:r>
      <w:r w:rsidRPr="00993029">
        <w:t>2009</w:t>
      </w:r>
      <w:r w:rsidRPr="00993029">
        <w:rPr>
          <w:rFonts w:hint="cs"/>
          <w:rtl/>
        </w:rPr>
        <w:t xml:space="preserve"> نشرت سلطة تنظيم الاتصالات في الهند "تعليقات أصحاب المصلحة المستلمة بشأن ورقة المشاورة المعنية بقضايا الترخيص المتعلقة بشبكات الجيل التالي </w:t>
      </w:r>
      <w:r w:rsidRPr="00993029">
        <w:rPr>
          <w:lang w:val="fr-CH"/>
        </w:rPr>
        <w:t>(NGN)</w:t>
      </w:r>
      <w:r w:rsidRPr="00993029">
        <w:rPr>
          <w:rFonts w:hint="cs"/>
          <w:rtl/>
          <w:lang w:val="fr-CH"/>
        </w:rPr>
        <w:t xml:space="preserve"> (متاحة على الموقع:</w:t>
      </w:r>
      <w:hyperlink r:id="rId6" w:history="1">
        <w:r w:rsidRPr="004E4367">
          <w:rPr>
            <w:rStyle w:val="Hyperlink"/>
            <w:lang w:val="en-US"/>
          </w:rPr>
          <w:t>http://www.trai.gov.in/ConsultationPapers_content.asp</w:t>
        </w:r>
      </w:hyperlink>
      <w:r w:rsidRPr="00993029">
        <w:rPr>
          <w:rFonts w:hint="cs"/>
          <w:rtl/>
        </w:rPr>
        <w:t>.</w:t>
      </w:r>
    </w:p>
  </w:footnote>
  <w:footnote w:id="13">
    <w:p w:rsidR="003D4D68" w:rsidRDefault="003D4D68" w:rsidP="00C476A9">
      <w:pPr>
        <w:pStyle w:val="FOOTNOTE"/>
        <w:jc w:val="left"/>
        <w:rPr>
          <w:rtl/>
        </w:rPr>
      </w:pPr>
      <w:r w:rsidRPr="00782677">
        <w:rPr>
          <w:rStyle w:val="FootnoteReference"/>
          <w:sz w:val="20"/>
        </w:rPr>
        <w:footnoteRef/>
      </w:r>
      <w:r w:rsidRPr="00993029">
        <w:tab/>
      </w:r>
      <w:r w:rsidRPr="00993029">
        <w:rPr>
          <w:rFonts w:hint="cs"/>
          <w:rtl/>
        </w:rPr>
        <w:t xml:space="preserve">انظر توصيات </w:t>
      </w:r>
      <w:r w:rsidRPr="00993029">
        <w:rPr>
          <w:lang w:val="fr-CH"/>
        </w:rPr>
        <w:t>TRAI</w:t>
      </w:r>
      <w:r w:rsidRPr="00993029">
        <w:rPr>
          <w:rFonts w:hint="cs"/>
          <w:rtl/>
        </w:rPr>
        <w:t xml:space="preserve"> </w:t>
      </w:r>
      <w:r w:rsidRPr="00711A24">
        <w:rPr>
          <w:rFonts w:hint="cs"/>
          <w:i/>
          <w:iCs/>
          <w:rtl/>
        </w:rPr>
        <w:t>بشأن الترخيص الموحد</w:t>
      </w:r>
      <w:r w:rsidRPr="00993029">
        <w:rPr>
          <w:rFonts w:hint="cs"/>
          <w:rtl/>
        </w:rPr>
        <w:t xml:space="preserve"> (</w:t>
      </w:r>
      <w:r w:rsidRPr="00993029">
        <w:t>13</w:t>
      </w:r>
      <w:r w:rsidRPr="00993029">
        <w:rPr>
          <w:rFonts w:hint="cs"/>
          <w:rtl/>
        </w:rPr>
        <w:t xml:space="preserve"> يناير </w:t>
      </w:r>
      <w:r w:rsidRPr="00993029">
        <w:t>2005</w:t>
      </w:r>
      <w:r w:rsidRPr="00993029">
        <w:rPr>
          <w:rFonts w:hint="cs"/>
          <w:rtl/>
        </w:rPr>
        <w:t>)، متاح على الموقع:</w:t>
      </w:r>
    </w:p>
    <w:p w:rsidR="003D4D68" w:rsidRPr="00993029" w:rsidRDefault="003D4D68" w:rsidP="00E70799">
      <w:pPr>
        <w:pStyle w:val="FOOTNOTE"/>
        <w:rPr>
          <w:rtl/>
        </w:rPr>
      </w:pPr>
      <w:r>
        <w:tab/>
      </w:r>
      <w:r w:rsidRPr="00993029">
        <w:t xml:space="preserve"> </w:t>
      </w:r>
      <w:hyperlink r:id="rId7" w:history="1">
        <w:r w:rsidRPr="00AF4E61">
          <w:rPr>
            <w:rStyle w:val="Hyperlink"/>
          </w:rPr>
          <w:t>http://www.trai.gov.in/trai/upload/Recommendations/13/recom13jan05.pdf</w:t>
        </w:r>
      </w:hyperlink>
      <w:r w:rsidRPr="00993029">
        <w:rPr>
          <w:rFonts w:hint="cs"/>
          <w:rtl/>
        </w:rPr>
        <w:t xml:space="preserve">. انظر أيضاً الوثيقة </w:t>
      </w:r>
      <w:r w:rsidRPr="00993029">
        <w:t>1/123</w:t>
      </w:r>
      <w:r w:rsidRPr="00993029">
        <w:rPr>
          <w:rFonts w:hint="cs"/>
          <w:rtl/>
        </w:rPr>
        <w:t xml:space="preserve">، </w:t>
      </w:r>
      <w:r w:rsidRPr="00711A24">
        <w:rPr>
          <w:rFonts w:hint="cs"/>
          <w:i/>
          <w:iCs/>
          <w:spacing w:val="-4"/>
          <w:rtl/>
        </w:rPr>
        <w:t>الاتجاهات التنظيمية لتكييف أُطر منح التراخيص مع بيئة متقاربة</w:t>
      </w:r>
      <w:r w:rsidRPr="00993029">
        <w:rPr>
          <w:rFonts w:hint="cs"/>
          <w:rtl/>
        </w:rPr>
        <w:t xml:space="preserve">، </w:t>
      </w:r>
      <w:r w:rsidRPr="00993029">
        <w:t>11</w:t>
      </w:r>
      <w:r w:rsidRPr="00993029">
        <w:rPr>
          <w:rFonts w:hint="cs"/>
          <w:rtl/>
        </w:rPr>
        <w:t xml:space="preserve"> سبتمبر </w:t>
      </w:r>
      <w:r w:rsidRPr="00993029">
        <w:t>2007</w:t>
      </w:r>
      <w:r w:rsidRPr="00993029">
        <w:rPr>
          <w:rFonts w:hint="cs"/>
          <w:rtl/>
        </w:rPr>
        <w:t>.</w:t>
      </w:r>
    </w:p>
  </w:footnote>
  <w:footnote w:id="14">
    <w:p w:rsidR="003D4D68" w:rsidRPr="00993029" w:rsidRDefault="003D4D68" w:rsidP="00C476A9">
      <w:pPr>
        <w:pStyle w:val="FOOTNOTE"/>
        <w:rPr>
          <w:rtl/>
        </w:rPr>
      </w:pPr>
      <w:r w:rsidRPr="00782677">
        <w:rPr>
          <w:rStyle w:val="FootnoteReference"/>
          <w:sz w:val="20"/>
        </w:rPr>
        <w:footnoteRef/>
      </w:r>
      <w:r w:rsidRPr="00993029">
        <w:tab/>
      </w:r>
      <w:r w:rsidRPr="00993029">
        <w:rPr>
          <w:rFonts w:hint="cs"/>
          <w:rtl/>
        </w:rPr>
        <w:t xml:space="preserve">قانون الاتصالات في نيجيريا لعام </w:t>
      </w:r>
      <w:r w:rsidRPr="00993029">
        <w:t>2003</w:t>
      </w:r>
      <w:r w:rsidRPr="00993029">
        <w:rPr>
          <w:rFonts w:hint="cs"/>
          <w:rtl/>
        </w:rPr>
        <w:t xml:space="preserve">. متاح أيضاً على الموقع: </w:t>
      </w:r>
      <w:hyperlink r:id="rId8" w:history="1">
        <w:r w:rsidRPr="0010588A">
          <w:rPr>
            <w:rStyle w:val="Hyperlink"/>
            <w:lang w:val="en-US"/>
          </w:rPr>
          <w:t>http://www.ncc.gov.ng/index4.htm</w:t>
        </w:r>
      </w:hyperlink>
      <w:r w:rsidRPr="00993029">
        <w:rPr>
          <w:rFonts w:hint="cs"/>
          <w:rtl/>
        </w:rPr>
        <w:t>.</w:t>
      </w:r>
    </w:p>
  </w:footnote>
  <w:footnote w:id="15">
    <w:p w:rsidR="003D4D68" w:rsidRPr="00993029" w:rsidRDefault="003D4D68" w:rsidP="00C476A9">
      <w:pPr>
        <w:pStyle w:val="FOOTNOTE"/>
        <w:jc w:val="left"/>
        <w:rPr>
          <w:rtl/>
        </w:rPr>
      </w:pPr>
      <w:r w:rsidRPr="00782677">
        <w:rPr>
          <w:rStyle w:val="FootnoteReference"/>
          <w:sz w:val="20"/>
        </w:rPr>
        <w:footnoteRef/>
      </w:r>
      <w:r w:rsidRPr="00993029">
        <w:tab/>
      </w:r>
      <w:r w:rsidRPr="00993029">
        <w:rPr>
          <w:rFonts w:hint="cs"/>
          <w:rtl/>
        </w:rPr>
        <w:t>انظر لجنة الاتصالات في نيجيريا، إطار الترخيص لخدمة النفاذ الموحدة في نيجيريا، على الموقع:</w:t>
      </w:r>
      <w:r w:rsidRPr="00993029">
        <w:t xml:space="preserve"> </w:t>
      </w:r>
      <w:hyperlink r:id="rId9" w:history="1">
        <w:r w:rsidRPr="0010588A">
          <w:rPr>
            <w:rStyle w:val="Hyperlink"/>
            <w:lang w:val="en-US"/>
          </w:rPr>
          <w:t>http://www.ncc.gov.ng/RegulatorFramework/unifiedLicensingFramework.htm</w:t>
        </w:r>
      </w:hyperlink>
      <w:r w:rsidRPr="00993029">
        <w:rPr>
          <w:rFonts w:hint="cs"/>
          <w:rtl/>
        </w:rPr>
        <w:t>.</w:t>
      </w:r>
    </w:p>
  </w:footnote>
  <w:footnote w:id="16">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التوجيه </w:t>
      </w:r>
      <w:r w:rsidRPr="00993029">
        <w:t>2002/21/EC</w:t>
      </w:r>
      <w:r w:rsidRPr="00993029">
        <w:rPr>
          <w:rFonts w:hint="cs"/>
          <w:rtl/>
        </w:rPr>
        <w:t xml:space="preserve"> للبرلمان والمجلس الأوروبي الصادر في </w:t>
      </w:r>
      <w:r w:rsidRPr="00993029">
        <w:t>7</w:t>
      </w:r>
      <w:r w:rsidRPr="00993029">
        <w:rPr>
          <w:rFonts w:hint="cs"/>
          <w:rtl/>
        </w:rPr>
        <w:t xml:space="preserve"> مارس </w:t>
      </w:r>
      <w:r w:rsidRPr="00993029">
        <w:t>2002</w:t>
      </w:r>
      <w:r w:rsidRPr="00993029">
        <w:rPr>
          <w:rFonts w:hint="cs"/>
          <w:rtl/>
        </w:rPr>
        <w:t xml:space="preserve"> بشأن وضع إطار تنظيمي مشترك للشبكات وخدمات الاتصالات الإلكترونية (توجيهات بشأن الإطار) والتوجيه </w:t>
      </w:r>
      <w:r w:rsidRPr="00993029">
        <w:t>2002/20/CE</w:t>
      </w:r>
      <w:r w:rsidRPr="00993029">
        <w:rPr>
          <w:rFonts w:hint="cs"/>
          <w:rtl/>
        </w:rPr>
        <w:t xml:space="preserve"> الصادر في </w:t>
      </w:r>
      <w:r w:rsidRPr="00993029">
        <w:t>7</w:t>
      </w:r>
      <w:r w:rsidRPr="00993029">
        <w:rPr>
          <w:rFonts w:hint="cs"/>
          <w:rtl/>
        </w:rPr>
        <w:t xml:space="preserve"> مارس </w:t>
      </w:r>
      <w:r w:rsidRPr="00993029">
        <w:t>2002</w:t>
      </w:r>
      <w:r w:rsidRPr="00993029">
        <w:rPr>
          <w:rFonts w:hint="cs"/>
          <w:rtl/>
        </w:rPr>
        <w:t xml:space="preserve"> بشأن تصاريح خدمات وشبكات الاتصالات الإلكترونية (توجيهات بشأن التخويل).</w:t>
      </w:r>
    </w:p>
  </w:footnote>
  <w:footnote w:id="17">
    <w:p w:rsidR="003D4D68" w:rsidRPr="00DE28F9" w:rsidRDefault="003D4D68" w:rsidP="00C476A9">
      <w:pPr>
        <w:pStyle w:val="FOOTNOTE"/>
        <w:spacing w:line="240" w:lineRule="auto"/>
        <w:rPr>
          <w:lang w:val="en-US"/>
        </w:rPr>
      </w:pPr>
      <w:r w:rsidRPr="00782677">
        <w:rPr>
          <w:rStyle w:val="FootnoteReference"/>
          <w:sz w:val="20"/>
        </w:rPr>
        <w:footnoteRef/>
      </w:r>
      <w:r w:rsidRPr="00993029">
        <w:tab/>
      </w:r>
      <w:r w:rsidRPr="00993029">
        <w:rPr>
          <w:rFonts w:hint="cs"/>
          <w:rtl/>
        </w:rPr>
        <w:t xml:space="preserve">القانون </w:t>
      </w:r>
      <w:r w:rsidRPr="00993029">
        <w:t>47</w:t>
      </w:r>
      <w:r w:rsidRPr="00993029">
        <w:rPr>
          <w:rFonts w:hint="cs"/>
          <w:rtl/>
        </w:rPr>
        <w:t xml:space="preserve"> للاتصالات في الولايات المتحدة، المادة </w:t>
      </w:r>
      <w:r w:rsidRPr="00993029">
        <w:rPr>
          <w:lang w:val="en-US"/>
        </w:rPr>
        <w:t>230(b)</w:t>
      </w:r>
      <w:r w:rsidRPr="00993029">
        <w:rPr>
          <w:rFonts w:hint="cs"/>
          <w:rtl/>
          <w:lang w:val="en-US"/>
        </w:rPr>
        <w:t xml:space="preserve"> </w:t>
      </w:r>
      <w:r w:rsidRPr="00993029">
        <w:rPr>
          <w:rFonts w:hint="cs"/>
          <w:rtl/>
        </w:rPr>
        <w:t>انظر أيضاً فيما يتعلق بالمودم الكبلي وخدمات النطاق العريض السلكية:</w:t>
      </w:r>
      <w:r>
        <w:rPr>
          <w:rtl/>
        </w:rPr>
        <w:br/>
      </w:r>
      <w:r w:rsidRPr="00993029">
        <w:t xml:space="preserve">(i) </w:t>
      </w:r>
      <w:r w:rsidRPr="00DE28F9">
        <w:rPr>
          <w:i/>
          <w:iCs/>
        </w:rPr>
        <w:t>In Re Inquiry Concerning High-Speed Access to the Internet Over Cable and Other Facilities and Internet Over Cable Declaratory, and Appropriate Regulatory Treatment for Broadband Access to the Internet Over Cable Facilities, and Appropriate Framework for Broadband Access to the Internet Over Cable Facilities</w:t>
      </w:r>
      <w:r w:rsidRPr="00993029">
        <w:t xml:space="preserve">, Declaratory Rulling and Notice of Proposed Rulemaking (NPRM), GN Docket No. 00-185, and CS Docket No. 02-52 (FCC released March 15, 2002); and (ii) </w:t>
      </w:r>
      <w:r w:rsidRPr="00DE28F9">
        <w:rPr>
          <w:i/>
          <w:iCs/>
        </w:rPr>
        <w:t>In Re Appropraite Framework for Broadband Access to the Internet Over Wireline Facilities; Universal Service Obligations of Broadband Providers; and associated dockets</w:t>
      </w:r>
      <w:r w:rsidRPr="00993029">
        <w:t>, Report an</w:t>
      </w:r>
      <w:r>
        <w:t>d Order and NPRM, CC Docket No.</w:t>
      </w:r>
      <w:r w:rsidRPr="00993029">
        <w:t>02</w:t>
      </w:r>
      <w:r>
        <w:noBreakHyphen/>
      </w:r>
      <w:r w:rsidRPr="00993029">
        <w:t>33, CC Docket No 01-337 et al. (F</w:t>
      </w:r>
      <w:r>
        <w:t>CC released September 23, 2005).</w:t>
      </w:r>
    </w:p>
  </w:footnote>
  <w:footnote w:id="18">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 10-2/1/020</w:t>
      </w:r>
      <w:r w:rsidRPr="00993029">
        <w:rPr>
          <w:rFonts w:hint="cs"/>
          <w:rtl/>
        </w:rPr>
        <w:t xml:space="preserve"> بتاريخ </w:t>
      </w:r>
      <w:r w:rsidRPr="00993029">
        <w:t>2</w:t>
      </w:r>
      <w:r w:rsidRPr="00993029">
        <w:rPr>
          <w:rFonts w:hint="cs"/>
          <w:rtl/>
        </w:rPr>
        <w:t xml:space="preserve"> مارس </w:t>
      </w:r>
      <w:r w:rsidRPr="00993029">
        <w:t>2009</w:t>
      </w:r>
      <w:r w:rsidRPr="00993029">
        <w:rPr>
          <w:rFonts w:hint="cs"/>
          <w:rtl/>
        </w:rPr>
        <w:t xml:space="preserve">.  </w:t>
      </w:r>
    </w:p>
  </w:footnote>
  <w:footnote w:id="19">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RGQ10-2/1/023</w:t>
      </w:r>
      <w:r w:rsidRPr="00993029">
        <w:rPr>
          <w:rFonts w:hint="cs"/>
          <w:rtl/>
          <w:lang w:val="fr-CH"/>
        </w:rPr>
        <w:t xml:space="preserve">، بتاريخ </w:t>
      </w:r>
      <w:r w:rsidRPr="00993029">
        <w:rPr>
          <w:lang w:val="fr-CH"/>
        </w:rPr>
        <w:t>9</w:t>
      </w:r>
      <w:r w:rsidRPr="00993029">
        <w:rPr>
          <w:rFonts w:hint="cs"/>
          <w:rtl/>
          <w:lang w:val="fr-CH"/>
        </w:rPr>
        <w:t xml:space="preserve"> مارس </w:t>
      </w:r>
      <w:r w:rsidRPr="00993029">
        <w:rPr>
          <w:lang w:val="fr-CH"/>
        </w:rPr>
        <w:t>2009</w:t>
      </w:r>
      <w:r w:rsidRPr="00993029">
        <w:rPr>
          <w:rFonts w:hint="cs"/>
          <w:rtl/>
          <w:lang w:val="fr-CH"/>
        </w:rPr>
        <w:t xml:space="preserve">. </w:t>
      </w:r>
      <w:r w:rsidRPr="00993029">
        <w:rPr>
          <w:rFonts w:hint="cs"/>
          <w:rtl/>
        </w:rPr>
        <w:t xml:space="preserve">  </w:t>
      </w:r>
    </w:p>
  </w:footnote>
  <w:footnote w:id="20">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القانون </w:t>
      </w:r>
      <w:r w:rsidRPr="00993029">
        <w:t>L/2005/018/AN</w:t>
      </w:r>
      <w:r w:rsidRPr="00993029">
        <w:rPr>
          <w:rFonts w:hint="cs"/>
          <w:rtl/>
        </w:rPr>
        <w:t xml:space="preserve"> المعدل لأحكام القانون </w:t>
      </w:r>
      <w:r w:rsidRPr="00993029">
        <w:t>L/92/016/CTRN</w:t>
      </w:r>
      <w:r w:rsidRPr="00993029">
        <w:rPr>
          <w:rFonts w:hint="cs"/>
          <w:rtl/>
        </w:rPr>
        <w:t xml:space="preserve"> المتعلق بالتنظيم العام للاتصالات؛ القانون </w:t>
      </w:r>
      <w:r w:rsidRPr="00993029">
        <w:t>L/2005/019/AN</w:t>
      </w:r>
      <w:r w:rsidRPr="00993029">
        <w:rPr>
          <w:rFonts w:hint="cs"/>
          <w:rtl/>
        </w:rPr>
        <w:t xml:space="preserve"> بتاريخ </w:t>
      </w:r>
      <w:r w:rsidRPr="00993029">
        <w:t>8</w:t>
      </w:r>
      <w:r w:rsidRPr="00993029">
        <w:rPr>
          <w:rFonts w:hint="cs"/>
          <w:rtl/>
        </w:rPr>
        <w:t xml:space="preserve"> سبتمبر </w:t>
      </w:r>
      <w:r w:rsidRPr="00993029">
        <w:t>2008</w:t>
      </w:r>
      <w:r w:rsidRPr="00993029">
        <w:rPr>
          <w:rFonts w:hint="cs"/>
          <w:rtl/>
        </w:rPr>
        <w:t xml:space="preserve"> المعدل لأحكام القانون </w:t>
      </w:r>
      <w:r w:rsidRPr="00993029">
        <w:t>L/95/018/CRTN</w:t>
      </w:r>
      <w:r w:rsidRPr="00993029">
        <w:rPr>
          <w:rFonts w:hint="cs"/>
          <w:rtl/>
        </w:rPr>
        <w:t xml:space="preserve"> بشأن تنظيم الاتصالات الراديوية في جمهورية غينيا.</w:t>
      </w:r>
    </w:p>
  </w:footnote>
  <w:footnote w:id="21">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RGQ10-2/1/009</w:t>
      </w:r>
      <w:r w:rsidRPr="00993029">
        <w:rPr>
          <w:rFonts w:hint="cs"/>
          <w:rtl/>
          <w:lang w:val="fr-CH"/>
        </w:rPr>
        <w:t xml:space="preserve">، بتاريخ </w:t>
      </w:r>
      <w:r w:rsidRPr="00993029">
        <w:rPr>
          <w:lang w:val="fr-CH"/>
        </w:rPr>
        <w:t>13</w:t>
      </w:r>
      <w:r w:rsidRPr="00993029">
        <w:rPr>
          <w:rFonts w:hint="cs"/>
          <w:rtl/>
          <w:lang w:val="fr-CH"/>
        </w:rPr>
        <w:t xml:space="preserve"> ديسمبر </w:t>
      </w:r>
      <w:r w:rsidRPr="00993029">
        <w:rPr>
          <w:lang w:val="fr-CH"/>
        </w:rPr>
        <w:t>2007</w:t>
      </w:r>
      <w:r w:rsidRPr="00993029">
        <w:rPr>
          <w:rFonts w:hint="cs"/>
          <w:rtl/>
          <w:lang w:val="fr-CH"/>
        </w:rPr>
        <w:t xml:space="preserve">. </w:t>
      </w:r>
      <w:r w:rsidRPr="00993029">
        <w:rPr>
          <w:rFonts w:hint="cs"/>
          <w:rtl/>
        </w:rPr>
        <w:t xml:space="preserve">  </w:t>
      </w:r>
    </w:p>
  </w:footnote>
  <w:footnote w:id="22">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RGQ10-2/1/010</w:t>
      </w:r>
      <w:r w:rsidRPr="00993029">
        <w:rPr>
          <w:rFonts w:hint="cs"/>
          <w:rtl/>
          <w:lang w:val="fr-CH"/>
        </w:rPr>
        <w:t xml:space="preserve">، بتاريخ </w:t>
      </w:r>
      <w:r w:rsidRPr="00993029">
        <w:rPr>
          <w:lang w:val="fr-CH"/>
        </w:rPr>
        <w:t>13</w:t>
      </w:r>
      <w:r w:rsidRPr="00993029">
        <w:rPr>
          <w:rFonts w:hint="cs"/>
          <w:rtl/>
          <w:lang w:val="fr-CH"/>
        </w:rPr>
        <w:t xml:space="preserve"> ديسمبر </w:t>
      </w:r>
      <w:r w:rsidRPr="00993029">
        <w:rPr>
          <w:lang w:val="fr-CH"/>
        </w:rPr>
        <w:t>2007</w:t>
      </w:r>
      <w:r w:rsidRPr="00993029">
        <w:rPr>
          <w:rFonts w:hint="cs"/>
          <w:rtl/>
          <w:lang w:val="fr-CH"/>
        </w:rPr>
        <w:t>.</w:t>
      </w:r>
    </w:p>
  </w:footnote>
  <w:footnote w:id="23">
    <w:p w:rsidR="003D4D68" w:rsidRPr="00352EF2" w:rsidRDefault="003D4D68" w:rsidP="00C476A9">
      <w:pPr>
        <w:pStyle w:val="FOOTNOTE"/>
        <w:tabs>
          <w:tab w:val="right" w:pos="9639"/>
        </w:tabs>
        <w:rPr>
          <w:rtl/>
          <w:lang w:val="en-US"/>
        </w:rPr>
      </w:pPr>
      <w:r w:rsidRPr="00782677">
        <w:rPr>
          <w:rStyle w:val="FootnoteReference"/>
          <w:sz w:val="20"/>
        </w:rPr>
        <w:footnoteRef/>
      </w:r>
      <w:r w:rsidRPr="00352EF2">
        <w:rPr>
          <w:rFonts w:hint="cs"/>
          <w:rtl/>
        </w:rPr>
        <w:tab/>
        <w:t>انظر:</w:t>
      </w:r>
      <w:r w:rsidRPr="00352EF2">
        <w:t>The telecom sector names IPTV as a broadband convergence service, and the broadcasting sector as a fixed multimedia service</w:t>
      </w:r>
      <w:r w:rsidRPr="00352EF2">
        <w:rPr>
          <w:lang w:val="fr-CH"/>
        </w:rPr>
        <w:t>.</w:t>
      </w:r>
    </w:p>
  </w:footnote>
  <w:footnote w:id="24">
    <w:p w:rsidR="003D4D68" w:rsidRPr="00993029" w:rsidRDefault="003D4D68" w:rsidP="00C476A9">
      <w:pPr>
        <w:pStyle w:val="FOOTNOTE"/>
      </w:pPr>
      <w:r w:rsidRPr="00782677">
        <w:rPr>
          <w:rStyle w:val="FootnoteReference"/>
          <w:sz w:val="20"/>
        </w:rPr>
        <w:footnoteRef/>
      </w:r>
      <w:r w:rsidRPr="00993029">
        <w:rPr>
          <w:rFonts w:hint="cs"/>
          <w:rtl/>
        </w:rPr>
        <w:tab/>
        <w:t xml:space="preserve">انظر الوثيقة: </w:t>
      </w:r>
      <w:r w:rsidRPr="00993029">
        <w:rPr>
          <w:lang w:val="fr-CH"/>
        </w:rPr>
        <w:t>RGQ10-2/1/014</w:t>
      </w:r>
      <w:r w:rsidRPr="00993029">
        <w:rPr>
          <w:rFonts w:hint="cs"/>
          <w:rtl/>
          <w:lang w:val="fr-CH"/>
        </w:rPr>
        <w:t xml:space="preserve">، بتاريخ </w:t>
      </w:r>
      <w:r w:rsidRPr="00993029">
        <w:rPr>
          <w:lang w:val="fr-CH"/>
        </w:rPr>
        <w:t>5</w:t>
      </w:r>
      <w:r w:rsidRPr="00993029">
        <w:rPr>
          <w:rFonts w:hint="cs"/>
          <w:rtl/>
          <w:lang w:val="fr-CH"/>
        </w:rPr>
        <w:t xml:space="preserve"> يناير </w:t>
      </w:r>
      <w:r w:rsidRPr="00993029">
        <w:rPr>
          <w:lang w:val="fr-CH"/>
        </w:rPr>
        <w:t>2008</w:t>
      </w:r>
      <w:r w:rsidRPr="00993029">
        <w:rPr>
          <w:rFonts w:hint="cs"/>
          <w:rtl/>
          <w:lang w:val="fr-CH"/>
        </w:rPr>
        <w:t xml:space="preserve">. </w:t>
      </w:r>
    </w:p>
  </w:footnote>
  <w:footnote w:id="25">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RGQ10-2/1/016</w:t>
      </w:r>
      <w:r w:rsidRPr="00993029">
        <w:rPr>
          <w:rFonts w:hint="cs"/>
          <w:rtl/>
          <w:lang w:val="fr-CH"/>
        </w:rPr>
        <w:t xml:space="preserve">، بتاريخ </w:t>
      </w:r>
      <w:r w:rsidRPr="00993029">
        <w:rPr>
          <w:lang w:val="fr-CH"/>
        </w:rPr>
        <w:t>21</w:t>
      </w:r>
      <w:r w:rsidRPr="00993029">
        <w:rPr>
          <w:rFonts w:hint="cs"/>
          <w:rtl/>
          <w:lang w:val="fr-CH"/>
        </w:rPr>
        <w:t xml:space="preserve"> فبراير </w:t>
      </w:r>
      <w:r w:rsidRPr="00993029">
        <w:rPr>
          <w:lang w:val="fr-CH"/>
        </w:rPr>
        <w:t>2008</w:t>
      </w:r>
      <w:r w:rsidRPr="00993029">
        <w:rPr>
          <w:rFonts w:hint="cs"/>
          <w:rtl/>
          <w:lang w:val="fr-CH"/>
        </w:rPr>
        <w:t>.</w:t>
      </w:r>
    </w:p>
  </w:footnote>
  <w:footnote w:id="26">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RGQ10-2/1/021</w:t>
      </w:r>
      <w:r w:rsidRPr="00993029">
        <w:rPr>
          <w:rFonts w:hint="cs"/>
          <w:rtl/>
          <w:lang w:val="fr-CH"/>
        </w:rPr>
        <w:t xml:space="preserve">، بتاريخ </w:t>
      </w:r>
      <w:r w:rsidRPr="00993029">
        <w:rPr>
          <w:lang w:val="fr-CH"/>
        </w:rPr>
        <w:t>25</w:t>
      </w:r>
      <w:r w:rsidRPr="00993029">
        <w:rPr>
          <w:rFonts w:hint="cs"/>
          <w:rtl/>
          <w:lang w:val="fr-CH"/>
        </w:rPr>
        <w:t xml:space="preserve"> فبراير </w:t>
      </w:r>
      <w:r w:rsidRPr="00993029">
        <w:rPr>
          <w:lang w:val="fr-CH"/>
        </w:rPr>
        <w:t>2009</w:t>
      </w:r>
      <w:r w:rsidRPr="00993029">
        <w:rPr>
          <w:rFonts w:hint="cs"/>
          <w:rtl/>
          <w:lang w:val="fr-CH"/>
        </w:rPr>
        <w:t>.</w:t>
      </w:r>
    </w:p>
  </w:footnote>
  <w:footnote w:id="27">
    <w:p w:rsidR="003D4D68" w:rsidRPr="00993029" w:rsidRDefault="003D4D68" w:rsidP="00C476A9">
      <w:pPr>
        <w:pStyle w:val="FOOTNOTE"/>
      </w:pPr>
      <w:r w:rsidRPr="00782677">
        <w:rPr>
          <w:rStyle w:val="FootnoteReference"/>
          <w:sz w:val="20"/>
        </w:rPr>
        <w:footnoteRef/>
      </w:r>
      <w:r w:rsidRPr="00993029">
        <w:rPr>
          <w:rFonts w:hint="cs"/>
          <w:rtl/>
        </w:rPr>
        <w:tab/>
        <w:t xml:space="preserve">انظر الوثيقة: </w:t>
      </w:r>
      <w:r w:rsidRPr="00993029">
        <w:rPr>
          <w:lang w:val="fr-CH"/>
        </w:rPr>
        <w:t>RGQ 10-2/1/021</w:t>
      </w:r>
      <w:r w:rsidRPr="00993029">
        <w:rPr>
          <w:rFonts w:hint="cs"/>
          <w:rtl/>
          <w:lang w:val="fr-CH"/>
        </w:rPr>
        <w:t xml:space="preserve"> بتاريخ </w:t>
      </w:r>
      <w:r w:rsidRPr="00993029">
        <w:rPr>
          <w:lang w:val="fr-CH"/>
        </w:rPr>
        <w:t>25</w:t>
      </w:r>
      <w:r w:rsidRPr="00993029">
        <w:rPr>
          <w:rFonts w:hint="cs"/>
          <w:rtl/>
          <w:lang w:val="fr-CH"/>
        </w:rPr>
        <w:t xml:space="preserve"> فبراير </w:t>
      </w:r>
      <w:r w:rsidRPr="00993029">
        <w:rPr>
          <w:lang w:val="fr-CH"/>
        </w:rPr>
        <w:t>2009</w:t>
      </w:r>
      <w:r w:rsidRPr="00993029">
        <w:rPr>
          <w:rFonts w:hint="cs"/>
          <w:rtl/>
          <w:lang w:val="fr-CH"/>
        </w:rPr>
        <w:t>.</w:t>
      </w:r>
    </w:p>
  </w:footnote>
  <w:footnote w:id="28">
    <w:p w:rsidR="003D4D68" w:rsidRPr="00993029" w:rsidRDefault="003D4D68" w:rsidP="00C476A9">
      <w:pPr>
        <w:pStyle w:val="FOOTNOTE"/>
        <w:rPr>
          <w:rtl/>
          <w:lang w:val="fr-CH"/>
        </w:rPr>
      </w:pPr>
      <w:r w:rsidRPr="00782677">
        <w:rPr>
          <w:rStyle w:val="FootnoteReference"/>
          <w:sz w:val="20"/>
        </w:rPr>
        <w:footnoteRef/>
      </w:r>
      <w:r w:rsidRPr="00993029">
        <w:rPr>
          <w:rFonts w:hint="cs"/>
          <w:rtl/>
          <w:lang w:val="fr-CH"/>
        </w:rPr>
        <w:tab/>
      </w:r>
      <w:r w:rsidRPr="00993029">
        <w:rPr>
          <w:rFonts w:hint="cs"/>
          <w:rtl/>
        </w:rPr>
        <w:t xml:space="preserve">انظر الوثيقة: </w:t>
      </w:r>
      <w:r w:rsidRPr="00993029">
        <w:rPr>
          <w:lang w:val="fr-CH"/>
        </w:rPr>
        <w:t>1/048</w:t>
      </w:r>
      <w:r w:rsidRPr="00993029">
        <w:rPr>
          <w:rFonts w:hint="cs"/>
          <w:rtl/>
          <w:lang w:val="fr-CH"/>
        </w:rPr>
        <w:t xml:space="preserve">، بتاريخ </w:t>
      </w:r>
      <w:r w:rsidRPr="00993029">
        <w:rPr>
          <w:lang w:val="fr-CH"/>
        </w:rPr>
        <w:t>6</w:t>
      </w:r>
      <w:r w:rsidRPr="00993029">
        <w:rPr>
          <w:rFonts w:hint="cs"/>
          <w:rtl/>
          <w:lang w:val="fr-CH"/>
        </w:rPr>
        <w:t xml:space="preserve"> سبتمبر </w:t>
      </w:r>
      <w:r w:rsidRPr="00993029">
        <w:rPr>
          <w:lang w:val="fr-CH"/>
        </w:rPr>
        <w:t>2006</w:t>
      </w:r>
      <w:r w:rsidRPr="00993029">
        <w:rPr>
          <w:rFonts w:hint="cs"/>
          <w:rtl/>
          <w:lang w:val="fr-CH"/>
        </w:rPr>
        <w:t xml:space="preserve">. </w:t>
      </w:r>
    </w:p>
  </w:footnote>
  <w:footnote w:id="29">
    <w:p w:rsidR="003D4D68" w:rsidRPr="00993029" w:rsidRDefault="003D4D68" w:rsidP="00C476A9">
      <w:pPr>
        <w:pStyle w:val="FOOTNOTE"/>
        <w:rPr>
          <w:rtl/>
        </w:rPr>
      </w:pPr>
      <w:r w:rsidRPr="00782677">
        <w:rPr>
          <w:rStyle w:val="FootnoteReference"/>
          <w:sz w:val="20"/>
        </w:rPr>
        <w:footnoteRef/>
      </w:r>
      <w:r w:rsidRPr="00993029">
        <w:rPr>
          <w:rFonts w:hint="cs"/>
          <w:rtl/>
        </w:rPr>
        <w:tab/>
        <w:t xml:space="preserve">انظر الوثيقة: </w:t>
      </w:r>
      <w:r w:rsidRPr="00993029">
        <w:rPr>
          <w:lang w:val="fr-CH"/>
        </w:rPr>
        <w:t>RGQ 10-2/1/022</w:t>
      </w:r>
      <w:r w:rsidRPr="00993029">
        <w:rPr>
          <w:rFonts w:hint="cs"/>
          <w:rtl/>
          <w:lang w:val="fr-CH"/>
        </w:rPr>
        <w:t xml:space="preserve"> بتاريخ </w:t>
      </w:r>
      <w:r w:rsidRPr="00993029">
        <w:rPr>
          <w:lang w:val="fr-CH"/>
        </w:rPr>
        <w:t>18</w:t>
      </w:r>
      <w:r w:rsidRPr="00993029">
        <w:rPr>
          <w:rFonts w:hint="cs"/>
          <w:rtl/>
          <w:lang w:val="fr-CH"/>
        </w:rPr>
        <w:t xml:space="preserve"> مارس </w:t>
      </w:r>
      <w:r w:rsidRPr="00993029">
        <w:rPr>
          <w:lang w:val="fr-CH"/>
        </w:rPr>
        <w:t>2009</w:t>
      </w:r>
      <w:r w:rsidRPr="00993029">
        <w:rPr>
          <w:rFonts w:hint="cs"/>
          <w:rtl/>
          <w:lang w:val="fr-CH"/>
        </w:rPr>
        <w:t xml:space="preserve">. </w:t>
      </w:r>
    </w:p>
  </w:footnote>
  <w:footnote w:id="30">
    <w:p w:rsidR="003D4D68" w:rsidRPr="00993029" w:rsidRDefault="003D4D68" w:rsidP="00C476A9">
      <w:pPr>
        <w:pStyle w:val="FOOTNOTE"/>
      </w:pPr>
      <w:r w:rsidRPr="00782677">
        <w:rPr>
          <w:rStyle w:val="FootnoteReference"/>
          <w:sz w:val="20"/>
        </w:rPr>
        <w:footnoteRef/>
      </w:r>
      <w:r w:rsidRPr="00993029">
        <w:rPr>
          <w:rFonts w:hint="cs"/>
          <w:rtl/>
        </w:rPr>
        <w:tab/>
        <w:t xml:space="preserve">انظر الوثيقة: </w:t>
      </w:r>
      <w:r w:rsidRPr="00993029">
        <w:rPr>
          <w:lang w:val="fr-CH"/>
        </w:rPr>
        <w:t>RGQ 10-2/1/012</w:t>
      </w:r>
      <w:r w:rsidRPr="00993029">
        <w:rPr>
          <w:rFonts w:hint="cs"/>
          <w:rtl/>
          <w:lang w:val="fr-CH"/>
        </w:rPr>
        <w:t xml:space="preserve"> بتاريخ </w:t>
      </w:r>
      <w:r w:rsidRPr="00993029">
        <w:rPr>
          <w:lang w:val="fr-CH"/>
        </w:rPr>
        <w:t>18</w:t>
      </w:r>
      <w:r w:rsidRPr="00993029">
        <w:rPr>
          <w:rFonts w:hint="cs"/>
          <w:rtl/>
          <w:lang w:val="fr-CH"/>
        </w:rPr>
        <w:t xml:space="preserve"> يناير </w:t>
      </w:r>
      <w:r w:rsidRPr="00993029">
        <w:rPr>
          <w:lang w:val="fr-CH"/>
        </w:rPr>
        <w:t>2008</w:t>
      </w:r>
      <w:r w:rsidRPr="00993029">
        <w:rPr>
          <w:rFonts w:hint="cs"/>
          <w:rtl/>
          <w:lang w:val="fr-CH"/>
        </w:rPr>
        <w:t xml:space="preserve">. </w:t>
      </w:r>
    </w:p>
  </w:footnote>
  <w:footnote w:id="31">
    <w:p w:rsidR="003D4D68" w:rsidRPr="00993029" w:rsidRDefault="003D4D68" w:rsidP="00C476A9">
      <w:pPr>
        <w:pStyle w:val="FOOTNOTE"/>
        <w:rPr>
          <w:rtl/>
        </w:rPr>
      </w:pPr>
      <w:r w:rsidRPr="00782677">
        <w:rPr>
          <w:rStyle w:val="FootnoteReference"/>
          <w:sz w:val="20"/>
        </w:rPr>
        <w:footnoteRef/>
      </w:r>
      <w:r w:rsidRPr="00993029">
        <w:rPr>
          <w:rFonts w:hint="cs"/>
          <w:rtl/>
        </w:rPr>
        <w:tab/>
      </w:r>
      <w:r w:rsidRPr="00A97CC4">
        <w:rPr>
          <w:rFonts w:hint="cs"/>
          <w:i/>
          <w:iCs/>
          <w:rtl/>
        </w:rPr>
        <w:t xml:space="preserve">القانون رقم </w:t>
      </w:r>
      <w:r w:rsidRPr="00A97CC4">
        <w:rPr>
          <w:i/>
          <w:iCs/>
        </w:rPr>
        <w:t>098</w:t>
      </w:r>
      <w:r w:rsidRPr="00A97CC4">
        <w:rPr>
          <w:rFonts w:hint="cs"/>
          <w:i/>
          <w:iCs/>
          <w:rtl/>
        </w:rPr>
        <w:t xml:space="preserve"> الصادر في </w:t>
      </w:r>
      <w:r w:rsidRPr="00A97CC4">
        <w:rPr>
          <w:i/>
          <w:iCs/>
        </w:rPr>
        <w:t>14</w:t>
      </w:r>
      <w:r w:rsidRPr="00A97CC4">
        <w:rPr>
          <w:rFonts w:hint="cs"/>
          <w:i/>
          <w:iCs/>
          <w:rtl/>
        </w:rPr>
        <w:t xml:space="preserve"> يوليه </w:t>
      </w:r>
      <w:r w:rsidRPr="00A97CC4">
        <w:rPr>
          <w:i/>
          <w:iCs/>
        </w:rPr>
        <w:t>1998</w:t>
      </w:r>
      <w:r w:rsidRPr="00A97CC4">
        <w:rPr>
          <w:rFonts w:hint="cs"/>
          <w:i/>
          <w:iCs/>
          <w:rtl/>
        </w:rPr>
        <w:t xml:space="preserve"> المنظم للاتصالات في الكاميرون</w:t>
      </w:r>
      <w:r w:rsidRPr="00993029">
        <w:rPr>
          <w:rFonts w:hint="cs"/>
          <w:rtl/>
        </w:rPr>
        <w:t xml:space="preserve">. </w:t>
      </w:r>
      <w:r w:rsidRPr="00993029">
        <w:rPr>
          <w:rFonts w:hint="cs"/>
          <w:rtl/>
          <w:lang w:val="fr-CH"/>
        </w:rPr>
        <w:t xml:space="preserve"> </w:t>
      </w:r>
    </w:p>
  </w:footnote>
  <w:footnote w:id="32">
    <w:p w:rsidR="003D4D68" w:rsidRPr="00993029" w:rsidRDefault="003D4D68" w:rsidP="00C476A9">
      <w:pPr>
        <w:pStyle w:val="FOOTNOTE"/>
        <w:tabs>
          <w:tab w:val="left" w:pos="4826"/>
        </w:tabs>
        <w:rPr>
          <w:rtl/>
        </w:rPr>
      </w:pPr>
      <w:r w:rsidRPr="00782677">
        <w:rPr>
          <w:rStyle w:val="FootnoteReference"/>
          <w:sz w:val="20"/>
        </w:rPr>
        <w:footnoteRef/>
      </w:r>
      <w:r w:rsidRPr="00993029">
        <w:rPr>
          <w:rFonts w:hint="cs"/>
          <w:rtl/>
        </w:rPr>
        <w:tab/>
        <w:t xml:space="preserve">انظر الوثيقة: </w:t>
      </w:r>
      <w:r w:rsidRPr="00993029">
        <w:rPr>
          <w:lang w:val="fr-CH"/>
        </w:rPr>
        <w:t>1/036 (Rev.1)</w:t>
      </w:r>
      <w:r w:rsidRPr="00993029">
        <w:rPr>
          <w:rFonts w:hint="cs"/>
          <w:rtl/>
          <w:lang w:val="fr-CH"/>
        </w:rPr>
        <w:t xml:space="preserve">، بتاريخ </w:t>
      </w:r>
      <w:r w:rsidRPr="00993029">
        <w:rPr>
          <w:lang w:val="fr-CH"/>
        </w:rPr>
        <w:t>29</w:t>
      </w:r>
      <w:r w:rsidRPr="00993029">
        <w:rPr>
          <w:rFonts w:hint="cs"/>
          <w:rtl/>
          <w:lang w:val="fr-CH"/>
        </w:rPr>
        <w:t xml:space="preserve"> أغسطس </w:t>
      </w:r>
      <w:r w:rsidRPr="00993029">
        <w:rPr>
          <w:lang w:val="fr-CH"/>
        </w:rPr>
        <w:t>2006</w:t>
      </w:r>
      <w:r w:rsidRPr="00993029">
        <w:rPr>
          <w:rFonts w:hint="cs"/>
          <w:rtl/>
          <w:lang w:val="fr-CH"/>
        </w:rPr>
        <w:t xml:space="preserve">. </w:t>
      </w:r>
    </w:p>
  </w:footnote>
  <w:footnote w:id="33">
    <w:p w:rsidR="003D4D68" w:rsidRPr="00993029" w:rsidRDefault="003D4D68" w:rsidP="00C476A9">
      <w:pPr>
        <w:pStyle w:val="FOOTNOTE"/>
        <w:rPr>
          <w:rtl/>
          <w:lang w:val="fr-CH"/>
        </w:rPr>
      </w:pPr>
      <w:r w:rsidRPr="00782677">
        <w:rPr>
          <w:rStyle w:val="FootnoteReference"/>
          <w:sz w:val="20"/>
        </w:rPr>
        <w:footnoteRef/>
      </w:r>
      <w:r w:rsidRPr="00993029">
        <w:rPr>
          <w:rFonts w:hint="cs"/>
          <w:rtl/>
          <w:lang w:val="fr-CH"/>
        </w:rPr>
        <w:tab/>
      </w:r>
      <w:r w:rsidRPr="00993029">
        <w:rPr>
          <w:rFonts w:hint="cs"/>
          <w:rtl/>
        </w:rPr>
        <w:t xml:space="preserve">انظر الوثيقة: </w:t>
      </w:r>
      <w:r w:rsidRPr="00993029">
        <w:rPr>
          <w:lang w:val="fr-CH"/>
        </w:rPr>
        <w:t>1/014</w:t>
      </w:r>
      <w:r w:rsidRPr="00993029">
        <w:rPr>
          <w:rFonts w:hint="cs"/>
          <w:rtl/>
          <w:lang w:val="fr-CH"/>
        </w:rPr>
        <w:t xml:space="preserve"> بتاريخ </w:t>
      </w:r>
      <w:r w:rsidRPr="00993029">
        <w:rPr>
          <w:lang w:val="fr-CH"/>
        </w:rPr>
        <w:t>5</w:t>
      </w:r>
      <w:r w:rsidRPr="00993029">
        <w:rPr>
          <w:rFonts w:hint="cs"/>
          <w:rtl/>
          <w:lang w:val="fr-CH"/>
        </w:rPr>
        <w:t xml:space="preserve"> يوليه </w:t>
      </w:r>
      <w:r w:rsidRPr="00993029">
        <w:rPr>
          <w:lang w:val="fr-CH"/>
        </w:rPr>
        <w:t>2006</w:t>
      </w:r>
      <w:r w:rsidRPr="00993029">
        <w:rPr>
          <w:rFonts w:hint="cs"/>
          <w:rtl/>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Pr="00C55454" w:rsidRDefault="003D4D68" w:rsidP="00C55454">
    <w:pPr>
      <w:pStyle w:val="Header"/>
      <w:tabs>
        <w:tab w:val="center" w:pos="4819"/>
      </w:tabs>
      <w:jc w:val="left"/>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Pr="0099607C" w:rsidRDefault="003D4D68" w:rsidP="0099607C">
    <w:pPr>
      <w:pStyle w:val="Header"/>
      <w:rPr>
        <w:rFonts w:cs="Simplified Arabic"/>
        <w:color w:val="808080"/>
        <w:sz w:val="40"/>
        <w:szCs w:val="40"/>
        <w:lang w:val="en-US"/>
      </w:rPr>
    </w:pPr>
    <w:r w:rsidRPr="0099607C">
      <w:rPr>
        <w:rFonts w:cs="Simplified Arabic"/>
        <w:color w:val="808080"/>
        <w:sz w:val="40"/>
        <w:szCs w:val="40"/>
        <w:rtl/>
      </w:rPr>
      <w:t>الاتح</w:t>
    </w:r>
    <w:r w:rsidRPr="0099607C">
      <w:rPr>
        <w:rFonts w:cs="Simplified Arabic" w:hint="cs"/>
        <w:color w:val="808080"/>
        <w:sz w:val="40"/>
        <w:szCs w:val="40"/>
        <w:rtl/>
        <w:lang w:bidi="ar-EG"/>
      </w:rPr>
      <w:t>ـ</w:t>
    </w:r>
    <w:r w:rsidRPr="0099607C">
      <w:rPr>
        <w:rFonts w:cs="Simplified Arabic"/>
        <w:color w:val="808080"/>
        <w:sz w:val="40"/>
        <w:szCs w:val="40"/>
        <w:rtl/>
      </w:rPr>
      <w:t>اد الدول</w:t>
    </w:r>
    <w:r w:rsidRPr="0099607C">
      <w:rPr>
        <w:rFonts w:cs="Simplified Arabic" w:hint="cs"/>
        <w:color w:val="808080"/>
        <w:sz w:val="40"/>
        <w:szCs w:val="40"/>
        <w:rtl/>
      </w:rPr>
      <w:t>ـ</w:t>
    </w:r>
    <w:r w:rsidRPr="0099607C">
      <w:rPr>
        <w:rFonts w:cs="Simplified Arabic"/>
        <w:color w:val="808080"/>
        <w:sz w:val="40"/>
        <w:szCs w:val="40"/>
        <w:rtl/>
      </w:rPr>
      <w:t>ي للاتص</w:t>
    </w:r>
    <w:r w:rsidRPr="0099607C">
      <w:rPr>
        <w:rFonts w:cs="Simplified Arabic" w:hint="cs"/>
        <w:color w:val="808080"/>
        <w:sz w:val="40"/>
        <w:szCs w:val="40"/>
        <w:rtl/>
      </w:rPr>
      <w:t>ـ</w:t>
    </w:r>
    <w:r w:rsidRPr="0099607C">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Pr="00E72812" w:rsidRDefault="003D4D68" w:rsidP="00AF4DEE">
    <w:pPr>
      <w:tabs>
        <w:tab w:val="clear" w:pos="794"/>
        <w:tab w:val="clear" w:pos="1191"/>
        <w:tab w:val="clear" w:pos="1588"/>
        <w:tab w:val="clear" w:pos="1985"/>
        <w:tab w:val="center" w:pos="4820"/>
        <w:tab w:val="right" w:pos="9639"/>
      </w:tabs>
      <w:spacing w:before="0"/>
      <w:jc w:val="left"/>
      <w:rPr>
        <w:rFonts w:eastAsia="SimHei"/>
        <w:bCs/>
        <w:w w:val="110"/>
        <w:szCs w:val="18"/>
        <w:lang w:val="en-US" w:bidi="ar-EG"/>
      </w:rPr>
    </w:pPr>
  </w:p>
  <w:p w:rsidR="003D4D68" w:rsidRPr="00AF4DEE" w:rsidRDefault="003D4D68" w:rsidP="00AF4DEE">
    <w:pPr>
      <w:pStyle w:val="Header"/>
      <w:bidi w:val="0"/>
      <w:jc w:val="right"/>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Pr="00C55454" w:rsidRDefault="0010681B" w:rsidP="00BF3003">
    <w:pPr>
      <w:pStyle w:val="Header"/>
      <w:tabs>
        <w:tab w:val="center" w:pos="4819"/>
      </w:tabs>
      <w:jc w:val="left"/>
      <w:rPr>
        <w:sz w:val="19"/>
      </w:rPr>
    </w:pPr>
    <w:sdt>
      <w:sdtPr>
        <w:rPr>
          <w:rtl/>
        </w:rPr>
        <w:id w:val="227417538"/>
        <w:docPartObj>
          <w:docPartGallery w:val="Page Numbers (Top of Page)"/>
          <w:docPartUnique/>
        </w:docPartObj>
      </w:sdtPr>
      <w:sdtContent>
        <w:r w:rsidRPr="004E497F">
          <w:rPr>
            <w:rFonts w:asciiTheme="majorBidi" w:hAnsiTheme="majorBidi" w:cstheme="majorBidi"/>
            <w:szCs w:val="22"/>
          </w:rPr>
          <w:fldChar w:fldCharType="begin"/>
        </w:r>
        <w:r w:rsidR="003D4D68" w:rsidRPr="004E497F">
          <w:rPr>
            <w:rFonts w:asciiTheme="majorBidi" w:hAnsiTheme="majorBidi" w:cstheme="majorBidi"/>
            <w:szCs w:val="22"/>
          </w:rPr>
          <w:instrText xml:space="preserve"> PAGE   \* MERGEFORMAT </w:instrText>
        </w:r>
        <w:r w:rsidRPr="004E497F">
          <w:rPr>
            <w:rFonts w:asciiTheme="majorBidi" w:hAnsiTheme="majorBidi" w:cstheme="majorBidi"/>
            <w:szCs w:val="22"/>
          </w:rPr>
          <w:fldChar w:fldCharType="separate"/>
        </w:r>
        <w:r w:rsidR="0002593C">
          <w:rPr>
            <w:rFonts w:asciiTheme="majorBidi" w:hAnsiTheme="majorBidi" w:cstheme="majorBidi"/>
            <w:noProof/>
            <w:szCs w:val="22"/>
          </w:rPr>
          <w:t>iv</w:t>
        </w:r>
        <w:r w:rsidRPr="004E497F">
          <w:rPr>
            <w:rFonts w:asciiTheme="majorBidi" w:hAnsiTheme="majorBidi" w:cstheme="majorBidi"/>
            <w:szCs w:val="22"/>
          </w:rPr>
          <w:fldChar w:fldCharType="end"/>
        </w:r>
      </w:sdtContent>
    </w:sdt>
    <w:r w:rsidR="003D4D68">
      <w:tab/>
    </w:r>
    <w:r w:rsidR="003D4D68" w:rsidRPr="00C55454">
      <w:rPr>
        <w:rFonts w:hint="cs"/>
        <w:rtl/>
      </w:rPr>
      <w:t>المسألة</w:t>
    </w:r>
    <w:r w:rsidR="003D4D68" w:rsidRPr="00C55454">
      <w:rPr>
        <w:rFonts w:hint="cs"/>
        <w:b w:val="0"/>
        <w:bCs w:val="0"/>
        <w:rtl/>
        <w:lang w:bidi="ar-EG"/>
      </w:rPr>
      <w:t xml:space="preserve"> </w:t>
    </w:r>
    <w:r w:rsidR="003D4D68">
      <w:rPr>
        <w:b w:val="0"/>
        <w:bCs w:val="0"/>
        <w:lang w:val="en-US" w:bidi="ar-EG"/>
      </w:rPr>
      <w:t>6</w:t>
    </w:r>
    <w:r w:rsidR="003D4D68" w:rsidRPr="00C55454">
      <w:rPr>
        <w:b w:val="0"/>
        <w:bCs w:val="0"/>
        <w:lang w:val="en-US" w:bidi="ar-EG"/>
      </w:rPr>
      <w:t>-</w:t>
    </w:r>
    <w:r w:rsidR="003D4D68">
      <w:rPr>
        <w:b w:val="0"/>
        <w:bCs w:val="0"/>
        <w:lang w:val="en-US" w:bidi="ar-EG"/>
      </w:rPr>
      <w:t>2/1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227417539"/>
      <w:docPartObj>
        <w:docPartGallery w:val="Page Numbers (Top of Page)"/>
        <w:docPartUnique/>
      </w:docPartObj>
    </w:sdtPr>
    <w:sdtContent>
      <w:p w:rsidR="003D4D68" w:rsidRPr="00C55454" w:rsidRDefault="003D4D68" w:rsidP="00EA0AFB">
        <w:pPr>
          <w:pStyle w:val="Header"/>
          <w:tabs>
            <w:tab w:val="center" w:pos="4819"/>
            <w:tab w:val="right" w:pos="9639"/>
          </w:tabs>
          <w:jc w:val="left"/>
          <w:rPr>
            <w:b w:val="0"/>
            <w:bCs w:val="0"/>
          </w:rPr>
        </w:pPr>
        <w:r w:rsidRPr="00C55454">
          <w:rPr>
            <w:b w:val="0"/>
            <w:bCs w:val="0"/>
          </w:rPr>
          <w:tab/>
        </w:r>
        <w:r w:rsidRPr="00C55454">
          <w:rPr>
            <w:rFonts w:hint="cs"/>
            <w:rtl/>
          </w:rPr>
          <w:t>المسألة</w:t>
        </w:r>
        <w:r w:rsidRPr="00C55454">
          <w:rPr>
            <w:rFonts w:hint="cs"/>
            <w:b w:val="0"/>
            <w:bCs w:val="0"/>
            <w:rtl/>
            <w:lang w:bidi="ar-EG"/>
          </w:rPr>
          <w:t xml:space="preserve"> </w:t>
        </w:r>
        <w:r>
          <w:rPr>
            <w:b w:val="0"/>
            <w:bCs w:val="0"/>
            <w:lang w:val="en-US" w:bidi="ar-EG"/>
          </w:rPr>
          <w:t>10</w:t>
        </w:r>
        <w:r w:rsidRPr="00C55454">
          <w:rPr>
            <w:b w:val="0"/>
            <w:bCs w:val="0"/>
            <w:lang w:val="en-US" w:bidi="ar-EG"/>
          </w:rPr>
          <w:t>-</w:t>
        </w:r>
        <w:r>
          <w:rPr>
            <w:b w:val="0"/>
            <w:bCs w:val="0"/>
            <w:lang w:val="en-US" w:bidi="ar-EG"/>
          </w:rPr>
          <w:t>2/1</w:t>
        </w:r>
        <w:r w:rsidRPr="00C55454">
          <w:rPr>
            <w:b w:val="0"/>
            <w:bCs w:val="0"/>
          </w:rPr>
          <w:tab/>
        </w:r>
        <w:r w:rsidR="0010681B" w:rsidRPr="00C55454">
          <w:rPr>
            <w:b w:val="0"/>
            <w:bCs w:val="0"/>
          </w:rPr>
          <w:fldChar w:fldCharType="begin"/>
        </w:r>
        <w:r w:rsidRPr="00C55454">
          <w:rPr>
            <w:b w:val="0"/>
            <w:bCs w:val="0"/>
          </w:rPr>
          <w:instrText xml:space="preserve"> PAGE   \* MERGEFORMAT </w:instrText>
        </w:r>
        <w:r w:rsidR="0010681B" w:rsidRPr="00C55454">
          <w:rPr>
            <w:b w:val="0"/>
            <w:bCs w:val="0"/>
          </w:rPr>
          <w:fldChar w:fldCharType="separate"/>
        </w:r>
        <w:r w:rsidR="0002593C">
          <w:rPr>
            <w:b w:val="0"/>
            <w:bCs w:val="0"/>
            <w:noProof/>
          </w:rPr>
          <w:t>v</w:t>
        </w:r>
        <w:r w:rsidR="0010681B" w:rsidRPr="00C55454">
          <w:rPr>
            <w:b w:val="0"/>
            <w:bCs w:val="0"/>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68" w:rsidRPr="00C55454" w:rsidRDefault="0010681B" w:rsidP="00EA0AFB">
    <w:pPr>
      <w:pStyle w:val="Header"/>
      <w:tabs>
        <w:tab w:val="center" w:pos="4819"/>
      </w:tabs>
      <w:jc w:val="left"/>
      <w:rPr>
        <w:sz w:val="19"/>
      </w:rPr>
    </w:pPr>
    <w:sdt>
      <w:sdtPr>
        <w:rPr>
          <w:rtl/>
        </w:rPr>
        <w:id w:val="77985751"/>
        <w:docPartObj>
          <w:docPartGallery w:val="Page Numbers (Top of Page)"/>
          <w:docPartUnique/>
        </w:docPartObj>
      </w:sdtPr>
      <w:sdtContent>
        <w:r w:rsidRPr="004E497F">
          <w:rPr>
            <w:rFonts w:asciiTheme="majorBidi" w:hAnsiTheme="majorBidi" w:cstheme="majorBidi"/>
            <w:szCs w:val="22"/>
          </w:rPr>
          <w:fldChar w:fldCharType="begin"/>
        </w:r>
        <w:r w:rsidR="003D4D68" w:rsidRPr="004E497F">
          <w:rPr>
            <w:rFonts w:asciiTheme="majorBidi" w:hAnsiTheme="majorBidi" w:cstheme="majorBidi"/>
            <w:szCs w:val="22"/>
          </w:rPr>
          <w:instrText xml:space="preserve"> PAGE   \* MERGEFORMAT </w:instrText>
        </w:r>
        <w:r w:rsidRPr="004E497F">
          <w:rPr>
            <w:rFonts w:asciiTheme="majorBidi" w:hAnsiTheme="majorBidi" w:cstheme="majorBidi"/>
            <w:szCs w:val="22"/>
          </w:rPr>
          <w:fldChar w:fldCharType="separate"/>
        </w:r>
        <w:r w:rsidR="0002593C">
          <w:rPr>
            <w:rFonts w:asciiTheme="majorBidi" w:hAnsiTheme="majorBidi" w:cstheme="majorBidi"/>
            <w:noProof/>
            <w:szCs w:val="22"/>
            <w:rtl/>
          </w:rPr>
          <w:t>16</w:t>
        </w:r>
        <w:r w:rsidRPr="004E497F">
          <w:rPr>
            <w:rFonts w:asciiTheme="majorBidi" w:hAnsiTheme="majorBidi" w:cstheme="majorBidi"/>
            <w:szCs w:val="22"/>
          </w:rPr>
          <w:fldChar w:fldCharType="end"/>
        </w:r>
      </w:sdtContent>
    </w:sdt>
    <w:r w:rsidR="003D4D68">
      <w:tab/>
    </w:r>
    <w:r w:rsidR="003D4D68" w:rsidRPr="00C55454">
      <w:rPr>
        <w:rFonts w:hint="cs"/>
        <w:rtl/>
      </w:rPr>
      <w:t>المسألة</w:t>
    </w:r>
    <w:r w:rsidR="003D4D68" w:rsidRPr="00C55454">
      <w:rPr>
        <w:rFonts w:hint="cs"/>
        <w:b w:val="0"/>
        <w:bCs w:val="0"/>
        <w:rtl/>
        <w:lang w:bidi="ar-EG"/>
      </w:rPr>
      <w:t xml:space="preserve"> </w:t>
    </w:r>
    <w:r w:rsidR="003D4D68">
      <w:rPr>
        <w:b w:val="0"/>
        <w:bCs w:val="0"/>
        <w:lang w:val="en-US" w:bidi="ar-EG"/>
      </w:rPr>
      <w:t>10</w:t>
    </w:r>
    <w:r w:rsidR="003D4D68" w:rsidRPr="00C55454">
      <w:rPr>
        <w:b w:val="0"/>
        <w:bCs w:val="0"/>
        <w:lang w:val="en-US" w:bidi="ar-EG"/>
      </w:rPr>
      <w:t>-</w:t>
    </w:r>
    <w:r w:rsidR="003D4D68">
      <w:rPr>
        <w:b w:val="0"/>
        <w:bCs w:val="0"/>
        <w:lang w:val="en-US" w:bidi="ar-EG"/>
      </w:rPr>
      <w:t>2/1</w:t>
    </w:r>
  </w:p>
  <w:p w:rsidR="003D4D68" w:rsidRDefault="003D4D6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val="0"/>
        <w:rtl/>
      </w:rPr>
      <w:id w:val="77985735"/>
      <w:docPartObj>
        <w:docPartGallery w:val="Page Numbers (Top of Page)"/>
        <w:docPartUnique/>
      </w:docPartObj>
    </w:sdtPr>
    <w:sdtEndPr>
      <w:rPr>
        <w:rFonts w:asciiTheme="majorBidi" w:hAnsiTheme="majorBidi" w:cstheme="majorBidi"/>
        <w:b/>
        <w:bCs/>
        <w:szCs w:val="22"/>
      </w:rPr>
    </w:sdtEndPr>
    <w:sdtContent>
      <w:p w:rsidR="003D4D68" w:rsidRPr="00C55454" w:rsidRDefault="003D4D68" w:rsidP="00EA0AFB">
        <w:pPr>
          <w:pStyle w:val="Header"/>
          <w:tabs>
            <w:tab w:val="center" w:pos="4819"/>
            <w:tab w:val="right" w:pos="9639"/>
          </w:tabs>
          <w:jc w:val="left"/>
          <w:rPr>
            <w:b w:val="0"/>
            <w:bCs w:val="0"/>
          </w:rPr>
        </w:pPr>
        <w:r w:rsidRPr="00C55454">
          <w:rPr>
            <w:b w:val="0"/>
            <w:bCs w:val="0"/>
          </w:rPr>
          <w:tab/>
        </w:r>
        <w:r w:rsidRPr="00C55454">
          <w:rPr>
            <w:rFonts w:hint="cs"/>
            <w:rtl/>
          </w:rPr>
          <w:t>المسألة</w:t>
        </w:r>
        <w:r w:rsidRPr="00C55454">
          <w:rPr>
            <w:rFonts w:hint="cs"/>
            <w:b w:val="0"/>
            <w:bCs w:val="0"/>
            <w:rtl/>
            <w:lang w:bidi="ar-EG"/>
          </w:rPr>
          <w:t xml:space="preserve"> </w:t>
        </w:r>
        <w:r>
          <w:rPr>
            <w:b w:val="0"/>
            <w:bCs w:val="0"/>
            <w:lang w:val="en-US" w:bidi="ar-EG"/>
          </w:rPr>
          <w:t>10</w:t>
        </w:r>
        <w:r w:rsidRPr="00C55454">
          <w:rPr>
            <w:b w:val="0"/>
            <w:bCs w:val="0"/>
            <w:lang w:val="en-US" w:bidi="ar-EG"/>
          </w:rPr>
          <w:t>-</w:t>
        </w:r>
        <w:r>
          <w:rPr>
            <w:b w:val="0"/>
            <w:bCs w:val="0"/>
            <w:lang w:val="en-US" w:bidi="ar-EG"/>
          </w:rPr>
          <w:t>2/1</w:t>
        </w:r>
        <w:r w:rsidRPr="00C55454">
          <w:rPr>
            <w:b w:val="0"/>
            <w:bCs w:val="0"/>
          </w:rPr>
          <w:tab/>
        </w:r>
        <w:r w:rsidR="0010681B" w:rsidRPr="004E497F">
          <w:rPr>
            <w:rFonts w:asciiTheme="majorBidi" w:hAnsiTheme="majorBidi" w:cstheme="majorBidi"/>
            <w:szCs w:val="22"/>
          </w:rPr>
          <w:fldChar w:fldCharType="begin"/>
        </w:r>
        <w:r w:rsidRPr="004E497F">
          <w:rPr>
            <w:rFonts w:asciiTheme="majorBidi" w:hAnsiTheme="majorBidi" w:cstheme="majorBidi"/>
            <w:szCs w:val="22"/>
          </w:rPr>
          <w:instrText xml:space="preserve"> PAGE   \* MERGEFORMAT </w:instrText>
        </w:r>
        <w:r w:rsidR="0010681B" w:rsidRPr="004E497F">
          <w:rPr>
            <w:rFonts w:asciiTheme="majorBidi" w:hAnsiTheme="majorBidi" w:cstheme="majorBidi"/>
            <w:szCs w:val="22"/>
          </w:rPr>
          <w:fldChar w:fldCharType="separate"/>
        </w:r>
        <w:r w:rsidR="0002593C">
          <w:rPr>
            <w:rFonts w:asciiTheme="majorBidi" w:hAnsiTheme="majorBidi" w:cstheme="majorBidi"/>
            <w:noProof/>
            <w:szCs w:val="22"/>
            <w:rtl/>
          </w:rPr>
          <w:t>15</w:t>
        </w:r>
        <w:r w:rsidR="0010681B" w:rsidRPr="004E497F">
          <w:rPr>
            <w:rFonts w:asciiTheme="majorBidi" w:hAnsiTheme="majorBidi" w:cstheme="majorBidi"/>
            <w:szCs w:val="22"/>
          </w:rPr>
          <w:fldChar w:fldCharType="end"/>
        </w:r>
      </w:p>
    </w:sdtContent>
  </w:sdt>
  <w:p w:rsidR="003D4D68" w:rsidRDefault="003D4D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66BDA"/>
    <w:lvl w:ilvl="0">
      <w:start w:val="1"/>
      <w:numFmt w:val="decimal"/>
      <w:lvlText w:val="%1."/>
      <w:lvlJc w:val="left"/>
      <w:pPr>
        <w:tabs>
          <w:tab w:val="num" w:pos="1492"/>
        </w:tabs>
        <w:ind w:left="1492" w:hanging="360"/>
      </w:pPr>
    </w:lvl>
  </w:abstractNum>
  <w:abstractNum w:abstractNumId="1">
    <w:nsid w:val="FFFFFF7D"/>
    <w:multiLevelType w:val="singleLevel"/>
    <w:tmpl w:val="820CA516"/>
    <w:lvl w:ilvl="0">
      <w:start w:val="1"/>
      <w:numFmt w:val="decimal"/>
      <w:lvlText w:val="%1."/>
      <w:lvlJc w:val="left"/>
      <w:pPr>
        <w:tabs>
          <w:tab w:val="num" w:pos="1209"/>
        </w:tabs>
        <w:ind w:left="1209" w:hanging="360"/>
      </w:pPr>
    </w:lvl>
  </w:abstractNum>
  <w:abstractNum w:abstractNumId="2">
    <w:nsid w:val="FFFFFF7E"/>
    <w:multiLevelType w:val="singleLevel"/>
    <w:tmpl w:val="87DC9C6C"/>
    <w:lvl w:ilvl="0">
      <w:start w:val="1"/>
      <w:numFmt w:val="decimal"/>
      <w:lvlText w:val="%1."/>
      <w:lvlJc w:val="left"/>
      <w:pPr>
        <w:tabs>
          <w:tab w:val="num" w:pos="926"/>
        </w:tabs>
        <w:ind w:left="926" w:hanging="360"/>
      </w:pPr>
    </w:lvl>
  </w:abstractNum>
  <w:abstractNum w:abstractNumId="3">
    <w:nsid w:val="FFFFFF7F"/>
    <w:multiLevelType w:val="singleLevel"/>
    <w:tmpl w:val="58E48832"/>
    <w:lvl w:ilvl="0">
      <w:start w:val="1"/>
      <w:numFmt w:val="decimal"/>
      <w:lvlText w:val="%1."/>
      <w:lvlJc w:val="left"/>
      <w:pPr>
        <w:tabs>
          <w:tab w:val="num" w:pos="643"/>
        </w:tabs>
        <w:ind w:left="643" w:hanging="360"/>
      </w:pPr>
    </w:lvl>
  </w:abstractNum>
  <w:abstractNum w:abstractNumId="4">
    <w:nsid w:val="FFFFFF80"/>
    <w:multiLevelType w:val="singleLevel"/>
    <w:tmpl w:val="0906A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E66E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862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4C4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825CB0"/>
    <w:lvl w:ilvl="0">
      <w:start w:val="1"/>
      <w:numFmt w:val="decimal"/>
      <w:lvlText w:val="%1."/>
      <w:lvlJc w:val="left"/>
      <w:pPr>
        <w:tabs>
          <w:tab w:val="num" w:pos="360"/>
        </w:tabs>
        <w:ind w:left="360" w:hanging="360"/>
      </w:pPr>
    </w:lvl>
  </w:abstractNum>
  <w:abstractNum w:abstractNumId="9">
    <w:nsid w:val="FFFFFF89"/>
    <w:multiLevelType w:val="singleLevel"/>
    <w:tmpl w:val="5C7C805C"/>
    <w:lvl w:ilvl="0">
      <w:start w:val="1"/>
      <w:numFmt w:val="bullet"/>
      <w:lvlText w:val=""/>
      <w:lvlJc w:val="left"/>
      <w:pPr>
        <w:tabs>
          <w:tab w:val="num" w:pos="360"/>
        </w:tabs>
        <w:ind w:left="360" w:hanging="360"/>
      </w:pPr>
      <w:rPr>
        <w:rFonts w:ascii="Symbol" w:hAnsi="Symbol" w:hint="default"/>
      </w:rPr>
    </w:lvl>
  </w:abstractNum>
  <w:abstractNum w:abstractNumId="10">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BBE2B53"/>
    <w:multiLevelType w:val="hybridMultilevel"/>
    <w:tmpl w:val="C7361D2C"/>
    <w:lvl w:ilvl="0" w:tplc="093699C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12">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3">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5">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0"/>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ru-RU" w:vendorID="1" w:dllVersion="512" w:checkStyle="1"/>
  <w:activeWritingStyle w:appName="MSWord" w:lang="ar-EG" w:vendorID="4" w:dllVersion="512" w:checkStyle="1"/>
  <w:attachedTemplate r:id="rId1"/>
  <w:stylePaneFormatFilter w:val="3F01"/>
  <w:defaultTabStop w:val="720"/>
  <w:evenAndOddHeaders/>
  <w:characterSpacingControl w:val="doNotCompress"/>
  <w:hdrShapeDefaults>
    <o:shapedefaults v:ext="edit" spidmax="51201"/>
  </w:hdrShapeDefaults>
  <w:footnotePr>
    <w:footnote w:id="-1"/>
    <w:footnote w:id="0"/>
  </w:footnotePr>
  <w:endnotePr>
    <w:endnote w:id="-1"/>
    <w:endnote w:id="0"/>
  </w:endnotePr>
  <w:compat>
    <w:applyBreakingRules/>
    <w:useFELayout/>
  </w:compat>
  <w:rsids>
    <w:rsidRoot w:val="0091725A"/>
    <w:rsid w:val="0000364A"/>
    <w:rsid w:val="00007694"/>
    <w:rsid w:val="00010B7F"/>
    <w:rsid w:val="00013FFA"/>
    <w:rsid w:val="00015E90"/>
    <w:rsid w:val="00022AA5"/>
    <w:rsid w:val="0002593C"/>
    <w:rsid w:val="00031C8C"/>
    <w:rsid w:val="00031F88"/>
    <w:rsid w:val="000336AE"/>
    <w:rsid w:val="00034DF0"/>
    <w:rsid w:val="000369F8"/>
    <w:rsid w:val="000424E1"/>
    <w:rsid w:val="00047D94"/>
    <w:rsid w:val="000507E7"/>
    <w:rsid w:val="00054FCC"/>
    <w:rsid w:val="00057946"/>
    <w:rsid w:val="0006169D"/>
    <w:rsid w:val="00063E07"/>
    <w:rsid w:val="000A2916"/>
    <w:rsid w:val="000A3F1E"/>
    <w:rsid w:val="000A7F2C"/>
    <w:rsid w:val="000B13FD"/>
    <w:rsid w:val="000B46AA"/>
    <w:rsid w:val="000C3E16"/>
    <w:rsid w:val="000C42B1"/>
    <w:rsid w:val="000C7B70"/>
    <w:rsid w:val="000D1259"/>
    <w:rsid w:val="000E3A7D"/>
    <w:rsid w:val="000E3FAD"/>
    <w:rsid w:val="000F7BC3"/>
    <w:rsid w:val="001065B0"/>
    <w:rsid w:val="0010681B"/>
    <w:rsid w:val="00107A91"/>
    <w:rsid w:val="001111D7"/>
    <w:rsid w:val="00112A0C"/>
    <w:rsid w:val="00114EA6"/>
    <w:rsid w:val="00116DB0"/>
    <w:rsid w:val="00120671"/>
    <w:rsid w:val="0012102A"/>
    <w:rsid w:val="00123037"/>
    <w:rsid w:val="00130168"/>
    <w:rsid w:val="00133191"/>
    <w:rsid w:val="0014104D"/>
    <w:rsid w:val="00146183"/>
    <w:rsid w:val="001479EA"/>
    <w:rsid w:val="00156517"/>
    <w:rsid w:val="00165875"/>
    <w:rsid w:val="00167FE8"/>
    <w:rsid w:val="00170260"/>
    <w:rsid w:val="00172A06"/>
    <w:rsid w:val="00172D80"/>
    <w:rsid w:val="00177D17"/>
    <w:rsid w:val="00192BEB"/>
    <w:rsid w:val="001A5B9D"/>
    <w:rsid w:val="001A6B1C"/>
    <w:rsid w:val="001A7712"/>
    <w:rsid w:val="001B287E"/>
    <w:rsid w:val="001B634B"/>
    <w:rsid w:val="001C6444"/>
    <w:rsid w:val="001D0300"/>
    <w:rsid w:val="001D0E29"/>
    <w:rsid w:val="001D57BD"/>
    <w:rsid w:val="001E419A"/>
    <w:rsid w:val="001E6E43"/>
    <w:rsid w:val="001F2A69"/>
    <w:rsid w:val="001F39CA"/>
    <w:rsid w:val="001F5EF4"/>
    <w:rsid w:val="001F6B33"/>
    <w:rsid w:val="001F72DE"/>
    <w:rsid w:val="0020375C"/>
    <w:rsid w:val="00203EBA"/>
    <w:rsid w:val="0020423C"/>
    <w:rsid w:val="0020603A"/>
    <w:rsid w:val="002104F6"/>
    <w:rsid w:val="0021330C"/>
    <w:rsid w:val="002161AF"/>
    <w:rsid w:val="00220D9C"/>
    <w:rsid w:val="00223BEC"/>
    <w:rsid w:val="00226B53"/>
    <w:rsid w:val="002324DB"/>
    <w:rsid w:val="00233732"/>
    <w:rsid w:val="00234CD7"/>
    <w:rsid w:val="00244E14"/>
    <w:rsid w:val="002515DC"/>
    <w:rsid w:val="002518A0"/>
    <w:rsid w:val="00251AFF"/>
    <w:rsid w:val="00253B72"/>
    <w:rsid w:val="00260C34"/>
    <w:rsid w:val="00260CB9"/>
    <w:rsid w:val="0026228A"/>
    <w:rsid w:val="002653F3"/>
    <w:rsid w:val="00267626"/>
    <w:rsid w:val="00272D73"/>
    <w:rsid w:val="002801B6"/>
    <w:rsid w:val="0028579C"/>
    <w:rsid w:val="002930C4"/>
    <w:rsid w:val="00294888"/>
    <w:rsid w:val="00296AD7"/>
    <w:rsid w:val="002978F4"/>
    <w:rsid w:val="002A6D23"/>
    <w:rsid w:val="002B1346"/>
    <w:rsid w:val="002B304B"/>
    <w:rsid w:val="002B57B0"/>
    <w:rsid w:val="002B7597"/>
    <w:rsid w:val="002C0105"/>
    <w:rsid w:val="002C1A3D"/>
    <w:rsid w:val="002C4CAF"/>
    <w:rsid w:val="002C5734"/>
    <w:rsid w:val="002C7A28"/>
    <w:rsid w:val="002D0786"/>
    <w:rsid w:val="002D0CE0"/>
    <w:rsid w:val="002D39F0"/>
    <w:rsid w:val="002E1456"/>
    <w:rsid w:val="002E2B16"/>
    <w:rsid w:val="002E5D45"/>
    <w:rsid w:val="002F0B50"/>
    <w:rsid w:val="002F0EB0"/>
    <w:rsid w:val="002F7B6C"/>
    <w:rsid w:val="00301BD6"/>
    <w:rsid w:val="003024A9"/>
    <w:rsid w:val="00310D67"/>
    <w:rsid w:val="00310DA6"/>
    <w:rsid w:val="0031236D"/>
    <w:rsid w:val="0031379B"/>
    <w:rsid w:val="00324ADB"/>
    <w:rsid w:val="00325D1B"/>
    <w:rsid w:val="00334CCD"/>
    <w:rsid w:val="0033606C"/>
    <w:rsid w:val="00337118"/>
    <w:rsid w:val="00340D19"/>
    <w:rsid w:val="003417FA"/>
    <w:rsid w:val="003646DE"/>
    <w:rsid w:val="00365657"/>
    <w:rsid w:val="00365A31"/>
    <w:rsid w:val="00370474"/>
    <w:rsid w:val="003709B0"/>
    <w:rsid w:val="00373CA2"/>
    <w:rsid w:val="00375AF9"/>
    <w:rsid w:val="00375D3A"/>
    <w:rsid w:val="003768D7"/>
    <w:rsid w:val="00380790"/>
    <w:rsid w:val="00384807"/>
    <w:rsid w:val="003864C1"/>
    <w:rsid w:val="0038792C"/>
    <w:rsid w:val="00392309"/>
    <w:rsid w:val="00392983"/>
    <w:rsid w:val="003A0414"/>
    <w:rsid w:val="003A556A"/>
    <w:rsid w:val="003B1B2F"/>
    <w:rsid w:val="003B3349"/>
    <w:rsid w:val="003B3F0A"/>
    <w:rsid w:val="003C0595"/>
    <w:rsid w:val="003C54C7"/>
    <w:rsid w:val="003C6A8D"/>
    <w:rsid w:val="003D364E"/>
    <w:rsid w:val="003D4D68"/>
    <w:rsid w:val="003E022F"/>
    <w:rsid w:val="003E0FB9"/>
    <w:rsid w:val="003E4391"/>
    <w:rsid w:val="003E4937"/>
    <w:rsid w:val="003E74A0"/>
    <w:rsid w:val="004045FB"/>
    <w:rsid w:val="00410C43"/>
    <w:rsid w:val="00412634"/>
    <w:rsid w:val="00412FC2"/>
    <w:rsid w:val="004141CF"/>
    <w:rsid w:val="00416886"/>
    <w:rsid w:val="00417A0C"/>
    <w:rsid w:val="004200A2"/>
    <w:rsid w:val="0042191E"/>
    <w:rsid w:val="0042223D"/>
    <w:rsid w:val="004253EC"/>
    <w:rsid w:val="00432150"/>
    <w:rsid w:val="004322B2"/>
    <w:rsid w:val="00440D37"/>
    <w:rsid w:val="0044325B"/>
    <w:rsid w:val="0044497D"/>
    <w:rsid w:val="004462A8"/>
    <w:rsid w:val="004469E2"/>
    <w:rsid w:val="00447146"/>
    <w:rsid w:val="004519A7"/>
    <w:rsid w:val="0045547A"/>
    <w:rsid w:val="004609E9"/>
    <w:rsid w:val="004659B6"/>
    <w:rsid w:val="0046651C"/>
    <w:rsid w:val="004859C4"/>
    <w:rsid w:val="00497E3D"/>
    <w:rsid w:val="004A1D51"/>
    <w:rsid w:val="004A395B"/>
    <w:rsid w:val="004B1107"/>
    <w:rsid w:val="004B2F13"/>
    <w:rsid w:val="004B43D0"/>
    <w:rsid w:val="004B56F9"/>
    <w:rsid w:val="004C3506"/>
    <w:rsid w:val="004C4A60"/>
    <w:rsid w:val="004D0FDB"/>
    <w:rsid w:val="004D1756"/>
    <w:rsid w:val="004D50EA"/>
    <w:rsid w:val="004E3637"/>
    <w:rsid w:val="004E497F"/>
    <w:rsid w:val="004E59E6"/>
    <w:rsid w:val="004E6B1D"/>
    <w:rsid w:val="004F0E09"/>
    <w:rsid w:val="004F14FD"/>
    <w:rsid w:val="004F6908"/>
    <w:rsid w:val="00502007"/>
    <w:rsid w:val="00502460"/>
    <w:rsid w:val="005035E1"/>
    <w:rsid w:val="00503C4A"/>
    <w:rsid w:val="005065BF"/>
    <w:rsid w:val="0051292E"/>
    <w:rsid w:val="00521687"/>
    <w:rsid w:val="00521796"/>
    <w:rsid w:val="0052456C"/>
    <w:rsid w:val="0052522C"/>
    <w:rsid w:val="00525E1E"/>
    <w:rsid w:val="00530E78"/>
    <w:rsid w:val="005336F0"/>
    <w:rsid w:val="00534904"/>
    <w:rsid w:val="00546A05"/>
    <w:rsid w:val="00550A1D"/>
    <w:rsid w:val="00555FB3"/>
    <w:rsid w:val="005620D1"/>
    <w:rsid w:val="00567AD5"/>
    <w:rsid w:val="0057004A"/>
    <w:rsid w:val="00576813"/>
    <w:rsid w:val="0057783E"/>
    <w:rsid w:val="00581236"/>
    <w:rsid w:val="00587FFB"/>
    <w:rsid w:val="005976CF"/>
    <w:rsid w:val="005A0D9C"/>
    <w:rsid w:val="005A5089"/>
    <w:rsid w:val="005A582B"/>
    <w:rsid w:val="005A7053"/>
    <w:rsid w:val="005B0C66"/>
    <w:rsid w:val="005B397F"/>
    <w:rsid w:val="005C53AE"/>
    <w:rsid w:val="005C585A"/>
    <w:rsid w:val="005D23B3"/>
    <w:rsid w:val="005D3BF1"/>
    <w:rsid w:val="005E3A2B"/>
    <w:rsid w:val="005E432A"/>
    <w:rsid w:val="005E79DE"/>
    <w:rsid w:val="005F0D14"/>
    <w:rsid w:val="005F1B08"/>
    <w:rsid w:val="005F28F9"/>
    <w:rsid w:val="005F323E"/>
    <w:rsid w:val="005F53BC"/>
    <w:rsid w:val="005F77CE"/>
    <w:rsid w:val="00610239"/>
    <w:rsid w:val="0061097D"/>
    <w:rsid w:val="00611785"/>
    <w:rsid w:val="00614867"/>
    <w:rsid w:val="0061571B"/>
    <w:rsid w:val="00616C9C"/>
    <w:rsid w:val="0061716F"/>
    <w:rsid w:val="00620CCB"/>
    <w:rsid w:val="0062234E"/>
    <w:rsid w:val="00623E55"/>
    <w:rsid w:val="006274E8"/>
    <w:rsid w:val="00631FD5"/>
    <w:rsid w:val="0063237C"/>
    <w:rsid w:val="006342C2"/>
    <w:rsid w:val="006361CC"/>
    <w:rsid w:val="006400C6"/>
    <w:rsid w:val="006435CD"/>
    <w:rsid w:val="00645092"/>
    <w:rsid w:val="0064658F"/>
    <w:rsid w:val="0064702E"/>
    <w:rsid w:val="006511B6"/>
    <w:rsid w:val="00655EC9"/>
    <w:rsid w:val="00662810"/>
    <w:rsid w:val="006647B2"/>
    <w:rsid w:val="0067295E"/>
    <w:rsid w:val="00672E0B"/>
    <w:rsid w:val="00680EA6"/>
    <w:rsid w:val="00682F10"/>
    <w:rsid w:val="00685670"/>
    <w:rsid w:val="0069533E"/>
    <w:rsid w:val="006A16DC"/>
    <w:rsid w:val="006A7E1C"/>
    <w:rsid w:val="006B15B5"/>
    <w:rsid w:val="006B2AC1"/>
    <w:rsid w:val="006B35D3"/>
    <w:rsid w:val="006B394E"/>
    <w:rsid w:val="006B4A0C"/>
    <w:rsid w:val="006B4B07"/>
    <w:rsid w:val="006B74FE"/>
    <w:rsid w:val="006C0102"/>
    <w:rsid w:val="006C11E2"/>
    <w:rsid w:val="006C36BD"/>
    <w:rsid w:val="006C50F2"/>
    <w:rsid w:val="006C734C"/>
    <w:rsid w:val="006C7A9C"/>
    <w:rsid w:val="006C7E82"/>
    <w:rsid w:val="006C7F49"/>
    <w:rsid w:val="006E36E3"/>
    <w:rsid w:val="00703ED7"/>
    <w:rsid w:val="0070424E"/>
    <w:rsid w:val="0070558E"/>
    <w:rsid w:val="007114BE"/>
    <w:rsid w:val="007119D9"/>
    <w:rsid w:val="00714FDF"/>
    <w:rsid w:val="00717861"/>
    <w:rsid w:val="00721821"/>
    <w:rsid w:val="00725F3F"/>
    <w:rsid w:val="007300B5"/>
    <w:rsid w:val="00732A92"/>
    <w:rsid w:val="007354B6"/>
    <w:rsid w:val="00735AC2"/>
    <w:rsid w:val="007419FF"/>
    <w:rsid w:val="00746018"/>
    <w:rsid w:val="0074745C"/>
    <w:rsid w:val="00750165"/>
    <w:rsid w:val="00753B3A"/>
    <w:rsid w:val="0076263B"/>
    <w:rsid w:val="00764E45"/>
    <w:rsid w:val="007670BD"/>
    <w:rsid w:val="00767931"/>
    <w:rsid w:val="00773DA1"/>
    <w:rsid w:val="00777E3D"/>
    <w:rsid w:val="00782B61"/>
    <w:rsid w:val="007865C3"/>
    <w:rsid w:val="00787503"/>
    <w:rsid w:val="007A0158"/>
    <w:rsid w:val="007A1E37"/>
    <w:rsid w:val="007A787F"/>
    <w:rsid w:val="007B100C"/>
    <w:rsid w:val="007B4196"/>
    <w:rsid w:val="007B59EF"/>
    <w:rsid w:val="007B6EAA"/>
    <w:rsid w:val="007C3C52"/>
    <w:rsid w:val="007C4AAE"/>
    <w:rsid w:val="007D1C9C"/>
    <w:rsid w:val="007D49B8"/>
    <w:rsid w:val="007D7F54"/>
    <w:rsid w:val="007E0706"/>
    <w:rsid w:val="007E07F2"/>
    <w:rsid w:val="007E446A"/>
    <w:rsid w:val="007E4CA9"/>
    <w:rsid w:val="007E59EB"/>
    <w:rsid w:val="007E7732"/>
    <w:rsid w:val="007F171A"/>
    <w:rsid w:val="00806AB1"/>
    <w:rsid w:val="00812173"/>
    <w:rsid w:val="00817CD6"/>
    <w:rsid w:val="00822BB7"/>
    <w:rsid w:val="00835AB5"/>
    <w:rsid w:val="00835D9E"/>
    <w:rsid w:val="00847D28"/>
    <w:rsid w:val="0085130F"/>
    <w:rsid w:val="00856798"/>
    <w:rsid w:val="00860933"/>
    <w:rsid w:val="008622BE"/>
    <w:rsid w:val="00875FB3"/>
    <w:rsid w:val="00880595"/>
    <w:rsid w:val="0088361B"/>
    <w:rsid w:val="00891002"/>
    <w:rsid w:val="00891AC6"/>
    <w:rsid w:val="008945E9"/>
    <w:rsid w:val="00895EA6"/>
    <w:rsid w:val="00896013"/>
    <w:rsid w:val="008A65AB"/>
    <w:rsid w:val="008B139A"/>
    <w:rsid w:val="008B17AA"/>
    <w:rsid w:val="008B6BF9"/>
    <w:rsid w:val="008C008B"/>
    <w:rsid w:val="008C2C62"/>
    <w:rsid w:val="008C3D8F"/>
    <w:rsid w:val="008C6298"/>
    <w:rsid w:val="008C75F4"/>
    <w:rsid w:val="008D189B"/>
    <w:rsid w:val="008E175E"/>
    <w:rsid w:val="008E3791"/>
    <w:rsid w:val="00900EB3"/>
    <w:rsid w:val="00905302"/>
    <w:rsid w:val="00905A76"/>
    <w:rsid w:val="009075A2"/>
    <w:rsid w:val="00911D81"/>
    <w:rsid w:val="0091725A"/>
    <w:rsid w:val="00930688"/>
    <w:rsid w:val="00930719"/>
    <w:rsid w:val="00931E20"/>
    <w:rsid w:val="00933A33"/>
    <w:rsid w:val="00934794"/>
    <w:rsid w:val="0094325B"/>
    <w:rsid w:val="00944FC4"/>
    <w:rsid w:val="0095336C"/>
    <w:rsid w:val="00955201"/>
    <w:rsid w:val="00960B7D"/>
    <w:rsid w:val="00961F60"/>
    <w:rsid w:val="009625F7"/>
    <w:rsid w:val="00967743"/>
    <w:rsid w:val="00973E24"/>
    <w:rsid w:val="00973E2F"/>
    <w:rsid w:val="00975AEA"/>
    <w:rsid w:val="009767D9"/>
    <w:rsid w:val="0097744E"/>
    <w:rsid w:val="00987D46"/>
    <w:rsid w:val="0099607C"/>
    <w:rsid w:val="009968EE"/>
    <w:rsid w:val="009A7029"/>
    <w:rsid w:val="009A7C06"/>
    <w:rsid w:val="009B0B78"/>
    <w:rsid w:val="009B568F"/>
    <w:rsid w:val="009B5A75"/>
    <w:rsid w:val="009B689C"/>
    <w:rsid w:val="009C1592"/>
    <w:rsid w:val="009C3C9C"/>
    <w:rsid w:val="009C3DC3"/>
    <w:rsid w:val="009C485F"/>
    <w:rsid w:val="009D0CB4"/>
    <w:rsid w:val="009D2554"/>
    <w:rsid w:val="009D3A20"/>
    <w:rsid w:val="009E16AB"/>
    <w:rsid w:val="009E233E"/>
    <w:rsid w:val="009E4492"/>
    <w:rsid w:val="009E7440"/>
    <w:rsid w:val="009F300B"/>
    <w:rsid w:val="009F4E55"/>
    <w:rsid w:val="009F76E1"/>
    <w:rsid w:val="009F7976"/>
    <w:rsid w:val="00A017A0"/>
    <w:rsid w:val="00A01A4B"/>
    <w:rsid w:val="00A0271E"/>
    <w:rsid w:val="00A05CFF"/>
    <w:rsid w:val="00A063F5"/>
    <w:rsid w:val="00A10105"/>
    <w:rsid w:val="00A1036B"/>
    <w:rsid w:val="00A11648"/>
    <w:rsid w:val="00A13D06"/>
    <w:rsid w:val="00A13D7A"/>
    <w:rsid w:val="00A2073C"/>
    <w:rsid w:val="00A20F4F"/>
    <w:rsid w:val="00A23AF6"/>
    <w:rsid w:val="00A25200"/>
    <w:rsid w:val="00A401E2"/>
    <w:rsid w:val="00A42178"/>
    <w:rsid w:val="00A45220"/>
    <w:rsid w:val="00A53481"/>
    <w:rsid w:val="00A54E6F"/>
    <w:rsid w:val="00A56963"/>
    <w:rsid w:val="00A71143"/>
    <w:rsid w:val="00A826DB"/>
    <w:rsid w:val="00A83404"/>
    <w:rsid w:val="00A83B47"/>
    <w:rsid w:val="00A84D46"/>
    <w:rsid w:val="00A86ED5"/>
    <w:rsid w:val="00A87E91"/>
    <w:rsid w:val="00A93F25"/>
    <w:rsid w:val="00AA1D61"/>
    <w:rsid w:val="00AA4F99"/>
    <w:rsid w:val="00AA5E5F"/>
    <w:rsid w:val="00AB5715"/>
    <w:rsid w:val="00AC074A"/>
    <w:rsid w:val="00AC1F61"/>
    <w:rsid w:val="00AD1637"/>
    <w:rsid w:val="00AD4FFC"/>
    <w:rsid w:val="00AE3163"/>
    <w:rsid w:val="00AE360A"/>
    <w:rsid w:val="00AE492C"/>
    <w:rsid w:val="00AE5522"/>
    <w:rsid w:val="00AF1C2E"/>
    <w:rsid w:val="00AF3223"/>
    <w:rsid w:val="00AF4DEE"/>
    <w:rsid w:val="00AF55CC"/>
    <w:rsid w:val="00B036BE"/>
    <w:rsid w:val="00B1506A"/>
    <w:rsid w:val="00B16C9A"/>
    <w:rsid w:val="00B21F17"/>
    <w:rsid w:val="00B26F34"/>
    <w:rsid w:val="00B2777E"/>
    <w:rsid w:val="00B3006C"/>
    <w:rsid w:val="00B34FD7"/>
    <w:rsid w:val="00B35FF9"/>
    <w:rsid w:val="00B554AB"/>
    <w:rsid w:val="00B56550"/>
    <w:rsid w:val="00B60317"/>
    <w:rsid w:val="00B63240"/>
    <w:rsid w:val="00B641BA"/>
    <w:rsid w:val="00B64CD2"/>
    <w:rsid w:val="00B66962"/>
    <w:rsid w:val="00B71ECA"/>
    <w:rsid w:val="00B72257"/>
    <w:rsid w:val="00B762ED"/>
    <w:rsid w:val="00B777E2"/>
    <w:rsid w:val="00B8417E"/>
    <w:rsid w:val="00B87880"/>
    <w:rsid w:val="00B90D70"/>
    <w:rsid w:val="00B942E0"/>
    <w:rsid w:val="00B947DD"/>
    <w:rsid w:val="00B97E2A"/>
    <w:rsid w:val="00BA15BC"/>
    <w:rsid w:val="00BB195D"/>
    <w:rsid w:val="00BC4900"/>
    <w:rsid w:val="00BC50AB"/>
    <w:rsid w:val="00BC6AFB"/>
    <w:rsid w:val="00BD14B6"/>
    <w:rsid w:val="00BD439C"/>
    <w:rsid w:val="00BD6234"/>
    <w:rsid w:val="00BD77B3"/>
    <w:rsid w:val="00BE0E4D"/>
    <w:rsid w:val="00BE1F36"/>
    <w:rsid w:val="00BE2675"/>
    <w:rsid w:val="00BE31C9"/>
    <w:rsid w:val="00BE6FFF"/>
    <w:rsid w:val="00BF0835"/>
    <w:rsid w:val="00BF3003"/>
    <w:rsid w:val="00BF6557"/>
    <w:rsid w:val="00C00899"/>
    <w:rsid w:val="00C03E26"/>
    <w:rsid w:val="00C0482E"/>
    <w:rsid w:val="00C05FF2"/>
    <w:rsid w:val="00C078D0"/>
    <w:rsid w:val="00C105B4"/>
    <w:rsid w:val="00C13BFE"/>
    <w:rsid w:val="00C1440E"/>
    <w:rsid w:val="00C15206"/>
    <w:rsid w:val="00C162CE"/>
    <w:rsid w:val="00C1754E"/>
    <w:rsid w:val="00C22CA5"/>
    <w:rsid w:val="00C23573"/>
    <w:rsid w:val="00C251F9"/>
    <w:rsid w:val="00C4270A"/>
    <w:rsid w:val="00C440B7"/>
    <w:rsid w:val="00C44690"/>
    <w:rsid w:val="00C4582D"/>
    <w:rsid w:val="00C476A9"/>
    <w:rsid w:val="00C47784"/>
    <w:rsid w:val="00C50F78"/>
    <w:rsid w:val="00C51AA8"/>
    <w:rsid w:val="00C53ABD"/>
    <w:rsid w:val="00C53EBE"/>
    <w:rsid w:val="00C55454"/>
    <w:rsid w:val="00C5618A"/>
    <w:rsid w:val="00C62E6C"/>
    <w:rsid w:val="00C63E70"/>
    <w:rsid w:val="00C6478B"/>
    <w:rsid w:val="00C659C7"/>
    <w:rsid w:val="00C70763"/>
    <w:rsid w:val="00C74D59"/>
    <w:rsid w:val="00C81C24"/>
    <w:rsid w:val="00C922BC"/>
    <w:rsid w:val="00C94452"/>
    <w:rsid w:val="00C975A8"/>
    <w:rsid w:val="00CA7F5A"/>
    <w:rsid w:val="00CB14BE"/>
    <w:rsid w:val="00CB3692"/>
    <w:rsid w:val="00CB46CA"/>
    <w:rsid w:val="00CC0069"/>
    <w:rsid w:val="00CC20D1"/>
    <w:rsid w:val="00CC3F6B"/>
    <w:rsid w:val="00CC6475"/>
    <w:rsid w:val="00CD225D"/>
    <w:rsid w:val="00CD4398"/>
    <w:rsid w:val="00CD505F"/>
    <w:rsid w:val="00CE05B8"/>
    <w:rsid w:val="00CE1388"/>
    <w:rsid w:val="00CE17C3"/>
    <w:rsid w:val="00CE1831"/>
    <w:rsid w:val="00CE2997"/>
    <w:rsid w:val="00CF7816"/>
    <w:rsid w:val="00D05608"/>
    <w:rsid w:val="00D06D22"/>
    <w:rsid w:val="00D1124B"/>
    <w:rsid w:val="00D13DAD"/>
    <w:rsid w:val="00D1491B"/>
    <w:rsid w:val="00D179DB"/>
    <w:rsid w:val="00D201E2"/>
    <w:rsid w:val="00D21952"/>
    <w:rsid w:val="00D23208"/>
    <w:rsid w:val="00D26ECA"/>
    <w:rsid w:val="00D30087"/>
    <w:rsid w:val="00D30F92"/>
    <w:rsid w:val="00D35A22"/>
    <w:rsid w:val="00D4469C"/>
    <w:rsid w:val="00D45327"/>
    <w:rsid w:val="00D64CE1"/>
    <w:rsid w:val="00D67A22"/>
    <w:rsid w:val="00D713E8"/>
    <w:rsid w:val="00D755D5"/>
    <w:rsid w:val="00D8335C"/>
    <w:rsid w:val="00D84DCE"/>
    <w:rsid w:val="00D918CE"/>
    <w:rsid w:val="00D96E58"/>
    <w:rsid w:val="00D96EE2"/>
    <w:rsid w:val="00DA0A23"/>
    <w:rsid w:val="00DB1065"/>
    <w:rsid w:val="00DC1E34"/>
    <w:rsid w:val="00DC7DA8"/>
    <w:rsid w:val="00DD5668"/>
    <w:rsid w:val="00DE0F08"/>
    <w:rsid w:val="00DE1950"/>
    <w:rsid w:val="00DE4343"/>
    <w:rsid w:val="00DF1122"/>
    <w:rsid w:val="00DF396C"/>
    <w:rsid w:val="00DF426B"/>
    <w:rsid w:val="00DF7DC2"/>
    <w:rsid w:val="00E019D8"/>
    <w:rsid w:val="00E04817"/>
    <w:rsid w:val="00E051E5"/>
    <w:rsid w:val="00E069CA"/>
    <w:rsid w:val="00E076AB"/>
    <w:rsid w:val="00E1789F"/>
    <w:rsid w:val="00E25FEC"/>
    <w:rsid w:val="00E319F3"/>
    <w:rsid w:val="00E354A4"/>
    <w:rsid w:val="00E573BA"/>
    <w:rsid w:val="00E647F1"/>
    <w:rsid w:val="00E70799"/>
    <w:rsid w:val="00E72120"/>
    <w:rsid w:val="00E72812"/>
    <w:rsid w:val="00E729C5"/>
    <w:rsid w:val="00E74128"/>
    <w:rsid w:val="00E80C06"/>
    <w:rsid w:val="00E82D05"/>
    <w:rsid w:val="00E842BB"/>
    <w:rsid w:val="00E92484"/>
    <w:rsid w:val="00EA0AFB"/>
    <w:rsid w:val="00EA218A"/>
    <w:rsid w:val="00EA43DC"/>
    <w:rsid w:val="00EB718F"/>
    <w:rsid w:val="00EC3E44"/>
    <w:rsid w:val="00EC788C"/>
    <w:rsid w:val="00EC7EC3"/>
    <w:rsid w:val="00ED779C"/>
    <w:rsid w:val="00EE2018"/>
    <w:rsid w:val="00EE240C"/>
    <w:rsid w:val="00EE69B8"/>
    <w:rsid w:val="00EF2C22"/>
    <w:rsid w:val="00F02FCE"/>
    <w:rsid w:val="00F03186"/>
    <w:rsid w:val="00F13336"/>
    <w:rsid w:val="00F152DC"/>
    <w:rsid w:val="00F16677"/>
    <w:rsid w:val="00F2322A"/>
    <w:rsid w:val="00F26912"/>
    <w:rsid w:val="00F301CF"/>
    <w:rsid w:val="00F31F34"/>
    <w:rsid w:val="00F35596"/>
    <w:rsid w:val="00F368F6"/>
    <w:rsid w:val="00F37EEF"/>
    <w:rsid w:val="00F41485"/>
    <w:rsid w:val="00F448B2"/>
    <w:rsid w:val="00F4561E"/>
    <w:rsid w:val="00F45BAD"/>
    <w:rsid w:val="00F535BE"/>
    <w:rsid w:val="00F561BD"/>
    <w:rsid w:val="00F61836"/>
    <w:rsid w:val="00F62BE6"/>
    <w:rsid w:val="00F64FAD"/>
    <w:rsid w:val="00F655AE"/>
    <w:rsid w:val="00F72389"/>
    <w:rsid w:val="00F728EA"/>
    <w:rsid w:val="00F73E7C"/>
    <w:rsid w:val="00F7713A"/>
    <w:rsid w:val="00F77C15"/>
    <w:rsid w:val="00F87D9A"/>
    <w:rsid w:val="00F90F09"/>
    <w:rsid w:val="00F92AB9"/>
    <w:rsid w:val="00F9709E"/>
    <w:rsid w:val="00FA3218"/>
    <w:rsid w:val="00FA3B8C"/>
    <w:rsid w:val="00FA53E4"/>
    <w:rsid w:val="00FB5AE8"/>
    <w:rsid w:val="00FC4B0F"/>
    <w:rsid w:val="00FC4CE0"/>
    <w:rsid w:val="00FC7C83"/>
    <w:rsid w:val="00FC7E99"/>
    <w:rsid w:val="00FD02A7"/>
    <w:rsid w:val="00FD26DC"/>
    <w:rsid w:val="00FD7E44"/>
    <w:rsid w:val="00FE49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01"/>
    <o:shapelayout v:ext="edit">
      <o:idmap v:ext="edit" data="1,38,39,40,41,42"/>
      <o:regrouptable v:ext="edit">
        <o:entry new="1" old="0"/>
        <o:entry new="2" old="1"/>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25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Times New Roman" w:cs="Traditional Arabic"/>
      <w:sz w:val="21"/>
      <w:szCs w:val="28"/>
      <w:lang w:val="en-GB" w:eastAsia="en-US"/>
    </w:rPr>
  </w:style>
  <w:style w:type="paragraph" w:styleId="Heading1">
    <w:name w:val="heading 1"/>
    <w:basedOn w:val="Normal"/>
    <w:next w:val="Normal"/>
    <w:link w:val="Heading1Char"/>
    <w:qFormat/>
    <w:rsid w:val="00835AB5"/>
    <w:pPr>
      <w:keepNext/>
      <w:spacing w:before="240"/>
      <w:ind w:left="794" w:hanging="794"/>
      <w:outlineLvl w:val="0"/>
    </w:pPr>
    <w:rPr>
      <w:rFonts w:ascii="Times New Roman Bold" w:hAnsi="Times New Roman Bold"/>
      <w:b/>
      <w:bCs/>
      <w:kern w:val="32"/>
      <w:sz w:val="24"/>
      <w:szCs w:val="32"/>
      <w:lang w:bidi="ar-EG"/>
    </w:rPr>
  </w:style>
  <w:style w:type="paragraph" w:styleId="Heading2">
    <w:name w:val="heading 2"/>
    <w:basedOn w:val="Normal"/>
    <w:next w:val="Normal"/>
    <w:qFormat/>
    <w:rsid w:val="0095336C"/>
    <w:pPr>
      <w:keepNext/>
      <w:spacing w:before="240"/>
      <w:ind w:left="794" w:hanging="794"/>
      <w:outlineLvl w:val="1"/>
    </w:pPr>
    <w:rPr>
      <w:b/>
      <w:bCs/>
    </w:rPr>
  </w:style>
  <w:style w:type="paragraph" w:styleId="Heading3">
    <w:name w:val="heading 3"/>
    <w:basedOn w:val="Normal"/>
    <w:next w:val="Normal"/>
    <w:qFormat/>
    <w:rsid w:val="004E497F"/>
    <w:pPr>
      <w:keepNext/>
      <w:spacing w:before="180"/>
      <w:ind w:left="794" w:hanging="794"/>
      <w:outlineLvl w:val="2"/>
    </w:pPr>
    <w:rPr>
      <w:rFonts w:ascii="Times New Roman Bold" w:hAnsi="Times New Roman Bold"/>
      <w:b/>
      <w:bCs/>
    </w:rPr>
  </w:style>
  <w:style w:type="paragraph" w:styleId="Heading4">
    <w:name w:val="heading 4"/>
    <w:basedOn w:val="Normal"/>
    <w:next w:val="Normal"/>
    <w:qFormat/>
    <w:rsid w:val="004E497F"/>
    <w:pPr>
      <w:keepNext/>
      <w:outlineLvl w:val="3"/>
    </w:pPr>
    <w:rPr>
      <w:rFonts w:ascii="Times New Roman Bold" w:hAnsi="Times New Roman Bold"/>
      <w:b/>
      <w:bCs/>
    </w:rPr>
  </w:style>
  <w:style w:type="paragraph" w:styleId="Heading5">
    <w:name w:val="heading 5"/>
    <w:basedOn w:val="Normal"/>
    <w:next w:val="Normal"/>
    <w:qFormat/>
    <w:rsid w:val="00546A05"/>
    <w:pPr>
      <w:outlineLvl w:val="4"/>
    </w:pPr>
    <w:rPr>
      <w:rFonts w:ascii="Times New Roman Bold" w:hAnsi="Times New Roman Bold"/>
      <w:b/>
      <w:bCs/>
    </w:rPr>
  </w:style>
  <w:style w:type="paragraph" w:styleId="Heading6">
    <w:name w:val="heading 6"/>
    <w:basedOn w:val="Normal"/>
    <w:next w:val="Normal"/>
    <w:qFormat/>
    <w:rsid w:val="009625F7"/>
    <w:pPr>
      <w:spacing w:before="240" w:after="60"/>
      <w:outlineLvl w:val="5"/>
    </w:pPr>
    <w:rPr>
      <w:rFonts w:cs="Times New Roman"/>
      <w:b/>
      <w:bCs/>
      <w:szCs w:val="22"/>
    </w:rPr>
  </w:style>
  <w:style w:type="paragraph" w:styleId="Heading7">
    <w:name w:val="heading 7"/>
    <w:basedOn w:val="Normal"/>
    <w:next w:val="Normal"/>
    <w:qFormat/>
    <w:rsid w:val="009625F7"/>
    <w:pPr>
      <w:spacing w:before="240" w:after="60"/>
      <w:outlineLvl w:val="6"/>
    </w:pPr>
    <w:rPr>
      <w:rFonts w:cs="Times New Roman"/>
      <w:szCs w:val="24"/>
    </w:rPr>
  </w:style>
  <w:style w:type="paragraph" w:styleId="Heading8">
    <w:name w:val="heading 8"/>
    <w:basedOn w:val="Normal"/>
    <w:next w:val="Normal"/>
    <w:qFormat/>
    <w:rsid w:val="009625F7"/>
    <w:pPr>
      <w:spacing w:before="240" w:after="60"/>
      <w:outlineLvl w:val="7"/>
    </w:pPr>
    <w:rPr>
      <w:rFonts w:cs="Times New Roman"/>
      <w:iCs/>
      <w:szCs w:val="24"/>
    </w:rPr>
  </w:style>
  <w:style w:type="paragraph" w:styleId="Heading9">
    <w:name w:val="heading 9"/>
    <w:basedOn w:val="Normal"/>
    <w:next w:val="Normal"/>
    <w:qFormat/>
    <w:rsid w:val="009625F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AB5"/>
    <w:rPr>
      <w:rFonts w:ascii="Times New Roman Bold" w:eastAsia="Times New Roman" w:hAnsi="Times New Roman Bold" w:cs="Traditional Arabic"/>
      <w:b/>
      <w:bCs/>
      <w:kern w:val="32"/>
      <w:sz w:val="24"/>
      <w:szCs w:val="32"/>
      <w:lang w:val="en-GB" w:eastAsia="en-US" w:bidi="ar-EG"/>
    </w:rPr>
  </w:style>
  <w:style w:type="paragraph" w:styleId="Footer">
    <w:name w:val="footer"/>
    <w:basedOn w:val="Normal"/>
    <w:rsid w:val="009625F7"/>
    <w:pPr>
      <w:tabs>
        <w:tab w:val="clear" w:pos="794"/>
        <w:tab w:val="clear" w:pos="1191"/>
        <w:tab w:val="clear" w:pos="1588"/>
        <w:tab w:val="clear" w:pos="1985"/>
        <w:tab w:val="left" w:pos="5954"/>
        <w:tab w:val="right" w:pos="9639"/>
      </w:tabs>
      <w:spacing w:before="0"/>
    </w:pPr>
    <w:rPr>
      <w:caps/>
      <w:noProof/>
      <w:sz w:val="14"/>
    </w:rPr>
  </w:style>
  <w:style w:type="paragraph" w:styleId="Header">
    <w:name w:val="header"/>
    <w:basedOn w:val="Normal"/>
    <w:link w:val="HeaderChar"/>
    <w:uiPriority w:val="99"/>
    <w:rsid w:val="004E497F"/>
    <w:pPr>
      <w:tabs>
        <w:tab w:val="clear" w:pos="794"/>
        <w:tab w:val="clear" w:pos="1191"/>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uiPriority w:val="99"/>
    <w:rsid w:val="004E497F"/>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rsid w:val="00E729C5"/>
    <w:pPr>
      <w:keepNext/>
      <w:spacing w:before="240"/>
    </w:pPr>
    <w:rPr>
      <w:rFonts w:ascii="Times New Roman Bold" w:hAnsi="Times New Roman Bold"/>
      <w:b/>
      <w:bCs/>
      <w:sz w:val="24"/>
      <w:szCs w:val="32"/>
    </w:rPr>
  </w:style>
  <w:style w:type="paragraph" w:customStyle="1" w:styleId="Source">
    <w:name w:val="Source"/>
    <w:basedOn w:val="Normal"/>
    <w:next w:val="Normal"/>
    <w:rsid w:val="009625F7"/>
    <w:pPr>
      <w:spacing w:before="600"/>
      <w:jc w:val="center"/>
    </w:pPr>
    <w:rPr>
      <w:rFonts w:ascii="Times New Roman Bold" w:hAnsi="Times New Roman Bold"/>
      <w:b/>
      <w:bCs/>
      <w:sz w:val="26"/>
      <w:szCs w:val="36"/>
    </w:rPr>
  </w:style>
  <w:style w:type="character" w:styleId="Hyperlink">
    <w:name w:val="Hyperlink"/>
    <w:aliases w:val="CEO_Hyperlink"/>
    <w:basedOn w:val="DefaultParagraphFont"/>
    <w:uiPriority w:val="99"/>
    <w:rsid w:val="009625F7"/>
    <w:rPr>
      <w:color w:val="0000FF"/>
      <w:u w:val="single"/>
    </w:rPr>
  </w:style>
  <w:style w:type="table" w:styleId="TableGrid">
    <w:name w:val="Table Grid"/>
    <w:basedOn w:val="TableNormal"/>
    <w:rsid w:val="009625F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qFormat/>
    <w:rsid w:val="00A13D06"/>
    <w:pPr>
      <w:spacing w:before="80"/>
      <w:ind w:left="794" w:hanging="794"/>
    </w:pPr>
    <w:rPr>
      <w:lang w:val="fr-FR"/>
    </w:rPr>
  </w:style>
  <w:style w:type="character" w:customStyle="1" w:styleId="enumlev1Char">
    <w:name w:val="enumlev1 Char"/>
    <w:basedOn w:val="DefaultParagraphFont"/>
    <w:link w:val="enumlev1"/>
    <w:rsid w:val="00860933"/>
    <w:rPr>
      <w:rFonts w:ascii="Verdana" w:hAnsi="Verdana" w:cs="Simplified Arabic"/>
      <w:sz w:val="19"/>
      <w:szCs w:val="26"/>
      <w:lang w:val="fr-FR" w:eastAsia="en-US" w:bidi="ar-SA"/>
    </w:rPr>
  </w:style>
  <w:style w:type="character" w:styleId="PageNumber">
    <w:name w:val="page number"/>
    <w:basedOn w:val="DefaultParagraphFont"/>
    <w:rsid w:val="009625F7"/>
  </w:style>
  <w:style w:type="paragraph" w:styleId="NormalWeb">
    <w:name w:val="Normal (Web)"/>
    <w:basedOn w:val="Normal"/>
    <w:rsid w:val="009625F7"/>
    <w:rPr>
      <w:rFonts w:cs="Times New Roman"/>
      <w:szCs w:val="24"/>
    </w:rPr>
  </w:style>
  <w:style w:type="paragraph" w:styleId="NormalIndent">
    <w:name w:val="Normal Indent"/>
    <w:basedOn w:val="Normal"/>
    <w:rsid w:val="009625F7"/>
    <w:pPr>
      <w:ind w:left="720"/>
    </w:pPr>
  </w:style>
  <w:style w:type="paragraph" w:styleId="NoteHeading">
    <w:name w:val="Note Heading"/>
    <w:basedOn w:val="Normal"/>
    <w:next w:val="Normal"/>
    <w:rsid w:val="009625F7"/>
  </w:style>
  <w:style w:type="paragraph" w:customStyle="1" w:styleId="FigTitle">
    <w:name w:val="Fig._Title"/>
    <w:basedOn w:val="Normal"/>
    <w:autoRedefine/>
    <w:qFormat/>
    <w:rsid w:val="00C476A9"/>
    <w:pPr>
      <w:spacing w:before="0"/>
      <w:jc w:val="left"/>
    </w:pPr>
    <w:rPr>
      <w:rFonts w:ascii="Times New Roman Bold" w:hAnsi="Times New Roman Bold"/>
      <w:b/>
      <w:bCs/>
      <w:sz w:val="22"/>
      <w:szCs w:val="30"/>
      <w:lang w:val="en-US"/>
    </w:rPr>
  </w:style>
  <w:style w:type="paragraph" w:styleId="Title">
    <w:name w:val="Title"/>
    <w:basedOn w:val="Normal"/>
    <w:qFormat/>
    <w:rsid w:val="00DD5668"/>
    <w:pPr>
      <w:spacing w:before="240"/>
      <w:jc w:val="center"/>
      <w:outlineLvl w:val="0"/>
    </w:pPr>
    <w:rPr>
      <w:rFonts w:ascii="Times New Roman Bold" w:hAnsi="Times New Roman Bold"/>
      <w:b/>
      <w:bCs/>
      <w:kern w:val="28"/>
      <w:sz w:val="34"/>
      <w:szCs w:val="40"/>
    </w:rPr>
  </w:style>
  <w:style w:type="paragraph" w:customStyle="1" w:styleId="enumlev2">
    <w:name w:val="enumlev2"/>
    <w:basedOn w:val="enumlev1"/>
    <w:rsid w:val="00EC3E44"/>
    <w:pPr>
      <w:ind w:left="1191" w:hanging="397"/>
    </w:pPr>
    <w:rPr>
      <w:lang w:val="en-GB"/>
    </w:rPr>
  </w:style>
  <w:style w:type="paragraph" w:customStyle="1" w:styleId="enumlev3">
    <w:name w:val="enumlev3"/>
    <w:basedOn w:val="enumlev2"/>
    <w:rsid w:val="009625F7"/>
    <w:pPr>
      <w:ind w:left="1588"/>
    </w:pPr>
  </w:style>
  <w:style w:type="paragraph" w:customStyle="1" w:styleId="Recdate">
    <w:name w:val="Rec_date"/>
    <w:basedOn w:val="Normal"/>
    <w:next w:val="Normal"/>
    <w:rsid w:val="009625F7"/>
    <w:pPr>
      <w:keepNext/>
      <w:keepLines/>
      <w:tabs>
        <w:tab w:val="clear" w:pos="794"/>
        <w:tab w:val="clear" w:pos="1191"/>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rsid w:val="009625F7"/>
    <w:rPr>
      <w:b/>
    </w:rPr>
  </w:style>
  <w:style w:type="paragraph" w:customStyle="1" w:styleId="RecN">
    <w:name w:val="Rec_N°"/>
    <w:basedOn w:val="Normal"/>
    <w:rsid w:val="009625F7"/>
    <w:pPr>
      <w:tabs>
        <w:tab w:val="clear" w:pos="794"/>
        <w:tab w:val="clear" w:pos="1191"/>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rsid w:val="009625F7"/>
    <w:pPr>
      <w:tabs>
        <w:tab w:val="clear" w:pos="794"/>
        <w:tab w:val="clear" w:pos="1191"/>
        <w:tab w:val="clear" w:pos="1588"/>
        <w:tab w:val="clear" w:pos="1985"/>
      </w:tabs>
      <w:jc w:val="center"/>
    </w:pPr>
    <w:rPr>
      <w:i/>
      <w:iCs/>
    </w:rPr>
  </w:style>
  <w:style w:type="paragraph" w:customStyle="1" w:styleId="RepTitle">
    <w:name w:val="Rep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rsid w:val="009625F7"/>
    <w:pPr>
      <w:bidi w:val="0"/>
      <w:spacing w:line="240" w:lineRule="auto"/>
      <w:ind w:left="794" w:hanging="794"/>
      <w:jc w:val="left"/>
    </w:pPr>
    <w:rPr>
      <w:rFonts w:cs="Times New Roman"/>
      <w:sz w:val="16"/>
      <w:szCs w:val="20"/>
    </w:rPr>
  </w:style>
  <w:style w:type="paragraph" w:customStyle="1" w:styleId="Reftitle">
    <w:name w:val="Ref_title"/>
    <w:basedOn w:val="Normal"/>
    <w:next w:val="Reftext"/>
    <w:rsid w:val="009625F7"/>
    <w:pPr>
      <w:bidi w:val="0"/>
      <w:spacing w:before="480" w:line="240" w:lineRule="auto"/>
      <w:jc w:val="center"/>
    </w:pPr>
    <w:rPr>
      <w:rFonts w:cs="Times New Roman"/>
      <w:b/>
      <w:sz w:val="16"/>
      <w:szCs w:val="20"/>
    </w:rPr>
  </w:style>
  <w:style w:type="paragraph" w:customStyle="1" w:styleId="RecTitle">
    <w:name w:val="Rec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Figure">
    <w:name w:val="Figure"/>
    <w:basedOn w:val="Normal"/>
    <w:next w:val="Normal"/>
    <w:rsid w:val="009625F7"/>
    <w:pPr>
      <w:keepNext/>
      <w:keepLines/>
      <w:bidi w:val="0"/>
      <w:spacing w:before="240" w:after="120" w:line="240" w:lineRule="auto"/>
      <w:jc w:val="center"/>
    </w:pPr>
    <w:rPr>
      <w:rFonts w:cs="Times New Roman"/>
      <w:szCs w:val="20"/>
    </w:rPr>
  </w:style>
  <w:style w:type="paragraph" w:customStyle="1" w:styleId="Figurelegend">
    <w:name w:val="Figure_legend"/>
    <w:basedOn w:val="Normal"/>
    <w:rsid w:val="009625F7"/>
    <w:pPr>
      <w:keepNext/>
      <w:keepLines/>
      <w:tabs>
        <w:tab w:val="clear" w:pos="794"/>
        <w:tab w:val="clear" w:pos="1191"/>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rsid w:val="009625F7"/>
    <w:pPr>
      <w:keepLines/>
      <w:bidi w:val="0"/>
      <w:spacing w:before="240" w:after="120"/>
      <w:jc w:val="center"/>
    </w:pPr>
    <w:rPr>
      <w:rFonts w:ascii="Times New Roman Bold" w:hAnsi="Times New Roman Bold"/>
      <w:b/>
      <w:bCs/>
    </w:rPr>
  </w:style>
  <w:style w:type="paragraph" w:customStyle="1" w:styleId="Figurewithouttitle">
    <w:name w:val="Figure_without_title"/>
    <w:basedOn w:val="Normal"/>
    <w:next w:val="Normal"/>
    <w:rsid w:val="009625F7"/>
    <w:pPr>
      <w:keepLines/>
      <w:bidi w:val="0"/>
      <w:spacing w:before="240" w:after="120" w:line="240" w:lineRule="auto"/>
      <w:jc w:val="center"/>
    </w:pPr>
    <w:rPr>
      <w:rFonts w:cs="Times New Roman"/>
      <w:szCs w:val="20"/>
    </w:rPr>
  </w:style>
  <w:style w:type="paragraph" w:customStyle="1" w:styleId="Headingi">
    <w:name w:val="Heading_i"/>
    <w:basedOn w:val="Normal"/>
    <w:next w:val="Normal"/>
    <w:rsid w:val="003417FA"/>
    <w:pPr>
      <w:keepNext/>
      <w:bidi w:val="0"/>
    </w:pPr>
    <w:rPr>
      <w:i/>
      <w:iCs/>
    </w:rPr>
  </w:style>
  <w:style w:type="paragraph" w:customStyle="1" w:styleId="PartN">
    <w:name w:val="Part_N°"/>
    <w:basedOn w:val="Normal"/>
    <w:next w:val="Normal"/>
    <w:rsid w:val="009625F7"/>
    <w:pPr>
      <w:tabs>
        <w:tab w:val="clear" w:pos="794"/>
        <w:tab w:val="clear" w:pos="1191"/>
        <w:tab w:val="clear" w:pos="1588"/>
        <w:tab w:val="clear" w:pos="1985"/>
      </w:tabs>
      <w:spacing w:before="240"/>
      <w:jc w:val="center"/>
    </w:pPr>
    <w:rPr>
      <w:sz w:val="28"/>
      <w:szCs w:val="40"/>
      <w:lang w:bidi="ar-EG"/>
    </w:rPr>
  </w:style>
  <w:style w:type="paragraph" w:customStyle="1" w:styleId="Partref">
    <w:name w:val="Part_ref"/>
    <w:basedOn w:val="Normal"/>
    <w:next w:val="Normal"/>
    <w:rsid w:val="009625F7"/>
    <w:pPr>
      <w:keepNext/>
      <w:keepLines/>
      <w:bidi w:val="0"/>
      <w:spacing w:before="280" w:line="240" w:lineRule="auto"/>
      <w:jc w:val="center"/>
    </w:pPr>
    <w:rPr>
      <w:rFonts w:cs="Times New Roman"/>
      <w:szCs w:val="20"/>
    </w:rPr>
  </w:style>
  <w:style w:type="paragraph" w:customStyle="1" w:styleId="PartTitle">
    <w:name w:val="Part_Title"/>
    <w:basedOn w:val="Normal"/>
    <w:rsid w:val="009625F7"/>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rsid w:val="009625F7"/>
  </w:style>
  <w:style w:type="paragraph" w:customStyle="1" w:styleId="QuestionNo">
    <w:name w:val="Question_No"/>
    <w:basedOn w:val="Normal"/>
    <w:next w:val="Normal"/>
    <w:rsid w:val="009625F7"/>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rsid w:val="009625F7"/>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rsid w:val="009625F7"/>
  </w:style>
  <w:style w:type="paragraph" w:customStyle="1" w:styleId="RepNo">
    <w:name w:val="Rep_No"/>
    <w:basedOn w:val="Normal"/>
    <w:next w:val="Normal"/>
    <w:rsid w:val="009625F7"/>
    <w:pPr>
      <w:keepNext/>
      <w:keepLines/>
      <w:bidi w:val="0"/>
      <w:spacing w:before="0" w:line="240" w:lineRule="auto"/>
      <w:jc w:val="left"/>
    </w:pPr>
    <w:rPr>
      <w:rFonts w:cs="Times New Roman"/>
      <w:b/>
      <w:sz w:val="24"/>
      <w:szCs w:val="20"/>
    </w:rPr>
  </w:style>
  <w:style w:type="paragraph" w:customStyle="1" w:styleId="Repref">
    <w:name w:val="Rep_ref"/>
    <w:basedOn w:val="Normal"/>
    <w:next w:val="Rep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date">
    <w:name w:val="Res_date"/>
    <w:basedOn w:val="Recdate"/>
    <w:next w:val="Normal"/>
    <w:rsid w:val="009625F7"/>
  </w:style>
  <w:style w:type="character" w:customStyle="1" w:styleId="Resdef">
    <w:name w:val="Res_def"/>
    <w:basedOn w:val="DefaultParagraphFont"/>
    <w:rsid w:val="009625F7"/>
    <w:rPr>
      <w:rFonts w:ascii="Times New Roman" w:hAnsi="Times New Roman"/>
      <w:b/>
    </w:rPr>
  </w:style>
  <w:style w:type="paragraph" w:customStyle="1" w:styleId="ResNo">
    <w:name w:val="Res_No"/>
    <w:basedOn w:val="Normal"/>
    <w:next w:val="Normal"/>
    <w:rsid w:val="009625F7"/>
    <w:pPr>
      <w:keepNext/>
      <w:keepLines/>
      <w:bidi w:val="0"/>
      <w:spacing w:before="0" w:line="240" w:lineRule="auto"/>
      <w:jc w:val="left"/>
    </w:pPr>
    <w:rPr>
      <w:rFonts w:cs="Times New Roman"/>
      <w:b/>
      <w:sz w:val="24"/>
      <w:szCs w:val="20"/>
    </w:rPr>
  </w:style>
  <w:style w:type="paragraph" w:customStyle="1" w:styleId="Resref">
    <w:name w:val="Res_ref"/>
    <w:basedOn w:val="Normal"/>
    <w:next w:val="Resdate"/>
    <w:rsid w:val="009625F7"/>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rsid w:val="009625F7"/>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rsid w:val="0095336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120" w:line="280" w:lineRule="exact"/>
      <w:jc w:val="center"/>
    </w:pPr>
    <w:rPr>
      <w:rFonts w:ascii="Times New Roman Bold" w:hAnsi="Times New Roman Bold"/>
      <w:b/>
    </w:rPr>
  </w:style>
  <w:style w:type="paragraph" w:customStyle="1" w:styleId="Tablelegend">
    <w:name w:val="Table_legend"/>
    <w:basedOn w:val="Normal"/>
    <w:rsid w:val="009625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rsid w:val="009625F7"/>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rsid w:val="009625F7"/>
    <w:pPr>
      <w:keepNext/>
      <w:bidi w:val="0"/>
      <w:spacing w:before="0" w:after="120" w:line="240" w:lineRule="auto"/>
      <w:jc w:val="center"/>
    </w:pPr>
    <w:rPr>
      <w:rFonts w:cs="Times New Roman"/>
      <w:szCs w:val="20"/>
    </w:rPr>
  </w:style>
  <w:style w:type="paragraph" w:customStyle="1" w:styleId="Tabletext">
    <w:name w:val="Table_text"/>
    <w:basedOn w:val="Normal"/>
    <w:rsid w:val="009533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center"/>
    </w:pPr>
  </w:style>
  <w:style w:type="character" w:styleId="FootnoteReference">
    <w:name w:val="footnote reference"/>
    <w:basedOn w:val="DefaultParagraphFont"/>
    <w:semiHidden/>
    <w:rsid w:val="006B2AC1"/>
    <w:rPr>
      <w:rFonts w:ascii="Verdana" w:hAnsi="Verdana" w:cs="Times New Roman"/>
      <w:dstrike w:val="0"/>
      <w:spacing w:val="0"/>
      <w:w w:val="100"/>
      <w:position w:val="6"/>
      <w:sz w:val="18"/>
      <w:szCs w:val="18"/>
      <w:effect w:val="none"/>
      <w:vertAlign w:val="superscript"/>
      <w:rPrChange w:id="0" w:author="adea" w:date="2009-08-14T14:36:00Z">
        <w:rPr>
          <w:rFonts w:ascii="Times New Roman" w:hAnsi="Times New Roman" w:cs="Times New Roman"/>
          <w:dstrike w:val="0"/>
          <w:spacing w:val="0"/>
          <w:w w:val="100"/>
          <w:position w:val="0"/>
          <w:sz w:val="24"/>
          <w:szCs w:val="24"/>
          <w:effect w:val="none"/>
          <w:vertAlign w:val="superscript"/>
        </w:rPr>
      </w:rPrChang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rsid w:val="009625F7"/>
    <w:pPr>
      <w:keepLines/>
      <w:tabs>
        <w:tab w:val="clear" w:pos="794"/>
        <w:tab w:val="clear" w:pos="1191"/>
        <w:tab w:val="clear" w:pos="1588"/>
        <w:tab w:val="clear" w:pos="1985"/>
      </w:tabs>
      <w:spacing w:before="80" w:line="180" w:lineRule="auto"/>
      <w:ind w:left="284" w:right="255" w:hanging="284"/>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764E45"/>
    <w:rPr>
      <w:rFonts w:ascii="Verdana" w:hAnsi="Verdana" w:cs="Simplified Arabic"/>
      <w:szCs w:val="26"/>
      <w:lang w:val="en-GB" w:eastAsia="en-US" w:bidi="ar-SA"/>
    </w:rPr>
  </w:style>
  <w:style w:type="paragraph" w:customStyle="1" w:styleId="Normalaftertitle">
    <w:name w:val="Normal after title"/>
    <w:basedOn w:val="Normal"/>
    <w:next w:val="Normal"/>
    <w:rsid w:val="009625F7"/>
    <w:pPr>
      <w:spacing w:before="240"/>
    </w:pPr>
  </w:style>
  <w:style w:type="table" w:customStyle="1" w:styleId="TableGrid1">
    <w:name w:val="Table Grid1"/>
    <w:basedOn w:val="TableNormal"/>
    <w:next w:val="TableGrid"/>
    <w:rsid w:val="00F02FC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A421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left"/>
    </w:pPr>
    <w:rPr>
      <w:rFonts w:eastAsia="SimSun" w:cs="Times New Roman"/>
      <w:szCs w:val="20"/>
    </w:rPr>
  </w:style>
  <w:style w:type="paragraph" w:customStyle="1" w:styleId="TableHead0">
    <w:name w:val="Table_Head"/>
    <w:basedOn w:val="TableText0"/>
    <w:rsid w:val="00A42178"/>
    <w:pPr>
      <w:keepNext/>
      <w:spacing w:before="80" w:after="80"/>
      <w:jc w:val="center"/>
    </w:pPr>
    <w:rPr>
      <w:b/>
    </w:rPr>
  </w:style>
  <w:style w:type="paragraph" w:customStyle="1" w:styleId="FOOTNOTE">
    <w:name w:val="FOOTNOTE"/>
    <w:basedOn w:val="FootnoteText"/>
    <w:rsid w:val="00432150"/>
    <w:pPr>
      <w:ind w:right="0"/>
    </w:pPr>
    <w:rPr>
      <w:sz w:val="18"/>
      <w:szCs w:val="24"/>
    </w:rPr>
  </w:style>
  <w:style w:type="paragraph" w:styleId="TOC4">
    <w:name w:val="toc 4"/>
    <w:basedOn w:val="Normal"/>
    <w:next w:val="Normal"/>
    <w:autoRedefine/>
    <w:uiPriority w:val="39"/>
    <w:rsid w:val="006C11E2"/>
    <w:pPr>
      <w:tabs>
        <w:tab w:val="clear" w:pos="794"/>
        <w:tab w:val="clear" w:pos="1191"/>
        <w:tab w:val="clear" w:pos="1588"/>
        <w:tab w:val="clear" w:pos="1985"/>
      </w:tabs>
      <w:spacing w:after="100"/>
      <w:ind w:left="570"/>
    </w:pPr>
  </w:style>
  <w:style w:type="paragraph" w:styleId="TOC1">
    <w:name w:val="toc 1"/>
    <w:basedOn w:val="Normal"/>
    <w:next w:val="Normal"/>
    <w:autoRedefine/>
    <w:uiPriority w:val="39"/>
    <w:rsid w:val="009A7C06"/>
    <w:pPr>
      <w:tabs>
        <w:tab w:val="clear" w:pos="794"/>
        <w:tab w:val="clear" w:pos="1191"/>
        <w:tab w:val="clear" w:pos="1588"/>
        <w:tab w:val="clear" w:pos="1985"/>
        <w:tab w:val="right" w:leader="dot" w:pos="8788"/>
        <w:tab w:val="right" w:pos="9639"/>
      </w:tabs>
      <w:spacing w:before="240"/>
      <w:ind w:left="567" w:right="851" w:hanging="567"/>
    </w:pPr>
  </w:style>
  <w:style w:type="paragraph" w:styleId="TOC2">
    <w:name w:val="toc 2"/>
    <w:basedOn w:val="Normal"/>
    <w:next w:val="Normal"/>
    <w:autoRedefine/>
    <w:uiPriority w:val="39"/>
    <w:rsid w:val="00CD505F"/>
    <w:pPr>
      <w:tabs>
        <w:tab w:val="clear" w:pos="794"/>
        <w:tab w:val="clear" w:pos="1191"/>
        <w:tab w:val="clear" w:pos="1588"/>
        <w:tab w:val="clear" w:pos="1985"/>
        <w:tab w:val="left" w:pos="1320"/>
        <w:tab w:val="right" w:leader="dot" w:pos="8789"/>
        <w:tab w:val="right" w:pos="9629"/>
      </w:tabs>
      <w:ind w:left="1134" w:right="851" w:hanging="567"/>
    </w:pPr>
    <w:rPr>
      <w:noProof/>
      <w:lang w:bidi="ar-EG"/>
    </w:rPr>
  </w:style>
  <w:style w:type="paragraph" w:styleId="TOC3">
    <w:name w:val="toc 3"/>
    <w:basedOn w:val="Normal"/>
    <w:next w:val="Normal"/>
    <w:autoRedefine/>
    <w:uiPriority w:val="39"/>
    <w:rsid w:val="009A7C06"/>
    <w:pPr>
      <w:tabs>
        <w:tab w:val="clear" w:pos="794"/>
        <w:tab w:val="clear" w:pos="1191"/>
        <w:tab w:val="clear" w:pos="1588"/>
        <w:tab w:val="clear" w:pos="1985"/>
        <w:tab w:val="left" w:pos="1907"/>
        <w:tab w:val="right" w:leader="dot" w:pos="8789"/>
        <w:tab w:val="right" w:pos="9629"/>
      </w:tabs>
      <w:spacing w:before="60"/>
      <w:ind w:left="1134" w:right="851"/>
    </w:pPr>
    <w:rPr>
      <w:noProof/>
    </w:rPr>
  </w:style>
  <w:style w:type="paragraph" w:customStyle="1" w:styleId="Annex">
    <w:name w:val="Annex"/>
    <w:basedOn w:val="Normal"/>
    <w:rsid w:val="00E729C5"/>
    <w:pPr>
      <w:spacing w:before="360"/>
      <w:jc w:val="center"/>
    </w:pPr>
    <w:rPr>
      <w:rFonts w:ascii="Times New Roman Bold" w:hAnsi="Times New Roman Bold" w:cs="Simplified Arabic"/>
      <w:b/>
      <w:bCs/>
      <w:sz w:val="26"/>
      <w:szCs w:val="36"/>
      <w:lang w:val="en-US"/>
    </w:rPr>
  </w:style>
  <w:style w:type="character" w:customStyle="1" w:styleId="style171">
    <w:name w:val="style171"/>
    <w:basedOn w:val="DefaultParagraphFont"/>
    <w:rsid w:val="00E729C5"/>
    <w:rPr>
      <w:rFonts w:ascii="Trebuchet MS" w:hAnsi="Trebuchet MS"/>
      <w:b/>
      <w:bCs/>
      <w:noProof w:val="0"/>
      <w:color w:val="000099"/>
      <w:sz w:val="21"/>
      <w:szCs w:val="21"/>
      <w:lang w:val="en-GB"/>
    </w:rPr>
  </w:style>
  <w:style w:type="paragraph" w:customStyle="1" w:styleId="CEOcontributionStart">
    <w:name w:val="CEO_contributionStart"/>
    <w:basedOn w:val="Normal"/>
    <w:rsid w:val="00E729C5"/>
    <w:pPr>
      <w:tabs>
        <w:tab w:val="clear" w:pos="794"/>
        <w:tab w:val="clear" w:pos="1191"/>
        <w:tab w:val="clear" w:pos="1588"/>
        <w:tab w:val="clear" w:pos="1985"/>
      </w:tabs>
      <w:overflowPunct/>
      <w:autoSpaceDE/>
      <w:autoSpaceDN/>
      <w:bidi w:val="0"/>
      <w:adjustRightInd/>
      <w:spacing w:before="360" w:after="120" w:line="240" w:lineRule="auto"/>
      <w:jc w:val="left"/>
      <w:textAlignment w:val="auto"/>
    </w:pPr>
    <w:rPr>
      <w:rFonts w:ascii="Verdana" w:eastAsia="SimHei" w:hAnsi="Verdana" w:cs="Simplified Arabic"/>
      <w:sz w:val="19"/>
      <w:szCs w:val="19"/>
    </w:rPr>
  </w:style>
  <w:style w:type="paragraph" w:customStyle="1" w:styleId="Normalaftertitle0">
    <w:name w:val="Normal_after_title"/>
    <w:basedOn w:val="Normal"/>
    <w:next w:val="Normal"/>
    <w:rsid w:val="00013FFA"/>
    <w:pPr>
      <w:bidi w:val="0"/>
      <w:spacing w:before="360" w:line="240" w:lineRule="auto"/>
    </w:pPr>
    <w:rPr>
      <w:rFonts w:cs="Times New Roman"/>
      <w:sz w:val="22"/>
      <w:szCs w:val="20"/>
    </w:rPr>
  </w:style>
  <w:style w:type="paragraph" w:customStyle="1" w:styleId="FigureTitle">
    <w:name w:val="Figure Title"/>
    <w:basedOn w:val="Normal"/>
    <w:next w:val="Normal"/>
    <w:rsid w:val="00013FFA"/>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bidi w:val="0"/>
      <w:adjustRightInd/>
      <w:spacing w:before="0" w:line="240" w:lineRule="auto"/>
      <w:textAlignment w:val="auto"/>
    </w:pPr>
    <w:rPr>
      <w:rFonts w:ascii="Times" w:hAnsi="Times" w:cs="Times New Roman"/>
      <w:b/>
      <w:sz w:val="22"/>
      <w:szCs w:val="20"/>
      <w:lang w:val="en-US"/>
    </w:rPr>
  </w:style>
  <w:style w:type="paragraph" w:customStyle="1" w:styleId="FigureSource">
    <w:name w:val="Figure Source"/>
    <w:basedOn w:val="Normal"/>
    <w:next w:val="Normal"/>
    <w:rsid w:val="00013FFA"/>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bidi w:val="0"/>
      <w:adjustRightInd/>
      <w:spacing w:before="0" w:line="240" w:lineRule="auto"/>
      <w:ind w:left="568" w:hanging="568"/>
      <w:textAlignment w:val="auto"/>
    </w:pPr>
    <w:rPr>
      <w:rFonts w:ascii="Times" w:hAnsi="Times" w:cs="Times New Roman"/>
      <w:sz w:val="16"/>
      <w:szCs w:val="20"/>
      <w:lang w:val="en-US"/>
    </w:rPr>
  </w:style>
  <w:style w:type="paragraph" w:customStyle="1" w:styleId="sub-title">
    <w:name w:val="sub-title"/>
    <w:basedOn w:val="Normal"/>
    <w:qFormat/>
    <w:rsid w:val="00C476A9"/>
    <w:pPr>
      <w:spacing w:before="240"/>
      <w:jc w:val="center"/>
    </w:pPr>
    <w:rPr>
      <w:rFonts w:ascii="Times New Roman Bold" w:hAnsi="Times New Roman Bold"/>
      <w:b/>
      <w:bCs/>
      <w:sz w:val="26"/>
      <w:szCs w:val="36"/>
    </w:rPr>
  </w:style>
</w:styles>
</file>

<file path=word/webSettings.xml><?xml version="1.0" encoding="utf-8"?>
<w:webSettings xmlns:r="http://schemas.openxmlformats.org/officeDocument/2006/relationships" xmlns:w="http://schemas.openxmlformats.org/wordprocessingml/2006/main">
  <w:divs>
    <w:div w:id="19402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mailto:.sanders@alcatel-lucen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cc.gov.ng/index4.htm" TargetMode="External"/><Relationship Id="rId3" Type="http://schemas.openxmlformats.org/officeDocument/2006/relationships/hyperlink" Target="http://www.ucc.co.ug/licensing/default.php" TargetMode="External"/><Relationship Id="rId7" Type="http://schemas.openxmlformats.org/officeDocument/2006/relationships/hyperlink" Target="http://www.trai.gov.in/trai/upload/Recommendations/13/recom13jan05.pdf" TargetMode="External"/><Relationship Id="rId2" Type="http://schemas.openxmlformats.org/officeDocument/2006/relationships/hyperlink" Target="http://www.mcmc.gov.my/mcmc/the_law/ViewAct.asp?cc=31478525&amp;lg=e&amp;arid=900722"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ConsultationPapers_content.asp" TargetMode="External"/><Relationship Id="rId5" Type="http://schemas.openxmlformats.org/officeDocument/2006/relationships/hyperlink" Target="http://www.trai.gov.in/WriteReadData/trai/upload/ConsultationPapers/163/%20cpaper27jan09no3.pdf" TargetMode="External"/><Relationship Id="rId4" Type="http://schemas.openxmlformats.org/officeDocument/2006/relationships/hyperlink" Target="http://ec.europa.eu/information_society/topics/telecoms/regulatory/new_rf/index_en.htm" TargetMode="External"/><Relationship Id="rId9" Type="http://schemas.openxmlformats.org/officeDocument/2006/relationships/hyperlink" Target="http://www.ncc.gov.ng/RegulatorFramework/unifiedLicensingFramework.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Desktop\PA_BDTs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5D1A-8A09-4AB2-ABC7-95D05251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PA_BDTstg.dot</Template>
  <TotalTime>425</TotalTime>
  <Pages>22</Pages>
  <Words>6163</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lpstr>
    </vt:vector>
  </TitlesOfParts>
  <Company>ITU</Company>
  <LinksUpToDate>false</LinksUpToDate>
  <CharactersWithSpaces>40779</CharactersWithSpaces>
  <SharedDoc>false</SharedDoc>
  <HLinks>
    <vt:vector size="66" baseType="variant">
      <vt:variant>
        <vt:i4>1638473</vt:i4>
      </vt:variant>
      <vt:variant>
        <vt:i4>6</vt:i4>
      </vt:variant>
      <vt:variant>
        <vt:i4>0</vt:i4>
      </vt:variant>
      <vt:variant>
        <vt:i4>5</vt:i4>
      </vt:variant>
      <vt:variant>
        <vt:lpwstr>http://www.wimaxforum.org/resources/documents</vt:lpwstr>
      </vt:variant>
      <vt:variant>
        <vt:lpwstr/>
      </vt:variant>
      <vt:variant>
        <vt:i4>6225944</vt:i4>
      </vt:variant>
      <vt:variant>
        <vt:i4>24</vt:i4>
      </vt:variant>
      <vt:variant>
        <vt:i4>0</vt:i4>
      </vt:variant>
      <vt:variant>
        <vt:i4>5</vt:i4>
      </vt:variant>
      <vt:variant>
        <vt:lpwstr>http://212.100.246.162/health/index.shtml</vt:lpwstr>
      </vt:variant>
      <vt:variant>
        <vt:lpwstr/>
      </vt:variant>
      <vt:variant>
        <vt:i4>917576</vt:i4>
      </vt:variant>
      <vt:variant>
        <vt:i4>21</vt:i4>
      </vt:variant>
      <vt:variant>
        <vt:i4>0</vt:i4>
      </vt:variant>
      <vt:variant>
        <vt:i4>5</vt:i4>
      </vt:variant>
      <vt:variant>
        <vt:lpwstr>http://gsmworld.com/our-work/development-fund/energy/overview.htm</vt:lpwstr>
      </vt:variant>
      <vt:variant>
        <vt:lpwstr/>
      </vt:variant>
      <vt:variant>
        <vt:i4>6160465</vt:i4>
      </vt:variant>
      <vt:variant>
        <vt:i4>18</vt:i4>
      </vt:variant>
      <vt:variant>
        <vt:i4>0</vt:i4>
      </vt:variant>
      <vt:variant>
        <vt:i4>5</vt:i4>
      </vt:variant>
      <vt:variant>
        <vt:lpwstr>http://www.telecommons.com/villagephone/surplus.html</vt:lpwstr>
      </vt:variant>
      <vt:variant>
        <vt:lpwstr/>
      </vt:variant>
      <vt:variant>
        <vt:i4>2621502</vt:i4>
      </vt:variant>
      <vt:variant>
        <vt:i4>15</vt:i4>
      </vt:variant>
      <vt:variant>
        <vt:i4>0</vt:i4>
      </vt:variant>
      <vt:variant>
        <vt:i4>5</vt:i4>
      </vt:variant>
      <vt:variant>
        <vt:lpwstr>http://www.wimaxforum.org/node/426</vt:lpwstr>
      </vt:variant>
      <vt:variant>
        <vt:lpwstr/>
      </vt:variant>
      <vt:variant>
        <vt:i4>5046377</vt:i4>
      </vt:variant>
      <vt:variant>
        <vt:i4>12</vt:i4>
      </vt:variant>
      <vt:variant>
        <vt:i4>0</vt:i4>
      </vt:variant>
      <vt:variant>
        <vt:i4>5</vt:i4>
      </vt:variant>
      <vt:variant>
        <vt:lpwstr>http://www.gsmworld.com/documents/gsma_case_study_mhealth.pdf</vt:lpwstr>
      </vt:variant>
      <vt:variant>
        <vt:lpwstr/>
      </vt:variant>
      <vt:variant>
        <vt:i4>4915203</vt:i4>
      </vt:variant>
      <vt:variant>
        <vt:i4>9</vt:i4>
      </vt:variant>
      <vt:variant>
        <vt:i4>0</vt:i4>
      </vt:variant>
      <vt:variant>
        <vt:i4>5</vt:i4>
      </vt:variant>
      <vt:variant>
        <vt:lpwstr>http://www.gsmworld.com/our-work/programmes-and-initiatives/mobile-money/mobile-money-transfer/index.htm</vt:lpwstr>
      </vt:variant>
      <vt:variant>
        <vt:lpwstr/>
      </vt:variant>
      <vt:variant>
        <vt:i4>5570573</vt:i4>
      </vt:variant>
      <vt:variant>
        <vt:i4>6</vt:i4>
      </vt:variant>
      <vt:variant>
        <vt:i4>0</vt:i4>
      </vt:variant>
      <vt:variant>
        <vt:i4>5</vt:i4>
      </vt:variant>
      <vt:variant>
        <vt:lpwstr>http://www.gsmworld.com/our-work/programmes-and-initiatives/mobile-money/pay-buy-mobile/index.htm</vt:lpwstr>
      </vt:variant>
      <vt:variant>
        <vt:lpwstr/>
      </vt:variant>
      <vt:variant>
        <vt:i4>72417334</vt:i4>
      </vt:variant>
      <vt:variant>
        <vt:i4>3</vt:i4>
      </vt:variant>
      <vt:variant>
        <vt:i4>0</vt:i4>
      </vt:variant>
      <vt:variant>
        <vt:i4>5</vt:i4>
      </vt:variant>
      <vt:variant>
        <vt:lpwstr>C:\Documents and Settings\Администратор\Мои документы\ITU\www.itu.int\ITU-D\ICTEYE\Indicators\Indicators.aspx</vt:lpwstr>
      </vt:variant>
      <vt:variant>
        <vt:lpwstr/>
      </vt:variant>
      <vt:variant>
        <vt:i4>4653154</vt:i4>
      </vt:variant>
      <vt:variant>
        <vt:i4>0</vt:i4>
      </vt:variant>
      <vt:variant>
        <vt:i4>0</vt:i4>
      </vt:variant>
      <vt:variant>
        <vt:i4>5</vt:i4>
      </vt:variant>
      <vt:variant>
        <vt:lpwstr>http://www.itu.int/newsroom/press_releases/2007/30.html</vt:lpwstr>
      </vt:variant>
      <vt:variant>
        <vt:lpwstr/>
      </vt:variant>
      <vt:variant>
        <vt:i4>3276883</vt:i4>
      </vt:variant>
      <vt:variant>
        <vt:i4>24</vt:i4>
      </vt:variant>
      <vt:variant>
        <vt:i4>0</vt:i4>
      </vt:variant>
      <vt:variant>
        <vt:i4>5</vt:i4>
      </vt:variant>
      <vt:variant>
        <vt:lpwstr>mailto:alsanders@alcatel-lucent.com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elbahnas</dc:creator>
  <cp:keywords/>
  <dc:description/>
  <cp:lastModifiedBy>yammouni</cp:lastModifiedBy>
  <cp:revision>21</cp:revision>
  <cp:lastPrinted>2010-03-19T14:02:00Z</cp:lastPrinted>
  <dcterms:created xsi:type="dcterms:W3CDTF">2010-04-19T06:58:00Z</dcterms:created>
  <dcterms:modified xsi:type="dcterms:W3CDTF">2010-04-20T13:36:00Z</dcterms:modified>
</cp:coreProperties>
</file>