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741EE" w14:textId="77777777" w:rsidR="00164977" w:rsidRPr="003C0233" w:rsidRDefault="00164977" w:rsidP="00164977">
      <w:pPr>
        <w:pStyle w:val="ResNo"/>
        <w:rPr>
          <w:lang w:val="es-ES_tradnl"/>
        </w:rPr>
      </w:pPr>
      <w:bookmarkStart w:id="0" w:name="_Toc227855017"/>
      <w:bookmarkStart w:id="1" w:name="_Toc227855330"/>
      <w:bookmarkStart w:id="2" w:name="_Toc227855542"/>
      <w:bookmarkStart w:id="3" w:name="_Toc227856309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92</w:t>
      </w:r>
      <w:r w:rsidRPr="003C0233">
        <w:rPr>
          <w:lang w:val="es-ES_tradnl"/>
        </w:rPr>
        <w:t xml:space="preserve"> (Bakú, 2025)</w:t>
      </w:r>
      <w:bookmarkEnd w:id="0"/>
      <w:bookmarkEnd w:id="1"/>
      <w:bookmarkEnd w:id="2"/>
      <w:bookmarkEnd w:id="3"/>
    </w:p>
    <w:p w14:paraId="707913F6" w14:textId="0CD3B11A" w:rsidR="00164977" w:rsidRPr="003C0233" w:rsidRDefault="00164977" w:rsidP="00164977">
      <w:pPr>
        <w:pStyle w:val="Restitle"/>
        <w:rPr>
          <w:lang w:val="es-ES_tradnl"/>
        </w:rPr>
      </w:pPr>
      <w:bookmarkStart w:id="4" w:name="_Toc227855018"/>
      <w:bookmarkStart w:id="5" w:name="_Toc227855331"/>
      <w:bookmarkStart w:id="6" w:name="_Toc227855543"/>
      <w:bookmarkStart w:id="7" w:name="_Toc227856310"/>
      <w:r w:rsidRPr="003C0233">
        <w:rPr>
          <w:lang w:val="es-ES_tradnl"/>
        </w:rPr>
        <w:t xml:space="preserve">Fortalecimiento del papel de las Oficinas Regionales de la UIT </w:t>
      </w:r>
      <w:r w:rsidR="008557FB">
        <w:rPr>
          <w:lang w:val="es-ES_tradnl"/>
        </w:rPr>
        <w:br/>
      </w:r>
      <w:r w:rsidRPr="003C0233">
        <w:rPr>
          <w:lang w:val="es-ES_tradnl"/>
        </w:rPr>
        <w:t>en la aceleración</w:t>
      </w:r>
      <w:r w:rsidR="00A4058F" w:rsidRPr="003C0233">
        <w:rPr>
          <w:lang w:val="es-ES_tradnl"/>
        </w:rPr>
        <w:t xml:space="preserve"> </w:t>
      </w:r>
      <w:r w:rsidRPr="003C0233">
        <w:rPr>
          <w:lang w:val="es-ES_tradnl"/>
        </w:rPr>
        <w:t xml:space="preserve">de la transformación digital </w:t>
      </w:r>
      <w:r w:rsidR="008557FB">
        <w:rPr>
          <w:lang w:val="es-ES_tradnl"/>
        </w:rPr>
        <w:br/>
      </w:r>
      <w:r w:rsidRPr="003C0233">
        <w:rPr>
          <w:lang w:val="es-ES_tradnl"/>
        </w:rPr>
        <w:t>y el aprovechamiento de las alianzas</w:t>
      </w:r>
      <w:bookmarkEnd w:id="4"/>
      <w:bookmarkEnd w:id="5"/>
      <w:bookmarkEnd w:id="6"/>
      <w:bookmarkEnd w:id="7"/>
    </w:p>
    <w:p w14:paraId="6FFFAFA9" w14:textId="77777777" w:rsidR="00164977" w:rsidRPr="003C0233" w:rsidRDefault="00164977" w:rsidP="0016497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3F02EACB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6DF6461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17 (Rev. Bakú, 2025) de la presente Conferencia, Movilización de recursos, ejecución y colaboración para las Iniciativas Regionales aprobadas;</w:t>
      </w:r>
    </w:p>
    <w:p w14:paraId="1BEB99C1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21 (Rev. Bakú, 2025) de la presente Conferencia, Fortalecimiento de la coordinación y colaboración con organizaciones regionales y subregionales;</w:t>
      </w:r>
    </w:p>
    <w:p w14:paraId="387639FC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Resolución 89 (Rev. Bakú, 2025) de la presente Conferencia, Transformación digital para el desarrollo sostenible;</w:t>
      </w:r>
    </w:p>
    <w:p w14:paraId="2A9B4D38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Resolución 90 (Rev. Bakú, 2025) de la presente Conferencia, Fomento de la iniciativa empresarial y los ecosistemas de innovación digital centrados en las telecomunicaciones/tecnologías de la información y la comunicación (TIC) para un desarrollo digital sostenible;</w:t>
      </w:r>
    </w:p>
    <w:p w14:paraId="22EE1A90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Resolución 25 (Rev. Bucarest, 2022) de la Conferencia de Plenipotenciarios, Fortalecimiento de la presencia regional de la UIT;</w:t>
      </w:r>
    </w:p>
    <w:p w14:paraId="237DC927" w14:textId="608108C4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Resolución 123 (Rev. Bucarest, 2022) de la Conferencia de Plenipotenciarios, Reducción de la brecha de normalización entre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 xml:space="preserve"> y los desarrollados;</w:t>
      </w:r>
    </w:p>
    <w:p w14:paraId="2B9A918B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la Resolución 198 (Rev. Bucarest, 2022) de la Conferencia de Plenipotenciarios, Empoderamiento de la juventud a través de las telecomunicaciones y las TIC;</w:t>
      </w:r>
    </w:p>
    <w:p w14:paraId="63CE5A0F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h)</w:t>
      </w:r>
      <w:r w:rsidRPr="003C0233">
        <w:rPr>
          <w:lang w:val="es-ES_tradnl"/>
        </w:rPr>
        <w:tab/>
        <w:t>la Resolución 205 (Rev. Bucarest, 2022) de la Conferencia de Plenipotenciarios, Papel de la UIT en el fomento de la innovación centrada en las telecomunicaciones/TIC para impulsar la economía y la sociedad digitales,</w:t>
      </w:r>
    </w:p>
    <w:p w14:paraId="49E067EA" w14:textId="77777777" w:rsidR="001D5072" w:rsidRPr="003C0233" w:rsidRDefault="001D50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7E61E61C" w14:textId="45D650A3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reconociendo</w:t>
      </w:r>
    </w:p>
    <w:p w14:paraId="0CC5B94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la creciente complejidad del panorama del desarrollo exige que el Sector de Desarrollo de las Telecomunicaciones de la UIT (UIT</w:t>
      </w:r>
      <w:r w:rsidRPr="003C0233">
        <w:rPr>
          <w:lang w:val="es-ES_tradnl"/>
        </w:rPr>
        <w:noBreakHyphen/>
        <w:t>D) evolucione para convertirse en un actor del desarrollo más sistémico y orientado a los resultados, aprovechando sus capacidades programáticas, con nuevos mecanismos y plataformas;</w:t>
      </w:r>
    </w:p>
    <w:p w14:paraId="1860E0D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las alianzas fomentan la innovación y que las partes interesadas necesitan disponer de recursos y capacidades adecuados para avanzar en la transformación digital;</w:t>
      </w:r>
    </w:p>
    <w:p w14:paraId="6A233A3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el establecimiento de ecosistemas de alianzas eficaces requiere mecanismos estructurados y sistémicos para hacer partícipes, movilizar y apoyar a los países en desarrollo;</w:t>
      </w:r>
    </w:p>
    <w:p w14:paraId="647D1104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los enfoques ascendentes impulsados por las partes interesadas son más eficaces y sostenibles para alcanzar los objetivos regionales y nacionales;</w:t>
      </w:r>
    </w:p>
    <w:p w14:paraId="2D02B9C5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la creación de capacidad institucional y la innovación siguen siendo una preocupación prioritaria para los Estados Miembros, y que el replanteamiento de los mecanismos de ejecución puede mejorar la eficacia de la Oficina de Desarrollo de las Telecomunicaciones (BDT) y su capacidad de respuesta a las necesidades nacionales y regionales;</w:t>
      </w:r>
    </w:p>
    <w:p w14:paraId="5C9D82F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que considerar la sostenibilidad financiera y un amplio alcance, entre otras cosas gracias al papel esencial de las Oficinas Regionales de la UIT, es fundamental para lograr una transformación digital inclusiva y no dejar a nadie atrás,</w:t>
      </w:r>
    </w:p>
    <w:p w14:paraId="21B56997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47A07A01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los esfuerzos en curso de la UIT para mejorar la presencia regional y la necesidad de reforzar el papel de las Oficinas Regionales y de obtener soluciones innovadoras y sistémicas, incluida la puesta a prueba de nuevos modelos que mejoren la capacidad operacional y acerquen los conocimientos programáticos de la UIT a sus miembros;</w:t>
      </w:r>
    </w:p>
    <w:p w14:paraId="7275626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el establecimiento de una red de apoyo multipartita puede acrecentar la eficacia regional de la UIT aprovechando las alianzas y capitalizando los conocimientos técnicos especializados mundiales y locales, los recursos financieros y la infraestructura;</w:t>
      </w:r>
    </w:p>
    <w:p w14:paraId="2000EFA4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1C4C4AA1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c)</w:t>
      </w:r>
      <w:r w:rsidRPr="003C0233">
        <w:rPr>
          <w:lang w:val="es-ES_tradnl"/>
        </w:rPr>
        <w:tab/>
        <w:t>que el fortalecimiento y la mejora de la cooperación Sur</w:t>
      </w:r>
      <w:r w:rsidRPr="003C0233">
        <w:rPr>
          <w:lang w:val="es-ES_tradnl"/>
        </w:rPr>
        <w:noBreakHyphen/>
        <w:t>Sur y la cooperación triangular presenta importantes modalidades para el intercambio de conocimientos, el desarrollo de capacidades y la transferencia de tecnología de manera voluntaria y mutuamente acordada entre los países en desarrollo es coherente con los principios de solidaridad, beneficio mutuo y prioridades de desarrollo compartidas;</w:t>
      </w:r>
    </w:p>
    <w:p w14:paraId="35D7D43C" w14:textId="40FF48A9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muchas entidades de las Naciones Unidas y organizaciones internacionales aceleran la ejecución de proyectos y la prestación de servicios mediante la creación de ecosistemas de alianzas que las Oficinas Regionales pueden aprovechar para apoyar la escalabilidad y maximizar el impacto en el desarrollo de las regiones,</w:t>
      </w:r>
    </w:p>
    <w:p w14:paraId="33F5E228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7AF1E2A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la puesta en marcha, por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BDT, de la Alianza sobre Innovación e Iniciativa Empresarial en aras del Desarrollo Digital (AIEDD), que proporciona una plataforma multipartita para acercar la innovación y la capacidad institucional a las regiones;</w:t>
      </w:r>
    </w:p>
    <w:p w14:paraId="2C905358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 AIEDD funciona a través de tres mecanismos fundamentales, a saber, la Red de Centros de Aceleración de la UIT, el Laboratorio de Transformación Digital y la Junta de Innovación Digital;</w:t>
      </w:r>
    </w:p>
    <w:p w14:paraId="45F464E0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 Red de Centros de Aceleración fomenta las capacidades de innovación mundiales, regionales y nacionales para aprovechar la tecnología, las políticas y el desarrollo de iniciativas emblemáticas, al tiempo que refuerza también la innovación y la iniciativa empresarial a escala local para acelerar la transformación digital;</w:t>
      </w:r>
    </w:p>
    <w:p w14:paraId="4BCEBBC4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cada Centro de Aceleración es de propiedad nacional y está en consonancia con las prioridades nacionales y, a su vez, procura contribuir a la expansión del alcance y las capacidades operacionales de la UIT mediante un enfoque de red coordinado;</w:t>
      </w:r>
    </w:p>
    <w:p w14:paraId="5506389A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el Laboratorio de Transformación Digital sirve de plataforma virtual para la creación de programas de conocimientos sobre innovación, que apoyan a la Red de Centros de Aceleración en el establecimiento de iniciativas de política y ecosistemas;</w:t>
      </w:r>
    </w:p>
    <w:p w14:paraId="6AB6431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que la Junta de Innovación Digital sirve de guía para la dirección estratégica de la AIEDD, en consonancia con el Plan de Acción cuatrienal del UIT</w:t>
      </w:r>
      <w:r w:rsidRPr="003C0233">
        <w:rPr>
          <w:lang w:val="es-ES_tradnl"/>
        </w:rPr>
        <w:noBreakHyphen/>
        <w:t>D, y facilita la promoción de alto nivel y la supervisión de los avances en los principales flujos de trabajo de las prioridades del UIT</w:t>
      </w:r>
      <w:r w:rsidRPr="003C0233">
        <w:rPr>
          <w:lang w:val="es-ES_tradnl"/>
        </w:rPr>
        <w:noBreakHyphen/>
        <w:t>D;</w:t>
      </w:r>
    </w:p>
    <w:p w14:paraId="242CA76C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6D388658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g)</w:t>
      </w:r>
      <w:r w:rsidRPr="003C0233">
        <w:rPr>
          <w:lang w:val="es-ES_tradnl"/>
        </w:rPr>
        <w:tab/>
        <w:t>que la red de expertos de la AIEDD seguirá proporcionando una plataforma de colaboración global para fortalecer el ecosistema de innovación;</w:t>
      </w:r>
    </w:p>
    <w:p w14:paraId="2C86D8A1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h)</w:t>
      </w:r>
      <w:r w:rsidRPr="003C0233">
        <w:rPr>
          <w:lang w:val="es-ES_tradnl"/>
        </w:rPr>
        <w:tab/>
        <w:t>que la UIT ha seguido estableciendo mecanismos eficaces para acelerar la ejecución de las Iniciativas Regionales y los procesos de consulta innovadores con los miembros, en particular a través del Acelerador de Iniciativas Regionales y los Cafés de Innovación, destinados a reforzar la asistencia técnica y el desarrollo de proyectos factibles,</w:t>
      </w:r>
    </w:p>
    <w:p w14:paraId="4C31594D" w14:textId="5A2E5C7F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resuelve encargar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1C3BBD63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establezca un marco acelerador de Iniciativas Regionales en las Oficinas Regionales, en colaboración con los Estados Miembros y los asociados, para apoyar el diseño conjunto de proyectos viables en consonancia con las prioridades del UIT</w:t>
      </w:r>
      <w:r w:rsidRPr="003C0233">
        <w:rPr>
          <w:lang w:val="es-ES_tradnl"/>
        </w:rPr>
        <w:noBreakHyphen/>
        <w:t>D y las regiones, dentro de los recursos disponibles;</w:t>
      </w:r>
    </w:p>
    <w:p w14:paraId="3ADD2D59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aproveche las capacidades del Laboratorio de Transformación Digital para apoyar a las Oficinas Regionales en el fomento de la innovación en el desarrollo y el suministro de productos y servicios de la BDT;</w:t>
      </w:r>
    </w:p>
    <w:p w14:paraId="52217384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desarrolle un marco de ecosistemas de alianza con las partes interesadas pertinentes para mejorar y ampliar la prestación de servicios, acelerar el desarrollo digital y garantizar una conectividad universal y significativa;</w:t>
      </w:r>
    </w:p>
    <w:p w14:paraId="68597407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informe anualmente al Grupo Asesor de Desarrollo de las Telecomunicaciones sobre los progresos realizados en la aplicación de la presente Resolución y sus repercusiones,</w:t>
      </w:r>
    </w:p>
    <w:p w14:paraId="4AC53205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en colaboración con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Radiocomunicaciones</w:t>
      </w:r>
    </w:p>
    <w:p w14:paraId="0A1CBEDD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aproveche la Red de Centros de Aceleración, las Oficinas Regionales y Zonales, las organizaciones regionales de telecomunicaciones y el marco del ecosistema de alianzas para coordinar el suministro coordinado de conocimientos y experiencia programática a los Estados Miembros;</w:t>
      </w:r>
    </w:p>
    <w:p w14:paraId="339ABAC7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aproveche las capacidades del Laboratorio de Transformación Digital para apoyar el fomento de la innovación en el desarrollo y suministro de productos y servicios de la UIT, tanto a nivel regional como mundial,</w:t>
      </w:r>
    </w:p>
    <w:p w14:paraId="74ED3F97" w14:textId="77777777" w:rsidR="00963872" w:rsidRPr="003C0233" w:rsidRDefault="00963872" w:rsidP="009638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51FC40E7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invita a los Estados Miembros y a los Miembros del Sector</w:t>
      </w:r>
    </w:p>
    <w:p w14:paraId="5552CB3D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seguir colaborando con la UIT, incluso a través de sus respectivas Oficinas Regionales, para establecer y sostener centros nacionales, regionales y mundiales que estén en consonancia con los objetivos del Plan de Acción del UIT</w:t>
      </w:r>
      <w:r w:rsidRPr="003C0233">
        <w:rPr>
          <w:lang w:val="es-ES_tradnl"/>
        </w:rPr>
        <w:noBreakHyphen/>
        <w:t>D y las Iniciativas Regionales;</w:t>
      </w:r>
    </w:p>
    <w:p w14:paraId="644BBD86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contribuir activamente con los conocimientos y demás recursos necesarios para apoyar la mejora de los mecanismos de suministro de la UIT, incluida la Red de Centros de Aceleración;</w:t>
      </w:r>
    </w:p>
    <w:p w14:paraId="48B299C4" w14:textId="5D5FA2EA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a apoyar las actividades relacionadas con la presente Resolución para el desarrollo social y económico, de ser posible, con fondos extrapresupuestarios;</w:t>
      </w:r>
    </w:p>
    <w:p w14:paraId="06C1D71D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a apoyar a la UIT en la identificación y el desarrollo de alianzas estratégicas que fortalezcan los resultados regionales y mejoren el desarrollo;</w:t>
      </w:r>
    </w:p>
    <w:p w14:paraId="55661E05" w14:textId="77777777" w:rsidR="00164977" w:rsidRDefault="00164977" w:rsidP="0016497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a considerar la posibilidad de ampliar la Red de Centros de Aceleración de la UIT, según proceda, para ofrecer canales de capacitación, innovación, intercambio de conocimientos y supervisión de los programas/proyectos relacionados con la ejecución de Iniciativas Regionales, en consonancia con sus respectivas capacidades.</w:t>
      </w:r>
    </w:p>
    <w:p w14:paraId="54B74375" w14:textId="77777777" w:rsidR="007E02FE" w:rsidRDefault="007E02FE" w:rsidP="00164977">
      <w:pPr>
        <w:rPr>
          <w:lang w:val="es-ES_tradnl"/>
        </w:rPr>
      </w:pPr>
    </w:p>
    <w:p w14:paraId="47C45B34" w14:textId="77777777" w:rsidR="007E02FE" w:rsidRDefault="007E02FE" w:rsidP="00164977">
      <w:pPr>
        <w:rPr>
          <w:lang w:val="es-ES_tradnl"/>
        </w:rPr>
      </w:pPr>
    </w:p>
    <w:p w14:paraId="3660C9DC" w14:textId="77777777" w:rsidR="007E02FE" w:rsidRDefault="007E02FE" w:rsidP="00164977">
      <w:pPr>
        <w:rPr>
          <w:lang w:val="es-ES_tradnl"/>
        </w:rPr>
      </w:pPr>
    </w:p>
    <w:p w14:paraId="6163949C" w14:textId="77777777" w:rsidR="007E02FE" w:rsidRDefault="007E02FE" w:rsidP="00164977">
      <w:pPr>
        <w:rPr>
          <w:lang w:val="es-ES_tradnl"/>
        </w:rPr>
      </w:pPr>
    </w:p>
    <w:p w14:paraId="42E7F044" w14:textId="77777777" w:rsidR="007E02FE" w:rsidRDefault="007E02FE" w:rsidP="00164977">
      <w:pPr>
        <w:rPr>
          <w:lang w:val="es-ES_tradnl"/>
        </w:rPr>
      </w:pPr>
    </w:p>
    <w:p w14:paraId="31E8DC70" w14:textId="77777777" w:rsidR="007E02FE" w:rsidRDefault="007E02FE" w:rsidP="00164977">
      <w:pPr>
        <w:rPr>
          <w:lang w:val="es-ES_tradnl"/>
        </w:rPr>
      </w:pPr>
    </w:p>
    <w:p w14:paraId="1682A1A0" w14:textId="77777777" w:rsidR="007E02FE" w:rsidRPr="003C0233" w:rsidRDefault="007E02FE" w:rsidP="00164977">
      <w:pPr>
        <w:rPr>
          <w:lang w:val="es-ES_tradnl"/>
        </w:rPr>
      </w:pPr>
    </w:p>
    <w:sectPr w:rsidR="007E02FE" w:rsidRPr="003C0233" w:rsidSect="009B2437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D3B50" w14:textId="77777777" w:rsidR="00175EFD" w:rsidRDefault="00175EFD">
      <w:r>
        <w:separator/>
      </w:r>
    </w:p>
  </w:endnote>
  <w:endnote w:type="continuationSeparator" w:id="0">
    <w:p w14:paraId="2A040B66" w14:textId="77777777" w:rsidR="00175EFD" w:rsidRDefault="0017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04E5" w14:textId="77777777" w:rsidR="00175EFD" w:rsidRDefault="00175EFD">
      <w:r>
        <w:rPr>
          <w:b/>
        </w:rPr>
        <w:t>_______________</w:t>
      </w:r>
    </w:p>
  </w:footnote>
  <w:footnote w:type="continuationSeparator" w:id="0">
    <w:p w14:paraId="065871A7" w14:textId="77777777" w:rsidR="00175EFD" w:rsidRDefault="00175EFD">
      <w:r>
        <w:continuationSeparator/>
      </w:r>
    </w:p>
  </w:footnote>
  <w:footnote w:id="1">
    <w:p w14:paraId="530301A0" w14:textId="6A8A8E46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9B2437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06313194"/>
      <w:docPartObj>
        <w:docPartGallery w:val="Page Numbers (Top of Page)"/>
        <w:docPartUnique/>
      </w:docPartObj>
    </w:sdtPr>
    <w:sdtEndPr/>
    <w:sdtContent>
      <w:p w14:paraId="27C725D8" w14:textId="0A47329F" w:rsidR="00816CEE" w:rsidRPr="009B2437" w:rsidRDefault="00816CEE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9B2437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9B2437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9B2437">
          <w:rPr>
            <w:sz w:val="16"/>
            <w:szCs w:val="16"/>
            <w:lang w:val="es-ES"/>
          </w:rPr>
          <w:tab/>
        </w:r>
        <w:r w:rsidRPr="009B2437">
          <w:rPr>
            <w:rFonts w:ascii="Calibri" w:hAnsi="Calibri"/>
            <w:sz w:val="16"/>
            <w:szCs w:val="16"/>
            <w:lang w:val="es-ES"/>
          </w:rPr>
          <w:t>Informe final de la CMDT-25 – Parte IV – Resolución 92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94144746"/>
      <w:docPartObj>
        <w:docPartGallery w:val="Page Numbers (Top of Page)"/>
        <w:docPartUnique/>
      </w:docPartObj>
    </w:sdtPr>
    <w:sdtEndPr/>
    <w:sdtContent>
      <w:p w14:paraId="65A56E8A" w14:textId="7571F4E2" w:rsidR="00816CEE" w:rsidRPr="009B2437" w:rsidRDefault="00816CEE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9B2437">
          <w:rPr>
            <w:rFonts w:ascii="Calibri" w:hAnsi="Calibri"/>
            <w:sz w:val="16"/>
            <w:szCs w:val="16"/>
            <w:lang w:val="es-ES"/>
          </w:rPr>
          <w:t>Informe final de la CMDT-25 – Parte IV – Resolución 92</w:t>
        </w:r>
        <w:r w:rsidRPr="009B2437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9B2437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9B2437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518892303"/>
      <w:docPartObj>
        <w:docPartGallery w:val="Page Numbers (Top of Page)"/>
        <w:docPartUnique/>
      </w:docPartObj>
    </w:sdtPr>
    <w:sdtEndPr/>
    <w:sdtContent>
      <w:p w14:paraId="1CF14596" w14:textId="21213F7A" w:rsidR="00816CEE" w:rsidRPr="009B2437" w:rsidRDefault="00816CEE" w:rsidP="009B2437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sz w:val="16"/>
            <w:szCs w:val="16"/>
            <w:lang w:val="es-ES"/>
          </w:rPr>
        </w:pPr>
        <w:r w:rsidRPr="009B2437">
          <w:rPr>
            <w:rFonts w:ascii="Calibri" w:hAnsi="Calibri"/>
            <w:sz w:val="16"/>
            <w:szCs w:val="16"/>
            <w:lang w:val="es-ES"/>
          </w:rPr>
          <w:t>Informe final de la CMDT-25 – Parte IV – Resolución 92</w:t>
        </w:r>
        <w:r w:rsidR="009B2437">
          <w:rPr>
            <w:rFonts w:ascii="Calibri" w:hAnsi="Calibri"/>
            <w:sz w:val="16"/>
            <w:szCs w:val="16"/>
            <w:lang w:val="es-ES"/>
          </w:rPr>
          <w:tab/>
        </w:r>
        <w:r w:rsidR="009B2437">
          <w:rPr>
            <w:sz w:val="16"/>
            <w:szCs w:val="16"/>
          </w:rPr>
          <w:fldChar w:fldCharType="begin"/>
        </w:r>
        <w:r w:rsidR="009B2437" w:rsidRPr="009B2437">
          <w:rPr>
            <w:sz w:val="16"/>
            <w:szCs w:val="16"/>
            <w:lang w:val="es-ES"/>
          </w:rPr>
          <w:instrText xml:space="preserve"> PAGE   \* MERGEFORMAT </w:instrText>
        </w:r>
        <w:r w:rsidR="009B2437">
          <w:rPr>
            <w:sz w:val="16"/>
            <w:szCs w:val="16"/>
          </w:rPr>
          <w:fldChar w:fldCharType="separate"/>
        </w:r>
        <w:r w:rsidR="009B2437" w:rsidRPr="009B2437">
          <w:rPr>
            <w:sz w:val="16"/>
            <w:szCs w:val="16"/>
            <w:lang w:val="es-ES"/>
          </w:rPr>
          <w:t>1</w:t>
        </w:r>
        <w:r w:rsidR="009B2437">
          <w:rPr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5EFD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2FE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437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2636</TotalTime>
  <Pages>5</Pages>
  <Words>1410</Words>
  <Characters>7967</Characters>
  <Application>Microsoft Office Word</Application>
  <DocSecurity>0</DocSecurity>
  <Lines>142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9322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92 (Bakú, 2025) Fortalecimiento del papel de las Oficinas Regionales de la UIT en la aceleración de la transformación digital y el aprovechamiento de las alianzas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2026-09-24T08:20:00Z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