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E500" w14:textId="77777777" w:rsidR="00E70141" w:rsidRPr="00A55C0D" w:rsidRDefault="00E70141" w:rsidP="00E70141">
      <w:pPr>
        <w:pStyle w:val="ResNo"/>
      </w:pPr>
      <w:bookmarkStart w:id="0" w:name="_Toc116556785"/>
      <w:bookmarkStart w:id="1" w:name="_Toc116557338"/>
      <w:bookmarkStart w:id="2" w:name="_Toc116636582"/>
      <w:r w:rsidRPr="00A55C0D">
        <w:t xml:space="preserve">RESOLUTION </w:t>
      </w:r>
      <w:r w:rsidRPr="00A47393">
        <w:rPr>
          <w:rStyle w:val="href"/>
        </w:rPr>
        <w:t>90</w:t>
      </w:r>
      <w:r w:rsidRPr="00A55C0D">
        <w:rPr>
          <w:smallCaps/>
          <w:color w:val="000000"/>
          <w:szCs w:val="28"/>
        </w:rPr>
        <w:t xml:space="preserve"> (K</w:t>
      </w:r>
      <w:r w:rsidRPr="00A55C0D">
        <w:t>igali</w:t>
      </w:r>
      <w:r w:rsidRPr="00A55C0D">
        <w:rPr>
          <w:smallCaps/>
          <w:color w:val="000000"/>
          <w:szCs w:val="28"/>
        </w:rPr>
        <w:t>, 2022)</w:t>
      </w:r>
      <w:bookmarkEnd w:id="0"/>
      <w:bookmarkEnd w:id="1"/>
      <w:bookmarkEnd w:id="2"/>
    </w:p>
    <w:p w14:paraId="2BB4169B" w14:textId="77777777" w:rsidR="00E70141" w:rsidRPr="00A55C0D" w:rsidRDefault="00E70141" w:rsidP="00E70141">
      <w:pPr>
        <w:pStyle w:val="Restitle"/>
      </w:pPr>
      <w:bookmarkStart w:id="3" w:name="_Toc116556786"/>
      <w:bookmarkStart w:id="4" w:name="_Toc116557339"/>
      <w:bookmarkStart w:id="5" w:name="_Toc116636583"/>
      <w:r w:rsidRPr="00A55C0D">
        <w:t>Fostering telecommunication/ICT-centric entrepreneurship and digital innovation ecosystems for sustainable digital development</w:t>
      </w:r>
      <w:bookmarkEnd w:id="3"/>
      <w:bookmarkEnd w:id="4"/>
      <w:bookmarkEnd w:id="5"/>
    </w:p>
    <w:p w14:paraId="36D3F779" w14:textId="77777777" w:rsidR="00E70141" w:rsidRPr="00A55C0D" w:rsidRDefault="00E70141" w:rsidP="00E70141">
      <w:pPr>
        <w:pStyle w:val="Normalaftertitle"/>
      </w:pPr>
      <w:r w:rsidRPr="00A55C0D">
        <w:t>The World Telecommunication Development Conference (Kigali, 2022),</w:t>
      </w:r>
    </w:p>
    <w:p w14:paraId="7CC9BB83" w14:textId="77777777" w:rsidR="00E70141" w:rsidRPr="00A55C0D" w:rsidRDefault="00E70141" w:rsidP="00E70141">
      <w:pPr>
        <w:pStyle w:val="Call"/>
      </w:pPr>
      <w:r w:rsidRPr="00A55C0D">
        <w:t>recalling</w:t>
      </w:r>
    </w:p>
    <w:p w14:paraId="622B99A2" w14:textId="77777777" w:rsidR="00E70141" w:rsidRPr="00A55C0D" w:rsidRDefault="00E70141" w:rsidP="00E70141">
      <w:r w:rsidRPr="00A55C0D">
        <w:rPr>
          <w:i/>
        </w:rPr>
        <w:t>a)</w:t>
      </w:r>
      <w:r w:rsidRPr="00A55C0D">
        <w:tab/>
        <w:t>Resolution 30 (Rev. Kigali, 2022) of this conference, on the role of the ITU Telecommunication Development Sector (ITU-D) in implementing the outcomes of the World Summit on the Information Society and the 2030 Agenda for Sustainable Development;</w:t>
      </w:r>
    </w:p>
    <w:p w14:paraId="3DB1BE3C" w14:textId="77777777" w:rsidR="00E70141" w:rsidRPr="00A55C0D" w:rsidRDefault="00E70141" w:rsidP="00E70141">
      <w:r w:rsidRPr="00A55C0D">
        <w:rPr>
          <w:i/>
        </w:rPr>
        <w:t>b)</w:t>
      </w:r>
      <w:r w:rsidRPr="00A55C0D">
        <w:tab/>
        <w:t>Resolution 75 (Rev. Buenos Aires, 2017) of the World Telecommunication Development Conference, on the implementation of the Smart Africa Manifesto and support for the development of the information and communication technology (ICT) sector in Africa;</w:t>
      </w:r>
    </w:p>
    <w:p w14:paraId="66DBCA3A" w14:textId="77777777" w:rsidR="00E70141" w:rsidRPr="00A55C0D" w:rsidRDefault="00E70141" w:rsidP="00E70141">
      <w:r w:rsidRPr="00A55C0D">
        <w:rPr>
          <w:i/>
        </w:rPr>
        <w:t>c)</w:t>
      </w:r>
      <w:r w:rsidRPr="00A55C0D">
        <w:tab/>
        <w:t>Resolution 76 (Rev. Kigali, 2022) of this conference, on promoting ICTs among young women and men for social and economic empowerment;</w:t>
      </w:r>
    </w:p>
    <w:p w14:paraId="18EA0963" w14:textId="77777777" w:rsidR="00E70141" w:rsidRPr="00A55C0D" w:rsidRDefault="00E70141" w:rsidP="00E70141">
      <w:r w:rsidRPr="00A55C0D">
        <w:rPr>
          <w:i/>
        </w:rPr>
        <w:t>d)</w:t>
      </w:r>
      <w:r w:rsidRPr="00A55C0D">
        <w:tab/>
        <w:t>Resolution 85 (Rev. Kigali, 2022) of this conference, on facilitating the Internet of Things and smart sustainable cities and communities for global development;</w:t>
      </w:r>
    </w:p>
    <w:p w14:paraId="6576C72C" w14:textId="77777777" w:rsidR="00E70141" w:rsidRPr="00A55C0D" w:rsidRDefault="00E70141" w:rsidP="00E70141">
      <w:r w:rsidRPr="00A55C0D">
        <w:rPr>
          <w:i/>
        </w:rPr>
        <w:t>e)</w:t>
      </w:r>
      <w:r w:rsidRPr="00A55C0D">
        <w:tab/>
        <w:t>Resolution 198 (Rev. Dubai, 2018) of the Plenipotentiary Conference, on the empowerment of youth through telecommunication/ICT;</w:t>
      </w:r>
    </w:p>
    <w:p w14:paraId="18C3C345" w14:textId="77777777" w:rsidR="00E70141" w:rsidRPr="00A55C0D" w:rsidRDefault="00E70141" w:rsidP="00E70141">
      <w:r w:rsidRPr="00A55C0D">
        <w:rPr>
          <w:i/>
        </w:rPr>
        <w:t>f)</w:t>
      </w:r>
      <w:r w:rsidRPr="00A55C0D">
        <w:tab/>
        <w:t>Resolution 205 (Dubai, 2018) of the Plenipotentiary Conference, on ITU's role in fostering telecommunication/ICT-centric innovation to support the digital economy and society;</w:t>
      </w:r>
    </w:p>
    <w:p w14:paraId="2926F134" w14:textId="77777777" w:rsidR="00E70141" w:rsidRPr="00A55C0D" w:rsidRDefault="00E70141" w:rsidP="00E70141">
      <w:r w:rsidRPr="00A55C0D">
        <w:rPr>
          <w:i/>
        </w:rPr>
        <w:t>g)</w:t>
      </w:r>
      <w:r w:rsidRPr="00A55C0D">
        <w:tab/>
        <w:t>Resolution 209 (Dubai, 2018) of the Plenipotentiary Conference, encouraging the participation of small and medium enterprises (SMEs) in the work of the Union;</w:t>
      </w:r>
    </w:p>
    <w:p w14:paraId="56002823" w14:textId="77777777" w:rsidR="00E70141" w:rsidRPr="00A55C0D" w:rsidRDefault="00E70141" w:rsidP="00E70141">
      <w:r w:rsidRPr="00A55C0D">
        <w:rPr>
          <w:i/>
        </w:rPr>
        <w:t>h)</w:t>
      </w:r>
      <w:r w:rsidRPr="00A55C0D">
        <w:tab/>
        <w:t>Resolution 68/220 of the United Nations General Assembly (UNGA), on science, technology and innovation for development,</w:t>
      </w:r>
    </w:p>
    <w:p w14:paraId="5F10B528" w14:textId="77777777" w:rsidR="00E70141" w:rsidRPr="00A55C0D" w:rsidRDefault="00E70141" w:rsidP="00E70141">
      <w:pPr>
        <w:tabs>
          <w:tab w:val="clear" w:pos="1134"/>
          <w:tab w:val="clear" w:pos="1871"/>
          <w:tab w:val="clear" w:pos="2268"/>
        </w:tabs>
        <w:overflowPunct/>
        <w:autoSpaceDE/>
        <w:autoSpaceDN/>
        <w:adjustRightInd/>
        <w:spacing w:before="0"/>
        <w:textAlignment w:val="auto"/>
        <w:rPr>
          <w:i/>
        </w:rPr>
      </w:pPr>
      <w:r w:rsidRPr="00A55C0D">
        <w:br w:type="page"/>
      </w:r>
    </w:p>
    <w:p w14:paraId="1F02B5B2" w14:textId="77777777" w:rsidR="00E70141" w:rsidRPr="00A55C0D" w:rsidRDefault="00E70141" w:rsidP="00E70141">
      <w:pPr>
        <w:pStyle w:val="Call"/>
      </w:pPr>
      <w:r w:rsidRPr="00A55C0D">
        <w:lastRenderedPageBreak/>
        <w:t>recognizing</w:t>
      </w:r>
    </w:p>
    <w:p w14:paraId="4601324C" w14:textId="77777777" w:rsidR="00E70141" w:rsidRPr="00A55C0D" w:rsidRDefault="00E70141" w:rsidP="00E70141">
      <w:r w:rsidRPr="00A55C0D">
        <w:rPr>
          <w:i/>
        </w:rPr>
        <w:t>a)</w:t>
      </w:r>
      <w:r w:rsidRPr="00A55C0D">
        <w:tab/>
        <w:t>that telecommunication/ICT innovation has a critical role for enabling infrastructure development, services for remote, rural and underserved areas, and deployment of telecommunications/ICTs to support digitalization of the economy;</w:t>
      </w:r>
    </w:p>
    <w:p w14:paraId="36F37623" w14:textId="77777777" w:rsidR="00E70141" w:rsidRPr="00A55C0D" w:rsidRDefault="00E70141" w:rsidP="00E70141">
      <w:r w:rsidRPr="00A55C0D">
        <w:rPr>
          <w:i/>
        </w:rPr>
        <w:t>b)</w:t>
      </w:r>
      <w:r w:rsidRPr="00A55C0D">
        <w:tab/>
        <w:t>that telecommunication/ICT innovation has a transformational effect on individuals, societies and economies throughout the world;</w:t>
      </w:r>
    </w:p>
    <w:p w14:paraId="3507DF1A" w14:textId="77777777" w:rsidR="00E70141" w:rsidRPr="00A55C0D" w:rsidRDefault="00E70141" w:rsidP="00E70141">
      <w:r w:rsidRPr="00A55C0D">
        <w:rPr>
          <w:i/>
        </w:rPr>
        <w:t>c)</w:t>
      </w:r>
      <w:r w:rsidRPr="00A55C0D">
        <w:tab/>
        <w:t>that technology-driven entrepreneurial endeavours provide a means to accelerate the achievement of the Sustainable Development Goals (SDGs) through a bottom-up stakeholder approach to problem-solving;</w:t>
      </w:r>
    </w:p>
    <w:p w14:paraId="0A06BFBE" w14:textId="77777777" w:rsidR="00E70141" w:rsidRPr="00A55C0D" w:rsidRDefault="00E70141" w:rsidP="00E70141">
      <w:r w:rsidRPr="00A55C0D">
        <w:rPr>
          <w:i/>
        </w:rPr>
        <w:t>d)</w:t>
      </w:r>
      <w:r w:rsidRPr="00A55C0D">
        <w:tab/>
        <w:t>that digital innovation ecosystems, which offer a thriving environment to sustain digital development, need focused intervention by decision-makers and partners;</w:t>
      </w:r>
    </w:p>
    <w:p w14:paraId="3FF68097" w14:textId="77777777" w:rsidR="00E70141" w:rsidRPr="00A55C0D" w:rsidRDefault="00E70141" w:rsidP="00E70141">
      <w:r w:rsidRPr="00A55C0D">
        <w:rPr>
          <w:i/>
        </w:rPr>
        <w:t>e)</w:t>
      </w:r>
      <w:r w:rsidRPr="00A55C0D">
        <w:tab/>
        <w:t>that UNGA Resolution 70/1, on the 2030 Agenda for Sustainable Development, has substantial implications for the activities of ITU, especially those fostering innovation, for the advancement of SDG 9;</w:t>
      </w:r>
    </w:p>
    <w:p w14:paraId="6EAFECE8" w14:textId="77777777" w:rsidR="00E70141" w:rsidRPr="00A55C0D" w:rsidRDefault="00E70141" w:rsidP="00E70141">
      <w:r w:rsidRPr="00A55C0D">
        <w:rPr>
          <w:i/>
        </w:rPr>
        <w:t>f)</w:t>
      </w:r>
      <w:r w:rsidRPr="00A55C0D">
        <w:tab/>
        <w:t>the importance of digital innovation and the need for an enabling environment to tackle complex issues in communities during a crisis, and the need to ensure every country has the innovation capacity for futureproofing against pandemics and crises;</w:t>
      </w:r>
    </w:p>
    <w:p w14:paraId="6E206821" w14:textId="77777777" w:rsidR="00E70141" w:rsidRPr="00A55C0D" w:rsidRDefault="00E70141" w:rsidP="00E70141">
      <w:r w:rsidRPr="00A55C0D">
        <w:rPr>
          <w:i/>
        </w:rPr>
        <w:t>g)</w:t>
      </w:r>
      <w:r w:rsidRPr="00A55C0D">
        <w:tab/>
        <w:t>that inclusion of all of society is an essential goal for development,</w:t>
      </w:r>
    </w:p>
    <w:p w14:paraId="6C47B0E6" w14:textId="77777777" w:rsidR="00E70141" w:rsidRPr="00A55C0D" w:rsidRDefault="00E70141" w:rsidP="00E70141">
      <w:pPr>
        <w:pStyle w:val="Call"/>
      </w:pPr>
      <w:sdt>
        <w:sdtPr>
          <w:tag w:val="goog_rdk_18"/>
          <w:id w:val="2023279489"/>
        </w:sdtPr>
        <w:sdtContent/>
      </w:sdt>
      <w:r w:rsidRPr="00A55C0D">
        <w:t>resolves to instruct the Director of the Telecommunication Development Bureau</w:t>
      </w:r>
    </w:p>
    <w:p w14:paraId="155A4B96" w14:textId="77777777" w:rsidR="00E70141" w:rsidRPr="00A55C0D" w:rsidRDefault="00E70141" w:rsidP="00E70141">
      <w:r w:rsidRPr="00A55C0D">
        <w:t>1</w:t>
      </w:r>
      <w:r w:rsidRPr="00A55C0D">
        <w:tab/>
        <w:t>to support, within existing resources, the sharing of good practices in telecommunications/ICTs developed by Member States to enable blueprints for accelerated development of digital entrepreneurship initiatives, including the development of tech parks, innovation hubs, incubators, accelerators and mentoring programmes, funds and partnership mechanisms;</w:t>
      </w:r>
    </w:p>
    <w:p w14:paraId="44127FDA" w14:textId="77777777" w:rsidR="00E70141" w:rsidRPr="00A55C0D" w:rsidRDefault="00E70141" w:rsidP="00E70141">
      <w:pPr>
        <w:tabs>
          <w:tab w:val="clear" w:pos="1134"/>
          <w:tab w:val="clear" w:pos="1871"/>
          <w:tab w:val="clear" w:pos="2268"/>
        </w:tabs>
        <w:overflowPunct/>
        <w:autoSpaceDE/>
        <w:autoSpaceDN/>
        <w:adjustRightInd/>
        <w:spacing w:before="0"/>
        <w:textAlignment w:val="auto"/>
      </w:pPr>
      <w:r w:rsidRPr="00A55C0D">
        <w:br w:type="page"/>
      </w:r>
    </w:p>
    <w:p w14:paraId="14BF972E" w14:textId="77777777" w:rsidR="00E70141" w:rsidRPr="00A55C0D" w:rsidRDefault="00E70141" w:rsidP="00E70141">
      <w:r w:rsidRPr="00A55C0D">
        <w:lastRenderedPageBreak/>
        <w:t>2</w:t>
      </w:r>
      <w:r w:rsidRPr="00A55C0D">
        <w:tab/>
        <w:t>to continue providing technical assistance to developing countries in the telecommunication/ICT-related development of policies, strategies and roadmaps, where digital entrepreneurship is the key driver for digitalization of the economy, taking into account ITU experience in the matter;</w:t>
      </w:r>
    </w:p>
    <w:p w14:paraId="1517700B" w14:textId="77777777" w:rsidR="00E70141" w:rsidRPr="00A55C0D" w:rsidRDefault="00E70141" w:rsidP="00E70141">
      <w:r w:rsidRPr="00A55C0D">
        <w:t>3</w:t>
      </w:r>
      <w:r w:rsidRPr="00A55C0D">
        <w:tab/>
        <w:t>to continue building capabilities of stakeholders at the national level that promote the uptake of entrepreneurship-driven innovation and the development of sustainable digital innovation communities using telecommunications/ICTs in support of the achievement of the SDGs;</w:t>
      </w:r>
    </w:p>
    <w:p w14:paraId="3F320F8B" w14:textId="77777777" w:rsidR="00E70141" w:rsidRPr="00A55C0D" w:rsidRDefault="00E70141" w:rsidP="00E70141">
      <w:r w:rsidRPr="00A55C0D">
        <w:t>4</w:t>
      </w:r>
      <w:r w:rsidRPr="00A55C0D">
        <w:tab/>
        <w:t>to work in coordination with international and regional organizations and cooperate with other stakeholders in order to establish a supportive environment to enable the exchange of knowledge, expertise and best practices to support the deployment of entrepreneurship-driven innovation projects leveraging telecommunications/ICTs;</w:t>
      </w:r>
    </w:p>
    <w:p w14:paraId="7E8B0E26" w14:textId="77777777" w:rsidR="00E70141" w:rsidRPr="00A55C0D" w:rsidRDefault="00E70141" w:rsidP="00E70141">
      <w:r w:rsidRPr="00A55C0D">
        <w:t>5</w:t>
      </w:r>
      <w:r w:rsidRPr="00A55C0D">
        <w:tab/>
        <w:t>to support local initiatives, start-ups and SMEs in leveraging telecommunications/ICTs to access domestic and global markets in order to scale up their innovation, including through collaboration with the International Trade Centre and other relevant international and regional organizations;</w:t>
      </w:r>
    </w:p>
    <w:p w14:paraId="37AAD306" w14:textId="77777777" w:rsidR="00E70141" w:rsidRPr="00A55C0D" w:rsidRDefault="00E70141" w:rsidP="00E70141">
      <w:r w:rsidRPr="00A55C0D">
        <w:t>6</w:t>
      </w:r>
      <w:r w:rsidRPr="00A55C0D">
        <w:tab/>
        <w:t>to facilitate sharing of best practices and strategies that accelerate the development of ICT/telecommunication-driven entrepreneurial universities, technology-based vocational schools and a culture of entrepreneurship, as well as mechanisms to enhance multistakeholder and multisector cooperation at the national level for sustainable digital development;</w:t>
      </w:r>
    </w:p>
    <w:p w14:paraId="2F6E538A" w14:textId="77777777" w:rsidR="00E70141" w:rsidRPr="00A55C0D" w:rsidRDefault="00E70141" w:rsidP="00E70141">
      <w:r w:rsidRPr="00A55C0D">
        <w:t>7</w:t>
      </w:r>
      <w:r w:rsidRPr="00A55C0D">
        <w:tab/>
        <w:t>to continue the work of ITU in supporting digital innovation ecosystems without discrimination of any kind, including in respect of age, ability, gender or location,</w:t>
      </w:r>
    </w:p>
    <w:p w14:paraId="36879E1D" w14:textId="77777777" w:rsidR="00E70141" w:rsidRPr="00A55C0D" w:rsidRDefault="00E70141" w:rsidP="00E70141">
      <w:pPr>
        <w:pStyle w:val="Call"/>
      </w:pPr>
      <w:r w:rsidRPr="00A55C0D">
        <w:t>instructs the Director of the Telecommunication Development Bureau, in collaboration with the Directors of the Telecommunication Standardization Bureau and the Radiocommunication Bureau</w:t>
      </w:r>
    </w:p>
    <w:p w14:paraId="0BC9953B" w14:textId="77777777" w:rsidR="00E70141" w:rsidRPr="00A55C0D" w:rsidRDefault="00E70141" w:rsidP="00E70141">
      <w:r w:rsidRPr="00A55C0D">
        <w:t>1</w:t>
      </w:r>
      <w:r w:rsidRPr="00A55C0D">
        <w:tab/>
        <w:t>to ensure that coordination takes place on all activities relevant to the purposes of this resolution;</w:t>
      </w:r>
    </w:p>
    <w:p w14:paraId="4F6EB1FA" w14:textId="77777777" w:rsidR="00E70141" w:rsidRPr="00A55C0D" w:rsidRDefault="00E70141" w:rsidP="00E70141">
      <w:r w:rsidRPr="00A55C0D">
        <w:t>2</w:t>
      </w:r>
      <w:r w:rsidRPr="00A55C0D">
        <w:tab/>
        <w:t>to collate work done within ITU relating to the objectives of this resolution, including work in study groups, and facilitate knowledge-sharing and dissemination of good practices in all countries;</w:t>
      </w:r>
    </w:p>
    <w:p w14:paraId="64AEB0D7" w14:textId="77777777" w:rsidR="00E70141" w:rsidRPr="00A55C0D" w:rsidRDefault="00E70141" w:rsidP="00E70141">
      <w:pPr>
        <w:tabs>
          <w:tab w:val="clear" w:pos="1134"/>
          <w:tab w:val="clear" w:pos="1871"/>
          <w:tab w:val="clear" w:pos="2268"/>
        </w:tabs>
        <w:overflowPunct/>
        <w:autoSpaceDE/>
        <w:autoSpaceDN/>
        <w:adjustRightInd/>
        <w:spacing w:before="0"/>
        <w:textAlignment w:val="auto"/>
      </w:pPr>
      <w:r w:rsidRPr="00A55C0D">
        <w:br w:type="page"/>
      </w:r>
    </w:p>
    <w:p w14:paraId="1CC30CF6" w14:textId="77777777" w:rsidR="00E70141" w:rsidRPr="00A55C0D" w:rsidRDefault="00E70141" w:rsidP="00E70141">
      <w:r w:rsidRPr="00A55C0D">
        <w:lastRenderedPageBreak/>
        <w:t>3</w:t>
      </w:r>
      <w:r w:rsidRPr="00A55C0D">
        <w:tab/>
        <w:t>to promote, within the remit of ITU, digital entrepreneurship and the development of digital innovation, invites the Secretary-General,</w:t>
      </w:r>
    </w:p>
    <w:p w14:paraId="01D4FF94" w14:textId="77777777" w:rsidR="00E70141" w:rsidRPr="00A55C0D" w:rsidRDefault="00E70141" w:rsidP="00E70141">
      <w:pPr>
        <w:pStyle w:val="Call"/>
      </w:pPr>
      <w:r w:rsidRPr="00A55C0D">
        <w:t>invites the Secretary-General</w:t>
      </w:r>
    </w:p>
    <w:p w14:paraId="635D8BCF" w14:textId="77777777" w:rsidR="00E70141" w:rsidRPr="00A55C0D" w:rsidRDefault="00E70141" w:rsidP="00E70141">
      <w:r w:rsidRPr="00A55C0D">
        <w:t>to support the activities in ITU-D that enable telecommunication/ICT-centric entrepreneurship-driven innovation and digital innovation ecosystems, including by human and financial means for ITU members,</w:t>
      </w:r>
    </w:p>
    <w:p w14:paraId="16C96323" w14:textId="77777777" w:rsidR="00E70141" w:rsidRPr="00A55C0D" w:rsidRDefault="00E70141" w:rsidP="00E70141">
      <w:pPr>
        <w:pStyle w:val="Call"/>
      </w:pPr>
      <w:r w:rsidRPr="00A55C0D">
        <w:t>invites Member States and Sector Members</w:t>
      </w:r>
    </w:p>
    <w:p w14:paraId="46ED0583" w14:textId="77777777" w:rsidR="00E70141" w:rsidRPr="00A55C0D" w:rsidRDefault="00E70141" w:rsidP="00E70141">
      <w:r w:rsidRPr="00A55C0D">
        <w:t>1</w:t>
      </w:r>
      <w:r w:rsidRPr="00A55C0D">
        <w:tab/>
        <w:t>to participate actively, in collaboration with other stakeholders, in digital entrepreneurship and digital innovation ecosystem-related activities, while facilitating the participation of Tech hub, entrepreneurial support organizations, local initiatives, SMEs and start-ups;</w:t>
      </w:r>
    </w:p>
    <w:p w14:paraId="0DF95D97" w14:textId="77777777" w:rsidR="00E70141" w:rsidRPr="00A55C0D" w:rsidRDefault="00E70141" w:rsidP="00E70141">
      <w:r w:rsidRPr="00A55C0D">
        <w:t>2</w:t>
      </w:r>
      <w:r w:rsidRPr="00A55C0D">
        <w:tab/>
        <w:t>to collaborate with ITU on activities related to the implementation of this resolution that leverage digital entrepreneurship to accelerate the achievement of the SDGs;</w:t>
      </w:r>
    </w:p>
    <w:p w14:paraId="32882C05" w14:textId="77777777" w:rsidR="00E70141" w:rsidRPr="00A55C0D" w:rsidRDefault="00E70141" w:rsidP="00E70141">
      <w:r w:rsidRPr="00A55C0D">
        <w:t>3</w:t>
      </w:r>
      <w:r w:rsidRPr="00A55C0D">
        <w:tab/>
        <w:t>to establish policies/strategies in their countries/regions that foster telecommunication/ICT-centric innovation.</w:t>
      </w:r>
    </w:p>
    <w:p w14:paraId="2D0D7E34" w14:textId="77777777" w:rsidR="00E70141" w:rsidRPr="00A55C0D" w:rsidRDefault="00E70141" w:rsidP="00E70141">
      <w:pPr>
        <w:tabs>
          <w:tab w:val="clear" w:pos="1134"/>
          <w:tab w:val="clear" w:pos="1871"/>
          <w:tab w:val="clear" w:pos="2268"/>
        </w:tabs>
        <w:overflowPunct/>
        <w:autoSpaceDE/>
        <w:autoSpaceDN/>
        <w:adjustRightInd/>
        <w:spacing w:before="0"/>
        <w:textAlignment w:val="auto"/>
      </w:pPr>
    </w:p>
    <w:p w14:paraId="79AF682E" w14:textId="77777777" w:rsidR="00E70141" w:rsidRPr="00A55C0D" w:rsidRDefault="00E70141" w:rsidP="00E70141">
      <w:pPr>
        <w:tabs>
          <w:tab w:val="clear" w:pos="1134"/>
          <w:tab w:val="clear" w:pos="1871"/>
          <w:tab w:val="clear" w:pos="2268"/>
        </w:tabs>
        <w:overflowPunct/>
        <w:autoSpaceDE/>
        <w:autoSpaceDN/>
        <w:adjustRightInd/>
        <w:spacing w:before="0"/>
        <w:textAlignment w:val="auto"/>
      </w:pPr>
    </w:p>
    <w:p w14:paraId="593C9E00" w14:textId="77777777" w:rsidR="00E70141" w:rsidRPr="00A55C0D" w:rsidRDefault="00E70141" w:rsidP="00E70141">
      <w:pPr>
        <w:tabs>
          <w:tab w:val="clear" w:pos="1134"/>
          <w:tab w:val="clear" w:pos="1871"/>
          <w:tab w:val="clear" w:pos="2268"/>
        </w:tabs>
        <w:overflowPunct/>
        <w:autoSpaceDE/>
        <w:autoSpaceDN/>
        <w:adjustRightInd/>
        <w:spacing w:before="0"/>
        <w:textAlignment w:val="auto"/>
      </w:pPr>
    </w:p>
    <w:p w14:paraId="597CBBF8" w14:textId="77777777" w:rsidR="00542A8B" w:rsidRDefault="00542A8B"/>
    <w:sectPr w:rsidR="00542A8B" w:rsidSect="002B27C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8C12" w14:textId="77777777" w:rsidR="002B27C9" w:rsidRDefault="002B27C9" w:rsidP="002B27C9">
      <w:pPr>
        <w:spacing w:before="0"/>
      </w:pPr>
      <w:r>
        <w:separator/>
      </w:r>
    </w:p>
  </w:endnote>
  <w:endnote w:type="continuationSeparator" w:id="0">
    <w:p w14:paraId="154A43BF" w14:textId="77777777" w:rsidR="002B27C9" w:rsidRDefault="002B27C9" w:rsidP="002B27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73AA" w14:textId="77777777" w:rsidR="002B27C9" w:rsidRDefault="002B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F514" w14:textId="77777777" w:rsidR="002B27C9" w:rsidRDefault="002B2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B90" w14:textId="77777777" w:rsidR="002B27C9" w:rsidRDefault="002B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0F30" w14:textId="77777777" w:rsidR="002B27C9" w:rsidRDefault="002B27C9" w:rsidP="002B27C9">
      <w:pPr>
        <w:spacing w:before="0"/>
      </w:pPr>
      <w:r>
        <w:separator/>
      </w:r>
    </w:p>
  </w:footnote>
  <w:footnote w:type="continuationSeparator" w:id="0">
    <w:p w14:paraId="54232E61" w14:textId="77777777" w:rsidR="002B27C9" w:rsidRDefault="002B27C9" w:rsidP="002B27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8805239"/>
      <w:docPartObj>
        <w:docPartGallery w:val="Page Numbers (Top of Page)"/>
        <w:docPartUnique/>
      </w:docPartObj>
    </w:sdtPr>
    <w:sdtContent>
      <w:p w14:paraId="24CEA1B0" w14:textId="764E7F45" w:rsidR="002B27C9" w:rsidRPr="002B27C9" w:rsidRDefault="002B27C9" w:rsidP="002B27C9">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D47AC8">
          <w:rPr>
            <w:noProof/>
            <w:sz w:val="16"/>
            <w:szCs w:val="16"/>
          </w:rPr>
          <w:t>90</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98111483"/>
      <w:docPartObj>
        <w:docPartGallery w:val="Page Numbers (Top of Page)"/>
        <w:docPartUnique/>
      </w:docPartObj>
    </w:sdtPr>
    <w:sdtContent>
      <w:p w14:paraId="5CDFE321" w14:textId="38E7A8CC" w:rsidR="002B27C9" w:rsidRPr="002B27C9" w:rsidRDefault="002B27C9" w:rsidP="002B27C9">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D47AC8">
          <w:rPr>
            <w:noProof/>
            <w:sz w:val="16"/>
            <w:szCs w:val="16"/>
          </w:rPr>
          <w:t>90</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489</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806C" w14:textId="77777777" w:rsidR="002B27C9" w:rsidRDefault="002B2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41"/>
    <w:rsid w:val="00233B2D"/>
    <w:rsid w:val="002B27C9"/>
    <w:rsid w:val="00542A8B"/>
    <w:rsid w:val="00566FD7"/>
    <w:rsid w:val="00D47AC8"/>
    <w:rsid w:val="00D51EB4"/>
    <w:rsid w:val="00E7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1A782"/>
  <w14:defaultImageDpi w14:val="32767"/>
  <w15:chartTrackingRefBased/>
  <w15:docId w15:val="{23921BC9-B94C-42FF-88F4-2B1982A9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41"/>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E701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70141"/>
    <w:pPr>
      <w:keepNext/>
      <w:keepLines/>
      <w:spacing w:before="160"/>
      <w:ind w:left="1134"/>
    </w:pPr>
    <w:rPr>
      <w:i/>
    </w:rPr>
  </w:style>
  <w:style w:type="paragraph" w:customStyle="1" w:styleId="Normalaftertitle">
    <w:name w:val="Normal after title"/>
    <w:basedOn w:val="Normal"/>
    <w:next w:val="Normal"/>
    <w:link w:val="NormalaftertitleChar"/>
    <w:rsid w:val="00E70141"/>
    <w:pPr>
      <w:spacing w:before="280"/>
    </w:pPr>
  </w:style>
  <w:style w:type="paragraph" w:customStyle="1" w:styleId="ResNo">
    <w:name w:val="Res_No"/>
    <w:basedOn w:val="Heading2"/>
    <w:next w:val="Normal"/>
    <w:link w:val="ResNoChar"/>
    <w:rsid w:val="00E70141"/>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E70141"/>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E70141"/>
    <w:rPr>
      <w:rFonts w:eastAsia="Times New Roman" w:cs="Times New Roman"/>
      <w:kern w:val="0"/>
      <w:sz w:val="24"/>
      <w:szCs w:val="20"/>
      <w14:ligatures w14:val="none"/>
    </w:rPr>
  </w:style>
  <w:style w:type="character" w:customStyle="1" w:styleId="href">
    <w:name w:val="href"/>
    <w:basedOn w:val="DefaultParagraphFont"/>
    <w:rsid w:val="00E70141"/>
    <w:rPr>
      <w:color w:val="auto"/>
    </w:rPr>
  </w:style>
  <w:style w:type="character" w:customStyle="1" w:styleId="CallChar">
    <w:name w:val="Call Char"/>
    <w:basedOn w:val="DefaultParagraphFont"/>
    <w:link w:val="Call"/>
    <w:locked/>
    <w:rsid w:val="00E70141"/>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E70141"/>
    <w:rPr>
      <w:rFonts w:eastAsia="Times New Roman" w:cs="Times New Roman"/>
      <w:b/>
      <w:kern w:val="0"/>
      <w:sz w:val="28"/>
      <w:szCs w:val="20"/>
      <w14:ligatures w14:val="none"/>
    </w:rPr>
  </w:style>
  <w:style w:type="character" w:customStyle="1" w:styleId="ResNoChar">
    <w:name w:val="Res_No Char"/>
    <w:basedOn w:val="DefaultParagraphFont"/>
    <w:link w:val="ResNo"/>
    <w:rsid w:val="00E70141"/>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E7014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2B27C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2B27C9"/>
    <w:rPr>
      <w:rFonts w:eastAsia="Times New Roman" w:cs="Times New Roman"/>
      <w:kern w:val="0"/>
      <w:sz w:val="24"/>
      <w:szCs w:val="20"/>
      <w14:ligatures w14:val="none"/>
    </w:rPr>
  </w:style>
  <w:style w:type="paragraph" w:styleId="Footer">
    <w:name w:val="footer"/>
    <w:basedOn w:val="Normal"/>
    <w:link w:val="FooterChar"/>
    <w:uiPriority w:val="99"/>
    <w:unhideWhenUsed/>
    <w:rsid w:val="002B27C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2B27C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956</Words>
  <Characters>5593</Characters>
  <Application>Microsoft Office Word</Application>
  <DocSecurity>0</DocSecurity>
  <Lines>77</Lines>
  <Paragraphs>17</Paragraphs>
  <ScaleCrop>false</ScaleCrop>
  <HeadingPairs>
    <vt:vector size="2" baseType="variant">
      <vt:variant>
        <vt:lpstr>Title</vt:lpstr>
      </vt:variant>
      <vt:variant>
        <vt:i4>1</vt:i4>
      </vt:variant>
    </vt:vector>
  </HeadingPairs>
  <TitlesOfParts>
    <vt:vector size="1" baseType="lpstr">
      <vt:lpstr>RESOLUTION 90 (Kigali, 2022)</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90 (Kigali, 2022)</dc:title>
  <dc:subject/>
  <dc:creator>Gachet, Christelle</dc:creator>
  <cp:keywords/>
  <dc:description/>
  <cp:lastModifiedBy>Gachet, Christelle</cp:lastModifiedBy>
  <cp:revision>4</cp:revision>
  <cp:lastPrinted>2023-10-16T11:29:00Z</cp:lastPrinted>
  <dcterms:created xsi:type="dcterms:W3CDTF">2023-10-16T11:27:00Z</dcterms:created>
  <dcterms:modified xsi:type="dcterms:W3CDTF">2023-10-16T11:29:00Z</dcterms:modified>
</cp:coreProperties>
</file>