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CB38" w14:textId="77777777" w:rsidR="00164977" w:rsidRPr="003C0233" w:rsidRDefault="00164977" w:rsidP="00164977">
      <w:pPr>
        <w:pStyle w:val="ResNo"/>
        <w:rPr>
          <w:b/>
          <w:bCs/>
          <w:lang w:val="es-ES_tradnl"/>
        </w:rPr>
      </w:pPr>
      <w:bookmarkStart w:id="0" w:name="_Toc227855009"/>
      <w:bookmarkStart w:id="1" w:name="_Toc227855322"/>
      <w:bookmarkStart w:id="2" w:name="_Toc227855534"/>
      <w:bookmarkStart w:id="3" w:name="_Toc227856301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88</w:t>
      </w:r>
      <w:r w:rsidRPr="003C0233">
        <w:rPr>
          <w:lang w:val="es-ES_tradnl"/>
        </w:rPr>
        <w:t xml:space="preserve"> (Kigali, 2022)</w:t>
      </w:r>
      <w:bookmarkEnd w:id="0"/>
      <w:bookmarkEnd w:id="1"/>
      <w:bookmarkEnd w:id="2"/>
      <w:bookmarkEnd w:id="3"/>
    </w:p>
    <w:p w14:paraId="726FF3BD" w14:textId="77777777" w:rsidR="00164977" w:rsidRPr="003C0233" w:rsidRDefault="00164977" w:rsidP="00164977">
      <w:pPr>
        <w:pStyle w:val="Restitle"/>
        <w:rPr>
          <w:lang w:val="es-ES_tradnl"/>
        </w:rPr>
      </w:pPr>
      <w:bookmarkStart w:id="4" w:name="_Toc227855010"/>
      <w:bookmarkStart w:id="5" w:name="_Toc227855323"/>
      <w:bookmarkStart w:id="6" w:name="_Toc227855535"/>
      <w:bookmarkStart w:id="7" w:name="_Toc227856302"/>
      <w:r w:rsidRPr="003C0233">
        <w:rPr>
          <w:lang w:val="es-ES_tradnl"/>
        </w:rPr>
        <w:t>Coalición Digital Partner2Connect de la UIT</w:t>
      </w:r>
      <w:bookmarkEnd w:id="4"/>
      <w:bookmarkEnd w:id="5"/>
      <w:bookmarkEnd w:id="6"/>
      <w:bookmarkEnd w:id="7"/>
    </w:p>
    <w:p w14:paraId="4BE6960A" w14:textId="77777777" w:rsidR="00164977" w:rsidRPr="003C0233" w:rsidRDefault="00164977" w:rsidP="0016497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(Kigali, 2022),</w:t>
      </w:r>
    </w:p>
    <w:p w14:paraId="6816EB8D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52576BF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70/1 de la Asamblea General de las Naciones Unidas (AGNU), Transformar nuestro mundo: la Agenda 2030 para el Desarrollo Sostenible;</w:t>
      </w:r>
    </w:p>
    <w:p w14:paraId="7ED5EA92" w14:textId="6B1964CE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135 (Rev. Dubái, 2018) de la Conferencia de Plenipotenciarios, Función de la UIT en el desarrollo duradero y sostenible de las telecomunicaciones/tecnologías de la información y la comunicación (TIC), en la prestación de asistencia y asesoramiento técnicos a los países en desarrollo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 xml:space="preserve"> y en la ejecución de proyectos nacionales, regionales e interregionales pertinentes;</w:t>
      </w:r>
    </w:p>
    <w:p w14:paraId="6F94EF4D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Resolución 139 (Rev. Dubái, 2018) de la Conferencia de Plenipotenciarios, Utilización de las telecomunicaciones/TIC para reducir la brecha digital y crear una sociedad de la información inclusiva;</w:t>
      </w:r>
    </w:p>
    <w:p w14:paraId="3FAD5E60" w14:textId="77777777" w:rsidR="00164977" w:rsidRPr="003C0233" w:rsidRDefault="00164977" w:rsidP="00164977">
      <w:pPr>
        <w:rPr>
          <w:bCs/>
          <w:lang w:val="es-ES_tradnl"/>
        </w:rPr>
      </w:pPr>
      <w:r w:rsidRPr="003C0233">
        <w:rPr>
          <w:i/>
          <w:iCs/>
          <w:lang w:val="es-ES_tradnl" w:eastAsia="ru-RU"/>
        </w:rPr>
        <w:t>d)</w:t>
      </w:r>
      <w:r w:rsidRPr="003C0233">
        <w:rPr>
          <w:lang w:val="es-ES_tradnl" w:eastAsia="ru-RU"/>
        </w:rPr>
        <w:tab/>
        <w:t>la Resolución 140 (Rev.</w:t>
      </w:r>
      <w:r w:rsidRPr="003C0233">
        <w:rPr>
          <w:lang w:val="es-ES_tradnl"/>
        </w:rPr>
        <w:t> </w:t>
      </w:r>
      <w:r w:rsidRPr="003C0233">
        <w:rPr>
          <w:lang w:val="es-ES_tradnl" w:eastAsia="ru-RU"/>
        </w:rPr>
        <w:t>Dubái,</w:t>
      </w:r>
      <w:r w:rsidRPr="003C0233">
        <w:rPr>
          <w:lang w:val="es-ES_tradnl"/>
        </w:rPr>
        <w:t> </w:t>
      </w:r>
      <w:r w:rsidRPr="003C0233">
        <w:rPr>
          <w:lang w:val="es-ES_tradnl" w:eastAsia="ru-RU"/>
        </w:rPr>
        <w:t>2018) de la Conferencia de Plenipotenciarios,</w:t>
      </w:r>
      <w:r w:rsidRPr="003C0233">
        <w:rPr>
          <w:iCs/>
          <w:lang w:val="es-ES_tradnl"/>
        </w:rPr>
        <w:t xml:space="preserve"> F</w:t>
      </w:r>
      <w:r w:rsidRPr="003C0233">
        <w:rPr>
          <w:lang w:val="es-ES_tradnl" w:eastAsia="ru-RU"/>
        </w:rPr>
        <w:t>unción de la UIT en la aplicación de los resultados de la Cumbre Mundial sobre la Sociedad de la Información (CMSI) y de la Agenda 2030 para el Desarrollo Sostenible</w:t>
      </w:r>
      <w:r w:rsidRPr="003C0233">
        <w:rPr>
          <w:bCs/>
          <w:lang w:val="es-ES_tradnl"/>
        </w:rPr>
        <w:t>;</w:t>
      </w:r>
    </w:p>
    <w:p w14:paraId="790A570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 w:eastAsia="ru-RU"/>
        </w:rPr>
        <w:t>la Resolución</w:t>
      </w:r>
      <w:r w:rsidRPr="003C0233">
        <w:rPr>
          <w:lang w:val="es-ES_tradnl"/>
        </w:rPr>
        <w:t> </w:t>
      </w:r>
      <w:r w:rsidRPr="003C0233">
        <w:rPr>
          <w:lang w:val="es-ES_tradnl" w:eastAsia="ru-RU"/>
        </w:rPr>
        <w:t>200 (Rev.</w:t>
      </w:r>
      <w:r w:rsidRPr="003C0233">
        <w:rPr>
          <w:lang w:val="es-ES_tradnl"/>
        </w:rPr>
        <w:t> </w:t>
      </w:r>
      <w:r w:rsidRPr="003C0233">
        <w:rPr>
          <w:lang w:val="es-ES_tradnl" w:eastAsia="ru-RU"/>
        </w:rPr>
        <w:t>Dubái,</w:t>
      </w:r>
      <w:r w:rsidRPr="003C0233">
        <w:rPr>
          <w:lang w:val="es-ES_tradnl"/>
        </w:rPr>
        <w:t> </w:t>
      </w:r>
      <w:r w:rsidRPr="003C0233">
        <w:rPr>
          <w:lang w:val="es-ES_tradnl" w:eastAsia="ru-RU"/>
        </w:rPr>
        <w:t>2018) de la Conferencia de Plenipotenciarios,</w:t>
      </w:r>
      <w:r w:rsidRPr="003C0233">
        <w:rPr>
          <w:iCs/>
          <w:lang w:val="es-ES_tradnl"/>
        </w:rPr>
        <w:t xml:space="preserve"> </w:t>
      </w:r>
      <w:r w:rsidRPr="003C0233">
        <w:rPr>
          <w:lang w:val="es-ES_tradnl" w:eastAsia="ru-RU"/>
        </w:rPr>
        <w:t>Agenda Conectar 2030 de las telecomunicaciones/TIC mundiales, incluida la banda ancha, para el desarrollo sostenible</w:t>
      </w:r>
      <w:r w:rsidRPr="003C0233">
        <w:rPr>
          <w:lang w:val="es-ES_tradnl"/>
        </w:rPr>
        <w:t>;</w:t>
      </w:r>
    </w:p>
    <w:p w14:paraId="1CB96C54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Resolución 16 (Rev. Buenos Aires, 2017) de la Conferencia Mundial de Desarrollo de las Telecomunicaciones (CMSI), Acciones y medidas especiales para los países menos adelantados (PMA), los pequeños Estados insulares en desarrollo (PEID), los países en desarrollo sin litoral (PDSL) y los países con economías en transición;</w:t>
      </w:r>
    </w:p>
    <w:p w14:paraId="107DA2C4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la Resolución 37 (Rev. Kigali, 2022) de la presente Conferencia, Reducción de la brecha digital;</w:t>
      </w:r>
    </w:p>
    <w:p w14:paraId="5BAFB640" w14:textId="77777777" w:rsidR="00D91DE7" w:rsidRPr="003C0233" w:rsidRDefault="00D91DE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3EDA0149" w14:textId="4540A2BB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h)</w:t>
      </w:r>
      <w:r w:rsidRPr="003C0233">
        <w:rPr>
          <w:lang w:val="es-ES_tradnl"/>
        </w:rPr>
        <w:tab/>
        <w:t>la Resolución 71 (Rev. Kigali, 2022) de la presente Conferencia, Fortalecimiento de la cooperación entre los Estados Miembros, los Miembros de Sector, los Asociados y las Instituciones Académicas del Sector de Desarrollo de las Telecomunicaciones de la UIT (UIT</w:t>
      </w:r>
      <w:r w:rsidRPr="003C0233">
        <w:rPr>
          <w:lang w:val="es-ES_tradnl"/>
        </w:rPr>
        <w:noBreakHyphen/>
        <w:t>D) y el carácter evolutivo de la función del sector privado en el UIT</w:t>
      </w:r>
      <w:r w:rsidRPr="003C0233">
        <w:rPr>
          <w:lang w:val="es-ES_tradnl"/>
        </w:rPr>
        <w:noBreakHyphen/>
        <w:t>D,</w:t>
      </w:r>
    </w:p>
    <w:p w14:paraId="0421976D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17BAF2C3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que, si bien se reconoce ampliamente que las TIC constituyen la piedra angular de la economía digital actual y albergan el potencial de acelerar el progreso hacia los Objetivos de Desarrollo Sostenible (ODS), todavía hay 2 900 millones de personas que carecen totalmente de conexión en 2022, mientras que otros cientos de millones no disponen de conectividad asequible, accesible y fiable que cambiaría sus vidas de manera considerable;</w:t>
      </w:r>
    </w:p>
    <w:p w14:paraId="79FFE539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 pandemia de COVID</w:t>
      </w:r>
      <w:r w:rsidRPr="003C0233">
        <w:rPr>
          <w:lang w:val="es-ES_tradnl"/>
        </w:rPr>
        <w:noBreakHyphen/>
        <w:t>19 ha puesto de manifiesto la importancia esencial del acceso a Internet y a las TIC, y que el acceso, la adopción y la creación de valor a través de los ecosistemas digitales resultan fundamentales para el trabajo, la enseñanza, el comercio y la comunicación, así como para el fomento de la economía digital;</w:t>
      </w:r>
    </w:p>
    <w:p w14:paraId="6909B95C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importancia de que todas las partes interesadas se impliquen en la movilización de recursos, asociaciones y compromisos con el fin de fomentar la conectividad efectiva y la transformación digital en las comunidades más difíciles de conectar,</w:t>
      </w:r>
    </w:p>
    <w:p w14:paraId="3518EFCA" w14:textId="77777777" w:rsidR="00164977" w:rsidRPr="003C0233" w:rsidRDefault="00164977" w:rsidP="00164977">
      <w:pPr>
        <w:pStyle w:val="Call"/>
        <w:rPr>
          <w:i w:val="0"/>
          <w:iCs/>
          <w:lang w:val="es-ES_tradnl"/>
        </w:rPr>
      </w:pPr>
      <w:r w:rsidRPr="003C0233">
        <w:rPr>
          <w:lang w:val="es-ES_tradnl"/>
        </w:rPr>
        <w:t>observando</w:t>
      </w:r>
    </w:p>
    <w:p w14:paraId="18B3EB68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 xml:space="preserve">la Coalición Digital Partner2Connect (P2C), una alianza multipartita creada por la UIT, en estrecha colaboración con la Oficina del Enviado del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para la Tecnología y en consonancia con la Hoja de ruta del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las Naciones Unidas para la cooperación digital, con el fin de fomentar la conectividad efectiva y la transformación digital en todo el mundo, entre otros en las comunidades más difíciles de conectar de los PMA, los PDSL y los PEID;</w:t>
      </w:r>
    </w:p>
    <w:p w14:paraId="495AB226" w14:textId="77777777" w:rsidR="00164977" w:rsidRPr="003C0233" w:rsidRDefault="00164977" w:rsidP="0016497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el Marco de Acción de P2C, creado a través de un proceso consultivo multipartito en consonancia con las líneas de acción de la CMSI y los ODS, y que se basa en cuatro áreas de interés: acceso, adopción, creación de valor y aceleración de las inversiones,</w:t>
      </w:r>
    </w:p>
    <w:p w14:paraId="48C12679" w14:textId="77777777" w:rsidR="00D91DE7" w:rsidRPr="003C0233" w:rsidRDefault="00D91DE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37712C94" w14:textId="7EEF98AD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 xml:space="preserve">resuelve encargar al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y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0BC7FC44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sigan supervisando la labor de la Oficina de Desarrollo de las Telecomunicaciones (BDT) de conformidad con la Resolución 37 (Rev. Kigali, 2022), Reducción de la brecha digital, y la Resolución 71 (Rev. Kigali, 2022), catalizando esfuerzos colectivos concretos para acelerar la conectividad y movilizar recursos en las cuatro áreas de interés a través de la Coalición P2C y el modelo de asociación multipartita que ésta representa;</w:t>
      </w:r>
    </w:p>
    <w:p w14:paraId="12256FA8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velen por que la BDT siga desempeñando un papel crucial en esta iniciativa, además de supervisar y hacer un seguimiento activo de los compromisos y obligaciones, informar periódicamente sobre el objetivo general de lograr la conectividad universal, y mantener activo el canal de comunicación entre las partes interesadas estratégicas</w:t>
      </w:r>
      <w:r w:rsidRPr="003C0233">
        <w:rPr>
          <w:rFonts w:ascii="Calibri" w:hAnsi="Calibri"/>
          <w:szCs w:val="24"/>
          <w:lang w:val="es-ES_tradnl"/>
        </w:rPr>
        <w:t>;</w:t>
      </w:r>
    </w:p>
    <w:p w14:paraId="4139474A" w14:textId="77777777" w:rsidR="00164977" w:rsidRPr="003C0233" w:rsidRDefault="00164977" w:rsidP="00164977">
      <w:pPr>
        <w:rPr>
          <w:lang w:val="es-ES_tradnl" w:eastAsia="zh-CN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</w:t>
      </w:r>
      <w:r w:rsidRPr="003C0233">
        <w:rPr>
          <w:lang w:val="es-ES_tradnl" w:eastAsia="zh-CN"/>
        </w:rPr>
        <w:t>garanticen la adecuada asignación de los recursos, dentro de los límites presupuestarios, a las acciones mencionadas,</w:t>
      </w:r>
    </w:p>
    <w:p w14:paraId="77602B13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invita a las instituciones financieras, los organismos donantes y las entidades del sector privado internacionales</w:t>
      </w:r>
    </w:p>
    <w:p w14:paraId="3F6182AB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a realizar, aplicar e informar sobre los compromisos y las promesas asumidos con la P2C para fomentar la conectividad efectiva y la transformación digital,</w:t>
      </w:r>
    </w:p>
    <w:p w14:paraId="1ADEC340" w14:textId="77777777" w:rsidR="00164977" w:rsidRPr="003C0233" w:rsidRDefault="00164977" w:rsidP="00164977">
      <w:pPr>
        <w:pStyle w:val="Call"/>
        <w:rPr>
          <w:lang w:val="es-ES_tradnl"/>
        </w:rPr>
      </w:pPr>
      <w:r w:rsidRPr="003C0233">
        <w:rPr>
          <w:lang w:val="es-ES_tradnl"/>
        </w:rPr>
        <w:t>invita a los Estados Miembros y a los Miembros de Sector</w:t>
      </w:r>
    </w:p>
    <w:p w14:paraId="6EF51BA7" w14:textId="77777777" w:rsidR="00164977" w:rsidRPr="003C0233" w:rsidRDefault="00164977" w:rsidP="0016497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 xml:space="preserve">a propiciar el progreso hacia la conectividad efectiva y la transformación digital, mediante la definición, aplicación y ampliación de compromisos y la movilización de nuevos recursos y asociaciones, en consonancia con los ODS, las Líneas de Acción de la CMSI y la Hoja de ruta del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las Naciones Unidas para la cooperación digital;</w:t>
      </w:r>
    </w:p>
    <w:p w14:paraId="4C32D8B8" w14:textId="77777777" w:rsidR="00164977" w:rsidRDefault="00164977" w:rsidP="00164977">
      <w:pPr>
        <w:rPr>
          <w:lang w:val="es-ES_tradnl" w:eastAsia="zh-CN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participar activamente en la presentación de informes y en el intercambio de experiencias y prácticas idóneas en la aplicación de las promesas y los compromisos para con P2C</w:t>
      </w:r>
      <w:r w:rsidRPr="003C0233">
        <w:rPr>
          <w:lang w:val="es-ES_tradnl" w:eastAsia="zh-CN"/>
        </w:rPr>
        <w:t>.</w:t>
      </w:r>
    </w:p>
    <w:sectPr w:rsidR="00164977" w:rsidSect="00793C89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D353" w14:textId="77777777" w:rsidR="003C3D1D" w:rsidRDefault="003C3D1D">
      <w:r>
        <w:separator/>
      </w:r>
    </w:p>
  </w:endnote>
  <w:endnote w:type="continuationSeparator" w:id="0">
    <w:p w14:paraId="0758938F" w14:textId="77777777" w:rsidR="003C3D1D" w:rsidRDefault="003C3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29A58" w14:textId="77777777" w:rsidR="003C3D1D" w:rsidRDefault="003C3D1D">
      <w:r>
        <w:rPr>
          <w:b/>
        </w:rPr>
        <w:t>_______________</w:t>
      </w:r>
    </w:p>
  </w:footnote>
  <w:footnote w:type="continuationSeparator" w:id="0">
    <w:p w14:paraId="7B1CE18B" w14:textId="77777777" w:rsidR="003C3D1D" w:rsidRDefault="003C3D1D">
      <w:r>
        <w:continuationSeparator/>
      </w:r>
    </w:p>
  </w:footnote>
  <w:footnote w:id="1">
    <w:p w14:paraId="28685B0C" w14:textId="1AF2AE67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793C89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588258304"/>
      <w:docPartObj>
        <w:docPartGallery w:val="Page Numbers (Top of Page)"/>
        <w:docPartUnique/>
      </w:docPartObj>
    </w:sdtPr>
    <w:sdtEndPr/>
    <w:sdtContent>
      <w:p w14:paraId="763E4C50" w14:textId="3009AB1C" w:rsidR="00816CEE" w:rsidRPr="00793C89" w:rsidRDefault="00816CEE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793C89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793C89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793C89">
          <w:rPr>
            <w:sz w:val="16"/>
            <w:szCs w:val="16"/>
            <w:lang w:val="es-ES"/>
          </w:rPr>
          <w:tab/>
        </w:r>
        <w:r w:rsidRPr="00793C89">
          <w:rPr>
            <w:rFonts w:ascii="Calibri" w:hAnsi="Calibri"/>
            <w:sz w:val="16"/>
            <w:szCs w:val="16"/>
            <w:lang w:val="es-ES"/>
          </w:rPr>
          <w:t>Informe final de la CMDT-25 – Parte IV – Resolución 88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215265631"/>
      <w:docPartObj>
        <w:docPartGallery w:val="Page Numbers (Top of Page)"/>
        <w:docPartUnique/>
      </w:docPartObj>
    </w:sdtPr>
    <w:sdtEndPr/>
    <w:sdtContent>
      <w:p w14:paraId="38259FA7" w14:textId="13630BA9" w:rsidR="00816CEE" w:rsidRPr="00793C89" w:rsidRDefault="00816CEE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793C89">
          <w:rPr>
            <w:rFonts w:ascii="Calibri" w:hAnsi="Calibri"/>
            <w:sz w:val="16"/>
            <w:szCs w:val="16"/>
            <w:lang w:val="es-ES"/>
          </w:rPr>
          <w:t>Informe final de la CMDT-25 – Parte IV – Resolución 88</w:t>
        </w:r>
        <w:r w:rsidRPr="00793C89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793C89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793C89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1600260003"/>
      <w:docPartObj>
        <w:docPartGallery w:val="Page Numbers (Top of Page)"/>
        <w:docPartUnique/>
      </w:docPartObj>
    </w:sdtPr>
    <w:sdtEndPr/>
    <w:sdtContent>
      <w:p w14:paraId="1A772800" w14:textId="5F70A36E" w:rsidR="00816CEE" w:rsidRPr="00793C89" w:rsidRDefault="00816CEE" w:rsidP="00816CE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793C89">
          <w:rPr>
            <w:rFonts w:ascii="Calibri" w:hAnsi="Calibri"/>
            <w:sz w:val="16"/>
            <w:szCs w:val="16"/>
            <w:lang w:val="es-ES"/>
          </w:rPr>
          <w:t>Informe final de la CMDT-25 – Parte IV – Resolución 88</w:t>
        </w:r>
        <w:r w:rsidRPr="00793C89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793C89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793C89">
          <w:rPr>
            <w:rFonts w:ascii="Calibri" w:hAnsi="Calibri"/>
            <w:sz w:val="16"/>
            <w:szCs w:val="16"/>
            <w:lang w:val="es-ES"/>
          </w:rPr>
          <w:t>569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3D1D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3C89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3</Pages>
  <Words>901</Words>
  <Characters>4880</Characters>
  <Application>Microsoft Office Word</Application>
  <DocSecurity>0</DocSecurity>
  <Lines>88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5748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88 (Kigali, 2022) Coalición Digital Partner2Connect de la UIT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214</cp:revision>
  <cp:lastPrinted>2026-04-30T13:21:00Z</cp:lastPrinted>
  <dcterms:created xsi:type="dcterms:W3CDTF">2026-02-17T07:51:00Z</dcterms:created>
  <dcterms:modified xsi:type="dcterms:W3CDTF">2026-09-24T08:05:00Z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