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B8E8" w14:textId="77777777" w:rsidR="00C52F9C" w:rsidRPr="00E17456" w:rsidRDefault="00C52F9C" w:rsidP="00C52F9C">
      <w:pPr>
        <w:pStyle w:val="ResNo"/>
        <w:rPr>
          <w:b/>
          <w:bCs/>
          <w:lang w:val="es-ES_tradnl"/>
        </w:rPr>
      </w:pPr>
      <w:bookmarkStart w:id="0" w:name="_Toc116917076"/>
      <w:bookmarkStart w:id="1" w:name="_Toc116918645"/>
      <w:bookmarkStart w:id="2" w:name="_Toc116919136"/>
      <w:bookmarkStart w:id="3" w:name="_Toc116919623"/>
      <w:r w:rsidRPr="00E17456">
        <w:rPr>
          <w:lang w:val="es-ES_tradnl"/>
        </w:rPr>
        <w:t>RESOLUCIÓN 88 (Kigali, 2022)</w:t>
      </w:r>
      <w:bookmarkEnd w:id="0"/>
      <w:bookmarkEnd w:id="1"/>
      <w:bookmarkEnd w:id="2"/>
      <w:bookmarkEnd w:id="3"/>
    </w:p>
    <w:p w14:paraId="2B4D4D10" w14:textId="77777777" w:rsidR="00C52F9C" w:rsidRPr="00E17456" w:rsidRDefault="00C52F9C" w:rsidP="00C52F9C">
      <w:pPr>
        <w:pStyle w:val="Restitle"/>
        <w:rPr>
          <w:lang w:val="es-ES_tradnl"/>
        </w:rPr>
      </w:pPr>
      <w:bookmarkStart w:id="4" w:name="_Toc116917077"/>
      <w:bookmarkStart w:id="5" w:name="_Toc116918646"/>
      <w:bookmarkStart w:id="6" w:name="_Toc116919137"/>
      <w:bookmarkStart w:id="7" w:name="_Toc116919624"/>
      <w:r w:rsidRPr="00E17456">
        <w:rPr>
          <w:lang w:val="es-ES_tradnl"/>
        </w:rPr>
        <w:t>Coalición Digital Partner2Connect de la UIT</w:t>
      </w:r>
      <w:bookmarkEnd w:id="4"/>
      <w:bookmarkEnd w:id="5"/>
      <w:bookmarkEnd w:id="6"/>
      <w:bookmarkEnd w:id="7"/>
    </w:p>
    <w:p w14:paraId="4F921BCE" w14:textId="77777777" w:rsidR="00C52F9C" w:rsidRPr="00E17456" w:rsidRDefault="00C52F9C" w:rsidP="00C52F9C">
      <w:pPr>
        <w:pStyle w:val="Normalaftertitle"/>
        <w:rPr>
          <w:lang w:val="es-ES_tradnl"/>
        </w:rPr>
      </w:pPr>
      <w:r w:rsidRPr="00E17456">
        <w:rPr>
          <w:lang w:val="es-ES_tradnl"/>
        </w:rPr>
        <w:t>La Conferencia Mundial de Desarrollo de las Telecomunicaciones (Kigali, 2022),</w:t>
      </w:r>
    </w:p>
    <w:p w14:paraId="33418222" w14:textId="77777777" w:rsidR="00C52F9C" w:rsidRPr="00E17456" w:rsidRDefault="00C52F9C" w:rsidP="00C52F9C">
      <w:pPr>
        <w:pStyle w:val="Call"/>
        <w:rPr>
          <w:lang w:val="es-ES_tradnl"/>
        </w:rPr>
      </w:pPr>
      <w:r w:rsidRPr="00E17456">
        <w:rPr>
          <w:lang w:val="es-ES_tradnl"/>
        </w:rPr>
        <w:t>recordando</w:t>
      </w:r>
    </w:p>
    <w:p w14:paraId="732A1316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a)</w:t>
      </w:r>
      <w:r w:rsidRPr="00E17456">
        <w:rPr>
          <w:lang w:val="es-ES_tradnl"/>
        </w:rPr>
        <w:tab/>
        <w:t>la Resolución 70/1, Transformar nuestro mundo: la Agenda 2030 para el Desarrollo Sostenible, de la Asamblea General de las Naciones Unidas (AGNU);</w:t>
      </w:r>
    </w:p>
    <w:p w14:paraId="302B30CC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b)</w:t>
      </w:r>
      <w:r w:rsidRPr="00E17456">
        <w:rPr>
          <w:lang w:val="es-ES_tradnl"/>
        </w:rPr>
        <w:tab/>
        <w:t>la Resolución 135 (Rev. Dubái, 2018),Función de la UIT en el desarrollo duradero y sostenible de las telecomunicaciones/tecnologías de la información y la comunicación (TIC), en la prestación de asistencia y asesoramiento técnico a los países en desarrollo</w:t>
      </w:r>
      <w:r>
        <w:rPr>
          <w:rStyle w:val="FootnoteReference"/>
          <w:lang w:val="es-ES_tradnl"/>
        </w:rPr>
        <w:footnoteReference w:customMarkFollows="1" w:id="1"/>
        <w:t>1</w:t>
      </w:r>
      <w:r w:rsidRPr="00E17456">
        <w:rPr>
          <w:lang w:val="es-ES_tradnl"/>
        </w:rPr>
        <w:t xml:space="preserve"> y en la realización de proyectos nacionales, regionales e interregionales pertinentes, de la Conferencia de Plenipotenciarios;</w:t>
      </w:r>
    </w:p>
    <w:p w14:paraId="03FBDB0E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c)</w:t>
      </w:r>
      <w:r w:rsidRPr="00E17456">
        <w:rPr>
          <w:lang w:val="es-ES_tradnl"/>
        </w:rPr>
        <w:tab/>
        <w:t>la Resolución 139 (Rev. Dubái, 2018), Utilización de las telecomunicaciones/TIC para reducir la brecha digital y crear una sociedad de la información integradora, de la Conferencia de Plenipotenciarios;</w:t>
      </w:r>
    </w:p>
    <w:p w14:paraId="700F4C80" w14:textId="77777777" w:rsidR="00C52F9C" w:rsidRPr="00E17456" w:rsidRDefault="00C52F9C" w:rsidP="00C52F9C">
      <w:pPr>
        <w:rPr>
          <w:rFonts w:cstheme="minorHAnsi"/>
          <w:bCs/>
          <w:szCs w:val="24"/>
          <w:lang w:val="es-ES_tradnl"/>
        </w:rPr>
      </w:pPr>
      <w:r w:rsidRPr="00E17456">
        <w:rPr>
          <w:rFonts w:cstheme="minorHAnsi"/>
          <w:i/>
          <w:iCs/>
          <w:szCs w:val="24"/>
          <w:lang w:val="es-ES_tradnl" w:eastAsia="ru-RU"/>
        </w:rPr>
        <w:t>d)</w:t>
      </w:r>
      <w:r w:rsidRPr="00E17456">
        <w:rPr>
          <w:rFonts w:cstheme="minorHAnsi"/>
          <w:szCs w:val="24"/>
          <w:lang w:val="es-ES_tradnl" w:eastAsia="ru-RU"/>
        </w:rPr>
        <w:tab/>
        <w:t>la Resolución 140 (Rev. Dubái, 2018),</w:t>
      </w:r>
      <w:r w:rsidRPr="00E17456">
        <w:rPr>
          <w:iCs/>
          <w:lang w:val="es-ES_tradnl"/>
        </w:rPr>
        <w:t xml:space="preserve"> F</w:t>
      </w:r>
      <w:r w:rsidRPr="00E17456">
        <w:rPr>
          <w:rFonts w:cstheme="minorHAnsi"/>
          <w:szCs w:val="24"/>
          <w:lang w:val="es-ES_tradnl" w:eastAsia="ru-RU"/>
        </w:rPr>
        <w:t>unción de la UIT en la aplicación de los resultados de la Cumbre Mundial sobre la Sociedad de la Información (CMSI) y de la Agenda 2030 para el Desarrollo Sostenible, de la Conferencia de Plenipotenciarios</w:t>
      </w:r>
      <w:r w:rsidRPr="00E17456">
        <w:rPr>
          <w:rFonts w:cstheme="minorHAnsi"/>
          <w:bCs/>
          <w:szCs w:val="24"/>
          <w:lang w:val="es-ES_tradnl"/>
        </w:rPr>
        <w:t>;</w:t>
      </w:r>
    </w:p>
    <w:p w14:paraId="15F6AEFB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e)</w:t>
      </w:r>
      <w:r w:rsidRPr="00E17456">
        <w:rPr>
          <w:i/>
          <w:iCs/>
          <w:lang w:val="es-ES_tradnl"/>
        </w:rPr>
        <w:tab/>
      </w:r>
      <w:r w:rsidRPr="00E17456">
        <w:rPr>
          <w:lang w:val="es-ES_tradnl" w:eastAsia="ru-RU"/>
        </w:rPr>
        <w:t>la Resolución 200 (Rev. Dubái, 2018),</w:t>
      </w:r>
      <w:r w:rsidRPr="00E17456">
        <w:rPr>
          <w:iCs/>
          <w:lang w:val="es-ES_tradnl"/>
        </w:rPr>
        <w:t xml:space="preserve"> </w:t>
      </w:r>
      <w:r w:rsidRPr="00E17456">
        <w:rPr>
          <w:lang w:val="es-ES_tradnl" w:eastAsia="ru-RU"/>
        </w:rPr>
        <w:t>Agenda Conectar 2030 de las telecomunicaciones/TIC mundiales, incluida la banda ancha, para el desarrollo sostenible, de la Conferencia de Plenipotenciarios</w:t>
      </w:r>
      <w:r w:rsidRPr="00E17456">
        <w:rPr>
          <w:lang w:val="es-ES_tradnl"/>
        </w:rPr>
        <w:t>;</w:t>
      </w:r>
    </w:p>
    <w:p w14:paraId="33A39CFD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f)</w:t>
      </w:r>
      <w:r w:rsidRPr="00E17456">
        <w:rPr>
          <w:lang w:val="es-ES_tradnl"/>
        </w:rPr>
        <w:tab/>
        <w:t>la Resolución 16 (Rev. Buenos Aires, 2017), Acciones y medidas especiales para los países menos adelantados (PMA), los países en desarrollo sin litoral (PDSL), los pequeños Estados insulares en desarrollo (PEID), y los países con economías en transición, de la Conferencia Mundial de Desarrollo de las Telecomunicaciones;</w:t>
      </w:r>
    </w:p>
    <w:p w14:paraId="26CA6C87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g)</w:t>
      </w:r>
      <w:r w:rsidRPr="00E17456">
        <w:rPr>
          <w:lang w:val="es-ES_tradnl"/>
        </w:rPr>
        <w:tab/>
        <w:t>la Resolución 37 (Rev. Kigali, 2022), Reducción de la brecha digital, de la presente Conferencia;</w:t>
      </w:r>
    </w:p>
    <w:p w14:paraId="3EB24FFC" w14:textId="77777777" w:rsidR="00C52F9C" w:rsidRPr="00E17456" w:rsidRDefault="00C52F9C" w:rsidP="00C52F9C">
      <w:pPr>
        <w:rPr>
          <w:i/>
          <w:iCs/>
          <w:lang w:val="es-ES_tradnl"/>
        </w:rPr>
      </w:pPr>
      <w:r w:rsidRPr="00E17456">
        <w:rPr>
          <w:i/>
          <w:iCs/>
          <w:lang w:val="es-ES_tradnl"/>
        </w:rPr>
        <w:br w:type="page"/>
      </w:r>
    </w:p>
    <w:p w14:paraId="59B34153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lastRenderedPageBreak/>
        <w:t>h)</w:t>
      </w:r>
      <w:r w:rsidRPr="00E17456">
        <w:rPr>
          <w:lang w:val="es-ES_tradnl"/>
        </w:rPr>
        <w:tab/>
        <w:t>la Resolución 71 (Rev. Kigali, 2022), Fortalecimiento de la cooperación entre los Estados Miembros, los Miembros de Sector, los Asociados y las Instituciones Académicas del Sector de Desarrollo de las Telecomunicaciones de la UIT (UIT-D) y el carácter evolutivo de la función del sector privado en el UIT-D, de la presente Conferencia,</w:t>
      </w:r>
    </w:p>
    <w:p w14:paraId="4CDDF1A1" w14:textId="77777777" w:rsidR="00C52F9C" w:rsidRPr="00E17456" w:rsidRDefault="00C52F9C" w:rsidP="00C52F9C">
      <w:pPr>
        <w:pStyle w:val="Call"/>
        <w:rPr>
          <w:lang w:val="es-ES_tradnl"/>
        </w:rPr>
      </w:pPr>
      <w:r w:rsidRPr="00E17456">
        <w:rPr>
          <w:lang w:val="es-ES_tradnl"/>
        </w:rPr>
        <w:t>considerando</w:t>
      </w:r>
    </w:p>
    <w:p w14:paraId="798B9D94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a)</w:t>
      </w:r>
      <w:r w:rsidRPr="00E17456">
        <w:rPr>
          <w:lang w:val="es-ES_tradnl"/>
        </w:rPr>
        <w:tab/>
        <w:t>que, si bien se reconoce ampliamente que las TIC constituyen la piedra angular de la economía digital actual y albergan el potencial de acelerar el progreso hacia los Objetivos de Desarrollo Sostenible (ODS), todavía hay 2 900 millones de personas que carecen totalmente de conexión en 2022, mientras que otros cientos de millones no disponen de conectividad asequible, accesible y fiable que cambiaría sus vidas de manera considerable;</w:t>
      </w:r>
    </w:p>
    <w:p w14:paraId="7C292CC6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b)</w:t>
      </w:r>
      <w:r w:rsidRPr="00E17456">
        <w:rPr>
          <w:lang w:val="es-ES_tradnl"/>
        </w:rPr>
        <w:tab/>
        <w:t>que la pandemia de la COVID-19 ha puesto de manifiesto la importancia esencial del acceso a Internet y a las TIC, y que el acceso, la adopción y la creación de valor a través de los ecosistemas digitales resultan fundamentales para el trabajo, la enseñanza, el comercio y la comunicación, así como para el fomento de la economía digital;</w:t>
      </w:r>
    </w:p>
    <w:p w14:paraId="52A7AB6E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c)</w:t>
      </w:r>
      <w:r w:rsidRPr="00E17456">
        <w:rPr>
          <w:lang w:val="es-ES_tradnl"/>
        </w:rPr>
        <w:tab/>
        <w:t>la importancia de que todas las partes interesadas se impliquen en la movilización de recursos, asociaciones y compromisos con el fin de fomentar la conectividad efectiva y la transformación digital en las comunidades más difíciles de conectar,</w:t>
      </w:r>
    </w:p>
    <w:p w14:paraId="05686C69" w14:textId="77777777" w:rsidR="00C52F9C" w:rsidRPr="00E17456" w:rsidRDefault="00C52F9C" w:rsidP="00C52F9C">
      <w:pPr>
        <w:pStyle w:val="Call"/>
        <w:rPr>
          <w:i w:val="0"/>
          <w:iCs/>
          <w:lang w:val="es-ES_tradnl"/>
        </w:rPr>
      </w:pPr>
      <w:r w:rsidRPr="00E17456">
        <w:rPr>
          <w:lang w:val="es-ES_tradnl"/>
        </w:rPr>
        <w:t>observando</w:t>
      </w:r>
    </w:p>
    <w:p w14:paraId="1213BCA2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a)</w:t>
      </w:r>
      <w:r w:rsidRPr="00E17456">
        <w:rPr>
          <w:lang w:val="es-ES_tradnl"/>
        </w:rPr>
        <w:tab/>
        <w:t>la Coalición Digital Partner2Connect (P2C), una alianza multipartita creada por la UIT, en estrecha colaboración con la Oficina del Enviado del Secretario General para la Tecnología y en consonancia con la Hoja de ruta del Secretario General de las Naciones Unidas para la cooperación digital, con el fin de fomentar la conectividad efectiva y la transformación digital en todo el mundo, entre otros en las comunidades más difíciles de conectar de los PMA, los PDSL y los PEID;</w:t>
      </w:r>
    </w:p>
    <w:p w14:paraId="1A384714" w14:textId="77777777" w:rsidR="00C52F9C" w:rsidRPr="00E17456" w:rsidRDefault="00C52F9C" w:rsidP="00C52F9C">
      <w:pPr>
        <w:rPr>
          <w:lang w:val="es-ES_tradnl"/>
        </w:rPr>
      </w:pPr>
      <w:r w:rsidRPr="00E17456">
        <w:rPr>
          <w:i/>
          <w:iCs/>
          <w:lang w:val="es-ES_tradnl"/>
        </w:rPr>
        <w:t>b)</w:t>
      </w:r>
      <w:r w:rsidRPr="00E17456">
        <w:rPr>
          <w:lang w:val="es-ES_tradnl"/>
        </w:rPr>
        <w:tab/>
        <w:t>el Marco de Acción de P2C, creado a través de un proceso consultivo multipartito en consonancia con las líneas de acción de la CMSI y los ODS, y que se basa en cuatro áreas de interés: acceso, adopción, creación de valor y aceleración de las inversiones,</w:t>
      </w:r>
    </w:p>
    <w:p w14:paraId="7C0B94E4" w14:textId="77777777" w:rsidR="00C52F9C" w:rsidRPr="00E17456" w:rsidRDefault="00C52F9C" w:rsidP="00C52F9C">
      <w:pPr>
        <w:rPr>
          <w:lang w:val="es-ES_tradnl"/>
        </w:rPr>
      </w:pPr>
      <w:r w:rsidRPr="00E17456">
        <w:rPr>
          <w:lang w:val="es-ES_tradnl"/>
        </w:rPr>
        <w:br w:type="page"/>
      </w:r>
    </w:p>
    <w:p w14:paraId="635BEBBB" w14:textId="77777777" w:rsidR="00C52F9C" w:rsidRPr="00E17456" w:rsidRDefault="00C52F9C" w:rsidP="00C52F9C">
      <w:pPr>
        <w:pStyle w:val="Call"/>
        <w:rPr>
          <w:lang w:val="es-ES_tradnl"/>
        </w:rPr>
      </w:pPr>
      <w:r w:rsidRPr="00E17456">
        <w:rPr>
          <w:lang w:val="es-ES_tradnl"/>
        </w:rPr>
        <w:lastRenderedPageBreak/>
        <w:t>resuelve encargar al Secretario General y al Director de la Oficina de Desarrollo de las Telecomunicaciones</w:t>
      </w:r>
    </w:p>
    <w:p w14:paraId="586F5D58" w14:textId="77777777" w:rsidR="00C52F9C" w:rsidRPr="00E17456" w:rsidRDefault="00C52F9C" w:rsidP="00C52F9C">
      <w:pPr>
        <w:rPr>
          <w:lang w:val="es-ES_tradnl"/>
        </w:rPr>
      </w:pPr>
      <w:r w:rsidRPr="00E17456">
        <w:rPr>
          <w:lang w:val="es-ES_tradnl"/>
        </w:rPr>
        <w:t>1</w:t>
      </w:r>
      <w:r w:rsidRPr="00E17456">
        <w:rPr>
          <w:lang w:val="es-ES_tradnl"/>
        </w:rPr>
        <w:tab/>
        <w:t>que sigan supervisando la labor de la Oficina de Desarrollo de las Telecomunicaciones (BDT) de conformidad con la Resolución 37 (Rev. Kigali, 2022), Reducción de la brecha digital, y la Resolución 71 (Rev. Kigali, 2022), catalizando esfuerzos colectivos concretos para acelerar la conectividad y movilizar recursos en las cuatro áreas de interés a través de la Coalición P2C y el modelo de asociación multipartita que ésta representa;</w:t>
      </w:r>
    </w:p>
    <w:p w14:paraId="435CCED6" w14:textId="77777777" w:rsidR="00C52F9C" w:rsidRPr="00E17456" w:rsidRDefault="00C52F9C" w:rsidP="00C52F9C">
      <w:pPr>
        <w:rPr>
          <w:lang w:val="es-ES_tradnl"/>
        </w:rPr>
      </w:pPr>
      <w:r w:rsidRPr="00E17456">
        <w:rPr>
          <w:lang w:val="es-ES_tradnl"/>
        </w:rPr>
        <w:t>2</w:t>
      </w:r>
      <w:r w:rsidRPr="00E17456">
        <w:rPr>
          <w:lang w:val="es-ES_tradnl"/>
        </w:rPr>
        <w:tab/>
        <w:t>que velen por que la BDT siga desempeñando un papel crucial en esta iniciativa, además de supervisar y hacer un seguimiento activo de los compromisos y obligaciones, informar periódicamente sobre el objetivo general de lograr la conectividad universal, y mantener activo el canal de comunicación entre las partes interesadas estratégicas</w:t>
      </w:r>
      <w:r w:rsidRPr="00E17456">
        <w:rPr>
          <w:rFonts w:ascii="Calibri" w:hAnsi="Calibri"/>
          <w:szCs w:val="24"/>
          <w:lang w:val="es-ES_tradnl"/>
        </w:rPr>
        <w:t>;</w:t>
      </w:r>
    </w:p>
    <w:p w14:paraId="5A77C7B9" w14:textId="77777777" w:rsidR="00C52F9C" w:rsidRPr="00E17456" w:rsidRDefault="00C52F9C" w:rsidP="00C52F9C">
      <w:pPr>
        <w:rPr>
          <w:lang w:val="es-ES_tradnl" w:eastAsia="zh-CN"/>
        </w:rPr>
      </w:pPr>
      <w:r w:rsidRPr="00E17456">
        <w:rPr>
          <w:lang w:val="es-ES_tradnl"/>
        </w:rPr>
        <w:t>3</w:t>
      </w:r>
      <w:r w:rsidRPr="00E17456">
        <w:rPr>
          <w:lang w:val="es-ES_tradnl"/>
        </w:rPr>
        <w:tab/>
        <w:t xml:space="preserve">que </w:t>
      </w:r>
      <w:r w:rsidRPr="00E17456">
        <w:rPr>
          <w:lang w:val="es-ES_tradnl" w:eastAsia="zh-CN"/>
        </w:rPr>
        <w:t>garanticen la adecuada asignación de los recursos, dentro de los límites presupuestarios, a las acciones mencionadas,</w:t>
      </w:r>
    </w:p>
    <w:p w14:paraId="4035F832" w14:textId="77777777" w:rsidR="00C52F9C" w:rsidRPr="00E17456" w:rsidRDefault="00C52F9C" w:rsidP="00C52F9C">
      <w:pPr>
        <w:pStyle w:val="Call"/>
        <w:rPr>
          <w:lang w:val="es-ES_tradnl"/>
        </w:rPr>
      </w:pPr>
      <w:r w:rsidRPr="00E17456">
        <w:rPr>
          <w:lang w:val="es-ES_tradnl"/>
        </w:rPr>
        <w:t>invita a las instituciones financieras, los organismos donantes y las entidades del sector privado internacionales</w:t>
      </w:r>
    </w:p>
    <w:p w14:paraId="717F76E5" w14:textId="77777777" w:rsidR="00C52F9C" w:rsidRPr="00E17456" w:rsidRDefault="00C52F9C" w:rsidP="00C52F9C">
      <w:pPr>
        <w:rPr>
          <w:lang w:val="es-ES_tradnl"/>
        </w:rPr>
      </w:pPr>
      <w:r w:rsidRPr="00E17456">
        <w:rPr>
          <w:lang w:val="es-ES_tradnl"/>
        </w:rPr>
        <w:t>a realizar, aplicar e informar sobre los compromisos y las promesas asumidos con la P2C para fomentar la conectividad efectiva y la transformación digital,</w:t>
      </w:r>
    </w:p>
    <w:p w14:paraId="42011C23" w14:textId="77777777" w:rsidR="00C52F9C" w:rsidRPr="00E17456" w:rsidRDefault="00C52F9C" w:rsidP="00C52F9C">
      <w:pPr>
        <w:pStyle w:val="Call"/>
        <w:rPr>
          <w:lang w:val="es-ES_tradnl"/>
        </w:rPr>
      </w:pPr>
      <w:r w:rsidRPr="00E17456">
        <w:rPr>
          <w:lang w:val="es-ES_tradnl"/>
        </w:rPr>
        <w:t>invita a los Estados Miembros y a los Miembros de Sector</w:t>
      </w:r>
    </w:p>
    <w:p w14:paraId="3FA148C0" w14:textId="77777777" w:rsidR="00C52F9C" w:rsidRPr="00E17456" w:rsidRDefault="00C52F9C" w:rsidP="00C52F9C">
      <w:pPr>
        <w:rPr>
          <w:lang w:val="es-ES_tradnl"/>
        </w:rPr>
      </w:pPr>
      <w:r w:rsidRPr="00E17456">
        <w:rPr>
          <w:lang w:val="es-ES_tradnl"/>
        </w:rPr>
        <w:t>1</w:t>
      </w:r>
      <w:r w:rsidRPr="00E17456">
        <w:rPr>
          <w:lang w:val="es-ES_tradnl"/>
        </w:rPr>
        <w:tab/>
        <w:t>a propiciar el progreso hacia la conectividad efectiva y la transformación digital, mediante la definición, aplicación y ampliación de compromisos y la movilización de nuevos recursos y asociaciones, en consonancia con los ODS, las Líneas de Acción de la CMSI y la Hoja de ruta del Secretario General de las Naciones Unidas para la cooperación digital;</w:t>
      </w:r>
    </w:p>
    <w:p w14:paraId="2970C604" w14:textId="77777777" w:rsidR="00C52F9C" w:rsidRDefault="00C52F9C" w:rsidP="00C52F9C">
      <w:pPr>
        <w:rPr>
          <w:lang w:val="es-ES_tradnl" w:eastAsia="zh-CN"/>
        </w:rPr>
      </w:pPr>
      <w:r w:rsidRPr="00E17456">
        <w:rPr>
          <w:lang w:val="es-ES_tradnl"/>
        </w:rPr>
        <w:t>2</w:t>
      </w:r>
      <w:r w:rsidRPr="00E17456">
        <w:rPr>
          <w:lang w:val="es-ES_tradnl"/>
        </w:rPr>
        <w:tab/>
        <w:t>a participar activamente en la presentación de informes y en el intercambio de experiencias y prácticas idóneas en la aplicación de las promesas y los compromisos para con P2C</w:t>
      </w:r>
      <w:r w:rsidRPr="00E17456">
        <w:rPr>
          <w:lang w:val="es-ES_tradnl" w:eastAsia="zh-CN"/>
        </w:rPr>
        <w:t>.</w:t>
      </w:r>
    </w:p>
    <w:p w14:paraId="6669603E" w14:textId="77777777" w:rsidR="00C52F9C" w:rsidRDefault="00C52F9C" w:rsidP="00C52F9C">
      <w:pPr>
        <w:rPr>
          <w:lang w:val="es-ES_tradnl" w:eastAsia="zh-CN"/>
        </w:rPr>
      </w:pPr>
    </w:p>
    <w:p w14:paraId="739E0DBA" w14:textId="77777777" w:rsidR="00C52F9C" w:rsidRDefault="00C52F9C" w:rsidP="00C52F9C">
      <w:pPr>
        <w:rPr>
          <w:lang w:val="es-ES_tradnl" w:eastAsia="zh-CN"/>
        </w:rPr>
      </w:pPr>
    </w:p>
    <w:p w14:paraId="1181854B" w14:textId="77777777" w:rsidR="00C52F9C" w:rsidRDefault="00C52F9C" w:rsidP="00C52F9C">
      <w:pPr>
        <w:rPr>
          <w:lang w:val="es-ES_tradnl" w:eastAsia="zh-CN"/>
        </w:rPr>
      </w:pPr>
    </w:p>
    <w:p w14:paraId="1C729B57" w14:textId="77777777" w:rsidR="00F16487" w:rsidRDefault="00F16487"/>
    <w:sectPr w:rsidR="00F16487" w:rsidSect="00C52F9C">
      <w:headerReference w:type="even" r:id="rId6"/>
      <w:headerReference w:type="default" r:id="rId7"/>
      <w:pgSz w:w="11906" w:h="16838" w:code="9"/>
      <w:pgMar w:top="1418" w:right="1134" w:bottom="1418" w:left="1134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FB5B" w14:textId="77777777" w:rsidR="00C52F9C" w:rsidRDefault="00C52F9C" w:rsidP="00C52F9C">
      <w:pPr>
        <w:spacing w:before="0"/>
      </w:pPr>
      <w:r>
        <w:separator/>
      </w:r>
    </w:p>
  </w:endnote>
  <w:endnote w:type="continuationSeparator" w:id="0">
    <w:p w14:paraId="7F840D86" w14:textId="77777777" w:rsidR="00C52F9C" w:rsidRDefault="00C52F9C" w:rsidP="00C52F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58EA" w14:textId="77777777" w:rsidR="00C52F9C" w:rsidRDefault="00C52F9C" w:rsidP="00C52F9C">
      <w:pPr>
        <w:spacing w:before="0"/>
      </w:pPr>
      <w:r>
        <w:separator/>
      </w:r>
    </w:p>
  </w:footnote>
  <w:footnote w:type="continuationSeparator" w:id="0">
    <w:p w14:paraId="6D11220C" w14:textId="77777777" w:rsidR="00C52F9C" w:rsidRDefault="00C52F9C" w:rsidP="00C52F9C">
      <w:pPr>
        <w:spacing w:before="0"/>
      </w:pPr>
      <w:r>
        <w:continuationSeparator/>
      </w:r>
    </w:p>
  </w:footnote>
  <w:footnote w:id="1">
    <w:p w14:paraId="30E3574D" w14:textId="77777777" w:rsidR="00C52F9C" w:rsidRPr="00EF1565" w:rsidRDefault="00C52F9C" w:rsidP="00C52F9C">
      <w:pPr>
        <w:pStyle w:val="FootnoteText"/>
        <w:rPr>
          <w:lang w:val="es-ES"/>
        </w:rPr>
      </w:pPr>
      <w:r w:rsidRPr="00E67D13">
        <w:rPr>
          <w:rStyle w:val="FootnoteReference"/>
          <w:lang w:val="fr-FR"/>
        </w:rPr>
        <w:t>1</w:t>
      </w:r>
      <w:r w:rsidRPr="00E67D13">
        <w:rPr>
          <w:lang w:val="fr-FR"/>
        </w:rPr>
        <w:t xml:space="preserve"> </w:t>
      </w:r>
      <w:r>
        <w:rPr>
          <w:lang w:val="es-ES"/>
        </w:rPr>
        <w:tab/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1578640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6FBAB9" w14:textId="1DFE4D98" w:rsidR="00C52F9C" w:rsidRPr="00C52F9C" w:rsidRDefault="00C52F9C" w:rsidP="00C52F9C">
        <w:pPr>
          <w:tabs>
            <w:tab w:val="left" w:pos="284"/>
            <w:tab w:val="left" w:pos="851"/>
          </w:tabs>
          <w:spacing w:before="0" w:after="120"/>
          <w:jc w:val="left"/>
          <w:rPr>
            <w:rFonts w:ascii="Calibri" w:hAnsi="Calibri"/>
            <w:sz w:val="16"/>
            <w:szCs w:val="16"/>
            <w:lang w:val="fr-FR"/>
          </w:rPr>
        </w:pPr>
        <w:r w:rsidRPr="00487B00">
          <w:rPr>
            <w:rFonts w:ascii="Calibri" w:hAnsi="Calibri"/>
            <w:sz w:val="16"/>
            <w:szCs w:val="16"/>
          </w:rPr>
          <w:fldChar w:fldCharType="begin"/>
        </w:r>
        <w:r w:rsidRPr="00487B00">
          <w:rPr>
            <w:rFonts w:ascii="Calibri" w:hAnsi="Calibri"/>
            <w:sz w:val="16"/>
            <w:szCs w:val="16"/>
            <w:lang w:val="fr-FR"/>
          </w:rPr>
          <w:instrText xml:space="preserve"> PAGE   \* MERGEFORMAT </w:instrText>
        </w:r>
        <w:r w:rsidRPr="00487B00">
          <w:rPr>
            <w:rFonts w:ascii="Calibri" w:hAnsi="Calibri"/>
            <w:sz w:val="16"/>
            <w:szCs w:val="16"/>
          </w:rPr>
          <w:fldChar w:fldCharType="separate"/>
        </w:r>
        <w:r>
          <w:rPr>
            <w:rFonts w:ascii="Calibri" w:hAnsi="Calibri"/>
            <w:sz w:val="16"/>
            <w:szCs w:val="16"/>
          </w:rPr>
          <w:t>2</w:t>
        </w:r>
        <w:r w:rsidRPr="00487B00">
          <w:rPr>
            <w:rFonts w:ascii="Calibri" w:hAnsi="Calibri"/>
            <w:noProof/>
            <w:sz w:val="16"/>
            <w:szCs w:val="16"/>
          </w:rPr>
          <w:fldChar w:fldCharType="end"/>
        </w:r>
        <w:r w:rsidRPr="00487B00">
          <w:rPr>
            <w:rFonts w:ascii="Calibri" w:hAnsi="Calibri"/>
            <w:sz w:val="16"/>
            <w:szCs w:val="16"/>
            <w:lang w:val="fr-FR"/>
          </w:rPr>
          <w:tab/>
          <w:t xml:space="preserve">Informe final de la CMDT-22 – Parte IV – Resolución </w:t>
        </w:r>
        <w:r>
          <w:rPr>
            <w:rFonts w:ascii="Calibri" w:hAnsi="Calibri"/>
            <w:sz w:val="16"/>
            <w:szCs w:val="16"/>
            <w:lang w:val="fr-FR"/>
          </w:rPr>
          <w:t>8</w:t>
        </w:r>
        <w:r>
          <w:rPr>
            <w:rFonts w:ascii="Calibri" w:hAnsi="Calibri"/>
            <w:sz w:val="16"/>
            <w:szCs w:val="16"/>
            <w:lang w:val="fr-FR"/>
          </w:rPr>
          <w:t>8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10661526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F7028F" w14:textId="522A8574" w:rsidR="00C52F9C" w:rsidRPr="00C52F9C" w:rsidRDefault="00C52F9C" w:rsidP="00C52F9C">
        <w:pPr>
          <w:tabs>
            <w:tab w:val="left" w:pos="3828"/>
          </w:tabs>
          <w:spacing w:before="0" w:after="120"/>
          <w:jc w:val="right"/>
          <w:rPr>
            <w:rFonts w:ascii="Calibri" w:hAnsi="Calibri"/>
            <w:sz w:val="16"/>
            <w:szCs w:val="16"/>
            <w:lang w:val="fr-FR"/>
          </w:rPr>
        </w:pPr>
        <w:r w:rsidRPr="001F35AD">
          <w:rPr>
            <w:rFonts w:ascii="Calibri" w:hAnsi="Calibri"/>
            <w:sz w:val="16"/>
            <w:szCs w:val="16"/>
            <w:lang w:val="fr-FR"/>
          </w:rPr>
          <w:t xml:space="preserve">Informe final de la CMDT-22 – Parte IV – Resolución </w:t>
        </w:r>
        <w:r>
          <w:rPr>
            <w:rFonts w:ascii="Calibri" w:hAnsi="Calibri"/>
            <w:sz w:val="16"/>
            <w:szCs w:val="16"/>
            <w:lang w:val="fr-FR"/>
          </w:rPr>
          <w:t>8</w:t>
        </w:r>
        <w:r>
          <w:rPr>
            <w:rFonts w:ascii="Calibri" w:hAnsi="Calibri"/>
            <w:sz w:val="16"/>
            <w:szCs w:val="16"/>
            <w:lang w:val="fr-FR"/>
          </w:rPr>
          <w:t>8</w:t>
        </w:r>
        <w:r w:rsidRPr="001F35AD">
          <w:rPr>
            <w:rFonts w:ascii="Calibri" w:hAnsi="Calibri"/>
            <w:sz w:val="16"/>
            <w:szCs w:val="16"/>
            <w:lang w:val="fr-FR"/>
          </w:rPr>
          <w:tab/>
        </w:r>
        <w:r w:rsidRPr="001F35AD">
          <w:rPr>
            <w:rFonts w:ascii="Calibri" w:hAnsi="Calibri"/>
            <w:sz w:val="16"/>
            <w:szCs w:val="16"/>
          </w:rPr>
          <w:fldChar w:fldCharType="begin"/>
        </w:r>
        <w:r w:rsidRPr="001F35AD">
          <w:rPr>
            <w:rFonts w:ascii="Calibri" w:hAnsi="Calibri"/>
            <w:sz w:val="16"/>
            <w:szCs w:val="16"/>
            <w:lang w:val="fr-FR"/>
          </w:rPr>
          <w:instrText xml:space="preserve"> PAGE   \* MERGEFORMAT </w:instrText>
        </w:r>
        <w:r w:rsidRPr="001F35AD">
          <w:rPr>
            <w:rFonts w:ascii="Calibri" w:hAnsi="Calibri"/>
            <w:sz w:val="16"/>
            <w:szCs w:val="16"/>
          </w:rPr>
          <w:fldChar w:fldCharType="separate"/>
        </w:r>
        <w:r>
          <w:rPr>
            <w:rFonts w:ascii="Calibri" w:hAnsi="Calibri"/>
            <w:sz w:val="16"/>
            <w:szCs w:val="16"/>
          </w:rPr>
          <w:t>1</w:t>
        </w:r>
        <w:r w:rsidRPr="001F35AD">
          <w:rPr>
            <w:rFonts w:ascii="Calibri" w:hAnsi="Calibri"/>
            <w:noProof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9C"/>
    <w:rsid w:val="00400A99"/>
    <w:rsid w:val="0045258F"/>
    <w:rsid w:val="004A0B3D"/>
    <w:rsid w:val="0051703C"/>
    <w:rsid w:val="005C0E4B"/>
    <w:rsid w:val="00600EDA"/>
    <w:rsid w:val="007359FB"/>
    <w:rsid w:val="0076311C"/>
    <w:rsid w:val="008630CC"/>
    <w:rsid w:val="00950AD1"/>
    <w:rsid w:val="00C52F9C"/>
    <w:rsid w:val="00DC1DAE"/>
    <w:rsid w:val="00F06AC3"/>
    <w:rsid w:val="00F16487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1940"/>
  <w15:chartTrackingRefBased/>
  <w15:docId w15:val="{00D627E6-FAD2-45BB-96FF-C0BA34BF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F9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C52F9C"/>
    <w:pPr>
      <w:keepNext/>
      <w:keepLines/>
      <w:spacing w:before="160"/>
      <w:ind w:left="1134"/>
    </w:pPr>
    <w:rPr>
      <w:i/>
    </w:rPr>
  </w:style>
  <w:style w:type="character" w:styleId="FootnoteReference">
    <w:name w:val="footnote reference"/>
    <w:aliases w:val="Appel note de bas de p,Footnote Reference/,Footnote symbol,Ref,de nota al pie,Footnote,Style 12,(NECG) Footnote Reference,FR,Style 13,Style 124,o,fr,Style 3,Voetnootverwijzing,Times 10 Point,Exposant 3 Point,footnote ref,Italic,Style"/>
    <w:basedOn w:val="DefaultParagraphFont"/>
    <w:qFormat/>
    <w:rsid w:val="00C52F9C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C52F9C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C52F9C"/>
    <w:rPr>
      <w:rFonts w:eastAsia="Times New Roman" w:cs="Times New Roman"/>
      <w:szCs w:val="20"/>
      <w:lang w:val="en-GB"/>
    </w:rPr>
  </w:style>
  <w:style w:type="paragraph" w:customStyle="1" w:styleId="Normalaftertitle">
    <w:name w:val="Normal after title"/>
    <w:basedOn w:val="Normal"/>
    <w:next w:val="Normal"/>
    <w:link w:val="NormalaftertitleChar"/>
    <w:rsid w:val="00C52F9C"/>
    <w:pPr>
      <w:spacing w:before="280"/>
    </w:pPr>
  </w:style>
  <w:style w:type="paragraph" w:customStyle="1" w:styleId="ResNo">
    <w:name w:val="Res_No"/>
    <w:basedOn w:val="Heading2"/>
    <w:next w:val="Normal"/>
    <w:link w:val="ResNoChar"/>
    <w:rsid w:val="00C52F9C"/>
    <w:pPr>
      <w:spacing w:before="200"/>
      <w:ind w:left="1134" w:hanging="1134"/>
      <w:jc w:val="center"/>
      <w:outlineLvl w:val="0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Normal"/>
    <w:next w:val="Normal"/>
    <w:link w:val="RestitleChar"/>
    <w:rsid w:val="00C52F9C"/>
    <w:pPr>
      <w:keepNext/>
      <w:keepLines/>
      <w:spacing w:before="240"/>
      <w:jc w:val="center"/>
      <w:outlineLvl w:val="0"/>
    </w:pPr>
    <w:rPr>
      <w:b/>
      <w:sz w:val="28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C52F9C"/>
    <w:rPr>
      <w:rFonts w:eastAsia="Times New Roman" w:cs="Times New Roman"/>
      <w:sz w:val="24"/>
      <w:szCs w:val="20"/>
      <w:lang w:val="en-GB"/>
    </w:rPr>
  </w:style>
  <w:style w:type="character" w:customStyle="1" w:styleId="CallChar">
    <w:name w:val="Call Char"/>
    <w:basedOn w:val="DefaultParagraphFont"/>
    <w:link w:val="Call"/>
    <w:locked/>
    <w:rsid w:val="00C52F9C"/>
    <w:rPr>
      <w:rFonts w:eastAsia="Times New Roman" w:cs="Times New Roman"/>
      <w:i/>
      <w:sz w:val="24"/>
      <w:szCs w:val="20"/>
      <w:lang w:val="en-GB"/>
    </w:rPr>
  </w:style>
  <w:style w:type="character" w:customStyle="1" w:styleId="RestitleChar">
    <w:name w:val="Res_title Char"/>
    <w:basedOn w:val="DefaultParagraphFont"/>
    <w:link w:val="Restitle"/>
    <w:rsid w:val="00C52F9C"/>
    <w:rPr>
      <w:rFonts w:eastAsia="Times New Roman" w:cs="Times New Roman"/>
      <w:b/>
      <w:sz w:val="28"/>
      <w:szCs w:val="20"/>
      <w:lang w:val="en-GB"/>
    </w:rPr>
  </w:style>
  <w:style w:type="character" w:customStyle="1" w:styleId="ResNoChar">
    <w:name w:val="Res_No Char"/>
    <w:basedOn w:val="DefaultParagraphFont"/>
    <w:link w:val="ResNo"/>
    <w:rsid w:val="00C52F9C"/>
    <w:rPr>
      <w:rFonts w:eastAsia="Times New Roman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F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2F9C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52F9C"/>
    <w:rPr>
      <w:rFonts w:eastAsia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2F9C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52F9C"/>
    <w:rPr>
      <w:rFonts w:eastAsia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88 (Kigali, 2022)</dc:title>
  <dc:subject/>
  <dc:creator>Saez Grau, Ricardo</dc:creator>
  <cp:keywords/>
  <dc:description/>
  <cp:lastModifiedBy>Saez Grau, Ricardo</cp:lastModifiedBy>
  <cp:revision>1</cp:revision>
  <dcterms:created xsi:type="dcterms:W3CDTF">2023-10-17T11:52:00Z</dcterms:created>
  <dcterms:modified xsi:type="dcterms:W3CDTF">2023-10-17T12:09:00Z</dcterms:modified>
</cp:coreProperties>
</file>