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4125B" w14:textId="77777777" w:rsidR="00C0416F" w:rsidRPr="002B2BF7" w:rsidRDefault="00C0416F" w:rsidP="00C0416F">
      <w:pPr>
        <w:pStyle w:val="ResNo"/>
        <w:rPr>
          <w:lang w:val="ru-RU"/>
        </w:rPr>
      </w:pPr>
      <w:bookmarkStart w:id="0" w:name="_Toc116554262"/>
      <w:r w:rsidRPr="002B2BF7">
        <w:rPr>
          <w:lang w:val="ru-RU"/>
        </w:rPr>
        <w:t xml:space="preserve">РЕЗОЛЮЦИЯ </w:t>
      </w:r>
      <w:r w:rsidRPr="00E3202A">
        <w:rPr>
          <w:rStyle w:val="href"/>
          <w:lang w:val="ru-RU"/>
        </w:rPr>
        <w:t>88</w:t>
      </w:r>
      <w:r w:rsidRPr="002B2BF7">
        <w:rPr>
          <w:lang w:val="ru-RU"/>
        </w:rPr>
        <w:t xml:space="preserve"> (Кигали, 2022 г.)</w:t>
      </w:r>
      <w:bookmarkEnd w:id="0"/>
    </w:p>
    <w:p w14:paraId="4C40DF69" w14:textId="77777777" w:rsidR="00C0416F" w:rsidRPr="002B2BF7" w:rsidRDefault="00C0416F" w:rsidP="00C0416F">
      <w:pPr>
        <w:pStyle w:val="Restitle"/>
        <w:rPr>
          <w:lang w:val="ru-RU"/>
        </w:rPr>
      </w:pPr>
      <w:bookmarkStart w:id="1" w:name="_Toc116554263"/>
      <w:r w:rsidRPr="002B2BF7">
        <w:rPr>
          <w:lang w:val="ru-RU"/>
        </w:rPr>
        <w:t xml:space="preserve">Цифровая коалиция МСЭ </w:t>
      </w:r>
      <w:r w:rsidRPr="002B2BF7">
        <w:rPr>
          <w:b w:val="0"/>
          <w:bCs/>
          <w:lang w:val="ru-RU"/>
        </w:rPr>
        <w:t>"</w:t>
      </w:r>
      <w:r w:rsidRPr="002B2BF7">
        <w:rPr>
          <w:lang w:val="ru-RU"/>
        </w:rPr>
        <w:t>Партнерство для подключения</w:t>
      </w:r>
      <w:r w:rsidRPr="002B2BF7">
        <w:rPr>
          <w:b w:val="0"/>
          <w:bCs/>
          <w:lang w:val="ru-RU"/>
        </w:rPr>
        <w:t>"</w:t>
      </w:r>
      <w:bookmarkEnd w:id="1"/>
    </w:p>
    <w:p w14:paraId="6FC79B61" w14:textId="77777777" w:rsidR="00C0416F" w:rsidRPr="002B2BF7" w:rsidRDefault="00C0416F" w:rsidP="00C0416F">
      <w:pPr>
        <w:pStyle w:val="Normalaftertitle"/>
        <w:rPr>
          <w:b/>
          <w:lang w:val="ru-RU"/>
        </w:rPr>
      </w:pPr>
      <w:r w:rsidRPr="002B2BF7">
        <w:rPr>
          <w:lang w:val="ru-RU"/>
        </w:rPr>
        <w:t>Всемирная конференция по развитию электросвязи (Кигали, 2022 г.)</w:t>
      </w:r>
    </w:p>
    <w:p w14:paraId="57A0C914" w14:textId="77777777" w:rsidR="00C0416F" w:rsidRPr="002B2BF7" w:rsidRDefault="00C0416F" w:rsidP="00C0416F">
      <w:pPr>
        <w:pStyle w:val="Call"/>
        <w:rPr>
          <w:lang w:val="ru-RU"/>
        </w:rPr>
      </w:pPr>
      <w:r w:rsidRPr="002B2BF7">
        <w:rPr>
          <w:lang w:val="ru-RU"/>
        </w:rPr>
        <w:t>напоминая</w:t>
      </w:r>
    </w:p>
    <w:p w14:paraId="4E4EF362" w14:textId="77777777" w:rsidR="00C0416F" w:rsidRPr="002B2BF7" w:rsidRDefault="00C0416F" w:rsidP="00C0416F">
      <w:pPr>
        <w:rPr>
          <w:lang w:val="ru-RU"/>
        </w:rPr>
      </w:pPr>
      <w:r w:rsidRPr="002B2BF7">
        <w:rPr>
          <w:i/>
          <w:lang w:val="ru-RU"/>
        </w:rPr>
        <w:t>а)</w:t>
      </w:r>
      <w:r w:rsidRPr="002B2BF7">
        <w:rPr>
          <w:lang w:val="ru-RU"/>
        </w:rPr>
        <w:tab/>
        <w:t>о резолюции 70/1 Генеральной Ассамблеи Организации Объединенных Наций о преобразовании нашего мира: Повестка дня в области устойчивого развития на период до 2030 года;</w:t>
      </w:r>
    </w:p>
    <w:p w14:paraId="45DBDEC0" w14:textId="77777777" w:rsidR="00C0416F" w:rsidRPr="002B2BF7" w:rsidRDefault="00C0416F" w:rsidP="00C0416F">
      <w:pPr>
        <w:rPr>
          <w:lang w:val="ru-RU"/>
        </w:rPr>
      </w:pPr>
      <w:r w:rsidRPr="002B2BF7">
        <w:rPr>
          <w:i/>
          <w:lang w:val="ru-RU"/>
        </w:rPr>
        <w:t>b)</w:t>
      </w:r>
      <w:r w:rsidRPr="002B2BF7">
        <w:rPr>
          <w:lang w:val="ru-RU"/>
        </w:rPr>
        <w:tab/>
        <w:t>о Резолюции 135 (Пересм. Дубай, 2018 г.) Полномочной конференции о роли МСЭ в надежном и устойчивом развитии электросвязи/информационно-коммуникационных технологий (ИКТ), в оказании технической помощи и консультаций развивающимся странам</w:t>
      </w:r>
      <w:r w:rsidRPr="002B2BF7">
        <w:rPr>
          <w:rStyle w:val="FootnoteReference"/>
          <w:lang w:val="ru-RU"/>
        </w:rPr>
        <w:footnoteReference w:id="1"/>
      </w:r>
      <w:r w:rsidRPr="002B2BF7">
        <w:rPr>
          <w:lang w:val="ru-RU"/>
        </w:rPr>
        <w:t xml:space="preserve"> и в реализации соответствующих национальных, региональных и межрегиональных проектов;</w:t>
      </w:r>
    </w:p>
    <w:p w14:paraId="1EFD5806" w14:textId="77777777" w:rsidR="00C0416F" w:rsidRPr="002B2BF7" w:rsidRDefault="00C0416F" w:rsidP="00C0416F">
      <w:pPr>
        <w:rPr>
          <w:lang w:val="ru-RU"/>
        </w:rPr>
      </w:pPr>
      <w:r w:rsidRPr="002B2BF7">
        <w:rPr>
          <w:i/>
          <w:lang w:val="ru-RU"/>
        </w:rPr>
        <w:t>c)</w:t>
      </w:r>
      <w:r w:rsidRPr="002B2BF7">
        <w:rPr>
          <w:lang w:val="ru-RU"/>
        </w:rPr>
        <w:tab/>
        <w:t>о Резолюции 139 (Пересм. Дубай, 2018 г.) Полномочной конференции об использовании электросвязи/ИКТ для преодоления цифрового разрыва и построения открытого для всех информационного общества;</w:t>
      </w:r>
    </w:p>
    <w:p w14:paraId="7826A3B6" w14:textId="77777777" w:rsidR="00C0416F" w:rsidRPr="002B2BF7" w:rsidRDefault="00C0416F" w:rsidP="00C0416F">
      <w:pPr>
        <w:rPr>
          <w:lang w:val="ru-RU"/>
        </w:rPr>
      </w:pPr>
      <w:r w:rsidRPr="002B2BF7">
        <w:rPr>
          <w:i/>
          <w:lang w:val="ru-RU"/>
        </w:rPr>
        <w:t>d)</w:t>
      </w:r>
      <w:r w:rsidRPr="002B2BF7">
        <w:rPr>
          <w:lang w:val="ru-RU"/>
        </w:rPr>
        <w:tab/>
        <w:t>о Резолюции 140 (Пересм. Дубай, 2018 г.) Полномочной конференции о роли МСЭ в выполнении решений Всемирной встречи на высшем уровне по вопросам информационного обществ (ВВУИО) и Повестки дня в области устойчивого развития на период до 2030 года;</w:t>
      </w:r>
    </w:p>
    <w:p w14:paraId="7D636C88" w14:textId="77777777" w:rsidR="00C0416F" w:rsidRPr="002B2BF7" w:rsidRDefault="00C0416F" w:rsidP="00C0416F">
      <w:pPr>
        <w:rPr>
          <w:lang w:val="ru-RU"/>
        </w:rPr>
      </w:pPr>
      <w:r w:rsidRPr="002B2BF7">
        <w:rPr>
          <w:i/>
          <w:lang w:val="ru-RU"/>
        </w:rPr>
        <w:t>e)</w:t>
      </w:r>
      <w:r w:rsidRPr="002B2BF7">
        <w:rPr>
          <w:lang w:val="ru-RU"/>
        </w:rPr>
        <w:tab/>
        <w:t>о Резолюции 200 (Пересм. Дубай, 2018 г.) Полномочной конференции о повестке дня "Соединим к 2030 году" в области глобального развития электросвязи/ИКТ, включая широкополосную связь, для обеспечения устойчивого развития;</w:t>
      </w:r>
    </w:p>
    <w:p w14:paraId="6A47A181" w14:textId="77777777" w:rsidR="00C0416F" w:rsidRPr="002B2BF7" w:rsidRDefault="00C0416F" w:rsidP="00C0416F">
      <w:pPr>
        <w:rPr>
          <w:lang w:val="ru-RU"/>
        </w:rPr>
      </w:pPr>
      <w:r w:rsidRPr="002B2BF7">
        <w:rPr>
          <w:i/>
          <w:lang w:val="ru-RU"/>
        </w:rPr>
        <w:t>f)</w:t>
      </w:r>
      <w:r w:rsidRPr="002B2BF7">
        <w:rPr>
          <w:lang w:val="ru-RU"/>
        </w:rPr>
        <w:tab/>
        <w:t>о Резолюции 16 (Пересм. Буэнос-Айрес, 2017 г.) Всемирной конференции по развитию электросвязи о специальных действиях и мерах для наименее развитых стран (НРС), развивающихся стран, не имеющих выхода к морю (ЛЛДС), малых островных развивающихся государств (СИДС) и стран с переходной экономикой;</w:t>
      </w:r>
    </w:p>
    <w:p w14:paraId="590BB4B1" w14:textId="77777777" w:rsidR="00C0416F" w:rsidRPr="002B2BF7" w:rsidRDefault="00C0416F" w:rsidP="00C0416F">
      <w:pPr>
        <w:rPr>
          <w:i/>
          <w:lang w:val="ru-RU"/>
        </w:rPr>
      </w:pPr>
      <w:r w:rsidRPr="002B2BF7">
        <w:rPr>
          <w:i/>
          <w:lang w:val="ru-RU"/>
        </w:rPr>
        <w:t>g)</w:t>
      </w:r>
      <w:r w:rsidRPr="002B2BF7">
        <w:rPr>
          <w:lang w:val="ru-RU"/>
        </w:rPr>
        <w:tab/>
        <w:t>о Резолюции 37 (Пересм. Кигали, 2022 г.) настоящей Конференции о преодолении цифрового разрыва;</w:t>
      </w:r>
      <w:r w:rsidRPr="002B2BF7">
        <w:rPr>
          <w:i/>
          <w:lang w:val="ru-RU"/>
        </w:rPr>
        <w:br w:type="page"/>
      </w:r>
    </w:p>
    <w:p w14:paraId="311FDA8B" w14:textId="77777777" w:rsidR="00C0416F" w:rsidRPr="002B2BF7" w:rsidRDefault="00C0416F" w:rsidP="00C0416F">
      <w:pPr>
        <w:rPr>
          <w:lang w:val="ru-RU"/>
        </w:rPr>
      </w:pPr>
      <w:r w:rsidRPr="002B2BF7">
        <w:rPr>
          <w:i/>
          <w:lang w:val="ru-RU"/>
        </w:rPr>
        <w:lastRenderedPageBreak/>
        <w:t>h)</w:t>
      </w:r>
      <w:r w:rsidRPr="002B2BF7">
        <w:rPr>
          <w:lang w:val="ru-RU"/>
        </w:rPr>
        <w:tab/>
        <w:t>о Резолюции 71 (Пересм. Кигали, 2022 г.) настоящей Конференции об укреплении сотрудничества между Государствами-Членами, Членами Сектора, Ассоциированными членами и Академическими организациями − Членами Сектора развития электросвязи МСЭ и изменяющейся роли частного сектора в Секторе развития электросвязи МСЭ,</w:t>
      </w:r>
    </w:p>
    <w:p w14:paraId="2E0FE415" w14:textId="77777777" w:rsidR="00C0416F" w:rsidRPr="002B2BF7" w:rsidRDefault="00C0416F" w:rsidP="00C0416F">
      <w:pPr>
        <w:pStyle w:val="Call"/>
        <w:rPr>
          <w:lang w:val="ru-RU"/>
        </w:rPr>
      </w:pPr>
      <w:r w:rsidRPr="002B2BF7">
        <w:rPr>
          <w:lang w:val="ru-RU"/>
        </w:rPr>
        <w:t>учитывая</w:t>
      </w:r>
      <w:r w:rsidRPr="002B2BF7">
        <w:rPr>
          <w:i w:val="0"/>
          <w:iCs/>
          <w:lang w:val="ru-RU"/>
        </w:rPr>
        <w:t>,</w:t>
      </w:r>
    </w:p>
    <w:p w14:paraId="32ADCE73" w14:textId="77777777" w:rsidR="00C0416F" w:rsidRPr="002B2BF7" w:rsidRDefault="00C0416F" w:rsidP="00C0416F">
      <w:pPr>
        <w:rPr>
          <w:rFonts w:ascii="Segoe UI" w:hAnsi="Segoe UI" w:cs="Segoe UI"/>
          <w:color w:val="000000"/>
          <w:sz w:val="20"/>
          <w:lang w:val="ru-RU"/>
        </w:rPr>
      </w:pPr>
      <w:r w:rsidRPr="002B2BF7">
        <w:rPr>
          <w:i/>
          <w:lang w:val="ru-RU"/>
        </w:rPr>
        <w:t>a)</w:t>
      </w:r>
      <w:r w:rsidRPr="002B2BF7">
        <w:rPr>
          <w:i/>
          <w:lang w:val="ru-RU"/>
        </w:rPr>
        <w:tab/>
      </w:r>
      <w:r w:rsidRPr="002B2BF7">
        <w:rPr>
          <w:lang w:val="ru-RU"/>
        </w:rPr>
        <w:t>что в то время, когда ИКТ широко признаны основой современной цифровой экономики и обладают потенциалом для ускорения прогресса в достижении Целей в области устойчивого развития (ЦУР), в 2022 году 2,9 млрд. человек все еще не имеют какого бы то ни было подключения к интернету и еще сотни миллионов не имеют приемлемого в ценовом отношении, доступного и надежного подключения, которое могло бы существенно изменить их жизнь</w:t>
      </w:r>
      <w:r w:rsidRPr="002B2BF7">
        <w:rPr>
          <w:rFonts w:ascii="Segoe UI" w:hAnsi="Segoe UI" w:cs="Segoe UI"/>
          <w:color w:val="000000"/>
          <w:sz w:val="20"/>
          <w:lang w:val="ru-RU"/>
        </w:rPr>
        <w:t>;</w:t>
      </w:r>
    </w:p>
    <w:p w14:paraId="50D5DCEE" w14:textId="77777777" w:rsidR="00C0416F" w:rsidRPr="002B2BF7" w:rsidRDefault="00C0416F" w:rsidP="00C0416F">
      <w:pPr>
        <w:rPr>
          <w:lang w:val="ru-RU"/>
        </w:rPr>
      </w:pPr>
      <w:r w:rsidRPr="002B2BF7">
        <w:rPr>
          <w:i/>
          <w:lang w:val="ru-RU"/>
        </w:rPr>
        <w:t>b)</w:t>
      </w:r>
      <w:r w:rsidRPr="002B2BF7">
        <w:rPr>
          <w:i/>
          <w:lang w:val="ru-RU"/>
        </w:rPr>
        <w:tab/>
      </w:r>
      <w:r w:rsidRPr="002B2BF7">
        <w:rPr>
          <w:lang w:val="ru-RU"/>
        </w:rPr>
        <w:t>что пандемия коронавирусной болезни (COVID-19) показала, что доступ к интернету и ИКТ имеет первостепенное значение и что доступ, внедрение и создание стоимости с помощью цифровых экосистем имеют основополагающее значение для людей в плане работы, учебы, торговли, общения и развития цифровой экономики;</w:t>
      </w:r>
    </w:p>
    <w:p w14:paraId="3789776B" w14:textId="77777777" w:rsidR="00C0416F" w:rsidRPr="002B2BF7" w:rsidRDefault="00C0416F" w:rsidP="00C0416F">
      <w:pPr>
        <w:rPr>
          <w:lang w:val="ru-RU"/>
        </w:rPr>
      </w:pPr>
      <w:r w:rsidRPr="002B2BF7">
        <w:rPr>
          <w:i/>
          <w:lang w:val="ru-RU"/>
        </w:rPr>
        <w:t>c)</w:t>
      </w:r>
      <w:r w:rsidRPr="002B2BF7">
        <w:rPr>
          <w:i/>
          <w:lang w:val="ru-RU"/>
        </w:rPr>
        <w:tab/>
      </w:r>
      <w:r w:rsidRPr="002B2BF7">
        <w:rPr>
          <w:lang w:val="ru-RU"/>
        </w:rPr>
        <w:t>важность привлечения всех заинтересованных сторон для мобилизации ресурсов, партнерств и обязательств в целях содействия обеспечению реальной возможности установления соединений и цифровой трансформации в наиболее труднодоступных для подключения сообществах,</w:t>
      </w:r>
    </w:p>
    <w:p w14:paraId="2FB71F5C" w14:textId="77777777" w:rsidR="00C0416F" w:rsidRPr="002B2BF7" w:rsidRDefault="00C0416F" w:rsidP="00C0416F">
      <w:pPr>
        <w:pStyle w:val="Call"/>
        <w:rPr>
          <w:lang w:val="ru-RU"/>
        </w:rPr>
      </w:pPr>
      <w:r w:rsidRPr="002B2BF7">
        <w:rPr>
          <w:lang w:val="ru-RU"/>
        </w:rPr>
        <w:t>отмечая</w:t>
      </w:r>
    </w:p>
    <w:p w14:paraId="1F3ADDF2" w14:textId="77777777" w:rsidR="00C0416F" w:rsidRPr="002B2BF7" w:rsidRDefault="00C0416F" w:rsidP="00C0416F">
      <w:pPr>
        <w:rPr>
          <w:lang w:val="ru-RU"/>
        </w:rPr>
      </w:pPr>
      <w:r w:rsidRPr="002B2BF7">
        <w:rPr>
          <w:i/>
          <w:lang w:val="ru-RU"/>
        </w:rPr>
        <w:t>a)</w:t>
      </w:r>
      <w:r w:rsidRPr="002B2BF7">
        <w:rPr>
          <w:lang w:val="ru-RU"/>
        </w:rPr>
        <w:tab/>
        <w:t>Цифровую коалицию "Партнерство для подключения" (Partner2Connect, P2C) – альянс с участием многих заинтересованных сторон, сформированный МСЭ в тесном сотрудничестве с Канцелярией Посланника Генерального секретаря Организации Объединенных Наций по вопросам технологий и в соответствии с Дорожной картой Генерального секретаря Организации Объединенных Наций по цифровому сотрудничеству в целях содействия обеспечению реальной возможности установления соединений и цифровой трансформации во всем мире при уделении основного внимания в том числе наиболее труднодоступным для подключения сообществам в НРС, ЛЛДС и СИДС;</w:t>
      </w:r>
    </w:p>
    <w:p w14:paraId="3061585E" w14:textId="77777777" w:rsidR="00C0416F" w:rsidRPr="002B2BF7" w:rsidRDefault="00C0416F" w:rsidP="00C0416F">
      <w:pPr>
        <w:rPr>
          <w:i/>
          <w:lang w:val="ru-RU"/>
        </w:rPr>
      </w:pPr>
      <w:r w:rsidRPr="002B2BF7">
        <w:rPr>
          <w:i/>
          <w:lang w:val="ru-RU"/>
        </w:rPr>
        <w:t>b)</w:t>
      </w:r>
      <w:r w:rsidRPr="002B2BF7">
        <w:rPr>
          <w:lang w:val="ru-RU"/>
        </w:rPr>
        <w:tab/>
      </w:r>
      <w:r w:rsidRPr="002B2BF7">
        <w:rPr>
          <w:iCs/>
          <w:lang w:val="ru-RU"/>
        </w:rPr>
        <w:t xml:space="preserve">Рамочную программу действий </w:t>
      </w:r>
      <w:r w:rsidRPr="002B2BF7">
        <w:rPr>
          <w:lang w:val="ru-RU"/>
        </w:rPr>
        <w:t>P2C</w:t>
      </w:r>
      <w:r w:rsidRPr="002B2BF7">
        <w:rPr>
          <w:iCs/>
          <w:lang w:val="ru-RU"/>
        </w:rPr>
        <w:t>, разработанную в ходе консультативного процесса с участием многих заинтересованных сторон в соответствии с Направлениями деятельности ВВУИО и ЦУР и основанную на четырех приоритетных направлениях деятельности – доступ, внедрение, создание стоимости и ускорение инвестиций</w:t>
      </w:r>
      <w:r w:rsidRPr="002B2BF7">
        <w:rPr>
          <w:lang w:val="ru-RU"/>
        </w:rPr>
        <w:t>,</w:t>
      </w:r>
      <w:r w:rsidRPr="002B2BF7">
        <w:rPr>
          <w:lang w:val="ru-RU"/>
        </w:rPr>
        <w:br w:type="page"/>
      </w:r>
    </w:p>
    <w:p w14:paraId="2187E49E" w14:textId="77777777" w:rsidR="00C0416F" w:rsidRPr="002B2BF7" w:rsidRDefault="00C0416F" w:rsidP="00C0416F">
      <w:pPr>
        <w:pStyle w:val="Call"/>
        <w:rPr>
          <w:lang w:val="ru-RU"/>
        </w:rPr>
      </w:pPr>
      <w:r w:rsidRPr="002B2BF7">
        <w:rPr>
          <w:lang w:val="ru-RU"/>
        </w:rPr>
        <w:lastRenderedPageBreak/>
        <w:t>решает просить Генерального секретаря и Директора Бюро развития электросвязи</w:t>
      </w:r>
    </w:p>
    <w:p w14:paraId="755A4C66" w14:textId="77777777" w:rsidR="00C0416F" w:rsidRPr="002B2BF7" w:rsidRDefault="00C0416F" w:rsidP="00C0416F">
      <w:pPr>
        <w:rPr>
          <w:lang w:val="ru-RU"/>
        </w:rPr>
      </w:pPr>
      <w:r w:rsidRPr="002B2BF7">
        <w:rPr>
          <w:lang w:val="ru-RU"/>
        </w:rPr>
        <w:t>1</w:t>
      </w:r>
      <w:r w:rsidRPr="002B2BF7">
        <w:rPr>
          <w:lang w:val="ru-RU"/>
        </w:rPr>
        <w:tab/>
        <w:t>продолжать принимать последующие меры в рамках работы Бюро развития электросвязи (БРЭ) в соответствии с Резолюцией 37 (Пересм. Кигали, 2022 г.) о преодолении цифрового разрыва и Резолюцией 71 (Пересм. Кигали, 2022 г.) путем активизации конкретных совместных усилий по ускорению подключения и мобилизации ресурсов по четырем приоритетным направлениям деятельности в рамках коалиции P2C и модели партнерства с участием многих заинтересованных сторон, которую она представляет;</w:t>
      </w:r>
    </w:p>
    <w:p w14:paraId="2431DE71" w14:textId="77777777" w:rsidR="00C0416F" w:rsidRPr="002B2BF7" w:rsidRDefault="00C0416F" w:rsidP="00C0416F">
      <w:pPr>
        <w:rPr>
          <w:lang w:val="ru-RU"/>
        </w:rPr>
      </w:pPr>
      <w:r w:rsidRPr="002B2BF7">
        <w:rPr>
          <w:lang w:val="ru-RU"/>
        </w:rPr>
        <w:t>2</w:t>
      </w:r>
      <w:r w:rsidRPr="002B2BF7">
        <w:rPr>
          <w:lang w:val="ru-RU"/>
        </w:rPr>
        <w:tab/>
        <w:t>обеспечить, чтобы БРЭ продолжало играть центральную роль в реализации данной инициативы и активно осуществляло мониторинг и отслеживание обязательств и процесса взаимодействия, а также представляло отчеты за определенный период времени о прогрессе в достижении общей цели по обеспечению универсальной возможности установления соединений в дополнение к поддержанию активного канала связи между стратегическими заинтересованными сторонами;</w:t>
      </w:r>
    </w:p>
    <w:p w14:paraId="282F526B" w14:textId="77777777" w:rsidR="00C0416F" w:rsidRPr="002B2BF7" w:rsidRDefault="00C0416F" w:rsidP="00C0416F">
      <w:pPr>
        <w:rPr>
          <w:lang w:val="ru-RU"/>
        </w:rPr>
      </w:pPr>
      <w:r w:rsidRPr="002B2BF7">
        <w:rPr>
          <w:lang w:val="ru-RU"/>
        </w:rPr>
        <w:t>3</w:t>
      </w:r>
      <w:r w:rsidRPr="002B2BF7">
        <w:rPr>
          <w:lang w:val="ru-RU"/>
        </w:rPr>
        <w:tab/>
        <w:t>обеспечить выделение, в рамках бюджетных ограничений, необходимых ресурсов для вышеуказанных действий,</w:t>
      </w:r>
    </w:p>
    <w:p w14:paraId="3A79A3A5" w14:textId="77777777" w:rsidR="00C0416F" w:rsidRPr="002B2BF7" w:rsidRDefault="00C0416F" w:rsidP="00C0416F">
      <w:pPr>
        <w:pStyle w:val="Call"/>
        <w:rPr>
          <w:i w:val="0"/>
          <w:iCs/>
          <w:lang w:val="ru-RU"/>
        </w:rPr>
      </w:pPr>
      <w:r w:rsidRPr="002B2BF7">
        <w:rPr>
          <w:iCs/>
          <w:lang w:val="ru-RU"/>
        </w:rPr>
        <w:t>предлагает</w:t>
      </w:r>
      <w:r w:rsidRPr="002B2BF7">
        <w:rPr>
          <w:lang w:val="ru-RU"/>
        </w:rPr>
        <w:t xml:space="preserve"> международным финансовым учреждениям, учреждениям-донорам и структурам частного сектора</w:t>
      </w:r>
    </w:p>
    <w:p w14:paraId="6787C36F" w14:textId="77777777" w:rsidR="00C0416F" w:rsidRPr="002B2BF7" w:rsidRDefault="00C0416F" w:rsidP="00C0416F">
      <w:pPr>
        <w:rPr>
          <w:lang w:val="ru-RU"/>
        </w:rPr>
      </w:pPr>
      <w:r w:rsidRPr="002B2BF7">
        <w:rPr>
          <w:lang w:val="ru-RU"/>
        </w:rPr>
        <w:t xml:space="preserve">дать обещания и </w:t>
      </w:r>
      <w:r w:rsidRPr="002B2BF7">
        <w:rPr>
          <w:szCs w:val="24"/>
          <w:lang w:val="ru-RU"/>
        </w:rPr>
        <w:t>принять на себя обязательства в отношении P2C, выполнить их и представить соответствующие отчеты в целях содействия обеспечению реальной возможности установления соединений и цифровой трансформации</w:t>
      </w:r>
      <w:r w:rsidRPr="002B2BF7">
        <w:rPr>
          <w:lang w:val="ru-RU"/>
        </w:rPr>
        <w:t>,</w:t>
      </w:r>
    </w:p>
    <w:p w14:paraId="5E617900" w14:textId="77777777" w:rsidR="00C0416F" w:rsidRPr="002B2BF7" w:rsidRDefault="00C0416F" w:rsidP="00C0416F">
      <w:pPr>
        <w:pStyle w:val="Call"/>
        <w:rPr>
          <w:lang w:val="ru-RU"/>
        </w:rPr>
      </w:pPr>
      <w:r w:rsidRPr="002B2BF7">
        <w:rPr>
          <w:lang w:val="ru-RU"/>
        </w:rPr>
        <w:t>предлагает Государствам-Членам и Членам Сектора</w:t>
      </w:r>
    </w:p>
    <w:p w14:paraId="5C6BE29E" w14:textId="77777777" w:rsidR="00C0416F" w:rsidRPr="002B2BF7" w:rsidRDefault="00C0416F" w:rsidP="00C0416F">
      <w:pPr>
        <w:rPr>
          <w:lang w:val="ru-RU"/>
        </w:rPr>
      </w:pPr>
      <w:r w:rsidRPr="002B2BF7">
        <w:rPr>
          <w:lang w:val="ru-RU"/>
        </w:rPr>
        <w:t>1</w:t>
      </w:r>
      <w:r w:rsidRPr="002B2BF7">
        <w:rPr>
          <w:lang w:val="ru-RU"/>
        </w:rPr>
        <w:tab/>
      </w:r>
      <w:r w:rsidRPr="002B2BF7">
        <w:rPr>
          <w:szCs w:val="24"/>
          <w:lang w:val="ru-RU"/>
        </w:rPr>
        <w:t xml:space="preserve">содействовать прогрессу в обеспечении реальной возможности установления соединений и цифровой трансформации путем формулирования, выполнения и повышения уровня обещаний, а также мобилизации новых ресурсов и партнерств в соответствии с ЦУР, Направлениями деятельности ВВУИО и Дорожной картой Генерального секретаря </w:t>
      </w:r>
      <w:r w:rsidRPr="002B2BF7">
        <w:rPr>
          <w:lang w:val="ru-RU"/>
        </w:rPr>
        <w:t>Организации Объединенных Наций</w:t>
      </w:r>
      <w:r w:rsidRPr="002B2BF7">
        <w:rPr>
          <w:szCs w:val="24"/>
          <w:lang w:val="ru-RU"/>
        </w:rPr>
        <w:t xml:space="preserve"> по цифровому сотрудничеству</w:t>
      </w:r>
      <w:r w:rsidRPr="002B2BF7">
        <w:rPr>
          <w:lang w:val="ru-RU"/>
        </w:rPr>
        <w:t>;</w:t>
      </w:r>
    </w:p>
    <w:p w14:paraId="31E1BDA3" w14:textId="77777777" w:rsidR="00C0416F" w:rsidRPr="002B2BF7" w:rsidRDefault="00C0416F" w:rsidP="00C0416F">
      <w:pPr>
        <w:rPr>
          <w:lang w:val="ru-RU"/>
        </w:rPr>
      </w:pPr>
      <w:r w:rsidRPr="002B2BF7">
        <w:rPr>
          <w:lang w:val="ru-RU"/>
        </w:rPr>
        <w:t>2</w:t>
      </w:r>
      <w:r w:rsidRPr="002B2BF7">
        <w:rPr>
          <w:lang w:val="ru-RU"/>
        </w:rPr>
        <w:tab/>
      </w:r>
      <w:r w:rsidRPr="002B2BF7">
        <w:rPr>
          <w:szCs w:val="24"/>
          <w:lang w:val="ru-RU"/>
        </w:rPr>
        <w:t>активно участвовать в представлении отчетов о выполнении обещаний и обязательств в отношении P2C, а также в обмене соответствующей информацией и передовым опытом</w:t>
      </w:r>
      <w:r w:rsidRPr="002B2BF7">
        <w:rPr>
          <w:lang w:val="ru-RU"/>
        </w:rPr>
        <w:t>.</w:t>
      </w:r>
    </w:p>
    <w:p w14:paraId="3FBB6BCD" w14:textId="77777777" w:rsidR="00E45F09" w:rsidRPr="00C0416F" w:rsidRDefault="00E45F09" w:rsidP="00C0416F">
      <w:pPr>
        <w:rPr>
          <w:lang w:val="ru-RU"/>
        </w:rPr>
      </w:pPr>
    </w:p>
    <w:sectPr w:rsidR="00E45F09" w:rsidRPr="00C0416F" w:rsidSect="003E584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134" w:bottom="1418" w:left="1134" w:header="709" w:footer="709" w:gutter="0"/>
      <w:cols w:space="708"/>
      <w:vAlign w:val="both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37AEC4" w14:textId="77777777" w:rsidR="003E584B" w:rsidRDefault="003E584B" w:rsidP="003E584B">
      <w:pPr>
        <w:spacing w:before="0"/>
      </w:pPr>
      <w:r>
        <w:separator/>
      </w:r>
    </w:p>
  </w:endnote>
  <w:endnote w:type="continuationSeparator" w:id="0">
    <w:p w14:paraId="55BD7F9B" w14:textId="77777777" w:rsidR="003E584B" w:rsidRDefault="003E584B" w:rsidP="003E584B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F2D65" w14:textId="77777777" w:rsidR="003E584B" w:rsidRDefault="003E584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C6E26" w14:textId="77777777" w:rsidR="003E584B" w:rsidRDefault="003E584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B8AAEB" w14:textId="77777777" w:rsidR="003E584B" w:rsidRDefault="003E58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D158AD" w14:textId="77777777" w:rsidR="003E584B" w:rsidRDefault="003E584B" w:rsidP="003E584B">
      <w:pPr>
        <w:spacing w:before="0"/>
      </w:pPr>
      <w:r>
        <w:separator/>
      </w:r>
    </w:p>
  </w:footnote>
  <w:footnote w:type="continuationSeparator" w:id="0">
    <w:p w14:paraId="72557AB2" w14:textId="77777777" w:rsidR="003E584B" w:rsidRDefault="003E584B" w:rsidP="003E584B">
      <w:pPr>
        <w:spacing w:before="0"/>
      </w:pPr>
      <w:r>
        <w:continuationSeparator/>
      </w:r>
    </w:p>
  </w:footnote>
  <w:footnote w:id="1">
    <w:p w14:paraId="3C34E1D1" w14:textId="77777777" w:rsidR="00C0416F" w:rsidRPr="007D66EB" w:rsidRDefault="00C0416F" w:rsidP="00C0416F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>
        <w:rPr>
          <w:lang w:val="ru-RU"/>
        </w:rPr>
        <w:tab/>
      </w:r>
      <w:r w:rsidRPr="00AC362E">
        <w:rPr>
          <w:lang w:val="ru-RU"/>
        </w:rPr>
        <w:t>К ним относятся наименее развитые страны, малые островные развивающиеся государства, развивающиеся страны, не имеющие выхода к морю, и страны с переходной экономикой.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95157714"/>
      <w:docPartObj>
        <w:docPartGallery w:val="Page Numbers (Top of Page)"/>
        <w:docPartUnique/>
      </w:docPartObj>
    </w:sdtPr>
    <w:sdtEndPr>
      <w:rPr>
        <w:noProof/>
        <w:szCs w:val="22"/>
      </w:rPr>
    </w:sdtEndPr>
    <w:sdtContent>
      <w:p w14:paraId="4EAB3C34" w14:textId="61FEB9ED" w:rsidR="003E584B" w:rsidRPr="003E584B" w:rsidRDefault="003E584B" w:rsidP="003E584B">
        <w:pPr>
          <w:pStyle w:val="Header"/>
          <w:tabs>
            <w:tab w:val="clear" w:pos="4513"/>
            <w:tab w:val="left" w:pos="851"/>
          </w:tabs>
          <w:jc w:val="left"/>
          <w:rPr>
            <w:szCs w:val="22"/>
            <w:lang w:val="ru-RU"/>
          </w:rPr>
        </w:pPr>
        <w:r w:rsidRPr="00BF1EE0">
          <w:rPr>
            <w:szCs w:val="22"/>
          </w:rPr>
          <w:fldChar w:fldCharType="begin"/>
        </w:r>
        <w:r w:rsidRPr="00E3202A">
          <w:rPr>
            <w:szCs w:val="22"/>
            <w:lang w:val="ru-RU"/>
          </w:rPr>
          <w:instrText xml:space="preserve"> </w:instrText>
        </w:r>
        <w:r w:rsidRPr="00BF1EE0">
          <w:rPr>
            <w:szCs w:val="22"/>
          </w:rPr>
          <w:instrText>PAGE</w:instrText>
        </w:r>
        <w:r w:rsidRPr="00E3202A">
          <w:rPr>
            <w:szCs w:val="22"/>
            <w:lang w:val="ru-RU"/>
          </w:rPr>
          <w:instrText xml:space="preserve">   \* </w:instrText>
        </w:r>
        <w:r w:rsidRPr="00BF1EE0">
          <w:rPr>
            <w:szCs w:val="22"/>
          </w:rPr>
          <w:instrText>MERGEFORMAT</w:instrText>
        </w:r>
        <w:r w:rsidRPr="00E3202A">
          <w:rPr>
            <w:szCs w:val="22"/>
            <w:lang w:val="ru-RU"/>
          </w:rPr>
          <w:instrText xml:space="preserve"> </w:instrText>
        </w:r>
        <w:r w:rsidRPr="00BF1EE0">
          <w:rPr>
            <w:szCs w:val="22"/>
          </w:rPr>
          <w:fldChar w:fldCharType="separate"/>
        </w:r>
        <w:r w:rsidRPr="003E584B">
          <w:rPr>
            <w:szCs w:val="22"/>
            <w:lang w:val="ru-RU"/>
          </w:rPr>
          <w:t>144</w:t>
        </w:r>
        <w:r w:rsidRPr="00BF1EE0">
          <w:rPr>
            <w:noProof/>
            <w:szCs w:val="22"/>
          </w:rPr>
          <w:fldChar w:fldCharType="end"/>
        </w:r>
        <w:r w:rsidRPr="00E3202A">
          <w:rPr>
            <w:noProof/>
            <w:szCs w:val="22"/>
            <w:lang w:val="ru-RU"/>
          </w:rPr>
          <w:tab/>
        </w:r>
        <w:r w:rsidRPr="00E3202A">
          <w:rPr>
            <w:szCs w:val="22"/>
            <w:lang w:val="ru-RU"/>
          </w:rPr>
          <w:t xml:space="preserve">Заключительный отчет ВКРЭ-22 – Часть </w:t>
        </w:r>
        <w:r w:rsidRPr="00895A25">
          <w:rPr>
            <w:szCs w:val="22"/>
          </w:rPr>
          <w:t>IV</w:t>
        </w:r>
        <w:r w:rsidRPr="00E3202A">
          <w:rPr>
            <w:szCs w:val="22"/>
            <w:lang w:val="ru-RU"/>
          </w:rPr>
          <w:t xml:space="preserve"> – </w:t>
        </w:r>
        <w:r w:rsidRPr="00895A25">
          <w:rPr>
            <w:szCs w:val="22"/>
            <w:lang w:val="ru-RU"/>
          </w:rPr>
          <w:t>Резолюци</w:t>
        </w:r>
        <w:r>
          <w:rPr>
            <w:szCs w:val="22"/>
            <w:lang w:val="ru-RU"/>
          </w:rPr>
          <w:t xml:space="preserve">я </w:t>
        </w:r>
        <w:r w:rsidRPr="00F910FE">
          <w:rPr>
            <w:szCs w:val="22"/>
          </w:rPr>
          <w:fldChar w:fldCharType="begin"/>
        </w:r>
        <w:r w:rsidRPr="00F910FE">
          <w:rPr>
            <w:szCs w:val="22"/>
          </w:rPr>
          <w:instrText>styleref</w:instrText>
        </w:r>
        <w:r w:rsidRPr="00E3202A">
          <w:rPr>
            <w:szCs w:val="22"/>
            <w:lang w:val="ru-RU"/>
          </w:rPr>
          <w:instrText xml:space="preserve"> </w:instrText>
        </w:r>
        <w:r w:rsidRPr="00F910FE">
          <w:rPr>
            <w:szCs w:val="22"/>
          </w:rPr>
          <w:instrText>href</w:instrText>
        </w:r>
        <w:r w:rsidRPr="00F910FE">
          <w:rPr>
            <w:szCs w:val="22"/>
          </w:rPr>
          <w:fldChar w:fldCharType="separate"/>
        </w:r>
        <w:r w:rsidR="00C0416F">
          <w:rPr>
            <w:noProof/>
            <w:szCs w:val="22"/>
          </w:rPr>
          <w:t>88</w:t>
        </w:r>
        <w:r w:rsidRPr="00F910FE">
          <w:rPr>
            <w:szCs w:val="22"/>
            <w:lang w:val="ru-RU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E0513" w14:textId="4AF72067" w:rsidR="003E584B" w:rsidRPr="003E584B" w:rsidRDefault="003E584B" w:rsidP="003E584B">
    <w:pPr>
      <w:pStyle w:val="Header"/>
      <w:tabs>
        <w:tab w:val="clear" w:pos="4513"/>
        <w:tab w:val="clear" w:pos="9026"/>
        <w:tab w:val="right" w:pos="8789"/>
        <w:tab w:val="right" w:pos="9639"/>
      </w:tabs>
      <w:jc w:val="right"/>
      <w:rPr>
        <w:szCs w:val="22"/>
        <w:lang w:val="ru-RU"/>
      </w:rPr>
    </w:pPr>
    <w:r>
      <w:rPr>
        <w:szCs w:val="22"/>
      </w:rPr>
      <w:tab/>
    </w:r>
    <w:r w:rsidRPr="00E3202A">
      <w:rPr>
        <w:szCs w:val="22"/>
        <w:lang w:val="ru-RU"/>
      </w:rPr>
      <w:t xml:space="preserve">Заключительный отчет ВКРЭ-22 – Часть </w:t>
    </w:r>
    <w:r w:rsidRPr="00895A25">
      <w:rPr>
        <w:szCs w:val="22"/>
      </w:rPr>
      <w:t>IV</w:t>
    </w:r>
    <w:r w:rsidRPr="00895A25">
      <w:rPr>
        <w:szCs w:val="22"/>
        <w:lang w:val="ru-RU"/>
      </w:rPr>
      <w:t xml:space="preserve"> − Резолюци</w:t>
    </w:r>
    <w:r>
      <w:rPr>
        <w:szCs w:val="22"/>
        <w:lang w:val="ru-RU"/>
      </w:rPr>
      <w:t xml:space="preserve">я </w:t>
    </w:r>
    <w:r w:rsidRPr="00F910FE">
      <w:rPr>
        <w:szCs w:val="22"/>
      </w:rPr>
      <w:fldChar w:fldCharType="begin"/>
    </w:r>
    <w:r w:rsidRPr="00F910FE">
      <w:rPr>
        <w:szCs w:val="22"/>
      </w:rPr>
      <w:instrText>styleref</w:instrText>
    </w:r>
    <w:r w:rsidRPr="00E3202A">
      <w:rPr>
        <w:szCs w:val="22"/>
        <w:lang w:val="ru-RU"/>
      </w:rPr>
      <w:instrText xml:space="preserve"> </w:instrText>
    </w:r>
    <w:r w:rsidRPr="00F910FE">
      <w:rPr>
        <w:szCs w:val="22"/>
      </w:rPr>
      <w:instrText>href</w:instrText>
    </w:r>
    <w:r w:rsidRPr="00F910FE">
      <w:rPr>
        <w:szCs w:val="22"/>
      </w:rPr>
      <w:fldChar w:fldCharType="separate"/>
    </w:r>
    <w:r w:rsidR="00C0416F">
      <w:rPr>
        <w:noProof/>
        <w:szCs w:val="22"/>
      </w:rPr>
      <w:t>88</w:t>
    </w:r>
    <w:r w:rsidRPr="00F910FE">
      <w:rPr>
        <w:szCs w:val="22"/>
        <w:lang w:val="ru-RU"/>
      </w:rPr>
      <w:fldChar w:fldCharType="end"/>
    </w:r>
    <w:r w:rsidRPr="00E3202A">
      <w:rPr>
        <w:szCs w:val="22"/>
        <w:lang w:val="ru-RU"/>
      </w:rPr>
      <w:tab/>
    </w:r>
    <w:r w:rsidRPr="00763A31">
      <w:fldChar w:fldCharType="begin"/>
    </w:r>
    <w:r w:rsidRPr="00E3202A">
      <w:rPr>
        <w:lang w:val="ru-RU"/>
      </w:rPr>
      <w:instrText xml:space="preserve"> </w:instrText>
    </w:r>
    <w:r w:rsidRPr="00763A31">
      <w:instrText>PAGE</w:instrText>
    </w:r>
    <w:r w:rsidRPr="00E3202A">
      <w:rPr>
        <w:lang w:val="ru-RU"/>
      </w:rPr>
      <w:instrText xml:space="preserve">   \* </w:instrText>
    </w:r>
    <w:r w:rsidRPr="00763A31">
      <w:instrText>MERGEFORMAT</w:instrText>
    </w:r>
    <w:r w:rsidRPr="00E3202A">
      <w:rPr>
        <w:lang w:val="ru-RU"/>
      </w:rPr>
      <w:instrText xml:space="preserve"> </w:instrText>
    </w:r>
    <w:r w:rsidRPr="00763A31">
      <w:fldChar w:fldCharType="separate"/>
    </w:r>
    <w:r w:rsidRPr="003E584B">
      <w:rPr>
        <w:lang w:val="ru-RU"/>
      </w:rPr>
      <w:t>143</w:t>
    </w:r>
    <w:r w:rsidRPr="00763A31"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17C37" w14:textId="77777777" w:rsidR="003E584B" w:rsidRDefault="003E584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84B"/>
    <w:rsid w:val="000D1BE4"/>
    <w:rsid w:val="000F689C"/>
    <w:rsid w:val="00150FA6"/>
    <w:rsid w:val="00155E4F"/>
    <w:rsid w:val="001D38B0"/>
    <w:rsid w:val="00247508"/>
    <w:rsid w:val="00282B03"/>
    <w:rsid w:val="00316908"/>
    <w:rsid w:val="00327A1D"/>
    <w:rsid w:val="00373FF6"/>
    <w:rsid w:val="003B155A"/>
    <w:rsid w:val="003C2BD9"/>
    <w:rsid w:val="003E584B"/>
    <w:rsid w:val="003E6044"/>
    <w:rsid w:val="00422295"/>
    <w:rsid w:val="004F44FF"/>
    <w:rsid w:val="00523CDB"/>
    <w:rsid w:val="00556CD7"/>
    <w:rsid w:val="00633EC9"/>
    <w:rsid w:val="006677D6"/>
    <w:rsid w:val="00681361"/>
    <w:rsid w:val="00686D9E"/>
    <w:rsid w:val="00713A5E"/>
    <w:rsid w:val="007631BF"/>
    <w:rsid w:val="00791A97"/>
    <w:rsid w:val="00905C06"/>
    <w:rsid w:val="009D3EFE"/>
    <w:rsid w:val="00AE16DB"/>
    <w:rsid w:val="00B65A4E"/>
    <w:rsid w:val="00B7660C"/>
    <w:rsid w:val="00B95B42"/>
    <w:rsid w:val="00C0416F"/>
    <w:rsid w:val="00C7514C"/>
    <w:rsid w:val="00D35EEE"/>
    <w:rsid w:val="00D90490"/>
    <w:rsid w:val="00DD3985"/>
    <w:rsid w:val="00E1417E"/>
    <w:rsid w:val="00E45F09"/>
    <w:rsid w:val="00E94C50"/>
    <w:rsid w:val="00F4199B"/>
    <w:rsid w:val="00FF162F"/>
    <w:rsid w:val="00FF4ED8"/>
    <w:rsid w:val="00FF5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12872"/>
  <w15:chartTrackingRefBased/>
  <w15:docId w15:val="{5D9E5091-FCB2-40A4-8374-0543ED678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584B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Calibri" w:eastAsia="Times New Roman" w:hAnsi="Calibri" w:cs="Times New Roman"/>
      <w:kern w:val="0"/>
      <w:sz w:val="24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604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584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l">
    <w:name w:val="Call"/>
    <w:basedOn w:val="Normal"/>
    <w:next w:val="Normal"/>
    <w:link w:val="CallChar"/>
    <w:rsid w:val="003E584B"/>
    <w:pPr>
      <w:keepNext/>
      <w:keepLines/>
      <w:spacing w:before="160"/>
      <w:ind w:left="1134"/>
    </w:pPr>
    <w:rPr>
      <w:i/>
    </w:rPr>
  </w:style>
  <w:style w:type="paragraph" w:customStyle="1" w:styleId="Normalaftertitle">
    <w:name w:val="Normal after title"/>
    <w:basedOn w:val="Normal"/>
    <w:next w:val="Normal"/>
    <w:link w:val="NormalaftertitleChar"/>
    <w:rsid w:val="003E584B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locked/>
    <w:rsid w:val="003E584B"/>
    <w:rPr>
      <w:rFonts w:ascii="Calibri" w:eastAsia="Times New Roman" w:hAnsi="Calibri" w:cs="Times New Roman"/>
      <w:kern w:val="0"/>
      <w:sz w:val="24"/>
      <w:szCs w:val="20"/>
      <w14:ligatures w14:val="none"/>
    </w:rPr>
  </w:style>
  <w:style w:type="paragraph" w:customStyle="1" w:styleId="Reasons">
    <w:name w:val="Reasons"/>
    <w:basedOn w:val="Normal"/>
    <w:qFormat/>
    <w:rsid w:val="003E584B"/>
    <w:pPr>
      <w:tabs>
        <w:tab w:val="clear" w:pos="2268"/>
        <w:tab w:val="left" w:pos="1588"/>
        <w:tab w:val="left" w:pos="1985"/>
      </w:tabs>
    </w:pPr>
  </w:style>
  <w:style w:type="paragraph" w:customStyle="1" w:styleId="ResNo">
    <w:name w:val="Res_No"/>
    <w:basedOn w:val="Heading2"/>
    <w:next w:val="Normal"/>
    <w:link w:val="ResNoChar"/>
    <w:rsid w:val="003E584B"/>
    <w:pPr>
      <w:spacing w:before="200"/>
      <w:ind w:left="1134" w:hanging="1134"/>
      <w:jc w:val="center"/>
      <w:outlineLvl w:val="0"/>
    </w:pPr>
    <w:rPr>
      <w:rFonts w:ascii="Calibri" w:eastAsia="Times New Roman" w:hAnsi="Calibri" w:cs="Times New Roman"/>
      <w:color w:val="auto"/>
      <w:sz w:val="28"/>
      <w:szCs w:val="20"/>
    </w:rPr>
  </w:style>
  <w:style w:type="paragraph" w:customStyle="1" w:styleId="Restitle">
    <w:name w:val="Res_title"/>
    <w:basedOn w:val="Heading2"/>
    <w:next w:val="Normal"/>
    <w:link w:val="RestitleChar"/>
    <w:rsid w:val="003E584B"/>
    <w:pPr>
      <w:tabs>
        <w:tab w:val="clear" w:pos="1134"/>
        <w:tab w:val="clear" w:pos="1871"/>
        <w:tab w:val="clear" w:pos="2268"/>
      </w:tabs>
      <w:spacing w:before="200"/>
      <w:jc w:val="center"/>
    </w:pPr>
    <w:rPr>
      <w:rFonts w:ascii="Calibri" w:eastAsia="Times New Roman" w:hAnsi="Calibri" w:cs="Times New Roman"/>
      <w:b/>
      <w:color w:val="auto"/>
      <w:sz w:val="28"/>
      <w:szCs w:val="20"/>
    </w:rPr>
  </w:style>
  <w:style w:type="character" w:customStyle="1" w:styleId="href">
    <w:name w:val="href"/>
    <w:basedOn w:val="DefaultParagraphFont"/>
    <w:rsid w:val="003E584B"/>
    <w:rPr>
      <w:color w:val="auto"/>
    </w:rPr>
  </w:style>
  <w:style w:type="character" w:customStyle="1" w:styleId="CallChar">
    <w:name w:val="Call Char"/>
    <w:basedOn w:val="DefaultParagraphFont"/>
    <w:link w:val="Call"/>
    <w:locked/>
    <w:rsid w:val="003E584B"/>
    <w:rPr>
      <w:rFonts w:ascii="Calibri" w:eastAsia="Times New Roman" w:hAnsi="Calibri" w:cs="Times New Roman"/>
      <w:i/>
      <w:kern w:val="0"/>
      <w:sz w:val="24"/>
      <w:szCs w:val="20"/>
      <w14:ligatures w14:val="none"/>
    </w:rPr>
  </w:style>
  <w:style w:type="character" w:customStyle="1" w:styleId="ResNoChar">
    <w:name w:val="Res_No Char"/>
    <w:basedOn w:val="DefaultParagraphFont"/>
    <w:link w:val="ResNo"/>
    <w:rsid w:val="003E584B"/>
    <w:rPr>
      <w:rFonts w:ascii="Calibri" w:eastAsia="Times New Roman" w:hAnsi="Calibri" w:cs="Times New Roman"/>
      <w:kern w:val="0"/>
      <w:sz w:val="28"/>
      <w:szCs w:val="20"/>
      <w14:ligatures w14:val="none"/>
    </w:rPr>
  </w:style>
  <w:style w:type="character" w:customStyle="1" w:styleId="RestitleChar">
    <w:name w:val="Res_title Char"/>
    <w:basedOn w:val="DefaultParagraphFont"/>
    <w:link w:val="Restitle"/>
    <w:rsid w:val="003E584B"/>
    <w:rPr>
      <w:rFonts w:ascii="Calibri" w:eastAsia="Times New Roman" w:hAnsi="Calibri" w:cs="Times New Roman"/>
      <w:b/>
      <w:kern w:val="0"/>
      <w:sz w:val="28"/>
      <w:szCs w:val="2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584B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3E584B"/>
    <w:pPr>
      <w:tabs>
        <w:tab w:val="clear" w:pos="1134"/>
        <w:tab w:val="clear" w:pos="1871"/>
        <w:tab w:val="clear" w:pos="2268"/>
        <w:tab w:val="center" w:pos="4513"/>
        <w:tab w:val="right" w:pos="9026"/>
      </w:tabs>
      <w:spacing w:before="0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3E584B"/>
    <w:rPr>
      <w:rFonts w:ascii="Calibri" w:eastAsia="Times New Roman" w:hAnsi="Calibri" w:cs="Times New Roman"/>
      <w:kern w:val="0"/>
      <w:sz w:val="18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E584B"/>
    <w:pPr>
      <w:tabs>
        <w:tab w:val="clear" w:pos="1134"/>
        <w:tab w:val="clear" w:pos="1871"/>
        <w:tab w:val="clear" w:pos="2268"/>
        <w:tab w:val="center" w:pos="4513"/>
        <w:tab w:val="right" w:pos="9026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3E584B"/>
    <w:rPr>
      <w:rFonts w:ascii="Calibri" w:eastAsia="Times New Roman" w:hAnsi="Calibri" w:cs="Times New Roman"/>
      <w:kern w:val="0"/>
      <w:sz w:val="24"/>
      <w:szCs w:val="20"/>
      <w14:ligatures w14:val="none"/>
    </w:rPr>
  </w:style>
  <w:style w:type="paragraph" w:customStyle="1" w:styleId="Normalcenteraligned">
    <w:name w:val="Normal center aligned"/>
    <w:basedOn w:val="Normal"/>
    <w:rsid w:val="000D1BE4"/>
    <w:pPr>
      <w:jc w:val="center"/>
    </w:pPr>
    <w:rPr>
      <w:rFonts w:eastAsia="SimSun"/>
    </w:rPr>
  </w:style>
  <w:style w:type="character" w:styleId="FootnoteReference">
    <w:name w:val="footnote reference"/>
    <w:basedOn w:val="DefaultParagraphFont"/>
    <w:rsid w:val="00791A97"/>
    <w:rPr>
      <w:rFonts w:asciiTheme="minorHAnsi" w:hAnsiTheme="minorHAnsi"/>
      <w:position w:val="6"/>
      <w:sz w:val="18"/>
    </w:rPr>
  </w:style>
  <w:style w:type="paragraph" w:styleId="FootnoteText">
    <w:name w:val="footnote text"/>
    <w:basedOn w:val="Normal"/>
    <w:link w:val="FootnoteTextChar"/>
    <w:rsid w:val="00791A97"/>
    <w:pPr>
      <w:keepLines/>
      <w:tabs>
        <w:tab w:val="left" w:pos="255"/>
      </w:tabs>
    </w:pPr>
    <w:rPr>
      <w:sz w:val="22"/>
    </w:rPr>
  </w:style>
  <w:style w:type="character" w:customStyle="1" w:styleId="FootnoteTextChar">
    <w:name w:val="Footnote Text Char"/>
    <w:basedOn w:val="DefaultParagraphFont"/>
    <w:link w:val="FootnoteText"/>
    <w:rsid w:val="00791A97"/>
    <w:rPr>
      <w:rFonts w:ascii="Calibri" w:eastAsia="Times New Roman" w:hAnsi="Calibri" w:cs="Times New Roman"/>
      <w:kern w:val="0"/>
      <w:szCs w:val="20"/>
      <w14:ligatures w14:val="none"/>
    </w:rPr>
  </w:style>
  <w:style w:type="paragraph" w:customStyle="1" w:styleId="enumlev1">
    <w:name w:val="enumlev1"/>
    <w:basedOn w:val="Normal"/>
    <w:link w:val="enumlev1Char"/>
    <w:rsid w:val="00373FF6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rsid w:val="00373FF6"/>
    <w:rPr>
      <w:rFonts w:ascii="Calibri" w:eastAsia="Times New Roman" w:hAnsi="Calibri" w:cs="Times New Roman"/>
      <w:kern w:val="0"/>
      <w:sz w:val="24"/>
      <w:szCs w:val="20"/>
      <w14:ligatures w14:val="none"/>
    </w:rPr>
  </w:style>
  <w:style w:type="paragraph" w:customStyle="1" w:styleId="Note">
    <w:name w:val="Note"/>
    <w:basedOn w:val="Normal"/>
    <w:next w:val="Normal"/>
    <w:rsid w:val="006677D6"/>
    <w:pPr>
      <w:tabs>
        <w:tab w:val="left" w:pos="284"/>
      </w:tabs>
      <w:spacing w:before="80"/>
    </w:pPr>
  </w:style>
  <w:style w:type="character" w:customStyle="1" w:styleId="Heading1Char">
    <w:name w:val="Heading 1 Char"/>
    <w:basedOn w:val="DefaultParagraphFont"/>
    <w:link w:val="Heading1"/>
    <w:uiPriority w:val="9"/>
    <w:rsid w:val="003E6044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customStyle="1" w:styleId="AnnexNo">
    <w:name w:val="Annex_No"/>
    <w:basedOn w:val="Normal"/>
    <w:next w:val="Normal"/>
    <w:link w:val="AnnexNoChar"/>
    <w:rsid w:val="003E6044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title">
    <w:name w:val="Annex_title"/>
    <w:basedOn w:val="Heading2"/>
    <w:next w:val="Normal"/>
    <w:rsid w:val="003E6044"/>
    <w:pPr>
      <w:spacing w:before="240" w:after="280"/>
    </w:pPr>
    <w:rPr>
      <w:rFonts w:ascii="Calibri" w:eastAsia="Calibri" w:hAnsi="Calibri" w:cs="Times New Roman"/>
      <w:b/>
      <w:iCs/>
      <w:color w:val="auto"/>
      <w:sz w:val="28"/>
      <w:szCs w:val="20"/>
      <w:bdr w:val="none" w:sz="0" w:space="0" w:color="auto" w:frame="1"/>
      <w:lang w:eastAsia="en-GB"/>
    </w:rPr>
  </w:style>
  <w:style w:type="character" w:customStyle="1" w:styleId="AnnexNoChar">
    <w:name w:val="Annex_No Char"/>
    <w:basedOn w:val="DefaultParagraphFont"/>
    <w:link w:val="AnnexNo"/>
    <w:rsid w:val="003E6044"/>
    <w:rPr>
      <w:rFonts w:ascii="Calibri" w:eastAsia="Times New Roman" w:hAnsi="Calibri" w:cs="Times New Roman"/>
      <w:caps/>
      <w:kern w:val="0"/>
      <w:sz w:val="28"/>
      <w:szCs w:val="20"/>
      <w14:ligatures w14:val="none"/>
    </w:rPr>
  </w:style>
  <w:style w:type="character" w:styleId="Hyperlink">
    <w:name w:val="Hyperlink"/>
    <w:rsid w:val="00713A5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40A771-F19C-48C8-A8DF-69AD9E90C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892</Words>
  <Characters>5091</Characters>
  <Application>Microsoft Office Word</Application>
  <DocSecurity>0</DocSecurity>
  <Lines>42</Lines>
  <Paragraphs>11</Paragraphs>
  <ScaleCrop>false</ScaleCrop>
  <Company/>
  <LinksUpToDate>false</LinksUpToDate>
  <CharactersWithSpaces>5972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Berdyeva, Elena</dc:creator>
  <cp:keywords/>
  <dc:description/>
  <cp:lastModifiedBy>Berdyeva, Elena</cp:lastModifiedBy>
  <cp:revision>39</cp:revision>
  <dcterms:created xsi:type="dcterms:W3CDTF">2023-10-16T12:49:00Z</dcterms:created>
  <dcterms:modified xsi:type="dcterms:W3CDTF">2023-10-16T14:18:00Z</dcterms:modified>
</cp:coreProperties>
</file>