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3867F" w14:textId="2B6DF82F" w:rsidR="00C875B7" w:rsidRPr="003C0233" w:rsidRDefault="00C875B7" w:rsidP="00C875B7">
      <w:pPr>
        <w:pStyle w:val="ResNo"/>
        <w:rPr>
          <w:lang w:val="es-ES_tradnl"/>
        </w:rPr>
      </w:pPr>
      <w:bookmarkStart w:id="0" w:name="_Toc227855005"/>
      <w:bookmarkStart w:id="1" w:name="_Toc227855318"/>
      <w:bookmarkStart w:id="2" w:name="_Toc227855530"/>
      <w:bookmarkStart w:id="3" w:name="_Toc227856297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85</w:t>
      </w:r>
      <w:r w:rsidRPr="003C0233">
        <w:rPr>
          <w:lang w:val="es-ES_tradnl"/>
        </w:rPr>
        <w:t xml:space="preserve"> (Rev. </w:t>
      </w:r>
      <w:r w:rsidR="00A31703" w:rsidRPr="003C0233">
        <w:rPr>
          <w:lang w:val="es-ES_tradnl"/>
        </w:rPr>
        <w:t>Bakú</w:t>
      </w:r>
      <w:r w:rsidRPr="003C0233">
        <w:rPr>
          <w:lang w:val="es-ES_tradnl"/>
        </w:rPr>
        <w:t>, 2025)</w:t>
      </w:r>
      <w:bookmarkEnd w:id="0"/>
      <w:bookmarkEnd w:id="1"/>
      <w:bookmarkEnd w:id="2"/>
      <w:bookmarkEnd w:id="3"/>
    </w:p>
    <w:p w14:paraId="686B913F" w14:textId="72FC4E60" w:rsidR="00C875B7" w:rsidRPr="003C0233" w:rsidRDefault="00C875B7" w:rsidP="00C875B7">
      <w:pPr>
        <w:pStyle w:val="Restitle"/>
        <w:rPr>
          <w:lang w:val="es-ES_tradnl"/>
        </w:rPr>
      </w:pPr>
      <w:bookmarkStart w:id="4" w:name="_Toc227855006"/>
      <w:bookmarkStart w:id="5" w:name="_Toc227855319"/>
      <w:bookmarkStart w:id="6" w:name="_Toc227855531"/>
      <w:bookmarkStart w:id="7" w:name="_Toc227856298"/>
      <w:r w:rsidRPr="003C0233">
        <w:rPr>
          <w:lang w:val="es-ES_tradnl"/>
        </w:rPr>
        <w:t>Facilitación de la Internet de las cosas y las ciudades y comunidades</w:t>
      </w:r>
      <w:r w:rsidR="00A4058F" w:rsidRPr="003C0233">
        <w:rPr>
          <w:lang w:val="es-ES_tradnl"/>
        </w:rPr>
        <w:t xml:space="preserve"> </w:t>
      </w:r>
      <w:r w:rsidR="00310118">
        <w:rPr>
          <w:lang w:val="es-ES_tradnl"/>
        </w:rPr>
        <w:br/>
      </w:r>
      <w:r w:rsidRPr="003C0233">
        <w:rPr>
          <w:lang w:val="es-ES_tradnl"/>
        </w:rPr>
        <w:t xml:space="preserve">inteligentes y sostenibles, incluidas las aldeas, </w:t>
      </w:r>
      <w:r w:rsidR="00310118">
        <w:rPr>
          <w:lang w:val="es-ES_tradnl"/>
        </w:rPr>
        <w:br/>
      </w:r>
      <w:r w:rsidRPr="003C0233">
        <w:rPr>
          <w:lang w:val="es-ES_tradnl"/>
        </w:rPr>
        <w:t>para el desarrollo mundial</w:t>
      </w:r>
      <w:bookmarkEnd w:id="4"/>
      <w:bookmarkEnd w:id="5"/>
      <w:bookmarkEnd w:id="6"/>
      <w:bookmarkEnd w:id="7"/>
    </w:p>
    <w:p w14:paraId="01B0194C" w14:textId="77777777" w:rsidR="00C875B7" w:rsidRPr="003C0233" w:rsidRDefault="00C875B7" w:rsidP="00C875B7">
      <w:pPr>
        <w:pStyle w:val="Normalaftertitle"/>
        <w:keepNext/>
        <w:keepLines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5BC7324E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03E1AEF0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197 (Rev. Bucarest, 2022) de la Conferencia de Plenipotenciarios, Facilitación de la Internet de las cosas (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>) y las ciudades y comunidades inteligentes y sostenibles (C+CIS);</w:t>
      </w:r>
    </w:p>
    <w:p w14:paraId="0400D41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UIT</w:t>
      </w:r>
      <w:r w:rsidRPr="003C0233">
        <w:rPr>
          <w:lang w:val="es-ES_tradnl"/>
        </w:rPr>
        <w:noBreakHyphen/>
        <w:t>R 66-2 (Rev. Dubái, 2023) de la Asamblea de Radiocomunicaciones, Estudios relativos a sistemas y aplicaciones inalámbricos para el desarrollo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>;</w:t>
      </w:r>
    </w:p>
    <w:p w14:paraId="2ED4C12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98 (Rev. Nueva Delhi, 2024) de la Asamblea Mundial de Normalización de las Telecomunicaciones, Refuerzo de la normalización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>, los gemelos digitales y las C+CIS para el desarrollo mundial;</w:t>
      </w:r>
    </w:p>
    <w:p w14:paraId="3302F6B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50 (Rev. Dubái, 2014) de la Conferencia Mundial de Desarrollo de las Telecomunicaciones (CMDT), Integración óptima de las tecnologías de la información y la comunicación (TIC);</w:t>
      </w:r>
    </w:p>
    <w:p w14:paraId="13BFCCD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71 de la Conferencia de Plenipotenciarios sobre el Plan Estratégico de la Unión, y sus revisiones periódicas;</w:t>
      </w:r>
    </w:p>
    <w:p w14:paraId="4022C97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Recomendación UIT</w:t>
      </w:r>
      <w:r w:rsidRPr="003C0233">
        <w:rPr>
          <w:lang w:val="es-ES_tradnl"/>
        </w:rPr>
        <w:noBreakHyphen/>
        <w:t>D 22 (Dubái, 2014) de la CMDT, Reducción de la brecha de normalización en asociación con los Grupos Regionales de las Comisiones de Estudio;</w:t>
      </w:r>
    </w:p>
    <w:p w14:paraId="1198E21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139 (Rev. Bucarest, 2022) de la Conferencia de Plenipotenciarios, Utilización de las telecomunicaciones/TIC para reducir la brecha digital y crear una sociedad de la información inclusiva;</w:t>
      </w:r>
    </w:p>
    <w:p w14:paraId="3126FEE6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h)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77 (Rev. Bakú, 2025) de la presente Conferencia, Tecnología y aplicaciones de banda ancha para un mayor crecimiento y desarrollo de los servicios de telecomunicaciones/TIC y la conectividad de banda ancha;</w:t>
      </w:r>
    </w:p>
    <w:p w14:paraId="400D9645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i)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200 (Rev. Bucarest, 2022) de la Conferencia de Plenipotenciarios, Agenda Conectar 2030 de las telecomunicaciones/TIC mundiales, incluida la banda ancha, para el desarrollo sostenible,</w:t>
      </w:r>
    </w:p>
    <w:p w14:paraId="5725BA26" w14:textId="77777777" w:rsidR="00D91DE7" w:rsidRPr="003C0233" w:rsidRDefault="00D91DE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644AB14D" w14:textId="061E656D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observando</w:t>
      </w:r>
    </w:p>
    <w:p w14:paraId="2080C7D1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labor llevada a cabo en el marco de la iniciativa Unidos por las ciudades inteligentes y sostenibles (U4SSC), puesta en marcha por la UIT y la Comisión Económica para Europa (CEPE) de las Naciones Unidas en mayo de 2016;</w:t>
      </w:r>
    </w:p>
    <w:p w14:paraId="077E658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 aplicación de un enfoque C+CIS a las aldeas puede contribuir a la transformación digital de las zonas rurales y remotas;</w:t>
      </w:r>
    </w:p>
    <w:p w14:paraId="72C75DE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iniciativa Aldeas Inteligentes constituye un enfoque inclusivo para prestar servicios digitales esenciales de telecomunicaciones/TIC a las comunidades rurales y remotas,</w:t>
      </w:r>
    </w:p>
    <w:p w14:paraId="656A9ECA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465AA1F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que el desarrollo de las tecnologías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favorecerá los sectores de las TIC y los que no son de las TIC, incluidos la sanidad, la agricultura, el transporte y la energía, habida cuenta de las aplicaciones provistas;</w:t>
      </w:r>
    </w:p>
    <w:p w14:paraId="1E057BB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 xml:space="preserve">que el despliegue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contribuirá considerablemente a la aplicación satisfactoria de la Agenda 2030 para el Desarrollo Sostenible;</w:t>
      </w:r>
    </w:p>
    <w:p w14:paraId="536811A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 xml:space="preserve">que el desarrollo y el despliegue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redundará en beneficio de la cooperación a escalas regional y mundial;</w:t>
      </w:r>
    </w:p>
    <w:p w14:paraId="5A79AB9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 xml:space="preserve">que el desarrollo y la implantación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 creación de C+CIS dependerá de la </w:t>
      </w:r>
      <w:proofErr w:type="gramStart"/>
      <w:r w:rsidRPr="003C0233">
        <w:rPr>
          <w:lang w:val="es-ES_tradnl"/>
        </w:rPr>
        <w:t>participación activa</w:t>
      </w:r>
      <w:proofErr w:type="gramEnd"/>
      <w:r w:rsidRPr="003C0233">
        <w:rPr>
          <w:lang w:val="es-ES_tradnl"/>
        </w:rPr>
        <w:t xml:space="preserve"> de los gobiernos, la industria y otras organizaciones y partes interesadas pertinentes a escalas internacional y regional;</w:t>
      </w:r>
    </w:p>
    <w:p w14:paraId="08B80EEE" w14:textId="1E51C67D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deberá prestarse apoyo especial a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>, ya que podrían tener competencias digitales y recursos limitados para propiciar una sociedad inclusiva;</w:t>
      </w:r>
    </w:p>
    <w:p w14:paraId="182182DA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 xml:space="preserve">que la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 C+CIS pueden ser facilitadores clave de la sociedad de la información y de la transformación digital, incluso en las zonas rurales y distantes;</w:t>
      </w:r>
    </w:p>
    <w:p w14:paraId="58A5961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las asociaciones público-privadas pueden apoyar la implementación eficiente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</w:t>
      </w:r>
    </w:p>
    <w:p w14:paraId="3E4716AF" w14:textId="77777777" w:rsidR="00D91DE7" w:rsidRPr="003C0233" w:rsidRDefault="00D91DE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637D148D" w14:textId="5D631C72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reconociendo</w:t>
      </w:r>
    </w:p>
    <w:p w14:paraId="508A57A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función importante que la UIT, y en particular el Sector de Desarrollo de las Telecomunicaciones de la UIT (UIT</w:t>
      </w:r>
      <w:r w:rsidRPr="003C0233">
        <w:rPr>
          <w:lang w:val="es-ES_tradnl"/>
        </w:rPr>
        <w:noBreakHyphen/>
        <w:t>D), tiene en el fomento del desarrollo de las telecomunicaciones/TIC a nivel mundial, especialmente la labor correspondiente realizada por las Comisiones de Estudio del UIT</w:t>
      </w:r>
      <w:r w:rsidRPr="003C0233">
        <w:rPr>
          <w:lang w:val="es-ES_tradnl"/>
        </w:rPr>
        <w:noBreakHyphen/>
        <w:t>D;</w:t>
      </w:r>
    </w:p>
    <w:p w14:paraId="6650F010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función que el Sector de Normalización de las Telecomunicaciones de la UIT (UIT-T), y en particular la Comisión de Estudio 20 del UIT</w:t>
      </w:r>
      <w:r w:rsidRPr="003C0233">
        <w:rPr>
          <w:lang w:val="es-ES_tradnl"/>
        </w:rPr>
        <w:noBreakHyphen/>
        <w:t>T, tiene en la realización de estudios y labores de normalización relativas a la Internet de las cosas y sus aplicaciones, incluidas C+CIS, y en la coordinación con otras organizaciones que trabajan en esas dos esferas;</w:t>
      </w:r>
    </w:p>
    <w:p w14:paraId="4A168C9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 xml:space="preserve">la función que el Sector de Radiocomunicaciones de la UIT (UIT-R) tiene en la realización de estudios sobre los aspectos técnicos y operacionales de los sistemas y redes radioeléctricos con respecto a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>;</w:t>
      </w:r>
    </w:p>
    <w:p w14:paraId="68A52BCA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 iniciativa U4SSC de las Naciones Unidas está coordinada por la UIT, la CEPE y el Programa de las Naciones Unidas para los Asentamientos Humanos (ONU</w:t>
      </w:r>
      <w:r w:rsidRPr="003C0233">
        <w:rPr>
          <w:lang w:val="es-ES_tradnl"/>
        </w:rPr>
        <w:noBreakHyphen/>
        <w:t>Hábitat) y tiene por objeto cumplir el Objetivo de Desarrollo Sostenible (ODS) 11;</w:t>
      </w:r>
    </w:p>
    <w:p w14:paraId="238DD02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las iniciativas relativas a aldeas inteligente han logrado crear modelos escalables y de gran calado para el desarrollo rural digital,</w:t>
      </w:r>
    </w:p>
    <w:p w14:paraId="12766379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62D2D87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el UIT</w:t>
      </w:r>
      <w:r w:rsidRPr="003C0233">
        <w:rPr>
          <w:lang w:val="es-ES_tradnl"/>
        </w:rPr>
        <w:noBreakHyphen/>
        <w:t>D, en estrecha colaboración con el UIT</w:t>
      </w:r>
      <w:r w:rsidRPr="003C0233">
        <w:rPr>
          <w:lang w:val="es-ES_tradnl"/>
        </w:rPr>
        <w:noBreakHyphen/>
        <w:t>T y el UIT</w:t>
      </w:r>
      <w:r w:rsidRPr="003C0233">
        <w:rPr>
          <w:lang w:val="es-ES_tradnl"/>
        </w:rPr>
        <w:noBreakHyphen/>
        <w:t>R, promueva la adopción de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el desarrollo de las C+CIS para aprovechar al máximo las ventajas que brinda la promoción del desarrollo socioeconómico y que contribuya a la consecución de los ODS y al cumplimiento de la Agenda Conectar 2030;</w:t>
      </w:r>
    </w:p>
    <w:p w14:paraId="4DC85B2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se promueva la ampliación de las iniciativas C+CIS para englobar las aldeas inteligentes, de manera que las comunidades rurales se beneficien de los mismos adelantos tecnológicos, servicios digitales y estrategias de desarrollo sostenible que las zonas urbanas,</w:t>
      </w:r>
    </w:p>
    <w:p w14:paraId="6FF21E62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1A5E9B6D" w14:textId="77777777" w:rsidR="00C875B7" w:rsidRPr="003C0233" w:rsidRDefault="00C875B7" w:rsidP="00C875B7">
      <w:pPr>
        <w:pStyle w:val="Call"/>
        <w:rPr>
          <w:i w:val="0"/>
          <w:lang w:val="es-ES_tradnl"/>
        </w:rPr>
      </w:pPr>
      <w:r w:rsidRPr="003C0233">
        <w:rPr>
          <w:lang w:val="es-ES_tradnl"/>
        </w:rPr>
        <w:lastRenderedPageBreak/>
        <w:t>encarga a las Comisiones de Estudio del Sector de Desarrollo de las Telecomunicaciones de la UIT, cada una con arreglo a su mandato</w:t>
      </w:r>
    </w:p>
    <w:p w14:paraId="3A7D626A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que obtengan información sobre experiencias a escalas nacional y regional en relación con la adopción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 y elaborar directrices para la implantación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 sobre la base de las Recomendaciones de la UIT y las contribuciones de otras organizaciones;</w:t>
      </w:r>
    </w:p>
    <w:p w14:paraId="773550B9" w14:textId="483E062C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 xml:space="preserve">que realicen estudios sobre las oportunidades y los retos relativos a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C+CIS;</w:t>
      </w:r>
    </w:p>
    <w:p w14:paraId="5366CFB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identifiquen estudios de caso sobre aplicación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haciendo hincapié en los factores que determinan el despliegue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</w:t>
      </w:r>
    </w:p>
    <w:p w14:paraId="2A3B0808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35AFD401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apoye a los Estados Miembros, en particular a los países en desarrollo, en la adopción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 proporcionando información pertinente, experiencia, creación de capacidades y la acumulación de las prácticas idóneas con las que desarrollar entornos e infraestructuras favorables, atraer inversiones y propiciar ecosistemas de innovación en el ámbito digital;</w:t>
      </w:r>
    </w:p>
    <w:p w14:paraId="3564ED9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facilite el despliegue y la adopción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en particular en los países en desarrollo, mediante proyectos realizados en el marco de sistemas de desarrollo de las Naciones Unidas y en consonancia con lo estipulado en el numero 118 (Artículo 21) de la Constitución de la UIT;</w:t>
      </w:r>
    </w:p>
    <w:p w14:paraId="7BFAF79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colabore con los Sectores de la UIT y con organizaciones internacionales y regionales, así como con todas las partes interesadas, para crear un entorno propicio en el que se intercambien conocimientos, experiencia y prácticas idóneas para apoyar el despliegue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incluidos sus servicios y aplicaciones, organizando talleres y foros a escalas regional e internacional;</w:t>
      </w:r>
    </w:p>
    <w:p w14:paraId="36848C70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65FA52B8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4</w:t>
      </w:r>
      <w:r w:rsidRPr="003C0233">
        <w:rPr>
          <w:lang w:val="es-ES_tradnl"/>
        </w:rPr>
        <w:tab/>
        <w:t>que siga prestando asistencia técnica y capacitación mediante directrices, herramientas, intercambio de conocimientos y prácticas idóneas entre otros, con sujeción a los recursos disponibles, para el desarrollo y aplicación de iniciativas relativas a aldeas y comunidades inteligentes,</w:t>
      </w:r>
    </w:p>
    <w:p w14:paraId="0B427797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en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 Normalización de las Telecomunicaciones</w:t>
      </w:r>
    </w:p>
    <w:p w14:paraId="0FF2854B" w14:textId="77777777" w:rsidR="00C875B7" w:rsidRPr="003C0233" w:rsidRDefault="00C875B7" w:rsidP="00C875B7">
      <w:pPr>
        <w:rPr>
          <w:szCs w:val="24"/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elabore y/o actualice un informe en el que se determinen las necesidades de los países en desarrollo en relación con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sobre la base de los trabajos llevados a cabo por el UIT</w:t>
      </w:r>
      <w:r w:rsidRPr="003C0233">
        <w:rPr>
          <w:lang w:val="es-ES_tradnl"/>
        </w:rPr>
        <w:noBreakHyphen/>
        <w:t>T, el UIT</w:t>
      </w:r>
      <w:r w:rsidRPr="003C0233">
        <w:rPr>
          <w:lang w:val="es-ES_tradnl"/>
        </w:rPr>
        <w:noBreakHyphen/>
        <w:t>R y el UIT</w:t>
      </w:r>
      <w:r w:rsidRPr="003C0233">
        <w:rPr>
          <w:lang w:val="es-ES_tradnl"/>
        </w:rPr>
        <w:noBreakHyphen/>
        <w:t>D en relación con la iniciativa U4SSC</w:t>
      </w:r>
      <w:r w:rsidRPr="003C0233">
        <w:rPr>
          <w:szCs w:val="24"/>
          <w:lang w:val="es-ES_tradnl"/>
        </w:rPr>
        <w:t>;</w:t>
      </w:r>
    </w:p>
    <w:p w14:paraId="65F052E1" w14:textId="543F6F80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fusione los trabajos realizados en la UIT relativos a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incluidos los estudios sobre tecnología y normas, y las recomendaciones sobre políticas y reglamentos, para facilitar el desarrollo y la adopción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>;</w:t>
      </w:r>
    </w:p>
    <w:p w14:paraId="4FA86A4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facilite los debates y el intercambio de prácticas idóneas mediante la organización de talleres y programas de formación sobre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C+CIS;</w:t>
      </w:r>
    </w:p>
    <w:p w14:paraId="0B017518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fomente la colaboración entre los Sectores de la UIT para examinar la forma en que las tecnologías del ecosistema de la 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de las C+CIS pueden favorecer el logro de los Objetivos de Desarrollo Sostenible y del marco de la Cumbre Mundial para la Sociedad de la Información;</w:t>
      </w:r>
    </w:p>
    <w:p w14:paraId="51F5CAA5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 xml:space="preserve">que brinde a los países en desarrollo oportunidades de capacitación en materia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 C+CIS;</w:t>
      </w:r>
    </w:p>
    <w:p w14:paraId="5D6C0D3B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que prosiga con las iniciativas de colaboración destinadas facilitar la creación de aldeas inteligentes,</w:t>
      </w:r>
    </w:p>
    <w:p w14:paraId="24F5016A" w14:textId="77777777" w:rsidR="00402E72" w:rsidRPr="003C0233" w:rsidRDefault="00402E72" w:rsidP="00402E72">
      <w:pPr>
        <w:pStyle w:val="Reasons"/>
        <w:rPr>
          <w:lang w:val="es-ES_tradnl"/>
        </w:rPr>
      </w:pPr>
      <w:r w:rsidRPr="003C0233">
        <w:rPr>
          <w:lang w:val="es-ES_tradnl"/>
        </w:rPr>
        <w:br w:type="page"/>
      </w:r>
    </w:p>
    <w:p w14:paraId="154482DA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invita a los Estados Miembros, Miembros de Sector, Asociados e Instituciones Académicas</w:t>
      </w:r>
    </w:p>
    <w:p w14:paraId="005CA6B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a participar en los estudios de la UIT relativos a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las C+CIS, incluidos servicios y aplicaciones, ofreciendo toda la ayuda posible;</w:t>
      </w:r>
    </w:p>
    <w:p w14:paraId="7D7357F8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colaborar e intercambien conocimientos y prácticas idóneas en esa esfera;</w:t>
      </w:r>
    </w:p>
    <w:p w14:paraId="4D02C17A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a impartir cursos de capacitación y programas de formación sobre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C+CIS para los países en desarrollo,</w:t>
      </w:r>
    </w:p>
    <w:p w14:paraId="7DC53B42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alienta a los Estados Miembros</w:t>
      </w:r>
    </w:p>
    <w:p w14:paraId="127F604B" w14:textId="77777777" w:rsidR="00C875B7" w:rsidRPr="003C0233" w:rsidRDefault="00C875B7" w:rsidP="00C875B7">
      <w:pPr>
        <w:rPr>
          <w:szCs w:val="24"/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a adoptar estrategias, políticas, planes y entornos propicios para facilitar y estimular el desarrollo de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 C+CIS, incluidos servicios y aplicaciones que utilizan telecomunicaciones/TIC nuevas e incipientes;</w:t>
      </w:r>
    </w:p>
    <w:p w14:paraId="3B9DE6E7" w14:textId="77777777" w:rsidR="00C875B7" w:rsidRPr="003C0233" w:rsidRDefault="00C875B7" w:rsidP="00C875B7">
      <w:pPr>
        <w:rPr>
          <w:lang w:val="es-ES_tradnl"/>
        </w:rPr>
      </w:pPr>
      <w:r w:rsidRPr="003C0233">
        <w:rPr>
          <w:bCs/>
          <w:lang w:val="es-ES_tradnl"/>
        </w:rPr>
        <w:t>2</w:t>
      </w:r>
      <w:r w:rsidRPr="003C0233">
        <w:rPr>
          <w:b/>
          <w:lang w:val="es-ES_tradnl"/>
        </w:rPr>
        <w:tab/>
      </w:r>
      <w:r w:rsidRPr="003C0233">
        <w:rPr>
          <w:lang w:val="es-ES_tradnl"/>
        </w:rPr>
        <w:t xml:space="preserve">a colaborar e intercambiar conocimientos, experiencias y prácticas idóneas sobre </w:t>
      </w:r>
      <w:proofErr w:type="spellStart"/>
      <w:r w:rsidRPr="003C0233">
        <w:rPr>
          <w:lang w:val="es-ES_tradnl"/>
        </w:rPr>
        <w:t>IoT</w:t>
      </w:r>
      <w:proofErr w:type="spellEnd"/>
      <w:r w:rsidRPr="003C0233">
        <w:rPr>
          <w:lang w:val="es-ES_tradnl"/>
        </w:rPr>
        <w:t xml:space="preserve"> y C+CIS;</w:t>
      </w:r>
    </w:p>
    <w:p w14:paraId="33AFF49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b/>
          <w:lang w:val="es-ES_tradnl"/>
        </w:rPr>
        <w:tab/>
      </w:r>
      <w:r w:rsidRPr="003C0233">
        <w:rPr>
          <w:lang w:val="es-ES_tradnl"/>
        </w:rPr>
        <w:t>a considerar la planificación de las C+CIS según convenga a los contextos locales, utilizando telecomunicaciones/TIC nuevas e incipientes;</w:t>
      </w:r>
    </w:p>
    <w:p w14:paraId="004772C5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a considerar que las iniciativas relativas a aldeas y comunidades inteligentes forman parte de las estrategias nacionales de transformación digital.</w:t>
      </w:r>
    </w:p>
    <w:p w14:paraId="45664A94" w14:textId="77777777" w:rsidR="00DF7B7E" w:rsidRDefault="00DF7B7E" w:rsidP="00C875B7">
      <w:pPr>
        <w:rPr>
          <w:lang w:val="es-ES_tradnl"/>
        </w:rPr>
      </w:pPr>
    </w:p>
    <w:p w14:paraId="615856CC" w14:textId="77777777" w:rsidR="00DF7B7E" w:rsidRDefault="00DF7B7E" w:rsidP="00C875B7">
      <w:pPr>
        <w:rPr>
          <w:lang w:val="es-ES_tradnl"/>
        </w:rPr>
      </w:pPr>
    </w:p>
    <w:p w14:paraId="406CD8E4" w14:textId="77777777" w:rsidR="00DF7B7E" w:rsidRDefault="00DF7B7E" w:rsidP="00C875B7">
      <w:pPr>
        <w:rPr>
          <w:lang w:val="es-ES_tradnl"/>
        </w:rPr>
      </w:pPr>
    </w:p>
    <w:p w14:paraId="0CACB5B9" w14:textId="77777777" w:rsidR="00DF7B7E" w:rsidRDefault="00DF7B7E" w:rsidP="00C875B7">
      <w:pPr>
        <w:rPr>
          <w:lang w:val="es-ES_tradnl"/>
        </w:rPr>
      </w:pPr>
    </w:p>
    <w:p w14:paraId="784D4D6D" w14:textId="77777777" w:rsidR="00DF7B7E" w:rsidRDefault="00DF7B7E" w:rsidP="00C875B7">
      <w:pPr>
        <w:rPr>
          <w:lang w:val="es-ES_tradnl"/>
        </w:rPr>
      </w:pPr>
    </w:p>
    <w:p w14:paraId="46C599C5" w14:textId="77777777" w:rsidR="00DF7B7E" w:rsidRPr="003C0233" w:rsidRDefault="00DF7B7E" w:rsidP="00C875B7">
      <w:pPr>
        <w:rPr>
          <w:lang w:val="es-ES_tradnl"/>
        </w:rPr>
      </w:pPr>
    </w:p>
    <w:sectPr w:rsidR="00DF7B7E" w:rsidRPr="003C0233" w:rsidSect="00726A4F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F3602" w14:textId="77777777" w:rsidR="00D05D93" w:rsidRDefault="00D05D93">
      <w:r>
        <w:separator/>
      </w:r>
    </w:p>
  </w:endnote>
  <w:endnote w:type="continuationSeparator" w:id="0">
    <w:p w14:paraId="68CAEFF0" w14:textId="77777777" w:rsidR="00D05D93" w:rsidRDefault="00D0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959A" w14:textId="77777777" w:rsidR="00D05D93" w:rsidRDefault="00D05D93">
      <w:r>
        <w:rPr>
          <w:b/>
        </w:rPr>
        <w:t>_______________</w:t>
      </w:r>
    </w:p>
  </w:footnote>
  <w:footnote w:type="continuationSeparator" w:id="0">
    <w:p w14:paraId="2ED495B2" w14:textId="77777777" w:rsidR="00D05D93" w:rsidRDefault="00D05D93">
      <w:r>
        <w:continuationSeparator/>
      </w:r>
    </w:p>
  </w:footnote>
  <w:footnote w:id="1">
    <w:p w14:paraId="2B57F3A0" w14:textId="309D51A4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726A4F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54430919"/>
      <w:docPartObj>
        <w:docPartGallery w:val="Page Numbers (Top of Page)"/>
        <w:docPartUnique/>
      </w:docPartObj>
    </w:sdtPr>
    <w:sdtEndPr/>
    <w:sdtContent>
      <w:p w14:paraId="402C545F" w14:textId="42159FB9" w:rsidR="00816CEE" w:rsidRPr="00726A4F" w:rsidRDefault="00816CEE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726A4F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726A4F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726A4F">
          <w:rPr>
            <w:sz w:val="16"/>
            <w:szCs w:val="16"/>
            <w:lang w:val="es-ES"/>
          </w:rPr>
          <w:tab/>
        </w:r>
        <w:r w:rsidRPr="00726A4F">
          <w:rPr>
            <w:rFonts w:ascii="Calibri" w:hAnsi="Calibri"/>
            <w:sz w:val="16"/>
            <w:szCs w:val="16"/>
            <w:lang w:val="es-ES"/>
          </w:rPr>
          <w:t>Informe final de la CMDT-25 – Parte IV – Resolución 85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039124185"/>
      <w:docPartObj>
        <w:docPartGallery w:val="Page Numbers (Top of Page)"/>
        <w:docPartUnique/>
      </w:docPartObj>
    </w:sdtPr>
    <w:sdtEndPr/>
    <w:sdtContent>
      <w:p w14:paraId="7537014E" w14:textId="00235917" w:rsidR="00816CEE" w:rsidRPr="00726A4F" w:rsidRDefault="00816CEE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726A4F">
          <w:rPr>
            <w:rFonts w:ascii="Calibri" w:hAnsi="Calibri"/>
            <w:sz w:val="16"/>
            <w:szCs w:val="16"/>
            <w:lang w:val="es-ES"/>
          </w:rPr>
          <w:t>Informe final de la CMDT-25 – Parte IV – Resolución 85</w:t>
        </w:r>
        <w:r w:rsidRPr="00726A4F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726A4F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726A4F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28008844"/>
      <w:docPartObj>
        <w:docPartGallery w:val="Page Numbers (Top of Page)"/>
        <w:docPartUnique/>
      </w:docPartObj>
    </w:sdtPr>
    <w:sdtEndPr/>
    <w:sdtContent>
      <w:p w14:paraId="17E5A9B9" w14:textId="7A83FAEA" w:rsidR="00816CEE" w:rsidRPr="00726A4F" w:rsidRDefault="00816CEE" w:rsidP="00726A4F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sz w:val="16"/>
            <w:szCs w:val="16"/>
            <w:lang w:val="es-ES"/>
          </w:rPr>
        </w:pPr>
        <w:r w:rsidRPr="00726A4F">
          <w:rPr>
            <w:rFonts w:ascii="Calibri" w:hAnsi="Calibri"/>
            <w:sz w:val="16"/>
            <w:szCs w:val="16"/>
            <w:lang w:val="es-ES"/>
          </w:rPr>
          <w:t>Informe final de la CMDT-25 – Parte IV – Resolución 85</w:t>
        </w:r>
        <w:r w:rsidR="00726A4F">
          <w:rPr>
            <w:rFonts w:ascii="Calibri" w:hAnsi="Calibri"/>
            <w:sz w:val="16"/>
            <w:szCs w:val="16"/>
            <w:lang w:val="es-ES"/>
          </w:rPr>
          <w:tab/>
        </w:r>
        <w:r w:rsidR="00726A4F">
          <w:rPr>
            <w:sz w:val="16"/>
            <w:szCs w:val="16"/>
          </w:rPr>
          <w:fldChar w:fldCharType="begin"/>
        </w:r>
        <w:r w:rsidR="00726A4F" w:rsidRPr="00726A4F">
          <w:rPr>
            <w:sz w:val="16"/>
            <w:szCs w:val="16"/>
            <w:lang w:val="es-ES"/>
          </w:rPr>
          <w:instrText xml:space="preserve"> PAGE   \* MERGEFORMAT </w:instrText>
        </w:r>
        <w:r w:rsidR="00726A4F">
          <w:rPr>
            <w:sz w:val="16"/>
            <w:szCs w:val="16"/>
          </w:rPr>
          <w:fldChar w:fldCharType="separate"/>
        </w:r>
        <w:r w:rsidR="00726A4F" w:rsidRPr="00726A4F">
          <w:rPr>
            <w:sz w:val="16"/>
            <w:szCs w:val="16"/>
            <w:lang w:val="es-ES"/>
          </w:rPr>
          <w:t>1</w:t>
        </w:r>
        <w:r w:rsidR="00726A4F">
          <w:rPr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4F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5D93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B7E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6</Pages>
  <Words>1584</Words>
  <Characters>8428</Characters>
  <Application>Microsoft Office Word</Application>
  <DocSecurity>0</DocSecurity>
  <Lines>159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9942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85 (Rev. Bakú, 2025) Facilitación de la Internet de las cosas y las ciudades y comunidades inteligentes y sostenibles, incluidas las aldeas, para el desarrollo mundial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2026-09-24T07:59:00Z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