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D294" w14:textId="0BBAB2E2" w:rsidR="00C875B7" w:rsidRPr="003C0233" w:rsidRDefault="00C875B7" w:rsidP="00C875B7">
      <w:pPr>
        <w:pStyle w:val="ResNo"/>
        <w:rPr>
          <w:lang w:val="es-ES_tradnl"/>
        </w:rPr>
      </w:pPr>
      <w:bookmarkStart w:id="0" w:name="_Toc227854993"/>
      <w:bookmarkStart w:id="1" w:name="_Toc227855306"/>
      <w:bookmarkStart w:id="2" w:name="_Toc227855518"/>
      <w:bookmarkStart w:id="3" w:name="_Toc227856285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78</w:t>
      </w:r>
      <w:r w:rsidRPr="003C0233">
        <w:rPr>
          <w:lang w:val="es-ES_tradnl"/>
        </w:rPr>
        <w:t xml:space="preserve"> (Rev. </w:t>
      </w:r>
      <w:r w:rsidR="00A31703" w:rsidRPr="003C0233">
        <w:rPr>
          <w:lang w:val="es-ES_tradnl"/>
        </w:rPr>
        <w:t>Bakú</w:t>
      </w:r>
      <w:r w:rsidRPr="003C0233">
        <w:rPr>
          <w:lang w:val="es-ES_tradnl"/>
        </w:rPr>
        <w:t>, 2025)</w:t>
      </w:r>
      <w:bookmarkEnd w:id="0"/>
      <w:bookmarkEnd w:id="1"/>
      <w:bookmarkEnd w:id="2"/>
      <w:bookmarkEnd w:id="3"/>
    </w:p>
    <w:p w14:paraId="57C75D38" w14:textId="0A992FD8" w:rsidR="00C875B7" w:rsidRPr="003C0233" w:rsidRDefault="00C875B7" w:rsidP="00C875B7">
      <w:pPr>
        <w:pStyle w:val="Restitle"/>
        <w:rPr>
          <w:lang w:val="es-ES_tradnl"/>
        </w:rPr>
      </w:pPr>
      <w:bookmarkStart w:id="4" w:name="_Toc227854994"/>
      <w:bookmarkStart w:id="5" w:name="_Toc227855307"/>
      <w:bookmarkStart w:id="6" w:name="_Toc227855519"/>
      <w:bookmarkStart w:id="7" w:name="_Toc227856286"/>
      <w:r w:rsidRPr="003C0233">
        <w:rPr>
          <w:lang w:val="es-ES_tradnl"/>
        </w:rPr>
        <w:t xml:space="preserve">Capacitación para contrarrestar y combatir la apropiación y utilización indebidas de los recursos de numeración del Sector de Normalización </w:t>
      </w:r>
      <w:r w:rsidR="00310118">
        <w:rPr>
          <w:lang w:val="es-ES_tradnl"/>
        </w:rPr>
        <w:br/>
      </w:r>
      <w:r w:rsidRPr="003C0233">
        <w:rPr>
          <w:lang w:val="es-ES_tradnl"/>
        </w:rPr>
        <w:t>de las Telecomunicaciones de la UIT</w:t>
      </w:r>
      <w:bookmarkEnd w:id="4"/>
      <w:bookmarkEnd w:id="5"/>
      <w:bookmarkEnd w:id="6"/>
      <w:bookmarkEnd w:id="7"/>
    </w:p>
    <w:p w14:paraId="165004F0" w14:textId="77777777" w:rsidR="00C875B7" w:rsidRPr="003C0233" w:rsidRDefault="00C875B7" w:rsidP="00C875B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16DA2BA1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4AC87B0E" w14:textId="02432D12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las disposiciones del Capítulo IV de la Constitución de la UIT sobre el Sector de Desarrollo de las Telecomunicaciones de la UIT (UIT</w:t>
      </w:r>
      <w:r w:rsidRPr="003C0233">
        <w:rPr>
          <w:lang w:val="es-ES_tradnl"/>
        </w:rPr>
        <w:noBreakHyphen/>
        <w:t>D), en particular las relativas a las funciones del UIT</w:t>
      </w:r>
      <w:r w:rsidRPr="003C0233">
        <w:rPr>
          <w:lang w:val="es-ES_tradnl"/>
        </w:rPr>
        <w:noBreakHyphen/>
        <w:t>D en materia de sensibilización sobre el efecto de las telecomunicaciones/tecnologías de la información y la comunicación en el desarrollo económico y social de las naciones; su papel catalizador en el fomento del desarrollo, la expansión y el funcionamiento de los servicios y las redes de telecomunicaciones, sobre todo en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>; y la necesidad de mantener y promover la cooperación con organizaciones regionales y otras organizaciones de telecomunicaciones,</w:t>
      </w:r>
    </w:p>
    <w:p w14:paraId="0825B170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considerando también</w:t>
      </w:r>
    </w:p>
    <w:p w14:paraId="2914D800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22 (Rev. Bakú, 2025) de la presente Conferencia, Procedimientos alternativos de llamada en las redes internacionales de telecomunicaciones e identificación del origen de las llamadas en la prestación de servicios internacionales de telecomunicaciones;</w:t>
      </w:r>
    </w:p>
    <w:p w14:paraId="1FAF485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</w:t>
      </w:r>
      <w:r w:rsidRPr="003C0233">
        <w:rPr>
          <w:i/>
          <w:iCs/>
          <w:lang w:val="es-ES_tradnl"/>
        </w:rPr>
        <w:t xml:space="preserve"> </w:t>
      </w:r>
      <w:r w:rsidRPr="003C0233">
        <w:rPr>
          <w:lang w:val="es-ES_tradnl"/>
        </w:rPr>
        <w:t>Resolución 190 (</w:t>
      </w:r>
      <w:proofErr w:type="spellStart"/>
      <w:r w:rsidRPr="003C0233">
        <w:rPr>
          <w:lang w:val="es-ES_tradnl"/>
        </w:rPr>
        <w:t>Busán</w:t>
      </w:r>
      <w:proofErr w:type="spellEnd"/>
      <w:r w:rsidRPr="003C0233">
        <w:rPr>
          <w:lang w:val="es-ES_tradnl"/>
        </w:rPr>
        <w:t>, 2014) de la Conferencia de Plenipotenciarios, Lucha contra la apropiación y uso indebidos de recursos internacionales de numeración para las telecomunicaciones;</w:t>
      </w:r>
    </w:p>
    <w:p w14:paraId="2276673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rFonts w:cs="TimesNewRoman"/>
          <w:lang w:val="es-ES_tradnl"/>
        </w:rPr>
        <w:t xml:space="preserve">la </w:t>
      </w:r>
      <w:r w:rsidRPr="003C0233">
        <w:rPr>
          <w:lang w:val="es-ES_tradnl"/>
        </w:rPr>
        <w:t>Resolución 61 (Rev. Nueva Delhi, 2024) de la Asamblea Mundial de Normalización de las Telecomunicaciones (AMNT), Respuesta y lucha contra la apropiación y el uso indebidos de recursos internacionales de numeración, denominación, direccionamiento e identificación (NDDI) para las telecomunicaciones;</w:t>
      </w:r>
    </w:p>
    <w:p w14:paraId="3362019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20 (Rev. Nueva Delhi, 2024) de la AMNT, Procedimientos para la atribución y gestión de los recursos NDDI internacionales de telecomunicaciones;</w:t>
      </w:r>
    </w:p>
    <w:p w14:paraId="493A75EF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51E3030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las Resoluciones de las anteriores Conferencias Mundiales de Desarrollo de las Telecomunicaciones dirigidas a países con necesidades especiales;</w:t>
      </w:r>
    </w:p>
    <w:p w14:paraId="0CF8C85E" w14:textId="1173E831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labor realizada hasta la fecha por el UIT</w:t>
      </w:r>
      <w:r w:rsidRPr="003C0233">
        <w:rPr>
          <w:lang w:val="es-ES_tradnl"/>
        </w:rPr>
        <w:noBreakHyphen/>
        <w:t>D, para prestar asistencia a los países en la comprensión y la lucha contra la apropiación indebida de los números de teléfono de la Recomendación UIT</w:t>
      </w:r>
      <w:r w:rsidRPr="003C0233">
        <w:rPr>
          <w:lang w:val="es-ES_tradnl"/>
        </w:rPr>
        <w:noBreakHyphen/>
        <w:t>T E.164, a través de los programas, actividades y proyectos del UIT</w:t>
      </w:r>
      <w:r w:rsidRPr="003C0233">
        <w:rPr>
          <w:lang w:val="es-ES_tradnl"/>
        </w:rPr>
        <w:noBreakHyphen/>
        <w:t>D,</w:t>
      </w:r>
    </w:p>
    <w:p w14:paraId="7FD8629F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2B4C73C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 xml:space="preserve">la importante reducción del número de casos comunicados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 (TSB) sobre apropiación y utilización indebidas de recursos de numeración E.164 de telecomunicaciones internacionales;</w:t>
      </w:r>
    </w:p>
    <w:p w14:paraId="2F03A46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los Estados Miembros son responsables de la gestión de los recursos de numeración E.164 de telecomunicaciones internacionales que figuran tras el indicativo de país que la Recomendación UIT</w:t>
      </w:r>
      <w:r w:rsidRPr="003C0233">
        <w:rPr>
          <w:lang w:val="es-ES_tradnl"/>
        </w:rPr>
        <w:noBreakHyphen/>
        <w:t>T E.164 les ha asignado;</w:t>
      </w:r>
    </w:p>
    <w:p w14:paraId="39C66227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 xml:space="preserve">que muchos Estados Miembros, en especial los países en </w:t>
      </w:r>
      <w:proofErr w:type="gramStart"/>
      <w:r w:rsidRPr="003C0233">
        <w:rPr>
          <w:lang w:val="es-ES_tradnl"/>
        </w:rPr>
        <w:t>desarrollo,</w:t>
      </w:r>
      <w:proofErr w:type="gramEnd"/>
      <w:r w:rsidRPr="003C0233">
        <w:rPr>
          <w:lang w:val="es-ES_tradnl"/>
        </w:rPr>
        <w:t xml:space="preserve"> se han visto afectados de manera importante y perjudicial por la apropiación indebida de recursos de numeración E.164 de telecomunicaciones internacionales;</w:t>
      </w:r>
    </w:p>
    <w:p w14:paraId="0AB0332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muchos operadores de telecomunicaciones se han visto profunda y negativamente afectados por la apropiación indebida de recursos de numeración E.164 de telecomunicaciones internacionales;</w:t>
      </w:r>
    </w:p>
    <w:p w14:paraId="24A66556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Recomendación UIT-T E.156, que establece Directrices para la actuación del Sector de Normalización de las Telecomunicaciones de la UIT (UIT</w:t>
      </w:r>
      <w:r w:rsidRPr="003C0233">
        <w:rPr>
          <w:lang w:val="es-ES_tradnl"/>
        </w:rPr>
        <w:noBreakHyphen/>
        <w:t>T) en caso de que se notifique una utilización indebida de los números UIT</w:t>
      </w:r>
      <w:r w:rsidRPr="003C0233">
        <w:rPr>
          <w:lang w:val="es-ES_tradnl"/>
        </w:rPr>
        <w:noBreakHyphen/>
        <w:t>T E.164, y el Suplemento 1 a la Recomendación UIT</w:t>
      </w:r>
      <w:r w:rsidRPr="003C0233">
        <w:rPr>
          <w:lang w:val="es-ES_tradnl"/>
        </w:rPr>
        <w:noBreakHyphen/>
        <w:t>T E.156, que facilita una guía de prácticas idóneas para contrarrestar la utilización indebida de los recursos de numeración UIT</w:t>
      </w:r>
      <w:r w:rsidRPr="003C0233">
        <w:rPr>
          <w:lang w:val="es-ES_tradnl"/>
        </w:rPr>
        <w:noBreakHyphen/>
        <w:t>T E.164, así como el Suplemento 2 a la Recomendación UIT</w:t>
      </w:r>
      <w:r w:rsidRPr="003C0233">
        <w:rPr>
          <w:lang w:val="es-ES_tradnl"/>
        </w:rPr>
        <w:noBreakHyphen/>
        <w:t>T E.156, que define un conjunto de posibles medidas contra la utilización indebida;</w:t>
      </w:r>
    </w:p>
    <w:p w14:paraId="1E8A60B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los límites existentes en los recursos presupuestarios disponibles,</w:t>
      </w:r>
    </w:p>
    <w:p w14:paraId="3DAE4452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617FDBD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es preciso luchar contra la apropiación y utilización indebidas de los recursos de numeración E.164 de telecomunicaciones internacionales asignados de conformidad con la Recomendación UIT-T E.164;</w:t>
      </w:r>
    </w:p>
    <w:p w14:paraId="2806428B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012105E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b)</w:t>
      </w:r>
      <w:r w:rsidRPr="003C0233">
        <w:rPr>
          <w:lang w:val="es-ES_tradnl"/>
        </w:rPr>
        <w:tab/>
        <w:t xml:space="preserve">que la atribución de recursos mundiales de numeración telefónica está gestionada por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 TSB, de acuerdo con las Recomendaciones del UIT-T;</w:t>
      </w:r>
    </w:p>
    <w:p w14:paraId="6AECE129" w14:textId="4AC04BA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gestión y atribución de los recursos nacionales de numeración telefónica es responsabilidad de los Estados Miembros, y que tal gestión es un derecho soberano plasmado en los marcos jurídicos y reglamentarios nacionales;</w:t>
      </w:r>
    </w:p>
    <w:p w14:paraId="1C86C51A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existen diferencias entre los enfoques que los Estados Miembros aplican en la gestión de sus recursos nacionales de numeración telefónica;</w:t>
      </w:r>
    </w:p>
    <w:p w14:paraId="79444857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los Estados Miembros tienen derecho a imponer normas a quienes atribuyen recursos de numeración telefónica, por ejemplo, a través de las Autoridades del Plan Nacional de Numeración;</w:t>
      </w:r>
    </w:p>
    <w:p w14:paraId="4B981FE6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que los operadores de telecomunicaciones y las empresas de explotación han de actuar de conformidad con todos los reglamentos internacionales y marcos reglamentarios y jurídicos nacionales del Estado Miembro en el que se utiliza el número,</w:t>
      </w:r>
    </w:p>
    <w:p w14:paraId="4DCD9F88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646E0C2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publique, identifique, fomente y utilice los documentos y trabajos de investigación elaborados hasta la fecha como modelo para las actividades futuras, a fin de identificar de manera coherente los problemas y luchar contra la apropiación indebida de recursos de numeración E.164 de telecomunicaciones internacionales;</w:t>
      </w:r>
    </w:p>
    <w:p w14:paraId="6CD6308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utilice las notificaciones presentadas sobre apropiación indebida de recursos de numeración E.164 de telecomunicaciones internacionales, a fin de identificar de forma coherente las cuestiones relativas a la apropiación indebida de recursos de numeración E.164 de telecomunicaciones internacionales;</w:t>
      </w:r>
    </w:p>
    <w:p w14:paraId="700F9F0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que, a petición de los Estados Miembros, les preste asistencia para desarrollar sus capacidades para luchar contra la apropiación indebida de recursos de numeración E.164 de telecomunicaciones internacionales;</w:t>
      </w:r>
    </w:p>
    <w:p w14:paraId="3C8F024A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2253B09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4</w:t>
      </w:r>
      <w:r w:rsidRPr="003C0233">
        <w:rPr>
          <w:lang w:val="es-ES_tradnl"/>
        </w:rPr>
        <w:tab/>
        <w:t>que siga colaborando con las regiones, subregiones y países, en particular con los países en desarrollo, con el fin de elaborar directrices y marcos jurídicos y reglamentarios nacionales adecuados que permitan garantizar unas prácticas idóneas en materia de gestión de recursos de numeración E.164 de telecomunicaciones internacionales para contrarrestar su apropiación indebida,</w:t>
      </w:r>
    </w:p>
    <w:p w14:paraId="7FAB93B5" w14:textId="349F0E59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Telecomunicaciones, en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</w:t>
      </w:r>
    </w:p>
    <w:p w14:paraId="744E7FA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se asegure de la disponibilidad de los planes nacionales de numeración, directamente del Estado Miembro o a través de las notificaciones del Boletín de Explotación de la UIT o de los enlaces a planes de numeración nacional publicados en la página web de los planes de numeración nacional del UIT</w:t>
      </w:r>
      <w:r w:rsidRPr="003C0233">
        <w:rPr>
          <w:lang w:val="es-ES_tradnl"/>
        </w:rPr>
        <w:noBreakHyphen/>
        <w:t>T, utilizando el formato especificado en la Recomendación UIT</w:t>
      </w:r>
      <w:r w:rsidRPr="003C0233">
        <w:rPr>
          <w:lang w:val="es-ES_tradnl"/>
        </w:rPr>
        <w:noBreakHyphen/>
        <w:t>T E.129, a fin de contribuir a la lucha contra la apropiación indebida de recursos de numeración E.164 de telecomunicaciones internacionales;</w:t>
      </w:r>
    </w:p>
    <w:p w14:paraId="0285636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responda de forma eficiente a las peticiones de los Estados Miembros, en particular de los países en desarrollo, para fomentar y adoptar prácticas idóneas de lucha contra la apropiación indebida de recursos de numeración E.164 de telecomunicaciones internacionales, que se materialicen en modelos, propuestas, directrices y Resoluciones a fin de responder y luchar contra dicha apropiación indebida;</w:t>
      </w:r>
    </w:p>
    <w:p w14:paraId="524204A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coopere con otras entidades para seguir elaborando medidas basadas en prácticas idóneas reconocidas, con objeto de combatir la apropiación indebida de recursos de numeración E.164 de telecomunicaciones internacionales;</w:t>
      </w:r>
    </w:p>
    <w:p w14:paraId="49B9965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apoye los trabajos de investigación y los proyectos piloto de los Estados Miembros basados en tecnologías avanzadas, para garantizar la seguridad de los recursos de numeración y gestionarlos de forma más eficaz;</w:t>
      </w:r>
    </w:p>
    <w:p w14:paraId="6FCA963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promueva y aliente de manera proactiva a los Estados Miembros a colaborar con los proveedores de servicio, los operadores de telecomunicaciones y otras partes interesadas del sector privado en las fases de consulta y aplicación,</w:t>
      </w:r>
    </w:p>
    <w:p w14:paraId="1F6E2AAF" w14:textId="77777777" w:rsidR="00402E72" w:rsidRPr="003C0233" w:rsidRDefault="00402E72" w:rsidP="00402E72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616FD0E1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invita a los Estados Miembros</w:t>
      </w:r>
    </w:p>
    <w:p w14:paraId="19AD264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colaborar en las actividades de identificación, respuesta y lucha contra la apropiación indebida de recursos de numeración E.164 de telecomunicaciones internacionales;</w:t>
      </w:r>
    </w:p>
    <w:p w14:paraId="22A3144B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contribuir al desarrollo e implantación de prácticas idóneas en materia de gestión de recursos de numeración E.164 de telecomunicaciones internacionales dentro de su jurisdicción;</w:t>
      </w:r>
    </w:p>
    <w:p w14:paraId="654E3D30" w14:textId="42B3B6F2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colaborar con otros Estados Miembros, operadores de telecomunicaciones y empresas de explotación, a fin de mantenerlos informados de las normas, directrices y métodos de atribución de recursos de numeración E.164 de telecomunicaciones internacionales en su país;</w:t>
      </w:r>
    </w:p>
    <w:p w14:paraId="058E4045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recabar información sobre iniciativas legislativas relativas a la lucha contra la apropiación y utilización indebidas de recursos de numeración E.164 de telecomunicaciones internacionales y facilitar las actividades que permitan dar a conocer esa información,</w:t>
      </w:r>
    </w:p>
    <w:p w14:paraId="3D4444C6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 los Estados Miembros y a los Miembros de Sector</w:t>
      </w:r>
    </w:p>
    <w:p w14:paraId="7F0F321F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a contribuir al desarrollo de prácticas idóneas con el fin de combatir la apropiación indebida de recursos de numeración E.164 de telecomunicaciones internacionales y a alentar que las administraciones y los operadores internacionales garanticen que los recursos de numeración E.164 de telecomunicaciones internacionales sean utilizados únicamente por aquéllos a quienes se les hayan asignado y con la finalidad para la cual fueron asignados, y que no se haga uso de recursos no asignados.</w:t>
      </w:r>
    </w:p>
    <w:p w14:paraId="743FD4EF" w14:textId="77777777" w:rsidR="003E44FC" w:rsidRDefault="003E44FC" w:rsidP="00C875B7">
      <w:pPr>
        <w:rPr>
          <w:lang w:val="es-ES_tradnl"/>
        </w:rPr>
      </w:pPr>
    </w:p>
    <w:p w14:paraId="49AB3F28" w14:textId="77777777" w:rsidR="003E44FC" w:rsidRDefault="003E44FC" w:rsidP="00C875B7">
      <w:pPr>
        <w:rPr>
          <w:lang w:val="es-ES_tradnl"/>
        </w:rPr>
      </w:pPr>
    </w:p>
    <w:p w14:paraId="05FA7AA8" w14:textId="77777777" w:rsidR="003E44FC" w:rsidRDefault="003E44FC" w:rsidP="00C875B7">
      <w:pPr>
        <w:rPr>
          <w:lang w:val="es-ES_tradnl"/>
        </w:rPr>
      </w:pPr>
    </w:p>
    <w:p w14:paraId="3CA1C298" w14:textId="77777777" w:rsidR="003E44FC" w:rsidRPr="003C0233" w:rsidRDefault="003E44FC" w:rsidP="00C875B7">
      <w:pPr>
        <w:rPr>
          <w:lang w:val="es-ES_tradnl"/>
        </w:rPr>
      </w:pPr>
    </w:p>
    <w:sectPr w:rsidR="003E44FC" w:rsidRPr="003C0233" w:rsidSect="00D723DD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3EB3" w14:textId="77777777" w:rsidR="003B1A38" w:rsidRDefault="003B1A38">
      <w:r>
        <w:separator/>
      </w:r>
    </w:p>
  </w:endnote>
  <w:endnote w:type="continuationSeparator" w:id="0">
    <w:p w14:paraId="6466E1F1" w14:textId="77777777" w:rsidR="003B1A38" w:rsidRDefault="003B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F04B" w14:textId="77777777" w:rsidR="003B1A38" w:rsidRDefault="003B1A38">
      <w:r>
        <w:rPr>
          <w:b/>
        </w:rPr>
        <w:t>_______________</w:t>
      </w:r>
    </w:p>
  </w:footnote>
  <w:footnote w:type="continuationSeparator" w:id="0">
    <w:p w14:paraId="4BE3704F" w14:textId="77777777" w:rsidR="003B1A38" w:rsidRDefault="003B1A38">
      <w:r>
        <w:continuationSeparator/>
      </w:r>
    </w:p>
  </w:footnote>
  <w:footnote w:id="1">
    <w:p w14:paraId="220B7A3F" w14:textId="6E31A992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D723DD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876514342"/>
      <w:docPartObj>
        <w:docPartGallery w:val="Page Numbers (Top of Page)"/>
        <w:docPartUnique/>
      </w:docPartObj>
    </w:sdtPr>
    <w:sdtEndPr/>
    <w:sdtContent>
      <w:p w14:paraId="6CF66EA9" w14:textId="6B4162D1" w:rsidR="00C97BE0" w:rsidRPr="00D723DD" w:rsidRDefault="00C97BE0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D723DD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D723DD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D723DD">
          <w:rPr>
            <w:sz w:val="16"/>
            <w:szCs w:val="16"/>
            <w:lang w:val="es-ES"/>
          </w:rPr>
          <w:tab/>
        </w:r>
        <w:r w:rsidRPr="00D723DD">
          <w:rPr>
            <w:rFonts w:ascii="Calibri" w:hAnsi="Calibri"/>
            <w:sz w:val="16"/>
            <w:szCs w:val="16"/>
            <w:lang w:val="es-ES"/>
          </w:rPr>
          <w:t>Informe final de la CMDT-25 – Parte IV – Resolución 78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738634924"/>
      <w:docPartObj>
        <w:docPartGallery w:val="Page Numbers (Top of Page)"/>
        <w:docPartUnique/>
      </w:docPartObj>
    </w:sdtPr>
    <w:sdtEndPr/>
    <w:sdtContent>
      <w:p w14:paraId="00391FFE" w14:textId="00B01543" w:rsidR="00C97BE0" w:rsidRPr="00D723DD" w:rsidRDefault="00C97BE0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D723DD">
          <w:rPr>
            <w:rFonts w:ascii="Calibri" w:hAnsi="Calibri"/>
            <w:sz w:val="16"/>
            <w:szCs w:val="16"/>
            <w:lang w:val="es-ES"/>
          </w:rPr>
          <w:t>Informe final de la CMDT-25 – Parte IV – Resolución 78</w:t>
        </w:r>
        <w:r w:rsidRPr="00D723DD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D723DD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D723DD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208528019"/>
      <w:docPartObj>
        <w:docPartGallery w:val="Page Numbers (Top of Page)"/>
        <w:docPartUnique/>
      </w:docPartObj>
    </w:sdtPr>
    <w:sdtEndPr/>
    <w:sdtContent>
      <w:p w14:paraId="7929E900" w14:textId="1A275BD0" w:rsidR="00C97BE0" w:rsidRPr="00D723DD" w:rsidRDefault="00C97BE0" w:rsidP="00D723DD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sz w:val="16"/>
            <w:szCs w:val="16"/>
            <w:lang w:val="es-ES"/>
          </w:rPr>
        </w:pPr>
        <w:r w:rsidRPr="00D723DD">
          <w:rPr>
            <w:rFonts w:ascii="Calibri" w:hAnsi="Calibri"/>
            <w:sz w:val="16"/>
            <w:szCs w:val="16"/>
            <w:lang w:val="es-ES"/>
          </w:rPr>
          <w:t>Informe final de la CMDT-25 – Parte IV – Resolución 78</w:t>
        </w:r>
        <w:r w:rsidR="00D723DD">
          <w:rPr>
            <w:rFonts w:ascii="Calibri" w:hAnsi="Calibri"/>
            <w:sz w:val="16"/>
            <w:szCs w:val="16"/>
            <w:lang w:val="es-ES"/>
          </w:rPr>
          <w:tab/>
        </w:r>
        <w:r w:rsidR="00D723DD">
          <w:rPr>
            <w:sz w:val="16"/>
            <w:szCs w:val="16"/>
          </w:rPr>
          <w:fldChar w:fldCharType="begin"/>
        </w:r>
        <w:r w:rsidR="00D723DD" w:rsidRPr="00D723DD">
          <w:rPr>
            <w:sz w:val="16"/>
            <w:szCs w:val="16"/>
            <w:lang w:val="es-ES"/>
          </w:rPr>
          <w:instrText xml:space="preserve"> PAGE   \* MERGEFORMAT </w:instrText>
        </w:r>
        <w:r w:rsidR="00D723DD">
          <w:rPr>
            <w:sz w:val="16"/>
            <w:szCs w:val="16"/>
          </w:rPr>
          <w:fldChar w:fldCharType="separate"/>
        </w:r>
        <w:r w:rsidR="00D723DD" w:rsidRPr="00D723DD">
          <w:rPr>
            <w:sz w:val="16"/>
            <w:szCs w:val="16"/>
            <w:lang w:val="es-ES"/>
          </w:rPr>
          <w:t>1</w:t>
        </w:r>
        <w:r w:rsidR="00D723DD">
          <w:rPr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1E25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1A38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44FC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3DD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5</Pages>
  <Words>1389</Words>
  <Characters>8159</Characters>
  <Application>Microsoft Office Word</Application>
  <DocSecurity>0</DocSecurity>
  <Lines>140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9497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78 (Rev. Bakú, 2025) Capacitación para contrarrestar y combatir la apropiación y utilización indebidas de los recursos de numeración del Sector de Normalización de las Telecomunicaciones de la UIT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216</cp:revision>
  <cp:lastPrinted>2026-04-30T13:21:00Z</cp:lastPrinted>
  <dcterms:created xsi:type="dcterms:W3CDTF">2026-02-17T07:51:00Z</dcterms:created>
  <dcterms:modified xsi:type="dcterms:W3CDTF">2026-09-24T07:33:00Z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