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5257" w14:textId="77777777" w:rsidR="00CD40BF" w:rsidRPr="00E17456" w:rsidRDefault="00CD40BF" w:rsidP="00CD40BF">
      <w:pPr>
        <w:pStyle w:val="ResNo"/>
        <w:rPr>
          <w:lang w:val="es-ES_tradnl"/>
        </w:rPr>
      </w:pPr>
      <w:bookmarkStart w:id="0" w:name="_Toc116917056"/>
      <w:bookmarkStart w:id="1" w:name="_Toc116918625"/>
      <w:bookmarkStart w:id="2" w:name="_Toc116919116"/>
      <w:bookmarkStart w:id="3" w:name="_Toc116919603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78</w:t>
      </w:r>
      <w:r w:rsidRPr="00E17456">
        <w:rPr>
          <w:lang w:val="es-ES_tradnl"/>
        </w:rPr>
        <w:t xml:space="preserve"> (Rev. Kigali, 2022)</w:t>
      </w:r>
      <w:bookmarkEnd w:id="0"/>
      <w:bookmarkEnd w:id="1"/>
      <w:bookmarkEnd w:id="2"/>
      <w:bookmarkEnd w:id="3"/>
    </w:p>
    <w:p w14:paraId="0B678D3B" w14:textId="77777777" w:rsidR="00CD40BF" w:rsidRPr="00E17456" w:rsidRDefault="00CD40BF" w:rsidP="00CD40BF">
      <w:pPr>
        <w:pStyle w:val="Restitle"/>
        <w:rPr>
          <w:lang w:val="es-ES_tradnl"/>
        </w:rPr>
      </w:pPr>
      <w:bookmarkStart w:id="4" w:name="_Toc116917057"/>
      <w:bookmarkStart w:id="5" w:name="_Toc116918626"/>
      <w:bookmarkStart w:id="6" w:name="_Toc116919117"/>
      <w:bookmarkStart w:id="7" w:name="_Toc116919604"/>
      <w:r w:rsidRPr="00E17456">
        <w:rPr>
          <w:lang w:val="es-ES_tradnl"/>
        </w:rPr>
        <w:t>Capacitación para contrarrestar y combatir la apropiación y utilización</w:t>
      </w:r>
      <w:r w:rsidRPr="00E17456">
        <w:rPr>
          <w:lang w:val="es-ES_tradnl"/>
        </w:rPr>
        <w:br/>
        <w:t>indebidas de los recursos de numeración del Sector de Normalización</w:t>
      </w:r>
      <w:r w:rsidRPr="00E17456">
        <w:rPr>
          <w:lang w:val="es-ES_tradnl"/>
        </w:rPr>
        <w:br/>
        <w:t>de las Telecomunicaciones de la UIT</w:t>
      </w:r>
      <w:bookmarkEnd w:id="4"/>
      <w:bookmarkEnd w:id="5"/>
      <w:bookmarkEnd w:id="6"/>
      <w:bookmarkEnd w:id="7"/>
    </w:p>
    <w:p w14:paraId="1EA1B7B3" w14:textId="77777777" w:rsidR="00CD40BF" w:rsidRPr="00E17456" w:rsidRDefault="00CD40BF" w:rsidP="00CD40BF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3D110866" w14:textId="77777777" w:rsidR="00CD40BF" w:rsidRPr="00E17456" w:rsidRDefault="00CD40BF" w:rsidP="00CD40BF">
      <w:pPr>
        <w:pStyle w:val="Call"/>
        <w:rPr>
          <w:lang w:val="es-ES_tradnl"/>
        </w:rPr>
      </w:pPr>
      <w:r w:rsidRPr="00E17456">
        <w:rPr>
          <w:lang w:val="es-ES_tradnl"/>
        </w:rPr>
        <w:t>considerando</w:t>
      </w:r>
    </w:p>
    <w:p w14:paraId="517BF7A3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las disposiciones del Capítulo IV de la Constitución de la UIT sobre el Sector de Desarrollo de las Telecomunicaciones de la UIT (UIT</w:t>
      </w:r>
      <w:r w:rsidRPr="00E17456">
        <w:rPr>
          <w:lang w:val="es-ES_tradnl"/>
        </w:rPr>
        <w:noBreakHyphen/>
        <w:t>D), en particular las relativas a las funciones del UIT-D en materia de sensibilización sobre el efecto de las telecomunicaciones/tecnologías de la información y la comunicación (TIC) en el desarrollo económico y social de las naciones; su papel catalizador en el fomento del desarrollo, la expansión y el funcionamiento de los servicios y las redes de telecomunicaciones, sobre todo en los países en desarrollo; y la necesidad de mantener y promover la cooperación con organizaciones regionales y otras organizaciones de telecomunicaciones,</w:t>
      </w:r>
    </w:p>
    <w:p w14:paraId="1BD8061A" w14:textId="77777777" w:rsidR="00CD40BF" w:rsidRPr="00E17456" w:rsidRDefault="00CD40BF" w:rsidP="00CD40BF">
      <w:pPr>
        <w:keepNext/>
        <w:keepLines/>
        <w:spacing w:before="160"/>
        <w:ind w:left="1134"/>
        <w:rPr>
          <w:i/>
          <w:lang w:val="es-ES_tradnl"/>
        </w:rPr>
      </w:pPr>
      <w:r w:rsidRPr="00E17456">
        <w:rPr>
          <w:i/>
          <w:lang w:val="es-ES_tradnl"/>
        </w:rPr>
        <w:t>considerando también</w:t>
      </w:r>
    </w:p>
    <w:p w14:paraId="496EDDC6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Resolución 22 (Rev. Kigali, 2022), Procedimientos alternativos de llamada en las redes internacionales de telecomunicaciones e identificación del origen de las llamadas en la prestación de servicios internacionales de telecomunicaciones, de la presente Conferencia;</w:t>
      </w:r>
    </w:p>
    <w:p w14:paraId="3D3ED5F6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</w:t>
      </w:r>
      <w:r w:rsidRPr="00E17456">
        <w:rPr>
          <w:i/>
          <w:iCs/>
          <w:lang w:val="es-ES_tradnl"/>
        </w:rPr>
        <w:t xml:space="preserve"> </w:t>
      </w:r>
      <w:r w:rsidRPr="00E17456">
        <w:rPr>
          <w:lang w:val="es-ES_tradnl"/>
        </w:rPr>
        <w:t>Resolución 190 (Busán, 2014), Lucha contra la apropiación indebida y la utilización fraudulenta de recursos internacionales de numeración para las telecomunicaciones, de la Conferencia de Plenipotenciarios;</w:t>
      </w:r>
    </w:p>
    <w:p w14:paraId="2EA320D3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i/>
          <w:iCs/>
          <w:lang w:val="es-ES_tradnl"/>
        </w:rPr>
        <w:tab/>
      </w:r>
      <w:r w:rsidRPr="00E17456">
        <w:rPr>
          <w:rFonts w:cs="TimesNewRoman"/>
          <w:lang w:val="es-ES_tradnl"/>
        </w:rPr>
        <w:t xml:space="preserve">la </w:t>
      </w:r>
      <w:r w:rsidRPr="00E17456">
        <w:rPr>
          <w:lang w:val="es-ES_tradnl"/>
        </w:rPr>
        <w:t>Resolución 61 (Rev. Ginebra, 2022), Respuesta y lucha contra la apropiación y el uso indebidos de recursos internacionales de numeración para las telecomunicaciones, de la Asamblea Mundial de Normalización de las Telecomunicaciones (AMNT);</w:t>
      </w:r>
    </w:p>
    <w:p w14:paraId="432F0C0E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 20 (Rev. Ginebra, 2022), Procedimientos para la atribución y gestión de los recursos de numeración, denominación, direccionamiento e identificación internacionales de telecomunicaciones, de la AMNT;</w:t>
      </w:r>
    </w:p>
    <w:p w14:paraId="7EEE40E9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las Resoluciones de las anteriores Conferencias Mundiales de Desarrollo de las Telecomunicaciones dirigidas a países con necesidades especiales;</w:t>
      </w:r>
    </w:p>
    <w:p w14:paraId="153D23F5" w14:textId="77777777" w:rsidR="00CD40BF" w:rsidRPr="00E17456" w:rsidRDefault="00CD40BF" w:rsidP="00CD40BF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6599247A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f)</w:t>
      </w:r>
      <w:r w:rsidRPr="00E17456">
        <w:rPr>
          <w:lang w:val="es-ES_tradnl"/>
        </w:rPr>
        <w:tab/>
        <w:t>la labor realizada hasta la fecha por el UIT-D, para prestar asistencia a los países en la comprensión y la lucha contra la apropiación indebida de los números de teléfono de la Recomendación UIT-T E.164, a través de los programas, actividades y proyectos del UIT-D,</w:t>
      </w:r>
    </w:p>
    <w:p w14:paraId="3F19382F" w14:textId="77777777" w:rsidR="00CD40BF" w:rsidRPr="00E17456" w:rsidRDefault="00CD40BF" w:rsidP="00CD40BF">
      <w:pPr>
        <w:keepNext/>
        <w:keepLines/>
        <w:spacing w:before="160"/>
        <w:ind w:left="1134"/>
        <w:rPr>
          <w:i/>
          <w:lang w:val="es-ES_tradnl"/>
        </w:rPr>
      </w:pPr>
      <w:r w:rsidRPr="00E17456">
        <w:rPr>
          <w:i/>
          <w:lang w:val="es-ES_tradnl"/>
        </w:rPr>
        <w:t>observando</w:t>
      </w:r>
    </w:p>
    <w:p w14:paraId="458D3113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importante reducción del número de casos comunicados al Director de la Oficina de Normalización de las Telecomunicaciones (TSB) sobre apropiación y utilización indebidas</w:t>
      </w:r>
      <w:r w:rsidRPr="00E17456" w:rsidDel="00DD69E5">
        <w:rPr>
          <w:lang w:val="es-ES_tradnl"/>
        </w:rPr>
        <w:t xml:space="preserve"> </w:t>
      </w:r>
      <w:r w:rsidRPr="00E17456">
        <w:rPr>
          <w:lang w:val="es-ES_tradnl"/>
        </w:rPr>
        <w:t>de recursos de numeración E.164 de telecomunicaciones internacionales;</w:t>
      </w:r>
    </w:p>
    <w:p w14:paraId="54A0831D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los Estados Miembros son responsables de la gestión de los recursos de numeración E.164 de telecomunicaciones internacionales que figuran tras el indicativo de país que la Recomendación UIT-T E.164 les ha asignado;</w:t>
      </w:r>
    </w:p>
    <w:p w14:paraId="2CD2C7E1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muchos Estados Miembros, en especial los países en desarrollo</w:t>
      </w:r>
      <w:r>
        <w:rPr>
          <w:rStyle w:val="FootnoteReference"/>
          <w:lang w:val="es-ES_tradnl"/>
        </w:rPr>
        <w:footnoteReference w:customMarkFollows="1" w:id="1"/>
        <w:t>1</w:t>
      </w:r>
      <w:r w:rsidRPr="00E17456">
        <w:rPr>
          <w:lang w:val="es-ES_tradnl"/>
        </w:rPr>
        <w:t>, se han visto afectados de manera importante y perjudicial por la apropiación indebida de recursos de numeración E.164 de telecomunicaciones internacionales;</w:t>
      </w:r>
    </w:p>
    <w:p w14:paraId="2D4ABC23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muchos operadores de telecomunicaciones se han visto profunda y negativamente afectados por la apropiación indebida de recursos de numeración E.164 de telecomunicaciones internacionales;</w:t>
      </w:r>
    </w:p>
    <w:p w14:paraId="27204370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la Recomendación UIT-T E.156, que establece Directrices para la actuación del Sector de Normalización de las Telecomunicaciones de la UIT (UIT</w:t>
      </w:r>
      <w:r w:rsidRPr="00E17456">
        <w:rPr>
          <w:lang w:val="es-ES_tradnl"/>
        </w:rPr>
        <w:noBreakHyphen/>
        <w:t>T) en caso de que se notifique una utilización indebida de los números UIT</w:t>
      </w:r>
      <w:r w:rsidRPr="00E17456">
        <w:rPr>
          <w:lang w:val="es-ES_tradnl"/>
        </w:rPr>
        <w:noBreakHyphen/>
        <w:t>T E.164, y el Suplemento 1 a la Recomendación UIT</w:t>
      </w:r>
      <w:r w:rsidRPr="00E17456">
        <w:rPr>
          <w:lang w:val="es-ES_tradnl"/>
        </w:rPr>
        <w:noBreakHyphen/>
        <w:t>T E.156, que facilita una guía de prácticas idóneas para contrarrestar la utilización indebida de los recursos de numeración UIT</w:t>
      </w:r>
      <w:r w:rsidRPr="00E17456">
        <w:rPr>
          <w:lang w:val="es-ES_tradnl"/>
        </w:rPr>
        <w:noBreakHyphen/>
        <w:t>T E.164, así como el Suplemento 2 a la Recomendación UIT</w:t>
      </w:r>
      <w:r w:rsidRPr="00E17456">
        <w:rPr>
          <w:lang w:val="es-ES_tradnl"/>
        </w:rPr>
        <w:noBreakHyphen/>
        <w:t>T E.156, que define un conjunto de posibles medidas contra la utilización indebida,</w:t>
      </w:r>
    </w:p>
    <w:p w14:paraId="1BC7E66C" w14:textId="77777777" w:rsidR="00CD40BF" w:rsidRPr="00E17456" w:rsidRDefault="00CD40BF" w:rsidP="00CD40BF">
      <w:pPr>
        <w:keepNext/>
        <w:keepLines/>
        <w:spacing w:before="160"/>
        <w:ind w:left="1134"/>
        <w:rPr>
          <w:i/>
          <w:lang w:val="es-ES_tradnl"/>
        </w:rPr>
      </w:pPr>
      <w:r w:rsidRPr="00E17456">
        <w:rPr>
          <w:i/>
          <w:lang w:val="es-ES_tradnl"/>
        </w:rPr>
        <w:t>reconociendo</w:t>
      </w:r>
    </w:p>
    <w:p w14:paraId="5EDF82B1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es preciso luchar contra la apropiación y la utilización indebidas de los recursos de numeración E.164 de telecomunicaciones internacionales asignados de conformidad con la Recomendación UIT-T E.164;</w:t>
      </w:r>
    </w:p>
    <w:p w14:paraId="3FA5A8C0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la atribución de recursos mundiales de numeración telefónica está gestionada por el Director de la TSB, de acuerdo con las Recomendaciones del UIT-T;</w:t>
      </w:r>
    </w:p>
    <w:p w14:paraId="5147AF88" w14:textId="77777777" w:rsidR="00CD40BF" w:rsidRPr="00E17456" w:rsidRDefault="00CD40BF" w:rsidP="00CD40BF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4625CFD2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c)</w:t>
      </w:r>
      <w:r w:rsidRPr="00E17456">
        <w:rPr>
          <w:lang w:val="es-ES_tradnl"/>
        </w:rPr>
        <w:tab/>
        <w:t>que la gestión y atribución de los recursos nacionales de numeración telefónica es responsabilidad de los Estados Miembros, y que tal gestión es un derecho soberano reflejado en los marcos jurídicos y reglamentarios nacionales;</w:t>
      </w:r>
    </w:p>
    <w:p w14:paraId="33A275D8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existen diferencias entre los enfoques que los Estados Miembros aplican en la gestión de sus recursos nacionales de numeración telefónica;</w:t>
      </w:r>
    </w:p>
    <w:p w14:paraId="7A8FAF0A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que los Estados Miembros tienen derecho a imponer normas a quienes atribuyen recursos de numeración telefónica, por ejemplo, a través de las Autoridades del Plan Nacional de Numeración;</w:t>
      </w:r>
    </w:p>
    <w:p w14:paraId="753B0F16" w14:textId="77777777" w:rsidR="00CD40BF" w:rsidRPr="00E17456" w:rsidRDefault="00CD40BF" w:rsidP="00CD40BF">
      <w:pPr>
        <w:rPr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lang w:val="es-ES_tradnl"/>
        </w:rPr>
        <w:tab/>
        <w:t>que los operadores de telecomunicaciones y las empresas de explotación han de actuar de conformidad con todos los marcos reglamentarios y jurídicos nacionales y normativas internacionales de los Estados Miembros en los que se utiliza el número,</w:t>
      </w:r>
    </w:p>
    <w:p w14:paraId="75BEB3F4" w14:textId="77777777" w:rsidR="00CD40BF" w:rsidRPr="00E17456" w:rsidRDefault="00CD40BF" w:rsidP="00CD40BF">
      <w:pPr>
        <w:keepNext/>
        <w:keepLines/>
        <w:spacing w:before="160"/>
        <w:ind w:left="1134"/>
        <w:rPr>
          <w:i/>
          <w:lang w:val="es-ES_tradnl"/>
        </w:rPr>
      </w:pPr>
      <w:r w:rsidRPr="00E17456">
        <w:rPr>
          <w:i/>
          <w:lang w:val="es-ES_tradnl"/>
        </w:rPr>
        <w:t>pide al Director de la Oficina de Desarrollo de las Telecomunicaciones</w:t>
      </w:r>
    </w:p>
    <w:p w14:paraId="300A8650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publique, identifique, fomente y utilice los documentos y trabajos de investigación elaborados hasta la fecha como modelo para las actividades futuras a fin de identificar de manera coherente los problemas y luchar contra la apropiación indebida de recursos de numeración E.164 de telecomunicaciones internacionales;</w:t>
      </w:r>
    </w:p>
    <w:p w14:paraId="1ECF697B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utilice las notificaciones presentadas sobre apropiación indebida de recursos de numeración E.164 de telecomunicaciones internacionales, a fin de identificar de forma coherente las cuestiones relativas a la apropiación indebida de recursos de numeración E.164 de telecomunicaciones internacionales;</w:t>
      </w:r>
    </w:p>
    <w:p w14:paraId="160E52ED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que, a petición de los Estados Miembros, preste asistencia para el desarrollo de sus capacidades para luchar contra la apropiación indebida de recursos de numeración E.164 de telecomunicaciones internacionales;</w:t>
      </w:r>
    </w:p>
    <w:p w14:paraId="3E900D43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que siga trabajando con las regiones, subregiones y países, en particular con los países en desarrollo y los menos adelantados, con el fin de elaborar marcos jurídicos y reglamentarios nacionales adecuados con objeto de garantizar una práctica idónea en materia de gestión de recursos de numeración E.164 de telecomunicaciones internacionales para contrarrestar su apropiación indebida,</w:t>
      </w:r>
    </w:p>
    <w:p w14:paraId="3759A1E6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04A4D73D" w14:textId="77777777" w:rsidR="00CD40BF" w:rsidRPr="00E17456" w:rsidRDefault="00CD40BF" w:rsidP="00CD40BF">
      <w:pPr>
        <w:keepNext/>
        <w:keepLines/>
        <w:spacing w:before="160"/>
        <w:ind w:left="1134"/>
        <w:rPr>
          <w:i/>
          <w:lang w:val="es-ES_tradnl"/>
        </w:rPr>
      </w:pPr>
      <w:r w:rsidRPr="00E17456">
        <w:rPr>
          <w:i/>
          <w:lang w:val="es-ES_tradnl"/>
        </w:rPr>
        <w:lastRenderedPageBreak/>
        <w:t>pide al Director de la Oficina de Desarrollo de las Telecomunicaciones, en colaboración con el Director de la Oficina de Normalización de las Telecomunicaciones</w:t>
      </w:r>
    </w:p>
    <w:p w14:paraId="42E1FB1A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se asegure de la disponibilidad de los planes nacionales de numeración, directamente del Estado Miembro o a través del Boletín de Explotación de la UIT, utilizando el formato especificado en la Recomendación UIT</w:t>
      </w:r>
      <w:r w:rsidRPr="00E17456">
        <w:rPr>
          <w:lang w:val="es-ES_tradnl"/>
        </w:rPr>
        <w:noBreakHyphen/>
        <w:t>T E.129, a fin de contribuir a la lucha contra la apropiación indebida de recursos de numeración E.164 de telecomunicaciones internacionales;</w:t>
      </w:r>
    </w:p>
    <w:p w14:paraId="726AFA45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responda a las peticiones de los Estados Miembros, en particular de los países en desarrollo y los pequeños Estados insulares en desarrollo, con miras a elaborar, fomentar y adoptar prácticas idóneas para luchar contra la apropiación indebida de recursos de numeración E.164 de telecomunicaciones internacionales, que se materialicen en modelos, propuestas, directrices y Resoluciones a fin de responder y luchar contra dicha apropiación indebida;</w:t>
      </w:r>
    </w:p>
    <w:p w14:paraId="0D102381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coopere con otras entidades para seguir elaborando medidas basadas en prácticas idóneas reconocidas, con objeto de combatir la apropiación indebida de recursos de numeración E.164 de telecomunicaciones internacionales,</w:t>
      </w:r>
    </w:p>
    <w:p w14:paraId="3F2EB7D9" w14:textId="77777777" w:rsidR="00CD40BF" w:rsidRPr="00E17456" w:rsidRDefault="00CD40BF" w:rsidP="00CD40BF">
      <w:pPr>
        <w:keepNext/>
        <w:keepLines/>
        <w:spacing w:before="160"/>
        <w:ind w:left="1134"/>
        <w:rPr>
          <w:i/>
          <w:lang w:val="es-ES_tradnl"/>
        </w:rPr>
      </w:pPr>
      <w:r w:rsidRPr="00E17456">
        <w:rPr>
          <w:i/>
          <w:lang w:val="es-ES_tradnl"/>
        </w:rPr>
        <w:t>invita a los Estados Miembros</w:t>
      </w:r>
    </w:p>
    <w:p w14:paraId="7E4FCB35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a colaborar en las actividades de identificación, respuesta y lucha contra la apropiación indebida de recursos de numeración E.164 de telecomunicaciones internacionales;</w:t>
      </w:r>
    </w:p>
    <w:p w14:paraId="5633A61D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a contribuir al desarrollo e implantación de prácticas idóneas en materia de gestión de recursos de numeración E.164 de telecomunicaciones internacionales dentro de su jurisdicción;</w:t>
      </w:r>
    </w:p>
    <w:p w14:paraId="16789C1A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a colaborar con otros Estados Miembros, operadores de telecomunicaciones y empresas de explotación, a fin de mantenerlos informados de las normas, directrices y métodos de atribución de recursos de numeración E.164 de telecomunicaciones internacionales en su país;</w:t>
      </w:r>
    </w:p>
    <w:p w14:paraId="2C0944B3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recabar información sobre iniciativas legislativas relativas a la lucha contra la apropiación y utilización indebidas de recursos de numeración E.164 de telecomunicaciones internacionales y facilitar las actividades que permitan dar a conocer esa información,</w:t>
      </w:r>
    </w:p>
    <w:p w14:paraId="7A9D43CA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7E3EA87F" w14:textId="77777777" w:rsidR="00CD40BF" w:rsidRPr="00E17456" w:rsidRDefault="00CD40BF" w:rsidP="00CD40BF">
      <w:pPr>
        <w:keepNext/>
        <w:keepLines/>
        <w:spacing w:before="160"/>
        <w:ind w:left="1134"/>
        <w:rPr>
          <w:i/>
          <w:lang w:val="es-ES_tradnl"/>
        </w:rPr>
      </w:pPr>
      <w:r w:rsidRPr="00E17456">
        <w:rPr>
          <w:i/>
          <w:lang w:val="es-ES_tradnl"/>
        </w:rPr>
        <w:lastRenderedPageBreak/>
        <w:t>invita a los Estados Miembros y a los Miembros de Sector</w:t>
      </w:r>
    </w:p>
    <w:p w14:paraId="44D303C0" w14:textId="77777777" w:rsidR="00CD40BF" w:rsidRPr="00E17456" w:rsidRDefault="00CD40BF" w:rsidP="00CD40BF">
      <w:pPr>
        <w:rPr>
          <w:lang w:val="es-ES_tradnl"/>
        </w:rPr>
      </w:pPr>
      <w:r w:rsidRPr="00E17456">
        <w:rPr>
          <w:lang w:val="es-ES_tradnl"/>
        </w:rPr>
        <w:t>a contribuir al desarrollo de prácticas idóneas con el fin de combatir la apropiación indebida de recursos de numeración E.164 de telecomunicaciones internacionales y a alentar que las administraciones y los operadores internacionales garanticen que los recursos de numeración E.164 de telecomunicaciones internacionales sean utilizados únicamente por aquéllos a quienes se han asignado y con la finalidad para la cual fueron asignados, y que no se haga uso de recursos no asignados.</w:t>
      </w:r>
    </w:p>
    <w:p w14:paraId="6E43C114" w14:textId="77777777" w:rsidR="00CD40BF" w:rsidRDefault="00CD40BF" w:rsidP="00CD40BF">
      <w:pPr>
        <w:pStyle w:val="Reasons"/>
        <w:rPr>
          <w:lang w:val="es-ES_tradnl"/>
        </w:rPr>
      </w:pPr>
    </w:p>
    <w:p w14:paraId="3852FE6C" w14:textId="77777777" w:rsidR="00CD40BF" w:rsidRDefault="00CD40BF" w:rsidP="00CD40BF">
      <w:pPr>
        <w:pStyle w:val="Reasons"/>
        <w:rPr>
          <w:lang w:val="es-ES_tradnl"/>
        </w:rPr>
      </w:pPr>
    </w:p>
    <w:p w14:paraId="62F74D46" w14:textId="77777777" w:rsidR="00CD40BF" w:rsidRDefault="00CD40BF" w:rsidP="00CD40BF">
      <w:pPr>
        <w:pStyle w:val="Reasons"/>
        <w:rPr>
          <w:lang w:val="es-ES_tradnl"/>
        </w:rPr>
      </w:pPr>
    </w:p>
    <w:p w14:paraId="445C60AE" w14:textId="77777777" w:rsidR="00CD40BF" w:rsidRDefault="00CD40BF" w:rsidP="00CD40BF">
      <w:pPr>
        <w:pStyle w:val="Reasons"/>
        <w:rPr>
          <w:lang w:val="es-ES_tradnl"/>
        </w:rPr>
      </w:pPr>
    </w:p>
    <w:p w14:paraId="26F5BC6B" w14:textId="77777777" w:rsidR="00CD40BF" w:rsidRDefault="00CD40BF" w:rsidP="00CD40BF">
      <w:pPr>
        <w:pStyle w:val="Reasons"/>
        <w:rPr>
          <w:lang w:val="es-ES_tradnl"/>
        </w:rPr>
      </w:pPr>
    </w:p>
    <w:p w14:paraId="3C4A1A1B" w14:textId="77777777" w:rsidR="00CD40BF" w:rsidRDefault="00CD40BF" w:rsidP="00CD40BF">
      <w:pPr>
        <w:pStyle w:val="Reasons"/>
        <w:rPr>
          <w:lang w:val="es-ES_tradnl"/>
        </w:rPr>
      </w:pPr>
    </w:p>
    <w:p w14:paraId="01D8515C" w14:textId="77777777" w:rsidR="00CD40BF" w:rsidRDefault="00CD40BF" w:rsidP="00CD40BF">
      <w:pPr>
        <w:pStyle w:val="Reasons"/>
        <w:rPr>
          <w:lang w:val="es-ES_tradnl"/>
        </w:rPr>
      </w:pPr>
    </w:p>
    <w:p w14:paraId="62B5D7D7" w14:textId="77777777" w:rsidR="00CD40BF" w:rsidRDefault="00CD40BF" w:rsidP="00CD40BF">
      <w:pPr>
        <w:pStyle w:val="Reasons"/>
        <w:rPr>
          <w:lang w:val="es-ES_tradnl"/>
        </w:rPr>
      </w:pPr>
    </w:p>
    <w:p w14:paraId="75262D65" w14:textId="77777777" w:rsidR="00CD40BF" w:rsidRDefault="00CD40BF" w:rsidP="00CD40BF">
      <w:pPr>
        <w:pStyle w:val="Reasons"/>
        <w:rPr>
          <w:lang w:val="es-ES_tradnl"/>
        </w:rPr>
      </w:pPr>
    </w:p>
    <w:p w14:paraId="54A867D0" w14:textId="77777777" w:rsidR="00CD40BF" w:rsidRDefault="00CD40BF" w:rsidP="00CD40BF">
      <w:pPr>
        <w:pStyle w:val="Reasons"/>
        <w:rPr>
          <w:lang w:val="es-ES_tradnl"/>
        </w:rPr>
      </w:pPr>
    </w:p>
    <w:p w14:paraId="5BA37499" w14:textId="77777777" w:rsidR="00CD40BF" w:rsidRPr="00E17456" w:rsidRDefault="00CD40BF" w:rsidP="00CD40BF">
      <w:pPr>
        <w:pStyle w:val="Reasons"/>
        <w:rPr>
          <w:lang w:val="es-ES_tradnl"/>
        </w:rPr>
      </w:pPr>
    </w:p>
    <w:p w14:paraId="28BCE9D9" w14:textId="77777777" w:rsidR="00CD40BF" w:rsidRPr="00E17456" w:rsidRDefault="00CD40BF" w:rsidP="00CD40BF">
      <w:pPr>
        <w:pStyle w:val="Reasons"/>
        <w:rPr>
          <w:lang w:val="es-ES_tradnl"/>
        </w:rPr>
      </w:pPr>
    </w:p>
    <w:p w14:paraId="7264029F" w14:textId="77777777" w:rsidR="00CD40BF" w:rsidRPr="00E17456" w:rsidRDefault="00CD40BF" w:rsidP="00CD40BF">
      <w:pPr>
        <w:pStyle w:val="Reasons"/>
        <w:rPr>
          <w:lang w:val="es-ES_tradnl"/>
        </w:rPr>
      </w:pPr>
    </w:p>
    <w:p w14:paraId="01C570F9" w14:textId="77777777" w:rsidR="00CD40BF" w:rsidRPr="00E17456" w:rsidRDefault="00CD40BF" w:rsidP="00CD40BF">
      <w:pPr>
        <w:pStyle w:val="Reasons"/>
        <w:rPr>
          <w:lang w:val="es-ES_tradnl"/>
        </w:rPr>
      </w:pPr>
    </w:p>
    <w:p w14:paraId="0E8BA074" w14:textId="77777777" w:rsidR="00CD40BF" w:rsidRPr="00E17456" w:rsidRDefault="00CD40BF" w:rsidP="00CD40BF">
      <w:pPr>
        <w:pStyle w:val="Reasons"/>
        <w:rPr>
          <w:lang w:val="es-ES_tradnl"/>
        </w:rPr>
      </w:pPr>
    </w:p>
    <w:p w14:paraId="1D974B20" w14:textId="77777777" w:rsidR="00CD40BF" w:rsidRPr="00E17456" w:rsidRDefault="00CD40BF" w:rsidP="00CD40BF">
      <w:pPr>
        <w:pStyle w:val="Reasons"/>
        <w:rPr>
          <w:lang w:val="es-ES_tradnl"/>
        </w:rPr>
      </w:pPr>
    </w:p>
    <w:p w14:paraId="7EC4CC12" w14:textId="77777777" w:rsidR="00F16487" w:rsidRDefault="00F16487"/>
    <w:sectPr w:rsidR="00F16487" w:rsidSect="00CD40BF">
      <w:headerReference w:type="even" r:id="rId6"/>
      <w:headerReference w:type="default" r:id="rId7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7F04" w14:textId="77777777" w:rsidR="00CD40BF" w:rsidRDefault="00CD40BF" w:rsidP="00CD40BF">
      <w:pPr>
        <w:spacing w:before="0"/>
      </w:pPr>
      <w:r>
        <w:separator/>
      </w:r>
    </w:p>
  </w:endnote>
  <w:endnote w:type="continuationSeparator" w:id="0">
    <w:p w14:paraId="12D5B6D9" w14:textId="77777777" w:rsidR="00CD40BF" w:rsidRDefault="00CD40BF" w:rsidP="00CD40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41FE" w14:textId="77777777" w:rsidR="00CD40BF" w:rsidRDefault="00CD40BF" w:rsidP="00CD40BF">
      <w:pPr>
        <w:spacing w:before="0"/>
      </w:pPr>
      <w:r>
        <w:separator/>
      </w:r>
    </w:p>
  </w:footnote>
  <w:footnote w:type="continuationSeparator" w:id="0">
    <w:p w14:paraId="3F4326BE" w14:textId="77777777" w:rsidR="00CD40BF" w:rsidRDefault="00CD40BF" w:rsidP="00CD40BF">
      <w:pPr>
        <w:spacing w:before="0"/>
      </w:pPr>
      <w:r>
        <w:continuationSeparator/>
      </w:r>
    </w:p>
  </w:footnote>
  <w:footnote w:id="1">
    <w:p w14:paraId="5029D1F5" w14:textId="77777777" w:rsidR="00CD40BF" w:rsidRPr="00EF1565" w:rsidRDefault="00CD40BF" w:rsidP="00CD40BF">
      <w:pPr>
        <w:pStyle w:val="FootnoteText"/>
        <w:rPr>
          <w:lang w:val="es-ES"/>
        </w:rPr>
      </w:pPr>
      <w:r w:rsidRPr="00E67D13">
        <w:rPr>
          <w:rStyle w:val="FootnoteReference"/>
          <w:lang w:val="fr-FR"/>
        </w:rPr>
        <w:t>1</w:t>
      </w:r>
      <w:r w:rsidRPr="00E67D13">
        <w:rPr>
          <w:lang w:val="fr-FR"/>
        </w:rPr>
        <w:t xml:space="preserve"> </w:t>
      </w:r>
      <w:r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3472996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35B715" w14:textId="2077E664" w:rsidR="00CD40BF" w:rsidRPr="00CD40BF" w:rsidRDefault="00CD40BF" w:rsidP="00CD40BF">
        <w:pPr>
          <w:tabs>
            <w:tab w:val="left" w:pos="426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2278BC">
          <w:rPr>
            <w:rFonts w:ascii="Calibri" w:hAnsi="Calibri"/>
            <w:sz w:val="16"/>
            <w:szCs w:val="16"/>
          </w:rPr>
          <w:fldChar w:fldCharType="begin"/>
        </w:r>
        <w:r w:rsidRPr="002278BC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2278BC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 w:rsidRPr="002278BC">
          <w:rPr>
            <w:rFonts w:ascii="Calibri" w:hAnsi="Calibri"/>
            <w:noProof/>
            <w:sz w:val="16"/>
            <w:szCs w:val="16"/>
          </w:rPr>
          <w:fldChar w:fldCharType="end"/>
        </w:r>
        <w:r w:rsidRPr="002278BC">
          <w:rPr>
            <w:rFonts w:ascii="Calibri" w:hAnsi="Calibri"/>
            <w:sz w:val="16"/>
            <w:szCs w:val="16"/>
            <w:lang w:val="fr-FR"/>
          </w:rPr>
          <w:tab/>
          <w:t>Informe final de la CMDT-22 – Parte IV – Resolución 7</w:t>
        </w:r>
        <w:r>
          <w:rPr>
            <w:rFonts w:ascii="Calibri" w:hAnsi="Calibri"/>
            <w:sz w:val="16"/>
            <w:szCs w:val="16"/>
            <w:lang w:val="fr-FR"/>
          </w:rPr>
          <w:t>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398641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982D2" w14:textId="52B45CA0" w:rsidR="00CD40BF" w:rsidRPr="00CD40BF" w:rsidRDefault="00CD40BF" w:rsidP="00CD40BF">
        <w:pPr>
          <w:tabs>
            <w:tab w:val="left" w:pos="3828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2278BC">
          <w:rPr>
            <w:rFonts w:ascii="Calibri" w:hAnsi="Calibri"/>
            <w:sz w:val="16"/>
            <w:szCs w:val="16"/>
            <w:lang w:val="fr-FR"/>
          </w:rPr>
          <w:t>Informe final de la CMDT-22 – Parte IV – Resolución 7</w:t>
        </w:r>
        <w:r>
          <w:rPr>
            <w:rFonts w:ascii="Calibri" w:hAnsi="Calibri"/>
            <w:sz w:val="16"/>
            <w:szCs w:val="16"/>
            <w:lang w:val="fr-FR"/>
          </w:rPr>
          <w:t>8</w:t>
        </w:r>
        <w:r w:rsidRPr="002278BC">
          <w:rPr>
            <w:rFonts w:ascii="Calibri" w:hAnsi="Calibri"/>
            <w:sz w:val="16"/>
            <w:szCs w:val="16"/>
            <w:lang w:val="fr-FR"/>
          </w:rPr>
          <w:tab/>
        </w:r>
        <w:r w:rsidRPr="002278BC">
          <w:rPr>
            <w:rFonts w:ascii="Calibri" w:hAnsi="Calibri"/>
            <w:sz w:val="16"/>
            <w:szCs w:val="16"/>
          </w:rPr>
          <w:fldChar w:fldCharType="begin"/>
        </w:r>
        <w:r w:rsidRPr="002278BC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2278BC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2278BC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BF"/>
    <w:rsid w:val="00400A99"/>
    <w:rsid w:val="0045258F"/>
    <w:rsid w:val="004A0B3D"/>
    <w:rsid w:val="0051703C"/>
    <w:rsid w:val="005C0E4B"/>
    <w:rsid w:val="00600EDA"/>
    <w:rsid w:val="007359FB"/>
    <w:rsid w:val="0076311C"/>
    <w:rsid w:val="008630CC"/>
    <w:rsid w:val="00950AD1"/>
    <w:rsid w:val="00CD40BF"/>
    <w:rsid w:val="00DC1DAE"/>
    <w:rsid w:val="00F06AC3"/>
    <w:rsid w:val="00F16487"/>
    <w:rsid w:val="00F635EC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6427"/>
  <w15:chartTrackingRefBased/>
  <w15:docId w15:val="{E5D4BEA2-C0B4-4751-8239-FB99D698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CD40BF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CD40BF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CD40BF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CD40BF"/>
    <w:rPr>
      <w:rFonts w:eastAsia="Times New Roman" w:cs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rsid w:val="00CD40BF"/>
    <w:pPr>
      <w:spacing w:before="280"/>
    </w:pPr>
  </w:style>
  <w:style w:type="paragraph" w:customStyle="1" w:styleId="Reasons">
    <w:name w:val="Reasons"/>
    <w:basedOn w:val="Normal"/>
    <w:qFormat/>
    <w:rsid w:val="00CD40BF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CD40BF"/>
    <w:pPr>
      <w:spacing w:before="200"/>
      <w:ind w:left="1134" w:hanging="1134"/>
      <w:jc w:val="center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CD40BF"/>
    <w:pPr>
      <w:keepNext/>
      <w:keepLines/>
      <w:spacing w:before="240"/>
      <w:jc w:val="center"/>
      <w:outlineLvl w:val="0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D40BF"/>
    <w:rPr>
      <w:rFonts w:eastAsia="Times New Roman" w:cs="Times New Roman"/>
      <w:sz w:val="24"/>
      <w:szCs w:val="20"/>
      <w:lang w:val="en-GB"/>
    </w:rPr>
  </w:style>
  <w:style w:type="character" w:customStyle="1" w:styleId="href">
    <w:name w:val="href"/>
    <w:basedOn w:val="DefaultParagraphFont"/>
    <w:rsid w:val="00CD40BF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CD40BF"/>
    <w:rPr>
      <w:rFonts w:eastAsia="Times New Roman" w:cs="Times New Roman"/>
      <w:i/>
      <w:sz w:val="2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CD40BF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CD40BF"/>
    <w:rPr>
      <w:rFonts w:eastAsia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0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F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40BF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0BF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40BF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78 (Rev. Kigali, 2022)</dc:title>
  <dc:subject/>
  <dc:creator>Saez Grau, Ricardo</dc:creator>
  <cp:keywords/>
  <dc:description/>
  <cp:lastModifiedBy>Saez Grau, Ricardo</cp:lastModifiedBy>
  <cp:revision>3</cp:revision>
  <dcterms:created xsi:type="dcterms:W3CDTF">2023-10-17T10:13:00Z</dcterms:created>
  <dcterms:modified xsi:type="dcterms:W3CDTF">2023-10-17T10:19:00Z</dcterms:modified>
</cp:coreProperties>
</file>