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531F" w14:textId="7E4E66BE" w:rsidR="00C875B7" w:rsidRPr="003C0233" w:rsidRDefault="00C875B7" w:rsidP="00C875B7">
      <w:pPr>
        <w:pStyle w:val="ResNo"/>
        <w:rPr>
          <w:lang w:val="es-ES_tradnl"/>
        </w:rPr>
      </w:pPr>
      <w:bookmarkStart w:id="0" w:name="_Toc227854991"/>
      <w:bookmarkStart w:id="1" w:name="_Toc227855304"/>
      <w:bookmarkStart w:id="2" w:name="_Toc227855516"/>
      <w:bookmarkStart w:id="3" w:name="_Toc227856283"/>
      <w:r w:rsidRPr="003C0233">
        <w:rPr>
          <w:lang w:val="es-ES_tradnl"/>
        </w:rPr>
        <w:t xml:space="preserve">RESOLUCIÓN </w:t>
      </w:r>
      <w:r w:rsidRPr="003C0233">
        <w:rPr>
          <w:rStyle w:val="href"/>
          <w:lang w:val="es-ES_tradnl"/>
        </w:rPr>
        <w:t>77</w:t>
      </w:r>
      <w:r w:rsidRPr="003C0233">
        <w:rPr>
          <w:lang w:val="es-ES_tradnl"/>
        </w:rPr>
        <w:t xml:space="preserve"> (Rev.</w:t>
      </w:r>
      <w:r w:rsidRPr="003C0233">
        <w:rPr>
          <w:bCs/>
          <w:szCs w:val="28"/>
          <w:lang w:val="es-ES_tradnl"/>
        </w:rPr>
        <w:t xml:space="preserve"> </w:t>
      </w:r>
      <w:r w:rsidR="00A31703" w:rsidRPr="003C0233">
        <w:rPr>
          <w:bCs/>
          <w:szCs w:val="28"/>
          <w:lang w:val="es-ES_tradnl"/>
        </w:rPr>
        <w:t>Bakú</w:t>
      </w:r>
      <w:r w:rsidRPr="003C0233">
        <w:rPr>
          <w:bCs/>
          <w:szCs w:val="28"/>
          <w:lang w:val="es-ES_tradnl"/>
        </w:rPr>
        <w:t>, 2025</w:t>
      </w:r>
      <w:r w:rsidRPr="003C0233">
        <w:rPr>
          <w:lang w:val="es-ES_tradnl"/>
        </w:rPr>
        <w:t>)</w:t>
      </w:r>
      <w:bookmarkEnd w:id="0"/>
      <w:bookmarkEnd w:id="1"/>
      <w:bookmarkEnd w:id="2"/>
      <w:bookmarkEnd w:id="3"/>
    </w:p>
    <w:p w14:paraId="07EFA61B" w14:textId="5F9FA566" w:rsidR="00C875B7" w:rsidRPr="003C0233" w:rsidRDefault="00C875B7" w:rsidP="00C875B7">
      <w:pPr>
        <w:pStyle w:val="Restitle"/>
        <w:rPr>
          <w:lang w:val="es-ES_tradnl"/>
        </w:rPr>
      </w:pPr>
      <w:bookmarkStart w:id="4" w:name="_Toc227854992"/>
      <w:bookmarkStart w:id="5" w:name="_Toc227855305"/>
      <w:bookmarkStart w:id="6" w:name="_Toc227855517"/>
      <w:bookmarkStart w:id="7" w:name="_Toc227856284"/>
      <w:r w:rsidRPr="003C0233">
        <w:rPr>
          <w:lang w:val="es-ES_tradnl"/>
        </w:rPr>
        <w:t>Tecnología y aplicaciones de banda ancha para un mayor crecimiento</w:t>
      </w:r>
      <w:r w:rsidR="00A4058F" w:rsidRPr="003C0233">
        <w:rPr>
          <w:lang w:val="es-ES_tradnl"/>
        </w:rPr>
        <w:t xml:space="preserve"> </w:t>
      </w:r>
      <w:r w:rsidRPr="003C0233">
        <w:rPr>
          <w:lang w:val="es-ES_tradnl"/>
        </w:rPr>
        <w:t>y desarrollo de los servicios de telecomunicaciones/tecnologías</w:t>
      </w:r>
      <w:r w:rsidR="00A4058F" w:rsidRPr="003C0233">
        <w:rPr>
          <w:lang w:val="es-ES_tradnl"/>
        </w:rPr>
        <w:t xml:space="preserve"> </w:t>
      </w:r>
      <w:r w:rsidRPr="003C0233">
        <w:rPr>
          <w:lang w:val="es-ES_tradnl"/>
        </w:rPr>
        <w:t xml:space="preserve">de la información </w:t>
      </w:r>
      <w:r w:rsidR="00310118">
        <w:rPr>
          <w:lang w:val="es-ES_tradnl"/>
        </w:rPr>
        <w:br/>
      </w:r>
      <w:r w:rsidRPr="003C0233">
        <w:rPr>
          <w:lang w:val="es-ES_tradnl"/>
        </w:rPr>
        <w:t>y la comunicación y la conectividad</w:t>
      </w:r>
      <w:r w:rsidR="00A4058F" w:rsidRPr="003C0233">
        <w:rPr>
          <w:lang w:val="es-ES_tradnl"/>
        </w:rPr>
        <w:t xml:space="preserve"> </w:t>
      </w:r>
      <w:r w:rsidRPr="003C0233">
        <w:rPr>
          <w:lang w:val="es-ES_tradnl"/>
        </w:rPr>
        <w:t>de banda ancha</w:t>
      </w:r>
      <w:bookmarkEnd w:id="4"/>
      <w:bookmarkEnd w:id="5"/>
      <w:bookmarkEnd w:id="6"/>
      <w:bookmarkEnd w:id="7"/>
    </w:p>
    <w:p w14:paraId="0FC4051F" w14:textId="77777777" w:rsidR="00C875B7" w:rsidRPr="003C0233" w:rsidRDefault="00C875B7" w:rsidP="00C875B7">
      <w:pPr>
        <w:pStyle w:val="Normalaftertitle"/>
        <w:rPr>
          <w:lang w:val="es-ES_tradnl"/>
        </w:rPr>
      </w:pPr>
      <w:r w:rsidRPr="003C0233">
        <w:rPr>
          <w:lang w:val="es-ES_tradnl"/>
        </w:rPr>
        <w:t>La Conferencia Mundial de Desarrollo de las Telecomunicaciones (</w:t>
      </w:r>
      <w:r w:rsidRPr="003C0233">
        <w:rPr>
          <w:szCs w:val="24"/>
          <w:lang w:val="es-ES_tradnl" w:eastAsia="es-ES"/>
        </w:rPr>
        <w:t>Bakú, 2025</w:t>
      </w:r>
      <w:r w:rsidRPr="003C0233">
        <w:rPr>
          <w:lang w:val="es-ES_tradnl"/>
        </w:rPr>
        <w:t>),</w:t>
      </w:r>
    </w:p>
    <w:p w14:paraId="6E052949" w14:textId="77777777" w:rsidR="00C875B7" w:rsidRPr="003C0233" w:rsidRDefault="00C875B7" w:rsidP="00C875B7">
      <w:pPr>
        <w:pStyle w:val="Call"/>
        <w:rPr>
          <w:lang w:val="es-ES_tradnl"/>
        </w:rPr>
      </w:pPr>
      <w:r w:rsidRPr="003C0233">
        <w:rPr>
          <w:lang w:val="es-ES_tradnl"/>
        </w:rPr>
        <w:t>recordando</w:t>
      </w:r>
    </w:p>
    <w:p w14:paraId="570DCA1B" w14:textId="77777777" w:rsidR="00C875B7" w:rsidRPr="003C0233" w:rsidRDefault="00C875B7" w:rsidP="00C875B7">
      <w:pPr>
        <w:rPr>
          <w:lang w:val="es-ES_tradnl" w:eastAsia="es-ES"/>
        </w:rPr>
      </w:pPr>
      <w:r w:rsidRPr="003C0233">
        <w:rPr>
          <w:i/>
          <w:iCs/>
          <w:lang w:val="es-ES_tradnl"/>
        </w:rPr>
        <w:t>a)</w:t>
      </w:r>
      <w:r w:rsidRPr="003C0233">
        <w:rPr>
          <w:lang w:val="es-ES_tradnl"/>
        </w:rPr>
        <w:tab/>
      </w:r>
      <w:r w:rsidRPr="003C0233">
        <w:rPr>
          <w:lang w:val="es-ES_tradnl" w:eastAsia="es-ES"/>
        </w:rPr>
        <w:t>la Resolución 71 (Rev. Bucarest, 2022) de la Conferencia de Plenipotenciarios sobre el Plan Estratégico de la Unión;</w:t>
      </w:r>
    </w:p>
    <w:p w14:paraId="470F5FED" w14:textId="77777777" w:rsidR="00C875B7" w:rsidRPr="003C0233" w:rsidRDefault="00C875B7" w:rsidP="00C875B7">
      <w:pPr>
        <w:rPr>
          <w:lang w:val="es-ES_tradnl" w:eastAsia="es-ES"/>
        </w:rPr>
      </w:pPr>
      <w:r w:rsidRPr="003C0233">
        <w:rPr>
          <w:i/>
          <w:iCs/>
          <w:lang w:val="es-ES_tradnl" w:eastAsia="es-ES"/>
        </w:rPr>
        <w:t>b)</w:t>
      </w:r>
      <w:r w:rsidRPr="003C0233">
        <w:rPr>
          <w:lang w:val="es-ES_tradnl" w:eastAsia="es-ES"/>
        </w:rPr>
        <w:tab/>
        <w:t>la Resolución 139 (Rev. Bucarest, 2022) de la Conferencia de Plenipotenciarios, Utilización de las telecomunicaciones/tecnologías de la información y la comunicación (TIC) para reducir la brecha digital y crear una sociedad de la información inclusiva;</w:t>
      </w:r>
    </w:p>
    <w:p w14:paraId="33DFD313" w14:textId="77777777" w:rsidR="00C875B7" w:rsidRPr="003C0233" w:rsidRDefault="00C875B7" w:rsidP="00C875B7">
      <w:pPr>
        <w:rPr>
          <w:lang w:val="es-ES_tradnl" w:eastAsia="es-ES"/>
        </w:rPr>
      </w:pPr>
      <w:r w:rsidRPr="003C0233">
        <w:rPr>
          <w:i/>
          <w:iCs/>
          <w:lang w:val="es-ES_tradnl" w:eastAsia="es-ES"/>
        </w:rPr>
        <w:t>c)</w:t>
      </w:r>
      <w:r w:rsidRPr="003C0233">
        <w:rPr>
          <w:lang w:val="es-ES_tradnl" w:eastAsia="es-ES"/>
        </w:rPr>
        <w:tab/>
        <w:t>los documentos de resultados del Foro de la Cumbre Mundial sobre la Sociedad de la Información (CMSI) de 2015;</w:t>
      </w:r>
    </w:p>
    <w:p w14:paraId="2CB160C9" w14:textId="5A47AA6E" w:rsidR="00C875B7" w:rsidRPr="003C0233" w:rsidRDefault="00C875B7" w:rsidP="00C875B7">
      <w:pPr>
        <w:rPr>
          <w:lang w:val="es-ES_tradnl" w:eastAsia="es-ES"/>
        </w:rPr>
      </w:pPr>
      <w:r w:rsidRPr="003C0233">
        <w:rPr>
          <w:i/>
          <w:iCs/>
          <w:lang w:val="es-ES_tradnl"/>
        </w:rPr>
        <w:t>d)</w:t>
      </w:r>
      <w:r w:rsidRPr="003C0233">
        <w:rPr>
          <w:lang w:val="es-ES_tradnl"/>
        </w:rPr>
        <w:tab/>
      </w:r>
      <w:r w:rsidRPr="003C0233">
        <w:rPr>
          <w:lang w:val="es-ES_tradnl" w:eastAsia="es-ES"/>
        </w:rPr>
        <w:t>la Resolución 135 (Rev. Bucarest, 2022) de la Conferencia de Plenipotenciarios, Función de la UIT en el desarrollo duradero y sostenible de las telecomunicaciones/TIC en la prestación de asistencia y asesoramiento técnico a los países en desarrollo</w:t>
      </w:r>
      <w:r w:rsidR="00472CE6" w:rsidRPr="003C0233">
        <w:rPr>
          <w:rStyle w:val="FootnoteReference"/>
          <w:lang w:val="es-ES_tradnl" w:eastAsia="es-ES"/>
        </w:rPr>
        <w:footnoteReference w:id="1"/>
      </w:r>
      <w:r w:rsidRPr="003C0233">
        <w:rPr>
          <w:lang w:val="es-ES_tradnl" w:eastAsia="es-ES"/>
        </w:rPr>
        <w:t>, y en la ejecución de proyectos nacionales, regionales e interregionales pertinentes;</w:t>
      </w:r>
    </w:p>
    <w:p w14:paraId="2BDAD38A" w14:textId="77777777" w:rsidR="00C875B7" w:rsidRPr="003C0233" w:rsidRDefault="00C875B7" w:rsidP="00C875B7">
      <w:pPr>
        <w:rPr>
          <w:lang w:val="es-ES_tradnl" w:eastAsia="es-ES"/>
        </w:rPr>
      </w:pPr>
      <w:r w:rsidRPr="003C0233">
        <w:rPr>
          <w:i/>
          <w:iCs/>
          <w:lang w:val="es-ES_tradnl"/>
        </w:rPr>
        <w:t>e)</w:t>
      </w:r>
      <w:r w:rsidRPr="003C0233">
        <w:rPr>
          <w:lang w:val="es-ES_tradnl"/>
        </w:rPr>
        <w:tab/>
      </w:r>
      <w:r w:rsidRPr="003C0233">
        <w:rPr>
          <w:lang w:val="es-ES_tradnl" w:eastAsia="es-ES"/>
        </w:rPr>
        <w:t>la Opinión 2 (Ginebra, 2021) del Foro Mundial de Política de las Telecomunicaciones de 2014, sobre la conectividad</w:t>
      </w:r>
      <w:r w:rsidRPr="003C0233">
        <w:rPr>
          <w:rFonts w:ascii="Segoe UI" w:hAnsi="Segoe UI" w:cs="Segoe UI"/>
          <w:color w:val="000000"/>
          <w:sz w:val="20"/>
          <w:lang w:val="es-ES_tradnl"/>
        </w:rPr>
        <w:t xml:space="preserve"> </w:t>
      </w:r>
      <w:r w:rsidRPr="003C0233">
        <w:rPr>
          <w:lang w:val="es-ES_tradnl" w:eastAsia="es-ES"/>
        </w:rPr>
        <w:t>asequible y segura para promover telecomunicaciones/TIC nuevas e incipientes a los efectos del desarrollo sostenible;</w:t>
      </w:r>
    </w:p>
    <w:p w14:paraId="04F22AC8" w14:textId="77777777" w:rsidR="00C875B7" w:rsidRPr="003C0233" w:rsidRDefault="00C875B7" w:rsidP="00C875B7">
      <w:pPr>
        <w:rPr>
          <w:lang w:val="es-ES_tradnl" w:eastAsia="es-ES"/>
        </w:rPr>
      </w:pPr>
      <w:r w:rsidRPr="003C0233">
        <w:rPr>
          <w:i/>
          <w:iCs/>
          <w:lang w:val="es-ES_tradnl"/>
        </w:rPr>
        <w:t>f)</w:t>
      </w:r>
      <w:r w:rsidRPr="003C0233">
        <w:rPr>
          <w:lang w:val="es-ES_tradnl"/>
        </w:rPr>
        <w:tab/>
      </w:r>
      <w:r w:rsidRPr="003C0233">
        <w:rPr>
          <w:lang w:val="es-ES_tradnl" w:eastAsia="es-ES"/>
        </w:rPr>
        <w:t>la Resolución 20 (Rev. Buenos Aires, 2017) de la Conferencia Mundial de Desarrollo de las Telecomunicaciones (CMDT), Acceso no discriminatorio a los modernos medios, servicios y aplicaciones conexas de telecomunicaciones y TIC;</w:t>
      </w:r>
    </w:p>
    <w:p w14:paraId="595FDF5F" w14:textId="77777777" w:rsidR="00C875B7" w:rsidRPr="003C0233" w:rsidRDefault="00C875B7" w:rsidP="00C875B7">
      <w:pPr>
        <w:rPr>
          <w:lang w:val="es-ES_tradnl" w:eastAsia="es-ES"/>
        </w:rPr>
      </w:pPr>
      <w:r w:rsidRPr="003C0233">
        <w:rPr>
          <w:i/>
          <w:iCs/>
          <w:lang w:val="es-ES_tradnl"/>
        </w:rPr>
        <w:t>g)</w:t>
      </w:r>
      <w:r w:rsidRPr="003C0233">
        <w:rPr>
          <w:lang w:val="es-ES_tradnl"/>
        </w:rPr>
        <w:tab/>
      </w:r>
      <w:r w:rsidRPr="003C0233">
        <w:rPr>
          <w:lang w:val="es-ES_tradnl" w:eastAsia="es-ES"/>
        </w:rPr>
        <w:t>la Resolución 37 (Rev. Bakú, 2025) de la presente Conferencia, Reducción de la brecha digital;</w:t>
      </w:r>
    </w:p>
    <w:p w14:paraId="50CE088F"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E091980" w14:textId="77777777" w:rsidR="00C875B7" w:rsidRPr="003C0233" w:rsidRDefault="00C875B7" w:rsidP="00C875B7">
      <w:pPr>
        <w:rPr>
          <w:iCs/>
          <w:lang w:val="es-ES_tradnl" w:eastAsia="es-ES"/>
        </w:rPr>
      </w:pPr>
      <w:r w:rsidRPr="003C0233">
        <w:rPr>
          <w:i/>
          <w:iCs/>
          <w:lang w:val="es-ES_tradnl"/>
        </w:rPr>
        <w:lastRenderedPageBreak/>
        <w:t>h)</w:t>
      </w:r>
      <w:r w:rsidRPr="003C0233">
        <w:rPr>
          <w:lang w:val="es-ES_tradnl"/>
        </w:rPr>
        <w:tab/>
      </w:r>
      <w:r w:rsidRPr="003C0233">
        <w:rPr>
          <w:lang w:val="es-ES_tradnl" w:eastAsia="es-ES"/>
        </w:rPr>
        <w:t>la Resolución 203 (Rev. Bucarest, 2022) de la Conferencia de Plenipotenciarios, Conectividad a redes de banda ancha;</w:t>
      </w:r>
    </w:p>
    <w:p w14:paraId="4E24231C" w14:textId="126D1665" w:rsidR="00C875B7" w:rsidRPr="003C0233" w:rsidRDefault="00C875B7" w:rsidP="00C875B7">
      <w:pPr>
        <w:rPr>
          <w:lang w:val="es-ES_tradnl" w:eastAsia="es-ES"/>
        </w:rPr>
      </w:pPr>
      <w:r w:rsidRPr="003C0233">
        <w:rPr>
          <w:i/>
          <w:iCs/>
          <w:lang w:val="es-ES_tradnl"/>
        </w:rPr>
        <w:t>i)</w:t>
      </w:r>
      <w:r w:rsidRPr="003C0233">
        <w:rPr>
          <w:lang w:val="es-ES_tradnl"/>
        </w:rPr>
        <w:tab/>
      </w:r>
      <w:r w:rsidRPr="003C0233">
        <w:rPr>
          <w:lang w:val="es-ES_tradnl" w:eastAsia="es-ES"/>
        </w:rPr>
        <w:t>la Resolución UIT-R 65-1 (Rev. Dubái, 2023) de la Asamblea de Radiocomunicaciones (AR), Principios para el futuro desarrollo de las IMT</w:t>
      </w:r>
      <w:r w:rsidRPr="003C0233">
        <w:rPr>
          <w:lang w:val="es-ES_tradnl" w:eastAsia="es-ES"/>
        </w:rPr>
        <w:noBreakHyphen/>
        <w:t>2020 y las IMT</w:t>
      </w:r>
      <w:r w:rsidRPr="003C0233">
        <w:rPr>
          <w:lang w:val="es-ES_tradnl" w:eastAsia="es-ES"/>
        </w:rPr>
        <w:noBreakHyphen/>
        <w:t>2030;</w:t>
      </w:r>
    </w:p>
    <w:p w14:paraId="1BEFAAC4" w14:textId="000390DE" w:rsidR="00C875B7" w:rsidRPr="003C0233" w:rsidRDefault="00C875B7" w:rsidP="00C875B7">
      <w:pPr>
        <w:rPr>
          <w:lang w:val="es-ES_tradnl"/>
        </w:rPr>
      </w:pPr>
      <w:r w:rsidRPr="003C0233">
        <w:rPr>
          <w:i/>
          <w:iCs/>
          <w:lang w:val="es-ES_tradnl"/>
        </w:rPr>
        <w:t>j)</w:t>
      </w:r>
      <w:r w:rsidRPr="003C0233">
        <w:rPr>
          <w:lang w:val="es-ES_tradnl"/>
        </w:rPr>
        <w:tab/>
      </w:r>
      <w:r w:rsidRPr="003C0233">
        <w:rPr>
          <w:lang w:val="es-ES_tradnl" w:eastAsia="es-ES"/>
        </w:rPr>
        <w:t>la Resolución 92 (Rev. Nueva Delhi, 2024) de la Asamblea Mundial de Normalización de las Telecomunicaciones (AMNT), Fortalecimiento de las actividades de normalización del Sector de Normalización de las Telecomunicaciones de la UIT (UIT-T) sobre aspectos no radioeléctricos de las telecomunicaciones móviles internacionales (IMT);</w:t>
      </w:r>
    </w:p>
    <w:p w14:paraId="5476E5E9" w14:textId="77777777" w:rsidR="00C875B7" w:rsidRPr="003C0233" w:rsidRDefault="00C875B7" w:rsidP="00C875B7">
      <w:pPr>
        <w:rPr>
          <w:lang w:val="es-ES_tradnl" w:eastAsia="es-ES"/>
        </w:rPr>
      </w:pPr>
      <w:r w:rsidRPr="003C0233">
        <w:rPr>
          <w:i/>
          <w:iCs/>
          <w:lang w:val="es-ES_tradnl"/>
        </w:rPr>
        <w:t>k)</w:t>
      </w:r>
      <w:r w:rsidRPr="003C0233">
        <w:rPr>
          <w:lang w:val="es-ES_tradnl"/>
        </w:rPr>
        <w:tab/>
      </w:r>
      <w:r w:rsidRPr="003C0233">
        <w:rPr>
          <w:lang w:val="es-ES_tradnl" w:eastAsia="es-ES"/>
        </w:rPr>
        <w:t>la Resolución 93 (Rev. Nueva Delhi, 2024) de la AMNT, Interconexión de redes de IMT;</w:t>
      </w:r>
    </w:p>
    <w:p w14:paraId="705F0B23" w14:textId="77777777" w:rsidR="00C875B7" w:rsidRPr="003C0233" w:rsidRDefault="00C875B7" w:rsidP="00C875B7">
      <w:pPr>
        <w:rPr>
          <w:lang w:val="es-ES_tradnl" w:eastAsia="es-ES"/>
        </w:rPr>
      </w:pPr>
      <w:r w:rsidRPr="003C0233">
        <w:rPr>
          <w:i/>
          <w:iCs/>
          <w:lang w:val="es-ES_tradnl"/>
        </w:rPr>
        <w:t>l)</w:t>
      </w:r>
      <w:r w:rsidRPr="003C0233">
        <w:rPr>
          <w:lang w:val="es-ES_tradnl"/>
        </w:rPr>
        <w:tab/>
      </w:r>
      <w:r w:rsidRPr="003C0233">
        <w:rPr>
          <w:lang w:val="es-ES_tradnl" w:eastAsia="es-ES"/>
        </w:rPr>
        <w:t>la Resolución 9 (Rev. Bakú, 2025) de la presente Conferencia, Participación de los países, en particular de los países en desarrollo, en la gestión del espectro de frecuencias;</w:t>
      </w:r>
    </w:p>
    <w:p w14:paraId="093B2259" w14:textId="77777777" w:rsidR="00C875B7" w:rsidRPr="003C0233" w:rsidRDefault="00C875B7" w:rsidP="00C875B7">
      <w:pPr>
        <w:rPr>
          <w:lang w:val="es-ES_tradnl" w:eastAsia="es-ES"/>
        </w:rPr>
      </w:pPr>
      <w:r w:rsidRPr="003C0233">
        <w:rPr>
          <w:i/>
          <w:iCs/>
          <w:lang w:val="es-ES_tradnl"/>
        </w:rPr>
        <w:t>m)</w:t>
      </w:r>
      <w:r w:rsidRPr="003C0233">
        <w:rPr>
          <w:lang w:val="es-ES_tradnl"/>
        </w:rPr>
        <w:tab/>
      </w:r>
      <w:r w:rsidRPr="003C0233">
        <w:rPr>
          <w:lang w:val="es-ES_tradnl" w:eastAsia="es-ES"/>
        </w:rPr>
        <w:t>la Resolución 218 (Bucarest, 2022) de la Conferencia de Plenipotenciarios, Función de la UIT en la aplicación de la Agenda «Espacio2030»;</w:t>
      </w:r>
    </w:p>
    <w:p w14:paraId="3CA161B6" w14:textId="77777777" w:rsidR="00C875B7" w:rsidRPr="003C0233" w:rsidRDefault="00C875B7" w:rsidP="00C875B7">
      <w:pPr>
        <w:rPr>
          <w:lang w:val="es-ES_tradnl" w:eastAsia="es-ES"/>
        </w:rPr>
      </w:pPr>
      <w:r w:rsidRPr="003C0233">
        <w:rPr>
          <w:i/>
          <w:iCs/>
          <w:lang w:val="es-ES_tradnl"/>
        </w:rPr>
        <w:t>n)</w:t>
      </w:r>
      <w:r w:rsidRPr="003C0233">
        <w:rPr>
          <w:lang w:val="es-ES_tradnl"/>
        </w:rPr>
        <w:tab/>
      </w:r>
      <w:r w:rsidRPr="003C0233">
        <w:rPr>
          <w:lang w:val="es-ES_tradnl" w:eastAsia="es-ES"/>
        </w:rPr>
        <w:t>la Resolución 219 (Bucarest, 2022) de la Conferencia de Plenipotenciarios, Sostenibilidad del espectro de frecuencias radioeléctricas y los recursos asociados de las órbitas de satélites utilizados por los servicios espaciales;</w:t>
      </w:r>
    </w:p>
    <w:p w14:paraId="162E517F" w14:textId="77777777" w:rsidR="00C875B7" w:rsidRPr="003C0233" w:rsidRDefault="00C875B7" w:rsidP="00C875B7">
      <w:pPr>
        <w:rPr>
          <w:lang w:val="es-ES_tradnl" w:eastAsia="es-ES"/>
        </w:rPr>
      </w:pPr>
      <w:r w:rsidRPr="003C0233">
        <w:rPr>
          <w:i/>
          <w:iCs/>
          <w:lang w:val="es-ES_tradnl"/>
        </w:rPr>
        <w:t>o)</w:t>
      </w:r>
      <w:r w:rsidRPr="003C0233">
        <w:rPr>
          <w:lang w:val="es-ES_tradnl"/>
        </w:rPr>
        <w:tab/>
      </w:r>
      <w:r w:rsidRPr="003C0233">
        <w:rPr>
          <w:lang w:val="es-ES_tradnl" w:eastAsia="es-ES"/>
        </w:rPr>
        <w:t>la Resolución UIT-R 69</w:t>
      </w:r>
      <w:r w:rsidRPr="003C0233">
        <w:rPr>
          <w:lang w:val="es-ES_tradnl" w:eastAsia="es-ES"/>
        </w:rPr>
        <w:noBreakHyphen/>
        <w:t>2 (Dubái, 2023) de la AR, Desarrollo e implementación de las telecomunicaciones públicas internacionales por satélite en países en desarrollo,</w:t>
      </w:r>
    </w:p>
    <w:p w14:paraId="09F92877" w14:textId="77777777" w:rsidR="00C875B7" w:rsidRPr="003C0233" w:rsidRDefault="00C875B7" w:rsidP="00C875B7">
      <w:pPr>
        <w:pStyle w:val="Call"/>
        <w:rPr>
          <w:lang w:val="es-ES_tradnl"/>
        </w:rPr>
      </w:pPr>
      <w:r w:rsidRPr="003C0233">
        <w:rPr>
          <w:lang w:val="es-ES_tradnl"/>
        </w:rPr>
        <w:t>considerando</w:t>
      </w:r>
    </w:p>
    <w:p w14:paraId="369220F7" w14:textId="77777777" w:rsidR="00C875B7" w:rsidRPr="003C0233" w:rsidRDefault="00C875B7" w:rsidP="00C875B7">
      <w:pPr>
        <w:rPr>
          <w:lang w:val="es-ES_tradnl" w:eastAsia="es-ES"/>
        </w:rPr>
      </w:pPr>
      <w:r w:rsidRPr="003C0233">
        <w:rPr>
          <w:i/>
          <w:iCs/>
          <w:lang w:val="es-ES_tradnl"/>
        </w:rPr>
        <w:t>a)</w:t>
      </w:r>
      <w:r w:rsidRPr="003C0233">
        <w:rPr>
          <w:lang w:val="es-ES_tradnl"/>
        </w:rPr>
        <w:tab/>
      </w:r>
      <w:r w:rsidRPr="003C0233">
        <w:rPr>
          <w:lang w:val="es-ES_tradnl" w:eastAsia="es-ES"/>
        </w:rPr>
        <w:t>la función de la UIT, y del Sector de Desarrollo de las Telecomunicaciones de la UIT (UIT</w:t>
      </w:r>
      <w:r w:rsidRPr="003C0233">
        <w:rPr>
          <w:lang w:val="es-ES_tradnl" w:eastAsia="es-ES"/>
        </w:rPr>
        <w:noBreakHyphen/>
        <w:t>D) en particular, en apoyo del desarrollo de las instalaciones e infraestructuras de telecomunicaciones/TIC;</w:t>
      </w:r>
    </w:p>
    <w:p w14:paraId="1F07855D" w14:textId="77777777" w:rsidR="00C875B7" w:rsidRPr="003C0233" w:rsidRDefault="00C875B7" w:rsidP="00C875B7">
      <w:pPr>
        <w:rPr>
          <w:lang w:val="es-ES_tradnl" w:eastAsia="es-ES"/>
        </w:rPr>
      </w:pPr>
      <w:r w:rsidRPr="003C0233">
        <w:rPr>
          <w:i/>
          <w:iCs/>
          <w:lang w:val="es-ES_tradnl"/>
        </w:rPr>
        <w:t>b)</w:t>
      </w:r>
      <w:r w:rsidRPr="003C0233">
        <w:rPr>
          <w:lang w:val="es-ES_tradnl"/>
        </w:rPr>
        <w:tab/>
      </w:r>
      <w:r w:rsidRPr="003C0233">
        <w:rPr>
          <w:lang w:val="es-ES_tradnl" w:eastAsia="es-ES"/>
        </w:rPr>
        <w:t>los beneficios potenciales de la rápida introducción de nuevos y diversos servicios de telecomunicación, incluidos los mencionados en la Resolución 66/184 de la Asamblea General de las Naciones Unidas, y que están en armonía con el § 54 de la Agenda de Túnez de la CMSI, y el papel de la conectividad de banda ancha son elementos esenciales para cumplir los Objetivos de Desarrollo Sostenible;</w:t>
      </w:r>
    </w:p>
    <w:p w14:paraId="166740EF"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7E940E42" w14:textId="77777777" w:rsidR="00C875B7" w:rsidRPr="003C0233" w:rsidRDefault="00C875B7" w:rsidP="00C875B7">
      <w:pPr>
        <w:rPr>
          <w:lang w:val="es-ES_tradnl" w:eastAsia="es-ES"/>
        </w:rPr>
      </w:pPr>
      <w:r w:rsidRPr="003C0233">
        <w:rPr>
          <w:i/>
          <w:iCs/>
          <w:lang w:val="es-ES_tradnl"/>
        </w:rPr>
        <w:lastRenderedPageBreak/>
        <w:t>c)</w:t>
      </w:r>
      <w:r w:rsidRPr="003C0233">
        <w:rPr>
          <w:lang w:val="es-ES_tradnl"/>
        </w:rPr>
        <w:tab/>
      </w:r>
      <w:r w:rsidRPr="003C0233">
        <w:rPr>
          <w:lang w:val="es-ES_tradnl" w:eastAsia="es-ES"/>
        </w:rPr>
        <w:t>la importancia de la capacidad de banda ancha para prestar una gama más amplia de servicios y aplicaciones, promover la inversión y ofrecer acceso a Internet a precios asequibles tanto a los usuarios ya existentes como a los nuevos usuarios en comunidades sin servicios y con servicios deficientes, recurriendo a la neutralidad tecnológica para reducir la brecha digital existente;</w:t>
      </w:r>
    </w:p>
    <w:p w14:paraId="10F3F324" w14:textId="0CC09F53" w:rsidR="00C875B7" w:rsidRPr="003C0233" w:rsidRDefault="00C875B7" w:rsidP="00C875B7">
      <w:pPr>
        <w:rPr>
          <w:lang w:val="es-ES_tradnl" w:eastAsia="es-ES"/>
        </w:rPr>
      </w:pPr>
      <w:r w:rsidRPr="003C0233">
        <w:rPr>
          <w:i/>
          <w:iCs/>
          <w:lang w:val="es-ES_tradnl"/>
        </w:rPr>
        <w:t>d)</w:t>
      </w:r>
      <w:r w:rsidRPr="003C0233">
        <w:rPr>
          <w:lang w:val="es-ES_tradnl"/>
        </w:rPr>
        <w:tab/>
      </w:r>
      <w:r w:rsidRPr="003C0233">
        <w:rPr>
          <w:lang w:val="es-ES_tradnl" w:eastAsia="es-ES"/>
        </w:rPr>
        <w:t>que las telecomunicaciones/TIC innovadoras, incluidas las terrenales y las de satélites y los cables submarinos, pueden ayudar a reducir la brecha digital, no sólo entre países en desarrollo y desarrollados, sino también entre regiones urbanas, remotas y rurales donde los servicios de telecomunicaciones fijos convencionales pueden no ser adecuados;</w:t>
      </w:r>
    </w:p>
    <w:p w14:paraId="79C3549C" w14:textId="77777777" w:rsidR="00C875B7" w:rsidRPr="003C0233" w:rsidRDefault="00C875B7" w:rsidP="00C875B7">
      <w:pPr>
        <w:rPr>
          <w:lang w:val="es-ES_tradnl" w:eastAsia="es-ES"/>
        </w:rPr>
      </w:pPr>
      <w:r w:rsidRPr="003C0233">
        <w:rPr>
          <w:i/>
          <w:iCs/>
          <w:lang w:val="es-ES_tradnl" w:eastAsia="es-ES"/>
        </w:rPr>
        <w:t>e)</w:t>
      </w:r>
      <w:r w:rsidRPr="003C0233">
        <w:rPr>
          <w:lang w:val="es-ES_tradnl" w:eastAsia="es-ES"/>
        </w:rPr>
        <w:tab/>
        <w:t>que la UIT y la Organización de las Naciones Unidas para la Educación, la Ciencia y la Cultura (UNESCO) crearon la Comisión de la Banda Ancha para el Desarrollo Sostenible, que adoptó un conjunto de cuatro metas ambiciosas pero alcanzables que deberían tratar de lograr los países de todo el mundo a fin de garantizar que sus poblaciones participan plenamente en las sociedades del conocimiento del futuro;</w:t>
      </w:r>
    </w:p>
    <w:p w14:paraId="5A900554" w14:textId="77777777" w:rsidR="00C875B7" w:rsidRPr="003C0233" w:rsidRDefault="00C875B7" w:rsidP="00C875B7">
      <w:pPr>
        <w:rPr>
          <w:lang w:val="es-ES_tradnl" w:eastAsia="es-ES"/>
        </w:rPr>
      </w:pPr>
      <w:r w:rsidRPr="003C0233">
        <w:rPr>
          <w:i/>
          <w:iCs/>
          <w:lang w:val="es-ES_tradnl" w:eastAsia="es-ES"/>
        </w:rPr>
        <w:t>f)</w:t>
      </w:r>
      <w:r w:rsidRPr="003C0233">
        <w:rPr>
          <w:i/>
          <w:iCs/>
          <w:lang w:val="es-ES_tradnl" w:eastAsia="es-ES"/>
        </w:rPr>
        <w:tab/>
      </w:r>
      <w:r w:rsidRPr="003C0233">
        <w:rPr>
          <w:lang w:val="es-ES_tradnl" w:eastAsia="es-ES"/>
        </w:rPr>
        <w:t>que, con arreglo a la Resolución 9 (Rev. Bakú, 2025), el Director de la Oficina de Desarrollo de las Telecomunicaciones (BDT), tras mantener consultas con el Director de la Oficina de Radiocomunicaciones, está recopilando información pertinente y preparando, durante el periodo entre dos CMDT, documentos adecuados y otros resultados pertinentes para dar respuesta a las necesidades especiales de países en desarrollo sobre las modalidades y dificultades económicas, reglamentarias y financieras de la gestión y la comprobación técnica del espectro,</w:t>
      </w:r>
    </w:p>
    <w:p w14:paraId="62294BC5" w14:textId="77777777" w:rsidR="00C875B7" w:rsidRPr="003C0233" w:rsidRDefault="00C875B7" w:rsidP="00C875B7">
      <w:pPr>
        <w:pStyle w:val="Call"/>
        <w:rPr>
          <w:lang w:val="es-ES_tradnl"/>
        </w:rPr>
      </w:pPr>
      <w:r w:rsidRPr="003C0233">
        <w:rPr>
          <w:lang w:val="es-ES_tradnl"/>
        </w:rPr>
        <w:t>teniendo en cuenta</w:t>
      </w:r>
    </w:p>
    <w:p w14:paraId="654C9FC1" w14:textId="77777777" w:rsidR="00C875B7" w:rsidRPr="003C0233" w:rsidRDefault="00C875B7" w:rsidP="00C875B7">
      <w:pPr>
        <w:rPr>
          <w:lang w:val="es-ES_tradnl" w:eastAsia="es-ES"/>
        </w:rPr>
      </w:pPr>
      <w:r w:rsidRPr="003C0233">
        <w:rPr>
          <w:i/>
          <w:iCs/>
          <w:lang w:val="es-ES_tradnl" w:eastAsia="es-ES"/>
        </w:rPr>
        <w:t>a)</w:t>
      </w:r>
      <w:r w:rsidRPr="003C0233">
        <w:rPr>
          <w:lang w:val="es-ES_tradnl" w:eastAsia="es-ES"/>
        </w:rPr>
        <w:tab/>
        <w:t xml:space="preserve">el Informe final de la CMDT (Kigali, 2022), en el que se destaca la importancia de ampliar la conectividad digital a través de iniciativas regionales destinadas a desarrollar infraestructuras de banda ancha resilientes, fomentar entornos políticos y reglamentarios propicios y garantizar un acceso inclusivo a las redes de alta velocidad, en particular en zonas remotas y </w:t>
      </w:r>
      <w:proofErr w:type="spellStart"/>
      <w:r w:rsidRPr="003C0233">
        <w:rPr>
          <w:lang w:val="es-ES_tradnl" w:eastAsia="es-ES"/>
        </w:rPr>
        <w:t>subatendidas</w:t>
      </w:r>
      <w:proofErr w:type="spellEnd"/>
      <w:r w:rsidRPr="003C0233">
        <w:rPr>
          <w:lang w:val="es-ES_tradnl" w:eastAsia="es-ES"/>
        </w:rPr>
        <w:t>, a fin de acelerar el progreso hacia una conectividad efectiva para todos;</w:t>
      </w:r>
    </w:p>
    <w:p w14:paraId="3FA49B07"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7998B20" w14:textId="77777777" w:rsidR="00C875B7" w:rsidRPr="003C0233" w:rsidRDefault="00C875B7" w:rsidP="00C875B7">
      <w:pPr>
        <w:rPr>
          <w:lang w:val="es-ES_tradnl" w:eastAsia="es-ES"/>
        </w:rPr>
      </w:pPr>
      <w:r w:rsidRPr="003C0233">
        <w:rPr>
          <w:i/>
          <w:iCs/>
          <w:lang w:val="es-ES_tradnl"/>
        </w:rPr>
        <w:lastRenderedPageBreak/>
        <w:t>b)</w:t>
      </w:r>
      <w:r w:rsidRPr="003C0233">
        <w:rPr>
          <w:lang w:val="es-ES_tradnl"/>
        </w:rPr>
        <w:tab/>
      </w:r>
      <w:r w:rsidRPr="003C0233">
        <w:rPr>
          <w:lang w:val="es-ES_tradnl" w:eastAsia="es-ES"/>
        </w:rPr>
        <w:t xml:space="preserve">que muchos países están interesados en adoptar un método tecnológicamente neutro global para los servicios de banda ancha en ámbitos tales como la </w:t>
      </w:r>
      <w:proofErr w:type="spellStart"/>
      <w:r w:rsidRPr="003C0233">
        <w:rPr>
          <w:lang w:val="es-ES_tradnl" w:eastAsia="es-ES"/>
        </w:rPr>
        <w:t>cibersalud</w:t>
      </w:r>
      <w:proofErr w:type="spellEnd"/>
      <w:r w:rsidRPr="003C0233">
        <w:rPr>
          <w:lang w:val="es-ES_tradnl" w:eastAsia="es-ES"/>
        </w:rPr>
        <w:t xml:space="preserve">, el </w:t>
      </w:r>
      <w:proofErr w:type="spellStart"/>
      <w:r w:rsidRPr="003C0233">
        <w:rPr>
          <w:lang w:val="es-ES_tradnl" w:eastAsia="es-ES"/>
        </w:rPr>
        <w:t>cibergobierno</w:t>
      </w:r>
      <w:proofErr w:type="spellEnd"/>
      <w:r w:rsidRPr="003C0233">
        <w:rPr>
          <w:lang w:val="es-ES_tradnl" w:eastAsia="es-ES"/>
        </w:rPr>
        <w:t xml:space="preserve"> y la </w:t>
      </w:r>
      <w:proofErr w:type="spellStart"/>
      <w:r w:rsidRPr="003C0233">
        <w:rPr>
          <w:lang w:val="es-ES_tradnl" w:eastAsia="es-ES"/>
        </w:rPr>
        <w:t>cibereducación</w:t>
      </w:r>
      <w:proofErr w:type="spellEnd"/>
      <w:r w:rsidRPr="003C0233">
        <w:rPr>
          <w:lang w:val="es-ES_tradnl" w:eastAsia="es-ES"/>
        </w:rPr>
        <w:t>;</w:t>
      </w:r>
    </w:p>
    <w:p w14:paraId="687B268F" w14:textId="77777777" w:rsidR="00C875B7" w:rsidRPr="003C0233" w:rsidRDefault="00C875B7" w:rsidP="00C875B7">
      <w:pPr>
        <w:rPr>
          <w:lang w:val="es-ES_tradnl" w:eastAsia="es-ES"/>
        </w:rPr>
      </w:pPr>
      <w:r w:rsidRPr="003C0233">
        <w:rPr>
          <w:i/>
          <w:iCs/>
          <w:lang w:val="es-ES_tradnl"/>
        </w:rPr>
        <w:t>c)</w:t>
      </w:r>
      <w:r w:rsidRPr="003C0233">
        <w:rPr>
          <w:lang w:val="es-ES_tradnl"/>
        </w:rPr>
        <w:tab/>
      </w:r>
      <w:r w:rsidRPr="003C0233">
        <w:rPr>
          <w:lang w:val="es-ES_tradnl" w:eastAsia="es-ES"/>
        </w:rPr>
        <w:t>que, a pesar de considerables mejoras de la disponibilidad y asequibilidad de la banda ancha, casi dos tercios de la población mundial carece de acceso a una banda ancha asequible;</w:t>
      </w:r>
    </w:p>
    <w:p w14:paraId="57833748" w14:textId="77777777" w:rsidR="00C875B7" w:rsidRPr="003C0233" w:rsidRDefault="00C875B7" w:rsidP="00C875B7">
      <w:pPr>
        <w:rPr>
          <w:lang w:val="es-ES_tradnl" w:eastAsia="es-ES"/>
        </w:rPr>
      </w:pPr>
      <w:r w:rsidRPr="003C0233">
        <w:rPr>
          <w:i/>
          <w:iCs/>
          <w:lang w:val="es-ES_tradnl"/>
        </w:rPr>
        <w:t>d)</w:t>
      </w:r>
      <w:r w:rsidRPr="003C0233">
        <w:rPr>
          <w:lang w:val="es-ES_tradnl"/>
        </w:rPr>
        <w:tab/>
      </w:r>
      <w:r w:rsidRPr="003C0233">
        <w:rPr>
          <w:lang w:val="es-ES_tradnl" w:eastAsia="es-ES"/>
        </w:rPr>
        <w:t>que las desigualdades en el acceso a los servicios de telecomunicaciones/TIC no son propicios para erradicar las desigualdades sociales y han tenido consecuencias negativas en la situación económica y social de varios países y regiones;</w:t>
      </w:r>
    </w:p>
    <w:p w14:paraId="5FEC9E3F" w14:textId="5970ADCC" w:rsidR="00C875B7" w:rsidRPr="003C0233" w:rsidRDefault="00C875B7" w:rsidP="00C875B7">
      <w:pPr>
        <w:rPr>
          <w:lang w:val="es-ES_tradnl"/>
        </w:rPr>
      </w:pPr>
      <w:r w:rsidRPr="003C0233">
        <w:rPr>
          <w:i/>
          <w:iCs/>
          <w:lang w:val="es-ES_tradnl"/>
        </w:rPr>
        <w:t>e)</w:t>
      </w:r>
      <w:r w:rsidRPr="003C0233">
        <w:rPr>
          <w:lang w:val="es-ES_tradnl"/>
        </w:rPr>
        <w:tab/>
      </w:r>
      <w:r w:rsidRPr="003C0233">
        <w:rPr>
          <w:lang w:val="es-ES_tradnl" w:eastAsia="es-ES"/>
        </w:rPr>
        <w:t>la importancia de la competencia en la promoción de la inversión, como se reconoce en la Comisión de la Banda Ancha para el Desarrollo Digital</w:t>
      </w:r>
      <w:r w:rsidR="00472CE6" w:rsidRPr="003C0233">
        <w:rPr>
          <w:rStyle w:val="FootnoteReference"/>
          <w:lang w:val="es-ES_tradnl" w:eastAsia="es-ES"/>
        </w:rPr>
        <w:footnoteReference w:id="2"/>
      </w:r>
      <w:r w:rsidRPr="003C0233">
        <w:rPr>
          <w:lang w:val="es-ES_tradnl"/>
        </w:rPr>
        <w:t>, de la UIT/UNESCO;</w:t>
      </w:r>
    </w:p>
    <w:p w14:paraId="137FAF9B" w14:textId="77777777" w:rsidR="00C875B7" w:rsidRPr="003C0233" w:rsidRDefault="00C875B7" w:rsidP="00C875B7">
      <w:pPr>
        <w:rPr>
          <w:lang w:val="es-ES_tradnl" w:eastAsia="es-ES"/>
        </w:rPr>
      </w:pPr>
      <w:r w:rsidRPr="003C0233">
        <w:rPr>
          <w:i/>
          <w:iCs/>
          <w:lang w:val="es-ES_tradnl" w:eastAsia="es-ES"/>
        </w:rPr>
        <w:t>f)</w:t>
      </w:r>
      <w:r w:rsidRPr="003C0233">
        <w:rPr>
          <w:lang w:val="es-ES_tradnl" w:eastAsia="es-ES"/>
        </w:rPr>
        <w:tab/>
        <w:t>que en el marco de la Comisión de Estudio 3 del UIT</w:t>
      </w:r>
      <w:r w:rsidRPr="003C0233">
        <w:rPr>
          <w:lang w:val="es-ES_tradnl" w:eastAsia="es-ES"/>
        </w:rPr>
        <w:noBreakHyphen/>
        <w:t>T sobre principios de tarificación y contabilidad, incluidos los temas relativos a economía y política de telecomunicaciones,</w:t>
      </w:r>
      <w:r w:rsidRPr="003C0233">
        <w:rPr>
          <w:lang w:val="es-ES_tradnl"/>
        </w:rPr>
        <w:t xml:space="preserve"> </w:t>
      </w:r>
      <w:r w:rsidRPr="003C0233">
        <w:rPr>
          <w:lang w:val="es-ES_tradnl" w:eastAsia="es-ES"/>
        </w:rPr>
        <w:t>se adoptó un conjunto de Suplementos a la Recomendación UIT-T D.50, sobre conectividad internacional a Internet, destinados a los países en desarrollo, en los que se formulan recomendaciones metodológicas para reducir el costo de la conectividad internacional a Internet;</w:t>
      </w:r>
    </w:p>
    <w:p w14:paraId="2480832F" w14:textId="77777777" w:rsidR="00C875B7" w:rsidRPr="003C0233" w:rsidRDefault="00C875B7" w:rsidP="00C875B7">
      <w:pPr>
        <w:rPr>
          <w:lang w:val="es-ES_tradnl" w:eastAsia="es-ES"/>
        </w:rPr>
      </w:pPr>
      <w:r w:rsidRPr="003C0233">
        <w:rPr>
          <w:i/>
          <w:iCs/>
          <w:lang w:val="es-ES_tradnl" w:eastAsia="es-ES"/>
        </w:rPr>
        <w:t>g)</w:t>
      </w:r>
      <w:r w:rsidRPr="003C0233">
        <w:rPr>
          <w:i/>
          <w:iCs/>
          <w:lang w:val="es-ES_tradnl" w:eastAsia="es-ES"/>
        </w:rPr>
        <w:tab/>
      </w:r>
      <w:r w:rsidRPr="003C0233">
        <w:rPr>
          <w:lang w:val="es-ES_tradnl" w:eastAsia="es-ES"/>
        </w:rPr>
        <w:t>que la Comisión de Estudio 3 del UIT</w:t>
      </w:r>
      <w:r w:rsidRPr="003C0233">
        <w:rPr>
          <w:lang w:val="es-ES_tradnl" w:eastAsia="es-ES"/>
        </w:rPr>
        <w:noBreakHyphen/>
        <w:t>T adoptó la Recomendación UIT</w:t>
      </w:r>
      <w:r w:rsidRPr="003C0233">
        <w:rPr>
          <w:lang w:val="es-ES_tradnl" w:eastAsia="es-ES"/>
        </w:rPr>
        <w:noBreakHyphen/>
        <w:t>T D.52 sobre creación y conexión de centrales de intercambio de tráfico Internet (IXP) regionales, que sirve de guía para la colaboración regional destinada a crear nodos centrales o IXP que permitan encaminar localmente el tráfico de Internet local, por lo que ahorra ancho de banda internacional y reduciendo el coste de la conectividad internacional a Internet,</w:t>
      </w:r>
    </w:p>
    <w:p w14:paraId="1FC2A743"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9924C31" w14:textId="77777777" w:rsidR="00C875B7" w:rsidRPr="003C0233" w:rsidRDefault="00C875B7" w:rsidP="00C875B7">
      <w:pPr>
        <w:pStyle w:val="Call"/>
        <w:rPr>
          <w:lang w:val="es-ES_tradnl"/>
        </w:rPr>
      </w:pPr>
      <w:r w:rsidRPr="003C0233">
        <w:rPr>
          <w:lang w:val="es-ES_tradnl"/>
        </w:rPr>
        <w:lastRenderedPageBreak/>
        <w:t>reconociendo</w:t>
      </w:r>
    </w:p>
    <w:p w14:paraId="6C81CE16" w14:textId="77777777" w:rsidR="00C875B7" w:rsidRPr="003C0233" w:rsidRDefault="00C875B7" w:rsidP="00C875B7">
      <w:pPr>
        <w:rPr>
          <w:lang w:val="es-ES_tradnl" w:eastAsia="es-ES"/>
        </w:rPr>
      </w:pPr>
      <w:r w:rsidRPr="003C0233">
        <w:rPr>
          <w:i/>
          <w:iCs/>
          <w:lang w:val="es-ES_tradnl"/>
        </w:rPr>
        <w:t>a)</w:t>
      </w:r>
      <w:r w:rsidRPr="003C0233">
        <w:rPr>
          <w:lang w:val="es-ES_tradnl"/>
        </w:rPr>
        <w:tab/>
      </w:r>
      <w:r w:rsidRPr="003C0233">
        <w:rPr>
          <w:lang w:val="es-ES_tradnl" w:eastAsia="es-ES"/>
        </w:rPr>
        <w:t>la importancia del UIT</w:t>
      </w:r>
      <w:r w:rsidRPr="003C0233">
        <w:rPr>
          <w:lang w:val="es-ES_tradnl" w:eastAsia="es-ES"/>
        </w:rPr>
        <w:noBreakHyphen/>
        <w:t>D en la coordinación de la utilización racional de recursos en el contexto de diversos proyectos encaminados a asegurar un despliegue más generalizado de los servicios de telecomunicaciones tecnológicamente neutros en varios países del mundo;</w:t>
      </w:r>
    </w:p>
    <w:p w14:paraId="4ACC1D79" w14:textId="77777777" w:rsidR="00C875B7" w:rsidRPr="003C0233" w:rsidRDefault="00C875B7" w:rsidP="00C875B7">
      <w:pPr>
        <w:rPr>
          <w:lang w:val="es-ES_tradnl" w:eastAsia="es-ES"/>
        </w:rPr>
      </w:pPr>
      <w:r w:rsidRPr="003C0233">
        <w:rPr>
          <w:i/>
          <w:iCs/>
          <w:lang w:val="es-ES_tradnl"/>
        </w:rPr>
        <w:t>b)</w:t>
      </w:r>
      <w:r w:rsidRPr="003C0233">
        <w:rPr>
          <w:lang w:val="es-ES_tradnl"/>
        </w:rPr>
        <w:tab/>
      </w:r>
      <w:r w:rsidRPr="003C0233">
        <w:rPr>
          <w:lang w:val="es-ES_tradnl" w:eastAsia="es-ES"/>
        </w:rPr>
        <w:t>que las comunicaciones de banda ancha terrenales, de acceso inalámbrico y por satélite —por ejemplo, los satélites en órbita terrestre baja (LEO), media (MEO) y geoestacionaria (GEO)— contribuyen a acabar con el aislamiento de ciertas categorías de población que viven en zonas del país donde la cobertura por los medios convencionales de telecomunicaciones sigue siendo insuficiente y que carecen de recursos;</w:t>
      </w:r>
    </w:p>
    <w:p w14:paraId="139391FD" w14:textId="77777777" w:rsidR="00C875B7" w:rsidRPr="003C0233" w:rsidRDefault="00C875B7" w:rsidP="00C875B7">
      <w:pPr>
        <w:rPr>
          <w:lang w:val="es-ES_tradnl" w:eastAsia="es-ES"/>
        </w:rPr>
      </w:pPr>
      <w:r w:rsidRPr="003C0233">
        <w:rPr>
          <w:i/>
          <w:iCs/>
          <w:lang w:val="es-ES_tradnl"/>
        </w:rPr>
        <w:t>c)</w:t>
      </w:r>
      <w:r w:rsidRPr="003C0233">
        <w:rPr>
          <w:lang w:val="es-ES_tradnl"/>
        </w:rPr>
        <w:tab/>
      </w:r>
      <w:r w:rsidRPr="003C0233">
        <w:rPr>
          <w:lang w:val="es-ES_tradnl" w:eastAsia="es-ES"/>
        </w:rPr>
        <w:t>que según diversos estudios la penetración de la banda ancha es mayor en países con planes, políticas o estrategias nacionales de banda ancha que en aquéllos que carecen de ellas;</w:t>
      </w:r>
    </w:p>
    <w:p w14:paraId="1F544106" w14:textId="7813B455" w:rsidR="00C875B7" w:rsidRPr="003C0233" w:rsidRDefault="00C875B7" w:rsidP="00C875B7">
      <w:pPr>
        <w:rPr>
          <w:lang w:val="es-ES_tradnl" w:eastAsia="es-ES"/>
        </w:rPr>
      </w:pPr>
      <w:r w:rsidRPr="003C0233">
        <w:rPr>
          <w:i/>
          <w:iCs/>
          <w:lang w:val="es-ES_tradnl"/>
        </w:rPr>
        <w:t>d)</w:t>
      </w:r>
      <w:r w:rsidRPr="003C0233">
        <w:rPr>
          <w:lang w:val="es-ES_tradnl"/>
        </w:rPr>
        <w:tab/>
      </w:r>
      <w:r w:rsidRPr="003C0233">
        <w:rPr>
          <w:lang w:val="es-ES_tradnl" w:eastAsia="es-ES"/>
        </w:rPr>
        <w:t>que, de conformidad con el § 22 de la Declaración de Principios de Ginebra adoptada por la CMSI, la disponibilidad de infraestructura de red de información y comunicaciones bien desarrollada, fácilmente accesible y asequible, que utilice en la medida de lo posible la banda ancha, puede acelerar el progreso económico y social de los países, así como el bienestar de todas las personas, comunidades y pueblos;</w:t>
      </w:r>
    </w:p>
    <w:p w14:paraId="7E4F39CD" w14:textId="6A913149" w:rsidR="00C875B7" w:rsidRPr="003C0233" w:rsidRDefault="00C875B7" w:rsidP="00C875B7">
      <w:pPr>
        <w:rPr>
          <w:lang w:val="es-ES_tradnl" w:eastAsia="es-ES"/>
        </w:rPr>
      </w:pPr>
      <w:r w:rsidRPr="003C0233">
        <w:rPr>
          <w:i/>
          <w:iCs/>
          <w:lang w:val="es-ES_tradnl"/>
        </w:rPr>
        <w:t>e)</w:t>
      </w:r>
      <w:r w:rsidRPr="003C0233">
        <w:rPr>
          <w:lang w:val="es-ES_tradnl"/>
        </w:rPr>
        <w:tab/>
      </w:r>
      <w:r w:rsidRPr="003C0233">
        <w:rPr>
          <w:lang w:val="es-ES_tradnl" w:eastAsia="es-ES"/>
        </w:rPr>
        <w:t>que la Comisión de la Banda Ancha para el Desarrollo Digital, de la UIT/UNESCO, publica informes periódicos sobre el estado de la banda ancha, y que en su informe de 2023</w:t>
      </w:r>
      <w:r w:rsidR="00472CE6" w:rsidRPr="003C0233">
        <w:rPr>
          <w:rStyle w:val="FootnoteReference"/>
          <w:lang w:val="es-ES_tradnl" w:eastAsia="es-ES"/>
        </w:rPr>
        <w:footnoteReference w:id="3"/>
      </w:r>
      <w:r w:rsidRPr="003C0233">
        <w:rPr>
          <w:lang w:val="es-ES_tradnl" w:eastAsia="es-ES"/>
        </w:rPr>
        <w:t xml:space="preserve"> pone de relieve las consideraciones de políticas relacionadas con la financiación de la siguiente fase de la transformación digital a través de la conectividad y las medidas estratégicas siguientes, alentando a los Estados Miembros a:</w:t>
      </w:r>
    </w:p>
    <w:p w14:paraId="40695746" w14:textId="77777777" w:rsidR="00C875B7" w:rsidRPr="003C0233" w:rsidRDefault="00C875B7" w:rsidP="00C875B7">
      <w:pPr>
        <w:pStyle w:val="enumlev1"/>
        <w:rPr>
          <w:lang w:val="es-ES_tradnl"/>
        </w:rPr>
      </w:pPr>
      <w:r w:rsidRPr="003C0233">
        <w:rPr>
          <w:lang w:val="es-ES_tradnl"/>
        </w:rPr>
        <w:t>i)</w:t>
      </w:r>
      <w:r w:rsidRPr="003C0233">
        <w:rPr>
          <w:lang w:val="es-ES_tradnl"/>
        </w:rPr>
        <w:tab/>
      </w:r>
      <w:r w:rsidRPr="003C0233">
        <w:rPr>
          <w:lang w:val="es-ES_tradnl" w:eastAsia="es-ES"/>
        </w:rPr>
        <w:t xml:space="preserve">definir (y redefinir) objetivos mensurables para la </w:t>
      </w:r>
      <w:r w:rsidRPr="003C0233">
        <w:rPr>
          <w:i/>
          <w:iCs/>
          <w:lang w:val="es-ES_tradnl" w:eastAsia="es-ES"/>
        </w:rPr>
        <w:t>conectividad universal significativa</w:t>
      </w:r>
      <w:r w:rsidRPr="003C0233">
        <w:rPr>
          <w:lang w:val="es-ES_tradnl" w:eastAsia="es-ES"/>
        </w:rPr>
        <w:t xml:space="preserve"> que respondan a las necesidades actuales</w:t>
      </w:r>
      <w:r w:rsidRPr="003C0233">
        <w:rPr>
          <w:lang w:val="es-ES_tradnl"/>
        </w:rPr>
        <w:t>;</w:t>
      </w:r>
    </w:p>
    <w:p w14:paraId="2445DE31" w14:textId="77777777" w:rsidR="00C875B7" w:rsidRPr="003C0233" w:rsidRDefault="00C875B7" w:rsidP="00C875B7">
      <w:pPr>
        <w:pStyle w:val="enumlev1"/>
        <w:rPr>
          <w:lang w:val="es-ES_tradnl" w:eastAsia="es-ES"/>
        </w:rPr>
      </w:pPr>
      <w:proofErr w:type="spellStart"/>
      <w:r w:rsidRPr="003C0233">
        <w:rPr>
          <w:lang w:val="es-ES_tradnl"/>
        </w:rPr>
        <w:t>ii</w:t>
      </w:r>
      <w:proofErr w:type="spellEnd"/>
      <w:r w:rsidRPr="003C0233">
        <w:rPr>
          <w:lang w:val="es-ES_tradnl"/>
        </w:rPr>
        <w:t>)</w:t>
      </w:r>
      <w:r w:rsidRPr="003C0233">
        <w:rPr>
          <w:lang w:val="es-ES_tradnl"/>
        </w:rPr>
        <w:tab/>
      </w:r>
      <w:r w:rsidRPr="003C0233">
        <w:rPr>
          <w:lang w:val="es-ES_tradnl" w:eastAsia="es-ES"/>
        </w:rPr>
        <w:t>cerrar la brecha de utilización eliminando los principales obstáculos a la adopción y utilización de Internet en zonas donde se dispone de cobertura;</w:t>
      </w:r>
    </w:p>
    <w:p w14:paraId="14B33C87"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eastAsia="es-ES"/>
        </w:rPr>
      </w:pPr>
      <w:r w:rsidRPr="003C0233">
        <w:rPr>
          <w:i/>
          <w:iCs/>
          <w:lang w:val="es-ES_tradnl" w:eastAsia="es-ES"/>
        </w:rPr>
        <w:br w:type="page"/>
      </w:r>
    </w:p>
    <w:p w14:paraId="2769B566" w14:textId="77777777" w:rsidR="00C875B7" w:rsidRPr="003C0233" w:rsidRDefault="00C875B7" w:rsidP="00C875B7">
      <w:pPr>
        <w:pStyle w:val="enumlev1"/>
        <w:rPr>
          <w:lang w:val="es-ES_tradnl" w:eastAsia="es-ES"/>
        </w:rPr>
      </w:pPr>
      <w:proofErr w:type="spellStart"/>
      <w:r w:rsidRPr="003C0233">
        <w:rPr>
          <w:lang w:val="es-ES_tradnl" w:eastAsia="es-ES"/>
        </w:rPr>
        <w:lastRenderedPageBreak/>
        <w:t>iii</w:t>
      </w:r>
      <w:proofErr w:type="spellEnd"/>
      <w:r w:rsidRPr="003C0233">
        <w:rPr>
          <w:lang w:val="es-ES_tradnl" w:eastAsia="es-ES"/>
        </w:rPr>
        <w:t>)</w:t>
      </w:r>
      <w:r w:rsidRPr="003C0233">
        <w:rPr>
          <w:lang w:val="es-ES_tradnl" w:eastAsia="es-ES"/>
        </w:rPr>
        <w:tab/>
        <w:t>ampliar la base de contribución y aplicar enfoques creativos de financiación, incluidos incentivos a la financiación de infraestructuras, reformando los enfoques del fondo de acceso y servicio universales;</w:t>
      </w:r>
    </w:p>
    <w:p w14:paraId="1D60DB5B" w14:textId="77777777" w:rsidR="00C875B7" w:rsidRPr="003C0233" w:rsidRDefault="00C875B7" w:rsidP="00C875B7">
      <w:pPr>
        <w:pStyle w:val="enumlev1"/>
        <w:rPr>
          <w:lang w:val="es-ES_tradnl" w:eastAsia="es-ES"/>
        </w:rPr>
      </w:pPr>
      <w:proofErr w:type="spellStart"/>
      <w:r w:rsidRPr="003C0233">
        <w:rPr>
          <w:lang w:val="es-ES_tradnl"/>
        </w:rPr>
        <w:t>iv</w:t>
      </w:r>
      <w:proofErr w:type="spellEnd"/>
      <w:r w:rsidRPr="003C0233">
        <w:rPr>
          <w:lang w:val="es-ES_tradnl"/>
        </w:rPr>
        <w:t>)</w:t>
      </w:r>
      <w:r w:rsidRPr="003C0233">
        <w:rPr>
          <w:lang w:val="es-ES_tradnl"/>
        </w:rPr>
        <w:tab/>
        <w:t xml:space="preserve">armonizar e incentivar </w:t>
      </w:r>
      <w:r w:rsidRPr="003C0233">
        <w:rPr>
          <w:lang w:val="es-ES_tradnl" w:eastAsia="es-ES"/>
        </w:rPr>
        <w:t>los contribuyentes de financiación, lo que resulta fundamental para los planes de conectividad de los gobiernos, movilizando las reservas de capital de todos los sectores y eliminando los retos y obstáculos a la inversión en infraestructura de red;</w:t>
      </w:r>
    </w:p>
    <w:p w14:paraId="27CBE89C" w14:textId="77777777" w:rsidR="00C875B7" w:rsidRPr="003C0233" w:rsidRDefault="00C875B7" w:rsidP="00C875B7">
      <w:pPr>
        <w:pStyle w:val="enumlev1"/>
        <w:rPr>
          <w:lang w:val="es-ES_tradnl"/>
        </w:rPr>
      </w:pPr>
      <w:r w:rsidRPr="003C0233">
        <w:rPr>
          <w:lang w:val="es-ES_tradnl" w:eastAsia="es-ES"/>
        </w:rPr>
        <w:t>v)</w:t>
      </w:r>
      <w:r w:rsidRPr="003C0233">
        <w:rPr>
          <w:lang w:val="es-ES_tradnl" w:eastAsia="es-ES"/>
        </w:rPr>
        <w:tab/>
        <w:t>elaborar políticas de infraestructura de red duraderas con planes sostenibles y ágiles</w:t>
      </w:r>
      <w:r w:rsidRPr="003C0233">
        <w:rPr>
          <w:rFonts w:ascii="Segoe UI" w:hAnsi="Segoe UI" w:cs="Segoe UI"/>
          <w:color w:val="000000"/>
          <w:sz w:val="20"/>
          <w:lang w:val="es-ES_tradnl"/>
        </w:rPr>
        <w:t>;</w:t>
      </w:r>
    </w:p>
    <w:p w14:paraId="54A76523" w14:textId="77777777" w:rsidR="00C875B7" w:rsidRPr="003C0233" w:rsidRDefault="00C875B7" w:rsidP="00C875B7">
      <w:pPr>
        <w:rPr>
          <w:lang w:val="es-ES_tradnl" w:eastAsia="es-ES"/>
        </w:rPr>
      </w:pPr>
      <w:r w:rsidRPr="003C0233">
        <w:rPr>
          <w:i/>
          <w:iCs/>
          <w:lang w:val="es-ES_tradnl"/>
        </w:rPr>
        <w:t>f)</w:t>
      </w:r>
      <w:r w:rsidRPr="003C0233">
        <w:rPr>
          <w:lang w:val="es-ES_tradnl"/>
        </w:rPr>
        <w:tab/>
      </w:r>
      <w:r w:rsidRPr="003C0233">
        <w:rPr>
          <w:lang w:val="es-ES_tradnl" w:eastAsia="es-ES"/>
        </w:rPr>
        <w:t>que el desarrollo y ejecución de un plan, política o estrategia nacional sobre la banda ancha es esencial para el desarrollo de la banda ancha y el crecimiento económico;</w:t>
      </w:r>
    </w:p>
    <w:p w14:paraId="0B9F9798" w14:textId="77777777" w:rsidR="00C875B7" w:rsidRPr="003C0233" w:rsidRDefault="00C875B7" w:rsidP="00C875B7">
      <w:pPr>
        <w:rPr>
          <w:lang w:val="es-ES_tradnl" w:eastAsia="es-ES"/>
        </w:rPr>
      </w:pPr>
      <w:r w:rsidRPr="003C0233">
        <w:rPr>
          <w:i/>
          <w:iCs/>
          <w:lang w:val="es-ES_tradnl" w:eastAsia="es-ES"/>
        </w:rPr>
        <w:t>g)</w:t>
      </w:r>
      <w:r w:rsidRPr="003C0233">
        <w:rPr>
          <w:lang w:val="es-ES_tradnl" w:eastAsia="es-ES"/>
        </w:rPr>
        <w:tab/>
        <w:t xml:space="preserve">la labor de Internet </w:t>
      </w:r>
      <w:proofErr w:type="spellStart"/>
      <w:r w:rsidRPr="003C0233">
        <w:rPr>
          <w:lang w:val="es-ES_tradnl" w:eastAsia="es-ES"/>
        </w:rPr>
        <w:t>Society</w:t>
      </w:r>
      <w:proofErr w:type="spellEnd"/>
      <w:r w:rsidRPr="003C0233">
        <w:rPr>
          <w:i/>
          <w:iCs/>
          <w:lang w:val="es-ES_tradnl" w:eastAsia="es-ES"/>
        </w:rPr>
        <w:t xml:space="preserve"> </w:t>
      </w:r>
      <w:r w:rsidRPr="003C0233">
        <w:rPr>
          <w:lang w:val="es-ES_tradnl" w:eastAsia="es-ES"/>
        </w:rPr>
        <w:t xml:space="preserve">(ISOC), de Internet Exchange </w:t>
      </w:r>
      <w:proofErr w:type="spellStart"/>
      <w:r w:rsidRPr="003C0233">
        <w:rPr>
          <w:lang w:val="es-ES_tradnl" w:eastAsia="es-ES"/>
        </w:rPr>
        <w:t>Federation</w:t>
      </w:r>
      <w:proofErr w:type="spellEnd"/>
      <w:r w:rsidRPr="003C0233">
        <w:rPr>
          <w:lang w:val="es-ES_tradnl" w:eastAsia="es-ES"/>
        </w:rPr>
        <w:t xml:space="preserve"> (IEF) y de las asociaciones de IXP regionales y otras partes interesadas para facilitar la creación de IXP en países en desarrollo con el fin de promover una mayor conectividad;</w:t>
      </w:r>
    </w:p>
    <w:p w14:paraId="048750AE" w14:textId="62501158" w:rsidR="00C875B7" w:rsidRPr="003C0233" w:rsidRDefault="00C875B7" w:rsidP="00C875B7">
      <w:pPr>
        <w:rPr>
          <w:lang w:val="es-ES_tradnl" w:eastAsia="es-ES"/>
        </w:rPr>
      </w:pPr>
      <w:r w:rsidRPr="003C0233">
        <w:rPr>
          <w:i/>
          <w:iCs/>
          <w:lang w:val="es-ES_tradnl" w:eastAsia="es-ES"/>
        </w:rPr>
        <w:t>h)</w:t>
      </w:r>
      <w:r w:rsidRPr="003C0233">
        <w:rPr>
          <w:lang w:val="es-ES_tradnl" w:eastAsia="es-ES"/>
        </w:rPr>
        <w:tab/>
        <w:t>que las estaciones en estaciones en plataformas a gran altitud (HAPS) son soluciones del servicio terrenal, entre otros, que se pueden utilizar para proporcionar conectividad de retroceso y de acceso directo en las zonas rurales y remotas, definidas en el número 1.66A del Reglamento de Radiocomunicaciones,</w:t>
      </w:r>
    </w:p>
    <w:p w14:paraId="562EC800" w14:textId="77777777" w:rsidR="00C875B7" w:rsidRPr="003C0233" w:rsidRDefault="00C875B7" w:rsidP="00C875B7">
      <w:pPr>
        <w:pStyle w:val="Call"/>
        <w:rPr>
          <w:lang w:val="es-ES_tradnl"/>
        </w:rPr>
      </w:pPr>
      <w:r w:rsidRPr="003C0233">
        <w:rPr>
          <w:lang w:val="es-ES_tradnl"/>
        </w:rPr>
        <w:t>resuelve</w:t>
      </w:r>
    </w:p>
    <w:p w14:paraId="5BBB88F5" w14:textId="77777777" w:rsidR="00C875B7" w:rsidRPr="003C0233" w:rsidRDefault="00C875B7" w:rsidP="00C875B7">
      <w:pPr>
        <w:rPr>
          <w:lang w:val="es-ES_tradnl" w:eastAsia="es-ES"/>
        </w:rPr>
      </w:pPr>
      <w:r w:rsidRPr="003C0233">
        <w:rPr>
          <w:lang w:val="es-ES_tradnl" w:eastAsia="es-ES"/>
        </w:rPr>
        <w:t>1</w:t>
      </w:r>
      <w:r w:rsidRPr="003C0233">
        <w:rPr>
          <w:lang w:val="es-ES_tradnl" w:eastAsia="es-ES"/>
        </w:rPr>
        <w:tab/>
        <w:t>que la BDT fomente una mayor coordinación y el sector privado siga desempeñando un papel fundamental en el apoyo a iniciativas que promueven el acceso a la conectividad en banda ancha y su adopción, utilizando la combinación de tecnologías más adecuadas con el objetivo de dar a la población mayor acceso a las aplicaciones de TIC en pro de las estrategias nacionales de banda ancha;</w:t>
      </w:r>
    </w:p>
    <w:p w14:paraId="30CA997E"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481FA7E" w14:textId="77777777" w:rsidR="00C875B7" w:rsidRPr="003C0233" w:rsidRDefault="00C875B7" w:rsidP="00C875B7">
      <w:pPr>
        <w:rPr>
          <w:lang w:val="es-ES_tradnl" w:eastAsia="es-ES"/>
        </w:rPr>
      </w:pPr>
      <w:r w:rsidRPr="003C0233">
        <w:rPr>
          <w:lang w:val="es-ES_tradnl" w:eastAsia="es-ES"/>
        </w:rPr>
        <w:lastRenderedPageBreak/>
        <w:t>2</w:t>
      </w:r>
      <w:r w:rsidRPr="003C0233">
        <w:rPr>
          <w:lang w:val="es-ES_tradnl" w:eastAsia="es-ES"/>
        </w:rPr>
        <w:tab/>
        <w:t>promover la disponibilidad, accesibilidad, fiabilidad y asequibilidad de la banda ancha en países en desarrollo facilitando que los Estados Miembros elaboren políticas y estrategias para su ejecución en base a una cuidadosa evaluación de la oferta y la demanda de la banda ancha;</w:t>
      </w:r>
    </w:p>
    <w:p w14:paraId="4973854C" w14:textId="77777777" w:rsidR="00C875B7" w:rsidRPr="003C0233" w:rsidRDefault="00C875B7" w:rsidP="00C875B7">
      <w:pPr>
        <w:rPr>
          <w:lang w:val="es-ES_tradnl" w:eastAsia="es-ES"/>
        </w:rPr>
      </w:pPr>
      <w:r w:rsidRPr="003C0233">
        <w:rPr>
          <w:lang w:val="es-ES_tradnl" w:eastAsia="es-ES"/>
        </w:rPr>
        <w:t>3</w:t>
      </w:r>
      <w:r w:rsidRPr="003C0233">
        <w:rPr>
          <w:lang w:val="es-ES_tradnl" w:eastAsia="es-ES"/>
        </w:rPr>
        <w:tab/>
        <w:t xml:space="preserve">que la BDT debería secundar la ejecución de proyectos nacionales y regionales para que los sistemas de comunicaciones en banda ancha utilicen las tecnologías más adecuadas para ofrecer a la población servicios, incluidas aplicaciones como el </w:t>
      </w:r>
      <w:proofErr w:type="spellStart"/>
      <w:r w:rsidRPr="003C0233">
        <w:rPr>
          <w:lang w:val="es-ES_tradnl" w:eastAsia="es-ES"/>
        </w:rPr>
        <w:t>cibergobierno</w:t>
      </w:r>
      <w:proofErr w:type="spellEnd"/>
      <w:r w:rsidRPr="003C0233">
        <w:rPr>
          <w:lang w:val="es-ES_tradnl" w:eastAsia="es-ES"/>
        </w:rPr>
        <w:t xml:space="preserve">, la </w:t>
      </w:r>
      <w:proofErr w:type="spellStart"/>
      <w:r w:rsidRPr="003C0233">
        <w:rPr>
          <w:lang w:val="es-ES_tradnl" w:eastAsia="es-ES"/>
        </w:rPr>
        <w:t>cibersalud</w:t>
      </w:r>
      <w:proofErr w:type="spellEnd"/>
      <w:r w:rsidRPr="003C0233">
        <w:rPr>
          <w:lang w:val="es-ES_tradnl" w:eastAsia="es-ES"/>
        </w:rPr>
        <w:t xml:space="preserve"> y la </w:t>
      </w:r>
      <w:proofErr w:type="spellStart"/>
      <w:r w:rsidRPr="003C0233">
        <w:rPr>
          <w:lang w:val="es-ES_tradnl" w:eastAsia="es-ES"/>
        </w:rPr>
        <w:t>cibereducación</w:t>
      </w:r>
      <w:proofErr w:type="spellEnd"/>
      <w:r w:rsidRPr="003C0233">
        <w:rPr>
          <w:lang w:val="es-ES_tradnl" w:eastAsia="es-ES"/>
        </w:rPr>
        <w:t>, así como los servicios financieros móviles a partir de la cooperación con los Estados Miembros interesados, las organizaciones internacionales pertinentes y el sector privado;</w:t>
      </w:r>
    </w:p>
    <w:p w14:paraId="6FCD800F" w14:textId="77777777" w:rsidR="00C875B7" w:rsidRPr="003C0233" w:rsidRDefault="00C875B7" w:rsidP="00C875B7">
      <w:pPr>
        <w:rPr>
          <w:lang w:val="es-ES_tradnl" w:eastAsia="es-ES"/>
        </w:rPr>
      </w:pPr>
      <w:r w:rsidRPr="003C0233">
        <w:rPr>
          <w:lang w:val="es-ES_tradnl" w:eastAsia="es-ES"/>
        </w:rPr>
        <w:t>4</w:t>
      </w:r>
      <w:r w:rsidRPr="003C0233">
        <w:rPr>
          <w:lang w:val="es-ES_tradnl" w:eastAsia="es-ES"/>
        </w:rPr>
        <w:tab/>
        <w:t>que la BDT, teniendo en cuenta la experiencia de que dispone y la estrategia encaminada a reducir la brecha digital y crear la sociedad de la información mundial, debería formular y llevar a cabo un programa para la formulación de propuestas y recomendaciones específicas sobre la utilización más eficaz y eficiente de la tecnología, incluidos los servicios de telecomunicaciones para la conectividad en banda ancha a nivel nacional y regional, en asociación con las iniciativas de la UIT relativas a la conectividad, según proceda,</w:t>
      </w:r>
    </w:p>
    <w:p w14:paraId="39B6BC48" w14:textId="0AA298FF" w:rsidR="00C875B7" w:rsidRPr="003C0233" w:rsidRDefault="00C875B7" w:rsidP="00C875B7">
      <w:pPr>
        <w:pStyle w:val="Call"/>
        <w:rPr>
          <w:lang w:val="es-ES_tradnl"/>
        </w:rPr>
      </w:pPr>
      <w:r w:rsidRPr="003C0233">
        <w:rPr>
          <w:lang w:val="es-ES_tradnl"/>
        </w:rPr>
        <w:t>encarga a las Comisiones de Estudio del Sector de Desarrollo de las Telecomunicaciones de la UIT, cada una dentro de su mandato y en colaboración con las Comisiones de Estudio pertinentes de los otros Sectores</w:t>
      </w:r>
    </w:p>
    <w:p w14:paraId="3261E14F" w14:textId="77777777" w:rsidR="00C875B7" w:rsidRPr="003C0233" w:rsidRDefault="00C875B7" w:rsidP="00C875B7">
      <w:pPr>
        <w:rPr>
          <w:lang w:val="es-ES_tradnl"/>
        </w:rPr>
      </w:pPr>
      <w:r w:rsidRPr="003C0233">
        <w:rPr>
          <w:lang w:val="es-ES_tradnl"/>
        </w:rPr>
        <w:t>que elabore directrices, basadas en experiencias nacionales y prácticas idóneas, sobre marcos políticos y reglamentarios para facilitar la utilización de redes espaciales incipientes de telecomunicaciones/TIC que funcionen junto con redes terrenales, teniendo en cuenta el marco reglamentario internacional definido en el Reglamento de Radiocomunicaciones, las Resoluciones y Recomendaciones pertinentes de la</w:t>
      </w:r>
      <w:r w:rsidRPr="003C0233">
        <w:rPr>
          <w:lang w:val="es-ES_tradnl" w:eastAsia="es-ES"/>
        </w:rPr>
        <w:t> </w:t>
      </w:r>
      <w:r w:rsidRPr="003C0233">
        <w:rPr>
          <w:lang w:val="es-ES_tradnl"/>
        </w:rPr>
        <w:t>UIT, y los derechos de los Estados Miembros previstos en la Constitución de la</w:t>
      </w:r>
      <w:r w:rsidRPr="003C0233">
        <w:rPr>
          <w:lang w:val="es-ES_tradnl" w:eastAsia="es-ES"/>
        </w:rPr>
        <w:t> </w:t>
      </w:r>
      <w:r w:rsidRPr="003C0233">
        <w:rPr>
          <w:lang w:val="es-ES_tradnl"/>
        </w:rPr>
        <w:t>UIT,</w:t>
      </w:r>
    </w:p>
    <w:p w14:paraId="2FF69C70"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F412C85" w14:textId="77777777" w:rsidR="00C875B7" w:rsidRPr="003C0233" w:rsidRDefault="00C875B7" w:rsidP="00C875B7">
      <w:pPr>
        <w:pStyle w:val="Call"/>
        <w:rPr>
          <w:lang w:val="es-ES_tradnl"/>
        </w:rPr>
      </w:pPr>
      <w:r w:rsidRPr="003C0233">
        <w:rPr>
          <w:lang w:val="es-ES_tradnl"/>
        </w:rPr>
        <w:lastRenderedPageBreak/>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1255BBEB" w14:textId="77777777" w:rsidR="00C875B7" w:rsidRPr="003C0233" w:rsidRDefault="00C875B7" w:rsidP="00C875B7">
      <w:pPr>
        <w:rPr>
          <w:lang w:val="es-ES_tradnl"/>
        </w:rPr>
      </w:pPr>
      <w:r w:rsidRPr="003C0233">
        <w:rPr>
          <w:lang w:val="es-ES_tradnl"/>
        </w:rPr>
        <w:t>1</w:t>
      </w:r>
      <w:r w:rsidRPr="003C0233">
        <w:rPr>
          <w:lang w:val="es-ES_tradnl"/>
        </w:rPr>
        <w:tab/>
        <w:t xml:space="preserve">que trate de obtener asociaciones y cooperación con las partes directamente implicadas en la prestación de servicios a la población utilizando la tecnología, las instalaciones y las redes de telecomunicaciones más prácticas para garantizar la ejecución efectiva de los programas y actividades pertinentes de la UIT en materia de desarrollo de la conectividad de banda ancha, proporcionando un acceso fiable a la banda ancha con precios asequibles, tanto a los nuevos usuarios como a los ya existentes, en las comunidades desatendidas o </w:t>
      </w:r>
      <w:proofErr w:type="spellStart"/>
      <w:r w:rsidRPr="003C0233">
        <w:rPr>
          <w:lang w:val="es-ES_tradnl"/>
        </w:rPr>
        <w:t>subatendidas</w:t>
      </w:r>
      <w:proofErr w:type="spellEnd"/>
      <w:r w:rsidRPr="003C0233">
        <w:rPr>
          <w:lang w:val="es-ES_tradnl"/>
        </w:rPr>
        <w:t>;</w:t>
      </w:r>
    </w:p>
    <w:p w14:paraId="7E16D26D" w14:textId="22FE327F" w:rsidR="00C875B7" w:rsidRPr="003C0233" w:rsidRDefault="00C875B7" w:rsidP="00C875B7">
      <w:pPr>
        <w:rPr>
          <w:lang w:val="es-ES_tradnl"/>
        </w:rPr>
      </w:pPr>
      <w:r w:rsidRPr="003C0233">
        <w:rPr>
          <w:lang w:val="es-ES_tradnl"/>
        </w:rPr>
        <w:t>2</w:t>
      </w:r>
      <w:r w:rsidRPr="003C0233">
        <w:rPr>
          <w:lang w:val="es-ES_tradnl"/>
        </w:rPr>
        <w:tab/>
        <w:t>que colabore con el UIT</w:t>
      </w:r>
      <w:r w:rsidRPr="003C0233">
        <w:rPr>
          <w:lang w:val="es-ES_tradnl"/>
        </w:rPr>
        <w:noBreakHyphen/>
        <w:t xml:space="preserve">T, la ISOC, la IEF y </w:t>
      </w:r>
      <w:r w:rsidRPr="003C0233">
        <w:rPr>
          <w:lang w:val="es-ES_tradnl" w:eastAsia="es-ES"/>
        </w:rPr>
        <w:t xml:space="preserve">las asociaciones de IXP regionales y otras partes interesadas para ayudar a los </w:t>
      </w:r>
      <w:r w:rsidRPr="003C0233">
        <w:rPr>
          <w:lang w:val="es-ES_tradnl"/>
        </w:rPr>
        <w:t>Estados Miembros, en particular a los países en desarrollo</w:t>
      </w:r>
      <w:r w:rsidR="00472CE6" w:rsidRPr="003C0233">
        <w:rPr>
          <w:rStyle w:val="FootnoteReference"/>
          <w:lang w:val="es-ES_tradnl"/>
        </w:rPr>
        <w:footnoteReference w:id="4"/>
      </w:r>
      <w:r w:rsidRPr="003C0233">
        <w:rPr>
          <w:lang w:val="es-ES_tradnl"/>
        </w:rPr>
        <w:t>, a establecer IXP regionales en los países que cuenten con puntos de amarre de cables submarinos, con el fin de facilitar la conexión de los países sin litoral, y proporcionar asesoramiento y asistencia en el establecimiento de IXP en estos últimos;</w:t>
      </w:r>
    </w:p>
    <w:p w14:paraId="4C93984F" w14:textId="77777777" w:rsidR="00C875B7" w:rsidRPr="003C0233" w:rsidRDefault="00C875B7" w:rsidP="00C875B7">
      <w:pPr>
        <w:rPr>
          <w:lang w:val="es-ES_tradnl"/>
        </w:rPr>
      </w:pPr>
      <w:r w:rsidRPr="003C0233">
        <w:rPr>
          <w:lang w:val="es-ES_tradnl"/>
        </w:rPr>
        <w:t>3</w:t>
      </w:r>
      <w:r w:rsidRPr="003C0233">
        <w:rPr>
          <w:lang w:val="es-ES_tradnl"/>
        </w:rPr>
        <w:tab/>
        <w:t>que establezca vínculos claros entre la Cuestión o Cuestiones de Estudio, los programas y las Iniciativas Regionales sobre la banda ancha para maximizar la utilización de los recursos humanos y financieros y, lo que es más importante, satisfacer mejor las necesidades de los países en desarrollo;</w:t>
      </w:r>
    </w:p>
    <w:p w14:paraId="5546DA27" w14:textId="77777777" w:rsidR="00C875B7" w:rsidRPr="003C0233" w:rsidRDefault="00C875B7" w:rsidP="00C875B7">
      <w:pPr>
        <w:rPr>
          <w:lang w:val="es-ES_tradnl"/>
        </w:rPr>
      </w:pPr>
      <w:r w:rsidRPr="003C0233">
        <w:rPr>
          <w:lang w:val="es-ES_tradnl"/>
        </w:rPr>
        <w:t>4</w:t>
      </w:r>
      <w:r w:rsidRPr="003C0233">
        <w:rPr>
          <w:lang w:val="es-ES_tradnl"/>
        </w:rPr>
        <w:tab/>
        <w:t>que explore opciones para facilitar la conectividad de banda ancha en estrecha colaboración con el Sector de Radiocomunicaciones de la UIT y el UIT</w:t>
      </w:r>
      <w:r w:rsidRPr="003C0233">
        <w:rPr>
          <w:lang w:val="es-ES_tradnl"/>
        </w:rPr>
        <w:noBreakHyphen/>
        <w:t>T,</w:t>
      </w:r>
    </w:p>
    <w:p w14:paraId="1A2BE0A3" w14:textId="565E8D84"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 en colaboración con el </w:t>
      </w:r>
      <w:proofErr w:type="gramStart"/>
      <w:r w:rsidRPr="003C0233">
        <w:rPr>
          <w:lang w:val="es-ES_tradnl"/>
        </w:rPr>
        <w:t>Director</w:t>
      </w:r>
      <w:proofErr w:type="gramEnd"/>
      <w:r w:rsidRPr="003C0233">
        <w:rPr>
          <w:lang w:val="es-ES_tradnl"/>
        </w:rPr>
        <w:t xml:space="preserve"> de la Oficina de Radiocomunicaciones y el </w:t>
      </w:r>
      <w:proofErr w:type="gramStart"/>
      <w:r w:rsidRPr="003C0233">
        <w:rPr>
          <w:lang w:val="es-ES_tradnl"/>
        </w:rPr>
        <w:t>Director</w:t>
      </w:r>
      <w:proofErr w:type="gramEnd"/>
      <w:r w:rsidRPr="003C0233">
        <w:rPr>
          <w:lang w:val="es-ES_tradnl"/>
        </w:rPr>
        <w:t xml:space="preserve"> de la Oficina de Normalización de las Telecomunicaciones</w:t>
      </w:r>
    </w:p>
    <w:p w14:paraId="20559838" w14:textId="77777777" w:rsidR="00C875B7" w:rsidRPr="003C0233" w:rsidRDefault="00C875B7" w:rsidP="00C875B7">
      <w:pPr>
        <w:rPr>
          <w:lang w:val="es-ES_tradnl" w:eastAsia="es-ES"/>
        </w:rPr>
      </w:pPr>
      <w:r w:rsidRPr="003C0233">
        <w:rPr>
          <w:lang w:val="es-ES_tradnl" w:eastAsia="es-ES"/>
        </w:rPr>
        <w:t>1</w:t>
      </w:r>
      <w:r w:rsidRPr="003C0233">
        <w:rPr>
          <w:lang w:val="es-ES_tradnl" w:eastAsia="es-ES"/>
        </w:rPr>
        <w:tab/>
        <w:t>que colabore con las Oficinas Regionales de la UIT para ayudar a los países en desarrollo, a actualizar sus marcos políticos y reglamentarios nacionales/regionales para la adopción de servicios emergentes de comunicaciones espaciales, según proceda;</w:t>
      </w:r>
    </w:p>
    <w:p w14:paraId="787E258F"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0EBD6F5E" w14:textId="77777777" w:rsidR="00C875B7" w:rsidRPr="003C0233" w:rsidRDefault="00C875B7" w:rsidP="00C875B7">
      <w:pPr>
        <w:rPr>
          <w:lang w:val="es-ES_tradnl" w:eastAsia="es-ES"/>
        </w:rPr>
      </w:pPr>
      <w:r w:rsidRPr="003C0233">
        <w:rPr>
          <w:lang w:val="es-ES_tradnl" w:eastAsia="es-ES"/>
        </w:rPr>
        <w:lastRenderedPageBreak/>
        <w:t>2</w:t>
      </w:r>
      <w:r w:rsidRPr="003C0233">
        <w:rPr>
          <w:lang w:val="es-ES_tradnl" w:eastAsia="es-ES"/>
        </w:rPr>
        <w:tab/>
        <w:t>que organice talleres y foros sobre enfoques y prácticas idóneas en materia de política y reglamentación, y apoyar el desarrollo de herramientas y recursos sobre la adopción de servicios incipientes de comunicaciones espaciales,</w:t>
      </w:r>
    </w:p>
    <w:p w14:paraId="14662685" w14:textId="77777777" w:rsidR="00C875B7" w:rsidRPr="003C0233" w:rsidRDefault="00C875B7" w:rsidP="00C875B7">
      <w:pPr>
        <w:pStyle w:val="Call"/>
        <w:rPr>
          <w:lang w:val="es-ES_tradnl"/>
        </w:rPr>
      </w:pPr>
      <w:r w:rsidRPr="003C0233">
        <w:rPr>
          <w:lang w:val="es-ES_tradnl"/>
        </w:rPr>
        <w:t>invita a los Estados Miembros</w:t>
      </w:r>
    </w:p>
    <w:p w14:paraId="2DE066BA" w14:textId="77777777" w:rsidR="00C875B7" w:rsidRPr="003C0233" w:rsidRDefault="00C875B7" w:rsidP="00C875B7">
      <w:pPr>
        <w:rPr>
          <w:lang w:val="es-ES_tradnl" w:eastAsia="es-ES"/>
        </w:rPr>
      </w:pPr>
      <w:r w:rsidRPr="003C0233">
        <w:rPr>
          <w:lang w:val="es-ES_tradnl" w:eastAsia="es-ES"/>
        </w:rPr>
        <w:t>1</w:t>
      </w:r>
      <w:r w:rsidRPr="003C0233">
        <w:rPr>
          <w:lang w:val="es-ES_tradnl" w:eastAsia="es-ES"/>
        </w:rPr>
        <w:tab/>
        <w:t>a crear y promover un acceso asequible generalizado a la infraestructura de comunicaciones de banda ancha, mediante marcos jurídicos y reglamentarios propicios, en particular la puesta a disposición de espectro para nuevas tecnologías de acceso inalámbrico a banda ancha y la adopción de políticas de concesión de licencias equitativas, transparentes, estables, predecibles y no discriminatorias;</w:t>
      </w:r>
    </w:p>
    <w:p w14:paraId="14D1C012" w14:textId="77777777" w:rsidR="00C875B7" w:rsidRPr="003C0233" w:rsidRDefault="00C875B7" w:rsidP="00C875B7">
      <w:pPr>
        <w:rPr>
          <w:lang w:val="es-ES_tradnl" w:eastAsia="es-ES"/>
        </w:rPr>
      </w:pPr>
      <w:r w:rsidRPr="003C0233">
        <w:rPr>
          <w:lang w:val="es-ES_tradnl" w:eastAsia="es-ES"/>
        </w:rPr>
        <w:t>2</w:t>
      </w:r>
      <w:r w:rsidRPr="003C0233">
        <w:rPr>
          <w:lang w:val="es-ES_tradnl" w:eastAsia="es-ES"/>
        </w:rPr>
        <w:tab/>
        <w:t>a desplegar todos los esfuerzos necesarios para fomentar un entorno propicio para un mayor crecimiento y desarrollo de la conectividad en banda ancha tecnológicamente neutral, sobre la base de los avances de la UIT en las esferas de la tecnología y la reglamentación flexible del acceso de banda ancha, en particular en los países en desarrollo;</w:t>
      </w:r>
    </w:p>
    <w:p w14:paraId="4DC2257D" w14:textId="77777777" w:rsidR="00C875B7" w:rsidRPr="003C0233" w:rsidRDefault="00C875B7" w:rsidP="00C875B7">
      <w:pPr>
        <w:rPr>
          <w:lang w:val="es-ES_tradnl" w:eastAsia="es-ES"/>
        </w:rPr>
      </w:pPr>
      <w:r w:rsidRPr="003C0233">
        <w:rPr>
          <w:lang w:val="es-ES_tradnl" w:eastAsia="es-ES"/>
        </w:rPr>
        <w:t>3</w:t>
      </w:r>
      <w:r w:rsidRPr="003C0233">
        <w:rPr>
          <w:lang w:val="es-ES_tradnl" w:eastAsia="es-ES"/>
        </w:rPr>
        <w:tab/>
        <w:t>a contribuir activamente a la Cuestión o Cuestiones de estudio sobre la banda ancha;</w:t>
      </w:r>
    </w:p>
    <w:p w14:paraId="266474C8" w14:textId="77777777" w:rsidR="00C875B7" w:rsidRPr="003C0233" w:rsidRDefault="00C875B7" w:rsidP="00C875B7">
      <w:pPr>
        <w:rPr>
          <w:lang w:val="es-ES_tradnl" w:eastAsia="es-ES"/>
        </w:rPr>
      </w:pPr>
      <w:r w:rsidRPr="003C0233">
        <w:rPr>
          <w:lang w:val="es-ES_tradnl" w:eastAsia="es-ES"/>
        </w:rPr>
        <w:t>4</w:t>
      </w:r>
      <w:r w:rsidRPr="003C0233">
        <w:rPr>
          <w:lang w:val="es-ES_tradnl" w:eastAsia="es-ES"/>
        </w:rPr>
        <w:tab/>
        <w:t>a aplicar los resultados de los trabajos realizados sobre las Cuestiones de estudio, comprendidos los relativos a las reformas de la legislación, de la reglamentación y del mercado para la creación de un entorno propicio para la banda ancha que promueva la competencia, la inversión privada y las asociaciones público-privadas;</w:t>
      </w:r>
    </w:p>
    <w:p w14:paraId="76E0E842" w14:textId="77777777" w:rsidR="00C875B7" w:rsidRPr="003C0233" w:rsidRDefault="00C875B7" w:rsidP="00C875B7">
      <w:pPr>
        <w:rPr>
          <w:lang w:val="es-ES_tradnl" w:eastAsia="es-ES"/>
        </w:rPr>
      </w:pPr>
      <w:r w:rsidRPr="003C0233">
        <w:rPr>
          <w:lang w:val="es-ES_tradnl" w:eastAsia="es-ES"/>
        </w:rPr>
        <w:t>5</w:t>
      </w:r>
      <w:r w:rsidRPr="003C0233">
        <w:rPr>
          <w:lang w:val="es-ES_tradnl" w:eastAsia="es-ES"/>
        </w:rPr>
        <w:tab/>
        <w:t>a examinar y aplicar, según proceda, las recomendaciones pertinentes de la Comisión de la Banda Ancha, teniendo en cuenta las circunstancias nacionales y las necesidades actuales en materia de conectividad de banda ancha;</w:t>
      </w:r>
    </w:p>
    <w:p w14:paraId="668A57D9"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lang w:val="es-ES_tradnl" w:eastAsia="es-ES"/>
        </w:rPr>
      </w:pPr>
      <w:r w:rsidRPr="003C0233">
        <w:rPr>
          <w:lang w:val="es-ES_tradnl" w:eastAsia="es-ES"/>
        </w:rPr>
        <w:br w:type="page"/>
      </w:r>
    </w:p>
    <w:p w14:paraId="2D3B1062" w14:textId="2368FF92" w:rsidR="00C875B7" w:rsidRPr="003C0233" w:rsidRDefault="00C875B7" w:rsidP="00C875B7">
      <w:pPr>
        <w:rPr>
          <w:lang w:val="es-ES_tradnl" w:eastAsia="es-ES"/>
        </w:rPr>
      </w:pPr>
      <w:r w:rsidRPr="003C0233">
        <w:rPr>
          <w:lang w:val="es-ES_tradnl" w:eastAsia="es-ES"/>
        </w:rPr>
        <w:lastRenderedPageBreak/>
        <w:t>6</w:t>
      </w:r>
      <w:r w:rsidRPr="003C0233">
        <w:rPr>
          <w:lang w:val="es-ES_tradnl" w:eastAsia="es-ES"/>
        </w:rPr>
        <w:tab/>
        <w:t>a ejecutar políticas y planes que fomenten la disponibilidad de servicios, aplicaciones y contenidos que estimulen la demanda de banda ancha;</w:t>
      </w:r>
    </w:p>
    <w:p w14:paraId="4DF0425D" w14:textId="77777777" w:rsidR="00C875B7" w:rsidRPr="003C0233" w:rsidRDefault="00C875B7" w:rsidP="00C875B7">
      <w:pPr>
        <w:rPr>
          <w:lang w:val="es-ES_tradnl" w:eastAsia="es-ES"/>
        </w:rPr>
      </w:pPr>
      <w:r w:rsidRPr="003C0233">
        <w:rPr>
          <w:lang w:val="es-ES_tradnl" w:eastAsia="es-ES"/>
        </w:rPr>
        <w:t>7</w:t>
      </w:r>
      <w:r w:rsidRPr="003C0233">
        <w:rPr>
          <w:lang w:val="es-ES_tradnl" w:eastAsia="es-ES"/>
        </w:rPr>
        <w:tab/>
        <w:t>a adoptar medidas para promover la capacitación humana, incluidos programas de alfabetización digital y de educación técnica, teniendo en cuenta la necesidad de promover el acceso a la banda ancha de mujeres, niñas, personas con discapacidad, personas que viven en zonas rurales y aisladas, y pueblos indígenas;</w:t>
      </w:r>
    </w:p>
    <w:p w14:paraId="152EBD8F" w14:textId="77777777" w:rsidR="00C875B7" w:rsidRPr="003C0233" w:rsidRDefault="00C875B7" w:rsidP="00C875B7">
      <w:pPr>
        <w:rPr>
          <w:lang w:val="es-ES_tradnl" w:eastAsia="es-ES"/>
        </w:rPr>
      </w:pPr>
      <w:r w:rsidRPr="003C0233">
        <w:rPr>
          <w:lang w:val="es-ES_tradnl" w:eastAsia="es-ES"/>
        </w:rPr>
        <w:t>8</w:t>
      </w:r>
      <w:r w:rsidRPr="003C0233">
        <w:rPr>
          <w:lang w:val="es-ES_tradnl" w:eastAsia="es-ES"/>
        </w:rPr>
        <w:tab/>
        <w:t xml:space="preserve">a compartir estrategias y experiencias sobre la evolución de redes, casos de aplicación, despliegue y </w:t>
      </w:r>
      <w:proofErr w:type="gramStart"/>
      <w:r w:rsidRPr="003C0233">
        <w:rPr>
          <w:lang w:val="es-ES_tradnl" w:eastAsia="es-ES"/>
        </w:rPr>
        <w:t>funcionamiento eficientes</w:t>
      </w:r>
      <w:proofErr w:type="gramEnd"/>
      <w:r w:rsidRPr="003C0233">
        <w:rPr>
          <w:lang w:val="es-ES_tradnl" w:eastAsia="es-ES"/>
        </w:rPr>
        <w:t>, implementación y buenas prácticas en seminarios y talleres, en particular en los países en desarrollo,</w:t>
      </w:r>
    </w:p>
    <w:p w14:paraId="3D2ACD46" w14:textId="77777777" w:rsidR="00C875B7" w:rsidRPr="003C0233" w:rsidRDefault="00C875B7" w:rsidP="00C875B7">
      <w:pPr>
        <w:pStyle w:val="Call"/>
        <w:rPr>
          <w:lang w:val="es-ES_tradnl"/>
        </w:rPr>
      </w:pPr>
      <w:r w:rsidRPr="003C0233">
        <w:rPr>
          <w:lang w:val="es-ES_tradnl" w:eastAsia="es-ES"/>
        </w:rPr>
        <w:t>invita a los Estados Miembros, Miembros de Sector, Asociados e Instituciones Académicas</w:t>
      </w:r>
    </w:p>
    <w:p w14:paraId="2E11C45B" w14:textId="77777777" w:rsidR="00C875B7" w:rsidRDefault="00C875B7" w:rsidP="00C875B7">
      <w:pPr>
        <w:rPr>
          <w:lang w:val="es-ES_tradnl"/>
        </w:rPr>
      </w:pPr>
      <w:r w:rsidRPr="003C0233">
        <w:rPr>
          <w:lang w:val="es-ES_tradnl"/>
        </w:rPr>
        <w:t>a compartir experiencias y prácticas idóneas sobre la adopción de nuevos servicios de comunicaciones espaciales y a presentar contribuciones para los trabajos pertinentes de las Comisiones de Estudio del UIT</w:t>
      </w:r>
      <w:r w:rsidRPr="003C0233">
        <w:rPr>
          <w:lang w:val="es-ES_tradnl"/>
        </w:rPr>
        <w:noBreakHyphen/>
        <w:t>D.</w:t>
      </w:r>
    </w:p>
    <w:p w14:paraId="5F9B953E" w14:textId="77777777" w:rsidR="00393B99" w:rsidRDefault="00393B99" w:rsidP="00C875B7">
      <w:pPr>
        <w:rPr>
          <w:lang w:val="es-ES_tradnl"/>
        </w:rPr>
      </w:pPr>
    </w:p>
    <w:p w14:paraId="577851FF" w14:textId="77777777" w:rsidR="00393B99" w:rsidRDefault="00393B99" w:rsidP="00C875B7">
      <w:pPr>
        <w:rPr>
          <w:lang w:val="es-ES_tradnl"/>
        </w:rPr>
      </w:pPr>
    </w:p>
    <w:p w14:paraId="0178C130" w14:textId="77777777" w:rsidR="00393B99" w:rsidRDefault="00393B99" w:rsidP="00C875B7">
      <w:pPr>
        <w:rPr>
          <w:lang w:val="es-ES_tradnl"/>
        </w:rPr>
      </w:pPr>
    </w:p>
    <w:p w14:paraId="2F9761D3" w14:textId="77777777" w:rsidR="00393B99" w:rsidRDefault="00393B99" w:rsidP="00C875B7">
      <w:pPr>
        <w:rPr>
          <w:lang w:val="es-ES_tradnl"/>
        </w:rPr>
      </w:pPr>
    </w:p>
    <w:p w14:paraId="11889BCB" w14:textId="77777777" w:rsidR="00393B99" w:rsidRPr="003C0233" w:rsidRDefault="00393B99" w:rsidP="00C875B7">
      <w:pPr>
        <w:rPr>
          <w:lang w:val="es-ES_tradnl"/>
        </w:rPr>
      </w:pPr>
    </w:p>
    <w:sectPr w:rsidR="00393B99" w:rsidRPr="003C0233" w:rsidSect="00393B99">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D8B74" w14:textId="77777777" w:rsidR="00B27E8F" w:rsidRDefault="00B27E8F">
      <w:r>
        <w:separator/>
      </w:r>
    </w:p>
  </w:endnote>
  <w:endnote w:type="continuationSeparator" w:id="0">
    <w:p w14:paraId="18C69F7E" w14:textId="77777777" w:rsidR="00B27E8F" w:rsidRDefault="00B27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69E18" w14:textId="77777777" w:rsidR="00B27E8F" w:rsidRDefault="00B27E8F">
      <w:r>
        <w:rPr>
          <w:b/>
        </w:rPr>
        <w:t>_______________</w:t>
      </w:r>
    </w:p>
  </w:footnote>
  <w:footnote w:type="continuationSeparator" w:id="0">
    <w:p w14:paraId="1C906E3E" w14:textId="77777777" w:rsidR="00B27E8F" w:rsidRDefault="00B27E8F">
      <w:r>
        <w:continuationSeparator/>
      </w:r>
    </w:p>
  </w:footnote>
  <w:footnote w:id="1">
    <w:p w14:paraId="710DC493" w14:textId="3EC4B341" w:rsidR="00472CE6" w:rsidRPr="00472CE6" w:rsidRDefault="00472CE6">
      <w:pPr>
        <w:pStyle w:val="FootnoteText"/>
        <w:rPr>
          <w:lang w:val="es-ES"/>
        </w:rPr>
      </w:pPr>
      <w:r>
        <w:rPr>
          <w:rStyle w:val="FootnoteReference"/>
        </w:rPr>
        <w:footnoteRef/>
      </w:r>
      <w:r w:rsidRPr="00393B99">
        <w:rPr>
          <w:lang w:val="es-ES"/>
        </w:rPr>
        <w:t xml:space="preserve"> Este término comprende los países menos adelantados, los pequeños Estados insulares en desarrollo, los países en desarrollo sin litoral y los países con economías en transición.</w:t>
      </w:r>
    </w:p>
  </w:footnote>
  <w:footnote w:id="2">
    <w:p w14:paraId="7373BFE5" w14:textId="01DD9B79" w:rsidR="00472CE6" w:rsidRPr="00472CE6" w:rsidRDefault="00472CE6" w:rsidP="002E72EE">
      <w:pPr>
        <w:pStyle w:val="FootnoteText"/>
        <w:jc w:val="left"/>
        <w:rPr>
          <w:lang w:val="es-ES"/>
        </w:rPr>
      </w:pPr>
      <w:r>
        <w:rPr>
          <w:rStyle w:val="FootnoteReference"/>
        </w:rPr>
        <w:footnoteRef/>
      </w:r>
      <w:r w:rsidRPr="00393B99">
        <w:rPr>
          <w:lang w:val="es-ES"/>
        </w:rPr>
        <w:t xml:space="preserve"> </w:t>
      </w:r>
      <w:r w:rsidRPr="00393B99">
        <w:rPr>
          <w:lang w:val="es-ES"/>
        </w:rPr>
        <w:t xml:space="preserve">Informe de la Comisión de la Banda Ancha para el Desarrollo Digital, Broadband: A Platform for Progress (septiembre de 2010), disponible en </w:t>
      </w:r>
      <w:hyperlink r:id="rId1" w:history="1">
        <w:r w:rsidRPr="00393B99">
          <w:rPr>
            <w:rStyle w:val="Hyperlink"/>
            <w:lang w:val="es-ES"/>
          </w:rPr>
          <w:t>http://www.broadbandcommission.org/Documents/publications/Report_2.pdf</w:t>
        </w:r>
      </w:hyperlink>
      <w:r w:rsidRPr="00393B99">
        <w:rPr>
          <w:lang w:val="es-ES"/>
        </w:rPr>
        <w:t>.</w:t>
      </w:r>
    </w:p>
  </w:footnote>
  <w:footnote w:id="3">
    <w:p w14:paraId="0D6E1E3D" w14:textId="7E58EEF4" w:rsidR="00472CE6" w:rsidRPr="00472CE6" w:rsidRDefault="00472CE6">
      <w:pPr>
        <w:pStyle w:val="FootnoteText"/>
        <w:rPr>
          <w:lang w:val="es-ES"/>
        </w:rPr>
      </w:pPr>
      <w:r>
        <w:rPr>
          <w:rStyle w:val="FootnoteReference"/>
        </w:rPr>
        <w:footnoteRef/>
      </w:r>
      <w:r w:rsidRPr="00393B99">
        <w:rPr>
          <w:lang w:val="es-ES"/>
        </w:rPr>
        <w:t xml:space="preserve"> </w:t>
      </w:r>
      <w:hyperlink r:id="rId2" w:history="1">
        <w:r w:rsidRPr="00393B99">
          <w:rPr>
            <w:rStyle w:val="Hyperlink"/>
            <w:lang w:val="es-ES"/>
          </w:rPr>
          <w:t>https://broadbandcommission.org/publication/state-of-broadband-2023/</w:t>
        </w:r>
      </w:hyperlink>
    </w:p>
  </w:footnote>
  <w:footnote w:id="4">
    <w:p w14:paraId="69517A49" w14:textId="3C6762C5" w:rsidR="00472CE6" w:rsidRPr="00472CE6" w:rsidRDefault="00472CE6">
      <w:pPr>
        <w:pStyle w:val="FootnoteText"/>
        <w:rPr>
          <w:lang w:val="es-ES"/>
        </w:rPr>
      </w:pPr>
      <w:r>
        <w:rPr>
          <w:rStyle w:val="FootnoteReference"/>
        </w:rPr>
        <w:footnoteRef/>
      </w:r>
      <w:r w:rsidRPr="00393B99">
        <w:rPr>
          <w:lang w:val="es-ES"/>
        </w:rPr>
        <w:t xml:space="preserve"> </w:t>
      </w:r>
      <w:r w:rsidRPr="00393B99">
        <w:rPr>
          <w:lang w:val="es-ES"/>
        </w:rPr>
        <w:t>En particular los países en desarrollo sin litoral.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49152571"/>
      <w:docPartObj>
        <w:docPartGallery w:val="Page Numbers (Top of Page)"/>
        <w:docPartUnique/>
      </w:docPartObj>
    </w:sdtPr>
    <w:sdtEndPr/>
    <w:sdtContent>
      <w:p w14:paraId="07F09728" w14:textId="3A550688" w:rsidR="00C97BE0" w:rsidRPr="00393B99" w:rsidRDefault="00C97BE0" w:rsidP="002356E0">
        <w:pPr>
          <w:pStyle w:val="Header"/>
          <w:tabs>
            <w:tab w:val="clear" w:pos="1134"/>
            <w:tab w:val="left" w:pos="567"/>
          </w:tabs>
          <w:jc w:val="left"/>
          <w:rPr>
            <w:sz w:val="16"/>
            <w:szCs w:val="16"/>
            <w:lang w:val="es-ES"/>
          </w:rPr>
        </w:pPr>
        <w:r>
          <w:rPr>
            <w:sz w:val="16"/>
            <w:szCs w:val="16"/>
          </w:rPr>
          <w:fldChar w:fldCharType="begin"/>
        </w:r>
        <w:r w:rsidRPr="00393B99">
          <w:rPr>
            <w:sz w:val="16"/>
            <w:szCs w:val="16"/>
            <w:lang w:val="es-ES"/>
          </w:rPr>
          <w:instrText xml:space="preserve"> PAGE   \* MERGEFORMAT </w:instrText>
        </w:r>
        <w:r>
          <w:rPr>
            <w:sz w:val="16"/>
            <w:szCs w:val="16"/>
          </w:rPr>
          <w:fldChar w:fldCharType="separate"/>
        </w:r>
        <w:r w:rsidRPr="00393B99">
          <w:rPr>
            <w:sz w:val="16"/>
            <w:szCs w:val="16"/>
            <w:lang w:val="es-ES"/>
          </w:rPr>
          <w:t>4</w:t>
        </w:r>
        <w:r>
          <w:rPr>
            <w:noProof/>
            <w:sz w:val="16"/>
            <w:szCs w:val="16"/>
          </w:rPr>
          <w:fldChar w:fldCharType="end"/>
        </w:r>
        <w:r w:rsidRPr="00393B99">
          <w:rPr>
            <w:sz w:val="16"/>
            <w:szCs w:val="16"/>
            <w:lang w:val="es-ES"/>
          </w:rPr>
          <w:tab/>
        </w:r>
        <w:r w:rsidRPr="00393B99">
          <w:rPr>
            <w:rFonts w:ascii="Calibri" w:hAnsi="Calibri"/>
            <w:sz w:val="16"/>
            <w:szCs w:val="16"/>
            <w:lang w:val="es-ES"/>
          </w:rPr>
          <w:t>Informe final de la CMDT-25 – Parte IV – Resolución 77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235971161"/>
      <w:docPartObj>
        <w:docPartGallery w:val="Page Numbers (Top of Page)"/>
        <w:docPartUnique/>
      </w:docPartObj>
    </w:sdtPr>
    <w:sdtEndPr/>
    <w:sdtContent>
      <w:p w14:paraId="7B77AF62" w14:textId="6FA75BD6" w:rsidR="00C97BE0" w:rsidRPr="00393B99"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393B99">
          <w:rPr>
            <w:rFonts w:ascii="Calibri" w:hAnsi="Calibri"/>
            <w:sz w:val="16"/>
            <w:szCs w:val="16"/>
            <w:lang w:val="es-ES"/>
          </w:rPr>
          <w:t>Informe final de la CMDT-25 – Parte IV – Resolución 77</w:t>
        </w:r>
        <w:r w:rsidRPr="00393B99">
          <w:rPr>
            <w:rFonts w:ascii="Calibri" w:hAnsi="Calibri"/>
            <w:sz w:val="16"/>
            <w:szCs w:val="16"/>
            <w:lang w:val="es-ES"/>
          </w:rPr>
          <w:tab/>
        </w:r>
        <w:r w:rsidRPr="002356E0">
          <w:rPr>
            <w:rFonts w:ascii="Calibri" w:hAnsi="Calibri"/>
            <w:sz w:val="16"/>
            <w:szCs w:val="16"/>
            <w:lang w:val="fr-FR"/>
          </w:rPr>
          <w:fldChar w:fldCharType="begin"/>
        </w:r>
        <w:r w:rsidRPr="00393B99">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393B99">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33499529"/>
      <w:docPartObj>
        <w:docPartGallery w:val="Page Numbers (Top of Page)"/>
        <w:docPartUnique/>
      </w:docPartObj>
    </w:sdtPr>
    <w:sdtEndPr/>
    <w:sdtContent>
      <w:p w14:paraId="6A267901" w14:textId="190EA87A" w:rsidR="00C97BE0" w:rsidRPr="00393B99" w:rsidRDefault="00C97BE0" w:rsidP="00393B99">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393B99">
          <w:rPr>
            <w:rFonts w:ascii="Calibri" w:hAnsi="Calibri"/>
            <w:sz w:val="16"/>
            <w:szCs w:val="16"/>
            <w:lang w:val="es-ES"/>
          </w:rPr>
          <w:t>Informe final de la CMDT-25 – Parte IV – Resolución 77</w:t>
        </w:r>
        <w:r w:rsidR="00393B99">
          <w:rPr>
            <w:rFonts w:ascii="Calibri" w:hAnsi="Calibri"/>
            <w:sz w:val="16"/>
            <w:szCs w:val="16"/>
            <w:lang w:val="es-ES"/>
          </w:rPr>
          <w:tab/>
        </w:r>
        <w:r w:rsidR="00393B99">
          <w:rPr>
            <w:sz w:val="16"/>
            <w:szCs w:val="16"/>
          </w:rPr>
          <w:fldChar w:fldCharType="begin"/>
        </w:r>
        <w:r w:rsidR="00393B99" w:rsidRPr="00393B99">
          <w:rPr>
            <w:sz w:val="16"/>
            <w:szCs w:val="16"/>
            <w:lang w:val="es-ES"/>
          </w:rPr>
          <w:instrText xml:space="preserve"> PAGE   \* MERGEFORMAT </w:instrText>
        </w:r>
        <w:r w:rsidR="00393B99">
          <w:rPr>
            <w:sz w:val="16"/>
            <w:szCs w:val="16"/>
          </w:rPr>
          <w:fldChar w:fldCharType="separate"/>
        </w:r>
        <w:r w:rsidR="00393B99" w:rsidRPr="00393B99">
          <w:rPr>
            <w:sz w:val="16"/>
            <w:szCs w:val="16"/>
            <w:lang w:val="es-ES"/>
          </w:rPr>
          <w:t>1</w:t>
        </w:r>
        <w:r w:rsidR="00393B99">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3B99"/>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32C"/>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27E8F"/>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broadbandcommission.org/publication/state-of-broadband-2023/" TargetMode="External"/><Relationship Id="rId1" Type="http://schemas.openxmlformats.org/officeDocument/2006/relationships/hyperlink" Target="http://www.broadbandcommission.org/Documents/publications/Report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10</Pages>
  <Words>2744</Words>
  <Characters>15202</Characters>
  <Application>Microsoft Office Word</Application>
  <DocSecurity>0</DocSecurity>
  <Lines>266</Lines>
  <Paragraphs>87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17859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77 (Rev. Bakú, 2025) Tecnología y aplicaciones de banda ancha para un mayor crecimiento y desarrollo de los servicios de telecomunicaciones/tecnologías de la información y la comunicación y la conectividad de banda ancha</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2026-09-24T07:25:00Z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