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163D2" w14:textId="77777777" w:rsidR="00760E6A" w:rsidRPr="009A5624" w:rsidRDefault="00760E6A" w:rsidP="00760E6A">
      <w:pPr>
        <w:pStyle w:val="ResNo"/>
        <w:rPr>
          <w:lang w:val="en-US"/>
        </w:rPr>
      </w:pPr>
      <w:bookmarkStart w:id="0" w:name="_Toc227837008"/>
      <w:bookmarkStart w:id="1" w:name="_Toc227837621"/>
      <w:r w:rsidRPr="00334B96">
        <w:rPr>
          <w:lang w:val="ru-RU"/>
        </w:rPr>
        <w:t xml:space="preserve">РЕЗОЛЮЦИЯ </w:t>
      </w:r>
      <w:r w:rsidRPr="00334B96">
        <w:rPr>
          <w:rStyle w:val="href"/>
          <w:lang w:val="ru-RU"/>
        </w:rPr>
        <w:t>77</w:t>
      </w:r>
      <w:r w:rsidRPr="00334B96">
        <w:rPr>
          <w:lang w:val="ru-RU"/>
        </w:rPr>
        <w:t xml:space="preserve"> (</w:t>
      </w:r>
      <w:proofErr w:type="spellStart"/>
      <w:r w:rsidRPr="00334B96">
        <w:rPr>
          <w:lang w:val="ru-RU"/>
        </w:rPr>
        <w:t>Пересм</w:t>
      </w:r>
      <w:proofErr w:type="spellEnd"/>
      <w:r w:rsidRPr="00334B96">
        <w:rPr>
          <w:lang w:val="ru-RU"/>
        </w:rPr>
        <w:t>. Баку, 2025 г.)</w:t>
      </w:r>
      <w:bookmarkEnd w:id="0"/>
      <w:bookmarkEnd w:id="1"/>
    </w:p>
    <w:p w14:paraId="3AFF3366" w14:textId="77777777" w:rsidR="00760E6A" w:rsidRPr="00334B96" w:rsidRDefault="00760E6A" w:rsidP="00760E6A">
      <w:pPr>
        <w:pStyle w:val="Restitle"/>
        <w:rPr>
          <w:lang w:val="ru-RU"/>
        </w:rPr>
      </w:pPr>
      <w:bookmarkStart w:id="2" w:name="_Toc116554241"/>
      <w:bookmarkStart w:id="3" w:name="_Toc227837009"/>
      <w:bookmarkStart w:id="4" w:name="_Toc227837622"/>
      <w:r w:rsidRPr="00334B96">
        <w:rPr>
          <w:lang w:val="ru-RU"/>
        </w:rPr>
        <w:t>Технологии и приложения широкополосной связи для более активного роста и развития услуг электросвязи/информационно-коммуникационных технологий и широкополосных соединений</w:t>
      </w:r>
      <w:bookmarkEnd w:id="2"/>
      <w:bookmarkEnd w:id="3"/>
      <w:bookmarkEnd w:id="4"/>
    </w:p>
    <w:p w14:paraId="6B63AE2A" w14:textId="77777777" w:rsidR="00760E6A" w:rsidRPr="00334B96" w:rsidRDefault="00760E6A" w:rsidP="00760E6A">
      <w:pPr>
        <w:pStyle w:val="Normalaftertitle"/>
        <w:rPr>
          <w:lang w:val="ru-RU"/>
        </w:rPr>
      </w:pPr>
      <w:r w:rsidRPr="00334B96">
        <w:rPr>
          <w:lang w:val="ru-RU"/>
        </w:rPr>
        <w:t>Всемирная конференция по развитию электросвязи (Баку, 2025 г.),</w:t>
      </w:r>
    </w:p>
    <w:p w14:paraId="6A1D607D" w14:textId="77777777" w:rsidR="00760E6A" w:rsidRPr="00334B96" w:rsidRDefault="00760E6A" w:rsidP="00760E6A">
      <w:pPr>
        <w:pStyle w:val="Call"/>
        <w:rPr>
          <w:lang w:val="ru-RU"/>
        </w:rPr>
      </w:pPr>
      <w:r w:rsidRPr="00334B96">
        <w:rPr>
          <w:lang w:val="ru-RU"/>
        </w:rPr>
        <w:t>напоминая</w:t>
      </w:r>
    </w:p>
    <w:p w14:paraId="040B9685" w14:textId="77777777" w:rsidR="00760E6A" w:rsidRPr="00334B96" w:rsidRDefault="00760E6A" w:rsidP="00760E6A">
      <w:pPr>
        <w:rPr>
          <w:lang w:val="ru-RU"/>
        </w:rPr>
      </w:pPr>
      <w:r w:rsidRPr="00334B96">
        <w:rPr>
          <w:i/>
          <w:iCs/>
          <w:lang w:val="ru-RU"/>
        </w:rPr>
        <w:t>a)</w:t>
      </w:r>
      <w:r w:rsidRPr="00334B96">
        <w:rPr>
          <w:lang w:val="ru-RU"/>
        </w:rPr>
        <w:tab/>
        <w:t>Резолюцию 71 (</w:t>
      </w:r>
      <w:proofErr w:type="spellStart"/>
      <w:r w:rsidRPr="00334B96">
        <w:rPr>
          <w:lang w:val="ru-RU"/>
        </w:rPr>
        <w:t>Пересм</w:t>
      </w:r>
      <w:proofErr w:type="spellEnd"/>
      <w:r w:rsidRPr="00334B96">
        <w:rPr>
          <w:lang w:val="ru-RU"/>
        </w:rPr>
        <w:t>. Бухарест, 2022 г.) Полномочной конференции о Стратегическом плане Союза;</w:t>
      </w:r>
    </w:p>
    <w:p w14:paraId="4B9A3080" w14:textId="77777777" w:rsidR="00760E6A" w:rsidRPr="00334B96" w:rsidRDefault="00760E6A" w:rsidP="00760E6A">
      <w:pPr>
        <w:rPr>
          <w:lang w:val="ru-RU"/>
        </w:rPr>
      </w:pPr>
      <w:r w:rsidRPr="00334B96">
        <w:rPr>
          <w:i/>
          <w:iCs/>
          <w:lang w:val="ru-RU"/>
        </w:rPr>
        <w:t>b)</w:t>
      </w:r>
      <w:r w:rsidRPr="00334B96">
        <w:rPr>
          <w:lang w:val="ru-RU"/>
        </w:rPr>
        <w:tab/>
        <w:t>Резолюцию 139 (</w:t>
      </w:r>
      <w:proofErr w:type="spellStart"/>
      <w:r w:rsidRPr="00334B96">
        <w:rPr>
          <w:lang w:val="ru-RU"/>
        </w:rPr>
        <w:t>Пересм</w:t>
      </w:r>
      <w:proofErr w:type="spellEnd"/>
      <w:r w:rsidRPr="00334B96">
        <w:rPr>
          <w:lang w:val="ru-RU"/>
        </w:rPr>
        <w:t>. Бухарест, 2022 г.) Полномочной конференции об использовании электросвязи/информационно-коммуникационных технологий (ИКТ) для преодоления "цифрового разрыва" и построении открытого для всех информационного общества;</w:t>
      </w:r>
    </w:p>
    <w:p w14:paraId="75438393" w14:textId="77777777" w:rsidR="00760E6A" w:rsidRPr="00334B96" w:rsidRDefault="00760E6A" w:rsidP="00760E6A">
      <w:pPr>
        <w:rPr>
          <w:lang w:val="ru-RU"/>
        </w:rPr>
      </w:pPr>
      <w:r w:rsidRPr="00334B96">
        <w:rPr>
          <w:i/>
          <w:iCs/>
          <w:lang w:val="ru-RU"/>
        </w:rPr>
        <w:t>c)</w:t>
      </w:r>
      <w:r w:rsidRPr="00334B96">
        <w:rPr>
          <w:lang w:val="ru-RU"/>
        </w:rPr>
        <w:tab/>
        <w:t>итоговые документы Форума Всемирной встречи на высшем уровне по вопросам информационного общества (ВВУИО) 2015 года;</w:t>
      </w:r>
    </w:p>
    <w:p w14:paraId="3A1B9FE1" w14:textId="77777777" w:rsidR="00760E6A" w:rsidRPr="00334B96" w:rsidRDefault="00760E6A" w:rsidP="00760E6A">
      <w:pPr>
        <w:rPr>
          <w:lang w:val="ru-RU"/>
        </w:rPr>
      </w:pPr>
      <w:r w:rsidRPr="00334B96">
        <w:rPr>
          <w:i/>
          <w:iCs/>
          <w:lang w:val="ru-RU"/>
        </w:rPr>
        <w:t>d)</w:t>
      </w:r>
      <w:r w:rsidRPr="00334B96">
        <w:rPr>
          <w:lang w:val="ru-RU"/>
        </w:rPr>
        <w:tab/>
        <w:t>Резолюцию 135 (</w:t>
      </w:r>
      <w:proofErr w:type="spellStart"/>
      <w:r w:rsidRPr="00334B96">
        <w:rPr>
          <w:lang w:val="ru-RU"/>
        </w:rPr>
        <w:t>Пересм</w:t>
      </w:r>
      <w:proofErr w:type="spellEnd"/>
      <w:r w:rsidRPr="00334B96">
        <w:rPr>
          <w:lang w:val="ru-RU"/>
        </w:rPr>
        <w:t>. Бухарест, 2022 г.) Полномочной конференции о роли МСЭ в надежном и устойчивом развитии электросвязи/ИКТ, в оказании технической помощи и консультаций развивающимся странам</w:t>
      </w:r>
      <w:r w:rsidRPr="00334B96">
        <w:rPr>
          <w:rStyle w:val="FootnoteReference"/>
          <w:lang w:val="ru-RU"/>
        </w:rPr>
        <w:footnoteReference w:id="1"/>
      </w:r>
      <w:r w:rsidRPr="00334B96">
        <w:rPr>
          <w:lang w:val="ru-RU"/>
        </w:rPr>
        <w:t xml:space="preserve"> и в реализации соответствующих национальных, региональных и межрегиональных проектов;</w:t>
      </w:r>
    </w:p>
    <w:p w14:paraId="50D14FC8" w14:textId="77777777" w:rsidR="00760E6A" w:rsidRPr="00334B96" w:rsidRDefault="00760E6A" w:rsidP="00760E6A">
      <w:pPr>
        <w:rPr>
          <w:lang w:val="ru-RU"/>
        </w:rPr>
      </w:pPr>
      <w:r w:rsidRPr="00334B96">
        <w:rPr>
          <w:i/>
          <w:iCs/>
          <w:lang w:val="ru-RU"/>
        </w:rPr>
        <w:t>e)</w:t>
      </w:r>
      <w:r w:rsidRPr="00334B96">
        <w:rPr>
          <w:lang w:val="ru-RU"/>
        </w:rPr>
        <w:tab/>
        <w:t>Мнение 2 (Женева, 2021 г.) Всемирного форума по политике в области электросвязи/ИКТ об обеспечении возможности установления приемлемых в ценовом отношении и безопасных соединений в рамках деятельности по мобилизации новых и появляющихся технологий электросвязи/ИКТ в целях устойчивого развития;</w:t>
      </w:r>
    </w:p>
    <w:p w14:paraId="08EE8BB8" w14:textId="77777777" w:rsidR="00760E6A" w:rsidRPr="00334B96" w:rsidRDefault="00760E6A" w:rsidP="00760E6A">
      <w:pPr>
        <w:rPr>
          <w:lang w:val="ru-RU"/>
        </w:rPr>
      </w:pPr>
      <w:r w:rsidRPr="00334B96">
        <w:rPr>
          <w:i/>
          <w:iCs/>
          <w:lang w:val="ru-RU"/>
        </w:rPr>
        <w:t>f)</w:t>
      </w:r>
      <w:r w:rsidRPr="00334B96">
        <w:rPr>
          <w:lang w:val="ru-RU"/>
        </w:rPr>
        <w:tab/>
        <w:t>Резолюцию 20 (</w:t>
      </w:r>
      <w:proofErr w:type="spellStart"/>
      <w:r w:rsidRPr="00334B96">
        <w:rPr>
          <w:lang w:val="ru-RU"/>
        </w:rPr>
        <w:t>Пересм</w:t>
      </w:r>
      <w:proofErr w:type="spellEnd"/>
      <w:r w:rsidRPr="00334B96">
        <w:rPr>
          <w:lang w:val="ru-RU"/>
        </w:rPr>
        <w:t>. Буэнос-Айрес, 2017 г.) Всемирной конференции по развитию электросвязи (ВКРЭ) о недискриминационном доступе к современным средствам, услугам и соответствующим приложениям электросвязи/ИКТ;</w:t>
      </w:r>
    </w:p>
    <w:p w14:paraId="4272C013" w14:textId="77777777" w:rsidR="00760E6A" w:rsidRPr="00334B96" w:rsidRDefault="00760E6A" w:rsidP="00760E6A">
      <w:pPr>
        <w:rPr>
          <w:lang w:val="ru-RU"/>
        </w:rPr>
      </w:pPr>
      <w:r w:rsidRPr="00334B96">
        <w:rPr>
          <w:i/>
          <w:iCs/>
          <w:lang w:val="ru-RU"/>
        </w:rPr>
        <w:t>g)</w:t>
      </w:r>
      <w:r w:rsidRPr="00334B96">
        <w:rPr>
          <w:lang w:val="ru-RU"/>
        </w:rPr>
        <w:tab/>
        <w:t>Резолюцию 37 (</w:t>
      </w:r>
      <w:proofErr w:type="spellStart"/>
      <w:r w:rsidRPr="00334B96">
        <w:rPr>
          <w:lang w:val="ru-RU"/>
        </w:rPr>
        <w:t>Пересм</w:t>
      </w:r>
      <w:proofErr w:type="spellEnd"/>
      <w:r w:rsidRPr="00334B96">
        <w:rPr>
          <w:lang w:val="ru-RU"/>
        </w:rPr>
        <w:t>. Баку, 2025 г.) настоящей Конференции о преодолении цифрового разрыва;</w:t>
      </w:r>
    </w:p>
    <w:p w14:paraId="473F7583" w14:textId="77777777" w:rsidR="00760E6A" w:rsidRPr="00334B96" w:rsidRDefault="00760E6A" w:rsidP="00760E6A">
      <w:pPr>
        <w:rPr>
          <w:lang w:val="ru-RU"/>
        </w:rPr>
      </w:pPr>
      <w:r w:rsidRPr="00334B96">
        <w:rPr>
          <w:lang w:val="ru-RU"/>
        </w:rPr>
        <w:br w:type="page"/>
      </w:r>
    </w:p>
    <w:p w14:paraId="688C0FE8" w14:textId="77777777" w:rsidR="00760E6A" w:rsidRPr="00334B96" w:rsidRDefault="00760E6A" w:rsidP="00760E6A">
      <w:pPr>
        <w:rPr>
          <w:lang w:val="ru-RU"/>
        </w:rPr>
      </w:pPr>
      <w:r w:rsidRPr="00334B96">
        <w:rPr>
          <w:i/>
          <w:iCs/>
          <w:lang w:val="ru-RU"/>
        </w:rPr>
        <w:lastRenderedPageBreak/>
        <w:t>h)</w:t>
      </w:r>
      <w:r w:rsidRPr="00334B96">
        <w:rPr>
          <w:lang w:val="ru-RU"/>
        </w:rPr>
        <w:tab/>
        <w:t>Резолюцию 203 (</w:t>
      </w:r>
      <w:proofErr w:type="spellStart"/>
      <w:r w:rsidRPr="00334B96">
        <w:rPr>
          <w:lang w:val="ru-RU"/>
        </w:rPr>
        <w:t>Пересм</w:t>
      </w:r>
      <w:proofErr w:type="spellEnd"/>
      <w:r w:rsidRPr="00334B96">
        <w:rPr>
          <w:lang w:val="ru-RU"/>
        </w:rPr>
        <w:t>. Бухарест, 2022 г.) Полномочной конференции о возможности установления соединения с сетями широкополосной связи;</w:t>
      </w:r>
    </w:p>
    <w:p w14:paraId="604B3802" w14:textId="77777777" w:rsidR="00760E6A" w:rsidRPr="00334B96" w:rsidRDefault="00760E6A" w:rsidP="00760E6A">
      <w:pPr>
        <w:rPr>
          <w:lang w:val="ru-RU"/>
        </w:rPr>
      </w:pPr>
      <w:r w:rsidRPr="00334B96">
        <w:rPr>
          <w:i/>
          <w:iCs/>
          <w:lang w:val="ru-RU"/>
        </w:rPr>
        <w:t>i)</w:t>
      </w:r>
      <w:r w:rsidRPr="00334B96">
        <w:rPr>
          <w:lang w:val="ru-RU"/>
        </w:rPr>
        <w:tab/>
        <w:t>Резолюцию МСЭ-R 65-1 (</w:t>
      </w:r>
      <w:proofErr w:type="spellStart"/>
      <w:r w:rsidRPr="00334B96">
        <w:rPr>
          <w:lang w:val="ru-RU"/>
        </w:rPr>
        <w:t>Пересм</w:t>
      </w:r>
      <w:proofErr w:type="spellEnd"/>
      <w:r w:rsidRPr="00334B96">
        <w:rPr>
          <w:lang w:val="ru-RU"/>
        </w:rPr>
        <w:t>. Дубай, 2023 г.) Ассамблеи радиосвязи (АР) о принципах процесса будущего развития систем IMT-2020 и IMT-2030;</w:t>
      </w:r>
    </w:p>
    <w:p w14:paraId="40B080D0" w14:textId="77777777" w:rsidR="00760E6A" w:rsidRPr="00334B96" w:rsidRDefault="00760E6A" w:rsidP="00760E6A">
      <w:pPr>
        <w:rPr>
          <w:lang w:val="ru-RU"/>
        </w:rPr>
      </w:pPr>
      <w:r w:rsidRPr="00334B96">
        <w:rPr>
          <w:i/>
          <w:iCs/>
          <w:lang w:val="ru-RU"/>
        </w:rPr>
        <w:t>j)</w:t>
      </w:r>
      <w:r w:rsidRPr="00334B96">
        <w:rPr>
          <w:lang w:val="ru-RU"/>
        </w:rPr>
        <w:tab/>
        <w:t>Резолюцию 92 (</w:t>
      </w:r>
      <w:proofErr w:type="spellStart"/>
      <w:r w:rsidRPr="00334B96">
        <w:rPr>
          <w:lang w:val="ru-RU"/>
        </w:rPr>
        <w:t>Пересм</w:t>
      </w:r>
      <w:proofErr w:type="spellEnd"/>
      <w:r w:rsidRPr="00334B96">
        <w:rPr>
          <w:lang w:val="ru-RU"/>
        </w:rPr>
        <w:t>. Нью-Дели, 2024 г.) Всемирной ассамблеи по стандартизации электросвязи (ВАСЭ) об активизации деятельности Сектора стандартизации электросвязи МСЭ (МСЭ</w:t>
      </w:r>
      <w:r w:rsidRPr="00334B96">
        <w:rPr>
          <w:lang w:val="ru-RU"/>
        </w:rPr>
        <w:noBreakHyphen/>
        <w:t>Т) в области стандартизации не связанных с радио аспектов Международной подвижной электросвязи (IMT);</w:t>
      </w:r>
    </w:p>
    <w:p w14:paraId="4E4A8E78" w14:textId="77777777" w:rsidR="00760E6A" w:rsidRPr="00334B96" w:rsidRDefault="00760E6A" w:rsidP="00760E6A">
      <w:pPr>
        <w:rPr>
          <w:lang w:val="ru-RU"/>
        </w:rPr>
      </w:pPr>
      <w:r w:rsidRPr="00334B96">
        <w:rPr>
          <w:i/>
          <w:iCs/>
          <w:lang w:val="ru-RU"/>
        </w:rPr>
        <w:t>k)</w:t>
      </w:r>
      <w:r w:rsidRPr="00334B96">
        <w:rPr>
          <w:lang w:val="ru-RU"/>
        </w:rPr>
        <w:tab/>
        <w:t>Резолюцию 93 (</w:t>
      </w:r>
      <w:proofErr w:type="spellStart"/>
      <w:r w:rsidRPr="00334B96">
        <w:rPr>
          <w:lang w:val="ru-RU"/>
        </w:rPr>
        <w:t>Пересм</w:t>
      </w:r>
      <w:proofErr w:type="spellEnd"/>
      <w:r w:rsidRPr="00334B96">
        <w:rPr>
          <w:lang w:val="ru-RU"/>
        </w:rPr>
        <w:t>. Нью-Дели, 2024 г.) ВАСЭ о взаимодействии сетей IMT;</w:t>
      </w:r>
    </w:p>
    <w:p w14:paraId="1D486272" w14:textId="77777777" w:rsidR="00760E6A" w:rsidRPr="00334B96" w:rsidRDefault="00760E6A" w:rsidP="00760E6A">
      <w:pPr>
        <w:rPr>
          <w:lang w:val="ru-RU"/>
        </w:rPr>
      </w:pPr>
      <w:r w:rsidRPr="00334B96">
        <w:rPr>
          <w:i/>
          <w:iCs/>
          <w:lang w:val="ru-RU"/>
        </w:rPr>
        <w:t>l)</w:t>
      </w:r>
      <w:r w:rsidRPr="00334B96">
        <w:rPr>
          <w:lang w:val="ru-RU"/>
        </w:rPr>
        <w:tab/>
        <w:t>Резолюцию 9 (</w:t>
      </w:r>
      <w:proofErr w:type="spellStart"/>
      <w:r w:rsidRPr="00334B96">
        <w:rPr>
          <w:lang w:val="ru-RU"/>
        </w:rPr>
        <w:t>Пересм</w:t>
      </w:r>
      <w:proofErr w:type="spellEnd"/>
      <w:r w:rsidRPr="00334B96">
        <w:rPr>
          <w:lang w:val="ru-RU"/>
        </w:rPr>
        <w:t>. Баку, 2025 г.) настоящей Конференции об участии стран, в особенности развивающихся стран, в управлении использованием спектра;</w:t>
      </w:r>
    </w:p>
    <w:p w14:paraId="7CF56283" w14:textId="77777777" w:rsidR="00760E6A" w:rsidRPr="00334B96" w:rsidRDefault="00760E6A" w:rsidP="00760E6A">
      <w:pPr>
        <w:rPr>
          <w:lang w:val="ru-RU"/>
        </w:rPr>
      </w:pPr>
      <w:r w:rsidRPr="00334B96">
        <w:rPr>
          <w:i/>
          <w:iCs/>
          <w:lang w:val="ru-RU"/>
        </w:rPr>
        <w:t>m)</w:t>
      </w:r>
      <w:r w:rsidRPr="00334B96">
        <w:rPr>
          <w:lang w:val="ru-RU"/>
        </w:rPr>
        <w:tab/>
        <w:t>Резолюцию 218 (Бухарест, 2022 г.) Полномочной конференции о роли МСЭ в осуществлении Повестки дня "Космос-2030";</w:t>
      </w:r>
    </w:p>
    <w:p w14:paraId="6CD13725" w14:textId="77777777" w:rsidR="00760E6A" w:rsidRPr="00334B96" w:rsidRDefault="00760E6A" w:rsidP="00760E6A">
      <w:pPr>
        <w:rPr>
          <w:lang w:val="ru-RU"/>
        </w:rPr>
      </w:pPr>
      <w:r w:rsidRPr="00334B96">
        <w:rPr>
          <w:i/>
          <w:iCs/>
          <w:lang w:val="ru-RU"/>
        </w:rPr>
        <w:t>n)</w:t>
      </w:r>
      <w:r w:rsidRPr="00334B96">
        <w:rPr>
          <w:lang w:val="ru-RU"/>
        </w:rPr>
        <w:tab/>
        <w:t>Резолюцию 219 (Бухарест, 2022 г.) Полномочной конференции об устойчивости ресурсов радиочастотного спектра и связанных с ним спутниковых орбит, используемых космическими службами;</w:t>
      </w:r>
    </w:p>
    <w:p w14:paraId="313D7483" w14:textId="77777777" w:rsidR="00760E6A" w:rsidRPr="00334B96" w:rsidRDefault="00760E6A" w:rsidP="00760E6A">
      <w:pPr>
        <w:rPr>
          <w:lang w:val="ru-RU"/>
        </w:rPr>
      </w:pPr>
      <w:r w:rsidRPr="00334B96">
        <w:rPr>
          <w:i/>
          <w:iCs/>
          <w:lang w:val="ru-RU"/>
        </w:rPr>
        <w:t>o)</w:t>
      </w:r>
      <w:r w:rsidRPr="00334B96">
        <w:rPr>
          <w:lang w:val="ru-RU"/>
        </w:rPr>
        <w:tab/>
        <w:t>Резолюцию МСЭ-R 69-2 (Дубай, 2023 г.) АР о развитии и развертывании международной электросвязи общего пользования, осуществляемой через спутник, в развивающихся странах,</w:t>
      </w:r>
    </w:p>
    <w:p w14:paraId="1DAB98FD" w14:textId="77777777" w:rsidR="00760E6A" w:rsidRPr="00334B96" w:rsidRDefault="00760E6A" w:rsidP="00760E6A">
      <w:pPr>
        <w:pStyle w:val="Call"/>
        <w:rPr>
          <w:iCs/>
          <w:lang w:val="ru-RU"/>
        </w:rPr>
      </w:pPr>
      <w:r w:rsidRPr="00334B96">
        <w:rPr>
          <w:lang w:val="ru-RU"/>
        </w:rPr>
        <w:t>учитывая</w:t>
      </w:r>
    </w:p>
    <w:p w14:paraId="5B18DBC1" w14:textId="77777777" w:rsidR="00760E6A" w:rsidRPr="00334B96" w:rsidRDefault="00760E6A" w:rsidP="00760E6A">
      <w:pPr>
        <w:rPr>
          <w:lang w:val="ru-RU"/>
        </w:rPr>
      </w:pPr>
      <w:r w:rsidRPr="00334B96">
        <w:rPr>
          <w:i/>
          <w:iCs/>
          <w:lang w:val="ru-RU"/>
        </w:rPr>
        <w:t>a)</w:t>
      </w:r>
      <w:r w:rsidRPr="00334B96">
        <w:rPr>
          <w:lang w:val="ru-RU"/>
        </w:rPr>
        <w:tab/>
        <w:t>роль МСЭ, в частности роль Сектора развития электросвязи МСЭ (МСЭ-D), в поддержке развития инфраструктуры и услуг электросвязи/ИКТ;</w:t>
      </w:r>
    </w:p>
    <w:p w14:paraId="63B35DA4" w14:textId="77777777" w:rsidR="00760E6A" w:rsidRPr="00334B96" w:rsidRDefault="00760E6A" w:rsidP="00760E6A">
      <w:pPr>
        <w:rPr>
          <w:lang w:val="ru-RU"/>
        </w:rPr>
      </w:pPr>
      <w:r w:rsidRPr="00334B96">
        <w:rPr>
          <w:i/>
          <w:iCs/>
          <w:lang w:val="ru-RU"/>
        </w:rPr>
        <w:t>b)</w:t>
      </w:r>
      <w:r w:rsidRPr="00334B96">
        <w:rPr>
          <w:lang w:val="ru-RU"/>
        </w:rPr>
        <w:tab/>
        <w:t>потенциальные преимущества от быстрого внедрения новых и различных услуг электросвязи, в том числе услуг, особо отмеченных в резолюции 66/184 Генеральной Ассамблеи Организации Объединенных Наций и соответствующих пункту 54 Тунисской программы для информационного общества ВВУИО, а также роль широкополосных соединений, которые являются ключевыми элементами достижения Целей в области устойчивого развития;</w:t>
      </w:r>
    </w:p>
    <w:p w14:paraId="731C574F" w14:textId="77777777" w:rsidR="00760E6A" w:rsidRPr="00334B96" w:rsidRDefault="00760E6A" w:rsidP="00760E6A">
      <w:pPr>
        <w:tabs>
          <w:tab w:val="clear" w:pos="1134"/>
          <w:tab w:val="clear" w:pos="1871"/>
          <w:tab w:val="clear" w:pos="2268"/>
        </w:tabs>
        <w:overflowPunct/>
        <w:autoSpaceDE/>
        <w:autoSpaceDN/>
        <w:adjustRightInd/>
        <w:spacing w:before="0"/>
        <w:textAlignment w:val="auto"/>
        <w:rPr>
          <w:i/>
          <w:iCs/>
          <w:lang w:val="ru-RU"/>
        </w:rPr>
      </w:pPr>
      <w:r w:rsidRPr="00334B96">
        <w:rPr>
          <w:i/>
          <w:iCs/>
          <w:lang w:val="ru-RU"/>
        </w:rPr>
        <w:br w:type="page"/>
      </w:r>
    </w:p>
    <w:p w14:paraId="214E5FC5" w14:textId="77777777" w:rsidR="00760E6A" w:rsidRPr="00334B96" w:rsidRDefault="00760E6A" w:rsidP="00760E6A">
      <w:pPr>
        <w:rPr>
          <w:lang w:val="ru-RU"/>
        </w:rPr>
      </w:pPr>
      <w:r w:rsidRPr="00334B96">
        <w:rPr>
          <w:i/>
          <w:iCs/>
          <w:lang w:val="ru-RU"/>
        </w:rPr>
        <w:lastRenderedPageBreak/>
        <w:t>c)</w:t>
      </w:r>
      <w:r w:rsidRPr="00334B96">
        <w:rPr>
          <w:lang w:val="ru-RU"/>
        </w:rPr>
        <w:tab/>
        <w:t>значение возможностей широкополосной связи для содействия предоставлению более широкого диапазона услуг и приложений, поощрения инвестиций и предоставления доступа к интернету по приемлемым ценам как для существующих, так и для новых пользователей в необслуживаемых или обслуживаемых в недостаточной степени сообществах за счет использования технологически нейтрального подхода к преодолению существующего цифрового разрыва;</w:t>
      </w:r>
    </w:p>
    <w:p w14:paraId="56BCDBF6" w14:textId="77777777" w:rsidR="00760E6A" w:rsidRPr="00334B96" w:rsidRDefault="00760E6A" w:rsidP="00760E6A">
      <w:pPr>
        <w:rPr>
          <w:lang w:val="ru-RU"/>
        </w:rPr>
      </w:pPr>
      <w:r w:rsidRPr="00334B96">
        <w:rPr>
          <w:i/>
          <w:iCs/>
          <w:lang w:val="ru-RU"/>
        </w:rPr>
        <w:t>d)</w:t>
      </w:r>
      <w:r w:rsidRPr="00334B96">
        <w:rPr>
          <w:lang w:val="ru-RU"/>
        </w:rPr>
        <w:tab/>
        <w:t>что инновационные технологии электросвязи/ИКТ, включая наземные системы, спутниковые системы и системы подводных кабелей, могут помочь преодолеть цифровой разрыв не только между развивающимися и развитыми странами, но и между городскими, отдаленными и сельскими районами, в которых могут не обеспечиваться адекватные традиционные услуги фиксированной электросвязи;</w:t>
      </w:r>
    </w:p>
    <w:p w14:paraId="264F4C94" w14:textId="77777777" w:rsidR="00760E6A" w:rsidRPr="00334B96" w:rsidRDefault="00760E6A" w:rsidP="00760E6A">
      <w:pPr>
        <w:rPr>
          <w:lang w:val="ru-RU"/>
        </w:rPr>
      </w:pPr>
      <w:r w:rsidRPr="00334B96">
        <w:rPr>
          <w:i/>
          <w:iCs/>
          <w:lang w:val="ru-RU"/>
        </w:rPr>
        <w:t>e)</w:t>
      </w:r>
      <w:r w:rsidRPr="00334B96">
        <w:rPr>
          <w:lang w:val="ru-RU"/>
        </w:rPr>
        <w:tab/>
        <w:t>что МСЭ и Организация Объединенных Наций по вопросам образования, науки и культуры (ЮНЕСКО) создали Комиссию по широкополосной связи в интересах устойчивого развития и договорились о четырех "амбициозных, но достижимых" новых целях, которые страны всего мира должны стремиться достичь, для того чтобы их народы могли в полной мере участвовать в формирующихся обществах завтрашнего дня, основанных на знаниях;</w:t>
      </w:r>
    </w:p>
    <w:p w14:paraId="4B3985EF" w14:textId="77777777" w:rsidR="00760E6A" w:rsidRPr="00334B96" w:rsidRDefault="00760E6A" w:rsidP="00760E6A">
      <w:pPr>
        <w:rPr>
          <w:lang w:val="ru-RU"/>
        </w:rPr>
      </w:pPr>
      <w:r w:rsidRPr="00334B96">
        <w:rPr>
          <w:i/>
          <w:iCs/>
          <w:lang w:val="ru-RU"/>
        </w:rPr>
        <w:t>f)</w:t>
      </w:r>
      <w:r w:rsidRPr="00334B96">
        <w:rPr>
          <w:lang w:val="ru-RU"/>
        </w:rPr>
        <w:tab/>
        <w:t>что в соответствии с Резолюцией 9 (</w:t>
      </w:r>
      <w:proofErr w:type="spellStart"/>
      <w:r w:rsidRPr="00334B96">
        <w:rPr>
          <w:lang w:val="ru-RU"/>
        </w:rPr>
        <w:t>Пересм</w:t>
      </w:r>
      <w:proofErr w:type="spellEnd"/>
      <w:r w:rsidRPr="00334B96">
        <w:rPr>
          <w:lang w:val="ru-RU"/>
        </w:rPr>
        <w:t>. Баку, 2025 г.) Директор Бюро развития электросвязи (БРЭ) в тесной консультации с Директором Бюро радиосвязи собирают соответствующую информацию и подготавливают за период между ВКРЭ соответствующие документы и другие актуальные результаты работы, отвечающие потребностям развивающихся стран, о национальных технических, экономических и финансовых подходах к управлению использованием спектра и контролю за использованием спектра и связанных с этим трудностях,</w:t>
      </w:r>
    </w:p>
    <w:p w14:paraId="78D3F631" w14:textId="77777777" w:rsidR="00760E6A" w:rsidRPr="00334B96" w:rsidRDefault="00760E6A" w:rsidP="00760E6A">
      <w:pPr>
        <w:pStyle w:val="Call"/>
        <w:rPr>
          <w:lang w:val="ru-RU"/>
        </w:rPr>
      </w:pPr>
      <w:r w:rsidRPr="00334B96">
        <w:rPr>
          <w:lang w:val="ru-RU"/>
        </w:rPr>
        <w:t>принимая во внимание</w:t>
      </w:r>
    </w:p>
    <w:p w14:paraId="7698A3DE" w14:textId="77777777" w:rsidR="00760E6A" w:rsidRPr="00334B96" w:rsidRDefault="00760E6A" w:rsidP="00760E6A">
      <w:pPr>
        <w:rPr>
          <w:lang w:val="ru-RU"/>
        </w:rPr>
      </w:pPr>
      <w:r w:rsidRPr="00334B96">
        <w:rPr>
          <w:i/>
          <w:iCs/>
          <w:lang w:val="ru-RU"/>
        </w:rPr>
        <w:t>a)</w:t>
      </w:r>
      <w:r w:rsidRPr="00334B96">
        <w:rPr>
          <w:lang w:val="ru-RU"/>
        </w:rPr>
        <w:tab/>
        <w:t>заключительный отчет ВКРЭ (Кигали, 2022 г.), в котором подчеркивается важность расширения возможностей установления цифровых соединений с помощью региональных инициатив, направленных на развитие устойчивой инфраструктуры широкополосной связи, содействие созданию благоприятной политической и регуляторной среды и обеспечение доступа к высокоскоростным сетям, особенно в отдаленных и обслуживаемых в недостаточной степени районах, с целью ускорения прогресса в обеспечении реальной возможности установления соединений для всех;</w:t>
      </w:r>
    </w:p>
    <w:p w14:paraId="58D37568" w14:textId="77777777" w:rsidR="00760E6A" w:rsidRPr="00334B96" w:rsidRDefault="00760E6A" w:rsidP="00760E6A">
      <w:pPr>
        <w:tabs>
          <w:tab w:val="clear" w:pos="1134"/>
          <w:tab w:val="clear" w:pos="1871"/>
          <w:tab w:val="clear" w:pos="2268"/>
        </w:tabs>
        <w:overflowPunct/>
        <w:autoSpaceDE/>
        <w:autoSpaceDN/>
        <w:adjustRightInd/>
        <w:spacing w:before="0"/>
        <w:textAlignment w:val="auto"/>
        <w:rPr>
          <w:i/>
          <w:iCs/>
          <w:lang w:val="ru-RU"/>
        </w:rPr>
      </w:pPr>
      <w:r w:rsidRPr="00334B96">
        <w:rPr>
          <w:i/>
          <w:iCs/>
          <w:lang w:val="ru-RU"/>
        </w:rPr>
        <w:br w:type="page"/>
      </w:r>
    </w:p>
    <w:p w14:paraId="434BF710" w14:textId="77777777" w:rsidR="00760E6A" w:rsidRPr="00334B96" w:rsidRDefault="00760E6A" w:rsidP="00760E6A">
      <w:pPr>
        <w:rPr>
          <w:lang w:val="ru-RU"/>
        </w:rPr>
      </w:pPr>
      <w:r w:rsidRPr="00334B96">
        <w:rPr>
          <w:i/>
          <w:iCs/>
          <w:lang w:val="ru-RU"/>
        </w:rPr>
        <w:lastRenderedPageBreak/>
        <w:t>b)</w:t>
      </w:r>
      <w:r w:rsidRPr="00334B96">
        <w:rPr>
          <w:lang w:val="ru-RU"/>
        </w:rPr>
        <w:tab/>
        <w:t>что многие страны заинтересованы во внедрении всестороннего технологически нейтрального подхода к широкополосным услугам в таких видах деятельности, как электронное здравоохранение, электронное правительство и электронное образование;</w:t>
      </w:r>
    </w:p>
    <w:p w14:paraId="54520A50" w14:textId="77777777" w:rsidR="00760E6A" w:rsidRPr="00334B96" w:rsidRDefault="00760E6A" w:rsidP="00760E6A">
      <w:pPr>
        <w:rPr>
          <w:lang w:val="ru-RU"/>
        </w:rPr>
      </w:pPr>
      <w:r w:rsidRPr="00334B96">
        <w:rPr>
          <w:i/>
          <w:iCs/>
          <w:lang w:val="ru-RU"/>
        </w:rPr>
        <w:t>c)</w:t>
      </w:r>
      <w:r w:rsidRPr="00334B96">
        <w:rPr>
          <w:lang w:val="ru-RU"/>
        </w:rPr>
        <w:tab/>
        <w:t>что, несмотря на существенные улучшения в области наличия и приемлемости в ценовом отношении широкополосной связи, почти две трети населения мира не имеют доступа к приемлемой в ценовом отношении широкополосной связи;</w:t>
      </w:r>
    </w:p>
    <w:p w14:paraId="6A626F4F" w14:textId="77777777" w:rsidR="00760E6A" w:rsidRPr="00334B96" w:rsidRDefault="00760E6A" w:rsidP="00760E6A">
      <w:pPr>
        <w:rPr>
          <w:lang w:val="ru-RU"/>
        </w:rPr>
      </w:pPr>
      <w:r w:rsidRPr="00334B96">
        <w:rPr>
          <w:i/>
          <w:iCs/>
          <w:lang w:val="ru-RU"/>
        </w:rPr>
        <w:t>d)</w:t>
      </w:r>
      <w:r w:rsidRPr="00334B96">
        <w:rPr>
          <w:lang w:val="ru-RU"/>
        </w:rPr>
        <w:tab/>
        <w:t>что неравный доступ к услугам широкополосной электросвязи не содействуют ликвидации социального неравенства и оказывают отрицательное воздействие на социальную и экономическую ситуацию в различных странах и регионах;</w:t>
      </w:r>
    </w:p>
    <w:p w14:paraId="5D551824" w14:textId="77777777" w:rsidR="00760E6A" w:rsidRPr="00334B96" w:rsidRDefault="00760E6A" w:rsidP="00760E6A">
      <w:pPr>
        <w:rPr>
          <w:lang w:val="ru-RU"/>
        </w:rPr>
      </w:pPr>
      <w:r w:rsidRPr="00334B96">
        <w:rPr>
          <w:i/>
          <w:iCs/>
          <w:lang w:val="ru-RU"/>
        </w:rPr>
        <w:t>e)</w:t>
      </w:r>
      <w:r w:rsidRPr="00334B96">
        <w:rPr>
          <w:lang w:val="ru-RU"/>
        </w:rPr>
        <w:tab/>
        <w:t>значение конкуренции в содействии инвестициям, как это отражено в докладе Комиссии МСЭ/ЮНЕСКО по широкополосной связи в интересах цифрового развития</w:t>
      </w:r>
      <w:r w:rsidRPr="00334B96">
        <w:rPr>
          <w:rStyle w:val="FootnoteReference"/>
          <w:lang w:val="ru-RU"/>
        </w:rPr>
        <w:footnoteReference w:id="2"/>
      </w:r>
      <w:r w:rsidRPr="00334B96">
        <w:rPr>
          <w:lang w:val="ru-RU"/>
        </w:rPr>
        <w:t>;</w:t>
      </w:r>
    </w:p>
    <w:p w14:paraId="248C133E" w14:textId="77777777" w:rsidR="00760E6A" w:rsidRPr="00334B96" w:rsidRDefault="00760E6A" w:rsidP="00760E6A">
      <w:pPr>
        <w:rPr>
          <w:lang w:val="ru-RU"/>
        </w:rPr>
      </w:pPr>
      <w:r w:rsidRPr="00334B96">
        <w:rPr>
          <w:i/>
          <w:iCs/>
          <w:lang w:val="ru-RU"/>
        </w:rPr>
        <w:t>f)</w:t>
      </w:r>
      <w:r w:rsidRPr="00334B96">
        <w:rPr>
          <w:lang w:val="ru-RU"/>
        </w:rPr>
        <w:tab/>
        <w:t>что в рамках работы 3-й Исследовательской комиссии МСЭ</w:t>
      </w:r>
      <w:r w:rsidRPr="00334B96">
        <w:rPr>
          <w:lang w:val="ru-RU"/>
        </w:rPr>
        <w:noBreakHyphen/>
        <w:t xml:space="preserve">Т по принципам тарификации и учета, включая соответствующие экономические и стратегические вопросы электросвязи, был принят ряд Дополнений к Рекомендации МСЭ-Т D.50 "Международные интернет-соединения", ориентированных на развивающиеся страны, в части методических рекомендаций по снижению стоимости международного интернета возможности подключения; </w:t>
      </w:r>
    </w:p>
    <w:p w14:paraId="2CCAF629" w14:textId="77777777" w:rsidR="00760E6A" w:rsidRPr="00334B96" w:rsidRDefault="00760E6A" w:rsidP="00760E6A">
      <w:pPr>
        <w:rPr>
          <w:lang w:val="ru-RU"/>
        </w:rPr>
      </w:pPr>
      <w:r w:rsidRPr="00334B96">
        <w:rPr>
          <w:i/>
          <w:iCs/>
          <w:lang w:val="ru-RU"/>
        </w:rPr>
        <w:t>g)</w:t>
      </w:r>
      <w:r w:rsidRPr="00334B96">
        <w:rPr>
          <w:lang w:val="ru-RU"/>
        </w:rPr>
        <w:tab/>
        <w:t>что 3-я Исследовательская комиссия МСЭ-Т приняла Рекомендацию МСЭ</w:t>
      </w:r>
      <w:r w:rsidRPr="00334B96">
        <w:rPr>
          <w:rFonts w:ascii="Cambria Math" w:hAnsi="Cambria Math"/>
          <w:lang w:val="ru-RU"/>
        </w:rPr>
        <w:t>‑</w:t>
      </w:r>
      <w:r w:rsidRPr="00334B96">
        <w:rPr>
          <w:lang w:val="ru-RU"/>
        </w:rPr>
        <w:t>Т D.52 о создании и присоединении региональных пунктов обмена трафиком интернета (IXP), задающую направление региональному сотрудничеству по созданию централизованных узлов или IXP, которые позволяют направлять местный трафик интернета по местным маршрутам, обеспечивая тем самым экономное использование полосы пропускания международного трафика и снижение стоимости международных интернет-соединений,</w:t>
      </w:r>
    </w:p>
    <w:p w14:paraId="0152450F" w14:textId="77777777" w:rsidR="00760E6A" w:rsidRPr="00334B96" w:rsidRDefault="00760E6A" w:rsidP="00760E6A">
      <w:pPr>
        <w:tabs>
          <w:tab w:val="clear" w:pos="1134"/>
          <w:tab w:val="clear" w:pos="1871"/>
          <w:tab w:val="clear" w:pos="2268"/>
        </w:tabs>
        <w:overflowPunct/>
        <w:autoSpaceDE/>
        <w:autoSpaceDN/>
        <w:adjustRightInd/>
        <w:spacing w:before="0"/>
        <w:textAlignment w:val="auto"/>
        <w:rPr>
          <w:i/>
          <w:iCs/>
          <w:lang w:val="ru-RU"/>
        </w:rPr>
      </w:pPr>
      <w:r w:rsidRPr="00334B96">
        <w:rPr>
          <w:i/>
          <w:iCs/>
          <w:lang w:val="ru-RU"/>
        </w:rPr>
        <w:br w:type="page"/>
      </w:r>
    </w:p>
    <w:p w14:paraId="4C3012D6" w14:textId="77777777" w:rsidR="00760E6A" w:rsidRPr="00334B96" w:rsidRDefault="00760E6A" w:rsidP="00760E6A">
      <w:pPr>
        <w:pStyle w:val="Call"/>
        <w:rPr>
          <w:lang w:val="ru-RU"/>
        </w:rPr>
      </w:pPr>
      <w:r w:rsidRPr="00334B96">
        <w:rPr>
          <w:lang w:val="ru-RU"/>
        </w:rPr>
        <w:lastRenderedPageBreak/>
        <w:t>признавая</w:t>
      </w:r>
    </w:p>
    <w:p w14:paraId="6B4F7308" w14:textId="77777777" w:rsidR="00760E6A" w:rsidRPr="00334B96" w:rsidRDefault="00760E6A" w:rsidP="00760E6A">
      <w:pPr>
        <w:rPr>
          <w:lang w:val="ru-RU"/>
        </w:rPr>
      </w:pPr>
      <w:r w:rsidRPr="00334B96">
        <w:rPr>
          <w:i/>
          <w:iCs/>
          <w:lang w:val="ru-RU"/>
        </w:rPr>
        <w:t>a)</w:t>
      </w:r>
      <w:r w:rsidRPr="00334B96">
        <w:rPr>
          <w:lang w:val="ru-RU"/>
        </w:rPr>
        <w:tab/>
        <w:t>важную роль МСЭ-D как координатора рационального использования ресурсов в контексте различных проектов, направленных на более широкое распространение технологически нейтральных услуг электросвязи в различных странах мира;</w:t>
      </w:r>
    </w:p>
    <w:p w14:paraId="61FCF6A9" w14:textId="77777777" w:rsidR="00760E6A" w:rsidRPr="00334B96" w:rsidRDefault="00760E6A" w:rsidP="00760E6A">
      <w:pPr>
        <w:rPr>
          <w:lang w:val="ru-RU"/>
        </w:rPr>
      </w:pPr>
      <w:r w:rsidRPr="00334B96">
        <w:rPr>
          <w:i/>
          <w:iCs/>
          <w:lang w:val="ru-RU"/>
        </w:rPr>
        <w:t>b)</w:t>
      </w:r>
      <w:r w:rsidRPr="00334B96">
        <w:rPr>
          <w:lang w:val="ru-RU"/>
        </w:rPr>
        <w:tab/>
        <w:t>что связь, обеспечиваемая широкополосными наземными системами, системами беспроводного доступа и спутниковыми системами, таких как системы на низких околоземных орбитах (НОО), средних околоземных орбитах (MEO) и на геостационарной орбите (ГСО), представляет собой один из факторов устранения изоляции некоторых категорий населения, проживающих в тех частях страны, где все еще отсутствует адекватный охват традиционными сетями электросвязи и ощущается нехватка ресурсов;</w:t>
      </w:r>
    </w:p>
    <w:p w14:paraId="408F9BDE" w14:textId="77777777" w:rsidR="00760E6A" w:rsidRPr="00334B96" w:rsidRDefault="00760E6A" w:rsidP="00760E6A">
      <w:pPr>
        <w:rPr>
          <w:lang w:val="ru-RU"/>
        </w:rPr>
      </w:pPr>
      <w:r w:rsidRPr="00334B96">
        <w:rPr>
          <w:i/>
          <w:iCs/>
          <w:lang w:val="ru-RU"/>
        </w:rPr>
        <w:t>c)</w:t>
      </w:r>
      <w:r w:rsidRPr="00334B96">
        <w:rPr>
          <w:lang w:val="ru-RU"/>
        </w:rPr>
        <w:tab/>
        <w:t>что, согласно исследованиям, уровень проникновения широкополосной связи выше в тех странах, где имеются национальные планы, политика или стратегии в области широкополосной связи, чем в тех странах, где они отсутствуют;</w:t>
      </w:r>
    </w:p>
    <w:p w14:paraId="605B71C2" w14:textId="77777777" w:rsidR="00760E6A" w:rsidRPr="00334B96" w:rsidRDefault="00760E6A" w:rsidP="00760E6A">
      <w:pPr>
        <w:rPr>
          <w:lang w:val="ru-RU"/>
        </w:rPr>
      </w:pPr>
      <w:r w:rsidRPr="00334B96">
        <w:rPr>
          <w:i/>
          <w:iCs/>
          <w:lang w:val="ru-RU"/>
        </w:rPr>
        <w:t>d)</w:t>
      </w:r>
      <w:r w:rsidRPr="00334B96">
        <w:rPr>
          <w:lang w:val="ru-RU"/>
        </w:rPr>
        <w:tab/>
        <w:t xml:space="preserve">что в соответствии с пунктом 22 Женевской декларации принципов, принятой на ВВУИО, хорошо развитая инфраструктура информационных и коммуникационных сетей, которая является легкодоступной и приемлемой в ценовом отношении и позволяет в </w:t>
      </w:r>
      <w:r w:rsidRPr="00334B96">
        <w:rPr>
          <w:color w:val="000000"/>
          <w:lang w:val="ru-RU"/>
        </w:rPr>
        <w:t>большей степени использовать широкополосную связь</w:t>
      </w:r>
      <w:r w:rsidRPr="00334B96">
        <w:rPr>
          <w:lang w:val="ru-RU"/>
        </w:rPr>
        <w:t>, способна ускорить социально-экономический прогресс стран и повысить благосостояние всех людей, сообществ и народов;</w:t>
      </w:r>
    </w:p>
    <w:p w14:paraId="2F27FEB6" w14:textId="77777777" w:rsidR="00760E6A" w:rsidRPr="00334B96" w:rsidRDefault="00760E6A" w:rsidP="00760E6A">
      <w:pPr>
        <w:overflowPunct/>
        <w:autoSpaceDE/>
        <w:autoSpaceDN/>
        <w:adjustRightInd/>
        <w:textAlignment w:val="auto"/>
        <w:rPr>
          <w:szCs w:val="24"/>
          <w:lang w:val="ru-RU"/>
        </w:rPr>
      </w:pPr>
      <w:r w:rsidRPr="00334B96">
        <w:rPr>
          <w:i/>
          <w:iCs/>
          <w:szCs w:val="24"/>
          <w:lang w:val="ru-RU"/>
        </w:rPr>
        <w:t>e)</w:t>
      </w:r>
      <w:r w:rsidRPr="00334B96">
        <w:rPr>
          <w:szCs w:val="24"/>
          <w:lang w:val="ru-RU"/>
        </w:rPr>
        <w:tab/>
        <w:t>что Комиссия МСЭ/ЮНЕСКО по широкополосной связи в интересах устойчивого развития регулярно выпускает доклады о состоянии широкополосной связи и в своем докладе за 2023 год</w:t>
      </w:r>
      <w:r w:rsidRPr="00334B96">
        <w:rPr>
          <w:rStyle w:val="FootnoteReference"/>
          <w:szCs w:val="24"/>
          <w:lang w:val="ru-RU"/>
        </w:rPr>
        <w:footnoteReference w:id="3"/>
      </w:r>
      <w:r w:rsidRPr="00334B96">
        <w:rPr>
          <w:szCs w:val="24"/>
          <w:lang w:val="ru-RU"/>
        </w:rPr>
        <w:t xml:space="preserve"> приводит политические соображения относительно финансирования дальнейшего этапа цифровой трансформации благодаря возможности установления соединений, которые предусматривают следующие стратегические меры с призывом ко всем Государствам-Членам обеспечить:</w:t>
      </w:r>
    </w:p>
    <w:p w14:paraId="2C6360CA" w14:textId="77777777" w:rsidR="00760E6A" w:rsidRPr="00334B96" w:rsidRDefault="00760E6A" w:rsidP="00760E6A">
      <w:pPr>
        <w:pStyle w:val="enumlev1"/>
        <w:rPr>
          <w:lang w:val="ru-RU"/>
        </w:rPr>
      </w:pPr>
      <w:r w:rsidRPr="00334B96">
        <w:rPr>
          <w:lang w:val="ru-RU"/>
        </w:rPr>
        <w:t>i)</w:t>
      </w:r>
      <w:r w:rsidRPr="00334B96">
        <w:rPr>
          <w:lang w:val="ru-RU"/>
        </w:rPr>
        <w:tab/>
        <w:t>определение (и повторное определение) измеряемых целей для достижения "универсальной и реальной возможности установления соединений" в соответствии с текущими потребностями;</w:t>
      </w:r>
    </w:p>
    <w:p w14:paraId="7B84E299" w14:textId="77777777" w:rsidR="00760E6A" w:rsidRPr="00334B96" w:rsidRDefault="00760E6A" w:rsidP="00760E6A">
      <w:pPr>
        <w:pStyle w:val="enumlev1"/>
        <w:rPr>
          <w:lang w:val="ru-RU"/>
        </w:rPr>
      </w:pPr>
      <w:proofErr w:type="spellStart"/>
      <w:r w:rsidRPr="00334B96">
        <w:rPr>
          <w:lang w:val="ru-RU"/>
        </w:rPr>
        <w:t>ii</w:t>
      </w:r>
      <w:proofErr w:type="spellEnd"/>
      <w:r w:rsidRPr="00334B96">
        <w:rPr>
          <w:lang w:val="ru-RU"/>
        </w:rPr>
        <w:t>)</w:t>
      </w:r>
      <w:r w:rsidRPr="00334B96">
        <w:rPr>
          <w:lang w:val="ru-RU"/>
        </w:rPr>
        <w:tab/>
        <w:t>преодоление разрыва в использовании путем устранения основных препятствий для внедрения и использования интернета людьми, проживающими в районах, обеспеченных покрытием;</w:t>
      </w:r>
    </w:p>
    <w:p w14:paraId="33F5F0C8" w14:textId="77777777" w:rsidR="00760E6A" w:rsidRPr="00334B96" w:rsidRDefault="00760E6A" w:rsidP="00760E6A">
      <w:pPr>
        <w:tabs>
          <w:tab w:val="clear" w:pos="1134"/>
          <w:tab w:val="clear" w:pos="1871"/>
          <w:tab w:val="clear" w:pos="2268"/>
        </w:tabs>
        <w:overflowPunct/>
        <w:autoSpaceDE/>
        <w:autoSpaceDN/>
        <w:adjustRightInd/>
        <w:spacing w:before="0"/>
        <w:textAlignment w:val="auto"/>
        <w:rPr>
          <w:lang w:val="ru-RU"/>
        </w:rPr>
      </w:pPr>
      <w:r w:rsidRPr="00334B96">
        <w:rPr>
          <w:lang w:val="ru-RU"/>
        </w:rPr>
        <w:br w:type="page"/>
      </w:r>
    </w:p>
    <w:p w14:paraId="7D230364" w14:textId="77777777" w:rsidR="00760E6A" w:rsidRPr="00334B96" w:rsidRDefault="00760E6A" w:rsidP="00760E6A">
      <w:pPr>
        <w:pStyle w:val="enumlev1"/>
        <w:rPr>
          <w:lang w:val="ru-RU"/>
        </w:rPr>
      </w:pPr>
      <w:proofErr w:type="spellStart"/>
      <w:r w:rsidRPr="00334B96">
        <w:rPr>
          <w:lang w:val="ru-RU"/>
        </w:rPr>
        <w:lastRenderedPageBreak/>
        <w:t>iii</w:t>
      </w:r>
      <w:proofErr w:type="spellEnd"/>
      <w:r w:rsidRPr="00334B96">
        <w:rPr>
          <w:lang w:val="ru-RU"/>
        </w:rPr>
        <w:t>)</w:t>
      </w:r>
      <w:r w:rsidRPr="00334B96">
        <w:rPr>
          <w:lang w:val="ru-RU"/>
        </w:rPr>
        <w:tab/>
        <w:t>расширение донорской базы и применение творческих подходов к финансированию, включая стимулирование инвестиций в инфраструктуру, реформирование подходов в отношении фондов универсального обслуживания и доступа;</w:t>
      </w:r>
    </w:p>
    <w:p w14:paraId="43461242" w14:textId="77777777" w:rsidR="00760E6A" w:rsidRPr="00334B96" w:rsidRDefault="00760E6A" w:rsidP="00760E6A">
      <w:pPr>
        <w:pStyle w:val="enumlev1"/>
        <w:rPr>
          <w:lang w:val="ru-RU"/>
        </w:rPr>
      </w:pPr>
      <w:proofErr w:type="spellStart"/>
      <w:r w:rsidRPr="00334B96">
        <w:rPr>
          <w:lang w:val="ru-RU"/>
        </w:rPr>
        <w:t>iv</w:t>
      </w:r>
      <w:proofErr w:type="spellEnd"/>
      <w:r w:rsidRPr="00334B96">
        <w:rPr>
          <w:lang w:val="ru-RU"/>
        </w:rPr>
        <w:t>)</w:t>
      </w:r>
      <w:r w:rsidRPr="00334B96">
        <w:rPr>
          <w:lang w:val="ru-RU"/>
        </w:rPr>
        <w:tab/>
        <w:t>объединение и стимулирование инвесторов как ключевой фактор для реализации государственных планов, касающихся возможностей установления соединений; мобилизация капитала всех секторов путем устранения препятствий и барьеров для инвестиций в сетевую инфраструктуру;</w:t>
      </w:r>
    </w:p>
    <w:p w14:paraId="72373C6C" w14:textId="77777777" w:rsidR="00760E6A" w:rsidRPr="00334B96" w:rsidRDefault="00760E6A" w:rsidP="00760E6A">
      <w:pPr>
        <w:pStyle w:val="enumlev1"/>
        <w:rPr>
          <w:lang w:val="ru-RU"/>
        </w:rPr>
      </w:pPr>
      <w:r w:rsidRPr="00334B96">
        <w:rPr>
          <w:lang w:val="ru-RU"/>
        </w:rPr>
        <w:t>v)</w:t>
      </w:r>
      <w:r w:rsidRPr="00334B96">
        <w:rPr>
          <w:lang w:val="ru-RU"/>
        </w:rPr>
        <w:tab/>
        <w:t>выстраивание долгосрочных стратегий развития сетевой инфраструктуры с помощью устойчивых и гибких планов;</w:t>
      </w:r>
    </w:p>
    <w:p w14:paraId="4C160241" w14:textId="77777777" w:rsidR="00760E6A" w:rsidRPr="00334B96" w:rsidRDefault="00760E6A" w:rsidP="00760E6A">
      <w:pPr>
        <w:rPr>
          <w:lang w:val="ru-RU"/>
        </w:rPr>
      </w:pPr>
      <w:r w:rsidRPr="00334B96">
        <w:rPr>
          <w:i/>
          <w:iCs/>
          <w:lang w:val="ru-RU"/>
        </w:rPr>
        <w:t>f)</w:t>
      </w:r>
      <w:r w:rsidRPr="00334B96">
        <w:rPr>
          <w:i/>
          <w:iCs/>
          <w:lang w:val="ru-RU"/>
        </w:rPr>
        <w:tab/>
      </w:r>
      <w:r w:rsidRPr="00334B96">
        <w:rPr>
          <w:lang w:val="ru-RU"/>
        </w:rPr>
        <w:t>что разработка и внедрение национальных планов, политики или стратегии в области широкополосной связи имеют важнейшее значение для развития широкополосной связи и экономического роста;</w:t>
      </w:r>
    </w:p>
    <w:p w14:paraId="03615DBF" w14:textId="77777777" w:rsidR="00760E6A" w:rsidRPr="00334B96" w:rsidRDefault="00760E6A" w:rsidP="00760E6A">
      <w:pPr>
        <w:rPr>
          <w:lang w:val="ru-RU"/>
        </w:rPr>
      </w:pPr>
      <w:r w:rsidRPr="00334B96">
        <w:rPr>
          <w:i/>
          <w:iCs/>
          <w:lang w:val="ru-RU"/>
        </w:rPr>
        <w:t>g)</w:t>
      </w:r>
      <w:r w:rsidRPr="00334B96">
        <w:rPr>
          <w:lang w:val="ru-RU"/>
        </w:rPr>
        <w:tab/>
        <w:t xml:space="preserve">деятельность Общества Интернета </w:t>
      </w:r>
      <w:r w:rsidRPr="00334B96">
        <w:rPr>
          <w:color w:val="000000"/>
          <w:szCs w:val="24"/>
          <w:lang w:val="ru-RU"/>
        </w:rPr>
        <w:t>(ISOC)</w:t>
      </w:r>
      <w:r w:rsidRPr="00334B96">
        <w:rPr>
          <w:lang w:val="ru-RU"/>
        </w:rPr>
        <w:t xml:space="preserve">, Федерации пунктов обмена трафиком интернета </w:t>
      </w:r>
      <w:r w:rsidRPr="00334B96">
        <w:rPr>
          <w:color w:val="000000"/>
          <w:szCs w:val="24"/>
          <w:lang w:val="ru-RU"/>
        </w:rPr>
        <w:t xml:space="preserve">(IEF) </w:t>
      </w:r>
      <w:r w:rsidRPr="00334B96">
        <w:rPr>
          <w:lang w:val="ru-RU"/>
        </w:rPr>
        <w:t>и региональных ассоциаций IXP, а также других заинтересованных сторон по оказанию помощи в области создания IXP в развивающихся странах для расширения возможности установления соединений;</w:t>
      </w:r>
    </w:p>
    <w:p w14:paraId="49560B9A" w14:textId="77777777" w:rsidR="00760E6A" w:rsidRPr="00334B96" w:rsidRDefault="00760E6A" w:rsidP="00760E6A">
      <w:pPr>
        <w:rPr>
          <w:lang w:val="ru-RU"/>
        </w:rPr>
      </w:pPr>
      <w:r w:rsidRPr="00334B96">
        <w:rPr>
          <w:i/>
          <w:iCs/>
          <w:color w:val="000000"/>
          <w:szCs w:val="24"/>
          <w:lang w:val="ru-RU"/>
        </w:rPr>
        <w:t>h)</w:t>
      </w:r>
      <w:r w:rsidRPr="00334B96">
        <w:rPr>
          <w:color w:val="000000"/>
          <w:szCs w:val="24"/>
          <w:lang w:val="ru-RU"/>
        </w:rPr>
        <w:tab/>
        <w:t>что станции на высотной платформе (HAPS) являются решениями, которые, среди прочего, применяются в наземной службе и могут использоваться для обеспечения возможности установления транзитных соединений и прямого доступа в сельских и отдаленных районах, и определены в п. 1.66A Регламента радиосвязи</w:t>
      </w:r>
      <w:r w:rsidRPr="00334B96">
        <w:rPr>
          <w:lang w:val="ru-RU"/>
        </w:rPr>
        <w:t>,</w:t>
      </w:r>
    </w:p>
    <w:p w14:paraId="0507FB06" w14:textId="77777777" w:rsidR="00760E6A" w:rsidRPr="00334B96" w:rsidRDefault="00760E6A" w:rsidP="00760E6A">
      <w:pPr>
        <w:pStyle w:val="Call"/>
        <w:rPr>
          <w:iCs/>
          <w:lang w:val="ru-RU"/>
        </w:rPr>
      </w:pPr>
      <w:r w:rsidRPr="00334B96">
        <w:rPr>
          <w:lang w:val="ru-RU"/>
        </w:rPr>
        <w:t>решает</w:t>
      </w:r>
    </w:p>
    <w:p w14:paraId="1E35D41F" w14:textId="77777777" w:rsidR="00760E6A" w:rsidRPr="00334B96" w:rsidRDefault="00760E6A" w:rsidP="00760E6A">
      <w:pPr>
        <w:rPr>
          <w:lang w:val="ru-RU"/>
        </w:rPr>
      </w:pPr>
      <w:r w:rsidRPr="00334B96">
        <w:rPr>
          <w:lang w:val="ru-RU"/>
        </w:rPr>
        <w:t>1</w:t>
      </w:r>
      <w:r w:rsidRPr="00334B96">
        <w:rPr>
          <w:lang w:val="ru-RU"/>
        </w:rPr>
        <w:tab/>
        <w:t>настоятельно рекомендовать, чтобы БРЭ продолжило осуществлять координацию и чтобы частный сектор продолжал играть существенную роль в поддержке инициатив, направленных на поощрение доступа к широкополосным соединениям и их внедрение благодаря использованию наиболее подходящих технологий, с целью предоставления гражданам более широкого доступа к приложениям ИКТ в поддержку национальных стратегий в области широкополосной связи;</w:t>
      </w:r>
    </w:p>
    <w:p w14:paraId="121772EB" w14:textId="77777777" w:rsidR="00760E6A" w:rsidRPr="00334B96" w:rsidRDefault="00760E6A" w:rsidP="00760E6A">
      <w:pPr>
        <w:tabs>
          <w:tab w:val="clear" w:pos="1134"/>
          <w:tab w:val="clear" w:pos="1871"/>
          <w:tab w:val="clear" w:pos="2268"/>
        </w:tabs>
        <w:overflowPunct/>
        <w:autoSpaceDE/>
        <w:autoSpaceDN/>
        <w:adjustRightInd/>
        <w:spacing w:before="0"/>
        <w:textAlignment w:val="auto"/>
        <w:rPr>
          <w:lang w:val="ru-RU"/>
        </w:rPr>
      </w:pPr>
      <w:r w:rsidRPr="00334B96">
        <w:rPr>
          <w:lang w:val="ru-RU"/>
        </w:rPr>
        <w:br w:type="page"/>
      </w:r>
    </w:p>
    <w:p w14:paraId="28A06A0E" w14:textId="77777777" w:rsidR="00760E6A" w:rsidRPr="00334B96" w:rsidRDefault="00760E6A" w:rsidP="00760E6A">
      <w:pPr>
        <w:rPr>
          <w:lang w:val="ru-RU"/>
        </w:rPr>
      </w:pPr>
      <w:r w:rsidRPr="00334B96">
        <w:rPr>
          <w:lang w:val="ru-RU"/>
        </w:rPr>
        <w:lastRenderedPageBreak/>
        <w:t>2</w:t>
      </w:r>
      <w:r w:rsidRPr="00334B96">
        <w:rPr>
          <w:lang w:val="ru-RU"/>
        </w:rPr>
        <w:tab/>
        <w:t>содействовать наличию, доступности, надежности и приемлемости в ценовом отношении широкополосной связи в развивающихся странах, создавая Государствам-Членам благоприятные условия для разработки национальной политики и стратегий в области широкополосной связи для ее внедрения на основе тщательной оценки спроса и предложения, касающихся широкополосной связи;</w:t>
      </w:r>
    </w:p>
    <w:p w14:paraId="2D1155E8" w14:textId="77777777" w:rsidR="00760E6A" w:rsidRPr="00334B96" w:rsidRDefault="00760E6A" w:rsidP="00760E6A">
      <w:pPr>
        <w:rPr>
          <w:lang w:val="ru-RU"/>
        </w:rPr>
      </w:pPr>
      <w:r w:rsidRPr="00334B96">
        <w:rPr>
          <w:lang w:val="ru-RU"/>
        </w:rPr>
        <w:t>3</w:t>
      </w:r>
      <w:r w:rsidRPr="00334B96">
        <w:rPr>
          <w:lang w:val="ru-RU"/>
        </w:rPr>
        <w:tab/>
        <w:t>что БРЭ следует поддерживать осуществление региональных и национальных проектов для использования систем наземной спутниковой широкополосной связи, в целях предоставления населению услуг, в том числе таких мобильных услуг и приложений, как электронное правительство, электронное здравоохранение и электронное образование, мобильные платежи, мобильный банкинг, мобильный маркетинг, а также мобильные финансовые услуги на основе сотрудничества с заинтересованными Государствами-Членами, соответствующими международными организациями и частным сектором;</w:t>
      </w:r>
    </w:p>
    <w:p w14:paraId="0D196F50" w14:textId="77777777" w:rsidR="00760E6A" w:rsidRPr="00334B96" w:rsidRDefault="00760E6A" w:rsidP="00760E6A">
      <w:pPr>
        <w:rPr>
          <w:lang w:val="ru-RU"/>
        </w:rPr>
      </w:pPr>
      <w:r w:rsidRPr="00334B96">
        <w:rPr>
          <w:lang w:val="ru-RU"/>
        </w:rPr>
        <w:t>4</w:t>
      </w:r>
      <w:r w:rsidRPr="00334B96">
        <w:rPr>
          <w:lang w:val="ru-RU"/>
        </w:rPr>
        <w:tab/>
        <w:t>что БРЭ, принимая во внимание имеющийся опыт и стратегию для преодоления цифрового разрыва и построения глобального информационного общества, следует сформулировать и реализовать программу в целях разработки предложений и рекомендаций по наиболее эффективному и действенному использованию технологий, включая услуги в области электросвязи, для обеспечения широкополосного соединения на региональном и национальном уровнях, действуя, в зависимости от обстоятельств, совместно с другими инициативами МСЭ, касающимися возможности установления соединений,</w:t>
      </w:r>
    </w:p>
    <w:p w14:paraId="23D01539" w14:textId="77777777" w:rsidR="00760E6A" w:rsidRPr="00334B96" w:rsidRDefault="00760E6A" w:rsidP="00760E6A">
      <w:pPr>
        <w:pStyle w:val="Call"/>
        <w:rPr>
          <w:lang w:val="ru-RU"/>
        </w:rPr>
      </w:pPr>
      <w:r w:rsidRPr="00334B96">
        <w:rPr>
          <w:lang w:val="ru-RU"/>
        </w:rPr>
        <w:t>решает поручить исследовательским комиссиям Сектора развития электросвязи МСЭ, каждой в рамках своего мандата и в сотрудничестве с соответствующими исследовательскими комиссиями других Секторов МСЭ</w:t>
      </w:r>
    </w:p>
    <w:p w14:paraId="00CAF84A" w14:textId="77777777" w:rsidR="00760E6A" w:rsidRPr="00334B96" w:rsidRDefault="00760E6A" w:rsidP="00760E6A">
      <w:pPr>
        <w:rPr>
          <w:lang w:val="ru-RU"/>
        </w:rPr>
      </w:pPr>
      <w:r w:rsidRPr="00334B96">
        <w:rPr>
          <w:lang w:val="ru-RU"/>
        </w:rPr>
        <w:t>разработать на основе национального опыта и передовой практики руководящие указания в области политики и нормативно-правовой базы для содействия использованию появляющихся сетей космической электросвязи/ИКТ, взаимодействующих с наземными сетями, с учетом международной системы регулирования, определенной в Регламенте радиосвязи, соответствующих Резолюций и Рекомендаций МСЭ, а также прав Государств-Членов, закрепленных в Уставе МСЭ,</w:t>
      </w:r>
    </w:p>
    <w:p w14:paraId="05A3D46D" w14:textId="77777777" w:rsidR="00760E6A" w:rsidRPr="00334B96" w:rsidRDefault="00760E6A" w:rsidP="00760E6A">
      <w:pPr>
        <w:tabs>
          <w:tab w:val="clear" w:pos="1134"/>
          <w:tab w:val="clear" w:pos="1871"/>
          <w:tab w:val="clear" w:pos="2268"/>
        </w:tabs>
        <w:overflowPunct/>
        <w:autoSpaceDE/>
        <w:autoSpaceDN/>
        <w:adjustRightInd/>
        <w:spacing w:before="0"/>
        <w:textAlignment w:val="auto"/>
        <w:rPr>
          <w:i/>
          <w:lang w:val="ru-RU"/>
        </w:rPr>
      </w:pPr>
      <w:r w:rsidRPr="00334B96">
        <w:rPr>
          <w:lang w:val="ru-RU"/>
        </w:rPr>
        <w:br w:type="page"/>
      </w:r>
    </w:p>
    <w:p w14:paraId="79190D25" w14:textId="77777777" w:rsidR="00760E6A" w:rsidRPr="00334B96" w:rsidRDefault="00760E6A" w:rsidP="00760E6A">
      <w:pPr>
        <w:pStyle w:val="Call"/>
        <w:rPr>
          <w:lang w:val="ru-RU"/>
        </w:rPr>
      </w:pPr>
      <w:r w:rsidRPr="00334B96">
        <w:rPr>
          <w:lang w:val="ru-RU"/>
        </w:rPr>
        <w:lastRenderedPageBreak/>
        <w:t>поручает Директору Бюро развития электросвязи</w:t>
      </w:r>
    </w:p>
    <w:p w14:paraId="511A4EF1" w14:textId="77777777" w:rsidR="00760E6A" w:rsidRPr="00334B96" w:rsidRDefault="00760E6A" w:rsidP="00760E6A">
      <w:pPr>
        <w:rPr>
          <w:lang w:val="ru-RU"/>
        </w:rPr>
      </w:pPr>
      <w:r w:rsidRPr="00334B96">
        <w:rPr>
          <w:lang w:val="ru-RU"/>
        </w:rPr>
        <w:t>1</w:t>
      </w:r>
      <w:r w:rsidRPr="00334B96">
        <w:rPr>
          <w:lang w:val="ru-RU"/>
        </w:rPr>
        <w:tab/>
        <w:t>добиваться установления партнерских отношений и налаживания сотрудничества со сторонами, имеющими непосредственное отношение к предоставлению услуг населению с использованием наиболее практичных технологий, средств и сетей электросвязи, в целях обеспечения эффективной реализации соответствующих программ и видов деятельности МСЭ при развитии широкополосных соединений, обеспечения надежного широкополосного доступа по приемлемым ценам как существующим, так и к новым пользователям, в обслуживаемых в недостаточной степени и в необслуживаемых сообществах;</w:t>
      </w:r>
    </w:p>
    <w:p w14:paraId="79534FEF" w14:textId="77777777" w:rsidR="00760E6A" w:rsidRPr="00334B96" w:rsidRDefault="00760E6A" w:rsidP="00760E6A">
      <w:pPr>
        <w:rPr>
          <w:lang w:val="ru-RU"/>
        </w:rPr>
      </w:pPr>
      <w:r w:rsidRPr="00334B96">
        <w:rPr>
          <w:lang w:val="ru-RU"/>
        </w:rPr>
        <w:t>2</w:t>
      </w:r>
      <w:r w:rsidRPr="00334B96">
        <w:rPr>
          <w:lang w:val="ru-RU"/>
        </w:rPr>
        <w:tab/>
        <w:t xml:space="preserve">работать во взаимодействии с МСЭ-Т, </w:t>
      </w:r>
      <w:r w:rsidRPr="00334B96">
        <w:rPr>
          <w:color w:val="000000"/>
          <w:szCs w:val="24"/>
          <w:lang w:val="ru-RU"/>
        </w:rPr>
        <w:t>ISOC</w:t>
      </w:r>
      <w:r w:rsidRPr="00334B96">
        <w:rPr>
          <w:lang w:val="ru-RU"/>
        </w:rPr>
        <w:t xml:space="preserve">, </w:t>
      </w:r>
      <w:r w:rsidRPr="00334B96">
        <w:rPr>
          <w:color w:val="000000"/>
          <w:szCs w:val="24"/>
          <w:lang w:val="ru-RU"/>
        </w:rPr>
        <w:t>IEF</w:t>
      </w:r>
      <w:r w:rsidRPr="00334B96">
        <w:rPr>
          <w:lang w:val="ru-RU"/>
        </w:rPr>
        <w:t xml:space="preserve"> и региональными ассоциациями IXP, а также другими заинтересованными сторонами в целях оказания содействия Государствам-Членам, прежде всего из развивающихся стран</w:t>
      </w:r>
      <w:r w:rsidRPr="00334B96">
        <w:rPr>
          <w:rStyle w:val="FootnoteReference"/>
          <w:lang w:val="ru-RU"/>
        </w:rPr>
        <w:footnoteReference w:id="4"/>
      </w:r>
      <w:r w:rsidRPr="00334B96">
        <w:rPr>
          <w:lang w:val="ru-RU"/>
        </w:rPr>
        <w:t>, в вопросе создания региональных IXP в странах, имеющих пункты выхода на берег подводных кабелей, для предоставления помощи в обеспечении соединения стран, не имеющих выхода к морю, а также оказания консультационной поддержки и помощи в создании IXP для таких стран;</w:t>
      </w:r>
    </w:p>
    <w:p w14:paraId="0C2E829B" w14:textId="77777777" w:rsidR="00760E6A" w:rsidRPr="00334B96" w:rsidRDefault="00760E6A" w:rsidP="00760E6A">
      <w:pPr>
        <w:rPr>
          <w:lang w:val="ru-RU"/>
        </w:rPr>
      </w:pPr>
      <w:r w:rsidRPr="00334B96">
        <w:rPr>
          <w:lang w:val="ru-RU"/>
        </w:rPr>
        <w:t>3</w:t>
      </w:r>
      <w:r w:rsidRPr="00334B96">
        <w:rPr>
          <w:lang w:val="ru-RU"/>
        </w:rPr>
        <w:tab/>
        <w:t>установить четкую связь между исследуемым(и) Вопросом(</w:t>
      </w:r>
      <w:proofErr w:type="spellStart"/>
      <w:r w:rsidRPr="00334B96">
        <w:rPr>
          <w:lang w:val="ru-RU"/>
        </w:rPr>
        <w:t>ами</w:t>
      </w:r>
      <w:proofErr w:type="spellEnd"/>
      <w:r w:rsidRPr="00334B96">
        <w:rPr>
          <w:lang w:val="ru-RU"/>
        </w:rPr>
        <w:t>), программами и региональными инициативами по широкополосной связи в целях максимально широкого использования людских и финансовых ресурсов и, что самое важное, для более эффективного удовлетворения потребностей развивающихся стран;</w:t>
      </w:r>
    </w:p>
    <w:p w14:paraId="6F5534AB" w14:textId="77777777" w:rsidR="00760E6A" w:rsidRPr="00334B96" w:rsidRDefault="00760E6A" w:rsidP="00760E6A">
      <w:pPr>
        <w:rPr>
          <w:lang w:val="ru-RU"/>
        </w:rPr>
      </w:pPr>
      <w:r w:rsidRPr="00334B96">
        <w:rPr>
          <w:lang w:val="ru-RU"/>
        </w:rPr>
        <w:t>4</w:t>
      </w:r>
      <w:r w:rsidRPr="00334B96">
        <w:rPr>
          <w:lang w:val="ru-RU"/>
        </w:rPr>
        <w:tab/>
        <w:t>рассмотреть возможные способы содействия установлению широкополосных соединений в тесном сотрудничестве с Сектором радиосвязи МСЭ и МСЭ-T,</w:t>
      </w:r>
    </w:p>
    <w:p w14:paraId="32D28573" w14:textId="77777777" w:rsidR="00760E6A" w:rsidRPr="00334B96" w:rsidRDefault="00760E6A" w:rsidP="00760E6A">
      <w:pPr>
        <w:pStyle w:val="Call"/>
        <w:rPr>
          <w:lang w:val="ru-RU"/>
        </w:rPr>
      </w:pPr>
      <w:r w:rsidRPr="00334B96">
        <w:rPr>
          <w:lang w:val="ru-RU"/>
        </w:rPr>
        <w:t>поручает Директору Бюро развития электросвязи во взаимодействии с Директорами Бюро радиосвязи и Бюро стандартизации электросвязи</w:t>
      </w:r>
    </w:p>
    <w:p w14:paraId="51565409" w14:textId="77777777" w:rsidR="00760E6A" w:rsidRPr="00334B96" w:rsidRDefault="00760E6A" w:rsidP="00760E6A">
      <w:pPr>
        <w:rPr>
          <w:lang w:val="ru-RU"/>
        </w:rPr>
      </w:pPr>
      <w:r w:rsidRPr="00334B96">
        <w:rPr>
          <w:lang w:val="ru-RU"/>
        </w:rPr>
        <w:t>1</w:t>
      </w:r>
      <w:r w:rsidRPr="00334B96">
        <w:rPr>
          <w:lang w:val="ru-RU"/>
        </w:rPr>
        <w:tab/>
        <w:t>совместно с региональными отделениями МСЭ оказывать помощь развивающимся странам в обновлении их национальной/региональной политики и нормативно-правовой базы для внедрения появляющихся услуг космической связи, в зависимости от случая;</w:t>
      </w:r>
    </w:p>
    <w:p w14:paraId="77E2AD24" w14:textId="77777777" w:rsidR="00760E6A" w:rsidRPr="00334B96" w:rsidRDefault="00760E6A" w:rsidP="00760E6A">
      <w:pPr>
        <w:tabs>
          <w:tab w:val="clear" w:pos="1134"/>
          <w:tab w:val="clear" w:pos="1871"/>
          <w:tab w:val="clear" w:pos="2268"/>
        </w:tabs>
        <w:overflowPunct/>
        <w:autoSpaceDE/>
        <w:autoSpaceDN/>
        <w:adjustRightInd/>
        <w:spacing w:before="0"/>
        <w:textAlignment w:val="auto"/>
        <w:rPr>
          <w:lang w:val="ru-RU"/>
        </w:rPr>
      </w:pPr>
      <w:r w:rsidRPr="00334B96">
        <w:rPr>
          <w:lang w:val="ru-RU"/>
        </w:rPr>
        <w:br w:type="page"/>
      </w:r>
    </w:p>
    <w:p w14:paraId="4E19300B" w14:textId="77777777" w:rsidR="00760E6A" w:rsidRPr="00334B96" w:rsidRDefault="00760E6A" w:rsidP="00760E6A">
      <w:pPr>
        <w:rPr>
          <w:lang w:val="ru-RU"/>
        </w:rPr>
      </w:pPr>
      <w:r w:rsidRPr="00334B96">
        <w:rPr>
          <w:lang w:val="ru-RU"/>
        </w:rPr>
        <w:lastRenderedPageBreak/>
        <w:t>2</w:t>
      </w:r>
      <w:r w:rsidRPr="00334B96">
        <w:rPr>
          <w:lang w:val="ru-RU"/>
        </w:rPr>
        <w:tab/>
        <w:t>проводить семинары-практикумы и форумы по политическим и регуляторным подходам и передовому опыту и поддерживать разработку инструментов и ресурсов по внедрению появляющихся услуг космической связи,</w:t>
      </w:r>
    </w:p>
    <w:p w14:paraId="3754FA7A" w14:textId="77777777" w:rsidR="00760E6A" w:rsidRPr="00334B96" w:rsidRDefault="00760E6A" w:rsidP="00760E6A">
      <w:pPr>
        <w:pStyle w:val="Call"/>
        <w:rPr>
          <w:lang w:val="ru-RU"/>
        </w:rPr>
      </w:pPr>
      <w:r w:rsidRPr="00334B96">
        <w:rPr>
          <w:lang w:val="ru-RU"/>
        </w:rPr>
        <w:t>предлагает Государствам-Членам</w:t>
      </w:r>
    </w:p>
    <w:p w14:paraId="5219E40D" w14:textId="77777777" w:rsidR="00760E6A" w:rsidRPr="00334B96" w:rsidRDefault="00760E6A" w:rsidP="00760E6A">
      <w:pPr>
        <w:rPr>
          <w:lang w:val="ru-RU"/>
        </w:rPr>
      </w:pPr>
      <w:r w:rsidRPr="00334B96">
        <w:rPr>
          <w:lang w:val="ru-RU"/>
        </w:rPr>
        <w:t>1</w:t>
      </w:r>
      <w:r w:rsidRPr="00334B96">
        <w:rPr>
          <w:lang w:val="ru-RU"/>
        </w:rPr>
        <w:tab/>
        <w:t>создать повсеместный приемлемый в ценовом отношении доступ к инфраструктуре широкополосной связи и содействовать ему путем установления правовой и регуляторной среды, включая доступность спектра частот для новых технологий широкополосного беспроводного доступа и разработку политики в области лицензирования, которая была бы справедливой, прозрачной, стабильной, предсказуемой и не допускающей дискриминации;</w:t>
      </w:r>
    </w:p>
    <w:p w14:paraId="464E965F" w14:textId="77777777" w:rsidR="00760E6A" w:rsidRPr="00334B96" w:rsidRDefault="00760E6A" w:rsidP="00760E6A">
      <w:pPr>
        <w:rPr>
          <w:lang w:val="ru-RU"/>
        </w:rPr>
      </w:pPr>
      <w:r w:rsidRPr="00334B96">
        <w:rPr>
          <w:lang w:val="ru-RU"/>
        </w:rPr>
        <w:t>2</w:t>
      </w:r>
      <w:r w:rsidRPr="00334B96">
        <w:rPr>
          <w:lang w:val="ru-RU"/>
        </w:rPr>
        <w:tab/>
        <w:t>принять все меры к обеспечению благоприятной среды для более активного роста и развития технологически нейтральных широкополосных соединений, основываясь на разработках МСЭ в области технологий и гибкого регулирования широкополосного доступа, особенно в развивающихся странах;</w:t>
      </w:r>
    </w:p>
    <w:p w14:paraId="4FEB9792" w14:textId="77777777" w:rsidR="00760E6A" w:rsidRPr="00334B96" w:rsidRDefault="00760E6A" w:rsidP="00760E6A">
      <w:pPr>
        <w:rPr>
          <w:lang w:val="ru-RU"/>
        </w:rPr>
      </w:pPr>
      <w:r w:rsidRPr="00334B96">
        <w:rPr>
          <w:lang w:val="ru-RU"/>
        </w:rPr>
        <w:t>3</w:t>
      </w:r>
      <w:r w:rsidRPr="00334B96">
        <w:rPr>
          <w:lang w:val="ru-RU"/>
        </w:rPr>
        <w:tab/>
        <w:t>активно участвовать в работе по исследуемому(</w:t>
      </w:r>
      <w:proofErr w:type="spellStart"/>
      <w:r w:rsidRPr="00334B96">
        <w:rPr>
          <w:lang w:val="ru-RU"/>
        </w:rPr>
        <w:t>ым</w:t>
      </w:r>
      <w:proofErr w:type="spellEnd"/>
      <w:r w:rsidRPr="00334B96">
        <w:rPr>
          <w:lang w:val="ru-RU"/>
        </w:rPr>
        <w:t>) Вопросу(</w:t>
      </w:r>
      <w:proofErr w:type="spellStart"/>
      <w:r w:rsidRPr="00334B96">
        <w:rPr>
          <w:lang w:val="ru-RU"/>
        </w:rPr>
        <w:t>ам</w:t>
      </w:r>
      <w:proofErr w:type="spellEnd"/>
      <w:r w:rsidRPr="00334B96">
        <w:rPr>
          <w:lang w:val="ru-RU"/>
        </w:rPr>
        <w:t>) в области широкополосной связи;</w:t>
      </w:r>
    </w:p>
    <w:p w14:paraId="1C22ACCF" w14:textId="77777777" w:rsidR="00760E6A" w:rsidRPr="00334B96" w:rsidRDefault="00760E6A" w:rsidP="00760E6A">
      <w:pPr>
        <w:rPr>
          <w:lang w:val="ru-RU"/>
        </w:rPr>
      </w:pPr>
      <w:r w:rsidRPr="00334B96">
        <w:rPr>
          <w:lang w:val="ru-RU"/>
        </w:rPr>
        <w:t>4</w:t>
      </w:r>
      <w:r w:rsidRPr="00334B96">
        <w:rPr>
          <w:lang w:val="ru-RU"/>
        </w:rPr>
        <w:tab/>
        <w:t>внедрять результаты работы, осуществленной по исследуемому(</w:t>
      </w:r>
      <w:proofErr w:type="spellStart"/>
      <w:r w:rsidRPr="00334B96">
        <w:rPr>
          <w:lang w:val="ru-RU"/>
        </w:rPr>
        <w:t>ым</w:t>
      </w:r>
      <w:proofErr w:type="spellEnd"/>
      <w:r w:rsidRPr="00334B96">
        <w:rPr>
          <w:lang w:val="ru-RU"/>
        </w:rPr>
        <w:t>) Вопросу(</w:t>
      </w:r>
      <w:proofErr w:type="spellStart"/>
      <w:r w:rsidRPr="00334B96">
        <w:rPr>
          <w:lang w:val="ru-RU"/>
        </w:rPr>
        <w:t>ам</w:t>
      </w:r>
      <w:proofErr w:type="spellEnd"/>
      <w:r w:rsidRPr="00334B96">
        <w:rPr>
          <w:lang w:val="ru-RU"/>
        </w:rPr>
        <w:t>), включая правовые, регуляторные и рыночные реформы, которые создают благоприятную среду для широкополосной связи путем содействия конкуренции, частным инвестициям и партнерствам государственного и частного секторов;</w:t>
      </w:r>
    </w:p>
    <w:p w14:paraId="794C42D5" w14:textId="77777777" w:rsidR="00760E6A" w:rsidRPr="00334B96" w:rsidRDefault="00760E6A" w:rsidP="00760E6A">
      <w:pPr>
        <w:rPr>
          <w:lang w:val="ru-RU"/>
        </w:rPr>
      </w:pPr>
      <w:r w:rsidRPr="00334B96">
        <w:rPr>
          <w:lang w:val="ru-RU"/>
        </w:rPr>
        <w:t>5</w:t>
      </w:r>
      <w:r w:rsidRPr="00334B96">
        <w:rPr>
          <w:lang w:val="ru-RU"/>
        </w:rPr>
        <w:tab/>
        <w:t>рассмотреть и использовать, где применимо, соответствующие рекомендации Комиссии по широкополосной связи с учетом национальной специфики и текущих потребностей в отношении возможности установления широкополосных соединений;</w:t>
      </w:r>
    </w:p>
    <w:p w14:paraId="7DACEA13" w14:textId="77777777" w:rsidR="00760E6A" w:rsidRPr="00334B96" w:rsidRDefault="00760E6A" w:rsidP="00760E6A">
      <w:pPr>
        <w:tabs>
          <w:tab w:val="clear" w:pos="1134"/>
          <w:tab w:val="clear" w:pos="1871"/>
          <w:tab w:val="clear" w:pos="2268"/>
        </w:tabs>
        <w:overflowPunct/>
        <w:autoSpaceDE/>
        <w:autoSpaceDN/>
        <w:adjustRightInd/>
        <w:spacing w:before="0"/>
        <w:textAlignment w:val="auto"/>
        <w:rPr>
          <w:lang w:val="ru-RU"/>
        </w:rPr>
      </w:pPr>
      <w:r w:rsidRPr="00334B96">
        <w:rPr>
          <w:lang w:val="ru-RU"/>
        </w:rPr>
        <w:br w:type="page"/>
      </w:r>
    </w:p>
    <w:p w14:paraId="6D9CCF1D" w14:textId="77777777" w:rsidR="00760E6A" w:rsidRPr="00334B96" w:rsidRDefault="00760E6A" w:rsidP="00760E6A">
      <w:pPr>
        <w:rPr>
          <w:lang w:val="ru-RU"/>
        </w:rPr>
      </w:pPr>
      <w:r w:rsidRPr="00334B96">
        <w:rPr>
          <w:lang w:val="ru-RU"/>
        </w:rPr>
        <w:lastRenderedPageBreak/>
        <w:t>6</w:t>
      </w:r>
      <w:r w:rsidRPr="00334B96">
        <w:rPr>
          <w:lang w:val="ru-RU"/>
        </w:rPr>
        <w:tab/>
        <w:t>внедрять политику и планы, направленные на содействие наличию услуг, приложений и контента, которые стимулируют спрос на широкополосную связь;</w:t>
      </w:r>
    </w:p>
    <w:p w14:paraId="33C28140" w14:textId="77777777" w:rsidR="00760E6A" w:rsidRPr="00334B96" w:rsidRDefault="00760E6A" w:rsidP="00760E6A">
      <w:pPr>
        <w:rPr>
          <w:lang w:val="ru-RU"/>
        </w:rPr>
      </w:pPr>
      <w:r w:rsidRPr="00334B96">
        <w:rPr>
          <w:lang w:val="ru-RU"/>
        </w:rPr>
        <w:t>7</w:t>
      </w:r>
      <w:r w:rsidRPr="00334B96">
        <w:rPr>
          <w:lang w:val="ru-RU"/>
        </w:rPr>
        <w:tab/>
        <w:t>принять меры, содействующие созданию человеческого потенциала, включая программы цифровой грамотности и техническое образование, с учетом необходимости содействия широкополосному доступу для женщин и девушек, лиц с ограниченными возможностями, жителей сельских и отдаленных районов и коренных народов;</w:t>
      </w:r>
    </w:p>
    <w:p w14:paraId="47E53583" w14:textId="77777777" w:rsidR="00760E6A" w:rsidRPr="00334B96" w:rsidRDefault="00760E6A" w:rsidP="00760E6A">
      <w:pPr>
        <w:rPr>
          <w:lang w:val="ru-RU"/>
        </w:rPr>
      </w:pPr>
      <w:r w:rsidRPr="00334B96">
        <w:rPr>
          <w:lang w:val="ru-RU"/>
        </w:rPr>
        <w:t>8</w:t>
      </w:r>
      <w:r w:rsidRPr="00334B96">
        <w:rPr>
          <w:lang w:val="ru-RU"/>
        </w:rPr>
        <w:tab/>
        <w:t>представлять данные по стратегиям и опыту развития сетей, сценариям применения, эффективному развертыванию и эксплуатации, внедрению и передовому опыту на семинарах и семинарах-практикумах, особенно в развивающихся странах,</w:t>
      </w:r>
    </w:p>
    <w:p w14:paraId="3F42C472" w14:textId="77777777" w:rsidR="00760E6A" w:rsidRPr="00334B96" w:rsidRDefault="00760E6A" w:rsidP="00760E6A">
      <w:pPr>
        <w:pStyle w:val="Call"/>
        <w:rPr>
          <w:lang w:val="ru-RU"/>
        </w:rPr>
      </w:pPr>
      <w:r w:rsidRPr="00334B96">
        <w:rPr>
          <w:lang w:val="ru-RU"/>
        </w:rPr>
        <w:t>предлагает Государствам-Членам, Членам Сектора, Ассоциированным членам и Академическим организациям</w:t>
      </w:r>
    </w:p>
    <w:p w14:paraId="7F772BCB" w14:textId="77777777" w:rsidR="00760E6A" w:rsidRPr="00334B96" w:rsidRDefault="00760E6A" w:rsidP="00760E6A">
      <w:pPr>
        <w:rPr>
          <w:lang w:val="ru-RU"/>
        </w:rPr>
      </w:pPr>
      <w:r w:rsidRPr="00334B96">
        <w:rPr>
          <w:lang w:val="ru-RU"/>
        </w:rPr>
        <w:t>обмениваться опытом и передовой практикой в области внедрения появляющихся услуг космической связи, а также представлять вклады в рамках работы соответствующих исследовательских комиссий МСЭ-D.</w:t>
      </w:r>
    </w:p>
    <w:p w14:paraId="19D7F78B" w14:textId="77777777" w:rsidR="00760E6A" w:rsidRPr="00334B96" w:rsidRDefault="00760E6A" w:rsidP="00760E6A">
      <w:pPr>
        <w:pStyle w:val="Reasons"/>
        <w:rPr>
          <w:lang w:val="ru-RU"/>
        </w:rPr>
      </w:pPr>
    </w:p>
    <w:p w14:paraId="0D405F73" w14:textId="77777777" w:rsidR="00760E6A" w:rsidRPr="00334B96" w:rsidRDefault="00760E6A" w:rsidP="00760E6A">
      <w:pPr>
        <w:pStyle w:val="Reasons"/>
        <w:rPr>
          <w:lang w:val="ru-RU"/>
        </w:rPr>
      </w:pPr>
    </w:p>
    <w:p w14:paraId="799A6AFB" w14:textId="77777777" w:rsidR="00760E6A" w:rsidRPr="00334B96" w:rsidRDefault="00760E6A" w:rsidP="00760E6A">
      <w:pPr>
        <w:pStyle w:val="Reasons"/>
        <w:rPr>
          <w:lang w:val="ru-RU"/>
        </w:rPr>
      </w:pPr>
    </w:p>
    <w:p w14:paraId="340725D5" w14:textId="77777777" w:rsidR="00760E6A" w:rsidRPr="00334B96" w:rsidRDefault="00760E6A" w:rsidP="00760E6A">
      <w:pPr>
        <w:pStyle w:val="Reasons"/>
        <w:rPr>
          <w:lang w:val="ru-RU"/>
        </w:rPr>
      </w:pPr>
    </w:p>
    <w:p w14:paraId="11431F98" w14:textId="77777777" w:rsidR="00760E6A" w:rsidRPr="00334B96" w:rsidRDefault="00760E6A" w:rsidP="00760E6A">
      <w:pPr>
        <w:pStyle w:val="Reasons"/>
        <w:rPr>
          <w:lang w:val="ru-RU"/>
        </w:rPr>
      </w:pPr>
    </w:p>
    <w:p w14:paraId="571FBB12" w14:textId="77777777" w:rsidR="00760E6A" w:rsidRPr="00334B96" w:rsidRDefault="00760E6A" w:rsidP="00760E6A">
      <w:pPr>
        <w:pStyle w:val="Reasons"/>
        <w:rPr>
          <w:lang w:val="ru-RU"/>
        </w:rPr>
      </w:pPr>
    </w:p>
    <w:p w14:paraId="77588BDC" w14:textId="77777777" w:rsidR="00760E6A" w:rsidRPr="00334B96" w:rsidRDefault="00760E6A" w:rsidP="00760E6A">
      <w:pPr>
        <w:pStyle w:val="Reasons"/>
        <w:rPr>
          <w:lang w:val="ru-RU"/>
        </w:rPr>
      </w:pPr>
    </w:p>
    <w:p w14:paraId="1AFA6D76" w14:textId="77777777" w:rsidR="00760E6A" w:rsidRPr="00334B96" w:rsidRDefault="00760E6A" w:rsidP="00760E6A">
      <w:pPr>
        <w:pStyle w:val="Reasons"/>
        <w:rPr>
          <w:lang w:val="ru-RU"/>
        </w:rPr>
      </w:pPr>
    </w:p>
    <w:p w14:paraId="3FBB6BCD" w14:textId="77777777" w:rsidR="00E45F09" w:rsidRPr="00760E6A" w:rsidRDefault="00E45F09" w:rsidP="00760E6A"/>
    <w:sectPr w:rsidR="00E45F09" w:rsidRPr="00760E6A" w:rsidSect="003E584B">
      <w:headerReference w:type="even" r:id="rId7"/>
      <w:headerReference w:type="default" r:id="rId8"/>
      <w:pgSz w:w="11906" w:h="16838" w:code="9"/>
      <w:pgMar w:top="1418" w:right="1134" w:bottom="1418" w:left="1134" w:header="709" w:footer="709" w:gutter="0"/>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00E4A" w14:textId="77777777" w:rsidR="00F83A6C" w:rsidRDefault="00F83A6C" w:rsidP="003E584B">
      <w:pPr>
        <w:spacing w:before="0"/>
      </w:pPr>
      <w:r>
        <w:separator/>
      </w:r>
    </w:p>
  </w:endnote>
  <w:endnote w:type="continuationSeparator" w:id="0">
    <w:p w14:paraId="3012DD34" w14:textId="77777777" w:rsidR="00F83A6C" w:rsidRDefault="00F83A6C" w:rsidP="003E584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9FB37" w14:textId="77777777" w:rsidR="00F83A6C" w:rsidRDefault="00F83A6C" w:rsidP="003E584B">
      <w:pPr>
        <w:spacing w:before="0"/>
      </w:pPr>
      <w:r>
        <w:separator/>
      </w:r>
    </w:p>
  </w:footnote>
  <w:footnote w:type="continuationSeparator" w:id="0">
    <w:p w14:paraId="63F0CA87" w14:textId="77777777" w:rsidR="00F83A6C" w:rsidRDefault="00F83A6C" w:rsidP="003E584B">
      <w:pPr>
        <w:spacing w:before="0"/>
      </w:pPr>
      <w:r>
        <w:continuationSeparator/>
      </w:r>
    </w:p>
  </w:footnote>
  <w:footnote w:id="1">
    <w:p w14:paraId="14460922" w14:textId="77777777" w:rsidR="00760E6A" w:rsidRPr="007E090F" w:rsidRDefault="00760E6A" w:rsidP="00760E6A">
      <w:pPr>
        <w:pStyle w:val="FootnoteText"/>
        <w:rPr>
          <w:lang w:val="en-US"/>
        </w:rPr>
      </w:pPr>
      <w:r>
        <w:rPr>
          <w:rStyle w:val="FootnoteReference"/>
        </w:rPr>
        <w:footnoteRef/>
      </w:r>
      <w:r>
        <w:t xml:space="preserve"> </w:t>
      </w:r>
      <w:r>
        <w:rPr>
          <w:lang w:val="en-US"/>
        </w:rPr>
        <w:t xml:space="preserve">К </w:t>
      </w:r>
      <w:proofErr w:type="spellStart"/>
      <w:r>
        <w:rPr>
          <w:lang w:val="en-US"/>
        </w:rPr>
        <w:t>ним</w:t>
      </w:r>
      <w:proofErr w:type="spellEnd"/>
      <w:r>
        <w:rPr>
          <w:lang w:val="en-US"/>
        </w:rPr>
        <w:t xml:space="preserve"> </w:t>
      </w:r>
      <w:proofErr w:type="spellStart"/>
      <w:r>
        <w:rPr>
          <w:lang w:val="en-US"/>
        </w:rPr>
        <w:t>относятся</w:t>
      </w:r>
      <w:proofErr w:type="spellEnd"/>
      <w:r>
        <w:rPr>
          <w:lang w:val="en-US"/>
        </w:rPr>
        <w:t xml:space="preserve"> </w:t>
      </w:r>
      <w:proofErr w:type="spellStart"/>
      <w:r>
        <w:rPr>
          <w:lang w:val="en-US"/>
        </w:rPr>
        <w:t>наименее</w:t>
      </w:r>
      <w:proofErr w:type="spellEnd"/>
      <w:r>
        <w:rPr>
          <w:lang w:val="en-US"/>
        </w:rPr>
        <w:t xml:space="preserve"> </w:t>
      </w:r>
      <w:proofErr w:type="spellStart"/>
      <w:r>
        <w:rPr>
          <w:lang w:val="en-US"/>
        </w:rPr>
        <w:t>развитые</w:t>
      </w:r>
      <w:proofErr w:type="spellEnd"/>
      <w:r>
        <w:rPr>
          <w:lang w:val="en-US"/>
        </w:rPr>
        <w:t xml:space="preserve"> </w:t>
      </w:r>
      <w:proofErr w:type="spellStart"/>
      <w:r>
        <w:rPr>
          <w:lang w:val="en-US"/>
        </w:rPr>
        <w:t>страны</w:t>
      </w:r>
      <w:proofErr w:type="spellEnd"/>
      <w:r>
        <w:rPr>
          <w:lang w:val="en-US"/>
        </w:rPr>
        <w:t xml:space="preserve">, </w:t>
      </w:r>
      <w:proofErr w:type="spellStart"/>
      <w:r>
        <w:rPr>
          <w:lang w:val="en-US"/>
        </w:rPr>
        <w:t>малые</w:t>
      </w:r>
      <w:proofErr w:type="spellEnd"/>
      <w:r>
        <w:rPr>
          <w:lang w:val="en-US"/>
        </w:rPr>
        <w:t xml:space="preserve"> </w:t>
      </w:r>
      <w:proofErr w:type="spellStart"/>
      <w:r>
        <w:rPr>
          <w:lang w:val="en-US"/>
        </w:rPr>
        <w:t>островные</w:t>
      </w:r>
      <w:proofErr w:type="spellEnd"/>
      <w:r>
        <w:rPr>
          <w:lang w:val="en-US"/>
        </w:rPr>
        <w:t xml:space="preserve"> </w:t>
      </w:r>
      <w:proofErr w:type="spellStart"/>
      <w:r>
        <w:rPr>
          <w:lang w:val="en-US"/>
        </w:rPr>
        <w:t>развивающиеся</w:t>
      </w:r>
      <w:proofErr w:type="spellEnd"/>
      <w:r>
        <w:rPr>
          <w:lang w:val="en-US"/>
        </w:rPr>
        <w:t xml:space="preserve"> </w:t>
      </w:r>
      <w:proofErr w:type="spellStart"/>
      <w:r>
        <w:rPr>
          <w:lang w:val="en-US"/>
        </w:rPr>
        <w:t>государства</w:t>
      </w:r>
      <w:proofErr w:type="spellEnd"/>
      <w:r>
        <w:rPr>
          <w:lang w:val="en-US"/>
        </w:rPr>
        <w:t xml:space="preserve">, </w:t>
      </w:r>
      <w:proofErr w:type="spellStart"/>
      <w:r>
        <w:rPr>
          <w:lang w:val="en-US"/>
        </w:rPr>
        <w:t>развивающиеся</w:t>
      </w:r>
      <w:proofErr w:type="spellEnd"/>
      <w:r>
        <w:rPr>
          <w:lang w:val="en-US"/>
        </w:rPr>
        <w:t xml:space="preserve"> </w:t>
      </w:r>
      <w:proofErr w:type="spellStart"/>
      <w:r>
        <w:rPr>
          <w:lang w:val="en-US"/>
        </w:rPr>
        <w:t>страны</w:t>
      </w:r>
      <w:proofErr w:type="spellEnd"/>
      <w:r>
        <w:rPr>
          <w:lang w:val="en-US"/>
        </w:rPr>
        <w:t xml:space="preserve">, </w:t>
      </w:r>
      <w:proofErr w:type="spellStart"/>
      <w:r>
        <w:rPr>
          <w:lang w:val="en-US"/>
        </w:rPr>
        <w:t>не</w:t>
      </w:r>
      <w:proofErr w:type="spellEnd"/>
      <w:r>
        <w:rPr>
          <w:lang w:val="en-US"/>
        </w:rPr>
        <w:t xml:space="preserve"> </w:t>
      </w:r>
      <w:proofErr w:type="spellStart"/>
      <w:r>
        <w:rPr>
          <w:lang w:val="en-US"/>
        </w:rPr>
        <w:t>имеющие</w:t>
      </w:r>
      <w:proofErr w:type="spellEnd"/>
      <w:r>
        <w:rPr>
          <w:lang w:val="en-US"/>
        </w:rPr>
        <w:t xml:space="preserve"> </w:t>
      </w:r>
      <w:proofErr w:type="spellStart"/>
      <w:r>
        <w:rPr>
          <w:lang w:val="en-US"/>
        </w:rPr>
        <w:t>выхода</w:t>
      </w:r>
      <w:proofErr w:type="spellEnd"/>
      <w:r>
        <w:rPr>
          <w:lang w:val="en-US"/>
        </w:rPr>
        <w:t xml:space="preserve"> к </w:t>
      </w:r>
      <w:proofErr w:type="spellStart"/>
      <w:r>
        <w:rPr>
          <w:lang w:val="en-US"/>
        </w:rPr>
        <w:t>морю</w:t>
      </w:r>
      <w:proofErr w:type="spellEnd"/>
      <w:r>
        <w:rPr>
          <w:lang w:val="en-US"/>
        </w:rPr>
        <w:t xml:space="preserve">, и </w:t>
      </w:r>
      <w:proofErr w:type="spellStart"/>
      <w:r>
        <w:rPr>
          <w:lang w:val="en-US"/>
        </w:rPr>
        <w:t>страны</w:t>
      </w:r>
      <w:proofErr w:type="spellEnd"/>
      <w:r>
        <w:rPr>
          <w:lang w:val="en-US"/>
        </w:rPr>
        <w:t xml:space="preserve"> с </w:t>
      </w:r>
      <w:proofErr w:type="spellStart"/>
      <w:r>
        <w:rPr>
          <w:lang w:val="en-US"/>
        </w:rPr>
        <w:t>переходной</w:t>
      </w:r>
      <w:proofErr w:type="spellEnd"/>
      <w:r>
        <w:rPr>
          <w:lang w:val="en-US"/>
        </w:rPr>
        <w:t xml:space="preserve"> </w:t>
      </w:r>
      <w:proofErr w:type="spellStart"/>
      <w:r>
        <w:rPr>
          <w:lang w:val="en-US"/>
        </w:rPr>
        <w:t>экономикой</w:t>
      </w:r>
      <w:proofErr w:type="spellEnd"/>
      <w:r>
        <w:rPr>
          <w:lang w:val="en-US"/>
        </w:rPr>
        <w:t>.</w:t>
      </w:r>
    </w:p>
  </w:footnote>
  <w:footnote w:id="2">
    <w:p w14:paraId="5DD918D8" w14:textId="77777777" w:rsidR="00760E6A" w:rsidRPr="007E090F" w:rsidRDefault="00760E6A" w:rsidP="00760E6A">
      <w:pPr>
        <w:pStyle w:val="FootnoteText"/>
        <w:rPr>
          <w:lang w:val="en-US"/>
        </w:rPr>
      </w:pPr>
      <w:r>
        <w:rPr>
          <w:rStyle w:val="FootnoteReference"/>
        </w:rPr>
        <w:footnoteRef/>
      </w:r>
      <w:r>
        <w:t xml:space="preserve"> </w:t>
      </w:r>
      <w:proofErr w:type="spellStart"/>
      <w:r>
        <w:rPr>
          <w:lang w:val="en-US"/>
        </w:rPr>
        <w:t>Доклад</w:t>
      </w:r>
      <w:proofErr w:type="spellEnd"/>
      <w:r>
        <w:rPr>
          <w:lang w:val="en-US"/>
        </w:rPr>
        <w:t xml:space="preserve"> Комиссии </w:t>
      </w:r>
      <w:proofErr w:type="spellStart"/>
      <w:r>
        <w:rPr>
          <w:lang w:val="en-US"/>
        </w:rPr>
        <w:t>по</w:t>
      </w:r>
      <w:proofErr w:type="spellEnd"/>
      <w:r>
        <w:rPr>
          <w:lang w:val="en-US"/>
        </w:rPr>
        <w:t xml:space="preserve"> </w:t>
      </w:r>
      <w:proofErr w:type="spellStart"/>
      <w:r>
        <w:rPr>
          <w:lang w:val="en-US"/>
        </w:rPr>
        <w:t>широкополосной</w:t>
      </w:r>
      <w:proofErr w:type="spellEnd"/>
      <w:r>
        <w:rPr>
          <w:lang w:val="en-US"/>
        </w:rPr>
        <w:t xml:space="preserve"> </w:t>
      </w:r>
      <w:proofErr w:type="spellStart"/>
      <w:r>
        <w:rPr>
          <w:lang w:val="en-US"/>
        </w:rPr>
        <w:t>связи</w:t>
      </w:r>
      <w:proofErr w:type="spellEnd"/>
      <w:r>
        <w:rPr>
          <w:lang w:val="en-US"/>
        </w:rPr>
        <w:t xml:space="preserve"> в </w:t>
      </w:r>
      <w:proofErr w:type="spellStart"/>
      <w:r>
        <w:rPr>
          <w:lang w:val="en-US"/>
        </w:rPr>
        <w:t>интересах</w:t>
      </w:r>
      <w:proofErr w:type="spellEnd"/>
      <w:r>
        <w:rPr>
          <w:lang w:val="en-US"/>
        </w:rPr>
        <w:t xml:space="preserve"> </w:t>
      </w:r>
      <w:proofErr w:type="spellStart"/>
      <w:r>
        <w:rPr>
          <w:lang w:val="en-US"/>
        </w:rPr>
        <w:t>цифрового</w:t>
      </w:r>
      <w:proofErr w:type="spellEnd"/>
      <w:r>
        <w:rPr>
          <w:lang w:val="en-US"/>
        </w:rPr>
        <w:t xml:space="preserve"> </w:t>
      </w:r>
      <w:proofErr w:type="spellStart"/>
      <w:r>
        <w:rPr>
          <w:lang w:val="en-US"/>
        </w:rPr>
        <w:t>развития</w:t>
      </w:r>
      <w:proofErr w:type="spellEnd"/>
      <w:r>
        <w:rPr>
          <w:lang w:val="en-US"/>
        </w:rPr>
        <w:t xml:space="preserve"> "</w:t>
      </w:r>
      <w:proofErr w:type="spellStart"/>
      <w:r>
        <w:rPr>
          <w:lang w:val="en-US"/>
        </w:rPr>
        <w:t>Широкополосная</w:t>
      </w:r>
      <w:proofErr w:type="spellEnd"/>
      <w:r>
        <w:rPr>
          <w:lang w:val="en-US"/>
        </w:rPr>
        <w:t xml:space="preserve"> </w:t>
      </w:r>
      <w:proofErr w:type="spellStart"/>
      <w:r>
        <w:rPr>
          <w:lang w:val="en-US"/>
        </w:rPr>
        <w:t>связь</w:t>
      </w:r>
      <w:proofErr w:type="spellEnd"/>
      <w:r>
        <w:rPr>
          <w:lang w:val="en-US"/>
        </w:rPr>
        <w:t xml:space="preserve">: </w:t>
      </w:r>
      <w:proofErr w:type="spellStart"/>
      <w:r>
        <w:rPr>
          <w:lang w:val="en-US"/>
        </w:rPr>
        <w:t>платформа</w:t>
      </w:r>
      <w:proofErr w:type="spellEnd"/>
      <w:r>
        <w:rPr>
          <w:lang w:val="en-US"/>
        </w:rPr>
        <w:t xml:space="preserve"> </w:t>
      </w:r>
      <w:proofErr w:type="spellStart"/>
      <w:r>
        <w:rPr>
          <w:lang w:val="en-US"/>
        </w:rPr>
        <w:t>для</w:t>
      </w:r>
      <w:proofErr w:type="spellEnd"/>
      <w:r>
        <w:rPr>
          <w:lang w:val="en-US"/>
        </w:rPr>
        <w:t xml:space="preserve"> </w:t>
      </w:r>
      <w:proofErr w:type="spellStart"/>
      <w:r>
        <w:rPr>
          <w:lang w:val="en-US"/>
        </w:rPr>
        <w:t>прогресса</w:t>
      </w:r>
      <w:proofErr w:type="spellEnd"/>
      <w:r>
        <w:rPr>
          <w:lang w:val="en-US"/>
        </w:rPr>
        <w:t>" (</w:t>
      </w:r>
      <w:proofErr w:type="spellStart"/>
      <w:r>
        <w:rPr>
          <w:lang w:val="en-US"/>
        </w:rPr>
        <w:t>сентябрь</w:t>
      </w:r>
      <w:proofErr w:type="spellEnd"/>
      <w:r>
        <w:rPr>
          <w:lang w:val="en-US"/>
        </w:rPr>
        <w:t xml:space="preserve"> 2010 г.) (</w:t>
      </w:r>
      <w:proofErr w:type="spellStart"/>
      <w:r>
        <w:rPr>
          <w:lang w:val="en-US"/>
        </w:rPr>
        <w:t>размещен</w:t>
      </w:r>
      <w:proofErr w:type="spellEnd"/>
      <w:r>
        <w:rPr>
          <w:lang w:val="en-US"/>
        </w:rPr>
        <w:t xml:space="preserve"> </w:t>
      </w:r>
      <w:proofErr w:type="spellStart"/>
      <w:r>
        <w:rPr>
          <w:lang w:val="en-US"/>
        </w:rPr>
        <w:t>по</w:t>
      </w:r>
      <w:proofErr w:type="spellEnd"/>
      <w:r>
        <w:rPr>
          <w:lang w:val="en-US"/>
        </w:rPr>
        <w:t xml:space="preserve"> </w:t>
      </w:r>
      <w:proofErr w:type="spellStart"/>
      <w:r>
        <w:rPr>
          <w:lang w:val="en-US"/>
        </w:rPr>
        <w:t>адресу</w:t>
      </w:r>
      <w:proofErr w:type="spellEnd"/>
      <w:r>
        <w:rPr>
          <w:lang w:val="en-US"/>
        </w:rPr>
        <w:t xml:space="preserve">: </w:t>
      </w:r>
      <w:hyperlink r:id="rId1" w:history="1">
        <w:r w:rsidRPr="00220B4B">
          <w:rPr>
            <w:rStyle w:val="Hyperlink"/>
          </w:rPr>
          <w:t>http://www.broadbandcommission.org/Documents/publications/Report_2.pdf).</w:t>
        </w:r>
      </w:hyperlink>
      <w:r>
        <w:rPr>
          <w:lang w:val="en-US"/>
        </w:rPr>
        <w:t>).</w:t>
      </w:r>
    </w:p>
  </w:footnote>
  <w:footnote w:id="3">
    <w:p w14:paraId="6C9AF8D9" w14:textId="77777777" w:rsidR="00760E6A" w:rsidRPr="007E090F" w:rsidRDefault="00760E6A" w:rsidP="00760E6A">
      <w:pPr>
        <w:pStyle w:val="FootnoteText"/>
        <w:rPr>
          <w:lang w:val="en-US"/>
        </w:rPr>
      </w:pPr>
      <w:r>
        <w:rPr>
          <w:rStyle w:val="FootnoteReference"/>
        </w:rPr>
        <w:footnoteRef/>
      </w:r>
      <w:r>
        <w:t xml:space="preserve"> </w:t>
      </w:r>
      <w:hyperlink r:id="rId2" w:history="1">
        <w:r w:rsidRPr="00220B4B">
          <w:rPr>
            <w:rStyle w:val="Hyperlink"/>
          </w:rPr>
          <w:t>https://broadbandcommission.org/publication/state-of-broadband-2023/.</w:t>
        </w:r>
      </w:hyperlink>
      <w:r>
        <w:rPr>
          <w:lang w:val="en-US"/>
        </w:rPr>
        <w:t>.</w:t>
      </w:r>
    </w:p>
  </w:footnote>
  <w:footnote w:id="4">
    <w:p w14:paraId="104989A2" w14:textId="77777777" w:rsidR="00760E6A" w:rsidRPr="007E090F" w:rsidRDefault="00760E6A" w:rsidP="00760E6A">
      <w:pPr>
        <w:pStyle w:val="FootnoteText"/>
        <w:rPr>
          <w:lang w:val="en-US"/>
        </w:rPr>
      </w:pPr>
      <w:r>
        <w:rPr>
          <w:rStyle w:val="FootnoteReference"/>
        </w:rPr>
        <w:footnoteRef/>
      </w:r>
      <w:r>
        <w:t xml:space="preserve"> </w:t>
      </w:r>
      <w:proofErr w:type="spellStart"/>
      <w:r>
        <w:rPr>
          <w:lang w:val="en-US"/>
        </w:rPr>
        <w:t>Особенно</w:t>
      </w:r>
      <w:proofErr w:type="spellEnd"/>
      <w:r>
        <w:rPr>
          <w:lang w:val="en-US"/>
        </w:rPr>
        <w:t xml:space="preserve"> </w:t>
      </w:r>
      <w:proofErr w:type="spellStart"/>
      <w:r>
        <w:rPr>
          <w:lang w:val="en-US"/>
        </w:rPr>
        <w:t>развивающихся</w:t>
      </w:r>
      <w:proofErr w:type="spellEnd"/>
      <w:r>
        <w:rPr>
          <w:lang w:val="en-US"/>
        </w:rPr>
        <w:t xml:space="preserve"> </w:t>
      </w:r>
      <w:proofErr w:type="spellStart"/>
      <w:r>
        <w:rPr>
          <w:lang w:val="en-US"/>
        </w:rPr>
        <w:t>стран</w:t>
      </w:r>
      <w:proofErr w:type="spellEnd"/>
      <w:r>
        <w:rPr>
          <w:lang w:val="en-US"/>
        </w:rPr>
        <w:t xml:space="preserve">, </w:t>
      </w:r>
      <w:proofErr w:type="spellStart"/>
      <w:r>
        <w:rPr>
          <w:lang w:val="en-US"/>
        </w:rPr>
        <w:t>не</w:t>
      </w:r>
      <w:proofErr w:type="spellEnd"/>
      <w:r>
        <w:rPr>
          <w:lang w:val="en-US"/>
        </w:rPr>
        <w:t xml:space="preserve"> </w:t>
      </w:r>
      <w:proofErr w:type="spellStart"/>
      <w:r>
        <w:rPr>
          <w:lang w:val="en-US"/>
        </w:rPr>
        <w:t>имеющих</w:t>
      </w:r>
      <w:proofErr w:type="spellEnd"/>
      <w:r>
        <w:rPr>
          <w:lang w:val="en-US"/>
        </w:rPr>
        <w:t xml:space="preserve"> </w:t>
      </w:r>
      <w:proofErr w:type="spellStart"/>
      <w:r>
        <w:rPr>
          <w:lang w:val="en-US"/>
        </w:rPr>
        <w:t>выхода</w:t>
      </w:r>
      <w:proofErr w:type="spellEnd"/>
      <w:r>
        <w:rPr>
          <w:lang w:val="en-US"/>
        </w:rPr>
        <w:t xml:space="preserve"> к </w:t>
      </w:r>
      <w:proofErr w:type="spellStart"/>
      <w:r>
        <w:rPr>
          <w:lang w:val="en-US"/>
        </w:rPr>
        <w:t>морю</w:t>
      </w:r>
      <w:proofErr w:type="spellEnd"/>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157714"/>
      <w:docPartObj>
        <w:docPartGallery w:val="Page Numbers (Top of Page)"/>
        <w:docPartUnique/>
      </w:docPartObj>
    </w:sdtPr>
    <w:sdtEndPr>
      <w:rPr>
        <w:noProof/>
        <w:szCs w:val="22"/>
      </w:rPr>
    </w:sdtEndPr>
    <w:sdtContent>
      <w:p w14:paraId="4EAB3C34" w14:textId="787C4B36" w:rsidR="003E584B" w:rsidRPr="003E584B" w:rsidRDefault="003E584B" w:rsidP="003E584B">
        <w:pPr>
          <w:pStyle w:val="Header"/>
          <w:tabs>
            <w:tab w:val="clear" w:pos="4513"/>
            <w:tab w:val="left" w:pos="851"/>
          </w:tabs>
          <w:jc w:val="left"/>
          <w:rPr>
            <w:szCs w:val="22"/>
            <w:lang w:val="ru-RU"/>
          </w:rPr>
        </w:pPr>
        <w:r w:rsidRPr="00BF1EE0">
          <w:rPr>
            <w:szCs w:val="22"/>
          </w:rPr>
          <w:fldChar w:fldCharType="begin"/>
        </w:r>
        <w:r w:rsidRPr="00E3202A">
          <w:rPr>
            <w:szCs w:val="22"/>
            <w:lang w:val="ru-RU"/>
          </w:rPr>
          <w:instrText xml:space="preserve"> </w:instrText>
        </w:r>
        <w:r w:rsidRPr="00BF1EE0">
          <w:rPr>
            <w:szCs w:val="22"/>
          </w:rPr>
          <w:instrText>PAGE</w:instrText>
        </w:r>
        <w:r w:rsidRPr="00E3202A">
          <w:rPr>
            <w:szCs w:val="22"/>
            <w:lang w:val="ru-RU"/>
          </w:rPr>
          <w:instrText xml:space="preserve">   \* </w:instrText>
        </w:r>
        <w:r w:rsidRPr="00BF1EE0">
          <w:rPr>
            <w:szCs w:val="22"/>
          </w:rPr>
          <w:instrText>MERGEFORMAT</w:instrText>
        </w:r>
        <w:r w:rsidRPr="00E3202A">
          <w:rPr>
            <w:szCs w:val="22"/>
            <w:lang w:val="ru-RU"/>
          </w:rPr>
          <w:instrText xml:space="preserve"> </w:instrText>
        </w:r>
        <w:r w:rsidRPr="00BF1EE0">
          <w:rPr>
            <w:szCs w:val="22"/>
          </w:rPr>
          <w:fldChar w:fldCharType="separate"/>
        </w:r>
        <w:r w:rsidRPr="003E584B">
          <w:rPr>
            <w:szCs w:val="22"/>
            <w:lang w:val="ru-RU"/>
          </w:rPr>
          <w:t>144</w:t>
        </w:r>
        <w:r w:rsidRPr="00BF1EE0">
          <w:rPr>
            <w:noProof/>
            <w:szCs w:val="22"/>
          </w:rPr>
          <w:fldChar w:fldCharType="end"/>
        </w:r>
        <w:r w:rsidRPr="00E3202A">
          <w:rPr>
            <w:noProof/>
            <w:szCs w:val="22"/>
            <w:lang w:val="ru-RU"/>
          </w:rPr>
          <w:tab/>
        </w:r>
        <w:r w:rsidRPr="00E3202A">
          <w:rPr>
            <w:szCs w:val="22"/>
            <w:lang w:val="ru-RU"/>
          </w:rPr>
          <w:t>Заключительный отчет ВКРЭ-2</w:t>
        </w:r>
        <w:r w:rsidR="00760E6A">
          <w:rPr>
            <w:szCs w:val="22"/>
            <w:lang w:val="en-US"/>
          </w:rPr>
          <w:t>5</w:t>
        </w:r>
        <w:r w:rsidRPr="00E3202A">
          <w:rPr>
            <w:szCs w:val="22"/>
            <w:lang w:val="ru-RU"/>
          </w:rPr>
          <w:t xml:space="preserve"> – Часть </w:t>
        </w:r>
        <w:r w:rsidRPr="00895A25">
          <w:rPr>
            <w:szCs w:val="22"/>
          </w:rPr>
          <w:t>IV</w:t>
        </w:r>
        <w:r w:rsidRPr="00E3202A">
          <w:rPr>
            <w:szCs w:val="22"/>
            <w:lang w:val="ru-RU"/>
          </w:rPr>
          <w:t xml:space="preserve"> – </w:t>
        </w:r>
        <w:r w:rsidRPr="00895A25">
          <w:rPr>
            <w:szCs w:val="22"/>
            <w:lang w:val="ru-RU"/>
          </w:rPr>
          <w:t>Резолюци</w:t>
        </w:r>
        <w:r>
          <w:rPr>
            <w:szCs w:val="22"/>
            <w:lang w:val="ru-RU"/>
          </w:rPr>
          <w:t xml:space="preserve">я </w:t>
        </w:r>
        <w:r w:rsidRPr="00F910FE">
          <w:rPr>
            <w:szCs w:val="22"/>
          </w:rPr>
          <w:fldChar w:fldCharType="begin"/>
        </w:r>
        <w:r w:rsidRPr="00F910FE">
          <w:rPr>
            <w:szCs w:val="22"/>
          </w:rPr>
          <w:instrText>styleref</w:instrText>
        </w:r>
        <w:r w:rsidRPr="00E3202A">
          <w:rPr>
            <w:szCs w:val="22"/>
            <w:lang w:val="ru-RU"/>
          </w:rPr>
          <w:instrText xml:space="preserve"> </w:instrText>
        </w:r>
        <w:r w:rsidRPr="00F910FE">
          <w:rPr>
            <w:szCs w:val="22"/>
          </w:rPr>
          <w:instrText>href</w:instrText>
        </w:r>
        <w:r w:rsidRPr="00F910FE">
          <w:rPr>
            <w:szCs w:val="22"/>
          </w:rPr>
          <w:fldChar w:fldCharType="separate"/>
        </w:r>
        <w:r w:rsidR="009A5624">
          <w:rPr>
            <w:noProof/>
            <w:szCs w:val="22"/>
          </w:rPr>
          <w:t>77</w:t>
        </w:r>
        <w:r w:rsidRPr="00F910FE">
          <w:rPr>
            <w:szCs w:val="22"/>
            <w:lang w:val="ru-RU"/>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E0513" w14:textId="613ED5C3" w:rsidR="003E584B" w:rsidRPr="003E584B" w:rsidRDefault="003E584B" w:rsidP="003E584B">
    <w:pPr>
      <w:pStyle w:val="Header"/>
      <w:tabs>
        <w:tab w:val="clear" w:pos="4513"/>
        <w:tab w:val="clear" w:pos="9026"/>
        <w:tab w:val="right" w:pos="8789"/>
        <w:tab w:val="right" w:pos="9639"/>
      </w:tabs>
      <w:jc w:val="right"/>
      <w:rPr>
        <w:szCs w:val="22"/>
        <w:lang w:val="ru-RU"/>
      </w:rPr>
    </w:pPr>
    <w:r>
      <w:rPr>
        <w:szCs w:val="22"/>
      </w:rPr>
      <w:tab/>
    </w:r>
    <w:r w:rsidRPr="00E3202A">
      <w:rPr>
        <w:szCs w:val="22"/>
        <w:lang w:val="ru-RU"/>
      </w:rPr>
      <w:t>Заключительный отчет ВКРЭ-2</w:t>
    </w:r>
    <w:r w:rsidR="00760E6A">
      <w:rPr>
        <w:szCs w:val="22"/>
        <w:lang w:val="en-US"/>
      </w:rPr>
      <w:t>5</w:t>
    </w:r>
    <w:r w:rsidRPr="00E3202A">
      <w:rPr>
        <w:szCs w:val="22"/>
        <w:lang w:val="ru-RU"/>
      </w:rPr>
      <w:t xml:space="preserve"> – Часть </w:t>
    </w:r>
    <w:r w:rsidRPr="00895A25">
      <w:rPr>
        <w:szCs w:val="22"/>
      </w:rPr>
      <w:t>IV</w:t>
    </w:r>
    <w:r w:rsidRPr="00895A25">
      <w:rPr>
        <w:szCs w:val="22"/>
        <w:lang w:val="ru-RU"/>
      </w:rPr>
      <w:t xml:space="preserve"> − Резолюци</w:t>
    </w:r>
    <w:r>
      <w:rPr>
        <w:szCs w:val="22"/>
        <w:lang w:val="ru-RU"/>
      </w:rPr>
      <w:t xml:space="preserve">я </w:t>
    </w:r>
    <w:r w:rsidRPr="00F910FE">
      <w:rPr>
        <w:szCs w:val="22"/>
      </w:rPr>
      <w:fldChar w:fldCharType="begin"/>
    </w:r>
    <w:r w:rsidRPr="00F910FE">
      <w:rPr>
        <w:szCs w:val="22"/>
      </w:rPr>
      <w:instrText>styleref</w:instrText>
    </w:r>
    <w:r w:rsidRPr="00E3202A">
      <w:rPr>
        <w:szCs w:val="22"/>
        <w:lang w:val="ru-RU"/>
      </w:rPr>
      <w:instrText xml:space="preserve"> </w:instrText>
    </w:r>
    <w:r w:rsidRPr="00F910FE">
      <w:rPr>
        <w:szCs w:val="22"/>
      </w:rPr>
      <w:instrText>href</w:instrText>
    </w:r>
    <w:r w:rsidRPr="00F910FE">
      <w:rPr>
        <w:szCs w:val="22"/>
      </w:rPr>
      <w:fldChar w:fldCharType="separate"/>
    </w:r>
    <w:r w:rsidR="009A5624">
      <w:rPr>
        <w:noProof/>
        <w:szCs w:val="22"/>
      </w:rPr>
      <w:t>77</w:t>
    </w:r>
    <w:r w:rsidRPr="00F910FE">
      <w:rPr>
        <w:szCs w:val="22"/>
        <w:lang w:val="ru-RU"/>
      </w:rPr>
      <w:fldChar w:fldCharType="end"/>
    </w:r>
    <w:r w:rsidRPr="00E3202A">
      <w:rPr>
        <w:szCs w:val="22"/>
        <w:lang w:val="ru-RU"/>
      </w:rPr>
      <w:tab/>
    </w:r>
    <w:r w:rsidRPr="00763A31">
      <w:fldChar w:fldCharType="begin"/>
    </w:r>
    <w:r w:rsidRPr="00E3202A">
      <w:rPr>
        <w:lang w:val="ru-RU"/>
      </w:rPr>
      <w:instrText xml:space="preserve"> </w:instrText>
    </w:r>
    <w:r w:rsidRPr="00763A31">
      <w:instrText>PAGE</w:instrText>
    </w:r>
    <w:r w:rsidRPr="00E3202A">
      <w:rPr>
        <w:lang w:val="ru-RU"/>
      </w:rPr>
      <w:instrText xml:space="preserve">   \* </w:instrText>
    </w:r>
    <w:r w:rsidRPr="00763A31">
      <w:instrText>MERGEFORMAT</w:instrText>
    </w:r>
    <w:r w:rsidRPr="00E3202A">
      <w:rPr>
        <w:lang w:val="ru-RU"/>
      </w:rPr>
      <w:instrText xml:space="preserve"> </w:instrText>
    </w:r>
    <w:r w:rsidRPr="00763A31">
      <w:fldChar w:fldCharType="separate"/>
    </w:r>
    <w:r w:rsidRPr="003E584B">
      <w:rPr>
        <w:lang w:val="ru-RU"/>
      </w:rPr>
      <w:t>143</w:t>
    </w:r>
    <w:r w:rsidRPr="00763A31">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84B"/>
    <w:rsid w:val="000B712B"/>
    <w:rsid w:val="000D1BE4"/>
    <w:rsid w:val="000F689C"/>
    <w:rsid w:val="00150FA6"/>
    <w:rsid w:val="00155E4F"/>
    <w:rsid w:val="001D38B0"/>
    <w:rsid w:val="00247508"/>
    <w:rsid w:val="00282B03"/>
    <w:rsid w:val="00316908"/>
    <w:rsid w:val="00373FF6"/>
    <w:rsid w:val="003B155A"/>
    <w:rsid w:val="003C2BD9"/>
    <w:rsid w:val="003E584B"/>
    <w:rsid w:val="003E6044"/>
    <w:rsid w:val="00422295"/>
    <w:rsid w:val="004F44FF"/>
    <w:rsid w:val="00523CDB"/>
    <w:rsid w:val="005E4F50"/>
    <w:rsid w:val="006677D6"/>
    <w:rsid w:val="00686D9E"/>
    <w:rsid w:val="00713A5E"/>
    <w:rsid w:val="00760E6A"/>
    <w:rsid w:val="00791A97"/>
    <w:rsid w:val="00905C06"/>
    <w:rsid w:val="009A5624"/>
    <w:rsid w:val="009D3EFE"/>
    <w:rsid w:val="00B65A4E"/>
    <w:rsid w:val="00B7660C"/>
    <w:rsid w:val="00B95B42"/>
    <w:rsid w:val="00D90490"/>
    <w:rsid w:val="00DD3985"/>
    <w:rsid w:val="00E1417E"/>
    <w:rsid w:val="00E45F09"/>
    <w:rsid w:val="00F4199B"/>
    <w:rsid w:val="00F83A6C"/>
    <w:rsid w:val="00FF162F"/>
    <w:rsid w:val="00FF5E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12872"/>
  <w15:chartTrackingRefBased/>
  <w15:docId w15:val="{5D9E5091-FCB2-40A4-8374-0543ED678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84B"/>
    <w:pPr>
      <w:tabs>
        <w:tab w:val="left" w:pos="1134"/>
        <w:tab w:val="left" w:pos="1871"/>
        <w:tab w:val="left" w:pos="2268"/>
      </w:tabs>
      <w:overflowPunct w:val="0"/>
      <w:autoSpaceDE w:val="0"/>
      <w:autoSpaceDN w:val="0"/>
      <w:adjustRightInd w:val="0"/>
      <w:spacing w:before="120" w:after="0" w:line="240" w:lineRule="auto"/>
      <w:jc w:val="both"/>
      <w:textAlignment w:val="baseline"/>
    </w:pPr>
    <w:rPr>
      <w:rFonts w:ascii="Calibri" w:eastAsia="Times New Roman" w:hAnsi="Calibri" w:cs="Times New Roman"/>
      <w:kern w:val="0"/>
      <w:sz w:val="24"/>
      <w:szCs w:val="20"/>
      <w14:ligatures w14:val="none"/>
    </w:rPr>
  </w:style>
  <w:style w:type="paragraph" w:styleId="Heading1">
    <w:name w:val="heading 1"/>
    <w:basedOn w:val="Normal"/>
    <w:next w:val="Normal"/>
    <w:link w:val="Heading1Char"/>
    <w:uiPriority w:val="9"/>
    <w:qFormat/>
    <w:rsid w:val="003E604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E584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ll">
    <w:name w:val="Call"/>
    <w:basedOn w:val="Normal"/>
    <w:next w:val="Normal"/>
    <w:link w:val="CallChar"/>
    <w:rsid w:val="003E584B"/>
    <w:pPr>
      <w:keepNext/>
      <w:keepLines/>
      <w:spacing w:before="160"/>
      <w:ind w:left="1134"/>
    </w:pPr>
    <w:rPr>
      <w:i/>
    </w:rPr>
  </w:style>
  <w:style w:type="paragraph" w:customStyle="1" w:styleId="Normalaftertitle">
    <w:name w:val="Normal after title"/>
    <w:basedOn w:val="Normal"/>
    <w:next w:val="Normal"/>
    <w:link w:val="NormalaftertitleChar"/>
    <w:rsid w:val="003E584B"/>
    <w:pPr>
      <w:spacing w:before="280"/>
    </w:pPr>
  </w:style>
  <w:style w:type="character" w:customStyle="1" w:styleId="NormalaftertitleChar">
    <w:name w:val="Normal after title Char"/>
    <w:basedOn w:val="DefaultParagraphFont"/>
    <w:link w:val="Normalaftertitle"/>
    <w:locked/>
    <w:rsid w:val="003E584B"/>
    <w:rPr>
      <w:rFonts w:ascii="Calibri" w:eastAsia="Times New Roman" w:hAnsi="Calibri" w:cs="Times New Roman"/>
      <w:kern w:val="0"/>
      <w:sz w:val="24"/>
      <w:szCs w:val="20"/>
      <w14:ligatures w14:val="none"/>
    </w:rPr>
  </w:style>
  <w:style w:type="paragraph" w:customStyle="1" w:styleId="Reasons">
    <w:name w:val="Reasons"/>
    <w:basedOn w:val="Normal"/>
    <w:qFormat/>
    <w:rsid w:val="003E584B"/>
    <w:pPr>
      <w:tabs>
        <w:tab w:val="clear" w:pos="2268"/>
        <w:tab w:val="left" w:pos="1588"/>
        <w:tab w:val="left" w:pos="1985"/>
      </w:tabs>
    </w:pPr>
  </w:style>
  <w:style w:type="paragraph" w:customStyle="1" w:styleId="ResNo">
    <w:name w:val="Res_No"/>
    <w:basedOn w:val="Heading2"/>
    <w:next w:val="Normal"/>
    <w:link w:val="ResNoChar"/>
    <w:rsid w:val="003E584B"/>
    <w:pPr>
      <w:spacing w:before="200"/>
      <w:ind w:left="1134" w:hanging="1134"/>
      <w:jc w:val="center"/>
      <w:outlineLvl w:val="0"/>
    </w:pPr>
    <w:rPr>
      <w:rFonts w:ascii="Calibri" w:eastAsia="Times New Roman" w:hAnsi="Calibri" w:cs="Times New Roman"/>
      <w:color w:val="auto"/>
      <w:sz w:val="28"/>
      <w:szCs w:val="20"/>
    </w:rPr>
  </w:style>
  <w:style w:type="paragraph" w:customStyle="1" w:styleId="Restitle">
    <w:name w:val="Res_title"/>
    <w:basedOn w:val="Heading2"/>
    <w:next w:val="Normal"/>
    <w:link w:val="RestitleChar"/>
    <w:rsid w:val="003E584B"/>
    <w:pPr>
      <w:tabs>
        <w:tab w:val="clear" w:pos="1134"/>
        <w:tab w:val="clear" w:pos="1871"/>
        <w:tab w:val="clear" w:pos="2268"/>
      </w:tabs>
      <w:spacing w:before="200"/>
      <w:jc w:val="center"/>
    </w:pPr>
    <w:rPr>
      <w:rFonts w:ascii="Calibri" w:eastAsia="Times New Roman" w:hAnsi="Calibri" w:cs="Times New Roman"/>
      <w:b/>
      <w:color w:val="auto"/>
      <w:sz w:val="28"/>
      <w:szCs w:val="20"/>
    </w:rPr>
  </w:style>
  <w:style w:type="character" w:customStyle="1" w:styleId="href">
    <w:name w:val="href"/>
    <w:basedOn w:val="DefaultParagraphFont"/>
    <w:rsid w:val="003E584B"/>
    <w:rPr>
      <w:color w:val="auto"/>
    </w:rPr>
  </w:style>
  <w:style w:type="character" w:customStyle="1" w:styleId="CallChar">
    <w:name w:val="Call Char"/>
    <w:basedOn w:val="DefaultParagraphFont"/>
    <w:link w:val="Call"/>
    <w:locked/>
    <w:rsid w:val="003E584B"/>
    <w:rPr>
      <w:rFonts w:ascii="Calibri" w:eastAsia="Times New Roman" w:hAnsi="Calibri" w:cs="Times New Roman"/>
      <w:i/>
      <w:kern w:val="0"/>
      <w:sz w:val="24"/>
      <w:szCs w:val="20"/>
      <w14:ligatures w14:val="none"/>
    </w:rPr>
  </w:style>
  <w:style w:type="character" w:customStyle="1" w:styleId="ResNoChar">
    <w:name w:val="Res_No Char"/>
    <w:basedOn w:val="DefaultParagraphFont"/>
    <w:link w:val="ResNo"/>
    <w:rsid w:val="003E584B"/>
    <w:rPr>
      <w:rFonts w:ascii="Calibri" w:eastAsia="Times New Roman" w:hAnsi="Calibri" w:cs="Times New Roman"/>
      <w:kern w:val="0"/>
      <w:sz w:val="28"/>
      <w:szCs w:val="20"/>
      <w14:ligatures w14:val="none"/>
    </w:rPr>
  </w:style>
  <w:style w:type="character" w:customStyle="1" w:styleId="RestitleChar">
    <w:name w:val="Res_title Char"/>
    <w:basedOn w:val="DefaultParagraphFont"/>
    <w:link w:val="Restitle"/>
    <w:rsid w:val="003E584B"/>
    <w:rPr>
      <w:rFonts w:ascii="Calibri" w:eastAsia="Times New Roman" w:hAnsi="Calibri" w:cs="Times New Roman"/>
      <w:b/>
      <w:kern w:val="0"/>
      <w:sz w:val="28"/>
      <w:szCs w:val="20"/>
      <w14:ligatures w14:val="none"/>
    </w:rPr>
  </w:style>
  <w:style w:type="character" w:customStyle="1" w:styleId="Heading2Char">
    <w:name w:val="Heading 2 Char"/>
    <w:basedOn w:val="DefaultParagraphFont"/>
    <w:link w:val="Heading2"/>
    <w:uiPriority w:val="9"/>
    <w:semiHidden/>
    <w:rsid w:val="003E584B"/>
    <w:rPr>
      <w:rFonts w:asciiTheme="majorHAnsi" w:eastAsiaTheme="majorEastAsia" w:hAnsiTheme="majorHAnsi" w:cstheme="majorBidi"/>
      <w:color w:val="2F5496" w:themeColor="accent1" w:themeShade="BF"/>
      <w:kern w:val="0"/>
      <w:sz w:val="26"/>
      <w:szCs w:val="26"/>
      <w14:ligatures w14:val="none"/>
    </w:rPr>
  </w:style>
  <w:style w:type="paragraph" w:styleId="Header">
    <w:name w:val="header"/>
    <w:basedOn w:val="Normal"/>
    <w:link w:val="HeaderChar"/>
    <w:uiPriority w:val="99"/>
    <w:unhideWhenUsed/>
    <w:rsid w:val="003E584B"/>
    <w:pPr>
      <w:tabs>
        <w:tab w:val="clear" w:pos="1134"/>
        <w:tab w:val="clear" w:pos="1871"/>
        <w:tab w:val="clear" w:pos="2268"/>
        <w:tab w:val="center" w:pos="4513"/>
        <w:tab w:val="right" w:pos="9026"/>
      </w:tabs>
      <w:spacing w:before="0"/>
    </w:pPr>
    <w:rPr>
      <w:sz w:val="18"/>
    </w:rPr>
  </w:style>
  <w:style w:type="character" w:customStyle="1" w:styleId="HeaderChar">
    <w:name w:val="Header Char"/>
    <w:basedOn w:val="DefaultParagraphFont"/>
    <w:link w:val="Header"/>
    <w:uiPriority w:val="99"/>
    <w:rsid w:val="003E584B"/>
    <w:rPr>
      <w:rFonts w:ascii="Calibri" w:eastAsia="Times New Roman" w:hAnsi="Calibri" w:cs="Times New Roman"/>
      <w:kern w:val="0"/>
      <w:sz w:val="18"/>
      <w:szCs w:val="20"/>
      <w14:ligatures w14:val="none"/>
    </w:rPr>
  </w:style>
  <w:style w:type="paragraph" w:styleId="Footer">
    <w:name w:val="footer"/>
    <w:basedOn w:val="Normal"/>
    <w:link w:val="FooterChar"/>
    <w:uiPriority w:val="99"/>
    <w:unhideWhenUsed/>
    <w:rsid w:val="003E584B"/>
    <w:pPr>
      <w:tabs>
        <w:tab w:val="clear" w:pos="1134"/>
        <w:tab w:val="clear" w:pos="1871"/>
        <w:tab w:val="clear" w:pos="2268"/>
        <w:tab w:val="center" w:pos="4513"/>
        <w:tab w:val="right" w:pos="9026"/>
      </w:tabs>
      <w:spacing w:before="0"/>
    </w:pPr>
  </w:style>
  <w:style w:type="character" w:customStyle="1" w:styleId="FooterChar">
    <w:name w:val="Footer Char"/>
    <w:basedOn w:val="DefaultParagraphFont"/>
    <w:link w:val="Footer"/>
    <w:uiPriority w:val="99"/>
    <w:rsid w:val="003E584B"/>
    <w:rPr>
      <w:rFonts w:ascii="Calibri" w:eastAsia="Times New Roman" w:hAnsi="Calibri" w:cs="Times New Roman"/>
      <w:kern w:val="0"/>
      <w:sz w:val="24"/>
      <w:szCs w:val="20"/>
      <w14:ligatures w14:val="none"/>
    </w:rPr>
  </w:style>
  <w:style w:type="paragraph" w:customStyle="1" w:styleId="Normalcenteraligned">
    <w:name w:val="Normal center aligned"/>
    <w:basedOn w:val="Normal"/>
    <w:rsid w:val="000D1BE4"/>
    <w:pPr>
      <w:jc w:val="center"/>
    </w:pPr>
    <w:rPr>
      <w:rFonts w:eastAsia="SimSun"/>
    </w:rPr>
  </w:style>
  <w:style w:type="character" w:styleId="FootnoteReference">
    <w:name w:val="footnote reference"/>
    <w:aliases w:val="(NECG) Footnote Reference,Appel note de bas de p,Appel note de bas de p + 11 pt,Appel note de bas de p1,Appel note de bas de p2,Appel note de bas de p3,Footnote Reference/,Footnote symbol,Ref,Style 12,Style 124,de nota al pie,o"/>
    <w:basedOn w:val="DefaultParagraphFont"/>
    <w:rsid w:val="00791A97"/>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rsid w:val="00791A97"/>
    <w:pPr>
      <w:keepLines/>
      <w:tabs>
        <w:tab w:val="left" w:pos="255"/>
      </w:tabs>
    </w:pPr>
    <w:rPr>
      <w:sz w:val="22"/>
    </w:r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rsid w:val="00791A97"/>
    <w:rPr>
      <w:rFonts w:ascii="Calibri" w:eastAsia="Times New Roman" w:hAnsi="Calibri" w:cs="Times New Roman"/>
      <w:kern w:val="0"/>
      <w:szCs w:val="20"/>
      <w14:ligatures w14:val="none"/>
    </w:rPr>
  </w:style>
  <w:style w:type="paragraph" w:customStyle="1" w:styleId="enumlev1">
    <w:name w:val="enumlev1"/>
    <w:basedOn w:val="Normal"/>
    <w:link w:val="enumlev1Char"/>
    <w:qFormat/>
    <w:rsid w:val="00373FF6"/>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qFormat/>
    <w:rsid w:val="00373FF6"/>
    <w:rPr>
      <w:rFonts w:ascii="Calibri" w:eastAsia="Times New Roman" w:hAnsi="Calibri" w:cs="Times New Roman"/>
      <w:kern w:val="0"/>
      <w:sz w:val="24"/>
      <w:szCs w:val="20"/>
      <w14:ligatures w14:val="none"/>
    </w:rPr>
  </w:style>
  <w:style w:type="paragraph" w:customStyle="1" w:styleId="Note">
    <w:name w:val="Note"/>
    <w:basedOn w:val="Normal"/>
    <w:next w:val="Normal"/>
    <w:rsid w:val="006677D6"/>
    <w:pPr>
      <w:tabs>
        <w:tab w:val="left" w:pos="284"/>
      </w:tabs>
      <w:spacing w:before="80"/>
    </w:pPr>
  </w:style>
  <w:style w:type="character" w:customStyle="1" w:styleId="Heading1Char">
    <w:name w:val="Heading 1 Char"/>
    <w:basedOn w:val="DefaultParagraphFont"/>
    <w:link w:val="Heading1"/>
    <w:uiPriority w:val="9"/>
    <w:rsid w:val="003E6044"/>
    <w:rPr>
      <w:rFonts w:asciiTheme="majorHAnsi" w:eastAsiaTheme="majorEastAsia" w:hAnsiTheme="majorHAnsi" w:cstheme="majorBidi"/>
      <w:color w:val="2F5496" w:themeColor="accent1" w:themeShade="BF"/>
      <w:kern w:val="0"/>
      <w:sz w:val="32"/>
      <w:szCs w:val="32"/>
      <w14:ligatures w14:val="none"/>
    </w:rPr>
  </w:style>
  <w:style w:type="paragraph" w:customStyle="1" w:styleId="AnnexNo">
    <w:name w:val="Annex_No"/>
    <w:basedOn w:val="Normal"/>
    <w:next w:val="Normal"/>
    <w:link w:val="AnnexNoChar"/>
    <w:rsid w:val="003E6044"/>
    <w:pPr>
      <w:keepNext/>
      <w:keepLines/>
      <w:spacing w:before="480" w:after="80"/>
      <w:jc w:val="center"/>
    </w:pPr>
    <w:rPr>
      <w:caps/>
      <w:sz w:val="28"/>
    </w:rPr>
  </w:style>
  <w:style w:type="paragraph" w:customStyle="1" w:styleId="Annextitle">
    <w:name w:val="Annex_title"/>
    <w:basedOn w:val="Heading2"/>
    <w:next w:val="Normal"/>
    <w:rsid w:val="003E6044"/>
    <w:pPr>
      <w:spacing w:before="240" w:after="280"/>
    </w:pPr>
    <w:rPr>
      <w:rFonts w:ascii="Calibri" w:eastAsia="Calibri" w:hAnsi="Calibri" w:cs="Times New Roman"/>
      <w:b/>
      <w:iCs/>
      <w:color w:val="auto"/>
      <w:sz w:val="28"/>
      <w:szCs w:val="20"/>
      <w:bdr w:val="none" w:sz="0" w:space="0" w:color="auto" w:frame="1"/>
      <w:lang w:eastAsia="en-GB"/>
    </w:rPr>
  </w:style>
  <w:style w:type="character" w:customStyle="1" w:styleId="AnnexNoChar">
    <w:name w:val="Annex_No Char"/>
    <w:basedOn w:val="DefaultParagraphFont"/>
    <w:link w:val="AnnexNo"/>
    <w:rsid w:val="003E6044"/>
    <w:rPr>
      <w:rFonts w:ascii="Calibri" w:eastAsia="Times New Roman" w:hAnsi="Calibri" w:cs="Times New Roman"/>
      <w:caps/>
      <w:kern w:val="0"/>
      <w:sz w:val="28"/>
      <w:szCs w:val="20"/>
      <w14:ligatures w14:val="none"/>
    </w:rPr>
  </w:style>
  <w:style w:type="character" w:styleId="Hyperlink">
    <w:name w:val="Hyperlink"/>
    <w:aliases w:val="CEO_Hyperlink,超级链接,Style 58,超?级链,超????,하이퍼링크2"/>
    <w:uiPriority w:val="99"/>
    <w:qFormat/>
    <w:rsid w:val="00713A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broadbandcommission.org/publication/state-of-broadband-2023/." TargetMode="External"/><Relationship Id="rId1" Type="http://schemas.openxmlformats.org/officeDocument/2006/relationships/hyperlink" Target="http://www.broadbandcommission.org/Documents/publications/Report_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0A771-F19C-48C8-A8DF-69AD9E90C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2148</Words>
  <Characters>15708</Characters>
  <Application>Microsoft Office Word</Application>
  <DocSecurity>0</DocSecurity>
  <Lines>275</Lines>
  <Paragraphs>84</Paragraphs>
  <ScaleCrop>false</ScaleCrop>
  <HeadingPairs>
    <vt:vector size="2" baseType="variant">
      <vt:variant>
        <vt:lpstr>Title</vt:lpstr>
      </vt:variant>
      <vt:variant>
        <vt:i4>1</vt:i4>
      </vt:variant>
    </vt:vector>
  </HeadingPairs>
  <TitlesOfParts>
    <vt:vector size="1" baseType="lpstr">
      <vt:lpstr>РЕЗОЛЮЦИЯ 77 (Пересм. Баку, 2025 г.) Технологии и приложения широкополосной связи для более активного роста и развития услуг электросвязи/информационно-коммуникационных технологий и широкополосных соединений</vt:lpstr>
    </vt:vector>
  </TitlesOfParts>
  <Company/>
  <LinksUpToDate>false</LinksUpToDate>
  <CharactersWithSpaces>17772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РЕЗОЛЮЦИЯ 77 (Пересм. Баку, 2025 г.) Технологии и приложения широкополосной связи для более активного роста и развития услуг электросвязи/информационно-коммуникационных технологий и широкополосных соединений</dc:title>
  <dc:subject/>
  <dc:creator/>
  <cp:keywords/>
  <dc:description/>
  <cp:lastModifiedBy>Berdyeva, Elena</cp:lastModifiedBy>
  <cp:revision>30</cp:revision>
  <dcterms:created xsi:type="dcterms:W3CDTF">2023-10-16T12:49:00Z</dcterms:created>
  <dcterms:modified xsi:type="dcterms:W3CDTF">2026-09-23T19:32:00Z</dcterms:modified>
</cp:coreProperties>
</file>