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CAE8" w14:textId="77777777" w:rsidR="00F4455D" w:rsidRPr="007D4F79" w:rsidRDefault="00F4455D" w:rsidP="00F4455D">
      <w:pPr>
        <w:pStyle w:val="ResNo"/>
        <w:rPr>
          <w:lang w:val="fr-FR"/>
        </w:rPr>
      </w:pPr>
      <w:bookmarkStart w:id="0" w:name="_Toc116542414"/>
      <w:r w:rsidRPr="007D4F79">
        <w:rPr>
          <w:lang w:val="fr-FR"/>
        </w:rPr>
        <w:t>RÉSOLUTION 75 (</w:t>
      </w:r>
      <w:r w:rsidRPr="007D4F79">
        <w:rPr>
          <w:caps w:val="0"/>
          <w:lang w:val="fr-FR"/>
        </w:rPr>
        <w:t>Rév. Buenos Aires</w:t>
      </w:r>
      <w:r w:rsidRPr="007D4F79">
        <w:rPr>
          <w:lang w:val="fr-FR"/>
        </w:rPr>
        <w:t>, 2017)</w:t>
      </w:r>
      <w:bookmarkEnd w:id="0"/>
    </w:p>
    <w:p w14:paraId="4C96F674" w14:textId="77777777" w:rsidR="00F4455D" w:rsidRPr="007D4F79" w:rsidRDefault="00F4455D" w:rsidP="00F4455D">
      <w:pPr>
        <w:pStyle w:val="Restitle"/>
        <w:rPr>
          <w:lang w:val="fr-FR"/>
        </w:rPr>
      </w:pPr>
      <w:bookmarkStart w:id="1" w:name="_Toc116542415"/>
      <w:r w:rsidRPr="007D4F79">
        <w:rPr>
          <w:lang w:val="fr-FR"/>
        </w:rPr>
        <w:t xml:space="preserve">Mise en œuvre du Manifeste Smart Africa et appui au développement du secteur des technologies de l'information et de la </w:t>
      </w:r>
      <w:r w:rsidRPr="007D4F79">
        <w:rPr>
          <w:lang w:val="fr-FR"/>
        </w:rPr>
        <w:br/>
        <w:t>communication en Afrique</w:t>
      </w:r>
      <w:bookmarkEnd w:id="1"/>
    </w:p>
    <w:p w14:paraId="5679A79E" w14:textId="77777777" w:rsidR="00F4455D" w:rsidRPr="007D4F79" w:rsidRDefault="00F4455D" w:rsidP="00F4455D">
      <w:pPr>
        <w:pStyle w:val="Normalaftertitle"/>
        <w:rPr>
          <w:lang w:val="fr-FR"/>
        </w:rPr>
      </w:pPr>
      <w:r w:rsidRPr="007D4F79">
        <w:rPr>
          <w:lang w:val="fr-FR"/>
        </w:rPr>
        <w:t>La Conférence mondiale de développement des télécommunications (Buenos Aires, 2017),</w:t>
      </w:r>
    </w:p>
    <w:p w14:paraId="14202C52" w14:textId="77777777" w:rsidR="00F4455D" w:rsidRPr="007D4F79" w:rsidRDefault="00F4455D" w:rsidP="00F4455D">
      <w:pPr>
        <w:pStyle w:val="Call"/>
        <w:rPr>
          <w:lang w:val="fr-FR"/>
        </w:rPr>
      </w:pPr>
      <w:r w:rsidRPr="007D4F79">
        <w:rPr>
          <w:lang w:val="fr-FR"/>
        </w:rPr>
        <w:t>considérant</w:t>
      </w:r>
    </w:p>
    <w:p w14:paraId="31510A0D" w14:textId="77777777" w:rsidR="00F4455D" w:rsidRPr="007D4F79" w:rsidRDefault="00F4455D" w:rsidP="00F4455D">
      <w:pPr>
        <w:rPr>
          <w:lang w:val="fr-FR"/>
        </w:rPr>
      </w:pPr>
      <w:r w:rsidRPr="007D4F79">
        <w:rPr>
          <w:i/>
          <w:iCs/>
          <w:lang w:val="fr-FR"/>
        </w:rPr>
        <w:t>a)</w:t>
      </w:r>
      <w:r w:rsidRPr="007D4F79">
        <w:rPr>
          <w:lang w:val="fr-FR"/>
        </w:rPr>
        <w:tab/>
        <w:t>les dispositions du Chapitre IV de la Constitution de l'UIT relatives au Secteur du développement des télécommunications (UIT-D), notamment en ce qui concerne le rôle du Secteur en matière de sensibilisation aux incidences des télécommunications/technologies de l'information et de la communication (TIC) sur le développement économique et social national, son rôle de catalyseur dans la promotion du développement, de l'expansion et de l'exploitation des réseaux et des services de télécommunication, particulièrement dans les pays en développement</w:t>
      </w:r>
      <w:r>
        <w:rPr>
          <w:rStyle w:val="FootnoteReference"/>
          <w:lang w:val="fr-FR"/>
        </w:rPr>
        <w:footnoteReference w:customMarkFollows="1" w:id="1"/>
        <w:t>1</w:t>
      </w:r>
      <w:r w:rsidRPr="007D4F79">
        <w:rPr>
          <w:lang w:val="fr-FR"/>
        </w:rPr>
        <w:t>, et la nécessité d'entretenir et de stimuler la coopération avec les organisations régionales et les autres organisations de télécommunication;</w:t>
      </w:r>
    </w:p>
    <w:p w14:paraId="0CFB5A69" w14:textId="77777777" w:rsidR="00F4455D" w:rsidRPr="007D4F79" w:rsidRDefault="00F4455D" w:rsidP="00F4455D">
      <w:pPr>
        <w:rPr>
          <w:lang w:val="fr-FR"/>
        </w:rPr>
      </w:pPr>
      <w:r w:rsidRPr="007D4F79">
        <w:rPr>
          <w:i/>
          <w:lang w:val="fr-FR"/>
        </w:rPr>
        <w:t>b)</w:t>
      </w:r>
      <w:r w:rsidRPr="007D4F79">
        <w:rPr>
          <w:i/>
          <w:lang w:val="fr-FR"/>
        </w:rPr>
        <w:tab/>
      </w:r>
      <w:r w:rsidRPr="007D4F79">
        <w:rPr>
          <w:lang w:val="fr-FR"/>
        </w:rPr>
        <w:t>que, à sa 22ème session ordinaire, l'Assemblée générale de l'Union africaine a décidé "D'APPROUVER les principaux résultats du Sommet Transformer l'Afrique, organisé en octobre 2013 par S. E. Paul Kagamé, Président de la République du Rwanda, qui a adopté le Manifeste Smart Africa, soulignant la nécessité de placer les TIC au centre du programme national de développement socio</w:t>
      </w:r>
      <w:r w:rsidRPr="007D4F79">
        <w:rPr>
          <w:lang w:val="fr-FR"/>
        </w:rPr>
        <w:noBreakHyphen/>
        <w:t>économique et l'Alliance SMART Africa comme cadre de mise en œuvre";</w:t>
      </w:r>
    </w:p>
    <w:p w14:paraId="21C81EC6" w14:textId="77777777" w:rsidR="00F4455D" w:rsidRPr="007D4F79" w:rsidRDefault="00F4455D" w:rsidP="00F4455D">
      <w:pPr>
        <w:rPr>
          <w:lang w:val="fr-FR"/>
        </w:rPr>
      </w:pPr>
      <w:r w:rsidRPr="007D4F79">
        <w:rPr>
          <w:i/>
          <w:iCs/>
          <w:lang w:val="fr-FR"/>
        </w:rPr>
        <w:t>c)</w:t>
      </w:r>
      <w:r w:rsidRPr="007D4F79">
        <w:rPr>
          <w:lang w:val="fr-FR"/>
        </w:rPr>
        <w:tab/>
        <w:t>la Résolution 30 (Rév. Guadalajara, 2010) de la Conférence de plénipotentiaires sur les mesures spéciales en faveur des pays les moins avancés, des petits États insulaires en développement, des pays en développement sans littoral et des pays dont l'économie est en transition;</w:t>
      </w:r>
    </w:p>
    <w:p w14:paraId="1551675A" w14:textId="77777777" w:rsidR="00F4455D" w:rsidRPr="007D4F79" w:rsidRDefault="00F4455D" w:rsidP="00F4455D">
      <w:pPr>
        <w:rPr>
          <w:lang w:val="fr-FR"/>
        </w:rPr>
      </w:pPr>
      <w:r w:rsidRPr="007D4F79">
        <w:rPr>
          <w:i/>
          <w:iCs/>
          <w:lang w:val="fr-FR"/>
        </w:rPr>
        <w:t>d)</w:t>
      </w:r>
      <w:r w:rsidRPr="007D4F79">
        <w:rPr>
          <w:lang w:val="fr-FR"/>
        </w:rPr>
        <w:tab/>
        <w:t>les Objectifs de développement durable (ODD) pour la période 2015</w:t>
      </w:r>
      <w:r w:rsidRPr="007D4F79">
        <w:rPr>
          <w:lang w:val="fr-FR"/>
        </w:rPr>
        <w:noBreakHyphen/>
        <w:t>2020 adoptés par l'Assemblée générale des Nations Unies en septembre 2015;</w:t>
      </w:r>
    </w:p>
    <w:p w14:paraId="6EF69DDE" w14:textId="77777777" w:rsidR="00F4455D" w:rsidRPr="007D4F79" w:rsidRDefault="00F4455D" w:rsidP="00F4455D">
      <w:pPr>
        <w:rPr>
          <w:lang w:val="fr-FR"/>
        </w:rPr>
      </w:pPr>
      <w:r w:rsidRPr="007D4F79">
        <w:rPr>
          <w:i/>
          <w:iCs/>
          <w:lang w:val="fr-FR"/>
        </w:rPr>
        <w:t>e)</w:t>
      </w:r>
      <w:r w:rsidRPr="007D4F79">
        <w:rPr>
          <w:lang w:val="fr-FR"/>
        </w:rPr>
        <w:tab/>
        <w:t>les résultats des phases de Genève (2003) et de Tunis (2005) du Sommet mondial sur la société de l'information (SMSI) ainsi que la Déclaration et la Vision du SMSI+10 pour l'après-2015,</w:t>
      </w:r>
    </w:p>
    <w:p w14:paraId="06133401" w14:textId="77777777" w:rsidR="00F4455D" w:rsidRDefault="00F4455D" w:rsidP="00F4455D">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29BEC2A3" w14:textId="77777777" w:rsidR="00F4455D" w:rsidRPr="007D4F79" w:rsidRDefault="00F4455D" w:rsidP="00F4455D">
      <w:pPr>
        <w:pStyle w:val="Call"/>
        <w:spacing w:before="120"/>
        <w:rPr>
          <w:rFonts w:ascii="Calibri" w:hAnsi="Calibri"/>
          <w:lang w:val="fr-FR"/>
        </w:rPr>
      </w:pPr>
      <w:r w:rsidRPr="007D4F79">
        <w:rPr>
          <w:lang w:val="fr-FR"/>
        </w:rPr>
        <w:lastRenderedPageBreak/>
        <w:t>notant</w:t>
      </w:r>
    </w:p>
    <w:p w14:paraId="163DAA81" w14:textId="77777777" w:rsidR="00F4455D" w:rsidRPr="007D4F79" w:rsidRDefault="00F4455D" w:rsidP="00F4455D">
      <w:pPr>
        <w:rPr>
          <w:lang w:val="fr-FR"/>
        </w:rPr>
      </w:pPr>
      <w:r w:rsidRPr="007D4F79">
        <w:rPr>
          <w:lang w:val="fr-FR"/>
        </w:rPr>
        <w:t>que</w:t>
      </w:r>
      <w:r w:rsidRPr="007D4F79">
        <w:rPr>
          <w:spacing w:val="31"/>
          <w:lang w:val="fr-FR"/>
        </w:rPr>
        <w:t xml:space="preserve"> </w:t>
      </w:r>
      <w:r w:rsidRPr="007D4F79">
        <w:rPr>
          <w:lang w:val="fr-FR"/>
        </w:rPr>
        <w:t>la</w:t>
      </w:r>
      <w:r w:rsidRPr="007D4F79">
        <w:rPr>
          <w:spacing w:val="31"/>
          <w:lang w:val="fr-FR"/>
        </w:rPr>
        <w:t xml:space="preserve"> </w:t>
      </w:r>
      <w:r w:rsidRPr="007D4F79">
        <w:rPr>
          <w:lang w:val="fr-FR"/>
        </w:rPr>
        <w:t>Conférence</w:t>
      </w:r>
      <w:r w:rsidRPr="007D4F79">
        <w:rPr>
          <w:spacing w:val="31"/>
          <w:lang w:val="fr-FR"/>
        </w:rPr>
        <w:t xml:space="preserve"> </w:t>
      </w:r>
      <w:r w:rsidRPr="007D4F79">
        <w:rPr>
          <w:spacing w:val="-2"/>
          <w:lang w:val="fr-FR"/>
        </w:rPr>
        <w:t>m</w:t>
      </w:r>
      <w:r w:rsidRPr="007D4F79">
        <w:rPr>
          <w:lang w:val="fr-FR"/>
        </w:rPr>
        <w:t>ondiale</w:t>
      </w:r>
      <w:r w:rsidRPr="007D4F79">
        <w:rPr>
          <w:spacing w:val="31"/>
          <w:lang w:val="fr-FR"/>
        </w:rPr>
        <w:t xml:space="preserve"> </w:t>
      </w:r>
      <w:r w:rsidRPr="007D4F79">
        <w:rPr>
          <w:lang w:val="fr-FR"/>
        </w:rPr>
        <w:t>de</w:t>
      </w:r>
      <w:r w:rsidRPr="007D4F79">
        <w:rPr>
          <w:spacing w:val="31"/>
          <w:lang w:val="fr-FR"/>
        </w:rPr>
        <w:t xml:space="preserve"> </w:t>
      </w:r>
      <w:r w:rsidRPr="007D4F79">
        <w:rPr>
          <w:lang w:val="fr-FR"/>
        </w:rPr>
        <w:t>développ</w:t>
      </w:r>
      <w:r w:rsidRPr="007D4F79">
        <w:rPr>
          <w:spacing w:val="-1"/>
          <w:lang w:val="fr-FR"/>
        </w:rPr>
        <w:t>e</w:t>
      </w:r>
      <w:r w:rsidRPr="007D4F79">
        <w:rPr>
          <w:spacing w:val="-2"/>
          <w:lang w:val="fr-FR"/>
        </w:rPr>
        <w:t>m</w:t>
      </w:r>
      <w:r w:rsidRPr="007D4F79">
        <w:rPr>
          <w:lang w:val="fr-FR"/>
        </w:rPr>
        <w:t>ent</w:t>
      </w:r>
      <w:r w:rsidRPr="007D4F79">
        <w:rPr>
          <w:spacing w:val="31"/>
          <w:lang w:val="fr-FR"/>
        </w:rPr>
        <w:t xml:space="preserve"> </w:t>
      </w:r>
      <w:r w:rsidRPr="007D4F79">
        <w:rPr>
          <w:lang w:val="fr-FR"/>
        </w:rPr>
        <w:t>des</w:t>
      </w:r>
      <w:r w:rsidRPr="007D4F79">
        <w:rPr>
          <w:spacing w:val="31"/>
          <w:lang w:val="fr-FR"/>
        </w:rPr>
        <w:t xml:space="preserve"> </w:t>
      </w:r>
      <w:r w:rsidRPr="007D4F79">
        <w:rPr>
          <w:lang w:val="fr-FR"/>
        </w:rPr>
        <w:t>télécommunications</w:t>
      </w:r>
      <w:r w:rsidRPr="007D4F79">
        <w:rPr>
          <w:spacing w:val="31"/>
          <w:lang w:val="fr-FR"/>
        </w:rPr>
        <w:t xml:space="preserve"> </w:t>
      </w:r>
      <w:r w:rsidRPr="007D4F79">
        <w:rPr>
          <w:lang w:val="fr-FR"/>
        </w:rPr>
        <w:t>(Doha,</w:t>
      </w:r>
      <w:r w:rsidRPr="007D4F79">
        <w:rPr>
          <w:spacing w:val="31"/>
          <w:lang w:val="fr-FR"/>
        </w:rPr>
        <w:t xml:space="preserve"> </w:t>
      </w:r>
      <w:r w:rsidRPr="007D4F79">
        <w:rPr>
          <w:lang w:val="fr-FR"/>
        </w:rPr>
        <w:t>2006) a</w:t>
      </w:r>
      <w:r w:rsidRPr="007D4F79">
        <w:rPr>
          <w:spacing w:val="-18"/>
          <w:lang w:val="fr-FR"/>
        </w:rPr>
        <w:t xml:space="preserve"> </w:t>
      </w:r>
      <w:r w:rsidRPr="007D4F79">
        <w:rPr>
          <w:lang w:val="fr-FR"/>
        </w:rPr>
        <w:t>réaffir</w:t>
      </w:r>
      <w:r w:rsidRPr="007D4F79">
        <w:rPr>
          <w:spacing w:val="-2"/>
          <w:lang w:val="fr-FR"/>
        </w:rPr>
        <w:t>m</w:t>
      </w:r>
      <w:r w:rsidRPr="007D4F79">
        <w:rPr>
          <w:lang w:val="fr-FR"/>
        </w:rPr>
        <w:t>é,</w:t>
      </w:r>
      <w:r w:rsidRPr="007D4F79">
        <w:rPr>
          <w:spacing w:val="32"/>
          <w:lang w:val="fr-FR"/>
        </w:rPr>
        <w:t xml:space="preserve"> </w:t>
      </w:r>
      <w:r w:rsidRPr="007D4F79">
        <w:rPr>
          <w:lang w:val="fr-FR"/>
        </w:rPr>
        <w:t>dans</w:t>
      </w:r>
      <w:r w:rsidRPr="007D4F79">
        <w:rPr>
          <w:spacing w:val="32"/>
          <w:lang w:val="fr-FR"/>
        </w:rPr>
        <w:t xml:space="preserve"> </w:t>
      </w:r>
      <w:r w:rsidRPr="007D4F79">
        <w:rPr>
          <w:lang w:val="fr-FR"/>
        </w:rPr>
        <w:t>sa</w:t>
      </w:r>
      <w:r w:rsidRPr="007D4F79">
        <w:rPr>
          <w:spacing w:val="32"/>
          <w:lang w:val="fr-FR"/>
        </w:rPr>
        <w:t xml:space="preserve"> </w:t>
      </w:r>
      <w:r w:rsidRPr="007D4F79">
        <w:rPr>
          <w:lang w:val="fr-FR"/>
        </w:rPr>
        <w:t>Déclaration</w:t>
      </w:r>
      <w:r w:rsidRPr="007D4F79">
        <w:rPr>
          <w:spacing w:val="32"/>
          <w:lang w:val="fr-FR"/>
        </w:rPr>
        <w:t xml:space="preserve"> </w:t>
      </w:r>
      <w:r w:rsidRPr="007D4F79">
        <w:rPr>
          <w:lang w:val="fr-FR"/>
        </w:rPr>
        <w:t>et</w:t>
      </w:r>
      <w:r w:rsidRPr="007D4F79">
        <w:rPr>
          <w:spacing w:val="32"/>
          <w:lang w:val="fr-FR"/>
        </w:rPr>
        <w:t xml:space="preserve"> </w:t>
      </w:r>
      <w:r w:rsidRPr="007D4F79">
        <w:rPr>
          <w:lang w:val="fr-FR"/>
        </w:rPr>
        <w:t>ses</w:t>
      </w:r>
      <w:r w:rsidRPr="007D4F79">
        <w:rPr>
          <w:spacing w:val="31"/>
          <w:lang w:val="fr-FR"/>
        </w:rPr>
        <w:t xml:space="preserve"> </w:t>
      </w:r>
      <w:r w:rsidRPr="007D4F79">
        <w:rPr>
          <w:lang w:val="fr-FR"/>
        </w:rPr>
        <w:t>résolutions,</w:t>
      </w:r>
      <w:r w:rsidRPr="007D4F79">
        <w:rPr>
          <w:spacing w:val="32"/>
          <w:lang w:val="fr-FR"/>
        </w:rPr>
        <w:t xml:space="preserve"> </w:t>
      </w:r>
      <w:r w:rsidRPr="007D4F79">
        <w:rPr>
          <w:lang w:val="fr-FR"/>
        </w:rPr>
        <w:t>son</w:t>
      </w:r>
      <w:r w:rsidRPr="007D4F79">
        <w:rPr>
          <w:spacing w:val="31"/>
          <w:lang w:val="fr-FR"/>
        </w:rPr>
        <w:t xml:space="preserve"> </w:t>
      </w:r>
      <w:r w:rsidRPr="007D4F79">
        <w:rPr>
          <w:lang w:val="fr-FR"/>
        </w:rPr>
        <w:t>eng</w:t>
      </w:r>
      <w:r w:rsidRPr="007D4F79">
        <w:rPr>
          <w:spacing w:val="1"/>
          <w:lang w:val="fr-FR"/>
        </w:rPr>
        <w:t>a</w:t>
      </w:r>
      <w:r w:rsidRPr="007D4F79">
        <w:rPr>
          <w:lang w:val="fr-FR"/>
        </w:rPr>
        <w:t>ge</w:t>
      </w:r>
      <w:r w:rsidRPr="007D4F79">
        <w:rPr>
          <w:spacing w:val="-2"/>
          <w:lang w:val="fr-FR"/>
        </w:rPr>
        <w:t>m</w:t>
      </w:r>
      <w:r w:rsidRPr="007D4F79">
        <w:rPr>
          <w:lang w:val="fr-FR"/>
        </w:rPr>
        <w:t>ent</w:t>
      </w:r>
      <w:r w:rsidRPr="007D4F79">
        <w:rPr>
          <w:spacing w:val="32"/>
          <w:lang w:val="fr-FR"/>
        </w:rPr>
        <w:t xml:space="preserve"> </w:t>
      </w:r>
      <w:r w:rsidRPr="007D4F79">
        <w:rPr>
          <w:lang w:val="fr-FR"/>
        </w:rPr>
        <w:t>en</w:t>
      </w:r>
      <w:r w:rsidRPr="007D4F79">
        <w:rPr>
          <w:spacing w:val="32"/>
          <w:lang w:val="fr-FR"/>
        </w:rPr>
        <w:t xml:space="preserve"> </w:t>
      </w:r>
      <w:r w:rsidRPr="007D4F79">
        <w:rPr>
          <w:lang w:val="fr-FR"/>
        </w:rPr>
        <w:t>faveur</w:t>
      </w:r>
      <w:r w:rsidRPr="007D4F79">
        <w:rPr>
          <w:spacing w:val="32"/>
          <w:lang w:val="fr-FR"/>
        </w:rPr>
        <w:t xml:space="preserve"> </w:t>
      </w:r>
      <w:r w:rsidRPr="007D4F79">
        <w:rPr>
          <w:lang w:val="fr-FR"/>
        </w:rPr>
        <w:t>de l</w:t>
      </w:r>
      <w:r w:rsidRPr="007D4F79">
        <w:rPr>
          <w:spacing w:val="-1"/>
          <w:lang w:val="fr-FR"/>
        </w:rPr>
        <w:t>'</w:t>
      </w:r>
      <w:r w:rsidRPr="007D4F79">
        <w:rPr>
          <w:lang w:val="fr-FR"/>
        </w:rPr>
        <w:t>expansion et du</w:t>
      </w:r>
      <w:r w:rsidRPr="007D4F79">
        <w:rPr>
          <w:spacing w:val="15"/>
          <w:lang w:val="fr-FR"/>
        </w:rPr>
        <w:t xml:space="preserve"> </w:t>
      </w:r>
      <w:r w:rsidRPr="007D4F79">
        <w:rPr>
          <w:lang w:val="fr-FR"/>
        </w:rPr>
        <w:t>d</w:t>
      </w:r>
      <w:r w:rsidRPr="007D4F79">
        <w:rPr>
          <w:spacing w:val="2"/>
          <w:lang w:val="fr-FR"/>
        </w:rPr>
        <w:t>é</w:t>
      </w:r>
      <w:r w:rsidRPr="007D4F79">
        <w:rPr>
          <w:lang w:val="fr-FR"/>
        </w:rPr>
        <w:t>veloppe</w:t>
      </w:r>
      <w:r w:rsidRPr="007D4F79">
        <w:rPr>
          <w:spacing w:val="-2"/>
          <w:lang w:val="fr-FR"/>
        </w:rPr>
        <w:t>m</w:t>
      </w:r>
      <w:r w:rsidRPr="007D4F79">
        <w:rPr>
          <w:lang w:val="fr-FR"/>
        </w:rPr>
        <w:t>ent des services de</w:t>
      </w:r>
      <w:r w:rsidRPr="007D4F79">
        <w:rPr>
          <w:spacing w:val="14"/>
          <w:lang w:val="fr-FR"/>
        </w:rPr>
        <w:t xml:space="preserve"> </w:t>
      </w:r>
      <w:r w:rsidRPr="007D4F79">
        <w:rPr>
          <w:lang w:val="fr-FR"/>
        </w:rPr>
        <w:t>télécom</w:t>
      </w:r>
      <w:r w:rsidRPr="007D4F79">
        <w:rPr>
          <w:spacing w:val="-2"/>
          <w:lang w:val="fr-FR"/>
        </w:rPr>
        <w:t>m</w:t>
      </w:r>
      <w:r w:rsidRPr="007D4F79">
        <w:rPr>
          <w:lang w:val="fr-FR"/>
        </w:rPr>
        <w:t>uni</w:t>
      </w:r>
      <w:r w:rsidRPr="007D4F79">
        <w:rPr>
          <w:spacing w:val="2"/>
          <w:lang w:val="fr-FR"/>
        </w:rPr>
        <w:t>c</w:t>
      </w:r>
      <w:r w:rsidRPr="007D4F79">
        <w:rPr>
          <w:lang w:val="fr-FR"/>
        </w:rPr>
        <w:t>ation dans</w:t>
      </w:r>
      <w:r w:rsidRPr="007D4F79">
        <w:rPr>
          <w:spacing w:val="14"/>
          <w:lang w:val="fr-FR"/>
        </w:rPr>
        <w:t xml:space="preserve"> </w:t>
      </w:r>
      <w:r w:rsidRPr="007D4F79">
        <w:rPr>
          <w:lang w:val="fr-FR"/>
        </w:rPr>
        <w:t>les pays en développe</w:t>
      </w:r>
      <w:r w:rsidRPr="007D4F79">
        <w:rPr>
          <w:spacing w:val="-2"/>
          <w:lang w:val="fr-FR"/>
        </w:rPr>
        <w:t>m</w:t>
      </w:r>
      <w:r w:rsidRPr="007D4F79">
        <w:rPr>
          <w:lang w:val="fr-FR"/>
        </w:rPr>
        <w:t>ent et du</w:t>
      </w:r>
      <w:r w:rsidRPr="007D4F79">
        <w:rPr>
          <w:spacing w:val="8"/>
          <w:lang w:val="fr-FR"/>
        </w:rPr>
        <w:t xml:space="preserve"> </w:t>
      </w:r>
      <w:r w:rsidRPr="007D4F79">
        <w:rPr>
          <w:lang w:val="fr-FR"/>
        </w:rPr>
        <w:t>renforce</w:t>
      </w:r>
      <w:r w:rsidRPr="007D4F79">
        <w:rPr>
          <w:spacing w:val="-2"/>
          <w:lang w:val="fr-FR"/>
        </w:rPr>
        <w:t>m</w:t>
      </w:r>
      <w:r w:rsidRPr="007D4F79">
        <w:rPr>
          <w:lang w:val="fr-FR"/>
        </w:rPr>
        <w:t>ent des</w:t>
      </w:r>
      <w:r w:rsidRPr="007D4F79">
        <w:rPr>
          <w:spacing w:val="8"/>
          <w:lang w:val="fr-FR"/>
        </w:rPr>
        <w:t xml:space="preserve"> </w:t>
      </w:r>
      <w:r w:rsidRPr="007D4F79">
        <w:rPr>
          <w:lang w:val="fr-FR"/>
        </w:rPr>
        <w:t xml:space="preserve">capacités de </w:t>
      </w:r>
      <w:r w:rsidRPr="007D4F79">
        <w:rPr>
          <w:spacing w:val="-2"/>
          <w:lang w:val="fr-FR"/>
        </w:rPr>
        <w:t>m</w:t>
      </w:r>
      <w:r w:rsidRPr="007D4F79">
        <w:rPr>
          <w:spacing w:val="1"/>
          <w:lang w:val="fr-FR"/>
        </w:rPr>
        <w:t>i</w:t>
      </w:r>
      <w:r w:rsidRPr="007D4F79">
        <w:rPr>
          <w:lang w:val="fr-FR"/>
        </w:rPr>
        <w:t>se</w:t>
      </w:r>
      <w:r w:rsidRPr="007D4F79">
        <w:rPr>
          <w:spacing w:val="8"/>
          <w:lang w:val="fr-FR"/>
        </w:rPr>
        <w:t xml:space="preserve"> </w:t>
      </w:r>
      <w:r w:rsidRPr="007D4F79">
        <w:rPr>
          <w:lang w:val="fr-FR"/>
        </w:rPr>
        <w:t>en</w:t>
      </w:r>
      <w:r w:rsidRPr="007D4F79">
        <w:rPr>
          <w:spacing w:val="8"/>
          <w:lang w:val="fr-FR"/>
        </w:rPr>
        <w:t xml:space="preserve"> </w:t>
      </w:r>
      <w:r w:rsidRPr="007D4F79">
        <w:rPr>
          <w:lang w:val="fr-FR"/>
        </w:rPr>
        <w:t>œuvre de services nouveaux et innovants,</w:t>
      </w:r>
    </w:p>
    <w:p w14:paraId="56C2CEAF" w14:textId="77777777" w:rsidR="00F4455D" w:rsidRPr="007D4F79" w:rsidRDefault="00F4455D" w:rsidP="00F4455D">
      <w:pPr>
        <w:pStyle w:val="Call"/>
        <w:spacing w:before="120"/>
        <w:rPr>
          <w:rFonts w:ascii="Calibri" w:hAnsi="Calibri"/>
          <w:lang w:val="fr-FR"/>
        </w:rPr>
      </w:pPr>
      <w:r w:rsidRPr="007D4F79">
        <w:rPr>
          <w:lang w:val="fr-FR"/>
        </w:rPr>
        <w:t>prenant</w:t>
      </w:r>
      <w:r w:rsidRPr="007D4F79">
        <w:rPr>
          <w:spacing w:val="-10"/>
          <w:lang w:val="fr-FR"/>
        </w:rPr>
        <w:t xml:space="preserve"> </w:t>
      </w:r>
      <w:r w:rsidRPr="007D4F79">
        <w:rPr>
          <w:lang w:val="fr-FR"/>
        </w:rPr>
        <w:t>note</w:t>
      </w:r>
    </w:p>
    <w:p w14:paraId="0A7FF5C8" w14:textId="77777777" w:rsidR="00F4455D" w:rsidRPr="007D4F79" w:rsidRDefault="00F4455D" w:rsidP="00F4455D">
      <w:pPr>
        <w:spacing w:before="80"/>
        <w:rPr>
          <w:lang w:val="fr-FR"/>
        </w:rPr>
      </w:pPr>
      <w:r w:rsidRPr="007D4F79">
        <w:rPr>
          <w:i/>
          <w:iCs/>
          <w:lang w:val="fr-FR"/>
        </w:rPr>
        <w:t>a)</w:t>
      </w:r>
      <w:r w:rsidRPr="007D4F79">
        <w:rPr>
          <w:lang w:val="fr-FR"/>
        </w:rPr>
        <w:tab/>
        <w:t>de la reconnaissance, par l</w:t>
      </w:r>
      <w:r w:rsidRPr="007D4F79">
        <w:rPr>
          <w:spacing w:val="-1"/>
          <w:lang w:val="fr-FR"/>
        </w:rPr>
        <w:t>'</w:t>
      </w:r>
      <w:r w:rsidRPr="007D4F79">
        <w:rPr>
          <w:lang w:val="fr-FR"/>
        </w:rPr>
        <w:t>A</w:t>
      </w:r>
      <w:r w:rsidRPr="007D4F79">
        <w:rPr>
          <w:spacing w:val="1"/>
          <w:lang w:val="fr-FR"/>
        </w:rPr>
        <w:t>s</w:t>
      </w:r>
      <w:r w:rsidRPr="007D4F79">
        <w:rPr>
          <w:lang w:val="fr-FR"/>
        </w:rPr>
        <w:t>se</w:t>
      </w:r>
      <w:r w:rsidRPr="007D4F79">
        <w:rPr>
          <w:spacing w:val="-2"/>
          <w:lang w:val="fr-FR"/>
        </w:rPr>
        <w:t>m</w:t>
      </w:r>
      <w:r w:rsidRPr="007D4F79">
        <w:rPr>
          <w:lang w:val="fr-FR"/>
        </w:rPr>
        <w:t>blée générale d</w:t>
      </w:r>
      <w:r w:rsidRPr="007D4F79">
        <w:rPr>
          <w:spacing w:val="-1"/>
          <w:lang w:val="fr-FR"/>
        </w:rPr>
        <w:t>e</w:t>
      </w:r>
      <w:r w:rsidRPr="007D4F79">
        <w:rPr>
          <w:lang w:val="fr-FR"/>
        </w:rPr>
        <w:t>s Nations Unies dans sa Résolution</w:t>
      </w:r>
      <w:r w:rsidRPr="007D4F79">
        <w:rPr>
          <w:spacing w:val="-1"/>
          <w:lang w:val="fr-FR"/>
        </w:rPr>
        <w:t> </w:t>
      </w:r>
      <w:r w:rsidRPr="007D4F79">
        <w:rPr>
          <w:lang w:val="fr-FR"/>
        </w:rPr>
        <w:t>56/37,</w:t>
      </w:r>
      <w:r w:rsidRPr="007D4F79">
        <w:rPr>
          <w:spacing w:val="31"/>
          <w:lang w:val="fr-FR"/>
        </w:rPr>
        <w:t xml:space="preserve"> </w:t>
      </w:r>
      <w:r w:rsidRPr="007D4F79">
        <w:rPr>
          <w:lang w:val="fr-FR"/>
        </w:rPr>
        <w:t>de</w:t>
      </w:r>
      <w:r w:rsidRPr="007D4F79">
        <w:rPr>
          <w:spacing w:val="31"/>
          <w:lang w:val="fr-FR"/>
        </w:rPr>
        <w:t xml:space="preserve"> </w:t>
      </w:r>
      <w:r w:rsidRPr="007D4F79">
        <w:rPr>
          <w:lang w:val="fr-FR"/>
        </w:rPr>
        <w:t>l</w:t>
      </w:r>
      <w:r w:rsidRPr="007D4F79">
        <w:rPr>
          <w:spacing w:val="-1"/>
          <w:lang w:val="fr-FR"/>
        </w:rPr>
        <w:t>'</w:t>
      </w:r>
      <w:r w:rsidRPr="007D4F79">
        <w:rPr>
          <w:lang w:val="fr-FR"/>
        </w:rPr>
        <w:t>adoption</w:t>
      </w:r>
      <w:r w:rsidRPr="007D4F79">
        <w:rPr>
          <w:spacing w:val="31"/>
          <w:lang w:val="fr-FR"/>
        </w:rPr>
        <w:t xml:space="preserve"> </w:t>
      </w:r>
      <w:r w:rsidRPr="007D4F79">
        <w:rPr>
          <w:lang w:val="fr-FR"/>
        </w:rPr>
        <w:t>par</w:t>
      </w:r>
      <w:r w:rsidRPr="007D4F79">
        <w:rPr>
          <w:spacing w:val="31"/>
          <w:lang w:val="fr-FR"/>
        </w:rPr>
        <w:t xml:space="preserve"> </w:t>
      </w:r>
      <w:r w:rsidRPr="007D4F79">
        <w:rPr>
          <w:lang w:val="fr-FR"/>
        </w:rPr>
        <w:t>l</w:t>
      </w:r>
      <w:r w:rsidRPr="007D4F79">
        <w:rPr>
          <w:spacing w:val="-1"/>
          <w:lang w:val="fr-FR"/>
        </w:rPr>
        <w:t>'</w:t>
      </w:r>
      <w:r w:rsidRPr="007D4F79">
        <w:rPr>
          <w:lang w:val="fr-FR"/>
        </w:rPr>
        <w:t>Asse</w:t>
      </w:r>
      <w:r w:rsidRPr="007D4F79">
        <w:rPr>
          <w:spacing w:val="-2"/>
          <w:lang w:val="fr-FR"/>
        </w:rPr>
        <w:t>m</w:t>
      </w:r>
      <w:r w:rsidRPr="007D4F79">
        <w:rPr>
          <w:spacing w:val="-1"/>
          <w:lang w:val="fr-FR"/>
        </w:rPr>
        <w:t>b</w:t>
      </w:r>
      <w:r w:rsidRPr="007D4F79">
        <w:rPr>
          <w:lang w:val="fr-FR"/>
        </w:rPr>
        <w:t>lée</w:t>
      </w:r>
      <w:r w:rsidRPr="007D4F79">
        <w:rPr>
          <w:spacing w:val="31"/>
          <w:lang w:val="fr-FR"/>
        </w:rPr>
        <w:t xml:space="preserve"> </w:t>
      </w:r>
      <w:r w:rsidRPr="007D4F79">
        <w:rPr>
          <w:lang w:val="fr-FR"/>
        </w:rPr>
        <w:t>des</w:t>
      </w:r>
      <w:r w:rsidRPr="007D4F79">
        <w:rPr>
          <w:spacing w:val="31"/>
          <w:lang w:val="fr-FR"/>
        </w:rPr>
        <w:t xml:space="preserve"> </w:t>
      </w:r>
      <w:r w:rsidRPr="007D4F79">
        <w:rPr>
          <w:lang w:val="fr-FR"/>
        </w:rPr>
        <w:t>chefs</w:t>
      </w:r>
      <w:r w:rsidRPr="007D4F79">
        <w:rPr>
          <w:spacing w:val="31"/>
          <w:lang w:val="fr-FR"/>
        </w:rPr>
        <w:t xml:space="preserve"> </w:t>
      </w:r>
      <w:r w:rsidRPr="007D4F79">
        <w:rPr>
          <w:lang w:val="fr-FR"/>
        </w:rPr>
        <w:t>d</w:t>
      </w:r>
      <w:r w:rsidRPr="007D4F79">
        <w:rPr>
          <w:spacing w:val="-1"/>
          <w:lang w:val="fr-FR"/>
        </w:rPr>
        <w:t>'</w:t>
      </w:r>
      <w:r w:rsidRPr="007D4F79">
        <w:rPr>
          <w:lang w:val="fr-FR"/>
        </w:rPr>
        <w:t>É</w:t>
      </w:r>
      <w:r w:rsidRPr="007D4F79">
        <w:rPr>
          <w:spacing w:val="2"/>
          <w:lang w:val="fr-FR"/>
        </w:rPr>
        <w:t>t</w:t>
      </w:r>
      <w:r w:rsidRPr="007D4F79">
        <w:rPr>
          <w:lang w:val="fr-FR"/>
        </w:rPr>
        <w:t>at</w:t>
      </w:r>
      <w:r w:rsidRPr="007D4F79">
        <w:rPr>
          <w:spacing w:val="31"/>
          <w:lang w:val="fr-FR"/>
        </w:rPr>
        <w:t xml:space="preserve"> </w:t>
      </w:r>
      <w:r w:rsidRPr="007D4F79">
        <w:rPr>
          <w:lang w:val="fr-FR"/>
        </w:rPr>
        <w:t>et</w:t>
      </w:r>
      <w:r w:rsidRPr="007D4F79">
        <w:rPr>
          <w:spacing w:val="31"/>
          <w:lang w:val="fr-FR"/>
        </w:rPr>
        <w:t xml:space="preserve"> </w:t>
      </w:r>
      <w:r w:rsidRPr="007D4F79">
        <w:rPr>
          <w:lang w:val="fr-FR"/>
        </w:rPr>
        <w:t>de</w:t>
      </w:r>
      <w:r w:rsidRPr="007D4F79">
        <w:rPr>
          <w:spacing w:val="31"/>
          <w:lang w:val="fr-FR"/>
        </w:rPr>
        <w:t xml:space="preserve"> </w:t>
      </w:r>
      <w:r w:rsidRPr="007D4F79">
        <w:rPr>
          <w:lang w:val="fr-FR"/>
        </w:rPr>
        <w:t>Gouverne</w:t>
      </w:r>
      <w:r w:rsidRPr="007D4F79">
        <w:rPr>
          <w:spacing w:val="-2"/>
          <w:lang w:val="fr-FR"/>
        </w:rPr>
        <w:t>m</w:t>
      </w:r>
      <w:r w:rsidRPr="007D4F79">
        <w:rPr>
          <w:lang w:val="fr-FR"/>
        </w:rPr>
        <w:t>ent</w:t>
      </w:r>
      <w:r w:rsidRPr="007D4F79">
        <w:rPr>
          <w:spacing w:val="31"/>
          <w:lang w:val="fr-FR"/>
        </w:rPr>
        <w:t xml:space="preserve"> </w:t>
      </w:r>
      <w:r w:rsidRPr="007D4F79">
        <w:rPr>
          <w:lang w:val="fr-FR"/>
        </w:rPr>
        <w:t>de l</w:t>
      </w:r>
      <w:r w:rsidRPr="007D4F79">
        <w:rPr>
          <w:spacing w:val="-1"/>
          <w:lang w:val="fr-FR"/>
        </w:rPr>
        <w:t>'</w:t>
      </w:r>
      <w:r w:rsidRPr="007D4F79">
        <w:rPr>
          <w:lang w:val="fr-FR"/>
        </w:rPr>
        <w:t>Organisation</w:t>
      </w:r>
      <w:r w:rsidRPr="007D4F79">
        <w:rPr>
          <w:spacing w:val="6"/>
          <w:lang w:val="fr-FR"/>
        </w:rPr>
        <w:t xml:space="preserve"> </w:t>
      </w:r>
      <w:r w:rsidRPr="007D4F79">
        <w:rPr>
          <w:lang w:val="fr-FR"/>
        </w:rPr>
        <w:t>de</w:t>
      </w:r>
      <w:r w:rsidRPr="007D4F79">
        <w:rPr>
          <w:spacing w:val="6"/>
          <w:lang w:val="fr-FR"/>
        </w:rPr>
        <w:t xml:space="preserve"> </w:t>
      </w:r>
      <w:r w:rsidRPr="007D4F79">
        <w:rPr>
          <w:lang w:val="fr-FR"/>
        </w:rPr>
        <w:t>l</w:t>
      </w:r>
      <w:r w:rsidRPr="007D4F79">
        <w:rPr>
          <w:spacing w:val="-1"/>
          <w:lang w:val="fr-FR"/>
        </w:rPr>
        <w:t>'</w:t>
      </w:r>
      <w:r w:rsidRPr="007D4F79">
        <w:rPr>
          <w:lang w:val="fr-FR"/>
        </w:rPr>
        <w:t>Uni</w:t>
      </w:r>
      <w:r w:rsidRPr="007D4F79">
        <w:rPr>
          <w:spacing w:val="2"/>
          <w:lang w:val="fr-FR"/>
        </w:rPr>
        <w:t>t</w:t>
      </w:r>
      <w:r w:rsidRPr="007D4F79">
        <w:rPr>
          <w:lang w:val="fr-FR"/>
        </w:rPr>
        <w:t>é</w:t>
      </w:r>
      <w:r w:rsidRPr="007D4F79">
        <w:rPr>
          <w:spacing w:val="6"/>
          <w:lang w:val="fr-FR"/>
        </w:rPr>
        <w:t xml:space="preserve"> </w:t>
      </w:r>
      <w:r w:rsidRPr="007D4F79">
        <w:rPr>
          <w:lang w:val="fr-FR"/>
        </w:rPr>
        <w:t>africaine</w:t>
      </w:r>
      <w:r w:rsidRPr="007D4F79">
        <w:rPr>
          <w:spacing w:val="6"/>
          <w:lang w:val="fr-FR"/>
        </w:rPr>
        <w:t xml:space="preserve"> </w:t>
      </w:r>
      <w:r w:rsidRPr="007D4F79">
        <w:rPr>
          <w:lang w:val="fr-FR"/>
        </w:rPr>
        <w:t>à</w:t>
      </w:r>
      <w:r w:rsidRPr="007D4F79">
        <w:rPr>
          <w:spacing w:val="6"/>
          <w:lang w:val="fr-FR"/>
        </w:rPr>
        <w:t xml:space="preserve"> </w:t>
      </w:r>
      <w:r w:rsidRPr="007D4F79">
        <w:rPr>
          <w:lang w:val="fr-FR"/>
        </w:rPr>
        <w:t>sa</w:t>
      </w:r>
      <w:r w:rsidRPr="007D4F79">
        <w:rPr>
          <w:spacing w:val="6"/>
          <w:lang w:val="fr-FR"/>
        </w:rPr>
        <w:t xml:space="preserve"> </w:t>
      </w:r>
      <w:r w:rsidRPr="007D4F79">
        <w:rPr>
          <w:lang w:val="fr-FR"/>
        </w:rPr>
        <w:t>37ème</w:t>
      </w:r>
      <w:r w:rsidRPr="007D4F79">
        <w:rPr>
          <w:spacing w:val="6"/>
          <w:lang w:val="fr-FR"/>
        </w:rPr>
        <w:t xml:space="preserve"> </w:t>
      </w:r>
      <w:r w:rsidRPr="007D4F79">
        <w:rPr>
          <w:lang w:val="fr-FR"/>
        </w:rPr>
        <w:t>session</w:t>
      </w:r>
      <w:r w:rsidRPr="007D4F79">
        <w:rPr>
          <w:spacing w:val="6"/>
          <w:lang w:val="fr-FR"/>
        </w:rPr>
        <w:t xml:space="preserve"> </w:t>
      </w:r>
      <w:r w:rsidRPr="007D4F79">
        <w:rPr>
          <w:lang w:val="fr-FR"/>
        </w:rPr>
        <w:t>ordinaire</w:t>
      </w:r>
      <w:r w:rsidRPr="007D4F79">
        <w:rPr>
          <w:spacing w:val="6"/>
          <w:lang w:val="fr-FR"/>
        </w:rPr>
        <w:t xml:space="preserve"> </w:t>
      </w:r>
      <w:r w:rsidRPr="007D4F79">
        <w:rPr>
          <w:lang w:val="fr-FR"/>
        </w:rPr>
        <w:t>à</w:t>
      </w:r>
      <w:r w:rsidRPr="007D4F79">
        <w:rPr>
          <w:spacing w:val="6"/>
          <w:lang w:val="fr-FR"/>
        </w:rPr>
        <w:t xml:space="preserve"> </w:t>
      </w:r>
      <w:r w:rsidRPr="007D4F79">
        <w:rPr>
          <w:lang w:val="fr-FR"/>
        </w:rPr>
        <w:t>Lusaka</w:t>
      </w:r>
      <w:r w:rsidRPr="007D4F79">
        <w:rPr>
          <w:spacing w:val="6"/>
          <w:lang w:val="fr-FR"/>
        </w:rPr>
        <w:t xml:space="preserve"> </w:t>
      </w:r>
      <w:r w:rsidRPr="007D4F79">
        <w:rPr>
          <w:lang w:val="fr-FR"/>
        </w:rPr>
        <w:t>en</w:t>
      </w:r>
      <w:r w:rsidRPr="007D4F79">
        <w:rPr>
          <w:spacing w:val="6"/>
          <w:lang w:val="fr-FR"/>
        </w:rPr>
        <w:t xml:space="preserve"> </w:t>
      </w:r>
      <w:r w:rsidRPr="007D4F79">
        <w:rPr>
          <w:lang w:val="fr-FR"/>
        </w:rPr>
        <w:t>juillet</w:t>
      </w:r>
      <w:r w:rsidRPr="007D4F79">
        <w:rPr>
          <w:spacing w:val="6"/>
          <w:lang w:val="fr-FR"/>
        </w:rPr>
        <w:t xml:space="preserve"> </w:t>
      </w:r>
      <w:r w:rsidRPr="007D4F79">
        <w:rPr>
          <w:lang w:val="fr-FR"/>
        </w:rPr>
        <w:t>2001</w:t>
      </w:r>
      <w:r w:rsidRPr="007D4F79">
        <w:rPr>
          <w:spacing w:val="6"/>
          <w:lang w:val="fr-FR"/>
        </w:rPr>
        <w:t xml:space="preserve"> </w:t>
      </w:r>
      <w:r w:rsidRPr="007D4F79">
        <w:rPr>
          <w:lang w:val="fr-FR"/>
        </w:rPr>
        <w:t>du Nouveau partenariat pour le dévelo</w:t>
      </w:r>
      <w:r w:rsidRPr="007D4F79">
        <w:rPr>
          <w:spacing w:val="-1"/>
          <w:lang w:val="fr-FR"/>
        </w:rPr>
        <w:t>p</w:t>
      </w:r>
      <w:r w:rsidRPr="007D4F79">
        <w:rPr>
          <w:lang w:val="fr-FR"/>
        </w:rPr>
        <w:t>pe</w:t>
      </w:r>
      <w:r w:rsidRPr="007D4F79">
        <w:rPr>
          <w:spacing w:val="-2"/>
          <w:lang w:val="fr-FR"/>
        </w:rPr>
        <w:t>m</w:t>
      </w:r>
      <w:r w:rsidRPr="007D4F79">
        <w:rPr>
          <w:lang w:val="fr-FR"/>
        </w:rPr>
        <w:t>ent de l'A</w:t>
      </w:r>
      <w:r w:rsidRPr="007D4F79">
        <w:rPr>
          <w:spacing w:val="-1"/>
          <w:lang w:val="fr-FR"/>
        </w:rPr>
        <w:t>f</w:t>
      </w:r>
      <w:r w:rsidRPr="007D4F79">
        <w:rPr>
          <w:lang w:val="fr-FR"/>
        </w:rPr>
        <w:t>rique (NEPAD);</w:t>
      </w:r>
    </w:p>
    <w:p w14:paraId="6A04A3D7" w14:textId="77777777" w:rsidR="00F4455D" w:rsidRPr="007D4F79" w:rsidRDefault="00F4455D" w:rsidP="00F4455D">
      <w:pPr>
        <w:spacing w:before="80"/>
        <w:rPr>
          <w:lang w:val="fr-FR"/>
        </w:rPr>
      </w:pPr>
      <w:r w:rsidRPr="007D4F79">
        <w:rPr>
          <w:i/>
          <w:iCs/>
          <w:lang w:val="fr-FR"/>
        </w:rPr>
        <w:t>b)</w:t>
      </w:r>
      <w:r w:rsidRPr="007D4F79">
        <w:rPr>
          <w:lang w:val="fr-FR"/>
        </w:rPr>
        <w:tab/>
        <w:t>des actions du NEPAD déc</w:t>
      </w:r>
      <w:r w:rsidRPr="007D4F79">
        <w:rPr>
          <w:spacing w:val="2"/>
          <w:lang w:val="fr-FR"/>
        </w:rPr>
        <w:t>r</w:t>
      </w:r>
      <w:r w:rsidRPr="007D4F79">
        <w:rPr>
          <w:lang w:val="fr-FR"/>
        </w:rPr>
        <w:t>ites dans l</w:t>
      </w:r>
      <w:r w:rsidRPr="007D4F79">
        <w:rPr>
          <w:spacing w:val="-1"/>
          <w:lang w:val="fr-FR"/>
        </w:rPr>
        <w:t>'</w:t>
      </w:r>
      <w:r w:rsidRPr="007D4F79">
        <w:rPr>
          <w:lang w:val="fr-FR"/>
        </w:rPr>
        <w:t>annexe de la présente Résolution;</w:t>
      </w:r>
    </w:p>
    <w:p w14:paraId="4F0E530F" w14:textId="77777777" w:rsidR="00F4455D" w:rsidRPr="007D4F79" w:rsidRDefault="00F4455D" w:rsidP="00F4455D">
      <w:pPr>
        <w:rPr>
          <w:lang w:val="fr-FR"/>
        </w:rPr>
      </w:pPr>
      <w:r w:rsidRPr="007D4F79">
        <w:rPr>
          <w:i/>
          <w:iCs/>
          <w:lang w:val="fr-FR"/>
        </w:rPr>
        <w:t>c)</w:t>
      </w:r>
      <w:r w:rsidRPr="007D4F79">
        <w:rPr>
          <w:lang w:val="fr-FR"/>
        </w:rPr>
        <w:tab/>
        <w:t>de</w:t>
      </w:r>
      <w:r w:rsidRPr="007D4F79">
        <w:rPr>
          <w:spacing w:val="8"/>
          <w:lang w:val="fr-FR"/>
        </w:rPr>
        <w:t xml:space="preserve"> </w:t>
      </w:r>
      <w:r w:rsidRPr="007D4F79">
        <w:rPr>
          <w:lang w:val="fr-FR"/>
        </w:rPr>
        <w:t>la</w:t>
      </w:r>
      <w:r w:rsidRPr="007D4F79">
        <w:rPr>
          <w:spacing w:val="8"/>
          <w:lang w:val="fr-FR"/>
        </w:rPr>
        <w:t xml:space="preserve"> </w:t>
      </w:r>
      <w:r w:rsidRPr="007D4F79">
        <w:rPr>
          <w:lang w:val="fr-FR"/>
        </w:rPr>
        <w:t>déclaration</w:t>
      </w:r>
      <w:r w:rsidRPr="007D4F79">
        <w:rPr>
          <w:spacing w:val="9"/>
          <w:lang w:val="fr-FR"/>
        </w:rPr>
        <w:t xml:space="preserve"> </w:t>
      </w:r>
      <w:r w:rsidRPr="007D4F79">
        <w:rPr>
          <w:lang w:val="fr-FR"/>
        </w:rPr>
        <w:t>du</w:t>
      </w:r>
      <w:r w:rsidRPr="007D4F79">
        <w:rPr>
          <w:spacing w:val="8"/>
          <w:lang w:val="fr-FR"/>
        </w:rPr>
        <w:t xml:space="preserve"> </w:t>
      </w:r>
      <w:r w:rsidRPr="007D4F79">
        <w:rPr>
          <w:lang w:val="fr-FR"/>
        </w:rPr>
        <w:t>Conseil</w:t>
      </w:r>
      <w:r w:rsidRPr="007D4F79">
        <w:rPr>
          <w:spacing w:val="8"/>
          <w:lang w:val="fr-FR"/>
        </w:rPr>
        <w:t xml:space="preserve"> </w:t>
      </w:r>
      <w:r w:rsidRPr="007D4F79">
        <w:rPr>
          <w:lang w:val="fr-FR"/>
        </w:rPr>
        <w:t>écon</w:t>
      </w:r>
      <w:r w:rsidRPr="007D4F79">
        <w:rPr>
          <w:spacing w:val="-1"/>
          <w:lang w:val="fr-FR"/>
        </w:rPr>
        <w:t>o</w:t>
      </w:r>
      <w:r w:rsidRPr="007D4F79">
        <w:rPr>
          <w:spacing w:val="-2"/>
          <w:lang w:val="fr-FR"/>
        </w:rPr>
        <w:t>m</w:t>
      </w:r>
      <w:r w:rsidRPr="007D4F79">
        <w:rPr>
          <w:spacing w:val="1"/>
          <w:lang w:val="fr-FR"/>
        </w:rPr>
        <w:t>i</w:t>
      </w:r>
      <w:r w:rsidRPr="007D4F79">
        <w:rPr>
          <w:lang w:val="fr-FR"/>
        </w:rPr>
        <w:t>que</w:t>
      </w:r>
      <w:r w:rsidRPr="007D4F79">
        <w:rPr>
          <w:spacing w:val="8"/>
          <w:lang w:val="fr-FR"/>
        </w:rPr>
        <w:t xml:space="preserve"> </w:t>
      </w:r>
      <w:r w:rsidRPr="007D4F79">
        <w:rPr>
          <w:lang w:val="fr-FR"/>
        </w:rPr>
        <w:t>et</w:t>
      </w:r>
      <w:r w:rsidRPr="007D4F79">
        <w:rPr>
          <w:spacing w:val="8"/>
          <w:lang w:val="fr-FR"/>
        </w:rPr>
        <w:t xml:space="preserve"> </w:t>
      </w:r>
      <w:r w:rsidRPr="007D4F79">
        <w:rPr>
          <w:lang w:val="fr-FR"/>
        </w:rPr>
        <w:t>s</w:t>
      </w:r>
      <w:r w:rsidRPr="007D4F79">
        <w:rPr>
          <w:spacing w:val="-1"/>
          <w:lang w:val="fr-FR"/>
        </w:rPr>
        <w:t>o</w:t>
      </w:r>
      <w:r w:rsidRPr="007D4F79">
        <w:rPr>
          <w:lang w:val="fr-FR"/>
        </w:rPr>
        <w:t>cial</w:t>
      </w:r>
      <w:r w:rsidRPr="007D4F79">
        <w:rPr>
          <w:spacing w:val="8"/>
          <w:lang w:val="fr-FR"/>
        </w:rPr>
        <w:t xml:space="preserve"> </w:t>
      </w:r>
      <w:r w:rsidRPr="007D4F79">
        <w:rPr>
          <w:lang w:val="fr-FR"/>
        </w:rPr>
        <w:t>sur</w:t>
      </w:r>
      <w:r w:rsidRPr="007D4F79">
        <w:rPr>
          <w:spacing w:val="8"/>
          <w:lang w:val="fr-FR"/>
        </w:rPr>
        <w:t xml:space="preserve"> </w:t>
      </w:r>
      <w:r w:rsidRPr="007D4F79">
        <w:rPr>
          <w:lang w:val="fr-FR"/>
        </w:rPr>
        <w:t>le</w:t>
      </w:r>
      <w:r w:rsidRPr="007D4F79">
        <w:rPr>
          <w:spacing w:val="8"/>
          <w:lang w:val="fr-FR"/>
        </w:rPr>
        <w:t xml:space="preserve"> </w:t>
      </w:r>
      <w:r w:rsidRPr="007D4F79">
        <w:rPr>
          <w:lang w:val="fr-FR"/>
        </w:rPr>
        <w:t>r</w:t>
      </w:r>
      <w:r w:rsidRPr="007D4F79">
        <w:rPr>
          <w:spacing w:val="-1"/>
          <w:lang w:val="fr-FR"/>
        </w:rPr>
        <w:t>ô</w:t>
      </w:r>
      <w:r w:rsidRPr="007D4F79">
        <w:rPr>
          <w:lang w:val="fr-FR"/>
        </w:rPr>
        <w:t>le</w:t>
      </w:r>
      <w:r w:rsidRPr="007D4F79">
        <w:rPr>
          <w:spacing w:val="9"/>
          <w:lang w:val="fr-FR"/>
        </w:rPr>
        <w:t xml:space="preserve"> </w:t>
      </w:r>
      <w:r w:rsidRPr="007D4F79">
        <w:rPr>
          <w:lang w:val="fr-FR"/>
        </w:rPr>
        <w:t>du</w:t>
      </w:r>
      <w:r w:rsidRPr="007D4F79">
        <w:rPr>
          <w:spacing w:val="8"/>
          <w:lang w:val="fr-FR"/>
        </w:rPr>
        <w:t xml:space="preserve"> </w:t>
      </w:r>
      <w:r w:rsidRPr="007D4F79">
        <w:rPr>
          <w:lang w:val="fr-FR"/>
        </w:rPr>
        <w:t>s</w:t>
      </w:r>
      <w:r w:rsidRPr="007D4F79">
        <w:rPr>
          <w:spacing w:val="-1"/>
          <w:lang w:val="fr-FR"/>
        </w:rPr>
        <w:t>y</w:t>
      </w:r>
      <w:r w:rsidRPr="007D4F79">
        <w:rPr>
          <w:lang w:val="fr-FR"/>
        </w:rPr>
        <w:t>stè</w:t>
      </w:r>
      <w:r w:rsidRPr="007D4F79">
        <w:rPr>
          <w:spacing w:val="-2"/>
          <w:lang w:val="fr-FR"/>
        </w:rPr>
        <w:t>m</w:t>
      </w:r>
      <w:r w:rsidRPr="007D4F79">
        <w:rPr>
          <w:lang w:val="fr-FR"/>
        </w:rPr>
        <w:t>e</w:t>
      </w:r>
      <w:r w:rsidRPr="007D4F79">
        <w:rPr>
          <w:spacing w:val="9"/>
          <w:lang w:val="fr-FR"/>
        </w:rPr>
        <w:t xml:space="preserve"> </w:t>
      </w:r>
      <w:r w:rsidRPr="007D4F79">
        <w:rPr>
          <w:lang w:val="fr-FR"/>
        </w:rPr>
        <w:t>des</w:t>
      </w:r>
      <w:r w:rsidRPr="007D4F79">
        <w:rPr>
          <w:spacing w:val="8"/>
          <w:lang w:val="fr-FR"/>
        </w:rPr>
        <w:t xml:space="preserve"> </w:t>
      </w:r>
      <w:r w:rsidRPr="007D4F79">
        <w:rPr>
          <w:lang w:val="fr-FR"/>
        </w:rPr>
        <w:t>Natio</w:t>
      </w:r>
      <w:r w:rsidRPr="007D4F79">
        <w:rPr>
          <w:spacing w:val="-1"/>
          <w:lang w:val="fr-FR"/>
        </w:rPr>
        <w:t>n</w:t>
      </w:r>
      <w:r w:rsidRPr="007D4F79">
        <w:rPr>
          <w:lang w:val="fr-FR"/>
        </w:rPr>
        <w:t>s</w:t>
      </w:r>
      <w:r w:rsidRPr="007D4F79">
        <w:rPr>
          <w:spacing w:val="8"/>
          <w:lang w:val="fr-FR"/>
        </w:rPr>
        <w:t xml:space="preserve"> </w:t>
      </w:r>
      <w:r w:rsidRPr="007D4F79">
        <w:rPr>
          <w:lang w:val="fr-FR"/>
        </w:rPr>
        <w:t>Unies dans l</w:t>
      </w:r>
      <w:r w:rsidRPr="007D4F79">
        <w:rPr>
          <w:spacing w:val="-1"/>
          <w:lang w:val="fr-FR"/>
        </w:rPr>
        <w:t>'</w:t>
      </w:r>
      <w:r w:rsidRPr="007D4F79">
        <w:rPr>
          <w:lang w:val="fr-FR"/>
        </w:rPr>
        <w:t>appui aux efforts déployés par les pays africains pour parvenir à un développe</w:t>
      </w:r>
      <w:r w:rsidRPr="007D4F79">
        <w:rPr>
          <w:spacing w:val="-2"/>
          <w:lang w:val="fr-FR"/>
        </w:rPr>
        <w:t>m</w:t>
      </w:r>
      <w:r w:rsidRPr="007D4F79">
        <w:rPr>
          <w:lang w:val="fr-FR"/>
        </w:rPr>
        <w:t>ent durable,</w:t>
      </w:r>
    </w:p>
    <w:p w14:paraId="73954C20" w14:textId="77777777" w:rsidR="00F4455D" w:rsidRPr="007D4F79" w:rsidRDefault="00F4455D" w:rsidP="00F4455D">
      <w:pPr>
        <w:pStyle w:val="Call"/>
        <w:rPr>
          <w:rFonts w:ascii="Calibri" w:hAnsi="Calibri"/>
          <w:lang w:val="fr-FR"/>
        </w:rPr>
      </w:pPr>
      <w:r w:rsidRPr="007D4F79">
        <w:rPr>
          <w:lang w:val="fr-FR"/>
        </w:rPr>
        <w:t>prenant connaissance</w:t>
      </w:r>
    </w:p>
    <w:p w14:paraId="4196541F" w14:textId="77777777" w:rsidR="00F4455D" w:rsidRPr="007D4F79" w:rsidRDefault="00F4455D" w:rsidP="00F4455D">
      <w:pPr>
        <w:rPr>
          <w:lang w:val="fr-FR"/>
        </w:rPr>
      </w:pPr>
      <w:r w:rsidRPr="007D4F79">
        <w:rPr>
          <w:i/>
          <w:iCs/>
          <w:lang w:val="fr-FR"/>
        </w:rPr>
        <w:t>a)</w:t>
      </w:r>
      <w:r w:rsidRPr="007D4F79">
        <w:rPr>
          <w:lang w:val="fr-FR"/>
        </w:rPr>
        <w:tab/>
        <w:t>des efforts actuellement déployés pour mettre en œuvre le Plan d'action régional africain pour l'économie du savoir (African Regional Action Plan for the Knowledge Economy – ARAPKE);</w:t>
      </w:r>
    </w:p>
    <w:p w14:paraId="3F2603B3" w14:textId="77777777" w:rsidR="00F4455D" w:rsidRPr="007D4F79" w:rsidRDefault="00F4455D" w:rsidP="00F4455D">
      <w:pPr>
        <w:rPr>
          <w:lang w:val="fr-FR"/>
        </w:rPr>
      </w:pPr>
      <w:r w:rsidRPr="007D4F79">
        <w:rPr>
          <w:i/>
          <w:iCs/>
          <w:lang w:val="fr-FR"/>
        </w:rPr>
        <w:t>b)</w:t>
      </w:r>
      <w:r w:rsidRPr="007D4F79">
        <w:rPr>
          <w:lang w:val="fr-FR"/>
        </w:rPr>
        <w:tab/>
        <w:t>de la demande formulée dans la Déclaration d'Addis-Abeba adoptée par les chefs d'État et de gouvernement lors de la 14ème Conférence de l'Union africaine, à l'effet d'élaborer un programme numérique africain;</w:t>
      </w:r>
    </w:p>
    <w:p w14:paraId="3068CD15" w14:textId="77777777" w:rsidR="00F4455D" w:rsidRPr="007D4F79" w:rsidRDefault="00F4455D" w:rsidP="00F4455D">
      <w:pPr>
        <w:rPr>
          <w:lang w:val="fr-FR"/>
        </w:rPr>
      </w:pPr>
      <w:r w:rsidRPr="007D4F79">
        <w:rPr>
          <w:i/>
          <w:iCs/>
          <w:lang w:val="fr-FR"/>
        </w:rPr>
        <w:t>c)</w:t>
      </w:r>
      <w:r w:rsidRPr="007D4F79">
        <w:rPr>
          <w:lang w:val="fr-FR"/>
        </w:rPr>
        <w:tab/>
        <w:t xml:space="preserve">de l'appel lancé par la Conférence visé au point </w:t>
      </w:r>
      <w:r w:rsidRPr="007D4F79">
        <w:rPr>
          <w:i/>
          <w:iCs/>
          <w:lang w:val="fr-FR"/>
        </w:rPr>
        <w:t>b)</w:t>
      </w:r>
      <w:r w:rsidRPr="007D4F79">
        <w:rPr>
          <w:lang w:val="fr-FR"/>
        </w:rPr>
        <w:t xml:space="preserve"> ci-dessus à l'intention des partenaires du développement, en particulier des institutions de financement, pour qu'ils intègrent les télécommunications/TIC dans leurs priorités, en leur accordant des conditions de financement analogues à celles accordées aux infrastructures de base d'utilité publique;</w:t>
      </w:r>
    </w:p>
    <w:p w14:paraId="3F907D6A" w14:textId="77777777" w:rsidR="00F4455D" w:rsidRPr="007D4F79" w:rsidRDefault="00F4455D" w:rsidP="00F4455D">
      <w:pPr>
        <w:rPr>
          <w:lang w:val="fr-FR"/>
        </w:rPr>
      </w:pPr>
      <w:r w:rsidRPr="007D4F79">
        <w:rPr>
          <w:i/>
          <w:iCs/>
          <w:lang w:val="fr-FR"/>
        </w:rPr>
        <w:t>d)</w:t>
      </w:r>
      <w:r w:rsidRPr="007D4F79">
        <w:rPr>
          <w:lang w:val="fr-FR"/>
        </w:rPr>
        <w:tab/>
        <w:t>de l'Agenda 2063 de l'Union africaine et du NEPAD;</w:t>
      </w:r>
    </w:p>
    <w:p w14:paraId="25281CBB" w14:textId="77777777" w:rsidR="00F4455D" w:rsidRPr="007D4F79" w:rsidRDefault="00F4455D" w:rsidP="00F4455D">
      <w:pPr>
        <w:rPr>
          <w:lang w:val="fr-FR"/>
        </w:rPr>
      </w:pPr>
      <w:r w:rsidRPr="007D4F79">
        <w:rPr>
          <w:i/>
          <w:iCs/>
          <w:lang w:val="fr-FR"/>
        </w:rPr>
        <w:t>e)</w:t>
      </w:r>
      <w:r w:rsidRPr="007D4F79">
        <w:rPr>
          <w:lang w:val="fr-FR"/>
        </w:rPr>
        <w:tab/>
        <w:t>des décisions prises par le Sommet "Connecter l'Afrique" tenu à Kigali en octobre 2007,</w:t>
      </w:r>
    </w:p>
    <w:p w14:paraId="0EE307E1" w14:textId="77777777" w:rsidR="00F4455D" w:rsidRDefault="00F4455D" w:rsidP="00F4455D">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36B20354" w14:textId="77777777" w:rsidR="00F4455D" w:rsidRPr="007D4F79" w:rsidRDefault="00F4455D" w:rsidP="00F4455D">
      <w:pPr>
        <w:pStyle w:val="Call"/>
        <w:rPr>
          <w:rFonts w:ascii="Calibri" w:hAnsi="Calibri"/>
          <w:lang w:val="fr-FR"/>
        </w:rPr>
      </w:pPr>
      <w:r w:rsidRPr="007D4F79">
        <w:rPr>
          <w:lang w:val="fr-FR"/>
        </w:rPr>
        <w:lastRenderedPageBreak/>
        <w:t>reconnaissant</w:t>
      </w:r>
    </w:p>
    <w:p w14:paraId="66367705" w14:textId="77777777" w:rsidR="00F4455D" w:rsidRPr="003B7429" w:rsidRDefault="00F4455D" w:rsidP="00F4455D">
      <w:pPr>
        <w:rPr>
          <w:lang w:val="fr-FR"/>
        </w:rPr>
      </w:pPr>
      <w:r w:rsidRPr="003B7429">
        <w:rPr>
          <w:lang w:val="fr-FR"/>
        </w:rPr>
        <w:t>que, malgré le développement et l'essor impressionnants des services d'infocommunication enregistrés en Afrique ces dernières années, de nombreux problèmes subsistent et que l'on continue à observer des disparités considérables dans la région ainsi qu'une aggravation de la fracture numérique,</w:t>
      </w:r>
    </w:p>
    <w:p w14:paraId="5280DBEC" w14:textId="77777777" w:rsidR="00F4455D" w:rsidRPr="007D4F79" w:rsidRDefault="00F4455D" w:rsidP="00F4455D">
      <w:pPr>
        <w:pStyle w:val="Call"/>
        <w:rPr>
          <w:lang w:val="fr-FR"/>
        </w:rPr>
      </w:pPr>
      <w:r w:rsidRPr="007D4F79">
        <w:rPr>
          <w:lang w:val="fr-FR"/>
        </w:rPr>
        <w:t>rappelant</w:t>
      </w:r>
    </w:p>
    <w:p w14:paraId="3481D629" w14:textId="77777777" w:rsidR="00F4455D" w:rsidRPr="003B7429" w:rsidRDefault="00F4455D" w:rsidP="00F4455D">
      <w:pPr>
        <w:rPr>
          <w:lang w:val="fr-FR"/>
        </w:rPr>
      </w:pPr>
      <w:r w:rsidRPr="003B7429">
        <w:rPr>
          <w:lang w:val="fr-FR"/>
        </w:rPr>
        <w:t>les objectifs du Sommet Connecter l'Afrique adoptés par les chefs d'États africains présents les 29 et 30 octobre 2007, qui reflètent les enjeux et les perspectives dans la région Afrique,</w:t>
      </w:r>
    </w:p>
    <w:p w14:paraId="7401AC2C" w14:textId="77777777" w:rsidR="00F4455D" w:rsidRPr="007D4F79" w:rsidRDefault="00F4455D" w:rsidP="00F4455D">
      <w:pPr>
        <w:pStyle w:val="Call"/>
        <w:rPr>
          <w:lang w:val="fr-FR"/>
        </w:rPr>
      </w:pPr>
      <w:r w:rsidRPr="007D4F79">
        <w:rPr>
          <w:lang w:val="fr-FR"/>
        </w:rPr>
        <w:t xml:space="preserve">décide de charger le Directeur du Bureau de développement des télécommunications </w:t>
      </w:r>
    </w:p>
    <w:p w14:paraId="7F37068C" w14:textId="77777777" w:rsidR="00F4455D" w:rsidRPr="003B7429" w:rsidRDefault="00F4455D" w:rsidP="00F4455D">
      <w:pPr>
        <w:rPr>
          <w:lang w:val="fr-FR"/>
        </w:rPr>
      </w:pPr>
      <w:r w:rsidRPr="003B7429">
        <w:rPr>
          <w:lang w:val="fr-FR"/>
        </w:rPr>
        <w:t>1</w:t>
      </w:r>
      <w:r w:rsidRPr="003B7429">
        <w:rPr>
          <w:lang w:val="fr-FR"/>
        </w:rPr>
        <w:tab/>
        <w:t>de mobiliser les ressources nécessaires à la mise en œuvre de la présente Résolution, qui complète les résolutions découlant de la 14ème Assemblée des chefs d'État et de Gouvernement de l'Union africaine tenue en février 2010 à Addis-Abeba sur le thème "Technologies de l'information et de la communication en Afrique: défis et perspectives pour le développement";</w:t>
      </w:r>
    </w:p>
    <w:p w14:paraId="7D031EB8" w14:textId="77777777" w:rsidR="00F4455D" w:rsidRPr="003B7429" w:rsidRDefault="00F4455D" w:rsidP="00F4455D">
      <w:pPr>
        <w:rPr>
          <w:szCs w:val="24"/>
          <w:lang w:val="fr-FR"/>
        </w:rPr>
      </w:pPr>
      <w:r w:rsidRPr="003B7429">
        <w:rPr>
          <w:lang w:val="fr-FR"/>
        </w:rPr>
        <w:t>2</w:t>
      </w:r>
      <w:r w:rsidRPr="003B7429">
        <w:rPr>
          <w:lang w:val="fr-FR"/>
        </w:rPr>
        <w:tab/>
        <w:t>d'accorder une attention particulière à la mise en œuvre du plan d'action de l'UIT-D en ce qui concerne les recommandations formulées dans le rapport intitulé "Cadre de</w:t>
      </w:r>
      <w:r w:rsidRPr="003B7429">
        <w:rPr>
          <w:spacing w:val="20"/>
          <w:lang w:val="fr-FR"/>
        </w:rPr>
        <w:t xml:space="preserve"> </w:t>
      </w:r>
      <w:r w:rsidRPr="003B7429">
        <w:rPr>
          <w:lang w:val="fr-FR"/>
        </w:rPr>
        <w:t>partenariat</w:t>
      </w:r>
      <w:r w:rsidRPr="003B7429">
        <w:rPr>
          <w:spacing w:val="21"/>
          <w:lang w:val="fr-FR"/>
        </w:rPr>
        <w:t xml:space="preserve"> </w:t>
      </w:r>
      <w:r w:rsidRPr="003B7429">
        <w:rPr>
          <w:lang w:val="fr-FR"/>
        </w:rPr>
        <w:t>pour</w:t>
      </w:r>
      <w:r w:rsidRPr="003B7429">
        <w:rPr>
          <w:spacing w:val="20"/>
          <w:lang w:val="fr-FR"/>
        </w:rPr>
        <w:t xml:space="preserve"> </w:t>
      </w:r>
      <w:r w:rsidRPr="003B7429">
        <w:rPr>
          <w:lang w:val="fr-FR"/>
        </w:rPr>
        <w:t>le</w:t>
      </w:r>
      <w:r w:rsidRPr="003B7429">
        <w:rPr>
          <w:spacing w:val="19"/>
          <w:lang w:val="fr-FR"/>
        </w:rPr>
        <w:t xml:space="preserve"> </w:t>
      </w:r>
      <w:r w:rsidRPr="003B7429">
        <w:rPr>
          <w:lang w:val="fr-FR"/>
        </w:rPr>
        <w:t>développe</w:t>
      </w:r>
      <w:r w:rsidRPr="003B7429">
        <w:rPr>
          <w:spacing w:val="-2"/>
          <w:lang w:val="fr-FR"/>
        </w:rPr>
        <w:t>m</w:t>
      </w:r>
      <w:r w:rsidRPr="003B7429">
        <w:rPr>
          <w:lang w:val="fr-FR"/>
        </w:rPr>
        <w:t>ent</w:t>
      </w:r>
      <w:r w:rsidRPr="003B7429">
        <w:rPr>
          <w:spacing w:val="20"/>
          <w:lang w:val="fr-FR"/>
        </w:rPr>
        <w:t xml:space="preserve"> </w:t>
      </w:r>
      <w:r w:rsidRPr="003B7429">
        <w:rPr>
          <w:lang w:val="fr-FR"/>
        </w:rPr>
        <w:t>des</w:t>
      </w:r>
      <w:r w:rsidRPr="003B7429">
        <w:rPr>
          <w:spacing w:val="20"/>
          <w:lang w:val="fr-FR"/>
        </w:rPr>
        <w:t xml:space="preserve"> </w:t>
      </w:r>
      <w:r w:rsidRPr="003B7429">
        <w:rPr>
          <w:lang w:val="fr-FR"/>
        </w:rPr>
        <w:t xml:space="preserve">infrastructures des TIC en Afrique", et de lui affecter les </w:t>
      </w:r>
      <w:r w:rsidRPr="003B7429">
        <w:rPr>
          <w:spacing w:val="-2"/>
          <w:lang w:val="fr-FR"/>
        </w:rPr>
        <w:t>m</w:t>
      </w:r>
      <w:r w:rsidRPr="003B7429">
        <w:rPr>
          <w:lang w:val="fr-FR"/>
        </w:rPr>
        <w:t>oy</w:t>
      </w:r>
      <w:r w:rsidRPr="003B7429">
        <w:rPr>
          <w:spacing w:val="1"/>
          <w:lang w:val="fr-FR"/>
        </w:rPr>
        <w:t>e</w:t>
      </w:r>
      <w:r w:rsidRPr="003B7429">
        <w:rPr>
          <w:lang w:val="fr-FR"/>
        </w:rPr>
        <w:t>ns per</w:t>
      </w:r>
      <w:r w:rsidRPr="003B7429">
        <w:rPr>
          <w:spacing w:val="-2"/>
          <w:lang w:val="fr-FR"/>
        </w:rPr>
        <w:t>m</w:t>
      </w:r>
      <w:r w:rsidRPr="003B7429">
        <w:rPr>
          <w:lang w:val="fr-FR"/>
        </w:rPr>
        <w:t>ettant d</w:t>
      </w:r>
      <w:r w:rsidRPr="003B7429">
        <w:rPr>
          <w:spacing w:val="-1"/>
          <w:lang w:val="fr-FR"/>
        </w:rPr>
        <w:t>'</w:t>
      </w:r>
      <w:r w:rsidRPr="003B7429">
        <w:rPr>
          <w:lang w:val="fr-FR"/>
        </w:rPr>
        <w:t>assurer un suivi</w:t>
      </w:r>
      <w:r w:rsidRPr="003B7429">
        <w:rPr>
          <w:szCs w:val="24"/>
          <w:lang w:val="fr-FR"/>
        </w:rPr>
        <w:t xml:space="preserve"> per</w:t>
      </w:r>
      <w:r w:rsidRPr="003B7429">
        <w:rPr>
          <w:spacing w:val="-2"/>
          <w:szCs w:val="24"/>
          <w:lang w:val="fr-FR"/>
        </w:rPr>
        <w:t>m</w:t>
      </w:r>
      <w:r w:rsidRPr="003B7429">
        <w:rPr>
          <w:spacing w:val="2"/>
          <w:szCs w:val="24"/>
          <w:lang w:val="fr-FR"/>
        </w:rPr>
        <w:t>a</w:t>
      </w:r>
      <w:r w:rsidRPr="003B7429">
        <w:rPr>
          <w:szCs w:val="24"/>
          <w:lang w:val="fr-FR"/>
        </w:rPr>
        <w:t>nent;</w:t>
      </w:r>
    </w:p>
    <w:p w14:paraId="7BBE6E67" w14:textId="77777777" w:rsidR="00F4455D" w:rsidRPr="003B7429" w:rsidRDefault="00F4455D" w:rsidP="00F4455D">
      <w:pPr>
        <w:rPr>
          <w:lang w:val="fr-FR"/>
        </w:rPr>
      </w:pPr>
      <w:r w:rsidRPr="003B7429">
        <w:rPr>
          <w:lang w:val="fr-FR"/>
        </w:rPr>
        <w:t>3</w:t>
      </w:r>
      <w:r w:rsidRPr="003B7429">
        <w:rPr>
          <w:lang w:val="fr-FR"/>
        </w:rPr>
        <w:tab/>
        <w:t xml:space="preserve">de continuer d'apporter un appui au Manifeste Smart Africa, conformément à la Résolution 195 (Busan, 2014) de la </w:t>
      </w:r>
      <w:r w:rsidRPr="003B7429">
        <w:rPr>
          <w:rFonts w:eastAsia="Malgun Gothic"/>
          <w:lang w:val="fr-FR"/>
        </w:rPr>
        <w:t>Conférence de plénipotentiaires</w:t>
      </w:r>
      <w:r w:rsidRPr="003B7429">
        <w:rPr>
          <w:lang w:val="fr-FR"/>
        </w:rPr>
        <w:t xml:space="preserve"> et de fournir des conseils techniques pour la réalisation d'études de faisabilité et la gestion des projets, aux fins de la mise en œuvre du Manifeste Smart Africa,</w:t>
      </w:r>
    </w:p>
    <w:p w14:paraId="539E6578" w14:textId="77777777" w:rsidR="00F4455D" w:rsidRPr="007D4F79" w:rsidRDefault="00F4455D" w:rsidP="00F4455D">
      <w:pPr>
        <w:pStyle w:val="Call"/>
        <w:rPr>
          <w:lang w:val="fr-FR"/>
        </w:rPr>
      </w:pPr>
      <w:r w:rsidRPr="007D4F79">
        <w:rPr>
          <w:lang w:val="fr-FR"/>
        </w:rPr>
        <w:t>charge le Secrétaire général</w:t>
      </w:r>
    </w:p>
    <w:p w14:paraId="7EA796C3" w14:textId="77777777" w:rsidR="00F4455D" w:rsidRPr="003B7429" w:rsidRDefault="00F4455D" w:rsidP="00F4455D">
      <w:pPr>
        <w:rPr>
          <w:lang w:val="fr-FR"/>
        </w:rPr>
      </w:pPr>
      <w:r w:rsidRPr="003B7429">
        <w:rPr>
          <w:lang w:val="fr-FR"/>
        </w:rPr>
        <w:t>1</w:t>
      </w:r>
      <w:r w:rsidRPr="003B7429">
        <w:rPr>
          <w:lang w:val="fr-FR"/>
        </w:rPr>
        <w:tab/>
        <w:t>d'inciter les différentes institutions des Nations Unies, dans leur domaine de compétence et conformément à leur mandat, à appuyer les différents volets des programmes Smart Africa;</w:t>
      </w:r>
    </w:p>
    <w:p w14:paraId="7E4FC5CD" w14:textId="77777777" w:rsidR="00F4455D" w:rsidRPr="003B7429" w:rsidRDefault="00F4455D" w:rsidP="00F4455D">
      <w:pPr>
        <w:rPr>
          <w:lang w:val="fr-FR"/>
        </w:rPr>
      </w:pPr>
      <w:r w:rsidRPr="003B7429">
        <w:rPr>
          <w:lang w:val="fr-FR"/>
        </w:rPr>
        <w:t>2</w:t>
      </w:r>
      <w:r w:rsidRPr="003B7429">
        <w:rPr>
          <w:lang w:val="fr-FR"/>
        </w:rPr>
        <w:tab/>
        <w:t>de mobiliser un appui financier auprès des réseaux existants, y compris les radiodiffuseurs, les fournisseurs de satellites, etc.,</w:t>
      </w:r>
    </w:p>
    <w:p w14:paraId="55643931" w14:textId="77777777" w:rsidR="00F4455D" w:rsidRPr="007D4F79" w:rsidRDefault="00F4455D" w:rsidP="00F4455D">
      <w:pPr>
        <w:pStyle w:val="Call"/>
        <w:rPr>
          <w:lang w:val="fr-FR"/>
        </w:rPr>
      </w:pPr>
      <w:r w:rsidRPr="007D4F79">
        <w:rPr>
          <w:lang w:val="fr-FR"/>
        </w:rPr>
        <w:t>invite les États Membres</w:t>
      </w:r>
    </w:p>
    <w:p w14:paraId="00F2E00D" w14:textId="77777777" w:rsidR="00F4455D" w:rsidRPr="003B7429" w:rsidRDefault="00F4455D" w:rsidP="00F4455D">
      <w:pPr>
        <w:rPr>
          <w:lang w:val="fr-FR"/>
        </w:rPr>
      </w:pPr>
      <w:r w:rsidRPr="003B7429">
        <w:rPr>
          <w:lang w:val="fr-FR"/>
        </w:rPr>
        <w:t>1</w:t>
      </w:r>
      <w:r w:rsidRPr="003B7429">
        <w:rPr>
          <w:lang w:val="fr-FR"/>
        </w:rPr>
        <w:tab/>
        <w:t>à coopérer avec les pays africains pour encourager la réalisation de projets régionaux, sous</w:t>
      </w:r>
      <w:r w:rsidRPr="003B7429">
        <w:rPr>
          <w:lang w:val="fr-FR"/>
        </w:rPr>
        <w:noBreakHyphen/>
        <w:t>régionaux, multilatéraux ou bilatéraux, aux fins de la mise en œuvre du Manifeste Smart Africa;</w:t>
      </w:r>
    </w:p>
    <w:p w14:paraId="0089FEA3" w14:textId="77777777" w:rsidR="00F4455D" w:rsidRPr="003B7429" w:rsidRDefault="00F4455D" w:rsidP="00F4455D">
      <w:pPr>
        <w:rPr>
          <w:lang w:val="fr-FR"/>
        </w:rPr>
      </w:pPr>
      <w:r w:rsidRPr="003B7429">
        <w:rPr>
          <w:lang w:val="fr-FR"/>
        </w:rPr>
        <w:t>2</w:t>
      </w:r>
      <w:r w:rsidRPr="003B7429">
        <w:rPr>
          <w:lang w:val="fr-FR"/>
        </w:rPr>
        <w:tab/>
        <w:t>à porter la présente Résolution à l'attention de la Conférence de plénipotentiaires (Dubaï, 2018) pour qu'elle l'examine</w:t>
      </w:r>
      <w:r w:rsidRPr="003B7429">
        <w:rPr>
          <w:rFonts w:eastAsia="Batang"/>
          <w:lang w:val="fr-FR"/>
        </w:rPr>
        <w:t xml:space="preserve"> et dégage les moyens financiers nécessaires à sa mise en œuvre</w:t>
      </w:r>
      <w:r w:rsidRPr="003B7429">
        <w:rPr>
          <w:lang w:val="fr-FR"/>
        </w:rPr>
        <w:t>.</w:t>
      </w:r>
      <w:r w:rsidRPr="003B7429">
        <w:rPr>
          <w:lang w:val="fr-FR"/>
        </w:rPr>
        <w:br w:type="page"/>
      </w:r>
    </w:p>
    <w:p w14:paraId="48FA5143" w14:textId="77777777" w:rsidR="00F4455D" w:rsidRPr="007D4F79" w:rsidRDefault="00F4455D" w:rsidP="00F4455D">
      <w:pPr>
        <w:pStyle w:val="AnnexNo"/>
        <w:rPr>
          <w:lang w:val="fr-FR"/>
        </w:rPr>
      </w:pPr>
      <w:r w:rsidRPr="007D4F79">
        <w:rPr>
          <w:lang w:val="fr-FR"/>
        </w:rPr>
        <w:lastRenderedPageBreak/>
        <w:t xml:space="preserve">ANNEXE </w:t>
      </w:r>
      <w:r w:rsidRPr="007D4F79">
        <w:rPr>
          <w:szCs w:val="24"/>
          <w:lang w:val="fr-FR"/>
        </w:rPr>
        <w:t xml:space="preserve">DE LA </w:t>
      </w:r>
      <w:r w:rsidRPr="007D4F79">
        <w:rPr>
          <w:lang w:val="fr-FR"/>
        </w:rPr>
        <w:t>RÉSOLUTION 75 (</w:t>
      </w:r>
      <w:r w:rsidRPr="007D4F79">
        <w:rPr>
          <w:caps w:val="0"/>
          <w:lang w:val="fr-FR"/>
        </w:rPr>
        <w:t>Rév. Buenos Aires, 2017</w:t>
      </w:r>
      <w:r w:rsidRPr="007D4F79">
        <w:rPr>
          <w:lang w:val="fr-FR"/>
        </w:rPr>
        <w:t>)</w:t>
      </w:r>
    </w:p>
    <w:p w14:paraId="460C5675" w14:textId="77777777" w:rsidR="00F4455D" w:rsidRPr="007D4F79" w:rsidRDefault="00F4455D" w:rsidP="00F4455D">
      <w:pPr>
        <w:pStyle w:val="Annextitle"/>
        <w:rPr>
          <w:lang w:val="fr-FR"/>
        </w:rPr>
      </w:pPr>
      <w:bookmarkStart w:id="2" w:name="_Toc116542416"/>
      <w:r w:rsidRPr="007D4F79">
        <w:rPr>
          <w:lang w:val="fr-FR"/>
        </w:rPr>
        <w:t>Recommandations du rapport "Cadre de partenariat pour le développement des infrastructures des TIC en Afrique"</w:t>
      </w:r>
      <w:bookmarkEnd w:id="2"/>
    </w:p>
    <w:p w14:paraId="625DB34C" w14:textId="77777777" w:rsidR="00F4455D" w:rsidRPr="007D4F79" w:rsidRDefault="00F4455D" w:rsidP="00F4455D">
      <w:pPr>
        <w:pStyle w:val="Heading1"/>
        <w:rPr>
          <w:lang w:val="fr-FR"/>
        </w:rPr>
      </w:pPr>
      <w:bookmarkStart w:id="3" w:name="_Toc116542417"/>
      <w:r w:rsidRPr="007D4F79">
        <w:rPr>
          <w:lang w:val="fr-FR"/>
        </w:rPr>
        <w:t>1</w:t>
      </w:r>
      <w:r w:rsidRPr="007D4F79">
        <w:rPr>
          <w:lang w:val="fr-FR"/>
        </w:rPr>
        <w:tab/>
        <w:t>Infrastructure</w:t>
      </w:r>
      <w:bookmarkEnd w:id="3"/>
    </w:p>
    <w:p w14:paraId="3FB460EC" w14:textId="77777777" w:rsidR="00F4455D" w:rsidRPr="007D4F79" w:rsidRDefault="00F4455D" w:rsidP="00F4455D">
      <w:pPr>
        <w:pStyle w:val="enumlev1"/>
        <w:rPr>
          <w:lang w:val="fr-FR"/>
        </w:rPr>
      </w:pPr>
      <w:r w:rsidRPr="007D4F79">
        <w:rPr>
          <w:lang w:val="fr-FR"/>
        </w:rPr>
        <w:t>i)</w:t>
      </w:r>
      <w:r w:rsidRPr="007D4F79">
        <w:rPr>
          <w:lang w:val="fr-FR"/>
        </w:rPr>
        <w:tab/>
        <w:t>Appuyer le Comité ministériel africain de l'Union africaine pour la mise en place du Forum de coordination interinstitutions (FCI)</w:t>
      </w:r>
    </w:p>
    <w:p w14:paraId="05F7104F" w14:textId="77777777" w:rsidR="00F4455D" w:rsidRPr="007D4F79" w:rsidRDefault="00F4455D" w:rsidP="00F4455D">
      <w:pPr>
        <w:pStyle w:val="enumlev1"/>
        <w:rPr>
          <w:lang w:val="fr-FR"/>
        </w:rPr>
      </w:pPr>
      <w:r w:rsidRPr="007D4F79">
        <w:rPr>
          <w:lang w:val="fr-FR"/>
        </w:rPr>
        <w:t>ii)</w:t>
      </w:r>
      <w:r w:rsidRPr="007D4F79">
        <w:rPr>
          <w:lang w:val="fr-FR"/>
        </w:rPr>
        <w:tab/>
        <w:t>Élaborer des plans directeurs pour le développement des infrastructures TIC (PIDA)</w:t>
      </w:r>
    </w:p>
    <w:p w14:paraId="7239609E" w14:textId="77777777" w:rsidR="00F4455D" w:rsidRPr="007D4F79" w:rsidRDefault="00F4455D" w:rsidP="00F4455D">
      <w:pPr>
        <w:pStyle w:val="enumlev1"/>
        <w:rPr>
          <w:lang w:val="fr-FR"/>
        </w:rPr>
      </w:pPr>
      <w:r w:rsidRPr="007D4F79">
        <w:rPr>
          <w:lang w:val="fr-FR"/>
        </w:rPr>
        <w:t>iii)</w:t>
      </w:r>
      <w:r w:rsidRPr="007D4F79">
        <w:rPr>
          <w:lang w:val="fr-FR"/>
        </w:rPr>
        <w:tab/>
        <w:t>Faciliter la mise en œuvre des techniques numériques, en particulier pour la radiodiffusion</w:t>
      </w:r>
    </w:p>
    <w:p w14:paraId="1E3C76E6" w14:textId="77777777" w:rsidR="00F4455D" w:rsidRPr="007D4F79" w:rsidRDefault="00F4455D" w:rsidP="00F4455D">
      <w:pPr>
        <w:pStyle w:val="enumlev1"/>
        <w:rPr>
          <w:lang w:val="fr-FR"/>
        </w:rPr>
      </w:pPr>
      <w:r w:rsidRPr="007D4F79">
        <w:rPr>
          <w:lang w:val="fr-FR"/>
        </w:rPr>
        <w:t>iv)</w:t>
      </w:r>
      <w:r w:rsidRPr="007D4F79">
        <w:rPr>
          <w:lang w:val="fr-FR"/>
        </w:rPr>
        <w:tab/>
        <w:t>Appuyer tous les projets contribuant au développement des TIC et à l'intégration sous</w:t>
      </w:r>
      <w:r w:rsidRPr="007D4F79">
        <w:rPr>
          <w:lang w:val="fr-FR"/>
        </w:rPr>
        <w:noBreakHyphen/>
        <w:t>régionale et régionale, par exemple le projet EASSY (système de câbles sous-marins de l'Afrique de l'Est), l'initiative "écoles en ligne" du NEPAD, le volet télécommunications/TIC du Programme pour le développement des infrastructures en Afrique (PIDA), le projet RASCOM, le projet e-Poste Afrique, les projets COMTEL, SRII, INTELCOM II, ARAPKE, etc.</w:t>
      </w:r>
    </w:p>
    <w:p w14:paraId="10AA25CE" w14:textId="77777777" w:rsidR="00F4455D" w:rsidRPr="007D4F79" w:rsidRDefault="00F4455D" w:rsidP="00F4455D">
      <w:pPr>
        <w:pStyle w:val="enumlev1"/>
        <w:rPr>
          <w:lang w:val="fr-FR"/>
        </w:rPr>
      </w:pPr>
      <w:r w:rsidRPr="007D4F79">
        <w:rPr>
          <w:lang w:val="fr-FR"/>
        </w:rPr>
        <w:t>v)</w:t>
      </w:r>
      <w:r w:rsidRPr="007D4F79">
        <w:rPr>
          <w:lang w:val="fr-FR"/>
        </w:rPr>
        <w:tab/>
        <w:t>Assurer la mise en place et l'interconnexion des points d'échange Internet nationaux</w:t>
      </w:r>
    </w:p>
    <w:p w14:paraId="6A7917EA" w14:textId="77777777" w:rsidR="00F4455D" w:rsidRPr="007D4F79" w:rsidRDefault="00F4455D" w:rsidP="00F4455D">
      <w:pPr>
        <w:pStyle w:val="enumlev1"/>
        <w:rPr>
          <w:lang w:val="fr-FR"/>
        </w:rPr>
      </w:pPr>
      <w:r w:rsidRPr="007D4F79">
        <w:rPr>
          <w:lang w:val="fr-FR"/>
        </w:rPr>
        <w:t>vi)</w:t>
      </w:r>
      <w:r w:rsidRPr="007D4F79">
        <w:rPr>
          <w:lang w:val="fr-FR"/>
        </w:rPr>
        <w:tab/>
        <w:t>Évaluer les incidences et l'adoption de mesures de renforcement des capacités fonctionnelles ainsi que les nouvelles missions des centres sous-régionaux de maintenance</w:t>
      </w:r>
    </w:p>
    <w:p w14:paraId="4297622B" w14:textId="77777777" w:rsidR="00F4455D" w:rsidRPr="007D4F79" w:rsidRDefault="00F4455D" w:rsidP="00F4455D">
      <w:pPr>
        <w:pStyle w:val="enumlev1"/>
        <w:rPr>
          <w:lang w:val="fr-FR"/>
        </w:rPr>
      </w:pPr>
      <w:r w:rsidRPr="007D4F79">
        <w:rPr>
          <w:lang w:val="fr-FR"/>
        </w:rPr>
        <w:t>vii)</w:t>
      </w:r>
      <w:r w:rsidRPr="007D4F79">
        <w:rPr>
          <w:lang w:val="fr-FR"/>
        </w:rPr>
        <w:tab/>
        <w:t>Encourager les alliances technologiques, pour favoriser les activités de recherche</w:t>
      </w:r>
      <w:r w:rsidRPr="007D4F79">
        <w:rPr>
          <w:lang w:val="fr-FR"/>
        </w:rPr>
        <w:noBreakHyphen/>
        <w:t>développement sur le plan régional</w:t>
      </w:r>
    </w:p>
    <w:p w14:paraId="449DF69E" w14:textId="77777777" w:rsidR="00F4455D" w:rsidRPr="007D4F79" w:rsidRDefault="00F4455D" w:rsidP="00F4455D">
      <w:pPr>
        <w:pStyle w:val="Heading1"/>
        <w:rPr>
          <w:lang w:val="fr-FR"/>
        </w:rPr>
      </w:pPr>
      <w:bookmarkStart w:id="4" w:name="_Toc116542418"/>
      <w:r w:rsidRPr="007D4F79">
        <w:rPr>
          <w:lang w:val="fr-FR"/>
        </w:rPr>
        <w:t>2</w:t>
      </w:r>
      <w:r w:rsidRPr="007D4F79">
        <w:rPr>
          <w:lang w:val="fr-FR"/>
        </w:rPr>
        <w:tab/>
        <w:t>Environnement</w:t>
      </w:r>
      <w:bookmarkEnd w:id="4"/>
    </w:p>
    <w:p w14:paraId="7B0AF3EC" w14:textId="77777777" w:rsidR="00F4455D" w:rsidRPr="007D4F79" w:rsidRDefault="00F4455D" w:rsidP="00F4455D">
      <w:pPr>
        <w:pStyle w:val="Headingb"/>
        <w:rPr>
          <w:lang w:val="fr-FR"/>
        </w:rPr>
      </w:pPr>
      <w:r w:rsidRPr="007D4F79">
        <w:rPr>
          <w:lang w:val="fr-FR"/>
        </w:rPr>
        <w:t>Développement et mise en œuvre</w:t>
      </w:r>
    </w:p>
    <w:p w14:paraId="6E3C8D7B" w14:textId="77777777" w:rsidR="00F4455D" w:rsidRPr="007D4F79" w:rsidRDefault="00F4455D" w:rsidP="00F4455D">
      <w:pPr>
        <w:pStyle w:val="enumlev1"/>
        <w:rPr>
          <w:lang w:val="fr-FR"/>
        </w:rPr>
      </w:pPr>
      <w:r w:rsidRPr="007D4F79">
        <w:rPr>
          <w:lang w:val="fr-FR"/>
        </w:rPr>
        <w:t>i)</w:t>
      </w:r>
      <w:r w:rsidRPr="007D4F79">
        <w:rPr>
          <w:lang w:val="fr-FR"/>
        </w:rPr>
        <w:tab/>
        <w:t>Définir, à l'échelle du continent, une vision, une stratégie et un plan d'action pour les TIC</w:t>
      </w:r>
    </w:p>
    <w:p w14:paraId="240CA57D" w14:textId="77777777" w:rsidR="00F4455D" w:rsidRPr="007D4F79" w:rsidRDefault="00F4455D" w:rsidP="00F4455D">
      <w:pPr>
        <w:pStyle w:val="enumlev1"/>
        <w:rPr>
          <w:lang w:val="fr-FR"/>
        </w:rPr>
      </w:pPr>
      <w:r w:rsidRPr="007D4F79">
        <w:rPr>
          <w:lang w:val="fr-FR"/>
        </w:rPr>
        <w:t>ii)</w:t>
      </w:r>
      <w:r w:rsidRPr="007D4F79">
        <w:rPr>
          <w:lang w:val="fr-FR"/>
        </w:rPr>
        <w:tab/>
        <w:t>Définir une vision et des stratégies nationales pour le développement des TIC, harmonisées de façon optimale avec les autres stratégies nationales de développement, notamment le Document de stratégie de réduction de la pauvreté (DSRP)</w:t>
      </w:r>
    </w:p>
    <w:p w14:paraId="1435855A" w14:textId="77777777" w:rsidR="00F4455D" w:rsidRPr="007D4F79" w:rsidRDefault="00F4455D" w:rsidP="00F4455D">
      <w:pPr>
        <w:pStyle w:val="enumlev1"/>
        <w:rPr>
          <w:lang w:val="fr-FR"/>
        </w:rPr>
      </w:pPr>
      <w:r w:rsidRPr="007D4F79">
        <w:rPr>
          <w:lang w:val="fr-FR"/>
        </w:rPr>
        <w:t>iii)</w:t>
      </w:r>
      <w:r w:rsidRPr="007D4F79">
        <w:rPr>
          <w:lang w:val="fr-FR"/>
        </w:rPr>
        <w:tab/>
        <w:t>Élaborer à l'échelle nationale un cadre politique et une stratégie en matière d'accès universel</w:t>
      </w:r>
    </w:p>
    <w:p w14:paraId="64499879" w14:textId="77777777" w:rsidR="00F4455D" w:rsidRDefault="00F4455D" w:rsidP="00F4455D">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766B3E6F" w14:textId="77777777" w:rsidR="00F4455D" w:rsidRPr="007D4F79" w:rsidRDefault="00F4455D" w:rsidP="00F4455D">
      <w:pPr>
        <w:pStyle w:val="enumlev1"/>
        <w:rPr>
          <w:lang w:val="fr-FR"/>
        </w:rPr>
      </w:pPr>
      <w:r w:rsidRPr="007D4F79">
        <w:rPr>
          <w:lang w:val="fr-FR"/>
        </w:rPr>
        <w:lastRenderedPageBreak/>
        <w:t>iv)</w:t>
      </w:r>
      <w:r w:rsidRPr="007D4F79">
        <w:rPr>
          <w:lang w:val="fr-FR"/>
        </w:rPr>
        <w:tab/>
        <w:t>Fournir un appui pour l'harmonisation des cadres en matière de réglementation, à l'échelle sous-régionale</w:t>
      </w:r>
    </w:p>
    <w:p w14:paraId="0B47186C" w14:textId="77777777" w:rsidR="00F4455D" w:rsidRPr="007D4F79" w:rsidRDefault="00F4455D" w:rsidP="00F4455D">
      <w:pPr>
        <w:pStyle w:val="Heading1"/>
        <w:rPr>
          <w:lang w:val="fr-FR"/>
        </w:rPr>
      </w:pPr>
      <w:bookmarkStart w:id="5" w:name="_Toc116542419"/>
      <w:r w:rsidRPr="007D4F79">
        <w:rPr>
          <w:lang w:val="fr-FR"/>
        </w:rPr>
        <w:t>3</w:t>
      </w:r>
      <w:r w:rsidRPr="007D4F79">
        <w:rPr>
          <w:lang w:val="fr-FR"/>
        </w:rPr>
        <w:tab/>
        <w:t>Renforcement des capacités, coopération et partenariats</w:t>
      </w:r>
      <w:bookmarkEnd w:id="5"/>
    </w:p>
    <w:p w14:paraId="41809085" w14:textId="77777777" w:rsidR="00F4455D" w:rsidRPr="007D4F79" w:rsidRDefault="00F4455D" w:rsidP="00F4455D">
      <w:pPr>
        <w:pStyle w:val="enumlev1"/>
        <w:rPr>
          <w:lang w:val="fr-FR"/>
        </w:rPr>
      </w:pPr>
      <w:r w:rsidRPr="007D4F79">
        <w:rPr>
          <w:lang w:val="fr-FR"/>
        </w:rPr>
        <w:t>i)</w:t>
      </w:r>
      <w:r w:rsidRPr="007D4F79">
        <w:rPr>
          <w:lang w:val="fr-FR"/>
        </w:rPr>
        <w:tab/>
        <w:t>Faciliter la planification et la gestion des fréquences aux niveaux national, sous-régional et régional</w:t>
      </w:r>
    </w:p>
    <w:p w14:paraId="7C351B60" w14:textId="77777777" w:rsidR="00F4455D" w:rsidRPr="007D4F79" w:rsidRDefault="00F4455D" w:rsidP="00F4455D">
      <w:pPr>
        <w:pStyle w:val="enumlev1"/>
        <w:rPr>
          <w:lang w:val="fr-FR"/>
        </w:rPr>
      </w:pPr>
      <w:r w:rsidRPr="007D4F79">
        <w:rPr>
          <w:lang w:val="fr-FR"/>
        </w:rPr>
        <w:t>ii)</w:t>
      </w:r>
      <w:r w:rsidRPr="007D4F79">
        <w:rPr>
          <w:lang w:val="fr-FR"/>
        </w:rPr>
        <w:tab/>
        <w:t>Faciliter le renforcement des instituts de formation aux TIC et du réseau de centres d'excellence dans la région</w:t>
      </w:r>
    </w:p>
    <w:p w14:paraId="1C6822A5" w14:textId="77777777" w:rsidR="00F4455D" w:rsidRPr="007D4F79" w:rsidRDefault="00F4455D" w:rsidP="00F4455D">
      <w:pPr>
        <w:pStyle w:val="enumlev1"/>
        <w:rPr>
          <w:lang w:val="fr-FR"/>
        </w:rPr>
      </w:pPr>
      <w:r w:rsidRPr="007D4F79">
        <w:rPr>
          <w:lang w:val="fr-FR"/>
        </w:rPr>
        <w:t>iii)</w:t>
      </w:r>
      <w:r w:rsidRPr="007D4F79">
        <w:rPr>
          <w:lang w:val="fr-FR"/>
        </w:rPr>
        <w:tab/>
        <w:t>Établir un mécanisme de coopération entre les institutions régionales qui fournissent aux pays africains une aide au développement dans le secteur des TIC</w:t>
      </w:r>
    </w:p>
    <w:p w14:paraId="6205D5A7" w14:textId="77777777" w:rsidR="00F4455D" w:rsidRPr="007D4F79" w:rsidRDefault="00F4455D" w:rsidP="00F4455D">
      <w:pPr>
        <w:pStyle w:val="enumlev1"/>
        <w:rPr>
          <w:lang w:val="fr-FR"/>
        </w:rPr>
      </w:pPr>
      <w:r w:rsidRPr="007D4F79">
        <w:rPr>
          <w:lang w:val="fr-FR"/>
        </w:rPr>
        <w:t>iv)</w:t>
      </w:r>
      <w:r w:rsidRPr="007D4F79">
        <w:rPr>
          <w:lang w:val="fr-FR"/>
        </w:rPr>
        <w:tab/>
        <w:t>Définir une approche régionale ou multinationale pour la fourniture de l'aide</w:t>
      </w:r>
    </w:p>
    <w:p w14:paraId="14E24CF9" w14:textId="77777777" w:rsidR="00F4455D" w:rsidRPr="007D4F79" w:rsidRDefault="00F4455D" w:rsidP="00F4455D">
      <w:pPr>
        <w:pStyle w:val="enumlev1"/>
        <w:rPr>
          <w:lang w:val="fr-FR"/>
        </w:rPr>
      </w:pPr>
      <w:r w:rsidRPr="007D4F79">
        <w:rPr>
          <w:lang w:val="fr-FR"/>
        </w:rPr>
        <w:t>v)</w:t>
      </w:r>
      <w:r w:rsidRPr="007D4F79">
        <w:rPr>
          <w:lang w:val="fr-FR"/>
        </w:rPr>
        <w:tab/>
        <w:t>Mettre en place un groupe ad hoc de réflexion régional sur les TIC pour l'Afrique</w:t>
      </w:r>
    </w:p>
    <w:p w14:paraId="48AFB61D" w14:textId="77777777" w:rsidR="00F4455D" w:rsidRPr="007D4F79" w:rsidRDefault="00F4455D" w:rsidP="00F4455D">
      <w:pPr>
        <w:pStyle w:val="enumlev1"/>
        <w:rPr>
          <w:lang w:val="fr-FR"/>
        </w:rPr>
      </w:pPr>
      <w:r w:rsidRPr="007D4F79">
        <w:rPr>
          <w:lang w:val="fr-FR"/>
        </w:rPr>
        <w:t>vi)</w:t>
      </w:r>
      <w:r w:rsidRPr="007D4F79">
        <w:rPr>
          <w:lang w:val="fr-FR"/>
        </w:rPr>
        <w:tab/>
        <w:t>Renforcer les associations sous-régionales de régulateurs des télécommunications</w:t>
      </w:r>
    </w:p>
    <w:p w14:paraId="17EA3F38" w14:textId="77777777" w:rsidR="00F4455D" w:rsidRPr="007D4F79" w:rsidRDefault="00F4455D" w:rsidP="00F4455D">
      <w:pPr>
        <w:pStyle w:val="enumlev1"/>
        <w:rPr>
          <w:lang w:val="fr-FR"/>
        </w:rPr>
      </w:pPr>
      <w:r w:rsidRPr="007D4F79">
        <w:rPr>
          <w:lang w:val="fr-FR"/>
        </w:rPr>
        <w:t>vii)</w:t>
      </w:r>
      <w:r w:rsidRPr="007D4F79">
        <w:rPr>
          <w:lang w:val="fr-FR"/>
        </w:rPr>
        <w:tab/>
        <w:t>Renforcer les partenariats secteur public/secteur privé</w:t>
      </w:r>
    </w:p>
    <w:p w14:paraId="1088022A" w14:textId="77777777" w:rsidR="00F4455D" w:rsidRPr="007D4F79" w:rsidRDefault="00F4455D" w:rsidP="00F4455D">
      <w:pPr>
        <w:pStyle w:val="enumlev1"/>
        <w:rPr>
          <w:lang w:val="fr-FR"/>
        </w:rPr>
      </w:pPr>
      <w:r w:rsidRPr="007D4F79">
        <w:rPr>
          <w:lang w:val="fr-FR"/>
        </w:rPr>
        <w:t>viii)</w:t>
      </w:r>
      <w:r w:rsidRPr="007D4F79">
        <w:rPr>
          <w:lang w:val="fr-FR"/>
        </w:rPr>
        <w:tab/>
        <w:t>Créer une base de données africaine sur les TIC</w:t>
      </w:r>
    </w:p>
    <w:p w14:paraId="4CC7CF49" w14:textId="77777777" w:rsidR="00F4455D" w:rsidRPr="007D4F79" w:rsidRDefault="00F4455D" w:rsidP="00F4455D">
      <w:pPr>
        <w:pStyle w:val="enumlev1"/>
        <w:rPr>
          <w:lang w:val="fr-FR"/>
        </w:rPr>
      </w:pPr>
      <w:r w:rsidRPr="007D4F79">
        <w:rPr>
          <w:lang w:val="fr-FR"/>
        </w:rPr>
        <w:t>ix)</w:t>
      </w:r>
      <w:r w:rsidRPr="007D4F79">
        <w:rPr>
          <w:lang w:val="fr-FR"/>
        </w:rPr>
        <w:tab/>
        <w:t>Renforcer les capacités des communautés économiques régionales en vue d'une meilleure exécution des projets et initiatives TIC.</w:t>
      </w:r>
    </w:p>
    <w:p w14:paraId="28680F0B" w14:textId="77777777" w:rsidR="00F4455D" w:rsidRPr="007D4F79" w:rsidRDefault="00F4455D" w:rsidP="00F4455D">
      <w:pPr>
        <w:pStyle w:val="Reasons"/>
        <w:rPr>
          <w:lang w:val="fr-FR"/>
        </w:rPr>
      </w:pPr>
    </w:p>
    <w:p w14:paraId="3B15E593" w14:textId="77777777" w:rsidR="00F4455D" w:rsidRPr="007D4F79" w:rsidRDefault="00F4455D" w:rsidP="00F4455D">
      <w:pPr>
        <w:pStyle w:val="Reasons"/>
        <w:rPr>
          <w:lang w:val="fr-FR"/>
        </w:rPr>
      </w:pPr>
    </w:p>
    <w:p w14:paraId="5215044E" w14:textId="77777777" w:rsidR="00F4455D" w:rsidRPr="007D4F79" w:rsidRDefault="00F4455D" w:rsidP="00F4455D">
      <w:pPr>
        <w:pStyle w:val="Reasons"/>
        <w:rPr>
          <w:lang w:val="fr-FR"/>
        </w:rPr>
      </w:pPr>
    </w:p>
    <w:p w14:paraId="0B52FE41" w14:textId="77777777" w:rsidR="00F4455D" w:rsidRPr="007D4F79" w:rsidRDefault="00F4455D" w:rsidP="00F4455D">
      <w:pPr>
        <w:tabs>
          <w:tab w:val="clear" w:pos="1134"/>
          <w:tab w:val="clear" w:pos="1871"/>
          <w:tab w:val="clear" w:pos="2268"/>
        </w:tabs>
        <w:overflowPunct/>
        <w:autoSpaceDE/>
        <w:autoSpaceDN/>
        <w:adjustRightInd/>
        <w:spacing w:before="0"/>
        <w:textAlignment w:val="auto"/>
        <w:rPr>
          <w:lang w:val="fr-FR"/>
        </w:rPr>
      </w:pPr>
    </w:p>
    <w:p w14:paraId="09F0B5E5" w14:textId="77777777" w:rsidR="00F4455D" w:rsidRPr="007D4F79" w:rsidRDefault="00F4455D" w:rsidP="00F4455D">
      <w:pPr>
        <w:tabs>
          <w:tab w:val="clear" w:pos="1134"/>
          <w:tab w:val="clear" w:pos="1871"/>
          <w:tab w:val="clear" w:pos="2268"/>
        </w:tabs>
        <w:overflowPunct/>
        <w:autoSpaceDE/>
        <w:autoSpaceDN/>
        <w:adjustRightInd/>
        <w:spacing w:before="0"/>
        <w:textAlignment w:val="auto"/>
        <w:rPr>
          <w:lang w:val="fr-FR"/>
        </w:rPr>
      </w:pPr>
    </w:p>
    <w:p w14:paraId="727EC118" w14:textId="77777777" w:rsidR="00F4455D" w:rsidRPr="007D4F79" w:rsidRDefault="00F4455D" w:rsidP="00F4455D">
      <w:pPr>
        <w:tabs>
          <w:tab w:val="clear" w:pos="1134"/>
          <w:tab w:val="clear" w:pos="1871"/>
          <w:tab w:val="clear" w:pos="2268"/>
        </w:tabs>
        <w:overflowPunct/>
        <w:autoSpaceDE/>
        <w:autoSpaceDN/>
        <w:adjustRightInd/>
        <w:spacing w:before="0"/>
        <w:textAlignment w:val="auto"/>
        <w:rPr>
          <w:lang w:val="fr-FR"/>
        </w:rPr>
      </w:pPr>
    </w:p>
    <w:p w14:paraId="03C2AAB0" w14:textId="77777777" w:rsidR="00F4455D" w:rsidRPr="007D4F79" w:rsidRDefault="00F4455D" w:rsidP="00F4455D">
      <w:pPr>
        <w:tabs>
          <w:tab w:val="clear" w:pos="1134"/>
          <w:tab w:val="clear" w:pos="1871"/>
          <w:tab w:val="clear" w:pos="2268"/>
        </w:tabs>
        <w:overflowPunct/>
        <w:autoSpaceDE/>
        <w:autoSpaceDN/>
        <w:adjustRightInd/>
        <w:spacing w:before="0"/>
        <w:textAlignment w:val="auto"/>
        <w:rPr>
          <w:lang w:val="fr-FR"/>
        </w:rPr>
      </w:pPr>
    </w:p>
    <w:p w14:paraId="5E1AC3E1" w14:textId="77777777" w:rsidR="00F4455D" w:rsidRPr="007D4F79" w:rsidRDefault="00F4455D" w:rsidP="00F4455D">
      <w:pPr>
        <w:tabs>
          <w:tab w:val="clear" w:pos="1134"/>
          <w:tab w:val="clear" w:pos="1871"/>
          <w:tab w:val="clear" w:pos="2268"/>
        </w:tabs>
        <w:overflowPunct/>
        <w:autoSpaceDE/>
        <w:autoSpaceDN/>
        <w:adjustRightInd/>
        <w:spacing w:before="0"/>
        <w:textAlignment w:val="auto"/>
        <w:rPr>
          <w:lang w:val="fr-FR"/>
        </w:rPr>
      </w:pPr>
    </w:p>
    <w:p w14:paraId="56743F4D" w14:textId="77777777" w:rsidR="00F16487" w:rsidRDefault="00F16487"/>
    <w:sectPr w:rsidR="00F16487" w:rsidSect="00F4455D">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D016" w14:textId="77777777" w:rsidR="00F4455D" w:rsidRDefault="00F4455D" w:rsidP="00F4455D">
      <w:pPr>
        <w:spacing w:before="0" w:after="0"/>
      </w:pPr>
      <w:r>
        <w:separator/>
      </w:r>
    </w:p>
  </w:endnote>
  <w:endnote w:type="continuationSeparator" w:id="0">
    <w:p w14:paraId="3B4D8F9A" w14:textId="77777777" w:rsidR="00F4455D" w:rsidRDefault="00F4455D" w:rsidP="00F445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3F5B" w14:textId="77777777" w:rsidR="00F4455D" w:rsidRDefault="00F4455D" w:rsidP="00F4455D">
      <w:pPr>
        <w:spacing w:before="0" w:after="0"/>
      </w:pPr>
      <w:r>
        <w:separator/>
      </w:r>
    </w:p>
  </w:footnote>
  <w:footnote w:type="continuationSeparator" w:id="0">
    <w:p w14:paraId="08FEA809" w14:textId="77777777" w:rsidR="00F4455D" w:rsidRDefault="00F4455D" w:rsidP="00F4455D">
      <w:pPr>
        <w:spacing w:before="0" w:after="0"/>
      </w:pPr>
      <w:r>
        <w:continuationSeparator/>
      </w:r>
    </w:p>
  </w:footnote>
  <w:footnote w:id="1">
    <w:p w14:paraId="43D97371" w14:textId="77777777" w:rsidR="00F4455D" w:rsidRPr="006D1583" w:rsidRDefault="00F4455D" w:rsidP="00F4455D">
      <w:pPr>
        <w:pStyle w:val="FootnoteText"/>
        <w:rPr>
          <w:lang w:val="fr-CH"/>
        </w:rPr>
      </w:pPr>
      <w:r w:rsidRPr="003B7429">
        <w:rPr>
          <w:rStyle w:val="FootnoteReference"/>
          <w:lang w:val="fr-FR"/>
        </w:rPr>
        <w:t>1</w:t>
      </w:r>
      <w:r w:rsidRPr="003B7429">
        <w:rPr>
          <w:lang w:val="fr-FR"/>
        </w:rPr>
        <w:t xml:space="preserve"> </w:t>
      </w:r>
      <w:r>
        <w:rPr>
          <w:lang w:val="fr-CH"/>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133754558"/>
      <w:docPartObj>
        <w:docPartGallery w:val="Page Numbers (Top of Page)"/>
        <w:docPartUnique/>
      </w:docPartObj>
    </w:sdtPr>
    <w:sdtEndPr>
      <w:rPr>
        <w:noProof/>
      </w:rPr>
    </w:sdtEndPr>
    <w:sdtContent>
      <w:p w14:paraId="61606ED8" w14:textId="2AC46FDE" w:rsidR="00F4455D" w:rsidRPr="00F4455D" w:rsidRDefault="00F4455D" w:rsidP="00F4455D">
        <w:pPr>
          <w:tabs>
            <w:tab w:val="left" w:pos="426"/>
            <w:tab w:val="left" w:pos="851"/>
          </w:tabs>
          <w:spacing w:before="0"/>
          <w:jc w:val="left"/>
          <w:rPr>
            <w:rFonts w:ascii="Calibri" w:hAnsi="Calibri"/>
            <w:sz w:val="16"/>
            <w:szCs w:val="16"/>
            <w:lang w:val="fr-FR"/>
          </w:rPr>
        </w:pPr>
        <w:r w:rsidRPr="00236342">
          <w:rPr>
            <w:rFonts w:ascii="Calibri" w:hAnsi="Calibri"/>
            <w:sz w:val="16"/>
            <w:szCs w:val="16"/>
          </w:rPr>
          <w:fldChar w:fldCharType="begin"/>
        </w:r>
        <w:r w:rsidRPr="00236342">
          <w:rPr>
            <w:rFonts w:ascii="Calibri" w:hAnsi="Calibri"/>
            <w:sz w:val="16"/>
            <w:szCs w:val="16"/>
            <w:lang w:val="fr-FR"/>
          </w:rPr>
          <w:instrText xml:space="preserve"> PAGE   \* MERGEFORMAT </w:instrText>
        </w:r>
        <w:r w:rsidRPr="00236342">
          <w:rPr>
            <w:rFonts w:ascii="Calibri" w:hAnsi="Calibri"/>
            <w:sz w:val="16"/>
            <w:szCs w:val="16"/>
          </w:rPr>
          <w:fldChar w:fldCharType="separate"/>
        </w:r>
        <w:r>
          <w:rPr>
            <w:rFonts w:ascii="Calibri" w:hAnsi="Calibri"/>
            <w:sz w:val="16"/>
            <w:szCs w:val="16"/>
          </w:rPr>
          <w:t>2</w:t>
        </w:r>
        <w:r w:rsidRPr="00236342">
          <w:rPr>
            <w:rFonts w:ascii="Calibri" w:hAnsi="Calibri"/>
            <w:noProof/>
            <w:sz w:val="16"/>
            <w:szCs w:val="16"/>
          </w:rPr>
          <w:fldChar w:fldCharType="end"/>
        </w:r>
        <w:r w:rsidRPr="00236342">
          <w:rPr>
            <w:rFonts w:ascii="Calibri" w:hAnsi="Calibri"/>
            <w:sz w:val="16"/>
            <w:szCs w:val="16"/>
            <w:lang w:val="fr-FR"/>
          </w:rPr>
          <w:tab/>
          <w:t>Rapport final de la CMDT-22 – Partie IV – Résolution 7</w:t>
        </w:r>
        <w:r>
          <w:rPr>
            <w:rFonts w:ascii="Calibri" w:hAnsi="Calibri"/>
            <w:sz w:val="16"/>
            <w:szCs w:val="16"/>
            <w:lang w:val="fr-FR"/>
          </w:rPr>
          <w:t>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508359410"/>
      <w:docPartObj>
        <w:docPartGallery w:val="Page Numbers (Top of Page)"/>
        <w:docPartUnique/>
      </w:docPartObj>
    </w:sdtPr>
    <w:sdtEndPr>
      <w:rPr>
        <w:noProof/>
      </w:rPr>
    </w:sdtEndPr>
    <w:sdtContent>
      <w:p w14:paraId="3610BA4A" w14:textId="3532F1DB" w:rsidR="00F4455D" w:rsidRPr="007B0FE6" w:rsidRDefault="00F4455D" w:rsidP="00F4455D">
        <w:pPr>
          <w:tabs>
            <w:tab w:val="clear" w:pos="1134"/>
            <w:tab w:val="clear" w:pos="1871"/>
            <w:tab w:val="clear" w:pos="2268"/>
            <w:tab w:val="left" w:pos="5387"/>
            <w:tab w:val="left" w:pos="9356"/>
          </w:tabs>
          <w:spacing w:before="0"/>
          <w:jc w:val="right"/>
          <w:rPr>
            <w:rFonts w:ascii="Calibri" w:hAnsi="Calibri"/>
            <w:sz w:val="16"/>
            <w:szCs w:val="16"/>
            <w:lang w:val="fr-FR"/>
          </w:rPr>
        </w:pPr>
        <w:r w:rsidRPr="007B0FE6">
          <w:rPr>
            <w:rFonts w:ascii="Calibri" w:hAnsi="Calibri"/>
            <w:sz w:val="16"/>
            <w:szCs w:val="16"/>
            <w:lang w:val="fr-FR"/>
          </w:rPr>
          <w:tab/>
          <w:t xml:space="preserve">Rapport final de la CMDT-22 – Partie IV – Résolution </w:t>
        </w:r>
        <w:r>
          <w:rPr>
            <w:rFonts w:ascii="Calibri" w:hAnsi="Calibri"/>
            <w:sz w:val="16"/>
            <w:szCs w:val="16"/>
            <w:lang w:val="fr-FR"/>
          </w:rPr>
          <w:t>75</w:t>
        </w:r>
        <w:r w:rsidRPr="007B0FE6">
          <w:rPr>
            <w:rFonts w:ascii="Calibri" w:hAnsi="Calibri"/>
            <w:sz w:val="16"/>
            <w:szCs w:val="16"/>
            <w:lang w:val="fr-FR"/>
          </w:rPr>
          <w:tab/>
        </w:r>
        <w:r w:rsidRPr="007B0FE6">
          <w:rPr>
            <w:rFonts w:ascii="Calibri" w:hAnsi="Calibri"/>
            <w:sz w:val="16"/>
            <w:szCs w:val="16"/>
          </w:rPr>
          <w:fldChar w:fldCharType="begin"/>
        </w:r>
        <w:r w:rsidRPr="007B0FE6">
          <w:rPr>
            <w:rFonts w:ascii="Calibri" w:hAnsi="Calibri"/>
            <w:sz w:val="16"/>
            <w:szCs w:val="16"/>
            <w:lang w:val="fr-FR"/>
          </w:rPr>
          <w:instrText xml:space="preserve"> PAGE   \* MERGEFORMAT </w:instrText>
        </w:r>
        <w:r w:rsidRPr="007B0FE6">
          <w:rPr>
            <w:rFonts w:ascii="Calibri" w:hAnsi="Calibri"/>
            <w:sz w:val="16"/>
            <w:szCs w:val="16"/>
          </w:rPr>
          <w:fldChar w:fldCharType="separate"/>
        </w:r>
        <w:r>
          <w:rPr>
            <w:rFonts w:ascii="Calibri" w:hAnsi="Calibri"/>
            <w:sz w:val="16"/>
            <w:szCs w:val="16"/>
          </w:rPr>
          <w:t>1</w:t>
        </w:r>
        <w:r w:rsidRPr="007B0FE6">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5D"/>
    <w:rsid w:val="00400A99"/>
    <w:rsid w:val="0045258F"/>
    <w:rsid w:val="004A0B3D"/>
    <w:rsid w:val="0051703C"/>
    <w:rsid w:val="005C0E4B"/>
    <w:rsid w:val="007359FB"/>
    <w:rsid w:val="0076311C"/>
    <w:rsid w:val="008630CC"/>
    <w:rsid w:val="00950AD1"/>
    <w:rsid w:val="009E6BCE"/>
    <w:rsid w:val="00DC1DAE"/>
    <w:rsid w:val="00F06AC3"/>
    <w:rsid w:val="00F16487"/>
    <w:rsid w:val="00F4455D"/>
    <w:rsid w:val="00F77CE1"/>
    <w:rsid w:val="00F91D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8748"/>
  <w15:chartTrackingRefBased/>
  <w15:docId w15:val="{9137BE2F-3495-4E56-B567-23DC1B43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55D"/>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paragraph" w:styleId="Heading1">
    <w:name w:val="heading 1"/>
    <w:basedOn w:val="Normal"/>
    <w:next w:val="Normal"/>
    <w:link w:val="Heading1Char"/>
    <w:qFormat/>
    <w:rsid w:val="00F4455D"/>
    <w:pPr>
      <w:keepNext/>
      <w:keepLines/>
      <w:spacing w:before="280"/>
      <w:ind w:left="1134" w:hanging="1134"/>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55D"/>
    <w:rPr>
      <w:rFonts w:eastAsia="Times New Roman" w:cs="Times New Roman"/>
      <w:b/>
      <w:sz w:val="28"/>
      <w:szCs w:val="20"/>
      <w:lang w:val="en-GB"/>
    </w:rPr>
  </w:style>
  <w:style w:type="paragraph" w:customStyle="1" w:styleId="AnnexNo">
    <w:name w:val="Annex_No"/>
    <w:basedOn w:val="Normal"/>
    <w:next w:val="Normal"/>
    <w:rsid w:val="00F4455D"/>
    <w:pPr>
      <w:keepNext/>
      <w:keepLines/>
      <w:spacing w:before="480" w:after="80"/>
      <w:jc w:val="center"/>
    </w:pPr>
    <w:rPr>
      <w:caps/>
      <w:sz w:val="28"/>
    </w:rPr>
  </w:style>
  <w:style w:type="paragraph" w:customStyle="1" w:styleId="Annextitle">
    <w:name w:val="Annex_title"/>
    <w:basedOn w:val="Normal"/>
    <w:next w:val="Normal"/>
    <w:rsid w:val="00F4455D"/>
    <w:pPr>
      <w:keepNext/>
      <w:keepLines/>
      <w:spacing w:before="240" w:after="280"/>
      <w:jc w:val="center"/>
      <w:outlineLvl w:val="0"/>
    </w:pPr>
    <w:rPr>
      <w:b/>
      <w:sz w:val="28"/>
    </w:rPr>
  </w:style>
  <w:style w:type="paragraph" w:customStyle="1" w:styleId="Call">
    <w:name w:val="Call"/>
    <w:basedOn w:val="Normal"/>
    <w:next w:val="Normal"/>
    <w:rsid w:val="00F4455D"/>
    <w:pPr>
      <w:keepNext/>
      <w:keepLines/>
      <w:spacing w:before="160"/>
      <w:ind w:left="1134"/>
    </w:pPr>
    <w:rPr>
      <w:i/>
    </w:rPr>
  </w:style>
  <w:style w:type="paragraph" w:customStyle="1" w:styleId="enumlev1">
    <w:name w:val="enumlev1"/>
    <w:basedOn w:val="Normal"/>
    <w:link w:val="enumlev1Char"/>
    <w:rsid w:val="00F4455D"/>
    <w:pPr>
      <w:tabs>
        <w:tab w:val="clear" w:pos="2268"/>
        <w:tab w:val="left" w:pos="2608"/>
        <w:tab w:val="left" w:pos="3345"/>
      </w:tabs>
      <w:spacing w:before="40"/>
      <w:ind w:left="1134" w:hanging="1134"/>
    </w:pPr>
  </w:style>
  <w:style w:type="character" w:styleId="FootnoteReference">
    <w:name w:val="footnote reference"/>
    <w:basedOn w:val="DefaultParagraphFont"/>
    <w:rsid w:val="00F4455D"/>
    <w:rPr>
      <w:rFonts w:asciiTheme="minorHAnsi" w:hAnsiTheme="minorHAnsi"/>
      <w:position w:val="6"/>
      <w:sz w:val="18"/>
    </w:rPr>
  </w:style>
  <w:style w:type="paragraph" w:styleId="FootnoteText">
    <w:name w:val="footnote text"/>
    <w:basedOn w:val="Normal"/>
    <w:link w:val="FootnoteTextChar"/>
    <w:rsid w:val="00F4455D"/>
    <w:pPr>
      <w:keepLines/>
      <w:tabs>
        <w:tab w:val="left" w:pos="255"/>
      </w:tabs>
    </w:pPr>
    <w:rPr>
      <w:sz w:val="22"/>
    </w:rPr>
  </w:style>
  <w:style w:type="character" w:customStyle="1" w:styleId="FootnoteTextChar">
    <w:name w:val="Footnote Text Char"/>
    <w:basedOn w:val="DefaultParagraphFont"/>
    <w:link w:val="FootnoteText"/>
    <w:rsid w:val="00F4455D"/>
    <w:rPr>
      <w:rFonts w:eastAsia="Times New Roman" w:cs="Times New Roman"/>
      <w:szCs w:val="20"/>
      <w:lang w:val="en-GB"/>
    </w:rPr>
  </w:style>
  <w:style w:type="paragraph" w:customStyle="1" w:styleId="Normalaftertitle">
    <w:name w:val="Normal after title"/>
    <w:basedOn w:val="Normal"/>
    <w:next w:val="Normal"/>
    <w:link w:val="NormalaftertitleChar"/>
    <w:rsid w:val="00F4455D"/>
    <w:pPr>
      <w:spacing w:before="280"/>
    </w:pPr>
  </w:style>
  <w:style w:type="paragraph" w:customStyle="1" w:styleId="Reasons">
    <w:name w:val="Reasons"/>
    <w:basedOn w:val="Normal"/>
    <w:qFormat/>
    <w:rsid w:val="00F4455D"/>
    <w:pPr>
      <w:tabs>
        <w:tab w:val="clear" w:pos="2268"/>
        <w:tab w:val="left" w:pos="1588"/>
        <w:tab w:val="left" w:pos="1985"/>
      </w:tabs>
    </w:pPr>
  </w:style>
  <w:style w:type="paragraph" w:customStyle="1" w:styleId="Headingb">
    <w:name w:val="Heading_b"/>
    <w:basedOn w:val="Normal"/>
    <w:next w:val="Normal"/>
    <w:link w:val="HeadingbChar"/>
    <w:qFormat/>
    <w:rsid w:val="00F4455D"/>
    <w:pPr>
      <w:spacing w:before="360" w:after="240"/>
    </w:pPr>
    <w:rPr>
      <w:rFonts w:cs="Times New Roman Bold"/>
      <w:b/>
      <w:lang w:val="fr-CH"/>
    </w:rPr>
  </w:style>
  <w:style w:type="paragraph" w:customStyle="1" w:styleId="ResNo">
    <w:name w:val="Res_No"/>
    <w:basedOn w:val="Normal"/>
    <w:next w:val="Normal"/>
    <w:rsid w:val="00F4455D"/>
    <w:pPr>
      <w:keepNext/>
      <w:keepLines/>
      <w:spacing w:before="480"/>
      <w:jc w:val="center"/>
      <w:outlineLvl w:val="0"/>
    </w:pPr>
    <w:rPr>
      <w:caps/>
      <w:sz w:val="28"/>
    </w:rPr>
  </w:style>
  <w:style w:type="paragraph" w:customStyle="1" w:styleId="Restitle">
    <w:name w:val="Res_title"/>
    <w:basedOn w:val="Normal"/>
    <w:next w:val="Normal"/>
    <w:rsid w:val="00F4455D"/>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F4455D"/>
    <w:rPr>
      <w:rFonts w:eastAsia="Times New Roman" w:cs="Times New Roman"/>
      <w:sz w:val="24"/>
      <w:szCs w:val="20"/>
      <w:lang w:val="en-GB"/>
    </w:rPr>
  </w:style>
  <w:style w:type="character" w:customStyle="1" w:styleId="enumlev1Char">
    <w:name w:val="enumlev1 Char"/>
    <w:link w:val="enumlev1"/>
    <w:qFormat/>
    <w:locked/>
    <w:rsid w:val="00F4455D"/>
    <w:rPr>
      <w:rFonts w:eastAsia="Times New Roman" w:cs="Times New Roman"/>
      <w:sz w:val="24"/>
      <w:szCs w:val="20"/>
      <w:lang w:val="en-GB"/>
    </w:rPr>
  </w:style>
  <w:style w:type="character" w:customStyle="1" w:styleId="HeadingbChar">
    <w:name w:val="Heading_b Char"/>
    <w:basedOn w:val="DefaultParagraphFont"/>
    <w:link w:val="Headingb"/>
    <w:locked/>
    <w:rsid w:val="00F4455D"/>
    <w:rPr>
      <w:rFonts w:eastAsia="Times New Roman" w:cs="Times New Roman Bold"/>
      <w:b/>
      <w:sz w:val="24"/>
      <w:szCs w:val="20"/>
      <w:lang w:val="fr-CH"/>
    </w:rPr>
  </w:style>
  <w:style w:type="paragraph" w:styleId="Header">
    <w:name w:val="header"/>
    <w:basedOn w:val="Normal"/>
    <w:link w:val="HeaderChar"/>
    <w:uiPriority w:val="99"/>
    <w:unhideWhenUsed/>
    <w:rsid w:val="00F4455D"/>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F4455D"/>
    <w:rPr>
      <w:rFonts w:eastAsia="Times New Roman" w:cs="Times New Roman"/>
      <w:sz w:val="24"/>
      <w:szCs w:val="20"/>
      <w:lang w:val="en-GB"/>
    </w:rPr>
  </w:style>
  <w:style w:type="paragraph" w:styleId="Footer">
    <w:name w:val="footer"/>
    <w:basedOn w:val="Normal"/>
    <w:link w:val="FooterChar"/>
    <w:uiPriority w:val="99"/>
    <w:unhideWhenUsed/>
    <w:rsid w:val="00F4455D"/>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F4455D"/>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1403</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2023-10-16T14:29:00Z</dcterms:created>
  <dcterms:modified xsi:type="dcterms:W3CDTF">2023-10-16T14:51:00Z</dcterms:modified>
</cp:coreProperties>
</file>