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DDC52" w14:textId="3EF36EE6" w:rsidR="00C875B7" w:rsidRPr="003C0233" w:rsidRDefault="00C875B7" w:rsidP="00C875B7">
      <w:pPr>
        <w:pStyle w:val="ResNo"/>
        <w:rPr>
          <w:lang w:val="es-ES_tradnl"/>
        </w:rPr>
      </w:pPr>
      <w:bookmarkStart w:id="0" w:name="_Toc227854981"/>
      <w:bookmarkStart w:id="1" w:name="_Toc227855297"/>
      <w:bookmarkStart w:id="2" w:name="_Toc227855508"/>
      <w:bookmarkStart w:id="3" w:name="_Toc227856272"/>
      <w:r w:rsidRPr="003C0233">
        <w:rPr>
          <w:lang w:val="es-ES_tradnl"/>
        </w:rPr>
        <w:t xml:space="preserve">RESOLUCIÓN </w:t>
      </w:r>
      <w:r w:rsidRPr="003C0233">
        <w:rPr>
          <w:rStyle w:val="href"/>
          <w:lang w:val="es-ES_tradnl"/>
        </w:rPr>
        <w:t>73</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692A031D" w14:textId="77777777" w:rsidR="00C875B7" w:rsidRPr="003C0233" w:rsidRDefault="00C875B7" w:rsidP="00C875B7">
      <w:pPr>
        <w:pStyle w:val="Restitle"/>
        <w:rPr>
          <w:lang w:val="es-ES_tradnl"/>
        </w:rPr>
      </w:pPr>
      <w:bookmarkStart w:id="4" w:name="_Toc227854982"/>
      <w:bookmarkStart w:id="5" w:name="_Toc227855298"/>
      <w:bookmarkStart w:id="6" w:name="_Toc227855509"/>
      <w:bookmarkStart w:id="7" w:name="_Toc227856273"/>
      <w:r w:rsidRPr="003C0233">
        <w:rPr>
          <w:lang w:val="es-ES_tradnl"/>
        </w:rPr>
        <w:t>Centros de Formación de la Academia de la UIT</w:t>
      </w:r>
      <w:bookmarkEnd w:id="4"/>
      <w:bookmarkEnd w:id="5"/>
      <w:bookmarkEnd w:id="6"/>
      <w:bookmarkEnd w:id="7"/>
    </w:p>
    <w:p w14:paraId="0BC65AC3" w14:textId="77777777" w:rsidR="00C875B7" w:rsidRPr="003C0233" w:rsidRDefault="00C875B7" w:rsidP="00C875B7">
      <w:pPr>
        <w:pStyle w:val="Normalaftertitle"/>
        <w:rPr>
          <w:lang w:val="es-ES_tradnl" w:eastAsia="es-ES"/>
        </w:rPr>
      </w:pPr>
      <w:r w:rsidRPr="003C0233">
        <w:rPr>
          <w:lang w:val="es-ES_tradnl" w:eastAsia="es-ES"/>
        </w:rPr>
        <w:t>La Conferencia Mundial de Desarrollo de las Telecomunicaciones (Bakú, 2025),</w:t>
      </w:r>
    </w:p>
    <w:p w14:paraId="53949B8B" w14:textId="77777777" w:rsidR="00C875B7" w:rsidRPr="003C0233" w:rsidRDefault="00C875B7" w:rsidP="00C875B7">
      <w:pPr>
        <w:pStyle w:val="Call"/>
        <w:rPr>
          <w:lang w:val="es-ES_tradnl"/>
        </w:rPr>
      </w:pPr>
      <w:r w:rsidRPr="003C0233">
        <w:rPr>
          <w:lang w:val="es-ES_tradnl"/>
        </w:rPr>
        <w:t>recordando</w:t>
      </w:r>
    </w:p>
    <w:p w14:paraId="071FFFE3" w14:textId="77777777"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la Resolución 139 (Rev. Bucarest, 2022) de la Conferencia de Plenipotenciarios, Utilización de las telecomunicaciones/tecnologías de la información y la comunicación (TIC) para reducir la brecha digital y crear una sociedad de la información inclusiva;</w:t>
      </w:r>
    </w:p>
    <w:p w14:paraId="71A85984" w14:textId="2BA5EAE5"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la Resolución 123 (Rev. Bucarest, 2022) de la Conferencia de Plenipotenciarios, Reducción de la brecha de normalización entre los países en desarrollo</w:t>
      </w:r>
      <w:r w:rsidR="00472CE6" w:rsidRPr="003C0233">
        <w:rPr>
          <w:rStyle w:val="FootnoteReference"/>
          <w:lang w:val="es-ES_tradnl"/>
        </w:rPr>
        <w:footnoteReference w:id="1"/>
      </w:r>
      <w:r w:rsidRPr="003C0233">
        <w:rPr>
          <w:lang w:val="es-ES_tradnl"/>
        </w:rPr>
        <w:t xml:space="preserve"> y los desarrollados;</w:t>
      </w:r>
    </w:p>
    <w:p w14:paraId="627F03AE"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las disposiciones de la Declaración de Bakú;</w:t>
      </w:r>
    </w:p>
    <w:p w14:paraId="3DBD0540"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la Resolución 15 (Rev. Kigali, 2022) de la Conferencia Mundial de Desarrollo de las Telecomunicaciones, Investigación aplicada y transferencia de tecnología;</w:t>
      </w:r>
    </w:p>
    <w:p w14:paraId="177F3654" w14:textId="77777777" w:rsidR="00C875B7" w:rsidRPr="003C0233" w:rsidRDefault="00C875B7" w:rsidP="00C875B7">
      <w:pPr>
        <w:rPr>
          <w:lang w:val="es-ES_tradnl"/>
        </w:rPr>
      </w:pPr>
      <w:r w:rsidRPr="003C0233">
        <w:rPr>
          <w:i/>
          <w:iCs/>
          <w:lang w:val="es-ES_tradnl"/>
        </w:rPr>
        <w:t>e)</w:t>
      </w:r>
      <w:r w:rsidRPr="003C0233">
        <w:rPr>
          <w:i/>
          <w:iCs/>
          <w:lang w:val="es-ES_tradnl"/>
        </w:rPr>
        <w:tab/>
      </w:r>
      <w:r w:rsidRPr="003C0233">
        <w:rPr>
          <w:lang w:val="es-ES_tradnl"/>
        </w:rPr>
        <w:t>la Resolución 37 (Rev. Bakú, 2025) de la presente Conferencia, Reducción de la brecha digital;</w:t>
      </w:r>
    </w:p>
    <w:p w14:paraId="0653F256" w14:textId="77777777" w:rsidR="00C875B7" w:rsidRPr="003C0233" w:rsidRDefault="00C875B7" w:rsidP="00C875B7">
      <w:pPr>
        <w:rPr>
          <w:lang w:val="es-ES_tradnl"/>
        </w:rPr>
      </w:pPr>
      <w:r w:rsidRPr="003C0233">
        <w:rPr>
          <w:i/>
          <w:iCs/>
          <w:lang w:val="es-ES_tradnl"/>
        </w:rPr>
        <w:t>f)</w:t>
      </w:r>
      <w:r w:rsidRPr="003C0233">
        <w:rPr>
          <w:i/>
          <w:iCs/>
          <w:lang w:val="es-ES_tradnl"/>
        </w:rPr>
        <w:tab/>
      </w:r>
      <w:r w:rsidRPr="003C0233">
        <w:rPr>
          <w:lang w:val="es-ES_tradnl"/>
        </w:rPr>
        <w:t>la Resolución 40 (Rev. Bakú, 2025) de la presente Conferencia, Grupo sobre iniciativas de capacitación (GIC);</w:t>
      </w:r>
    </w:p>
    <w:p w14:paraId="5D847B19" w14:textId="77777777" w:rsidR="00C875B7" w:rsidRPr="003C0233" w:rsidRDefault="00C875B7" w:rsidP="00C875B7">
      <w:pPr>
        <w:rPr>
          <w:lang w:val="es-ES_tradnl"/>
        </w:rPr>
      </w:pPr>
      <w:r w:rsidRPr="003C0233">
        <w:rPr>
          <w:i/>
          <w:iCs/>
          <w:lang w:val="es-ES_tradnl"/>
        </w:rPr>
        <w:t>g)</w:t>
      </w:r>
      <w:r w:rsidRPr="003C0233">
        <w:rPr>
          <w:i/>
          <w:iCs/>
          <w:lang w:val="es-ES_tradnl"/>
        </w:rPr>
        <w:tab/>
      </w:r>
      <w:r w:rsidRPr="003C0233">
        <w:rPr>
          <w:lang w:val="es-ES_tradnl"/>
        </w:rPr>
        <w:t xml:space="preserve">la Resolución 47 (Rev. Bakú, 2025) de la presente Conferencia, Perfeccionamiento del conocimiento y aplicación efectiva de las Recomendaciones de la UIT en los países en desarrollo, incluidas las pruebas de conformidad e </w:t>
      </w:r>
      <w:r w:rsidRPr="003C0233">
        <w:rPr>
          <w:bCs/>
          <w:szCs w:val="24"/>
          <w:lang w:val="es-ES_tradnl"/>
        </w:rPr>
        <w:t xml:space="preserve">interoperabilidad </w:t>
      </w:r>
      <w:r w:rsidRPr="003C0233">
        <w:rPr>
          <w:lang w:val="es-ES_tradnl"/>
        </w:rPr>
        <w:t>de los sistemas fabricados de conformidad con las Recomendaciones de la UIT;</w:t>
      </w:r>
    </w:p>
    <w:p w14:paraId="3E734E37" w14:textId="77777777" w:rsidR="00C875B7" w:rsidRPr="003C0233" w:rsidRDefault="00C875B7" w:rsidP="00C875B7">
      <w:pPr>
        <w:rPr>
          <w:lang w:val="es-ES_tradnl"/>
        </w:rPr>
      </w:pPr>
      <w:r w:rsidRPr="003C0233">
        <w:rPr>
          <w:i/>
          <w:iCs/>
          <w:lang w:val="es-ES_tradnl"/>
        </w:rPr>
        <w:t>h)</w:t>
      </w:r>
      <w:r w:rsidRPr="003C0233">
        <w:rPr>
          <w:lang w:val="es-ES_tradnl"/>
        </w:rPr>
        <w:tab/>
        <w:t>la Resolución 70/125 de la Asamblea General de las Naciones Unidas sobre el Documento Final de la reunión de alto nivel de la Asamblea General relativos al examen general de la aplicación de los resultados de la Cumbre Mundial sobre la Sociedad de la Información,</w:t>
      </w:r>
    </w:p>
    <w:p w14:paraId="61B67FCC" w14:textId="77777777" w:rsidR="00BB5DD9" w:rsidRPr="003C0233" w:rsidRDefault="00BB5DD9">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688C6F8A" w14:textId="32AAE8EC" w:rsidR="00C875B7" w:rsidRPr="003C0233" w:rsidRDefault="00C875B7" w:rsidP="00C875B7">
      <w:pPr>
        <w:pStyle w:val="Call"/>
        <w:rPr>
          <w:lang w:val="es-ES_tradnl"/>
        </w:rPr>
      </w:pPr>
      <w:r w:rsidRPr="003C0233">
        <w:rPr>
          <w:lang w:val="es-ES_tradnl"/>
        </w:rPr>
        <w:lastRenderedPageBreak/>
        <w:t>considerando</w:t>
      </w:r>
    </w:p>
    <w:p w14:paraId="6E9FFFFC" w14:textId="77777777" w:rsidR="00C875B7" w:rsidRPr="003C0233" w:rsidRDefault="00C875B7" w:rsidP="00C875B7">
      <w:pPr>
        <w:rPr>
          <w:lang w:val="es-ES_tradnl"/>
        </w:rPr>
      </w:pPr>
      <w:r w:rsidRPr="003C0233">
        <w:rPr>
          <w:i/>
          <w:iCs/>
          <w:lang w:val="es-ES_tradnl"/>
        </w:rPr>
        <w:t>a)</w:t>
      </w:r>
      <w:r w:rsidRPr="003C0233">
        <w:rPr>
          <w:lang w:val="es-ES_tradnl"/>
        </w:rPr>
        <w:tab/>
        <w:t>que los Centros de Excelencia (</w:t>
      </w:r>
      <w:proofErr w:type="spellStart"/>
      <w:r w:rsidRPr="003C0233">
        <w:rPr>
          <w:lang w:val="es-ES_tradnl"/>
        </w:rPr>
        <w:t>CdE</w:t>
      </w:r>
      <w:proofErr w:type="spellEnd"/>
      <w:r w:rsidRPr="003C0233">
        <w:rPr>
          <w:lang w:val="es-ES_tradnl"/>
        </w:rPr>
        <w:t>) de la UIT funcionaron entre 2001 y 2022, trabajando en varios idiomas, incluidos el inglés, el árabe, el chino, el español, el francés, el ruso y el portugués, en diversas regiones del mundo;</w:t>
      </w:r>
    </w:p>
    <w:p w14:paraId="0B2C543F" w14:textId="77777777"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que los especialistas en el campo de las telecomunicaciones/TIC suponen un gran potencial para el desarrollo del sector;</w:t>
      </w:r>
    </w:p>
    <w:p w14:paraId="3EA8A55E"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que es necesario mejorar continuamente las cualificaciones de todas las partes interesadas, en particular las de los especialistas en telecomunicaciones/TIC;</w:t>
      </w:r>
    </w:p>
    <w:p w14:paraId="3FEFDB44"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que los proyectos clave del Sector de Desarrollo de las Telecomunicaciones de la UIT (UIT</w:t>
      </w:r>
      <w:r w:rsidRPr="003C0233">
        <w:rPr>
          <w:lang w:val="es-ES_tradnl"/>
        </w:rPr>
        <w:noBreakHyphen/>
        <w:t>D) relacionados con la formación del personal de telecomunicaciones/TIC, incluida la labor de los </w:t>
      </w:r>
      <w:proofErr w:type="spellStart"/>
      <w:r w:rsidRPr="003C0233">
        <w:rPr>
          <w:lang w:val="es-ES_tradnl"/>
        </w:rPr>
        <w:t>CdE</w:t>
      </w:r>
      <w:proofErr w:type="spellEnd"/>
      <w:r w:rsidRPr="003C0233">
        <w:rPr>
          <w:lang w:val="es-ES_tradnl"/>
        </w:rPr>
        <w:t xml:space="preserve"> y los Centros de Formación de la Academia de la UIT (CFA), han contribuido considerablemente a mejorar las capacidades;</w:t>
      </w:r>
    </w:p>
    <w:p w14:paraId="6FBBA54E" w14:textId="77777777" w:rsidR="00C875B7" w:rsidRPr="003C0233" w:rsidRDefault="00C875B7" w:rsidP="00C875B7">
      <w:pPr>
        <w:rPr>
          <w:lang w:val="es-ES_tradnl"/>
        </w:rPr>
      </w:pPr>
      <w:r w:rsidRPr="003C0233">
        <w:rPr>
          <w:i/>
          <w:iCs/>
          <w:lang w:val="es-ES_tradnl"/>
        </w:rPr>
        <w:t>e)</w:t>
      </w:r>
      <w:r w:rsidRPr="003C0233">
        <w:rPr>
          <w:lang w:val="es-ES_tradnl"/>
        </w:rPr>
        <w:tab/>
        <w:t>que la puesta en marcha del programa CFA de la UIT como evolución estratégica y nueva denominación de los </w:t>
      </w:r>
      <w:proofErr w:type="spellStart"/>
      <w:r w:rsidRPr="003C0233">
        <w:rPr>
          <w:lang w:val="es-ES_tradnl"/>
        </w:rPr>
        <w:t>CoE</w:t>
      </w:r>
      <w:proofErr w:type="spellEnd"/>
      <w:r w:rsidRPr="003C0233">
        <w:rPr>
          <w:lang w:val="es-ES_tradnl"/>
        </w:rPr>
        <w:t xml:space="preserve"> se ha producido tras un examen estratégico exhaustivo realizado durante el ciclo 2019</w:t>
      </w:r>
      <w:r w:rsidRPr="003C0233">
        <w:rPr>
          <w:lang w:val="es-ES_tradnl"/>
        </w:rPr>
        <w:noBreakHyphen/>
        <w:t>2022;</w:t>
      </w:r>
    </w:p>
    <w:p w14:paraId="0CC186DE" w14:textId="77777777" w:rsidR="00C875B7" w:rsidRPr="003C0233" w:rsidRDefault="00C875B7" w:rsidP="00C875B7">
      <w:pPr>
        <w:rPr>
          <w:lang w:val="es-ES_tradnl"/>
        </w:rPr>
      </w:pPr>
      <w:r w:rsidRPr="003C0233">
        <w:rPr>
          <w:i/>
          <w:iCs/>
          <w:lang w:val="es-ES_tradnl"/>
        </w:rPr>
        <w:t>f)</w:t>
      </w:r>
      <w:r w:rsidRPr="003C0233">
        <w:rPr>
          <w:lang w:val="es-ES_tradnl"/>
        </w:rPr>
        <w:tab/>
        <w:t>que los CFA deben mantener su autosuficiencia financiera y ampliar a la vez sus efectos,</w:t>
      </w:r>
    </w:p>
    <w:p w14:paraId="775FAAEB" w14:textId="77777777" w:rsidR="00C875B7" w:rsidRPr="003C0233" w:rsidRDefault="00C875B7" w:rsidP="00C875B7">
      <w:pPr>
        <w:pStyle w:val="Call"/>
        <w:rPr>
          <w:lang w:val="es-ES_tradnl"/>
        </w:rPr>
      </w:pPr>
      <w:r w:rsidRPr="003C0233">
        <w:rPr>
          <w:lang w:val="es-ES_tradnl"/>
        </w:rPr>
        <w:t>reconociendo</w:t>
      </w:r>
    </w:p>
    <w:p w14:paraId="2C2CE306" w14:textId="77777777" w:rsidR="00C875B7" w:rsidRPr="003C0233" w:rsidRDefault="00C875B7" w:rsidP="00C875B7">
      <w:pPr>
        <w:rPr>
          <w:lang w:val="es-ES_tradnl"/>
        </w:rPr>
      </w:pPr>
      <w:r w:rsidRPr="003C0233">
        <w:rPr>
          <w:i/>
          <w:iCs/>
          <w:lang w:val="es-ES_tradnl"/>
        </w:rPr>
        <w:t>a)</w:t>
      </w:r>
      <w:r w:rsidRPr="003C0233">
        <w:rPr>
          <w:lang w:val="es-ES_tradnl"/>
        </w:rPr>
        <w:tab/>
        <w:t>que la formación y la capacitación y el desarrollo del personal de telecomunicaciones/TIC, teniendo en cuenta la igualdad de género, los jóvenes y las personas con discapacidad, así como la población en su conjunto, requieren un desarrollo y mejoras constantes;</w:t>
      </w:r>
    </w:p>
    <w:p w14:paraId="510E1527" w14:textId="77777777"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que, en el marco de la Academia de la UIT, los CFA desempeñan una función esencial en materia de desarrollo y creación de capacidades de la Unión;</w:t>
      </w:r>
    </w:p>
    <w:p w14:paraId="244E46F2"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que las asociaciones y la cooperación entre los CFA y otras partes interesadas relevantes son fundamentales para la formación efectiva de los especialistas;</w:t>
      </w:r>
    </w:p>
    <w:p w14:paraId="6A047A38"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el derecho soberano de cada Estado de formular políticas relativas a la autorización de servicios de desarrollo y creación de capacidades;</w:t>
      </w:r>
    </w:p>
    <w:p w14:paraId="7A543113" w14:textId="77777777" w:rsidR="00BB5DD9" w:rsidRPr="003C0233" w:rsidRDefault="00BB5DD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8D19B0C" w14:textId="3EB67FDE" w:rsidR="00C875B7" w:rsidRPr="003C0233" w:rsidRDefault="00C875B7" w:rsidP="00C875B7">
      <w:pPr>
        <w:rPr>
          <w:lang w:val="es-ES_tradnl"/>
        </w:rPr>
      </w:pPr>
      <w:r w:rsidRPr="003C0233">
        <w:rPr>
          <w:i/>
          <w:iCs/>
          <w:lang w:val="es-ES_tradnl"/>
        </w:rPr>
        <w:lastRenderedPageBreak/>
        <w:t>e)</w:t>
      </w:r>
      <w:r w:rsidRPr="003C0233">
        <w:rPr>
          <w:i/>
          <w:iCs/>
          <w:lang w:val="es-ES_tradnl"/>
        </w:rPr>
        <w:tab/>
      </w:r>
      <w:r w:rsidRPr="003C0233">
        <w:rPr>
          <w:lang w:val="es-ES_tradnl"/>
        </w:rPr>
        <w:t>la necesidad de captar ante todo expertos cualificados de instituciones académicas para llevar a cabo la labor de los CFA;</w:t>
      </w:r>
    </w:p>
    <w:p w14:paraId="2C35F9FF" w14:textId="77777777" w:rsidR="00C875B7" w:rsidRPr="003C0233" w:rsidRDefault="00C875B7" w:rsidP="00C875B7">
      <w:pPr>
        <w:rPr>
          <w:lang w:val="es-ES_tradnl"/>
        </w:rPr>
      </w:pPr>
      <w:r w:rsidRPr="003C0233">
        <w:rPr>
          <w:i/>
          <w:iCs/>
          <w:lang w:val="es-ES_tradnl"/>
        </w:rPr>
        <w:t>f)</w:t>
      </w:r>
      <w:r w:rsidRPr="003C0233">
        <w:rPr>
          <w:i/>
          <w:iCs/>
          <w:lang w:val="es-ES_tradnl"/>
        </w:rPr>
        <w:tab/>
      </w:r>
      <w:r w:rsidRPr="003C0233">
        <w:rPr>
          <w:iCs/>
          <w:lang w:val="es-ES_tradnl"/>
        </w:rPr>
        <w:t>que</w:t>
      </w:r>
      <w:r w:rsidRPr="003C0233">
        <w:rPr>
          <w:i/>
          <w:iCs/>
          <w:lang w:val="es-ES_tradnl"/>
        </w:rPr>
        <w:t xml:space="preserve"> </w:t>
      </w:r>
      <w:r w:rsidRPr="003C0233">
        <w:rPr>
          <w:lang w:val="es-ES_tradnl"/>
        </w:rPr>
        <w:t>las actividades de capacitación humana se llevan a cabo tanto en los CFA como en las Oficinas Regionales/Zonales de la Unión, en virtud del Plan Operacional del UIT</w:t>
      </w:r>
      <w:r w:rsidRPr="003C0233">
        <w:rPr>
          <w:lang w:val="es-ES_tradnl"/>
        </w:rPr>
        <w:noBreakHyphen/>
        <w:t>D,</w:t>
      </w:r>
    </w:p>
    <w:p w14:paraId="2DC46EEC" w14:textId="77777777" w:rsidR="00C875B7" w:rsidRPr="003C0233" w:rsidRDefault="00C875B7" w:rsidP="00C875B7">
      <w:pPr>
        <w:pStyle w:val="Call"/>
        <w:rPr>
          <w:lang w:val="es-ES_tradnl"/>
        </w:rPr>
      </w:pPr>
      <w:r w:rsidRPr="003C0233">
        <w:rPr>
          <w:lang w:val="es-ES_tradnl"/>
        </w:rPr>
        <w:t>resuelve</w:t>
      </w:r>
    </w:p>
    <w:p w14:paraId="63E031EB" w14:textId="77777777" w:rsidR="00C875B7" w:rsidRPr="003C0233" w:rsidRDefault="00C875B7" w:rsidP="00C875B7">
      <w:pPr>
        <w:rPr>
          <w:lang w:val="es-ES_tradnl"/>
        </w:rPr>
      </w:pPr>
      <w:r w:rsidRPr="003C0233">
        <w:rPr>
          <w:lang w:val="es-ES_tradnl"/>
        </w:rPr>
        <w:t>1</w:t>
      </w:r>
      <w:r w:rsidRPr="003C0233">
        <w:rPr>
          <w:lang w:val="es-ES_tradnl"/>
        </w:rPr>
        <w:tab/>
        <w:t>que las actividades de la UIT en materia de capacitación y desarrollo deberían continuar y ejecutarse de conformidad con la presente Resolución, teniendo en cuenta los resultados del examen estratégico principal;</w:t>
      </w:r>
    </w:p>
    <w:p w14:paraId="2AE7EA93" w14:textId="77777777" w:rsidR="00C875B7" w:rsidRPr="003C0233" w:rsidRDefault="00C875B7" w:rsidP="00C875B7">
      <w:pPr>
        <w:rPr>
          <w:lang w:val="es-ES_tradnl"/>
        </w:rPr>
      </w:pPr>
      <w:r w:rsidRPr="003C0233">
        <w:rPr>
          <w:lang w:val="es-ES_tradnl"/>
        </w:rPr>
        <w:t>2</w:t>
      </w:r>
      <w:r w:rsidRPr="003C0233">
        <w:rPr>
          <w:lang w:val="es-ES_tradnl"/>
        </w:rPr>
        <w:tab/>
        <w:t>que se acuerden los temas del programa de los CFA de la UIT en la reunión del Grupo Asesor de Desarrollo de las Telecomunicaciones (GADT), con arreglo a las prioridades identificadas mediante la evaluación de necesidades globales y regionales, siendo prioritarios para los Miembros de la UIT, en particular los países menos adelantados, los pequeños Estados insulares en desarrollo, los países en desarrollo sin litoral y otros interesados, en consulta con las organizaciones regionales de telecomunicaciones (ORT) y las Oficinas Regionales de la UIT, y en consonancia con el Plan Estratégico de la Unión y el Plan de Acción del UIT</w:t>
      </w:r>
      <w:r w:rsidRPr="003C0233">
        <w:rPr>
          <w:lang w:val="es-ES_tradnl"/>
        </w:rPr>
        <w:noBreakHyphen/>
        <w:t>D;</w:t>
      </w:r>
    </w:p>
    <w:p w14:paraId="1E1ED9F4" w14:textId="77777777" w:rsidR="00C875B7" w:rsidRPr="003C0233" w:rsidRDefault="00C875B7" w:rsidP="00C875B7">
      <w:pPr>
        <w:rPr>
          <w:lang w:val="es-ES_tradnl"/>
        </w:rPr>
      </w:pPr>
      <w:r w:rsidRPr="003C0233">
        <w:rPr>
          <w:lang w:val="es-ES_tradnl"/>
        </w:rPr>
        <w:t>3</w:t>
      </w:r>
      <w:r w:rsidRPr="003C0233">
        <w:rPr>
          <w:lang w:val="es-ES_tradnl"/>
        </w:rPr>
        <w:tab/>
        <w:t>que, en el establecimiento de prioridades para la labor de los CFA, se tengan en cuenta las necesidades actuales de la región, que deben identificarse sobre la base de la evaluación de las necesidades utilizando, entre otros, el Plan de Acción del UIT</w:t>
      </w:r>
      <w:r w:rsidRPr="003C0233">
        <w:rPr>
          <w:lang w:val="es-ES_tradnl"/>
        </w:rPr>
        <w:noBreakHyphen/>
        <w:t>D y las Iniciativas Regionales, las organizaciones o asociaciones regionales del sector de las telecomunicaciones/TIC y mediante la celebración de consultas con los Miembros de la UIT;</w:t>
      </w:r>
    </w:p>
    <w:p w14:paraId="2100741D" w14:textId="77777777" w:rsidR="00C875B7" w:rsidRPr="003C0233" w:rsidRDefault="00C875B7" w:rsidP="00C875B7">
      <w:pPr>
        <w:rPr>
          <w:lang w:val="es-ES_tradnl"/>
        </w:rPr>
      </w:pPr>
      <w:r w:rsidRPr="003C0233">
        <w:rPr>
          <w:lang w:val="es-ES_tradnl"/>
        </w:rPr>
        <w:t>4</w:t>
      </w:r>
      <w:r w:rsidRPr="003C0233">
        <w:rPr>
          <w:lang w:val="es-ES_tradnl"/>
        </w:rPr>
        <w:tab/>
        <w:t>que la labor de capacitación y desarrollo humanos debería concentrarse en los CFA, cuyas actividades se integrarían en los planes operacionales del UIT</w:t>
      </w:r>
      <w:r w:rsidRPr="003C0233">
        <w:rPr>
          <w:lang w:val="es-ES_tradnl"/>
        </w:rPr>
        <w:noBreakHyphen/>
        <w:t>D;</w:t>
      </w:r>
    </w:p>
    <w:p w14:paraId="297342AB" w14:textId="77777777" w:rsidR="00C875B7" w:rsidRPr="003C0233" w:rsidRDefault="00C875B7" w:rsidP="00C875B7">
      <w:pPr>
        <w:rPr>
          <w:lang w:val="es-ES_tradnl"/>
        </w:rPr>
      </w:pPr>
      <w:r w:rsidRPr="003C0233">
        <w:rPr>
          <w:lang w:val="es-ES_tradnl"/>
        </w:rPr>
        <w:t>5</w:t>
      </w:r>
      <w:r w:rsidRPr="003C0233">
        <w:rPr>
          <w:lang w:val="es-ES_tradnl"/>
        </w:rPr>
        <w:tab/>
        <w:t>que se efectúen evaluaciones bienales de las actividades de los CFA, sobre las que se informará al GADT para que proceda a su examen y a la formulación de recomendaciones, y a su aplicación por parte de la Oficina de Desarrollo de las Telecomunicaciones;</w:t>
      </w:r>
    </w:p>
    <w:p w14:paraId="45D1748F" w14:textId="77777777" w:rsidR="00C875B7" w:rsidRPr="003C0233" w:rsidRDefault="00C875B7" w:rsidP="00C875B7">
      <w:pPr>
        <w:rPr>
          <w:lang w:val="es-ES_tradnl"/>
        </w:rPr>
      </w:pPr>
      <w:r w:rsidRPr="003C0233">
        <w:rPr>
          <w:lang w:val="es-ES_tradnl"/>
        </w:rPr>
        <w:t>6</w:t>
      </w:r>
      <w:r w:rsidRPr="003C0233">
        <w:rPr>
          <w:lang w:val="es-ES_tradnl"/>
        </w:rPr>
        <w:tab/>
        <w:t>que la UIT tenga en cuenta el equilibrio regional y las necesidades o desafíos de formación de cada región a la hora de establecer los nuevos CFA;</w:t>
      </w:r>
    </w:p>
    <w:p w14:paraId="0D5BAB0B" w14:textId="77777777" w:rsidR="00BB5DD9" w:rsidRPr="003C0233" w:rsidRDefault="00BB5DD9">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F717502" w14:textId="0AEBA668" w:rsidR="00C875B7" w:rsidRPr="003C0233" w:rsidRDefault="00C875B7" w:rsidP="00C875B7">
      <w:pPr>
        <w:rPr>
          <w:lang w:val="es-ES_tradnl"/>
        </w:rPr>
      </w:pPr>
      <w:r w:rsidRPr="003C0233">
        <w:rPr>
          <w:lang w:val="es-ES_tradnl"/>
        </w:rPr>
        <w:lastRenderedPageBreak/>
        <w:t>7</w:t>
      </w:r>
      <w:r w:rsidRPr="003C0233">
        <w:rPr>
          <w:lang w:val="es-ES_tradnl"/>
        </w:rPr>
        <w:tab/>
        <w:t>que la UIT y los CFA participen activamente en la búsqueda de socios para el programa, con el fin de obtener fuentes adicionales de apoyo y experiencia, incluido el patrocinio de los cursos y de los estudiantes, con el fin de ampliar el alcance del programa a aquellos que de otro modo no podrían asistir, manteniendo al mismo tiempo la máxima calidad de la formación;</w:t>
      </w:r>
    </w:p>
    <w:p w14:paraId="0EA28627" w14:textId="77777777" w:rsidR="00C875B7" w:rsidRPr="003C0233" w:rsidRDefault="00C875B7" w:rsidP="00C875B7">
      <w:pPr>
        <w:rPr>
          <w:lang w:val="es-ES_tradnl"/>
        </w:rPr>
      </w:pPr>
      <w:r w:rsidRPr="003C0233">
        <w:rPr>
          <w:lang w:val="es-ES_tradnl"/>
        </w:rPr>
        <w:t>8</w:t>
      </w:r>
      <w:r w:rsidRPr="003C0233">
        <w:rPr>
          <w:lang w:val="es-ES_tradnl"/>
        </w:rPr>
        <w:tab/>
        <w:t>que se siga mejorando la calidad de la formación impartida por los CFA, con el fin de contribuir aún más al desarrollo de las capacidades de los Miembros de la UIT;</w:t>
      </w:r>
    </w:p>
    <w:p w14:paraId="0C013108" w14:textId="77777777" w:rsidR="00C875B7" w:rsidRPr="003C0233" w:rsidRDefault="00C875B7" w:rsidP="00C875B7">
      <w:pPr>
        <w:rPr>
          <w:lang w:val="es-ES_tradnl"/>
        </w:rPr>
      </w:pPr>
      <w:r w:rsidRPr="003C0233">
        <w:rPr>
          <w:lang w:val="es-ES_tradnl"/>
        </w:rPr>
        <w:t>9</w:t>
      </w:r>
      <w:r w:rsidRPr="003C0233">
        <w:rPr>
          <w:lang w:val="es-ES_tradnl"/>
        </w:rPr>
        <w:tab/>
        <w:t>que los CFA, con sujeción a los recursos financieros disponibles, fomenten la disponibilidad y el suministro de materiales y cursos de formación en los seis idiomas oficiales de la Unión para promover la inclusión, ampliar la participación y mejorar los resultados del aprendizaje, dando prioridad a los idiomas utilizados por los destinatarios;</w:t>
      </w:r>
    </w:p>
    <w:p w14:paraId="24C2AF7D" w14:textId="77777777" w:rsidR="00C875B7" w:rsidRPr="003C0233" w:rsidRDefault="00C875B7" w:rsidP="00C875B7">
      <w:pPr>
        <w:rPr>
          <w:lang w:val="es-ES_tradnl"/>
        </w:rPr>
      </w:pPr>
      <w:r w:rsidRPr="003C0233">
        <w:rPr>
          <w:lang w:val="es-ES_tradnl"/>
        </w:rPr>
        <w:t>10</w:t>
      </w:r>
      <w:r w:rsidRPr="003C0233">
        <w:rPr>
          <w:lang w:val="es-ES_tradnl"/>
        </w:rPr>
        <w:tab/>
        <w:t>que los CFA fomenten activamente la colaboración y el apoyo a otras academias de las autoridades y asociaciones Miembros de la UIT, mediante el intercambio de conocimientos, recursos y prácticas idóneas, y la preparación de programas conjuntos de formación para reforzar las actividades de capacitación en todas las entidades Miembros de la UIT,</w:t>
      </w:r>
    </w:p>
    <w:p w14:paraId="5BD30EFF"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4AF33C81" w14:textId="77777777" w:rsidR="00C875B7" w:rsidRPr="003C0233" w:rsidRDefault="00C875B7" w:rsidP="00C875B7">
      <w:pPr>
        <w:rPr>
          <w:lang w:val="es-ES_tradnl"/>
        </w:rPr>
      </w:pPr>
      <w:r w:rsidRPr="003C0233">
        <w:rPr>
          <w:lang w:val="es-ES_tradnl"/>
        </w:rPr>
        <w:t>1</w:t>
      </w:r>
      <w:r w:rsidRPr="003C0233">
        <w:rPr>
          <w:lang w:val="es-ES_tradnl"/>
        </w:rPr>
        <w:tab/>
        <w:t>que preste apoyo a la labor de los CFA con la atención prioritaria necesaria y la asistencia técnica y organizativa requerida;</w:t>
      </w:r>
    </w:p>
    <w:p w14:paraId="706501F8" w14:textId="77777777" w:rsidR="00C875B7" w:rsidRPr="003C0233" w:rsidRDefault="00C875B7" w:rsidP="00C875B7">
      <w:pPr>
        <w:rPr>
          <w:lang w:val="es-ES_tradnl"/>
        </w:rPr>
      </w:pPr>
      <w:r w:rsidRPr="003C0233">
        <w:rPr>
          <w:lang w:val="es-ES_tradnl"/>
        </w:rPr>
        <w:t>2</w:t>
      </w:r>
      <w:r w:rsidRPr="003C0233">
        <w:rPr>
          <w:lang w:val="es-ES_tradnl"/>
        </w:rPr>
        <w:tab/>
        <w:t>que facilite la aplicación de los resultados del examen estratégico, coordinándose con las ORT y de conformidad con las prácticas operativas de los CFA, actualizando en consecuencia los documentos operativos pertinentes;</w:t>
      </w:r>
    </w:p>
    <w:p w14:paraId="6E097084" w14:textId="77777777" w:rsidR="00C875B7" w:rsidRPr="003C0233" w:rsidRDefault="00C875B7" w:rsidP="00C875B7">
      <w:pPr>
        <w:rPr>
          <w:lang w:val="es-ES_tradnl"/>
        </w:rPr>
      </w:pPr>
      <w:r w:rsidRPr="003C0233">
        <w:rPr>
          <w:lang w:val="es-ES_tradnl"/>
        </w:rPr>
        <w:t>3</w:t>
      </w:r>
      <w:r w:rsidRPr="003C0233">
        <w:rPr>
          <w:lang w:val="es-ES_tradnl"/>
        </w:rPr>
        <w:tab/>
        <w:t>que incorpore las actividades realizadas por los CFA en los planes operacionales del UIT</w:t>
      </w:r>
      <w:r w:rsidRPr="003C0233">
        <w:rPr>
          <w:lang w:val="es-ES_tradnl"/>
        </w:rPr>
        <w:noBreakHyphen/>
        <w:t>D, en consonancia con las Iniciativas Regionales;</w:t>
      </w:r>
    </w:p>
    <w:p w14:paraId="7B2E67AB" w14:textId="77777777" w:rsidR="00C875B7" w:rsidRPr="003C0233" w:rsidRDefault="00C875B7" w:rsidP="00C875B7">
      <w:pPr>
        <w:rPr>
          <w:rFonts w:cstheme="majorBidi"/>
          <w:lang w:val="es-ES_tradnl"/>
        </w:rPr>
      </w:pPr>
      <w:r w:rsidRPr="003C0233">
        <w:rPr>
          <w:lang w:val="es-ES_tradnl"/>
        </w:rPr>
        <w:t>4</w:t>
      </w:r>
      <w:r w:rsidRPr="003C0233">
        <w:rPr>
          <w:lang w:val="es-ES_tradnl"/>
        </w:rPr>
        <w:tab/>
        <w:t>que adopte las medidas orgánicas necesarias para la formulación de directrices destinadas a las actividades de capacitación y desarrollo personal de la UIT;</w:t>
      </w:r>
    </w:p>
    <w:p w14:paraId="3E4C04BB" w14:textId="77777777" w:rsidR="00C875B7" w:rsidRPr="003C0233" w:rsidRDefault="00C875B7" w:rsidP="00C875B7">
      <w:pPr>
        <w:rPr>
          <w:lang w:val="es-ES_tradnl"/>
        </w:rPr>
      </w:pPr>
      <w:r w:rsidRPr="003C0233">
        <w:rPr>
          <w:lang w:val="es-ES_tradnl"/>
        </w:rPr>
        <w:t>5</w:t>
      </w:r>
      <w:r w:rsidRPr="003C0233">
        <w:rPr>
          <w:lang w:val="es-ES_tradnl"/>
        </w:rPr>
        <w:tab/>
        <w:t>que establezca, en colaboración con las Oficinas Regionales y Zonales de la UIT, una base de datos de expertos y participantes en las actividades de los programas de los CFA de la UIT para promover el intercambio de expertos;</w:t>
      </w:r>
    </w:p>
    <w:p w14:paraId="4E453CD4" w14:textId="77777777" w:rsidR="00BB5DD9" w:rsidRPr="003C0233" w:rsidRDefault="00BB5DD9">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DA1318A" w14:textId="10BD6E82" w:rsidR="00C875B7" w:rsidRPr="003C0233" w:rsidRDefault="00C875B7" w:rsidP="00C875B7">
      <w:pPr>
        <w:rPr>
          <w:lang w:val="es-ES_tradnl"/>
        </w:rPr>
      </w:pPr>
      <w:r w:rsidRPr="003C0233">
        <w:rPr>
          <w:lang w:val="es-ES_tradnl"/>
        </w:rPr>
        <w:lastRenderedPageBreak/>
        <w:t>6</w:t>
      </w:r>
      <w:r w:rsidRPr="003C0233">
        <w:rPr>
          <w:lang w:val="es-ES_tradnl"/>
        </w:rPr>
        <w:tab/>
        <w:t>que establezca mecanismos para que los CFA se mantengan en contacto con los coordinadores designados en las Oficinas Regionales y Oficinas Zonales, garantizando que se comuniquen y aborden rápidamente las nuevas demandas y prioridades en cada Región;</w:t>
      </w:r>
    </w:p>
    <w:p w14:paraId="7BF62444" w14:textId="77777777" w:rsidR="00C875B7" w:rsidRPr="003C0233" w:rsidRDefault="00C875B7" w:rsidP="00C875B7">
      <w:pPr>
        <w:rPr>
          <w:lang w:val="es-ES_tradnl"/>
        </w:rPr>
      </w:pPr>
      <w:r w:rsidRPr="003C0233">
        <w:rPr>
          <w:lang w:val="es-ES_tradnl"/>
        </w:rPr>
        <w:t>7</w:t>
      </w:r>
      <w:r w:rsidRPr="003C0233">
        <w:rPr>
          <w:lang w:val="es-ES_tradnl"/>
        </w:rPr>
        <w:tab/>
        <w:t>que mantenga informados al GADT, a la Comisión de Estudio del UIT</w:t>
      </w:r>
      <w:r w:rsidRPr="003C0233">
        <w:rPr>
          <w:lang w:val="es-ES_tradnl"/>
        </w:rPr>
        <w:noBreakHyphen/>
        <w:t>D pertinente y al GIC acerca de la ejecución del programa de los CFA de la UIT, incluidos los procedimientos de selección de los CFA, y que tenga en cuenta cualquier debate y sugerencia pertinentes que puedan surgir durante la reunión del GADT, la Comisión de Estudio pertinente y el GIC,</w:t>
      </w:r>
    </w:p>
    <w:p w14:paraId="2CDA3A31" w14:textId="77777777" w:rsidR="00C875B7" w:rsidRPr="003C0233" w:rsidRDefault="00C875B7" w:rsidP="00C875B7">
      <w:pPr>
        <w:pStyle w:val="Call"/>
        <w:rPr>
          <w:lang w:val="es-ES_tradnl"/>
        </w:rPr>
      </w:pPr>
      <w:r w:rsidRPr="003C0233">
        <w:rPr>
          <w:lang w:val="es-ES_tradnl"/>
        </w:rPr>
        <w:t>pide a los Estados Miembros de la UIT, a los Miembros de Sector y a las Instituciones Académicas del Sector de Desarrollo de las Telecomunicaciones</w:t>
      </w:r>
    </w:p>
    <w:p w14:paraId="4AF73C72" w14:textId="77777777" w:rsidR="00C875B7" w:rsidRPr="003C0233" w:rsidRDefault="00C875B7" w:rsidP="00C875B7">
      <w:pPr>
        <w:rPr>
          <w:lang w:val="es-ES_tradnl"/>
        </w:rPr>
      </w:pPr>
      <w:r w:rsidRPr="003C0233">
        <w:rPr>
          <w:lang w:val="es-ES_tradnl"/>
        </w:rPr>
        <w:t>1</w:t>
      </w:r>
      <w:r w:rsidRPr="003C0233">
        <w:rPr>
          <w:lang w:val="es-ES_tradnl"/>
        </w:rPr>
        <w:tab/>
        <w:t>que promuevan el programa de los CFA de la UIT, participen en él activamente y lo aprovechen al máximo, incluso mediante la aportación de apoyo financiero, material de formación, promoción de los cursos de formación y expertos reputados;</w:t>
      </w:r>
    </w:p>
    <w:p w14:paraId="09D6C8AB" w14:textId="77777777" w:rsidR="00C875B7" w:rsidRDefault="00C875B7" w:rsidP="00C875B7">
      <w:pPr>
        <w:rPr>
          <w:lang w:val="es-ES_tradnl"/>
        </w:rPr>
      </w:pPr>
      <w:r w:rsidRPr="003C0233">
        <w:rPr>
          <w:lang w:val="es-ES_tradnl"/>
        </w:rPr>
        <w:t>2</w:t>
      </w:r>
      <w:r w:rsidRPr="003C0233">
        <w:rPr>
          <w:lang w:val="es-ES_tradnl"/>
        </w:rPr>
        <w:tab/>
        <w:t>que adopten estrategias que alienten a las entidades Miembros de la UIT interesadas en las telecomunicaciones/TIC a recurrir a los CFA como proveedores preferentes de formación.</w:t>
      </w:r>
    </w:p>
    <w:p w14:paraId="47279DC0" w14:textId="77777777" w:rsidR="00E23610" w:rsidRDefault="00E23610" w:rsidP="00C875B7">
      <w:pPr>
        <w:rPr>
          <w:lang w:val="es-ES_tradnl"/>
        </w:rPr>
      </w:pPr>
    </w:p>
    <w:p w14:paraId="67D0EFA9" w14:textId="77777777" w:rsidR="00E23610" w:rsidRDefault="00E23610" w:rsidP="00C875B7">
      <w:pPr>
        <w:rPr>
          <w:lang w:val="es-ES_tradnl"/>
        </w:rPr>
      </w:pPr>
    </w:p>
    <w:p w14:paraId="3CACCF95" w14:textId="77777777" w:rsidR="00E23610" w:rsidRDefault="00E23610" w:rsidP="00C875B7">
      <w:pPr>
        <w:rPr>
          <w:lang w:val="es-ES_tradnl"/>
        </w:rPr>
      </w:pPr>
    </w:p>
    <w:p w14:paraId="58B5E0F0" w14:textId="77777777" w:rsidR="00E23610" w:rsidRDefault="00E23610" w:rsidP="00C875B7">
      <w:pPr>
        <w:rPr>
          <w:lang w:val="es-ES_tradnl"/>
        </w:rPr>
      </w:pPr>
    </w:p>
    <w:p w14:paraId="49A05855" w14:textId="77777777" w:rsidR="00E23610" w:rsidRDefault="00E23610" w:rsidP="00C875B7">
      <w:pPr>
        <w:rPr>
          <w:lang w:val="es-ES_tradnl"/>
        </w:rPr>
      </w:pPr>
    </w:p>
    <w:p w14:paraId="19556658" w14:textId="77777777" w:rsidR="00E23610" w:rsidRDefault="00E23610" w:rsidP="00C875B7">
      <w:pPr>
        <w:rPr>
          <w:lang w:val="es-ES_tradnl"/>
        </w:rPr>
      </w:pPr>
    </w:p>
    <w:p w14:paraId="56E5A4D3" w14:textId="77777777" w:rsidR="00E23610" w:rsidRDefault="00E23610" w:rsidP="00C875B7">
      <w:pPr>
        <w:rPr>
          <w:lang w:val="es-ES_tradnl"/>
        </w:rPr>
      </w:pPr>
    </w:p>
    <w:p w14:paraId="3644FAC1" w14:textId="77777777" w:rsidR="00E23610" w:rsidRDefault="00E23610" w:rsidP="00C875B7">
      <w:pPr>
        <w:rPr>
          <w:lang w:val="es-ES_tradnl"/>
        </w:rPr>
      </w:pPr>
    </w:p>
    <w:p w14:paraId="3A310A81" w14:textId="77777777" w:rsidR="00E23610" w:rsidRDefault="00E23610" w:rsidP="00C875B7">
      <w:pPr>
        <w:rPr>
          <w:lang w:val="es-ES_tradnl"/>
        </w:rPr>
      </w:pPr>
    </w:p>
    <w:p w14:paraId="173EDEB0" w14:textId="77777777" w:rsidR="00E23610" w:rsidRPr="003C0233" w:rsidRDefault="00E23610" w:rsidP="00C875B7">
      <w:pPr>
        <w:rPr>
          <w:lang w:val="es-ES_tradnl"/>
        </w:rPr>
      </w:pPr>
    </w:p>
    <w:sectPr w:rsidR="00E23610" w:rsidRPr="003C0233" w:rsidSect="00E23610">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037E3" w14:textId="77777777" w:rsidR="00E449AA" w:rsidRDefault="00E449AA">
      <w:r>
        <w:separator/>
      </w:r>
    </w:p>
  </w:endnote>
  <w:endnote w:type="continuationSeparator" w:id="0">
    <w:p w14:paraId="4A7EC7F7" w14:textId="77777777" w:rsidR="00E449AA" w:rsidRDefault="00E44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E18D9" w14:textId="77777777" w:rsidR="00E449AA" w:rsidRDefault="00E449AA">
      <w:r>
        <w:rPr>
          <w:b/>
        </w:rPr>
        <w:t>_______________</w:t>
      </w:r>
    </w:p>
  </w:footnote>
  <w:footnote w:type="continuationSeparator" w:id="0">
    <w:p w14:paraId="7AE6B963" w14:textId="77777777" w:rsidR="00E449AA" w:rsidRDefault="00E449AA">
      <w:r>
        <w:continuationSeparator/>
      </w:r>
    </w:p>
  </w:footnote>
  <w:footnote w:id="1">
    <w:p w14:paraId="75F95F95" w14:textId="4E6C4BD4" w:rsidR="00472CE6" w:rsidRPr="00472CE6" w:rsidRDefault="00472CE6">
      <w:pPr>
        <w:pStyle w:val="FootnoteText"/>
        <w:rPr>
          <w:lang w:val="es-ES"/>
        </w:rPr>
      </w:pPr>
      <w:r>
        <w:rPr>
          <w:rStyle w:val="FootnoteReference"/>
        </w:rPr>
        <w:footnoteRef/>
      </w:r>
      <w:r w:rsidRPr="00823A2C">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65132187"/>
      <w:docPartObj>
        <w:docPartGallery w:val="Page Numbers (Top of Page)"/>
        <w:docPartUnique/>
      </w:docPartObj>
    </w:sdtPr>
    <w:sdtEndPr/>
    <w:sdtContent>
      <w:p w14:paraId="1427DC62" w14:textId="6AF0927A" w:rsidR="00C97BE0" w:rsidRPr="00823A2C" w:rsidRDefault="00C97BE0" w:rsidP="002356E0">
        <w:pPr>
          <w:pStyle w:val="Header"/>
          <w:tabs>
            <w:tab w:val="clear" w:pos="1134"/>
            <w:tab w:val="left" w:pos="567"/>
          </w:tabs>
          <w:jc w:val="left"/>
          <w:rPr>
            <w:sz w:val="16"/>
            <w:szCs w:val="16"/>
            <w:lang w:val="es-ES"/>
          </w:rPr>
        </w:pPr>
        <w:r>
          <w:rPr>
            <w:sz w:val="16"/>
            <w:szCs w:val="16"/>
          </w:rPr>
          <w:fldChar w:fldCharType="begin"/>
        </w:r>
        <w:r w:rsidRPr="00823A2C">
          <w:rPr>
            <w:sz w:val="16"/>
            <w:szCs w:val="16"/>
            <w:lang w:val="es-ES"/>
          </w:rPr>
          <w:instrText xml:space="preserve"> PAGE   \* MERGEFORMAT </w:instrText>
        </w:r>
        <w:r>
          <w:rPr>
            <w:sz w:val="16"/>
            <w:szCs w:val="16"/>
          </w:rPr>
          <w:fldChar w:fldCharType="separate"/>
        </w:r>
        <w:r w:rsidRPr="00823A2C">
          <w:rPr>
            <w:sz w:val="16"/>
            <w:szCs w:val="16"/>
            <w:lang w:val="es-ES"/>
          </w:rPr>
          <w:t>4</w:t>
        </w:r>
        <w:r>
          <w:rPr>
            <w:noProof/>
            <w:sz w:val="16"/>
            <w:szCs w:val="16"/>
          </w:rPr>
          <w:fldChar w:fldCharType="end"/>
        </w:r>
        <w:r w:rsidRPr="00823A2C">
          <w:rPr>
            <w:sz w:val="16"/>
            <w:szCs w:val="16"/>
            <w:lang w:val="es-ES"/>
          </w:rPr>
          <w:tab/>
        </w:r>
        <w:r w:rsidRPr="00823A2C">
          <w:rPr>
            <w:rFonts w:ascii="Calibri" w:hAnsi="Calibri"/>
            <w:sz w:val="16"/>
            <w:szCs w:val="16"/>
            <w:lang w:val="es-ES"/>
          </w:rPr>
          <w:t>Informe final de la CMDT-25 – Parte IV – Resolución 73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454091407"/>
      <w:docPartObj>
        <w:docPartGallery w:val="Page Numbers (Top of Page)"/>
        <w:docPartUnique/>
      </w:docPartObj>
    </w:sdtPr>
    <w:sdtEndPr/>
    <w:sdtContent>
      <w:p w14:paraId="6861F5DF" w14:textId="701731BA" w:rsidR="00C97BE0" w:rsidRPr="00823A2C"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823A2C">
          <w:rPr>
            <w:rFonts w:ascii="Calibri" w:hAnsi="Calibri"/>
            <w:sz w:val="16"/>
            <w:szCs w:val="16"/>
            <w:lang w:val="es-ES"/>
          </w:rPr>
          <w:t>Informe final de la CMDT-25 – Parte IV – Resolución 73</w:t>
        </w:r>
        <w:r w:rsidRPr="00823A2C">
          <w:rPr>
            <w:rFonts w:ascii="Calibri" w:hAnsi="Calibri"/>
            <w:sz w:val="16"/>
            <w:szCs w:val="16"/>
            <w:lang w:val="es-ES"/>
          </w:rPr>
          <w:tab/>
        </w:r>
        <w:r w:rsidRPr="002356E0">
          <w:rPr>
            <w:rFonts w:ascii="Calibri" w:hAnsi="Calibri"/>
            <w:sz w:val="16"/>
            <w:szCs w:val="16"/>
            <w:lang w:val="fr-FR"/>
          </w:rPr>
          <w:fldChar w:fldCharType="begin"/>
        </w:r>
        <w:r w:rsidRPr="00823A2C">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823A2C">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85945541"/>
      <w:docPartObj>
        <w:docPartGallery w:val="Page Numbers (Top of Page)"/>
        <w:docPartUnique/>
      </w:docPartObj>
    </w:sdtPr>
    <w:sdtEndPr/>
    <w:sdtContent>
      <w:p w14:paraId="14105810" w14:textId="3608052E" w:rsidR="00C97BE0" w:rsidRPr="00823A2C" w:rsidRDefault="00C97BE0" w:rsidP="00823A2C">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823A2C">
          <w:rPr>
            <w:rFonts w:ascii="Calibri" w:hAnsi="Calibri"/>
            <w:sz w:val="16"/>
            <w:szCs w:val="16"/>
            <w:lang w:val="es-ES"/>
          </w:rPr>
          <w:t>Informe final de la CMDT-25 – Parte IV – Resolución 73</w:t>
        </w:r>
        <w:r w:rsidR="00823A2C">
          <w:rPr>
            <w:rFonts w:ascii="Calibri" w:hAnsi="Calibri"/>
            <w:sz w:val="16"/>
            <w:szCs w:val="16"/>
            <w:lang w:val="es-ES"/>
          </w:rPr>
          <w:tab/>
        </w:r>
        <w:r w:rsidR="00823A2C">
          <w:rPr>
            <w:sz w:val="16"/>
            <w:szCs w:val="16"/>
          </w:rPr>
          <w:fldChar w:fldCharType="begin"/>
        </w:r>
        <w:r w:rsidR="00823A2C" w:rsidRPr="00823A2C">
          <w:rPr>
            <w:sz w:val="16"/>
            <w:szCs w:val="16"/>
            <w:lang w:val="es-ES"/>
          </w:rPr>
          <w:instrText xml:space="preserve"> PAGE   \* MERGEFORMAT </w:instrText>
        </w:r>
        <w:r w:rsidR="00823A2C">
          <w:rPr>
            <w:sz w:val="16"/>
            <w:szCs w:val="16"/>
          </w:rPr>
          <w:fldChar w:fldCharType="separate"/>
        </w:r>
        <w:r w:rsidR="00823A2C" w:rsidRPr="00823A2C">
          <w:rPr>
            <w:sz w:val="16"/>
            <w:szCs w:val="16"/>
            <w:lang w:val="es-ES"/>
          </w:rPr>
          <w:t>1</w:t>
        </w:r>
        <w:r w:rsidR="00823A2C">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3A2C"/>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3610"/>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9AA"/>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5</Pages>
  <Words>1444</Words>
  <Characters>7581</Characters>
  <Application>Microsoft Office Word</Application>
  <DocSecurity>0</DocSecurity>
  <Lines>140</Lines>
  <Paragraphs>57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8968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73 (Rev. Bakú, 2025) Centros de Formación de la Academia de la UIT</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2026-09-23T14:58:00Z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