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2DD3B" w14:textId="77777777" w:rsidR="00084785" w:rsidRPr="003C3B63" w:rsidRDefault="00084785" w:rsidP="00084785">
      <w:pPr>
        <w:pStyle w:val="ResNo"/>
      </w:pPr>
      <w:bookmarkStart w:id="0" w:name="_Toc228194371"/>
      <w:r w:rsidRPr="003C3B63">
        <w:t xml:space="preserve">RESOLUTION </w:t>
      </w:r>
      <w:r w:rsidRPr="003C3B63">
        <w:rPr>
          <w:rStyle w:val="href"/>
        </w:rPr>
        <w:t>73</w:t>
      </w:r>
      <w:r w:rsidRPr="003C3B63">
        <w:t xml:space="preserve"> (Rev. Baku, 2025)</w:t>
      </w:r>
      <w:bookmarkEnd w:id="0"/>
    </w:p>
    <w:p w14:paraId="6E9E0715" w14:textId="77777777" w:rsidR="00084785" w:rsidRPr="003C3B63" w:rsidRDefault="00084785" w:rsidP="00084785">
      <w:pPr>
        <w:pStyle w:val="Restitle"/>
      </w:pPr>
      <w:bookmarkStart w:id="1" w:name="_Toc228194372"/>
      <w:r w:rsidRPr="003C3B63">
        <w:t>ITU Academy training centres</w:t>
      </w:r>
      <w:bookmarkEnd w:id="1"/>
    </w:p>
    <w:p w14:paraId="3F82AAFD" w14:textId="77777777" w:rsidR="00084785" w:rsidRPr="003C3B63" w:rsidRDefault="00084785" w:rsidP="00084785">
      <w:pPr>
        <w:pStyle w:val="Normalaftertitle"/>
        <w:rPr>
          <w:lang w:eastAsia="zh-CN"/>
        </w:rPr>
      </w:pPr>
      <w:r w:rsidRPr="003C3B63">
        <w:rPr>
          <w:lang w:eastAsia="zh-CN"/>
        </w:rPr>
        <w:t>The World Telecommunication Development Conference (Baku, 2025),</w:t>
      </w:r>
    </w:p>
    <w:p w14:paraId="12E67737" w14:textId="77777777" w:rsidR="00084785" w:rsidRPr="003C3B63" w:rsidRDefault="00084785" w:rsidP="00084785">
      <w:pPr>
        <w:pStyle w:val="Call"/>
      </w:pPr>
      <w:r w:rsidRPr="003C3B63">
        <w:t>recalling</w:t>
      </w:r>
    </w:p>
    <w:p w14:paraId="2E784183" w14:textId="77777777" w:rsidR="00084785" w:rsidRPr="003C3B63" w:rsidRDefault="00084785" w:rsidP="00084785">
      <w:r w:rsidRPr="003C3B63">
        <w:rPr>
          <w:i/>
          <w:iCs/>
        </w:rPr>
        <w:t>a)</w:t>
      </w:r>
      <w:r w:rsidRPr="003C3B63">
        <w:rPr>
          <w:i/>
          <w:iCs/>
        </w:rPr>
        <w:tab/>
      </w:r>
      <w:r w:rsidRPr="003C3B63">
        <w:t>Resolution 139 (Rev. Bucharest, 2022) of the Plenipotentiary Conference, on use of telecommunications/information and communication technologies (ICTs) to bridge the digital divide and build an inclusive information society;</w:t>
      </w:r>
    </w:p>
    <w:p w14:paraId="567611D6" w14:textId="3C6FF71D" w:rsidR="00084785" w:rsidRPr="003C3B63" w:rsidRDefault="00084785" w:rsidP="00084785">
      <w:r w:rsidRPr="003C3B63">
        <w:rPr>
          <w:i/>
          <w:iCs/>
        </w:rPr>
        <w:t>b)</w:t>
      </w:r>
      <w:r w:rsidRPr="003C3B63">
        <w:rPr>
          <w:i/>
          <w:iCs/>
        </w:rPr>
        <w:tab/>
      </w:r>
      <w:r w:rsidRPr="003C3B63">
        <w:t>Resolution 123 (Rev. Bucharest, 2022) of the Plenipotentiary Conference, on bridging the standardization gap between developing</w:t>
      </w:r>
      <w:r w:rsidR="0006317A">
        <w:rPr>
          <w:rStyle w:val="FootnoteReference"/>
        </w:rPr>
        <w:footnoteReference w:id="2"/>
      </w:r>
      <w:r w:rsidRPr="003C3B63">
        <w:t xml:space="preserve"> and developed countries;</w:t>
      </w:r>
    </w:p>
    <w:p w14:paraId="0A971104" w14:textId="77777777" w:rsidR="00084785" w:rsidRPr="003C3B63" w:rsidRDefault="00084785" w:rsidP="00084785">
      <w:r w:rsidRPr="003C3B63">
        <w:rPr>
          <w:i/>
          <w:iCs/>
        </w:rPr>
        <w:t>c)</w:t>
      </w:r>
      <w:r w:rsidRPr="003C3B63">
        <w:rPr>
          <w:i/>
          <w:iCs/>
        </w:rPr>
        <w:tab/>
      </w:r>
      <w:r w:rsidRPr="003C3B63">
        <w:t>the terms of the Baku Declaration;</w:t>
      </w:r>
    </w:p>
    <w:p w14:paraId="60748ADC" w14:textId="77777777" w:rsidR="00084785" w:rsidRPr="003C3B63" w:rsidRDefault="00084785" w:rsidP="00084785">
      <w:r w:rsidRPr="003C3B63">
        <w:rPr>
          <w:i/>
          <w:iCs/>
        </w:rPr>
        <w:t>d)</w:t>
      </w:r>
      <w:r w:rsidRPr="003C3B63">
        <w:rPr>
          <w:i/>
          <w:iCs/>
        </w:rPr>
        <w:tab/>
      </w:r>
      <w:r w:rsidRPr="003C3B63">
        <w:t>Resolution 15 (Rev. Kigali, 2022) of the World Telecommunication Development Conference, on applied research and transfer of technology;</w:t>
      </w:r>
    </w:p>
    <w:p w14:paraId="720013E7" w14:textId="77777777" w:rsidR="00084785" w:rsidRPr="003C3B63" w:rsidRDefault="00084785" w:rsidP="00084785">
      <w:r w:rsidRPr="003C3B63">
        <w:rPr>
          <w:i/>
          <w:iCs/>
        </w:rPr>
        <w:t>e)</w:t>
      </w:r>
      <w:r w:rsidRPr="003C3B63">
        <w:rPr>
          <w:i/>
          <w:iCs/>
        </w:rPr>
        <w:tab/>
      </w:r>
      <w:r w:rsidRPr="003C3B63">
        <w:t>Resolution 37 (Rev. Baku, 2025) of this conference, on bridging the digital divide;</w:t>
      </w:r>
    </w:p>
    <w:p w14:paraId="08087A09" w14:textId="77777777" w:rsidR="00084785" w:rsidRPr="003C3B63" w:rsidRDefault="00084785" w:rsidP="00084785">
      <w:r w:rsidRPr="003C3B63">
        <w:rPr>
          <w:i/>
          <w:iCs/>
        </w:rPr>
        <w:t>f)</w:t>
      </w:r>
      <w:r w:rsidRPr="003C3B63">
        <w:rPr>
          <w:i/>
          <w:iCs/>
        </w:rPr>
        <w:tab/>
      </w:r>
      <w:r w:rsidRPr="003C3B63">
        <w:t>Resolution 40 (Rev. Baku, 2025) of this conference, on the group on capacity-building initiatives (GCBI);</w:t>
      </w:r>
    </w:p>
    <w:p w14:paraId="483E5B26" w14:textId="77777777" w:rsidR="00084785" w:rsidRPr="003C3B63" w:rsidRDefault="00084785" w:rsidP="00084785">
      <w:r w:rsidRPr="003C3B63">
        <w:rPr>
          <w:i/>
          <w:iCs/>
        </w:rPr>
        <w:t>g)</w:t>
      </w:r>
      <w:r w:rsidRPr="003C3B63">
        <w:rPr>
          <w:i/>
          <w:iCs/>
        </w:rPr>
        <w:tab/>
      </w:r>
      <w:r w:rsidRPr="003C3B63">
        <w:t xml:space="preserve">Resolution 47 (Rev. Baku, 2025) of this conference, on enhancement of knowledge and effective application of ITU Recommendations in developing countries, including conformance and interoperability testing of systems manufactured </w:t>
      </w:r>
      <w:proofErr w:type="gramStart"/>
      <w:r w:rsidRPr="003C3B63">
        <w:t>on the basis of</w:t>
      </w:r>
      <w:proofErr w:type="gramEnd"/>
      <w:r w:rsidRPr="003C3B63">
        <w:t xml:space="preserve"> ITU Recommendations;</w:t>
      </w:r>
    </w:p>
    <w:p w14:paraId="1B3B9D45" w14:textId="77777777" w:rsidR="00084785" w:rsidRPr="003C3B63" w:rsidRDefault="00084785" w:rsidP="00084785">
      <w:r w:rsidRPr="003C3B63">
        <w:rPr>
          <w:i/>
          <w:iCs/>
        </w:rPr>
        <w:t>h)</w:t>
      </w:r>
      <w:r w:rsidRPr="003C3B63">
        <w:tab/>
        <w:t>Resolution 70/125 of the United Nations General Assembly, on the outcome document of the high-level meeting of the General Assembly on the overall review of the implementation of the outcomes of the World Summit on the Information Society,</w:t>
      </w:r>
    </w:p>
    <w:p w14:paraId="64265ABE" w14:textId="77777777" w:rsidR="004F5B95" w:rsidRPr="003C3B63" w:rsidRDefault="004F5B95" w:rsidP="004F5B95">
      <w:r w:rsidRPr="003C3B63">
        <w:br w:type="page"/>
      </w:r>
    </w:p>
    <w:p w14:paraId="14961FEC" w14:textId="77777777" w:rsidR="00084785" w:rsidRPr="003C3B63" w:rsidRDefault="00084785" w:rsidP="00084785">
      <w:pPr>
        <w:pStyle w:val="Call"/>
      </w:pPr>
      <w:r w:rsidRPr="003C3B63">
        <w:lastRenderedPageBreak/>
        <w:t>considering</w:t>
      </w:r>
    </w:p>
    <w:p w14:paraId="5E536451" w14:textId="77777777" w:rsidR="00084785" w:rsidRPr="003C3B63" w:rsidRDefault="00084785" w:rsidP="00084785">
      <w:r w:rsidRPr="003C3B63">
        <w:rPr>
          <w:i/>
          <w:iCs/>
        </w:rPr>
        <w:t>a)</w:t>
      </w:r>
      <w:r w:rsidRPr="003C3B63">
        <w:rPr>
          <w:i/>
          <w:iCs/>
        </w:rPr>
        <w:tab/>
      </w:r>
      <w:r w:rsidRPr="003C3B63">
        <w:t>that ITU centres of excellence (CoEs) operated between 2001 and 2022 in multiple languages, including English, Arabic, Chinese, Spanish, French, Russian and Portuguese, across various regions of the world;</w:t>
      </w:r>
    </w:p>
    <w:p w14:paraId="403C717C" w14:textId="77777777" w:rsidR="00084785" w:rsidRPr="003C3B63" w:rsidRDefault="00084785" w:rsidP="00084785">
      <w:r w:rsidRPr="003C3B63">
        <w:rPr>
          <w:i/>
          <w:iCs/>
        </w:rPr>
        <w:t>b)</w:t>
      </w:r>
      <w:r w:rsidRPr="003C3B63">
        <w:rPr>
          <w:i/>
          <w:iCs/>
        </w:rPr>
        <w:tab/>
      </w:r>
      <w:r w:rsidRPr="003C3B63">
        <w:t>that specialists in the field of telecommunications/ICTs hold great potential for development of the sector;</w:t>
      </w:r>
    </w:p>
    <w:p w14:paraId="69DA77C3" w14:textId="77777777" w:rsidR="00084785" w:rsidRPr="003C3B63" w:rsidRDefault="00084785" w:rsidP="00084785">
      <w:r w:rsidRPr="003C3B63">
        <w:rPr>
          <w:i/>
          <w:iCs/>
        </w:rPr>
        <w:t>c)</w:t>
      </w:r>
      <w:r w:rsidRPr="003C3B63">
        <w:rPr>
          <w:i/>
          <w:iCs/>
        </w:rPr>
        <w:tab/>
      </w:r>
      <w:r w:rsidRPr="003C3B63">
        <w:t>that there is a need for continuous upgrading of the qualifications of all stakeholders, in particular telecommunication/ICT specialists;</w:t>
      </w:r>
    </w:p>
    <w:p w14:paraId="7D316C3F" w14:textId="77777777" w:rsidR="00084785" w:rsidRPr="003C3B63" w:rsidRDefault="00084785" w:rsidP="00084785">
      <w:r w:rsidRPr="003C3B63">
        <w:rPr>
          <w:i/>
          <w:iCs/>
        </w:rPr>
        <w:t>d)</w:t>
      </w:r>
      <w:r w:rsidRPr="003C3B63">
        <w:rPr>
          <w:i/>
          <w:iCs/>
        </w:rPr>
        <w:tab/>
      </w:r>
      <w:r w:rsidRPr="003C3B63">
        <w:t>that key ITU Telecommunication Development Sector (ITU</w:t>
      </w:r>
      <w:r w:rsidRPr="003C3B63">
        <w:noBreakHyphen/>
        <w:t>D) projects related to the training of telecommunication/ICT personnel, including the work of the CoEs and the ITU Academy training centres (ATCs), have contributed significantly to enhancing capacity;</w:t>
      </w:r>
    </w:p>
    <w:p w14:paraId="6C12A91E" w14:textId="77777777" w:rsidR="00084785" w:rsidRPr="003C3B63" w:rsidRDefault="00084785" w:rsidP="00084785">
      <w:r w:rsidRPr="003C3B63">
        <w:rPr>
          <w:i/>
          <w:iCs/>
        </w:rPr>
        <w:t>e)</w:t>
      </w:r>
      <w:r w:rsidRPr="003C3B63">
        <w:rPr>
          <w:i/>
          <w:iCs/>
        </w:rPr>
        <w:tab/>
      </w:r>
      <w:r w:rsidRPr="003C3B63">
        <w:t>that the launch of the ITU ATC programme as a strategic evolution and rebranding of the CoEs followed the comprehensive strategic review conducted during the 2019–2022 cycle;</w:t>
      </w:r>
    </w:p>
    <w:p w14:paraId="22EEC409" w14:textId="77777777" w:rsidR="00084785" w:rsidRPr="003C3B63" w:rsidRDefault="00084785" w:rsidP="00084785">
      <w:r w:rsidRPr="003C3B63">
        <w:rPr>
          <w:i/>
          <w:iCs/>
        </w:rPr>
        <w:t>f)</w:t>
      </w:r>
      <w:r w:rsidRPr="003C3B63">
        <w:rPr>
          <w:i/>
          <w:iCs/>
        </w:rPr>
        <w:tab/>
      </w:r>
      <w:r w:rsidRPr="003C3B63">
        <w:t>that ATCs are to maintain financial self-sustainability while expanding their impact,</w:t>
      </w:r>
    </w:p>
    <w:p w14:paraId="3CE3428B" w14:textId="77777777" w:rsidR="00084785" w:rsidRPr="003C3B63" w:rsidRDefault="00084785" w:rsidP="00084785">
      <w:pPr>
        <w:pStyle w:val="Call"/>
      </w:pPr>
      <w:r w:rsidRPr="003C3B63">
        <w:t>recognizing</w:t>
      </w:r>
    </w:p>
    <w:p w14:paraId="757CADF4" w14:textId="77777777" w:rsidR="00084785" w:rsidRPr="003C3B63" w:rsidRDefault="00084785" w:rsidP="00084785">
      <w:r w:rsidRPr="003C3B63">
        <w:rPr>
          <w:i/>
          <w:iCs/>
        </w:rPr>
        <w:t>a)</w:t>
      </w:r>
      <w:r w:rsidRPr="003C3B63">
        <w:rPr>
          <w:i/>
          <w:iCs/>
        </w:rPr>
        <w:tab/>
      </w:r>
      <w:r w:rsidRPr="003C3B63">
        <w:t xml:space="preserve">that telecommunication/ICT staff training and capacity building and development, </w:t>
      </w:r>
      <w:proofErr w:type="gramStart"/>
      <w:r w:rsidRPr="003C3B63">
        <w:t>taking into account</w:t>
      </w:r>
      <w:proofErr w:type="gramEnd"/>
      <w:r w:rsidRPr="003C3B63">
        <w:t xml:space="preserve"> gender equality, youth and persons with disabilities, as well as the </w:t>
      </w:r>
      <w:proofErr w:type="gramStart"/>
      <w:r w:rsidRPr="003C3B63">
        <w:t>population as a whole, should</w:t>
      </w:r>
      <w:proofErr w:type="gramEnd"/>
      <w:r w:rsidRPr="003C3B63">
        <w:t xml:space="preserve"> be constantly developed and improved;</w:t>
      </w:r>
    </w:p>
    <w:p w14:paraId="4B2A5337" w14:textId="77777777" w:rsidR="00084785" w:rsidRPr="003C3B63" w:rsidRDefault="00084785" w:rsidP="00084785">
      <w:r w:rsidRPr="003C3B63">
        <w:rPr>
          <w:i/>
          <w:iCs/>
        </w:rPr>
        <w:t>b)</w:t>
      </w:r>
      <w:r w:rsidRPr="003C3B63">
        <w:rPr>
          <w:i/>
          <w:iCs/>
        </w:rPr>
        <w:tab/>
      </w:r>
      <w:r w:rsidRPr="003C3B63">
        <w:t>that, under the ITU Academy, ATCs play an essential role in the ITU capacity-building and development framework;</w:t>
      </w:r>
    </w:p>
    <w:p w14:paraId="31C73C46" w14:textId="77777777" w:rsidR="00084785" w:rsidRPr="003C3B63" w:rsidRDefault="00084785" w:rsidP="00084785">
      <w:r w:rsidRPr="003C3B63">
        <w:rPr>
          <w:i/>
          <w:iCs/>
        </w:rPr>
        <w:t>c)</w:t>
      </w:r>
      <w:r w:rsidRPr="003C3B63">
        <w:rPr>
          <w:i/>
          <w:iCs/>
        </w:rPr>
        <w:tab/>
      </w:r>
      <w:r w:rsidRPr="003C3B63">
        <w:t>that partnerships and cooperation between ATCs and other relevant stakeholders are fundamental to effective training of specialists;</w:t>
      </w:r>
    </w:p>
    <w:p w14:paraId="4360145C" w14:textId="77777777" w:rsidR="00084785" w:rsidRPr="003C3B63" w:rsidRDefault="00084785" w:rsidP="00084785">
      <w:r w:rsidRPr="003C3B63">
        <w:rPr>
          <w:i/>
          <w:iCs/>
        </w:rPr>
        <w:t>d)</w:t>
      </w:r>
      <w:r w:rsidRPr="003C3B63">
        <w:rPr>
          <w:i/>
          <w:iCs/>
        </w:rPr>
        <w:tab/>
      </w:r>
      <w:r w:rsidRPr="003C3B63">
        <w:t>the sovereign right of each State to formulate policies regarding licensing of capacity-building and development services;</w:t>
      </w:r>
    </w:p>
    <w:p w14:paraId="3888CECE" w14:textId="77777777" w:rsidR="004F5B95" w:rsidRPr="003C3B63" w:rsidRDefault="004F5B95" w:rsidP="004F5B95">
      <w:r w:rsidRPr="003C3B63">
        <w:br w:type="page"/>
      </w:r>
    </w:p>
    <w:p w14:paraId="00287B9A" w14:textId="77777777" w:rsidR="00084785" w:rsidRPr="003C3B63" w:rsidRDefault="00084785" w:rsidP="00084785">
      <w:r w:rsidRPr="003C3B63">
        <w:rPr>
          <w:i/>
          <w:iCs/>
        </w:rPr>
        <w:lastRenderedPageBreak/>
        <w:t>e)</w:t>
      </w:r>
      <w:r w:rsidRPr="003C3B63">
        <w:tab/>
        <w:t>the need to attract, first and foremost, qualified experts from academia to the work of ATCs;</w:t>
      </w:r>
    </w:p>
    <w:p w14:paraId="2C1A729A" w14:textId="77777777" w:rsidR="00084785" w:rsidRPr="003C3B63" w:rsidRDefault="00084785" w:rsidP="00084785">
      <w:r w:rsidRPr="003C3B63">
        <w:rPr>
          <w:i/>
          <w:iCs/>
        </w:rPr>
        <w:t>f)</w:t>
      </w:r>
      <w:r w:rsidRPr="003C3B63">
        <w:tab/>
        <w:t>that human capacity-building activities are conducted in both ATCs and ITU regional and area offices, under the ITU</w:t>
      </w:r>
      <w:r w:rsidRPr="003C3B63">
        <w:noBreakHyphen/>
        <w:t>D operational plan,</w:t>
      </w:r>
    </w:p>
    <w:p w14:paraId="0DAB4582" w14:textId="77777777" w:rsidR="00084785" w:rsidRPr="003C3B63" w:rsidRDefault="00084785" w:rsidP="00084785">
      <w:pPr>
        <w:pStyle w:val="Call"/>
      </w:pPr>
      <w:r w:rsidRPr="003C3B63">
        <w:t>resolves</w:t>
      </w:r>
    </w:p>
    <w:p w14:paraId="7E9639A1" w14:textId="77777777" w:rsidR="00084785" w:rsidRPr="003C3B63" w:rsidRDefault="00084785" w:rsidP="00084785">
      <w:r w:rsidRPr="003C3B63">
        <w:t>1</w:t>
      </w:r>
      <w:r w:rsidRPr="003C3B63">
        <w:tab/>
        <w:t>that this ITU capacity-building and development activity should be continued and executed in accordance with this resolution, while cognizant of the results of the major strategic review;</w:t>
      </w:r>
    </w:p>
    <w:p w14:paraId="642DD889" w14:textId="77777777" w:rsidR="00084785" w:rsidRPr="003C3B63" w:rsidRDefault="00084785" w:rsidP="00084785">
      <w:r w:rsidRPr="003C3B63">
        <w:t>2</w:t>
      </w:r>
      <w:r w:rsidRPr="003C3B63">
        <w:tab/>
        <w:t>that the themes of the ITU ATC programme be agreed by the Telecommunication Development Advisory Group (TDAG), reflecting priorities identified through global and regional needs assessments and constituting a high priority for the ITU members, in particular the least developed countries, small island developing states, landlocked developing countries, and other stakeholders, through consultations with regional telecommunication organizations (RTOs) and the ITU regional offices and in alignment with the strategic plan for the Union and the ITU</w:t>
      </w:r>
      <w:r w:rsidRPr="003C3B63">
        <w:noBreakHyphen/>
        <w:t>D action plan;</w:t>
      </w:r>
    </w:p>
    <w:p w14:paraId="4DD8F422" w14:textId="77777777" w:rsidR="00084785" w:rsidRPr="003C3B63" w:rsidRDefault="00084785" w:rsidP="00084785">
      <w:r w:rsidRPr="003C3B63">
        <w:t>3</w:t>
      </w:r>
      <w:r w:rsidRPr="003C3B63">
        <w:tab/>
        <w:t xml:space="preserve">when setting priorities for the work of ATCs, to proceed from the current needs of the region, which are to be identified based on needs assessment using, </w:t>
      </w:r>
      <w:r w:rsidRPr="003C3B63">
        <w:rPr>
          <w:i/>
          <w:iCs/>
        </w:rPr>
        <w:t>inter alia</w:t>
      </w:r>
      <w:r w:rsidRPr="003C3B63">
        <w:t>, the ITU</w:t>
      </w:r>
      <w:r w:rsidRPr="003C3B63">
        <w:noBreakHyphen/>
        <w:t>D action plan and regional initiatives, regional organizations or associations in the telecommunication/ICT sector, as well as through consultations with ITU members;</w:t>
      </w:r>
    </w:p>
    <w:p w14:paraId="171A9991" w14:textId="77777777" w:rsidR="00084785" w:rsidRPr="003C3B63" w:rsidRDefault="00084785" w:rsidP="00084785">
      <w:r w:rsidRPr="003C3B63">
        <w:t>4</w:t>
      </w:r>
      <w:r w:rsidRPr="003C3B63">
        <w:tab/>
        <w:t>that human capacity-building and development efforts should focus on ATCs, with their activities integrated into ITU</w:t>
      </w:r>
      <w:r w:rsidRPr="003C3B63">
        <w:noBreakHyphen/>
        <w:t>D operational plans;</w:t>
      </w:r>
    </w:p>
    <w:p w14:paraId="728201A6" w14:textId="77777777" w:rsidR="00084785" w:rsidRPr="003C3B63" w:rsidRDefault="00084785" w:rsidP="00084785">
      <w:pPr>
        <w:tabs>
          <w:tab w:val="left" w:pos="2552"/>
        </w:tabs>
      </w:pPr>
      <w:r w:rsidRPr="003C3B63">
        <w:t>5</w:t>
      </w:r>
      <w:r w:rsidRPr="003C3B63">
        <w:tab/>
        <w:t>that a biennial assessment of the activities of ATCs shall be conducted and reported to TDAG for the latter's evaluation and recommendations, and application by the Telecommunication Development Bureau;</w:t>
      </w:r>
    </w:p>
    <w:p w14:paraId="0086436E" w14:textId="77777777" w:rsidR="00084785" w:rsidRPr="003C3B63" w:rsidRDefault="00084785" w:rsidP="00084785">
      <w:r w:rsidRPr="003C3B63">
        <w:t>6</w:t>
      </w:r>
      <w:r w:rsidRPr="003C3B63">
        <w:tab/>
        <w:t xml:space="preserve">that in establishing new ATCs, ITU shall take into consideration regional balance </w:t>
      </w:r>
      <w:proofErr w:type="gramStart"/>
      <w:r w:rsidRPr="003C3B63">
        <w:t>and also</w:t>
      </w:r>
      <w:proofErr w:type="gramEnd"/>
      <w:r w:rsidRPr="003C3B63">
        <w:t xml:space="preserve"> the capacity needs or challenges of each region; </w:t>
      </w:r>
    </w:p>
    <w:p w14:paraId="0BE9BF42" w14:textId="77777777" w:rsidR="004F5B95" w:rsidRPr="003C3B63" w:rsidRDefault="004F5B95" w:rsidP="004F5B95">
      <w:r w:rsidRPr="003C3B63">
        <w:br w:type="page"/>
      </w:r>
    </w:p>
    <w:p w14:paraId="64199E67" w14:textId="77777777" w:rsidR="00084785" w:rsidRPr="003C3B63" w:rsidRDefault="00084785" w:rsidP="00084785">
      <w:r w:rsidRPr="003C3B63">
        <w:lastRenderedPageBreak/>
        <w:t>7</w:t>
      </w:r>
      <w:r w:rsidRPr="003C3B63">
        <w:tab/>
        <w:t xml:space="preserve">that ITU and ATCs actively engage in seeking programme partners, </w:t>
      </w:r>
      <w:proofErr w:type="gramStart"/>
      <w:r w:rsidRPr="003C3B63">
        <w:t>in order to</w:t>
      </w:r>
      <w:proofErr w:type="gramEnd"/>
      <w:r w:rsidRPr="003C3B63">
        <w:t xml:space="preserve"> engage additional sources of support and expertise, including sponsorship for courses and students </w:t>
      </w:r>
      <w:proofErr w:type="gramStart"/>
      <w:r w:rsidRPr="003C3B63">
        <w:t>in order to</w:t>
      </w:r>
      <w:proofErr w:type="gramEnd"/>
      <w:r w:rsidRPr="003C3B63">
        <w:t xml:space="preserve"> extend the programme's reach to those who would otherwise be unable to attend, while maintaining the highest quality of training;</w:t>
      </w:r>
    </w:p>
    <w:p w14:paraId="45DEB69A" w14:textId="77777777" w:rsidR="00084785" w:rsidRPr="003C3B63" w:rsidRDefault="00084785" w:rsidP="00084785">
      <w:r w:rsidRPr="003C3B63">
        <w:t xml:space="preserve">8 </w:t>
      </w:r>
      <w:r w:rsidRPr="003C3B63">
        <w:tab/>
        <w:t xml:space="preserve">that the quality of training provided by ATCs continue to be improved </w:t>
      </w:r>
      <w:proofErr w:type="gramStart"/>
      <w:r w:rsidRPr="003C3B63">
        <w:t>so as to</w:t>
      </w:r>
      <w:proofErr w:type="gramEnd"/>
      <w:r w:rsidRPr="003C3B63">
        <w:t xml:space="preserve"> contribute further to capacity development among the ITU membership;</w:t>
      </w:r>
    </w:p>
    <w:p w14:paraId="0C0FFBFA" w14:textId="77777777" w:rsidR="00084785" w:rsidRPr="003C3B63" w:rsidRDefault="00084785" w:rsidP="00084785">
      <w:r w:rsidRPr="003C3B63">
        <w:t>9</w:t>
      </w:r>
      <w:r w:rsidRPr="003C3B63">
        <w:tab/>
        <w:t xml:space="preserve">that ATCs, within available resources, encourage the availability and provision of training materials and courses in all six official languages of the Union, </w:t>
      </w:r>
      <w:proofErr w:type="gramStart"/>
      <w:r w:rsidRPr="003C3B63">
        <w:t>in order to</w:t>
      </w:r>
      <w:proofErr w:type="gramEnd"/>
      <w:r w:rsidRPr="003C3B63">
        <w:t xml:space="preserve"> promote inclusiveness, facilitate broader participation and enhance learning outcomes, prioritizing the languages used by target audiences;</w:t>
      </w:r>
    </w:p>
    <w:p w14:paraId="5C426AFA" w14:textId="77777777" w:rsidR="00084785" w:rsidRPr="003C3B63" w:rsidRDefault="00084785" w:rsidP="00084785">
      <w:r w:rsidRPr="003C3B63">
        <w:t>10</w:t>
      </w:r>
      <w:r w:rsidRPr="003C3B63">
        <w:tab/>
        <w:t>that ATCs actively encourage collaboration with and support for other academies within ITU member authorities and commissions, by sharing expertise, resources and best practices and by developing joint training programmes to strengthen capacity-building efforts across all ITU member entities,</w:t>
      </w:r>
    </w:p>
    <w:p w14:paraId="7B0EEBC2" w14:textId="77777777" w:rsidR="00084785" w:rsidRPr="003C3B63" w:rsidRDefault="00084785" w:rsidP="00084785">
      <w:pPr>
        <w:pStyle w:val="Call"/>
      </w:pPr>
      <w:r w:rsidRPr="003C3B63">
        <w:t>instructs the Director of the Telecommunication Development Bureau</w:t>
      </w:r>
    </w:p>
    <w:p w14:paraId="067763BF" w14:textId="77777777" w:rsidR="00084785" w:rsidRPr="003C3B63" w:rsidRDefault="00084785" w:rsidP="00084785">
      <w:r w:rsidRPr="003C3B63">
        <w:t>1</w:t>
      </w:r>
      <w:r w:rsidRPr="003C3B63">
        <w:tab/>
        <w:t>to support the work of ATCs, providing the necessary priority attention and the required organizational and technical assistance;</w:t>
      </w:r>
    </w:p>
    <w:p w14:paraId="2D3A4A04" w14:textId="77777777" w:rsidR="00084785" w:rsidRPr="003C3B63" w:rsidRDefault="00084785" w:rsidP="00084785">
      <w:r w:rsidRPr="003C3B63">
        <w:t>2</w:t>
      </w:r>
      <w:r w:rsidRPr="003C3B63">
        <w:tab/>
        <w:t>to facilitate the implementation of the results of the strategic review, in coordination with RTOs and according to ATC operational practices, while updating relevant operational documents</w:t>
      </w:r>
      <w:r w:rsidRPr="003C3B63">
        <w:rPr>
          <w:rFonts w:cs="Calibri"/>
        </w:rPr>
        <w:t>;</w:t>
      </w:r>
    </w:p>
    <w:p w14:paraId="303634B3" w14:textId="77777777" w:rsidR="00084785" w:rsidRPr="003C3B63" w:rsidRDefault="00084785" w:rsidP="00084785">
      <w:pPr>
        <w:rPr>
          <w:lang w:eastAsia="zh-CN"/>
        </w:rPr>
      </w:pPr>
      <w:r w:rsidRPr="003C3B63">
        <w:t>3</w:t>
      </w:r>
      <w:r w:rsidRPr="003C3B63">
        <w:tab/>
        <w:t>to incorporate activities conducted by ATCs into ITU</w:t>
      </w:r>
      <w:r w:rsidRPr="003C3B63">
        <w:noBreakHyphen/>
        <w:t>D operational plans, in alignment with the regional initiatives;</w:t>
      </w:r>
    </w:p>
    <w:p w14:paraId="2A90882D" w14:textId="77777777" w:rsidR="00084785" w:rsidRPr="003C3B63" w:rsidRDefault="00084785" w:rsidP="00084785">
      <w:r w:rsidRPr="003C3B63">
        <w:t>4</w:t>
      </w:r>
      <w:r w:rsidRPr="003C3B63">
        <w:tab/>
        <w:t>to make the necessary organizational arrangements for the formulation of guidelines for ITU human capacity-building and development activities;</w:t>
      </w:r>
    </w:p>
    <w:p w14:paraId="05C4F553" w14:textId="77777777" w:rsidR="00084785" w:rsidRPr="003C3B63" w:rsidRDefault="00084785" w:rsidP="00084785">
      <w:r w:rsidRPr="003C3B63">
        <w:t>5</w:t>
      </w:r>
      <w:r w:rsidRPr="003C3B63">
        <w:tab/>
        <w:t>to establish, in collaboration with ITU regional and area offices, a database of experts and participants involved in ITU ATC programme activities to promote expert exchanges;</w:t>
      </w:r>
    </w:p>
    <w:p w14:paraId="39BD0C05" w14:textId="77777777" w:rsidR="004F5B95" w:rsidRPr="003C3B63" w:rsidRDefault="004F5B95" w:rsidP="004F5B95">
      <w:r w:rsidRPr="003C3B63">
        <w:br w:type="page"/>
      </w:r>
    </w:p>
    <w:p w14:paraId="64824F22" w14:textId="77777777" w:rsidR="00084785" w:rsidRPr="003C3B63" w:rsidRDefault="00084785" w:rsidP="00084785">
      <w:r w:rsidRPr="003C3B63">
        <w:lastRenderedPageBreak/>
        <w:t>6</w:t>
      </w:r>
      <w:r w:rsidRPr="003C3B63">
        <w:tab/>
        <w:t>to establish mechanisms for ATCs to have contact with designated focal points in regional and area offices, ensuring that emerging demands and priorities in each region are rapidly communicated and addressed;</w:t>
      </w:r>
    </w:p>
    <w:p w14:paraId="7622C974" w14:textId="77777777" w:rsidR="00084785" w:rsidRPr="003C3B63" w:rsidRDefault="00084785" w:rsidP="00084785">
      <w:r w:rsidRPr="003C3B63">
        <w:t>7</w:t>
      </w:r>
      <w:r w:rsidRPr="003C3B63">
        <w:tab/>
        <w:t>to keep TDAG, the relevant ITU</w:t>
      </w:r>
      <w:r w:rsidRPr="003C3B63">
        <w:noBreakHyphen/>
        <w:t xml:space="preserve">D study group and GCBI informed of the implementation of the ITU ATC programme, including the ATC selection procedures, and to </w:t>
      </w:r>
      <w:proofErr w:type="gramStart"/>
      <w:r w:rsidRPr="003C3B63">
        <w:t>take into account</w:t>
      </w:r>
      <w:proofErr w:type="gramEnd"/>
      <w:r w:rsidRPr="003C3B63">
        <w:t xml:space="preserve"> any relevant discussions and suggestions that may arise during meetings of TDAG, the relevant ITU</w:t>
      </w:r>
      <w:r w:rsidRPr="003C3B63">
        <w:noBreakHyphen/>
        <w:t>D study group and GCBI,</w:t>
      </w:r>
    </w:p>
    <w:p w14:paraId="2F975BE1" w14:textId="77777777" w:rsidR="00084785" w:rsidRPr="003C3B63" w:rsidRDefault="00084785" w:rsidP="00084785">
      <w:pPr>
        <w:pStyle w:val="Call"/>
      </w:pPr>
      <w:r w:rsidRPr="003C3B63">
        <w:t>calls upon Member States, Sector Members and Academia of the ITU Telecommunication Development Sector</w:t>
      </w:r>
    </w:p>
    <w:p w14:paraId="5CACA093" w14:textId="77777777" w:rsidR="00084785" w:rsidRPr="003C3B63" w:rsidRDefault="00084785" w:rsidP="00084785">
      <w:r w:rsidRPr="003C3B63">
        <w:t>1</w:t>
      </w:r>
      <w:r w:rsidRPr="003C3B63">
        <w:tab/>
        <w:t xml:space="preserve">to promote, participate actively in, and make the best use of, the ITU ATC programme, including through the provision of recognized experts, training materials, promotion of training courses </w:t>
      </w:r>
      <w:proofErr w:type="gramStart"/>
      <w:r w:rsidRPr="003C3B63">
        <w:t>and also</w:t>
      </w:r>
      <w:proofErr w:type="gramEnd"/>
      <w:r w:rsidRPr="003C3B63">
        <w:t xml:space="preserve"> financial support; </w:t>
      </w:r>
    </w:p>
    <w:p w14:paraId="65991F6F" w14:textId="77777777" w:rsidR="00084785" w:rsidRDefault="00084785" w:rsidP="00084785">
      <w:r w:rsidRPr="003C3B63">
        <w:t>2</w:t>
      </w:r>
      <w:r w:rsidRPr="003C3B63">
        <w:tab/>
        <w:t>to adopt strategies that encourage ITU member entities involved in telecommunications/ICTs to use ATCs as preferred training providers.</w:t>
      </w:r>
    </w:p>
    <w:p w14:paraId="311E755D" w14:textId="77777777" w:rsidR="00F0451E" w:rsidRDefault="00F0451E" w:rsidP="00084785"/>
    <w:p w14:paraId="424EF858" w14:textId="77777777" w:rsidR="00F0451E" w:rsidRDefault="00F0451E" w:rsidP="00084785"/>
    <w:p w14:paraId="37F87DE3" w14:textId="77777777" w:rsidR="00F0451E" w:rsidRDefault="00F0451E" w:rsidP="00084785"/>
    <w:p w14:paraId="17E3DF1E" w14:textId="77777777" w:rsidR="00F0451E" w:rsidRDefault="00F0451E" w:rsidP="00084785"/>
    <w:p w14:paraId="5C7BB3BC" w14:textId="77777777" w:rsidR="00F0451E" w:rsidRDefault="00F0451E" w:rsidP="00084785"/>
    <w:p w14:paraId="0FECA951" w14:textId="77777777" w:rsidR="00F0451E" w:rsidRDefault="00F0451E" w:rsidP="00084785"/>
    <w:p w14:paraId="758E8791" w14:textId="77777777" w:rsidR="00F0451E" w:rsidRDefault="00F0451E" w:rsidP="00084785"/>
    <w:p w14:paraId="5D37A347" w14:textId="77777777" w:rsidR="00F0451E" w:rsidRDefault="00F0451E" w:rsidP="00084785"/>
    <w:p w14:paraId="52FEDCF8" w14:textId="77777777" w:rsidR="00F0451E" w:rsidRDefault="00F0451E" w:rsidP="00084785"/>
    <w:p w14:paraId="5E0CC43D" w14:textId="77777777" w:rsidR="00F0451E" w:rsidRDefault="00F0451E" w:rsidP="00084785"/>
    <w:p w14:paraId="37D0EC27" w14:textId="77777777" w:rsidR="00F0451E" w:rsidRDefault="00F0451E" w:rsidP="00084785"/>
    <w:p w14:paraId="5D18CDEE" w14:textId="77777777" w:rsidR="00F0451E" w:rsidRDefault="00F0451E" w:rsidP="00084785"/>
    <w:p w14:paraId="0DAE9BC8" w14:textId="77777777" w:rsidR="00F0451E" w:rsidRDefault="00F0451E" w:rsidP="00084785"/>
    <w:p w14:paraId="1AE0562E" w14:textId="77777777" w:rsidR="00F0451E" w:rsidRDefault="00F0451E" w:rsidP="00084785"/>
    <w:sectPr w:rsidR="00F0451E" w:rsidSect="00F0451E">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39262" w14:textId="77777777" w:rsidR="007B4821" w:rsidRPr="008B6E73" w:rsidRDefault="007B4821">
      <w:r w:rsidRPr="008B6E73">
        <w:separator/>
      </w:r>
    </w:p>
  </w:endnote>
  <w:endnote w:type="continuationSeparator" w:id="0">
    <w:p w14:paraId="5CF5E24C" w14:textId="77777777" w:rsidR="007B4821" w:rsidRPr="008B6E73" w:rsidRDefault="007B4821">
      <w:r w:rsidRPr="008B6E73">
        <w:continuationSeparator/>
      </w:r>
    </w:p>
  </w:endnote>
  <w:endnote w:type="continuationNotice" w:id="1">
    <w:p w14:paraId="31976948" w14:textId="77777777" w:rsidR="007B4821" w:rsidRPr="008B6E73" w:rsidRDefault="007B4821">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21909" w14:textId="77777777" w:rsidR="00687542" w:rsidRPr="008B6E73" w:rsidRDefault="00687542"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63965" w14:textId="77777777" w:rsidR="007B4821" w:rsidRPr="008B6E73" w:rsidRDefault="007B4821">
      <w:r w:rsidRPr="008B6E73">
        <w:rPr>
          <w:b/>
        </w:rPr>
        <w:t>_______________</w:t>
      </w:r>
    </w:p>
  </w:footnote>
  <w:footnote w:type="continuationSeparator" w:id="0">
    <w:p w14:paraId="1C28AA9D" w14:textId="77777777" w:rsidR="007B4821" w:rsidRPr="008B6E73" w:rsidRDefault="007B4821">
      <w:r w:rsidRPr="008B6E73">
        <w:continuationSeparator/>
      </w:r>
    </w:p>
  </w:footnote>
  <w:footnote w:type="continuationNotice" w:id="1">
    <w:p w14:paraId="503AF4EA" w14:textId="77777777" w:rsidR="007B4821" w:rsidRPr="008B6E73" w:rsidRDefault="007B4821">
      <w:pPr>
        <w:spacing w:before="0"/>
      </w:pPr>
    </w:p>
  </w:footnote>
  <w:footnote w:id="2">
    <w:p w14:paraId="14FCAC70" w14:textId="65719D61" w:rsidR="0006317A" w:rsidRPr="005559E6" w:rsidRDefault="0006317A" w:rsidP="00084785">
      <w:pPr>
        <w:pStyle w:val="FootnoteText"/>
        <w:rPr>
          <w:lang w:val="en-US"/>
        </w:rPr>
      </w:pPr>
      <w:r>
        <w:rPr>
          <w:rStyle w:val="FootnoteReference"/>
        </w:rPr>
        <w:footnoteRef/>
      </w:r>
      <w:r>
        <w:t xml:space="preserve"> </w:t>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483603864"/>
      <w:docPartObj>
        <w:docPartGallery w:val="Page Numbers (Top of Page)"/>
        <w:docPartUnique/>
      </w:docPartObj>
    </w:sdtPr>
    <w:sdtEndPr>
      <w:rPr>
        <w:noProof/>
      </w:rPr>
    </w:sdtEndPr>
    <w:sdtContent>
      <w:sdt>
        <w:sdtPr>
          <w:rPr>
            <w:sz w:val="16"/>
            <w:szCs w:val="16"/>
          </w:rPr>
          <w:id w:val="-511680404"/>
          <w:docPartObj>
            <w:docPartGallery w:val="Page Numbers (Top of Page)"/>
            <w:docPartUnique/>
          </w:docPartObj>
        </w:sdtPr>
        <w:sdtEndPr>
          <w:rPr>
            <w:noProof/>
          </w:rPr>
        </w:sdtEndPr>
        <w:sdtContent>
          <w:p w14:paraId="30E2ED14" w14:textId="645A0FBC" w:rsidR="00687542" w:rsidRPr="00C55B39" w:rsidRDefault="00687542" w:rsidP="00B93024">
            <w:pPr>
              <w:pStyle w:val="Header"/>
              <w:jc w:val="left"/>
              <w:rPr>
                <w:sz w:val="16"/>
                <w:szCs w:val="16"/>
              </w:rPr>
            </w:pPr>
            <w:r w:rsidRPr="00713E5A">
              <w:rPr>
                <w:sz w:val="16"/>
                <w:szCs w:val="16"/>
              </w:rPr>
              <w:fldChar w:fldCharType="begin"/>
            </w:r>
            <w:r w:rsidRPr="00C55B39">
              <w:rPr>
                <w:sz w:val="16"/>
                <w:szCs w:val="16"/>
              </w:rPr>
              <w:instrText xml:space="preserve"> PAGE   \* MERGEFORMAT </w:instrText>
            </w:r>
            <w:r w:rsidRPr="00713E5A">
              <w:rPr>
                <w:sz w:val="16"/>
                <w:szCs w:val="16"/>
              </w:rPr>
              <w:fldChar w:fldCharType="separate"/>
            </w:r>
            <w:r>
              <w:rPr>
                <w:sz w:val="16"/>
                <w:szCs w:val="16"/>
              </w:rPr>
              <w:t>20</w:t>
            </w:r>
            <w:r w:rsidRPr="00713E5A">
              <w:rPr>
                <w:noProof/>
                <w:sz w:val="16"/>
                <w:szCs w:val="16"/>
              </w:rPr>
              <w:fldChar w:fldCharType="end"/>
            </w:r>
            <w:r w:rsidRPr="00C55B39">
              <w:rPr>
                <w:sz w:val="16"/>
                <w:szCs w:val="16"/>
              </w:rPr>
              <w:tab/>
            </w:r>
            <w:r w:rsidRPr="000B1FF1">
              <w:rPr>
                <w:szCs w:val="18"/>
              </w:rPr>
              <w:t xml:space="preserve">WTDC-25 </w:t>
            </w:r>
            <w:r w:rsidR="00C20E04" w:rsidRPr="000B1FF1">
              <w:rPr>
                <w:szCs w:val="18"/>
              </w:rPr>
              <w:t xml:space="preserve">Final Report </w:t>
            </w:r>
            <w:r w:rsidRPr="000B1FF1">
              <w:rPr>
                <w:szCs w:val="18"/>
              </w:rPr>
              <w:t>– Part IV – Resolution 73</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459221451"/>
      <w:docPartObj>
        <w:docPartGallery w:val="Page Numbers (Top of Page)"/>
        <w:docPartUnique/>
      </w:docPartObj>
    </w:sdtPr>
    <w:sdtEndPr>
      <w:rPr>
        <w:noProof/>
      </w:rPr>
    </w:sdtEndPr>
    <w:sdtContent>
      <w:p w14:paraId="1178B039" w14:textId="19982BA3" w:rsidR="00687542" w:rsidRPr="002525BB" w:rsidRDefault="00687542" w:rsidP="005450BA">
        <w:pPr>
          <w:pStyle w:val="Header"/>
          <w:jc w:val="right"/>
          <w:rPr>
            <w:sz w:val="16"/>
            <w:szCs w:val="16"/>
          </w:rPr>
        </w:pPr>
        <w:r w:rsidRPr="000B1FF1">
          <w:rPr>
            <w:szCs w:val="18"/>
          </w:rPr>
          <w:t xml:space="preserve">WTDC-25 </w:t>
        </w:r>
        <w:r w:rsidR="00C20E04" w:rsidRPr="000B1FF1">
          <w:rPr>
            <w:szCs w:val="18"/>
          </w:rPr>
          <w:t xml:space="preserve">Final Report </w:t>
        </w:r>
        <w:r w:rsidRPr="000B1FF1">
          <w:rPr>
            <w:szCs w:val="18"/>
          </w:rPr>
          <w:t>– Part IV – Resolution 73</w:t>
        </w:r>
        <w:r w:rsidRPr="002525BB">
          <w:rPr>
            <w:sz w:val="16"/>
            <w:szCs w:val="16"/>
          </w:rPr>
          <w:tab/>
        </w:r>
        <w:r w:rsidRPr="00713E5A">
          <w:rPr>
            <w:sz w:val="16"/>
            <w:szCs w:val="16"/>
          </w:rPr>
          <w:fldChar w:fldCharType="begin"/>
        </w:r>
        <w:r w:rsidRPr="002525BB">
          <w:rPr>
            <w:sz w:val="16"/>
            <w:szCs w:val="16"/>
          </w:rPr>
          <w:instrText xml:space="preserve"> PAGE   \* MERGEFORMAT </w:instrText>
        </w:r>
        <w:r w:rsidRPr="00713E5A">
          <w:rPr>
            <w:sz w:val="16"/>
            <w:szCs w:val="16"/>
          </w:rPr>
          <w:fldChar w:fldCharType="separate"/>
        </w:r>
        <w:r>
          <w:rPr>
            <w:sz w:val="16"/>
            <w:szCs w:val="16"/>
          </w:rPr>
          <w:t>97</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482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51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2.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7A6575AD-94D3-4D93-8D77-43E98F7BD4E4}">
  <ds:schemaRefs>
    <ds:schemaRef ds:uri="http://schemas.microsoft.com/sharepoint/events"/>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customXml/itemProps5.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2682</TotalTime>
  <Pages>5</Pages>
  <Words>1124</Words>
  <Characters>6658</Characters>
  <Application>Microsoft Office Word</Application>
  <DocSecurity>0</DocSecurity>
  <Lines>114</Lines>
  <Paragraphs>55</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7727</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73 (Rev. Baku, 2025) ITU Academy training centres</dc:title>
  <dc:subject/>
  <dc:description/>
  <cp:lastModifiedBy>Gachet, Christelle</cp:lastModifiedBy>
  <cp:revision>765</cp:revision>
  <cp:lastPrinted>2026-05-04T06:46:00Z</cp:lastPrinted>
  <dcterms:created xsi:type="dcterms:W3CDTF">2026-03-27T16:33:00Z</dcterms:created>
  <dcterms:modified xsi:type="dcterms:W3CDTF">2026-09-23T09:30:00Z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