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DAE4" w14:textId="77777777" w:rsidR="0073044F" w:rsidRPr="002B2BF7" w:rsidRDefault="0073044F" w:rsidP="0073044F">
      <w:pPr>
        <w:pStyle w:val="ResNo"/>
        <w:rPr>
          <w:lang w:val="ru-RU"/>
        </w:rPr>
      </w:pPr>
      <w:bookmarkStart w:id="0" w:name="_Toc116554224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67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Кигали, 2022 г.)</w:t>
      </w:r>
      <w:bookmarkEnd w:id="0"/>
    </w:p>
    <w:p w14:paraId="11C50E0F" w14:textId="77777777" w:rsidR="0073044F" w:rsidRPr="002B2BF7" w:rsidRDefault="0073044F" w:rsidP="0073044F">
      <w:pPr>
        <w:pStyle w:val="Restitle"/>
        <w:rPr>
          <w:lang w:val="ru-RU"/>
        </w:rPr>
      </w:pPr>
      <w:bookmarkStart w:id="1" w:name="_Toc116554225"/>
      <w:r w:rsidRPr="002B2BF7">
        <w:rPr>
          <w:lang w:val="ru-RU"/>
        </w:rPr>
        <w:t xml:space="preserve">Роль Сектора развития электросвязи МСЭ в защите ребенка </w:t>
      </w:r>
      <w:r w:rsidRPr="002B2BF7">
        <w:rPr>
          <w:lang w:val="ru-RU"/>
        </w:rPr>
        <w:br/>
        <w:t>в онлайновой среде</w:t>
      </w:r>
      <w:bookmarkEnd w:id="1"/>
    </w:p>
    <w:p w14:paraId="4FB915E3" w14:textId="77777777" w:rsidR="0073044F" w:rsidRPr="002B2BF7" w:rsidRDefault="0073044F" w:rsidP="0073044F">
      <w:pPr>
        <w:pStyle w:val="Normalaftertitle"/>
        <w:keepNext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 г.),</w:t>
      </w:r>
    </w:p>
    <w:p w14:paraId="0A898766" w14:textId="77777777" w:rsidR="0073044F" w:rsidRPr="002B2BF7" w:rsidRDefault="0073044F" w:rsidP="0073044F">
      <w:pPr>
        <w:pStyle w:val="Call"/>
        <w:rPr>
          <w:i w:val="0"/>
          <w:iCs/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iCs/>
          <w:lang w:val="ru-RU"/>
        </w:rPr>
        <w:t>,</w:t>
      </w:r>
    </w:p>
    <w:p w14:paraId="591C170A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права ребенка являются актуальным вопросом в контексте Повестки дня Организации Объединенных Наций в области устойчивого развития на период до 2030 года;</w:t>
      </w:r>
    </w:p>
    <w:p w14:paraId="25ACC34F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во всех Государствах-Членах наблюдаются высокие темпы роста числа пользователей интернета, в особенности среди молодежи;</w:t>
      </w:r>
    </w:p>
    <w:p w14:paraId="6FCD7E05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lang w:val="ru-RU"/>
        </w:rPr>
        <w:tab/>
        <w:t xml:space="preserve">что существует насущная необходимость и всеобщая потребность в защите детей от эксплуатации и от воздействия рисков и причинения </w:t>
      </w:r>
      <w:r w:rsidRPr="002B2BF7">
        <w:rPr>
          <w:szCs w:val="22"/>
          <w:lang w:val="ru-RU"/>
        </w:rPr>
        <w:t>вреда при использовании</w:t>
      </w:r>
      <w:r w:rsidRPr="002B2BF7">
        <w:rPr>
          <w:rFonts w:cs="Calibri"/>
          <w:color w:val="231F1F"/>
          <w:w w:val="105"/>
          <w:szCs w:val="22"/>
          <w:lang w:val="ru-RU"/>
        </w:rPr>
        <w:t xml:space="preserve"> электросвязи/ИКТ</w:t>
      </w:r>
      <w:r w:rsidRPr="002B2BF7">
        <w:rPr>
          <w:szCs w:val="22"/>
          <w:lang w:val="ru-RU"/>
        </w:rPr>
        <w:t>, в частности мобильных телефонов</w:t>
      </w:r>
      <w:r w:rsidRPr="002B2BF7">
        <w:rPr>
          <w:lang w:val="ru-RU"/>
        </w:rPr>
        <w:t>;</w:t>
      </w:r>
    </w:p>
    <w:p w14:paraId="39687B3B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что многие из них будут принимать участие в молодежных программах Бюро развития электросвязи (БРЭ) и станут активными участниками разработки механизмов координации с молодежными форумами,</w:t>
      </w:r>
    </w:p>
    <w:p w14:paraId="784C522F" w14:textId="77777777" w:rsidR="0073044F" w:rsidRPr="002B2BF7" w:rsidRDefault="0073044F" w:rsidP="0073044F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22F9C76B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 xml:space="preserve">о меморандуме о взаимопонимании между Секретариатом Союза и Международной линией помощи детям (Child </w:t>
      </w:r>
      <w:proofErr w:type="spellStart"/>
      <w:r w:rsidRPr="002B2BF7">
        <w:rPr>
          <w:lang w:val="ru-RU"/>
        </w:rPr>
        <w:t>Helpline</w:t>
      </w:r>
      <w:proofErr w:type="spellEnd"/>
      <w:r w:rsidRPr="002B2BF7">
        <w:rPr>
          <w:lang w:val="ru-RU"/>
        </w:rPr>
        <w:t xml:space="preserve"> International – CHI);</w:t>
      </w:r>
    </w:p>
    <w:p w14:paraId="63640E8A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о Резолюции 1306, принятой Советом МСЭ на его сессии 2009 года, в соответствии с которой была создана Рабочая группа Совета по защите ребенка в онлайновой среде (РГС-COP), мандат которой определен членами МСЭ в тесном сотрудничестве с Секретариатом Союза;</w:t>
      </w:r>
    </w:p>
    <w:p w14:paraId="108EA698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 xml:space="preserve">об итогах деятельности РГС-СОР; </w:t>
      </w:r>
    </w:p>
    <w:p w14:paraId="4B99BC42" w14:textId="77777777" w:rsidR="0073044F" w:rsidRPr="002B2BF7" w:rsidRDefault="0073044F" w:rsidP="0073044F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о Резолюции 179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 г.) Полномочной конференции о роли МСЭ в защите ребенка в онлайновой среде;</w:t>
      </w:r>
      <w:r w:rsidRPr="002B2BF7">
        <w:rPr>
          <w:i/>
          <w:iCs/>
          <w:lang w:val="ru-RU"/>
        </w:rPr>
        <w:br w:type="page"/>
      </w:r>
    </w:p>
    <w:p w14:paraId="63D7FBCD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e)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Организация Объединенных Наций приняла Конвенцию о правах ребенка (Нью-Йорк, 1989 г.), и памятуя о том, что положение о необходимости уделять особое внимание детям содержится в Женевской декларации о правах ребенка 1924 года и в Декларации о правах ребенка, принятой на Генеральной Ассамблее Организации Объединенных Наций 20 ноября 1959 года, и признается во Всеобщей декларации прав человека, в Международном пакте о гражданских и политических правах (в частности, в Статьях 23 и 24), в Международном пакте об экономических, социальных и культурных правах (в частности, в Статье 10), а также в статутах и соответствующих актах специализированных учреждений и международных организаций, занимающихся вопросами благополучия детей;</w:t>
      </w:r>
    </w:p>
    <w:p w14:paraId="6FE3E0C7" w14:textId="77777777" w:rsidR="0073044F" w:rsidRPr="002B2BF7" w:rsidRDefault="0073044F" w:rsidP="0073044F">
      <w:pPr>
        <w:rPr>
          <w:lang w:val="ru-RU" w:eastAsia="zh-CN"/>
        </w:rPr>
      </w:pPr>
      <w:r w:rsidRPr="002B2BF7">
        <w:rPr>
          <w:i/>
          <w:iCs/>
          <w:lang w:val="ru-RU"/>
        </w:rPr>
        <w:t>f)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 xml:space="preserve">что в рамках Конвенции о правах ребенка государства-участники обязались защищать </w:t>
      </w:r>
      <w:r w:rsidRPr="002B2BF7">
        <w:rPr>
          <w:lang w:val="ru-RU" w:eastAsia="zh-CN"/>
        </w:rPr>
        <w:t>ребенка от всех форм эксплуатации и сексуального злоупотребления и для этой цели, в частности, принимать на национальном, двустороннем и многостороннем уровнях все необходимые меры для предотвращения: a) склонения или принуждения ребенка к любой незаконной сексуальной деятельности; b) использования в целях эксплуатации детей в проституции или в другой незаконной сексуальной практике; c) использования в целях эксплуатации детей в порнографии и порнографических материалах (Статья 34);</w:t>
      </w:r>
    </w:p>
    <w:p w14:paraId="1433356C" w14:textId="77777777" w:rsidR="0073044F" w:rsidRPr="002B2BF7" w:rsidRDefault="0073044F" w:rsidP="0073044F">
      <w:pPr>
        <w:rPr>
          <w:lang w:val="ru-RU" w:eastAsia="zh-CN"/>
        </w:rPr>
      </w:pPr>
      <w:r w:rsidRPr="002B2BF7">
        <w:rPr>
          <w:i/>
          <w:iCs/>
          <w:lang w:val="ru-RU" w:eastAsia="zh-CN"/>
        </w:rPr>
        <w:t>g)</w:t>
      </w:r>
      <w:r w:rsidRPr="002B2BF7">
        <w:rPr>
          <w:lang w:val="ru-RU" w:eastAsia="zh-CN"/>
        </w:rPr>
        <w:tab/>
        <w:t>что в Конвенции о правах ребенка устанавливается для государств-участников, что ребенок имеет право свободно выражать свое мнение; это право включает</w:t>
      </w:r>
      <w:r w:rsidRPr="002B2BF7">
        <w:rPr>
          <w:color w:val="000000"/>
          <w:lang w:val="ru-RU"/>
        </w:rPr>
        <w:t xml:space="preserve"> свободу искать, получать и распространять информацию и идеи</w:t>
      </w:r>
      <w:r w:rsidRPr="002B2BF7">
        <w:rPr>
          <w:lang w:val="ru-RU" w:eastAsia="zh-CN"/>
        </w:rPr>
        <w:t>, особенно направленные на содействие их социальному, духовному и моральному благополучию, а также физическому и психическому здоровью;</w:t>
      </w:r>
    </w:p>
    <w:p w14:paraId="0B951EEB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 w:eastAsia="zh-CN"/>
        </w:rPr>
        <w:t>h)</w:t>
      </w:r>
      <w:r w:rsidRPr="002B2BF7">
        <w:rPr>
          <w:lang w:val="ru-RU" w:eastAsia="zh-CN"/>
        </w:rPr>
        <w:tab/>
        <w:t xml:space="preserve">что во исполнение Статьи 10 Факультативного протокола к Конвенции о правах ребенка (Нью-Йорк, 2000 г.), касающегося торговли детьми, детской проституции и детской порнографии, </w:t>
      </w:r>
      <w:r w:rsidRPr="002B2BF7">
        <w:rPr>
          <w:lang w:val="ru-RU"/>
        </w:rPr>
        <w:t>государства-участники принимают все необходимые меры по укреплению международного сотрудничества путем заключения многосторонних, региональных и двусторонних договоренностей в целях предупреждения, обнаружения, расследования, уголовного преследования и наказания лиц, виновных в совершении деяний, связанных с торговлей детьми, детской проституцией, детской порнографией и детским секс-туризмом; а также содействуют международному сотрудничеству и координации между своими органами, национальными и международными неправительственными организациями и международными организациями;</w:t>
      </w:r>
    </w:p>
    <w:p w14:paraId="72CFD710" w14:textId="77777777" w:rsidR="0073044F" w:rsidRPr="002B2BF7" w:rsidRDefault="0073044F" w:rsidP="0073044F">
      <w:pPr>
        <w:rPr>
          <w:i/>
          <w:iCs/>
          <w:szCs w:val="18"/>
          <w:lang w:val="ru-RU"/>
        </w:rPr>
      </w:pPr>
      <w:r w:rsidRPr="002B2BF7">
        <w:rPr>
          <w:i/>
          <w:iCs/>
          <w:szCs w:val="18"/>
          <w:lang w:val="ru-RU"/>
        </w:rPr>
        <w:t>i)</w:t>
      </w:r>
      <w:r w:rsidRPr="002B2BF7">
        <w:rPr>
          <w:szCs w:val="18"/>
          <w:lang w:val="ru-RU"/>
        </w:rPr>
        <w:tab/>
      </w:r>
      <w:r w:rsidRPr="002B2BF7">
        <w:rPr>
          <w:lang w:val="ru-RU"/>
        </w:rPr>
        <w:t>что в резолюции 20/8 Совета Организации Объединенных Наций по правам человека, принятой 5 июля 2012 года, подчеркивается, что "те же права, которые человек имеет в офлайновой среде, должны также защищаться и в онлайновой среде";</w:t>
      </w:r>
      <w:r w:rsidRPr="002B2BF7">
        <w:rPr>
          <w:i/>
          <w:iCs/>
          <w:szCs w:val="18"/>
          <w:lang w:val="ru-RU"/>
        </w:rPr>
        <w:br w:type="page"/>
      </w:r>
    </w:p>
    <w:p w14:paraId="2A7A7BC5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szCs w:val="18"/>
          <w:lang w:val="ru-RU"/>
        </w:rPr>
        <w:lastRenderedPageBreak/>
        <w:t>j)</w:t>
      </w:r>
      <w:r w:rsidRPr="002B2BF7">
        <w:rPr>
          <w:i/>
          <w:iCs/>
          <w:szCs w:val="18"/>
          <w:lang w:val="ru-RU"/>
        </w:rPr>
        <w:tab/>
      </w:r>
      <w:r w:rsidRPr="002B2BF7">
        <w:rPr>
          <w:lang w:val="ru-RU"/>
        </w:rPr>
        <w:t>что Комитет по правам ребенка принял свое замечание общего прядка № 25 (2021 г.) по вопросу о правах детей в связи с цифровой средой, в котором он разъясняет, каким образом государствам-участникам следует осуществлять Конвенцию о правах ребенка применительно к цифровой среде;</w:t>
      </w:r>
    </w:p>
    <w:p w14:paraId="37EB1141" w14:textId="77777777" w:rsidR="0073044F" w:rsidRPr="002B2BF7" w:rsidRDefault="0073044F" w:rsidP="0073044F">
      <w:pPr>
        <w:rPr>
          <w:spacing w:val="-2"/>
          <w:lang w:val="ru-RU"/>
        </w:rPr>
      </w:pPr>
      <w:r w:rsidRPr="002B2BF7">
        <w:rPr>
          <w:i/>
          <w:iCs/>
          <w:lang w:val="ru-RU"/>
        </w:rPr>
        <w:t>k)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Всемирная встреча на высшем уровне по вопросам информационного общества (ВВУИО) в своем Тунисском обязательстве 2005 года (п. 24) признала роль ИКТ в деле защиты и содействия развитию детей, призывая Государства-Члены активизировать деятельность по защите детей от растления и защищать их права в контексте ИКТ</w:t>
      </w:r>
      <w:r w:rsidRPr="002B2BF7">
        <w:rPr>
          <w:spacing w:val="-2"/>
          <w:lang w:val="ru-RU"/>
        </w:rPr>
        <w:t>;</w:t>
      </w:r>
    </w:p>
    <w:p w14:paraId="5001B88A" w14:textId="77777777" w:rsidR="0073044F" w:rsidRPr="002B2BF7" w:rsidRDefault="0073044F" w:rsidP="0073044F">
      <w:pPr>
        <w:rPr>
          <w:lang w:val="ru-RU" w:eastAsia="zh-CN"/>
        </w:rPr>
      </w:pPr>
      <w:r w:rsidRPr="002B2BF7">
        <w:rPr>
          <w:i/>
          <w:iCs/>
          <w:spacing w:val="-2"/>
          <w:lang w:val="ru-RU"/>
        </w:rPr>
        <w:t>l)</w:t>
      </w:r>
      <w:r w:rsidRPr="002B2BF7">
        <w:rPr>
          <w:i/>
          <w:iCs/>
          <w:spacing w:val="-2"/>
          <w:lang w:val="ru-RU"/>
        </w:rPr>
        <w:tab/>
      </w:r>
      <w:r w:rsidRPr="002B2BF7">
        <w:rPr>
          <w:spacing w:val="-2"/>
          <w:lang w:val="ru-RU"/>
        </w:rPr>
        <w:t>что в Резолюции 45 (</w:t>
      </w:r>
      <w:proofErr w:type="spellStart"/>
      <w:r w:rsidRPr="002B2BF7">
        <w:rPr>
          <w:spacing w:val="-2"/>
          <w:lang w:val="ru-RU"/>
        </w:rPr>
        <w:t>Пересм</w:t>
      </w:r>
      <w:proofErr w:type="spellEnd"/>
      <w:r w:rsidRPr="002B2BF7">
        <w:rPr>
          <w:spacing w:val="-2"/>
          <w:lang w:val="ru-RU"/>
        </w:rPr>
        <w:t>. Кигали, 2022 г.) настоящей Конференции о м</w:t>
      </w:r>
      <w:r w:rsidRPr="002B2BF7">
        <w:rPr>
          <w:lang w:val="ru-RU" w:eastAsia="zh-CN"/>
        </w:rPr>
        <w:t>еханизмах совершенствования сотрудничества в области кибербезопасности</w:t>
      </w:r>
      <w:r w:rsidRPr="002B2BF7">
        <w:rPr>
          <w:lang w:val="ru-RU"/>
        </w:rPr>
        <w:t>,</w:t>
      </w:r>
      <w:r w:rsidRPr="002B2BF7">
        <w:rPr>
          <w:rFonts w:cstheme="minorHAnsi"/>
          <w:lang w:val="ru-RU"/>
        </w:rPr>
        <w:t xml:space="preserve"> включая противодействие распространению спама и борьбу с ним,</w:t>
      </w:r>
      <w:r w:rsidRPr="002B2BF7">
        <w:rPr>
          <w:lang w:val="ru-RU"/>
        </w:rPr>
        <w:t xml:space="preserve"> признается</w:t>
      </w:r>
      <w:r w:rsidRPr="002B2BF7">
        <w:rPr>
          <w:lang w:val="ru-RU" w:eastAsia="zh-CN"/>
        </w:rPr>
        <w:t xml:space="preserve"> роль электросвязи/ИКТ в деле защиты детей и содействия их развитию и необходимость активизировать деятельность по защите детей от растления и защищать их права в контексте электросвязи/ИКТ, подчеркивая, что важнейшее значение имеет максимальное соблюдение интересов ребенка;</w:t>
      </w:r>
    </w:p>
    <w:p w14:paraId="6D115C5F" w14:textId="77777777" w:rsidR="0073044F" w:rsidRPr="002B2BF7" w:rsidRDefault="0073044F" w:rsidP="0073044F">
      <w:pPr>
        <w:rPr>
          <w:lang w:val="ru-RU" w:eastAsia="zh-CN"/>
        </w:rPr>
      </w:pPr>
      <w:r w:rsidRPr="002B2BF7">
        <w:rPr>
          <w:i/>
          <w:iCs/>
          <w:lang w:val="ru-RU" w:eastAsia="zh-CN"/>
        </w:rPr>
        <w:t>m)</w:t>
      </w:r>
      <w:r w:rsidRPr="002B2BF7">
        <w:rPr>
          <w:lang w:val="ru-RU" w:eastAsia="zh-CN"/>
        </w:rPr>
        <w:tab/>
        <w:t>что в ходе Форума ВВУИО 2012 года, проводившегося в Женеве, было организовано собрание с партнерами по Инициативе по защите ребенка в онлайновой среде</w:t>
      </w:r>
      <w:r w:rsidRPr="00E3202A">
        <w:rPr>
          <w:lang w:val="ru-RU" w:eastAsia="zh-CN"/>
        </w:rPr>
        <w:t xml:space="preserve"> </w:t>
      </w:r>
      <w:r w:rsidRPr="002B2BF7">
        <w:rPr>
          <w:lang w:val="ru-RU" w:eastAsia="zh-CN"/>
        </w:rPr>
        <w:t>(COP), которое достигло важного результата, а именно соглашения о тесном взаимодействии с Институтом проблем безопасности семьи в онлайновой среде (FOSI) и Фондом наблюдения за интернетом (IWF) в целях оказания Государствам-Членам требуемой помощи;</w:t>
      </w:r>
    </w:p>
    <w:p w14:paraId="4E11AB56" w14:textId="77777777" w:rsidR="0073044F" w:rsidRPr="002B2BF7" w:rsidRDefault="0073044F" w:rsidP="0073044F">
      <w:pPr>
        <w:rPr>
          <w:lang w:val="ru-RU" w:eastAsia="zh-CN"/>
        </w:rPr>
      </w:pPr>
      <w:r w:rsidRPr="002B2BF7">
        <w:rPr>
          <w:i/>
          <w:iCs/>
          <w:lang w:val="ru-RU" w:eastAsia="zh-CN"/>
        </w:rPr>
        <w:t>n)</w:t>
      </w:r>
      <w:r w:rsidRPr="002B2BF7">
        <w:rPr>
          <w:lang w:val="ru-RU" w:eastAsia="zh-CN"/>
        </w:rPr>
        <w:tab/>
        <w:t>о Резолюции 17 (</w:t>
      </w:r>
      <w:proofErr w:type="spellStart"/>
      <w:r w:rsidRPr="002B2BF7">
        <w:rPr>
          <w:lang w:val="ru-RU" w:eastAsia="zh-CN"/>
        </w:rPr>
        <w:t>Пересм</w:t>
      </w:r>
      <w:proofErr w:type="spellEnd"/>
      <w:r w:rsidRPr="002B2BF7">
        <w:rPr>
          <w:lang w:val="ru-RU" w:eastAsia="zh-CN"/>
        </w:rPr>
        <w:t xml:space="preserve">. Кигали, 2022 г.) </w:t>
      </w:r>
      <w:r w:rsidRPr="002B2BF7">
        <w:rPr>
          <w:spacing w:val="-2"/>
          <w:lang w:val="ru-RU"/>
        </w:rPr>
        <w:t>настоящей Конференции</w:t>
      </w:r>
      <w:r w:rsidRPr="002B2BF7">
        <w:rPr>
          <w:lang w:val="ru-RU" w:eastAsia="zh-CN"/>
        </w:rPr>
        <w:t>, в которой странам предлагается проводить региональные инициативы;</w:t>
      </w:r>
    </w:p>
    <w:p w14:paraId="16E6E1C7" w14:textId="77777777" w:rsidR="0073044F" w:rsidRPr="002B2BF7" w:rsidRDefault="0073044F" w:rsidP="0073044F">
      <w:pPr>
        <w:rPr>
          <w:lang w:val="ru-RU" w:eastAsia="zh-CN"/>
        </w:rPr>
      </w:pPr>
      <w:r w:rsidRPr="002B2BF7">
        <w:rPr>
          <w:i/>
          <w:iCs/>
          <w:lang w:val="ru-RU" w:eastAsia="zh-CN"/>
        </w:rPr>
        <w:t>o)</w:t>
      </w:r>
      <w:r w:rsidRPr="002B2BF7">
        <w:rPr>
          <w:lang w:val="ru-RU" w:eastAsia="zh-CN"/>
        </w:rPr>
        <w:tab/>
      </w:r>
      <w:r w:rsidRPr="002B2BF7">
        <w:rPr>
          <w:lang w:val="ru-RU"/>
        </w:rPr>
        <w:t>работу, проводимую в рамках Вопроса 3/2 по кибербезопасности 2</w:t>
      </w:r>
      <w:r w:rsidRPr="002B2BF7">
        <w:rPr>
          <w:lang w:val="ru-RU"/>
        </w:rPr>
        <w:noBreakHyphen/>
        <w:t>й Исследовательской комиссии Сектора развития электросвязи МСЭ (МСЭ-D), которая включает защиту ребенка в онлайновой среде, а также иные соответствующие виды деятельности, осуществляемые в Секторах МСЭ, и деятельность РГС-COP,</w:t>
      </w:r>
    </w:p>
    <w:p w14:paraId="32705979" w14:textId="77777777" w:rsidR="0073044F" w:rsidRPr="002B2BF7" w:rsidRDefault="0073044F" w:rsidP="0073044F">
      <w:pPr>
        <w:pStyle w:val="Call"/>
        <w:rPr>
          <w:lang w:val="ru-RU"/>
        </w:rPr>
      </w:pPr>
      <w:r w:rsidRPr="002B2BF7">
        <w:rPr>
          <w:lang w:val="ru-RU"/>
        </w:rPr>
        <w:t>принимая во внимание</w:t>
      </w:r>
    </w:p>
    <w:p w14:paraId="1B254A0E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онлайновые риски, которым подвергаются дети в интернете и которые становятся разнообразнее и многочисленнее ввиду стремительного развития информационных технологий и устройств электросвязи;</w:t>
      </w:r>
    </w:p>
    <w:p w14:paraId="0096BF6D" w14:textId="77777777" w:rsidR="0073044F" w:rsidRPr="002B2BF7" w:rsidRDefault="0073044F" w:rsidP="0073044F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интернет является одной из основных платформ для множества различных образовательных, культурных и развлекательных мероприятий и играет весьма важную роль в предоставлении образования детям, обогащая учебные программы и помогая в преодолении языковых и других барьеров между детьми всех стран;</w:t>
      </w:r>
      <w:r w:rsidRPr="002B2BF7">
        <w:rPr>
          <w:i/>
          <w:iCs/>
          <w:lang w:val="ru-RU"/>
        </w:rPr>
        <w:br w:type="page"/>
      </w:r>
    </w:p>
    <w:p w14:paraId="323A5EE3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c)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все более широкий доступ к электросвязи/ИКТ во всем мире, в частности к интернету, а также использование их детьми, временами без контроля или руководства;</w:t>
      </w:r>
    </w:p>
    <w:p w14:paraId="0456FD57" w14:textId="77777777" w:rsidR="0073044F" w:rsidRPr="002B2BF7" w:rsidRDefault="0073044F" w:rsidP="0073044F">
      <w:pPr>
        <w:rPr>
          <w:rFonts w:cs="TimesNewRoman"/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важность расширения прав и возможностей детей при использовании электросвязи/ИКТ, с тем чтобы они могли развивать свои знания и навыки в области ИКТ через развитие цифровой грамотности в целях ответственного и безопасного использования интернета</w:t>
      </w:r>
      <w:r w:rsidRPr="002B2BF7">
        <w:rPr>
          <w:rFonts w:cs="TimesNewRoman"/>
          <w:lang w:val="ru-RU"/>
        </w:rPr>
        <w:t>;</w:t>
      </w:r>
    </w:p>
    <w:p w14:paraId="1841AD8A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необходимость для детей использовать инструменты электросвязи/ИКТ, уделяя особое внимание важности их защиты в онлайновой среде;</w:t>
      </w:r>
    </w:p>
    <w:p w14:paraId="2AAB486F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необходимость зашиты данных детей при их сборе для получения статистической информации и показателей в области защиты ребенка в онлайновой среде;</w:t>
      </w:r>
    </w:p>
    <w:p w14:paraId="08069C7D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g)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требование в отношении подхода с участием многих заинтересованных сторон, предусмотренного ВВУИО, для содействия социальной ответственности в секторе электросвязи/ИКТ в целях эффективного использования различных имеющихся в наличии инструментов для формирования доверия и безопасности при использовании электросвязи/ИКТ, сокращая риски, которым подвергаются дети;</w:t>
      </w:r>
    </w:p>
    <w:p w14:paraId="00AE0E31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lang w:val="ru-RU"/>
        </w:rPr>
        <w:tab/>
        <w:t>что для решения вопроса кибербезопасности для детей настоятельно необходимо принять на международном уровне упреждающие меры в целях защиты детей в онлайновой среде;</w:t>
      </w:r>
    </w:p>
    <w:p w14:paraId="30630E0F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i)</w:t>
      </w:r>
      <w:r w:rsidRPr="002B2BF7">
        <w:rPr>
          <w:lang w:val="ru-RU"/>
        </w:rPr>
        <w:tab/>
        <w:t>технические сложности, связанные с введением единого согласованного на глобальном уровне номера для службы помощи детям;</w:t>
      </w:r>
    </w:p>
    <w:p w14:paraId="631F23A3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j)</w:t>
      </w:r>
      <w:r w:rsidRPr="002B2BF7">
        <w:rPr>
          <w:lang w:val="ru-RU"/>
        </w:rPr>
        <w:tab/>
        <w:t>что постоянно возрастает число детей, у которых имеются устройства, такие как мобильные телефоны, или которые их используют;</w:t>
      </w:r>
    </w:p>
    <w:p w14:paraId="3CA70B2B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k)</w:t>
      </w:r>
      <w:r w:rsidRPr="002B2BF7">
        <w:rPr>
          <w:lang w:val="ru-RU"/>
        </w:rPr>
        <w:tab/>
        <w:t>необходимость продолжать работу на глобальном и региональном уровнях, направленную на поиск доступных технологических решений для защиты ребенка в онлайновой среде, а также на поиск инновационных приложений для упрощения связи детей со службами защиты ребенка в онлайновой среде;</w:t>
      </w:r>
    </w:p>
    <w:p w14:paraId="6F643A20" w14:textId="77777777" w:rsidR="0073044F" w:rsidRPr="002B2BF7" w:rsidRDefault="0073044F" w:rsidP="0073044F">
      <w:pPr>
        <w:rPr>
          <w:lang w:val="ru-RU"/>
        </w:rPr>
      </w:pPr>
      <w:r w:rsidRPr="002B2BF7">
        <w:rPr>
          <w:i/>
          <w:iCs/>
          <w:lang w:val="ru-RU"/>
        </w:rPr>
        <w:t>l)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деятельность, проводимую МСЭ в области защиты ребенка в онлайновой среде на региональном и международном уровнях, включая разработку руководящих указаний и мультимедийных учебных курсов для детей, родителей, воспитателей, опекунов и педагогов, а также представителей частного и государственного секторов;</w:t>
      </w:r>
    </w:p>
    <w:p w14:paraId="7316BEBB" w14:textId="77777777" w:rsidR="0073044F" w:rsidRPr="002B2BF7" w:rsidRDefault="0073044F" w:rsidP="0073044F">
      <w:pPr>
        <w:rPr>
          <w:i/>
          <w:lang w:val="ru-RU"/>
        </w:rPr>
      </w:pPr>
      <w:r w:rsidRPr="002B2BF7">
        <w:rPr>
          <w:i/>
          <w:iCs/>
          <w:lang w:val="ru-RU"/>
        </w:rPr>
        <w:t>m)</w:t>
      </w:r>
      <w:r w:rsidRPr="002B2BF7">
        <w:rPr>
          <w:lang w:val="ru-RU"/>
        </w:rPr>
        <w:tab/>
        <w:t>деятельность, предпринимаемую в последние годы многими странами в этом направлении, включая деятельность, связанную с региональными инициативами, утвержденными на всемирных конференциях по развитию электросвязи (ВКРЭ),</w:t>
      </w:r>
      <w:r w:rsidRPr="002B2BF7">
        <w:rPr>
          <w:lang w:val="ru-RU"/>
        </w:rPr>
        <w:br w:type="page"/>
      </w:r>
    </w:p>
    <w:p w14:paraId="4A9FF55B" w14:textId="77777777" w:rsidR="0073044F" w:rsidRPr="002B2BF7" w:rsidRDefault="0073044F" w:rsidP="0073044F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решает поручить Директору Бюро развития электросвязи</w:t>
      </w:r>
    </w:p>
    <w:p w14:paraId="759493C6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продолжать деятельность в области защиты ребенка в онлайновой среде, включая оказание содействия деятельности в рамках Инициативы СОР с соответствующими Вопросами исследовательских комиссий МСЭ, в целях обеспечения Государств-Членов руководством по стратегиям, передовому опыту и совместным усилиям, которые можно распространять в интересах детей;</w:t>
      </w:r>
    </w:p>
    <w:p w14:paraId="5FF60C76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поддерживать координацию исследований, проводимых в исследовательских комиссиях МСЭ-D, с деятельностью РГС-СОР, в том числе в форме взаимного предоставления информации о результатах своих собраний в формате заявления о взаимодействии, с тем чтобы не допускать дублирования усилий и максимально увеличивать результативность работы по защите ребенка в онлайновой среде;</w:t>
      </w:r>
    </w:p>
    <w:p w14:paraId="7D48FCAE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поощрять Государства-Члены и Членов Секторов к представлению передового опыта по вопросам защиты ребенка в онлайновой среде в РГС-COP, а также на соответствующие собрания исследовательских комиссий МСЭ-D;</w:t>
      </w:r>
    </w:p>
    <w:p w14:paraId="74129C0A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поддерживать координацию деятельности инициативы СОР с другими аналогичными инициативами, осуществляемыми на национальном, региональном и международном уровнях, с целью создания партнерств для максимального наращивания усилий в этой важной области;</w:t>
      </w:r>
    </w:p>
    <w:p w14:paraId="08F91D27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продолжать оказывать Государствам-Членам, в частности развивающимся странам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>, помощь в разработке своих национальных стратегий в области защиты ребенка в онлайновой среде в сотрудничестве с заинтересованными сторонами;</w:t>
      </w:r>
    </w:p>
    <w:p w14:paraId="57E01BD6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содействовать распространению методических принципов сбора статистической информации в области защиты ребенка в онлайновой среде в целях максимального расширения масштабов сравнения глобальных данных различных стран и развития потенциала;</w:t>
      </w:r>
    </w:p>
    <w:p w14:paraId="4B98C333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поощрять региональное сотрудничество для решения проблемы защиты ребенка в онлайновой среде, например путем разработки и распространения руководящих принципов, в сотрудничестве с региональными отделениями МСЭ и соответствующими структурами;</w:t>
      </w:r>
    </w:p>
    <w:p w14:paraId="3E8548EE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8</w:t>
      </w:r>
      <w:r w:rsidRPr="002B2BF7">
        <w:rPr>
          <w:lang w:val="ru-RU"/>
        </w:rPr>
        <w:tab/>
        <w:t>изучать приемлемые пути стимулирования развивающихся стран для участия в работе РГС-СОР;</w:t>
      </w:r>
      <w:r w:rsidRPr="002B2BF7">
        <w:rPr>
          <w:lang w:val="ru-RU"/>
        </w:rPr>
        <w:br w:type="page"/>
      </w:r>
    </w:p>
    <w:p w14:paraId="1A4B9E4A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lastRenderedPageBreak/>
        <w:t>9</w:t>
      </w:r>
      <w:r w:rsidRPr="002B2BF7">
        <w:rPr>
          <w:lang w:val="ru-RU"/>
        </w:rPr>
        <w:tab/>
        <w:t>осуществлять координацию с региональными отделениями МСЭ для представления ежеквартальных отчетов РГС-СОР о ходе работы по защите ребенка в онлайновой среде;</w:t>
      </w:r>
    </w:p>
    <w:p w14:paraId="62044FD4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10</w:t>
      </w:r>
      <w:r w:rsidRPr="002B2BF7">
        <w:rPr>
          <w:lang w:val="ru-RU"/>
        </w:rPr>
        <w:tab/>
        <w:t>оказывать поддержку деятельности РГС-СОР, организуя для экспертов сессии по вопросам институциональной поддержки в связи с проведением собраний группы;</w:t>
      </w:r>
    </w:p>
    <w:p w14:paraId="5A7754C7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11</w:t>
      </w:r>
      <w:r w:rsidRPr="002B2BF7">
        <w:rPr>
          <w:lang w:val="ru-RU"/>
        </w:rPr>
        <w:tab/>
        <w:t>способствовать распространению, в том числе через веб-сайт МСЭ, разработанных в рамках процессов БРЭ учебных материалов и руководящих указаний в области защиты ребенка в онлайновой среде, включая их перевод на все официальные языки МСЭ, в пределах имеющихся финансовых ресурсов;</w:t>
      </w:r>
    </w:p>
    <w:p w14:paraId="2EFC2B30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12</w:t>
      </w:r>
      <w:r w:rsidRPr="002B2BF7">
        <w:rPr>
          <w:lang w:val="ru-RU"/>
        </w:rPr>
        <w:tab/>
        <w:t>представить следующей ВКРЭ отчет о результатах выполнения настоящей Резолюции,</w:t>
      </w:r>
    </w:p>
    <w:p w14:paraId="1B11A290" w14:textId="77777777" w:rsidR="0073044F" w:rsidRPr="002B2BF7" w:rsidRDefault="0073044F" w:rsidP="0073044F">
      <w:pPr>
        <w:pStyle w:val="Call"/>
        <w:rPr>
          <w:lang w:val="ru-RU" w:eastAsia="zh-CN"/>
        </w:rPr>
      </w:pPr>
      <w:r w:rsidRPr="002B2BF7">
        <w:rPr>
          <w:lang w:val="ru-RU" w:eastAsia="zh-CN"/>
        </w:rPr>
        <w:t>предлагает Государствам-Членам</w:t>
      </w:r>
      <w:r w:rsidRPr="002B2BF7">
        <w:rPr>
          <w:lang w:val="ru-RU"/>
        </w:rPr>
        <w:t xml:space="preserve"> </w:t>
      </w:r>
      <w:r w:rsidRPr="002B2BF7">
        <w:rPr>
          <w:lang w:val="ru-RU" w:eastAsia="zh-CN"/>
        </w:rPr>
        <w:t>и Членам Секторов</w:t>
      </w:r>
    </w:p>
    <w:p w14:paraId="0E9624CA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 w:eastAsia="zh-CN"/>
        </w:rPr>
        <w:t>1</w:t>
      </w:r>
      <w:r w:rsidRPr="002B2BF7">
        <w:rPr>
          <w:lang w:val="ru-RU" w:eastAsia="zh-CN"/>
        </w:rPr>
        <w:tab/>
        <w:t>принимать активное участие во всех соответствующих видах деятельности МСЭ, в том числе в рамках РГС-СОР, Вопроса 3/2 2</w:t>
      </w:r>
      <w:r w:rsidRPr="002B2BF7">
        <w:rPr>
          <w:lang w:val="ru-RU" w:eastAsia="zh-CN"/>
        </w:rPr>
        <w:noBreakHyphen/>
        <w:t>й Исследовательской комиссии, а также соответствующих программ МСЭ-D</w:t>
      </w:r>
      <w:r w:rsidRPr="002B2BF7">
        <w:rPr>
          <w:lang w:val="ru-RU"/>
        </w:rPr>
        <w:t xml:space="preserve">, </w:t>
      </w:r>
      <w:r w:rsidRPr="002B2BF7">
        <w:rPr>
          <w:lang w:val="ru-RU" w:eastAsia="zh-CN"/>
        </w:rPr>
        <w:t>с целью всеобъемлющего обсуждения и обмена информацией по правовым, техническим, организационным и процедурным вопросам, а также для формирования потенциала и развития международного сотрудничества в отношении защиты детей в онлайновой среде;</w:t>
      </w:r>
    </w:p>
    <w:p w14:paraId="310E0EE2" w14:textId="77777777" w:rsidR="0073044F" w:rsidRPr="002B2BF7" w:rsidRDefault="0073044F" w:rsidP="0073044F">
      <w:pPr>
        <w:rPr>
          <w:lang w:val="ru-RU" w:eastAsia="zh-CN"/>
        </w:rPr>
      </w:pPr>
      <w:r w:rsidRPr="002B2BF7">
        <w:rPr>
          <w:lang w:val="ru-RU" w:eastAsia="zh-CN"/>
        </w:rPr>
        <w:t>2</w:t>
      </w:r>
      <w:r w:rsidRPr="002B2BF7">
        <w:rPr>
          <w:lang w:val="ru-RU" w:eastAsia="zh-CN"/>
        </w:rPr>
        <w:tab/>
        <w:t>содействовать доступности ресурсов для защиты ребенка в онлайновой среде, с тем чтобы просвещать детей, родителей, воспитателей, опекунов, педагогов, отрасль и другие заинтересованные стороны,</w:t>
      </w:r>
    </w:p>
    <w:p w14:paraId="035DC21B" w14:textId="77777777" w:rsidR="0073044F" w:rsidRPr="002B2BF7" w:rsidRDefault="0073044F" w:rsidP="0073044F">
      <w:pPr>
        <w:pStyle w:val="Call"/>
        <w:rPr>
          <w:i w:val="0"/>
          <w:iCs/>
          <w:lang w:val="ru-RU"/>
        </w:rPr>
      </w:pPr>
      <w:r w:rsidRPr="002B2BF7">
        <w:rPr>
          <w:lang w:val="ru-RU" w:eastAsia="zh-CN"/>
        </w:rPr>
        <w:t>предлагает Государствам-Членам</w:t>
      </w:r>
    </w:p>
    <w:p w14:paraId="3EEC3CA8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рассмотреть возможность разработки национальных стратегий защиты ребенка в онлайновой среде;</w:t>
      </w:r>
    </w:p>
    <w:p w14:paraId="07DFD160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осуществлять указанные выше действия в сотрудничестве с другими заинтересованными сторонами, такими как частный сектор, научные круги и неправительственные организации, для повышения эффективности защиты ребенка в онлайновой среде;</w:t>
      </w:r>
    </w:p>
    <w:p w14:paraId="30700945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>тесно сотрудничать со всеми заинтересованными сторонами для содействия распределению национальных и региональных телефонных номеров для целей защиты ребенка в онлайновой среде;</w:t>
      </w:r>
      <w:r w:rsidRPr="002B2BF7">
        <w:rPr>
          <w:lang w:val="ru-RU"/>
        </w:rPr>
        <w:br w:type="page"/>
      </w:r>
    </w:p>
    <w:p w14:paraId="55207B26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lastRenderedPageBreak/>
        <w:t>4</w:t>
      </w:r>
      <w:r w:rsidRPr="002B2BF7">
        <w:rPr>
          <w:lang w:val="ru-RU"/>
        </w:rPr>
        <w:tab/>
        <w:t>поддерживать сбор и анализ данных для получения статистической информации и показателей в области защиты ребенка в онлайновой среде, которые будут содействовать разработке и реализации государственной политики, обеспечивая возможность проведения сопоставлений между странами;</w:t>
      </w:r>
    </w:p>
    <w:p w14:paraId="5A214DE6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в сотрудничестве с частными сектором, академическими учреждениями и неправительственными организациями разрабатывать подходы, основанные на саморегулировании;</w:t>
      </w:r>
    </w:p>
    <w:p w14:paraId="4AB65C60" w14:textId="77777777" w:rsidR="0073044F" w:rsidRPr="002B2BF7" w:rsidRDefault="0073044F" w:rsidP="0073044F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>способствовать распространению разработанных в рамках процессов БРЭ учебных курсов и руководящих указаний в области защиты ребенка в онлайновой среде среди заинтересованных сторон и учебных заведений,</w:t>
      </w:r>
    </w:p>
    <w:p w14:paraId="5102B753" w14:textId="77777777" w:rsidR="0073044F" w:rsidRPr="002B2BF7" w:rsidRDefault="0073044F" w:rsidP="0073044F">
      <w:pPr>
        <w:pStyle w:val="Call"/>
        <w:rPr>
          <w:lang w:val="ru-RU" w:eastAsia="zh-CN"/>
        </w:rPr>
      </w:pPr>
      <w:r w:rsidRPr="002B2BF7">
        <w:rPr>
          <w:lang w:val="ru-RU" w:eastAsia="zh-CN"/>
        </w:rPr>
        <w:t>предлагает Членам Секторов</w:t>
      </w:r>
    </w:p>
    <w:p w14:paraId="703FCCEE" w14:textId="77777777" w:rsidR="0073044F" w:rsidRPr="002B2BF7" w:rsidRDefault="0073044F" w:rsidP="0073044F">
      <w:pPr>
        <w:rPr>
          <w:lang w:val="ru-RU" w:eastAsia="zh-CN"/>
        </w:rPr>
      </w:pPr>
      <w:r w:rsidRPr="002B2BF7">
        <w:rPr>
          <w:lang w:val="ru-RU" w:eastAsia="zh-CN"/>
        </w:rPr>
        <w:t>1</w:t>
      </w:r>
      <w:r w:rsidRPr="002B2BF7">
        <w:rPr>
          <w:lang w:val="ru-RU" w:eastAsia="zh-CN"/>
        </w:rPr>
        <w:tab/>
        <w:t>разрабатывать решения и приложения для защиты детей, которые упрощают для них процесс установления связи со службами защиты ребенка в онлайновой среде;</w:t>
      </w:r>
    </w:p>
    <w:p w14:paraId="5AA5C83C" w14:textId="77777777" w:rsidR="0073044F" w:rsidRPr="002B2BF7" w:rsidRDefault="0073044F" w:rsidP="0073044F">
      <w:pPr>
        <w:rPr>
          <w:lang w:val="ru-RU" w:eastAsia="zh-CN"/>
        </w:rPr>
      </w:pPr>
      <w:r w:rsidRPr="002B2BF7">
        <w:rPr>
          <w:lang w:val="ru-RU" w:eastAsia="zh-CN"/>
        </w:rPr>
        <w:t>2</w:t>
      </w:r>
      <w:r w:rsidRPr="002B2BF7">
        <w:rPr>
          <w:lang w:val="ru-RU" w:eastAsia="zh-CN"/>
        </w:rPr>
        <w:tab/>
      </w:r>
      <w:r w:rsidRPr="002B2BF7">
        <w:rPr>
          <w:lang w:val="ru-RU"/>
        </w:rPr>
        <w:t>информировать Государства-Члены о современных технологических решениях в области защиты ребенка в онлайновой среде с учетом передового опыта отрасли и других заинтересованных сторон.</w:t>
      </w:r>
    </w:p>
    <w:p w14:paraId="24FF96B7" w14:textId="77777777" w:rsidR="0073044F" w:rsidRPr="002B2BF7" w:rsidRDefault="0073044F" w:rsidP="0073044F">
      <w:pPr>
        <w:pStyle w:val="Reasons"/>
        <w:rPr>
          <w:lang w:val="ru-RU"/>
        </w:rPr>
      </w:pPr>
    </w:p>
    <w:p w14:paraId="7C45BA0D" w14:textId="77777777" w:rsidR="0073044F" w:rsidRPr="002B2BF7" w:rsidRDefault="0073044F" w:rsidP="0073044F">
      <w:pPr>
        <w:pStyle w:val="Reasons"/>
        <w:rPr>
          <w:lang w:val="ru-RU"/>
        </w:rPr>
      </w:pPr>
    </w:p>
    <w:p w14:paraId="19FF812E" w14:textId="77777777" w:rsidR="0073044F" w:rsidRPr="002B2BF7" w:rsidRDefault="0073044F" w:rsidP="0073044F">
      <w:pPr>
        <w:pStyle w:val="Reasons"/>
        <w:rPr>
          <w:lang w:val="ru-RU"/>
        </w:rPr>
      </w:pPr>
    </w:p>
    <w:p w14:paraId="7A0B904F" w14:textId="77777777" w:rsidR="0073044F" w:rsidRPr="002B2BF7" w:rsidRDefault="0073044F" w:rsidP="0073044F">
      <w:pPr>
        <w:pStyle w:val="Reasons"/>
        <w:rPr>
          <w:lang w:val="ru-RU"/>
        </w:rPr>
      </w:pPr>
    </w:p>
    <w:p w14:paraId="28AC154C" w14:textId="77777777" w:rsidR="0073044F" w:rsidRPr="002B2BF7" w:rsidRDefault="0073044F" w:rsidP="0073044F">
      <w:pPr>
        <w:pStyle w:val="Reasons"/>
        <w:rPr>
          <w:lang w:val="ru-RU"/>
        </w:rPr>
      </w:pPr>
    </w:p>
    <w:p w14:paraId="6CB9BBFB" w14:textId="77777777" w:rsidR="0073044F" w:rsidRPr="002B2BF7" w:rsidRDefault="0073044F" w:rsidP="0073044F">
      <w:pPr>
        <w:pStyle w:val="Reasons"/>
        <w:rPr>
          <w:lang w:val="ru-RU"/>
        </w:rPr>
      </w:pPr>
    </w:p>
    <w:p w14:paraId="2C6D6EF1" w14:textId="77777777" w:rsidR="0073044F" w:rsidRPr="002B2BF7" w:rsidRDefault="0073044F" w:rsidP="0073044F">
      <w:pPr>
        <w:pStyle w:val="Reasons"/>
        <w:rPr>
          <w:lang w:val="ru-RU"/>
        </w:rPr>
      </w:pPr>
    </w:p>
    <w:p w14:paraId="7D45D69C" w14:textId="77777777" w:rsidR="0073044F" w:rsidRPr="002B2BF7" w:rsidRDefault="0073044F" w:rsidP="0073044F">
      <w:pPr>
        <w:pStyle w:val="Reasons"/>
        <w:rPr>
          <w:lang w:val="ru-RU"/>
        </w:rPr>
      </w:pPr>
    </w:p>
    <w:p w14:paraId="7B470E50" w14:textId="77777777" w:rsidR="0073044F" w:rsidRPr="002B2BF7" w:rsidRDefault="0073044F" w:rsidP="0073044F">
      <w:pPr>
        <w:pStyle w:val="Reasons"/>
        <w:rPr>
          <w:lang w:val="ru-RU"/>
        </w:rPr>
      </w:pPr>
    </w:p>
    <w:p w14:paraId="3FBB6BCD" w14:textId="77777777" w:rsidR="00E45F09" w:rsidRPr="0073044F" w:rsidRDefault="00E45F09" w:rsidP="0073044F">
      <w:pPr>
        <w:rPr>
          <w:lang w:val="ru-RU"/>
        </w:rPr>
      </w:pPr>
    </w:p>
    <w:sectPr w:rsidR="00E45F09" w:rsidRPr="0073044F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6FFD05C6" w14:textId="77777777" w:rsidR="0073044F" w:rsidRPr="00FE2866" w:rsidRDefault="0073044F" w:rsidP="007304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FE2866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68DEDAAA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73044F">
          <w:rPr>
            <w:noProof/>
            <w:szCs w:val="22"/>
          </w:rPr>
          <w:t>67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32350C3B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73044F">
      <w:rPr>
        <w:noProof/>
        <w:szCs w:val="22"/>
      </w:rPr>
      <w:t>67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150FA6"/>
    <w:rsid w:val="00155E4F"/>
    <w:rsid w:val="001D38B0"/>
    <w:rsid w:val="00247508"/>
    <w:rsid w:val="00282B03"/>
    <w:rsid w:val="00316908"/>
    <w:rsid w:val="00373FF6"/>
    <w:rsid w:val="003C2BD9"/>
    <w:rsid w:val="003E584B"/>
    <w:rsid w:val="004F44FF"/>
    <w:rsid w:val="00523CDB"/>
    <w:rsid w:val="006677D6"/>
    <w:rsid w:val="00686D9E"/>
    <w:rsid w:val="0073044F"/>
    <w:rsid w:val="00791A97"/>
    <w:rsid w:val="00905C06"/>
    <w:rsid w:val="009D3EFE"/>
    <w:rsid w:val="00B65A4E"/>
    <w:rsid w:val="00B7660C"/>
    <w:rsid w:val="00B95B42"/>
    <w:rsid w:val="00D90490"/>
    <w:rsid w:val="00DD3985"/>
    <w:rsid w:val="00E45F09"/>
    <w:rsid w:val="00FF162F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styleId="FootnoteReference">
    <w:name w:val="footnote reference"/>
    <w:basedOn w:val="DefaultParagraphFont"/>
    <w:rsid w:val="00791A97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91A97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791A97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enumlev1">
    <w:name w:val="enumlev1"/>
    <w:basedOn w:val="Normal"/>
    <w:link w:val="enumlev1Char"/>
    <w:rsid w:val="00373FF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373FF6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te">
    <w:name w:val="Note"/>
    <w:basedOn w:val="Normal"/>
    <w:next w:val="Normal"/>
    <w:rsid w:val="006677D6"/>
    <w:pPr>
      <w:tabs>
        <w:tab w:val="left" w:pos="284"/>
      </w:tabs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2053</Words>
  <Characters>11706</Characters>
  <Application>Microsoft Office Word</Application>
  <DocSecurity>0</DocSecurity>
  <Lines>97</Lines>
  <Paragraphs>27</Paragraphs>
  <ScaleCrop>false</ScaleCrop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23</cp:revision>
  <dcterms:created xsi:type="dcterms:W3CDTF">2023-10-16T12:49:00Z</dcterms:created>
  <dcterms:modified xsi:type="dcterms:W3CDTF">2023-10-16T13:41:00Z</dcterms:modified>
</cp:coreProperties>
</file>