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EB28" w14:textId="77777777" w:rsidR="00C71E6E" w:rsidRPr="007D4F79" w:rsidRDefault="00C71E6E" w:rsidP="00C71E6E">
      <w:pPr>
        <w:pStyle w:val="ResNo"/>
        <w:rPr>
          <w:lang w:val="fr-FR"/>
        </w:rPr>
      </w:pPr>
      <w:bookmarkStart w:id="0" w:name="_Toc116542404"/>
      <w:r w:rsidRPr="007D4F79">
        <w:rPr>
          <w:lang w:val="fr-FR"/>
        </w:rPr>
        <w:t>RÉSOLUTION 66 (</w:t>
      </w:r>
      <w:r w:rsidRPr="007D4F79">
        <w:rPr>
          <w:caps w:val="0"/>
          <w:lang w:val="fr-FR"/>
        </w:rPr>
        <w:t>Rév. Kigali, 2022</w:t>
      </w:r>
      <w:r w:rsidRPr="007D4F79">
        <w:rPr>
          <w:lang w:val="fr-FR"/>
        </w:rPr>
        <w:t>)</w:t>
      </w:r>
      <w:bookmarkEnd w:id="0"/>
    </w:p>
    <w:p w14:paraId="361623F7" w14:textId="77777777" w:rsidR="00C71E6E" w:rsidRPr="007D4F79" w:rsidRDefault="00C71E6E" w:rsidP="00C71E6E">
      <w:pPr>
        <w:pStyle w:val="Restitle"/>
        <w:rPr>
          <w:lang w:val="fr-FR"/>
        </w:rPr>
      </w:pPr>
      <w:bookmarkStart w:id="1" w:name="_Toc116542405"/>
      <w:r w:rsidRPr="007D4F79">
        <w:rPr>
          <w:lang w:val="fr-FR"/>
        </w:rPr>
        <w:t>Les technologies de l'information et de la communication, l'environnement, les changements climatiques et l'économie circulaire</w:t>
      </w:r>
      <w:bookmarkEnd w:id="1"/>
    </w:p>
    <w:p w14:paraId="0A6E8AAF" w14:textId="77777777" w:rsidR="00C71E6E" w:rsidRPr="007D4F79" w:rsidRDefault="00C71E6E" w:rsidP="00C71E6E">
      <w:pPr>
        <w:pStyle w:val="Normalaftertitle"/>
        <w:rPr>
          <w:lang w:val="fr-FR"/>
        </w:rPr>
      </w:pPr>
      <w:r w:rsidRPr="007D4F79">
        <w:rPr>
          <w:lang w:val="fr-FR"/>
        </w:rPr>
        <w:t>La Conférence mondiale de développement des télécommunications (Kigali, 2022),</w:t>
      </w:r>
    </w:p>
    <w:p w14:paraId="4DCB07C8" w14:textId="77777777" w:rsidR="00C71E6E" w:rsidRPr="007D4F79" w:rsidRDefault="00C71E6E" w:rsidP="00C71E6E">
      <w:pPr>
        <w:pStyle w:val="Call"/>
        <w:rPr>
          <w:lang w:val="fr-FR"/>
        </w:rPr>
      </w:pPr>
      <w:r w:rsidRPr="007D4F79">
        <w:rPr>
          <w:lang w:val="fr-FR"/>
        </w:rPr>
        <w:t>rappelant</w:t>
      </w:r>
    </w:p>
    <w:p w14:paraId="00F663F1" w14:textId="77777777" w:rsidR="00C71E6E" w:rsidRPr="007D4F79" w:rsidRDefault="00C71E6E" w:rsidP="00C71E6E">
      <w:pPr>
        <w:rPr>
          <w:lang w:val="fr-FR" w:eastAsia="ko-KR" w:bidi="th-TH"/>
        </w:rPr>
      </w:pPr>
      <w:r w:rsidRPr="007D4F79">
        <w:rPr>
          <w:i/>
          <w:iCs/>
          <w:lang w:val="fr-FR"/>
        </w:rPr>
        <w:t>a)</w:t>
      </w:r>
      <w:r w:rsidRPr="007D4F79">
        <w:rPr>
          <w:i/>
          <w:iCs/>
          <w:lang w:val="fr-FR"/>
        </w:rPr>
        <w:tab/>
      </w:r>
      <w:r w:rsidRPr="007D4F79">
        <w:rPr>
          <w:lang w:val="fr-FR" w:eastAsia="ko-KR" w:bidi="th-TH"/>
        </w:rPr>
        <w:t>la Résolution 182 (Rév. Busan, 2014) de la Conférence de plénipotentiaires sur le rôle des télécommunications/technologies de l'information et de la communication (TIC) en ce qui concerne les changements climatiques et la protection de l'environnement;</w:t>
      </w:r>
    </w:p>
    <w:p w14:paraId="0764D7B1" w14:textId="77777777" w:rsidR="00C71E6E" w:rsidRPr="007D4F79" w:rsidRDefault="00C71E6E" w:rsidP="00C71E6E">
      <w:pPr>
        <w:rPr>
          <w:lang w:val="fr-FR"/>
        </w:rPr>
      </w:pPr>
      <w:r w:rsidRPr="007D4F79">
        <w:rPr>
          <w:i/>
          <w:iCs/>
          <w:lang w:val="fr-FR" w:eastAsia="ko-KR" w:bidi="th-TH"/>
        </w:rPr>
        <w:t>b)</w:t>
      </w:r>
      <w:r w:rsidRPr="007D4F79">
        <w:rPr>
          <w:i/>
          <w:iCs/>
          <w:lang w:val="fr-FR" w:eastAsia="ko-KR" w:bidi="th-TH"/>
        </w:rPr>
        <w:tab/>
      </w:r>
      <w:r w:rsidRPr="007D4F79">
        <w:rPr>
          <w:lang w:val="fr-FR"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Pr>
          <w:rStyle w:val="FootnoteReference"/>
          <w:lang w:val="fr-FR" w:eastAsia="ko-KR" w:bidi="th-TH"/>
        </w:rPr>
        <w:footnoteReference w:customMarkFollows="1" w:id="1"/>
        <w:t>1</w:t>
      </w:r>
      <w:r w:rsidRPr="007D4F79">
        <w:rPr>
          <w:lang w:val="fr-FR" w:eastAsia="ko-KR" w:bidi="th-TH"/>
        </w:rPr>
        <w:t xml:space="preserve"> de parvenir au développement durable, et aux termes de laquelle le Secrétaire général est chargé, en collaboration avec les Directeurs des Bureaux, de définir les </w:t>
      </w:r>
      <w:r w:rsidRPr="007D4F79">
        <w:rPr>
          <w:lang w:val="fr-FR"/>
        </w:rPr>
        <w:t>activités nouvelles que l'UIT devra entreprendre pour aider les pays en développement à assurer un développement durable grâce aux télécommunications et aux TIC;</w:t>
      </w:r>
    </w:p>
    <w:p w14:paraId="42B34B30" w14:textId="77777777" w:rsidR="00C71E6E" w:rsidRPr="007D4F79" w:rsidRDefault="00C71E6E" w:rsidP="00C71E6E">
      <w:pPr>
        <w:rPr>
          <w:lang w:val="fr-FR"/>
        </w:rPr>
      </w:pPr>
      <w:r w:rsidRPr="007D4F79">
        <w:rPr>
          <w:i/>
          <w:iCs/>
          <w:lang w:val="fr-FR"/>
        </w:rPr>
        <w:t>c)</w:t>
      </w:r>
      <w:r w:rsidRPr="007D4F79">
        <w:rPr>
          <w:lang w:val="fr-FR"/>
        </w:rPr>
        <w:tab/>
        <w:t>la Résolution 73/247 (2018)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 4.0 et de rendre ainsi l'activité industrielle et les systèmes de production plus durables, conformément à leurs priorités et plans nationaux;</w:t>
      </w:r>
    </w:p>
    <w:p w14:paraId="73584404" w14:textId="77777777" w:rsidR="00C71E6E" w:rsidRPr="007D4F79" w:rsidRDefault="00C71E6E" w:rsidP="00C71E6E">
      <w:pPr>
        <w:rPr>
          <w:lang w:val="fr-FR"/>
        </w:rPr>
      </w:pPr>
      <w:r w:rsidRPr="007D4F79">
        <w:rPr>
          <w:i/>
          <w:iCs/>
          <w:lang w:val="fr-FR"/>
        </w:rPr>
        <w:t>d)</w:t>
      </w:r>
      <w:r w:rsidRPr="007D4F79">
        <w:rPr>
          <w:i/>
          <w:iCs/>
          <w:lang w:val="fr-FR"/>
        </w:rPr>
        <w:tab/>
      </w:r>
      <w:r w:rsidRPr="007D4F79">
        <w:rPr>
          <w:lang w:val="fr-FR"/>
        </w:rPr>
        <w:t>la Résolution 34 (Rév. Kigali, 2022) de la présente Conférence sur le rôle des télécommunications/TIC dans la préparation aux catastrophes, l'alerte avancée, l'atténuation des effets des catastrophes, les interventions et les opérations de secours et de sauvetage;</w:t>
      </w:r>
    </w:p>
    <w:p w14:paraId="1C36523B" w14:textId="77777777" w:rsidR="00C71E6E" w:rsidRPr="007D4F79" w:rsidRDefault="00C71E6E" w:rsidP="00C71E6E">
      <w:pPr>
        <w:rPr>
          <w:lang w:val="fr-FR"/>
        </w:rPr>
      </w:pPr>
      <w:r w:rsidRPr="007D4F79">
        <w:rPr>
          <w:i/>
          <w:iCs/>
          <w:lang w:val="fr-FR"/>
        </w:rPr>
        <w:t>e)</w:t>
      </w:r>
      <w:r w:rsidRPr="007D4F79">
        <w:rPr>
          <w:lang w:val="fr-FR"/>
        </w:rPr>
        <w:tab/>
        <w:t>la Résolution 73 (Rév. Genève, 2022) de l'Assemblée mondiale de normalisation des télécommunications (AMNT) sur les TIC, l'environnement, les changements climatiques et l'économie circulaire, qui donne des instructions au Secteur de la normalisation des télécommunications de l'UIT (UIT-T) dans ce domaine;</w:t>
      </w:r>
    </w:p>
    <w:p w14:paraId="6AFD4FD0"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2EBC91D" w14:textId="77777777" w:rsidR="00C71E6E" w:rsidRPr="007D4F79" w:rsidRDefault="00C71E6E" w:rsidP="00C71E6E">
      <w:pPr>
        <w:rPr>
          <w:lang w:val="fr-FR"/>
        </w:rPr>
      </w:pPr>
      <w:r w:rsidRPr="007D4F79">
        <w:rPr>
          <w:i/>
          <w:iCs/>
          <w:lang w:val="fr-FR"/>
        </w:rPr>
        <w:lastRenderedPageBreak/>
        <w:t>f)</w:t>
      </w:r>
      <w:r w:rsidRPr="007D4F79">
        <w:rPr>
          <w:lang w:val="fr-FR"/>
        </w:rPr>
        <w:tab/>
        <w:t>la Recommandation UIT-D 21 (Dubaï, 2014) sur les TIC et les changements climatiques;</w:t>
      </w:r>
    </w:p>
    <w:p w14:paraId="7A8F1C66" w14:textId="77777777" w:rsidR="00C71E6E" w:rsidRPr="007D4F79" w:rsidRDefault="00C71E6E" w:rsidP="00C71E6E">
      <w:pPr>
        <w:rPr>
          <w:lang w:val="fr-FR"/>
        </w:rPr>
      </w:pPr>
      <w:r w:rsidRPr="007D4F79">
        <w:rPr>
          <w:i/>
          <w:iCs/>
          <w:lang w:val="fr-FR"/>
        </w:rPr>
        <w:t>g)</w:t>
      </w:r>
      <w:r w:rsidRPr="007D4F79">
        <w:rPr>
          <w:lang w:val="fr-FR"/>
        </w:rPr>
        <w:tab/>
        <w:t>les résultats des Conférences des Nations Unies sur les changements climatiques; les principaux résultats de la Conférence des Parties à la Convention de Bâle sur la gestion écologiquement rationnelle des déchets d'équipements électriques et électroniques;</w:t>
      </w:r>
    </w:p>
    <w:p w14:paraId="5F415E1A" w14:textId="77777777" w:rsidR="00C71E6E" w:rsidRPr="007D4F79" w:rsidRDefault="00C71E6E" w:rsidP="00C71E6E">
      <w:pPr>
        <w:rPr>
          <w:lang w:val="fr-FR"/>
        </w:rPr>
      </w:pPr>
      <w:r w:rsidRPr="007D4F79">
        <w:rPr>
          <w:i/>
          <w:iCs/>
          <w:lang w:val="fr-FR"/>
        </w:rPr>
        <w:t>h)</w:t>
      </w:r>
      <w:r w:rsidRPr="007D4F79">
        <w:rPr>
          <w:lang w:val="fr-FR"/>
        </w:rPr>
        <w:tab/>
        <w:t>la Résolution 79 (Rév. Genève, 2022) de l'AMNT, relative au rôle des télécommunications/TIC dans la gestion et le contrôle des déchets électriques et électroniques provenant d'équipements de télécommunication et des technologies de l'information et méthodes de traitement associées;</w:t>
      </w:r>
    </w:p>
    <w:p w14:paraId="69C3FEC2" w14:textId="77777777" w:rsidR="00C71E6E" w:rsidRPr="007D4F79" w:rsidRDefault="00C71E6E" w:rsidP="00C71E6E">
      <w:pPr>
        <w:rPr>
          <w:lang w:val="fr-FR"/>
        </w:rPr>
      </w:pPr>
      <w:r w:rsidRPr="007D4F79">
        <w:rPr>
          <w:i/>
          <w:iCs/>
          <w:lang w:val="fr-FR"/>
        </w:rPr>
        <w:t>i)</w:t>
      </w:r>
      <w:r w:rsidRPr="007D4F79">
        <w:rPr>
          <w:lang w:val="fr-FR"/>
        </w:rPr>
        <w:tab/>
        <w:t>les résultats des travaux de la Commission d'études 5 de l'UIT-T sur l'environnement, les changements climatiques et l'économie circulaire,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p w14:paraId="1F114739" w14:textId="77777777" w:rsidR="00C71E6E" w:rsidRPr="007D4F79" w:rsidRDefault="00C71E6E" w:rsidP="00C71E6E">
      <w:pPr>
        <w:rPr>
          <w:rFonts w:ascii="TimesNewRoman,Bold" w:hAnsi="TimesNewRoman,Bold" w:cs="TimesNewRoman,Bold"/>
          <w:b/>
          <w:bCs/>
          <w:szCs w:val="24"/>
          <w:lang w:val="fr-FR" w:eastAsia="zh-CN"/>
        </w:rPr>
      </w:pPr>
      <w:r w:rsidRPr="007D4F79">
        <w:rPr>
          <w:rFonts w:cs="TimesNewRoman,Bold"/>
          <w:i/>
          <w:iCs/>
          <w:szCs w:val="24"/>
          <w:lang w:val="fr-FR" w:eastAsia="zh-CN"/>
        </w:rPr>
        <w:t>j)</w:t>
      </w:r>
      <w:r w:rsidRPr="007D4F79">
        <w:rPr>
          <w:rFonts w:cs="TimesNewRoman,Bold"/>
          <w:szCs w:val="24"/>
          <w:lang w:val="fr-FR" w:eastAsia="zh-CN"/>
        </w:rPr>
        <w:tab/>
        <w:t xml:space="preserve">la </w:t>
      </w:r>
      <w:r w:rsidRPr="007D4F79">
        <w:rPr>
          <w:lang w:val="fr-FR"/>
        </w:rPr>
        <w:t>Résolution 70/1 de l'Assemblée générale des Nations Unies "Transformer notre monde: Le programme de développement durable à l'horizon 2030</w:t>
      </w:r>
      <w:r w:rsidRPr="007D4F79">
        <w:rPr>
          <w:rFonts w:cs="TimesNewRoman,Bold"/>
          <w:szCs w:val="24"/>
          <w:lang w:val="fr-FR" w:eastAsia="zh-CN"/>
        </w:rPr>
        <w:t>",</w:t>
      </w:r>
    </w:p>
    <w:p w14:paraId="74E61B03" w14:textId="77777777" w:rsidR="00C71E6E" w:rsidRPr="007D4F79" w:rsidRDefault="00C71E6E" w:rsidP="00C71E6E">
      <w:pPr>
        <w:pStyle w:val="Call"/>
        <w:rPr>
          <w:lang w:val="fr-FR"/>
        </w:rPr>
      </w:pPr>
      <w:r w:rsidRPr="007D4F79">
        <w:rPr>
          <w:lang w:val="fr-FR"/>
        </w:rPr>
        <w:t>considérant</w:t>
      </w:r>
    </w:p>
    <w:p w14:paraId="3AA742F8" w14:textId="77777777" w:rsidR="00C71E6E" w:rsidRPr="007D4F79" w:rsidRDefault="00C71E6E" w:rsidP="00C71E6E">
      <w:pPr>
        <w:rPr>
          <w:lang w:val="fr-FR"/>
        </w:rPr>
      </w:pPr>
      <w:r w:rsidRPr="007D4F79">
        <w:rPr>
          <w:rFonts w:eastAsia="MS Mincho" w:cs="Arial"/>
          <w:i/>
          <w:iCs/>
          <w:lang w:val="fr-FR" w:eastAsia="ja-JP" w:bidi="sd-Deva-IN"/>
        </w:rPr>
        <w:t>a)</w:t>
      </w:r>
      <w:r w:rsidRPr="007D4F79">
        <w:rPr>
          <w:rFonts w:eastAsia="MS Mincho"/>
          <w:lang w:val="fr-FR"/>
        </w:rPr>
        <w:tab/>
        <w:t xml:space="preserve">la nécessité de faire face à l'urgence découlant des changements climatiques en prenant des mesures efficaces, le rôle que l'UIT peut jouer afin de parvenir à une utilisation durable des TIC et </w:t>
      </w:r>
      <w:r w:rsidRPr="007D4F79">
        <w:rPr>
          <w:lang w:val="fr-FR"/>
        </w:rPr>
        <w:t>l'importance de la promotion d'un développement durable et des moyens par lesquels les TIC peuvent favoriser un développement propre;</w:t>
      </w:r>
    </w:p>
    <w:p w14:paraId="3DC0E7C1" w14:textId="77777777" w:rsidR="00C71E6E" w:rsidRPr="007D4F79" w:rsidRDefault="00C71E6E" w:rsidP="00C71E6E">
      <w:pPr>
        <w:rPr>
          <w:lang w:val="fr-FR"/>
        </w:rPr>
      </w:pPr>
      <w:r w:rsidRPr="007D4F79">
        <w:rPr>
          <w:i/>
          <w:iCs/>
          <w:lang w:val="fr-FR"/>
        </w:rPr>
        <w:t>b)</w:t>
      </w:r>
      <w:r w:rsidRPr="007D4F79">
        <w:rPr>
          <w:lang w:val="fr-FR"/>
        </w:rPr>
        <w:tab/>
        <w:t>que l'on a constaté récemment les conséquences de l'absence de préparation des pays en développement par le passé et que sans préparation, ces pays risquent de subir d'importantes conséquences défavorables, notamment les répercussions de l'élévation du niveau des mers dans de nombreuses zones côtières;</w:t>
      </w:r>
    </w:p>
    <w:p w14:paraId="2C87B1C7" w14:textId="77777777" w:rsidR="00C71E6E" w:rsidRPr="007D4F79" w:rsidRDefault="00C71E6E" w:rsidP="00C71E6E">
      <w:pPr>
        <w:rPr>
          <w:lang w:val="fr-FR"/>
        </w:rPr>
      </w:pPr>
      <w:r w:rsidRPr="007D4F79">
        <w:rPr>
          <w:i/>
          <w:iCs/>
          <w:lang w:val="fr-FR"/>
        </w:rPr>
        <w:t>c)</w:t>
      </w:r>
      <w:r w:rsidRPr="007D4F79">
        <w:rPr>
          <w:lang w:val="fr-FR"/>
        </w:rPr>
        <w:tab/>
        <w:t>que le concept de câbles SMART (surveillance scientifique et télécommunications fiables) prévoit l'intégration, dans les répéteurs des câbles sous-marins, de capteurs à vocation scientifique pour mesurer la température au fond des océans, la pression et l'accélération sismique;</w:t>
      </w:r>
    </w:p>
    <w:p w14:paraId="6CBBF0E3"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1152D41" w14:textId="77777777" w:rsidR="00C71E6E" w:rsidRPr="007D4F79" w:rsidRDefault="00C71E6E" w:rsidP="00C71E6E">
      <w:pPr>
        <w:rPr>
          <w:lang w:val="fr-FR"/>
        </w:rPr>
      </w:pPr>
      <w:r w:rsidRPr="007D4F79">
        <w:rPr>
          <w:i/>
          <w:iCs/>
          <w:lang w:val="fr-FR"/>
        </w:rPr>
        <w:lastRenderedPageBreak/>
        <w:t>d)</w:t>
      </w:r>
      <w:r w:rsidRPr="007D4F79">
        <w:rPr>
          <w:lang w:val="fr-FR"/>
        </w:rPr>
        <w:tab/>
        <w:t>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œuvre de plates-formes de télédétection par satellite et au sol pour l'observation de l'environnement, y compris pour l'observation météorologique, et les technologies de détection sous-marine innovantes, y compris les câbles de télécommunication sous-marins SMART, ainsi que l'utilisation des TIC pour donner l'alerte en cas de phénomènes météorologiques dangereux et pour faciliter les communications des organismes d'assistance, qu'il s'agisse d'organismes publics ou non gouvernementaux;</w:t>
      </w:r>
    </w:p>
    <w:p w14:paraId="2475C299" w14:textId="77777777" w:rsidR="00C71E6E" w:rsidRPr="007D4F79" w:rsidRDefault="00C71E6E" w:rsidP="00C71E6E">
      <w:pPr>
        <w:rPr>
          <w:szCs w:val="24"/>
          <w:lang w:val="fr-FR"/>
        </w:rPr>
      </w:pPr>
      <w:r w:rsidRPr="007D4F79">
        <w:rPr>
          <w:i/>
          <w:szCs w:val="24"/>
          <w:lang w:val="fr-FR"/>
        </w:rPr>
        <w:t>e)</w:t>
      </w:r>
      <w:r w:rsidRPr="007D4F79">
        <w:rPr>
          <w:szCs w:val="24"/>
          <w:lang w:val="fr-FR"/>
        </w:rPr>
        <w:tab/>
        <w:t>que, lors des processus d'extraction des matières premières provenant de produits recyclés, il faut faire preuve de prudence concernant les procédures utilisées afin de ramener les niveaux de pollution de l'environnement à des niveaux peu élevés;</w:t>
      </w:r>
    </w:p>
    <w:p w14:paraId="54B732F6" w14:textId="77777777" w:rsidR="00C71E6E" w:rsidRPr="007D4F79" w:rsidRDefault="00C71E6E" w:rsidP="00C71E6E">
      <w:pPr>
        <w:rPr>
          <w:szCs w:val="24"/>
          <w:lang w:val="fr-FR"/>
        </w:rPr>
      </w:pPr>
      <w:r w:rsidRPr="007D4F79">
        <w:rPr>
          <w:i/>
          <w:iCs/>
          <w:lang w:val="fr-FR"/>
        </w:rPr>
        <w:t>f)</w:t>
      </w:r>
      <w:r w:rsidRPr="007D4F79">
        <w:rPr>
          <w:lang w:val="fr-FR"/>
        </w:rPr>
        <w:tab/>
        <w:t xml:space="preserve">les résultats des travaux de la Commission d'études 2 </w:t>
      </w:r>
      <w:r w:rsidRPr="007D4F79">
        <w:rPr>
          <w:color w:val="000000"/>
          <w:lang w:val="fr-FR"/>
        </w:rPr>
        <w:t xml:space="preserve">du Secteur du développement des télécommunications de l'UIT (UIT-D) </w:t>
      </w:r>
      <w:r w:rsidRPr="007D4F79">
        <w:rPr>
          <w:szCs w:val="24"/>
          <w:lang w:val="fr-FR"/>
        </w:rPr>
        <w:t>sur les TIC et les changements climatiques,</w:t>
      </w:r>
    </w:p>
    <w:p w14:paraId="132AE25F" w14:textId="77777777" w:rsidR="00C71E6E" w:rsidRPr="007D4F79" w:rsidRDefault="00C71E6E" w:rsidP="00C71E6E">
      <w:pPr>
        <w:pStyle w:val="Call"/>
        <w:rPr>
          <w:lang w:val="fr-FR"/>
        </w:rPr>
      </w:pPr>
      <w:r w:rsidRPr="007D4F79">
        <w:rPr>
          <w:lang w:val="fr-FR" w:eastAsia="ko-KR"/>
        </w:rPr>
        <w:t>considérant en outre</w:t>
      </w:r>
    </w:p>
    <w:p w14:paraId="6F3B0DF5" w14:textId="77777777" w:rsidR="00C71E6E" w:rsidRPr="007D4F79" w:rsidRDefault="00C71E6E" w:rsidP="00C71E6E">
      <w:pPr>
        <w:rPr>
          <w:lang w:val="fr-FR"/>
        </w:rPr>
      </w:pPr>
      <w:r w:rsidRPr="007D4F79">
        <w:rPr>
          <w:lang w:val="fr-FR"/>
        </w:rPr>
        <w:t>le document final adopté par la Conférence des Nations Unies sur le développement durable (Rio+20), intitulé "L'avenir que nous voulons", qui témoigne de l'engagement renouvelé en faveur du développement et d'un environnement durables et dans lequel il est reconnu que les TIC jouent un rôle important,</w:t>
      </w:r>
    </w:p>
    <w:p w14:paraId="479359BA" w14:textId="77777777" w:rsidR="00C71E6E" w:rsidRPr="007D4F79" w:rsidRDefault="00C71E6E" w:rsidP="00C71E6E">
      <w:pPr>
        <w:pStyle w:val="Call"/>
        <w:rPr>
          <w:lang w:val="fr-FR"/>
        </w:rPr>
      </w:pPr>
      <w:r w:rsidRPr="007D4F79">
        <w:rPr>
          <w:lang w:val="fr-FR"/>
        </w:rPr>
        <w:t>notant</w:t>
      </w:r>
    </w:p>
    <w:p w14:paraId="7AE619CC" w14:textId="77777777" w:rsidR="00C71E6E" w:rsidRPr="007D4F79" w:rsidRDefault="00C71E6E" w:rsidP="00C71E6E">
      <w:pPr>
        <w:keepNext/>
        <w:keepLines/>
        <w:rPr>
          <w:lang w:val="fr-FR" w:eastAsia="ko-KR" w:bidi="th-TH"/>
        </w:rPr>
      </w:pPr>
      <w:r w:rsidRPr="007D4F79">
        <w:rPr>
          <w:rFonts w:eastAsia="MS Mincho"/>
          <w:i/>
          <w:iCs/>
          <w:lang w:val="fr-FR" w:eastAsia="ja-JP" w:bidi="sd-Deva-IN"/>
        </w:rPr>
        <w:t>a)</w:t>
      </w:r>
      <w:r w:rsidRPr="007D4F79">
        <w:rPr>
          <w:rFonts w:eastAsia="MS Mincho"/>
          <w:lang w:val="fr-FR"/>
        </w:rPr>
        <w:tab/>
        <w:t>les travaux actuels et futurs sur les TIC et les changements climatiques, notamment ceux menés par les commissions d'études concernées de l'UIT, par exemple la Commission d'études 5 de l'UIT</w:t>
      </w:r>
      <w:r w:rsidRPr="007D4F79">
        <w:rPr>
          <w:rFonts w:eastAsia="MS Mincho"/>
          <w:lang w:val="fr-FR"/>
        </w:rPr>
        <w:noBreakHyphen/>
        <w:t>T et la Commission d'études 2 de l'UIT</w:t>
      </w:r>
      <w:r w:rsidRPr="007D4F79">
        <w:rPr>
          <w:rFonts w:eastAsia="MS Mincho"/>
          <w:lang w:val="fr-FR"/>
        </w:rPr>
        <w:noBreakHyphen/>
        <w:t>D, qui étudient essentiellement</w:t>
      </w:r>
      <w:r w:rsidRPr="007D4F79" w:rsidDel="00F411F9">
        <w:rPr>
          <w:lang w:val="fr-FR"/>
        </w:rPr>
        <w:t xml:space="preserve"> </w:t>
      </w:r>
      <w:r w:rsidRPr="007D4F79">
        <w:rPr>
          <w:rFonts w:eastAsia="MS Mincho"/>
          <w:lang w:val="fr-FR"/>
        </w:rPr>
        <w:t>les questions liées aux changements climatiques, aux déchets d'équipements électriques et électroniques et à l'exposition des personnes aux champs électromagnétiques;</w:t>
      </w:r>
    </w:p>
    <w:p w14:paraId="68789028" w14:textId="77777777" w:rsidR="00C71E6E" w:rsidRPr="007D4F79" w:rsidRDefault="00C71E6E" w:rsidP="00C71E6E">
      <w:pPr>
        <w:rPr>
          <w:lang w:val="fr-FR"/>
        </w:rPr>
      </w:pPr>
      <w:r w:rsidRPr="007D4F79">
        <w:rPr>
          <w:i/>
          <w:iCs/>
          <w:lang w:val="fr-FR"/>
        </w:rPr>
        <w:t>b)</w:t>
      </w:r>
      <w:r w:rsidRPr="007D4F79">
        <w:rPr>
          <w:lang w:val="fr-FR"/>
        </w:rPr>
        <w:tab/>
        <w:t>qu'il est important de mettre en place un environnement dans lequel les États Membres et les Membres des Secteurs de l'UIT ainsi que d'autres parties prenantes pourront coopérer pour obtenir et utiliser efficacement des données de télédétection pour la recherche sur les changements climatiques, la gestion des catastrophes et l'administration publique</w:t>
      </w:r>
      <w:r>
        <w:rPr>
          <w:rStyle w:val="FootnoteReference"/>
          <w:lang w:val="fr-FR"/>
        </w:rPr>
        <w:footnoteReference w:customMarkFollows="1" w:id="2"/>
        <w:t>2</w:t>
      </w:r>
      <w:r w:rsidRPr="007D4F79">
        <w:rPr>
          <w:lang w:val="fr-FR"/>
        </w:rPr>
        <w:t>;</w:t>
      </w:r>
    </w:p>
    <w:p w14:paraId="743F41D8"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9CDEA37" w14:textId="77777777" w:rsidR="00C71E6E" w:rsidRPr="007D4F79" w:rsidRDefault="00C71E6E" w:rsidP="00C71E6E">
      <w:pPr>
        <w:rPr>
          <w:lang w:val="fr-FR"/>
        </w:rPr>
      </w:pPr>
      <w:r w:rsidRPr="007D4F79">
        <w:rPr>
          <w:i/>
          <w:iCs/>
          <w:lang w:val="fr-FR"/>
        </w:rPr>
        <w:lastRenderedPageBreak/>
        <w:t>c)</w:t>
      </w:r>
      <w:r w:rsidRPr="007D4F79">
        <w:rPr>
          <w:i/>
          <w:iCs/>
          <w:lang w:val="fr-FR"/>
        </w:rPr>
        <w:tab/>
      </w:r>
      <w:r w:rsidRPr="007D4F79">
        <w:rPr>
          <w:lang w:val="fr-FR"/>
        </w:rPr>
        <w:t>que d'autres instances internationales mènent des travaux sur les questions relatives aux changements climatiques et que l'UIT devrait collaborer avec ces instances,</w:t>
      </w:r>
    </w:p>
    <w:p w14:paraId="2B9F0571" w14:textId="77777777" w:rsidR="00C71E6E" w:rsidRPr="007D4F79" w:rsidRDefault="00C71E6E" w:rsidP="00C71E6E">
      <w:pPr>
        <w:pStyle w:val="Call"/>
        <w:rPr>
          <w:lang w:val="fr-FR"/>
        </w:rPr>
      </w:pPr>
      <w:r w:rsidRPr="007D4F79">
        <w:rPr>
          <w:lang w:val="fr-FR"/>
        </w:rPr>
        <w:t>reconnaissant</w:t>
      </w:r>
    </w:p>
    <w:p w14:paraId="0EA08224" w14:textId="77777777" w:rsidR="00C71E6E" w:rsidRPr="007D4F79" w:rsidRDefault="00C71E6E" w:rsidP="00C71E6E">
      <w:pPr>
        <w:rPr>
          <w:lang w:val="fr-FR"/>
        </w:rPr>
      </w:pPr>
      <w:r w:rsidRPr="007D4F79">
        <w:rPr>
          <w:i/>
          <w:iCs/>
          <w:lang w:val="fr-FR"/>
        </w:rPr>
        <w:t>a)</w:t>
      </w:r>
      <w:r w:rsidRPr="007D4F79">
        <w:rPr>
          <w:lang w:val="fr-FR"/>
        </w:rPr>
        <w:tab/>
        <w:t>que l'UIT, la Commission océanographique intergouvernementale de l'Organisation des Nations Unies pour l'éducation, la science et la culture (UNESCO-COI) et l'Organisation météorologique mondiale (OMM) ont mis sur pied, fin 2012, un Groupe d'action mixte chargé d'étudier l'utilisation des câbles de télécommunication sous-marins pour la surveillance des océans et du climat et l'alerte en cas de catastrophe (Groupe d'action mixte sur les systèmes de câbles sous-marins SMART);</w:t>
      </w:r>
    </w:p>
    <w:p w14:paraId="3EAD5A7F" w14:textId="77777777" w:rsidR="00C71E6E" w:rsidRPr="007D4F79" w:rsidRDefault="00C71E6E" w:rsidP="00C71E6E">
      <w:pPr>
        <w:rPr>
          <w:lang w:val="fr-FR"/>
        </w:rPr>
      </w:pPr>
      <w:r w:rsidRPr="007D4F79">
        <w:rPr>
          <w:i/>
          <w:iCs/>
          <w:lang w:val="fr-FR"/>
        </w:rPr>
        <w:t>b)</w:t>
      </w:r>
      <w:r w:rsidRPr="007D4F79">
        <w:rPr>
          <w:lang w:val="fr-FR"/>
        </w:rPr>
        <w:tab/>
        <w:t>que les informations obtenues grâce aux câbles SMART peuvent être utilisées pour:</w:t>
      </w:r>
    </w:p>
    <w:p w14:paraId="1B75958D" w14:textId="77777777" w:rsidR="00C71E6E" w:rsidRPr="007D4F79" w:rsidRDefault="00C71E6E" w:rsidP="00C71E6E">
      <w:pPr>
        <w:pStyle w:val="enumlev1"/>
        <w:rPr>
          <w:lang w:val="fr-FR"/>
        </w:rPr>
      </w:pPr>
      <w:r w:rsidRPr="007D4F79">
        <w:rPr>
          <w:lang w:val="fr-FR"/>
        </w:rPr>
        <w:t>i)</w:t>
      </w:r>
      <w:r w:rsidRPr="007D4F79">
        <w:rPr>
          <w:lang w:val="fr-FR"/>
        </w:rPr>
        <w:tab/>
        <w:t>la surveillance des changements climatiques (circulation océanique, contenu thermique et élévation du niveau des mers);</w:t>
      </w:r>
    </w:p>
    <w:p w14:paraId="08F70CC8" w14:textId="77777777" w:rsidR="00C71E6E" w:rsidRPr="007D4F79" w:rsidRDefault="00C71E6E" w:rsidP="00C71E6E">
      <w:pPr>
        <w:pStyle w:val="enumlev1"/>
        <w:rPr>
          <w:lang w:val="fr-FR"/>
        </w:rPr>
      </w:pPr>
      <w:r w:rsidRPr="007D4F79">
        <w:rPr>
          <w:lang w:val="fr-FR"/>
        </w:rPr>
        <w:t>ii)</w:t>
      </w:r>
      <w:r w:rsidRPr="007D4F79">
        <w:rPr>
          <w:lang w:val="fr-FR"/>
        </w:rPr>
        <w:tab/>
        <w:t>la surveillance sismique (structure terrestre et risques connexes);</w:t>
      </w:r>
    </w:p>
    <w:p w14:paraId="08B1FDDF" w14:textId="77777777" w:rsidR="00C71E6E" w:rsidRPr="007D4F79" w:rsidRDefault="00C71E6E" w:rsidP="00C71E6E">
      <w:pPr>
        <w:pStyle w:val="enumlev1"/>
        <w:rPr>
          <w:lang w:val="fr-FR"/>
        </w:rPr>
      </w:pPr>
      <w:r w:rsidRPr="007D4F79">
        <w:rPr>
          <w:lang w:val="fr-FR"/>
        </w:rPr>
        <w:t>iii)</w:t>
      </w:r>
      <w:r w:rsidRPr="007D4F79">
        <w:rPr>
          <w:lang w:val="fr-FR"/>
        </w:rPr>
        <w:tab/>
        <w:t>l'alerte avancée en cas de tsunami ou de tremblement de terre en champ proche ou lointain, ce qui contribue à la réduction des risques de catastrophe;</w:t>
      </w:r>
    </w:p>
    <w:p w14:paraId="2F6503BE" w14:textId="77777777" w:rsidR="00C71E6E" w:rsidRPr="007D4F79" w:rsidRDefault="00C71E6E" w:rsidP="00C71E6E">
      <w:pPr>
        <w:pStyle w:val="enumlev1"/>
        <w:rPr>
          <w:lang w:val="fr-FR"/>
        </w:rPr>
      </w:pPr>
      <w:r w:rsidRPr="007D4F79">
        <w:rPr>
          <w:lang w:val="fr-FR"/>
        </w:rPr>
        <w:t>iv)</w:t>
      </w:r>
      <w:r w:rsidRPr="007D4F79">
        <w:rPr>
          <w:lang w:val="fr-FR"/>
        </w:rPr>
        <w:tab/>
        <w:t>l'alerte en cas de risques pour les câbles et l'amélioration de l'acheminement des systèmes de câbles;</w:t>
      </w:r>
    </w:p>
    <w:p w14:paraId="514D5E8C" w14:textId="77777777" w:rsidR="00C71E6E" w:rsidRPr="007D4F79" w:rsidRDefault="00C71E6E" w:rsidP="00C71E6E">
      <w:pPr>
        <w:pStyle w:val="enumlev1"/>
        <w:rPr>
          <w:lang w:val="fr-FR"/>
        </w:rPr>
      </w:pPr>
      <w:r w:rsidRPr="007D4F79">
        <w:rPr>
          <w:lang w:val="fr-FR"/>
        </w:rPr>
        <w:t>v)</w:t>
      </w:r>
      <w:r w:rsidRPr="007D4F79">
        <w:rPr>
          <w:lang w:val="fr-FR"/>
        </w:rPr>
        <w:tab/>
        <w:t>la quantification des risques pour contribuer au développement durable des infrastructures situées sur les côtes et au large,</w:t>
      </w:r>
    </w:p>
    <w:p w14:paraId="2031087D" w14:textId="77777777" w:rsidR="00C71E6E" w:rsidRPr="007D4F79" w:rsidRDefault="00C71E6E" w:rsidP="00C71E6E">
      <w:pPr>
        <w:pStyle w:val="Call"/>
        <w:rPr>
          <w:lang w:val="fr-FR"/>
        </w:rPr>
      </w:pPr>
      <w:r w:rsidRPr="007D4F79">
        <w:rPr>
          <w:lang w:val="fr-FR"/>
        </w:rPr>
        <w:t>décide</w:t>
      </w:r>
    </w:p>
    <w:p w14:paraId="141F5EE8" w14:textId="77777777" w:rsidR="00C71E6E" w:rsidRPr="007D4F79" w:rsidRDefault="00C71E6E" w:rsidP="00C71E6E">
      <w:pPr>
        <w:rPr>
          <w:lang w:val="fr-FR"/>
        </w:rPr>
      </w:pPr>
      <w:r w:rsidRPr="007D4F79">
        <w:rPr>
          <w:lang w:val="fr-FR"/>
        </w:rPr>
        <w:t>1</w:t>
      </w:r>
      <w:r w:rsidRPr="007D4F79">
        <w:rPr>
          <w:lang w:val="fr-FR"/>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14:paraId="1288A64D" w14:textId="77777777" w:rsidR="00C71E6E" w:rsidRPr="007D4F79" w:rsidRDefault="00C71E6E" w:rsidP="00C71E6E">
      <w:pPr>
        <w:rPr>
          <w:lang w:val="fr-FR"/>
        </w:rPr>
      </w:pPr>
      <w:r w:rsidRPr="007D4F79">
        <w:rPr>
          <w:lang w:val="fr-FR"/>
        </w:rPr>
        <w:t>2</w:t>
      </w:r>
      <w:r w:rsidRPr="007D4F79">
        <w:rPr>
          <w:lang w:val="fr-FR"/>
        </w:rPr>
        <w:tab/>
        <w:t xml:space="preserve">de poursuivre et d'élargir les activités de l'UIT-D sur les TIC, l'environnement, les changements climatiques et l'économie circulaire, de manière à contribuer aux initiatives générales déployées à l'échelle mondiale pour </w:t>
      </w:r>
      <w:r w:rsidRPr="007D4F79">
        <w:rPr>
          <w:color w:val="000000"/>
          <w:lang w:val="fr-FR"/>
        </w:rPr>
        <w:t>atténuer les effets des changements climatiques et s'y adapter</w:t>
      </w:r>
      <w:r w:rsidRPr="007D4F79">
        <w:rPr>
          <w:lang w:val="fr-FR"/>
        </w:rPr>
        <w:t>;</w:t>
      </w:r>
    </w:p>
    <w:p w14:paraId="1F609E68" w14:textId="77777777" w:rsidR="00C71E6E" w:rsidRPr="007D4F79" w:rsidRDefault="00C71E6E" w:rsidP="00C71E6E">
      <w:pPr>
        <w:rPr>
          <w:lang w:val="fr-FR"/>
        </w:rPr>
      </w:pPr>
      <w:r w:rsidRPr="007D4F79">
        <w:rPr>
          <w:lang w:val="fr-FR"/>
        </w:rPr>
        <w:t>3</w:t>
      </w:r>
      <w:r w:rsidRPr="007D4F79">
        <w:rPr>
          <w:lang w:val="fr-FR"/>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14:paraId="58A9CBBB"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4F99782" w14:textId="77777777" w:rsidR="00C71E6E" w:rsidRPr="007D4F79" w:rsidRDefault="00C71E6E" w:rsidP="00C71E6E">
      <w:pPr>
        <w:rPr>
          <w:lang w:val="fr-FR"/>
        </w:rPr>
      </w:pPr>
      <w:r w:rsidRPr="007D4F79">
        <w:rPr>
          <w:lang w:val="fr-FR"/>
        </w:rPr>
        <w:lastRenderedPageBreak/>
        <w:t>4</w:t>
      </w:r>
      <w:r w:rsidRPr="007D4F79">
        <w:rPr>
          <w:lang w:val="fr-FR"/>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Pr>
          <w:rStyle w:val="FootnoteReference"/>
          <w:lang w:val="fr-FR"/>
        </w:rPr>
        <w:footnoteReference w:customMarkFollows="1" w:id="3"/>
        <w:t>3</w:t>
      </w:r>
      <w:r w:rsidRPr="007D4F79">
        <w:rPr>
          <w:lang w:val="fr-FR"/>
        </w:rPr>
        <w:t xml:space="preserve"> ainsi qu'à des méthodes de travail plus efficaces et à des TIC susceptibles d'être utilisées pour remplacer des technologies ou utilisations à plus forte consommation d'énergie;</w:t>
      </w:r>
    </w:p>
    <w:p w14:paraId="76361025" w14:textId="77777777" w:rsidR="00C71E6E" w:rsidRPr="007D4F79" w:rsidRDefault="00C71E6E" w:rsidP="00C71E6E">
      <w:pPr>
        <w:rPr>
          <w:lang w:val="fr-FR"/>
        </w:rPr>
      </w:pPr>
      <w:r w:rsidRPr="007D4F79">
        <w:rPr>
          <w:lang w:val="fr-FR"/>
        </w:rPr>
        <w:t>5</w:t>
      </w:r>
      <w:r w:rsidRPr="007D4F79">
        <w:rPr>
          <w:lang w:val="fr-FR"/>
        </w:rPr>
        <w:tab/>
        <w:t>d'encourager le développement et l'application de systèmes d'énergies renouvelables, selon qu'il conviendra, pour appuyer le fonctionnement des TIC, et en particulier la continuité et la résilience en cas de catastrophe;</w:t>
      </w:r>
    </w:p>
    <w:p w14:paraId="131644F2" w14:textId="77777777" w:rsidR="00C71E6E" w:rsidRPr="007D4F79" w:rsidRDefault="00C71E6E" w:rsidP="00C71E6E">
      <w:pPr>
        <w:rPr>
          <w:lang w:val="fr-FR"/>
        </w:rPr>
      </w:pPr>
      <w:r w:rsidRPr="007D4F79">
        <w:rPr>
          <w:lang w:val="fr-FR"/>
        </w:rPr>
        <w:t>6</w:t>
      </w:r>
      <w:r w:rsidRPr="007D4F79">
        <w:rPr>
          <w:lang w:val="fr-FR"/>
        </w:rPr>
        <w:tab/>
        <w:t xml:space="preserve">de mettre en place des programmes de cyberapprentissage relatifs aux TIC, à l'environnement, aux changements climatiques et à l'économie circulaire, concernant notamment les Recommandations pertinentes de l'UIT, dans </w:t>
      </w:r>
      <w:r w:rsidRPr="007D4F79">
        <w:rPr>
          <w:color w:val="000000"/>
          <w:lang w:val="fr-FR"/>
        </w:rPr>
        <w:t>les limites des ressources disponibles,</w:t>
      </w:r>
    </w:p>
    <w:p w14:paraId="585FA1CC" w14:textId="77777777" w:rsidR="00C71E6E" w:rsidRPr="007D4F79" w:rsidRDefault="00C71E6E" w:rsidP="00C71E6E">
      <w:pPr>
        <w:pStyle w:val="Call"/>
        <w:rPr>
          <w:lang w:val="fr-FR"/>
        </w:rPr>
      </w:pPr>
      <w:r w:rsidRPr="007D4F79">
        <w:rPr>
          <w:lang w:val="fr-FR"/>
        </w:rPr>
        <w:t>charge le Directeur du Bureau de développement des télécommunications, en collaboration avec les Directeurs des autres Bureaux</w:t>
      </w:r>
    </w:p>
    <w:p w14:paraId="67CEFD8D" w14:textId="77777777" w:rsidR="00C71E6E" w:rsidRPr="007D4F79" w:rsidRDefault="00C71E6E" w:rsidP="00C71E6E">
      <w:pPr>
        <w:rPr>
          <w:lang w:val="fr-FR"/>
        </w:rPr>
      </w:pPr>
      <w:r w:rsidRPr="007D4F79">
        <w:rPr>
          <w:lang w:val="fr-FR"/>
        </w:rPr>
        <w:t>1</w:t>
      </w:r>
      <w:r w:rsidRPr="007D4F79">
        <w:rPr>
          <w:lang w:val="fr-FR"/>
        </w:rPr>
        <w:tab/>
        <w:t>de formuler un plan d'action concernant le rôle de l'UIT-D à cet égard, compte tenu du rôle des deux autres Secteurs;</w:t>
      </w:r>
    </w:p>
    <w:p w14:paraId="0AE20063" w14:textId="77777777" w:rsidR="00C71E6E" w:rsidRPr="007D4F79" w:rsidRDefault="00C71E6E" w:rsidP="00C71E6E">
      <w:pPr>
        <w:rPr>
          <w:lang w:val="fr-FR"/>
        </w:rPr>
      </w:pPr>
      <w:r w:rsidRPr="007D4F79">
        <w:rPr>
          <w:lang w:val="fr-FR"/>
        </w:rPr>
        <w:t>2</w:t>
      </w:r>
      <w:r w:rsidRPr="007D4F79">
        <w:rPr>
          <w:lang w:val="fr-FR"/>
        </w:rPr>
        <w:tab/>
        <w:t>de faire en sorte que ce plan d'action soit mis en œuvre au titre de l'objectif correspondant du Plan d'action de Kigali portant sur les TIC, l'environnement, les changements climatiques et l'économie circulaire, compte tenu des besoins des pays en développement, et de coopérer étroitement avec les commissions d'études des deux autres Secteurs ainsi qu'avec la Commission d'études 2 de l'UIT</w:t>
      </w:r>
      <w:r w:rsidRPr="007D4F79">
        <w:rPr>
          <w:lang w:val="fr-FR"/>
        </w:rPr>
        <w:noBreakHyphen/>
        <w:t>D à la mise en œuvre des Questions pertinentes;</w:t>
      </w:r>
    </w:p>
    <w:p w14:paraId="1B359A9A" w14:textId="77777777" w:rsidR="00C71E6E" w:rsidRPr="007D4F79" w:rsidRDefault="00C71E6E" w:rsidP="00C71E6E">
      <w:pPr>
        <w:rPr>
          <w:lang w:val="fr-FR"/>
        </w:rPr>
      </w:pPr>
      <w:r w:rsidRPr="007D4F79">
        <w:rPr>
          <w:lang w:val="fr-FR"/>
        </w:rPr>
        <w:t>3</w:t>
      </w:r>
      <w:r w:rsidRPr="007D4F79">
        <w:rPr>
          <w:lang w:val="fr-FR"/>
        </w:rPr>
        <w:tab/>
        <w:t>d'encourager les activités de liaison avec les autres organisations concernées, de façon à éviter toute répétition des tâches et à optimiser l'utilisation des ressources;</w:t>
      </w:r>
    </w:p>
    <w:p w14:paraId="7278C81B" w14:textId="77777777" w:rsidR="00C71E6E" w:rsidRPr="007D4F79" w:rsidRDefault="00C71E6E" w:rsidP="00C71E6E">
      <w:pPr>
        <w:rPr>
          <w:lang w:val="fr-FR"/>
        </w:rPr>
      </w:pPr>
      <w:r w:rsidRPr="007D4F79">
        <w:rPr>
          <w:lang w:val="fr-FR"/>
        </w:rPr>
        <w:t>4</w:t>
      </w:r>
      <w:r w:rsidRPr="007D4F79">
        <w:rPr>
          <w:lang w:val="fr-FR"/>
        </w:rPr>
        <w:tab/>
        <w:t>d'organiser, en collaboration étroite avec les Directeurs du Bureau des radiocommunications et du Bureau de la normalisation des télécommunications et d'autres organismes compétents, des ateliers, des séminaires et des cours de formation dans les pays en développement, au niveau régional, afin de les sensibiliser à cette question et de cerner les principaux problèmes;</w:t>
      </w:r>
    </w:p>
    <w:p w14:paraId="1EA19C90" w14:textId="77777777" w:rsidR="00C71E6E" w:rsidRPr="007D4F79" w:rsidRDefault="00C71E6E" w:rsidP="00C71E6E">
      <w:pPr>
        <w:rPr>
          <w:lang w:val="fr-FR"/>
        </w:rPr>
      </w:pPr>
      <w:r w:rsidRPr="007D4F79">
        <w:rPr>
          <w:lang w:val="fr-FR"/>
        </w:rPr>
        <w:t>5</w:t>
      </w:r>
      <w:r w:rsidRPr="007D4F79">
        <w:rPr>
          <w:lang w:val="fr-FR"/>
        </w:rPr>
        <w:tab/>
        <w:t>de présenter chaque année un rapport sur les progrès accomplis dans la mise en œuvre de la présente Résolution à la réunion du Groupe consultatif pour le développement des télécommunications;</w:t>
      </w:r>
    </w:p>
    <w:p w14:paraId="38FFF164"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DDC6231" w14:textId="77777777" w:rsidR="00C71E6E" w:rsidRPr="007D4F79" w:rsidRDefault="00C71E6E" w:rsidP="00C71E6E">
      <w:pPr>
        <w:rPr>
          <w:lang w:val="fr-FR"/>
        </w:rPr>
      </w:pPr>
      <w:r w:rsidRPr="007D4F79">
        <w:rPr>
          <w:lang w:val="fr-FR"/>
        </w:rPr>
        <w:lastRenderedPageBreak/>
        <w:t>6</w:t>
      </w:r>
      <w:r w:rsidRPr="007D4F79">
        <w:rPr>
          <w:lang w:val="fr-FR"/>
        </w:rPr>
        <w:tab/>
        <w:t>de veiller, lors de la mise en œuvre du Plan d'action de Kigali et dans les limites budgétaires de l'Union, à ce que des ressources appropriées soient allouées aux initiatives relatives aux TIC et aux changements climatiques;</w:t>
      </w:r>
    </w:p>
    <w:p w14:paraId="1AAFDBFA" w14:textId="77777777" w:rsidR="00C71E6E" w:rsidRPr="007D4F79" w:rsidRDefault="00C71E6E" w:rsidP="00C71E6E">
      <w:pPr>
        <w:rPr>
          <w:lang w:val="fr-FR"/>
        </w:rPr>
      </w:pPr>
      <w:r w:rsidRPr="007D4F79">
        <w:rPr>
          <w:lang w:val="fr-FR"/>
        </w:rPr>
        <w:t>7</w:t>
      </w:r>
      <w:r w:rsidRPr="007D4F79">
        <w:rPr>
          <w:lang w:val="fr-FR"/>
        </w:rPr>
        <w:tab/>
        <w:t>de concevoir des projets pilotes visant à réduire l'écart en matière de normalisation concernant les questions liées à la durabilité de l'environnement, en particulier dans les pays en développement, et d'évaluer les besoins de ces pays dans le domaine des TIC, de l'environnement, des changements climatiques et de l'économie circulaire, dans la limite des ressources disponibles;</w:t>
      </w:r>
    </w:p>
    <w:p w14:paraId="6796C80E" w14:textId="77777777" w:rsidR="00C71E6E" w:rsidRPr="007D4F79" w:rsidRDefault="00C71E6E" w:rsidP="00C71E6E">
      <w:pPr>
        <w:rPr>
          <w:lang w:val="fr-FR"/>
        </w:rPr>
      </w:pPr>
      <w:r w:rsidRPr="007D4F79">
        <w:rPr>
          <w:lang w:val="fr-FR"/>
        </w:rPr>
        <w:t>8</w:t>
      </w:r>
      <w:r w:rsidRPr="007D4F79">
        <w:rPr>
          <w:lang w:val="fr-FR"/>
        </w:rPr>
        <w:tab/>
        <w:t>de faciliter l'élaboration de rapports sur les TIC, l'environnement, les changements climatiques et l'économie circulaire, en tenant compte des études se rapportant à ce domaine menées par les commissions d'études de l'UIT-D,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t>
      </w:r>
    </w:p>
    <w:p w14:paraId="1E85B0CE" w14:textId="77777777" w:rsidR="00C71E6E" w:rsidRPr="007D4F79" w:rsidRDefault="00C71E6E" w:rsidP="00C71E6E">
      <w:pPr>
        <w:rPr>
          <w:lang w:val="fr-FR"/>
        </w:rPr>
      </w:pPr>
      <w:r w:rsidRPr="007D4F79">
        <w:rPr>
          <w:lang w:val="fr-FR"/>
        </w:rPr>
        <w:t>9</w:t>
      </w:r>
      <w:r w:rsidRPr="007D4F79">
        <w:rPr>
          <w:lang w:val="fr-FR"/>
        </w:rPr>
        <w:tab/>
        <w:t>d'aider les pays en développement à entreprendre une évaluation appropriée de la quantité de déchets d'équipements électriques et électroniques et à lancer des projets pilotes, en vue d'instaurer une gestion écologiquement rationnelle de ces déchets, en procédant à la collecte, au démantèlement, à la remise en état et au recyclage des équipements mis au rebut, et à adopter une approche axée sur le cycle de vie des produits électriques et électroniques, compte tenu des travaux effectués par la Commission d'études 5 de l'UIT-T;</w:t>
      </w:r>
    </w:p>
    <w:p w14:paraId="09DCA203" w14:textId="77777777" w:rsidR="00C71E6E" w:rsidRPr="007D4F79" w:rsidRDefault="00C71E6E" w:rsidP="00C71E6E">
      <w:pPr>
        <w:rPr>
          <w:lang w:val="fr-FR"/>
        </w:rPr>
      </w:pPr>
      <w:r w:rsidRPr="007D4F79">
        <w:rPr>
          <w:lang w:val="fr-FR"/>
        </w:rPr>
        <w:t>10</w:t>
      </w:r>
      <w:r w:rsidRPr="007D4F79">
        <w:rPr>
          <w:lang w:val="fr-FR"/>
        </w:rPr>
        <w:tab/>
        <w:t>d'aider les pays en développement à lancer des projets visant à instaurer une gestion durable et intelligente des ressources en eau grâce à l'utilisation des TIC;</w:t>
      </w:r>
    </w:p>
    <w:p w14:paraId="703FF207" w14:textId="77777777" w:rsidR="00C71E6E" w:rsidRPr="007D4F79" w:rsidRDefault="00C71E6E" w:rsidP="00C71E6E">
      <w:pPr>
        <w:rPr>
          <w:lang w:val="fr-FR"/>
        </w:rPr>
      </w:pPr>
      <w:r w:rsidRPr="007D4F79">
        <w:rPr>
          <w:lang w:val="fr-FR"/>
        </w:rPr>
        <w:t>11</w:t>
      </w:r>
      <w:r w:rsidRPr="007D4F79">
        <w:rPr>
          <w:lang w:val="fr-FR"/>
        </w:rPr>
        <w:tab/>
        <w:t>d'aider les pays en développement à lancer des projets sur la prévision et la détection des catastrophes, le suivi des opérations, les interventions et les secours en cas de catastrophe;</w:t>
      </w:r>
    </w:p>
    <w:p w14:paraId="6034E56F" w14:textId="77777777" w:rsidR="00C71E6E" w:rsidRPr="007D4F79" w:rsidRDefault="00C71E6E" w:rsidP="00C71E6E">
      <w:pPr>
        <w:rPr>
          <w:lang w:val="fr-FR"/>
        </w:rPr>
      </w:pPr>
      <w:r w:rsidRPr="007D4F79">
        <w:rPr>
          <w:lang w:val="fr-FR"/>
        </w:rPr>
        <w:t>12</w:t>
      </w:r>
      <w:r w:rsidRPr="007D4F79">
        <w:rPr>
          <w:lang w:val="fr-FR"/>
        </w:rPr>
        <w:tab/>
        <w:t>d'aider les commissions d'études de l'UIT à examiner les avantages qu'offrent les technologies de détection sous-marine et à étudier les questions techniques, financières, juridiques et réglementaires, notamment en ce qui concerne l'élaboration par l'UIT-T de normes et de spécifications pour les capteurs et les câbles susceptibles de favoriser l'adoption de ces technologies, en particulier en ce qui concerne l'alerte avancée en cas de tsunami ou de tremblement de terre en champ proche ou lointain et la surveillance sismique;</w:t>
      </w:r>
    </w:p>
    <w:p w14:paraId="6852CCEE"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B8CBF18" w14:textId="77777777" w:rsidR="00C71E6E" w:rsidRPr="007D4F79" w:rsidRDefault="00C71E6E" w:rsidP="00C71E6E">
      <w:pPr>
        <w:rPr>
          <w:lang w:val="fr-FR"/>
        </w:rPr>
      </w:pPr>
      <w:r w:rsidRPr="007D4F79">
        <w:rPr>
          <w:lang w:val="fr-FR"/>
        </w:rPr>
        <w:lastRenderedPageBreak/>
        <w:t>13</w:t>
      </w:r>
      <w:r w:rsidRPr="007D4F79">
        <w:rPr>
          <w:lang w:val="fr-FR"/>
        </w:rPr>
        <w:tab/>
        <w:t>de poursuivre la collaboration avec les parties prenantes concernées afin de sensibiliser davantage les membres de l'UIT et d'améliorer leurs connaissances en ce qui concerne les technologies de détection sous-marine et d'échanger des informations actualisées permettant la réutilisation et la réparation des équipements de télécommunication/TIC pour une utilisation durable des TIC;</w:t>
      </w:r>
    </w:p>
    <w:p w14:paraId="718BE67D" w14:textId="77777777" w:rsidR="00C71E6E" w:rsidRPr="007D4F79" w:rsidRDefault="00C71E6E" w:rsidP="00C71E6E">
      <w:pPr>
        <w:rPr>
          <w:lang w:val="fr-FR"/>
        </w:rPr>
      </w:pPr>
      <w:r w:rsidRPr="007D4F79">
        <w:rPr>
          <w:lang w:val="fr-FR"/>
        </w:rPr>
        <w:t>14</w:t>
      </w:r>
      <w:r w:rsidRPr="007D4F79">
        <w:rPr>
          <w:lang w:val="fr-FR"/>
        </w:rPr>
        <w:tab/>
        <w:t>d'envisager d'apporter d'éventuelles modifications aux méthodes de travail, afin de satisfaire aux objectifs de la présente Résolution, notamment en développant le recours à des moyens électroniques, à des conférences virtuelles, au télétravail, etc.,</w:t>
      </w:r>
    </w:p>
    <w:p w14:paraId="1F164365" w14:textId="77777777" w:rsidR="00C71E6E" w:rsidRPr="007D4F79" w:rsidRDefault="00C71E6E" w:rsidP="00C71E6E">
      <w:pPr>
        <w:pStyle w:val="Call"/>
        <w:rPr>
          <w:lang w:val="fr-FR"/>
        </w:rPr>
      </w:pPr>
      <w:r w:rsidRPr="007D4F79">
        <w:rPr>
          <w:lang w:val="fr-FR"/>
        </w:rPr>
        <w:t>invite les États Membres, les Membres de Secteur et les Associés</w:t>
      </w:r>
    </w:p>
    <w:p w14:paraId="34244871" w14:textId="77777777" w:rsidR="00C71E6E" w:rsidRPr="007D4F79" w:rsidRDefault="00C71E6E" w:rsidP="00C71E6E">
      <w:pPr>
        <w:rPr>
          <w:lang w:val="fr-FR"/>
        </w:rPr>
      </w:pPr>
      <w:r w:rsidRPr="007D4F79">
        <w:rPr>
          <w:lang w:val="fr-FR"/>
        </w:rPr>
        <w:t>1</w:t>
      </w:r>
      <w:r w:rsidRPr="007D4F79">
        <w:rPr>
          <w:lang w:val="fr-FR"/>
        </w:rPr>
        <w:tab/>
        <w:t>à continuer de contribuer activement au programme de travail de l'UIT-D sur les TIC, l'environnement, les changements climatiques et l'économie circulaire;</w:t>
      </w:r>
    </w:p>
    <w:p w14:paraId="6EFBED37" w14:textId="77777777" w:rsidR="00C71E6E" w:rsidRPr="007D4F79" w:rsidRDefault="00C71E6E" w:rsidP="00C71E6E">
      <w:pPr>
        <w:rPr>
          <w:lang w:val="fr-FR"/>
        </w:rPr>
      </w:pPr>
      <w:r w:rsidRPr="007D4F79">
        <w:rPr>
          <w:lang w:val="fr-FR"/>
        </w:rPr>
        <w:t>2</w:t>
      </w:r>
      <w:r w:rsidRPr="007D4F79">
        <w:rPr>
          <w:lang w:val="fr-FR"/>
        </w:rPr>
        <w:tab/>
        <w:t>à continuer de mettre en œuvre, ou de lancer, des programmes publics ou privés traitant des TIC et des changements climatiques, en tenant dûment compte des initiatives pertinentes de l'UIT;</w:t>
      </w:r>
    </w:p>
    <w:p w14:paraId="51C852D6" w14:textId="77777777" w:rsidR="00C71E6E" w:rsidRPr="007D4F79" w:rsidRDefault="00C71E6E" w:rsidP="00C71E6E">
      <w:pPr>
        <w:rPr>
          <w:lang w:val="fr-FR"/>
        </w:rPr>
      </w:pPr>
      <w:r w:rsidRPr="007D4F79">
        <w:rPr>
          <w:lang w:val="fr-FR"/>
        </w:rPr>
        <w:t>3</w:t>
      </w:r>
      <w:r w:rsidRPr="007D4F79">
        <w:rPr>
          <w:lang w:val="fr-FR"/>
        </w:rPr>
        <w:tab/>
        <w:t>à prendre les mesures nécessaires pour réduire les effets des changements climatiques, en mettant au point et en utilisant des équipements, applications et réseaux TIC à meilleur rendement énergétique;</w:t>
      </w:r>
    </w:p>
    <w:p w14:paraId="0D1EBF53" w14:textId="77777777" w:rsidR="00C71E6E" w:rsidRPr="007D4F79" w:rsidRDefault="00C71E6E" w:rsidP="00C71E6E">
      <w:pPr>
        <w:rPr>
          <w:lang w:val="fr-FR"/>
        </w:rPr>
      </w:pPr>
      <w:r w:rsidRPr="007D4F79">
        <w:rPr>
          <w:lang w:val="fr-FR"/>
        </w:rPr>
        <w:t>4</w:t>
      </w:r>
      <w:r w:rsidRPr="007D4F79">
        <w:rPr>
          <w:lang w:val="fr-FR"/>
        </w:rPr>
        <w:tab/>
        <w:t>à continuer de soutenir les travaux menés par le Secteur des radiocommunications de l'UIT (UIT</w:t>
      </w:r>
      <w:r w:rsidRPr="007D4F79">
        <w:rPr>
          <w:lang w:val="fr-FR"/>
        </w:rPr>
        <w:noBreakHyphen/>
        <w:t>R) dans le domaine de la télédétection (active et passive) pour l'observation de l'environnement</w:t>
      </w:r>
      <w:r>
        <w:rPr>
          <w:rStyle w:val="FootnoteReference"/>
          <w:lang w:val="fr-FR"/>
        </w:rPr>
        <w:footnoteReference w:customMarkFollows="1" w:id="4"/>
        <w:t>4</w:t>
      </w:r>
      <w:r w:rsidRPr="007D4F79">
        <w:rPr>
          <w:lang w:val="fr-FR"/>
        </w:rPr>
        <w:t>, conformément aux résolutions pertinentes adoptées par les assemblées des radiocommunications et les conférences mondiales des radiocommunications;</w:t>
      </w:r>
    </w:p>
    <w:p w14:paraId="6F9E95FC" w14:textId="77777777" w:rsidR="00C71E6E" w:rsidRPr="007D4F79" w:rsidRDefault="00C71E6E" w:rsidP="00C71E6E">
      <w:pPr>
        <w:rPr>
          <w:lang w:val="fr-FR"/>
        </w:rPr>
      </w:pPr>
      <w:r w:rsidRPr="007D4F79">
        <w:rPr>
          <w:lang w:val="fr-FR"/>
        </w:rPr>
        <w:t>5</w:t>
      </w:r>
      <w:r w:rsidRPr="007D4F79">
        <w:rPr>
          <w:lang w:val="fr-FR"/>
        </w:rPr>
        <w:tab/>
        <w:t>à intégrer l'utilisation des TIC dans les plans nationaux d'adaptation et d'atténuation, de manière à utiliser ces technologies comme moyen de faire face aux effets des changements climatiques;</w:t>
      </w:r>
    </w:p>
    <w:p w14:paraId="31ECE5A6" w14:textId="77777777" w:rsidR="00C71E6E" w:rsidRPr="007D4F79" w:rsidRDefault="00C71E6E" w:rsidP="00C71E6E">
      <w:pPr>
        <w:rPr>
          <w:lang w:val="fr-FR"/>
        </w:rPr>
      </w:pPr>
      <w:r w:rsidRPr="007D4F79">
        <w:rPr>
          <w:lang w:val="fr-FR"/>
        </w:rPr>
        <w:t>6</w:t>
      </w:r>
      <w:r w:rsidRPr="007D4F79">
        <w:rPr>
          <w:lang w:val="fr-FR"/>
        </w:rPr>
        <w:tab/>
        <w:t>à tenir compte des indicateurs, des conditions et des normes relatifs à l'environnement dans leurs plans nationaux sur les TIC;</w:t>
      </w:r>
    </w:p>
    <w:p w14:paraId="6832E9F1" w14:textId="77777777" w:rsidR="00C71E6E" w:rsidRDefault="00C71E6E" w:rsidP="00C71E6E">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445BE30" w14:textId="77777777" w:rsidR="00C71E6E" w:rsidRPr="007D4F79" w:rsidRDefault="00C71E6E" w:rsidP="00C71E6E">
      <w:pPr>
        <w:rPr>
          <w:lang w:val="fr-FR"/>
        </w:rPr>
      </w:pPr>
      <w:r w:rsidRPr="007D4F79">
        <w:rPr>
          <w:lang w:val="fr-FR"/>
        </w:rPr>
        <w:lastRenderedPageBreak/>
        <w:t>7</w:t>
      </w:r>
      <w:r w:rsidRPr="007D4F79">
        <w:rPr>
          <w:lang w:val="fr-FR"/>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14:paraId="029DDFAE" w14:textId="77777777" w:rsidR="00C71E6E" w:rsidRPr="007D4F79" w:rsidRDefault="00C71E6E" w:rsidP="00C71E6E">
      <w:pPr>
        <w:rPr>
          <w:lang w:val="fr-FR"/>
        </w:rPr>
      </w:pPr>
    </w:p>
    <w:p w14:paraId="7D9AB813" w14:textId="77777777" w:rsidR="00C71E6E" w:rsidRPr="007D4F79" w:rsidRDefault="00C71E6E" w:rsidP="00C71E6E">
      <w:pPr>
        <w:rPr>
          <w:lang w:val="fr-FR"/>
        </w:rPr>
      </w:pPr>
    </w:p>
    <w:p w14:paraId="3394B501" w14:textId="77777777" w:rsidR="00C71E6E" w:rsidRPr="007D4F79" w:rsidRDefault="00C71E6E" w:rsidP="00C71E6E">
      <w:pPr>
        <w:rPr>
          <w:lang w:val="fr-FR"/>
        </w:rPr>
      </w:pPr>
    </w:p>
    <w:p w14:paraId="6AF0BAC2" w14:textId="77777777" w:rsidR="00C71E6E" w:rsidRPr="007D4F79" w:rsidRDefault="00C71E6E" w:rsidP="00C71E6E">
      <w:pPr>
        <w:rPr>
          <w:lang w:val="fr-FR"/>
        </w:rPr>
      </w:pPr>
    </w:p>
    <w:p w14:paraId="303984B0" w14:textId="77777777" w:rsidR="00C71E6E" w:rsidRPr="007D4F79" w:rsidRDefault="00C71E6E" w:rsidP="00C71E6E">
      <w:pPr>
        <w:rPr>
          <w:lang w:val="fr-FR"/>
        </w:rPr>
      </w:pPr>
    </w:p>
    <w:p w14:paraId="29A4101B" w14:textId="77777777" w:rsidR="00C71E6E" w:rsidRPr="007D4F79" w:rsidRDefault="00C71E6E" w:rsidP="00C71E6E">
      <w:pPr>
        <w:rPr>
          <w:lang w:val="fr-FR"/>
        </w:rPr>
      </w:pPr>
    </w:p>
    <w:p w14:paraId="160AB02E" w14:textId="77777777" w:rsidR="00C71E6E" w:rsidRPr="007D4F79" w:rsidRDefault="00C71E6E" w:rsidP="00C71E6E">
      <w:pPr>
        <w:rPr>
          <w:lang w:val="fr-FR"/>
        </w:rPr>
      </w:pPr>
    </w:p>
    <w:p w14:paraId="33159C6B" w14:textId="77777777" w:rsidR="00C71E6E" w:rsidRPr="007D4F79" w:rsidRDefault="00C71E6E" w:rsidP="00C71E6E">
      <w:pPr>
        <w:rPr>
          <w:lang w:val="fr-FR"/>
        </w:rPr>
      </w:pPr>
    </w:p>
    <w:p w14:paraId="5F1E8831" w14:textId="77777777" w:rsidR="00C71E6E" w:rsidRPr="007D4F79" w:rsidRDefault="00C71E6E" w:rsidP="00C71E6E">
      <w:pPr>
        <w:rPr>
          <w:lang w:val="fr-FR"/>
        </w:rPr>
      </w:pPr>
    </w:p>
    <w:p w14:paraId="315B990B" w14:textId="77777777" w:rsidR="00C71E6E" w:rsidRPr="007D4F79" w:rsidRDefault="00C71E6E" w:rsidP="00C71E6E">
      <w:pPr>
        <w:rPr>
          <w:lang w:val="fr-FR"/>
        </w:rPr>
      </w:pPr>
    </w:p>
    <w:p w14:paraId="30BDC02E" w14:textId="77777777" w:rsidR="00F16487" w:rsidRDefault="00F16487"/>
    <w:sectPr w:rsidR="00F16487" w:rsidSect="00C71E6E">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141C" w14:textId="77777777" w:rsidR="00C71E6E" w:rsidRDefault="00C71E6E" w:rsidP="00C71E6E">
      <w:pPr>
        <w:spacing w:before="0" w:after="0"/>
      </w:pPr>
      <w:r>
        <w:separator/>
      </w:r>
    </w:p>
  </w:endnote>
  <w:endnote w:type="continuationSeparator" w:id="0">
    <w:p w14:paraId="6091537E" w14:textId="77777777" w:rsidR="00C71E6E" w:rsidRDefault="00C71E6E" w:rsidP="00C71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C42D" w14:textId="77777777" w:rsidR="00C71E6E" w:rsidRDefault="00C71E6E" w:rsidP="00C71E6E">
      <w:pPr>
        <w:spacing w:before="0" w:after="0"/>
      </w:pPr>
      <w:r>
        <w:separator/>
      </w:r>
    </w:p>
  </w:footnote>
  <w:footnote w:type="continuationSeparator" w:id="0">
    <w:p w14:paraId="19493955" w14:textId="77777777" w:rsidR="00C71E6E" w:rsidRDefault="00C71E6E" w:rsidP="00C71E6E">
      <w:pPr>
        <w:spacing w:before="0" w:after="0"/>
      </w:pPr>
      <w:r>
        <w:continuationSeparator/>
      </w:r>
    </w:p>
  </w:footnote>
  <w:footnote w:id="1">
    <w:p w14:paraId="220AFB49" w14:textId="77777777" w:rsidR="00C71E6E" w:rsidRPr="00D7490D" w:rsidRDefault="00C71E6E" w:rsidP="00C71E6E">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Les pays en développement comprennent aussi les pays les moins avancés, les petits États insulaires en développement, les pays en développement sans littoral et les pays dont l'économie est en transition.</w:t>
      </w:r>
    </w:p>
  </w:footnote>
  <w:footnote w:id="2">
    <w:p w14:paraId="1A56F384" w14:textId="77777777" w:rsidR="00C71E6E" w:rsidRPr="00D7490D" w:rsidRDefault="00C71E6E" w:rsidP="00C71E6E">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Cette notion inclut des domaines comme la gestion de l'eau, la qualité de l'air, l'agriculture, la pêche, la santé, l'énergie, l'environnement, les écosystèmes et la lutte contre la pollution.</w:t>
      </w:r>
    </w:p>
  </w:footnote>
  <w:footnote w:id="3">
    <w:p w14:paraId="14C8DA2F" w14:textId="77777777" w:rsidR="00C71E6E" w:rsidRPr="00D7490D" w:rsidRDefault="00C71E6E" w:rsidP="00C71E6E">
      <w:pPr>
        <w:pStyle w:val="FootnoteText"/>
        <w:rPr>
          <w:lang w:val="fr-CH"/>
        </w:rPr>
      </w:pPr>
      <w:r w:rsidRPr="003B7429">
        <w:rPr>
          <w:rStyle w:val="FootnoteReference"/>
          <w:lang w:val="fr-FR"/>
        </w:rPr>
        <w:t>3</w:t>
      </w:r>
      <w:r w:rsidRPr="003B7429">
        <w:rPr>
          <w:lang w:val="fr-FR"/>
        </w:rPr>
        <w:t xml:space="preserve"> </w:t>
      </w:r>
      <w:r>
        <w:rPr>
          <w:lang w:val="fr-CH"/>
        </w:rPr>
        <w:tab/>
      </w:r>
      <w:r w:rsidRPr="00354AD9">
        <w:rPr>
          <w:lang w:val="fr-FR"/>
        </w:rPr>
        <w:t>En ce qui concerne l'efficacité, il convient également d'envisager de promouvoir une utilisation efficace des matériaux utilisés dans les dispositifs des TIC et dans les éléments de réseau dans le cadre des activités de l'UIT-D.</w:t>
      </w:r>
    </w:p>
  </w:footnote>
  <w:footnote w:id="4">
    <w:p w14:paraId="7866FEA2" w14:textId="77777777" w:rsidR="00C71E6E" w:rsidRPr="00D7490D" w:rsidRDefault="00C71E6E" w:rsidP="00C71E6E">
      <w:pPr>
        <w:pStyle w:val="FootnoteText"/>
        <w:rPr>
          <w:lang w:val="fr-CH"/>
        </w:rPr>
      </w:pPr>
      <w:r w:rsidRPr="003B7429">
        <w:rPr>
          <w:rStyle w:val="FootnoteReference"/>
          <w:lang w:val="fr-FR"/>
        </w:rPr>
        <w:t>4</w:t>
      </w:r>
      <w:r w:rsidRPr="003B7429">
        <w:rPr>
          <w:lang w:val="fr-FR"/>
        </w:rPr>
        <w:t xml:space="preserve"> </w:t>
      </w:r>
      <w:r>
        <w:rPr>
          <w:lang w:val="fr-CH"/>
        </w:rPr>
        <w:tab/>
      </w:r>
      <w:r w:rsidRPr="00354AD9">
        <w:rPr>
          <w:lang w:val="fr-FR"/>
        </w:rPr>
        <w:t>L'observation de l'environnement peut être utilisée pour les prévisions météorologiques, pour donner l'alerte en cas de catastrophe naturelle et pour recueillir des informations sur les processus et systèmes environnementaux dynamiques.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75B9E62D" w14:textId="5FB9E22A" w:rsidR="00C71E6E" w:rsidRPr="00236342" w:rsidRDefault="00C71E6E" w:rsidP="00C71E6E">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7AB8D5B0" w14:textId="73EDDCAA" w:rsidR="00C71E6E" w:rsidRPr="007B0FE6" w:rsidRDefault="00C71E6E" w:rsidP="00C71E6E">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6</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6E"/>
    <w:rsid w:val="0021040E"/>
    <w:rsid w:val="00400A99"/>
    <w:rsid w:val="0045258F"/>
    <w:rsid w:val="004A0B3D"/>
    <w:rsid w:val="0051703C"/>
    <w:rsid w:val="005C0E4B"/>
    <w:rsid w:val="007359FB"/>
    <w:rsid w:val="0076311C"/>
    <w:rsid w:val="008630CC"/>
    <w:rsid w:val="00950AD1"/>
    <w:rsid w:val="009E6BCE"/>
    <w:rsid w:val="00C71E6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7682"/>
  <w15:chartTrackingRefBased/>
  <w15:docId w15:val="{DC7CECBD-C82D-45D2-886B-33EE28E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6E"/>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C71E6E"/>
    <w:pPr>
      <w:keepNext/>
      <w:keepLines/>
      <w:spacing w:before="160"/>
      <w:ind w:left="1134"/>
    </w:pPr>
    <w:rPr>
      <w:i/>
    </w:rPr>
  </w:style>
  <w:style w:type="paragraph" w:customStyle="1" w:styleId="enumlev1">
    <w:name w:val="enumlev1"/>
    <w:basedOn w:val="Normal"/>
    <w:link w:val="enumlev1Char"/>
    <w:rsid w:val="00C71E6E"/>
    <w:pPr>
      <w:tabs>
        <w:tab w:val="clear" w:pos="2268"/>
        <w:tab w:val="left" w:pos="2608"/>
        <w:tab w:val="left" w:pos="3345"/>
      </w:tabs>
      <w:spacing w:before="40"/>
      <w:ind w:left="1134" w:hanging="1134"/>
    </w:pPr>
  </w:style>
  <w:style w:type="character" w:styleId="FootnoteReference">
    <w:name w:val="footnote reference"/>
    <w:basedOn w:val="DefaultParagraphFont"/>
    <w:rsid w:val="00C71E6E"/>
    <w:rPr>
      <w:rFonts w:asciiTheme="minorHAnsi" w:hAnsiTheme="minorHAnsi"/>
      <w:position w:val="6"/>
      <w:sz w:val="18"/>
    </w:rPr>
  </w:style>
  <w:style w:type="paragraph" w:styleId="FootnoteText">
    <w:name w:val="footnote text"/>
    <w:basedOn w:val="Normal"/>
    <w:link w:val="FootnoteTextChar"/>
    <w:rsid w:val="00C71E6E"/>
    <w:pPr>
      <w:keepLines/>
      <w:tabs>
        <w:tab w:val="left" w:pos="255"/>
      </w:tabs>
    </w:pPr>
    <w:rPr>
      <w:sz w:val="22"/>
    </w:rPr>
  </w:style>
  <w:style w:type="character" w:customStyle="1" w:styleId="FootnoteTextChar">
    <w:name w:val="Footnote Text Char"/>
    <w:basedOn w:val="DefaultParagraphFont"/>
    <w:link w:val="FootnoteText"/>
    <w:rsid w:val="00C71E6E"/>
    <w:rPr>
      <w:rFonts w:eastAsia="Times New Roman" w:cs="Times New Roman"/>
      <w:szCs w:val="20"/>
      <w:lang w:val="en-GB"/>
    </w:rPr>
  </w:style>
  <w:style w:type="paragraph" w:customStyle="1" w:styleId="Normalaftertitle">
    <w:name w:val="Normal after title"/>
    <w:basedOn w:val="Normal"/>
    <w:next w:val="Normal"/>
    <w:link w:val="NormalaftertitleChar"/>
    <w:rsid w:val="00C71E6E"/>
    <w:pPr>
      <w:spacing w:before="280"/>
    </w:pPr>
  </w:style>
  <w:style w:type="paragraph" w:customStyle="1" w:styleId="ResNo">
    <w:name w:val="Res_No"/>
    <w:basedOn w:val="Normal"/>
    <w:next w:val="Normal"/>
    <w:rsid w:val="00C71E6E"/>
    <w:pPr>
      <w:keepNext/>
      <w:keepLines/>
      <w:spacing w:before="480"/>
      <w:jc w:val="center"/>
      <w:outlineLvl w:val="0"/>
    </w:pPr>
    <w:rPr>
      <w:caps/>
      <w:sz w:val="28"/>
    </w:rPr>
  </w:style>
  <w:style w:type="paragraph" w:customStyle="1" w:styleId="Restitle">
    <w:name w:val="Res_title"/>
    <w:basedOn w:val="Normal"/>
    <w:next w:val="Normal"/>
    <w:rsid w:val="00C71E6E"/>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C71E6E"/>
    <w:rPr>
      <w:rFonts w:eastAsia="Times New Roman" w:cs="Times New Roman"/>
      <w:sz w:val="24"/>
      <w:szCs w:val="20"/>
      <w:lang w:val="en-GB"/>
    </w:rPr>
  </w:style>
  <w:style w:type="character" w:customStyle="1" w:styleId="enumlev1Char">
    <w:name w:val="enumlev1 Char"/>
    <w:link w:val="enumlev1"/>
    <w:qFormat/>
    <w:locked/>
    <w:rsid w:val="00C71E6E"/>
    <w:rPr>
      <w:rFonts w:eastAsia="Times New Roman" w:cs="Times New Roman"/>
      <w:sz w:val="24"/>
      <w:szCs w:val="20"/>
      <w:lang w:val="en-GB"/>
    </w:rPr>
  </w:style>
  <w:style w:type="paragraph" w:styleId="Header">
    <w:name w:val="header"/>
    <w:basedOn w:val="Normal"/>
    <w:link w:val="HeaderChar"/>
    <w:uiPriority w:val="99"/>
    <w:unhideWhenUsed/>
    <w:rsid w:val="00C71E6E"/>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C71E6E"/>
    <w:rPr>
      <w:rFonts w:eastAsia="Times New Roman" w:cs="Times New Roman"/>
      <w:sz w:val="24"/>
      <w:szCs w:val="20"/>
      <w:lang w:val="en-GB"/>
    </w:rPr>
  </w:style>
  <w:style w:type="paragraph" w:styleId="Footer">
    <w:name w:val="footer"/>
    <w:basedOn w:val="Normal"/>
    <w:link w:val="FooterChar"/>
    <w:uiPriority w:val="99"/>
    <w:unhideWhenUsed/>
    <w:rsid w:val="00C71E6E"/>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C71E6E"/>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2531</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2023-10-16T14:28:00Z</dcterms:created>
  <dcterms:modified xsi:type="dcterms:W3CDTF">2023-10-16T14:49:00Z</dcterms:modified>
</cp:coreProperties>
</file>