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EF4D" w14:textId="77777777" w:rsidR="003C2BD9" w:rsidRPr="002B2BF7" w:rsidRDefault="003C2BD9" w:rsidP="003C2BD9">
      <w:pPr>
        <w:pStyle w:val="ResNo"/>
        <w:rPr>
          <w:lang w:val="ru-RU"/>
        </w:rPr>
      </w:pPr>
      <w:bookmarkStart w:id="0" w:name="_Toc116554220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64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</w:t>
      </w:r>
      <w:bookmarkEnd w:id="0"/>
    </w:p>
    <w:p w14:paraId="39531DC9" w14:textId="77777777" w:rsidR="003C2BD9" w:rsidRPr="002B2BF7" w:rsidRDefault="003C2BD9" w:rsidP="003C2BD9">
      <w:pPr>
        <w:pStyle w:val="Restitle"/>
        <w:rPr>
          <w:lang w:val="ru-RU"/>
        </w:rPr>
      </w:pPr>
      <w:bookmarkStart w:id="1" w:name="_Toc116554221"/>
      <w:r w:rsidRPr="002B2BF7">
        <w:rPr>
          <w:lang w:val="ru-RU"/>
        </w:rPr>
        <w:t>Защита и поддержка пользователей/потребителей услуг электросвязи/информационно-коммуникационных технологий</w:t>
      </w:r>
      <w:bookmarkEnd w:id="1"/>
    </w:p>
    <w:p w14:paraId="44AA866E" w14:textId="77777777" w:rsidR="003C2BD9" w:rsidRPr="002B2BF7" w:rsidRDefault="003C2BD9" w:rsidP="003C2BD9">
      <w:pPr>
        <w:pStyle w:val="Normalaftertitle"/>
        <w:rPr>
          <w:szCs w:val="22"/>
          <w:lang w:val="ru-RU"/>
        </w:rPr>
      </w:pPr>
      <w:r w:rsidRPr="002B2BF7">
        <w:rPr>
          <w:lang w:val="ru-RU"/>
        </w:rPr>
        <w:t>Всемирная конференция по развитию электросвязи</w:t>
      </w:r>
      <w:r w:rsidRPr="002B2BF7">
        <w:rPr>
          <w:szCs w:val="22"/>
          <w:lang w:val="ru-RU"/>
        </w:rPr>
        <w:t xml:space="preserve"> (Кигали, 2022 г.),</w:t>
      </w:r>
    </w:p>
    <w:p w14:paraId="5CF3FEB4" w14:textId="77777777" w:rsidR="003C2BD9" w:rsidRPr="002B2BF7" w:rsidRDefault="003C2BD9" w:rsidP="003C2BD9">
      <w:pPr>
        <w:pStyle w:val="Call"/>
        <w:rPr>
          <w:i w:val="0"/>
          <w:lang w:val="ru-RU"/>
        </w:rPr>
      </w:pPr>
      <w:r w:rsidRPr="002B2BF7">
        <w:rPr>
          <w:lang w:val="ru-RU"/>
        </w:rPr>
        <w:t>учитывая</w:t>
      </w:r>
    </w:p>
    <w:p w14:paraId="177F29F1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Резолюцию 196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Полномочной конференции о защите пользователей/потребителей услуг электросвязи;</w:t>
      </w:r>
    </w:p>
    <w:p w14:paraId="0478C145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Резолюцию 84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 г.) Всемирной ассамблеи по стандартизации электросвязи об исследованиях, касающихся защиты пользователей услуг электросвязи/информационно-коммуникационных технологий (ИКТ);</w:t>
      </w:r>
    </w:p>
    <w:p w14:paraId="279B28D1" w14:textId="77777777" w:rsidR="003C2BD9" w:rsidRPr="002B2BF7" w:rsidRDefault="003C2BD9" w:rsidP="003C2BD9">
      <w:pPr>
        <w:rPr>
          <w:color w:val="000000"/>
          <w:lang w:val="ru-RU"/>
        </w:rPr>
      </w:pPr>
      <w:r w:rsidRPr="002B2BF7">
        <w:rPr>
          <w:i/>
          <w:iCs/>
          <w:lang w:val="ru-RU"/>
        </w:rPr>
        <w:t>с)</w:t>
      </w:r>
      <w:r w:rsidRPr="002B2BF7">
        <w:rPr>
          <w:lang w:val="ru-RU"/>
        </w:rPr>
        <w:tab/>
        <w:t xml:space="preserve">руководящие принципы Организации Объединенных Наций по защите интересов потребителей, пересмотренные и принятые Генеральной Ассамблеей Организации Объединенных Наций в резолюции 70/186 от 22 декабря 2015 года, которые устанавливают </w:t>
      </w:r>
      <w:r w:rsidRPr="002B2BF7">
        <w:rPr>
          <w:color w:val="000000"/>
          <w:lang w:val="ru-RU"/>
        </w:rPr>
        <w:t>основные характеристики, необходимые для обеспечения эффективной работы законов по защите прав потребителей</w:t>
      </w:r>
      <w:r w:rsidRPr="002B2BF7">
        <w:rPr>
          <w:lang w:val="ru-RU"/>
        </w:rPr>
        <w:t xml:space="preserve">, учреждений, отвечающих за обеспечение их соблюдения, а также </w:t>
      </w:r>
      <w:r w:rsidRPr="002B2BF7">
        <w:rPr>
          <w:color w:val="000000"/>
          <w:lang w:val="ru-RU"/>
        </w:rPr>
        <w:t>систем компенсации;</w:t>
      </w:r>
    </w:p>
    <w:p w14:paraId="0679AEF9" w14:textId="77777777" w:rsidR="003C2BD9" w:rsidRPr="002B2BF7" w:rsidRDefault="003C2BD9" w:rsidP="003C2BD9">
      <w:pPr>
        <w:rPr>
          <w:rFonts w:eastAsia="Batang" w:cstheme="minorHAnsi"/>
          <w:lang w:val="ru-RU"/>
        </w:rPr>
      </w:pPr>
      <w:r w:rsidRPr="002B2BF7">
        <w:rPr>
          <w:rFonts w:eastAsia="Batang" w:cstheme="minorHAnsi"/>
          <w:i/>
          <w:iCs/>
          <w:lang w:val="ru-RU"/>
        </w:rPr>
        <w:t>d)</w:t>
      </w:r>
      <w:r w:rsidRPr="002B2BF7">
        <w:rPr>
          <w:rFonts w:eastAsia="Batang" w:cstheme="minorHAnsi"/>
          <w:i/>
          <w:iCs/>
          <w:lang w:val="ru-RU"/>
        </w:rPr>
        <w:tab/>
      </w:r>
      <w:r w:rsidRPr="002B2BF7">
        <w:rPr>
          <w:lang w:val="ru-RU"/>
        </w:rPr>
        <w:t>Резолюцию 188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Полномочной конференции о борьбе с контрафактными устройствами электросвязи/ИКТ;</w:t>
      </w:r>
    </w:p>
    <w:p w14:paraId="053A4028" w14:textId="77777777" w:rsidR="003C2BD9" w:rsidRPr="002B2BF7" w:rsidRDefault="003C2BD9" w:rsidP="003C2BD9">
      <w:pPr>
        <w:rPr>
          <w:rFonts w:eastAsia="Batang" w:cstheme="minorHAnsi"/>
          <w:lang w:val="ru-RU"/>
        </w:rPr>
      </w:pPr>
      <w:r w:rsidRPr="002B2BF7">
        <w:rPr>
          <w:rFonts w:eastAsia="Batang" w:cstheme="minorHAnsi"/>
          <w:i/>
          <w:iCs/>
          <w:lang w:val="ru-RU"/>
        </w:rPr>
        <w:t>e)</w:t>
      </w:r>
      <w:r w:rsidRPr="002B2BF7">
        <w:rPr>
          <w:rFonts w:eastAsia="Batang" w:cstheme="minorHAnsi"/>
          <w:i/>
          <w:iCs/>
          <w:lang w:val="ru-RU"/>
        </w:rPr>
        <w:tab/>
      </w:r>
      <w:r w:rsidRPr="002B2BF7">
        <w:rPr>
          <w:lang w:val="ru-RU"/>
        </w:rPr>
        <w:t>Резолюцию 189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Полномочной конференции об оказании Государствам-Членам помощи в борьбе с хищениями мобильных устройств и в предотвращении этого явления;</w:t>
      </w:r>
    </w:p>
    <w:p w14:paraId="26BBECC4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lang w:val="ru-RU"/>
        </w:rPr>
        <w:tab/>
        <w:t xml:space="preserve">что пункт 13 </w:t>
      </w:r>
      <w:r w:rsidRPr="002B2BF7">
        <w:rPr>
          <w:i/>
          <w:iCs/>
          <w:lang w:val="ru-RU"/>
        </w:rPr>
        <w:t>e)</w:t>
      </w:r>
      <w:r w:rsidRPr="002B2BF7">
        <w:rPr>
          <w:lang w:val="ru-RU"/>
        </w:rPr>
        <w:t xml:space="preserve"> Женевского плана действий Всемирной встречи на высшем уровне по вопросам информационного общества (ВВУИО) гласит,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общества;</w:t>
      </w:r>
    </w:p>
    <w:p w14:paraId="1276D174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lang w:val="ru-RU"/>
        </w:rPr>
        <w:tab/>
        <w:t>пункты 4.4 и 4.5 Статьи 4 Регламента международной электросвязи;</w:t>
      </w:r>
    </w:p>
    <w:p w14:paraId="734E1618" w14:textId="77777777" w:rsidR="003C2BD9" w:rsidRPr="002B2BF7" w:rsidRDefault="003C2BD9" w:rsidP="003C2BD9">
      <w:pPr>
        <w:rPr>
          <w:i/>
          <w:lang w:val="ru-RU"/>
        </w:rPr>
      </w:pPr>
      <w:r w:rsidRPr="002B2BF7">
        <w:rPr>
          <w:i/>
          <w:lang w:val="ru-RU"/>
        </w:rPr>
        <w:t>h)</w:t>
      </w:r>
      <w:r w:rsidRPr="002B2BF7">
        <w:rPr>
          <w:lang w:val="ru-RU"/>
        </w:rPr>
        <w:tab/>
        <w:t>Цели 2 и 3 Повестки дня МСЭ "Соединим к 2030 году" – преодоление цифрового разрыва и обеспечение широкополосной связи для всех, а также решение проблем, возникающими в результате развития электросвязи/ИКТ, соответственно;</w:t>
      </w:r>
      <w:r w:rsidRPr="002B2BF7">
        <w:rPr>
          <w:i/>
          <w:lang w:val="ru-RU"/>
        </w:rPr>
        <w:br w:type="page"/>
      </w:r>
    </w:p>
    <w:p w14:paraId="15B29773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lang w:val="ru-RU"/>
        </w:rPr>
        <w:lastRenderedPageBreak/>
        <w:t>i)</w:t>
      </w:r>
      <w:r w:rsidRPr="002B2BF7">
        <w:rPr>
          <w:lang w:val="ru-RU"/>
        </w:rPr>
        <w:tab/>
        <w:t>работу, проводимую 1-й Исследовательской комиссией Сектора развития электросвязи МСЭ по Вопросу 6/1 об информации для потребителей, их защите и правах,</w:t>
      </w:r>
    </w:p>
    <w:p w14:paraId="7F68CCA6" w14:textId="77777777" w:rsidR="003C2BD9" w:rsidRPr="002B2BF7" w:rsidRDefault="003C2BD9" w:rsidP="003C2BD9">
      <w:pPr>
        <w:pStyle w:val="Call"/>
        <w:rPr>
          <w:lang w:val="ru-RU"/>
        </w:rPr>
      </w:pPr>
      <w:r w:rsidRPr="002B2BF7">
        <w:rPr>
          <w:lang w:val="ru-RU"/>
        </w:rPr>
        <w:t>принимая во внимание</w:t>
      </w:r>
    </w:p>
    <w:p w14:paraId="727FED25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а)</w:t>
      </w:r>
      <w:r w:rsidRPr="002B2BF7">
        <w:rPr>
          <w:lang w:val="ru-RU"/>
        </w:rPr>
        <w:tab/>
        <w:t>мандат МСЭ, определяющий его функции как координирующей и содействующей организации по Направлениям деятельности C5 и C6 Женевского плана действий;</w:t>
      </w:r>
    </w:p>
    <w:p w14:paraId="30B99390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основные принципы отношений с потребителями и пользователями включают просвещение и информирование о надлежащем потреблении и использовании продуктов и услуг в целях обеспечения гарантий свободы выбора и справедливости при заключении контрактов, а также предоставление четкой и достоверной информации об этих продуктах и услугах и верной информации, такой как определение количественных показателей, характеристик, состава, качества и цены, учитывая Повестку дня в области устойчивого развития на период до 2030 года;</w:t>
      </w:r>
    </w:p>
    <w:p w14:paraId="5A5EBD2C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что информация является основным ресурсом цифровой экономики, ввиду чего признается, что трансграничный поток персональных данных потребителей и пользователей требует соблюдения национальных законов и регуляторных положений;</w:t>
      </w:r>
    </w:p>
    <w:p w14:paraId="7F8C3438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 xml:space="preserve">что необходимо и далее работать над уточнением и переоценкой потребностей защиты пользователей и потребителей во </w:t>
      </w:r>
      <w:r w:rsidRPr="002B2BF7">
        <w:rPr>
          <w:color w:val="000000"/>
          <w:lang w:val="ru-RU"/>
        </w:rPr>
        <w:t>все более соединенном мире с учетом новых и появляющихся технологий и услуг электросвязи/ИКТ</w:t>
      </w:r>
      <w:r w:rsidRPr="002B2BF7">
        <w:rPr>
          <w:lang w:val="ru-RU"/>
        </w:rPr>
        <w:t>;</w:t>
      </w:r>
    </w:p>
    <w:p w14:paraId="40BC567C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lang w:val="ru-RU"/>
        </w:rPr>
        <w:t>e)</w:t>
      </w:r>
      <w:r w:rsidRPr="002B2BF7">
        <w:rPr>
          <w:lang w:val="ru-RU"/>
        </w:rPr>
        <w:tab/>
        <w:t>что необходимо содействовать повышению уровня цифровых навыков среди пользователей/потребителей услуг электросвязи/ИКТ;</w:t>
      </w:r>
    </w:p>
    <w:p w14:paraId="144E9C8E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f)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аналогичные меры по защите и поддержке, а также по повышению уровня цифровых навыков должны приниматься в отношении пользователей/потребителей услуг электросвязи/ИКТ, которые относятся к категории лиц с ограниченными возможностями и особыми потребностями, а также к другим уязвимым группам населения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;</w:t>
      </w:r>
    </w:p>
    <w:p w14:paraId="26D8AE55" w14:textId="77777777" w:rsidR="003C2BD9" w:rsidRPr="002B2BF7" w:rsidRDefault="003C2BD9" w:rsidP="003C2BD9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g)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при обеспечении эффективной защиты для потребителей и пользователей должны учитываться, среди прочего, такие вопросы, как экономические интересы, информирование о безопасности и защите их личных данных, скоординированные усилия по борьбе с хищениями устройств, а также достижения в сфере финансовых услуг;</w:t>
      </w:r>
      <w:r w:rsidRPr="002B2BF7">
        <w:rPr>
          <w:i/>
          <w:iCs/>
          <w:lang w:val="ru-RU"/>
        </w:rPr>
        <w:br w:type="page"/>
      </w:r>
    </w:p>
    <w:p w14:paraId="61A4B5F0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h)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принципы политики, направленные на обеспечение прозрачности информации, позволяют повышать уровень и качество информации, предоставляемой операторами пользователям и потребителям;</w:t>
      </w:r>
    </w:p>
    <w:p w14:paraId="06E4A7D6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lang w:val="ru-RU"/>
        </w:rPr>
        <w:t>i)</w:t>
      </w:r>
      <w:r w:rsidRPr="002B2BF7">
        <w:rPr>
          <w:lang w:val="ru-RU"/>
        </w:rPr>
        <w:tab/>
        <w:t>что такие же меры политики должны обеспечивать доступ к электросвязи/ИКТ для уязвимых групп населения, на условиях использования, сопоставимых с условиями, предоставляемыми остальным потребителям и пользователям;</w:t>
      </w:r>
    </w:p>
    <w:p w14:paraId="0D076296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lang w:val="ru-RU"/>
        </w:rPr>
        <w:t>j)</w:t>
      </w:r>
      <w:r w:rsidRPr="002B2BF7">
        <w:rPr>
          <w:lang w:val="ru-RU"/>
        </w:rPr>
        <w:tab/>
        <w:t>что услуги электросвязи/ИКТ, предоставляемые пользователям и потребителям, должны основываться на международных стандартах качества;</w:t>
      </w:r>
    </w:p>
    <w:p w14:paraId="6F5DBD8D" w14:textId="77777777" w:rsidR="003C2BD9" w:rsidRPr="002B2BF7" w:rsidRDefault="003C2BD9" w:rsidP="003C2BD9">
      <w:pPr>
        <w:rPr>
          <w:lang w:val="ru-RU"/>
        </w:rPr>
      </w:pPr>
      <w:r w:rsidRPr="002B2BF7">
        <w:rPr>
          <w:i/>
          <w:iCs/>
          <w:lang w:val="ru-RU"/>
        </w:rPr>
        <w:t>k)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что пандемия коронавирусной болезни (COVID-19) ускорила внедрение электросвязи/ИКТ и в то же время привела к увеличению рисков, связанных с использованием услуг ИКТ, для потребителей и пользователей,</w:t>
      </w:r>
    </w:p>
    <w:p w14:paraId="7A3DB8BD" w14:textId="77777777" w:rsidR="003C2BD9" w:rsidRPr="002B2BF7" w:rsidRDefault="003C2BD9" w:rsidP="003C2BD9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2CE527DE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продолжать деятельность с целью разработать руководящие указания и примеры передового опыта по поддержке и защите пользователей/потребителей электросвязи/ИКТ в отношении таких вопросов, как информирование об основных предоставляемых услугах электросвязи/ИКТ, о тарифах и ценах на них, их качестве и безопасности, а также о защите персональных данных, в числе прочих аспектов,</w:t>
      </w:r>
    </w:p>
    <w:p w14:paraId="6E373734" w14:textId="77777777" w:rsidR="003C2BD9" w:rsidRPr="002B2BF7" w:rsidRDefault="003C2BD9" w:rsidP="003C2BD9">
      <w:pPr>
        <w:pStyle w:val="Call"/>
        <w:rPr>
          <w:lang w:val="ru-RU"/>
        </w:rPr>
      </w:pPr>
      <w:r w:rsidRPr="002B2BF7">
        <w:rPr>
          <w:lang w:val="ru-RU"/>
        </w:rPr>
        <w:t>поручает Директору Бюро развития электросвязи в сотрудничестве с Директорами Бюро радиосвязи и Бюро стандартизации электросвязи</w:t>
      </w:r>
    </w:p>
    <w:p w14:paraId="574DB1A3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продолжать оказывать содействие работе по повышению осведомленности директивных органов в области электросвязи/ИКТ регуляторных учреждений о важности информирования пользователей и потребителей об основных характеристиках, качестве, безопасности и тарифах и ценах на различные услуги, предлагаемые операторами, и о важности расширения прав и возможностей пользователей и потребителей, а также работе по созданию других защитных механизмов для содействия и помощи эффективному осуществлению прав потребителей и пользователей;</w:t>
      </w:r>
    </w:p>
    <w:p w14:paraId="5AA49BD8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продолжать координацию деятельности с Сектором стандартизации электросвязи МСЭ (МСЭ-Т) и Сектором радиосвязи МСЭ (МСЭ-R) по таким темам, как качество услуг, воспринимаемое качество и безопасность, а также с МСЭ-R по таким темам, как качество обслуживания и оценка пользователем качества услуг электросвязи/ИКТ;</w:t>
      </w:r>
    </w:p>
    <w:p w14:paraId="77FBA14E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регулярно предоставлять информацию об отношениях и совместных усилиях с другими международными организациями и структурами, участвующими в решении вопросов защиты потребителя и пользователя электросвязи/ИКТ;</w:t>
      </w:r>
      <w:r w:rsidRPr="002B2BF7">
        <w:rPr>
          <w:lang w:val="ru-RU"/>
        </w:rPr>
        <w:br w:type="page"/>
      </w:r>
    </w:p>
    <w:p w14:paraId="0B682680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lastRenderedPageBreak/>
        <w:t>4</w:t>
      </w:r>
      <w:r w:rsidRPr="002B2BF7">
        <w:rPr>
          <w:lang w:val="ru-RU"/>
        </w:rPr>
        <w:tab/>
        <w:t>предложить Государствам-Членам создать свои ассоциации конечных пользователей и потребителей, которые могут решать вопросы, относящиеся к настоящей Резолюции;</w:t>
      </w:r>
    </w:p>
    <w:p w14:paraId="3599A50A" w14:textId="77777777" w:rsidR="003C2BD9" w:rsidRPr="002B2BF7" w:rsidRDefault="003C2BD9" w:rsidP="003C2BD9">
      <w:pPr>
        <w:rPr>
          <w:szCs w:val="22"/>
          <w:lang w:val="ru-RU"/>
        </w:rPr>
      </w:pPr>
      <w:r w:rsidRPr="002B2BF7">
        <w:rPr>
          <w:lang w:val="ru-RU"/>
        </w:rPr>
        <w:t>5</w:t>
      </w:r>
      <w:r w:rsidRPr="002B2BF7">
        <w:rPr>
          <w:lang w:val="ru-RU"/>
        </w:rPr>
        <w:tab/>
        <w:t xml:space="preserve">организовать учебные программы, например семинары и семинары-практикумы, чтобы проанализировать примеры передового опыта, стимулировать обучение по вопросам </w:t>
      </w:r>
      <w:r w:rsidRPr="002B2BF7">
        <w:rPr>
          <w:color w:val="000000"/>
          <w:lang w:val="ru-RU"/>
        </w:rPr>
        <w:t>просвещения пользователей и потребителей услуг электросвязи/ИКТ</w:t>
      </w:r>
      <w:r w:rsidRPr="002B2BF7">
        <w:rPr>
          <w:lang w:val="ru-RU"/>
        </w:rPr>
        <w:t>, обучение рациональному потреблению и защите данных, а также формулировать возможные рекомендации об инструментах и мерах, обеспечивающих поддержку и защиту пользователей и потребителей услуг ИКТ,</w:t>
      </w:r>
    </w:p>
    <w:p w14:paraId="625D2E5F" w14:textId="77777777" w:rsidR="003C2BD9" w:rsidRPr="002B2BF7" w:rsidRDefault="003C2BD9" w:rsidP="003C2BD9">
      <w:pPr>
        <w:pStyle w:val="Call"/>
        <w:rPr>
          <w:lang w:val="ru-RU"/>
        </w:rPr>
      </w:pPr>
      <w:r w:rsidRPr="002B2BF7">
        <w:rPr>
          <w:lang w:val="ru-RU"/>
        </w:rPr>
        <w:t>настоятельно рекомендует Государствам-Членам</w:t>
      </w:r>
    </w:p>
    <w:p w14:paraId="2BC8E621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>расширять права и возможности пользователей</w:t>
      </w:r>
      <w:r w:rsidRPr="002B2BF7">
        <w:rPr>
          <w:lang w:val="ru-RU"/>
        </w:rPr>
        <w:t xml:space="preserve">/потребителей путем формулирования и продвижения политики, которая способствует предоставлению информации и примеров передового опыта, связанного с </w:t>
      </w:r>
      <w:r w:rsidRPr="002B2BF7">
        <w:rPr>
          <w:color w:val="000000"/>
          <w:lang w:val="ru-RU"/>
        </w:rPr>
        <w:t>просвещением потребителей</w:t>
      </w:r>
      <w:r w:rsidRPr="002B2BF7">
        <w:rPr>
          <w:lang w:val="ru-RU"/>
        </w:rPr>
        <w:t>, правами потребителей, а также характеристиками, качеством и безопасностью услуг электросвязи/ИКТ, предлагаемых различными поставщиками, и тарифами и ценами на эти услуги, уделяя особое внимание такой политике, которая способствует тому, чтобы своевременно и бесплатно предоставлялась прозрачная, сопоставимая, обновленная и точная информация;</w:t>
      </w:r>
    </w:p>
    <w:p w14:paraId="55313DE1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 xml:space="preserve">рассмотреть вопрос </w:t>
      </w:r>
      <w:proofErr w:type="gramStart"/>
      <w:r w:rsidRPr="002B2BF7">
        <w:rPr>
          <w:lang w:val="ru-RU"/>
        </w:rPr>
        <w:t>о создании</w:t>
      </w:r>
      <w:proofErr w:type="gramEnd"/>
      <w:r w:rsidRPr="002B2BF7">
        <w:rPr>
          <w:lang w:val="ru-RU"/>
        </w:rPr>
        <w:t xml:space="preserve"> обеспечивающей возможность совместного регулирования благоприятной среды, в которой операторы электросвязи могут предоставлять услуги электросвязи/ИКТ своим пользователям/потребителям с должным качеством, а также стимулирующей конкурентные, справедливые и доступные цены;</w:t>
      </w:r>
    </w:p>
    <w:p w14:paraId="5D1FBBED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 xml:space="preserve">содействовать мерам, направленным на обеспечение того, чтобы приезжающим пользователям, находящимся в международном роуминге, предоставлялись услуги электросвязи/ИКТ удовлетворительного </w:t>
      </w:r>
      <w:proofErr w:type="gramStart"/>
      <w:r w:rsidRPr="002B2BF7">
        <w:rPr>
          <w:lang w:val="ru-RU"/>
        </w:rPr>
        <w:t>качества</w:t>
      </w:r>
      <w:proofErr w:type="gramEnd"/>
      <w:r w:rsidRPr="002B2BF7">
        <w:rPr>
          <w:lang w:val="ru-RU"/>
        </w:rPr>
        <w:t xml:space="preserve"> и чтобы потребителям и конечным пользователям своевременно предоставлялась информация об услугах международной электросвязи, в том числе о тарифах на международный роуминг и соответствующих применимых условиях;</w:t>
      </w:r>
    </w:p>
    <w:p w14:paraId="25794F1D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 xml:space="preserve">побуждать операторов/поставщиков услуг электросвязи/ИКТ к разработке четких, простых предложений по приемлемым ценам с простыми для понимания, прозрачными и доступными условиями обслуживания, а также усовершенствованных практик </w:t>
      </w:r>
      <w:r w:rsidRPr="002B2BF7">
        <w:rPr>
          <w:color w:val="000000"/>
          <w:lang w:val="ru-RU"/>
        </w:rPr>
        <w:t>просвещения потребителей</w:t>
      </w:r>
      <w:r w:rsidRPr="002B2BF7">
        <w:rPr>
          <w:lang w:val="ru-RU"/>
        </w:rPr>
        <w:t>;</w:t>
      </w:r>
      <w:r w:rsidRPr="002B2BF7">
        <w:rPr>
          <w:lang w:val="ru-RU"/>
        </w:rPr>
        <w:br w:type="page"/>
      </w:r>
    </w:p>
    <w:p w14:paraId="39DCC11C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lastRenderedPageBreak/>
        <w:t>5</w:t>
      </w:r>
      <w:r w:rsidRPr="002B2BF7">
        <w:rPr>
          <w:lang w:val="ru-RU"/>
        </w:rPr>
        <w:tab/>
        <w:t>укреплять доверие среди пользователей и потребителей электросвязи/ИКТ к использованию электросвязи/ИКТ, в том числе путем развития политики, гарантирующей и стимулирующей предоставление качественных услуг, механизмов прозрачности, обеспечивающих сопоставимую, актуализированную и точную информацию, для того чтобы принятие решений в отношении услуг пользователями и потребителями было основано на простоте восприятия, понимании и доступности;</w:t>
      </w:r>
    </w:p>
    <w:p w14:paraId="64E92423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6</w:t>
      </w:r>
      <w:r w:rsidRPr="002B2BF7">
        <w:rPr>
          <w:lang w:val="ru-RU"/>
        </w:rPr>
        <w:tab/>
        <w:t>учитывать пользователей/потребителей с ограниченными возможностями, с особыми потребностями</w:t>
      </w:r>
      <w:r w:rsidRPr="002B2BF7">
        <w:rPr>
          <w:color w:val="000000"/>
          <w:lang w:val="ru-RU"/>
        </w:rPr>
        <w:t>,</w:t>
      </w:r>
      <w:r w:rsidRPr="002B2BF7">
        <w:rPr>
          <w:lang w:val="ru-RU"/>
        </w:rPr>
        <w:t xml:space="preserve"> а также относящихся к пожилым лицам и другим уязвимым группам населения, с тем чтобы они имели доступ к услугам электросвязи/ИКТ на равных условиях;</w:t>
      </w:r>
    </w:p>
    <w:p w14:paraId="5F1C522B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7</w:t>
      </w:r>
      <w:r w:rsidRPr="002B2BF7">
        <w:rPr>
          <w:lang w:val="ru-RU"/>
        </w:rPr>
        <w:tab/>
        <w:t>рассмотреть возможность улучшения цифровых навыков среди пользователей/</w:t>
      </w:r>
      <w:r w:rsidRPr="002B2BF7">
        <w:rPr>
          <w:lang w:val="ru-RU"/>
        </w:rPr>
        <w:br/>
        <w:t>потребителей услуг электросвязи/ИКТ, особенно пользователей/потребителей с ограниченными возможностями, с особыми потребностями, а также относящихся к пожилым лицам и другим уязвимым группам населения,</w:t>
      </w:r>
    </w:p>
    <w:p w14:paraId="5C891456" w14:textId="77777777" w:rsidR="003C2BD9" w:rsidRPr="002B2BF7" w:rsidRDefault="003C2BD9" w:rsidP="003C2BD9">
      <w:pPr>
        <w:pStyle w:val="Call"/>
        <w:rPr>
          <w:lang w:val="ru-RU"/>
        </w:rPr>
      </w:pPr>
      <w:r w:rsidRPr="002B2BF7">
        <w:rPr>
          <w:lang w:val="ru-RU"/>
        </w:rPr>
        <w:t>предлагает Государствам-Членам и Членам Сектора развития электросвязи МСЭ</w:t>
      </w:r>
    </w:p>
    <w:p w14:paraId="11DE037B" w14:textId="77777777" w:rsidR="003C2BD9" w:rsidRPr="002B2BF7" w:rsidRDefault="003C2BD9" w:rsidP="003C2BD9">
      <w:pPr>
        <w:rPr>
          <w:lang w:val="ru-RU"/>
        </w:rPr>
      </w:pPr>
      <w:r w:rsidRPr="002B2BF7">
        <w:rPr>
          <w:lang w:val="ru-RU"/>
        </w:rPr>
        <w:t>представлять вклады, которые позволят распространять передовой опыт и реализуемую ими политику в области настоящей Резолюции, с учетом Рекомендаций, отчетов и руководящих указаний МСЭ.</w:t>
      </w:r>
    </w:p>
    <w:p w14:paraId="0D38502A" w14:textId="77777777" w:rsidR="003C2BD9" w:rsidRPr="002B2BF7" w:rsidRDefault="003C2BD9" w:rsidP="003C2BD9">
      <w:pPr>
        <w:pStyle w:val="Reasons"/>
        <w:rPr>
          <w:lang w:val="ru-RU"/>
        </w:rPr>
      </w:pPr>
    </w:p>
    <w:p w14:paraId="446823DD" w14:textId="77777777" w:rsidR="003C2BD9" w:rsidRPr="002B2BF7" w:rsidRDefault="003C2BD9" w:rsidP="003C2BD9">
      <w:pPr>
        <w:pStyle w:val="Reasons"/>
        <w:rPr>
          <w:lang w:val="ru-RU"/>
        </w:rPr>
      </w:pPr>
    </w:p>
    <w:p w14:paraId="6A34AF7F" w14:textId="77777777" w:rsidR="003C2BD9" w:rsidRPr="002B2BF7" w:rsidRDefault="003C2BD9" w:rsidP="003C2BD9">
      <w:pPr>
        <w:pStyle w:val="Reasons"/>
        <w:rPr>
          <w:lang w:val="ru-RU"/>
        </w:rPr>
      </w:pPr>
    </w:p>
    <w:p w14:paraId="023D8FA8" w14:textId="77777777" w:rsidR="003C2BD9" w:rsidRPr="002B2BF7" w:rsidRDefault="003C2BD9" w:rsidP="003C2BD9">
      <w:pPr>
        <w:pStyle w:val="Reasons"/>
        <w:rPr>
          <w:lang w:val="ru-RU"/>
        </w:rPr>
      </w:pPr>
    </w:p>
    <w:p w14:paraId="0EBCBE75" w14:textId="77777777" w:rsidR="003C2BD9" w:rsidRPr="002B2BF7" w:rsidRDefault="003C2BD9" w:rsidP="003C2BD9">
      <w:pPr>
        <w:pStyle w:val="Reasons"/>
        <w:rPr>
          <w:lang w:val="ru-RU"/>
        </w:rPr>
      </w:pPr>
    </w:p>
    <w:p w14:paraId="3FBB6BCD" w14:textId="77777777" w:rsidR="00E45F09" w:rsidRPr="003C2BD9" w:rsidRDefault="00E45F09" w:rsidP="003C2BD9">
      <w:pPr>
        <w:rPr>
          <w:lang w:val="ru-RU"/>
        </w:rPr>
      </w:pPr>
    </w:p>
    <w:sectPr w:rsidR="00E45F09" w:rsidRPr="003C2BD9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79E3383D" w14:textId="77777777" w:rsidR="003C2BD9" w:rsidRPr="00903ED9" w:rsidRDefault="003C2BD9" w:rsidP="003C2BD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Термин "уязвимые группы населения" включает женщин и девушек, лиц с ограниченными возможностями и особыми потребностями, пожилых людей, молодежь, маргинализированные сообщества и коренные народы</w:t>
      </w:r>
      <w:r w:rsidRPr="0006197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5A29CB0B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3C2BD9">
          <w:rPr>
            <w:noProof/>
            <w:szCs w:val="22"/>
          </w:rPr>
          <w:t>64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5BA9958F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3C2BD9">
      <w:rPr>
        <w:noProof/>
        <w:szCs w:val="22"/>
      </w:rPr>
      <w:t>64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C2BD9"/>
    <w:rsid w:val="003E584B"/>
    <w:rsid w:val="004F44FF"/>
    <w:rsid w:val="00523CDB"/>
    <w:rsid w:val="006677D6"/>
    <w:rsid w:val="00686D9E"/>
    <w:rsid w:val="00791A97"/>
    <w:rsid w:val="00905C06"/>
    <w:rsid w:val="009D3EFE"/>
    <w:rsid w:val="00B65A4E"/>
    <w:rsid w:val="00B95B42"/>
    <w:rsid w:val="00D90490"/>
    <w:rsid w:val="00DD3985"/>
    <w:rsid w:val="00E45F09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1437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21</cp:revision>
  <dcterms:created xsi:type="dcterms:W3CDTF">2023-10-16T12:49:00Z</dcterms:created>
  <dcterms:modified xsi:type="dcterms:W3CDTF">2023-10-16T13:39:00Z</dcterms:modified>
</cp:coreProperties>
</file>