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02FC" w14:textId="77777777" w:rsidR="00D5686A" w:rsidRPr="00E17456" w:rsidRDefault="00D5686A" w:rsidP="00D5686A">
      <w:pPr>
        <w:pStyle w:val="ResNo"/>
        <w:tabs>
          <w:tab w:val="left" w:pos="5245"/>
        </w:tabs>
        <w:rPr>
          <w:lang w:val="es-ES_tradnl"/>
        </w:rPr>
      </w:pPr>
      <w:bookmarkStart w:id="0" w:name="_Toc116917031"/>
      <w:bookmarkStart w:id="1" w:name="_Toc116918600"/>
      <w:bookmarkStart w:id="2" w:name="_Toc116919091"/>
      <w:bookmarkStart w:id="3" w:name="_Toc116919578"/>
      <w:r w:rsidRPr="00E17456">
        <w:rPr>
          <w:lang w:val="es-ES_tradnl"/>
        </w:rPr>
        <w:t>RESOLUCIÓN 63 (Rev. Kigali, 2022)</w:t>
      </w:r>
      <w:bookmarkEnd w:id="0"/>
      <w:bookmarkEnd w:id="1"/>
      <w:bookmarkEnd w:id="2"/>
      <w:bookmarkEnd w:id="3"/>
    </w:p>
    <w:p w14:paraId="13264329" w14:textId="77777777" w:rsidR="00D5686A" w:rsidRPr="00E17456" w:rsidRDefault="00D5686A" w:rsidP="00D5686A">
      <w:pPr>
        <w:pStyle w:val="Restitle"/>
        <w:rPr>
          <w:lang w:val="es-ES_tradnl"/>
        </w:rPr>
      </w:pPr>
      <w:bookmarkStart w:id="4" w:name="_Toc116917032"/>
      <w:bookmarkStart w:id="5" w:name="_Toc116918601"/>
      <w:bookmarkStart w:id="6" w:name="_Toc116919092"/>
      <w:bookmarkStart w:id="7" w:name="_Toc116919579"/>
      <w:r w:rsidRPr="00E17456">
        <w:rPr>
          <w:lang w:val="es-ES_tradnl"/>
        </w:rPr>
        <w:t xml:space="preserve">Asignación de direcciones del protocolo Internet y facilitación de la </w:t>
      </w:r>
      <w:r>
        <w:rPr>
          <w:lang w:val="es-ES_tradnl"/>
        </w:rPr>
        <w:br/>
      </w:r>
      <w:r w:rsidRPr="00E17456">
        <w:rPr>
          <w:lang w:val="es-ES_tradnl"/>
        </w:rPr>
        <w:t>transición a IPv6 y su despliegue en los países en desarrollo</w:t>
      </w:r>
      <w:bookmarkEnd w:id="4"/>
      <w:bookmarkEnd w:id="5"/>
      <w:bookmarkEnd w:id="6"/>
      <w:bookmarkEnd w:id="7"/>
    </w:p>
    <w:p w14:paraId="3DEB258E" w14:textId="77777777" w:rsidR="00D5686A" w:rsidRPr="00E17456" w:rsidRDefault="00D5686A" w:rsidP="00D5686A">
      <w:pPr>
        <w:pStyle w:val="Normalaftertitle"/>
        <w:rPr>
          <w:lang w:val="es-ES_tradnl"/>
        </w:rPr>
      </w:pPr>
      <w:r w:rsidRPr="00E17456">
        <w:rPr>
          <w:lang w:val="es-ES_tradnl"/>
        </w:rPr>
        <w:t>La Conferencia Mundial de Desarrollo de las Telecomunicaciones (Kigali, 2022),</w:t>
      </w:r>
    </w:p>
    <w:p w14:paraId="010C9221" w14:textId="77777777" w:rsidR="00D5686A" w:rsidRPr="00E17456" w:rsidRDefault="00D5686A" w:rsidP="00D5686A">
      <w:pPr>
        <w:pStyle w:val="Call"/>
        <w:rPr>
          <w:lang w:val="es-ES_tradnl"/>
        </w:rPr>
      </w:pPr>
      <w:r w:rsidRPr="00E17456">
        <w:rPr>
          <w:lang w:val="es-ES_tradnl"/>
        </w:rPr>
        <w:t>recordando</w:t>
      </w:r>
    </w:p>
    <w:p w14:paraId="5A4EB1C9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iCs/>
          <w:lang w:val="es-ES_tradnl"/>
        </w:rPr>
        <w:t>a)</w:t>
      </w:r>
      <w:r w:rsidRPr="00E17456">
        <w:rPr>
          <w:lang w:val="es-ES_tradnl"/>
        </w:rPr>
        <w:tab/>
        <w:t>la Resolución 101 (Rev. Dubái, 2018), la Resolución 102 (Rev. Dubái, 2018) y la Resolución 180 (Rev. Dubái, 2018) de la Conferencia de Plenipotenciarios;</w:t>
      </w:r>
    </w:p>
    <w:p w14:paraId="180755E6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iCs/>
          <w:lang w:val="es-ES_tradnl"/>
        </w:rPr>
        <w:t>b)</w:t>
      </w:r>
      <w:r w:rsidRPr="00E17456">
        <w:rPr>
          <w:lang w:val="es-ES_tradnl"/>
        </w:rPr>
        <w:tab/>
        <w:t>la Resolución 63 (Rev. Buenos Aires, 2017) de la Conferencia Mundial de Desarrollo de las Telecomunicaciones (CMDT);</w:t>
      </w:r>
    </w:p>
    <w:p w14:paraId="6C770A61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iCs/>
          <w:lang w:val="es-ES_tradnl"/>
        </w:rPr>
        <w:t>c)</w:t>
      </w:r>
      <w:r w:rsidRPr="00E17456">
        <w:rPr>
          <w:lang w:val="es-ES_tradnl"/>
        </w:rPr>
        <w:tab/>
        <w:t>la Resolución 64 (Rev. Ginebra, 2022) de la Asamblea Mundial de Normalización de las Telecomunicaciones;</w:t>
      </w:r>
    </w:p>
    <w:p w14:paraId="2DD6236D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iCs/>
          <w:lang w:val="es-ES_tradnl"/>
        </w:rPr>
        <w:t>d)</w:t>
      </w:r>
      <w:r w:rsidRPr="00E17456">
        <w:rPr>
          <w:lang w:val="es-ES_tradnl"/>
        </w:rPr>
        <w:tab/>
        <w:t>la Opinión 3 (Ginebra, 2013) del quinto Foro Mundial de Política de las Telecomunicaciones/Tecnologías de la Información y la Comunicación (TIC) (FMPT), sobre apoyo de la capacitación para la implantación del protocolo Internet versión 6 (IPv6);</w:t>
      </w:r>
    </w:p>
    <w:p w14:paraId="0B19CD90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iCs/>
          <w:lang w:val="es-ES_tradnl"/>
        </w:rPr>
        <w:t>e)</w:t>
      </w:r>
      <w:r w:rsidRPr="00E17456">
        <w:rPr>
          <w:lang w:val="es-ES_tradnl"/>
        </w:rPr>
        <w:tab/>
        <w:t>la Opinión 4 (Ginebra, 2013) del FMPT, sobre apoyo de la adopción de IPv6 y de la transición desde IPv4;</w:t>
      </w:r>
    </w:p>
    <w:p w14:paraId="77EFD34B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iCs/>
          <w:lang w:val="es-ES_tradnl"/>
        </w:rPr>
        <w:t>f)</w:t>
      </w:r>
      <w:r w:rsidRPr="00E17456">
        <w:rPr>
          <w:lang w:val="es-ES_tradnl"/>
        </w:rPr>
        <w:tab/>
        <w:t>los resultados del Grupo de Trabajo del Consejo de la UIT sobre el tema de la transición de IPv4 a IPv6;</w:t>
      </w:r>
    </w:p>
    <w:p w14:paraId="4689D71C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iCs/>
          <w:lang w:val="es-ES_tradnl"/>
        </w:rPr>
        <w:t>g)</w:t>
      </w:r>
      <w:r w:rsidRPr="00E17456">
        <w:rPr>
          <w:lang w:val="es-ES_tradnl"/>
        </w:rPr>
        <w:tab/>
        <w:t>los avances parciales logrados en los últimos años en materia de adopción de IPv6;</w:t>
      </w:r>
    </w:p>
    <w:p w14:paraId="310E388C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iCs/>
          <w:lang w:val="es-ES_tradnl"/>
        </w:rPr>
        <w:t>h)</w:t>
      </w:r>
      <w:r w:rsidRPr="00E17456">
        <w:rPr>
          <w:lang w:val="es-ES_tradnl"/>
        </w:rPr>
        <w:tab/>
        <w:t>que acelerar el despliegue del protocolo IPv6 se ha convertido en una cuestión de la mayor importancia para los Estados Miembros, los Miembros de Sector y los interesados en la comunidad de Internet debido al agotamiento de las direcciones IPv4,</w:t>
      </w:r>
    </w:p>
    <w:p w14:paraId="099C1181" w14:textId="77777777" w:rsidR="00D5686A" w:rsidRPr="00E17456" w:rsidRDefault="00D5686A" w:rsidP="00D5686A">
      <w:pPr>
        <w:pStyle w:val="Call"/>
        <w:rPr>
          <w:lang w:val="es-ES_tradnl"/>
        </w:rPr>
      </w:pPr>
      <w:r w:rsidRPr="00E17456">
        <w:rPr>
          <w:lang w:val="es-ES_tradnl"/>
        </w:rPr>
        <w:t>reconociendo</w:t>
      </w:r>
    </w:p>
    <w:p w14:paraId="43582FA5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iCs/>
          <w:lang w:val="es-ES_tradnl"/>
        </w:rPr>
        <w:t>a)</w:t>
      </w:r>
      <w:r w:rsidRPr="00E17456">
        <w:rPr>
          <w:lang w:val="es-ES_tradnl"/>
        </w:rPr>
        <w:tab/>
        <w:t>que las direcciones del protocolo de Internet (IP) son recursos que resultan imprescindibles para el desarrollo actual de las redes de telecomunicaciones/TIC basadas en IP, de gran importancia para la economía digital;</w:t>
      </w:r>
    </w:p>
    <w:p w14:paraId="2928A61C" w14:textId="77777777" w:rsidR="00D5686A" w:rsidRPr="00E17456" w:rsidRDefault="00D5686A" w:rsidP="00D5686A">
      <w:pPr>
        <w:rPr>
          <w:i/>
          <w:iCs/>
          <w:lang w:val="es-ES_tradnl"/>
        </w:rPr>
      </w:pPr>
      <w:r w:rsidRPr="00E17456">
        <w:rPr>
          <w:i/>
          <w:iCs/>
          <w:lang w:val="es-ES_tradnl"/>
        </w:rPr>
        <w:br w:type="page"/>
      </w:r>
    </w:p>
    <w:p w14:paraId="1779397F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iCs/>
          <w:lang w:val="es-ES_tradnl"/>
        </w:rPr>
        <w:lastRenderedPageBreak/>
        <w:t>b)</w:t>
      </w:r>
      <w:r w:rsidRPr="00E17456">
        <w:rPr>
          <w:lang w:val="es-ES_tradnl"/>
        </w:rPr>
        <w:tab/>
        <w:t>que numerosos países consideran que existen desequilibrios históricos en relación con la asignación del IPv4;</w:t>
      </w:r>
    </w:p>
    <w:p w14:paraId="209F6EE4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iCs/>
          <w:lang w:val="es-ES_tradnl"/>
        </w:rPr>
        <w:t>c)</w:t>
      </w:r>
      <w:r w:rsidRPr="00E17456">
        <w:rPr>
          <w:lang w:val="es-ES_tradnl"/>
        </w:rPr>
        <w:tab/>
        <w:t>que es necesario desplegar lo más rápidamente posible las direcciones IPv6 disponibles en todos los países para responder a las necesidades y llamamientos mundiales a este respecto;</w:t>
      </w:r>
    </w:p>
    <w:p w14:paraId="1F6DEBAF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iCs/>
          <w:lang w:val="es-ES_tradnl"/>
        </w:rPr>
        <w:t>d)</w:t>
      </w:r>
      <w:r w:rsidRPr="00E17456">
        <w:rPr>
          <w:i/>
          <w:iCs/>
          <w:lang w:val="es-ES_tradnl"/>
        </w:rPr>
        <w:tab/>
      </w:r>
      <w:r w:rsidRPr="00E17456">
        <w:rPr>
          <w:lang w:val="es-ES_tradnl"/>
        </w:rPr>
        <w:t>que el despliegue del IPv6 en todos los países es necesario para responder a las necesidades crecientes de conectividad mundial;</w:t>
      </w:r>
    </w:p>
    <w:p w14:paraId="56F75DA8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iCs/>
          <w:lang w:val="es-ES_tradnl"/>
        </w:rPr>
        <w:t>e)</w:t>
      </w:r>
      <w:r w:rsidRPr="00E17456">
        <w:rPr>
          <w:i/>
          <w:iCs/>
          <w:lang w:val="es-ES_tradnl"/>
        </w:rPr>
        <w:tab/>
      </w:r>
      <w:r w:rsidRPr="00E17456">
        <w:rPr>
          <w:lang w:val="es-ES_tradnl"/>
        </w:rPr>
        <w:t>que el despliegue del IPv6 facilita la implantación de soluciones de la Internet de las cosas (IoT), que requiere una enorme cantidad de direcciones IP;</w:t>
      </w:r>
    </w:p>
    <w:p w14:paraId="6AD0E200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lang w:val="es-ES_tradnl"/>
        </w:rPr>
        <w:t>f)</w:t>
      </w:r>
      <w:r w:rsidRPr="00E17456">
        <w:rPr>
          <w:lang w:val="es-ES_tradnl"/>
        </w:rPr>
        <w:tab/>
        <w:t>que respecto de la tecnología 5G, los servicios en la nube y la provisión de Internet a nivel industrial, IPv6 se ha desarrollado a un ritmo muy rápido en los ámbitos industrial, tecnológico y empresarial y se ha implantado a gran escala en determinados países;</w:t>
      </w:r>
    </w:p>
    <w:p w14:paraId="6A7B1062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iCs/>
          <w:lang w:val="es-ES_tradnl"/>
        </w:rPr>
        <w:t>g)</w:t>
      </w:r>
      <w:r w:rsidRPr="00E17456">
        <w:rPr>
          <w:lang w:val="es-ES_tradnl"/>
        </w:rPr>
        <w:tab/>
        <w:t>que algunos países en desarrollo</w:t>
      </w:r>
      <w:r>
        <w:rPr>
          <w:rStyle w:val="FootnoteReference"/>
          <w:lang w:val="es-ES_tradnl"/>
        </w:rPr>
        <w:footnoteReference w:customMarkFollows="1" w:id="1"/>
        <w:t>1</w:t>
      </w:r>
      <w:r w:rsidRPr="00E17456">
        <w:rPr>
          <w:lang w:val="es-ES_tradnl"/>
        </w:rPr>
        <w:t xml:space="preserve"> todavía necesitan la asistencia técnica y de gestión a cargo de expertos para hacer efectivo ese despliegue, pese a los avances logrados en otros países;</w:t>
      </w:r>
    </w:p>
    <w:p w14:paraId="0E307F82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iCs/>
          <w:lang w:val="es-ES_tradnl"/>
        </w:rPr>
        <w:t>h)</w:t>
      </w:r>
      <w:r w:rsidRPr="00E17456">
        <w:rPr>
          <w:lang w:val="es-ES_tradnl"/>
        </w:rPr>
        <w:tab/>
        <w:t>que el despliegue del IPv6 elimina el problema actual de escasez de espacio numérico de direcciones IPv4, permitiendo la asignación de direcciones públicamente enrutables en Internet a cada uno de los dispositivos;</w:t>
      </w:r>
    </w:p>
    <w:p w14:paraId="75985406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lang w:val="es-ES_tradnl"/>
        </w:rPr>
        <w:t>i)</w:t>
      </w:r>
      <w:r w:rsidRPr="00E17456">
        <w:rPr>
          <w:lang w:val="es-ES_tradnl"/>
        </w:rPr>
        <w:tab/>
        <w:t>la importancia de brindar asistencia técnica y de gestión a cargo de expertos en el despliegue de IPv6 a aquellos Estados Miembros y Asociados que así lo soliciten,</w:t>
      </w:r>
    </w:p>
    <w:p w14:paraId="6FDC540D" w14:textId="77777777" w:rsidR="00D5686A" w:rsidRPr="00E17456" w:rsidRDefault="00D5686A" w:rsidP="00D5686A">
      <w:pPr>
        <w:pStyle w:val="Call"/>
        <w:rPr>
          <w:lang w:val="es-ES_tradnl"/>
        </w:rPr>
      </w:pPr>
      <w:r w:rsidRPr="00E17456">
        <w:rPr>
          <w:lang w:val="es-ES_tradnl"/>
        </w:rPr>
        <w:t>teniendo en cuenta</w:t>
      </w:r>
    </w:p>
    <w:p w14:paraId="729169E2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iCs/>
          <w:lang w:val="es-ES_tradnl"/>
        </w:rPr>
        <w:t>a)</w:t>
      </w:r>
      <w:r w:rsidRPr="00E17456">
        <w:rPr>
          <w:lang w:val="es-ES_tradnl"/>
        </w:rPr>
        <w:tab/>
        <w:t>que numerosos países en desarrollo están experimentando dificultades en el proceso de despliegue de IPv6;</w:t>
      </w:r>
    </w:p>
    <w:p w14:paraId="4F980A59" w14:textId="77777777" w:rsidR="00D5686A" w:rsidRPr="00E17456" w:rsidRDefault="00D5686A" w:rsidP="00D5686A">
      <w:pPr>
        <w:rPr>
          <w:lang w:val="es-ES_tradnl"/>
        </w:rPr>
      </w:pPr>
      <w:r w:rsidRPr="00E17456">
        <w:rPr>
          <w:i/>
          <w:iCs/>
          <w:lang w:val="es-ES_tradnl"/>
        </w:rPr>
        <w:t>b)</w:t>
      </w:r>
      <w:r w:rsidRPr="00E17456">
        <w:rPr>
          <w:lang w:val="es-ES_tradnl"/>
        </w:rPr>
        <w:tab/>
        <w:t>la necesidad de estimular la colaboración y cooperación de todas las partes interesadas pertinentes para poder llevar a cabo este despliegue,</w:t>
      </w:r>
    </w:p>
    <w:p w14:paraId="16D1CCEE" w14:textId="77777777" w:rsidR="00D5686A" w:rsidRPr="00E17456" w:rsidRDefault="00D5686A" w:rsidP="00D5686A">
      <w:pPr>
        <w:rPr>
          <w:lang w:val="es-ES_tradnl"/>
        </w:rPr>
      </w:pPr>
      <w:r w:rsidRPr="00E17456">
        <w:rPr>
          <w:lang w:val="es-ES_tradnl"/>
        </w:rPr>
        <w:br w:type="page"/>
      </w:r>
    </w:p>
    <w:p w14:paraId="09AF7CB6" w14:textId="77777777" w:rsidR="00D5686A" w:rsidRPr="00E17456" w:rsidRDefault="00D5686A" w:rsidP="00D5686A">
      <w:pPr>
        <w:pStyle w:val="Call"/>
        <w:rPr>
          <w:lang w:val="es-ES_tradnl"/>
        </w:rPr>
      </w:pPr>
      <w:r w:rsidRPr="00E17456">
        <w:rPr>
          <w:lang w:val="es-ES_tradnl"/>
        </w:rPr>
        <w:lastRenderedPageBreak/>
        <w:t>resuelve</w:t>
      </w:r>
    </w:p>
    <w:p w14:paraId="2C501913" w14:textId="77777777" w:rsidR="00D5686A" w:rsidRPr="00E17456" w:rsidRDefault="00D5686A" w:rsidP="00D5686A">
      <w:pPr>
        <w:rPr>
          <w:lang w:val="es-ES_tradnl"/>
        </w:rPr>
      </w:pPr>
      <w:r w:rsidRPr="00E17456">
        <w:rPr>
          <w:lang w:val="es-ES_tradnl"/>
        </w:rPr>
        <w:t>promover el intercambio de experiencias e información relativas al despliegue de IPv6 entre todas las partes interesadas, con objeto de unificar esfuerzos y obtener contribuciones que respalden la labor de apoyo a este despliegue que realiza la Unión,</w:t>
      </w:r>
    </w:p>
    <w:p w14:paraId="17DEC845" w14:textId="77777777" w:rsidR="00D5686A" w:rsidRPr="00E17456" w:rsidRDefault="00D5686A" w:rsidP="00D5686A">
      <w:pPr>
        <w:pStyle w:val="Call"/>
        <w:rPr>
          <w:lang w:val="es-ES_tradnl"/>
        </w:rPr>
      </w:pPr>
      <w:r w:rsidRPr="00E17456">
        <w:rPr>
          <w:lang w:val="es-ES_tradnl"/>
        </w:rPr>
        <w:t>encarga al Director de la Oficina de Desarrollo de las Telecomunicaciones</w:t>
      </w:r>
    </w:p>
    <w:p w14:paraId="58B5B4CA" w14:textId="77777777" w:rsidR="00D5686A" w:rsidRPr="00E17456" w:rsidRDefault="00D5686A" w:rsidP="00D5686A">
      <w:pPr>
        <w:rPr>
          <w:lang w:val="es-ES_tradnl"/>
        </w:rPr>
      </w:pPr>
      <w:r w:rsidRPr="00E17456">
        <w:rPr>
          <w:lang w:val="es-ES_tradnl"/>
        </w:rPr>
        <w:t>1</w:t>
      </w:r>
      <w:r w:rsidRPr="00E17456">
        <w:rPr>
          <w:lang w:val="es-ES_tradnl"/>
        </w:rPr>
        <w:tab/>
        <w:t>que continúe cooperando y colaborando estrechamente con el Director de la Oficina de Normalización de las Telecomunicaciones en esta esfera, que siga llevando a cabo las actividades en curso, con el objetivo de facilitar el despliegue del IPv6 entre todos los Miembros, y que proporcione la información necesaria sobre las actividades de formación y educación;</w:t>
      </w:r>
    </w:p>
    <w:p w14:paraId="4DE58C4A" w14:textId="77777777" w:rsidR="00D5686A" w:rsidRPr="00E17456" w:rsidRDefault="00D5686A" w:rsidP="00D5686A">
      <w:pPr>
        <w:rPr>
          <w:lang w:val="es-ES_tradnl"/>
        </w:rPr>
      </w:pPr>
      <w:r w:rsidRPr="00E17456">
        <w:rPr>
          <w:lang w:val="es-ES_tradnl"/>
        </w:rPr>
        <w:t>2</w:t>
      </w:r>
      <w:r w:rsidRPr="00E17456">
        <w:rPr>
          <w:lang w:val="es-ES_tradnl"/>
        </w:rPr>
        <w:tab/>
        <w:t>que siga cooperando con las organizaciones internacionales y regionales pertinentes, en particular con los Registros Regionales de Internet (RIR), en el ámbito de la capacitación y la ampliación de conocimientos técnicos en materia de despliegue de IPv6, a fin de satisfacer las necesidades de los países en desarrollo;</w:t>
      </w:r>
    </w:p>
    <w:p w14:paraId="7A43C3BA" w14:textId="77777777" w:rsidR="00D5686A" w:rsidRPr="00E17456" w:rsidRDefault="00D5686A" w:rsidP="00D5686A">
      <w:pPr>
        <w:rPr>
          <w:lang w:val="es-ES_tradnl"/>
        </w:rPr>
      </w:pPr>
      <w:r w:rsidRPr="00E17456">
        <w:rPr>
          <w:lang w:val="es-ES_tradnl"/>
        </w:rPr>
        <w:t>3</w:t>
      </w:r>
      <w:r w:rsidRPr="00E17456">
        <w:rPr>
          <w:lang w:val="es-ES_tradnl"/>
        </w:rPr>
        <w:tab/>
        <w:t>que presente un informe anual al Consejo de la UIT sobre los progresos realizados a este respecto, e informe a la próxima CMDT;</w:t>
      </w:r>
    </w:p>
    <w:p w14:paraId="14B8B667" w14:textId="77777777" w:rsidR="00D5686A" w:rsidRPr="00E17456" w:rsidRDefault="00D5686A" w:rsidP="00D5686A">
      <w:pPr>
        <w:rPr>
          <w:lang w:val="es-ES_tradnl"/>
        </w:rPr>
      </w:pPr>
      <w:r w:rsidRPr="00E17456">
        <w:rPr>
          <w:lang w:val="es-ES_tradnl"/>
        </w:rPr>
        <w:t>4</w:t>
      </w:r>
      <w:r w:rsidRPr="00E17456">
        <w:rPr>
          <w:lang w:val="es-ES_tradnl"/>
        </w:rPr>
        <w:tab/>
        <w:t>que elabore directrices para facilitar, cuando sea necesario, la adaptación de los marcos organizativos y las políticas que procedan para el despliegue del IPv6,</w:t>
      </w:r>
    </w:p>
    <w:p w14:paraId="0D3A3C67" w14:textId="77777777" w:rsidR="00D5686A" w:rsidRPr="00E17456" w:rsidRDefault="00D5686A" w:rsidP="00D5686A">
      <w:pPr>
        <w:pStyle w:val="Call"/>
        <w:rPr>
          <w:lang w:val="es-ES_tradnl"/>
        </w:rPr>
      </w:pPr>
      <w:r w:rsidRPr="00E17456">
        <w:rPr>
          <w:lang w:val="es-ES_tradnl"/>
        </w:rPr>
        <w:t>invita a los Estados Miembros</w:t>
      </w:r>
    </w:p>
    <w:p w14:paraId="0E2BEAA0" w14:textId="77777777" w:rsidR="00D5686A" w:rsidRPr="00E17456" w:rsidRDefault="00D5686A" w:rsidP="00D5686A">
      <w:pPr>
        <w:rPr>
          <w:lang w:val="es-ES_tradnl"/>
        </w:rPr>
      </w:pPr>
      <w:r w:rsidRPr="00E17456">
        <w:rPr>
          <w:lang w:val="es-ES_tradnl"/>
        </w:rPr>
        <w:t>1</w:t>
      </w:r>
      <w:r w:rsidRPr="00E17456">
        <w:rPr>
          <w:lang w:val="es-ES_tradnl"/>
        </w:rPr>
        <w:tab/>
        <w:t>a que examinen las actualizaciones de direcciones IP registradas en los RIR de sus respectivos territorios a efectos de la evaluación, el desarrollo y el seguimiento;</w:t>
      </w:r>
    </w:p>
    <w:p w14:paraId="45D4C03C" w14:textId="77777777" w:rsidR="00D5686A" w:rsidRPr="00E17456" w:rsidRDefault="00D5686A" w:rsidP="00D5686A">
      <w:pPr>
        <w:rPr>
          <w:lang w:val="es-ES_tradnl"/>
        </w:rPr>
      </w:pPr>
      <w:r w:rsidRPr="00E17456">
        <w:rPr>
          <w:lang w:val="es-ES_tradnl"/>
        </w:rPr>
        <w:t>2</w:t>
      </w:r>
      <w:r w:rsidRPr="00E17456">
        <w:rPr>
          <w:lang w:val="es-ES_tradnl"/>
        </w:rPr>
        <w:tab/>
        <w:t>a que sigan promoviendo y alentando el despliegue del IPv6 y, especialmente, a que continúen fomentando iniciativas nacionales que fortalezcan la interacción entre el gobierno y las entidades del sector privado, los RIR, las instituciones académicas y las organizaciones de la sociedad civil, con el fin de intercambiar experiencias y conocimientos prácticos y teóricos;</w:t>
      </w:r>
    </w:p>
    <w:p w14:paraId="0DDF9BE9" w14:textId="77777777" w:rsidR="00D5686A" w:rsidRPr="00E17456" w:rsidRDefault="00D5686A" w:rsidP="00D5686A">
      <w:pPr>
        <w:rPr>
          <w:lang w:val="es-ES_tradnl"/>
        </w:rPr>
      </w:pPr>
      <w:r w:rsidRPr="00E17456">
        <w:rPr>
          <w:lang w:val="es-ES_tradnl"/>
        </w:rPr>
        <w:t>3</w:t>
      </w:r>
      <w:r w:rsidRPr="00E17456">
        <w:rPr>
          <w:lang w:val="es-ES_tradnl"/>
        </w:rPr>
        <w:tab/>
        <w:t>a promover la capacitación de técnicos y administradores de agencias gubernamentales y organizaciones del sector privado en el despliegue de IPv6 con teoría y práctica que muestre cómo desplegar el IPv6 en sus redes;</w:t>
      </w:r>
    </w:p>
    <w:p w14:paraId="566CF284" w14:textId="77777777" w:rsidR="00D5686A" w:rsidRPr="00E17456" w:rsidRDefault="00D5686A" w:rsidP="00D5686A">
      <w:pPr>
        <w:rPr>
          <w:lang w:val="es-ES_tradnl"/>
        </w:rPr>
      </w:pPr>
      <w:r w:rsidRPr="00E17456">
        <w:rPr>
          <w:lang w:val="es-ES_tradnl"/>
        </w:rPr>
        <w:t>4</w:t>
      </w:r>
      <w:r w:rsidRPr="00E17456">
        <w:rPr>
          <w:lang w:val="es-ES_tradnl"/>
        </w:rPr>
        <w:tab/>
        <w:t>a sensibilizar a los proveedores sobre la importancia de que sus servicios estén disponibles a través del IPv6;</w:t>
      </w:r>
    </w:p>
    <w:p w14:paraId="2CA086A0" w14:textId="77777777" w:rsidR="00D5686A" w:rsidRPr="00E17456" w:rsidRDefault="00D5686A" w:rsidP="00D5686A">
      <w:pPr>
        <w:rPr>
          <w:lang w:val="es-ES_tradnl"/>
        </w:rPr>
      </w:pPr>
      <w:r w:rsidRPr="00E17456">
        <w:rPr>
          <w:lang w:val="es-ES_tradnl"/>
        </w:rPr>
        <w:br w:type="page"/>
      </w:r>
    </w:p>
    <w:p w14:paraId="25596558" w14:textId="77777777" w:rsidR="00D5686A" w:rsidRPr="00E17456" w:rsidRDefault="00D5686A" w:rsidP="00D5686A">
      <w:pPr>
        <w:rPr>
          <w:lang w:val="es-ES_tradnl"/>
        </w:rPr>
      </w:pPr>
      <w:r w:rsidRPr="00E17456">
        <w:rPr>
          <w:lang w:val="es-ES_tradnl"/>
        </w:rPr>
        <w:lastRenderedPageBreak/>
        <w:t>5</w:t>
      </w:r>
      <w:r w:rsidRPr="00E17456">
        <w:rPr>
          <w:lang w:val="es-ES_tradnl"/>
        </w:rPr>
        <w:tab/>
        <w:t>a alentar a los fabricantes a que suministren al mercado equipos para las instalaciones del cliente dotados de todas las prestaciones necesarias para soportar el IPv6 además del IPv4;</w:t>
      </w:r>
    </w:p>
    <w:p w14:paraId="7191A3CD" w14:textId="77777777" w:rsidR="00D5686A" w:rsidRPr="00E17456" w:rsidRDefault="00D5686A" w:rsidP="00D5686A">
      <w:pPr>
        <w:rPr>
          <w:lang w:val="es-ES_tradnl"/>
        </w:rPr>
      </w:pPr>
      <w:r w:rsidRPr="00E17456">
        <w:rPr>
          <w:lang w:val="es-ES_tradnl"/>
        </w:rPr>
        <w:t>6</w:t>
      </w:r>
      <w:r w:rsidRPr="00E17456">
        <w:rPr>
          <w:lang w:val="es-ES_tradnl"/>
        </w:rPr>
        <w:tab/>
        <w:t>a fomentar la cooperación entre los proveedores de servicio Internet, los proveedores de servicio y otros interesados pertinentes a fin de acelerar el despliegue del IPv6;</w:t>
      </w:r>
    </w:p>
    <w:p w14:paraId="7B45F092" w14:textId="77777777" w:rsidR="00D5686A" w:rsidRPr="00E17456" w:rsidRDefault="00D5686A" w:rsidP="00D5686A">
      <w:pPr>
        <w:rPr>
          <w:lang w:val="es-ES_tradnl"/>
        </w:rPr>
      </w:pPr>
      <w:r w:rsidRPr="00E17456">
        <w:rPr>
          <w:lang w:val="es-ES_tradnl"/>
        </w:rPr>
        <w:t>7</w:t>
      </w:r>
      <w:r w:rsidRPr="00E17456">
        <w:rPr>
          <w:lang w:val="es-ES_tradnl"/>
        </w:rPr>
        <w:tab/>
        <w:t>a alentar a los proveedores de servicios a que activen el IPv6 en los equipos y redes de telecomunicaciones/TIC y ofrezcan el servicio IPv6 a los usuarios;</w:t>
      </w:r>
    </w:p>
    <w:p w14:paraId="452B100B" w14:textId="77777777" w:rsidR="00D5686A" w:rsidRPr="00E17456" w:rsidRDefault="00D5686A" w:rsidP="00D5686A">
      <w:pPr>
        <w:rPr>
          <w:lang w:val="es-ES_tradnl"/>
        </w:rPr>
      </w:pPr>
      <w:r w:rsidRPr="00E17456">
        <w:rPr>
          <w:lang w:val="es-ES_tradnl"/>
        </w:rPr>
        <w:t>8</w:t>
      </w:r>
      <w:r w:rsidRPr="00E17456">
        <w:rPr>
          <w:lang w:val="es-ES_tradnl"/>
        </w:rPr>
        <w:tab/>
        <w:t>a alentar a las agencias gubernamentales y organizaciones del sector privado a que pongan a disposición sus sitios web y servicios como el correo electrónico a través del IPv6.</w:t>
      </w:r>
    </w:p>
    <w:p w14:paraId="20134B57" w14:textId="77777777" w:rsidR="00D5686A" w:rsidRPr="00E17456" w:rsidRDefault="00D5686A" w:rsidP="00D5686A">
      <w:pPr>
        <w:pStyle w:val="Reasons"/>
        <w:rPr>
          <w:lang w:val="es-ES_tradnl"/>
        </w:rPr>
      </w:pPr>
    </w:p>
    <w:p w14:paraId="1F3E1E2D" w14:textId="77777777" w:rsidR="00D5686A" w:rsidRPr="00E17456" w:rsidRDefault="00D5686A" w:rsidP="00D5686A">
      <w:pPr>
        <w:pStyle w:val="Reasons"/>
        <w:rPr>
          <w:lang w:val="es-ES_tradnl"/>
        </w:rPr>
      </w:pPr>
    </w:p>
    <w:p w14:paraId="2D186875" w14:textId="77777777" w:rsidR="00D5686A" w:rsidRPr="00E17456" w:rsidRDefault="00D5686A" w:rsidP="00D5686A">
      <w:pPr>
        <w:pStyle w:val="Reasons"/>
        <w:rPr>
          <w:lang w:val="es-ES_tradnl"/>
        </w:rPr>
      </w:pPr>
    </w:p>
    <w:p w14:paraId="1C6C2E9E" w14:textId="77777777" w:rsidR="00D5686A" w:rsidRPr="00E17456" w:rsidRDefault="00D5686A" w:rsidP="00D5686A">
      <w:pPr>
        <w:pStyle w:val="Reasons"/>
        <w:rPr>
          <w:lang w:val="es-ES_tradnl"/>
        </w:rPr>
      </w:pPr>
    </w:p>
    <w:p w14:paraId="7D451C44" w14:textId="77777777" w:rsidR="00D5686A" w:rsidRDefault="00D5686A" w:rsidP="00D5686A">
      <w:pPr>
        <w:pStyle w:val="Reasons"/>
        <w:rPr>
          <w:lang w:val="es-ES_tradnl"/>
        </w:rPr>
      </w:pPr>
    </w:p>
    <w:p w14:paraId="5F5A57BC" w14:textId="77777777" w:rsidR="00D5686A" w:rsidRPr="00E17456" w:rsidRDefault="00D5686A" w:rsidP="00D5686A">
      <w:pPr>
        <w:pStyle w:val="Reasons"/>
        <w:rPr>
          <w:lang w:val="es-ES_tradnl"/>
        </w:rPr>
      </w:pPr>
    </w:p>
    <w:p w14:paraId="27E4AB07" w14:textId="77777777" w:rsidR="00D5686A" w:rsidRPr="00E17456" w:rsidRDefault="00D5686A" w:rsidP="00D5686A">
      <w:pPr>
        <w:pStyle w:val="Reasons"/>
        <w:rPr>
          <w:lang w:val="es-ES_tradnl"/>
        </w:rPr>
      </w:pPr>
    </w:p>
    <w:p w14:paraId="0A81FC52" w14:textId="77777777" w:rsidR="00D5686A" w:rsidRDefault="00D5686A" w:rsidP="00D5686A">
      <w:pPr>
        <w:pStyle w:val="Reasons"/>
        <w:rPr>
          <w:lang w:val="es-ES_tradnl"/>
        </w:rPr>
      </w:pPr>
    </w:p>
    <w:p w14:paraId="37B981EC" w14:textId="77777777" w:rsidR="00D5686A" w:rsidRDefault="00D5686A" w:rsidP="00D5686A">
      <w:pPr>
        <w:pStyle w:val="Reasons"/>
        <w:rPr>
          <w:lang w:val="es-ES_tradnl"/>
        </w:rPr>
      </w:pPr>
    </w:p>
    <w:p w14:paraId="62BA140C" w14:textId="77777777" w:rsidR="00D5686A" w:rsidRDefault="00D5686A" w:rsidP="00D5686A">
      <w:pPr>
        <w:pStyle w:val="Reasons"/>
        <w:rPr>
          <w:lang w:val="es-ES_tradnl"/>
        </w:rPr>
      </w:pPr>
    </w:p>
    <w:p w14:paraId="179FFDFB" w14:textId="77777777" w:rsidR="00D5686A" w:rsidRDefault="00D5686A" w:rsidP="00D5686A">
      <w:pPr>
        <w:pStyle w:val="Reasons"/>
        <w:rPr>
          <w:lang w:val="es-ES_tradnl"/>
        </w:rPr>
      </w:pPr>
    </w:p>
    <w:p w14:paraId="6FDF560E" w14:textId="77777777" w:rsidR="00D5686A" w:rsidRDefault="00D5686A" w:rsidP="00D5686A">
      <w:pPr>
        <w:pStyle w:val="Reasons"/>
        <w:rPr>
          <w:lang w:val="es-ES_tradnl"/>
        </w:rPr>
      </w:pPr>
    </w:p>
    <w:p w14:paraId="65F5490D" w14:textId="77777777" w:rsidR="00D5686A" w:rsidRPr="00E17456" w:rsidRDefault="00D5686A" w:rsidP="00D5686A">
      <w:pPr>
        <w:pStyle w:val="Reasons"/>
        <w:rPr>
          <w:lang w:val="es-ES_tradnl"/>
        </w:rPr>
      </w:pPr>
    </w:p>
    <w:p w14:paraId="7D5FB721" w14:textId="77777777" w:rsidR="00F16487" w:rsidRDefault="00F16487"/>
    <w:sectPr w:rsidR="00F16487" w:rsidSect="00D5686A">
      <w:headerReference w:type="even" r:id="rId6"/>
      <w:headerReference w:type="default" r:id="rId7"/>
      <w:pgSz w:w="11906" w:h="16838" w:code="9"/>
      <w:pgMar w:top="1418" w:right="1134" w:bottom="1418" w:left="1134" w:header="720" w:footer="72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E864" w14:textId="77777777" w:rsidR="00D5686A" w:rsidRDefault="00D5686A" w:rsidP="00D5686A">
      <w:pPr>
        <w:spacing w:before="0"/>
      </w:pPr>
      <w:r>
        <w:separator/>
      </w:r>
    </w:p>
  </w:endnote>
  <w:endnote w:type="continuationSeparator" w:id="0">
    <w:p w14:paraId="7124DA2E" w14:textId="77777777" w:rsidR="00D5686A" w:rsidRDefault="00D5686A" w:rsidP="00D5686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1F68" w14:textId="77777777" w:rsidR="00D5686A" w:rsidRDefault="00D5686A" w:rsidP="00D5686A">
      <w:pPr>
        <w:spacing w:before="0"/>
      </w:pPr>
      <w:r>
        <w:separator/>
      </w:r>
    </w:p>
  </w:footnote>
  <w:footnote w:type="continuationSeparator" w:id="0">
    <w:p w14:paraId="38E60683" w14:textId="77777777" w:rsidR="00D5686A" w:rsidRDefault="00D5686A" w:rsidP="00D5686A">
      <w:pPr>
        <w:spacing w:before="0"/>
      </w:pPr>
      <w:r>
        <w:continuationSeparator/>
      </w:r>
    </w:p>
  </w:footnote>
  <w:footnote w:id="1">
    <w:p w14:paraId="0E005C34" w14:textId="77777777" w:rsidR="00D5686A" w:rsidRPr="00EF1565" w:rsidRDefault="00D5686A" w:rsidP="00D5686A">
      <w:pPr>
        <w:pStyle w:val="FootnoteText"/>
        <w:rPr>
          <w:lang w:val="es-ES"/>
        </w:rPr>
      </w:pPr>
      <w:r w:rsidRPr="00E67D13">
        <w:rPr>
          <w:rStyle w:val="FootnoteReference"/>
          <w:lang w:val="fr-FR"/>
        </w:rPr>
        <w:t>1</w:t>
      </w:r>
      <w:r w:rsidRPr="00E67D13">
        <w:rPr>
          <w:lang w:val="fr-FR"/>
        </w:rPr>
        <w:t xml:space="preserve"> </w:t>
      </w:r>
      <w:r>
        <w:rPr>
          <w:lang w:val="es-ES"/>
        </w:rPr>
        <w:tab/>
        <w:t>Este término comprende los países menos adelantados, los pequeños Estados insulares en desarrollo, los países en desarrollo sin litoral y los países con economías en transición.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6"/>
        <w:szCs w:val="16"/>
      </w:rPr>
      <w:id w:val="7851562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9702D0" w14:textId="3195F2B8" w:rsidR="00D5686A" w:rsidRPr="00D5686A" w:rsidRDefault="00D5686A" w:rsidP="00D5686A">
        <w:pPr>
          <w:tabs>
            <w:tab w:val="left" w:pos="284"/>
            <w:tab w:val="left" w:pos="851"/>
          </w:tabs>
          <w:spacing w:before="0" w:after="120"/>
          <w:jc w:val="left"/>
          <w:rPr>
            <w:rFonts w:ascii="Calibri" w:hAnsi="Calibri"/>
            <w:sz w:val="16"/>
            <w:szCs w:val="16"/>
            <w:lang w:val="fr-FR"/>
          </w:rPr>
        </w:pPr>
        <w:r w:rsidRPr="00D5686A">
          <w:rPr>
            <w:rFonts w:ascii="Calibri" w:hAnsi="Calibri"/>
            <w:sz w:val="16"/>
            <w:szCs w:val="16"/>
          </w:rPr>
          <w:fldChar w:fldCharType="begin"/>
        </w:r>
        <w:r w:rsidRPr="00D5686A">
          <w:rPr>
            <w:rFonts w:ascii="Calibri" w:hAnsi="Calibri"/>
            <w:sz w:val="16"/>
            <w:szCs w:val="16"/>
            <w:lang w:val="fr-FR"/>
          </w:rPr>
          <w:instrText xml:space="preserve"> PAGE   \* MERGEFORMAT </w:instrText>
        </w:r>
        <w:r w:rsidRPr="00D5686A">
          <w:rPr>
            <w:rFonts w:ascii="Calibri" w:hAnsi="Calibri"/>
            <w:sz w:val="16"/>
            <w:szCs w:val="16"/>
          </w:rPr>
          <w:fldChar w:fldCharType="separate"/>
        </w:r>
        <w:r w:rsidRPr="00D5686A">
          <w:rPr>
            <w:rFonts w:ascii="Calibri" w:hAnsi="Calibri"/>
            <w:sz w:val="16"/>
            <w:szCs w:val="16"/>
          </w:rPr>
          <w:t>276</w:t>
        </w:r>
        <w:r w:rsidRPr="00D5686A">
          <w:rPr>
            <w:rFonts w:ascii="Calibri" w:hAnsi="Calibri"/>
            <w:noProof/>
            <w:sz w:val="16"/>
            <w:szCs w:val="16"/>
          </w:rPr>
          <w:fldChar w:fldCharType="end"/>
        </w:r>
        <w:r w:rsidRPr="00D5686A">
          <w:rPr>
            <w:rFonts w:ascii="Calibri" w:hAnsi="Calibri"/>
            <w:sz w:val="16"/>
            <w:szCs w:val="16"/>
            <w:lang w:val="fr-FR"/>
          </w:rPr>
          <w:tab/>
          <w:t>Informe final de la CMDT-22 – Parte IV – Resolución 63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6"/>
        <w:szCs w:val="16"/>
      </w:rPr>
      <w:id w:val="-341931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577E70" w14:textId="77777777" w:rsidR="00D5686A" w:rsidRPr="00D5686A" w:rsidRDefault="00D5686A" w:rsidP="00D5686A">
        <w:pPr>
          <w:tabs>
            <w:tab w:val="left" w:pos="3828"/>
          </w:tabs>
          <w:spacing w:before="0" w:after="120"/>
          <w:jc w:val="right"/>
          <w:rPr>
            <w:rFonts w:ascii="Calibri" w:hAnsi="Calibri"/>
            <w:sz w:val="16"/>
            <w:szCs w:val="16"/>
            <w:lang w:val="fr-FR"/>
          </w:rPr>
        </w:pPr>
        <w:r w:rsidRPr="00D5686A">
          <w:rPr>
            <w:rFonts w:ascii="Calibri" w:hAnsi="Calibri"/>
            <w:sz w:val="16"/>
            <w:szCs w:val="16"/>
            <w:lang w:val="fr-FR"/>
          </w:rPr>
          <w:t>Informe final de la CMDT-22 – Parte IV – Resolución 63</w:t>
        </w:r>
        <w:r w:rsidRPr="00D5686A">
          <w:rPr>
            <w:rFonts w:ascii="Calibri" w:hAnsi="Calibri"/>
            <w:sz w:val="16"/>
            <w:szCs w:val="16"/>
            <w:lang w:val="fr-FR"/>
          </w:rPr>
          <w:tab/>
        </w:r>
        <w:r w:rsidRPr="00D5686A">
          <w:rPr>
            <w:rFonts w:ascii="Calibri" w:hAnsi="Calibri"/>
            <w:sz w:val="16"/>
            <w:szCs w:val="16"/>
          </w:rPr>
          <w:fldChar w:fldCharType="begin"/>
        </w:r>
        <w:r w:rsidRPr="00D5686A">
          <w:rPr>
            <w:rFonts w:ascii="Calibri" w:hAnsi="Calibri"/>
            <w:sz w:val="16"/>
            <w:szCs w:val="16"/>
            <w:lang w:val="fr-FR"/>
          </w:rPr>
          <w:instrText xml:space="preserve"> PAGE   \* MERGEFORMAT </w:instrText>
        </w:r>
        <w:r w:rsidRPr="00D5686A">
          <w:rPr>
            <w:rFonts w:ascii="Calibri" w:hAnsi="Calibri"/>
            <w:sz w:val="16"/>
            <w:szCs w:val="16"/>
          </w:rPr>
          <w:fldChar w:fldCharType="separate"/>
        </w:r>
        <w:r w:rsidRPr="00D5686A">
          <w:rPr>
            <w:rFonts w:ascii="Calibri" w:hAnsi="Calibri"/>
            <w:sz w:val="16"/>
            <w:szCs w:val="16"/>
          </w:rPr>
          <w:t>275</w:t>
        </w:r>
        <w:r w:rsidRPr="00D5686A">
          <w:rPr>
            <w:rFonts w:ascii="Calibri" w:hAnsi="Calibri"/>
            <w:noProof/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6A"/>
    <w:rsid w:val="00400A99"/>
    <w:rsid w:val="0045258F"/>
    <w:rsid w:val="004A0B3D"/>
    <w:rsid w:val="0051703C"/>
    <w:rsid w:val="005C0E4B"/>
    <w:rsid w:val="00600EDA"/>
    <w:rsid w:val="007359FB"/>
    <w:rsid w:val="0076311C"/>
    <w:rsid w:val="008630CC"/>
    <w:rsid w:val="00950AD1"/>
    <w:rsid w:val="00D5686A"/>
    <w:rsid w:val="00DC1DAE"/>
    <w:rsid w:val="00F06AC3"/>
    <w:rsid w:val="00F16487"/>
    <w:rsid w:val="00F7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0904"/>
  <w15:chartTrackingRefBased/>
  <w15:docId w15:val="{34827230-A06E-42E5-9313-BBD64A91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86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eastAsia="Times New Roman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8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D5686A"/>
    <w:pPr>
      <w:keepNext/>
      <w:keepLines/>
      <w:spacing w:before="160"/>
      <w:ind w:left="1134"/>
    </w:pPr>
    <w:rPr>
      <w:i/>
    </w:rPr>
  </w:style>
  <w:style w:type="character" w:styleId="FootnoteReference">
    <w:name w:val="footnote reference"/>
    <w:aliases w:val="Appel note de bas de p,Footnote Reference/,Footnote symbol,Ref,de nota al pie,Footnote,Style 12,(NECG) Footnote Reference,FR,Style 13,Style 124,o,fr,Style 3,Voetnootverwijzing,Times 10 Point,Exposant 3 Point,footnote ref,Italic,Style"/>
    <w:basedOn w:val="DefaultParagraphFont"/>
    <w:qFormat/>
    <w:rsid w:val="00D5686A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D5686A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D5686A"/>
    <w:rPr>
      <w:rFonts w:eastAsia="Times New Roman" w:cs="Times New Roman"/>
      <w:szCs w:val="20"/>
      <w:lang w:val="en-GB"/>
    </w:rPr>
  </w:style>
  <w:style w:type="paragraph" w:customStyle="1" w:styleId="Normalaftertitle">
    <w:name w:val="Normal after title"/>
    <w:basedOn w:val="Normal"/>
    <w:next w:val="Normal"/>
    <w:link w:val="NormalaftertitleChar"/>
    <w:rsid w:val="00D5686A"/>
    <w:pPr>
      <w:spacing w:before="280"/>
    </w:pPr>
  </w:style>
  <w:style w:type="paragraph" w:customStyle="1" w:styleId="Reasons">
    <w:name w:val="Reasons"/>
    <w:basedOn w:val="Normal"/>
    <w:qFormat/>
    <w:rsid w:val="00D5686A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D5686A"/>
    <w:pPr>
      <w:spacing w:before="200"/>
      <w:ind w:left="1134" w:hanging="1134"/>
      <w:jc w:val="center"/>
      <w:outlineLvl w:val="0"/>
    </w:pPr>
    <w:rPr>
      <w:rFonts w:asciiTheme="minorHAnsi" w:eastAsia="Times New Roman" w:hAnsiTheme="minorHAnsi" w:cs="Times New Roman"/>
      <w:color w:val="auto"/>
      <w:sz w:val="28"/>
      <w:szCs w:val="20"/>
    </w:rPr>
  </w:style>
  <w:style w:type="paragraph" w:customStyle="1" w:styleId="Restitle">
    <w:name w:val="Res_title"/>
    <w:basedOn w:val="Normal"/>
    <w:next w:val="Normal"/>
    <w:link w:val="RestitleChar"/>
    <w:rsid w:val="00D5686A"/>
    <w:pPr>
      <w:keepNext/>
      <w:keepLines/>
      <w:spacing w:before="240"/>
      <w:jc w:val="center"/>
      <w:outlineLvl w:val="0"/>
    </w:pPr>
    <w:rPr>
      <w:b/>
      <w:sz w:val="28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5686A"/>
    <w:rPr>
      <w:rFonts w:eastAsia="Times New Roman" w:cs="Times New Roman"/>
      <w:sz w:val="24"/>
      <w:szCs w:val="20"/>
      <w:lang w:val="en-GB"/>
    </w:rPr>
  </w:style>
  <w:style w:type="character" w:customStyle="1" w:styleId="CallChar">
    <w:name w:val="Call Char"/>
    <w:basedOn w:val="DefaultParagraphFont"/>
    <w:link w:val="Call"/>
    <w:locked/>
    <w:rsid w:val="00D5686A"/>
    <w:rPr>
      <w:rFonts w:eastAsia="Times New Roman" w:cs="Times New Roman"/>
      <w:i/>
      <w:sz w:val="24"/>
      <w:szCs w:val="20"/>
      <w:lang w:val="en-GB"/>
    </w:rPr>
  </w:style>
  <w:style w:type="character" w:customStyle="1" w:styleId="RestitleChar">
    <w:name w:val="Res_title Char"/>
    <w:basedOn w:val="DefaultParagraphFont"/>
    <w:link w:val="Restitle"/>
    <w:rsid w:val="00D5686A"/>
    <w:rPr>
      <w:rFonts w:eastAsia="Times New Roman" w:cs="Times New Roman"/>
      <w:b/>
      <w:sz w:val="28"/>
      <w:szCs w:val="20"/>
      <w:lang w:val="en-GB"/>
    </w:rPr>
  </w:style>
  <w:style w:type="character" w:customStyle="1" w:styleId="ResNoChar">
    <w:name w:val="Res_No Char"/>
    <w:basedOn w:val="DefaultParagraphFont"/>
    <w:link w:val="ResNo"/>
    <w:rsid w:val="00D5686A"/>
    <w:rPr>
      <w:rFonts w:eastAsia="Times New Roman" w:cs="Times New Roman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8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5686A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5686A"/>
    <w:rPr>
      <w:rFonts w:eastAsia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686A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5686A"/>
    <w:rPr>
      <w:rFonts w:eastAsia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63 (Rev. Kigali, 2022)</dc:title>
  <dc:subject/>
  <dc:creator>Saez Grau, Ricardo</dc:creator>
  <cp:keywords/>
  <dc:description/>
  <cp:lastModifiedBy>Saez Grau, Ricardo</cp:lastModifiedBy>
  <cp:revision>1</cp:revision>
  <dcterms:created xsi:type="dcterms:W3CDTF">2023-10-17T12:33:00Z</dcterms:created>
  <dcterms:modified xsi:type="dcterms:W3CDTF">2023-10-17T12:39:00Z</dcterms:modified>
</cp:coreProperties>
</file>