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B0BA" w14:textId="77777777" w:rsidR="00C875B7" w:rsidRPr="003C0233" w:rsidRDefault="00C875B7" w:rsidP="00C875B7">
      <w:pPr>
        <w:pStyle w:val="ResNo"/>
        <w:rPr>
          <w:lang w:val="es-ES_tradnl"/>
        </w:rPr>
      </w:pPr>
      <w:bookmarkStart w:id="0" w:name="_Toc227854965"/>
      <w:bookmarkStart w:id="1" w:name="_Toc227855281"/>
      <w:bookmarkStart w:id="2" w:name="_Toc227855492"/>
      <w:bookmarkStart w:id="3" w:name="_Toc227856256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60</w:t>
      </w:r>
      <w:r w:rsidRPr="003C0233">
        <w:rPr>
          <w:lang w:val="es-ES_tradnl"/>
        </w:rPr>
        <w:t xml:space="preserve"> (Hyderabad, 2010)</w:t>
      </w:r>
      <w:bookmarkEnd w:id="0"/>
      <w:bookmarkEnd w:id="1"/>
      <w:bookmarkEnd w:id="2"/>
      <w:bookmarkEnd w:id="3"/>
    </w:p>
    <w:p w14:paraId="300ECF40" w14:textId="77777777" w:rsidR="00C875B7" w:rsidRPr="003C0233" w:rsidRDefault="00C875B7" w:rsidP="00C875B7">
      <w:pPr>
        <w:pStyle w:val="Restitle"/>
        <w:rPr>
          <w:lang w:val="es-ES_tradnl"/>
        </w:rPr>
      </w:pPr>
      <w:bookmarkStart w:id="4" w:name="_Toc227854966"/>
      <w:bookmarkStart w:id="5" w:name="_Toc227855282"/>
      <w:bookmarkStart w:id="6" w:name="_Toc227855493"/>
      <w:bookmarkStart w:id="7" w:name="_Toc227856257"/>
      <w:r w:rsidRPr="003C0233">
        <w:rPr>
          <w:lang w:val="es-ES_tradnl"/>
        </w:rPr>
        <w:t>Asistencia a países en situación especial: Haití</w:t>
      </w:r>
      <w:bookmarkEnd w:id="4"/>
      <w:bookmarkEnd w:id="5"/>
      <w:bookmarkEnd w:id="6"/>
      <w:bookmarkEnd w:id="7"/>
    </w:p>
    <w:p w14:paraId="43319182" w14:textId="77777777" w:rsidR="00C875B7" w:rsidRPr="003C0233" w:rsidRDefault="00C875B7" w:rsidP="00C875B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(Hyderabad, 2010),</w:t>
      </w:r>
    </w:p>
    <w:p w14:paraId="5FA7F819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49E5C90C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la Resolución 34 (Rev. Antalya, 2006) de la Conferencia de Plenipotenciarios,</w:t>
      </w:r>
    </w:p>
    <w:p w14:paraId="0F5EB5C4" w14:textId="77777777" w:rsidR="00C875B7" w:rsidRPr="003C0233" w:rsidRDefault="00C875B7" w:rsidP="00C875B7">
      <w:pPr>
        <w:pStyle w:val="Call"/>
        <w:rPr>
          <w:lang w:val="es-ES_tradnl"/>
        </w:rPr>
      </w:pPr>
      <w:proofErr w:type="gramStart"/>
      <w:r w:rsidRPr="003C0233">
        <w:rPr>
          <w:lang w:val="es-ES_tradnl"/>
        </w:rPr>
        <w:t>recordando</w:t>
      </w:r>
      <w:proofErr w:type="gramEnd"/>
      <w:r w:rsidRPr="003C0233">
        <w:rPr>
          <w:lang w:val="es-ES_tradnl"/>
        </w:rPr>
        <w:t xml:space="preserve"> además</w:t>
      </w:r>
    </w:p>
    <w:p w14:paraId="3F6FE2F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el objeto de la Unión, enunciado en el Artículo 1 de su Constitución,</w:t>
      </w:r>
    </w:p>
    <w:p w14:paraId="4262F180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68D7982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la infraestructura de telecomunicaciones de la República de Haití ha resultado considerablemente afectada por el terremoto que azotó el país el 12 de enero de 2010;</w:t>
      </w:r>
    </w:p>
    <w:p w14:paraId="31F6375D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Haití no dispone en este momento, de suficiente infraestructura nacional de la información y la comunicación, ni de acceso adecuado a las telecomunicaciones internacionales ni a Internet;</w:t>
      </w:r>
    </w:p>
    <w:p w14:paraId="4DB6C107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un sistema de telecomunicaciones adecuado es una herramienta indispensable para el proceso de reconstrucción del país;</w:t>
      </w:r>
    </w:p>
    <w:p w14:paraId="77180600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Haití, en las condiciones actuales y en el futuro previsible, necesitará el apoyo de la comunidad internacional para la construcción de una infraestructura nacional de la información que sea compatible con sus objetivos de desarrollo socioeconómicos,</w:t>
      </w:r>
    </w:p>
    <w:p w14:paraId="6FAB33BF" w14:textId="77777777" w:rsidR="00C875B7" w:rsidRPr="003C0233" w:rsidRDefault="00C875B7" w:rsidP="00C875B7">
      <w:pPr>
        <w:pStyle w:val="Call"/>
        <w:keepNext w:val="0"/>
        <w:keepLines w:val="0"/>
        <w:rPr>
          <w:lang w:val="es-ES_tradnl"/>
        </w:rPr>
      </w:pPr>
      <w:r w:rsidRPr="003C0233">
        <w:rPr>
          <w:lang w:val="es-ES_tradnl"/>
        </w:rPr>
        <w:t>observando</w:t>
      </w:r>
    </w:p>
    <w:p w14:paraId="15ED0912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Haití ha recibido asistencia de la UIT en materia de telecomunicaciones de emergencia inmediatamente después del terremoto;</w:t>
      </w:r>
    </w:p>
    <w:p w14:paraId="4181B38F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 xml:space="preserve">los esfuerzos realizados por 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de la UIT y el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 (BDT) para ayudar a otros países a raíz de conflictos armados o catástrofes naturales,</w:t>
      </w:r>
    </w:p>
    <w:p w14:paraId="746993D3" w14:textId="77777777" w:rsidR="00750C50" w:rsidRPr="003C0233" w:rsidRDefault="00750C5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27D23B62" w14:textId="7BC94BB0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resuelve</w:t>
      </w:r>
    </w:p>
    <w:p w14:paraId="473CEE8D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que se continúe la acción especial iniciada por el Secretario General y el Director de la BDT con la ayuda especializada de los Sectores de Radiocomunicaciones de la UIT y de Normalización de las Telecomunicaciones de la UIT para prestar asistencia y apoyo a Haití en la reconstrucción de su infraestructura de telecomunicaciones/tecnologías de la información y la comunicación (TIC), la creación de instituciones adecuadas, la capacitación humanas, y la elaboración de legislación en materia de telecomunicaciones y de un marco reglamentario, así como para poner a disposición el reconocido potencial que presentan las telecomunicaciones/TIC para el desarrollo socioeconómico y cultural del país,</w:t>
      </w:r>
    </w:p>
    <w:p w14:paraId="079869CC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pide a los Estados Miembros</w:t>
      </w:r>
    </w:p>
    <w:p w14:paraId="7D1F710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que ofrezcan toda la ayuda y el apoyo posibles al Gobierno de Haití, ya sea bilateralmente o por medio de la referida acción especial de la Unión,</w:t>
      </w:r>
    </w:p>
    <w:p w14:paraId="44C18D3F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invita al Consejo</w:t>
      </w:r>
    </w:p>
    <w:p w14:paraId="505471F8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a consignar los fondos necesarios para la aplicación de la presente Resolución,</w:t>
      </w:r>
    </w:p>
    <w:p w14:paraId="52A506E4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200643D4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preste asistencia específica en los diferentes ámbitos identificados por Haití;</w:t>
      </w:r>
    </w:p>
    <w:p w14:paraId="2B64DE2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adopte medidas inmediatas para aplicar un marco de cooperación que permita al país realizar una adaptación sistemática de las TIC con miras a su desarrollo sostenible,</w:t>
      </w:r>
    </w:p>
    <w:p w14:paraId="57AC4D19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pide al </w:t>
      </w:r>
      <w:proofErr w:type="gramStart"/>
      <w:r w:rsidRPr="003C0233">
        <w:rPr>
          <w:lang w:val="es-ES_tradnl"/>
        </w:rPr>
        <w:t>Secretario General</w:t>
      </w:r>
      <w:proofErr w:type="gramEnd"/>
    </w:p>
    <w:p w14:paraId="08168F61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señale esta Resolución a la atención de la Conferencia de Plenipotenciarios (Guadalajara, 2010) y procure consignar los recursos necesarios;</w:t>
      </w:r>
    </w:p>
    <w:p w14:paraId="648720CD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 xml:space="preserve">que coordine las actividades desplegadas por los tres Sectores de la Unión de conformidad con el anterior </w:t>
      </w:r>
      <w:r w:rsidRPr="003C0233">
        <w:rPr>
          <w:i/>
          <w:iCs/>
          <w:lang w:val="es-ES_tradnl"/>
        </w:rPr>
        <w:t>resuelve</w:t>
      </w:r>
      <w:r w:rsidRPr="003C0233">
        <w:rPr>
          <w:lang w:val="es-ES_tradnl"/>
        </w:rPr>
        <w:t>;</w:t>
      </w:r>
    </w:p>
    <w:p w14:paraId="2F024AE4" w14:textId="77777777" w:rsidR="00C875B7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vele por que la acción de la Unión en favor de Haití resulte tan eficaz como sea posible y que informe sobre el asunto al Consejo de la UIT.</w:t>
      </w:r>
    </w:p>
    <w:sectPr w:rsidR="00C875B7" w:rsidSect="00E24DAB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E4CE2" w14:textId="77777777" w:rsidR="003610A0" w:rsidRDefault="003610A0">
      <w:r>
        <w:separator/>
      </w:r>
    </w:p>
  </w:endnote>
  <w:endnote w:type="continuationSeparator" w:id="0">
    <w:p w14:paraId="4413C875" w14:textId="77777777" w:rsidR="003610A0" w:rsidRDefault="0036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9AB55" w14:textId="77777777" w:rsidR="003610A0" w:rsidRDefault="003610A0">
      <w:r>
        <w:rPr>
          <w:b/>
        </w:rPr>
        <w:t>_______________</w:t>
      </w:r>
    </w:p>
  </w:footnote>
  <w:footnote w:type="continuationSeparator" w:id="0">
    <w:p w14:paraId="7D9F738A" w14:textId="77777777" w:rsidR="003610A0" w:rsidRDefault="00361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95391309"/>
      <w:docPartObj>
        <w:docPartGallery w:val="Page Numbers (Top of Page)"/>
        <w:docPartUnique/>
      </w:docPartObj>
    </w:sdtPr>
    <w:sdtEndPr/>
    <w:sdtContent>
      <w:p w14:paraId="37A066B7" w14:textId="460891CF" w:rsidR="00C97BE0" w:rsidRPr="00E24DAB" w:rsidRDefault="00C97BE0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E24DAB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E24DAB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E24DAB">
          <w:rPr>
            <w:sz w:val="16"/>
            <w:szCs w:val="16"/>
            <w:lang w:val="es-ES"/>
          </w:rPr>
          <w:tab/>
        </w:r>
        <w:r w:rsidRPr="00E24DAB">
          <w:rPr>
            <w:rFonts w:ascii="Calibri" w:hAnsi="Calibri"/>
            <w:sz w:val="16"/>
            <w:szCs w:val="16"/>
            <w:lang w:val="es-ES"/>
          </w:rPr>
          <w:t xml:space="preserve">Informe final de la CMDT-25 – Parte IV – Resolución </w:t>
        </w:r>
        <w:r w:rsidR="00425FBD">
          <w:rPr>
            <w:rFonts w:ascii="Calibri" w:hAnsi="Calibri"/>
            <w:sz w:val="16"/>
            <w:szCs w:val="16"/>
            <w:lang w:val="es-ES"/>
          </w:rPr>
          <w:t>60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2109110573"/>
      <w:docPartObj>
        <w:docPartGallery w:val="Page Numbers (Top of Page)"/>
        <w:docPartUnique/>
      </w:docPartObj>
    </w:sdtPr>
    <w:sdtEndPr/>
    <w:sdtContent>
      <w:p w14:paraId="5C6467C6" w14:textId="5EFD6F80" w:rsidR="00C97BE0" w:rsidRPr="00E24DAB" w:rsidRDefault="00C97BE0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E24DAB">
          <w:rPr>
            <w:rFonts w:ascii="Calibri" w:hAnsi="Calibri"/>
            <w:sz w:val="16"/>
            <w:szCs w:val="16"/>
            <w:lang w:val="es-ES"/>
          </w:rPr>
          <w:t>Informe final de la CMDT-25 – Parte IV – Resolución 60</w:t>
        </w:r>
        <w:r w:rsidRPr="00E24DAB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E24DAB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E24DAB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547839958"/>
      <w:docPartObj>
        <w:docPartGallery w:val="Page Numbers (Top of Page)"/>
        <w:docPartUnique/>
      </w:docPartObj>
    </w:sdtPr>
    <w:sdtEndPr/>
    <w:sdtContent>
      <w:p w14:paraId="6F32288A" w14:textId="36E66AA6" w:rsidR="00C97BE0" w:rsidRPr="00E24DAB" w:rsidRDefault="00C97BE0" w:rsidP="00E24DAB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sz w:val="16"/>
            <w:szCs w:val="16"/>
            <w:lang w:val="es-ES"/>
          </w:rPr>
        </w:pPr>
        <w:r w:rsidRPr="00E24DAB">
          <w:rPr>
            <w:rFonts w:ascii="Calibri" w:hAnsi="Calibri"/>
            <w:sz w:val="16"/>
            <w:szCs w:val="16"/>
            <w:lang w:val="es-ES"/>
          </w:rPr>
          <w:t>Informe final de la CMDT-25 – Parte IV – Resolución 60</w:t>
        </w:r>
        <w:r w:rsidR="00E24DAB">
          <w:rPr>
            <w:rFonts w:ascii="Calibri" w:hAnsi="Calibri"/>
            <w:sz w:val="16"/>
            <w:szCs w:val="16"/>
            <w:lang w:val="es-ES"/>
          </w:rPr>
          <w:tab/>
        </w:r>
        <w:r w:rsidR="00E24DAB">
          <w:rPr>
            <w:sz w:val="16"/>
            <w:szCs w:val="16"/>
          </w:rPr>
          <w:fldChar w:fldCharType="begin"/>
        </w:r>
        <w:r w:rsidR="00E24DAB" w:rsidRPr="00E24DAB">
          <w:rPr>
            <w:sz w:val="16"/>
            <w:szCs w:val="16"/>
            <w:lang w:val="es-ES"/>
          </w:rPr>
          <w:instrText xml:space="preserve"> PAGE   \* MERGEFORMAT </w:instrText>
        </w:r>
        <w:r w:rsidR="00E24DAB">
          <w:rPr>
            <w:sz w:val="16"/>
            <w:szCs w:val="16"/>
          </w:rPr>
          <w:fldChar w:fldCharType="separate"/>
        </w:r>
        <w:r w:rsidR="00E24DAB" w:rsidRPr="00E24DAB">
          <w:rPr>
            <w:sz w:val="16"/>
            <w:szCs w:val="16"/>
            <w:lang w:val="es-ES"/>
          </w:rPr>
          <w:t>442</w:t>
        </w:r>
        <w:r w:rsidR="00E24DAB">
          <w:rPr>
            <w:noProof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0A0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5FBD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531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6D0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4DAB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2636</TotalTime>
  <Pages>2</Pages>
  <Words>495</Words>
  <Characters>2723</Characters>
  <Application>Microsoft Office Word</Application>
  <DocSecurity>0</DocSecurity>
  <Lines>50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3190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60 (Hyderabad, 2010) Asistencia a países en situación especial: Haití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216</cp:revision>
  <cp:lastPrinted>2026-09-23T13:58:00Z</cp:lastPrinted>
  <dcterms:created xsi:type="dcterms:W3CDTF">2026-02-17T07:51:00Z</dcterms:created>
  <dcterms:modified xsi:type="dcterms:W3CDTF">2026-09-23T14:00:00Z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