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B5E6" w14:textId="77777777" w:rsidR="00905C06" w:rsidRPr="002B2BF7" w:rsidRDefault="00905C06" w:rsidP="00905C06">
      <w:pPr>
        <w:pStyle w:val="ResNo"/>
        <w:rPr>
          <w:lang w:val="ru-RU"/>
        </w:rPr>
      </w:pPr>
      <w:bookmarkStart w:id="0" w:name="_Toc116554212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60</w:t>
      </w:r>
      <w:r w:rsidRPr="002B2BF7">
        <w:rPr>
          <w:lang w:val="ru-RU"/>
        </w:rPr>
        <w:t xml:space="preserve"> (Хайдарабад, 2010</w:t>
      </w:r>
      <w:r w:rsidRPr="002B2BF7">
        <w:t> </w:t>
      </w:r>
      <w:r w:rsidRPr="002B2BF7">
        <w:rPr>
          <w:lang w:val="ru-RU"/>
        </w:rPr>
        <w:t>г.)</w:t>
      </w:r>
      <w:bookmarkEnd w:id="0"/>
    </w:p>
    <w:p w14:paraId="0BE7E704" w14:textId="77777777" w:rsidR="00905C06" w:rsidRPr="002B2BF7" w:rsidRDefault="00905C06" w:rsidP="00905C06">
      <w:pPr>
        <w:pStyle w:val="Restitle"/>
        <w:rPr>
          <w:lang w:val="ru-RU"/>
        </w:rPr>
      </w:pPr>
      <w:bookmarkStart w:id="1" w:name="_Toc116554213"/>
      <w:r w:rsidRPr="002B2BF7">
        <w:rPr>
          <w:lang w:val="ru-RU"/>
        </w:rPr>
        <w:t xml:space="preserve">Оказание помощи странам, находящимся </w:t>
      </w:r>
      <w:r w:rsidRPr="002B2BF7">
        <w:rPr>
          <w:lang w:val="ru-RU"/>
        </w:rPr>
        <w:br/>
        <w:t>в особо трудном положении: Гаити</w:t>
      </w:r>
      <w:bookmarkEnd w:id="1"/>
    </w:p>
    <w:p w14:paraId="5A96293E" w14:textId="77777777" w:rsidR="00905C06" w:rsidRPr="002B2BF7" w:rsidRDefault="00905C06" w:rsidP="00905C06">
      <w:pPr>
        <w:pStyle w:val="Normalaftertitle"/>
        <w:rPr>
          <w:lang w:val="ru-RU"/>
        </w:rPr>
      </w:pPr>
      <w:r w:rsidRPr="002B2BF7">
        <w:rPr>
          <w:szCs w:val="22"/>
          <w:lang w:val="ru-RU"/>
        </w:rPr>
        <w:t xml:space="preserve">Всемирная конференция по развитию электросвязи </w:t>
      </w:r>
      <w:r w:rsidRPr="002B2BF7">
        <w:rPr>
          <w:lang w:val="ru-RU"/>
        </w:rPr>
        <w:t>(Хайдарабад, 2010 г.),</w:t>
      </w:r>
    </w:p>
    <w:p w14:paraId="4DB91BFB" w14:textId="77777777" w:rsidR="00905C06" w:rsidRPr="002B2BF7" w:rsidRDefault="00905C06" w:rsidP="00905C06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51735648" w14:textId="77777777" w:rsidR="00905C06" w:rsidRPr="002B2BF7" w:rsidRDefault="00905C06" w:rsidP="00905C06">
      <w:pPr>
        <w:rPr>
          <w:lang w:val="ru-RU"/>
        </w:rPr>
      </w:pPr>
      <w:r w:rsidRPr="002B2BF7">
        <w:rPr>
          <w:lang w:val="ru-RU"/>
        </w:rPr>
        <w:t>Резолюцию 34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Анталия, 2006 г.) Полномочной конференции,</w:t>
      </w:r>
    </w:p>
    <w:p w14:paraId="50C1E9CA" w14:textId="77777777" w:rsidR="00905C06" w:rsidRPr="002B2BF7" w:rsidRDefault="00905C06" w:rsidP="00905C06">
      <w:pPr>
        <w:pStyle w:val="Call"/>
        <w:rPr>
          <w:lang w:val="ru-RU"/>
        </w:rPr>
      </w:pPr>
      <w:r w:rsidRPr="002B2BF7">
        <w:rPr>
          <w:szCs w:val="22"/>
          <w:lang w:val="ru-RU"/>
        </w:rPr>
        <w:t>напоминая далее</w:t>
      </w:r>
    </w:p>
    <w:p w14:paraId="3A32B7DC" w14:textId="77777777" w:rsidR="00905C06" w:rsidRPr="002B2BF7" w:rsidRDefault="00905C06" w:rsidP="00905C06">
      <w:pPr>
        <w:rPr>
          <w:lang w:val="ru-RU"/>
        </w:rPr>
      </w:pPr>
      <w:r w:rsidRPr="002B2BF7">
        <w:rPr>
          <w:lang w:val="ru-RU"/>
        </w:rPr>
        <w:t>цели Союза, как они изложены в Статье 1 Устава,</w:t>
      </w:r>
    </w:p>
    <w:p w14:paraId="46C445B8" w14:textId="77777777" w:rsidR="00905C06" w:rsidRPr="002B2BF7" w:rsidRDefault="00905C06" w:rsidP="00905C06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72B372AA" w14:textId="77777777" w:rsidR="00905C06" w:rsidRPr="002B2BF7" w:rsidRDefault="00905C06" w:rsidP="00905C06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инфраструктура электросвязи в Республике Гаити значительно пострадала в результате землетрясения, которое произошло в стране 12 января 2010 года;</w:t>
      </w:r>
    </w:p>
    <w:p w14:paraId="6942E741" w14:textId="77777777" w:rsidR="00905C06" w:rsidRPr="002B2BF7" w:rsidRDefault="00905C06" w:rsidP="00905C06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Гаити в настоящее время не располагает достаточной национальной информационно-коммуникационной инфраструктурой, обеспечивающей необходимый доступ к международным сетям и к интернету;</w:t>
      </w:r>
    </w:p>
    <w:p w14:paraId="46AEA06C" w14:textId="77777777" w:rsidR="00905C06" w:rsidRPr="002B2BF7" w:rsidRDefault="00905C06" w:rsidP="00905C06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система электросвязи является необходимым условием для восстановления страны;</w:t>
      </w:r>
    </w:p>
    <w:p w14:paraId="344D3A15" w14:textId="77777777" w:rsidR="00905C06" w:rsidRPr="002B2BF7" w:rsidRDefault="00905C06" w:rsidP="00905C06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в сложившихся условиях и в обозримом будущем Гаити потребуется поддержка международного сообщества в создании национальной информационной инфраструктуры, соответствующей целям социально-экономического развития;</w:t>
      </w:r>
    </w:p>
    <w:p w14:paraId="11BA1238" w14:textId="77777777" w:rsidR="00905C06" w:rsidRPr="002B2BF7" w:rsidRDefault="00905C06" w:rsidP="00905C06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2A59B8F9" w14:textId="77777777" w:rsidR="00905C06" w:rsidRPr="002B2BF7" w:rsidRDefault="00905C06" w:rsidP="00905C06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сразу же после землетрясения Гаити получила помощь от МСЭ, касающуюся электросвязи в чрезвычайных ситуациях;</w:t>
      </w:r>
    </w:p>
    <w:p w14:paraId="4F19FF00" w14:textId="77777777" w:rsidR="00905C06" w:rsidRPr="002B2BF7" w:rsidRDefault="00905C06" w:rsidP="00905C06">
      <w:pPr>
        <w:rPr>
          <w:i/>
          <w:lang w:val="ru-RU"/>
        </w:rPr>
      </w:pPr>
      <w:r w:rsidRPr="002B2BF7">
        <w:rPr>
          <w:i/>
          <w:iCs/>
          <w:szCs w:val="22"/>
          <w:lang w:val="ru-RU"/>
        </w:rPr>
        <w:t>b)</w:t>
      </w:r>
      <w:r w:rsidRPr="002B2BF7">
        <w:rPr>
          <w:szCs w:val="22"/>
          <w:lang w:val="ru-RU"/>
        </w:rPr>
        <w:tab/>
        <w:t xml:space="preserve">усилия, предпринятые Генеральным секретарем МСЭ и Директором Бюро развития электросвязи (БРЭ), </w:t>
      </w:r>
      <w:r w:rsidRPr="002B2BF7">
        <w:rPr>
          <w:lang w:val="ru-RU"/>
        </w:rPr>
        <w:t>для оказания помощи другим странам, в которых недавно закончились военные действия или произошло стихийное бедствие;</w:t>
      </w:r>
      <w:r w:rsidRPr="002B2BF7">
        <w:rPr>
          <w:lang w:val="ru-RU"/>
        </w:rPr>
        <w:br w:type="page"/>
      </w:r>
    </w:p>
    <w:p w14:paraId="335874F9" w14:textId="77777777" w:rsidR="00905C06" w:rsidRPr="002B2BF7" w:rsidRDefault="00905C06" w:rsidP="00905C06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решает</w:t>
      </w:r>
      <w:r w:rsidRPr="002B2BF7">
        <w:rPr>
          <w:i w:val="0"/>
          <w:iCs/>
          <w:lang w:val="ru-RU"/>
        </w:rPr>
        <w:t>,</w:t>
      </w:r>
    </w:p>
    <w:p w14:paraId="638C435B" w14:textId="77777777" w:rsidR="00905C06" w:rsidRPr="002B2BF7" w:rsidRDefault="00905C06" w:rsidP="00905C06">
      <w:pPr>
        <w:rPr>
          <w:lang w:val="ru-RU"/>
        </w:rPr>
      </w:pPr>
      <w:r w:rsidRPr="002B2BF7">
        <w:rPr>
          <w:lang w:val="ru-RU"/>
        </w:rPr>
        <w:t>что следует продолжать специальные меры, начатые Генеральным секретарем и Директором БРЭ при специализированной помощи Сектора радиосвязи МСЭ и Сектора стандартизации электросвязи МСЭ, для предоставления помощи и поддержки Гаити в отношении восстановления его инфраструктуры электросвязи, создания соответствующих учреждений, развития людских ресурсов, разработки законодательства в области электросвязи и регуляторной базы и использования признанного потенциала электросвязи/ИКТ для социально-экономического и культурного развития страны,</w:t>
      </w:r>
    </w:p>
    <w:p w14:paraId="1700DE2A" w14:textId="77777777" w:rsidR="00905C06" w:rsidRPr="002B2BF7" w:rsidRDefault="00905C06" w:rsidP="00905C06">
      <w:pPr>
        <w:pStyle w:val="Call"/>
        <w:rPr>
          <w:lang w:val="ru-RU"/>
        </w:rPr>
      </w:pPr>
      <w:r w:rsidRPr="002B2BF7">
        <w:rPr>
          <w:szCs w:val="22"/>
          <w:lang w:val="ru-RU"/>
        </w:rPr>
        <w:t>обращается с призывом к Государствам-Членам</w:t>
      </w:r>
    </w:p>
    <w:p w14:paraId="1757BE83" w14:textId="77777777" w:rsidR="00905C06" w:rsidRPr="002B2BF7" w:rsidRDefault="00905C06" w:rsidP="00905C06">
      <w:pPr>
        <w:rPr>
          <w:lang w:val="ru-RU"/>
        </w:rPr>
      </w:pPr>
      <w:r w:rsidRPr="002B2BF7">
        <w:rPr>
          <w:lang w:val="ru-RU"/>
        </w:rPr>
        <w:t>оказать всю возможную помощь и поддержку Правительству Гаити либо на двусторонней основе, либо в рамках указанных выше специальных мер Союза,</w:t>
      </w:r>
    </w:p>
    <w:p w14:paraId="1C34657C" w14:textId="77777777" w:rsidR="00905C06" w:rsidRPr="002B2BF7" w:rsidRDefault="00905C06" w:rsidP="00905C06">
      <w:pPr>
        <w:pStyle w:val="Call"/>
        <w:rPr>
          <w:lang w:val="ru-RU"/>
        </w:rPr>
      </w:pPr>
      <w:r w:rsidRPr="002B2BF7">
        <w:rPr>
          <w:szCs w:val="22"/>
          <w:lang w:val="ru-RU"/>
        </w:rPr>
        <w:t>предлагает Совету</w:t>
      </w:r>
    </w:p>
    <w:p w14:paraId="2125FAE0" w14:textId="77777777" w:rsidR="00905C06" w:rsidRPr="002B2BF7" w:rsidRDefault="00905C06" w:rsidP="00905C06">
      <w:pPr>
        <w:rPr>
          <w:lang w:val="ru-RU"/>
        </w:rPr>
      </w:pPr>
      <w:r w:rsidRPr="002B2BF7">
        <w:rPr>
          <w:lang w:val="ru-RU"/>
        </w:rPr>
        <w:t>выделить необходимые средства на выполнение настоящей Резолюции,</w:t>
      </w:r>
    </w:p>
    <w:p w14:paraId="49161906" w14:textId="77777777" w:rsidR="00905C06" w:rsidRPr="002B2BF7" w:rsidRDefault="00905C06" w:rsidP="00905C06">
      <w:pPr>
        <w:pStyle w:val="Call"/>
        <w:rPr>
          <w:lang w:val="ru-RU"/>
        </w:rPr>
      </w:pPr>
      <w:r w:rsidRPr="002B2BF7">
        <w:rPr>
          <w:szCs w:val="22"/>
          <w:lang w:val="ru-RU"/>
        </w:rPr>
        <w:t>поручает Директору Бюро развития электросвязи</w:t>
      </w:r>
    </w:p>
    <w:p w14:paraId="6FCAD71D" w14:textId="77777777" w:rsidR="00905C06" w:rsidRPr="002B2BF7" w:rsidRDefault="00905C06" w:rsidP="00905C06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предоставлять адресную помощь Гаити в различных областях, определенных этой страной;</w:t>
      </w:r>
    </w:p>
    <w:p w14:paraId="53AB6EDE" w14:textId="77777777" w:rsidR="00905C06" w:rsidRPr="002B2BF7" w:rsidRDefault="00905C06" w:rsidP="00905C06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принять неотложные меры в целях создания основы для сотрудничества, которое позволило бы стране обеспечить системное использование ИКТ для устойчивого развития страны,</w:t>
      </w:r>
    </w:p>
    <w:p w14:paraId="72C913E3" w14:textId="77777777" w:rsidR="00905C06" w:rsidRPr="002B2BF7" w:rsidRDefault="00905C06" w:rsidP="00905C06">
      <w:pPr>
        <w:pStyle w:val="Call"/>
        <w:rPr>
          <w:szCs w:val="22"/>
          <w:lang w:val="ru-RU"/>
        </w:rPr>
      </w:pPr>
      <w:r w:rsidRPr="002B2BF7">
        <w:rPr>
          <w:szCs w:val="22"/>
          <w:lang w:val="ru-RU"/>
        </w:rPr>
        <w:t>просит Генерального секретаря</w:t>
      </w:r>
    </w:p>
    <w:p w14:paraId="270CD21E" w14:textId="77777777" w:rsidR="00905C06" w:rsidRPr="002B2BF7" w:rsidRDefault="00905C06" w:rsidP="00905C06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донести настоящую Резолюцию до сведения Полномочной конференции МСЭ (Гвадалахара, 2010 г.) и добиваться выделения необходимых ресурсов; </w:t>
      </w:r>
    </w:p>
    <w:p w14:paraId="31E59D0B" w14:textId="77777777" w:rsidR="00905C06" w:rsidRPr="002B2BF7" w:rsidRDefault="00905C06" w:rsidP="00905C06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координировать деятельность, проводимую тремя Секторами МСЭ </w:t>
      </w:r>
      <w:proofErr w:type="gramStart"/>
      <w:r w:rsidRPr="002B2BF7">
        <w:rPr>
          <w:lang w:val="ru-RU"/>
        </w:rPr>
        <w:t>в соответствии с разделом</w:t>
      </w:r>
      <w:proofErr w:type="gramEnd"/>
      <w:r w:rsidRPr="002B2BF7">
        <w:rPr>
          <w:lang w:val="ru-RU"/>
        </w:rPr>
        <w:t xml:space="preserve"> </w:t>
      </w:r>
      <w:r w:rsidRPr="002B2BF7">
        <w:rPr>
          <w:i/>
          <w:iCs/>
          <w:lang w:val="ru-RU"/>
        </w:rPr>
        <w:t>решает</w:t>
      </w:r>
      <w:r w:rsidRPr="002B2BF7">
        <w:rPr>
          <w:lang w:val="ru-RU"/>
        </w:rPr>
        <w:t xml:space="preserve">, выше; </w:t>
      </w:r>
    </w:p>
    <w:p w14:paraId="50C68829" w14:textId="77777777" w:rsidR="00905C06" w:rsidRDefault="00905C06" w:rsidP="00905C06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обеспечить максимальную эффективность действий Союза в интересах Гаити и представить Совету МСЭ отчет по этому вопросу.</w:t>
      </w:r>
    </w:p>
    <w:p w14:paraId="3FBB6BCD" w14:textId="77777777" w:rsidR="00E45F09" w:rsidRPr="00905C06" w:rsidRDefault="00E45F09" w:rsidP="00905C06">
      <w:pPr>
        <w:rPr>
          <w:lang w:val="ru-RU"/>
        </w:rPr>
      </w:pPr>
    </w:p>
    <w:sectPr w:rsidR="00E45F09" w:rsidRPr="00905C06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6BF41877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905C06">
          <w:rPr>
            <w:noProof/>
            <w:szCs w:val="22"/>
          </w:rPr>
          <w:t>60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67090731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905C06">
      <w:rPr>
        <w:noProof/>
        <w:szCs w:val="22"/>
      </w:rPr>
      <w:t>60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82B03"/>
    <w:rsid w:val="00373FF6"/>
    <w:rsid w:val="003E584B"/>
    <w:rsid w:val="004F44FF"/>
    <w:rsid w:val="00523CDB"/>
    <w:rsid w:val="006677D6"/>
    <w:rsid w:val="00686D9E"/>
    <w:rsid w:val="00791A97"/>
    <w:rsid w:val="00905C06"/>
    <w:rsid w:val="009D3EFE"/>
    <w:rsid w:val="00B65A4E"/>
    <w:rsid w:val="00B95B42"/>
    <w:rsid w:val="00D90490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17</cp:revision>
  <dcterms:created xsi:type="dcterms:W3CDTF">2023-10-16T12:49:00Z</dcterms:created>
  <dcterms:modified xsi:type="dcterms:W3CDTF">2023-10-16T13:16:00Z</dcterms:modified>
</cp:coreProperties>
</file>