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1E26" w14:textId="77777777" w:rsidR="007B5591" w:rsidRPr="006821DE" w:rsidRDefault="007B5591" w:rsidP="007B5591">
      <w:pPr>
        <w:pStyle w:val="ResNo"/>
        <w:rPr>
          <w:lang w:val="en-US"/>
        </w:rPr>
      </w:pPr>
      <w:bookmarkStart w:id="0" w:name="_Toc116554210"/>
      <w:bookmarkStart w:id="1" w:name="_Toc227836984"/>
      <w:bookmarkStart w:id="2" w:name="_Toc227837597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59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  <w:bookmarkEnd w:id="2"/>
    </w:p>
    <w:p w14:paraId="230766B5" w14:textId="77777777" w:rsidR="007B5591" w:rsidRPr="00334B96" w:rsidRDefault="007B5591" w:rsidP="007B5591">
      <w:pPr>
        <w:pStyle w:val="Restitle"/>
        <w:rPr>
          <w:lang w:val="ru-RU"/>
        </w:rPr>
      </w:pPr>
      <w:bookmarkStart w:id="3" w:name="_Toc116554211"/>
      <w:bookmarkStart w:id="4" w:name="_Toc227836985"/>
      <w:bookmarkStart w:id="5" w:name="_Toc227837598"/>
      <w:r w:rsidRPr="00334B96">
        <w:rPr>
          <w:lang w:val="ru-RU"/>
        </w:rPr>
        <w:t>Усиление координации и сотрудничества между тремя Секторами МСЭ по вопросам, представляющим взаимный интерес</w:t>
      </w:r>
      <w:bookmarkEnd w:id="3"/>
      <w:bookmarkEnd w:id="4"/>
      <w:bookmarkEnd w:id="5"/>
    </w:p>
    <w:p w14:paraId="6DFBEB7E" w14:textId="77777777" w:rsidR="007B5591" w:rsidRPr="00334B96" w:rsidRDefault="007B5591" w:rsidP="007B5591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74863463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5B949E4B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преодолении разрыва в стандартизации между развивающимися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развитыми странами;</w:t>
      </w:r>
    </w:p>
    <w:p w14:paraId="6F898579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</w:t>
      </w:r>
      <w:r w:rsidRPr="00334B96">
        <w:rPr>
          <w:iCs/>
          <w:lang w:val="ru-RU"/>
        </w:rPr>
        <w:t> 191 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 xml:space="preserve">. Бухарест, 2022 г.) Полномочной конференции </w:t>
      </w:r>
      <w:r w:rsidRPr="00334B96">
        <w:rPr>
          <w:lang w:val="ru-RU"/>
        </w:rPr>
        <w:t>о стратегии координации усилий трех Секторов Союза;</w:t>
      </w:r>
    </w:p>
    <w:p w14:paraId="09D2782F" w14:textId="77777777" w:rsidR="007B5591" w:rsidRPr="00334B96" w:rsidRDefault="007B5591" w:rsidP="007B5591">
      <w:pPr>
        <w:rPr>
          <w:rFonts w:cstheme="minorHAnsi"/>
          <w:szCs w:val="22"/>
          <w:lang w:val="ru-RU"/>
        </w:rPr>
      </w:pPr>
      <w:r w:rsidRPr="00334B96">
        <w:rPr>
          <w:rFonts w:cstheme="minorHAnsi"/>
          <w:i/>
          <w:iCs/>
          <w:szCs w:val="22"/>
          <w:lang w:val="ru-RU"/>
        </w:rPr>
        <w:t>c)</w:t>
      </w:r>
      <w:r w:rsidRPr="00334B96">
        <w:rPr>
          <w:rFonts w:cstheme="minorHAnsi"/>
          <w:i/>
          <w:iCs/>
          <w:szCs w:val="22"/>
          <w:lang w:val="ru-RU"/>
        </w:rPr>
        <w:tab/>
      </w:r>
      <w:r w:rsidRPr="00334B96">
        <w:rPr>
          <w:rFonts w:cstheme="minorHAnsi"/>
          <w:szCs w:val="22"/>
          <w:lang w:val="ru-RU"/>
        </w:rPr>
        <w:t xml:space="preserve">что обязанности Сектора радиосвязи МСЭ (МСЭ-R), Сектора стандартизации электросвязи МСЭ (МСЭ-T) и Сектора развития электросвязи МСЭ (МСЭ-D) </w:t>
      </w:r>
      <w:r w:rsidRPr="00334B96">
        <w:rPr>
          <w:lang w:val="ru-RU"/>
        </w:rPr>
        <w:t>закреплены</w:t>
      </w:r>
      <w:r w:rsidRPr="00334B96">
        <w:rPr>
          <w:rFonts w:cstheme="minorHAnsi"/>
          <w:szCs w:val="22"/>
          <w:lang w:val="ru-RU"/>
        </w:rPr>
        <w:t xml:space="preserve"> в Уставе и Конвенции МСЭ, в частности в п. 119 Устава и в </w:t>
      </w:r>
      <w:proofErr w:type="spellStart"/>
      <w:r w:rsidRPr="00334B96">
        <w:rPr>
          <w:rFonts w:cstheme="minorHAnsi"/>
          <w:szCs w:val="22"/>
          <w:lang w:val="ru-RU"/>
        </w:rPr>
        <w:t>пп</w:t>
      </w:r>
      <w:proofErr w:type="spellEnd"/>
      <w:r w:rsidRPr="00334B96">
        <w:rPr>
          <w:rFonts w:cstheme="minorHAnsi"/>
          <w:szCs w:val="22"/>
          <w:lang w:val="ru-RU"/>
        </w:rPr>
        <w:t xml:space="preserve">. 151–154 (относящихся к МСЭ-R), п. 193 (относящемся к МСЭ-T), </w:t>
      </w:r>
      <w:proofErr w:type="spellStart"/>
      <w:r w:rsidRPr="00334B96">
        <w:rPr>
          <w:rFonts w:cstheme="minorHAnsi"/>
          <w:szCs w:val="22"/>
          <w:lang w:val="ru-RU"/>
        </w:rPr>
        <w:t>пп</w:t>
      </w:r>
      <w:proofErr w:type="spellEnd"/>
      <w:r w:rsidRPr="00334B96">
        <w:rPr>
          <w:rFonts w:cstheme="minorHAnsi"/>
          <w:szCs w:val="22"/>
          <w:lang w:val="ru-RU"/>
        </w:rPr>
        <w:t>. 211 и 214 (относящихся к МСЭ-D) и п. 215 Конвенции;</w:t>
      </w:r>
    </w:p>
    <w:p w14:paraId="6A59550D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расширенном участии развивающихся стран в деятельности Союза;</w:t>
      </w:r>
    </w:p>
    <w:p w14:paraId="0020B37C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МСЭ-R 75 (Дубай, 2023 г.) Ассамблеи радиосвязи об усилении координации и сотрудничества между тремя Секторами МСЭ по вопросам, представляющим взаимный интерес;</w:t>
      </w:r>
    </w:p>
    <w:p w14:paraId="019254C6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44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(ВАСЭ) о преодолении разрыва в стандартизации между развивающимися и развитыми странами;</w:t>
      </w:r>
    </w:p>
    <w:p w14:paraId="65CAD04C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18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об усилении координации и сотрудничества между тремя Секторами МСЭ по вопросам, представляющим взаимный интерес,</w:t>
      </w:r>
    </w:p>
    <w:p w14:paraId="30A5EDCE" w14:textId="77777777" w:rsidR="007B5591" w:rsidRPr="00334B96" w:rsidRDefault="007B5591" w:rsidP="007B559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68A0D019" w14:textId="77777777" w:rsidR="007B5591" w:rsidRPr="00334B96" w:rsidRDefault="007B5591" w:rsidP="007B559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учитывая</w:t>
      </w:r>
      <w:r w:rsidRPr="00334B96">
        <w:rPr>
          <w:i w:val="0"/>
          <w:iCs/>
          <w:lang w:val="ru-RU"/>
        </w:rPr>
        <w:t>,</w:t>
      </w:r>
    </w:p>
    <w:p w14:paraId="7C5C4E3B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наблюдается рост числа вопросов, представляющих взаимный интерес и касающихся всех трех Секторов, как указано в Резолюции 191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г.);</w:t>
      </w:r>
    </w:p>
    <w:p w14:paraId="7C323700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между тремя Секторами и Генеральным секретариатом Союза создан механизм сотрудничества на уровне секретариата для обеспечения тесного сотрудничества между секретариатами МСЭ и с секретариатами внешних объединений и организаций, которые занимаются ключевыми приоритетными вопросами, представляющими взаимный интерес и касающимися всех Секторов, такими как развитие систем электросвязи/информационно-коммуникационных технологий (ИКТ), Международная подвижная электросвязь, большие данные, искусственный интеллект (ИИ), электросвязь в чрезвычайных ситуациях, электросвязь/ИКТ и изменение климата, кибербезопасность, доступ к электросвязи/ИКТ лиц с ограниченными возможностями и лиц с особыми потребностями, соответствие и функциональная совместимость оборудования и систем электросвязи/ИКТ, совершенствование использования ограниченных ресурсов и др.,</w:t>
      </w:r>
    </w:p>
    <w:p w14:paraId="2D74E7B9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принимая во внимание</w:t>
      </w:r>
    </w:p>
    <w:p w14:paraId="78EA6D42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расширение области совместных исследований, проводимых тремя Секторами, а также связанную с этим необходимость координации и сотрудничества между ними;</w:t>
      </w:r>
    </w:p>
    <w:p w14:paraId="546E8100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рост числа вопросов, представляющих взаимный интерес и касающихся трех Секторов;</w:t>
      </w:r>
    </w:p>
    <w:p w14:paraId="2E57B8F0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роль МСЭ-D в создании потенциала, особенно в развивающихся странах;</w:t>
      </w:r>
    </w:p>
    <w:p w14:paraId="765EA427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выполняемую МСЭ</w:t>
      </w:r>
      <w:r w:rsidRPr="00334B96">
        <w:rPr>
          <w:rFonts w:ascii="Cambria Math" w:hAnsi="Cambria Math" w:cs="Cambria Math"/>
          <w:lang w:val="ru-RU"/>
        </w:rPr>
        <w:t>‑</w:t>
      </w:r>
      <w:r w:rsidRPr="00334B96">
        <w:rPr>
          <w:lang w:val="ru-RU"/>
        </w:rPr>
        <w:t>D роль катализатора для оптимального использования ресурсов с целью создания потенциала в развивающихся странах;</w:t>
      </w:r>
    </w:p>
    <w:p w14:paraId="27CC6B9F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продолжающиеся консультации с участием представителей трех консультативных групп для обсуждения методов расширения сотрудничества между Секторами;</w:t>
      </w:r>
    </w:p>
    <w:p w14:paraId="68498B8D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Межсекторальная координационная группа по вопросам, представляющим взаимный интерес (МСКГ), в которую входят представители трех консультативных групп, работает над определением вопросов, представляющих общий интерес, и механизмов для укрепления взаимодействия и сотрудничества между Секторами и Генеральным секретариатом, а также для рассмотрения отчетов Директоров Бюро и Межсекторальной целевой группы по координации (ЦГ</w:t>
      </w:r>
      <w:r w:rsidRPr="00334B96">
        <w:rPr>
          <w:lang w:val="ru-RU"/>
        </w:rPr>
        <w:noBreakHyphen/>
        <w:t>МСК) по вариантам укрепления сотрудничества и координации в рамках секретариата;</w:t>
      </w:r>
    </w:p>
    <w:p w14:paraId="687B836D" w14:textId="77777777" w:rsidR="007B5591" w:rsidRPr="00334B96" w:rsidRDefault="007B5591" w:rsidP="007B559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56DD951" w14:textId="77777777" w:rsidR="007B5591" w:rsidRPr="00334B96" w:rsidRDefault="007B5591" w:rsidP="007B5591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что Генеральный секретарь учредил ЦГ-МСК, в состав которой вошли члены высшего руководящего состава, представляющие Генеральный секретариат, Бюро развития электросвязи (БРЭ), Бюро радиосвязи (БР) и Бюро стандартизации электросвязи (БСЭ), с тем чтобы рассмотреть варианты повышения эффективности сотрудничества и координации на уровне секретариата,</w:t>
      </w:r>
    </w:p>
    <w:p w14:paraId="4236E7C5" w14:textId="77777777" w:rsidR="007B5591" w:rsidRPr="00334B96" w:rsidRDefault="007B5591" w:rsidP="007B5591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4F664742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Консультативная группа по развитию электросвязи (КГРЭ) и Директор БРЭ должны продолжать активное сотрудничество с Консультативной группой по радиосвязи, Директором БР, Консультативной группой по стандартизации электросвязи и Директором БСЭ, как это предусмотрено Резолюцией 191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</w:t>
      </w:r>
      <w:r w:rsidRPr="00334B96">
        <w:rPr>
          <w:iCs/>
          <w:lang w:val="ru-RU"/>
        </w:rPr>
        <w:t>Бухарест, 2022 г.</w:t>
      </w:r>
      <w:r w:rsidRPr="00334B96">
        <w:rPr>
          <w:lang w:val="ru-RU"/>
        </w:rPr>
        <w:t>);</w:t>
      </w:r>
    </w:p>
    <w:p w14:paraId="21C88EE3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что следует продолжать содействовать участию развивающихся стран путем широкого использования дистанционного участия с помощью электронных средств, когда это целесообразно, на собраниях исследовательских комиссий и групп докладчиков МСЭ-D;</w:t>
      </w:r>
    </w:p>
    <w:p w14:paraId="261E6120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что следует продолжить сотрудничество с Директорами двух других Бюро в целях укрепления возможности региональных и зональных отделений МСЭ поддерживать деятельность исследовательских комиссий, а также предоставлять необходимые специальные знания для укрепления сотрудничества и координации с соответствующими региональными организациями и для облегчения участия всех Государств-Членов и Членов Сектора в деятельности МСЭ</w:t>
      </w:r>
      <w:r w:rsidRPr="00334B96">
        <w:rPr>
          <w:lang w:val="ru-RU"/>
        </w:rPr>
        <w:noBreakHyphen/>
        <w:t>D,</w:t>
      </w:r>
    </w:p>
    <w:p w14:paraId="7680C71D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предлагает Консультативной группе по развитию электросвязи в сотрудничестве с Консультативной группой по радиосвязи и Консультативной группой по стандартизации электросвязи</w:t>
      </w:r>
    </w:p>
    <w:p w14:paraId="4563901B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оказывать содействие в определении тем, являющихся общими для всех трех Секторов либо общими с МСЭ-R или МСЭ-Т на двустороннем уровне, а также в определении необходимых механизмов усиления сотрудничества и совместной деятельности между тремя Секторами либо с каждым из Секторов по вопросам, представляющим совместный интерес, уделяя особое внимание интересам развивающихся стран, в том числе посредством участия в работе МСКГ,</w:t>
      </w:r>
    </w:p>
    <w:p w14:paraId="179C3D4B" w14:textId="77777777" w:rsidR="007B5591" w:rsidRPr="00334B96" w:rsidRDefault="007B5591" w:rsidP="007B559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5FE825C9" w14:textId="77777777" w:rsidR="007B5591" w:rsidRPr="00334B96" w:rsidRDefault="007B5591" w:rsidP="007B5591">
      <w:pPr>
        <w:pStyle w:val="Call"/>
        <w:rPr>
          <w:rFonts w:cstheme="minorHAnsi"/>
          <w:szCs w:val="22"/>
          <w:lang w:val="ru-RU"/>
        </w:rPr>
      </w:pPr>
      <w:r w:rsidRPr="00334B96">
        <w:rPr>
          <w:lang w:val="ru-RU"/>
        </w:rPr>
        <w:lastRenderedPageBreak/>
        <w:t>предлагает Консультативной группе по развитию электросвязи</w:t>
      </w:r>
      <w:r w:rsidRPr="00334B96">
        <w:rPr>
          <w:rFonts w:cstheme="minorHAnsi"/>
          <w:szCs w:val="22"/>
          <w:lang w:val="ru-RU"/>
        </w:rPr>
        <w:t>, Консультативной группе по радиосвязи и Консультативной группе по стандартизации электросвязи</w:t>
      </w:r>
    </w:p>
    <w:p w14:paraId="67FE6B0E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продолжить оказывать помощь МСКГ в определении вопросов, представляющих взаимный интерес для трех Секторов, а также механизмов расширения их сотрудничества и взаимодействия,</w:t>
      </w:r>
    </w:p>
    <w:p w14:paraId="265DEC87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предлагает Директору Бюро развития электросвязи в сотрудничестве с Генеральным секретарем, Директором Бюро радиосвязи и Директором Бюро стандартизации электросвязи</w:t>
      </w:r>
    </w:p>
    <w:p w14:paraId="7C47B4DB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продолжить создание механизмов сотрудничества на уровне секретариата по вопросам, представляющим взаимный интерес для трех Секторов;</w:t>
      </w:r>
    </w:p>
    <w:p w14:paraId="65F23024" w14:textId="77777777" w:rsidR="007B5591" w:rsidRPr="00334B96" w:rsidRDefault="007B5591" w:rsidP="007B5591">
      <w:pPr>
        <w:rPr>
          <w:lang w:val="ru-RU"/>
        </w:rPr>
      </w:pPr>
      <w:r w:rsidRPr="00334B96">
        <w:rPr>
          <w:rFonts w:cstheme="minorHAnsi"/>
          <w:szCs w:val="22"/>
          <w:lang w:val="ru-RU"/>
        </w:rPr>
        <w:t>2</w:t>
      </w:r>
      <w:r w:rsidRPr="00334B96">
        <w:rPr>
          <w:rFonts w:cstheme="minorHAnsi"/>
          <w:szCs w:val="22"/>
          <w:lang w:val="ru-RU"/>
        </w:rPr>
        <w:tab/>
        <w:t>продолжить сотрудничество в составлении и обновлении справочников и отчетов во избежание дублирования этой работы, а также в реализации мероприятий по итогам деятельности МСЭ-D</w:t>
      </w:r>
      <w:r w:rsidRPr="00334B96">
        <w:rPr>
          <w:lang w:val="ru-RU"/>
        </w:rPr>
        <w:t>,</w:t>
      </w:r>
    </w:p>
    <w:p w14:paraId="172DB537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предлагает Директору Бюро развития электросвязи, Директору Бюро радиосвязи и Директору Бюро стандартизации электросвязи</w:t>
      </w:r>
    </w:p>
    <w:p w14:paraId="4F8DB42E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сотрудничать между собой для укрепления поддержки, которую региональные и зональные отделения МСЭ оказывают исследовательским комиссиям в их деятельности, и для содействия участию членов во всех видах деятельности МСЭ-D;</w:t>
      </w:r>
    </w:p>
    <w:p w14:paraId="0A462134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представлять отчеты МСКГ и соответствующим консультативным группам Секторов по вариантам укрепления сотрудничества на уровне секретариата для обеспечения возможно более тесной координации, в том числе принимая активное участие в мероприятиях по обеспечению координации в рамках групп, создаваемых этими консультативными группами,</w:t>
      </w:r>
    </w:p>
    <w:p w14:paraId="3F748F39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75A7548C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в сотрудничестве с Директором БСЭ и Директором БР представлять исследовательским комиссиям МСЭ-D ежегодный отчет о последних достижениях в работе исследовательских комиссий МСЭ-T и МСЭ-R;</w:t>
      </w:r>
    </w:p>
    <w:p w14:paraId="2F636CB5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по мере необходимости укрепление двустороннего сотрудничества с МСЭ-R и МСЭ-T;</w:t>
      </w:r>
    </w:p>
    <w:p w14:paraId="144E1A52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ежегодно информировать КГРЭ о результатах выполнения настоящей Резолюции,</w:t>
      </w:r>
    </w:p>
    <w:p w14:paraId="135488F8" w14:textId="77777777" w:rsidR="007B5591" w:rsidRPr="00334B96" w:rsidRDefault="007B5591" w:rsidP="007B559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2D174905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поручает исследовательским комиссиям Сектора развития электросвязи МСЭ</w:t>
      </w:r>
    </w:p>
    <w:p w14:paraId="7158FDC2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определять вопросы, потенциально представляющие общий интерес, в целях их совместного рассмотрения МСКГ для укрепления взаимодействия и сотрудничества между Секторами;</w:t>
      </w:r>
    </w:p>
    <w:p w14:paraId="7E0BFD79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продолжить совместные обсуждения с исследовательскими комиссиями других Секторов, в том числе путем взаимодействия и создания межсекторальных групп докладчиков или межсекторальных групп по переписке для дальнейшего обсуждения вопросов взаимодополняющего характера;</w:t>
      </w:r>
    </w:p>
    <w:p w14:paraId="2D0810DB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продолжить сотрудничество с исследовательскими комиссиями двух других Секторов, с тем чтобы избегать дублирования усилий и активно использовать результаты работы исследовательских комиссий этих двух Секторов,</w:t>
      </w:r>
    </w:p>
    <w:p w14:paraId="297B6BD0" w14:textId="77777777" w:rsidR="007B5591" w:rsidRPr="00334B96" w:rsidRDefault="007B5591" w:rsidP="007B5591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Секторов</w:t>
      </w:r>
    </w:p>
    <w:p w14:paraId="7EE3E49F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поддерживать усилия по улучшению межсекторальной координации, в том числе принимать активное участие в работе групп, создаваемых консультативными группами Секторов для координационной деятельности;</w:t>
      </w:r>
    </w:p>
    <w:p w14:paraId="07C6B4B5" w14:textId="77777777" w:rsidR="007B5591" w:rsidRPr="00334B96" w:rsidRDefault="007B5591" w:rsidP="007B5591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rFonts w:cs="Calibri"/>
          <w:szCs w:val="24"/>
          <w:lang w:val="ru-RU"/>
        </w:rPr>
        <w:t>активно участвовать в выполнении этой Резолюции и в деятельности МСЭ-D в целом, в том числе путем предоставления специалистов для оказания помощи развивающимся странам в формате обмена передовым опытом, а также путем участия в работе информационных собраний, семинаров и семинаров-практикумов, принимать участие в работе по вопросам, рассматриваемым исследовательскими комиссиями МСЭ-D, и вносить в нее свой вклад посредством предоставления необходимых экспертных знаний, а также принимать у себя стажеров из развивающихся стран</w:t>
      </w:r>
      <w:r w:rsidRPr="00334B96">
        <w:rPr>
          <w:lang w:val="ru-RU"/>
        </w:rPr>
        <w:t>.</w:t>
      </w:r>
    </w:p>
    <w:p w14:paraId="6D0F2A7D" w14:textId="77777777" w:rsidR="007B5591" w:rsidRPr="00334B96" w:rsidRDefault="007B5591" w:rsidP="007B5591">
      <w:pPr>
        <w:pStyle w:val="Reasons"/>
        <w:rPr>
          <w:lang w:val="ru-RU"/>
        </w:rPr>
      </w:pPr>
    </w:p>
    <w:p w14:paraId="79DDFA16" w14:textId="77777777" w:rsidR="007B5591" w:rsidRPr="00334B96" w:rsidRDefault="007B5591" w:rsidP="007B5591">
      <w:pPr>
        <w:pStyle w:val="Reasons"/>
        <w:rPr>
          <w:lang w:val="ru-RU"/>
        </w:rPr>
      </w:pPr>
    </w:p>
    <w:p w14:paraId="53D027C9" w14:textId="77777777" w:rsidR="007B5591" w:rsidRPr="00334B96" w:rsidRDefault="007B5591" w:rsidP="007B5591">
      <w:pPr>
        <w:pStyle w:val="Reasons"/>
        <w:rPr>
          <w:lang w:val="ru-RU"/>
        </w:rPr>
      </w:pPr>
    </w:p>
    <w:p w14:paraId="7393255B" w14:textId="77777777" w:rsidR="007B5591" w:rsidRPr="00334B96" w:rsidRDefault="007B5591" w:rsidP="007B5591">
      <w:pPr>
        <w:pStyle w:val="Reasons"/>
        <w:rPr>
          <w:lang w:val="ru-RU"/>
        </w:rPr>
      </w:pPr>
    </w:p>
    <w:p w14:paraId="6F0CFE01" w14:textId="77777777" w:rsidR="007B5591" w:rsidRPr="00334B96" w:rsidRDefault="007B5591" w:rsidP="007B5591">
      <w:pPr>
        <w:pStyle w:val="Reasons"/>
        <w:rPr>
          <w:lang w:val="ru-RU"/>
        </w:rPr>
      </w:pPr>
    </w:p>
    <w:p w14:paraId="60796692" w14:textId="77777777" w:rsidR="007B5591" w:rsidRPr="00334B96" w:rsidRDefault="007B5591" w:rsidP="007B5591">
      <w:pPr>
        <w:pStyle w:val="Reasons"/>
        <w:rPr>
          <w:lang w:val="ru-RU"/>
        </w:rPr>
      </w:pPr>
    </w:p>
    <w:p w14:paraId="3FBB6BCD" w14:textId="77777777" w:rsidR="00E45F09" w:rsidRPr="007B5591" w:rsidRDefault="00E45F09" w:rsidP="007B5591"/>
    <w:sectPr w:rsidR="00E45F09" w:rsidRPr="007B5591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40C9" w14:textId="77777777" w:rsidR="0025634B" w:rsidRDefault="0025634B" w:rsidP="003E584B">
      <w:pPr>
        <w:spacing w:before="0"/>
      </w:pPr>
      <w:r>
        <w:separator/>
      </w:r>
    </w:p>
  </w:endnote>
  <w:endnote w:type="continuationSeparator" w:id="0">
    <w:p w14:paraId="2298C260" w14:textId="77777777" w:rsidR="0025634B" w:rsidRDefault="0025634B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2117" w14:textId="77777777" w:rsidR="0025634B" w:rsidRDefault="0025634B" w:rsidP="003E584B">
      <w:pPr>
        <w:spacing w:before="0"/>
      </w:pPr>
      <w:r>
        <w:separator/>
      </w:r>
    </w:p>
  </w:footnote>
  <w:footnote w:type="continuationSeparator" w:id="0">
    <w:p w14:paraId="4254357D" w14:textId="77777777" w:rsidR="0025634B" w:rsidRDefault="0025634B" w:rsidP="003E584B">
      <w:pPr>
        <w:spacing w:before="0"/>
      </w:pPr>
      <w:r>
        <w:continuationSeparator/>
      </w:r>
    </w:p>
  </w:footnote>
  <w:footnote w:id="1">
    <w:p w14:paraId="2C60D2C5" w14:textId="77777777" w:rsidR="007B5591" w:rsidRPr="007E090F" w:rsidRDefault="007B5591" w:rsidP="007B55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3F0EE4F8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7B5591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6821DE">
          <w:rPr>
            <w:noProof/>
            <w:szCs w:val="22"/>
          </w:rPr>
          <w:t>59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DCC2189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7B5591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6821DE">
      <w:rPr>
        <w:noProof/>
        <w:szCs w:val="22"/>
      </w:rPr>
      <w:t>59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108CE"/>
    <w:rsid w:val="000D1BE4"/>
    <w:rsid w:val="000F689C"/>
    <w:rsid w:val="00150FA6"/>
    <w:rsid w:val="00155E4F"/>
    <w:rsid w:val="001D38B0"/>
    <w:rsid w:val="0025634B"/>
    <w:rsid w:val="00282B03"/>
    <w:rsid w:val="00373FF6"/>
    <w:rsid w:val="003E584B"/>
    <w:rsid w:val="004F44FF"/>
    <w:rsid w:val="00523CDB"/>
    <w:rsid w:val="005E4F50"/>
    <w:rsid w:val="006677D6"/>
    <w:rsid w:val="006821DE"/>
    <w:rsid w:val="00686D9E"/>
    <w:rsid w:val="00791A97"/>
    <w:rsid w:val="007B5591"/>
    <w:rsid w:val="009D3EFE"/>
    <w:rsid w:val="00B65A4E"/>
    <w:rsid w:val="00B95B42"/>
    <w:rsid w:val="00D90490"/>
    <w:rsid w:val="00DD3985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1106</Words>
  <Characters>7879</Characters>
  <Application>Microsoft Office Word</Application>
  <DocSecurity>0</DocSecurity>
  <Lines>145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59 (Пересм. Баку, 2025 г.) Усиление координации и сотрудничества между тремя Секторами МСЭ по вопросам, представляющим взаимный интерес</vt:lpstr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59 (Пересм. Баку, 2025 г.) Усиление координации и сотрудничества между тремя Секторами МСЭ по вопросам, представляющим взаимный интерес</dc:title>
  <dc:subject/>
  <dc:creator/>
  <cp:keywords/>
  <dc:description/>
  <cp:lastModifiedBy>Berdyeva, Elena</cp:lastModifiedBy>
  <cp:revision>18</cp:revision>
  <dcterms:created xsi:type="dcterms:W3CDTF">2023-10-16T12:49:00Z</dcterms:created>
  <dcterms:modified xsi:type="dcterms:W3CDTF">2026-09-23T18:52:00Z</dcterms:modified>
</cp:coreProperties>
</file>