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C87B0" w14:textId="77777777" w:rsidR="0090748A" w:rsidRPr="009C6DD3" w:rsidRDefault="0090748A" w:rsidP="00157E97">
      <w:pPr>
        <w:pStyle w:val="ResNo"/>
        <w:outlineLvl w:val="0"/>
      </w:pPr>
      <w:bookmarkStart w:id="0" w:name="_Toc227921157"/>
      <w:r w:rsidRPr="009C6DD3">
        <w:t>第</w:t>
      </w:r>
      <w:r w:rsidRPr="009C6DD3">
        <w:rPr>
          <w:rStyle w:val="href"/>
        </w:rPr>
        <w:t>59</w:t>
      </w:r>
      <w:r w:rsidRPr="009C6DD3">
        <w:t>号决议</w:t>
      </w:r>
      <w:r w:rsidRPr="009C6DD3">
        <w:rPr>
          <w:rFonts w:hint="eastAsia"/>
        </w:rPr>
        <w:t>（</w:t>
      </w:r>
      <w:r w:rsidRPr="009C6DD3">
        <w:rPr>
          <w:rFonts w:hint="eastAsia"/>
          <w:lang w:val="en-US"/>
        </w:rPr>
        <w:t>2025</w:t>
      </w:r>
      <w:r w:rsidRPr="009C6DD3">
        <w:rPr>
          <w:rFonts w:hint="eastAsia"/>
          <w:lang w:val="en-US"/>
        </w:rPr>
        <w:t>年，巴库</w:t>
      </w:r>
      <w:r w:rsidRPr="009C6DD3">
        <w:rPr>
          <w:rFonts w:hint="eastAsia"/>
        </w:rPr>
        <w:t>，</w:t>
      </w:r>
      <w:r w:rsidRPr="009C6DD3">
        <w:t>修订版</w:t>
      </w:r>
      <w:r w:rsidRPr="009C6DD3">
        <w:rPr>
          <w:rFonts w:hint="eastAsia"/>
        </w:rPr>
        <w:t>）</w:t>
      </w:r>
      <w:bookmarkEnd w:id="0"/>
    </w:p>
    <w:p w14:paraId="013E4B00" w14:textId="77777777" w:rsidR="0090748A" w:rsidRPr="009C6DD3" w:rsidRDefault="0090748A" w:rsidP="0090748A">
      <w:pPr>
        <w:pStyle w:val="Restitle"/>
        <w:rPr>
          <w:rFonts w:cstheme="minorHAnsi"/>
        </w:rPr>
      </w:pPr>
      <w:bookmarkStart w:id="1" w:name="_Toc227921158"/>
      <w:r w:rsidRPr="009C6DD3">
        <w:rPr>
          <w:rFonts w:cstheme="minorHAnsi"/>
        </w:rPr>
        <w:t>加强国际电联三个部门之间在共同</w:t>
      </w:r>
      <w:r w:rsidR="00A11CC7" w:rsidRPr="009C6DD3">
        <w:rPr>
          <w:rFonts w:cstheme="minorHAnsi"/>
        </w:rPr>
        <w:br/>
      </w:r>
      <w:r w:rsidRPr="009C6DD3">
        <w:rPr>
          <w:rFonts w:cstheme="minorHAnsi"/>
        </w:rPr>
        <w:t>关心问题上的协调与合作</w:t>
      </w:r>
      <w:bookmarkEnd w:id="1"/>
    </w:p>
    <w:p w14:paraId="4DCFF8B2" w14:textId="77777777" w:rsidR="0090748A" w:rsidRPr="009C6DD3" w:rsidRDefault="0090748A" w:rsidP="0090748A">
      <w:pPr>
        <w:pStyle w:val="Normalaftertitle"/>
      </w:pPr>
      <w:r w:rsidRPr="009C6DD3">
        <w:t>世界电信发展大会</w:t>
      </w:r>
      <w:r w:rsidRPr="009C6DD3">
        <w:rPr>
          <w:rFonts w:hint="eastAsia"/>
        </w:rPr>
        <w:t>（</w:t>
      </w:r>
      <w:r w:rsidRPr="009C6DD3">
        <w:rPr>
          <w:rFonts w:hint="eastAsia"/>
          <w:lang w:val="en-US"/>
        </w:rPr>
        <w:t>2025</w:t>
      </w:r>
      <w:r w:rsidRPr="009C6DD3">
        <w:rPr>
          <w:rFonts w:hint="eastAsia"/>
          <w:lang w:val="en-US"/>
        </w:rPr>
        <w:t>年，巴库</w:t>
      </w:r>
      <w:r w:rsidRPr="009C6DD3">
        <w:rPr>
          <w:rFonts w:hint="eastAsia"/>
        </w:rPr>
        <w:t>），</w:t>
      </w:r>
    </w:p>
    <w:p w14:paraId="3E849942" w14:textId="77777777" w:rsidR="0090748A" w:rsidRPr="009C6DD3" w:rsidRDefault="0090748A" w:rsidP="0090748A">
      <w:pPr>
        <w:pStyle w:val="Call"/>
        <w:rPr>
          <w:rFonts w:cstheme="minorHAnsi"/>
        </w:rPr>
      </w:pPr>
      <w:r w:rsidRPr="009C6DD3">
        <w:rPr>
          <w:rFonts w:cstheme="minorHAnsi"/>
        </w:rPr>
        <w:t>忆及</w:t>
      </w:r>
    </w:p>
    <w:p w14:paraId="7FF8610C" w14:textId="77777777" w:rsidR="0090748A" w:rsidRPr="009C6DD3" w:rsidRDefault="0090748A" w:rsidP="0090748A">
      <w:pPr>
        <w:pStyle w:val="Normalnoindent"/>
      </w:pPr>
      <w:r w:rsidRPr="009C6DD3">
        <w:rPr>
          <w:rStyle w:val="ItalicEnglish"/>
          <w:lang w:eastAsia="zh-CN"/>
        </w:rPr>
        <w:t>a)</w:t>
      </w:r>
      <w:r w:rsidRPr="009C6DD3">
        <w:tab/>
      </w:r>
      <w:r w:rsidRPr="009C6DD3">
        <w:t>全权代表大会有关缩小发展中国家</w:t>
      </w:r>
      <w:r w:rsidR="00D933CC" w:rsidRPr="009C6DD3">
        <w:rPr>
          <w:rStyle w:val="FootnoteReference"/>
        </w:rPr>
        <w:footnoteReference w:id="1"/>
      </w:r>
      <w:r w:rsidRPr="009C6DD3">
        <w:t>和发达国家之间在标准化工作方面的差距的第</w:t>
      </w:r>
      <w:r w:rsidRPr="009C6DD3">
        <w:t>123</w:t>
      </w:r>
      <w:r w:rsidRPr="009C6DD3">
        <w:t>号决议（</w:t>
      </w:r>
      <w:r w:rsidRPr="009C6DD3">
        <w:rPr>
          <w:rFonts w:hint="eastAsia"/>
          <w:lang w:val="en-US"/>
        </w:rPr>
        <w:t>2022</w:t>
      </w:r>
      <w:r w:rsidRPr="009C6DD3">
        <w:rPr>
          <w:rFonts w:hint="eastAsia"/>
          <w:lang w:val="en-US"/>
        </w:rPr>
        <w:t>年，布加勒斯特</w:t>
      </w:r>
      <w:r w:rsidRPr="009C6DD3">
        <w:t>，修订版）；</w:t>
      </w:r>
    </w:p>
    <w:p w14:paraId="76B01506"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全权代表</w:t>
      </w:r>
      <w:r w:rsidRPr="009C6DD3">
        <w:t>大会</w:t>
      </w:r>
      <w:r w:rsidRPr="009C6DD3">
        <w:rPr>
          <w:rFonts w:hint="eastAsia"/>
        </w:rPr>
        <w:t>有关协调国际电联三个部门工作战略的第</w:t>
      </w:r>
      <w:r w:rsidRPr="009C6DD3">
        <w:t>191</w:t>
      </w:r>
      <w:r w:rsidRPr="009C6DD3">
        <w:rPr>
          <w:rFonts w:hint="eastAsia"/>
        </w:rPr>
        <w:t>号决议（</w:t>
      </w:r>
      <w:r w:rsidRPr="009C6DD3">
        <w:rPr>
          <w:rFonts w:hint="eastAsia"/>
        </w:rPr>
        <w:t>2022</w:t>
      </w:r>
      <w:r w:rsidRPr="009C6DD3">
        <w:rPr>
          <w:rFonts w:hint="eastAsia"/>
        </w:rPr>
        <w:t>年，布加勒斯特，</w:t>
      </w:r>
      <w:r w:rsidRPr="009C6DD3">
        <w:t>修订版</w:t>
      </w:r>
      <w:r w:rsidRPr="009C6DD3">
        <w:rPr>
          <w:rFonts w:hint="eastAsia"/>
        </w:rPr>
        <w:t>）；</w:t>
      </w:r>
    </w:p>
    <w:p w14:paraId="5C237732" w14:textId="4719217A" w:rsidR="0090748A" w:rsidRPr="009C6DD3" w:rsidRDefault="0090748A" w:rsidP="0090748A">
      <w:pPr>
        <w:pStyle w:val="Normalnoindent"/>
      </w:pPr>
      <w:r w:rsidRPr="009C6DD3">
        <w:rPr>
          <w:rStyle w:val="ItalicEnglish"/>
          <w:lang w:eastAsia="zh-CN"/>
        </w:rPr>
        <w:t>c)</w:t>
      </w:r>
      <w:r w:rsidRPr="009C6DD3">
        <w:tab/>
      </w:r>
      <w:r w:rsidRPr="009C6DD3">
        <w:rPr>
          <w:rFonts w:hint="eastAsia"/>
        </w:rPr>
        <w:t>国际电联《组织法》和《公约》，特别是《组织法》第</w:t>
      </w:r>
      <w:r w:rsidRPr="009C6DD3">
        <w:rPr>
          <w:rFonts w:hint="eastAsia"/>
        </w:rPr>
        <w:t>119</w:t>
      </w:r>
      <w:r w:rsidRPr="009C6DD3">
        <w:rPr>
          <w:rFonts w:hint="eastAsia"/>
        </w:rPr>
        <w:t>款以及《公约》第</w:t>
      </w:r>
      <w:r w:rsidRPr="009C6DD3">
        <w:rPr>
          <w:rFonts w:hint="eastAsia"/>
        </w:rPr>
        <w:t>151</w:t>
      </w:r>
      <w:r w:rsidR="00C53454">
        <w:noBreakHyphen/>
      </w:r>
      <w:r w:rsidRPr="009C6DD3">
        <w:rPr>
          <w:rFonts w:hint="eastAsia"/>
        </w:rPr>
        <w:t>154</w:t>
      </w:r>
      <w:r w:rsidRPr="009C6DD3">
        <w:rPr>
          <w:rFonts w:hint="eastAsia"/>
        </w:rPr>
        <w:t>款（涉及</w:t>
      </w:r>
      <w:r w:rsidRPr="009C6DD3">
        <w:rPr>
          <w:rFonts w:hint="eastAsia"/>
        </w:rPr>
        <w:t>ITU-R</w:t>
      </w:r>
      <w:r w:rsidRPr="009C6DD3">
        <w:rPr>
          <w:rFonts w:hint="eastAsia"/>
        </w:rPr>
        <w:t>）、第</w:t>
      </w:r>
      <w:r w:rsidRPr="009C6DD3">
        <w:rPr>
          <w:rFonts w:hint="eastAsia"/>
        </w:rPr>
        <w:t>193</w:t>
      </w:r>
      <w:r w:rsidRPr="009C6DD3">
        <w:rPr>
          <w:rFonts w:hint="eastAsia"/>
        </w:rPr>
        <w:t>款（涉及</w:t>
      </w:r>
      <w:r w:rsidRPr="009C6DD3">
        <w:rPr>
          <w:rFonts w:hint="eastAsia"/>
        </w:rPr>
        <w:t>ITU-T</w:t>
      </w:r>
      <w:r w:rsidRPr="009C6DD3">
        <w:rPr>
          <w:rFonts w:hint="eastAsia"/>
        </w:rPr>
        <w:t>）、第</w:t>
      </w:r>
      <w:r w:rsidRPr="009C6DD3">
        <w:rPr>
          <w:rFonts w:hint="eastAsia"/>
        </w:rPr>
        <w:t>211</w:t>
      </w:r>
      <w:r w:rsidRPr="009C6DD3">
        <w:rPr>
          <w:rFonts w:hint="eastAsia"/>
        </w:rPr>
        <w:t>和</w:t>
      </w:r>
      <w:r w:rsidRPr="009C6DD3">
        <w:rPr>
          <w:rFonts w:hint="eastAsia"/>
        </w:rPr>
        <w:t>214</w:t>
      </w:r>
      <w:r w:rsidRPr="009C6DD3">
        <w:rPr>
          <w:rFonts w:hint="eastAsia"/>
        </w:rPr>
        <w:t>款（涉及</w:t>
      </w:r>
      <w:r w:rsidRPr="009C6DD3">
        <w:rPr>
          <w:rFonts w:hint="eastAsia"/>
        </w:rPr>
        <w:t>ITU-D</w:t>
      </w:r>
      <w:r w:rsidRPr="009C6DD3">
        <w:rPr>
          <w:rFonts w:hint="eastAsia"/>
        </w:rPr>
        <w:t>）及第</w:t>
      </w:r>
      <w:r w:rsidRPr="009C6DD3">
        <w:rPr>
          <w:rFonts w:hint="eastAsia"/>
        </w:rPr>
        <w:t>215</w:t>
      </w:r>
      <w:r w:rsidRPr="009C6DD3">
        <w:rPr>
          <w:rFonts w:hint="eastAsia"/>
        </w:rPr>
        <w:t>款规定了国际电联无线电通信部门（</w:t>
      </w:r>
      <w:r w:rsidRPr="009C6DD3">
        <w:rPr>
          <w:rFonts w:hint="eastAsia"/>
        </w:rPr>
        <w:t>ITU-R</w:t>
      </w:r>
      <w:r w:rsidRPr="009C6DD3">
        <w:rPr>
          <w:rFonts w:hint="eastAsia"/>
        </w:rPr>
        <w:t>）、国际电联电信标准化部门（</w:t>
      </w:r>
      <w:r w:rsidRPr="009C6DD3">
        <w:rPr>
          <w:rFonts w:hint="eastAsia"/>
        </w:rPr>
        <w:t>ITU-T</w:t>
      </w:r>
      <w:r w:rsidRPr="009C6DD3">
        <w:rPr>
          <w:rFonts w:hint="eastAsia"/>
        </w:rPr>
        <w:t>）和国际电联电信发展部门（</w:t>
      </w:r>
      <w:r w:rsidRPr="009C6DD3">
        <w:rPr>
          <w:rFonts w:hint="eastAsia"/>
        </w:rPr>
        <w:t>ITU-D</w:t>
      </w:r>
      <w:r w:rsidRPr="009C6DD3">
        <w:rPr>
          <w:rFonts w:hint="eastAsia"/>
        </w:rPr>
        <w:t>）的职责；</w:t>
      </w:r>
    </w:p>
    <w:p w14:paraId="57A0A848" w14:textId="77777777" w:rsidR="0090748A" w:rsidRPr="009C6DD3" w:rsidRDefault="0090748A" w:rsidP="0090748A">
      <w:pPr>
        <w:pStyle w:val="Normalnoindent"/>
      </w:pPr>
      <w:r w:rsidRPr="009C6DD3">
        <w:rPr>
          <w:rStyle w:val="ItalicEnglish"/>
          <w:rFonts w:hint="eastAsia"/>
          <w:lang w:eastAsia="zh-CN"/>
        </w:rPr>
        <w:t>d</w:t>
      </w:r>
      <w:r w:rsidRPr="009C6DD3">
        <w:rPr>
          <w:rStyle w:val="ItalicEnglish"/>
          <w:lang w:eastAsia="zh-CN"/>
        </w:rPr>
        <w:t>)</w:t>
      </w:r>
      <w:r w:rsidRPr="009C6DD3">
        <w:tab/>
      </w:r>
      <w:r w:rsidRPr="009C6DD3">
        <w:t>本届大会</w:t>
      </w:r>
      <w:r w:rsidRPr="009C6DD3">
        <w:rPr>
          <w:rFonts w:hint="eastAsia"/>
        </w:rPr>
        <w:t>有关加强发展中国家对国际电联活动的参与的</w:t>
      </w:r>
      <w:r w:rsidRPr="009C6DD3">
        <w:t>第</w:t>
      </w:r>
      <w:r w:rsidRPr="009C6DD3">
        <w:t>5</w:t>
      </w:r>
      <w:r w:rsidRPr="009C6DD3">
        <w:t>号决议（</w:t>
      </w:r>
      <w:r w:rsidRPr="009C6DD3">
        <w:rPr>
          <w:rFonts w:hint="eastAsia"/>
        </w:rPr>
        <w:t>2025</w:t>
      </w:r>
      <w:r w:rsidRPr="009C6DD3">
        <w:rPr>
          <w:rFonts w:hint="eastAsia"/>
        </w:rPr>
        <w:t>年，巴库</w:t>
      </w:r>
      <w:r w:rsidRPr="009C6DD3">
        <w:t>，修订版）；</w:t>
      </w:r>
    </w:p>
    <w:p w14:paraId="4964BA4E" w14:textId="77777777" w:rsidR="0090748A" w:rsidRPr="009C6DD3" w:rsidRDefault="0090748A" w:rsidP="0090748A">
      <w:pPr>
        <w:pStyle w:val="Normalnoindent"/>
      </w:pPr>
      <w:r w:rsidRPr="009C6DD3">
        <w:rPr>
          <w:rStyle w:val="ItalicEnglish"/>
          <w:rFonts w:hint="eastAsia"/>
          <w:lang w:eastAsia="zh-CN"/>
        </w:rPr>
        <w:t>e</w:t>
      </w:r>
      <w:r w:rsidRPr="009C6DD3">
        <w:rPr>
          <w:rStyle w:val="ItalicEnglish"/>
          <w:lang w:eastAsia="zh-CN"/>
        </w:rPr>
        <w:t>)</w:t>
      </w:r>
      <w:r w:rsidRPr="009C6DD3">
        <w:tab/>
      </w:r>
      <w:r w:rsidRPr="009C6DD3">
        <w:t>无线电通信全会</w:t>
      </w:r>
      <w:r w:rsidRPr="009C6DD3">
        <w:rPr>
          <w:rFonts w:hint="eastAsia"/>
        </w:rPr>
        <w:t>有关加强国际电联三个部门在共同关心问题上的协调与合作的</w:t>
      </w:r>
      <w:r w:rsidRPr="009C6DD3">
        <w:t>第</w:t>
      </w:r>
      <w:r w:rsidRPr="009C6DD3">
        <w:t>7</w:t>
      </w:r>
      <w:r w:rsidRPr="009C6DD3">
        <w:rPr>
          <w:rFonts w:hint="eastAsia"/>
          <w:lang w:val="en-US"/>
        </w:rPr>
        <w:t>5</w:t>
      </w:r>
      <w:r w:rsidRPr="009C6DD3">
        <w:t>号决议</w:t>
      </w:r>
      <w:r w:rsidRPr="009C6DD3">
        <w:rPr>
          <w:rFonts w:hint="eastAsia"/>
        </w:rPr>
        <w:t>（</w:t>
      </w:r>
      <w:r w:rsidRPr="009C6DD3">
        <w:rPr>
          <w:rFonts w:hint="eastAsia"/>
        </w:rPr>
        <w:t>2023</w:t>
      </w:r>
      <w:r w:rsidRPr="009C6DD3">
        <w:rPr>
          <w:rFonts w:hint="eastAsia"/>
        </w:rPr>
        <w:t>年，迪拜）；</w:t>
      </w:r>
    </w:p>
    <w:p w14:paraId="384C2E9C"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tab/>
      </w:r>
      <w:r w:rsidRPr="009C6DD3">
        <w:t>世界电信标准化全会（</w:t>
      </w:r>
      <w:r w:rsidRPr="009C6DD3">
        <w:t>WTSA</w:t>
      </w:r>
      <w:r w:rsidRPr="009C6DD3">
        <w:t>）</w:t>
      </w:r>
      <w:r w:rsidRPr="009C6DD3">
        <w:rPr>
          <w:rFonts w:hint="eastAsia"/>
        </w:rPr>
        <w:t>有关缩小发展中和发达国家标准化差距的</w:t>
      </w:r>
      <w:r w:rsidRPr="009C6DD3">
        <w:t>第</w:t>
      </w:r>
      <w:r w:rsidRPr="009C6DD3">
        <w:t>44</w:t>
      </w:r>
      <w:r w:rsidRPr="009C6DD3">
        <w:t>号决议（</w:t>
      </w:r>
      <w:r w:rsidRPr="009C6DD3">
        <w:rPr>
          <w:rFonts w:hint="eastAsia"/>
          <w:lang w:val="en-US"/>
        </w:rPr>
        <w:t>2024</w:t>
      </w:r>
      <w:r w:rsidRPr="009C6DD3">
        <w:rPr>
          <w:rFonts w:hint="eastAsia"/>
          <w:lang w:val="en-US"/>
        </w:rPr>
        <w:t>年，新德里</w:t>
      </w:r>
      <w:r w:rsidRPr="009C6DD3">
        <w:t>，修订版）；</w:t>
      </w:r>
    </w:p>
    <w:p w14:paraId="18A0A650" w14:textId="4382A81B" w:rsidR="00D757FB" w:rsidRPr="009C6DD3" w:rsidRDefault="0090748A" w:rsidP="0090748A">
      <w:pPr>
        <w:pStyle w:val="Normalnoindent"/>
        <w:rPr>
          <w:rFonts w:cstheme="minorHAnsi"/>
        </w:rPr>
      </w:pPr>
      <w:r w:rsidRPr="009C6DD3">
        <w:rPr>
          <w:rStyle w:val="ItalicEnglish"/>
          <w:rFonts w:hint="eastAsia"/>
          <w:lang w:eastAsia="zh-CN"/>
        </w:rPr>
        <w:t>g</w:t>
      </w:r>
      <w:r w:rsidRPr="009C6DD3">
        <w:rPr>
          <w:rStyle w:val="ItalicEnglish"/>
          <w:lang w:eastAsia="zh-CN"/>
        </w:rPr>
        <w:t>)</w:t>
      </w:r>
      <w:r w:rsidRPr="009C6DD3">
        <w:rPr>
          <w:rFonts w:cstheme="minorHAnsi"/>
        </w:rPr>
        <w:tab/>
        <w:t>WTSA</w:t>
      </w:r>
      <w:r w:rsidRPr="009C6DD3">
        <w:rPr>
          <w:rFonts w:cstheme="minorHAnsi"/>
        </w:rPr>
        <w:t>有关</w:t>
      </w:r>
      <w:r w:rsidRPr="009C6DD3">
        <w:rPr>
          <w:rFonts w:hint="eastAsia"/>
        </w:rPr>
        <w:t>国际电联三个</w:t>
      </w:r>
      <w:r w:rsidRPr="009C6DD3">
        <w:rPr>
          <w:rFonts w:cs="Calibri" w:hint="eastAsia"/>
        </w:rPr>
        <w:t>部门</w:t>
      </w:r>
      <w:r w:rsidRPr="009C6DD3">
        <w:rPr>
          <w:rFonts w:hint="eastAsia"/>
        </w:rPr>
        <w:t>之间工作分工</w:t>
      </w:r>
      <w:r w:rsidRPr="009C6DD3">
        <w:t>以及</w:t>
      </w:r>
      <w:r w:rsidRPr="009C6DD3">
        <w:rPr>
          <w:rFonts w:hint="eastAsia"/>
        </w:rPr>
        <w:t>加强在共同关心问题上的协调与</w:t>
      </w:r>
      <w:r w:rsidRPr="009C6DD3">
        <w:t>合作</w:t>
      </w:r>
      <w:r w:rsidRPr="009C6DD3">
        <w:rPr>
          <w:rFonts w:cstheme="minorHAnsi" w:hint="eastAsia"/>
        </w:rPr>
        <w:t>的</w:t>
      </w:r>
      <w:r w:rsidRPr="009C6DD3">
        <w:rPr>
          <w:rFonts w:cstheme="minorHAnsi"/>
        </w:rPr>
        <w:t>第</w:t>
      </w:r>
      <w:r w:rsidRPr="009C6DD3">
        <w:t>18</w:t>
      </w:r>
      <w:r w:rsidRPr="009C6DD3">
        <w:rPr>
          <w:rFonts w:cstheme="minorHAnsi"/>
        </w:rPr>
        <w:t>号决议（</w:t>
      </w:r>
      <w:r w:rsidRPr="009C6DD3">
        <w:rPr>
          <w:rFonts w:hint="eastAsia"/>
          <w:lang w:val="en-US"/>
        </w:rPr>
        <w:t>2024</w:t>
      </w:r>
      <w:r w:rsidRPr="009C6DD3">
        <w:rPr>
          <w:rFonts w:hint="eastAsia"/>
          <w:lang w:val="en-US"/>
        </w:rPr>
        <w:t>年，新德里</w:t>
      </w:r>
      <w:r w:rsidRPr="009C6DD3">
        <w:rPr>
          <w:rFonts w:cstheme="minorHAnsi"/>
        </w:rPr>
        <w:t>，修订版），</w:t>
      </w:r>
    </w:p>
    <w:p w14:paraId="6619025C" w14:textId="77777777" w:rsidR="00C521A2" w:rsidRPr="009C6DD3" w:rsidRDefault="00C521A2" w:rsidP="00C521A2">
      <w:r w:rsidRPr="009C6DD3">
        <w:br w:type="page"/>
      </w:r>
    </w:p>
    <w:p w14:paraId="687C5F35" w14:textId="77777777" w:rsidR="0090748A" w:rsidRPr="009C6DD3" w:rsidRDefault="0090748A" w:rsidP="0090748A">
      <w:pPr>
        <w:pStyle w:val="Call"/>
        <w:rPr>
          <w:rFonts w:cstheme="minorHAnsi"/>
        </w:rPr>
      </w:pPr>
      <w:r w:rsidRPr="009C6DD3">
        <w:rPr>
          <w:rFonts w:cstheme="minorHAnsi"/>
        </w:rPr>
        <w:lastRenderedPageBreak/>
        <w:t>考虑到</w:t>
      </w:r>
    </w:p>
    <w:p w14:paraId="065D61A7" w14:textId="77777777" w:rsidR="00792029" w:rsidRPr="009C6DD3" w:rsidRDefault="0090748A" w:rsidP="00247F11">
      <w:pPr>
        <w:pStyle w:val="Normalnoindent"/>
      </w:pPr>
      <w:r w:rsidRPr="009C6DD3">
        <w:rPr>
          <w:rStyle w:val="ItalicEnglish"/>
          <w:lang w:eastAsia="zh-CN"/>
        </w:rPr>
        <w:t>a)</w:t>
      </w:r>
      <w:r w:rsidRPr="009C6DD3">
        <w:tab/>
      </w:r>
      <w:r w:rsidRPr="009C6DD3">
        <w:rPr>
          <w:rFonts w:hint="eastAsia"/>
        </w:rPr>
        <w:t>如第</w:t>
      </w:r>
      <w:r w:rsidRPr="009C6DD3">
        <w:rPr>
          <w:rFonts w:hint="eastAsia"/>
        </w:rPr>
        <w:t>191</w:t>
      </w:r>
      <w:r w:rsidRPr="009C6DD3">
        <w:rPr>
          <w:rFonts w:hint="eastAsia"/>
        </w:rPr>
        <w:t>号决议（</w:t>
      </w:r>
      <w:r w:rsidRPr="009C6DD3">
        <w:rPr>
          <w:rFonts w:hint="eastAsia"/>
        </w:rPr>
        <w:t>2022</w:t>
      </w:r>
      <w:r w:rsidRPr="009C6DD3">
        <w:rPr>
          <w:rFonts w:hint="eastAsia"/>
        </w:rPr>
        <w:t>年，布加勒斯特，修订版）所述，所有三个部门共同关心和关注的问题日益增多；</w:t>
      </w:r>
    </w:p>
    <w:p w14:paraId="4777FEA3"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在国际电联三个部门和总秘书处之间设立了秘书处一级的合作机制，以确保秘书处之间以及与处理共同关心且涉及到所有部门的重大问题的外部实体和组织的秘书处开展密切合作，例如电信</w:t>
      </w:r>
      <w:r w:rsidRPr="009C6DD3">
        <w:rPr>
          <w:rFonts w:hint="eastAsia"/>
        </w:rPr>
        <w:t>/</w:t>
      </w:r>
      <w:r w:rsidRPr="009C6DD3">
        <w:rPr>
          <w:rFonts w:hint="eastAsia"/>
        </w:rPr>
        <w:t>信息通信技术（</w:t>
      </w:r>
      <w:r w:rsidRPr="009C6DD3">
        <w:rPr>
          <w:rFonts w:hint="eastAsia"/>
        </w:rPr>
        <w:t>ICT</w:t>
      </w:r>
      <w:r w:rsidRPr="009C6DD3">
        <w:rPr>
          <w:rFonts w:hint="eastAsia"/>
        </w:rPr>
        <w:t>）系统的发展、国际移动通信、大数据、人工智能（</w:t>
      </w:r>
      <w:r w:rsidRPr="009C6DD3">
        <w:rPr>
          <w:rFonts w:hint="eastAsia"/>
        </w:rPr>
        <w:t>AI</w:t>
      </w:r>
      <w:r w:rsidRPr="009C6DD3">
        <w:rPr>
          <w:rFonts w:hint="eastAsia"/>
        </w:rPr>
        <w:t>）、应急通信、电信</w:t>
      </w:r>
      <w:r w:rsidRPr="009C6DD3">
        <w:rPr>
          <w:rFonts w:hint="eastAsia"/>
        </w:rPr>
        <w:t>/ICT</w:t>
      </w:r>
      <w:r w:rsidRPr="009C6DD3">
        <w:rPr>
          <w:rFonts w:hint="eastAsia"/>
        </w:rPr>
        <w:t>与气候变化、网络安全、残疾人和有具体需求人士对电信</w:t>
      </w:r>
      <w:r w:rsidRPr="009C6DD3">
        <w:rPr>
          <w:rFonts w:hint="eastAsia"/>
        </w:rPr>
        <w:t>/ICT</w:t>
      </w:r>
      <w:r w:rsidRPr="009C6DD3">
        <w:rPr>
          <w:rFonts w:hint="eastAsia"/>
        </w:rPr>
        <w:t>的无障碍获取、电信</w:t>
      </w:r>
      <w:r w:rsidRPr="009C6DD3">
        <w:rPr>
          <w:rFonts w:hint="eastAsia"/>
        </w:rPr>
        <w:t>/ICT</w:t>
      </w:r>
      <w:r w:rsidRPr="009C6DD3">
        <w:rPr>
          <w:rFonts w:hint="eastAsia"/>
        </w:rPr>
        <w:t>设备和系统的一致性和互操作性以及稀缺资源的更有效利用等，</w:t>
      </w:r>
    </w:p>
    <w:p w14:paraId="61708B2E" w14:textId="77777777" w:rsidR="0090748A" w:rsidRPr="009C6DD3" w:rsidRDefault="0090748A" w:rsidP="0090748A">
      <w:pPr>
        <w:pStyle w:val="Call"/>
        <w:rPr>
          <w:rFonts w:cstheme="minorHAnsi"/>
        </w:rPr>
      </w:pPr>
      <w:r w:rsidRPr="009C6DD3">
        <w:rPr>
          <w:rFonts w:cstheme="minorHAnsi"/>
        </w:rPr>
        <w:t>顾及</w:t>
      </w:r>
    </w:p>
    <w:p w14:paraId="359846FE"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三个部门间联合研究领域的不断扩大及其在这方面进行协调与合作的必要性；</w:t>
      </w:r>
    </w:p>
    <w:p w14:paraId="2DE84B9A"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三个部门共同关心和关注的问题与日俱增；</w:t>
      </w:r>
    </w:p>
    <w:p w14:paraId="43A917CE"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hint="eastAsia"/>
        </w:rPr>
        <w:t>ITU-D</w:t>
      </w:r>
      <w:r w:rsidRPr="009C6DD3">
        <w:rPr>
          <w:rFonts w:hint="eastAsia"/>
        </w:rPr>
        <w:t>在能力建设中的作用，特别是在发展中国家；</w:t>
      </w:r>
    </w:p>
    <w:p w14:paraId="490310E7" w14:textId="77777777" w:rsidR="0090748A" w:rsidRPr="009C6DD3" w:rsidRDefault="0090748A" w:rsidP="0090748A">
      <w:pPr>
        <w:pStyle w:val="Normalnoindent"/>
      </w:pPr>
      <w:r w:rsidRPr="009C6DD3">
        <w:rPr>
          <w:rStyle w:val="ItalicEnglish"/>
          <w:rFonts w:hint="eastAsia"/>
          <w:lang w:eastAsia="zh-CN"/>
        </w:rPr>
        <w:t>d</w:t>
      </w:r>
      <w:r w:rsidRPr="009C6DD3">
        <w:rPr>
          <w:rStyle w:val="ItalicEnglish"/>
          <w:lang w:eastAsia="zh-CN"/>
        </w:rPr>
        <w:t>)</w:t>
      </w:r>
      <w:r w:rsidRPr="009C6DD3">
        <w:tab/>
      </w:r>
      <w:r w:rsidRPr="009C6DD3">
        <w:rPr>
          <w:rFonts w:cs="Calibri" w:hint="eastAsia"/>
        </w:rPr>
        <w:t>ITU-D</w:t>
      </w:r>
      <w:r w:rsidRPr="009C6DD3">
        <w:rPr>
          <w:rFonts w:cs="Calibri" w:hint="eastAsia"/>
        </w:rPr>
        <w:t>的催化作用，力求以最佳方式使用资源，提高发展中国家的能力；</w:t>
      </w:r>
    </w:p>
    <w:p w14:paraId="15AC4A4F" w14:textId="77777777" w:rsidR="0090748A" w:rsidRPr="009C6DD3" w:rsidRDefault="0090748A" w:rsidP="0090748A">
      <w:pPr>
        <w:pStyle w:val="Normalnoindent"/>
      </w:pPr>
      <w:r w:rsidRPr="009C6DD3">
        <w:rPr>
          <w:rStyle w:val="ItalicEnglish"/>
          <w:rFonts w:hint="eastAsia"/>
          <w:lang w:eastAsia="zh-CN"/>
        </w:rPr>
        <w:t>e)</w:t>
      </w:r>
      <w:r w:rsidRPr="009C6DD3">
        <w:rPr>
          <w:rStyle w:val="ItalicEnglish"/>
          <w:lang w:eastAsia="zh-CN"/>
        </w:rPr>
        <w:tab/>
      </w:r>
      <w:r w:rsidRPr="009C6DD3">
        <w:rPr>
          <w:rFonts w:hint="eastAsia"/>
        </w:rPr>
        <w:t>三个顾问组的代表针对</w:t>
      </w:r>
      <w:r w:rsidRPr="009C6DD3">
        <w:t>强化</w:t>
      </w:r>
      <w:r w:rsidRPr="009C6DD3">
        <w:rPr>
          <w:rFonts w:hint="eastAsia"/>
        </w:rPr>
        <w:t>顾问组之间合作方式正在进行讨论；</w:t>
      </w:r>
    </w:p>
    <w:p w14:paraId="042B2E7B" w14:textId="6D8C1AED" w:rsidR="00D757FB" w:rsidRPr="0003723D" w:rsidRDefault="0090748A" w:rsidP="0090748A">
      <w:pPr>
        <w:pStyle w:val="Normalnoindent"/>
        <w:rPr>
          <w:rStyle w:val="ItalicEnglish"/>
          <w:rFonts w:ascii="Calibri" w:eastAsia="SimSun" w:hAnsi="Calibri"/>
          <w:i w:val="0"/>
          <w:szCs w:val="28"/>
          <w:highlight w:val="cyan"/>
          <w:lang w:eastAsia="zh-CN"/>
        </w:rPr>
      </w:pPr>
      <w:r w:rsidRPr="009C6DD3">
        <w:rPr>
          <w:rStyle w:val="ItalicEnglish"/>
          <w:rFonts w:hint="eastAsia"/>
          <w:lang w:eastAsia="zh-CN"/>
        </w:rPr>
        <w:t>f</w:t>
      </w:r>
      <w:r w:rsidRPr="009C6DD3">
        <w:rPr>
          <w:rStyle w:val="ItalicEnglish"/>
          <w:lang w:eastAsia="zh-CN"/>
        </w:rPr>
        <w:t>)</w:t>
      </w:r>
      <w:r w:rsidRPr="009C6DD3">
        <w:tab/>
      </w:r>
      <w:r w:rsidRPr="009C6DD3">
        <w:rPr>
          <w:rFonts w:hint="eastAsia"/>
        </w:rPr>
        <w:t>由三个顾问组的代表组成的共同关心问题跨部门协调组（</w:t>
      </w:r>
      <w:r w:rsidRPr="009C6DD3">
        <w:t>ISCG</w:t>
      </w:r>
      <w:r w:rsidRPr="009C6DD3">
        <w:rPr>
          <w:rFonts w:hint="eastAsia"/>
        </w:rPr>
        <w:t>）努力确定共同关心的问题以及加强各部门和总秘书处之间协作与合作的机制，并审议各局主任和跨部门协调任务组（</w:t>
      </w:r>
      <w:r w:rsidRPr="009C6DD3">
        <w:rPr>
          <w:rFonts w:hint="eastAsia"/>
        </w:rPr>
        <w:t>ISC-TF</w:t>
      </w:r>
      <w:r w:rsidRPr="009C6DD3">
        <w:rPr>
          <w:rFonts w:hint="eastAsia"/>
        </w:rPr>
        <w:t>）关于改进秘书处内部合作与协调方案的报告；</w:t>
      </w:r>
    </w:p>
    <w:p w14:paraId="07A2D949" w14:textId="77777777" w:rsidR="00C521A2" w:rsidRPr="009C6DD3" w:rsidRDefault="00C521A2" w:rsidP="00C521A2">
      <w:pPr>
        <w:rPr>
          <w:rStyle w:val="ItalicEnglish"/>
          <w:lang w:eastAsia="zh-CN"/>
        </w:rPr>
      </w:pPr>
      <w:r w:rsidRPr="009C6DD3">
        <w:br w:type="page"/>
      </w:r>
    </w:p>
    <w:p w14:paraId="0D768CA1" w14:textId="77777777" w:rsidR="0090748A" w:rsidRPr="009C6DD3" w:rsidRDefault="0090748A" w:rsidP="0090748A">
      <w:pPr>
        <w:pStyle w:val="Normalnoindent"/>
      </w:pPr>
      <w:r w:rsidRPr="009C6DD3">
        <w:rPr>
          <w:rStyle w:val="ItalicEnglish"/>
          <w:rFonts w:hint="eastAsia"/>
          <w:lang w:eastAsia="zh-CN"/>
        </w:rPr>
        <w:lastRenderedPageBreak/>
        <w:t>g</w:t>
      </w:r>
      <w:r w:rsidRPr="009C6DD3">
        <w:rPr>
          <w:rStyle w:val="ItalicEnglish"/>
          <w:lang w:eastAsia="zh-CN"/>
        </w:rPr>
        <w:t>)</w:t>
      </w:r>
      <w:r w:rsidRPr="009C6DD3">
        <w:tab/>
      </w:r>
      <w:r w:rsidRPr="009C6DD3">
        <w:rPr>
          <w:rFonts w:hint="eastAsia"/>
        </w:rPr>
        <w:t>秘书长成立了由总秘书处、电信发展局（</w:t>
      </w:r>
      <w:r w:rsidRPr="009C6DD3">
        <w:rPr>
          <w:rFonts w:hint="eastAsia"/>
        </w:rPr>
        <w:t>BDT</w:t>
      </w:r>
      <w:r w:rsidRPr="009C6DD3">
        <w:rPr>
          <w:rFonts w:hint="eastAsia"/>
        </w:rPr>
        <w:t>）、无线电通信局（</w:t>
      </w:r>
      <w:r w:rsidRPr="009C6DD3">
        <w:rPr>
          <w:rFonts w:hint="eastAsia"/>
        </w:rPr>
        <w:t>BR</w:t>
      </w:r>
      <w:r w:rsidRPr="009C6DD3">
        <w:rPr>
          <w:rFonts w:hint="eastAsia"/>
        </w:rPr>
        <w:t>）和电信标准化局（</w:t>
      </w:r>
      <w:r w:rsidRPr="009C6DD3">
        <w:rPr>
          <w:rFonts w:hint="eastAsia"/>
        </w:rPr>
        <w:t>TSB</w:t>
      </w:r>
      <w:r w:rsidRPr="009C6DD3">
        <w:rPr>
          <w:rFonts w:hint="eastAsia"/>
        </w:rPr>
        <w:t>）的高级管理人员组成的</w:t>
      </w:r>
      <w:r w:rsidRPr="009C6DD3">
        <w:rPr>
          <w:rFonts w:hint="eastAsia"/>
        </w:rPr>
        <w:t>ISC-TF</w:t>
      </w:r>
      <w:r w:rsidRPr="009C6DD3">
        <w:rPr>
          <w:rFonts w:hint="eastAsia"/>
        </w:rPr>
        <w:t>，负责考虑改进秘书处层面合作与协调的各种方案，</w:t>
      </w:r>
    </w:p>
    <w:p w14:paraId="17FDBE6E" w14:textId="77777777" w:rsidR="0090748A" w:rsidRPr="009C6DD3" w:rsidRDefault="0090748A" w:rsidP="0090748A">
      <w:pPr>
        <w:pStyle w:val="Call"/>
      </w:pPr>
      <w:r w:rsidRPr="009C6DD3">
        <w:rPr>
          <w:rFonts w:hint="eastAsia"/>
        </w:rPr>
        <w:t>做出决议</w:t>
      </w:r>
    </w:p>
    <w:p w14:paraId="7C7F2F70" w14:textId="77777777" w:rsidR="0090748A" w:rsidRPr="009C6DD3" w:rsidRDefault="0090748A" w:rsidP="0090748A">
      <w:pPr>
        <w:pStyle w:val="Normalnoindent"/>
      </w:pPr>
      <w:r w:rsidRPr="009C6DD3">
        <w:rPr>
          <w:rFonts w:hint="eastAsia"/>
        </w:rPr>
        <w:t>1</w:t>
      </w:r>
      <w:r w:rsidRPr="009C6DD3">
        <w:tab/>
      </w:r>
      <w:r w:rsidRPr="009C6DD3">
        <w:rPr>
          <w:rFonts w:hint="eastAsia"/>
        </w:rPr>
        <w:t>电信发展顾问组（</w:t>
      </w:r>
      <w:r w:rsidRPr="009C6DD3">
        <w:rPr>
          <w:rFonts w:hint="eastAsia"/>
        </w:rPr>
        <w:t>TDAG</w:t>
      </w:r>
      <w:r w:rsidRPr="009C6DD3">
        <w:rPr>
          <w:rFonts w:hint="eastAsia"/>
        </w:rPr>
        <w:t>）和</w:t>
      </w:r>
      <w:r w:rsidRPr="009C6DD3">
        <w:rPr>
          <w:rFonts w:hint="eastAsia"/>
        </w:rPr>
        <w:t>BDT</w:t>
      </w:r>
      <w:r w:rsidRPr="009C6DD3">
        <w:rPr>
          <w:rFonts w:hint="eastAsia"/>
        </w:rPr>
        <w:t>主任应根据第</w:t>
      </w:r>
      <w:r w:rsidRPr="009C6DD3">
        <w:rPr>
          <w:rFonts w:hint="eastAsia"/>
        </w:rPr>
        <w:t>191</w:t>
      </w:r>
      <w:r w:rsidRPr="009C6DD3">
        <w:rPr>
          <w:rFonts w:hint="eastAsia"/>
        </w:rPr>
        <w:t>号决议（</w:t>
      </w:r>
      <w:r w:rsidRPr="009C6DD3">
        <w:rPr>
          <w:rFonts w:hint="eastAsia"/>
          <w:lang w:val="en-US"/>
        </w:rPr>
        <w:t>2022</w:t>
      </w:r>
      <w:r w:rsidRPr="009C6DD3">
        <w:rPr>
          <w:rFonts w:hint="eastAsia"/>
          <w:lang w:val="en-US"/>
        </w:rPr>
        <w:t>年，布加勒斯特</w:t>
      </w:r>
      <w:r w:rsidRPr="009C6DD3">
        <w:rPr>
          <w:rFonts w:hint="eastAsia"/>
        </w:rPr>
        <w:t>，修订版）的要求，继续与无线电通信顾问组、</w:t>
      </w:r>
      <w:r w:rsidRPr="009C6DD3">
        <w:rPr>
          <w:rFonts w:hint="eastAsia"/>
        </w:rPr>
        <w:t>BR</w:t>
      </w:r>
      <w:r w:rsidRPr="009C6DD3">
        <w:rPr>
          <w:rFonts w:hint="eastAsia"/>
        </w:rPr>
        <w:t>主任、电信标准化顾问组和</w:t>
      </w:r>
      <w:r w:rsidRPr="009C6DD3">
        <w:rPr>
          <w:rFonts w:hint="eastAsia"/>
        </w:rPr>
        <w:t>TSB</w:t>
      </w:r>
      <w:r w:rsidRPr="009C6DD3">
        <w:rPr>
          <w:rFonts w:hint="eastAsia"/>
        </w:rPr>
        <w:t>主任积极合作；</w:t>
      </w:r>
    </w:p>
    <w:p w14:paraId="364BE5B5" w14:textId="77777777" w:rsidR="00792029" w:rsidRPr="009C6DD3" w:rsidRDefault="0090748A" w:rsidP="00247F11">
      <w:pPr>
        <w:pStyle w:val="Normalnoindent"/>
      </w:pPr>
      <w:r w:rsidRPr="009C6DD3">
        <w:t>2</w:t>
      </w:r>
      <w:r w:rsidRPr="009C6DD3">
        <w:tab/>
      </w:r>
      <w:r w:rsidRPr="009C6DD3">
        <w:rPr>
          <w:rFonts w:hint="eastAsia"/>
        </w:rPr>
        <w:t>继续酌情通过电子方式并利用远程参会，为发展中国家参加</w:t>
      </w:r>
      <w:r w:rsidRPr="009C6DD3">
        <w:rPr>
          <w:rFonts w:hint="eastAsia"/>
        </w:rPr>
        <w:t>ITU-D</w:t>
      </w:r>
      <w:r w:rsidRPr="009C6DD3">
        <w:rPr>
          <w:rFonts w:hint="eastAsia"/>
        </w:rPr>
        <w:t>研究组和报告人组会议提供便利；</w:t>
      </w:r>
    </w:p>
    <w:p w14:paraId="18B81AB6" w14:textId="77777777" w:rsidR="0090748A" w:rsidRPr="009C6DD3" w:rsidRDefault="0090748A" w:rsidP="0090748A">
      <w:pPr>
        <w:pStyle w:val="Normalnoindent"/>
      </w:pPr>
      <w:r w:rsidRPr="009C6DD3">
        <w:t>3</w:t>
      </w:r>
      <w:r w:rsidRPr="009C6DD3">
        <w:tab/>
      </w:r>
      <w:r w:rsidRPr="009C6DD3">
        <w:rPr>
          <w:rFonts w:hint="eastAsia"/>
        </w:rPr>
        <w:t>继续与另外两个局的主任合作，增强国际电联区域代表处和地区办事处为研究组活动提供支持的能力，以及加强与相关区域性组织合作与协调所需的专业力量，以推动所有成员国和部门成员参与</w:t>
      </w:r>
      <w:r w:rsidRPr="009C6DD3">
        <w:rPr>
          <w:rFonts w:hint="eastAsia"/>
        </w:rPr>
        <w:t>ITU-D</w:t>
      </w:r>
      <w:r w:rsidRPr="009C6DD3">
        <w:rPr>
          <w:rFonts w:hint="eastAsia"/>
        </w:rPr>
        <w:t>的活动，</w:t>
      </w:r>
    </w:p>
    <w:p w14:paraId="69E5764E" w14:textId="77777777" w:rsidR="0090748A" w:rsidRPr="009C6DD3" w:rsidRDefault="0090748A" w:rsidP="0090748A">
      <w:pPr>
        <w:pStyle w:val="Call"/>
      </w:pPr>
      <w:r w:rsidRPr="009C6DD3">
        <w:rPr>
          <w:rFonts w:asciiTheme="minorHAnsi" w:hAnsiTheme="minorHAnsi" w:cstheme="minorHAnsi" w:hint="eastAsia"/>
        </w:rPr>
        <w:t>请电信发展顾问组与无线电通信顾问组和电信标准化顾问组合作</w:t>
      </w:r>
    </w:p>
    <w:p w14:paraId="22F88566" w14:textId="77777777" w:rsidR="0090748A" w:rsidRPr="009C6DD3" w:rsidRDefault="0090748A" w:rsidP="0090748A">
      <w:pPr>
        <w:ind w:firstLineChars="200" w:firstLine="480"/>
      </w:pPr>
      <w:r w:rsidRPr="009C6DD3">
        <w:rPr>
          <w:rFonts w:hint="eastAsia"/>
        </w:rPr>
        <w:t>协助确定三个部门的共同议题，或</w:t>
      </w:r>
      <w:r w:rsidRPr="009C6DD3">
        <w:t>ITU-D</w:t>
      </w:r>
      <w:r w:rsidRPr="009C6DD3">
        <w:rPr>
          <w:rFonts w:hint="eastAsia"/>
        </w:rPr>
        <w:t>与</w:t>
      </w:r>
      <w:r w:rsidRPr="009C6DD3">
        <w:t>ITU</w:t>
      </w:r>
      <w:r w:rsidRPr="009C6DD3">
        <w:noBreakHyphen/>
        <w:t>R</w:t>
      </w:r>
      <w:r w:rsidRPr="009C6DD3">
        <w:rPr>
          <w:rFonts w:hint="eastAsia"/>
        </w:rPr>
        <w:t>或</w:t>
      </w:r>
      <w:r w:rsidRPr="009C6DD3">
        <w:t>ITU</w:t>
      </w:r>
      <w:r w:rsidRPr="009C6DD3">
        <w:noBreakHyphen/>
        <w:t>T</w:t>
      </w:r>
      <w:r w:rsidRPr="009C6DD3">
        <w:rPr>
          <w:rFonts w:hint="eastAsia"/>
        </w:rPr>
        <w:t>确定双边的共同议题，并确定就共同关心的问题加强三个部门或</w:t>
      </w:r>
      <w:r w:rsidRPr="009C6DD3">
        <w:rPr>
          <w:rFonts w:hint="eastAsia"/>
          <w:lang w:val="en-US"/>
        </w:rPr>
        <w:t>相互</w:t>
      </w:r>
      <w:r w:rsidRPr="009C6DD3">
        <w:rPr>
          <w:rFonts w:hint="eastAsia"/>
        </w:rPr>
        <w:t>之间合作并开展联合活动的必要机制，应通过参加</w:t>
      </w:r>
      <w:r w:rsidRPr="009C6DD3">
        <w:rPr>
          <w:rFonts w:hint="eastAsia"/>
        </w:rPr>
        <w:t>ISCG</w:t>
      </w:r>
      <w:r w:rsidRPr="009C6DD3">
        <w:rPr>
          <w:rFonts w:hint="eastAsia"/>
        </w:rPr>
        <w:t>等方式，对发展中国家的利益给予特别关注，</w:t>
      </w:r>
    </w:p>
    <w:p w14:paraId="33226595" w14:textId="77777777" w:rsidR="00D757FB" w:rsidRPr="009C6DD3" w:rsidRDefault="00D757FB" w:rsidP="0090748A">
      <w:pPr>
        <w:ind w:firstLineChars="200" w:firstLine="480"/>
      </w:pPr>
    </w:p>
    <w:p w14:paraId="499FE290" w14:textId="77777777" w:rsidR="00C521A2" w:rsidRPr="009C6DD3" w:rsidRDefault="00C521A2" w:rsidP="00C521A2">
      <w:r w:rsidRPr="009C6DD3">
        <w:br w:type="page"/>
      </w:r>
    </w:p>
    <w:p w14:paraId="15C39B90" w14:textId="77777777" w:rsidR="0090748A" w:rsidRPr="009C6DD3" w:rsidRDefault="0090748A" w:rsidP="0090748A">
      <w:pPr>
        <w:pStyle w:val="Call"/>
      </w:pPr>
      <w:r w:rsidRPr="009C6DD3">
        <w:rPr>
          <w:rFonts w:hint="eastAsia"/>
        </w:rPr>
        <w:lastRenderedPageBreak/>
        <w:t>请电信发展顾问组、无线电通信顾问组和电信标准化顾问组</w:t>
      </w:r>
    </w:p>
    <w:p w14:paraId="0C339059" w14:textId="77777777" w:rsidR="0090748A" w:rsidRPr="009C6DD3" w:rsidRDefault="0090748A" w:rsidP="0090748A">
      <w:pPr>
        <w:ind w:firstLineChars="200" w:firstLine="480"/>
      </w:pPr>
      <w:r w:rsidRPr="009C6DD3">
        <w:rPr>
          <w:rFonts w:hint="eastAsia"/>
        </w:rPr>
        <w:t>继续协助</w:t>
      </w:r>
      <w:r w:rsidRPr="009C6DD3">
        <w:rPr>
          <w:rFonts w:hint="eastAsia"/>
        </w:rPr>
        <w:t>ISCG</w:t>
      </w:r>
      <w:r w:rsidRPr="009C6DD3">
        <w:rPr>
          <w:rFonts w:hint="eastAsia"/>
        </w:rPr>
        <w:t>确定三个部门共同关心的问题以及加强其合作与协作的机制，</w:t>
      </w:r>
    </w:p>
    <w:p w14:paraId="3135602E" w14:textId="77777777" w:rsidR="0090748A" w:rsidRPr="009C6DD3" w:rsidRDefault="0090748A" w:rsidP="0090748A">
      <w:pPr>
        <w:pStyle w:val="Call"/>
        <w:rPr>
          <w:rFonts w:cs="STKaiti"/>
        </w:rPr>
      </w:pPr>
      <w:r w:rsidRPr="009C6DD3">
        <w:rPr>
          <w:rFonts w:asciiTheme="minorHAnsi" w:hAnsiTheme="minorHAnsi" w:cstheme="minorHAnsi" w:hint="eastAsia"/>
        </w:rPr>
        <w:t>请电信发展局</w:t>
      </w:r>
      <w:r w:rsidRPr="009C6DD3">
        <w:rPr>
          <w:rFonts w:asciiTheme="minorHAnsi" w:hAnsiTheme="minorHAnsi" w:cstheme="minorHAnsi" w:hint="eastAsia"/>
          <w:lang w:val="en-US"/>
        </w:rPr>
        <w:t>主任</w:t>
      </w:r>
      <w:r w:rsidRPr="009C6DD3">
        <w:rPr>
          <w:rFonts w:asciiTheme="minorHAnsi" w:hAnsiTheme="minorHAnsi" w:cstheme="minorHAnsi" w:hint="eastAsia"/>
        </w:rPr>
        <w:t>与秘书长、无线电通信局主任和电信标准化局主任协作</w:t>
      </w:r>
    </w:p>
    <w:p w14:paraId="67B780E0" w14:textId="77777777" w:rsidR="0090748A" w:rsidRPr="009C6DD3" w:rsidRDefault="0090748A" w:rsidP="0090748A">
      <w:pPr>
        <w:pStyle w:val="Normalnoindent"/>
      </w:pPr>
      <w:r w:rsidRPr="009C6DD3">
        <w:rPr>
          <w:rFonts w:hint="eastAsia"/>
        </w:rPr>
        <w:t>1</w:t>
      </w:r>
      <w:r w:rsidRPr="009C6DD3">
        <w:tab/>
      </w:r>
      <w:r w:rsidRPr="009C6DD3">
        <w:rPr>
          <w:rFonts w:hint="eastAsia"/>
        </w:rPr>
        <w:t>继续就三个部门共同关注的问题建立秘书处层面的合作机制；</w:t>
      </w:r>
    </w:p>
    <w:p w14:paraId="05D80C1D" w14:textId="77777777" w:rsidR="0090748A" w:rsidRPr="009C6DD3" w:rsidRDefault="0090748A" w:rsidP="0090748A">
      <w:pPr>
        <w:pStyle w:val="Normalnoindent"/>
      </w:pPr>
      <w:r w:rsidRPr="009C6DD3">
        <w:t>2</w:t>
      </w:r>
      <w:r w:rsidRPr="009C6DD3">
        <w:tab/>
      </w:r>
      <w:r w:rsidRPr="009C6DD3">
        <w:rPr>
          <w:rFonts w:hint="eastAsia"/>
        </w:rPr>
        <w:t>继续在手册和报告的起草和更新方面开展协作，以避免重复工作并根据</w:t>
      </w:r>
      <w:r w:rsidRPr="009C6DD3">
        <w:rPr>
          <w:rFonts w:hint="eastAsia"/>
        </w:rPr>
        <w:t>ITU-D</w:t>
      </w:r>
      <w:r w:rsidRPr="009C6DD3">
        <w:rPr>
          <w:rFonts w:hint="eastAsia"/>
        </w:rPr>
        <w:t>活动的结果落实各项举措，</w:t>
      </w:r>
    </w:p>
    <w:p w14:paraId="4C5555E1" w14:textId="77777777" w:rsidR="0090748A" w:rsidRPr="009C6DD3" w:rsidRDefault="0090748A" w:rsidP="0090748A">
      <w:pPr>
        <w:pStyle w:val="Call"/>
      </w:pPr>
      <w:r w:rsidRPr="009C6DD3">
        <w:rPr>
          <w:rFonts w:hint="eastAsia"/>
        </w:rPr>
        <w:t>请电信发展局主任、无线电通信局主任和电信标准化局主任</w:t>
      </w:r>
    </w:p>
    <w:p w14:paraId="00CC6C10" w14:textId="77777777" w:rsidR="0090748A" w:rsidRPr="009C6DD3" w:rsidRDefault="0090748A" w:rsidP="0090748A">
      <w:pPr>
        <w:pStyle w:val="Normalnoindent"/>
      </w:pPr>
      <w:r w:rsidRPr="009C6DD3">
        <w:t>1</w:t>
      </w:r>
      <w:r w:rsidRPr="009C6DD3">
        <w:tab/>
      </w:r>
      <w:r w:rsidRPr="009C6DD3">
        <w:rPr>
          <w:rFonts w:hint="eastAsia"/>
        </w:rPr>
        <w:t>继续开展相互合作，以便加强国际电联区域代表处和地区办事处对研究组活动的支持，并促进成员参与</w:t>
      </w:r>
      <w:r w:rsidRPr="009C6DD3">
        <w:rPr>
          <w:rFonts w:hint="eastAsia"/>
        </w:rPr>
        <w:t>ITU-D</w:t>
      </w:r>
      <w:r w:rsidRPr="009C6DD3">
        <w:rPr>
          <w:rFonts w:hint="eastAsia"/>
        </w:rPr>
        <w:t>的所有活动；</w:t>
      </w:r>
    </w:p>
    <w:p w14:paraId="3D5A54B0" w14:textId="77777777" w:rsidR="00792029" w:rsidRPr="009C6DD3" w:rsidRDefault="0090748A" w:rsidP="00247F11">
      <w:pPr>
        <w:pStyle w:val="Normalnoindent"/>
      </w:pPr>
      <w:r w:rsidRPr="009C6DD3">
        <w:t>2</w:t>
      </w:r>
      <w:r w:rsidRPr="009C6DD3">
        <w:tab/>
      </w:r>
      <w:r w:rsidRPr="009C6DD3">
        <w:rPr>
          <w:rFonts w:hint="eastAsia"/>
        </w:rPr>
        <w:t>向</w:t>
      </w:r>
      <w:r w:rsidRPr="009C6DD3">
        <w:t>ISCG</w:t>
      </w:r>
      <w:r w:rsidRPr="009C6DD3">
        <w:rPr>
          <w:rFonts w:hint="eastAsia"/>
        </w:rPr>
        <w:t>及各自部门的顾问组通报在秘书处层面加强合作的备选方案，确保开展尽可能密切的协调，包括积极参与各部门顾问组成立的各小组，</w:t>
      </w:r>
    </w:p>
    <w:p w14:paraId="4D6FCA97" w14:textId="77777777" w:rsidR="0090748A" w:rsidRPr="009C6DD3" w:rsidRDefault="0090748A" w:rsidP="0090748A">
      <w:pPr>
        <w:pStyle w:val="Call"/>
      </w:pPr>
      <w:r w:rsidRPr="009C6DD3">
        <w:rPr>
          <w:rFonts w:cstheme="minorHAnsi" w:hint="eastAsia"/>
          <w:iCs/>
        </w:rPr>
        <w:t>责成</w:t>
      </w:r>
      <w:r w:rsidRPr="009C6DD3">
        <w:rPr>
          <w:rFonts w:asciiTheme="minorHAnsi" w:hAnsiTheme="minorHAnsi" w:cstheme="minorHAnsi" w:hint="eastAsia"/>
        </w:rPr>
        <w:t>电信发展局主任</w:t>
      </w:r>
    </w:p>
    <w:p w14:paraId="54BBE250" w14:textId="77777777" w:rsidR="0090748A" w:rsidRPr="009C6DD3" w:rsidRDefault="0090748A" w:rsidP="0090748A">
      <w:pPr>
        <w:pStyle w:val="Normalnoindent"/>
      </w:pPr>
      <w:r w:rsidRPr="009C6DD3">
        <w:t>1</w:t>
      </w:r>
      <w:r w:rsidRPr="009C6DD3">
        <w:tab/>
      </w:r>
      <w:r w:rsidRPr="009C6DD3">
        <w:rPr>
          <w:rFonts w:hint="eastAsia"/>
        </w:rPr>
        <w:t>与</w:t>
      </w:r>
      <w:r w:rsidRPr="009C6DD3">
        <w:rPr>
          <w:rFonts w:hint="eastAsia"/>
        </w:rPr>
        <w:t>TSB</w:t>
      </w:r>
      <w:r w:rsidRPr="009C6DD3">
        <w:rPr>
          <w:rFonts w:hint="eastAsia"/>
        </w:rPr>
        <w:t>主任和</w:t>
      </w:r>
      <w:r w:rsidRPr="009C6DD3">
        <w:rPr>
          <w:rFonts w:hint="eastAsia"/>
        </w:rPr>
        <w:t>BR</w:t>
      </w:r>
      <w:r w:rsidRPr="009C6DD3">
        <w:rPr>
          <w:rFonts w:hint="eastAsia"/>
        </w:rPr>
        <w:t>主任合作，向</w:t>
      </w:r>
      <w:r w:rsidRPr="009C6DD3">
        <w:rPr>
          <w:rFonts w:hint="eastAsia"/>
        </w:rPr>
        <w:t>ITU-D</w:t>
      </w:r>
      <w:r w:rsidRPr="009C6DD3">
        <w:rPr>
          <w:rFonts w:hint="eastAsia"/>
        </w:rPr>
        <w:t>研究组提交关于</w:t>
      </w:r>
      <w:r w:rsidRPr="009C6DD3">
        <w:rPr>
          <w:rFonts w:hint="eastAsia"/>
        </w:rPr>
        <w:t>ITU-T</w:t>
      </w:r>
      <w:r w:rsidRPr="009C6DD3">
        <w:rPr>
          <w:rFonts w:hint="eastAsia"/>
        </w:rPr>
        <w:t>和</w:t>
      </w:r>
      <w:r w:rsidRPr="009C6DD3">
        <w:rPr>
          <w:rFonts w:hint="eastAsia"/>
        </w:rPr>
        <w:t>ITU-R</w:t>
      </w:r>
      <w:r w:rsidRPr="009C6DD3">
        <w:rPr>
          <w:rFonts w:hint="eastAsia"/>
        </w:rPr>
        <w:t>研究组活动最新情况的年度报告；</w:t>
      </w:r>
    </w:p>
    <w:p w14:paraId="46E600A3" w14:textId="77777777" w:rsidR="0090748A" w:rsidRPr="009C6DD3" w:rsidRDefault="0090748A" w:rsidP="0090748A">
      <w:pPr>
        <w:pStyle w:val="Normalnoindent"/>
      </w:pPr>
      <w:r w:rsidRPr="009C6DD3">
        <w:t>2</w:t>
      </w:r>
      <w:r w:rsidRPr="009C6DD3">
        <w:tab/>
      </w:r>
      <w:r w:rsidRPr="009C6DD3">
        <w:rPr>
          <w:rFonts w:hint="eastAsia"/>
        </w:rPr>
        <w:t>根据需要继续加强与</w:t>
      </w:r>
      <w:r w:rsidRPr="009C6DD3">
        <w:rPr>
          <w:rFonts w:hint="eastAsia"/>
        </w:rPr>
        <w:t>ITU-R</w:t>
      </w:r>
      <w:r w:rsidRPr="009C6DD3">
        <w:rPr>
          <w:rFonts w:hint="eastAsia"/>
        </w:rPr>
        <w:t>和</w:t>
      </w:r>
      <w:r w:rsidRPr="009C6DD3">
        <w:rPr>
          <w:rFonts w:hint="eastAsia"/>
        </w:rPr>
        <w:t>ITU-T</w:t>
      </w:r>
      <w:r w:rsidRPr="009C6DD3">
        <w:rPr>
          <w:rFonts w:hint="eastAsia"/>
        </w:rPr>
        <w:t>的双边合作；</w:t>
      </w:r>
    </w:p>
    <w:p w14:paraId="00B34470" w14:textId="77777777" w:rsidR="0090748A" w:rsidRPr="009C6DD3" w:rsidRDefault="0090748A" w:rsidP="0090748A">
      <w:pPr>
        <w:pStyle w:val="Normalnoindent"/>
      </w:pPr>
      <w:r w:rsidRPr="009C6DD3">
        <w:t>3</w:t>
      </w:r>
      <w:r w:rsidRPr="009C6DD3">
        <w:tab/>
      </w:r>
      <w:r w:rsidRPr="009C6DD3">
        <w:rPr>
          <w:rFonts w:hint="eastAsia"/>
        </w:rPr>
        <w:t>每年向</w:t>
      </w:r>
      <w:r w:rsidRPr="009C6DD3">
        <w:rPr>
          <w:rFonts w:hint="eastAsia"/>
        </w:rPr>
        <w:t>TDAG</w:t>
      </w:r>
      <w:r w:rsidRPr="009C6DD3">
        <w:rPr>
          <w:rFonts w:hint="eastAsia"/>
        </w:rPr>
        <w:t>通报本决议的执行情况，</w:t>
      </w:r>
    </w:p>
    <w:p w14:paraId="78551A48" w14:textId="77777777" w:rsidR="00D757FB" w:rsidRPr="009C6DD3" w:rsidRDefault="00D757FB" w:rsidP="0090748A">
      <w:pPr>
        <w:pStyle w:val="Normalnoindent"/>
      </w:pPr>
    </w:p>
    <w:p w14:paraId="73DE32B1" w14:textId="77777777" w:rsidR="00C521A2" w:rsidRPr="009C6DD3" w:rsidRDefault="00C521A2" w:rsidP="00C521A2">
      <w:r w:rsidRPr="009C6DD3">
        <w:br w:type="page"/>
      </w:r>
    </w:p>
    <w:p w14:paraId="2E4BA351" w14:textId="77777777" w:rsidR="0090748A" w:rsidRPr="009C6DD3" w:rsidRDefault="0090748A" w:rsidP="0090748A">
      <w:pPr>
        <w:pStyle w:val="Call"/>
        <w:rPr>
          <w:rFonts w:cstheme="minorHAnsi"/>
        </w:rPr>
      </w:pPr>
      <w:r w:rsidRPr="009C6DD3">
        <w:rPr>
          <w:rFonts w:cstheme="minorHAnsi" w:hint="eastAsia"/>
          <w:iCs/>
        </w:rPr>
        <w:lastRenderedPageBreak/>
        <w:t>责成</w:t>
      </w:r>
      <w:r w:rsidRPr="009C6DD3">
        <w:rPr>
          <w:rFonts w:asciiTheme="minorHAnsi" w:hAnsiTheme="minorHAnsi" w:cstheme="minorHAnsi" w:hint="eastAsia"/>
        </w:rPr>
        <w:t>国际电联电信发展部门研究组</w:t>
      </w:r>
    </w:p>
    <w:p w14:paraId="26C52D60" w14:textId="77777777" w:rsidR="0090748A" w:rsidRPr="009C6DD3" w:rsidRDefault="0090748A" w:rsidP="0090748A">
      <w:pPr>
        <w:pStyle w:val="Normalnoindent"/>
      </w:pPr>
      <w:r w:rsidRPr="009C6DD3">
        <w:t>1</w:t>
      </w:r>
      <w:r w:rsidRPr="009C6DD3">
        <w:tab/>
      </w:r>
      <w:r w:rsidRPr="009C6DD3">
        <w:rPr>
          <w:rFonts w:hint="eastAsia"/>
        </w:rPr>
        <w:t>确定可以由</w:t>
      </w:r>
      <w:r w:rsidRPr="009C6DD3">
        <w:rPr>
          <w:rFonts w:hint="eastAsia"/>
        </w:rPr>
        <w:t>ISCG</w:t>
      </w:r>
      <w:r w:rsidRPr="009C6DD3">
        <w:rPr>
          <w:rFonts w:hint="eastAsia"/>
        </w:rPr>
        <w:t>联合研究解决的潜在共同关心的议题，以加强各部门之间的协作与合作；</w:t>
      </w:r>
    </w:p>
    <w:p w14:paraId="756A7245" w14:textId="77777777" w:rsidR="0090748A" w:rsidRPr="009C6DD3" w:rsidRDefault="0090748A" w:rsidP="0090748A">
      <w:pPr>
        <w:pStyle w:val="Normalnoindent"/>
        <w:rPr>
          <w:rFonts w:cs="Calibri"/>
          <w:szCs w:val="24"/>
        </w:rPr>
      </w:pPr>
      <w:r w:rsidRPr="009C6DD3">
        <w:t>2</w:t>
      </w:r>
      <w:r w:rsidRPr="009C6DD3">
        <w:tab/>
      </w:r>
      <w:r w:rsidRPr="009C6DD3">
        <w:rPr>
          <w:rFonts w:hint="eastAsia"/>
        </w:rPr>
        <w:t>通过联络活动和成立跨部门报告人组或跨部门信函通信组，继续与其他部门的研究组开展联合讨论，以进一步探讨互补性事宜；</w:t>
      </w:r>
    </w:p>
    <w:p w14:paraId="0FAEBC54" w14:textId="77777777" w:rsidR="0090748A" w:rsidRPr="009C6DD3" w:rsidRDefault="0090748A" w:rsidP="0090748A">
      <w:pPr>
        <w:pStyle w:val="Normalnoindent"/>
      </w:pPr>
      <w:r w:rsidRPr="009C6DD3">
        <w:t>3</w:t>
      </w:r>
      <w:r w:rsidRPr="009C6DD3">
        <w:tab/>
      </w:r>
      <w:r w:rsidRPr="009C6DD3">
        <w:rPr>
          <w:rFonts w:hint="eastAsia"/>
        </w:rPr>
        <w:t>继续与其他两个部门的研究组合作，以避免重复工作并主动利用这两个部门研究组取得的研究成果，</w:t>
      </w:r>
    </w:p>
    <w:p w14:paraId="3D7B8E59" w14:textId="77777777" w:rsidR="0090748A" w:rsidRPr="009C6DD3" w:rsidRDefault="0090748A" w:rsidP="0090748A">
      <w:pPr>
        <w:pStyle w:val="Call"/>
      </w:pPr>
      <w:r w:rsidRPr="009C6DD3">
        <w:rPr>
          <w:rFonts w:hint="eastAsia"/>
        </w:rPr>
        <w:t>请成员国和部门成员</w:t>
      </w:r>
    </w:p>
    <w:p w14:paraId="4810D023" w14:textId="77777777" w:rsidR="0090748A" w:rsidRPr="009C6DD3" w:rsidRDefault="0090748A" w:rsidP="0090748A">
      <w:pPr>
        <w:pStyle w:val="Normalnoindent"/>
      </w:pPr>
      <w:r w:rsidRPr="009C6DD3">
        <w:rPr>
          <w:rFonts w:hint="eastAsia"/>
        </w:rPr>
        <w:t>1</w:t>
      </w:r>
      <w:r w:rsidRPr="009C6DD3">
        <w:tab/>
      </w:r>
      <w:r w:rsidRPr="009C6DD3">
        <w:rPr>
          <w:rFonts w:hint="eastAsia"/>
        </w:rPr>
        <w:t>支持改善部门间协调的努力，包括积极参加各部门顾问组成立的协调活动小组；</w:t>
      </w:r>
    </w:p>
    <w:p w14:paraId="480DA675" w14:textId="77777777" w:rsidR="0090748A" w:rsidRDefault="0090748A" w:rsidP="0090748A">
      <w:pPr>
        <w:pStyle w:val="Normalnoindent"/>
        <w:rPr>
          <w:szCs w:val="24"/>
          <w:lang w:val="en-US"/>
        </w:rPr>
      </w:pPr>
      <w:r w:rsidRPr="009C6DD3">
        <w:t>2</w:t>
      </w:r>
      <w:r w:rsidRPr="009C6DD3">
        <w:tab/>
      </w:r>
      <w:r w:rsidRPr="009C6DD3">
        <w:rPr>
          <w:rFonts w:hint="eastAsia"/>
          <w:szCs w:val="24"/>
          <w:lang w:val="en-US"/>
        </w:rPr>
        <w:t>积极参与本决议的实施和</w:t>
      </w:r>
      <w:r w:rsidRPr="009C6DD3">
        <w:rPr>
          <w:szCs w:val="24"/>
          <w:lang w:val="en-US"/>
        </w:rPr>
        <w:t>ITU-D</w:t>
      </w:r>
      <w:r w:rsidRPr="009C6DD3">
        <w:rPr>
          <w:rFonts w:hint="eastAsia"/>
          <w:szCs w:val="24"/>
          <w:lang w:val="en-US"/>
        </w:rPr>
        <w:t>的总体活动，特别是提供专家协助发展中国家，分享最佳做法和经验，向情况通报会议、研讨会和讲习班提交文稿，利用必要的专业知识参与</w:t>
      </w:r>
      <w:r w:rsidRPr="009C6DD3">
        <w:rPr>
          <w:szCs w:val="24"/>
          <w:lang w:val="en-US"/>
        </w:rPr>
        <w:t>ITU-D</w:t>
      </w:r>
      <w:r w:rsidRPr="009C6DD3">
        <w:rPr>
          <w:rFonts w:hint="eastAsia"/>
          <w:szCs w:val="24"/>
          <w:lang w:val="en-US"/>
        </w:rPr>
        <w:t>研究组审议的问题并做出贡献，接纳来自发展中国家的实习生</w:t>
      </w:r>
      <w:r w:rsidRPr="009C6DD3">
        <w:rPr>
          <w:szCs w:val="24"/>
          <w:lang w:val="en-US"/>
        </w:rPr>
        <w:t>。</w:t>
      </w:r>
    </w:p>
    <w:p w14:paraId="15CADF72" w14:textId="77777777" w:rsidR="00C53454" w:rsidRDefault="00C53454" w:rsidP="0090748A">
      <w:pPr>
        <w:pStyle w:val="Normalnoindent"/>
        <w:rPr>
          <w:szCs w:val="24"/>
          <w:lang w:val="en-US"/>
        </w:rPr>
      </w:pPr>
    </w:p>
    <w:p w14:paraId="2646285D" w14:textId="77777777" w:rsidR="00C53454" w:rsidRDefault="00C53454" w:rsidP="0090748A">
      <w:pPr>
        <w:pStyle w:val="Normalnoindent"/>
        <w:rPr>
          <w:szCs w:val="24"/>
          <w:lang w:val="en-US"/>
        </w:rPr>
      </w:pPr>
    </w:p>
    <w:p w14:paraId="1917B511" w14:textId="77777777" w:rsidR="00C53454" w:rsidRDefault="00C53454" w:rsidP="0090748A">
      <w:pPr>
        <w:pStyle w:val="Normalnoindent"/>
        <w:rPr>
          <w:szCs w:val="24"/>
          <w:lang w:val="en-US"/>
        </w:rPr>
      </w:pPr>
    </w:p>
    <w:p w14:paraId="728CD53C" w14:textId="77777777" w:rsidR="00C53454" w:rsidRDefault="00C53454" w:rsidP="0090748A">
      <w:pPr>
        <w:pStyle w:val="Normalnoindent"/>
        <w:rPr>
          <w:szCs w:val="24"/>
          <w:lang w:val="en-US"/>
        </w:rPr>
      </w:pPr>
    </w:p>
    <w:p w14:paraId="072E3BCF" w14:textId="77777777" w:rsidR="00C53454" w:rsidRDefault="00C53454" w:rsidP="0090748A">
      <w:pPr>
        <w:pStyle w:val="Normalnoindent"/>
        <w:rPr>
          <w:szCs w:val="24"/>
          <w:lang w:val="en-US"/>
        </w:rPr>
      </w:pPr>
    </w:p>
    <w:p w14:paraId="3EF7E341" w14:textId="77777777" w:rsidR="00C53454" w:rsidRDefault="00C53454" w:rsidP="0090748A">
      <w:pPr>
        <w:pStyle w:val="Normalnoindent"/>
        <w:rPr>
          <w:szCs w:val="24"/>
          <w:lang w:val="en-US"/>
        </w:rPr>
      </w:pPr>
    </w:p>
    <w:p w14:paraId="1F0ED1A2" w14:textId="77777777" w:rsidR="00C53454" w:rsidRDefault="00C53454" w:rsidP="0090748A">
      <w:pPr>
        <w:pStyle w:val="Normalnoindent"/>
        <w:rPr>
          <w:szCs w:val="24"/>
          <w:lang w:val="en-US"/>
        </w:rPr>
      </w:pPr>
    </w:p>
    <w:p w14:paraId="3600B9C9" w14:textId="77777777" w:rsidR="00C53454" w:rsidRDefault="00C53454" w:rsidP="0090748A">
      <w:pPr>
        <w:pStyle w:val="Normalnoindent"/>
        <w:rPr>
          <w:szCs w:val="24"/>
          <w:lang w:val="en-US"/>
        </w:rPr>
      </w:pPr>
    </w:p>
    <w:p w14:paraId="4DAF65E6" w14:textId="77777777" w:rsidR="00C53454" w:rsidRDefault="00C53454" w:rsidP="0090748A">
      <w:pPr>
        <w:pStyle w:val="Normalnoindent"/>
        <w:rPr>
          <w:szCs w:val="24"/>
          <w:lang w:val="en-US"/>
        </w:rPr>
      </w:pPr>
    </w:p>
    <w:p w14:paraId="5A68798A" w14:textId="77777777" w:rsidR="00C53454" w:rsidRDefault="00C53454" w:rsidP="0090748A">
      <w:pPr>
        <w:pStyle w:val="Normalnoindent"/>
        <w:rPr>
          <w:szCs w:val="24"/>
          <w:lang w:val="en-US"/>
        </w:rPr>
      </w:pPr>
    </w:p>
    <w:p w14:paraId="58C2A038" w14:textId="77777777" w:rsidR="00C53454" w:rsidRPr="009C6DD3" w:rsidRDefault="00C53454" w:rsidP="0090748A">
      <w:pPr>
        <w:pStyle w:val="Normalnoindent"/>
      </w:pPr>
    </w:p>
    <w:sectPr w:rsidR="00C53454" w:rsidRPr="009C6DD3" w:rsidSect="00C5345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743A2" w14:textId="77777777" w:rsidR="008D2384" w:rsidRDefault="008D2384">
      <w:r>
        <w:separator/>
      </w:r>
    </w:p>
  </w:endnote>
  <w:endnote w:type="continuationSeparator" w:id="0">
    <w:p w14:paraId="2389F780" w14:textId="77777777" w:rsidR="008D2384" w:rsidRDefault="008D2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7CB30" w14:textId="77777777" w:rsidR="008D2384" w:rsidRDefault="008D2384">
      <w:r>
        <w:rPr>
          <w:b/>
        </w:rPr>
        <w:t>_______________</w:t>
      </w:r>
    </w:p>
  </w:footnote>
  <w:footnote w:type="continuationSeparator" w:id="0">
    <w:p w14:paraId="7807982E" w14:textId="77777777" w:rsidR="008D2384" w:rsidRDefault="008D2384">
      <w:r>
        <w:continuationSeparator/>
      </w:r>
    </w:p>
  </w:footnote>
  <w:footnote w:id="1">
    <w:p w14:paraId="7D76EF86" w14:textId="77777777" w:rsidR="00D933CC" w:rsidRDefault="00D933CC">
      <w:pPr>
        <w:pStyle w:val="FootnoteText"/>
      </w:pPr>
      <w:r>
        <w:rPr>
          <w:rStyle w:val="FootnoteReference"/>
        </w:rPr>
        <w:footnoteRef/>
      </w:r>
      <w:r>
        <w:t xml:space="preserve"> </w:t>
      </w:r>
      <w:r>
        <w:rPr>
          <w:rFonts w:eastAsia="Times New Roman" w:hAnsi="SimSu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859215"/>
      <w:docPartObj>
        <w:docPartGallery w:val="Page Numbers (Top of Page)"/>
        <w:docPartUnique/>
      </w:docPartObj>
    </w:sdtPr>
    <w:sdtEndPr>
      <w:rPr>
        <w:noProof/>
      </w:rPr>
    </w:sdtEndPr>
    <w:sdtContent>
      <w:p w14:paraId="257BBE33" w14:textId="768BC681" w:rsidR="0003723D" w:rsidRDefault="0003723D" w:rsidP="00C5345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59</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715802"/>
      <w:docPartObj>
        <w:docPartGallery w:val="Page Numbers (Top of Page)"/>
        <w:docPartUnique/>
      </w:docPartObj>
    </w:sdtPr>
    <w:sdtEndPr>
      <w:rPr>
        <w:noProof/>
      </w:rPr>
    </w:sdtEndPr>
    <w:sdtContent>
      <w:p w14:paraId="410B78D4" w14:textId="131B9167" w:rsidR="0003723D" w:rsidRPr="00577EE8" w:rsidRDefault="0003723D" w:rsidP="00C5345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59</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3A"/>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2384"/>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3454"/>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C53454"/>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C53454"/>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340</Words>
  <Characters>2032</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第59号决议（2025年，巴库，修订版）加强国际电联三个部门之间在共同关心问题上的协调与合作</vt:lpstr>
    </vt:vector>
  </TitlesOfParts>
  <Manager>General Secretariat - Pool</Manager>
  <Company>ITU</Company>
  <LinksUpToDate>false</LinksUpToDate>
  <CharactersWithSpaces>2358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第59号决议（2025年，巴库，修订版）加强国际电联三个部门之间在共同关心问题上的协调与合作</dc:title>
  <dc:creator/>
  <cp:keywords/>
  <cp:lastModifiedBy>Liu, Sanping</cp:lastModifiedBy>
  <cp:revision>222</cp:revision>
  <cp:lastPrinted>2026-04-24T12:57:00Z</cp:lastPrinted>
  <dcterms:created xsi:type="dcterms:W3CDTF">2026-04-23T11:50:00Z</dcterms:created>
  <dcterms:modified xsi:type="dcterms:W3CDTF">2026-09-23T14:44:00Z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