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9490" w14:textId="77777777" w:rsidR="00FC3FCC" w:rsidRPr="00E17456" w:rsidRDefault="00FC3FCC" w:rsidP="00FC3FCC">
      <w:pPr>
        <w:pStyle w:val="ResNo"/>
        <w:rPr>
          <w:lang w:val="es-ES_tradnl"/>
        </w:rPr>
      </w:pPr>
      <w:bookmarkStart w:id="0" w:name="_Toc116917023"/>
      <w:bookmarkStart w:id="1" w:name="_Toc116918592"/>
      <w:bookmarkStart w:id="2" w:name="_Toc116919083"/>
      <w:bookmarkStart w:id="3" w:name="_Toc116919570"/>
      <w:r w:rsidRPr="00E17456">
        <w:rPr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59</w:t>
      </w:r>
      <w:r w:rsidRPr="00E17456">
        <w:rPr>
          <w:lang w:val="es-ES_tradnl"/>
        </w:rPr>
        <w:t xml:space="preserve"> (Rev. Kigali, 2022)</w:t>
      </w:r>
      <w:bookmarkEnd w:id="0"/>
      <w:bookmarkEnd w:id="1"/>
      <w:bookmarkEnd w:id="2"/>
      <w:bookmarkEnd w:id="3"/>
    </w:p>
    <w:p w14:paraId="5CCA3BAA" w14:textId="77777777" w:rsidR="00FC3FCC" w:rsidRPr="00E17456" w:rsidRDefault="00FC3FCC" w:rsidP="00FC3FCC">
      <w:pPr>
        <w:pStyle w:val="Restitle"/>
        <w:rPr>
          <w:lang w:val="es-ES_tradnl"/>
        </w:rPr>
      </w:pPr>
      <w:bookmarkStart w:id="4" w:name="_Toc116917024"/>
      <w:bookmarkStart w:id="5" w:name="_Toc116918593"/>
      <w:bookmarkStart w:id="6" w:name="_Toc116919084"/>
      <w:bookmarkStart w:id="7" w:name="_Toc116919571"/>
      <w:r w:rsidRPr="00E17456">
        <w:rPr>
          <w:lang w:val="es-ES_tradnl"/>
        </w:rPr>
        <w:t xml:space="preserve">Fortalecimiento de la coordinación y la cooperación </w:t>
      </w:r>
      <w:r w:rsidRPr="00E17456">
        <w:rPr>
          <w:lang w:val="es-ES_tradnl"/>
        </w:rPr>
        <w:br/>
        <w:t xml:space="preserve">entre los tres Sectores en asuntos </w:t>
      </w:r>
      <w:r w:rsidRPr="00E17456">
        <w:rPr>
          <w:lang w:val="es-ES_tradnl"/>
        </w:rPr>
        <w:br/>
        <w:t>de interés mutuo</w:t>
      </w:r>
      <w:bookmarkEnd w:id="4"/>
      <w:bookmarkEnd w:id="5"/>
      <w:bookmarkEnd w:id="6"/>
      <w:bookmarkEnd w:id="7"/>
    </w:p>
    <w:p w14:paraId="555FE390" w14:textId="77777777" w:rsidR="00FC3FCC" w:rsidRPr="00E17456" w:rsidRDefault="00FC3FCC" w:rsidP="00FC3FCC">
      <w:pPr>
        <w:pStyle w:val="Normalaftertitle"/>
        <w:rPr>
          <w:lang w:val="es-ES_tradnl"/>
        </w:rPr>
      </w:pPr>
      <w:r w:rsidRPr="00E17456">
        <w:rPr>
          <w:lang w:val="es-ES_tradnl"/>
        </w:rPr>
        <w:t>La Conferencia Mundial de Desarrollo de las Telecomunicaciones (Kigali, 2022),</w:t>
      </w:r>
    </w:p>
    <w:p w14:paraId="5AAA0059" w14:textId="77777777" w:rsidR="00FC3FCC" w:rsidRPr="00E17456" w:rsidRDefault="00FC3FCC" w:rsidP="00FC3FCC">
      <w:pPr>
        <w:pStyle w:val="Call"/>
        <w:rPr>
          <w:lang w:val="es-ES_tradnl"/>
        </w:rPr>
      </w:pPr>
      <w:r w:rsidRPr="00E17456">
        <w:rPr>
          <w:lang w:val="es-ES_tradnl"/>
        </w:rPr>
        <w:t>recordando</w:t>
      </w:r>
    </w:p>
    <w:p w14:paraId="46DC4BE5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la Resolución 123 (Rev. Dubái, 2018), Reducción de la disparidad entre los países en desarrollo</w:t>
      </w:r>
      <w:r>
        <w:rPr>
          <w:rStyle w:val="FootnoteReference"/>
          <w:lang w:val="es-ES_tradnl"/>
        </w:rPr>
        <w:footnoteReference w:customMarkFollows="1" w:id="1"/>
        <w:t>1</w:t>
      </w:r>
      <w:r w:rsidRPr="00E17456">
        <w:rPr>
          <w:lang w:val="es-ES_tradnl"/>
        </w:rPr>
        <w:t xml:space="preserve"> y los desarrollados en materia de normalización, de la Conferencia de Plenipotenciarios;</w:t>
      </w:r>
    </w:p>
    <w:p w14:paraId="0C5869CF" w14:textId="77777777" w:rsidR="00FC3FCC" w:rsidRPr="00E17456" w:rsidRDefault="00FC3FCC" w:rsidP="00FC3FCC">
      <w:pPr>
        <w:rPr>
          <w:szCs w:val="24"/>
          <w:lang w:val="es-ES_tradnl"/>
        </w:rPr>
      </w:pPr>
      <w:r w:rsidRPr="00E17456">
        <w:rPr>
          <w:i/>
          <w:iCs/>
          <w:szCs w:val="24"/>
          <w:lang w:val="es-ES_tradnl"/>
        </w:rPr>
        <w:t>b)</w:t>
      </w:r>
      <w:r w:rsidRPr="00E17456">
        <w:rPr>
          <w:i/>
          <w:iCs/>
          <w:szCs w:val="24"/>
          <w:lang w:val="es-ES_tradnl"/>
        </w:rPr>
        <w:tab/>
      </w:r>
      <w:r w:rsidRPr="00E17456">
        <w:rPr>
          <w:szCs w:val="24"/>
          <w:lang w:val="es-ES_tradnl"/>
        </w:rPr>
        <w:t xml:space="preserve">la </w:t>
      </w:r>
      <w:r w:rsidRPr="00E17456">
        <w:rPr>
          <w:lang w:val="es-ES_tradnl"/>
        </w:rPr>
        <w:t>Resolución 191 (</w:t>
      </w:r>
      <w:r w:rsidRPr="00E17456">
        <w:rPr>
          <w:szCs w:val="24"/>
          <w:lang w:val="es-ES_tradnl"/>
        </w:rPr>
        <w:t xml:space="preserve">Rev. </w:t>
      </w:r>
      <w:r w:rsidRPr="00E17456">
        <w:rPr>
          <w:lang w:val="es-ES_tradnl"/>
        </w:rPr>
        <w:t>Dubái, 2018), Estrategia de coordinación de los trabajos de los tres Sectores de la Unión – el Sector de Radiocomunicaciones de la UIT (UIT-R), el Sector de Normalización de las Telecomunicaciones de la UIT (UIT-T) y el Sector de Desarrollo de las Telecomunicaciones de la UIT (UIT-D –, de la Conferencia de Plenipotenciarios;</w:t>
      </w:r>
    </w:p>
    <w:p w14:paraId="36DFE6F8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la Resolución 5 (Rev. Kigali, 2022), Aumento de la participación de los países en desarrollo en las actividades de la Unión, de la presente Conferencia;</w:t>
      </w:r>
    </w:p>
    <w:p w14:paraId="46AC777C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la Resolución UIT-R 7-4 (Rev. Sharm el-Sheikh, 2019), Desarrollo de las telecomunicaciones, incluida la coordinación y colaboración con el UIT-D, de la Asamblea de Radiocomunicaciones;</w:t>
      </w:r>
    </w:p>
    <w:p w14:paraId="61709D25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lang w:val="es-ES_tradnl"/>
        </w:rPr>
        <w:tab/>
        <w:t>la Resolución 44 (Rev. Ginebra, 2022), Reducción de la brecha de normalización entre los países en desarrollo y los desarrollados, de la Asamblea Mundial de Normalización de las Telecomunicaciones (AMNT);</w:t>
      </w:r>
    </w:p>
    <w:p w14:paraId="3849911F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szCs w:val="24"/>
          <w:lang w:val="es-ES_tradnl"/>
        </w:rPr>
        <w:t>f)</w:t>
      </w:r>
      <w:r w:rsidRPr="00E17456">
        <w:rPr>
          <w:szCs w:val="24"/>
          <w:lang w:val="es-ES_tradnl"/>
        </w:rPr>
        <w:tab/>
      </w:r>
      <w:r w:rsidRPr="00E17456">
        <w:rPr>
          <w:lang w:val="es-ES_tradnl"/>
        </w:rPr>
        <w:t>la Resolución 18 (Rev. Ginebra, 2022), Principios y procedimientos para la asignación de trabajos y el fortalecimiento de la coordinación y la cooperación entre los tres Sectores de la UIT, de la AMNT,</w:t>
      </w:r>
    </w:p>
    <w:p w14:paraId="795135B0" w14:textId="77777777" w:rsidR="00FC3FCC" w:rsidRPr="00E17456" w:rsidRDefault="00FC3FCC" w:rsidP="00FC3FCC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3B85A290" w14:textId="77777777" w:rsidR="00FC3FCC" w:rsidRPr="00E17456" w:rsidRDefault="00FC3FCC" w:rsidP="00FC3FCC">
      <w:pPr>
        <w:pStyle w:val="Call"/>
        <w:rPr>
          <w:lang w:val="es-ES_tradnl"/>
        </w:rPr>
      </w:pPr>
      <w:r w:rsidRPr="00E17456">
        <w:rPr>
          <w:lang w:val="es-ES_tradnl"/>
        </w:rPr>
        <w:lastRenderedPageBreak/>
        <w:t>considerando</w:t>
      </w:r>
    </w:p>
    <w:p w14:paraId="10BA5172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un principio básico de la colaboración y la cooperación entre los tres Sectores de la UIT es la necesidad de evitar la duplicación de las actividades de los Sectores y de velar por que el trabajo se efectúe de manera eficiente y eficaz, respetando las funciones específicas definidas en la Constitución y el Convenio de la UIT para cada Sector;</w:t>
      </w:r>
    </w:p>
    <w:p w14:paraId="56D341CD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 xml:space="preserve">que se ha creado el mecanismo de cooperación a escala de las secretarías de los tres Sectores y de la Secretaría General de la Unión a fin de velar por la estrecha cooperación entre las secretarías y con las secretarías de entidades y organizaciones externas que se ocupan de cuestiones prioritarias fundamentales, por </w:t>
      </w:r>
      <w:proofErr w:type="gramStart"/>
      <w:r w:rsidRPr="00E17456">
        <w:rPr>
          <w:lang w:val="es-ES_tradnl"/>
        </w:rPr>
        <w:t>ejemplo</w:t>
      </w:r>
      <w:proofErr w:type="gramEnd"/>
      <w:r w:rsidRPr="00E17456">
        <w:rPr>
          <w:lang w:val="es-ES_tradnl"/>
        </w:rPr>
        <w:t xml:space="preserve"> las telecomunicaciones de emergencia y el cambio climático;</w:t>
      </w:r>
    </w:p>
    <w:p w14:paraId="019048F1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la interacción y coordinación en la organización conjunta de seminarios, talleres, foros, simposios, etc., han producido resultados positivos en términos de ahorro de recursos financieros y humanos,</w:t>
      </w:r>
    </w:p>
    <w:p w14:paraId="174AF582" w14:textId="77777777" w:rsidR="00FC3FCC" w:rsidRPr="00E17456" w:rsidRDefault="00FC3FCC" w:rsidP="00FC3FCC">
      <w:pPr>
        <w:pStyle w:val="Call"/>
        <w:rPr>
          <w:lang w:val="es-ES_tradnl"/>
        </w:rPr>
      </w:pPr>
      <w:r w:rsidRPr="00E17456">
        <w:rPr>
          <w:lang w:val="es-ES_tradnl"/>
        </w:rPr>
        <w:t>teniendo en cuenta</w:t>
      </w:r>
    </w:p>
    <w:p w14:paraId="31B9394C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la creciente esfera de estudios comunes a los tres Sectores y, a este respecto, la necesidad de coordinación y cooperación entre los mismos;</w:t>
      </w:r>
    </w:p>
    <w:p w14:paraId="29D7D903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el número creciente de cuestiones de interés e inquietudes comunes para los tres Sectores;</w:t>
      </w:r>
    </w:p>
    <w:p w14:paraId="58AD135B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el debate en curso entre representantes de los tres Grupos Asesores de los Sectores sobre las modalidades de mejora de la cooperación entre los Sectores;</w:t>
      </w:r>
    </w:p>
    <w:p w14:paraId="02CC624A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la necesidad de propiciar una integración eficaz y efectiva entre los Sectores;</w:t>
      </w:r>
    </w:p>
    <w:p w14:paraId="75E372F7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que el Grupo de Coordinación Intersectorial sobre Asuntos de Interés Mutuo (GCIS), compuesto por representantes de los tres Grupos Asesores, identifique los temas de interés común y los mecanismos para mejorar la colaboración y la cooperación entre los Sectores;</w:t>
      </w:r>
    </w:p>
    <w:p w14:paraId="31BE75E1" w14:textId="77777777" w:rsidR="00FC3FCC" w:rsidRPr="00E17456" w:rsidRDefault="00FC3FCC" w:rsidP="00FC3FCC">
      <w:pPr>
        <w:rPr>
          <w:lang w:val="es-ES_tradnl"/>
        </w:rPr>
      </w:pPr>
      <w:r w:rsidRPr="00E17456">
        <w:rPr>
          <w:i/>
          <w:iCs/>
          <w:lang w:val="es-ES_tradnl"/>
        </w:rPr>
        <w:t>f)</w:t>
      </w:r>
      <w:r w:rsidRPr="00E17456">
        <w:rPr>
          <w:lang w:val="es-ES_tradnl"/>
        </w:rPr>
        <w:tab/>
        <w:t xml:space="preserve">que el </w:t>
      </w:r>
      <w:proofErr w:type="gramStart"/>
      <w:r w:rsidRPr="00E17456">
        <w:rPr>
          <w:lang w:val="es-ES_tradnl"/>
        </w:rPr>
        <w:t>Secretario General</w:t>
      </w:r>
      <w:proofErr w:type="gramEnd"/>
      <w:r w:rsidRPr="00E17456">
        <w:rPr>
          <w:lang w:val="es-ES_tradnl"/>
        </w:rPr>
        <w:t xml:space="preserve"> ha creado el Grupo Especial de Coordinación Intersectorial (GE-CIS), compuesto por altos cargos de la Secretaría General, la Oficina de Desarrollo de las Telecomunicaciones (BDT), la Oficina de Radiocomunicaciones (BR) y la Oficina de Normalización de las Telecomunicaciones (TSB), con el fin de estudiar opciones para mejorar la cooperación y la coordinación a nivel de la Secretaría,</w:t>
      </w:r>
    </w:p>
    <w:p w14:paraId="72BD04CA" w14:textId="77777777" w:rsidR="00FC3FCC" w:rsidRPr="00E17456" w:rsidRDefault="00FC3FCC" w:rsidP="00FC3FCC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586DA13B" w14:textId="77777777" w:rsidR="00FC3FCC" w:rsidRPr="00E17456" w:rsidRDefault="00FC3FCC" w:rsidP="00FC3FCC">
      <w:pPr>
        <w:pStyle w:val="Call"/>
        <w:rPr>
          <w:lang w:val="es-ES_tradnl"/>
        </w:rPr>
      </w:pPr>
      <w:r w:rsidRPr="00E17456">
        <w:rPr>
          <w:lang w:val="es-ES_tradnl"/>
        </w:rPr>
        <w:lastRenderedPageBreak/>
        <w:t>resuelve</w:t>
      </w:r>
    </w:p>
    <w:p w14:paraId="00CF4B59" w14:textId="77777777" w:rsidR="00FC3FCC" w:rsidRPr="00E17456" w:rsidRDefault="00FC3FCC" w:rsidP="00FC3FCC">
      <w:pPr>
        <w:rPr>
          <w:lang w:val="es-ES_tradnl"/>
        </w:rPr>
      </w:pPr>
      <w:r w:rsidRPr="00E17456">
        <w:rPr>
          <w:lang w:val="es-ES_tradnl"/>
        </w:rPr>
        <w:t xml:space="preserve">que el Grupo Asesor de Desarrollo de las Telecomunicaciones y </w:t>
      </w:r>
      <w:r>
        <w:rPr>
          <w:lang w:val="es-ES_tradnl"/>
        </w:rPr>
        <w:t>el</w:t>
      </w:r>
      <w:r w:rsidRPr="00E17456">
        <w:rPr>
          <w:lang w:val="es-ES_tradnl"/>
        </w:rPr>
        <w:t xml:space="preserve"> </w:t>
      </w:r>
      <w:proofErr w:type="gramStart"/>
      <w:r w:rsidRPr="00E17456">
        <w:rPr>
          <w:lang w:val="es-ES_tradnl"/>
        </w:rPr>
        <w:t>Director</w:t>
      </w:r>
      <w:proofErr w:type="gramEnd"/>
      <w:r w:rsidRPr="00E17456">
        <w:rPr>
          <w:lang w:val="es-ES_tradnl"/>
        </w:rPr>
        <w:t xml:space="preserve"> de la BDT sigan cooperando activamente con el Grupo Asesor de Radiocomunicaciones y el Director de la BR y con el Grupo Asesor de Normalización de las Telecomunicaciones y el Director de la TSB, conforme a lo solicitado en la Resolución 191 (Rev. Dubái, 2018),</w:t>
      </w:r>
    </w:p>
    <w:p w14:paraId="2B8A52ED" w14:textId="77777777" w:rsidR="00FC3FCC" w:rsidRPr="00E17456" w:rsidRDefault="00FC3FCC" w:rsidP="00FC3FCC">
      <w:pPr>
        <w:pStyle w:val="Call"/>
        <w:rPr>
          <w:lang w:val="es-ES_tradnl"/>
        </w:rPr>
      </w:pPr>
      <w:r w:rsidRPr="00E17456">
        <w:rPr>
          <w:lang w:val="es-ES_tradnl"/>
        </w:rPr>
        <w:t>invita al Grupo Asesor de Desarrollo de las Telecomunicaciones, en colaboración con el Grupo Asesor de Radiocomunicaciones y el Grupo Asesor de Normalización de las Telecomunicaciones</w:t>
      </w:r>
    </w:p>
    <w:p w14:paraId="749C0D69" w14:textId="77777777" w:rsidR="00FC3FCC" w:rsidRPr="00E17456" w:rsidRDefault="00FC3FCC" w:rsidP="00FC3FCC">
      <w:pPr>
        <w:rPr>
          <w:lang w:val="es-ES_tradnl"/>
        </w:rPr>
      </w:pPr>
      <w:r w:rsidRPr="00E17456">
        <w:rPr>
          <w:lang w:val="es-ES_tradnl"/>
        </w:rPr>
        <w:t>a contribuir a la identificación de asuntos de interés común para los tres Sectores o, en el plano bilateral, de interés común para el UIT-D y el UIT-R o el UIT-T, y a definir los mecanismos oportunos para fortalecer la cooperación y las actividades conjuntas entre los tres Sectores o con cada Sector, en asuntos de interés mutuo, prestando especial atención a los intereses de los países en desarrollo, incluso mediante la participación en el GCIS,</w:t>
      </w:r>
    </w:p>
    <w:p w14:paraId="21BB6D25" w14:textId="77777777" w:rsidR="00FC3FCC" w:rsidRPr="00E17456" w:rsidRDefault="00FC3FCC" w:rsidP="00FC3FCC">
      <w:pPr>
        <w:pStyle w:val="Call"/>
        <w:rPr>
          <w:lang w:val="es-ES_tradnl"/>
        </w:rPr>
      </w:pPr>
      <w:r w:rsidRPr="00E17456">
        <w:rPr>
          <w:lang w:val="es-ES_tradnl"/>
        </w:rPr>
        <w:t xml:space="preserve">invita al </w:t>
      </w:r>
      <w:proofErr w:type="gramStart"/>
      <w:r w:rsidRPr="00E17456">
        <w:rPr>
          <w:lang w:val="es-ES_tradnl"/>
        </w:rPr>
        <w:t>Director</w:t>
      </w:r>
      <w:proofErr w:type="gramEnd"/>
      <w:r w:rsidRPr="00E17456">
        <w:rPr>
          <w:lang w:val="es-ES_tradnl"/>
        </w:rPr>
        <w:t xml:space="preserve"> de la Oficina de Desarrollo de las Telecomunicaciones, en colaboración con el Secretario General, el Director de la Oficina de Radiocomunicaciones y el Director de la Oficina de Normalización de las Telecomunicaciones</w:t>
      </w:r>
    </w:p>
    <w:p w14:paraId="2E56E734" w14:textId="77777777" w:rsidR="00FC3FCC" w:rsidRPr="00E17456" w:rsidRDefault="00FC3FCC" w:rsidP="00FC3FCC">
      <w:pPr>
        <w:rPr>
          <w:lang w:val="es-ES_tradnl"/>
        </w:rPr>
      </w:pPr>
      <w:r w:rsidRPr="00E17456">
        <w:rPr>
          <w:lang w:val="es-ES_tradnl"/>
        </w:rPr>
        <w:t>a seguir creando mecanismos de cooperación a nivel de las secretarías sobre asuntos de interés mutuo para los tres Sectores,</w:t>
      </w:r>
    </w:p>
    <w:p w14:paraId="56F089A9" w14:textId="77777777" w:rsidR="00FC3FCC" w:rsidRPr="00E17456" w:rsidRDefault="00FC3FCC" w:rsidP="00FC3FCC">
      <w:pPr>
        <w:pStyle w:val="Call"/>
        <w:rPr>
          <w:lang w:val="es-ES_tradnl"/>
        </w:rPr>
      </w:pPr>
      <w:r w:rsidRPr="00E17456">
        <w:rPr>
          <w:lang w:val="es-ES_tradnl"/>
        </w:rPr>
        <w:t>invita a los Estados Miembros y a los Miembros de Sector</w:t>
      </w:r>
    </w:p>
    <w:p w14:paraId="64DDF514" w14:textId="77777777" w:rsidR="00FC3FCC" w:rsidRPr="00E17456" w:rsidRDefault="00FC3FCC" w:rsidP="00FC3FCC">
      <w:pPr>
        <w:rPr>
          <w:lang w:val="es-ES_tradnl"/>
        </w:rPr>
      </w:pPr>
      <w:r w:rsidRPr="00E17456">
        <w:rPr>
          <w:lang w:val="es-ES_tradnl"/>
        </w:rPr>
        <w:t>a apoyar los esfuerzos destinados a mejorar la coordinación intersectorial,</w:t>
      </w:r>
    </w:p>
    <w:p w14:paraId="320FF48E" w14:textId="77777777" w:rsidR="00FC3FCC" w:rsidRPr="00E17456" w:rsidRDefault="00FC3FCC" w:rsidP="00FC3FCC">
      <w:pPr>
        <w:pStyle w:val="Call"/>
        <w:rPr>
          <w:iCs/>
          <w:lang w:val="es-ES_tradnl"/>
        </w:rPr>
      </w:pPr>
      <w:r w:rsidRPr="00E17456">
        <w:rPr>
          <w:lang w:val="es-ES_tradnl"/>
        </w:rPr>
        <w:t>invita</w:t>
      </w:r>
      <w:r w:rsidRPr="00E17456">
        <w:rPr>
          <w:iCs/>
          <w:lang w:val="es-ES_tradnl"/>
        </w:rPr>
        <w:t xml:space="preserve"> al </w:t>
      </w:r>
      <w:proofErr w:type="gramStart"/>
      <w:r w:rsidRPr="00E17456">
        <w:rPr>
          <w:iCs/>
          <w:lang w:val="es-ES_tradnl"/>
        </w:rPr>
        <w:t>Director</w:t>
      </w:r>
      <w:proofErr w:type="gramEnd"/>
      <w:r w:rsidRPr="00E17456">
        <w:rPr>
          <w:iCs/>
          <w:lang w:val="es-ES_tradnl"/>
        </w:rPr>
        <w:t xml:space="preserve"> de la Oficina de Desarrollo de las Telecomunicaciones, el Director de la Oficina de Radiocomunicaciones y el Director de la Oficina de Normalización de las Telecomunicaciones</w:t>
      </w:r>
    </w:p>
    <w:p w14:paraId="2925C1D5" w14:textId="77777777" w:rsidR="00FC3FCC" w:rsidRPr="00E17456" w:rsidRDefault="00FC3FCC" w:rsidP="00FC3FCC">
      <w:pPr>
        <w:rPr>
          <w:lang w:val="es-ES_tradnl"/>
        </w:rPr>
      </w:pPr>
      <w:r w:rsidRPr="00E17456">
        <w:rPr>
          <w:lang w:val="es-ES_tradnl"/>
        </w:rPr>
        <w:t>a informar a los respectivos Grupos Asesores de los Sectores acerca de las actividades de coordinación, incluso participando activamente en los grupos creados por esos Grupos Asesores,</w:t>
      </w:r>
    </w:p>
    <w:p w14:paraId="2889BE7B" w14:textId="77777777" w:rsidR="00FC3FCC" w:rsidRPr="00E17456" w:rsidRDefault="00FC3FCC" w:rsidP="00FC3FCC">
      <w:pPr>
        <w:pStyle w:val="Call"/>
        <w:rPr>
          <w:lang w:val="es-ES_tradnl"/>
        </w:rPr>
      </w:pPr>
      <w:r w:rsidRPr="00E17456">
        <w:rPr>
          <w:lang w:val="es-ES_tradnl"/>
        </w:rPr>
        <w:t xml:space="preserve">encarga al </w:t>
      </w:r>
      <w:proofErr w:type="gramStart"/>
      <w:r w:rsidRPr="00E17456">
        <w:rPr>
          <w:lang w:val="es-ES_tradnl"/>
        </w:rPr>
        <w:t>Director</w:t>
      </w:r>
      <w:proofErr w:type="gramEnd"/>
      <w:r w:rsidRPr="00E17456">
        <w:rPr>
          <w:lang w:val="es-ES_tradnl"/>
        </w:rPr>
        <w:t xml:space="preserve"> de la Oficina de Desarrollo de las Telecomunicaciones</w:t>
      </w:r>
    </w:p>
    <w:p w14:paraId="475D2DB4" w14:textId="77777777" w:rsidR="00FC3FCC" w:rsidRPr="00E17456" w:rsidRDefault="00FC3FCC" w:rsidP="00FC3FCC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 xml:space="preserve">que, en colaboración con el </w:t>
      </w:r>
      <w:proofErr w:type="gramStart"/>
      <w:r w:rsidRPr="00E17456">
        <w:rPr>
          <w:lang w:val="es-ES_tradnl"/>
        </w:rPr>
        <w:t>Director</w:t>
      </w:r>
      <w:proofErr w:type="gramEnd"/>
      <w:r w:rsidRPr="00E17456">
        <w:rPr>
          <w:lang w:val="es-ES_tradnl"/>
        </w:rPr>
        <w:t xml:space="preserve"> de la TSB y el Director de la BR, presente un informe anual a las Comisiones de Estudio del UIT-D sobre los últimos progresos de las actividades de las Comisiones de Estudio del UIT-T y el UIT-R;</w:t>
      </w:r>
    </w:p>
    <w:p w14:paraId="5CAF34FF" w14:textId="77777777" w:rsidR="00FC3FCC" w:rsidRPr="00E17456" w:rsidRDefault="00FC3FCC" w:rsidP="00FC3FCC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4890F5F9" w14:textId="77777777" w:rsidR="00FC3FCC" w:rsidRPr="00E17456" w:rsidRDefault="00FC3FCC" w:rsidP="00FC3FCC">
      <w:pPr>
        <w:rPr>
          <w:lang w:val="es-ES_tradnl"/>
        </w:rPr>
      </w:pPr>
      <w:r w:rsidRPr="00E17456">
        <w:rPr>
          <w:lang w:val="es-ES_tradnl"/>
        </w:rPr>
        <w:lastRenderedPageBreak/>
        <w:t>2</w:t>
      </w:r>
      <w:r w:rsidRPr="00E17456">
        <w:rPr>
          <w:lang w:val="es-ES_tradnl"/>
        </w:rPr>
        <w:tab/>
        <w:t>que siga mejorando la cooperación bilateral con el UIT-R y el UIT-T, según corresponda;</w:t>
      </w:r>
    </w:p>
    <w:p w14:paraId="7C393B67" w14:textId="77777777" w:rsidR="00FC3FCC" w:rsidRPr="00E17456" w:rsidRDefault="00FC3FCC" w:rsidP="00FC3FCC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que informe anualmente al GADT sobre la aplicación de esta Resolución,</w:t>
      </w:r>
    </w:p>
    <w:p w14:paraId="3AA8D87A" w14:textId="77777777" w:rsidR="00FC3FCC" w:rsidRPr="00E17456" w:rsidRDefault="00FC3FCC" w:rsidP="00FC3FCC">
      <w:pPr>
        <w:pStyle w:val="Call"/>
        <w:rPr>
          <w:lang w:val="es-ES_tradnl"/>
        </w:rPr>
      </w:pPr>
      <w:r w:rsidRPr="00E17456">
        <w:rPr>
          <w:lang w:val="es-ES_tradnl"/>
        </w:rPr>
        <w:t>encarga a las Comisiones de Estudio del Sector de Desarrollo de las Telecomunicaciones de la UIT</w:t>
      </w:r>
    </w:p>
    <w:p w14:paraId="7A85961C" w14:textId="77777777" w:rsidR="00FC3FCC" w:rsidRPr="00E17456" w:rsidRDefault="00FC3FCC" w:rsidP="00FC3FCC">
      <w:pPr>
        <w:rPr>
          <w:lang w:val="es-ES_tradnl"/>
        </w:rPr>
      </w:pPr>
      <w:r w:rsidRPr="00E17456">
        <w:rPr>
          <w:lang w:val="es-ES_tradnl"/>
        </w:rPr>
        <w:t>que sigan cooperando con las Comisiones de Estudio de los otros dos Sectores, a fin de evitar la duplicación de esfuerzos y beneficiarse activamente de los resultados de la labor realizada por las Comisiones de Estudio de esos dos Sectores.</w:t>
      </w:r>
    </w:p>
    <w:p w14:paraId="71DCAF8C" w14:textId="77777777" w:rsidR="00FC3FCC" w:rsidRPr="00E17456" w:rsidRDefault="00FC3FCC" w:rsidP="00FC3FCC">
      <w:pPr>
        <w:pStyle w:val="Reasons"/>
        <w:rPr>
          <w:lang w:val="es-ES_tradnl"/>
        </w:rPr>
      </w:pPr>
    </w:p>
    <w:p w14:paraId="3A4785F8" w14:textId="77777777" w:rsidR="00FC3FCC" w:rsidRPr="00E17456" w:rsidRDefault="00FC3FCC" w:rsidP="00FC3FCC">
      <w:pPr>
        <w:pStyle w:val="Reasons"/>
        <w:rPr>
          <w:lang w:val="es-ES_tradnl"/>
        </w:rPr>
      </w:pPr>
    </w:p>
    <w:p w14:paraId="64EB5B86" w14:textId="77777777" w:rsidR="00FC3FCC" w:rsidRPr="00E17456" w:rsidRDefault="00FC3FCC" w:rsidP="00FC3FCC">
      <w:pPr>
        <w:pStyle w:val="Reasons"/>
        <w:rPr>
          <w:lang w:val="es-ES_tradnl"/>
        </w:rPr>
      </w:pPr>
    </w:p>
    <w:p w14:paraId="34231B1E" w14:textId="77777777" w:rsidR="00FC3FCC" w:rsidRDefault="00FC3FCC" w:rsidP="00FC3FCC">
      <w:pPr>
        <w:pStyle w:val="Reasons"/>
        <w:rPr>
          <w:lang w:val="es-ES_tradnl"/>
        </w:rPr>
      </w:pPr>
    </w:p>
    <w:p w14:paraId="41D415E8" w14:textId="77777777" w:rsidR="00FC3FCC" w:rsidRDefault="00FC3FCC" w:rsidP="00FC3FCC">
      <w:pPr>
        <w:pStyle w:val="Reasons"/>
        <w:rPr>
          <w:lang w:val="es-ES_tradnl"/>
        </w:rPr>
      </w:pPr>
    </w:p>
    <w:p w14:paraId="00592E1E" w14:textId="77777777" w:rsidR="00FC3FCC" w:rsidRDefault="00FC3FCC" w:rsidP="00FC3FCC">
      <w:pPr>
        <w:pStyle w:val="Reasons"/>
        <w:rPr>
          <w:lang w:val="es-ES_tradnl"/>
        </w:rPr>
      </w:pPr>
    </w:p>
    <w:p w14:paraId="784AD74A" w14:textId="77777777" w:rsidR="00FC3FCC" w:rsidRDefault="00FC3FCC" w:rsidP="00FC3FCC">
      <w:pPr>
        <w:pStyle w:val="Reasons"/>
        <w:rPr>
          <w:lang w:val="es-ES_tradnl"/>
        </w:rPr>
      </w:pPr>
    </w:p>
    <w:p w14:paraId="6A321A08" w14:textId="77777777" w:rsidR="00FC3FCC" w:rsidRDefault="00FC3FCC" w:rsidP="00FC3FCC">
      <w:pPr>
        <w:pStyle w:val="Reasons"/>
        <w:rPr>
          <w:lang w:val="es-ES_tradnl"/>
        </w:rPr>
      </w:pPr>
    </w:p>
    <w:p w14:paraId="1F1D9F91" w14:textId="77777777" w:rsidR="00FC3FCC" w:rsidRDefault="00FC3FCC" w:rsidP="00FC3FCC">
      <w:pPr>
        <w:pStyle w:val="Reasons"/>
        <w:rPr>
          <w:lang w:val="es-ES_tradnl"/>
        </w:rPr>
      </w:pPr>
    </w:p>
    <w:p w14:paraId="4E7F3E6A" w14:textId="77777777" w:rsidR="00FC3FCC" w:rsidRPr="00E17456" w:rsidRDefault="00FC3FCC" w:rsidP="00FC3FCC">
      <w:pPr>
        <w:pStyle w:val="Reasons"/>
        <w:rPr>
          <w:lang w:val="es-ES_tradnl"/>
        </w:rPr>
      </w:pPr>
    </w:p>
    <w:p w14:paraId="028A3FF4" w14:textId="77777777" w:rsidR="00FC3FCC" w:rsidRPr="00E17456" w:rsidRDefault="00FC3FCC" w:rsidP="00FC3FCC">
      <w:pPr>
        <w:pStyle w:val="Reasons"/>
        <w:rPr>
          <w:lang w:val="es-ES_tradnl"/>
        </w:rPr>
      </w:pPr>
    </w:p>
    <w:p w14:paraId="0CC42625" w14:textId="77777777" w:rsidR="00FC3FCC" w:rsidRPr="00E17456" w:rsidRDefault="00FC3FCC" w:rsidP="00FC3FCC">
      <w:pPr>
        <w:pStyle w:val="Reasons"/>
        <w:rPr>
          <w:lang w:val="es-ES_tradnl"/>
        </w:rPr>
      </w:pPr>
    </w:p>
    <w:p w14:paraId="5BF81D41" w14:textId="77777777" w:rsidR="00FC3FCC" w:rsidRPr="00E17456" w:rsidRDefault="00FC3FCC" w:rsidP="00FC3FCC">
      <w:pPr>
        <w:pStyle w:val="Reasons"/>
        <w:rPr>
          <w:lang w:val="es-ES_tradnl"/>
        </w:rPr>
      </w:pPr>
    </w:p>
    <w:p w14:paraId="58871FD8" w14:textId="77777777" w:rsidR="00FC3FCC" w:rsidRPr="00E17456" w:rsidRDefault="00FC3FCC" w:rsidP="00FC3FCC">
      <w:pPr>
        <w:pStyle w:val="Reasons"/>
        <w:rPr>
          <w:lang w:val="es-ES_tradnl"/>
        </w:rPr>
      </w:pPr>
    </w:p>
    <w:p w14:paraId="4346597D" w14:textId="77777777" w:rsidR="00201FFB" w:rsidRPr="00FC3FCC" w:rsidRDefault="00201FFB">
      <w:pPr>
        <w:rPr>
          <w:lang w:val="es-ES_tradnl"/>
        </w:rPr>
      </w:pPr>
    </w:p>
    <w:sectPr w:rsidR="00201FFB" w:rsidRPr="00FC3FCC" w:rsidSect="005E7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A803" w14:textId="77777777" w:rsidR="00FC3FCC" w:rsidRDefault="00FC3FCC" w:rsidP="00FC3FCC">
      <w:pPr>
        <w:spacing w:before="0"/>
      </w:pPr>
      <w:r>
        <w:separator/>
      </w:r>
    </w:p>
  </w:endnote>
  <w:endnote w:type="continuationSeparator" w:id="0">
    <w:p w14:paraId="0C60845D" w14:textId="77777777" w:rsidR="00FC3FCC" w:rsidRDefault="00FC3FCC" w:rsidP="00FC3F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E0CC" w14:textId="77777777" w:rsidR="005E70F7" w:rsidRDefault="005E7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33DB" w14:textId="77777777" w:rsidR="005E70F7" w:rsidRDefault="005E7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3A22" w14:textId="77777777" w:rsidR="005E70F7" w:rsidRDefault="005E7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4E36" w14:textId="77777777" w:rsidR="00FC3FCC" w:rsidRDefault="00FC3FCC" w:rsidP="00FC3FCC">
      <w:pPr>
        <w:spacing w:before="0"/>
      </w:pPr>
      <w:r>
        <w:separator/>
      </w:r>
    </w:p>
  </w:footnote>
  <w:footnote w:type="continuationSeparator" w:id="0">
    <w:p w14:paraId="22CEF485" w14:textId="77777777" w:rsidR="00FC3FCC" w:rsidRDefault="00FC3FCC" w:rsidP="00FC3FCC">
      <w:pPr>
        <w:spacing w:before="0"/>
      </w:pPr>
      <w:r>
        <w:continuationSeparator/>
      </w:r>
    </w:p>
  </w:footnote>
  <w:footnote w:id="1">
    <w:p w14:paraId="52DD78D6" w14:textId="77777777" w:rsidR="00FC3FCC" w:rsidRPr="00EF1565" w:rsidRDefault="00FC3FCC" w:rsidP="00FC3FCC">
      <w:pPr>
        <w:pStyle w:val="FootnoteText"/>
        <w:rPr>
          <w:lang w:val="es-ES"/>
        </w:rPr>
      </w:pPr>
      <w:r w:rsidRPr="00E20F5B">
        <w:rPr>
          <w:rStyle w:val="FootnoteReference"/>
          <w:lang w:val="es-ES"/>
        </w:rPr>
        <w:t>1</w:t>
      </w:r>
      <w:r w:rsidRPr="00E20F5B">
        <w:rPr>
          <w:lang w:val="es-ES"/>
        </w:rPr>
        <w:t xml:space="preserve"> </w:t>
      </w:r>
      <w:r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881581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41B8D9" w14:textId="054EBF39" w:rsidR="005E70F7" w:rsidRPr="005E70F7" w:rsidRDefault="005E70F7" w:rsidP="005E70F7">
        <w:pPr>
          <w:tabs>
            <w:tab w:val="clear" w:pos="1134"/>
            <w:tab w:val="clear" w:pos="1871"/>
            <w:tab w:val="clear" w:pos="2268"/>
            <w:tab w:val="left" w:pos="567"/>
            <w:tab w:val="left" w:pos="851"/>
          </w:tabs>
          <w:overflowPunct/>
          <w:autoSpaceDE/>
          <w:autoSpaceDN/>
          <w:adjustRightInd/>
          <w:spacing w:before="0" w:after="120" w:line="259" w:lineRule="auto"/>
          <w:textAlignment w:val="auto"/>
          <w:rPr>
            <w:sz w:val="16"/>
            <w:szCs w:val="16"/>
            <w:lang w:val="es-ES"/>
          </w:rPr>
        </w:pPr>
        <w:r w:rsidRPr="00C9093A">
          <w:rPr>
            <w:sz w:val="16"/>
            <w:szCs w:val="16"/>
          </w:rPr>
          <w:fldChar w:fldCharType="begin"/>
        </w:r>
        <w:r w:rsidRPr="00E20F5B">
          <w:rPr>
            <w:sz w:val="16"/>
            <w:szCs w:val="16"/>
            <w:lang w:val="es-ES"/>
          </w:rPr>
          <w:instrText xml:space="preserve"> PAGE   \* MERGEFORMAT </w:instrText>
        </w:r>
        <w:r w:rsidRPr="00C9093A">
          <w:rPr>
            <w:sz w:val="16"/>
            <w:szCs w:val="16"/>
          </w:rPr>
          <w:fldChar w:fldCharType="separate"/>
        </w:r>
        <w:r w:rsidRPr="005E70F7">
          <w:rPr>
            <w:sz w:val="16"/>
            <w:szCs w:val="16"/>
            <w:lang w:val="es-ES"/>
          </w:rPr>
          <w:t>2</w:t>
        </w:r>
        <w:r w:rsidRPr="00C9093A">
          <w:rPr>
            <w:noProof/>
            <w:sz w:val="16"/>
            <w:szCs w:val="16"/>
          </w:rPr>
          <w:fldChar w:fldCharType="end"/>
        </w:r>
        <w:r w:rsidRPr="005E70F7">
          <w:rPr>
            <w:noProof/>
            <w:sz w:val="16"/>
            <w:szCs w:val="16"/>
            <w:lang w:val="es-ES"/>
          </w:rPr>
          <w:tab/>
        </w:r>
        <w:r w:rsidRPr="00E20F5B">
          <w:rPr>
            <w:sz w:val="16"/>
            <w:szCs w:val="16"/>
            <w:lang w:val="es-ES"/>
          </w:rPr>
          <w:t>Informe final de la CMDT-22 – Parte IV – Resolución 59</w:t>
        </w:r>
        <w:r w:rsidRPr="00E20F5B">
          <w:rPr>
            <w:sz w:val="16"/>
            <w:szCs w:val="16"/>
            <w:lang w:val="es-ES"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642360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5ABDEA" w14:textId="450FB9D1" w:rsidR="005E70F7" w:rsidRPr="005E70F7" w:rsidRDefault="005E70F7" w:rsidP="005E70F7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spacing w:before="120"/>
          <w:jc w:val="left"/>
          <w:rPr>
            <w:sz w:val="16"/>
            <w:szCs w:val="16"/>
            <w:lang w:val="es-ES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E20F5B">
          <w:rPr>
            <w:sz w:val="16"/>
            <w:szCs w:val="16"/>
            <w:lang w:val="es-ES"/>
          </w:rPr>
          <w:t>Informe final de la CMDT-22 – Parte IV – Resolución 59</w:t>
        </w:r>
        <w:r w:rsidRPr="00E20F5B">
          <w:rPr>
            <w:sz w:val="16"/>
            <w:szCs w:val="16"/>
            <w:lang w:val="es-ES"/>
          </w:rPr>
          <w:tab/>
        </w:r>
        <w:r w:rsidRPr="00C9093A">
          <w:rPr>
            <w:sz w:val="16"/>
            <w:szCs w:val="16"/>
          </w:rPr>
          <w:fldChar w:fldCharType="begin"/>
        </w:r>
        <w:r w:rsidRPr="00E20F5B">
          <w:rPr>
            <w:sz w:val="16"/>
            <w:szCs w:val="16"/>
            <w:lang w:val="es-ES"/>
          </w:rPr>
          <w:instrText xml:space="preserve"> PAGE   \* MERGEFORMAT </w:instrText>
        </w:r>
        <w:r w:rsidRPr="00C9093A">
          <w:rPr>
            <w:sz w:val="16"/>
            <w:szCs w:val="16"/>
          </w:rPr>
          <w:fldChar w:fldCharType="separate"/>
        </w:r>
        <w:r w:rsidRPr="005E70F7">
          <w:rPr>
            <w:sz w:val="16"/>
            <w:szCs w:val="16"/>
            <w:lang w:val="es-ES"/>
          </w:rPr>
          <w:t>369</w:t>
        </w:r>
        <w:r w:rsidRPr="00C9093A">
          <w:rPr>
            <w:noProof/>
            <w:sz w:val="16"/>
            <w:szCs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3621" w14:textId="77777777" w:rsidR="005E70F7" w:rsidRDefault="005E70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CC"/>
    <w:rsid w:val="00201FFB"/>
    <w:rsid w:val="003C321F"/>
    <w:rsid w:val="004A0C4C"/>
    <w:rsid w:val="005809C6"/>
    <w:rsid w:val="005E70F7"/>
    <w:rsid w:val="005F322B"/>
    <w:rsid w:val="00623374"/>
    <w:rsid w:val="008A4CA6"/>
    <w:rsid w:val="00A74923"/>
    <w:rsid w:val="00A96FB2"/>
    <w:rsid w:val="00AC35D4"/>
    <w:rsid w:val="00B0107E"/>
    <w:rsid w:val="00BF353A"/>
    <w:rsid w:val="00D27EFC"/>
    <w:rsid w:val="00DC6ABD"/>
    <w:rsid w:val="00EA2213"/>
    <w:rsid w:val="00FC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5947"/>
  <w15:chartTrackingRefBased/>
  <w15:docId w15:val="{8EEA2A54-DEF4-44F5-A022-0704508D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F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ListParagraph"/>
    <w:next w:val="Normal"/>
    <w:link w:val="Heading1Char"/>
    <w:qFormat/>
    <w:rsid w:val="00B0107E"/>
    <w:pPr>
      <w:spacing w:after="120"/>
      <w:ind w:left="0"/>
      <w:contextualSpacing w:val="0"/>
      <w:outlineLvl w:val="0"/>
    </w:pPr>
    <w:rPr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107E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 w:line="259" w:lineRule="auto"/>
      <w:jc w:val="left"/>
      <w:textAlignment w:val="auto"/>
      <w:outlineLvl w:val="1"/>
    </w:pPr>
    <w:rPr>
      <w:rFonts w:cstheme="minorBidi"/>
      <w:bCs/>
      <w:iCs/>
      <w:color w:val="2F5496" w:themeColor="accent1" w:themeShade="BF"/>
      <w:sz w:val="22"/>
      <w:szCs w:val="26"/>
      <w:lang w:val="en-US" w:eastAsia="zh-CN"/>
    </w:rPr>
  </w:style>
  <w:style w:type="paragraph" w:styleId="Heading3">
    <w:name w:val="heading 3"/>
    <w:basedOn w:val="Normal"/>
    <w:next w:val="Normal"/>
    <w:link w:val="Heading3Char"/>
    <w:rsid w:val="00B0107E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160" w:after="160" w:line="259" w:lineRule="auto"/>
      <w:jc w:val="left"/>
      <w:outlineLvl w:val="2"/>
    </w:pPr>
    <w:rPr>
      <w:rFonts w:eastAsiaTheme="minorHAnsi" w:cstheme="minorBidi"/>
      <w:color w:val="2F5496" w:themeColor="accent1" w:themeShade="BF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TitleLeftAligned">
    <w:name w:val="Front_Matter_Title_Left_Aligned"/>
    <w:basedOn w:val="Normal"/>
    <w:rsid w:val="00A96F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240" w:line="259" w:lineRule="auto"/>
      <w:jc w:val="left"/>
      <w:textAlignment w:val="auto"/>
    </w:pPr>
    <w:rPr>
      <w:rFonts w:eastAsiaTheme="minorEastAsia" w:cs="Calibri"/>
      <w:color w:val="0070C0"/>
      <w:sz w:val="28"/>
      <w:szCs w:val="22"/>
      <w:lang w:val="en-US" w:eastAsia="es-ES"/>
    </w:rPr>
  </w:style>
  <w:style w:type="character" w:customStyle="1" w:styleId="Heading1Char">
    <w:name w:val="Heading 1 Char"/>
    <w:basedOn w:val="DefaultParagraphFont"/>
    <w:link w:val="Heading1"/>
    <w:rsid w:val="00B0107E"/>
    <w:rPr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0107E"/>
    <w:rPr>
      <w:rFonts w:eastAsia="Times New Roman" w:cs="Arial"/>
      <w:bCs/>
      <w:iCs/>
      <w:color w:val="2F5496" w:themeColor="accent1" w:themeShade="BF"/>
      <w:szCs w:val="26"/>
    </w:rPr>
  </w:style>
  <w:style w:type="paragraph" w:customStyle="1" w:styleId="Figuretitle">
    <w:name w:val="Figure title"/>
    <w:basedOn w:val="Normal"/>
    <w:next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 w:line="259" w:lineRule="auto"/>
      <w:contextualSpacing/>
      <w:jc w:val="left"/>
      <w:textAlignment w:val="auto"/>
    </w:pPr>
    <w:rPr>
      <w:rFonts w:eastAsiaTheme="minorEastAsia" w:cstheme="minorBidi"/>
      <w:color w:val="365F91"/>
      <w:szCs w:val="56"/>
      <w:lang w:val="en-US" w:eastAsia="zh-CN"/>
    </w:rPr>
  </w:style>
  <w:style w:type="paragraph" w:customStyle="1" w:styleId="Alternativetext">
    <w:name w:val="Alternative text"/>
    <w:basedOn w:val="Normal"/>
    <w:autoRedefine/>
    <w:rsid w:val="00EA22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259" w:lineRule="auto"/>
      <w:jc w:val="center"/>
      <w:textAlignment w:val="auto"/>
    </w:pPr>
    <w:rPr>
      <w:rFonts w:eastAsiaTheme="minorEastAsia" w:cstheme="minorHAnsi"/>
      <w:i/>
      <w:color w:val="FFC000"/>
      <w:sz w:val="18"/>
      <w:szCs w:val="24"/>
      <w:lang w:val="en-US" w:eastAsia="zh-CN"/>
    </w:rPr>
  </w:style>
  <w:style w:type="paragraph" w:customStyle="1" w:styleId="Tabletitle">
    <w:name w:val="Table title"/>
    <w:basedOn w:val="Normal"/>
    <w:next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left"/>
      <w:textAlignment w:val="auto"/>
    </w:pPr>
    <w:rPr>
      <w:rFonts w:eastAsiaTheme="minorEastAsia" w:cstheme="minorBidi"/>
      <w:color w:val="2F5496" w:themeColor="accent1" w:themeShade="BF"/>
      <w:szCs w:val="56"/>
      <w:lang w:val="en-US" w:eastAsia="zh-CN"/>
    </w:rPr>
  </w:style>
  <w:style w:type="paragraph" w:customStyle="1" w:styleId="Tabletext">
    <w:name w:val="Table text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160" w:line="259" w:lineRule="auto"/>
      <w:ind w:left="57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Tablehead">
    <w:name w:val="Table head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b/>
      <w:sz w:val="22"/>
      <w:szCs w:val="56"/>
      <w:lang w:val="en-US" w:eastAsia="zh-CN"/>
    </w:rPr>
  </w:style>
  <w:style w:type="character" w:customStyle="1" w:styleId="StyleBoldBold">
    <w:name w:val="Style Bold + Bold"/>
    <w:basedOn w:val="DefaultParagraphFont"/>
    <w:rsid w:val="00B0107E"/>
    <w:rPr>
      <w:b/>
      <w:bCs/>
      <w:sz w:val="20"/>
      <w:szCs w:val="24"/>
    </w:rPr>
  </w:style>
  <w:style w:type="paragraph" w:customStyle="1" w:styleId="Tablebullet">
    <w:name w:val="Table bullet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160" w:line="259" w:lineRule="auto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character" w:customStyle="1" w:styleId="StyleBoldBold1">
    <w:name w:val="Style Bold + Bold1"/>
    <w:basedOn w:val="DefaultParagraphFont"/>
    <w:rsid w:val="00B0107E"/>
    <w:rPr>
      <w:b/>
      <w:bCs/>
      <w:sz w:val="20"/>
      <w:szCs w:val="24"/>
    </w:rPr>
  </w:style>
  <w:style w:type="paragraph" w:customStyle="1" w:styleId="StyleTablebulletLeft0cmHanging051cm">
    <w:name w:val="Style Table bullet + Left:  0 cm Hanging:  0.51 cm"/>
    <w:basedOn w:val="Tablebullet"/>
    <w:rsid w:val="00B0107E"/>
    <w:pPr>
      <w:ind w:left="288" w:hanging="288"/>
    </w:pPr>
    <w:rPr>
      <w:rFonts w:eastAsia="Times New Roman"/>
      <w:szCs w:val="20"/>
    </w:rPr>
  </w:style>
  <w:style w:type="paragraph" w:customStyle="1" w:styleId="StyleTabletextBoldLeft01cm">
    <w:name w:val="Style Table text + Bold Left:  0.1 cm"/>
    <w:basedOn w:val="Tabletext"/>
    <w:rsid w:val="00B0107E"/>
    <w:rPr>
      <w:rFonts w:eastAsia="Times New Roman"/>
      <w:b/>
      <w:bCs/>
      <w:szCs w:val="20"/>
    </w:rPr>
  </w:style>
  <w:style w:type="paragraph" w:customStyle="1" w:styleId="Tableheadcentredwhite">
    <w:name w:val="Table head centred white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b/>
      <w:sz w:val="22"/>
      <w:szCs w:val="56"/>
      <w:lang w:val="en-US" w:eastAsia="zh-CN"/>
    </w:rPr>
  </w:style>
  <w:style w:type="paragraph" w:customStyle="1" w:styleId="Tabletextcentred">
    <w:name w:val="Table text centred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0107E"/>
    <w:rPr>
      <w:color w:val="2F5496" w:themeColor="accent1" w:themeShade="BF"/>
    </w:rPr>
  </w:style>
  <w:style w:type="character" w:customStyle="1" w:styleId="Colored-Normal">
    <w:name w:val="Colored - Normal"/>
    <w:rsid w:val="00B0107E"/>
    <w:rPr>
      <w:color w:val="365F91"/>
      <w:sz w:val="22"/>
      <w:szCs w:val="24"/>
    </w:rPr>
  </w:style>
  <w:style w:type="paragraph" w:customStyle="1" w:styleId="Bulletlist2">
    <w:name w:val="Bullet list 2"/>
    <w:basedOn w:val="Normal"/>
    <w:rsid w:val="008A4C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Bulletlist3">
    <w:name w:val="Bullet list 3"/>
    <w:basedOn w:val="Normal"/>
    <w:rsid w:val="008A4C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righ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HeadingSum">
    <w:name w:val="Heading_Sum"/>
    <w:basedOn w:val="Normal"/>
    <w:next w:val="Normal"/>
    <w:autoRedefine/>
    <w:rsid w:val="00BF353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240" w:after="160" w:line="259" w:lineRule="auto"/>
    </w:pPr>
    <w:rPr>
      <w:rFonts w:ascii="Times New Roman" w:hAnsi="Times New Roman" w:cstheme="minorBidi"/>
      <w:b/>
      <w:sz w:val="22"/>
      <w:lang w:val="es-ES_tradnl" w:eastAsia="zh-CN"/>
    </w:rPr>
  </w:style>
  <w:style w:type="paragraph" w:customStyle="1" w:styleId="Summary">
    <w:name w:val="Summary"/>
    <w:basedOn w:val="Normal"/>
    <w:next w:val="Normal"/>
    <w:autoRedefine/>
    <w:rsid w:val="00BF353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0" w:after="480" w:line="259" w:lineRule="auto"/>
    </w:pPr>
    <w:rPr>
      <w:rFonts w:ascii="Times New Roman" w:hAnsi="Times New Roman" w:cstheme="minorBidi"/>
      <w:sz w:val="22"/>
      <w:lang w:val="es-ES_tradnl" w:eastAsia="zh-CN"/>
    </w:rPr>
  </w:style>
  <w:style w:type="paragraph" w:customStyle="1" w:styleId="Bulletlist1">
    <w:name w:val="Bullet list 1"/>
    <w:basedOn w:val="Normal"/>
    <w:autoRedefine/>
    <w:rsid w:val="00EA22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jc w:val="left"/>
      <w:textAlignment w:val="auto"/>
    </w:pPr>
    <w:rPr>
      <w:rFonts w:eastAsiaTheme="minorEastAsia" w:cstheme="minorHAnsi"/>
      <w:sz w:val="22"/>
      <w:szCs w:val="24"/>
      <w:lang w:val="en-US" w:eastAsia="zh-CN"/>
    </w:rPr>
  </w:style>
  <w:style w:type="paragraph" w:customStyle="1" w:styleId="Call">
    <w:name w:val="Call"/>
    <w:basedOn w:val="Normal"/>
    <w:next w:val="Normal"/>
    <w:link w:val="CallChar"/>
    <w:rsid w:val="00FC3FCC"/>
    <w:pPr>
      <w:keepNext/>
      <w:keepLines/>
      <w:spacing w:before="160"/>
      <w:ind w:left="1134"/>
    </w:pPr>
    <w:rPr>
      <w:i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Italic,Style"/>
    <w:basedOn w:val="DefaultParagraphFont"/>
    <w:qFormat/>
    <w:rsid w:val="00FC3FCC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FC3FCC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C3FCC"/>
    <w:rPr>
      <w:rFonts w:eastAsia="Times New Roman" w:cs="Times New Roman"/>
      <w:szCs w:val="20"/>
    </w:rPr>
  </w:style>
  <w:style w:type="paragraph" w:customStyle="1" w:styleId="Normalaftertitle">
    <w:name w:val="Normal after title"/>
    <w:basedOn w:val="Normal"/>
    <w:next w:val="Normal"/>
    <w:link w:val="NormalaftertitleChar"/>
    <w:rsid w:val="00FC3FCC"/>
    <w:pPr>
      <w:spacing w:before="280"/>
    </w:pPr>
  </w:style>
  <w:style w:type="paragraph" w:customStyle="1" w:styleId="Reasons">
    <w:name w:val="Reasons"/>
    <w:basedOn w:val="Normal"/>
    <w:qFormat/>
    <w:rsid w:val="00FC3FCC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FC3FCC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center"/>
      <w:textAlignment w:val="baseline"/>
    </w:pPr>
    <w:rPr>
      <w:rFonts w:cs="Times New Roman"/>
      <w:bCs w:val="0"/>
      <w:iCs w:val="0"/>
      <w:color w:val="auto"/>
      <w:sz w:val="28"/>
      <w:szCs w:val="20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FC3FCC"/>
    <w:pPr>
      <w:keepNext/>
      <w:keepLines/>
      <w:spacing w:before="240"/>
      <w:jc w:val="center"/>
    </w:pPr>
    <w:rPr>
      <w:b/>
      <w:sz w:val="28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FCC"/>
    <w:rPr>
      <w:rFonts w:eastAsia="Times New Roman" w:cs="Times New Roman"/>
      <w:sz w:val="24"/>
      <w:szCs w:val="20"/>
    </w:rPr>
  </w:style>
  <w:style w:type="character" w:customStyle="1" w:styleId="href">
    <w:name w:val="href"/>
    <w:basedOn w:val="DefaultParagraphFont"/>
    <w:rsid w:val="00FC3FCC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FC3FCC"/>
    <w:rPr>
      <w:rFonts w:eastAsia="Times New Roman" w:cs="Times New Roman"/>
      <w:i/>
      <w:sz w:val="24"/>
      <w:szCs w:val="20"/>
    </w:rPr>
  </w:style>
  <w:style w:type="character" w:customStyle="1" w:styleId="RestitleChar">
    <w:name w:val="Res_title Char"/>
    <w:basedOn w:val="DefaultParagraphFont"/>
    <w:link w:val="Restitle"/>
    <w:rsid w:val="00FC3FCC"/>
    <w:rPr>
      <w:rFonts w:eastAsia="Times New Roman" w:cs="Times New Roman"/>
      <w:b/>
      <w:sz w:val="28"/>
      <w:szCs w:val="20"/>
    </w:rPr>
  </w:style>
  <w:style w:type="character" w:customStyle="1" w:styleId="ResNoChar">
    <w:name w:val="Res_No Char"/>
    <w:basedOn w:val="DefaultParagraphFont"/>
    <w:link w:val="ResNo"/>
    <w:rsid w:val="00FC3FCC"/>
    <w:rPr>
      <w:rFonts w:eastAsia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1"/>
    <w:unhideWhenUsed/>
    <w:rsid w:val="005E70F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1"/>
    <w:rsid w:val="005E70F7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70F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E70F7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59 (Rev. Kigali, 2022) - Fortalecimiento de la coordinación y la cooperación entre los tres Sectores en asuntos de interés mutuo</dc:title>
  <dc:subject/>
  <dc:creator>Catalano Moreira, Rossana</dc:creator>
  <cp:keywords/>
  <dc:description/>
  <cp:lastModifiedBy>Catalano Moreira, Rossana</cp:lastModifiedBy>
  <cp:revision>3</cp:revision>
  <dcterms:created xsi:type="dcterms:W3CDTF">2023-10-17T12:55:00Z</dcterms:created>
  <dcterms:modified xsi:type="dcterms:W3CDTF">2023-10-17T12:58:00Z</dcterms:modified>
</cp:coreProperties>
</file>